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rFonts w:hint="eastAsia" w:ascii="仿宋" w:hAnsi="仿宋" w:eastAsia="仿宋" w:cs="仿宋"/>
          <w:b w:val="0"/>
          <w:bCs w:val="0"/>
          <w:kern w:val="0"/>
          <w:sz w:val="32"/>
          <w:szCs w:val="32"/>
          <w:lang w:val="en-US" w:eastAsia="zh-CN" w:bidi="ar-SA"/>
        </w:rPr>
      </w:pPr>
    </w:p>
    <w:p>
      <w:pPr>
        <w:pStyle w:val="6"/>
        <w:shd w:val="clear" w:color="auto" w:fill="FFFFFF"/>
        <w:spacing w:before="0" w:beforeAutospacing="0" w:after="0" w:afterAutospacing="0"/>
        <w:jc w:val="center"/>
        <w:rPr>
          <w:rFonts w:hint="eastAsia" w:ascii="仿宋" w:hAnsi="仿宋" w:eastAsia="仿宋" w:cs="仿宋"/>
          <w:b w:val="0"/>
          <w:bCs w:val="0"/>
          <w:kern w:val="0"/>
          <w:sz w:val="32"/>
          <w:szCs w:val="32"/>
          <w:lang w:val="en-US" w:eastAsia="zh-CN" w:bidi="ar-SA"/>
        </w:rPr>
      </w:pPr>
    </w:p>
    <w:p>
      <w:pPr>
        <w:pStyle w:val="6"/>
        <w:shd w:val="clear" w:color="auto" w:fill="FFFFFF"/>
        <w:spacing w:before="0" w:beforeAutospacing="0" w:after="0" w:afterAutospacing="0"/>
        <w:jc w:val="center"/>
        <w:rPr>
          <w:rFonts w:hint="eastAsia" w:ascii="仿宋" w:hAnsi="仿宋" w:eastAsia="仿宋" w:cs="仿宋"/>
          <w:b w:val="0"/>
          <w:bCs w:val="0"/>
          <w:kern w:val="0"/>
          <w:sz w:val="32"/>
          <w:szCs w:val="32"/>
          <w:lang w:val="en-US" w:eastAsia="zh-CN" w:bidi="ar-SA"/>
        </w:rPr>
      </w:pPr>
    </w:p>
    <w:p>
      <w:pPr>
        <w:pStyle w:val="6"/>
        <w:shd w:val="clear" w:color="auto" w:fill="FFFFFF"/>
        <w:spacing w:before="0" w:beforeAutospacing="0" w:after="0" w:afterAutospacing="0"/>
        <w:jc w:val="center"/>
        <w:rPr>
          <w:rFonts w:hint="eastAsia" w:ascii="仿宋" w:hAnsi="仿宋" w:eastAsia="仿宋" w:cs="仿宋"/>
          <w:b w:val="0"/>
          <w:bCs w:val="0"/>
          <w:kern w:val="0"/>
          <w:sz w:val="32"/>
          <w:szCs w:val="32"/>
          <w:lang w:val="en-US" w:eastAsia="zh-CN" w:bidi="ar-SA"/>
        </w:rPr>
      </w:pPr>
    </w:p>
    <w:p>
      <w:pPr>
        <w:pStyle w:val="6"/>
        <w:shd w:val="clear" w:color="auto" w:fill="FFFFFF"/>
        <w:spacing w:before="0" w:beforeAutospacing="0" w:after="0" w:afterAutospacing="0"/>
        <w:jc w:val="center"/>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中轻联标准〔2021〕268号</w:t>
      </w:r>
    </w:p>
    <w:p>
      <w:pPr>
        <w:pStyle w:val="6"/>
        <w:shd w:val="clear" w:color="auto" w:fill="FFFFFF"/>
        <w:spacing w:before="0" w:beforeAutospacing="0" w:after="0" w:afterAutospacing="0"/>
        <w:jc w:val="center"/>
        <w:rPr>
          <w:rFonts w:hint="eastAsia" w:ascii="宋体" w:hAnsi="宋体" w:eastAsia="宋体" w:cs="宋体"/>
          <w:b/>
          <w:bCs/>
          <w:kern w:val="0"/>
          <w:sz w:val="44"/>
          <w:szCs w:val="44"/>
          <w:lang w:val="en-US" w:eastAsia="zh-CN" w:bidi="ar-SA"/>
        </w:rPr>
      </w:pPr>
    </w:p>
    <w:p>
      <w:pPr>
        <w:pStyle w:val="6"/>
        <w:shd w:val="clear" w:color="auto" w:fill="FFFFFF"/>
        <w:spacing w:before="0" w:beforeAutospacing="0" w:after="0" w:afterAutospacing="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关于批准发布《</w:t>
      </w:r>
      <w:r>
        <w:rPr>
          <w:rFonts w:hint="eastAsia" w:cs="宋体"/>
          <w:b/>
          <w:bCs/>
          <w:kern w:val="0"/>
          <w:sz w:val="44"/>
          <w:szCs w:val="44"/>
          <w:lang w:val="en-US" w:eastAsia="zh-CN" w:bidi="ar-SA"/>
        </w:rPr>
        <w:t>汽车方向盘用聚氨酯束状超细纤维合成革</w:t>
      </w:r>
      <w:r>
        <w:rPr>
          <w:rFonts w:hint="eastAsia" w:ascii="宋体" w:hAnsi="宋体" w:eastAsia="宋体" w:cs="宋体"/>
          <w:b/>
          <w:bCs/>
          <w:kern w:val="0"/>
          <w:sz w:val="44"/>
          <w:szCs w:val="44"/>
          <w:lang w:val="en-US" w:eastAsia="zh-CN" w:bidi="ar-SA"/>
        </w:rPr>
        <w:t>》等</w:t>
      </w:r>
      <w:r>
        <w:rPr>
          <w:rFonts w:hint="eastAsia" w:cs="宋体"/>
          <w:b/>
          <w:bCs/>
          <w:kern w:val="0"/>
          <w:sz w:val="44"/>
          <w:szCs w:val="44"/>
          <w:lang w:val="en-US" w:eastAsia="zh-CN" w:bidi="ar-SA"/>
        </w:rPr>
        <w:t>9</w:t>
      </w:r>
      <w:r>
        <w:rPr>
          <w:rFonts w:hint="eastAsia" w:ascii="宋体" w:hAnsi="宋体" w:eastAsia="宋体" w:cs="宋体"/>
          <w:b/>
          <w:bCs/>
          <w:kern w:val="0"/>
          <w:sz w:val="44"/>
          <w:szCs w:val="44"/>
          <w:lang w:val="en-US" w:eastAsia="zh-CN" w:bidi="ar-SA"/>
        </w:rPr>
        <w:t>项团体标准的公告</w:t>
      </w:r>
    </w:p>
    <w:p>
      <w:pPr>
        <w:pStyle w:val="6"/>
        <w:shd w:val="clear" w:color="auto" w:fill="FFFFFF"/>
        <w:spacing w:before="0" w:beforeAutospacing="0" w:after="0" w:afterAutospacing="0"/>
        <w:rPr>
          <w:rFonts w:ascii="仿宋" w:hAnsi="仿宋" w:eastAsia="仿宋" w:cs="Arial"/>
          <w:color w:val="444444"/>
          <w:sz w:val="32"/>
          <w:szCs w:val="32"/>
        </w:rPr>
      </w:pPr>
      <w:r>
        <w:rPr>
          <w:rFonts w:hint="eastAsia" w:ascii="仿宋" w:hAnsi="仿宋" w:eastAsia="仿宋" w:cs="Arial"/>
          <w:color w:val="444444"/>
          <w:sz w:val="32"/>
          <w:szCs w:val="32"/>
        </w:rPr>
        <w:t xml:space="preserve"> </w:t>
      </w:r>
    </w:p>
    <w:p>
      <w:pPr>
        <w:pStyle w:val="6"/>
        <w:shd w:val="clear" w:color="auto" w:fill="FFFFFF"/>
        <w:spacing w:before="0" w:beforeAutospacing="0" w:after="0" w:afterAutospacing="0"/>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中国轻工业联合会批准《汽车方向盘用聚氨酯束状超细纤维合成革》《汽车用人造革与合成革针织基布》《绿色设计产品评价技术规范 汽车用热塑性聚烯烃弹性体（TPO）复合片材》《速冻巴沙鱼片、块》《芥花油》《绿色设计产品评价技术规范 郫县豆瓣》《绿色设计产品评价技术规范 冷热饮水机》《绿色设计产品评价技术规范 电坐便器便座》《家用和类似用途电器显控面板用户界面设计通则》9项团体标准，现予以公布。</w:t>
      </w:r>
    </w:p>
    <w:p>
      <w:pPr>
        <w:pStyle w:val="6"/>
        <w:shd w:val="clear" w:color="auto" w:fill="FFFFFF"/>
        <w:spacing w:before="0" w:beforeAutospacing="0" w:after="0" w:afterAutospacing="0"/>
        <w:ind w:firstLine="645"/>
        <w:jc w:val="center"/>
        <w:rPr>
          <w:rFonts w:hint="eastAsia" w:ascii="仿宋" w:hAnsi="仿宋" w:eastAsia="仿宋" w:cs="仿宋"/>
          <w:color w:val="444444"/>
          <w:sz w:val="32"/>
          <w:szCs w:val="32"/>
        </w:rPr>
      </w:pPr>
      <w:r>
        <w:rPr>
          <w:rFonts w:hint="eastAsia" w:ascii="仿宋" w:hAnsi="仿宋" w:eastAsia="仿宋" w:cs="仿宋"/>
          <w:color w:val="444444"/>
          <w:sz w:val="32"/>
          <w:szCs w:val="32"/>
        </w:rPr>
        <w:t xml:space="preserve">  </w:t>
      </w:r>
    </w:p>
    <w:p>
      <w:pPr>
        <w:pStyle w:val="6"/>
        <w:shd w:val="clear" w:color="auto" w:fill="FFFFFF"/>
        <w:spacing w:before="0" w:beforeAutospacing="0" w:after="0" w:afterAutospacing="0"/>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附件：9项团体标准编号、名称、主要内容等一览表</w:t>
      </w:r>
    </w:p>
    <w:p>
      <w:pPr>
        <w:pStyle w:val="6"/>
        <w:shd w:val="clear" w:color="auto" w:fill="FFFFFF"/>
        <w:spacing w:before="0" w:beforeAutospacing="0" w:after="0" w:afterAutospacing="0"/>
        <w:jc w:val="center"/>
        <w:rPr>
          <w:rFonts w:ascii="仿宋" w:hAnsi="仿宋" w:eastAsia="仿宋" w:cs="Arial"/>
          <w:color w:val="444444"/>
          <w:sz w:val="32"/>
          <w:szCs w:val="32"/>
        </w:rPr>
      </w:pPr>
    </w:p>
    <w:p>
      <w:pPr>
        <w:pStyle w:val="6"/>
        <w:shd w:val="clear" w:color="auto" w:fill="FFFFFF"/>
        <w:spacing w:before="0" w:beforeAutospacing="0" w:after="0" w:afterAutospacing="0"/>
        <w:jc w:val="center"/>
        <w:rPr>
          <w:rFonts w:hint="eastAsia" w:ascii="仿宋" w:hAnsi="仿宋" w:eastAsia="仿宋" w:cs="仿宋"/>
          <w:kern w:val="0"/>
          <w:sz w:val="32"/>
          <w:szCs w:val="32"/>
          <w:lang w:val="en-US" w:eastAsia="zh-CN" w:bidi="ar-SA"/>
        </w:rPr>
      </w:pPr>
      <w:r>
        <w:rPr>
          <w:rFonts w:hint="eastAsia" w:ascii="仿宋" w:hAnsi="仿宋" w:eastAsia="仿宋" w:cs="Arial"/>
          <w:color w:val="444444"/>
          <w:sz w:val="32"/>
          <w:szCs w:val="32"/>
        </w:rPr>
        <w:t xml:space="preserve">                           </w:t>
      </w:r>
      <w:r>
        <w:rPr>
          <w:rFonts w:hint="eastAsia" w:ascii="仿宋" w:hAnsi="仿宋" w:eastAsia="仿宋" w:cs="仿宋"/>
          <w:kern w:val="0"/>
          <w:sz w:val="32"/>
          <w:szCs w:val="32"/>
          <w:lang w:val="en-US" w:eastAsia="zh-CN" w:bidi="ar-SA"/>
        </w:rPr>
        <w:t xml:space="preserve">   中国轻工业联合会</w:t>
      </w:r>
    </w:p>
    <w:p>
      <w:pPr>
        <w:pStyle w:val="6"/>
        <w:shd w:val="clear" w:color="auto" w:fill="FFFFFF"/>
        <w:spacing w:before="0" w:beforeAutospacing="0" w:after="0" w:afterAutospacing="0"/>
        <w:jc w:val="center"/>
        <w:rPr>
          <w:rFonts w:ascii="Arial" w:hAnsi="Arial" w:cs="Arial"/>
          <w:color w:val="444444"/>
          <w:sz w:val="28"/>
          <w:szCs w:val="28"/>
        </w:rPr>
      </w:pPr>
      <w:r>
        <w:rPr>
          <w:rFonts w:hint="eastAsia" w:ascii="仿宋" w:hAnsi="仿宋" w:eastAsia="仿宋" w:cs="仿宋"/>
          <w:kern w:val="0"/>
          <w:sz w:val="32"/>
          <w:szCs w:val="32"/>
          <w:lang w:val="en-US" w:eastAsia="zh-CN" w:bidi="ar-SA"/>
        </w:rPr>
        <w:t xml:space="preserve">                               2021年8月26日                                    </w:t>
      </w:r>
    </w:p>
    <w:p>
      <w:pPr>
        <w:pStyle w:val="6"/>
        <w:shd w:val="clear" w:color="auto" w:fill="FFFFFF"/>
        <w:spacing w:before="0" w:beforeAutospacing="0" w:after="150" w:afterAutospacing="0"/>
        <w:rPr>
          <w:rFonts w:ascii="Arial" w:hAnsi="Arial" w:cs="Arial"/>
          <w:color w:val="444444"/>
          <w:sz w:val="28"/>
          <w:szCs w:val="28"/>
        </w:rPr>
        <w:sectPr>
          <w:pgSz w:w="11906" w:h="16838"/>
          <w:pgMar w:top="1701" w:right="1644" w:bottom="1701" w:left="1644" w:header="851" w:footer="992" w:gutter="0"/>
          <w:cols w:space="425" w:num="1"/>
          <w:docGrid w:type="lines" w:linePitch="312" w:charSpace="0"/>
        </w:sectPr>
      </w:pPr>
    </w:p>
    <w:p>
      <w:pPr>
        <w:pStyle w:val="6"/>
        <w:shd w:val="clear" w:color="auto" w:fill="FFFFFF"/>
        <w:spacing w:before="0" w:beforeAutospacing="0" w:after="156" w:afterLines="50" w:afterAutospacing="0"/>
        <w:rPr>
          <w:rFonts w:ascii="Arial" w:hAnsi="Arial" w:cs="Arial"/>
          <w:color w:val="444444"/>
          <w:sz w:val="28"/>
          <w:szCs w:val="28"/>
        </w:rPr>
      </w:pPr>
      <w:r>
        <w:rPr>
          <w:rFonts w:hint="eastAsia" w:ascii="Arial" w:hAnsi="Arial" w:cs="Arial"/>
          <w:color w:val="444444"/>
          <w:sz w:val="28"/>
          <w:szCs w:val="28"/>
        </w:rPr>
        <w:t xml:space="preserve">附件：       </w:t>
      </w:r>
    </w:p>
    <w:p>
      <w:pPr>
        <w:pStyle w:val="6"/>
        <w:shd w:val="clear" w:color="auto" w:fill="FFFFFF"/>
        <w:spacing w:before="0" w:beforeAutospacing="0" w:after="312" w:afterLines="100" w:afterAutospacing="0"/>
        <w:jc w:val="center"/>
        <w:rPr>
          <w:rFonts w:ascii="仿宋" w:hAnsi="仿宋" w:eastAsia="仿宋" w:cs="Arial"/>
          <w:color w:val="444444"/>
          <w:sz w:val="32"/>
          <w:szCs w:val="32"/>
        </w:rPr>
      </w:pPr>
      <w:r>
        <w:rPr>
          <w:rFonts w:hint="eastAsia" w:ascii="仿宋" w:hAnsi="仿宋" w:eastAsia="仿宋" w:cs="Arial"/>
          <w:color w:val="444444"/>
          <w:sz w:val="32"/>
          <w:szCs w:val="32"/>
          <w:lang w:val="en-US" w:eastAsia="zh-CN"/>
        </w:rPr>
        <w:t>9</w:t>
      </w:r>
      <w:r>
        <w:rPr>
          <w:rFonts w:hint="eastAsia" w:ascii="仿宋" w:hAnsi="仿宋" w:eastAsia="仿宋" w:cs="Arial"/>
          <w:color w:val="444444"/>
          <w:sz w:val="32"/>
          <w:szCs w:val="32"/>
        </w:rPr>
        <w:t>项团体标准编号、名称、主要内容等一览表</w:t>
      </w:r>
    </w:p>
    <w:tbl>
      <w:tblPr>
        <w:tblStyle w:val="8"/>
        <w:tblW w:w="12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902"/>
        <w:gridCol w:w="2378"/>
        <w:gridCol w:w="3329"/>
        <w:gridCol w:w="997"/>
        <w:gridCol w:w="1082"/>
        <w:gridCol w:w="113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6"/>
              <w:jc w:val="center"/>
              <w:rPr>
                <w:rFonts w:ascii="仿宋" w:hAnsi="仿宋" w:eastAsia="仿宋" w:cs="Arial"/>
                <w:color w:val="444444"/>
                <w:sz w:val="21"/>
                <w:szCs w:val="21"/>
              </w:rPr>
            </w:pPr>
            <w:r>
              <w:rPr>
                <w:rFonts w:hint="eastAsia" w:ascii="仿宋" w:hAnsi="仿宋" w:eastAsia="仿宋" w:cs="Arial"/>
                <w:color w:val="444444"/>
                <w:sz w:val="21"/>
                <w:szCs w:val="21"/>
              </w:rPr>
              <w:t>序号</w:t>
            </w:r>
          </w:p>
        </w:tc>
        <w:tc>
          <w:tcPr>
            <w:tcW w:w="1902" w:type="dxa"/>
            <w:vAlign w:val="center"/>
          </w:tcPr>
          <w:p>
            <w:pPr>
              <w:pStyle w:val="6"/>
              <w:jc w:val="center"/>
              <w:rPr>
                <w:rFonts w:ascii="仿宋" w:hAnsi="仿宋" w:eastAsia="仿宋" w:cs="Arial"/>
                <w:color w:val="444444"/>
                <w:sz w:val="21"/>
                <w:szCs w:val="21"/>
              </w:rPr>
            </w:pPr>
            <w:r>
              <w:rPr>
                <w:rFonts w:hint="eastAsia" w:ascii="仿宋" w:hAnsi="仿宋" w:eastAsia="仿宋" w:cs="Arial"/>
                <w:color w:val="444444"/>
                <w:sz w:val="21"/>
                <w:szCs w:val="21"/>
              </w:rPr>
              <w:t>标准编号</w:t>
            </w:r>
          </w:p>
        </w:tc>
        <w:tc>
          <w:tcPr>
            <w:tcW w:w="2378" w:type="dxa"/>
            <w:vAlign w:val="center"/>
          </w:tcPr>
          <w:p>
            <w:pPr>
              <w:pStyle w:val="6"/>
              <w:jc w:val="center"/>
              <w:rPr>
                <w:rFonts w:ascii="仿宋" w:hAnsi="仿宋" w:eastAsia="仿宋" w:cs="Arial"/>
                <w:color w:val="444444"/>
                <w:sz w:val="21"/>
                <w:szCs w:val="21"/>
              </w:rPr>
            </w:pPr>
            <w:r>
              <w:rPr>
                <w:rFonts w:hint="eastAsia" w:ascii="仿宋" w:hAnsi="仿宋" w:eastAsia="仿宋" w:cs="Arial"/>
                <w:color w:val="444444"/>
                <w:sz w:val="21"/>
                <w:szCs w:val="21"/>
              </w:rPr>
              <w:t>标准名称</w:t>
            </w:r>
          </w:p>
        </w:tc>
        <w:tc>
          <w:tcPr>
            <w:tcW w:w="3329" w:type="dxa"/>
            <w:vAlign w:val="center"/>
          </w:tcPr>
          <w:p>
            <w:pPr>
              <w:pStyle w:val="6"/>
              <w:jc w:val="center"/>
              <w:rPr>
                <w:rFonts w:ascii="仿宋" w:hAnsi="仿宋" w:eastAsia="仿宋" w:cs="Arial"/>
                <w:color w:val="444444"/>
                <w:sz w:val="21"/>
                <w:szCs w:val="21"/>
              </w:rPr>
            </w:pPr>
            <w:r>
              <w:rPr>
                <w:rFonts w:hint="eastAsia" w:ascii="仿宋" w:hAnsi="仿宋" w:eastAsia="仿宋" w:cs="Arial"/>
                <w:color w:val="444444"/>
                <w:sz w:val="21"/>
                <w:szCs w:val="21"/>
              </w:rPr>
              <w:t>标准主要内容</w:t>
            </w:r>
          </w:p>
        </w:tc>
        <w:tc>
          <w:tcPr>
            <w:tcW w:w="997" w:type="dxa"/>
            <w:vAlign w:val="center"/>
          </w:tcPr>
          <w:p>
            <w:pPr>
              <w:pStyle w:val="6"/>
              <w:jc w:val="center"/>
              <w:rPr>
                <w:rFonts w:ascii="仿宋" w:hAnsi="仿宋" w:eastAsia="仿宋" w:cs="Arial"/>
                <w:color w:val="444444"/>
                <w:sz w:val="21"/>
                <w:szCs w:val="21"/>
              </w:rPr>
            </w:pPr>
            <w:r>
              <w:rPr>
                <w:rFonts w:hint="eastAsia" w:ascii="仿宋" w:hAnsi="仿宋" w:eastAsia="仿宋" w:cs="Arial"/>
                <w:color w:val="444444"/>
                <w:sz w:val="21"/>
                <w:szCs w:val="21"/>
              </w:rPr>
              <w:t>代替标准</w:t>
            </w:r>
          </w:p>
        </w:tc>
        <w:tc>
          <w:tcPr>
            <w:tcW w:w="1082" w:type="dxa"/>
            <w:vAlign w:val="center"/>
          </w:tcPr>
          <w:p>
            <w:pPr>
              <w:pStyle w:val="6"/>
              <w:spacing w:before="0" w:after="150"/>
              <w:jc w:val="center"/>
              <w:rPr>
                <w:rFonts w:ascii="仿宋" w:hAnsi="仿宋" w:eastAsia="仿宋" w:cs="Arial"/>
                <w:color w:val="444444"/>
                <w:sz w:val="21"/>
                <w:szCs w:val="21"/>
              </w:rPr>
            </w:pPr>
            <w:r>
              <w:rPr>
                <w:rFonts w:hint="eastAsia" w:ascii="仿宋" w:hAnsi="仿宋" w:eastAsia="仿宋" w:cs="Arial"/>
                <w:color w:val="444444"/>
                <w:sz w:val="21"/>
                <w:szCs w:val="21"/>
              </w:rPr>
              <w:t>采标情况</w:t>
            </w:r>
          </w:p>
        </w:tc>
        <w:tc>
          <w:tcPr>
            <w:tcW w:w="1131" w:type="dxa"/>
            <w:vAlign w:val="center"/>
          </w:tcPr>
          <w:p>
            <w:pPr>
              <w:pStyle w:val="6"/>
              <w:jc w:val="center"/>
              <w:rPr>
                <w:rFonts w:ascii="仿宋" w:hAnsi="仿宋" w:eastAsia="仿宋" w:cs="Arial"/>
                <w:color w:val="444444"/>
                <w:sz w:val="21"/>
                <w:szCs w:val="21"/>
              </w:rPr>
            </w:pPr>
            <w:r>
              <w:rPr>
                <w:rFonts w:hint="eastAsia" w:ascii="仿宋" w:hAnsi="仿宋" w:eastAsia="仿宋" w:cs="Arial"/>
                <w:color w:val="444444"/>
                <w:sz w:val="21"/>
                <w:szCs w:val="21"/>
              </w:rPr>
              <w:t>实施日期</w:t>
            </w:r>
          </w:p>
        </w:tc>
        <w:tc>
          <w:tcPr>
            <w:tcW w:w="1131" w:type="dxa"/>
            <w:vAlign w:val="center"/>
          </w:tcPr>
          <w:p>
            <w:pPr>
              <w:pStyle w:val="6"/>
              <w:jc w:val="center"/>
              <w:rPr>
                <w:rFonts w:hint="eastAsia"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5" w:hRule="atLeast"/>
        </w:trPr>
        <w:tc>
          <w:tcPr>
            <w:tcW w:w="565" w:type="dxa"/>
            <w:vAlign w:val="center"/>
          </w:tcPr>
          <w:p>
            <w:pPr>
              <w:pStyle w:val="6"/>
              <w:jc w:val="center"/>
              <w:rPr>
                <w:rFonts w:hint="eastAsia"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1</w:t>
            </w:r>
          </w:p>
        </w:tc>
        <w:tc>
          <w:tcPr>
            <w:tcW w:w="1902" w:type="dxa"/>
            <w:vAlign w:val="center"/>
          </w:tcPr>
          <w:p>
            <w:pPr>
              <w:pStyle w:val="6"/>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0027-2021</w:t>
            </w:r>
          </w:p>
        </w:tc>
        <w:tc>
          <w:tcPr>
            <w:tcW w:w="2378"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仿宋"/>
                <w:kern w:val="0"/>
                <w:sz w:val="21"/>
                <w:szCs w:val="21"/>
                <w:lang w:val="en-US" w:eastAsia="zh-CN" w:bidi="ar-SA"/>
              </w:rPr>
              <w:t>汽车方向盘用聚氨酯束状超细纤维合成革</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本</w:t>
            </w:r>
            <w:r>
              <w:rPr>
                <w:rFonts w:hint="eastAsia" w:ascii="仿宋" w:hAnsi="仿宋" w:eastAsia="仿宋" w:cs="仿宋"/>
                <w:sz w:val="21"/>
                <w:szCs w:val="21"/>
                <w:lang w:val="en-US" w:eastAsia="zh-CN"/>
              </w:rPr>
              <w:t>文件</w:t>
            </w:r>
            <w:r>
              <w:rPr>
                <w:rFonts w:hint="eastAsia" w:ascii="仿宋" w:hAnsi="仿宋" w:eastAsia="仿宋" w:cs="仿宋"/>
                <w:sz w:val="21"/>
                <w:szCs w:val="21"/>
              </w:rPr>
              <w:t>规定了汽车方向盘用聚氨酯束状超细纤维合成革的分类、要求、试验方法、检验规则及标志、包装、运输、贮存。</w:t>
            </w:r>
          </w:p>
          <w:p>
            <w:pPr>
              <w:pStyle w:val="13"/>
              <w:tabs>
                <w:tab w:val="center" w:pos="4201"/>
                <w:tab w:val="right" w:leader="dot" w:pos="9298"/>
              </w:tabs>
              <w:spacing w:line="400" w:lineRule="exact"/>
              <w:ind w:left="0" w:leftChars="0" w:firstLine="420" w:firstLineChars="200"/>
              <w:rPr>
                <w:rFonts w:hint="eastAsia" w:ascii="仿宋" w:hAnsi="仿宋" w:eastAsia="仿宋" w:cs="仿宋"/>
                <w:color w:val="444444"/>
                <w:sz w:val="21"/>
                <w:szCs w:val="21"/>
              </w:rPr>
            </w:pPr>
            <w:r>
              <w:rPr>
                <w:rFonts w:hint="eastAsia" w:ascii="仿宋" w:hAnsi="仿宋" w:eastAsia="仿宋" w:cs="仿宋"/>
                <w:sz w:val="21"/>
                <w:szCs w:val="21"/>
              </w:rPr>
              <w:t>本</w:t>
            </w:r>
            <w:r>
              <w:rPr>
                <w:rFonts w:hint="eastAsia" w:ascii="仿宋" w:hAnsi="仿宋" w:eastAsia="仿宋" w:cs="仿宋"/>
                <w:sz w:val="21"/>
                <w:szCs w:val="21"/>
                <w:lang w:val="en-US" w:eastAsia="zh-CN"/>
              </w:rPr>
              <w:t>文件</w:t>
            </w:r>
            <w:r>
              <w:rPr>
                <w:rFonts w:hint="eastAsia" w:ascii="仿宋" w:hAnsi="仿宋" w:eastAsia="仿宋" w:cs="仿宋"/>
                <w:sz w:val="21"/>
                <w:szCs w:val="21"/>
              </w:rPr>
              <w:t>适用于以海岛复合纤维制成的非织造布为底基、经聚氨酯树脂浸渍、湿法凝固、减量处理、后整理及干法贴面等一系列工艺制成的汽车方向盘用聚氨酯束状超细纤维合成革。</w:t>
            </w:r>
          </w:p>
        </w:tc>
        <w:tc>
          <w:tcPr>
            <w:tcW w:w="997" w:type="dxa"/>
            <w:vAlign w:val="center"/>
          </w:tcPr>
          <w:p>
            <w:pPr>
              <w:pStyle w:val="6"/>
              <w:jc w:val="center"/>
              <w:rPr>
                <w:rFonts w:hint="eastAsia" w:ascii="仿宋" w:hAnsi="仿宋" w:eastAsia="仿宋" w:cs="仿宋"/>
                <w:color w:val="444444"/>
                <w:sz w:val="21"/>
                <w:szCs w:val="21"/>
                <w:lang w:val="en-US" w:eastAsia="zh-CN"/>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sz w:val="21"/>
                <w:szCs w:val="21"/>
                <w:lang w:val="en-US" w:eastAsia="zh-CN"/>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sz w:val="21"/>
                <w:szCs w:val="21"/>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2</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0028-2021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汽车用人造革与合成革针织基布</w:t>
            </w:r>
          </w:p>
        </w:tc>
        <w:tc>
          <w:tcPr>
            <w:tcW w:w="3329" w:type="dxa"/>
            <w:vAlign w:val="center"/>
          </w:tcPr>
          <w:p>
            <w:pPr>
              <w:spacing w:line="400" w:lineRule="exact"/>
              <w:ind w:firstLine="420" w:firstLineChars="200"/>
              <w:rPr>
                <w:rFonts w:hint="eastAsia" w:ascii="仿宋" w:hAnsi="仿宋" w:eastAsia="仿宋" w:cs="仿宋"/>
                <w:color w:val="000000"/>
              </w:rPr>
            </w:pPr>
            <w:r>
              <w:rPr>
                <w:rFonts w:hint="eastAsia" w:ascii="仿宋" w:hAnsi="仿宋" w:eastAsia="仿宋" w:cs="仿宋"/>
              </w:rPr>
              <w:t>本</w:t>
            </w:r>
            <w:r>
              <w:rPr>
                <w:rFonts w:hint="eastAsia" w:ascii="仿宋" w:hAnsi="仿宋" w:eastAsia="仿宋" w:cs="仿宋"/>
                <w:lang w:eastAsia="zh-CN"/>
              </w:rPr>
              <w:t>文件</w:t>
            </w:r>
            <w:r>
              <w:rPr>
                <w:rFonts w:hint="eastAsia" w:ascii="仿宋" w:hAnsi="仿宋" w:eastAsia="仿宋" w:cs="仿宋"/>
              </w:rPr>
              <w:t>规定了汽车用人造革与合成革</w:t>
            </w:r>
            <w:r>
              <w:rPr>
                <w:rFonts w:hint="eastAsia" w:ascii="仿宋" w:hAnsi="仿宋" w:eastAsia="仿宋" w:cs="仿宋"/>
                <w:color w:val="000000"/>
              </w:rPr>
              <w:t>针织基布的产品分类、技术要求、试验方法、检验规则以及标志、包装、运输和贮存。</w:t>
            </w:r>
          </w:p>
          <w:p>
            <w:pPr>
              <w:spacing w:line="40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rPr>
              <w:t>本</w:t>
            </w:r>
            <w:r>
              <w:rPr>
                <w:rFonts w:hint="eastAsia" w:ascii="仿宋" w:hAnsi="仿宋" w:eastAsia="仿宋" w:cs="仿宋"/>
                <w:lang w:eastAsia="zh-CN"/>
              </w:rPr>
              <w:t>文件</w:t>
            </w:r>
            <w:r>
              <w:rPr>
                <w:rFonts w:hint="eastAsia" w:ascii="仿宋" w:hAnsi="仿宋" w:eastAsia="仿宋" w:cs="仿宋"/>
              </w:rPr>
              <w:t>适用于以化学纤维或者天然纤维为主要原料，采用针织织机进行织造，通过后整理设备加工而成的汽车用人造革与合成革针织基布</w:t>
            </w:r>
            <w:r>
              <w:rPr>
                <w:rFonts w:hint="eastAsia" w:ascii="仿宋" w:hAnsi="仿宋" w:eastAsia="仿宋" w:cs="仿宋"/>
                <w:lang w:eastAsia="zh-CN"/>
              </w:rPr>
              <w:t>。</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3</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0029-2021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绿色设计产品评价技术规范 汽车用热塑性聚烯烃弹性体（TPO）复合片材</w:t>
            </w:r>
          </w:p>
        </w:tc>
        <w:tc>
          <w:tcPr>
            <w:tcW w:w="3329" w:type="dxa"/>
            <w:vAlign w:val="center"/>
          </w:tcPr>
          <w:p>
            <w:pPr>
              <w:spacing w:line="400" w:lineRule="exact"/>
              <w:ind w:firstLine="420" w:firstLineChars="200"/>
              <w:rPr>
                <w:rFonts w:hint="eastAsia" w:ascii="仿宋" w:hAnsi="仿宋" w:eastAsia="仿宋" w:cs="仿宋"/>
              </w:rPr>
            </w:pPr>
            <w:r>
              <w:rPr>
                <w:rFonts w:hint="eastAsia" w:ascii="仿宋" w:hAnsi="仿宋" w:eastAsia="仿宋" w:cs="仿宋"/>
              </w:rPr>
              <w:t>本文件规定了汽车用热塑性聚烯烃弹性体（TPO）复合片材绿色设计产品的术语和定义、评价要求、产品生命周期和评价方法。</w:t>
            </w:r>
          </w:p>
          <w:p>
            <w:pPr>
              <w:spacing w:line="40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rPr>
              <w:t>本文件适用于汽车用热塑性聚烯烃弹性体（TPO）复合片材的绿色设计产品评价</w:t>
            </w:r>
            <w:r>
              <w:rPr>
                <w:rFonts w:hint="eastAsia" w:ascii="仿宋" w:hAnsi="仿宋" w:eastAsia="仿宋" w:cs="仿宋"/>
                <w:lang w:eastAsia="zh-CN"/>
              </w:rPr>
              <w:t>。</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4</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0030-2021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速冻巴沙鱼片、块</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本文件规定了速冻巴沙鱼片、块的术语和定义、要求、生产加工过程、试验方法、检验规则、标志、包装、运输和贮存。</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本文件适用于速冻巴沙鱼片、块的生产、检验和销售。</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5</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0031-2021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芥花油</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本文件规定了芥花油的术语和定义、分类、技术要求、生产加工过程要求、检验方法、检验规则、标签、标识、包装、贮存和运输。</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本文件适用于芥花油的生产、检验和销售。</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6</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0032-2021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绿色设计产品评价技术规范 郫县豆瓣</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本文件规定了郫县豆瓣绿色设计产品的术语和定义、评价要求、生命周期评价报告编制方法和评价方法。</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本文件适用于郫县豆瓣的绿色设计产品评价。</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zh-CN" w:eastAsia="zh-CN"/>
              </w:rPr>
            </w:pP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7</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0033-2021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绿色设计产品评价技术规范 冷热饮水机</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本文件规定了家用和类似用途冷热饮水机绿色设计产品评价的术语和定义、评价要求、生命周期评价报告编制方法和评价方法。     </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本文件适用于家用和类似用途冷热饮水机的绿色设计产品评价。</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8</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0034-2021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绿色设计产品评价技术规范 电坐便器便座</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本文件规定了家用和类似用途电坐便器便座绿色设计产品评价的术语和定义、评价要求和评价方法。</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本文件适用于家用和类似用途电坐便</w:t>
            </w:r>
            <w:bookmarkStart w:id="0" w:name="_GoBack"/>
            <w:bookmarkEnd w:id="0"/>
            <w:r>
              <w:rPr>
                <w:rFonts w:hint="eastAsia" w:ascii="仿宋" w:hAnsi="仿宋" w:eastAsia="仿宋" w:cs="仿宋"/>
                <w:sz w:val="21"/>
                <w:szCs w:val="21"/>
                <w:lang w:val="en-US" w:eastAsia="zh-CN"/>
              </w:rPr>
              <w:t>器便座的</w:t>
            </w:r>
            <w:r>
              <w:rPr>
                <w:rFonts w:hint="eastAsia" w:ascii="仿宋" w:hAnsi="仿宋" w:eastAsia="仿宋" w:cs="仿宋"/>
              </w:rPr>
              <w:t>绿色设计产品评价</w:t>
            </w:r>
            <w:r>
              <w:rPr>
                <w:rFonts w:hint="eastAsia" w:ascii="仿宋" w:hAnsi="仿宋" w:eastAsia="仿宋" w:cs="仿宋"/>
                <w:sz w:val="21"/>
                <w:szCs w:val="21"/>
                <w:lang w:val="en-US" w:eastAsia="zh-CN"/>
              </w:rPr>
              <w:t>。</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trPr>
        <w:tc>
          <w:tcPr>
            <w:tcW w:w="565" w:type="dxa"/>
            <w:vAlign w:val="center"/>
          </w:tcPr>
          <w:p>
            <w:pPr>
              <w:pStyle w:val="6"/>
              <w:jc w:val="center"/>
              <w:rPr>
                <w:rFonts w:hint="default" w:ascii="仿宋" w:hAnsi="仿宋" w:eastAsia="仿宋" w:cs="Arial"/>
                <w:color w:val="444444"/>
                <w:sz w:val="21"/>
                <w:szCs w:val="21"/>
                <w:lang w:val="en-US" w:eastAsia="zh-CN"/>
              </w:rPr>
            </w:pPr>
            <w:r>
              <w:rPr>
                <w:rFonts w:hint="eastAsia" w:ascii="仿宋" w:hAnsi="仿宋" w:eastAsia="仿宋" w:cs="Arial"/>
                <w:color w:val="444444"/>
                <w:sz w:val="21"/>
                <w:szCs w:val="21"/>
                <w:lang w:val="en-US" w:eastAsia="zh-CN"/>
              </w:rPr>
              <w:t>9</w:t>
            </w:r>
          </w:p>
        </w:tc>
        <w:tc>
          <w:tcPr>
            <w:tcW w:w="1902" w:type="dxa"/>
            <w:vAlign w:val="center"/>
          </w:tcPr>
          <w:p>
            <w:pPr>
              <w:pStyle w:val="6"/>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T/CNLIC  0035-2021</w:t>
            </w:r>
          </w:p>
        </w:tc>
        <w:tc>
          <w:tcPr>
            <w:tcW w:w="2378" w:type="dxa"/>
            <w:vAlign w:val="center"/>
          </w:tcPr>
          <w:p>
            <w:pPr>
              <w:pStyle w:val="6"/>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家用和类似用途电器显控面板用户界面设计通则</w:t>
            </w:r>
          </w:p>
        </w:tc>
        <w:tc>
          <w:tcPr>
            <w:tcW w:w="3329" w:type="dxa"/>
            <w:vAlign w:val="center"/>
          </w:tcPr>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本文件规定了家用和类似用途电器显控面板用户界面设计的术语和定义、产品体验设计基本原则、显控面板用户界面设计基本要求。</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本文件适用于使用数码管、彩色触控屏幕等形式的家用和类似用途电器的显控面板用户界面设计。</w:t>
            </w:r>
          </w:p>
          <w:p>
            <w:pPr>
              <w:pStyle w:val="13"/>
              <w:tabs>
                <w:tab w:val="center" w:pos="4201"/>
                <w:tab w:val="right" w:leader="dot" w:pos="9298"/>
              </w:tabs>
              <w:spacing w:line="400" w:lineRule="exact"/>
              <w:ind w:left="0" w:leftChars="0" w:firstLine="420" w:firstLineChars="200"/>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本文件不适用于使用LCD、OLED等形式显控面板的用户界面设计。</w:t>
            </w:r>
          </w:p>
        </w:tc>
        <w:tc>
          <w:tcPr>
            <w:tcW w:w="997"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082" w:type="dxa"/>
            <w:vAlign w:val="center"/>
          </w:tcPr>
          <w:p>
            <w:pPr>
              <w:pStyle w:val="6"/>
              <w:spacing w:before="0" w:after="150"/>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color w:val="444444"/>
                <w:sz w:val="21"/>
                <w:szCs w:val="21"/>
                <w:lang w:val="en-US" w:eastAsia="zh-CN"/>
              </w:rPr>
              <w:t>无</w:t>
            </w:r>
          </w:p>
        </w:tc>
        <w:tc>
          <w:tcPr>
            <w:tcW w:w="1131" w:type="dxa"/>
            <w:vAlign w:val="center"/>
          </w:tcPr>
          <w:p>
            <w:pPr>
              <w:pStyle w:val="6"/>
              <w:jc w:val="center"/>
              <w:rPr>
                <w:rFonts w:hint="eastAsia" w:ascii="仿宋" w:hAnsi="仿宋" w:eastAsia="仿宋" w:cs="仿宋"/>
                <w:color w:val="444444"/>
                <w:kern w:val="0"/>
                <w:sz w:val="21"/>
                <w:szCs w:val="21"/>
                <w:lang w:val="en-US" w:eastAsia="zh-CN" w:bidi="ar-SA"/>
              </w:rPr>
            </w:pPr>
            <w:r>
              <w:rPr>
                <w:rFonts w:hint="eastAsia" w:ascii="仿宋" w:hAnsi="仿宋" w:eastAsia="仿宋" w:cs="仿宋"/>
                <w:sz w:val="21"/>
                <w:szCs w:val="21"/>
              </w:rPr>
              <w:t>发布之日起实施</w:t>
            </w:r>
          </w:p>
        </w:tc>
        <w:tc>
          <w:tcPr>
            <w:tcW w:w="1131" w:type="dxa"/>
            <w:vAlign w:val="center"/>
          </w:tcPr>
          <w:p>
            <w:pPr>
              <w:pStyle w:val="6"/>
              <w:jc w:val="center"/>
              <w:rPr>
                <w:rFonts w:hint="eastAsia" w:ascii="仿宋" w:hAnsi="仿宋" w:eastAsia="仿宋" w:cs="仿宋"/>
                <w:sz w:val="21"/>
                <w:szCs w:val="21"/>
              </w:rPr>
            </w:pPr>
          </w:p>
        </w:tc>
      </w:tr>
    </w:tbl>
    <w:p/>
    <w:sectPr>
      <w:pgSz w:w="16838" w:h="11906" w:orient="landscape"/>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6A"/>
    <w:rsid w:val="000A7BC8"/>
    <w:rsid w:val="000B22D4"/>
    <w:rsid w:val="001065E8"/>
    <w:rsid w:val="00140C17"/>
    <w:rsid w:val="00155CC9"/>
    <w:rsid w:val="001956CC"/>
    <w:rsid w:val="001C497C"/>
    <w:rsid w:val="001F6441"/>
    <w:rsid w:val="002340E0"/>
    <w:rsid w:val="002B3E6B"/>
    <w:rsid w:val="004E6330"/>
    <w:rsid w:val="005361F7"/>
    <w:rsid w:val="00555E88"/>
    <w:rsid w:val="005E1035"/>
    <w:rsid w:val="006053B4"/>
    <w:rsid w:val="00614287"/>
    <w:rsid w:val="0066777A"/>
    <w:rsid w:val="007259DA"/>
    <w:rsid w:val="007C0C48"/>
    <w:rsid w:val="00902C7A"/>
    <w:rsid w:val="009147BF"/>
    <w:rsid w:val="00976ED7"/>
    <w:rsid w:val="009B3451"/>
    <w:rsid w:val="00A04551"/>
    <w:rsid w:val="00A362B8"/>
    <w:rsid w:val="00A50CE7"/>
    <w:rsid w:val="00A77C22"/>
    <w:rsid w:val="00A81B6D"/>
    <w:rsid w:val="00B53EB9"/>
    <w:rsid w:val="00C71E64"/>
    <w:rsid w:val="00CC4EFC"/>
    <w:rsid w:val="00E02E6A"/>
    <w:rsid w:val="00E10E4A"/>
    <w:rsid w:val="00E60000"/>
    <w:rsid w:val="00ED07CB"/>
    <w:rsid w:val="00F12886"/>
    <w:rsid w:val="018D431D"/>
    <w:rsid w:val="02652B6B"/>
    <w:rsid w:val="03354CE2"/>
    <w:rsid w:val="03694694"/>
    <w:rsid w:val="03A97577"/>
    <w:rsid w:val="04507F19"/>
    <w:rsid w:val="06F06D10"/>
    <w:rsid w:val="07E1735B"/>
    <w:rsid w:val="09E71DEC"/>
    <w:rsid w:val="0B92035C"/>
    <w:rsid w:val="0CE93BEC"/>
    <w:rsid w:val="0EFA5041"/>
    <w:rsid w:val="10087C4D"/>
    <w:rsid w:val="14960796"/>
    <w:rsid w:val="19EB4A16"/>
    <w:rsid w:val="1BF24FC0"/>
    <w:rsid w:val="1D035623"/>
    <w:rsid w:val="1E1A0369"/>
    <w:rsid w:val="23185F3C"/>
    <w:rsid w:val="24267E99"/>
    <w:rsid w:val="2CF22DA9"/>
    <w:rsid w:val="2D7107D7"/>
    <w:rsid w:val="2EB15DDC"/>
    <w:rsid w:val="2F04010B"/>
    <w:rsid w:val="2F9962C7"/>
    <w:rsid w:val="2FD80A82"/>
    <w:rsid w:val="327D3EFA"/>
    <w:rsid w:val="33F412EF"/>
    <w:rsid w:val="34AC290A"/>
    <w:rsid w:val="34B6500B"/>
    <w:rsid w:val="35143731"/>
    <w:rsid w:val="380F0B68"/>
    <w:rsid w:val="39BF730A"/>
    <w:rsid w:val="39E84AB3"/>
    <w:rsid w:val="3A63307B"/>
    <w:rsid w:val="3BB02950"/>
    <w:rsid w:val="3D724298"/>
    <w:rsid w:val="3D8E247D"/>
    <w:rsid w:val="415633F2"/>
    <w:rsid w:val="44ED57B8"/>
    <w:rsid w:val="45850A54"/>
    <w:rsid w:val="467469BB"/>
    <w:rsid w:val="47570D53"/>
    <w:rsid w:val="475A2FED"/>
    <w:rsid w:val="4EBD6112"/>
    <w:rsid w:val="52EB57D4"/>
    <w:rsid w:val="53C02525"/>
    <w:rsid w:val="53D828B0"/>
    <w:rsid w:val="54E1799D"/>
    <w:rsid w:val="550F2C00"/>
    <w:rsid w:val="57AF40E0"/>
    <w:rsid w:val="583C04B9"/>
    <w:rsid w:val="58AE488A"/>
    <w:rsid w:val="59205FB0"/>
    <w:rsid w:val="5A4210BA"/>
    <w:rsid w:val="5B487437"/>
    <w:rsid w:val="603919E2"/>
    <w:rsid w:val="608C0593"/>
    <w:rsid w:val="63E47408"/>
    <w:rsid w:val="654D7A6D"/>
    <w:rsid w:val="6ABE4D65"/>
    <w:rsid w:val="6C140A80"/>
    <w:rsid w:val="6C745BFD"/>
    <w:rsid w:val="72E5558B"/>
    <w:rsid w:val="762F55F7"/>
    <w:rsid w:val="76D12A06"/>
    <w:rsid w:val="7C56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8"/>
      <w:jc w:val="left"/>
    </w:pPr>
    <w:rPr>
      <w:rFonts w:ascii="宋体" w:hAnsi="宋体"/>
      <w:kern w:val="0"/>
      <w:szCs w:val="21"/>
      <w:lang w:eastAsia="en-US"/>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TML Keyboard"/>
    <w:qFormat/>
    <w:uiPriority w:val="0"/>
    <w:rPr>
      <w:rFonts w:ascii="Courier New" w:hAnsi="Courier New"/>
      <w:sz w:val="20"/>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段"/>
    <w:link w:val="14"/>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4">
    <w:name w:val="段 Char"/>
    <w:basedOn w:val="9"/>
    <w:link w:val="13"/>
    <w:qFormat/>
    <w:uiPriority w:val="0"/>
    <w:rPr>
      <w:rFonts w:ascii="宋体" w:hAnsi="Times New Roman" w:eastAsia="宋体" w:cs="Times New Roman"/>
      <w:kern w:val="0"/>
      <w:szCs w:val="20"/>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D2D55-5864-47F8-9825-9E224A24E2A4}">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690</Characters>
  <Lines>5</Lines>
  <Paragraphs>1</Paragraphs>
  <TotalTime>13</TotalTime>
  <ScaleCrop>false</ScaleCrop>
  <LinksUpToDate>false</LinksUpToDate>
  <CharactersWithSpaces>810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2019-06-24T06:04:00Z</dcterms:created>
  <dc:creator>NIEBO</dc:creator>
  <cp:lastModifiedBy>fyw混世虫</cp:lastModifiedBy>
  <cp:lastPrinted>2021-08-20T08:59:00Z</cp:lastPrinted>
  <dcterms:modified xsi:type="dcterms:W3CDTF">2021-08-31T08:30:11Z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8BDCCDDA317B4C59A88170D6D3BA2936</vt:lpwstr>
  </property>
</Properties>
</file>