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《人造革合成革再制造 第1部分：合成革用再生聚氨酯浆料》中轻联团体标准编制说明（征求意见稿）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 工作简况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 任务来源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本标准项目由中国轻工业联合会提出并归口。中国轻工业联合会以中轻联综合[2021]15号下发了2021年第一批团体标准制定计划，项目名称：人造革合成革再制造 第1部分：合成革用再生聚氨酯浆料，计划编号2021001。主要起草单位：</w:t>
      </w:r>
      <w:r>
        <w:rPr>
          <w:rFonts w:hint="eastAsia"/>
          <w:sz w:val="24"/>
          <w:szCs w:val="24"/>
        </w:rPr>
        <w:t>浙江</w:t>
      </w:r>
      <w:r>
        <w:rPr>
          <w:rFonts w:hint="eastAsia"/>
          <w:sz w:val="24"/>
          <w:szCs w:val="24"/>
          <w:lang w:eastAsia="zh-CN"/>
        </w:rPr>
        <w:t>丰望环保</w:t>
      </w:r>
      <w:r>
        <w:rPr>
          <w:rFonts w:hint="eastAsia"/>
          <w:sz w:val="24"/>
          <w:szCs w:val="24"/>
        </w:rPr>
        <w:t>有限公司</w:t>
      </w:r>
      <w:r>
        <w:rPr>
          <w:rFonts w:hint="eastAsia"/>
          <w:sz w:val="24"/>
          <w:szCs w:val="24"/>
          <w:lang w:eastAsia="zh-CN"/>
        </w:rPr>
        <w:t>，本项目计划</w:t>
      </w:r>
      <w:r>
        <w:rPr>
          <w:rFonts w:hint="eastAsia" w:ascii="宋体" w:hAnsi="宋体" w:eastAsia="宋体" w:cs="宋体"/>
          <w:sz w:val="24"/>
          <w:szCs w:val="24"/>
          <w:lang w:val="en-US" w:eastAsia="zh-CN"/>
        </w:rPr>
        <w:t>完成时间为2021年。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1.2主要工作过程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保证本标准的编制质量，标准实施后能有效提升环境保护、资源化利用水平，标准起草小组结合实际情况，在广泛听取合成革生产企业、业内专家意见后，经过综合分析、多次讨论研究和反复修改，起草编制《人造革合成革再制造 第1部分：合成革用再生聚氨酯浆料》标准。主要开展工作情况如下：</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（1）起草阶段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eastAsia" w:ascii="宋体" w:hAnsi="宋体" w:eastAsia="宋体" w:cs="宋体"/>
          <w:sz w:val="24"/>
          <w:szCs w:val="24"/>
          <w:lang w:val="en-US" w:eastAsia="zh-CN"/>
        </w:rPr>
      </w:pPr>
      <w:r>
        <w:rPr>
          <w:rFonts w:hint="eastAsia" w:ascii="宋体" w:hAnsi="宋体"/>
          <w:sz w:val="24"/>
          <w:szCs w:val="24"/>
        </w:rPr>
        <w:t>计划下达后，按照中国轻工业联合会有关团体标准制修订工作要求，于202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14</w:t>
      </w:r>
      <w:r>
        <w:rPr>
          <w:rFonts w:hint="eastAsia" w:ascii="宋体" w:hAnsi="宋体"/>
          <w:sz w:val="24"/>
          <w:szCs w:val="24"/>
        </w:rPr>
        <w:t xml:space="preserve"> 日在</w:t>
      </w:r>
      <w:r>
        <w:rPr>
          <w:rFonts w:hint="eastAsia" w:ascii="宋体" w:hAnsi="宋体"/>
          <w:sz w:val="24"/>
          <w:szCs w:val="24"/>
          <w:lang w:eastAsia="zh-CN"/>
        </w:rPr>
        <w:t>浙江省丽水市</w:t>
      </w:r>
      <w:r>
        <w:rPr>
          <w:rFonts w:hint="eastAsia" w:ascii="宋体" w:hAnsi="宋体"/>
          <w:sz w:val="24"/>
          <w:szCs w:val="24"/>
        </w:rPr>
        <w:t>召开了中轻联团体标准“</w:t>
      </w:r>
      <w:r>
        <w:rPr>
          <w:rFonts w:hint="eastAsia" w:ascii="宋体" w:hAnsi="宋体" w:eastAsia="宋体" w:cs="宋体"/>
          <w:sz w:val="24"/>
          <w:szCs w:val="24"/>
          <w:lang w:val="en-US" w:eastAsia="zh-CN"/>
        </w:rPr>
        <w:t>人造革合成革再制造 第1部分：合成革用再生聚氨酯浆料</w:t>
      </w:r>
      <w:r>
        <w:rPr>
          <w:rFonts w:hint="eastAsia" w:ascii="宋体" w:hAnsi="宋体"/>
          <w:sz w:val="24"/>
          <w:szCs w:val="24"/>
        </w:rPr>
        <w:t>”起草工作组成立暨团体标准征求意见讨论稿工作会。成立了以</w:t>
      </w:r>
      <w:r>
        <w:rPr>
          <w:rFonts w:hint="eastAsia" w:ascii="宋体" w:hAnsi="宋体" w:eastAsia="宋体" w:cs="宋体"/>
          <w:sz w:val="24"/>
          <w:szCs w:val="24"/>
          <w:lang w:val="en-US" w:eastAsia="zh-CN"/>
        </w:rPr>
        <w:t>浙江丰望环保有限公司为组长，</w:t>
      </w:r>
      <w:r>
        <w:rPr>
          <w:rFonts w:hint="eastAsia"/>
          <w:sz w:val="24"/>
          <w:szCs w:val="24"/>
          <w:lang w:val="en-US" w:eastAsia="zh-CN"/>
        </w:rPr>
        <w:t>浙江闽峰化学有限公司、浙江合力合成革有限公司、浙江繁盛新材料股份有限公司、浙江新旭合成革有限公司、浙江禾欣新材料有限公司、昆山协孚新材料股份有限公司、</w:t>
      </w:r>
      <w:r>
        <w:rPr>
          <w:rFonts w:hint="eastAsia" w:ascii="宋体" w:hAnsi="宋体"/>
          <w:sz w:val="24"/>
          <w:szCs w:val="24"/>
          <w:lang w:eastAsia="zh-CN"/>
        </w:rPr>
        <w:t>浙江嘉柯新材料科技有限公司</w:t>
      </w:r>
      <w:r>
        <w:rPr>
          <w:rFonts w:hint="eastAsia" w:hAnsi="宋体"/>
          <w:sz w:val="24"/>
          <w:szCs w:val="24"/>
          <w:lang w:eastAsia="zh-CN"/>
        </w:rPr>
        <w:t>、清远市齐力合成革有限公司、英德市匠心新材料股份有限公司为组员的标准起草工作组。</w:t>
      </w:r>
      <w:r>
        <w:rPr>
          <w:rFonts w:hint="eastAsia" w:ascii="宋体" w:hAnsi="宋体" w:eastAsia="宋体" w:cs="宋体"/>
          <w:sz w:val="24"/>
          <w:szCs w:val="24"/>
          <w:lang w:val="en-US" w:eastAsia="zh-CN"/>
        </w:rPr>
        <w:t>对标准初稿进行了讨论修改，修改完成征求意见讨论稿，提交工作成员讨论修改。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立项计划下达后，本标准起草单位进一步抓紧工作进度。标准起草小组根据进度安排，首先查阅了国内外相关资料，经过细致的文献调研，未查到关于“合成革用再生聚氨酯浆料”的相关标准。在国内，只有QB/T 4197-2011《合成革用聚氨酯树脂》等标准可供参考。在本标准编制过程中，参考了QB/T 4197-2011《合成革用聚氨酯树脂》标准主要框架内容。起草小组结合国内外聚氨酯再生浆料的市场发展和现状要求，初步确立了本标准的主体框架及主要指标要求，形成标准征求意见稿。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2021年3月，标准起草小组赴丽水经济技术开发区内的闽峰化学有限公司、丽水市宝利丰皮饰有限公司、丽水市聚新科技有限公司等，对企业的废弃料产生情况及使用再生浆料生产合成革情况进行了了解和参观，对标准框架、技术指标的科学性和适用性进行了沟通和交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2021年4月25日，又召开了标准起草工作组与多家合成革生产企业参加的会议，对经多次验证后形成的标准指标进行了讨论，形成了标准征求意见稿提交中轻联综合业务部。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（2）征求意见阶段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（3）审查阶段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（4）报批阶段</w:t>
      </w:r>
    </w:p>
    <w:p>
      <w:pPr>
        <w:spacing w:line="360" w:lineRule="auto"/>
        <w:rPr>
          <w:rFonts w:hint="eastAsia" w:ascii="黑体" w:hAnsi="黑体" w:eastAsia="黑体" w:cs="黑体"/>
          <w:bCs/>
          <w:sz w:val="24"/>
          <w:szCs w:val="24"/>
        </w:rPr>
      </w:pPr>
      <w:r>
        <w:rPr>
          <w:rFonts w:hint="eastAsia" w:ascii="黑体" w:hAnsi="黑体" w:eastAsia="黑体" w:cs="黑体"/>
          <w:bCs/>
          <w:sz w:val="24"/>
          <w:szCs w:val="24"/>
        </w:rPr>
        <w:t>1.3 主要参加单位和工作组成员及其所做的工作等</w:t>
      </w:r>
    </w:p>
    <w:p>
      <w:pPr>
        <w:pStyle w:val="13"/>
        <w:keepNext w:val="0"/>
        <w:keepLines w:val="0"/>
        <w:pageBreakBefore w:val="0"/>
        <w:tabs>
          <w:tab w:val="left" w:pos="0"/>
        </w:tabs>
        <w:kinsoku/>
        <w:wordWrap/>
        <w:overflowPunct/>
        <w:topLinePunct w:val="0"/>
        <w:bidi w:val="0"/>
        <w:adjustRightInd/>
        <w:snapToGrid/>
        <w:spacing w:line="420" w:lineRule="exact"/>
        <w:ind w:left="0" w:leftChars="0" w:firstLine="480" w:firstLineChars="200"/>
        <w:textAlignment w:val="auto"/>
        <w:rPr>
          <w:rFonts w:hint="eastAsia" w:hAnsi="宋体"/>
          <w:sz w:val="24"/>
          <w:szCs w:val="24"/>
          <w:lang w:eastAsia="zh-CN"/>
        </w:rPr>
      </w:pPr>
      <w:r>
        <w:rPr>
          <w:rFonts w:hint="eastAsia" w:ascii="宋体" w:hAnsi="宋体" w:eastAsia="宋体" w:cs="宋体"/>
          <w:sz w:val="24"/>
          <w:szCs w:val="24"/>
          <w:lang w:val="en-US" w:eastAsia="zh-CN"/>
        </w:rPr>
        <w:t>本标准由</w:t>
      </w:r>
      <w:r>
        <w:rPr>
          <w:rFonts w:hint="eastAsia"/>
          <w:sz w:val="24"/>
          <w:szCs w:val="24"/>
        </w:rPr>
        <w:t>浙江</w:t>
      </w:r>
      <w:r>
        <w:rPr>
          <w:rFonts w:hint="eastAsia"/>
          <w:sz w:val="24"/>
          <w:szCs w:val="24"/>
          <w:lang w:eastAsia="zh-CN"/>
        </w:rPr>
        <w:t>丰望环保</w:t>
      </w:r>
      <w:r>
        <w:rPr>
          <w:rFonts w:hint="eastAsia"/>
          <w:sz w:val="24"/>
          <w:szCs w:val="24"/>
        </w:rPr>
        <w:t>有限公司</w:t>
      </w:r>
      <w:r>
        <w:rPr>
          <w:rFonts w:hint="eastAsia"/>
          <w:sz w:val="24"/>
          <w:szCs w:val="24"/>
          <w:lang w:eastAsia="zh-CN"/>
        </w:rPr>
        <w:t>、</w:t>
      </w:r>
      <w:r>
        <w:rPr>
          <w:rFonts w:hint="eastAsia"/>
          <w:sz w:val="24"/>
          <w:szCs w:val="24"/>
          <w:lang w:val="en-US" w:eastAsia="zh-CN"/>
        </w:rPr>
        <w:t>浙江闽峰化学有限公司、浙江合力合成革有限公司、浙江繁盛新材料股份有限公司、浙江新旭合成革有限公司、浙江禾欣新材料有限公司、昆山协孚新材料股份有限公司、</w:t>
      </w:r>
      <w:r>
        <w:rPr>
          <w:rFonts w:hint="eastAsia" w:ascii="宋体" w:hAnsi="宋体"/>
          <w:sz w:val="24"/>
          <w:szCs w:val="24"/>
          <w:lang w:eastAsia="zh-CN"/>
        </w:rPr>
        <w:t>浙江嘉柯新材料科技有限公司</w:t>
      </w:r>
      <w:r>
        <w:rPr>
          <w:rFonts w:hint="eastAsia" w:hAnsi="宋体"/>
          <w:sz w:val="24"/>
          <w:szCs w:val="24"/>
          <w:lang w:eastAsia="zh-CN"/>
        </w:rPr>
        <w:t>、清远市齐力合成革有限公司、英德市匠心新材料股份有限公司等公司共同起草。</w:t>
      </w:r>
    </w:p>
    <w:p>
      <w:pPr>
        <w:pStyle w:val="13"/>
        <w:keepNext w:val="0"/>
        <w:keepLines w:val="0"/>
        <w:pageBreakBefore w:val="0"/>
        <w:tabs>
          <w:tab w:val="left" w:pos="0"/>
        </w:tabs>
        <w:kinsoku/>
        <w:wordWrap/>
        <w:overflowPunct/>
        <w:topLinePunct w:val="0"/>
        <w:bidi w:val="0"/>
        <w:adjustRightInd/>
        <w:snapToGrid/>
        <w:spacing w:line="420" w:lineRule="exact"/>
        <w:ind w:left="0" w:leftChars="0" w:firstLine="480" w:firstLineChars="200"/>
        <w:textAlignment w:val="auto"/>
        <w:rPr>
          <w:rFonts w:hint="default"/>
          <w:sz w:val="24"/>
          <w:szCs w:val="24"/>
          <w:lang w:val="en-US" w:eastAsia="zh-CN"/>
        </w:rPr>
      </w:pPr>
      <w:r>
        <w:rPr>
          <w:rFonts w:hint="eastAsia" w:ascii="宋体" w:hAnsi="宋体"/>
          <w:sz w:val="24"/>
          <w:szCs w:val="24"/>
        </w:rPr>
        <w:t>本标准主要起草人：</w:t>
      </w:r>
      <w:r>
        <w:rPr>
          <w:rFonts w:hint="eastAsia"/>
          <w:sz w:val="24"/>
          <w:szCs w:val="24"/>
          <w:lang w:val="en-US" w:eastAsia="zh-CN"/>
        </w:rPr>
        <w:t>时磊  黄金慧  卢积明  徐鹏  钱绪东 程珏、邵烨、王中坚、孙进琳、李新第、徐一剡、张凤、郑嗣铣、罗志清、谭文勇</w:t>
      </w:r>
      <w:r>
        <w:rPr>
          <w:rFonts w:hint="eastAsia" w:hAnsi="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分工：时磊任起草工作组组长，全面协调标准起草工作，并负责对各阶段标准的审核。卢积明、黄金慧负责收集、分析国内外相关技术文献和资料，对合成革生产企业进行现场参观、工艺了解，对生产制造过程进行分析、合成革生产企业对再生浆料的使用需求进行调研、对使用情况进行分析总结和归纳；负责本标准的具体起草与编写工作。</w:t>
      </w:r>
      <w:r>
        <w:rPr>
          <w:rFonts w:hint="eastAsia"/>
          <w:sz w:val="24"/>
          <w:szCs w:val="24"/>
          <w:lang w:val="en-US" w:eastAsia="zh-CN"/>
        </w:rPr>
        <w:t>卢积明  徐鹏  钱绪东 程珏、邵烨、王中坚</w:t>
      </w:r>
      <w:r>
        <w:rPr>
          <w:rFonts w:hint="eastAsia" w:ascii="宋体" w:hAnsi="宋体" w:eastAsia="宋体" w:cs="宋体"/>
          <w:sz w:val="24"/>
          <w:szCs w:val="24"/>
          <w:lang w:val="en-US" w:eastAsia="zh-CN"/>
        </w:rPr>
        <w:t>负责对各方面的意见和建议进行归纳、分析。</w:t>
      </w:r>
      <w:r>
        <w:rPr>
          <w:rFonts w:hint="eastAsia"/>
          <w:sz w:val="24"/>
          <w:szCs w:val="24"/>
          <w:lang w:val="en-US" w:eastAsia="zh-CN"/>
        </w:rPr>
        <w:t>孙进琳、李新第、徐一剡、张凤</w:t>
      </w:r>
      <w:r>
        <w:rPr>
          <w:rFonts w:hint="eastAsia" w:ascii="宋体" w:hAnsi="宋体" w:eastAsia="宋体" w:cs="宋体"/>
          <w:sz w:val="24"/>
          <w:szCs w:val="24"/>
          <w:lang w:val="en-US" w:eastAsia="zh-CN"/>
        </w:rPr>
        <w:t>负责对收集的样品进行测试验证工作。</w:t>
      </w:r>
      <w:r>
        <w:rPr>
          <w:rFonts w:hint="eastAsia"/>
          <w:sz w:val="24"/>
          <w:szCs w:val="24"/>
          <w:lang w:val="en-US" w:eastAsia="zh-CN"/>
        </w:rPr>
        <w:t>郑嗣铣、罗志清、谭文勇</w:t>
      </w:r>
      <w:r>
        <w:rPr>
          <w:rFonts w:hint="eastAsia" w:ascii="宋体" w:hAnsi="宋体" w:eastAsia="宋体" w:cs="宋体"/>
          <w:sz w:val="24"/>
          <w:szCs w:val="24"/>
          <w:lang w:val="en-US" w:eastAsia="zh-CN"/>
        </w:rPr>
        <w:t>负责本标准其他材料的编制。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2" w:firstLineChars="1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  标准编制原则和主要内容的论据，解决的主要问题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2" w:firstLineChars="1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2.1  标准编制原则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标准的制定体现绿色发展的原则；本着先进性、科学性、合理性和可操作性的原则，注意与相关领域法律、法规和规章、国家与行业标准等的兼容性和协调一致，以及标准的统一性、协调性、适用性、一致性和规范性；对难以量化的指标或内容，尽量用文字进行说明；力求简单、清晰、实用性强、适用面广，便于使用人员理解和操作，尽量满足市场需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本标准起草过程中，按GB/T 1.1-2020《标准化工作导则第一部分：标准化文件的结构和起草规则》进行编写。本标准制定过程中，主要参考了以下标准：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187" w:firstLineChars="7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（1）GB/T 190-2009  危险货物包装标志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187" w:firstLineChars="7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GB/T 601  化学试剂 标准滴定溶液的制备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187" w:firstLineChars="7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GB/T 603  化学试剂试验方法中所用制剂及测定制品的制备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187" w:firstLineChars="7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（4）GB/T 1040-2006  塑料  拉伸性能的测定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187" w:firstLineChars="7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（5）GB/T 2828.1-2012  计数抽样检验程序 第1部分：按接收质量限（AQL）检索的逐批检验抽样计划</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187" w:firstLineChars="7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（6）GB/T 2918-2018  塑料 试样状态调节和试验的标准环境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187" w:firstLineChars="7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（7）GB/T 6283  化工产品中水分含量的测定 卡尔.费休法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187" w:firstLineChars="7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（8）GB/T 6678  化工产品采样通则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187" w:firstLineChars="7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（9）GB/T 6680  液体化工产品采样通则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187" w:firstLineChars="7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（10）GB/T 6682  分析实验室用水规格和试验方法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187" w:firstLineChars="7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（11）GB/T 7193-2008 不饱和聚酯树脂试验方法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187" w:firstLineChars="7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 GB/T 8949-2008  聚氨酯干法人造革</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187" w:firstLineChars="7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（13）GB/T 9722  化学试剂 气相色谱法通则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187" w:firstLineChars="7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（14）GB/T 34443  人造革与合成革术语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187" w:firstLineChars="7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（15）QB/T 1646-2007  聚氨酯合成革</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187" w:firstLineChars="7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（16）QB/T 2710-2018  皮革 物理和机械试验 抗张强度和伸长率的测定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187" w:firstLineChars="78"/>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（17）QB/T 4197-2011  合成革用聚氨酯树脂。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2" w:firstLineChars="1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2.2  主要内容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  范围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本标准规定了合成革用再生聚氨酯浆料的术语与定义、要求、试验方法、检验规则、标志包装运输贮存等。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本标准适用于从合成革生产过程中被废弃的浆料、溶剂、树脂等提炼配制而成的合成革用再生聚氨酯浆料。该浆料主要用于合成革生产中湿法生产和喷涂生产线所需的浆料调配。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  产品分类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合成革生产中有湿法工艺、干法工艺等，本产品分为A、B二类，A类产品适合作为湿法生产工艺用浆料，B类产品适合作为干法或后处理配制浆料用复合溶济。本产品也可根据用户具体需求，另行调配。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  外观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为控制产品质量，满足客户要求，本标准对本产品在外观质量上提出详细规定，根据QB/T 4197-2011合成革用聚氨酯树脂》采用的外观试验方法对外观进行测试：在自然光或日光灯光源下进行目测。本标准中的A类产品是回收废弃浆料中提炼而成，外观为深黑色粘稠物；B类产品为无色透明液体。</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2.2.4  黏度与固体含量</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黏度与固体含量是生产合成革原料的两个重要物理性能指标。聚氨酯是化学工业合成的新料，可以控制黏度与固体含量；而本标准的再生浆料是将生产过程中的各种废弃料经物理加工而成，在生产过程中较难控制黏度与固体含量。而且合成革企业生产不同用途的革，对黏度与固体含量的要求也不同；在合成革生产中，合成革浆料配制并没有一定的标准，都是由工程师在上机前凭经验调配；为了使工程师在生产时更加方便调配，本标准根据对多批再生浆料测试结果仅规定湿法生产对黏度与固体含量要求，指标规定一个范围。对相同工艺生产不同用途的革采取与用户协商确定办法，针对不同用户需求，再另行进行调配，以满足不同客户的不同需求。根据不同客户要求、树脂新料配制的浆料与再生浆料水平及验证数据，确定指标值如表1。本标准按GB/T 7193-2008《不饱和聚酯树脂试验方法》中4.1、4.3的规定进行试验。</w:t>
      </w:r>
    </w:p>
    <w:p>
      <w:pPr>
        <w:keepNext w:val="0"/>
        <w:keepLines w:val="0"/>
        <w:pageBreakBefore w:val="0"/>
        <w:kinsoku/>
        <w:wordWrap/>
        <w:overflowPunct/>
        <w:topLinePunct w:val="0"/>
        <w:autoSpaceDE/>
        <w:autoSpaceDN/>
        <w:bidi w:val="0"/>
        <w:adjustRightInd/>
        <w:snapToGrid/>
        <w:spacing w:line="440" w:lineRule="exact"/>
        <w:ind w:left="0" w:leftChars="0" w:firstLine="361" w:firstLineChars="15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表1 本标准黏度与固体含量指标</w:t>
      </w:r>
    </w:p>
    <w:tbl>
      <w:tblPr>
        <w:tblStyle w:val="7"/>
        <w:tblW w:w="9219" w:type="dxa"/>
        <w:jc w:val="center"/>
        <w:tblLayout w:type="fixed"/>
        <w:tblCellMar>
          <w:top w:w="0" w:type="dxa"/>
          <w:left w:w="108" w:type="dxa"/>
          <w:bottom w:w="0" w:type="dxa"/>
          <w:right w:w="108" w:type="dxa"/>
        </w:tblCellMar>
      </w:tblPr>
      <w:tblGrid>
        <w:gridCol w:w="2395"/>
        <w:gridCol w:w="3090"/>
        <w:gridCol w:w="3734"/>
      </w:tblGrid>
      <w:tr>
        <w:tblPrEx>
          <w:tblCellMar>
            <w:top w:w="0" w:type="dxa"/>
            <w:left w:w="108" w:type="dxa"/>
            <w:bottom w:w="0" w:type="dxa"/>
            <w:right w:w="108" w:type="dxa"/>
          </w:tblCellMar>
        </w:tblPrEx>
        <w:trPr>
          <w:trHeight w:val="338" w:hRule="atLeast"/>
          <w:jc w:val="center"/>
        </w:trPr>
        <w:tc>
          <w:tcPr>
            <w:tcW w:w="23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项目</w:t>
            </w:r>
          </w:p>
        </w:tc>
        <w:tc>
          <w:tcPr>
            <w:tcW w:w="30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指标</w:t>
            </w:r>
          </w:p>
        </w:tc>
        <w:tc>
          <w:tcPr>
            <w:tcW w:w="37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测试方法</w:t>
            </w:r>
          </w:p>
        </w:tc>
      </w:tr>
      <w:tr>
        <w:tblPrEx>
          <w:tblCellMar>
            <w:top w:w="0" w:type="dxa"/>
            <w:left w:w="108" w:type="dxa"/>
            <w:bottom w:w="0" w:type="dxa"/>
            <w:right w:w="108" w:type="dxa"/>
          </w:tblCellMar>
        </w:tblPrEx>
        <w:trPr>
          <w:trHeight w:val="639" w:hRule="atLeast"/>
          <w:jc w:val="center"/>
        </w:trPr>
        <w:tc>
          <w:tcPr>
            <w:tcW w:w="239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黏度</w:t>
            </w:r>
          </w:p>
        </w:tc>
        <w:tc>
          <w:tcPr>
            <w:tcW w:w="30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(50000～70000 )mPa.</w:t>
            </w:r>
            <w:r>
              <w:rPr>
                <w:rFonts w:hint="eastAsia" w:ascii="宋体" w:hAnsi="宋体" w:eastAsia="宋体" w:cs="宋体"/>
                <w:color w:val="000000" w:themeColor="text1"/>
                <w:kern w:val="0"/>
                <w:sz w:val="24"/>
                <w:szCs w:val="24"/>
                <w:lang w:eastAsia="zh-CN"/>
                <w14:textFill>
                  <w14:solidFill>
                    <w14:schemeClr w14:val="tx1"/>
                  </w14:solidFill>
                </w14:textFill>
              </w:rPr>
              <w:t>S</w:t>
            </w:r>
          </w:p>
        </w:tc>
        <w:tc>
          <w:tcPr>
            <w:tcW w:w="3734"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按GB/T </w:t>
            </w:r>
            <w:r>
              <w:rPr>
                <w:rFonts w:hint="eastAsia" w:ascii="宋体" w:hAnsi="宋体" w:eastAsia="宋体" w:cs="宋体"/>
                <w:color w:val="000000" w:themeColor="text1"/>
                <w:sz w:val="24"/>
                <w:szCs w:val="24"/>
                <w:lang w:val="en-US" w:eastAsia="zh-CN"/>
                <w14:textFill>
                  <w14:solidFill>
                    <w14:schemeClr w14:val="tx1"/>
                  </w14:solidFill>
                </w14:textFill>
              </w:rPr>
              <w:t>7193</w:t>
            </w:r>
            <w:r>
              <w:rPr>
                <w:rFonts w:hint="eastAsia" w:ascii="宋体" w:hAnsi="宋体" w:eastAsia="宋体" w:cs="宋体"/>
                <w:color w:val="000000" w:themeColor="text1"/>
                <w:sz w:val="24"/>
                <w:szCs w:val="24"/>
                <w14:textFill>
                  <w14:solidFill>
                    <w14:schemeClr w14:val="tx1"/>
                  </w14:solidFill>
                </w14:textFill>
              </w:rPr>
              <w:t>-2008《</w:t>
            </w:r>
            <w:r>
              <w:rPr>
                <w:rFonts w:hint="eastAsia" w:ascii="宋体" w:hAnsi="宋体" w:eastAsia="宋体" w:cs="宋体"/>
                <w:color w:val="000000" w:themeColor="text1"/>
                <w:sz w:val="24"/>
                <w:szCs w:val="24"/>
                <w:lang w:eastAsia="zh-CN"/>
                <w14:textFill>
                  <w14:solidFill>
                    <w14:schemeClr w14:val="tx1"/>
                  </w14:solidFill>
                </w14:textFill>
              </w:rPr>
              <w:t>不饱和聚酯树脂试验方法</w:t>
            </w:r>
            <w:r>
              <w:rPr>
                <w:rFonts w:hint="eastAsia" w:ascii="宋体" w:hAnsi="宋体" w:eastAsia="宋体" w:cs="宋体"/>
                <w:color w:val="000000" w:themeColor="text1"/>
                <w:sz w:val="24"/>
                <w:szCs w:val="24"/>
                <w14:textFill>
                  <w14:solidFill>
                    <w14:schemeClr w14:val="tx1"/>
                  </w14:solidFill>
                </w14:textFill>
              </w:rPr>
              <w:t>》中</w:t>
            </w:r>
            <w:r>
              <w:rPr>
                <w:rFonts w:hint="eastAsia" w:ascii="宋体" w:hAnsi="宋体" w:eastAsia="宋体" w:cs="宋体"/>
                <w:color w:val="000000" w:themeColor="text1"/>
                <w:sz w:val="24"/>
                <w:szCs w:val="24"/>
                <w:lang w:val="en-US" w:eastAsia="zh-CN"/>
                <w14:textFill>
                  <w14:solidFill>
                    <w14:schemeClr w14:val="tx1"/>
                  </w14:solidFill>
                </w14:textFill>
              </w:rPr>
              <w:t>4.1、4.3</w:t>
            </w:r>
            <w:r>
              <w:rPr>
                <w:rFonts w:hint="eastAsia" w:ascii="宋体" w:hAnsi="宋体" w:eastAsia="宋体" w:cs="宋体"/>
                <w:color w:val="000000" w:themeColor="text1"/>
                <w:sz w:val="24"/>
                <w:szCs w:val="24"/>
                <w14:textFill>
                  <w14:solidFill>
                    <w14:schemeClr w14:val="tx1"/>
                  </w14:solidFill>
                </w14:textFill>
              </w:rPr>
              <w:t>的规定进行试验。</w:t>
            </w:r>
          </w:p>
        </w:tc>
      </w:tr>
      <w:tr>
        <w:tblPrEx>
          <w:tblCellMar>
            <w:top w:w="0" w:type="dxa"/>
            <w:left w:w="108" w:type="dxa"/>
            <w:bottom w:w="0" w:type="dxa"/>
            <w:right w:w="108" w:type="dxa"/>
          </w:tblCellMar>
        </w:tblPrEx>
        <w:trPr>
          <w:trHeight w:val="683" w:hRule="atLeast"/>
          <w:jc w:val="center"/>
        </w:trPr>
        <w:tc>
          <w:tcPr>
            <w:tcW w:w="239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固体含量</w:t>
            </w:r>
          </w:p>
        </w:tc>
        <w:tc>
          <w:tcPr>
            <w:tcW w:w="30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lang w:val="en-US" w:eastAsia="zh-CN"/>
                <w14:textFill>
                  <w14:solidFill>
                    <w14:schemeClr w14:val="tx1"/>
                  </w14:solidFill>
                </w14:textFill>
              </w:rPr>
              <w:t>～35 )%</w:t>
            </w:r>
          </w:p>
        </w:tc>
        <w:tc>
          <w:tcPr>
            <w:tcW w:w="37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255" w:hRule="atLeast"/>
          <w:jc w:val="center"/>
        </w:trPr>
        <w:tc>
          <w:tcPr>
            <w:tcW w:w="92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w:t>
            </w:r>
            <w:r>
              <w:rPr>
                <w:rFonts w:hint="eastAsia" w:ascii="宋体" w:hAnsi="宋体" w:eastAsia="宋体" w:cs="宋体"/>
                <w:color w:val="000000" w:themeColor="text1"/>
                <w:sz w:val="24"/>
                <w:szCs w:val="24"/>
                <w:lang w:eastAsia="zh-CN"/>
                <w14:textFill>
                  <w14:solidFill>
                    <w14:schemeClr w14:val="tx1"/>
                  </w14:solidFill>
                </w14:textFill>
              </w:rPr>
              <w:t>抽取</w:t>
            </w:r>
            <w:r>
              <w:rPr>
                <w:rFonts w:hint="eastAsia" w:ascii="宋体" w:hAnsi="宋体" w:eastAsia="宋体" w:cs="宋体"/>
                <w:color w:val="000000" w:themeColor="text1"/>
                <w:sz w:val="24"/>
                <w:szCs w:val="24"/>
                <w:lang w:val="en-US" w:eastAsia="zh-CN"/>
                <w14:textFill>
                  <w14:solidFill>
                    <w14:schemeClr w14:val="tx1"/>
                  </w14:solidFill>
                </w14:textFill>
              </w:rPr>
              <w:t>合成</w:t>
            </w:r>
            <w:r>
              <w:rPr>
                <w:rFonts w:hint="eastAsia" w:ascii="宋体" w:hAnsi="宋体" w:eastAsia="宋体" w:cs="宋体"/>
                <w:color w:val="000000" w:themeColor="text1"/>
                <w:sz w:val="24"/>
                <w:szCs w:val="24"/>
                <w:lang w:eastAsia="zh-CN"/>
                <w14:textFill>
                  <w14:solidFill>
                    <w14:schemeClr w14:val="tx1"/>
                  </w14:solidFill>
                </w14:textFill>
              </w:rPr>
              <w:t>革厂家工作浆料粘度</w:t>
            </w:r>
            <w:r>
              <w:rPr>
                <w:rFonts w:hint="eastAsia" w:ascii="宋体" w:hAnsi="宋体" w:eastAsia="宋体" w:cs="宋体"/>
                <w:color w:val="000000" w:themeColor="text1"/>
                <w:sz w:val="24"/>
                <w:szCs w:val="24"/>
                <w:lang w:val="en-US" w:eastAsia="zh-CN"/>
                <w14:textFill>
                  <w14:solidFill>
                    <w14:schemeClr w14:val="tx1"/>
                  </w14:solidFill>
                </w14:textFill>
              </w:rPr>
              <w:t>测</w:t>
            </w:r>
            <w:r>
              <w:rPr>
                <w:rFonts w:hint="eastAsia" w:ascii="宋体" w:hAnsi="宋体" w:eastAsia="宋体" w:cs="宋体"/>
                <w:color w:val="000000" w:themeColor="text1"/>
                <w:sz w:val="24"/>
                <w:szCs w:val="24"/>
                <w:lang w:eastAsia="zh-CN"/>
                <w14:textFill>
                  <w14:solidFill>
                    <w14:schemeClr w14:val="tx1"/>
                  </w14:solidFill>
                </w14:textFill>
              </w:rPr>
              <w:t>试值：（</w:t>
            </w:r>
            <w:r>
              <w:rPr>
                <w:rFonts w:hint="eastAsia" w:ascii="宋体" w:hAnsi="宋体" w:eastAsia="宋体" w:cs="宋体"/>
                <w:color w:val="000000" w:themeColor="text1"/>
                <w:sz w:val="24"/>
                <w:szCs w:val="24"/>
                <w:lang w:val="en-US" w:eastAsia="zh-CN"/>
                <w14:textFill>
                  <w14:solidFill>
                    <w14:schemeClr w14:val="tx1"/>
                  </w14:solidFill>
                </w14:textFill>
              </w:rPr>
              <w:t>52700</w:t>
            </w:r>
            <w:r>
              <w:rPr>
                <w:rFonts w:hint="eastAsia" w:ascii="宋体" w:hAnsi="宋体" w:eastAsia="宋体" w:cs="宋体"/>
                <w:color w:val="000000" w:themeColor="text1"/>
                <w:kern w:val="0"/>
                <w:sz w:val="24"/>
                <w:szCs w:val="24"/>
                <w:lang w:val="en-US" w:eastAsia="zh-CN"/>
                <w14:textFill>
                  <w14:solidFill>
                    <w14:schemeClr w14:val="tx1"/>
                  </w14:solidFill>
                </w14:textFill>
              </w:rPr>
              <w:t>～77600）mPa.</w:t>
            </w:r>
            <w:r>
              <w:rPr>
                <w:rFonts w:hint="eastAsia" w:ascii="宋体" w:hAnsi="宋体" w:eastAsia="宋体" w:cs="宋体"/>
                <w:color w:val="000000" w:themeColor="text1"/>
                <w:kern w:val="0"/>
                <w:sz w:val="24"/>
                <w:szCs w:val="24"/>
                <w:lang w:eastAsia="zh-CN"/>
                <w14:textFill>
                  <w14:solidFill>
                    <w14:schemeClr w14:val="tx1"/>
                  </w14:solidFill>
                </w14:textFill>
              </w:rPr>
              <w:t>S，</w:t>
            </w:r>
            <w:r>
              <w:rPr>
                <w:rFonts w:hint="eastAsia" w:ascii="宋体" w:hAnsi="宋体" w:eastAsia="宋体" w:cs="宋体"/>
                <w:color w:val="000000" w:themeColor="text1"/>
                <w:sz w:val="24"/>
                <w:szCs w:val="24"/>
                <w:lang w:eastAsia="zh-CN"/>
                <w14:textFill>
                  <w14:solidFill>
                    <w14:schemeClr w14:val="tx1"/>
                  </w14:solidFill>
                </w14:textFill>
              </w:rPr>
              <w:t>固体含量</w:t>
            </w:r>
            <w:r>
              <w:rPr>
                <w:rFonts w:hint="eastAsia" w:ascii="宋体" w:hAnsi="宋体" w:eastAsia="宋体" w:cs="宋体"/>
                <w:color w:val="000000" w:themeColor="text1"/>
                <w:sz w:val="24"/>
                <w:szCs w:val="24"/>
                <w:lang w:val="en-US" w:eastAsia="zh-CN"/>
                <w14:textFill>
                  <w14:solidFill>
                    <w14:schemeClr w14:val="tx1"/>
                  </w14:solidFill>
                </w14:textFill>
              </w:rPr>
              <w:t>测</w:t>
            </w:r>
            <w:r>
              <w:rPr>
                <w:rFonts w:hint="eastAsia" w:ascii="宋体" w:hAnsi="宋体" w:eastAsia="宋体" w:cs="宋体"/>
                <w:color w:val="000000" w:themeColor="text1"/>
                <w:sz w:val="24"/>
                <w:szCs w:val="24"/>
                <w:lang w:eastAsia="zh-CN"/>
                <w14:textFill>
                  <w14:solidFill>
                    <w14:schemeClr w14:val="tx1"/>
                  </w14:solidFill>
                </w14:textFill>
              </w:rPr>
              <w:t>试值：（</w:t>
            </w:r>
            <w:r>
              <w:rPr>
                <w:rFonts w:hint="eastAsia" w:ascii="宋体" w:hAnsi="宋体" w:eastAsia="宋体" w:cs="宋体"/>
                <w:color w:val="000000" w:themeColor="text1"/>
                <w:kern w:val="0"/>
                <w:sz w:val="24"/>
                <w:szCs w:val="24"/>
                <w:lang w:val="en-US" w:eastAsia="zh-CN"/>
                <w14:textFill>
                  <w14:solidFill>
                    <w14:schemeClr w14:val="tx1"/>
                  </w14:solidFill>
                </w14:textFill>
              </w:rPr>
              <w:t>25.76</w:t>
            </w:r>
            <w:r>
              <w:rPr>
                <w:rFonts w:hint="eastAsia" w:ascii="宋体" w:hAnsi="宋体" w:eastAsia="宋体" w:cs="宋体"/>
                <w:color w:val="000000" w:themeColor="text1"/>
                <w:sz w:val="24"/>
                <w:szCs w:val="24"/>
                <w:lang w:val="en-US" w:eastAsia="zh-CN"/>
                <w14:textFill>
                  <w14:solidFill>
                    <w14:schemeClr w14:val="tx1"/>
                  </w14:solidFill>
                </w14:textFill>
              </w:rPr>
              <w:t>～36.82） %</w:t>
            </w:r>
            <w:r>
              <w:rPr>
                <w:rFonts w:hint="eastAsia" w:ascii="宋体" w:hAnsi="宋体" w:eastAsia="宋体" w:cs="宋体"/>
                <w:color w:val="000000" w:themeColor="text1"/>
                <w:kern w:val="0"/>
                <w:sz w:val="24"/>
                <w:szCs w:val="24"/>
                <w14:textFill>
                  <w14:solidFill>
                    <w14:schemeClr w14:val="tx1"/>
                  </w14:solidFill>
                </w14:textFill>
              </w:rPr>
              <w:t>。</w:t>
            </w:r>
          </w:p>
        </w:tc>
      </w:tr>
    </w:tbl>
    <w:p>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2.2.5  断裂强度和断裂伸长率</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断裂强度和断裂伸长率是指沿试样纵向主轴恒速拉伸直到断裂，在这一过程中测量到的试样单位面积承受的负荷及其断裂时的伸长，这两项是评判合成革原料力学性能的最基本指标之一，很大程度决定了合成革在实际使用或加工过程中能承受外力破坏的强度和承受必要变形的能力，无论是生产厂家还是客户都会予以高度关注。QB/T 4197-2011 《合成革用聚氨酯树脂》标准对断裂强度、伸长率的测试是树脂薄膜试样，由于再生浆料的原料是添加了大量的各种助剂的废弃料，以再生浆料制成的薄膜与纯树脂制成的薄膜相比，指标值肯定是纯树脂薄膜强，因而二者指标值没有可比性。对生产厂家与用户来说，只要贝斯的物理性能符合就行；故最初我们的思路是只要再生浆料与合成革厂家使用聚氨酯树脂配制的工作浆料性能相近或略有超过就行；在测试过程中，将用聚氨酯树脂配制的浆料与用再生浆料配制的浆料进行了对比检测,将两种浆料分别均匀辊涂在离型纸上，放入140℃的烘箱中烘干，结果两者的薄膜强度均非常的低，无法放入拉力测试机进行检测。后来，我们考虑将配有一定比例的聚氨酯树脂、再生浆料的浆料与纯聚氨酯树脂对比，经对三家合成革厂六个聚氨酯原料、浙江丰望公司六个浆料（一定比例的聚氨酯树脂与再生浆料混合）做样品进行测试后（详见表2），规定了指标值。</w:t>
      </w:r>
    </w:p>
    <w:p>
      <w:pPr>
        <w:keepNext w:val="0"/>
        <w:keepLines w:val="0"/>
        <w:pageBreakBefore w:val="0"/>
        <w:kinsoku/>
        <w:wordWrap/>
        <w:overflowPunct/>
        <w:topLinePunct w:val="0"/>
        <w:autoSpaceDE/>
        <w:autoSpaceDN/>
        <w:bidi w:val="0"/>
        <w:adjustRightInd/>
        <w:snapToGrid/>
        <w:spacing w:line="440" w:lineRule="exact"/>
        <w:ind w:left="0" w:leftChars="0" w:firstLine="361" w:firstLineChars="15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表2   模量、拉伸负荷、断裂伸长率指标</w:t>
      </w:r>
    </w:p>
    <w:tbl>
      <w:tblPr>
        <w:tblStyle w:val="7"/>
        <w:tblW w:w="9219" w:type="dxa"/>
        <w:jc w:val="center"/>
        <w:tblLayout w:type="fixed"/>
        <w:tblCellMar>
          <w:top w:w="0" w:type="dxa"/>
          <w:left w:w="108" w:type="dxa"/>
          <w:bottom w:w="0" w:type="dxa"/>
          <w:right w:w="108" w:type="dxa"/>
        </w:tblCellMar>
      </w:tblPr>
      <w:tblGrid>
        <w:gridCol w:w="2395"/>
        <w:gridCol w:w="3090"/>
        <w:gridCol w:w="3734"/>
      </w:tblGrid>
      <w:tr>
        <w:tblPrEx>
          <w:tblCellMar>
            <w:top w:w="0" w:type="dxa"/>
            <w:left w:w="108" w:type="dxa"/>
            <w:bottom w:w="0" w:type="dxa"/>
            <w:right w:w="108" w:type="dxa"/>
          </w:tblCellMar>
        </w:tblPrEx>
        <w:trPr>
          <w:trHeight w:val="338" w:hRule="atLeast"/>
          <w:jc w:val="center"/>
        </w:trPr>
        <w:tc>
          <w:tcPr>
            <w:tcW w:w="23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项目</w:t>
            </w:r>
          </w:p>
        </w:tc>
        <w:tc>
          <w:tcPr>
            <w:tcW w:w="30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lang w:eastAsia="zh-CN"/>
              </w:rPr>
              <w:t>指标</w:t>
            </w:r>
          </w:p>
        </w:tc>
        <w:tc>
          <w:tcPr>
            <w:tcW w:w="37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测试方法</w:t>
            </w:r>
          </w:p>
        </w:tc>
      </w:tr>
      <w:tr>
        <w:tblPrEx>
          <w:tblCellMar>
            <w:top w:w="0" w:type="dxa"/>
            <w:left w:w="108" w:type="dxa"/>
            <w:bottom w:w="0" w:type="dxa"/>
            <w:right w:w="108" w:type="dxa"/>
          </w:tblCellMar>
        </w:tblPrEx>
        <w:trPr>
          <w:trHeight w:val="639" w:hRule="atLeast"/>
          <w:jc w:val="center"/>
        </w:trPr>
        <w:tc>
          <w:tcPr>
            <w:tcW w:w="239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100%模量(MPa)</w:t>
            </w:r>
          </w:p>
        </w:tc>
        <w:tc>
          <w:tcPr>
            <w:tcW w:w="30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4～6</w:t>
            </w:r>
          </w:p>
        </w:tc>
        <w:tc>
          <w:tcPr>
            <w:tcW w:w="3734"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按QB/T 2710-2018</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《皮革 物理和机械试验 抗张强度和伸长率的测定》中6.1和6.2的规定进行拉伸强度试验，按6.4的规定进行断裂伸长率的测定</w:t>
            </w:r>
          </w:p>
        </w:tc>
      </w:tr>
      <w:tr>
        <w:tblPrEx>
          <w:tblCellMar>
            <w:top w:w="0" w:type="dxa"/>
            <w:left w:w="108" w:type="dxa"/>
            <w:bottom w:w="0" w:type="dxa"/>
            <w:right w:w="108" w:type="dxa"/>
          </w:tblCellMar>
        </w:tblPrEx>
        <w:trPr>
          <w:trHeight w:val="683" w:hRule="atLeast"/>
          <w:jc w:val="center"/>
        </w:trPr>
        <w:tc>
          <w:tcPr>
            <w:tcW w:w="239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拉伸负荷</w:t>
            </w:r>
            <w:r>
              <w:rPr>
                <w:rFonts w:hint="eastAsia" w:ascii="宋体" w:hAnsi="宋体" w:eastAsia="宋体" w:cs="宋体"/>
                <w:color w:val="auto"/>
                <w:kern w:val="0"/>
                <w:sz w:val="24"/>
                <w:szCs w:val="24"/>
                <w:lang w:val="en-US" w:eastAsia="zh-CN"/>
              </w:rPr>
              <w:t>(MPa)</w:t>
            </w:r>
          </w:p>
        </w:tc>
        <w:tc>
          <w:tcPr>
            <w:tcW w:w="30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rPr>
              <w:t>≥</w:t>
            </w:r>
            <w:r>
              <w:rPr>
                <w:rFonts w:hint="eastAsia" w:ascii="宋体" w:hAnsi="宋体" w:eastAsia="宋体" w:cs="宋体"/>
                <w:color w:val="auto"/>
                <w:kern w:val="0"/>
                <w:sz w:val="24"/>
                <w:szCs w:val="24"/>
                <w:lang w:val="en-US" w:eastAsia="zh-CN"/>
              </w:rPr>
              <w:t>20</w:t>
            </w:r>
          </w:p>
        </w:tc>
        <w:tc>
          <w:tcPr>
            <w:tcW w:w="37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683" w:hRule="atLeast"/>
          <w:jc w:val="center"/>
        </w:trPr>
        <w:tc>
          <w:tcPr>
            <w:tcW w:w="239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断裂伸长率（</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eastAsia="zh-CN"/>
              </w:rPr>
              <w:t>）</w:t>
            </w:r>
          </w:p>
        </w:tc>
        <w:tc>
          <w:tcPr>
            <w:tcW w:w="30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≥300</w:t>
            </w:r>
          </w:p>
        </w:tc>
        <w:tc>
          <w:tcPr>
            <w:tcW w:w="373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255" w:hRule="atLeast"/>
          <w:jc w:val="center"/>
        </w:trPr>
        <w:tc>
          <w:tcPr>
            <w:tcW w:w="92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注：纯聚氨酯测试数据：100%模量：（4.7～4.9）MPa，拉伸负荷（35.5～57.9）MPa，断裂伸长率：（527～550）%</w:t>
            </w:r>
          </w:p>
        </w:tc>
      </w:tr>
    </w:tbl>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为了验证用再生浆料制成的合成革物理性能，我们还进行了剥离强度测试，详见表3。从测试数据看，以再生浆料与一定比例的聚氨酯配制成工作浆料制成的合成革与聚氨酯合成革中箱包用革标准值较为接近，说明再生浆料可用于制革。</w:t>
      </w:r>
    </w:p>
    <w:p>
      <w:pPr>
        <w:keepNext w:val="0"/>
        <w:keepLines w:val="0"/>
        <w:pageBreakBefore w:val="0"/>
        <w:kinsoku/>
        <w:wordWrap/>
        <w:overflowPunct/>
        <w:topLinePunct w:val="0"/>
        <w:autoSpaceDE/>
        <w:autoSpaceDN/>
        <w:bidi w:val="0"/>
        <w:adjustRightInd/>
        <w:snapToGrid/>
        <w:spacing w:line="440" w:lineRule="exact"/>
        <w:ind w:left="0" w:leftChars="0" w:firstLine="361" w:firstLineChars="15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表3   剥离负荷测试数据</w:t>
      </w:r>
    </w:p>
    <w:tbl>
      <w:tblPr>
        <w:tblStyle w:val="7"/>
        <w:tblW w:w="9117" w:type="dxa"/>
        <w:jc w:val="center"/>
        <w:tblLayout w:type="fixed"/>
        <w:tblCellMar>
          <w:top w:w="0" w:type="dxa"/>
          <w:left w:w="108" w:type="dxa"/>
          <w:bottom w:w="0" w:type="dxa"/>
          <w:right w:w="108" w:type="dxa"/>
        </w:tblCellMar>
      </w:tblPr>
      <w:tblGrid>
        <w:gridCol w:w="2395"/>
        <w:gridCol w:w="1607"/>
        <w:gridCol w:w="1740"/>
        <w:gridCol w:w="3375"/>
      </w:tblGrid>
      <w:tr>
        <w:tblPrEx>
          <w:tblCellMar>
            <w:top w:w="0" w:type="dxa"/>
            <w:left w:w="108" w:type="dxa"/>
            <w:bottom w:w="0" w:type="dxa"/>
            <w:right w:w="108" w:type="dxa"/>
          </w:tblCellMar>
        </w:tblPrEx>
        <w:trPr>
          <w:trHeight w:val="338" w:hRule="atLeast"/>
          <w:jc w:val="center"/>
        </w:trPr>
        <w:tc>
          <w:tcPr>
            <w:tcW w:w="23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项目</w:t>
            </w:r>
          </w:p>
        </w:tc>
        <w:tc>
          <w:tcPr>
            <w:tcW w:w="1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测试值</w:t>
            </w:r>
          </w:p>
        </w:tc>
        <w:tc>
          <w:tcPr>
            <w:tcW w:w="174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箱包用革标准</w:t>
            </w:r>
          </w:p>
        </w:tc>
        <w:tc>
          <w:tcPr>
            <w:tcW w:w="337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测试方法</w:t>
            </w:r>
          </w:p>
        </w:tc>
      </w:tr>
      <w:tr>
        <w:tblPrEx>
          <w:tblCellMar>
            <w:top w:w="0" w:type="dxa"/>
            <w:left w:w="108" w:type="dxa"/>
            <w:bottom w:w="0" w:type="dxa"/>
            <w:right w:w="108" w:type="dxa"/>
          </w:tblCellMar>
        </w:tblPrEx>
        <w:trPr>
          <w:trHeight w:val="639" w:hRule="atLeast"/>
          <w:jc w:val="center"/>
        </w:trPr>
        <w:tc>
          <w:tcPr>
            <w:tcW w:w="239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剥离负荷(Kg.f/3cm)</w:t>
            </w:r>
          </w:p>
        </w:tc>
        <w:tc>
          <w:tcPr>
            <w:tcW w:w="16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0.2～2.1</w:t>
            </w:r>
          </w:p>
        </w:tc>
        <w:tc>
          <w:tcPr>
            <w:tcW w:w="174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29N/25mm</w:t>
            </w:r>
          </w:p>
        </w:tc>
        <w:tc>
          <w:tcPr>
            <w:tcW w:w="3375" w:type="dxa"/>
            <w:tcBorders>
              <w:top w:val="nil"/>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w:t>
            </w:r>
            <w:r>
              <w:rPr>
                <w:rFonts w:hint="eastAsia" w:ascii="宋体" w:hAnsi="宋体" w:eastAsia="宋体" w:cs="宋体"/>
                <w:color w:val="auto"/>
                <w:sz w:val="24"/>
                <w:szCs w:val="24"/>
                <w:lang w:val="en-US" w:eastAsia="zh-CN"/>
              </w:rPr>
              <w:t>G</w:t>
            </w:r>
            <w:r>
              <w:rPr>
                <w:rFonts w:hint="eastAsia" w:ascii="宋体" w:hAnsi="宋体" w:eastAsia="宋体" w:cs="宋体"/>
                <w:color w:val="auto"/>
                <w:sz w:val="24"/>
                <w:szCs w:val="24"/>
              </w:rPr>
              <w:t xml:space="preserve">B/T 8949-2008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聚氨酯干法人造革》中规定</w:t>
            </w:r>
            <w:r>
              <w:rPr>
                <w:rFonts w:hint="eastAsia" w:ascii="宋体" w:hAnsi="宋体" w:eastAsia="宋体" w:cs="宋体"/>
                <w:color w:val="auto"/>
                <w:sz w:val="24"/>
                <w:szCs w:val="24"/>
                <w:lang w:val="en-US" w:eastAsia="zh-CN"/>
              </w:rPr>
              <w:t>的剥离强度试验方法</w:t>
            </w:r>
            <w:r>
              <w:rPr>
                <w:rFonts w:hint="eastAsia" w:ascii="宋体" w:hAnsi="宋体" w:eastAsia="宋体" w:cs="宋体"/>
                <w:color w:val="auto"/>
                <w:sz w:val="24"/>
                <w:szCs w:val="24"/>
              </w:rPr>
              <w:t>进行</w:t>
            </w:r>
            <w:r>
              <w:rPr>
                <w:rFonts w:hint="eastAsia" w:ascii="宋体" w:hAnsi="宋体" w:eastAsia="宋体" w:cs="宋体"/>
                <w:color w:val="auto"/>
                <w:sz w:val="24"/>
                <w:szCs w:val="24"/>
                <w:lang w:val="en-US" w:eastAsia="zh-CN"/>
              </w:rPr>
              <w:t>剥离</w:t>
            </w:r>
            <w:r>
              <w:rPr>
                <w:rFonts w:hint="eastAsia" w:ascii="宋体" w:hAnsi="宋体" w:eastAsia="宋体" w:cs="宋体"/>
                <w:color w:val="auto"/>
                <w:sz w:val="24"/>
                <w:szCs w:val="24"/>
              </w:rPr>
              <w:t>试验</w:t>
            </w:r>
          </w:p>
        </w:tc>
      </w:tr>
    </w:tbl>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2.2.6 有害物质限量指标</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成革广泛用于制鞋、服装、箱包、汽车内饰、家具等，用户尤其是欧美等发达国家，对合成革的有害物质均有严格要求。而合成革中的有害物质主要来自于原料及各种助剂。再生浆料作为循环经济中的合成革再生原料，它又是对合成革生产的废弃料处理而成，自然必须控制有害物质限量。</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再生浆料的有害物质限量指标，除邻苯二甲酸酯类指标外采用与QB/T 4197-2011《合成革用聚氨酯树脂》完全相同的项目、指标。</w:t>
      </w:r>
    </w:p>
    <w:p>
      <w:pPr>
        <w:keepNext w:val="0"/>
        <w:keepLines w:val="0"/>
        <w:pageBreakBefore w:val="0"/>
        <w:numPr>
          <w:ilvl w:val="0"/>
          <w:numId w:val="0"/>
        </w:numPr>
        <w:tabs>
          <w:tab w:val="left" w:pos="5211"/>
        </w:tabs>
        <w:kinsoku/>
        <w:wordWrap/>
        <w:overflowPunct/>
        <w:topLinePunct w:val="0"/>
        <w:autoSpaceDE/>
        <w:autoSpaceDN/>
        <w:bidi w:val="0"/>
        <w:adjustRightInd/>
        <w:snapToGrid/>
        <w:spacing w:line="440" w:lineRule="exact"/>
        <w:ind w:left="0" w:leftChars="0" w:firstLine="422" w:firstLineChars="1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2.3  解决的主要问题</w:t>
      </w:r>
    </w:p>
    <w:p>
      <w:pPr>
        <w:keepNext w:val="0"/>
        <w:keepLines w:val="0"/>
        <w:pageBreakBefore w:val="0"/>
        <w:numPr>
          <w:ilvl w:val="0"/>
          <w:numId w:val="0"/>
        </w:numPr>
        <w:tabs>
          <w:tab w:val="left" w:pos="5211"/>
        </w:tabs>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实践已经证明，浙江丰望公司生产的再生浆料用于合成革产品制造，其质量完全达到聚氨酯树脂新料配制的浆料所生产的产品质量要求。废弃浆料资源化利用后，按全国约十万吨/年的量计算（丽水开发区企业约一万吨/年），可节约企业生产成本5亿元以上，同时合理利用了资源、保护了环境，真正达到了节约资源、降低成本、保护环境、绿色发展的目的。本标准的制定，填补了国内合成革行业标准在这个产品上的空白；为加强行业管理，建立有效的产品质量控制及监督抽查机制，更好地为企业的产品质量把关，促进合成革行业技术进步，积极应对国际化竞争，起到重要的保障作用；在有害危废资源化利用、建设循环经济，绿色发展保护环境，节约生产成本等方面有显著的社会效益，实现了真正意义上的标准化管理，具有深刻的现实意义和长远的战略意义。</w:t>
      </w:r>
    </w:p>
    <w:p>
      <w:pPr>
        <w:keepNext w:val="0"/>
        <w:keepLines w:val="0"/>
        <w:pageBreakBefore w:val="0"/>
        <w:numPr>
          <w:ilvl w:val="0"/>
          <w:numId w:val="0"/>
        </w:numPr>
        <w:tabs>
          <w:tab w:val="left" w:pos="5211"/>
        </w:tabs>
        <w:kinsoku/>
        <w:wordWrap/>
        <w:overflowPunct/>
        <w:topLinePunct w:val="0"/>
        <w:autoSpaceDE/>
        <w:autoSpaceDN/>
        <w:bidi w:val="0"/>
        <w:adjustRightInd/>
        <w:snapToGrid/>
        <w:spacing w:line="440" w:lineRule="exact"/>
        <w:ind w:left="0" w:leftChars="0" w:firstLine="422" w:firstLineChars="1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  主要试验（或验证）情况分析</w:t>
      </w:r>
      <w:r>
        <w:rPr>
          <w:rFonts w:hint="eastAsia" w:ascii="宋体" w:hAnsi="宋体" w:eastAsia="宋体" w:cs="宋体"/>
          <w:b/>
          <w:bCs/>
          <w:sz w:val="24"/>
          <w:szCs w:val="24"/>
          <w:lang w:val="en-US" w:eastAsia="zh-CN"/>
        </w:rPr>
        <w:tab/>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标准起草小组随机抽取和收集了国内3家合成革生产企业共6批次，抽取丰望公司生产的合成革用再生聚氨酯浆料样品共计7批次，</w:t>
      </w:r>
      <w:r>
        <w:rPr>
          <w:rFonts w:hint="eastAsia" w:ascii="宋体" w:hAnsi="宋体" w:eastAsia="宋体" w:cs="宋体"/>
          <w:sz w:val="24"/>
          <w:szCs w:val="24"/>
          <w:lang w:val="en-US" w:eastAsia="zh-CN"/>
        </w:rPr>
        <w:t>抽样单位和产品基本涵盖行业具有代表性的企业，浙江丰望环保有限公司对提供的抽检样品按要求进行了试验验证，并汇总编制了试验验证数据报告。通过验证试验及对数据的分析整理，本标准制定的指标内容合理、可行，具有较强的适用性，检测及试验结果如下：</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外观</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起草组收集了样品7件，与外观要求符合率100%。</w:t>
      </w:r>
    </w:p>
    <w:p>
      <w:pPr>
        <w:keepNext w:val="0"/>
        <w:keepLines w:val="0"/>
        <w:pageBreakBefore w:val="0"/>
        <w:kinsoku/>
        <w:wordWrap/>
        <w:overflowPunct/>
        <w:topLinePunct w:val="0"/>
        <w:autoSpaceDE/>
        <w:autoSpaceDN/>
        <w:bidi w:val="0"/>
        <w:adjustRightInd/>
        <w:snapToGrid/>
        <w:spacing w:before="156" w:beforeLines="50" w:after="156" w:afterLines="50"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黏度与固体含量</w:t>
      </w:r>
    </w:p>
    <w:p>
      <w:pPr>
        <w:keepNext w:val="0"/>
        <w:keepLines w:val="0"/>
        <w:pageBreakBefore w:val="0"/>
        <w:kinsoku/>
        <w:wordWrap/>
        <w:overflowPunct/>
        <w:topLinePunct w:val="0"/>
        <w:autoSpaceDE/>
        <w:autoSpaceDN/>
        <w:bidi w:val="0"/>
        <w:adjustRightInd/>
        <w:snapToGrid/>
        <w:spacing w:before="156" w:beforeLines="50" w:after="156" w:afterLines="50" w:line="44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本标准按GB/T 7193-2008《不饱和聚酯树脂试验方法》中4.1、4.3的规定进行试验。对抽取的样品进行验证试验：黏度与标准指标对比符合率100%（共测试7个样品14个数据，14个数据全符合标准）；固体含量与标准指标对比符合率85.7%（共测试7个样品14个数据，有12个数据符合标准），详见表4。</w:t>
      </w:r>
    </w:p>
    <w:p>
      <w:pPr>
        <w:keepNext w:val="0"/>
        <w:keepLines w:val="0"/>
        <w:pageBreakBefore w:val="0"/>
        <w:kinsoku/>
        <w:wordWrap/>
        <w:overflowPunct/>
        <w:topLinePunct w:val="0"/>
        <w:autoSpaceDE/>
        <w:autoSpaceDN/>
        <w:bidi w:val="0"/>
        <w:adjustRightInd/>
        <w:snapToGrid/>
        <w:spacing w:before="156" w:beforeLines="50" w:after="156" w:afterLines="50" w:line="440" w:lineRule="exact"/>
        <w:ind w:firstLine="1928" w:firstLineChars="8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表4  黏度与固体含量验证试验结果</w:t>
      </w:r>
    </w:p>
    <w:tbl>
      <w:tblPr>
        <w:tblStyle w:val="7"/>
        <w:tblW w:w="9375"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2"/>
        <w:gridCol w:w="1683"/>
        <w:gridCol w:w="1683"/>
        <w:gridCol w:w="1683"/>
        <w:gridCol w:w="1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642"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     目</w:t>
            </w:r>
          </w:p>
        </w:tc>
        <w:tc>
          <w:tcPr>
            <w:tcW w:w="1683"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最大值</w:t>
            </w:r>
          </w:p>
        </w:tc>
        <w:tc>
          <w:tcPr>
            <w:tcW w:w="168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最小值</w:t>
            </w:r>
          </w:p>
        </w:tc>
        <w:tc>
          <w:tcPr>
            <w:tcW w:w="168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平均值</w:t>
            </w:r>
          </w:p>
        </w:tc>
        <w:tc>
          <w:tcPr>
            <w:tcW w:w="168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标准值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2"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黏度</w:t>
            </w:r>
            <w:r>
              <w:rPr>
                <w:rFonts w:hint="eastAsia" w:ascii="宋体" w:hAnsi="宋体" w:eastAsia="宋体" w:cs="宋体"/>
                <w:color w:val="auto"/>
                <w:sz w:val="24"/>
                <w:szCs w:val="24"/>
              </w:rPr>
              <w:t>(</w:t>
            </w:r>
            <w:r>
              <w:rPr>
                <w:rFonts w:hint="eastAsia" w:ascii="宋体" w:hAnsi="宋体" w:eastAsia="宋体" w:cs="宋体"/>
                <w:color w:val="auto"/>
                <w:kern w:val="0"/>
                <w:sz w:val="24"/>
                <w:szCs w:val="24"/>
                <w:lang w:val="en-US" w:eastAsia="zh-CN"/>
              </w:rPr>
              <w:t>pa.s</w:t>
            </w:r>
            <w:r>
              <w:rPr>
                <w:rFonts w:hint="eastAsia" w:ascii="宋体" w:hAnsi="宋体" w:eastAsia="宋体" w:cs="宋体"/>
                <w:color w:val="auto"/>
                <w:sz w:val="24"/>
                <w:szCs w:val="24"/>
              </w:rPr>
              <w:t>)</w:t>
            </w:r>
          </w:p>
        </w:tc>
        <w:tc>
          <w:tcPr>
            <w:tcW w:w="1683"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69.40</w:t>
            </w:r>
          </w:p>
        </w:tc>
        <w:tc>
          <w:tcPr>
            <w:tcW w:w="168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61.50</w:t>
            </w:r>
          </w:p>
        </w:tc>
        <w:tc>
          <w:tcPr>
            <w:tcW w:w="168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64.19</w:t>
            </w:r>
          </w:p>
        </w:tc>
        <w:tc>
          <w:tcPr>
            <w:tcW w:w="1684"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2"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固体含量</w:t>
            </w:r>
            <w:r>
              <w:rPr>
                <w:rFonts w:hint="eastAsia" w:ascii="宋体" w:hAnsi="宋体" w:eastAsia="宋体" w:cs="宋体"/>
                <w:color w:val="auto"/>
                <w:sz w:val="24"/>
                <w:szCs w:val="24"/>
              </w:rPr>
              <w:t>(%)</w:t>
            </w:r>
          </w:p>
        </w:tc>
        <w:tc>
          <w:tcPr>
            <w:tcW w:w="1683"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36.78</w:t>
            </w:r>
          </w:p>
        </w:tc>
        <w:tc>
          <w:tcPr>
            <w:tcW w:w="168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29.96</w:t>
            </w:r>
          </w:p>
        </w:tc>
        <w:tc>
          <w:tcPr>
            <w:tcW w:w="168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32.90</w:t>
            </w:r>
          </w:p>
        </w:tc>
        <w:tc>
          <w:tcPr>
            <w:tcW w:w="1684"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25～35</w:t>
            </w:r>
          </w:p>
        </w:tc>
      </w:tr>
    </w:tbl>
    <w:p>
      <w:pPr>
        <w:keepNext w:val="0"/>
        <w:keepLines w:val="0"/>
        <w:pageBreakBefore w:val="0"/>
        <w:kinsoku/>
        <w:wordWrap/>
        <w:overflowPunct/>
        <w:topLinePunct w:val="0"/>
        <w:autoSpaceDE/>
        <w:autoSpaceDN/>
        <w:bidi w:val="0"/>
        <w:adjustRightInd/>
        <w:snapToGrid/>
        <w:spacing w:before="156" w:beforeLines="50" w:after="156" w:afterLines="50" w:line="440" w:lineRule="exact"/>
        <w:textAlignment w:val="auto"/>
        <w:rPr>
          <w:rFonts w:hint="eastAsia" w:ascii="宋体" w:hAnsi="宋体" w:eastAsia="宋体" w:cs="宋体"/>
          <w:bCs/>
          <w:color w:val="auto"/>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lang w:val="en-US" w:eastAsia="zh-CN"/>
        </w:rPr>
        <w:t>模量、拉伸负荷</w:t>
      </w:r>
      <w:r>
        <w:rPr>
          <w:rFonts w:hint="eastAsia" w:ascii="宋体" w:hAnsi="宋体" w:eastAsia="宋体" w:cs="宋体"/>
          <w:bCs/>
          <w:color w:val="auto"/>
          <w:sz w:val="24"/>
          <w:szCs w:val="24"/>
        </w:rPr>
        <w:t>和断裂伸长率</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本标准按QB/T 2710-2018中6.1和6.2的规定进行拉伸负荷试验、按6.4的规定进行断裂伸长率的测定。对抽取的样品进行验证试验：模量与标准指标对比符合率92.8%（共测试7个样品14个数据，13个数据符合标准）；拉伸负荷与标准指标对比符合率85.7%（共测试7个样品14个数据，有12个数据符合标准）；断裂伸长率与标准指标对比符合率92.8%（共测试7个样品14个数据，13个数据符合标准），详见表5。</w:t>
      </w:r>
    </w:p>
    <w:p>
      <w:pPr>
        <w:keepNext w:val="0"/>
        <w:keepLines w:val="0"/>
        <w:pageBreakBefore w:val="0"/>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sz w:val="24"/>
          <w:szCs w:val="24"/>
          <w:lang w:val="en-US" w:eastAsia="zh-CN"/>
        </w:rPr>
        <w:t>表5  模量、拉伸负荷与断裂伸长率验证试验结果</w:t>
      </w:r>
    </w:p>
    <w:tbl>
      <w:tblPr>
        <w:tblStyle w:val="7"/>
        <w:tblW w:w="9375"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2"/>
        <w:gridCol w:w="1683"/>
        <w:gridCol w:w="1683"/>
        <w:gridCol w:w="1683"/>
        <w:gridCol w:w="1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642"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     目</w:t>
            </w:r>
          </w:p>
        </w:tc>
        <w:tc>
          <w:tcPr>
            <w:tcW w:w="1683"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最大值</w:t>
            </w:r>
          </w:p>
        </w:tc>
        <w:tc>
          <w:tcPr>
            <w:tcW w:w="168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最小值</w:t>
            </w:r>
          </w:p>
        </w:tc>
        <w:tc>
          <w:tcPr>
            <w:tcW w:w="168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平均值</w:t>
            </w:r>
          </w:p>
        </w:tc>
        <w:tc>
          <w:tcPr>
            <w:tcW w:w="168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标准值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2"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100%模量(</w:t>
            </w:r>
            <w:r>
              <w:rPr>
                <w:rFonts w:hint="eastAsia" w:ascii="宋体" w:hAnsi="宋体" w:eastAsia="宋体" w:cs="宋体"/>
                <w:color w:val="auto"/>
                <w:kern w:val="0"/>
                <w:sz w:val="24"/>
                <w:szCs w:val="24"/>
                <w:lang w:val="en-US" w:eastAsia="zh-CN"/>
              </w:rPr>
              <w:t>MPa</w:t>
            </w:r>
            <w:r>
              <w:rPr>
                <w:rFonts w:hint="eastAsia" w:ascii="宋体" w:hAnsi="宋体" w:eastAsia="宋体" w:cs="宋体"/>
                <w:color w:val="auto"/>
                <w:sz w:val="24"/>
                <w:szCs w:val="24"/>
                <w:lang w:val="en-US" w:eastAsia="zh-CN"/>
              </w:rPr>
              <w:t>)</w:t>
            </w:r>
          </w:p>
        </w:tc>
        <w:tc>
          <w:tcPr>
            <w:tcW w:w="1683"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5.8</w:t>
            </w:r>
          </w:p>
        </w:tc>
        <w:tc>
          <w:tcPr>
            <w:tcW w:w="168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3.9</w:t>
            </w:r>
          </w:p>
        </w:tc>
        <w:tc>
          <w:tcPr>
            <w:tcW w:w="168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4.7</w:t>
            </w:r>
          </w:p>
        </w:tc>
        <w:tc>
          <w:tcPr>
            <w:tcW w:w="1684"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2"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Cs/>
                <w:color w:val="auto"/>
                <w:sz w:val="24"/>
                <w:szCs w:val="24"/>
                <w:lang w:val="en-US" w:eastAsia="zh-CN"/>
              </w:rPr>
              <w:t>拉伸负荷(</w:t>
            </w:r>
            <w:r>
              <w:rPr>
                <w:rFonts w:hint="eastAsia" w:ascii="宋体" w:hAnsi="宋体" w:eastAsia="宋体" w:cs="宋体"/>
                <w:color w:val="auto"/>
                <w:kern w:val="0"/>
                <w:sz w:val="24"/>
                <w:szCs w:val="24"/>
                <w:lang w:val="en-US" w:eastAsia="zh-CN"/>
              </w:rPr>
              <w:t>MPa</w:t>
            </w:r>
            <w:r>
              <w:rPr>
                <w:rFonts w:hint="eastAsia" w:ascii="宋体" w:hAnsi="宋体" w:eastAsia="宋体" w:cs="宋体"/>
                <w:bCs/>
                <w:color w:val="auto"/>
                <w:sz w:val="24"/>
                <w:szCs w:val="24"/>
                <w:lang w:val="en-US" w:eastAsia="zh-CN"/>
              </w:rPr>
              <w:t>)</w:t>
            </w:r>
          </w:p>
        </w:tc>
        <w:tc>
          <w:tcPr>
            <w:tcW w:w="1683"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31.4</w:t>
            </w:r>
          </w:p>
        </w:tc>
        <w:tc>
          <w:tcPr>
            <w:tcW w:w="168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19.8</w:t>
            </w:r>
          </w:p>
        </w:tc>
        <w:tc>
          <w:tcPr>
            <w:tcW w:w="168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25.3</w:t>
            </w:r>
          </w:p>
        </w:tc>
        <w:tc>
          <w:tcPr>
            <w:tcW w:w="168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2"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断裂伸长率</w:t>
            </w:r>
            <w:r>
              <w:rPr>
                <w:rFonts w:hint="eastAsia" w:ascii="宋体" w:hAnsi="宋体" w:eastAsia="宋体" w:cs="宋体"/>
                <w:color w:val="auto"/>
                <w:sz w:val="24"/>
                <w:szCs w:val="24"/>
                <w:lang w:val="en-US" w:eastAsia="zh-CN"/>
              </w:rPr>
              <w:t>%</w:t>
            </w:r>
          </w:p>
        </w:tc>
        <w:tc>
          <w:tcPr>
            <w:tcW w:w="1683"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550</w:t>
            </w:r>
          </w:p>
        </w:tc>
        <w:tc>
          <w:tcPr>
            <w:tcW w:w="168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294</w:t>
            </w:r>
          </w:p>
        </w:tc>
        <w:tc>
          <w:tcPr>
            <w:tcW w:w="1683"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527.5</w:t>
            </w:r>
          </w:p>
        </w:tc>
        <w:tc>
          <w:tcPr>
            <w:tcW w:w="1684"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≥300</w:t>
            </w:r>
          </w:p>
        </w:tc>
      </w:tr>
    </w:tbl>
    <w:p>
      <w:pPr>
        <w:keepNext w:val="0"/>
        <w:keepLines w:val="0"/>
        <w:pageBreakBefore w:val="0"/>
        <w:numPr>
          <w:ilvl w:val="0"/>
          <w:numId w:val="0"/>
        </w:numPr>
        <w:tabs>
          <w:tab w:val="left" w:pos="744"/>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Cs/>
          <w:color w:val="auto"/>
          <w:sz w:val="24"/>
          <w:szCs w:val="24"/>
        </w:rPr>
      </w:pPr>
    </w:p>
    <w:p>
      <w:pPr>
        <w:keepNext w:val="0"/>
        <w:keepLines w:val="0"/>
        <w:pageBreakBefore w:val="0"/>
        <w:numPr>
          <w:ilvl w:val="0"/>
          <w:numId w:val="0"/>
        </w:numPr>
        <w:tabs>
          <w:tab w:val="left" w:pos="744"/>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lang w:val="en-US" w:eastAsia="zh-CN"/>
        </w:rPr>
        <w:t>轻组分含量</w:t>
      </w:r>
    </w:p>
    <w:p>
      <w:pPr>
        <w:keepNext w:val="0"/>
        <w:keepLines w:val="0"/>
        <w:pageBreakBefore w:val="0"/>
        <w:numPr>
          <w:ilvl w:val="0"/>
          <w:numId w:val="0"/>
        </w:numPr>
        <w:tabs>
          <w:tab w:val="left" w:pos="744"/>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按本标准中5.4的规定进行试验。对抽取的样品进行验证试验：复合溶剂轻组分含量与标准指标对比符合率100%（共测试7个样品14个数据，14个数据全符合标准），详见表6。</w:t>
      </w:r>
    </w:p>
    <w:p>
      <w:pPr>
        <w:keepNext w:val="0"/>
        <w:keepLines w:val="0"/>
        <w:pageBreakBefore w:val="0"/>
        <w:numPr>
          <w:ilvl w:val="0"/>
          <w:numId w:val="0"/>
        </w:numPr>
        <w:tabs>
          <w:tab w:val="left" w:pos="744"/>
        </w:tabs>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表6  轻组分含量验证试验结果</w:t>
      </w:r>
    </w:p>
    <w:tbl>
      <w:tblPr>
        <w:tblStyle w:val="7"/>
        <w:tblW w:w="9375"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2"/>
        <w:gridCol w:w="1683"/>
        <w:gridCol w:w="1683"/>
        <w:gridCol w:w="1683"/>
        <w:gridCol w:w="1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642" w:type="dxa"/>
            <w:noWrap w:val="0"/>
            <w:vAlign w:val="center"/>
          </w:tcPr>
          <w:p>
            <w:pPr>
              <w:keepNext w:val="0"/>
              <w:keepLines w:val="0"/>
              <w:pageBreakBefore w:val="0"/>
              <w:numPr>
                <w:ilvl w:val="0"/>
                <w:numId w:val="0"/>
              </w:numPr>
              <w:tabs>
                <w:tab w:val="left" w:pos="744"/>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     目</w:t>
            </w:r>
          </w:p>
        </w:tc>
        <w:tc>
          <w:tcPr>
            <w:tcW w:w="1683" w:type="dxa"/>
            <w:noWrap w:val="0"/>
            <w:vAlign w:val="center"/>
          </w:tcPr>
          <w:p>
            <w:pPr>
              <w:keepNext w:val="0"/>
              <w:keepLines w:val="0"/>
              <w:pageBreakBefore w:val="0"/>
              <w:numPr>
                <w:ilvl w:val="0"/>
                <w:numId w:val="0"/>
              </w:numPr>
              <w:tabs>
                <w:tab w:val="left" w:pos="744"/>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最大值</w:t>
            </w:r>
          </w:p>
        </w:tc>
        <w:tc>
          <w:tcPr>
            <w:tcW w:w="1683" w:type="dxa"/>
            <w:tcBorders>
              <w:right w:val="single" w:color="auto" w:sz="4" w:space="0"/>
            </w:tcBorders>
            <w:noWrap w:val="0"/>
            <w:vAlign w:val="center"/>
          </w:tcPr>
          <w:p>
            <w:pPr>
              <w:keepNext w:val="0"/>
              <w:keepLines w:val="0"/>
              <w:pageBreakBefore w:val="0"/>
              <w:numPr>
                <w:ilvl w:val="0"/>
                <w:numId w:val="0"/>
              </w:numPr>
              <w:tabs>
                <w:tab w:val="left" w:pos="744"/>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最小值</w:t>
            </w:r>
          </w:p>
        </w:tc>
        <w:tc>
          <w:tcPr>
            <w:tcW w:w="1683" w:type="dxa"/>
            <w:tcBorders>
              <w:right w:val="single" w:color="auto" w:sz="4" w:space="0"/>
            </w:tcBorders>
            <w:noWrap w:val="0"/>
            <w:vAlign w:val="center"/>
          </w:tcPr>
          <w:p>
            <w:pPr>
              <w:keepNext w:val="0"/>
              <w:keepLines w:val="0"/>
              <w:pageBreakBefore w:val="0"/>
              <w:numPr>
                <w:ilvl w:val="0"/>
                <w:numId w:val="0"/>
              </w:numPr>
              <w:tabs>
                <w:tab w:val="left" w:pos="744"/>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平均值</w:t>
            </w:r>
          </w:p>
        </w:tc>
        <w:tc>
          <w:tcPr>
            <w:tcW w:w="1684" w:type="dxa"/>
            <w:tcBorders>
              <w:left w:val="single" w:color="auto" w:sz="4" w:space="0"/>
            </w:tcBorders>
            <w:noWrap w:val="0"/>
            <w:vAlign w:val="center"/>
          </w:tcPr>
          <w:p>
            <w:pPr>
              <w:keepNext w:val="0"/>
              <w:keepLines w:val="0"/>
              <w:pageBreakBefore w:val="0"/>
              <w:numPr>
                <w:ilvl w:val="0"/>
                <w:numId w:val="0"/>
              </w:numPr>
              <w:tabs>
                <w:tab w:val="left" w:pos="744"/>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本标准值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42" w:type="dxa"/>
            <w:noWrap w:val="0"/>
            <w:vAlign w:val="center"/>
          </w:tcPr>
          <w:p>
            <w:pPr>
              <w:keepNext w:val="0"/>
              <w:keepLines w:val="0"/>
              <w:pageBreakBefore w:val="0"/>
              <w:numPr>
                <w:ilvl w:val="0"/>
                <w:numId w:val="0"/>
              </w:numPr>
              <w:tabs>
                <w:tab w:val="left" w:pos="744"/>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轻组分含量(%)</w:t>
            </w:r>
          </w:p>
        </w:tc>
        <w:tc>
          <w:tcPr>
            <w:tcW w:w="1683" w:type="dxa"/>
            <w:tcBorders>
              <w:bottom w:val="single" w:color="auto" w:sz="4" w:space="0"/>
            </w:tcBorders>
            <w:noWrap w:val="0"/>
            <w:vAlign w:val="center"/>
          </w:tcPr>
          <w:p>
            <w:pPr>
              <w:keepNext w:val="0"/>
              <w:keepLines w:val="0"/>
              <w:pageBreakBefore w:val="0"/>
              <w:numPr>
                <w:ilvl w:val="0"/>
                <w:numId w:val="0"/>
              </w:numPr>
              <w:tabs>
                <w:tab w:val="left" w:pos="744"/>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92.6</w:t>
            </w:r>
          </w:p>
        </w:tc>
        <w:tc>
          <w:tcPr>
            <w:tcW w:w="1683" w:type="dxa"/>
            <w:tcBorders>
              <w:bottom w:val="single" w:color="auto" w:sz="4" w:space="0"/>
              <w:right w:val="single" w:color="auto" w:sz="4" w:space="0"/>
            </w:tcBorders>
            <w:noWrap w:val="0"/>
            <w:vAlign w:val="center"/>
          </w:tcPr>
          <w:p>
            <w:pPr>
              <w:keepNext w:val="0"/>
              <w:keepLines w:val="0"/>
              <w:pageBreakBefore w:val="0"/>
              <w:numPr>
                <w:ilvl w:val="0"/>
                <w:numId w:val="0"/>
              </w:numPr>
              <w:tabs>
                <w:tab w:val="left" w:pos="744"/>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85.5</w:t>
            </w:r>
          </w:p>
        </w:tc>
        <w:tc>
          <w:tcPr>
            <w:tcW w:w="1683" w:type="dxa"/>
            <w:tcBorders>
              <w:bottom w:val="single" w:color="auto" w:sz="4" w:space="0"/>
              <w:right w:val="single" w:color="auto" w:sz="4" w:space="0"/>
            </w:tcBorders>
            <w:noWrap w:val="0"/>
            <w:vAlign w:val="center"/>
          </w:tcPr>
          <w:p>
            <w:pPr>
              <w:keepNext w:val="0"/>
              <w:keepLines w:val="0"/>
              <w:pageBreakBefore w:val="0"/>
              <w:numPr>
                <w:ilvl w:val="0"/>
                <w:numId w:val="0"/>
              </w:numPr>
              <w:tabs>
                <w:tab w:val="left" w:pos="744"/>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86.3</w:t>
            </w:r>
          </w:p>
        </w:tc>
        <w:tc>
          <w:tcPr>
            <w:tcW w:w="1684" w:type="dxa"/>
            <w:tcBorders>
              <w:left w:val="single" w:color="auto" w:sz="4" w:space="0"/>
              <w:bottom w:val="single" w:color="auto" w:sz="4" w:space="0"/>
            </w:tcBorders>
            <w:noWrap w:val="0"/>
            <w:vAlign w:val="center"/>
          </w:tcPr>
          <w:p>
            <w:pPr>
              <w:keepNext w:val="0"/>
              <w:keepLines w:val="0"/>
              <w:pageBreakBefore w:val="0"/>
              <w:numPr>
                <w:ilvl w:val="0"/>
                <w:numId w:val="0"/>
              </w:numPr>
              <w:tabs>
                <w:tab w:val="left" w:pos="744"/>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w:t>
            </w:r>
          </w:p>
        </w:tc>
      </w:tr>
    </w:tbl>
    <w:p>
      <w:pPr>
        <w:keepNext w:val="0"/>
        <w:keepLines w:val="0"/>
        <w:pageBreakBefore w:val="0"/>
        <w:numPr>
          <w:ilvl w:val="0"/>
          <w:numId w:val="0"/>
        </w:numPr>
        <w:tabs>
          <w:tab w:val="left" w:pos="744"/>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Cs/>
          <w:color w:val="auto"/>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2" w:firstLineChars="1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  标准中涉及专利的情况</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本标准没有涉及相关的专利。</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2" w:firstLineChars="1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  预期达到的社会效益、对产业发展的作用等情况</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人造革与合成革行业是集合纺织、印染、服装、塑料、皮革、化工、家具、建材等多种行业的技术结晶形成的新兴的塑料制品行业。聚氨酯再生浆料可全部或大部代替聚氨酯树脂，用于合成革行业的生产。</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标准的制定与发布，对全国范围内合成革废弃浆料处理及处理加工后的成品提供了统一的规范，可大力推动资源化利用、循环经济、绿色环保，有效促进合成革行业的高质量发展，并为全行业处理合成革废弃浆料提供可借鉴、可复制、可推广的经验和标准规范。</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b w:val="0"/>
          <w:bCs w:val="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2" w:firstLineChars="1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  采用国际标准和国外先进标准情况，与国际、国外同类标准水平的对比情况，国内外关键指标对比分析或与测试的国外样品、样机的相关数据对比情况</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本标准没有采用国际标准。</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本标准制定过程中未查到同类国际、国外标准。</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本标准制定过程中未测试国外的样品。</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本标准水平为国内先进水平。</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2" w:firstLineChars="1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  在标准体系中的位置，与现行相关法律、法规、规章及相关标准，特别是强制性标准的协调性</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本标准属于塑料制品标准体系中（02）塑料制品大类，（06）合成革和人造革中类，（99）其他小类。</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本标准与现行相关法律、法规、规章及相关标准协调一致。</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2" w:firstLineChars="1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  重大分歧意见的处理经过和依据</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2" w:firstLineChars="1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无。</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2" w:firstLineChars="1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  标准性质的建议说明</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建议本标准的性质为推荐性团体标准。</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2" w:firstLineChars="1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  贯彻标准的要求和措施建议</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建议本标准批准发布2个月后实施。</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2" w:firstLineChars="1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  废止现行相关标准的建议</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无</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2" w:firstLineChars="1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  其他应予说明的事项</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175"/>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无</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2" w:firstLineChars="175"/>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759" w:firstLineChars="1975"/>
        <w:jc w:val="both"/>
        <w:textAlignment w:val="auto"/>
        <w:rPr>
          <w:rFonts w:hint="eastAsia" w:ascii="宋体" w:hAnsi="宋体" w:eastAsia="宋体" w:cs="宋体"/>
          <w:b/>
          <w:bCs/>
          <w:sz w:val="24"/>
          <w:szCs w:val="24"/>
          <w:lang w:val="en-US" w:eastAsia="zh-CN"/>
        </w:rPr>
      </w:pPr>
      <w:bookmarkStart w:id="0" w:name="_GoBack"/>
      <w:bookmarkEnd w:id="0"/>
      <w:r>
        <w:rPr>
          <w:rFonts w:hint="eastAsia" w:ascii="宋体" w:hAnsi="宋体" w:eastAsia="宋体" w:cs="宋体"/>
          <w:b/>
          <w:bCs/>
          <w:sz w:val="24"/>
          <w:szCs w:val="24"/>
          <w:lang w:val="en-US" w:eastAsia="zh-CN"/>
        </w:rPr>
        <w:t>2021年6月28日</w:t>
      </w:r>
    </w:p>
    <w:sectPr>
      <w:headerReference r:id="rId3" w:type="default"/>
      <w:footerReference r:id="rId4" w:type="default"/>
      <w:pgSz w:w="11906" w:h="16838"/>
      <w:pgMar w:top="82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90785"/>
    <w:rsid w:val="00F172EB"/>
    <w:rsid w:val="015F686D"/>
    <w:rsid w:val="023609F9"/>
    <w:rsid w:val="052708D5"/>
    <w:rsid w:val="05815F7B"/>
    <w:rsid w:val="0835041B"/>
    <w:rsid w:val="0C394176"/>
    <w:rsid w:val="0D3466F9"/>
    <w:rsid w:val="0EF547CD"/>
    <w:rsid w:val="11F530BC"/>
    <w:rsid w:val="13FA0449"/>
    <w:rsid w:val="1BE00803"/>
    <w:rsid w:val="1F1966A3"/>
    <w:rsid w:val="1F384365"/>
    <w:rsid w:val="20335CC3"/>
    <w:rsid w:val="24AC4EF0"/>
    <w:rsid w:val="267276D8"/>
    <w:rsid w:val="284D58E7"/>
    <w:rsid w:val="29E96EDB"/>
    <w:rsid w:val="29F1478B"/>
    <w:rsid w:val="2A2F454A"/>
    <w:rsid w:val="2E801E63"/>
    <w:rsid w:val="311A0ABB"/>
    <w:rsid w:val="362B796B"/>
    <w:rsid w:val="3A0D7106"/>
    <w:rsid w:val="3B022012"/>
    <w:rsid w:val="3E1E63A0"/>
    <w:rsid w:val="41241BB3"/>
    <w:rsid w:val="49AC3EFD"/>
    <w:rsid w:val="4E1108F4"/>
    <w:rsid w:val="4E5D79F4"/>
    <w:rsid w:val="4FB703E1"/>
    <w:rsid w:val="51BF60E9"/>
    <w:rsid w:val="5240014C"/>
    <w:rsid w:val="52C34F1A"/>
    <w:rsid w:val="55352C4B"/>
    <w:rsid w:val="55AB48AB"/>
    <w:rsid w:val="56372CF3"/>
    <w:rsid w:val="5685696A"/>
    <w:rsid w:val="61E71457"/>
    <w:rsid w:val="620D7E13"/>
    <w:rsid w:val="649523F4"/>
    <w:rsid w:val="64CC17AF"/>
    <w:rsid w:val="697F1AF1"/>
    <w:rsid w:val="6ACF3AEE"/>
    <w:rsid w:val="6B890785"/>
    <w:rsid w:val="6C5D753C"/>
    <w:rsid w:val="6FB824E4"/>
    <w:rsid w:val="70A3758E"/>
    <w:rsid w:val="72F66566"/>
    <w:rsid w:val="73F27251"/>
    <w:rsid w:val="75211FA9"/>
    <w:rsid w:val="764A1A0F"/>
    <w:rsid w:val="79223E46"/>
    <w:rsid w:val="7F670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1"/>
    <w:qFormat/>
    <w:uiPriority w:val="0"/>
    <w:pPr>
      <w:keepNext/>
      <w:keepLines/>
      <w:spacing w:before="260" w:beforeLines="0" w:after="260" w:afterLines="0" w:line="413" w:lineRule="auto"/>
      <w:outlineLvl w:val="1"/>
    </w:pPr>
    <w:rPr>
      <w:rFonts w:ascii="Arial" w:hAnsi="Arial" w:eastAsia="黑体"/>
      <w:b/>
      <w:bCs/>
      <w:kern w:val="0"/>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ascii="Times New Roman" w:hAnsi="Times New Roman" w:eastAsia="宋体"/>
      <w:sz w:val="18"/>
    </w:rPr>
  </w:style>
  <w:style w:type="character" w:customStyle="1" w:styleId="11">
    <w:name w:val="标题 2 Char"/>
    <w:link w:val="3"/>
    <w:qFormat/>
    <w:uiPriority w:val="0"/>
    <w:rPr>
      <w:rFonts w:ascii="Arial" w:hAnsi="Arial" w:eastAsia="黑体"/>
      <w:b/>
      <w:bCs/>
      <w:kern w:val="0"/>
      <w:sz w:val="32"/>
      <w:szCs w:val="32"/>
    </w:rPr>
  </w:style>
  <w:style w:type="paragraph" w:customStyle="1" w:styleId="1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3">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2020-10-20T07:21:00Z</dcterms:created>
  <dc:creator>王春能</dc:creator>
  <cp:lastModifiedBy>北京老田</cp:lastModifiedBy>
  <dcterms:modified xsi:type="dcterms:W3CDTF">2021-06-28T03:59:00Z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8483BDC418134F578B4E4AE75DA7BBEB</vt:lpwstr>
  </property>
</Properties>
</file>