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9"/>
        <w:framePr w:hSpace="0" w:vSpace="0" w:wrap="auto" w:vAnchor="margin" w:hAnchor="text" w:yAlign="inline"/>
      </w:pPr>
      <w:bookmarkStart w:id="0" w:name="SectionMark0"/>
      <w:r>
        <w:rPr>
          <w:rFonts w:ascii="黑体" w:hAnsi="黑体" w:cs="黑体"/>
          <w:szCs w:val="24"/>
        </w:rPr>
        <w:pict>
          <v:shape id="文本框 18" o:spid="_x0000_s2073" o:spt="202" type="#_x0000_t202" style="position:absolute;left:0pt;margin-left:249.2pt;margin-top:4.15pt;height:66.95pt;width:215.55pt;z-index:251669504;mso-width-relative:page;mso-height-relative:page;" stroked="f" coordsize="21600,21600" o:gfxdata="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yi7ZsNcAAAAJAQAADwAAAAAAAAABACAAAAAiAAAAZHJzL2Rvd25yZXYueG1s&#10;UEsBAhQAFAAAAAgAh07iQHOYcXEyAgAATgQAAA4AAAAAAAAAAQAgAAAAJgEAAGRycy9lMm9Eb2Mu&#10;eG1sUEsFBgAAAAAGAAYAWQEAAMoFAAAAAA==&#10;">
            <v:path/>
            <v:fill focussize="0,0"/>
            <v:stroke on="f" joinstyle="miter"/>
            <v:imagedata o:title=""/>
            <o:lock v:ext="edit"/>
            <v:textbox>
              <w:txbxContent>
                <w:p>
                  <w:pPr>
                    <w:rPr>
                      <w:rFonts w:ascii="Times New Roman" w:hAnsi="Times New Roman" w:cs="Times New Roman"/>
                      <w:b/>
                      <w:sz w:val="96"/>
                      <w:szCs w:val="96"/>
                    </w:rPr>
                  </w:pPr>
                  <w:r>
                    <w:rPr>
                      <w:rFonts w:ascii="Times New Roman" w:hAnsi="Times New Roman" w:cs="Times New Roman"/>
                      <w:b/>
                      <w:sz w:val="96"/>
                      <w:szCs w:val="96"/>
                    </w:rPr>
                    <w:t>T/CNLIC</w:t>
                  </w:r>
                </w:p>
              </w:txbxContent>
            </v:textbox>
          </v:shape>
        </w:pict>
      </w:r>
      <w:r>
        <w:pict>
          <v:line id="_x0000_s2066" o:spid="_x0000_s2066" o:spt="20" style="position:absolute;left:0pt;margin-left:0pt;margin-top:179pt;height:0pt;width:482pt;z-index:251668480;mso-width-relative:page;mso-height-relative:page;" stroked="t" coordsize="21600,21600">
            <v:path arrowok="t"/>
            <v:fill focussize="0,0"/>
            <v:stroke weight="1pt" color="#FFFFFF"/>
            <v:imagedata o:title=""/>
            <o:lock v:ext="edit"/>
          </v:line>
        </w:pict>
      </w:r>
      <w:r>
        <w:pict>
          <v:line id="_x0000_s2064" o:spid="_x0000_s2064" o:spt="20" style="position:absolute;left:0pt;margin-left:0.75pt;margin-top:707.4pt;height:0pt;width:482pt;z-index:251667456;mso-width-relative:page;mso-height-relative:page;" stroked="t" coordsize="21600,21600">
            <v:path arrowok="t"/>
            <v:fill focussize="0,0"/>
            <v:stroke weight="1pt" color="#FFFFFF"/>
            <v:imagedata o:title=""/>
            <o:lock v:ext="edit"/>
          </v:line>
        </w:pict>
      </w:r>
      <w:r>
        <w:pict>
          <v:line id="_x0000_s2059" o:spid="_x0000_s2059" o:spt="20" style="position:absolute;left:0pt;margin-left:0pt;margin-top:157.75pt;height:0pt;width:482pt;z-index:251665408;mso-width-relative:page;mso-height-relative:page;" stroked="t" coordsize="21600,21600">
            <v:path arrowok="t"/>
            <v:fill focussize="0,0"/>
            <v:stroke weight="1pt" color="#FFFFFF"/>
            <v:imagedata o:title=""/>
            <o:lock v:ext="edit"/>
          </v:line>
        </w:pict>
      </w:r>
      <w:r>
        <w:pict>
          <v:line id="_x0000_s2060" o:spid="_x0000_s2060" o:spt="20" style="position:absolute;left:0pt;margin-left:0pt;margin-top:700pt;height:0pt;width:482pt;z-index:251666432;mso-width-relative:page;mso-height-relative:page;" stroked="t" coordsize="21600,21600">
            <v:path arrowok="t"/>
            <v:fill focussize="0,0"/>
            <v:stroke weight="1pt" color="#FFFFFF"/>
            <v:imagedata o:title=""/>
            <o:lock v:ext="edit"/>
          </v:line>
        </w:pict>
      </w:r>
      <w:r>
        <w:pict>
          <v:shape id="fmFrame4" o:spid="_x0000_s2055" o:spt="202" type="#_x0000_t202" style="position:absolute;left:0pt;margin-left:-0.75pt;margin-top:230.05pt;height:283.75pt;width:470pt;mso-position-horizontal-relative:margin;mso-position-vertical-relative:margin;z-index:251664384;mso-width-relative:page;mso-height-relative:page;" stroked="f" coordsize="21600,21600">
            <v:path/>
            <v:fill focussize="0,0"/>
            <v:stroke on="f" joinstyle="miter"/>
            <v:imagedata o:title=""/>
            <o:lock v:ext="edit"/>
            <v:textbox inset="0mm,0mm,0mm,0mm">
              <w:txbxContent>
                <w:p>
                  <w:pPr>
                    <w:spacing w:line="680" w:lineRule="exact"/>
                    <w:jc w:val="center"/>
                    <w:textAlignment w:val="center"/>
                    <w:rPr>
                      <w:rFonts w:ascii="黑体" w:hAnsi="黑体" w:eastAsia="黑体"/>
                      <w:kern w:val="0"/>
                      <w:sz w:val="52"/>
                    </w:rPr>
                  </w:pPr>
                  <w:r>
                    <w:rPr>
                      <w:rFonts w:hint="eastAsia" w:ascii="黑体" w:hAnsi="黑体" w:eastAsia="黑体"/>
                      <w:kern w:val="0"/>
                      <w:sz w:val="52"/>
                    </w:rPr>
                    <w:t>绿色设计产品评价技术规范</w:t>
                  </w:r>
                </w:p>
                <w:p>
                  <w:pPr>
                    <w:spacing w:line="680" w:lineRule="exact"/>
                    <w:jc w:val="center"/>
                    <w:textAlignment w:val="center"/>
                    <w:rPr>
                      <w:rFonts w:ascii="黑体" w:hAnsi="黑体" w:eastAsia="黑体"/>
                      <w:kern w:val="0"/>
                      <w:sz w:val="52"/>
                    </w:rPr>
                  </w:pPr>
                  <w:r>
                    <w:rPr>
                      <w:rFonts w:hint="eastAsia" w:ascii="黑体" w:hAnsi="黑体" w:eastAsia="黑体"/>
                      <w:kern w:val="0"/>
                      <w:sz w:val="52"/>
                    </w:rPr>
                    <w:t>家用和类似用途软水机</w:t>
                  </w:r>
                </w:p>
                <w:p>
                  <w:pPr>
                    <w:spacing w:line="680" w:lineRule="exact"/>
                    <w:jc w:val="center"/>
                    <w:textAlignment w:val="center"/>
                    <w:rPr>
                      <w:rFonts w:ascii="黑体" w:hAnsi="黑体" w:eastAsia="黑体"/>
                      <w:kern w:val="0"/>
                      <w:sz w:val="52"/>
                    </w:rPr>
                  </w:pPr>
                </w:p>
                <w:p>
                  <w:pPr>
                    <w:pStyle w:val="68"/>
                    <w:snapToGrid w:val="0"/>
                    <w:ind w:firstLine="560"/>
                    <w:jc w:val="center"/>
                    <w:rPr>
                      <w:rFonts w:ascii="黑体" w:hAnsi="黑体" w:eastAsia="黑体" w:cs="黑体"/>
                      <w:sz w:val="28"/>
                      <w:szCs w:val="28"/>
                    </w:rPr>
                  </w:pPr>
                  <w:r>
                    <w:rPr>
                      <w:rFonts w:hint="eastAsia" w:ascii="黑体" w:hAnsi="黑体" w:eastAsia="黑体" w:cs="黑体"/>
                      <w:sz w:val="28"/>
                      <w:szCs w:val="28"/>
                    </w:rPr>
                    <w:t>Technical specification for green-design product assessment</w:t>
                  </w:r>
                </w:p>
                <w:p>
                  <w:pPr>
                    <w:pStyle w:val="68"/>
                    <w:snapToGrid w:val="0"/>
                    <w:ind w:firstLine="560"/>
                    <w:jc w:val="center"/>
                    <w:rPr>
                      <w:rFonts w:ascii="黑体" w:hAnsi="黑体" w:eastAsia="黑体" w:cs="黑体"/>
                      <w:sz w:val="28"/>
                      <w:szCs w:val="28"/>
                    </w:rPr>
                  </w:pPr>
                  <w:r>
                    <w:rPr>
                      <w:rFonts w:hint="eastAsia" w:ascii="黑体" w:hAnsi="黑体" w:eastAsia="黑体" w:cs="黑体"/>
                      <w:sz w:val="28"/>
                      <w:szCs w:val="28"/>
                      <w:lang w:eastAsia="zh-CN"/>
                    </w:rPr>
                    <w:t>—</w:t>
                  </w:r>
                  <w:r>
                    <w:rPr>
                      <w:rFonts w:hint="eastAsia" w:ascii="黑体" w:hAnsi="黑体" w:eastAsia="黑体" w:cs="黑体"/>
                      <w:sz w:val="28"/>
                      <w:szCs w:val="28"/>
                      <w:lang w:val="en-US" w:eastAsia="zh-CN"/>
                    </w:rPr>
                    <w:t>H</w:t>
                  </w:r>
                  <w:r>
                    <w:rPr>
                      <w:rFonts w:hint="eastAsia" w:ascii="黑体" w:hAnsi="黑体" w:eastAsia="黑体" w:cs="黑体"/>
                      <w:sz w:val="28"/>
                      <w:szCs w:val="28"/>
                    </w:rPr>
                    <w:t>ousehold and similar water softener</w:t>
                  </w:r>
                </w:p>
                <w:p>
                  <w:pPr>
                    <w:pStyle w:val="68"/>
                    <w:ind w:firstLine="420"/>
                    <w:jc w:val="center"/>
                  </w:pPr>
                </w:p>
                <w:p>
                  <w:pPr>
                    <w:pStyle w:val="68"/>
                    <w:ind w:firstLine="0" w:firstLineChars="0"/>
                    <w:jc w:val="center"/>
                    <w:rPr>
                      <w:sz w:val="28"/>
                      <w:szCs w:val="28"/>
                    </w:rPr>
                  </w:pPr>
                  <w:r>
                    <w:rPr>
                      <w:rFonts w:hint="eastAsia" w:ascii="黑体" w:hAnsi="黑体" w:eastAsia="黑体" w:cs="黑体"/>
                      <w:sz w:val="28"/>
                      <w:szCs w:val="28"/>
                    </w:rPr>
                    <w:t>（</w:t>
                  </w:r>
                  <w:r>
                    <w:rPr>
                      <w:rFonts w:hint="eastAsia" w:ascii="黑体" w:hAnsi="黑体" w:eastAsia="黑体" w:cs="黑体"/>
                      <w:sz w:val="28"/>
                      <w:szCs w:val="28"/>
                      <w:lang w:eastAsia="zh-CN"/>
                    </w:rPr>
                    <w:t>征求意见</w:t>
                  </w:r>
                  <w:r>
                    <w:rPr>
                      <w:rFonts w:hint="eastAsia" w:ascii="黑体" w:hAnsi="黑体" w:eastAsia="黑体" w:cs="黑体"/>
                      <w:sz w:val="28"/>
                      <w:szCs w:val="28"/>
                    </w:rPr>
                    <w:t>稿）</w:t>
                  </w:r>
                </w:p>
                <w:p>
                  <w:pPr>
                    <w:pStyle w:val="82"/>
                    <w:rPr>
                      <w:szCs w:val="28"/>
                    </w:rPr>
                  </w:pPr>
                </w:p>
                <w:p>
                  <w:pPr>
                    <w:pStyle w:val="80"/>
                  </w:pPr>
                </w:p>
                <w:p>
                  <w:pPr>
                    <w:pStyle w:val="79"/>
                  </w:pPr>
                </w:p>
                <w:p>
                  <w:pPr>
                    <w:pStyle w:val="79"/>
                  </w:pPr>
                </w:p>
              </w:txbxContent>
            </v:textbox>
            <w10:anchorlock/>
          </v:shape>
        </w:pict>
      </w:r>
      <w:r>
        <w:pict>
          <v:shape id="fmFrame3" o:spid="_x0000_s2054" o:spt="202" type="#_x0000_t202" style="position:absolute;left:0pt;margin-left:-16.45pt;margin-top:79.6pt;height:56.6pt;width:488.95pt;mso-position-horizontal-relative:margin;mso-position-vertical-relative:margin;z-index:251663360;mso-width-relative:page;mso-height-relative:page;" stroked="f" coordsize="21600,21600">
            <v:path/>
            <v:fill focussize="0,0"/>
            <v:stroke on="f" joinstyle="miter"/>
            <v:imagedata o:title=""/>
            <o:lock v:ext="edit"/>
            <v:textbox inset="0mm,0mm,0mm,0mm">
              <w:txbxContent>
                <w:p>
                  <w:pPr>
                    <w:pStyle w:val="18"/>
                    <w:pBdr>
                      <w:top w:val="none" w:color="auto" w:sz="0" w:space="0"/>
                      <w:left w:val="none" w:color="auto" w:sz="0" w:space="0"/>
                      <w:bottom w:val="none" w:color="auto" w:sz="0" w:space="0"/>
                      <w:right w:val="none" w:color="auto" w:sz="0" w:space="0"/>
                    </w:pBdr>
                    <w:ind w:firstLine="720" w:firstLineChars="100"/>
                    <w:jc w:val="both"/>
                    <w:rPr>
                      <w:rFonts w:ascii="黑体" w:hAnsi="黑体" w:eastAsia="黑体" w:cs="黑体"/>
                      <w:b/>
                      <w:color w:val="000000" w:themeColor="text1"/>
                      <w:sz w:val="72"/>
                      <w:szCs w:val="72"/>
                    </w:rPr>
                  </w:pPr>
                  <w:r>
                    <w:rPr>
                      <w:rFonts w:hint="eastAsia" w:ascii="黑体" w:hAnsi="黑体" w:eastAsia="黑体" w:cs="黑体"/>
                      <w:bCs/>
                      <w:color w:val="000000" w:themeColor="text1"/>
                      <w:sz w:val="72"/>
                      <w:szCs w:val="72"/>
                    </w:rPr>
                    <w:t xml:space="preserve">团   </w:t>
                  </w:r>
                  <w:r>
                    <w:rPr>
                      <w:rFonts w:hint="eastAsia" w:ascii="黑体" w:hAnsi="黑体" w:eastAsia="黑体" w:cs="黑体"/>
                      <w:bCs/>
                      <w:color w:val="000000" w:themeColor="text1"/>
                      <w:sz w:val="72"/>
                      <w:szCs w:val="72"/>
                      <w:lang w:val="en-US" w:eastAsia="zh-CN"/>
                    </w:rPr>
                    <w:t xml:space="preserve"> </w:t>
                  </w:r>
                  <w:r>
                    <w:rPr>
                      <w:rFonts w:hint="eastAsia" w:ascii="黑体" w:hAnsi="黑体" w:eastAsia="黑体" w:cs="黑体"/>
                      <w:bCs/>
                      <w:color w:val="000000" w:themeColor="text1"/>
                      <w:sz w:val="72"/>
                      <w:szCs w:val="72"/>
                    </w:rPr>
                    <w:t xml:space="preserve"> 体      标     </w:t>
                  </w:r>
                  <w:r>
                    <w:rPr>
                      <w:rFonts w:hint="eastAsia" w:ascii="黑体" w:hAnsi="黑体" w:eastAsia="黑体" w:cs="黑体"/>
                      <w:bCs/>
                      <w:color w:val="000000" w:themeColor="text1"/>
                      <w:sz w:val="72"/>
                      <w:szCs w:val="72"/>
                      <w:lang w:val="en-US" w:eastAsia="zh-CN"/>
                    </w:rPr>
                    <w:t xml:space="preserve"> </w:t>
                  </w:r>
                  <w:r>
                    <w:rPr>
                      <w:rFonts w:hint="eastAsia" w:ascii="黑体" w:hAnsi="黑体" w:eastAsia="黑体" w:cs="黑体"/>
                      <w:bCs/>
                      <w:color w:val="000000" w:themeColor="text1"/>
                      <w:sz w:val="72"/>
                      <w:szCs w:val="72"/>
                    </w:rPr>
                    <w:t>准</w:t>
                  </w:r>
                </w:p>
                <w:p>
                  <w:pPr>
                    <w:pStyle w:val="76"/>
                    <w:rPr>
                      <w:rFonts w:ascii="黑体" w:hAnsi="黑体" w:eastAsia="黑体" w:cs="黑体"/>
                      <w:sz w:val="72"/>
                      <w:szCs w:val="72"/>
                    </w:rPr>
                  </w:pPr>
                </w:p>
              </w:txbxContent>
            </v:textbox>
            <w10:anchorlock/>
          </v:shape>
        </w:pict>
      </w:r>
      <w:r>
        <w:pict>
          <v:shape id="fmFrame2" o:spid="_x0000_s2052" o:spt="202" type="#_x0000_t202" style="position:absolute;left:0pt;margin-left:0pt;margin-top:79.6pt;height:30.8pt;width:481.9pt;mso-position-horizontal-relative:margin;mso-position-vertical-relative:margin;z-index:251662336;mso-width-relative:page;mso-height-relative:page;" stroked="f" coordsize="21600,21600">
            <v:path/>
            <v:fill focussize="0,0"/>
            <v:stroke on="f" joinstyle="miter"/>
            <v:imagedata o:title=""/>
            <o:lock v:ext="edit"/>
            <v:textbox inset="0mm,0mm,0mm,0mm">
              <w:txbxContent>
                <w:p/>
              </w:txbxContent>
            </v:textbox>
            <w10:anchorlock/>
          </v:shape>
        </w:pict>
      </w:r>
      <w:r>
        <w:rPr>
          <w:rFonts w:hint="eastAsia" w:ascii="黑体" w:hAnsi="黑体" w:cs="黑体"/>
        </w:rPr>
        <w:t>ICS  **.***</w:t>
      </w:r>
    </w:p>
    <w:p>
      <w:pPr>
        <w:tabs>
          <w:tab w:val="left" w:pos="6294"/>
        </w:tabs>
        <w:rPr>
          <w:rFonts w:ascii="Times New Roman"/>
          <w:sz w:val="20"/>
        </w:rPr>
      </w:pPr>
      <w:r>
        <w:rPr>
          <w:rFonts w:hint="eastAsia" w:ascii="黑体" w:hAnsi="黑体" w:eastAsia="黑体" w:cs="黑体"/>
        </w:rPr>
        <w:t>Y **</w:t>
      </w:r>
      <w:r>
        <w:rPr>
          <w:rFonts w:ascii="Times New Roman"/>
          <w:sz w:val="20"/>
        </w:rPr>
        <w:tab/>
      </w:r>
    </w:p>
    <w:p>
      <w:pPr>
        <w:tabs>
          <w:tab w:val="left" w:pos="6294"/>
        </w:tabs>
        <w:rPr>
          <w:rFonts w:ascii="Times New Roman"/>
          <w:sz w:val="20"/>
        </w:rPr>
      </w:pPr>
    </w:p>
    <w:p>
      <w:pPr>
        <w:tabs>
          <w:tab w:val="left" w:pos="6294"/>
        </w:tabs>
        <w:rPr>
          <w:rFonts w:ascii="Times New Roman"/>
          <w:sz w:val="20"/>
        </w:rPr>
      </w:pPr>
    </w:p>
    <w:p>
      <w:pPr>
        <w:pStyle w:val="18"/>
        <w:spacing w:before="10"/>
        <w:rPr>
          <w:rFonts w:ascii="Times New Roman"/>
          <w:sz w:val="19"/>
        </w:rPr>
      </w:pPr>
    </w:p>
    <w:p>
      <w:pPr>
        <w:tabs>
          <w:tab w:val="left" w:pos="2265"/>
          <w:tab w:val="left" w:pos="4485"/>
          <w:tab w:val="left" w:pos="6705"/>
        </w:tabs>
        <w:spacing w:before="32"/>
        <w:ind w:left="44"/>
        <w:jc w:val="center"/>
        <w:rPr>
          <w:rFonts w:ascii="宋体" w:hAnsi="宋体" w:eastAsia="宋体" w:cs="宋体"/>
          <w:b/>
          <w:sz w:val="52"/>
          <w:szCs w:val="52"/>
        </w:rPr>
      </w:pPr>
    </w:p>
    <w:p>
      <w:pPr>
        <w:keepNext w:val="0"/>
        <w:keepLines w:val="0"/>
        <w:pageBreakBefore w:val="0"/>
        <w:widowControl w:val="0"/>
        <w:kinsoku/>
        <w:wordWrap/>
        <w:overflowPunct/>
        <w:topLinePunct w:val="0"/>
        <w:autoSpaceDE/>
        <w:autoSpaceDN/>
        <w:bidi w:val="0"/>
        <w:adjustRightInd/>
        <w:snapToGrid/>
        <w:ind w:firstLine="7000" w:firstLineChars="2500"/>
        <w:textAlignment w:val="auto"/>
        <w:rPr>
          <w:rFonts w:hint="eastAsia" w:ascii="黑体" w:hAnsi="黑体" w:eastAsia="黑体" w:cs="黑体"/>
          <w:sz w:val="28"/>
        </w:rPr>
      </w:pPr>
    </w:p>
    <w:p>
      <w:pPr>
        <w:keepNext w:val="0"/>
        <w:keepLines w:val="0"/>
        <w:pageBreakBefore w:val="0"/>
        <w:widowControl w:val="0"/>
        <w:kinsoku/>
        <w:wordWrap/>
        <w:overflowPunct/>
        <w:topLinePunct w:val="0"/>
        <w:autoSpaceDE/>
        <w:autoSpaceDN/>
        <w:bidi w:val="0"/>
        <w:adjustRightInd/>
        <w:snapToGrid/>
        <w:ind w:firstLine="7000" w:firstLineChars="2500"/>
        <w:textAlignment w:val="auto"/>
        <w:rPr>
          <w:rFonts w:ascii="黑体" w:hAnsi="黑体" w:eastAsia="黑体" w:cs="黑体"/>
          <w:sz w:val="28"/>
        </w:rPr>
      </w:pPr>
      <w:r>
        <w:rPr>
          <w:sz w:val="28"/>
        </w:rPr>
        <w:pict>
          <v:shape id="直接连接符 1" o:spid="_x0000_s2074" o:spt="32" type="#_x0000_t32" style="position:absolute;left:0pt;margin-left:-18.85pt;margin-top:27.55pt;height:1.05pt;width:515.35pt;z-index:251670528;mso-width-relative:page;mso-height-relative:page;" filled="f" coordsize="21600,21600">
            <v:path arrowok="t"/>
            <v:fill on="f" focussize="0,0"/>
            <v:stroke/>
            <v:imagedata o:title=""/>
            <o:lock v:ext="edit"/>
          </v:shape>
        </w:pict>
      </w:r>
      <w:r>
        <w:rPr>
          <w:rFonts w:hint="eastAsia" w:ascii="黑体" w:hAnsi="黑体" w:eastAsia="黑体" w:cs="黑体"/>
          <w:sz w:val="28"/>
        </w:rPr>
        <w:t>T/CNLIC ****—20**</w:t>
      </w:r>
    </w:p>
    <w:p>
      <w:pPr>
        <w:pStyle w:val="18"/>
        <w:rPr>
          <w:rFonts w:ascii="Times New Roman"/>
          <w:sz w:val="20"/>
        </w:rPr>
      </w:pPr>
    </w:p>
    <w:p>
      <w:pPr>
        <w:pStyle w:val="18"/>
        <w:rPr>
          <w:rFonts w:ascii="Times New Roman"/>
          <w:sz w:val="20"/>
        </w:rPr>
      </w:pPr>
    </w:p>
    <w:p>
      <w:pPr>
        <w:pStyle w:val="18"/>
        <w:tabs>
          <w:tab w:val="left" w:pos="3685"/>
        </w:tabs>
        <w:rPr>
          <w:rFonts w:ascii="Times New Roman"/>
          <w:sz w:val="20"/>
        </w:rPr>
      </w:pPr>
      <w:r>
        <w:rPr>
          <w:rFonts w:hint="eastAsia" w:ascii="Times New Roman"/>
          <w:sz w:val="20"/>
        </w:rPr>
        <w:tab/>
      </w:r>
    </w:p>
    <w:p>
      <w:pPr>
        <w:pStyle w:val="18"/>
        <w:rPr>
          <w:rFonts w:ascii="Times New Roman"/>
          <w:sz w:val="20"/>
        </w:rPr>
      </w:pPr>
    </w:p>
    <w:p>
      <w:pPr>
        <w:pStyle w:val="18"/>
      </w:pPr>
      <w:r>
        <w:pict>
          <v:shape id="Text Box 14" o:spid="_x0000_s2078" o:spt="202" type="#_x0000_t202" style="height:288.25pt;width:456.85pt;" filled="f" stroked="f" coordsize="21600,21600" o:gfxdata="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JIz71vXAAAABwEAAA8AAAAAAAAAAQAgAAAA&#10;IgAAAGRycy9kb3ducmV2LnhtbFBLAQIUABQAAAAIAIdO4kBK8gEBDAIAABIEAAAOAAAAAAAAAAEA&#10;IAAAACYBAABkcnMvZTJvRG9jLnhtbFBLBQYAAAAABgAGAFkBAACkBQAAAAA=&#10;">
            <v:path/>
            <v:fill on="f" focussize="0,0"/>
            <v:stroke on="f" joinstyle="miter"/>
            <v:imagedata o:title=""/>
            <o:lock v:ext="edit"/>
            <v:textbox inset="0mm,0mm,0mm,0mm">
              <w:txbxContent>
                <w:p>
                  <w:pPr>
                    <w:spacing w:line="311" w:lineRule="exact"/>
                    <w:ind w:left="-1" w:right="18"/>
                    <w:jc w:val="center"/>
                    <w:rPr>
                      <w:rFonts w:ascii="Times New Roman"/>
                      <w:b/>
                      <w:sz w:val="28"/>
                    </w:rPr>
                  </w:pPr>
                </w:p>
                <w:p>
                  <w:pPr>
                    <w:spacing w:line="311" w:lineRule="exact"/>
                    <w:ind w:right="18"/>
                    <w:rPr>
                      <w:rFonts w:ascii="Times New Roman"/>
                      <w:b/>
                      <w:sz w:val="28"/>
                    </w:rPr>
                  </w:pPr>
                </w:p>
                <w:p>
                  <w:pPr>
                    <w:spacing w:line="311" w:lineRule="exact"/>
                    <w:ind w:right="18"/>
                    <w:rPr>
                      <w:rFonts w:ascii="Times New Roman"/>
                      <w:b/>
                      <w:sz w:val="28"/>
                    </w:rPr>
                  </w:pPr>
                </w:p>
                <w:p>
                  <w:pPr>
                    <w:spacing w:line="311" w:lineRule="exact"/>
                    <w:ind w:right="18"/>
                    <w:rPr>
                      <w:rFonts w:ascii="Times New Roman"/>
                      <w:b/>
                      <w:sz w:val="28"/>
                    </w:rPr>
                  </w:pPr>
                </w:p>
                <w:p>
                  <w:pPr>
                    <w:spacing w:line="311" w:lineRule="exact"/>
                    <w:ind w:right="18"/>
                    <w:rPr>
                      <w:rFonts w:ascii="Times New Roman"/>
                      <w:b/>
                      <w:sz w:val="28"/>
                    </w:rPr>
                  </w:pPr>
                </w:p>
                <w:p>
                  <w:pPr>
                    <w:spacing w:line="311" w:lineRule="exact"/>
                    <w:ind w:right="18"/>
                    <w:rPr>
                      <w:rFonts w:ascii="Times New Roman"/>
                      <w:b/>
                      <w:sz w:val="28"/>
                    </w:rPr>
                  </w:pPr>
                </w:p>
                <w:p>
                  <w:pPr>
                    <w:spacing w:line="311" w:lineRule="exact"/>
                    <w:ind w:right="18"/>
                    <w:rPr>
                      <w:rFonts w:ascii="Times New Roman"/>
                      <w:b/>
                      <w:sz w:val="28"/>
                    </w:rPr>
                  </w:pPr>
                </w:p>
                <w:p>
                  <w:pPr>
                    <w:spacing w:line="311" w:lineRule="exact"/>
                    <w:ind w:right="18"/>
                    <w:rPr>
                      <w:rFonts w:ascii="Times New Roman"/>
                      <w:b/>
                      <w:sz w:val="28"/>
                    </w:rPr>
                  </w:pPr>
                </w:p>
              </w:txbxContent>
            </v:textbox>
            <w10:wrap type="none"/>
            <w10:anchorlock/>
          </v:shape>
        </w:pict>
      </w:r>
    </w:p>
    <w:p>
      <w:pPr>
        <w:tabs>
          <w:tab w:val="left" w:pos="7198"/>
        </w:tabs>
        <w:spacing w:before="61"/>
      </w:pPr>
    </w:p>
    <w:p>
      <w:pPr>
        <w:tabs>
          <w:tab w:val="left" w:pos="7198"/>
        </w:tabs>
        <w:spacing w:before="61"/>
      </w:pPr>
    </w:p>
    <w:p>
      <w:pPr>
        <w:tabs>
          <w:tab w:val="left" w:pos="7198"/>
        </w:tabs>
        <w:spacing w:before="61"/>
        <w:ind w:firstLine="284" w:firstLineChars="100"/>
        <w:rPr>
          <w:b/>
          <w:sz w:val="32"/>
        </w:rPr>
      </w:pPr>
      <w:r>
        <w:rPr>
          <w:rFonts w:hint="eastAsia" w:ascii="黑体" w:eastAsia="黑体"/>
          <w:spacing w:val="2"/>
          <w:sz w:val="28"/>
        </w:rPr>
        <w:t>20**-**-**</w:t>
      </w:r>
      <w:r>
        <w:rPr>
          <w:rFonts w:hint="eastAsia" w:ascii="黑体" w:eastAsia="黑体"/>
          <w:spacing w:val="7"/>
          <w:sz w:val="28"/>
        </w:rPr>
        <w:t>发</w:t>
      </w:r>
      <w:r>
        <w:rPr>
          <w:rFonts w:hint="eastAsia" w:ascii="黑体" w:eastAsia="黑体"/>
          <w:sz w:val="28"/>
        </w:rPr>
        <w:t>布</w:t>
      </w:r>
      <w:r>
        <w:rPr>
          <w:rFonts w:hint="eastAsia" w:ascii="黑体" w:eastAsia="黑体"/>
          <w:spacing w:val="2"/>
          <w:sz w:val="28"/>
        </w:rPr>
        <w:t xml:space="preserve">                                   20**-**-**</w:t>
      </w:r>
      <w:r>
        <w:rPr>
          <w:rFonts w:hint="eastAsia" w:ascii="黑体" w:eastAsia="黑体"/>
          <w:spacing w:val="7"/>
          <w:sz w:val="28"/>
        </w:rPr>
        <w:t>实施</w:t>
      </w:r>
    </w:p>
    <w:p>
      <w:pPr>
        <w:spacing w:before="55" w:line="324" w:lineRule="exact"/>
        <w:rPr>
          <w:b/>
          <w:sz w:val="32"/>
          <w:szCs w:val="32"/>
        </w:rPr>
      </w:pPr>
      <w:r>
        <w:rPr>
          <w:sz w:val="32"/>
          <w:szCs w:val="32"/>
        </w:rPr>
        <w:pict>
          <v:line id="_x0000_s2077" o:spid="_x0000_s2077" o:spt="20" style="position:absolute;left:0pt;margin-left:-8.35pt;margin-top:0.25pt;height:0.05pt;width:488.9pt;z-index:251671552;mso-width-relative:page;mso-height-relative:page;" filled="t" coordsize="21600,21600">
            <v:path arrowok="t"/>
            <v:fill on="t" focussize="0,0"/>
            <v:stroke/>
            <v:imagedata o:title=""/>
            <o:lock v:ext="edit"/>
          </v:line>
        </w:pict>
      </w:r>
    </w:p>
    <w:p>
      <w:pPr>
        <w:jc w:val="center"/>
        <w:rPr>
          <w:rFonts w:eastAsiaTheme="minorEastAsia"/>
        </w:rPr>
        <w:sectPr>
          <w:headerReference r:id="rId5" w:type="first"/>
          <w:footerReference r:id="rId8" w:type="first"/>
          <w:headerReference r:id="rId3" w:type="default"/>
          <w:footerReference r:id="rId6" w:type="default"/>
          <w:headerReference r:id="rId4" w:type="even"/>
          <w:footerReference r:id="rId7" w:type="even"/>
          <w:pgSz w:w="11907" w:h="16839"/>
          <w:pgMar w:top="1417" w:right="1134" w:bottom="1417" w:left="1134" w:header="1020" w:footer="907" w:gutter="0"/>
          <w:pgNumType w:start="1"/>
          <w:cols w:space="425" w:num="1"/>
          <w:titlePg/>
          <w:docGrid w:type="lines" w:linePitch="312" w:charSpace="0"/>
        </w:sectPr>
      </w:pPr>
      <w:r>
        <w:rPr>
          <w:rFonts w:hint="eastAsia" w:eastAsia="黑体"/>
          <w:spacing w:val="4"/>
          <w:sz w:val="32"/>
        </w:rPr>
        <w:t>中国轻工业联合会</w:t>
      </w:r>
      <w:r>
        <w:rPr>
          <w:rFonts w:eastAsia="黑体"/>
          <w:spacing w:val="10"/>
          <w:w w:val="110"/>
          <w:sz w:val="32"/>
        </w:rPr>
        <w:t xml:space="preserve">  </w:t>
      </w:r>
      <w:r>
        <w:rPr>
          <w:rFonts w:hint="eastAsia" w:eastAsia="黑体"/>
          <w:spacing w:val="20"/>
          <w:position w:val="2"/>
          <w:sz w:val="28"/>
        </w:rPr>
        <w:t>发</w:t>
      </w:r>
      <w:r>
        <w:rPr>
          <w:rFonts w:hint="eastAsia" w:eastAsia="黑体"/>
          <w:position w:val="2"/>
          <w:sz w:val="28"/>
        </w:rPr>
        <w:t>布</w:t>
      </w:r>
      <w:r>
        <w:pict>
          <v:shape id="fmFrame1" o:spid="_x0000_s2051" o:spt="202" type="#_x0000_t202" style="position:absolute;left:0pt;margin-left:0pt;margin-top:0pt;height:36.1pt;width:200pt;mso-position-horizontal-relative:margin;mso-position-vertical-relative:margin;z-index:251661312;mso-width-relative:page;mso-height-relative:page;" stroked="f" coordsize="21600,21600">
            <v:path/>
            <v:fill focussize="0,0"/>
            <v:stroke on="f" joinstyle="miter"/>
            <v:imagedata o:title=""/>
            <o:lock v:ext="edit"/>
            <v:textbox inset="0mm,0mm,0mm,0mm">
              <w:txbxContent>
                <w:p>
                  <w:pPr>
                    <w:pStyle w:val="109"/>
                  </w:pPr>
                  <w:r>
                    <w:rPr>
                      <w:rFonts w:hint="eastAsia" w:ascii="黑体" w:hAnsi="黑体" w:cs="黑体"/>
                    </w:rPr>
                    <w:t>ICS **.***</w:t>
                  </w:r>
                </w:p>
                <w:p>
                  <w:pPr>
                    <w:pStyle w:val="109"/>
                  </w:pPr>
                  <w:r>
                    <w:t>CCS</w:t>
                  </w:r>
                  <w:r>
                    <w:rPr>
                      <w:rFonts w:hint="eastAsia" w:ascii="黑体" w:hAnsi="黑体" w:cs="黑体"/>
                    </w:rPr>
                    <w:t xml:space="preserve"> Y **</w:t>
                  </w:r>
                </w:p>
                <w:p>
                  <w:pPr>
                    <w:pStyle w:val="109"/>
                  </w:pPr>
                </w:p>
              </w:txbxContent>
            </v:textbox>
            <w10:anchorlock/>
          </v:shape>
        </w:pict>
      </w:r>
    </w:p>
    <w:bookmarkEnd w:id="0"/>
    <w:p>
      <w:pPr>
        <w:pStyle w:val="98"/>
        <w:spacing w:before="100" w:beforeAutospacing="1" w:after="100" w:afterAutospacing="1"/>
        <w:jc w:val="both"/>
      </w:pPr>
      <w:bookmarkStart w:id="1" w:name="SectionMark1"/>
    </w:p>
    <w:p>
      <w:pPr>
        <w:pStyle w:val="98"/>
        <w:spacing w:before="100" w:beforeAutospacing="1" w:after="100" w:afterAutospacing="1"/>
      </w:pPr>
      <w:bookmarkStart w:id="2" w:name="_Toc72997714"/>
      <w:r>
        <w:rPr>
          <w:rFonts w:hint="eastAsia"/>
        </w:rPr>
        <w:t>目    次</w:t>
      </w:r>
      <w:bookmarkEnd w:id="2"/>
    </w:p>
    <w:p>
      <w:pPr>
        <w:pStyle w:val="17"/>
        <w:tabs>
          <w:tab w:val="right" w:leader="dot" w:pos="9345"/>
        </w:tabs>
        <w:spacing w:line="360" w:lineRule="auto"/>
        <w:rPr>
          <w:rFonts w:hAnsi="宋体" w:cs="宋体"/>
          <w:color w:val="000000"/>
          <w:kern w:val="2"/>
          <w:szCs w:val="21"/>
        </w:rPr>
      </w:pPr>
      <w:r>
        <w:fldChar w:fldCharType="begin"/>
      </w:r>
      <w:r>
        <w:instrText xml:space="preserve"> HYPERLINK \l "_Toc518305132" </w:instrText>
      </w:r>
      <w:r>
        <w:fldChar w:fldCharType="separate"/>
      </w:r>
      <w:r>
        <w:rPr>
          <w:rStyle w:val="39"/>
          <w:rFonts w:hint="eastAsia" w:hAnsi="宋体" w:cs="宋体"/>
          <w:color w:val="000000"/>
          <w:szCs w:val="21"/>
          <w:u w:val="none"/>
        </w:rPr>
        <w:t>前  言</w:t>
      </w:r>
      <w:r>
        <w:rPr>
          <w:rFonts w:hint="eastAsia" w:hAnsi="宋体" w:cs="宋体"/>
          <w:color w:val="000000"/>
          <w:szCs w:val="21"/>
        </w:rPr>
        <w:tab/>
      </w:r>
      <w:r>
        <w:rPr>
          <w:rFonts w:hint="eastAsia" w:hAnsi="宋体" w:cs="宋体"/>
          <w:color w:val="000000"/>
          <w:szCs w:val="21"/>
        </w:rPr>
        <w:t>Ⅱ</w:t>
      </w:r>
      <w:r>
        <w:rPr>
          <w:rFonts w:hint="eastAsia" w:hAnsi="宋体" w:cs="宋体"/>
          <w:color w:val="000000"/>
          <w:szCs w:val="21"/>
        </w:rPr>
        <w:fldChar w:fldCharType="end"/>
      </w:r>
    </w:p>
    <w:p>
      <w:pPr>
        <w:pStyle w:val="16"/>
        <w:widowControl w:val="0"/>
        <w:tabs>
          <w:tab w:val="left" w:pos="368"/>
          <w:tab w:val="right" w:leader="dot" w:pos="9345"/>
        </w:tabs>
        <w:kinsoku w:val="0"/>
        <w:spacing w:line="360" w:lineRule="auto"/>
        <w:rPr>
          <w:rFonts w:hAnsi="宋体" w:cs="宋体"/>
          <w:color w:val="000000"/>
          <w:kern w:val="2"/>
          <w:szCs w:val="22"/>
        </w:rPr>
      </w:pPr>
      <w:r>
        <w:rPr>
          <w:rFonts w:hint="eastAsia" w:hAnsi="宋体" w:cs="宋体"/>
        </w:rPr>
        <w:fldChar w:fldCharType="begin"/>
      </w:r>
      <w:r>
        <w:rPr>
          <w:rFonts w:hint="eastAsia" w:hAnsi="宋体" w:cs="宋体"/>
        </w:rPr>
        <w:instrText xml:space="preserve"> HYPERLINK \l "_Toc516736142" </w:instrText>
      </w:r>
      <w:r>
        <w:rPr>
          <w:rFonts w:hint="eastAsia" w:hAnsi="宋体" w:cs="宋体"/>
        </w:rPr>
        <w:fldChar w:fldCharType="separate"/>
      </w:r>
      <w:r>
        <w:rPr>
          <w:rStyle w:val="39"/>
          <w:rFonts w:hint="eastAsia" w:ascii="宋体" w:hAnsi="宋体" w:cs="宋体"/>
          <w:color w:val="000000"/>
          <w:u w:val="none"/>
        </w:rPr>
        <w:t>1.范围</w:t>
      </w:r>
      <w:r>
        <w:rPr>
          <w:rFonts w:hint="eastAsia" w:hAnsi="宋体" w:cs="宋体"/>
          <w:color w:val="000000"/>
        </w:rPr>
        <w:tab/>
      </w:r>
      <w:r>
        <w:rPr>
          <w:rFonts w:hint="eastAsia" w:hAnsi="宋体" w:cs="宋体"/>
          <w:color w:val="000000"/>
        </w:rPr>
        <w:fldChar w:fldCharType="end"/>
      </w:r>
      <w:r>
        <w:rPr>
          <w:rFonts w:hint="eastAsia" w:hAnsi="宋体" w:cs="宋体"/>
          <w:color w:val="000000"/>
        </w:rPr>
        <w:t>1</w:t>
      </w:r>
    </w:p>
    <w:p>
      <w:pPr>
        <w:pStyle w:val="16"/>
        <w:tabs>
          <w:tab w:val="right" w:leader="dot" w:pos="9345"/>
        </w:tabs>
        <w:spacing w:line="360" w:lineRule="auto"/>
        <w:rPr>
          <w:rFonts w:hAnsi="宋体" w:cs="宋体"/>
          <w:color w:val="000000"/>
          <w:kern w:val="2"/>
          <w:szCs w:val="21"/>
        </w:rPr>
      </w:pPr>
      <w:r>
        <w:rPr>
          <w:rFonts w:hint="eastAsia" w:hAnsi="宋体" w:cs="宋体"/>
        </w:rPr>
        <w:fldChar w:fldCharType="begin"/>
      </w:r>
      <w:r>
        <w:rPr>
          <w:rFonts w:hint="eastAsia" w:hAnsi="宋体" w:cs="宋体"/>
        </w:rPr>
        <w:instrText xml:space="preserve"> HYPERLINK \l "_Toc518305135" </w:instrText>
      </w:r>
      <w:r>
        <w:rPr>
          <w:rFonts w:hint="eastAsia" w:hAnsi="宋体" w:cs="宋体"/>
        </w:rPr>
        <w:fldChar w:fldCharType="separate"/>
      </w:r>
      <w:r>
        <w:rPr>
          <w:rStyle w:val="39"/>
          <w:rFonts w:hint="eastAsia" w:ascii="宋体" w:hAnsi="宋体" w:cs="宋体"/>
          <w:color w:val="000000"/>
          <w:szCs w:val="21"/>
          <w:u w:val="none"/>
        </w:rPr>
        <w:t>2.规范性引用文件</w:t>
      </w:r>
      <w:r>
        <w:rPr>
          <w:rFonts w:hint="eastAsia" w:hAnsi="宋体" w:cs="宋体"/>
          <w:color w:val="000000"/>
          <w:szCs w:val="21"/>
        </w:rPr>
        <w:tab/>
      </w:r>
      <w:r>
        <w:rPr>
          <w:rFonts w:hint="eastAsia" w:hAnsi="宋体" w:cs="宋体"/>
          <w:color w:val="000000"/>
          <w:szCs w:val="21"/>
        </w:rPr>
        <w:fldChar w:fldCharType="end"/>
      </w:r>
      <w:r>
        <w:rPr>
          <w:rFonts w:hint="eastAsia" w:hAnsi="宋体" w:cs="宋体"/>
          <w:color w:val="000000"/>
          <w:szCs w:val="21"/>
        </w:rPr>
        <w:t>1</w:t>
      </w:r>
    </w:p>
    <w:p>
      <w:pPr>
        <w:pStyle w:val="16"/>
        <w:tabs>
          <w:tab w:val="right" w:leader="dot" w:pos="9345"/>
        </w:tabs>
        <w:spacing w:line="360" w:lineRule="auto"/>
        <w:rPr>
          <w:rFonts w:hAnsi="宋体" w:cs="宋体"/>
          <w:color w:val="000000"/>
          <w:kern w:val="2"/>
          <w:szCs w:val="21"/>
        </w:rPr>
      </w:pPr>
      <w:r>
        <w:rPr>
          <w:rFonts w:hint="eastAsia" w:hAnsi="宋体" w:cs="宋体"/>
        </w:rPr>
        <w:fldChar w:fldCharType="begin"/>
      </w:r>
      <w:r>
        <w:rPr>
          <w:rFonts w:hint="eastAsia" w:hAnsi="宋体" w:cs="宋体"/>
        </w:rPr>
        <w:instrText xml:space="preserve"> HYPERLINK \l "_Toc518305136" </w:instrText>
      </w:r>
      <w:r>
        <w:rPr>
          <w:rFonts w:hint="eastAsia" w:hAnsi="宋体" w:cs="宋体"/>
        </w:rPr>
        <w:fldChar w:fldCharType="separate"/>
      </w:r>
      <w:r>
        <w:rPr>
          <w:rStyle w:val="39"/>
          <w:rFonts w:hint="eastAsia" w:ascii="宋体" w:hAnsi="宋体" w:cs="宋体"/>
          <w:color w:val="000000"/>
          <w:szCs w:val="21"/>
          <w:u w:val="none"/>
        </w:rPr>
        <w:t>3.术语和定义</w:t>
      </w:r>
      <w:r>
        <w:rPr>
          <w:rFonts w:hint="eastAsia" w:hAnsi="宋体" w:cs="宋体"/>
          <w:color w:val="000000"/>
          <w:szCs w:val="21"/>
        </w:rPr>
        <w:tab/>
      </w:r>
      <w:r>
        <w:rPr>
          <w:rFonts w:hint="eastAsia" w:hAnsi="宋体" w:cs="宋体"/>
          <w:color w:val="000000"/>
          <w:szCs w:val="21"/>
        </w:rPr>
        <w:fldChar w:fldCharType="end"/>
      </w:r>
      <w:r>
        <w:rPr>
          <w:rFonts w:hint="eastAsia" w:hAnsi="宋体" w:cs="宋体"/>
          <w:color w:val="000000"/>
          <w:szCs w:val="21"/>
        </w:rPr>
        <w:t>1</w:t>
      </w:r>
    </w:p>
    <w:p>
      <w:pPr>
        <w:pStyle w:val="16"/>
        <w:tabs>
          <w:tab w:val="left" w:pos="368"/>
          <w:tab w:val="right" w:leader="dot" w:pos="9345"/>
        </w:tabs>
        <w:spacing w:line="360" w:lineRule="auto"/>
        <w:rPr>
          <w:rFonts w:hint="eastAsia" w:hAnsi="宋体" w:eastAsia="宋体" w:cs="宋体"/>
          <w:color w:val="000000"/>
          <w:kern w:val="2"/>
          <w:szCs w:val="21"/>
          <w:lang w:eastAsia="zh-CN"/>
        </w:rPr>
      </w:pPr>
      <w:r>
        <w:rPr>
          <w:rFonts w:hint="eastAsia" w:hAnsi="宋体" w:cs="宋体"/>
        </w:rPr>
        <w:fldChar w:fldCharType="begin"/>
      </w:r>
      <w:r>
        <w:rPr>
          <w:rFonts w:hint="eastAsia" w:hAnsi="宋体" w:cs="宋体"/>
        </w:rPr>
        <w:instrText xml:space="preserve"> HYPERLINK \l "_Toc518305138" </w:instrText>
      </w:r>
      <w:r>
        <w:rPr>
          <w:rFonts w:hint="eastAsia" w:hAnsi="宋体" w:cs="宋体"/>
        </w:rPr>
        <w:fldChar w:fldCharType="separate"/>
      </w:r>
      <w:r>
        <w:rPr>
          <w:rFonts w:hint="eastAsia" w:hAnsi="宋体" w:cs="宋体"/>
        </w:rPr>
        <w:t>4</w:t>
      </w:r>
      <w:r>
        <w:rPr>
          <w:rStyle w:val="39"/>
          <w:rFonts w:hint="eastAsia" w:ascii="宋体" w:hAnsi="宋体" w:cs="宋体"/>
          <w:color w:val="000000"/>
          <w:szCs w:val="21"/>
          <w:u w:val="none"/>
        </w:rPr>
        <w:t>.</w:t>
      </w:r>
      <w:r>
        <w:rPr>
          <w:rFonts w:hint="eastAsia" w:hAnsi="宋体" w:cs="宋体"/>
          <w:szCs w:val="21"/>
        </w:rPr>
        <w:t>评价要求</w:t>
      </w:r>
      <w:r>
        <w:rPr>
          <w:rFonts w:hint="eastAsia" w:hAnsi="宋体" w:cs="宋体"/>
          <w:color w:val="000000"/>
          <w:szCs w:val="21"/>
        </w:rPr>
        <w:tab/>
      </w:r>
      <w:r>
        <w:rPr>
          <w:rFonts w:hint="eastAsia" w:hAnsi="宋体" w:cs="宋体"/>
          <w:color w:val="000000"/>
          <w:szCs w:val="21"/>
        </w:rPr>
        <w:fldChar w:fldCharType="end"/>
      </w:r>
      <w:r>
        <w:rPr>
          <w:rFonts w:hint="eastAsia" w:hAnsi="宋体" w:cs="宋体"/>
          <w:color w:val="000000"/>
          <w:szCs w:val="21"/>
          <w:lang w:val="en-US" w:eastAsia="zh-CN"/>
        </w:rPr>
        <w:t>2</w:t>
      </w:r>
    </w:p>
    <w:p>
      <w:pPr>
        <w:pStyle w:val="16"/>
        <w:tabs>
          <w:tab w:val="left" w:pos="368"/>
          <w:tab w:val="right" w:leader="dot" w:pos="9345"/>
        </w:tabs>
        <w:spacing w:line="360" w:lineRule="auto"/>
        <w:rPr>
          <w:rFonts w:hint="eastAsia" w:hAnsi="宋体" w:eastAsia="宋体" w:cs="宋体"/>
          <w:color w:val="000000"/>
          <w:kern w:val="2"/>
          <w:szCs w:val="21"/>
          <w:lang w:eastAsia="zh-CN"/>
        </w:rPr>
      </w:pPr>
      <w:r>
        <w:rPr>
          <w:rFonts w:hint="eastAsia" w:hAnsi="宋体" w:cs="宋体"/>
        </w:rPr>
        <w:fldChar w:fldCharType="begin"/>
      </w:r>
      <w:r>
        <w:rPr>
          <w:rFonts w:hint="eastAsia" w:hAnsi="宋体" w:cs="宋体"/>
        </w:rPr>
        <w:instrText xml:space="preserve"> HYPERLINK \l "_Toc518305138" </w:instrText>
      </w:r>
      <w:r>
        <w:rPr>
          <w:rFonts w:hint="eastAsia" w:hAnsi="宋体" w:cs="宋体"/>
        </w:rPr>
        <w:fldChar w:fldCharType="separate"/>
      </w:r>
      <w:r>
        <w:rPr>
          <w:rStyle w:val="39"/>
          <w:rFonts w:hint="eastAsia" w:ascii="宋体" w:hAnsi="宋体" w:cs="宋体"/>
          <w:color w:val="auto"/>
          <w:szCs w:val="21"/>
          <w:u w:val="none"/>
        </w:rPr>
        <w:t>5.</w:t>
      </w:r>
      <w:r>
        <w:rPr>
          <w:rStyle w:val="39"/>
          <w:rFonts w:hint="eastAsia" w:ascii="宋体" w:hAnsi="宋体" w:cs="宋体"/>
          <w:b w:val="0"/>
          <w:color w:val="auto"/>
          <w:szCs w:val="21"/>
          <w:u w:val="none"/>
        </w:rPr>
        <w:t>生命周期评价报告编制方法</w:t>
      </w:r>
      <w:r>
        <w:rPr>
          <w:rFonts w:hint="eastAsia" w:hAnsi="宋体" w:cs="宋体"/>
          <w:color w:val="000000"/>
          <w:szCs w:val="21"/>
        </w:rPr>
        <w:tab/>
      </w:r>
      <w:r>
        <w:rPr>
          <w:rFonts w:hint="eastAsia" w:hAnsi="宋体" w:cs="宋体"/>
          <w:color w:val="000000"/>
          <w:szCs w:val="21"/>
        </w:rPr>
        <w:fldChar w:fldCharType="end"/>
      </w:r>
      <w:r>
        <w:rPr>
          <w:rFonts w:hint="eastAsia" w:hAnsi="宋体" w:cs="宋体"/>
          <w:color w:val="000000"/>
          <w:szCs w:val="21"/>
          <w:lang w:val="en-US" w:eastAsia="zh-CN"/>
        </w:rPr>
        <w:t>3</w:t>
      </w:r>
    </w:p>
    <w:p>
      <w:pPr>
        <w:pStyle w:val="16"/>
        <w:tabs>
          <w:tab w:val="left" w:pos="368"/>
          <w:tab w:val="right" w:leader="dot" w:pos="9345"/>
        </w:tabs>
        <w:spacing w:line="360" w:lineRule="auto"/>
        <w:rPr>
          <w:rFonts w:hint="eastAsia" w:hAnsi="宋体" w:eastAsia="宋体" w:cs="宋体"/>
          <w:color w:val="000000"/>
          <w:kern w:val="2"/>
          <w:szCs w:val="21"/>
          <w:lang w:eastAsia="zh-CN"/>
        </w:rPr>
      </w:pPr>
      <w:r>
        <w:rPr>
          <w:rFonts w:hint="eastAsia" w:hAnsi="宋体" w:cs="宋体"/>
        </w:rPr>
        <w:fldChar w:fldCharType="begin"/>
      </w:r>
      <w:r>
        <w:rPr>
          <w:rFonts w:hint="eastAsia" w:hAnsi="宋体" w:cs="宋体"/>
        </w:rPr>
        <w:instrText xml:space="preserve"> HYPERLINK \l "_Toc518305138" </w:instrText>
      </w:r>
      <w:r>
        <w:rPr>
          <w:rFonts w:hint="eastAsia" w:hAnsi="宋体" w:cs="宋体"/>
        </w:rPr>
        <w:fldChar w:fldCharType="separate"/>
      </w:r>
      <w:r>
        <w:rPr>
          <w:rStyle w:val="39"/>
          <w:rFonts w:hint="eastAsia" w:ascii="宋体" w:hAnsi="宋体" w:cs="宋体"/>
          <w:color w:val="000000"/>
          <w:szCs w:val="21"/>
          <w:u w:val="none"/>
        </w:rPr>
        <w:t>6.</w:t>
      </w:r>
      <w:r>
        <w:rPr>
          <w:rFonts w:hint="eastAsia" w:hAnsi="宋体" w:cs="宋体"/>
          <w:szCs w:val="21"/>
        </w:rPr>
        <w:t>评价方法</w:t>
      </w:r>
      <w:r>
        <w:rPr>
          <w:rFonts w:hint="eastAsia" w:hAnsi="宋体" w:cs="宋体"/>
          <w:color w:val="000000"/>
          <w:szCs w:val="21"/>
        </w:rPr>
        <w:tab/>
      </w:r>
      <w:r>
        <w:rPr>
          <w:rFonts w:hint="eastAsia" w:hAnsi="宋体" w:cs="宋体"/>
          <w:color w:val="000000"/>
          <w:szCs w:val="21"/>
        </w:rPr>
        <w:fldChar w:fldCharType="end"/>
      </w:r>
      <w:r>
        <w:rPr>
          <w:rFonts w:hint="eastAsia" w:hAnsi="宋体" w:cs="宋体"/>
          <w:color w:val="000000"/>
          <w:szCs w:val="21"/>
          <w:lang w:val="en-US" w:eastAsia="zh-CN"/>
        </w:rPr>
        <w:t>4</w:t>
      </w:r>
    </w:p>
    <w:p>
      <w:pPr>
        <w:pStyle w:val="16"/>
        <w:tabs>
          <w:tab w:val="left" w:pos="368"/>
          <w:tab w:val="right" w:leader="dot" w:pos="9345"/>
        </w:tabs>
        <w:spacing w:line="360" w:lineRule="auto"/>
        <w:rPr>
          <w:rFonts w:hint="eastAsia" w:hAnsi="宋体" w:eastAsia="宋体" w:cs="宋体"/>
          <w:color w:val="000000"/>
          <w:kern w:val="2"/>
          <w:szCs w:val="21"/>
          <w:lang w:eastAsia="zh-CN"/>
        </w:rPr>
      </w:pPr>
      <w:r>
        <w:rPr>
          <w:rFonts w:hint="eastAsia"/>
        </w:rPr>
        <w:fldChar w:fldCharType="begin"/>
      </w:r>
      <w:r>
        <w:instrText xml:space="preserve"> HYPERLINK \l "_Toc518305138" </w:instrText>
      </w:r>
      <w:r>
        <w:rPr>
          <w:rFonts w:hint="eastAsia"/>
        </w:rPr>
        <w:fldChar w:fldCharType="separate"/>
      </w:r>
      <w:r>
        <w:rPr>
          <w:rFonts w:hint="eastAsia" w:hAnsi="宋体" w:cs="宋体"/>
          <w:szCs w:val="21"/>
        </w:rPr>
        <w:t>附</w:t>
      </w:r>
      <w:r>
        <w:rPr>
          <w:rFonts w:hint="eastAsia" w:hAnsi="宋体" w:cs="宋体"/>
          <w:spacing w:val="50"/>
          <w:szCs w:val="21"/>
        </w:rPr>
        <w:t>录</w:t>
      </w:r>
      <w:r>
        <w:rPr>
          <w:rFonts w:hint="eastAsia" w:hAnsi="宋体" w:cs="宋体"/>
          <w:szCs w:val="21"/>
        </w:rPr>
        <w:t>A （</w:t>
      </w:r>
      <w:r>
        <w:rPr>
          <w:rFonts w:hint="eastAsia" w:hAnsi="宋体" w:cs="宋体"/>
          <w:spacing w:val="-3"/>
          <w:szCs w:val="21"/>
          <w:lang w:eastAsia="zh-CN"/>
        </w:rPr>
        <w:t>规范</w:t>
      </w:r>
      <w:r>
        <w:rPr>
          <w:rFonts w:hint="eastAsia" w:hAnsi="宋体" w:cs="宋体"/>
          <w:spacing w:val="-3"/>
          <w:szCs w:val="21"/>
        </w:rPr>
        <w:t>性）</w:t>
      </w:r>
      <w:r>
        <w:rPr>
          <w:rFonts w:hint="eastAsia" w:hAnsi="宋体" w:cs="宋体"/>
          <w:spacing w:val="-3"/>
          <w:szCs w:val="21"/>
          <w:lang w:eastAsia="zh-CN"/>
        </w:rPr>
        <w:t>软水机</w:t>
      </w:r>
      <w:r>
        <w:rPr>
          <w:rFonts w:hint="eastAsia" w:hAnsi="宋体" w:cs="宋体"/>
          <w:spacing w:val="-3"/>
          <w:szCs w:val="21"/>
        </w:rPr>
        <w:t>产品生</w:t>
      </w:r>
      <w:r>
        <w:rPr>
          <w:rFonts w:hint="eastAsia" w:hAnsi="宋体" w:cs="宋体"/>
          <w:szCs w:val="21"/>
        </w:rPr>
        <w:t>命</w:t>
      </w:r>
      <w:r>
        <w:rPr>
          <w:rFonts w:hint="eastAsia" w:hAnsi="宋体" w:cs="宋体"/>
          <w:spacing w:val="-3"/>
          <w:szCs w:val="21"/>
        </w:rPr>
        <w:t>周</w:t>
      </w:r>
      <w:r>
        <w:rPr>
          <w:rFonts w:hint="eastAsia" w:hAnsi="宋体" w:cs="宋体"/>
          <w:szCs w:val="21"/>
        </w:rPr>
        <w:t>期</w:t>
      </w:r>
      <w:r>
        <w:rPr>
          <w:rFonts w:hint="eastAsia" w:hAnsi="宋体" w:cs="宋体"/>
          <w:spacing w:val="-3"/>
          <w:szCs w:val="21"/>
        </w:rPr>
        <w:t>评</w:t>
      </w:r>
      <w:r>
        <w:rPr>
          <w:rFonts w:hint="eastAsia" w:hAnsi="宋体" w:cs="宋体"/>
          <w:szCs w:val="21"/>
        </w:rPr>
        <w:t>价方法</w:t>
      </w:r>
      <w:r>
        <w:rPr>
          <w:rFonts w:hint="eastAsia" w:hAnsi="宋体" w:cs="宋体"/>
          <w:color w:val="000000"/>
          <w:szCs w:val="21"/>
        </w:rPr>
        <w:tab/>
      </w:r>
      <w:r>
        <w:rPr>
          <w:rFonts w:hint="eastAsia" w:hAnsi="宋体" w:cs="宋体"/>
          <w:color w:val="000000"/>
          <w:szCs w:val="21"/>
        </w:rPr>
        <w:fldChar w:fldCharType="end"/>
      </w:r>
      <w:r>
        <w:rPr>
          <w:rFonts w:hint="eastAsia" w:hAnsi="宋体" w:cs="宋体"/>
          <w:color w:val="000000"/>
          <w:szCs w:val="21"/>
          <w:lang w:val="en-US" w:eastAsia="zh-CN"/>
        </w:rPr>
        <w:t>5</w:t>
      </w:r>
    </w:p>
    <w:p>
      <w:pPr>
        <w:pStyle w:val="16"/>
        <w:tabs>
          <w:tab w:val="left" w:pos="368"/>
          <w:tab w:val="right" w:leader="dot" w:pos="9345"/>
        </w:tabs>
        <w:spacing w:line="360" w:lineRule="auto"/>
        <w:rPr>
          <w:rFonts w:hint="default" w:hAnsi="宋体" w:eastAsia="宋体" w:cs="宋体"/>
          <w:color w:val="000000"/>
          <w:kern w:val="2"/>
          <w:szCs w:val="21"/>
          <w:lang w:val="en-US" w:eastAsia="zh-CN"/>
        </w:rPr>
      </w:pPr>
      <w:r>
        <w:rPr>
          <w:rFonts w:hint="eastAsia"/>
        </w:rPr>
        <w:fldChar w:fldCharType="begin"/>
      </w:r>
      <w:r>
        <w:instrText xml:space="preserve"> HYPERLINK \l "_Toc518305138" </w:instrText>
      </w:r>
      <w:r>
        <w:rPr>
          <w:rFonts w:hint="eastAsia"/>
        </w:rPr>
        <w:fldChar w:fldCharType="separate"/>
      </w:r>
      <w:r>
        <w:rPr>
          <w:rFonts w:hint="eastAsia"/>
        </w:rPr>
        <w:fldChar w:fldCharType="begin"/>
      </w:r>
      <w:r>
        <w:instrText xml:space="preserve"> HYPERLINK \l "_Toc518305138" </w:instrText>
      </w:r>
      <w:r>
        <w:rPr>
          <w:rFonts w:hint="eastAsia"/>
        </w:rPr>
        <w:fldChar w:fldCharType="separate"/>
      </w:r>
      <w:r>
        <w:rPr>
          <w:rFonts w:hint="eastAsia" w:hAnsi="宋体" w:cs="宋体"/>
          <w:szCs w:val="21"/>
        </w:rPr>
        <w:t>附</w:t>
      </w:r>
      <w:r>
        <w:rPr>
          <w:rFonts w:hint="eastAsia" w:hAnsi="宋体" w:cs="宋体"/>
          <w:spacing w:val="50"/>
          <w:szCs w:val="21"/>
        </w:rPr>
        <w:t>录</w:t>
      </w:r>
      <w:r>
        <w:rPr>
          <w:rFonts w:hint="eastAsia" w:hAnsi="宋体" w:cs="宋体"/>
          <w:szCs w:val="21"/>
          <w:lang w:val="en-US" w:eastAsia="zh-CN"/>
        </w:rPr>
        <w:t>B</w:t>
      </w:r>
      <w:r>
        <w:rPr>
          <w:rFonts w:hint="eastAsia" w:hAnsi="宋体" w:cs="宋体"/>
          <w:szCs w:val="21"/>
        </w:rPr>
        <w:t xml:space="preserve"> （</w:t>
      </w:r>
      <w:r>
        <w:rPr>
          <w:rFonts w:hint="eastAsia" w:hAnsi="宋体" w:cs="宋体"/>
          <w:spacing w:val="-3"/>
          <w:szCs w:val="21"/>
          <w:lang w:eastAsia="zh-CN"/>
        </w:rPr>
        <w:t>规范</w:t>
      </w:r>
      <w:r>
        <w:rPr>
          <w:rFonts w:hint="eastAsia" w:hAnsi="宋体" w:cs="宋体"/>
          <w:spacing w:val="-3"/>
          <w:szCs w:val="21"/>
        </w:rPr>
        <w:t>性）</w:t>
      </w:r>
      <w:r>
        <w:rPr>
          <w:rFonts w:hint="eastAsia" w:hAnsi="宋体" w:cs="宋体"/>
          <w:spacing w:val="-3"/>
          <w:szCs w:val="21"/>
          <w:lang w:eastAsia="zh-CN"/>
        </w:rPr>
        <w:t>软水机</w:t>
      </w:r>
      <w:r>
        <w:rPr>
          <w:rFonts w:hint="eastAsia" w:hAnsi="宋体" w:cs="宋体"/>
          <w:szCs w:val="21"/>
          <w:lang w:val="en-US" w:eastAsia="zh-CN"/>
        </w:rPr>
        <w:t>生命周期评价报告格式</w:t>
      </w:r>
      <w:r>
        <w:rPr>
          <w:rFonts w:hint="eastAsia" w:hAnsi="宋体" w:cs="宋体"/>
          <w:color w:val="000000"/>
          <w:szCs w:val="21"/>
        </w:rPr>
        <w:tab/>
      </w:r>
      <w:r>
        <w:rPr>
          <w:rFonts w:hint="eastAsia" w:hAnsi="宋体" w:cs="宋体"/>
          <w:color w:val="000000"/>
          <w:szCs w:val="21"/>
        </w:rPr>
        <w:fldChar w:fldCharType="end"/>
      </w:r>
      <w:r>
        <w:rPr>
          <w:rFonts w:hint="eastAsia" w:hAnsi="宋体" w:cs="宋体"/>
          <w:color w:val="000000"/>
          <w:szCs w:val="21"/>
          <w:lang w:val="en-US" w:eastAsia="zh-CN"/>
        </w:rPr>
        <w:t>12</w:t>
      </w:r>
    </w:p>
    <w:p>
      <w:pPr>
        <w:pStyle w:val="16"/>
        <w:tabs>
          <w:tab w:val="left" w:pos="368"/>
          <w:tab w:val="right" w:leader="dot" w:pos="9345"/>
        </w:tabs>
        <w:spacing w:line="360" w:lineRule="auto"/>
        <w:rPr>
          <w:rFonts w:hint="default" w:hAnsi="宋体" w:eastAsia="宋体" w:cs="宋体"/>
          <w:b w:val="0"/>
          <w:bCs w:val="0"/>
          <w:color w:val="000000"/>
          <w:kern w:val="2"/>
          <w:szCs w:val="21"/>
          <w:lang w:val="en-US" w:eastAsia="zh-CN"/>
        </w:rPr>
      </w:pPr>
      <w:r>
        <w:rPr>
          <w:rFonts w:hint="eastAsia" w:hAnsi="宋体" w:cs="宋体"/>
          <w:color w:val="000000"/>
          <w:szCs w:val="21"/>
        </w:rPr>
        <w:fldChar w:fldCharType="end"/>
      </w:r>
      <w:r>
        <w:rPr>
          <w:rFonts w:hint="eastAsia"/>
        </w:rPr>
        <w:fldChar w:fldCharType="begin"/>
      </w:r>
      <w:r>
        <w:instrText xml:space="preserve"> HYPERLINK \l "_Toc518305138" </w:instrText>
      </w:r>
      <w:r>
        <w:rPr>
          <w:rFonts w:hint="eastAsia"/>
        </w:rPr>
        <w:fldChar w:fldCharType="separate"/>
      </w:r>
      <w:r>
        <w:rPr>
          <w:rFonts w:hint="eastAsia" w:hAnsi="宋体" w:cs="宋体"/>
          <w:szCs w:val="21"/>
        </w:rPr>
        <w:t>附</w:t>
      </w:r>
      <w:r>
        <w:rPr>
          <w:rFonts w:hint="eastAsia" w:hAnsi="宋体" w:cs="宋体"/>
          <w:spacing w:val="50"/>
          <w:szCs w:val="21"/>
        </w:rPr>
        <w:t>录</w:t>
      </w:r>
      <w:r>
        <w:rPr>
          <w:rFonts w:hint="eastAsia"/>
        </w:rPr>
        <w:fldChar w:fldCharType="begin"/>
      </w:r>
      <w:r>
        <w:instrText xml:space="preserve"> HYPERLINK \l "_Toc518305138" </w:instrText>
      </w:r>
      <w:r>
        <w:rPr>
          <w:rFonts w:hint="eastAsia"/>
        </w:rPr>
        <w:fldChar w:fldCharType="separate"/>
      </w:r>
      <w:r>
        <w:rPr>
          <w:rFonts w:hint="eastAsia" w:hAnsi="宋体" w:cs="宋体"/>
          <w:szCs w:val="21"/>
          <w:lang w:val="en-US" w:eastAsia="zh-CN"/>
        </w:rPr>
        <w:t xml:space="preserve"> C</w:t>
      </w:r>
      <w:r>
        <w:rPr>
          <w:rFonts w:hint="eastAsia" w:hAnsi="宋体" w:cs="宋体"/>
          <w:szCs w:val="21"/>
        </w:rPr>
        <w:t xml:space="preserve"> （</w:t>
      </w:r>
      <w:r>
        <w:rPr>
          <w:rFonts w:hint="eastAsia" w:hAnsi="宋体" w:cs="宋体"/>
          <w:spacing w:val="-3"/>
          <w:szCs w:val="21"/>
          <w:lang w:eastAsia="zh-CN"/>
        </w:rPr>
        <w:t>规范</w:t>
      </w:r>
      <w:r>
        <w:rPr>
          <w:rFonts w:hint="eastAsia" w:hAnsi="宋体" w:cs="宋体"/>
          <w:spacing w:val="-3"/>
          <w:szCs w:val="21"/>
        </w:rPr>
        <w:t>性）</w:t>
      </w:r>
      <w:r>
        <w:rPr>
          <w:rFonts w:hint="eastAsia" w:hAnsi="宋体" w:cs="宋体"/>
          <w:spacing w:val="-3"/>
          <w:szCs w:val="21"/>
          <w:lang w:eastAsia="zh-CN"/>
        </w:rPr>
        <w:t>软水机</w:t>
      </w:r>
      <w:r>
        <w:rPr>
          <w:rFonts w:hint="eastAsia" w:hAnsi="宋体" w:cs="宋体"/>
          <w:spacing w:val="-3"/>
          <w:szCs w:val="21"/>
          <w:lang w:val="en-US" w:eastAsia="zh-CN"/>
        </w:rPr>
        <w:t>可再生利用率计算方法</w:t>
      </w:r>
      <w:r>
        <w:rPr>
          <w:rFonts w:hint="eastAsia" w:hAnsi="宋体" w:cs="宋体"/>
          <w:color w:val="000000"/>
          <w:szCs w:val="21"/>
        </w:rPr>
        <w:tab/>
      </w:r>
      <w:r>
        <w:rPr>
          <w:rFonts w:hint="eastAsia" w:hAnsi="宋体" w:cs="宋体"/>
          <w:color w:val="000000"/>
          <w:szCs w:val="21"/>
        </w:rPr>
        <w:fldChar w:fldCharType="end"/>
      </w:r>
      <w:r>
        <w:rPr>
          <w:rFonts w:hint="eastAsia" w:hAnsi="宋体" w:cs="宋体"/>
          <w:color w:val="000000"/>
          <w:szCs w:val="21"/>
          <w:lang w:val="en-US" w:eastAsia="zh-CN"/>
        </w:rPr>
        <w:t>14</w:t>
      </w:r>
      <w:r>
        <w:rPr>
          <w:rFonts w:hint="eastAsia" w:hAnsi="宋体" w:cs="宋体"/>
          <w:color w:val="000000"/>
          <w:szCs w:val="21"/>
        </w:rPr>
        <w:tab/>
      </w:r>
      <w:r>
        <w:rPr>
          <w:rFonts w:hint="eastAsia" w:hAnsi="宋体" w:cs="宋体"/>
          <w:color w:val="000000"/>
          <w:szCs w:val="21"/>
        </w:rPr>
        <w:fldChar w:fldCharType="end"/>
      </w:r>
    </w:p>
    <w:p>
      <w:pPr>
        <w:pStyle w:val="16"/>
        <w:tabs>
          <w:tab w:val="left" w:pos="368"/>
          <w:tab w:val="right" w:leader="dot" w:pos="9345"/>
        </w:tabs>
        <w:spacing w:line="360" w:lineRule="auto"/>
        <w:rPr>
          <w:rFonts w:hint="eastAsia"/>
        </w:rPr>
      </w:pPr>
    </w:p>
    <w:p>
      <w:pPr>
        <w:pStyle w:val="16"/>
        <w:tabs>
          <w:tab w:val="left" w:pos="368"/>
          <w:tab w:val="right" w:leader="dot" w:pos="9345"/>
        </w:tabs>
        <w:spacing w:line="360" w:lineRule="auto"/>
        <w:rPr>
          <w:rFonts w:hint="eastAsia"/>
        </w:rPr>
      </w:pPr>
    </w:p>
    <w:bookmarkEnd w:id="1"/>
    <w:p>
      <w:pPr>
        <w:rPr>
          <w:rFonts w:asciiTheme="minorHAnsi" w:hAnsiTheme="minorHAnsi" w:eastAsiaTheme="minorEastAsia" w:cstheme="minorBidi"/>
          <w:b w:val="0"/>
          <w:bCs w:val="0"/>
          <w:kern w:val="2"/>
          <w:szCs w:val="22"/>
          <w:lang w:val="en-US"/>
        </w:rPr>
      </w:pPr>
      <w:bookmarkStart w:id="3" w:name="_Toc72997715"/>
      <w:bookmarkStart w:id="4" w:name="_Toc33615714"/>
      <w:bookmarkStart w:id="5" w:name="_Toc400615134"/>
      <w:bookmarkStart w:id="6" w:name="SectionMark2"/>
    </w:p>
    <w:p>
      <w:pPr>
        <w:rPr>
          <w:rFonts w:asciiTheme="minorHAnsi" w:hAnsiTheme="minorHAnsi" w:eastAsiaTheme="minorEastAsia" w:cstheme="minorBidi"/>
          <w:b w:val="0"/>
          <w:bCs w:val="0"/>
          <w:kern w:val="2"/>
          <w:szCs w:val="22"/>
          <w:lang w:val="en-US"/>
        </w:rPr>
      </w:pPr>
    </w:p>
    <w:p>
      <w:pPr>
        <w:rPr>
          <w:rFonts w:asciiTheme="minorHAnsi" w:hAnsiTheme="minorHAnsi" w:eastAsiaTheme="minorEastAsia" w:cstheme="minorBidi"/>
          <w:b w:val="0"/>
          <w:bCs w:val="0"/>
          <w:kern w:val="2"/>
          <w:szCs w:val="22"/>
          <w:lang w:val="en-US"/>
        </w:rPr>
      </w:pPr>
    </w:p>
    <w:p>
      <w:pPr>
        <w:rPr>
          <w:rFonts w:asciiTheme="minorHAnsi" w:hAnsiTheme="minorHAnsi" w:eastAsiaTheme="minorEastAsia" w:cstheme="minorBidi"/>
          <w:b w:val="0"/>
          <w:bCs w:val="0"/>
          <w:kern w:val="2"/>
          <w:szCs w:val="22"/>
          <w:lang w:val="en-US"/>
        </w:rPr>
      </w:pPr>
    </w:p>
    <w:p>
      <w:pPr>
        <w:rPr>
          <w:rFonts w:asciiTheme="minorHAnsi" w:hAnsiTheme="minorHAnsi" w:eastAsiaTheme="minorEastAsia" w:cstheme="minorBidi"/>
          <w:b w:val="0"/>
          <w:bCs w:val="0"/>
          <w:kern w:val="2"/>
          <w:szCs w:val="22"/>
          <w:lang w:val="en-US"/>
        </w:rPr>
      </w:pPr>
    </w:p>
    <w:p>
      <w:pPr>
        <w:rPr>
          <w:rFonts w:asciiTheme="minorHAnsi" w:hAnsiTheme="minorHAnsi" w:eastAsiaTheme="minorEastAsia" w:cstheme="minorBidi"/>
          <w:b w:val="0"/>
          <w:bCs w:val="0"/>
          <w:kern w:val="2"/>
          <w:szCs w:val="22"/>
          <w:lang w:val="en-US"/>
        </w:rPr>
      </w:pPr>
    </w:p>
    <w:p>
      <w:pPr>
        <w:rPr>
          <w:rFonts w:asciiTheme="minorHAnsi" w:hAnsiTheme="minorHAnsi" w:eastAsiaTheme="minorEastAsia" w:cstheme="minorBidi"/>
          <w:b w:val="0"/>
          <w:bCs w:val="0"/>
          <w:kern w:val="2"/>
          <w:szCs w:val="22"/>
          <w:lang w:val="en-US"/>
        </w:rPr>
      </w:pPr>
    </w:p>
    <w:p>
      <w:pPr>
        <w:rPr>
          <w:rFonts w:asciiTheme="minorHAnsi" w:hAnsiTheme="minorHAnsi" w:eastAsiaTheme="minorEastAsia" w:cstheme="minorBidi"/>
          <w:b w:val="0"/>
          <w:bCs w:val="0"/>
          <w:kern w:val="2"/>
          <w:szCs w:val="22"/>
          <w:lang w:val="en-US"/>
        </w:rPr>
      </w:pPr>
    </w:p>
    <w:p>
      <w:pPr>
        <w:rPr>
          <w:rFonts w:asciiTheme="minorHAnsi" w:hAnsiTheme="minorHAnsi" w:eastAsiaTheme="minorEastAsia" w:cstheme="minorBidi"/>
          <w:b w:val="0"/>
          <w:bCs w:val="0"/>
          <w:kern w:val="2"/>
          <w:szCs w:val="22"/>
          <w:lang w:val="en-US"/>
        </w:rPr>
      </w:pPr>
    </w:p>
    <w:p>
      <w:pPr>
        <w:rPr>
          <w:rFonts w:asciiTheme="minorHAnsi" w:hAnsiTheme="minorHAnsi" w:eastAsiaTheme="minorEastAsia" w:cstheme="minorBidi"/>
          <w:b w:val="0"/>
          <w:bCs w:val="0"/>
          <w:kern w:val="2"/>
          <w:szCs w:val="22"/>
          <w:lang w:val="en-US"/>
        </w:rPr>
      </w:pPr>
    </w:p>
    <w:p>
      <w:pPr>
        <w:rPr>
          <w:rFonts w:asciiTheme="minorHAnsi" w:hAnsiTheme="minorHAnsi" w:eastAsiaTheme="minorEastAsia" w:cstheme="minorBidi"/>
          <w:b w:val="0"/>
          <w:bCs w:val="0"/>
          <w:kern w:val="2"/>
          <w:szCs w:val="22"/>
          <w:lang w:val="en-US"/>
        </w:rPr>
      </w:pPr>
    </w:p>
    <w:p>
      <w:pPr>
        <w:rPr>
          <w:rFonts w:asciiTheme="minorHAnsi" w:hAnsiTheme="minorHAnsi" w:eastAsiaTheme="minorEastAsia" w:cstheme="minorBidi"/>
          <w:b w:val="0"/>
          <w:bCs w:val="0"/>
          <w:kern w:val="2"/>
          <w:szCs w:val="22"/>
          <w:lang w:val="en-US"/>
        </w:rPr>
      </w:pPr>
    </w:p>
    <w:p>
      <w:pPr>
        <w:rPr>
          <w:rFonts w:asciiTheme="minorHAnsi" w:hAnsiTheme="minorHAnsi" w:eastAsiaTheme="minorEastAsia" w:cstheme="minorBidi"/>
          <w:b w:val="0"/>
          <w:bCs w:val="0"/>
          <w:kern w:val="2"/>
          <w:szCs w:val="22"/>
          <w:lang w:val="en-US"/>
        </w:rPr>
      </w:pPr>
    </w:p>
    <w:p>
      <w:pPr>
        <w:rPr>
          <w:rFonts w:asciiTheme="minorHAnsi" w:hAnsiTheme="minorHAnsi" w:eastAsiaTheme="minorEastAsia" w:cstheme="minorBidi"/>
          <w:b w:val="0"/>
          <w:bCs w:val="0"/>
          <w:kern w:val="2"/>
          <w:szCs w:val="22"/>
          <w:lang w:val="en-US"/>
        </w:rPr>
      </w:pPr>
    </w:p>
    <w:p>
      <w:pPr>
        <w:rPr>
          <w:rFonts w:asciiTheme="minorHAnsi" w:hAnsiTheme="minorHAnsi" w:eastAsiaTheme="minorEastAsia" w:cstheme="minorBidi"/>
          <w:b w:val="0"/>
          <w:bCs w:val="0"/>
          <w:kern w:val="2"/>
          <w:szCs w:val="22"/>
          <w:lang w:val="en-US"/>
        </w:rPr>
      </w:pPr>
    </w:p>
    <w:p>
      <w:pPr>
        <w:rPr>
          <w:rFonts w:asciiTheme="minorHAnsi" w:hAnsiTheme="minorHAnsi" w:eastAsiaTheme="minorEastAsia" w:cstheme="minorBidi"/>
          <w:b w:val="0"/>
          <w:bCs w:val="0"/>
          <w:kern w:val="2"/>
          <w:szCs w:val="22"/>
          <w:lang w:val="en-US"/>
        </w:rPr>
      </w:pPr>
    </w:p>
    <w:p>
      <w:pPr>
        <w:rPr>
          <w:rFonts w:asciiTheme="minorHAnsi" w:hAnsiTheme="minorHAnsi" w:eastAsiaTheme="minorEastAsia" w:cstheme="minorBidi"/>
          <w:b w:val="0"/>
          <w:bCs w:val="0"/>
          <w:kern w:val="2"/>
          <w:szCs w:val="22"/>
          <w:lang w:val="en-US"/>
        </w:rPr>
      </w:pPr>
    </w:p>
    <w:p>
      <w:pPr>
        <w:rPr>
          <w:rFonts w:asciiTheme="minorHAnsi" w:hAnsiTheme="minorHAnsi" w:eastAsiaTheme="minorEastAsia" w:cstheme="minorBidi"/>
          <w:b w:val="0"/>
          <w:bCs w:val="0"/>
          <w:kern w:val="2"/>
          <w:szCs w:val="22"/>
          <w:lang w:val="en-US"/>
        </w:rPr>
      </w:pPr>
    </w:p>
    <w:p>
      <w:pPr>
        <w:rPr>
          <w:rFonts w:asciiTheme="minorHAnsi" w:hAnsiTheme="minorHAnsi" w:eastAsiaTheme="minorEastAsia" w:cstheme="minorBidi"/>
          <w:b w:val="0"/>
          <w:bCs w:val="0"/>
          <w:kern w:val="2"/>
          <w:szCs w:val="22"/>
          <w:lang w:val="en-US"/>
        </w:rPr>
      </w:pPr>
    </w:p>
    <w:p>
      <w:pPr>
        <w:rPr>
          <w:rFonts w:asciiTheme="minorHAnsi" w:hAnsiTheme="minorHAnsi" w:eastAsiaTheme="minorEastAsia" w:cstheme="minorBidi"/>
          <w:b w:val="0"/>
          <w:bCs w:val="0"/>
          <w:kern w:val="2"/>
          <w:szCs w:val="22"/>
          <w:lang w:val="en-US"/>
        </w:rPr>
      </w:pPr>
    </w:p>
    <w:p>
      <w:pPr>
        <w:rPr>
          <w:rFonts w:asciiTheme="minorHAnsi" w:hAnsiTheme="minorHAnsi" w:eastAsiaTheme="minorEastAsia" w:cstheme="minorBidi"/>
          <w:b w:val="0"/>
          <w:bCs w:val="0"/>
          <w:kern w:val="2"/>
          <w:szCs w:val="22"/>
          <w:lang w:val="en-US"/>
        </w:rPr>
      </w:pPr>
    </w:p>
    <w:p>
      <w:pPr>
        <w:rPr>
          <w:rFonts w:asciiTheme="minorHAnsi" w:hAnsiTheme="minorHAnsi" w:eastAsiaTheme="minorEastAsia" w:cstheme="minorBidi"/>
          <w:b w:val="0"/>
          <w:bCs w:val="0"/>
          <w:kern w:val="2"/>
          <w:szCs w:val="22"/>
          <w:lang w:val="en-US"/>
        </w:rPr>
      </w:pPr>
    </w:p>
    <w:p>
      <w:pPr>
        <w:rPr>
          <w:rFonts w:asciiTheme="minorHAnsi" w:hAnsiTheme="minorHAnsi" w:eastAsiaTheme="minorEastAsia" w:cstheme="minorBidi"/>
          <w:b w:val="0"/>
          <w:bCs w:val="0"/>
          <w:kern w:val="2"/>
          <w:szCs w:val="22"/>
          <w:lang w:val="en-US"/>
        </w:rPr>
      </w:pPr>
    </w:p>
    <w:p>
      <w:pPr>
        <w:rPr>
          <w:rFonts w:asciiTheme="minorHAnsi" w:hAnsiTheme="minorHAnsi" w:eastAsiaTheme="minorEastAsia" w:cstheme="minorBidi"/>
          <w:b w:val="0"/>
          <w:bCs w:val="0"/>
          <w:kern w:val="2"/>
          <w:szCs w:val="22"/>
          <w:lang w:val="en-US"/>
        </w:rPr>
      </w:pPr>
    </w:p>
    <w:p>
      <w:pPr>
        <w:rPr>
          <w:rFonts w:asciiTheme="minorHAnsi" w:hAnsiTheme="minorHAnsi" w:eastAsiaTheme="minorEastAsia" w:cstheme="minorBidi"/>
          <w:b w:val="0"/>
          <w:bCs w:val="0"/>
          <w:kern w:val="2"/>
          <w:szCs w:val="22"/>
          <w:lang w:val="en-US"/>
        </w:rPr>
      </w:pPr>
    </w:p>
    <w:p>
      <w:pPr>
        <w:jc w:val="center"/>
        <w:rPr>
          <w:rFonts w:hint="eastAsia" w:ascii="黑体" w:hAnsi="黑体" w:eastAsia="黑体" w:cs="黑体"/>
          <w:sz w:val="32"/>
          <w:szCs w:val="32"/>
        </w:rPr>
      </w:pPr>
      <w:r>
        <w:rPr>
          <w:rFonts w:hint="eastAsia" w:ascii="黑体" w:hAnsi="黑体" w:eastAsia="黑体" w:cs="黑体"/>
          <w:sz w:val="32"/>
          <w:szCs w:val="32"/>
        </w:rPr>
        <w:t>前</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言</w:t>
      </w:r>
      <w:bookmarkEnd w:id="3"/>
      <w:bookmarkEnd w:id="4"/>
      <w:bookmarkEnd w:id="5"/>
    </w:p>
    <w:p>
      <w:pPr>
        <w:jc w:val="center"/>
        <w:rPr>
          <w:rFonts w:hint="eastAsia"/>
        </w:rPr>
      </w:pPr>
    </w:p>
    <w:p>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400" w:lineRule="exact"/>
        <w:ind w:firstLine="420" w:firstLineChars="200"/>
        <w:textAlignment w:val="auto"/>
        <w:rPr>
          <w:rFonts w:ascii="宋体" w:hAnsi="宋体" w:eastAsia="宋体"/>
          <w:sz w:val="21"/>
          <w:szCs w:val="21"/>
        </w:rPr>
      </w:pPr>
      <w:r>
        <w:rPr>
          <w:rFonts w:hint="eastAsia" w:ascii="宋体" w:hAnsi="宋体" w:eastAsia="宋体"/>
          <w:sz w:val="21"/>
          <w:szCs w:val="21"/>
        </w:rPr>
        <w:t>本文件按照GB/T 1.1－2020《标准化工作导则 第1部分：标准化文件的结构和起草规则》给出的规</w:t>
      </w:r>
      <w:r>
        <w:rPr>
          <w:rFonts w:hint="eastAsia" w:ascii="宋体" w:hAnsi="宋体" w:eastAsia="宋体"/>
          <w:sz w:val="21"/>
          <w:szCs w:val="21"/>
          <w:lang w:eastAsia="zh-CN"/>
        </w:rPr>
        <w:t>定</w:t>
      </w:r>
      <w:r>
        <w:rPr>
          <w:rFonts w:hint="eastAsia" w:ascii="宋体" w:hAnsi="宋体" w:eastAsia="宋体"/>
          <w:sz w:val="21"/>
          <w:szCs w:val="21"/>
        </w:rPr>
        <w:t>起草。</w:t>
      </w:r>
    </w:p>
    <w:p>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340" w:lineRule="exact"/>
        <w:ind w:firstLine="420" w:firstLineChars="200"/>
        <w:textAlignment w:val="auto"/>
        <w:rPr>
          <w:rFonts w:ascii="宋体" w:hAnsi="宋体" w:eastAsia="宋体"/>
          <w:sz w:val="21"/>
          <w:szCs w:val="21"/>
        </w:rPr>
      </w:pPr>
      <w:r>
        <w:rPr>
          <w:rFonts w:hint="eastAsia" w:ascii="宋体" w:hAnsi="宋体" w:eastAsia="宋体"/>
          <w:sz w:val="21"/>
          <w:szCs w:val="21"/>
        </w:rPr>
        <w:t>本文件由</w:t>
      </w:r>
      <w:r>
        <w:rPr>
          <w:rFonts w:hint="eastAsia" w:ascii="宋体" w:hAnsi="宋体" w:eastAsia="宋体" w:cs="宋体"/>
          <w:sz w:val="21"/>
          <w:szCs w:val="21"/>
          <w:lang w:val="en-US" w:eastAsia="zh-CN" w:bidi="ar-SA"/>
        </w:rPr>
        <w:t>中国轻工业联合会提出并归口</w:t>
      </w:r>
      <w:r>
        <w:rPr>
          <w:rFonts w:hint="eastAsia" w:ascii="宋体" w:hAnsi="宋体" w:eastAsia="宋体"/>
          <w:sz w:val="21"/>
          <w:szCs w:val="21"/>
        </w:rPr>
        <w:t>。</w:t>
      </w:r>
    </w:p>
    <w:p>
      <w:pPr>
        <w:pStyle w:val="18"/>
        <w:keepNext w:val="0"/>
        <w:keepLines w:val="0"/>
        <w:pageBreakBefore w:val="0"/>
        <w:widowControl/>
        <w:kinsoku/>
        <w:wordWrap/>
        <w:overflowPunct/>
        <w:topLinePunct w:val="0"/>
        <w:bidi w:val="0"/>
        <w:adjustRightInd/>
        <w:snapToGrid w:val="0"/>
        <w:spacing w:line="400" w:lineRule="exact"/>
        <w:ind w:right="110" w:firstLine="420" w:firstLineChars="200"/>
        <w:textAlignment w:val="auto"/>
        <w:rPr>
          <w:rFonts w:hint="eastAsia" w:ascii="宋体" w:hAnsi="宋体" w:eastAsiaTheme="minorEastAsia"/>
          <w:kern w:val="0"/>
          <w:lang w:eastAsia="zh-CN"/>
        </w:rPr>
      </w:pPr>
      <w:r>
        <w:rPr>
          <w:rFonts w:ascii="宋体" w:hAnsi="宋体"/>
          <w:kern w:val="0"/>
        </w:rPr>
        <w:t>本</w:t>
      </w:r>
      <w:r>
        <w:rPr>
          <w:rFonts w:hint="eastAsia" w:ascii="宋体" w:hAnsi="宋体"/>
          <w:kern w:val="0"/>
        </w:rPr>
        <w:t>文件</w:t>
      </w:r>
      <w:r>
        <w:rPr>
          <w:rFonts w:ascii="宋体" w:hAnsi="宋体"/>
          <w:kern w:val="0"/>
        </w:rPr>
        <w:t>起草单位：</w:t>
      </w:r>
      <w:r>
        <w:rPr>
          <w:rFonts w:hint="eastAsia" w:ascii="宋体" w:hAnsi="宋体"/>
          <w:kern w:val="0"/>
        </w:rPr>
        <w:t>温州市润新机械制造有限公司</w:t>
      </w:r>
      <w:r>
        <w:rPr>
          <w:rFonts w:hint="eastAsia" w:ascii="宋体" w:hAnsi="宋体"/>
          <w:kern w:val="0"/>
          <w:lang w:eastAsia="zh-CN"/>
        </w:rPr>
        <w:t>、</w:t>
      </w:r>
      <w:r>
        <w:rPr>
          <w:rFonts w:hint="eastAsia"/>
          <w:color w:val="000000"/>
          <w:sz w:val="21"/>
          <w:szCs w:val="21"/>
          <w:lang w:eastAsia="zh-CN"/>
        </w:rPr>
        <w:t>中国家用电器研究院、</w:t>
      </w:r>
      <w:r>
        <w:rPr>
          <w:rFonts w:hint="eastAsia" w:ascii="宋体" w:hAnsi="宋体"/>
          <w:kern w:val="0"/>
          <w:lang w:eastAsia="zh-CN"/>
        </w:rPr>
        <w:t>昆山怡口净水系统有限公司、佛山市美的清湖净水设备有限公司、开能健康科技集团股份有限公司</w:t>
      </w:r>
      <w:r>
        <w:rPr>
          <w:rFonts w:hint="eastAsia" w:ascii="宋体" w:hAnsi="宋体"/>
          <w:color w:val="0000FF"/>
          <w:kern w:val="0"/>
          <w:lang w:eastAsia="zh-CN"/>
        </w:rPr>
        <w:t>、</w:t>
      </w:r>
      <w:r>
        <w:rPr>
          <w:rFonts w:hint="eastAsia" w:ascii="宋体" w:hAnsi="宋体"/>
          <w:kern w:val="0"/>
          <w:lang w:eastAsia="zh-CN"/>
        </w:rPr>
        <w:t>青岛海尔施特劳斯水设备有限公司、</w:t>
      </w:r>
      <w:r>
        <w:rPr>
          <w:rFonts w:hint="eastAsia" w:ascii="宋体" w:hAnsi="宋体"/>
          <w:color w:val="auto"/>
          <w:kern w:val="0"/>
          <w:lang w:eastAsia="zh-CN"/>
        </w:rPr>
        <w:t>广东芬尼净水科技有限公司、</w:t>
      </w:r>
      <w:r>
        <w:rPr>
          <w:rFonts w:hint="eastAsia" w:ascii="宋体" w:hAnsi="宋体"/>
          <w:kern w:val="0"/>
          <w:lang w:eastAsia="zh-CN"/>
        </w:rPr>
        <w:t>厦门百霖净水科技有限公司、普罗尼思净水设备(上海）有限公司、广州净东环保科技有限公司、中国电子节能技术协会。</w:t>
      </w:r>
    </w:p>
    <w:p>
      <w:pPr>
        <w:pStyle w:val="18"/>
        <w:keepNext w:val="0"/>
        <w:keepLines w:val="0"/>
        <w:pageBreakBefore w:val="0"/>
        <w:widowControl/>
        <w:kinsoku/>
        <w:wordWrap/>
        <w:overflowPunct/>
        <w:topLinePunct w:val="0"/>
        <w:bidi w:val="0"/>
        <w:adjustRightInd/>
        <w:snapToGrid w:val="0"/>
        <w:spacing w:before="10" w:line="400" w:lineRule="exact"/>
        <w:ind w:firstLine="420" w:firstLineChars="200"/>
        <w:textAlignment w:val="auto"/>
        <w:rPr>
          <w:rFonts w:hint="eastAsia" w:ascii="宋体" w:hAnsi="宋体" w:cs="宋体" w:eastAsiaTheme="minorEastAsia"/>
          <w:lang w:eastAsia="zh-CN"/>
        </w:rPr>
      </w:pPr>
      <w:r>
        <w:rPr>
          <w:rFonts w:ascii="宋体" w:hAnsi="宋体"/>
          <w:kern w:val="0"/>
        </w:rPr>
        <w:t>本</w:t>
      </w:r>
      <w:r>
        <w:rPr>
          <w:rFonts w:hint="eastAsia" w:ascii="宋体" w:hAnsi="宋体"/>
          <w:kern w:val="0"/>
        </w:rPr>
        <w:t>文件</w:t>
      </w:r>
      <w:r>
        <w:rPr>
          <w:rFonts w:ascii="宋体" w:hAnsi="宋体"/>
          <w:kern w:val="0"/>
        </w:rPr>
        <w:t>主要起草人：</w:t>
      </w:r>
      <w:r>
        <w:rPr>
          <w:rFonts w:hint="eastAsia" w:ascii="宋体" w:hAnsi="宋体"/>
          <w:kern w:val="0"/>
          <w:lang w:eastAsia="zh-CN"/>
        </w:rPr>
        <w:t>伍先水、李继超、王统帅、陆平、高亮、关卫平</w:t>
      </w:r>
      <w:r>
        <w:rPr>
          <w:rFonts w:hint="eastAsia" w:ascii="宋体" w:hAnsi="宋体"/>
          <w:color w:val="auto"/>
          <w:kern w:val="0"/>
          <w:lang w:eastAsia="zh-CN"/>
        </w:rPr>
        <w:t>、</w:t>
      </w:r>
      <w:r>
        <w:rPr>
          <w:rFonts w:hint="eastAsia" w:ascii="宋体" w:hAnsi="宋体"/>
          <w:kern w:val="0"/>
          <w:lang w:eastAsia="zh-CN"/>
        </w:rPr>
        <w:t>王雁梅、</w:t>
      </w:r>
      <w:r>
        <w:rPr>
          <w:rFonts w:hint="eastAsia" w:ascii="宋体" w:hAnsi="宋体"/>
          <w:color w:val="auto"/>
          <w:kern w:val="0"/>
          <w:lang w:eastAsia="zh-CN"/>
        </w:rPr>
        <w:t>兰辉、</w:t>
      </w:r>
      <w:r>
        <w:rPr>
          <w:rFonts w:hint="eastAsia" w:ascii="宋体" w:hAnsi="宋体"/>
          <w:kern w:val="0"/>
          <w:lang w:eastAsia="zh-CN"/>
        </w:rPr>
        <w:t>郑剑伟、叶冬、游顺凯、梁上音。</w:t>
      </w:r>
    </w:p>
    <w:p>
      <w:pPr>
        <w:pStyle w:val="68"/>
        <w:keepNext w:val="0"/>
        <w:keepLines w:val="0"/>
        <w:pageBreakBefore w:val="0"/>
        <w:widowControl/>
        <w:kinsoku/>
        <w:wordWrap/>
        <w:overflowPunct/>
        <w:topLinePunct w:val="0"/>
        <w:bidi w:val="0"/>
        <w:adjustRightInd/>
        <w:spacing w:line="400" w:lineRule="exact"/>
        <w:ind w:firstLine="420"/>
        <w:textAlignment w:val="auto"/>
        <w:sectPr>
          <w:headerReference r:id="rId9" w:type="default"/>
          <w:footerReference r:id="rId10" w:type="default"/>
          <w:pgSz w:w="11907" w:h="16839"/>
          <w:pgMar w:top="1418" w:right="1134" w:bottom="1417" w:left="1134" w:header="1020" w:footer="1020" w:gutter="0"/>
          <w:pgNumType w:fmt="upperRoman" w:start="1"/>
          <w:cols w:space="425" w:num="1"/>
          <w:docGrid w:type="lines" w:linePitch="312" w:charSpace="0"/>
        </w:sectPr>
      </w:pPr>
      <w:r>
        <w:rPr>
          <w:rFonts w:hint="eastAsia" w:ascii="Times New Roman"/>
        </w:rPr>
        <w:t>本文件为首次发布。</w:t>
      </w:r>
    </w:p>
    <w:bookmarkEnd w:id="6"/>
    <w:p>
      <w:pPr>
        <w:pStyle w:val="98"/>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eastAsia"/>
        </w:rPr>
      </w:pPr>
      <w:bookmarkStart w:id="7" w:name="_Toc72997716"/>
      <w:bookmarkStart w:id="8" w:name="SectionMark4"/>
    </w:p>
    <w:p>
      <w:pPr>
        <w:pStyle w:val="98"/>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eastAsia"/>
          <w:b w:val="0"/>
          <w:bCs w:val="0"/>
        </w:rPr>
      </w:pPr>
      <w:r>
        <w:rPr>
          <w:rFonts w:hint="eastAsia"/>
          <w:b w:val="0"/>
          <w:bCs w:val="0"/>
        </w:rPr>
        <w:t>绿色设计产品评价技术规范 家用和类似用途软水机</w:t>
      </w:r>
      <w:bookmarkEnd w:id="7"/>
    </w:p>
    <w:p>
      <w:pPr>
        <w:pStyle w:val="68"/>
      </w:pPr>
    </w:p>
    <w:p>
      <w:pPr>
        <w:pStyle w:val="69"/>
        <w:keepNext w:val="0"/>
        <w:keepLines w:val="0"/>
        <w:pageBreakBefore w:val="0"/>
        <w:widowControl/>
        <w:numPr>
          <w:ilvl w:val="0"/>
          <w:numId w:val="0"/>
        </w:numPr>
        <w:kinsoku/>
        <w:wordWrap/>
        <w:overflowPunct/>
        <w:topLinePunct w:val="0"/>
        <w:autoSpaceDE/>
        <w:autoSpaceDN/>
        <w:bidi w:val="0"/>
        <w:adjustRightInd/>
        <w:snapToGrid/>
        <w:spacing w:beforeLines="0" w:afterLines="0"/>
        <w:ind w:leftChars="0"/>
        <w:textAlignment w:val="auto"/>
      </w:pPr>
      <w:bookmarkStart w:id="9" w:name="_Toc72997717"/>
      <w:bookmarkStart w:id="10" w:name="_Toc33615715"/>
      <w:bookmarkStart w:id="11" w:name="_Toc400615135"/>
      <w:bookmarkStart w:id="12" w:name="_Ref399769645"/>
      <w:r>
        <w:rPr>
          <w:rFonts w:hint="eastAsia"/>
          <w:lang w:val="en-US" w:eastAsia="zh-CN"/>
        </w:rPr>
        <w:t xml:space="preserve">1  </w:t>
      </w:r>
      <w:r>
        <w:rPr>
          <w:rFonts w:hint="eastAsia"/>
        </w:rPr>
        <w:t>范围</w:t>
      </w:r>
      <w:bookmarkEnd w:id="9"/>
      <w:bookmarkEnd w:id="10"/>
      <w:bookmarkEnd w:id="11"/>
      <w:bookmarkEnd w:id="12"/>
    </w:p>
    <w:p>
      <w:pPr>
        <w:pStyle w:val="68"/>
        <w:keepNext w:val="0"/>
        <w:keepLines w:val="0"/>
        <w:pageBreakBefore w:val="0"/>
        <w:widowControl/>
        <w:kinsoku/>
        <w:wordWrap/>
        <w:overflowPunct/>
        <w:topLinePunct w:val="0"/>
        <w:autoSpaceDE w:val="0"/>
        <w:autoSpaceDN w:val="0"/>
        <w:bidi w:val="0"/>
        <w:adjustRightInd/>
        <w:snapToGrid/>
        <w:spacing w:line="240" w:lineRule="exact"/>
        <w:textAlignment w:val="auto"/>
      </w:pPr>
    </w:p>
    <w:p>
      <w:pPr>
        <w:pStyle w:val="68"/>
        <w:keepNext w:val="0"/>
        <w:keepLines w:val="0"/>
        <w:pageBreakBefore w:val="0"/>
        <w:widowControl/>
        <w:kinsoku/>
        <w:wordWrap/>
        <w:overflowPunct/>
        <w:topLinePunct w:val="0"/>
        <w:autoSpaceDE w:val="0"/>
        <w:autoSpaceDN w:val="0"/>
        <w:bidi w:val="0"/>
        <w:adjustRightInd/>
        <w:snapToGrid/>
        <w:spacing w:line="320" w:lineRule="exact"/>
        <w:ind w:left="0" w:leftChars="0" w:firstLine="420" w:firstLineChars="200"/>
        <w:textAlignment w:val="auto"/>
      </w:pPr>
      <w:r>
        <w:rPr>
          <w:rFonts w:hint="eastAsia"/>
        </w:rPr>
        <w:t>本文件规定了家用和类似用途软水机（以下简称“软水机”）绿色设计产品的术语、定义、评价要求、生命周期评价报告编制方法和评价方法。</w:t>
      </w:r>
    </w:p>
    <w:p>
      <w:pPr>
        <w:pStyle w:val="68"/>
        <w:keepNext w:val="0"/>
        <w:keepLines w:val="0"/>
        <w:pageBreakBefore w:val="0"/>
        <w:widowControl/>
        <w:kinsoku/>
        <w:wordWrap/>
        <w:overflowPunct/>
        <w:topLinePunct w:val="0"/>
        <w:autoSpaceDE w:val="0"/>
        <w:autoSpaceDN w:val="0"/>
        <w:bidi w:val="0"/>
        <w:adjustRightInd/>
        <w:snapToGrid/>
        <w:spacing w:line="320" w:lineRule="exact"/>
        <w:ind w:firstLine="420"/>
        <w:textAlignment w:val="auto"/>
        <w:rPr>
          <w:rFonts w:hint="eastAsia"/>
        </w:rPr>
      </w:pPr>
      <w:r>
        <w:rPr>
          <w:rFonts w:hint="eastAsia"/>
        </w:rPr>
        <w:t>本文件适用于家用和类似用途的软水机绿色设计产品评价。</w:t>
      </w:r>
    </w:p>
    <w:p>
      <w:pPr>
        <w:pStyle w:val="68"/>
        <w:keepNext w:val="0"/>
        <w:keepLines w:val="0"/>
        <w:pageBreakBefore w:val="0"/>
        <w:widowControl/>
        <w:kinsoku/>
        <w:wordWrap/>
        <w:overflowPunct/>
        <w:topLinePunct w:val="0"/>
        <w:autoSpaceDE w:val="0"/>
        <w:autoSpaceDN w:val="0"/>
        <w:bidi w:val="0"/>
        <w:adjustRightInd/>
        <w:snapToGrid/>
        <w:spacing w:line="240" w:lineRule="exact"/>
        <w:ind w:firstLine="420"/>
        <w:textAlignment w:val="auto"/>
        <w:rPr>
          <w:rFonts w:hint="eastAsia"/>
        </w:rPr>
      </w:pPr>
    </w:p>
    <w:p>
      <w:pPr>
        <w:pStyle w:val="69"/>
        <w:keepNext w:val="0"/>
        <w:keepLines w:val="0"/>
        <w:pageBreakBefore w:val="0"/>
        <w:widowControl/>
        <w:numPr>
          <w:ilvl w:val="0"/>
          <w:numId w:val="0"/>
        </w:numPr>
        <w:kinsoku/>
        <w:wordWrap/>
        <w:overflowPunct/>
        <w:topLinePunct w:val="0"/>
        <w:bidi w:val="0"/>
        <w:adjustRightInd/>
        <w:snapToGrid/>
        <w:spacing w:beforeLines="0" w:afterLines="0"/>
        <w:ind w:leftChars="0"/>
        <w:textAlignment w:val="auto"/>
        <w:rPr>
          <w:rFonts w:hint="eastAsia"/>
        </w:rPr>
      </w:pPr>
      <w:bookmarkStart w:id="13" w:name="_Toc400615136"/>
      <w:bookmarkStart w:id="14" w:name="_Toc72997718"/>
      <w:bookmarkStart w:id="15" w:name="_Toc33615716"/>
      <w:r>
        <w:rPr>
          <w:rFonts w:hint="eastAsia"/>
          <w:lang w:val="en-US" w:eastAsia="zh-CN"/>
        </w:rPr>
        <w:t xml:space="preserve">2  </w:t>
      </w:r>
      <w:r>
        <w:rPr>
          <w:rFonts w:hint="eastAsia"/>
        </w:rPr>
        <w:t>规范性引用文件</w:t>
      </w:r>
      <w:bookmarkEnd w:id="13"/>
      <w:bookmarkEnd w:id="14"/>
      <w:bookmarkEnd w:id="15"/>
    </w:p>
    <w:p>
      <w:pPr>
        <w:pStyle w:val="68"/>
        <w:keepNext w:val="0"/>
        <w:keepLines w:val="0"/>
        <w:pageBreakBefore w:val="0"/>
        <w:widowControl/>
        <w:kinsoku/>
        <w:wordWrap/>
        <w:overflowPunct/>
        <w:topLinePunct w:val="0"/>
        <w:autoSpaceDE w:val="0"/>
        <w:autoSpaceDN w:val="0"/>
        <w:bidi w:val="0"/>
        <w:adjustRightInd/>
        <w:snapToGrid/>
        <w:spacing w:line="240" w:lineRule="exact"/>
        <w:textAlignment w:val="auto"/>
      </w:pPr>
    </w:p>
    <w:p>
      <w:pPr>
        <w:widowControl/>
        <w:tabs>
          <w:tab w:val="center" w:pos="4201"/>
          <w:tab w:val="right" w:leader="dot" w:pos="9298"/>
        </w:tabs>
        <w:autoSpaceDE w:val="0"/>
        <w:autoSpaceDN w:val="0"/>
        <w:ind w:firstLine="420" w:firstLineChars="200"/>
        <w:rPr>
          <w:rFonts w:ascii="宋体" w:hAnsi="宋体"/>
          <w:color w:val="auto"/>
          <w:kern w:val="0"/>
          <w:szCs w:val="21"/>
        </w:rPr>
      </w:pPr>
      <w:r>
        <w:rPr>
          <w:rFonts w:hint="eastAsia" w:ascii="宋体" w:hAnsi="宋体"/>
          <w:color w:val="auto"/>
          <w:kern w:val="0"/>
          <w:szCs w:val="21"/>
        </w:rPr>
        <w:t>下列文件中的内容通过文中的规范性引用而构成文本必不可少的条款。其中，注日期的引用文件，仅该日期对应的版本适用于本文件；不注日期的引用文件，其最新版本（包括所有的修改单）适用于本文件。</w:t>
      </w:r>
    </w:p>
    <w:p>
      <w:pPr>
        <w:pStyle w:val="68"/>
        <w:keepNext w:val="0"/>
        <w:keepLines w:val="0"/>
        <w:pageBreakBefore w:val="0"/>
        <w:widowControl/>
        <w:kinsoku/>
        <w:wordWrap/>
        <w:overflowPunct/>
        <w:topLinePunct w:val="0"/>
        <w:autoSpaceDE w:val="0"/>
        <w:autoSpaceDN w:val="0"/>
        <w:bidi w:val="0"/>
        <w:adjustRightInd/>
        <w:snapToGrid/>
        <w:spacing w:line="320" w:lineRule="exact"/>
        <w:ind w:firstLine="420"/>
        <w:textAlignment w:val="auto"/>
      </w:pPr>
      <w:r>
        <w:rPr>
          <w:rFonts w:hint="eastAsia"/>
        </w:rPr>
        <w:t xml:space="preserve">GB 4343.1 </w:t>
      </w:r>
      <w:r>
        <w:rPr>
          <w:rFonts w:hint="eastAsia"/>
          <w:lang w:val="en-US" w:eastAsia="zh-CN"/>
        </w:rPr>
        <w:t xml:space="preserve"> </w:t>
      </w:r>
      <w:r>
        <w:rPr>
          <w:rFonts w:hint="eastAsia"/>
        </w:rPr>
        <w:t>家用电器、电动工具和类似器具的电磁兼容要求 第1部分：发射</w:t>
      </w:r>
    </w:p>
    <w:p>
      <w:pPr>
        <w:pStyle w:val="68"/>
        <w:keepNext w:val="0"/>
        <w:keepLines w:val="0"/>
        <w:pageBreakBefore w:val="0"/>
        <w:widowControl/>
        <w:kinsoku/>
        <w:wordWrap/>
        <w:overflowPunct/>
        <w:topLinePunct w:val="0"/>
        <w:autoSpaceDE w:val="0"/>
        <w:autoSpaceDN w:val="0"/>
        <w:bidi w:val="0"/>
        <w:adjustRightInd/>
        <w:snapToGrid/>
        <w:spacing w:line="320" w:lineRule="exact"/>
        <w:ind w:firstLine="420"/>
        <w:textAlignment w:val="auto"/>
      </w:pPr>
      <w:r>
        <w:rPr>
          <w:rFonts w:hint="eastAsia"/>
        </w:rPr>
        <w:t xml:space="preserve">GB 4706.1 </w:t>
      </w:r>
      <w:r>
        <w:rPr>
          <w:rFonts w:hint="eastAsia"/>
          <w:lang w:val="en-US" w:eastAsia="zh-CN"/>
        </w:rPr>
        <w:t xml:space="preserve"> </w:t>
      </w:r>
      <w:r>
        <w:rPr>
          <w:rFonts w:hint="eastAsia"/>
        </w:rPr>
        <w:t>家用和类似用途电器的安全 第1部分：通用要求</w:t>
      </w:r>
    </w:p>
    <w:p>
      <w:pPr>
        <w:pStyle w:val="68"/>
        <w:keepNext w:val="0"/>
        <w:keepLines w:val="0"/>
        <w:pageBreakBefore w:val="0"/>
        <w:widowControl/>
        <w:kinsoku/>
        <w:wordWrap/>
        <w:overflowPunct/>
        <w:topLinePunct w:val="0"/>
        <w:autoSpaceDE w:val="0"/>
        <w:autoSpaceDN w:val="0"/>
        <w:bidi w:val="0"/>
        <w:adjustRightInd/>
        <w:snapToGrid/>
        <w:spacing w:line="320" w:lineRule="exact"/>
        <w:ind w:firstLine="420"/>
        <w:textAlignment w:val="auto"/>
      </w:pPr>
      <w:r>
        <w:rPr>
          <w:rFonts w:hint="eastAsia"/>
        </w:rPr>
        <w:t xml:space="preserve">GB 5749 </w:t>
      </w:r>
      <w:r>
        <w:rPr>
          <w:rFonts w:hint="eastAsia"/>
          <w:lang w:val="en-US" w:eastAsia="zh-CN"/>
        </w:rPr>
        <w:t xml:space="preserve"> </w:t>
      </w:r>
      <w:r>
        <w:rPr>
          <w:rFonts w:hint="eastAsia"/>
        </w:rPr>
        <w:t>生活饮用水卫生标准</w:t>
      </w:r>
    </w:p>
    <w:p>
      <w:pPr>
        <w:pStyle w:val="68"/>
        <w:keepNext w:val="0"/>
        <w:keepLines w:val="0"/>
        <w:pageBreakBefore w:val="0"/>
        <w:widowControl/>
        <w:kinsoku/>
        <w:wordWrap/>
        <w:overflowPunct/>
        <w:topLinePunct w:val="0"/>
        <w:autoSpaceDE w:val="0"/>
        <w:autoSpaceDN w:val="0"/>
        <w:bidi w:val="0"/>
        <w:adjustRightInd/>
        <w:snapToGrid/>
        <w:spacing w:line="320" w:lineRule="exact"/>
        <w:ind w:firstLine="420"/>
        <w:textAlignment w:val="auto"/>
      </w:pPr>
      <w:r>
        <w:rPr>
          <w:rFonts w:hint="eastAsia"/>
        </w:rPr>
        <w:t xml:space="preserve">GB/T 16288 </w:t>
      </w:r>
      <w:r>
        <w:rPr>
          <w:rFonts w:hint="eastAsia"/>
          <w:lang w:val="en-US" w:eastAsia="zh-CN"/>
        </w:rPr>
        <w:t xml:space="preserve"> </w:t>
      </w:r>
      <w:r>
        <w:rPr>
          <w:rFonts w:hint="eastAsia"/>
        </w:rPr>
        <w:t>塑料制品的标志</w:t>
      </w:r>
    </w:p>
    <w:p>
      <w:pPr>
        <w:pStyle w:val="68"/>
        <w:keepNext w:val="0"/>
        <w:keepLines w:val="0"/>
        <w:pageBreakBefore w:val="0"/>
        <w:widowControl/>
        <w:kinsoku/>
        <w:wordWrap/>
        <w:overflowPunct/>
        <w:topLinePunct w:val="0"/>
        <w:autoSpaceDE w:val="0"/>
        <w:autoSpaceDN w:val="0"/>
        <w:bidi w:val="0"/>
        <w:adjustRightInd/>
        <w:snapToGrid/>
        <w:spacing w:line="320" w:lineRule="exact"/>
        <w:ind w:firstLine="420"/>
        <w:textAlignment w:val="auto"/>
      </w:pPr>
      <w:r>
        <w:rPr>
          <w:rFonts w:hint="eastAsia"/>
        </w:rPr>
        <w:t xml:space="preserve">GB/T 16716.5 </w:t>
      </w:r>
      <w:r>
        <w:rPr>
          <w:rFonts w:hint="eastAsia"/>
          <w:lang w:val="en-US" w:eastAsia="zh-CN"/>
        </w:rPr>
        <w:t xml:space="preserve"> </w:t>
      </w:r>
      <w:r>
        <w:rPr>
          <w:rFonts w:hint="eastAsia"/>
        </w:rPr>
        <w:t>包装及包装废弃物 第5部分：材料循环再生</w:t>
      </w:r>
    </w:p>
    <w:p>
      <w:pPr>
        <w:pStyle w:val="68"/>
        <w:keepNext w:val="0"/>
        <w:keepLines w:val="0"/>
        <w:pageBreakBefore w:val="0"/>
        <w:widowControl/>
        <w:kinsoku/>
        <w:wordWrap/>
        <w:overflowPunct/>
        <w:topLinePunct w:val="0"/>
        <w:autoSpaceDE w:val="0"/>
        <w:autoSpaceDN w:val="0"/>
        <w:bidi w:val="0"/>
        <w:adjustRightInd/>
        <w:snapToGrid/>
        <w:spacing w:line="320" w:lineRule="exact"/>
        <w:ind w:firstLine="420"/>
        <w:textAlignment w:val="auto"/>
      </w:pPr>
      <w:r>
        <w:rPr>
          <w:rFonts w:hint="eastAsia"/>
        </w:rPr>
        <w:t xml:space="preserve">GB/T 17218 </w:t>
      </w:r>
      <w:r>
        <w:rPr>
          <w:rFonts w:hint="eastAsia"/>
          <w:lang w:val="en-US" w:eastAsia="zh-CN"/>
        </w:rPr>
        <w:t xml:space="preserve"> </w:t>
      </w:r>
      <w:r>
        <w:rPr>
          <w:rFonts w:hint="eastAsia"/>
        </w:rPr>
        <w:t>饮用水化学处理剂卫生安全评价</w:t>
      </w:r>
    </w:p>
    <w:p>
      <w:pPr>
        <w:pStyle w:val="68"/>
        <w:keepNext w:val="0"/>
        <w:keepLines w:val="0"/>
        <w:pageBreakBefore w:val="0"/>
        <w:widowControl/>
        <w:kinsoku/>
        <w:wordWrap/>
        <w:overflowPunct/>
        <w:topLinePunct w:val="0"/>
        <w:autoSpaceDE w:val="0"/>
        <w:autoSpaceDN w:val="0"/>
        <w:bidi w:val="0"/>
        <w:adjustRightInd/>
        <w:snapToGrid/>
        <w:spacing w:line="320" w:lineRule="exact"/>
        <w:ind w:firstLine="420"/>
        <w:textAlignment w:val="auto"/>
      </w:pPr>
      <w:r>
        <w:rPr>
          <w:rFonts w:hint="eastAsia"/>
        </w:rPr>
        <w:t xml:space="preserve">GB/T 17219 </w:t>
      </w:r>
      <w:r>
        <w:rPr>
          <w:rFonts w:hint="eastAsia"/>
          <w:lang w:val="en-US" w:eastAsia="zh-CN"/>
        </w:rPr>
        <w:t xml:space="preserve"> </w:t>
      </w:r>
      <w:r>
        <w:rPr>
          <w:rFonts w:hint="eastAsia"/>
        </w:rPr>
        <w:t>生活饮用水输配水设备及防护材料的安全性评价标准</w:t>
      </w:r>
    </w:p>
    <w:p>
      <w:pPr>
        <w:pStyle w:val="68"/>
        <w:keepNext w:val="0"/>
        <w:keepLines w:val="0"/>
        <w:pageBreakBefore w:val="0"/>
        <w:widowControl/>
        <w:kinsoku/>
        <w:wordWrap/>
        <w:overflowPunct/>
        <w:topLinePunct w:val="0"/>
        <w:autoSpaceDE w:val="0"/>
        <w:autoSpaceDN w:val="0"/>
        <w:bidi w:val="0"/>
        <w:adjustRightInd/>
        <w:snapToGrid/>
        <w:spacing w:line="320" w:lineRule="exact"/>
        <w:ind w:firstLine="420"/>
        <w:textAlignment w:val="auto"/>
      </w:pPr>
      <w:r>
        <w:rPr>
          <w:rFonts w:hint="eastAsia"/>
        </w:rPr>
        <w:t xml:space="preserve">GB 17625.1 </w:t>
      </w:r>
      <w:r>
        <w:rPr>
          <w:rFonts w:hint="eastAsia"/>
          <w:lang w:val="en-US" w:eastAsia="zh-CN"/>
        </w:rPr>
        <w:t xml:space="preserve"> </w:t>
      </w:r>
      <w:r>
        <w:rPr>
          <w:rFonts w:hint="eastAsia"/>
        </w:rPr>
        <w:t>电磁兼容 限值 谐波电流发射限值（设备每相输入电流≤16 A）</w:t>
      </w:r>
    </w:p>
    <w:p>
      <w:pPr>
        <w:pStyle w:val="68"/>
        <w:keepNext w:val="0"/>
        <w:keepLines w:val="0"/>
        <w:pageBreakBefore w:val="0"/>
        <w:widowControl/>
        <w:kinsoku/>
        <w:wordWrap/>
        <w:overflowPunct/>
        <w:topLinePunct w:val="0"/>
        <w:autoSpaceDE w:val="0"/>
        <w:autoSpaceDN w:val="0"/>
        <w:bidi w:val="0"/>
        <w:adjustRightInd/>
        <w:snapToGrid/>
        <w:spacing w:line="320" w:lineRule="exact"/>
        <w:ind w:firstLine="420"/>
        <w:textAlignment w:val="auto"/>
      </w:pPr>
      <w:r>
        <w:rPr>
          <w:rFonts w:hint="eastAsia"/>
        </w:rPr>
        <w:t xml:space="preserve">GB/T 18455 </w:t>
      </w:r>
      <w:r>
        <w:rPr>
          <w:rFonts w:hint="eastAsia"/>
          <w:lang w:val="en-US" w:eastAsia="zh-CN"/>
        </w:rPr>
        <w:t xml:space="preserve"> </w:t>
      </w:r>
      <w:r>
        <w:rPr>
          <w:rFonts w:hint="eastAsia"/>
        </w:rPr>
        <w:t>包装回收标志</w:t>
      </w:r>
    </w:p>
    <w:p>
      <w:pPr>
        <w:pStyle w:val="68"/>
        <w:keepNext w:val="0"/>
        <w:keepLines w:val="0"/>
        <w:pageBreakBefore w:val="0"/>
        <w:widowControl/>
        <w:kinsoku/>
        <w:wordWrap/>
        <w:overflowPunct/>
        <w:topLinePunct w:val="0"/>
        <w:autoSpaceDE w:val="0"/>
        <w:autoSpaceDN w:val="0"/>
        <w:bidi w:val="0"/>
        <w:adjustRightInd/>
        <w:snapToGrid/>
        <w:spacing w:line="320" w:lineRule="exact"/>
        <w:ind w:firstLine="420"/>
        <w:textAlignment w:val="auto"/>
      </w:pPr>
      <w:r>
        <w:rPr>
          <w:rFonts w:hint="eastAsia"/>
        </w:rPr>
        <w:t xml:space="preserve">GB/T 24040 </w:t>
      </w:r>
      <w:r>
        <w:rPr>
          <w:rFonts w:hint="eastAsia"/>
          <w:lang w:val="en-US" w:eastAsia="zh-CN"/>
        </w:rPr>
        <w:t xml:space="preserve"> </w:t>
      </w:r>
      <w:r>
        <w:rPr>
          <w:rFonts w:hint="eastAsia"/>
        </w:rPr>
        <w:t>环境管理 生命周期评价 原则与框架</w:t>
      </w:r>
    </w:p>
    <w:p>
      <w:pPr>
        <w:pStyle w:val="68"/>
        <w:keepNext w:val="0"/>
        <w:keepLines w:val="0"/>
        <w:pageBreakBefore w:val="0"/>
        <w:widowControl/>
        <w:kinsoku/>
        <w:wordWrap/>
        <w:overflowPunct/>
        <w:topLinePunct w:val="0"/>
        <w:autoSpaceDE w:val="0"/>
        <w:autoSpaceDN w:val="0"/>
        <w:bidi w:val="0"/>
        <w:adjustRightInd/>
        <w:snapToGrid/>
        <w:spacing w:line="320" w:lineRule="exact"/>
        <w:ind w:firstLine="420"/>
        <w:textAlignment w:val="auto"/>
      </w:pPr>
      <w:r>
        <w:rPr>
          <w:rFonts w:hint="eastAsia"/>
        </w:rPr>
        <w:t>GB/T 24044</w:t>
      </w:r>
      <w:r>
        <w:rPr>
          <w:rFonts w:hint="eastAsia"/>
          <w:lang w:val="en-US" w:eastAsia="zh-CN"/>
        </w:rPr>
        <w:t xml:space="preserve"> </w:t>
      </w:r>
      <w:r>
        <w:rPr>
          <w:rFonts w:hint="eastAsia"/>
        </w:rPr>
        <w:t xml:space="preserve"> 环境管理 生命周期评价 要求与指南</w:t>
      </w:r>
    </w:p>
    <w:p>
      <w:pPr>
        <w:pStyle w:val="68"/>
        <w:keepNext w:val="0"/>
        <w:keepLines w:val="0"/>
        <w:pageBreakBefore w:val="0"/>
        <w:widowControl/>
        <w:kinsoku/>
        <w:wordWrap/>
        <w:overflowPunct/>
        <w:topLinePunct w:val="0"/>
        <w:autoSpaceDE w:val="0"/>
        <w:autoSpaceDN w:val="0"/>
        <w:bidi w:val="0"/>
        <w:adjustRightInd/>
        <w:snapToGrid/>
        <w:spacing w:line="320" w:lineRule="exact"/>
        <w:ind w:firstLine="420"/>
        <w:textAlignment w:val="auto"/>
      </w:pPr>
      <w:r>
        <w:rPr>
          <w:rFonts w:hint="eastAsia"/>
        </w:rPr>
        <w:t>GB/T 26125</w:t>
      </w:r>
      <w:r>
        <w:rPr>
          <w:rFonts w:hint="eastAsia"/>
          <w:lang w:val="en-US" w:eastAsia="zh-CN"/>
        </w:rPr>
        <w:t xml:space="preserve"> </w:t>
      </w:r>
      <w:r>
        <w:rPr>
          <w:rFonts w:hint="eastAsia"/>
        </w:rPr>
        <w:t xml:space="preserve"> 电子电气产品 六种限用物质（铅、汞、镉、六价铬、多溴联苯和多臭苯醚）的测定</w:t>
      </w:r>
    </w:p>
    <w:p>
      <w:pPr>
        <w:pStyle w:val="68"/>
        <w:keepNext w:val="0"/>
        <w:keepLines w:val="0"/>
        <w:pageBreakBefore w:val="0"/>
        <w:widowControl/>
        <w:kinsoku/>
        <w:wordWrap/>
        <w:overflowPunct/>
        <w:topLinePunct w:val="0"/>
        <w:autoSpaceDE w:val="0"/>
        <w:autoSpaceDN w:val="0"/>
        <w:bidi w:val="0"/>
        <w:adjustRightInd/>
        <w:snapToGrid/>
        <w:spacing w:line="320" w:lineRule="exact"/>
        <w:ind w:firstLine="420"/>
        <w:textAlignment w:val="auto"/>
      </w:pPr>
      <w:r>
        <w:rPr>
          <w:rFonts w:hint="eastAsia"/>
        </w:rPr>
        <w:t xml:space="preserve">GB/T 26572 </w:t>
      </w:r>
      <w:r>
        <w:rPr>
          <w:rFonts w:hint="eastAsia"/>
          <w:lang w:val="en-US" w:eastAsia="zh-CN"/>
        </w:rPr>
        <w:t xml:space="preserve"> </w:t>
      </w:r>
      <w:r>
        <w:rPr>
          <w:rFonts w:hint="eastAsia"/>
        </w:rPr>
        <w:t>电子电气产品中限用物质的限量要求</w:t>
      </w:r>
    </w:p>
    <w:p>
      <w:pPr>
        <w:pStyle w:val="68"/>
        <w:keepNext w:val="0"/>
        <w:keepLines w:val="0"/>
        <w:pageBreakBefore w:val="0"/>
        <w:widowControl/>
        <w:kinsoku/>
        <w:wordWrap/>
        <w:overflowPunct/>
        <w:topLinePunct w:val="0"/>
        <w:autoSpaceDE w:val="0"/>
        <w:autoSpaceDN w:val="0"/>
        <w:bidi w:val="0"/>
        <w:adjustRightInd/>
        <w:snapToGrid/>
        <w:spacing w:line="320" w:lineRule="exact"/>
        <w:ind w:firstLine="420"/>
        <w:textAlignment w:val="auto"/>
      </w:pPr>
      <w:r>
        <w:rPr>
          <w:rFonts w:hint="eastAsia"/>
        </w:rPr>
        <w:t xml:space="preserve">GB/T 29786 </w:t>
      </w:r>
      <w:r>
        <w:rPr>
          <w:rFonts w:hint="eastAsia"/>
          <w:lang w:val="en-US" w:eastAsia="zh-CN"/>
        </w:rPr>
        <w:t xml:space="preserve"> </w:t>
      </w:r>
      <w:r>
        <w:rPr>
          <w:rFonts w:hint="eastAsia"/>
        </w:rPr>
        <w:t>电子电气产品中邻苯二甲酸酯的测定 气相色谱-质谱联用法</w:t>
      </w:r>
    </w:p>
    <w:p>
      <w:pPr>
        <w:pStyle w:val="68"/>
        <w:keepNext w:val="0"/>
        <w:keepLines w:val="0"/>
        <w:pageBreakBefore w:val="0"/>
        <w:widowControl/>
        <w:kinsoku/>
        <w:wordWrap/>
        <w:overflowPunct/>
        <w:topLinePunct w:val="0"/>
        <w:autoSpaceDE w:val="0"/>
        <w:autoSpaceDN w:val="0"/>
        <w:bidi w:val="0"/>
        <w:adjustRightInd/>
        <w:snapToGrid/>
        <w:spacing w:line="320" w:lineRule="exact"/>
        <w:ind w:firstLine="420"/>
        <w:textAlignment w:val="auto"/>
      </w:pPr>
      <w:r>
        <w:rPr>
          <w:rFonts w:hint="eastAsia"/>
        </w:rPr>
        <w:t xml:space="preserve">GB 30978 </w:t>
      </w:r>
      <w:r>
        <w:rPr>
          <w:rFonts w:hint="eastAsia"/>
          <w:lang w:val="en-US" w:eastAsia="zh-CN"/>
        </w:rPr>
        <w:t xml:space="preserve"> </w:t>
      </w:r>
      <w:r>
        <w:rPr>
          <w:rFonts w:hint="eastAsia"/>
        </w:rPr>
        <w:t>电子电气产品能效限定值及能效等级</w:t>
      </w:r>
    </w:p>
    <w:p>
      <w:pPr>
        <w:pStyle w:val="68"/>
        <w:keepNext w:val="0"/>
        <w:keepLines w:val="0"/>
        <w:pageBreakBefore w:val="0"/>
        <w:widowControl/>
        <w:kinsoku/>
        <w:wordWrap/>
        <w:overflowPunct/>
        <w:topLinePunct w:val="0"/>
        <w:autoSpaceDE w:val="0"/>
        <w:autoSpaceDN w:val="0"/>
        <w:bidi w:val="0"/>
        <w:adjustRightInd/>
        <w:snapToGrid/>
        <w:spacing w:line="320" w:lineRule="exact"/>
        <w:ind w:firstLine="420"/>
        <w:textAlignment w:val="auto"/>
      </w:pPr>
      <w:r>
        <w:rPr>
          <w:rFonts w:hint="eastAsia"/>
        </w:rPr>
        <w:t xml:space="preserve">GB/T 33345 </w:t>
      </w:r>
      <w:r>
        <w:rPr>
          <w:rFonts w:hint="eastAsia"/>
          <w:lang w:val="en-US" w:eastAsia="zh-CN"/>
        </w:rPr>
        <w:t xml:space="preserve"> </w:t>
      </w:r>
      <w:r>
        <w:rPr>
          <w:rFonts w:hint="eastAsia"/>
        </w:rPr>
        <w:t>电子电气产品中短链氯化石蜡的测定 气相色谱-质谱法</w:t>
      </w:r>
    </w:p>
    <w:p>
      <w:pPr>
        <w:pStyle w:val="68"/>
        <w:keepNext w:val="0"/>
        <w:keepLines w:val="0"/>
        <w:pageBreakBefore w:val="0"/>
        <w:widowControl/>
        <w:kinsoku/>
        <w:wordWrap/>
        <w:overflowPunct/>
        <w:topLinePunct w:val="0"/>
        <w:autoSpaceDE w:val="0"/>
        <w:autoSpaceDN w:val="0"/>
        <w:bidi w:val="0"/>
        <w:adjustRightInd/>
        <w:snapToGrid/>
        <w:spacing w:line="320" w:lineRule="exact"/>
        <w:ind w:firstLine="420"/>
        <w:textAlignment w:val="auto"/>
      </w:pPr>
      <w:r>
        <w:rPr>
          <w:rFonts w:hint="eastAsia"/>
        </w:rPr>
        <w:t xml:space="preserve">QB/T 4698 </w:t>
      </w:r>
      <w:r>
        <w:rPr>
          <w:rFonts w:hint="eastAsia"/>
          <w:lang w:val="en-US" w:eastAsia="zh-CN"/>
        </w:rPr>
        <w:t xml:space="preserve"> </w:t>
      </w:r>
      <w:r>
        <w:rPr>
          <w:rFonts w:hint="eastAsia"/>
        </w:rPr>
        <w:t>家用和类似用途软水机</w:t>
      </w:r>
    </w:p>
    <w:p>
      <w:pPr>
        <w:pStyle w:val="68"/>
        <w:keepNext w:val="0"/>
        <w:keepLines w:val="0"/>
        <w:pageBreakBefore w:val="0"/>
        <w:widowControl/>
        <w:kinsoku/>
        <w:wordWrap/>
        <w:overflowPunct/>
        <w:topLinePunct w:val="0"/>
        <w:autoSpaceDE w:val="0"/>
        <w:autoSpaceDN w:val="0"/>
        <w:bidi w:val="0"/>
        <w:adjustRightInd/>
        <w:snapToGrid/>
        <w:spacing w:line="320" w:lineRule="exact"/>
        <w:ind w:firstLine="420"/>
        <w:textAlignment w:val="auto"/>
      </w:pPr>
      <w:r>
        <w:rPr>
          <w:rFonts w:hint="eastAsia"/>
        </w:rPr>
        <w:t xml:space="preserve">SJ/T 11364 </w:t>
      </w:r>
      <w:r>
        <w:rPr>
          <w:rFonts w:hint="eastAsia"/>
          <w:lang w:val="en-US" w:eastAsia="zh-CN"/>
        </w:rPr>
        <w:t xml:space="preserve"> </w:t>
      </w:r>
      <w:r>
        <w:rPr>
          <w:rFonts w:hint="eastAsia"/>
        </w:rPr>
        <w:t>电子电气产品有害物质限制使用标识要求</w:t>
      </w:r>
    </w:p>
    <w:p>
      <w:pPr>
        <w:pStyle w:val="68"/>
        <w:keepNext w:val="0"/>
        <w:keepLines w:val="0"/>
        <w:pageBreakBefore w:val="0"/>
        <w:widowControl/>
        <w:kinsoku/>
        <w:wordWrap/>
        <w:overflowPunct/>
        <w:topLinePunct w:val="0"/>
        <w:autoSpaceDE w:val="0"/>
        <w:autoSpaceDN w:val="0"/>
        <w:bidi w:val="0"/>
        <w:adjustRightInd/>
        <w:snapToGrid/>
        <w:spacing w:line="320" w:lineRule="exact"/>
        <w:ind w:firstLine="420"/>
        <w:textAlignment w:val="auto"/>
        <w:rPr>
          <w:rFonts w:hint="eastAsia"/>
        </w:rPr>
      </w:pPr>
      <w:r>
        <w:rPr>
          <w:rFonts w:hint="eastAsia"/>
        </w:rPr>
        <w:t>《生活饮用水水质处理器卫生安全与功能评价规范》</w:t>
      </w:r>
    </w:p>
    <w:p>
      <w:pPr>
        <w:pStyle w:val="68"/>
        <w:keepNext w:val="0"/>
        <w:keepLines w:val="0"/>
        <w:pageBreakBefore w:val="0"/>
        <w:widowControl/>
        <w:kinsoku/>
        <w:wordWrap/>
        <w:overflowPunct/>
        <w:topLinePunct w:val="0"/>
        <w:autoSpaceDE w:val="0"/>
        <w:autoSpaceDN w:val="0"/>
        <w:bidi w:val="0"/>
        <w:adjustRightInd/>
        <w:snapToGrid/>
        <w:spacing w:line="240" w:lineRule="exact"/>
        <w:ind w:firstLine="420"/>
        <w:textAlignment w:val="auto"/>
        <w:rPr>
          <w:rFonts w:hint="eastAsia"/>
        </w:rPr>
      </w:pPr>
    </w:p>
    <w:p>
      <w:pPr>
        <w:pStyle w:val="69"/>
        <w:keepNext w:val="0"/>
        <w:keepLines w:val="0"/>
        <w:pageBreakBefore w:val="0"/>
        <w:widowControl/>
        <w:numPr>
          <w:ilvl w:val="0"/>
          <w:numId w:val="0"/>
        </w:numPr>
        <w:kinsoku/>
        <w:wordWrap/>
        <w:overflowPunct/>
        <w:topLinePunct w:val="0"/>
        <w:bidi w:val="0"/>
        <w:adjustRightInd/>
        <w:snapToGrid/>
        <w:spacing w:beforeLines="0" w:afterLines="0"/>
        <w:ind w:leftChars="0"/>
        <w:textAlignment w:val="auto"/>
        <w:rPr>
          <w:rFonts w:hint="eastAsia"/>
        </w:rPr>
      </w:pPr>
      <w:bookmarkStart w:id="16" w:name="_Toc205035793"/>
      <w:bookmarkEnd w:id="16"/>
      <w:bookmarkStart w:id="17" w:name="_Toc205035792"/>
      <w:bookmarkEnd w:id="17"/>
      <w:bookmarkStart w:id="18" w:name="_Toc205035791"/>
      <w:bookmarkEnd w:id="18"/>
      <w:bookmarkStart w:id="19" w:name="_Toc33615717"/>
      <w:bookmarkStart w:id="20" w:name="_Toc72997719"/>
      <w:bookmarkStart w:id="21" w:name="_Toc400615137"/>
      <w:r>
        <w:rPr>
          <w:rFonts w:hint="eastAsia"/>
          <w:lang w:val="en-US" w:eastAsia="zh-CN"/>
        </w:rPr>
        <w:t xml:space="preserve">3  </w:t>
      </w:r>
      <w:r>
        <w:rPr>
          <w:rFonts w:hint="eastAsia"/>
        </w:rPr>
        <w:t>术语和定义</w:t>
      </w:r>
      <w:bookmarkEnd w:id="19"/>
      <w:bookmarkEnd w:id="20"/>
    </w:p>
    <w:p>
      <w:pPr>
        <w:pStyle w:val="68"/>
        <w:keepNext w:val="0"/>
        <w:keepLines w:val="0"/>
        <w:pageBreakBefore w:val="0"/>
        <w:widowControl/>
        <w:kinsoku/>
        <w:wordWrap/>
        <w:overflowPunct/>
        <w:topLinePunct w:val="0"/>
        <w:autoSpaceDE w:val="0"/>
        <w:autoSpaceDN w:val="0"/>
        <w:bidi w:val="0"/>
        <w:adjustRightInd/>
        <w:snapToGrid/>
        <w:spacing w:line="240" w:lineRule="exact"/>
        <w:textAlignment w:val="auto"/>
      </w:pPr>
    </w:p>
    <w:p>
      <w:pPr>
        <w:pStyle w:val="68"/>
        <w:keepNext w:val="0"/>
        <w:keepLines w:val="0"/>
        <w:pageBreakBefore w:val="0"/>
        <w:widowControl/>
        <w:kinsoku/>
        <w:wordWrap/>
        <w:overflowPunct/>
        <w:topLinePunct w:val="0"/>
        <w:bidi w:val="0"/>
        <w:adjustRightInd/>
        <w:snapToGrid/>
        <w:spacing w:line="240" w:lineRule="exact"/>
        <w:ind w:firstLine="420"/>
        <w:textAlignment w:val="auto"/>
        <w:rPr>
          <w:rFonts w:hint="eastAsia"/>
        </w:rPr>
      </w:pPr>
      <w:r>
        <w:rPr>
          <w:rFonts w:hint="eastAsia"/>
        </w:rPr>
        <w:t>GB/T 24040、GB/T 24044和QB/T 4698界定的以及下列术语和定义适用于本文件。</w:t>
      </w:r>
    </w:p>
    <w:p>
      <w:pPr>
        <w:pStyle w:val="68"/>
        <w:keepNext w:val="0"/>
        <w:keepLines w:val="0"/>
        <w:pageBreakBefore w:val="0"/>
        <w:widowControl/>
        <w:kinsoku/>
        <w:wordWrap/>
        <w:overflowPunct/>
        <w:topLinePunct w:val="0"/>
        <w:autoSpaceDE w:val="0"/>
        <w:autoSpaceDN w:val="0"/>
        <w:bidi w:val="0"/>
        <w:adjustRightInd/>
        <w:snapToGrid/>
        <w:spacing w:line="240" w:lineRule="exact"/>
        <w:ind w:firstLine="420"/>
        <w:textAlignment w:val="auto"/>
        <w:rPr>
          <w:rFonts w:hint="eastAsia"/>
        </w:rPr>
      </w:pPr>
    </w:p>
    <w:p>
      <w:pPr>
        <w:pStyle w:val="69"/>
        <w:keepNext w:val="0"/>
        <w:keepLines w:val="0"/>
        <w:pageBreakBefore w:val="0"/>
        <w:widowControl/>
        <w:numPr>
          <w:ilvl w:val="0"/>
          <w:numId w:val="0"/>
        </w:numPr>
        <w:kinsoku/>
        <w:wordWrap/>
        <w:overflowPunct/>
        <w:topLinePunct w:val="0"/>
        <w:bidi w:val="0"/>
        <w:adjustRightInd/>
        <w:snapToGrid/>
        <w:spacing w:beforeLines="0" w:afterLines="0" w:line="240" w:lineRule="exact"/>
        <w:ind w:leftChars="0"/>
        <w:textAlignment w:val="auto"/>
        <w:rPr>
          <w:rFonts w:hint="default" w:eastAsia="黑体"/>
          <w:lang w:val="en-US" w:eastAsia="zh-CN"/>
        </w:rPr>
      </w:pPr>
      <w:bookmarkStart w:id="22" w:name="_Toc72997720"/>
      <w:bookmarkEnd w:id="22"/>
      <w:bookmarkStart w:id="23" w:name="_Toc63257797"/>
      <w:bookmarkEnd w:id="23"/>
      <w:bookmarkStart w:id="24" w:name="_Toc33615718"/>
      <w:bookmarkEnd w:id="24"/>
      <w:r>
        <w:rPr>
          <w:rFonts w:hint="eastAsia"/>
          <w:lang w:val="en-US" w:eastAsia="zh-CN"/>
        </w:rPr>
        <w:t>3.1</w:t>
      </w:r>
    </w:p>
    <w:p>
      <w:pPr>
        <w:pStyle w:val="69"/>
        <w:keepNext w:val="0"/>
        <w:keepLines w:val="0"/>
        <w:pageBreakBefore w:val="0"/>
        <w:widowControl/>
        <w:kinsoku/>
        <w:wordWrap/>
        <w:overflowPunct/>
        <w:topLinePunct w:val="0"/>
        <w:bidi w:val="0"/>
        <w:adjustRightInd/>
        <w:snapToGrid/>
        <w:spacing w:beforeLines="0" w:afterLines="0" w:line="300" w:lineRule="exact"/>
        <w:ind w:left="0" w:firstLine="420" w:firstLineChars="200"/>
        <w:textAlignment w:val="auto"/>
      </w:pPr>
      <w:bookmarkStart w:id="25" w:name="_Toc72997721"/>
      <w:bookmarkStart w:id="26" w:name="_Toc33615719"/>
      <w:bookmarkStart w:id="27" w:name="_Toc63257798"/>
      <w:r>
        <w:rPr>
          <w:rFonts w:hint="eastAsia"/>
        </w:rPr>
        <w:t>绿色设计</w:t>
      </w:r>
      <w:r>
        <w:rPr>
          <w:rFonts w:hint="eastAsia"/>
          <w:lang w:val="en-US" w:eastAsia="zh-CN"/>
        </w:rPr>
        <w:t xml:space="preserve"> g</w:t>
      </w:r>
      <w:r>
        <w:rPr>
          <w:rFonts w:hint="eastAsia"/>
        </w:rPr>
        <w:t>reen-design</w:t>
      </w:r>
    </w:p>
    <w:bookmarkEnd w:id="25"/>
    <w:bookmarkEnd w:id="26"/>
    <w:bookmarkEnd w:id="27"/>
    <w:p>
      <w:pPr>
        <w:pStyle w:val="68"/>
        <w:keepNext w:val="0"/>
        <w:keepLines w:val="0"/>
        <w:pageBreakBefore w:val="0"/>
        <w:widowControl/>
        <w:kinsoku/>
        <w:wordWrap/>
        <w:overflowPunct/>
        <w:topLinePunct w:val="0"/>
        <w:bidi w:val="0"/>
        <w:adjustRightInd/>
        <w:snapToGrid/>
        <w:spacing w:line="300" w:lineRule="exact"/>
        <w:ind w:firstLine="420"/>
        <w:textAlignment w:val="auto"/>
      </w:pPr>
      <w:r>
        <w:rPr>
          <w:rFonts w:hint="eastAsia"/>
        </w:rPr>
        <w:t>按照全生命周期的理念，在产品设计开发阶段系统考虑原材料选用、生产、销售、使用、回收、处理等各个环节对资源环境造成的影响，力求产品在全生命周期中最大限度降低资源消耗、尽可能少用或不用含有有害物质的原材料，减少污染物产生和排放，从而实现环境保护的活动。</w:t>
      </w:r>
    </w:p>
    <w:p>
      <w:pPr>
        <w:pStyle w:val="68"/>
        <w:keepNext w:val="0"/>
        <w:keepLines w:val="0"/>
        <w:pageBreakBefore w:val="0"/>
        <w:widowControl/>
        <w:kinsoku/>
        <w:wordWrap/>
        <w:overflowPunct/>
        <w:topLinePunct w:val="0"/>
        <w:bidi w:val="0"/>
        <w:adjustRightInd/>
        <w:snapToGrid/>
        <w:spacing w:line="300" w:lineRule="exact"/>
        <w:ind w:firstLine="360"/>
        <w:textAlignment w:val="auto"/>
        <w:rPr>
          <w:sz w:val="18"/>
          <w:szCs w:val="18"/>
        </w:rPr>
      </w:pPr>
      <w:r>
        <w:rPr>
          <w:rFonts w:hint="eastAsia" w:ascii="宋体" w:hAnsi="宋体" w:eastAsia="宋体" w:cs="宋体"/>
          <w:szCs w:val="24"/>
        </w:rPr>
        <w:t>[</w:t>
      </w:r>
      <w:r>
        <w:rPr>
          <w:rFonts w:hint="eastAsia" w:ascii="宋体" w:hAnsi="宋体" w:eastAsia="宋体" w:cs="宋体"/>
          <w:sz w:val="18"/>
          <w:szCs w:val="18"/>
        </w:rPr>
        <w:t>来源</w:t>
      </w:r>
      <w:r>
        <w:rPr>
          <w:rFonts w:hint="eastAsia"/>
          <w:sz w:val="18"/>
          <w:szCs w:val="18"/>
        </w:rPr>
        <w:t>：</w:t>
      </w:r>
      <w:r>
        <w:rPr>
          <w:sz w:val="18"/>
          <w:szCs w:val="18"/>
        </w:rPr>
        <w:t xml:space="preserve">GB/T </w:t>
      </w:r>
      <w:r>
        <w:rPr>
          <w:rFonts w:hint="eastAsia"/>
          <w:sz w:val="18"/>
          <w:szCs w:val="18"/>
        </w:rPr>
        <w:t>32161—2015，定义</w:t>
      </w:r>
      <w:r>
        <w:rPr>
          <w:sz w:val="18"/>
          <w:szCs w:val="18"/>
        </w:rPr>
        <w:t xml:space="preserve"> 3.2</w:t>
      </w:r>
      <w:r>
        <w:rPr>
          <w:rFonts w:hint="eastAsia"/>
          <w:sz w:val="18"/>
          <w:szCs w:val="18"/>
          <w:lang w:val="en-US" w:eastAsia="zh-CN"/>
        </w:rPr>
        <w:t xml:space="preserve"> </w:t>
      </w:r>
      <w:r>
        <w:rPr>
          <w:rFonts w:hint="eastAsia" w:cs="宋体" w:asciiTheme="minorEastAsia" w:hAnsiTheme="minorEastAsia" w:eastAsiaTheme="minorEastAsia"/>
          <w:sz w:val="18"/>
          <w:szCs w:val="18"/>
        </w:rPr>
        <w:t>有修改</w:t>
      </w:r>
      <w:r>
        <w:rPr>
          <w:rFonts w:cs="宋体" w:asciiTheme="minorEastAsia" w:hAnsiTheme="minorEastAsia" w:eastAsiaTheme="minorEastAsia"/>
          <w:sz w:val="18"/>
          <w:szCs w:val="18"/>
        </w:rPr>
        <w:t>]</w:t>
      </w:r>
    </w:p>
    <w:p>
      <w:pPr>
        <w:pStyle w:val="69"/>
        <w:keepNext w:val="0"/>
        <w:keepLines w:val="0"/>
        <w:pageBreakBefore w:val="0"/>
        <w:widowControl/>
        <w:numPr>
          <w:ilvl w:val="0"/>
          <w:numId w:val="0"/>
        </w:numPr>
        <w:kinsoku/>
        <w:wordWrap/>
        <w:overflowPunct/>
        <w:topLinePunct w:val="0"/>
        <w:bidi w:val="0"/>
        <w:adjustRightInd/>
        <w:snapToGrid/>
        <w:spacing w:beforeLines="0" w:afterLines="0" w:line="240" w:lineRule="exact"/>
        <w:ind w:leftChars="0"/>
        <w:textAlignment w:val="auto"/>
        <w:rPr>
          <w:rFonts w:hint="default" w:eastAsia="黑体"/>
          <w:lang w:val="en-US" w:eastAsia="zh-CN"/>
        </w:rPr>
      </w:pPr>
      <w:bookmarkStart w:id="28" w:name="_Toc33615720"/>
      <w:bookmarkEnd w:id="28"/>
      <w:bookmarkStart w:id="29" w:name="_Toc72997722"/>
      <w:bookmarkEnd w:id="29"/>
      <w:bookmarkStart w:id="30" w:name="_Toc63257799"/>
      <w:bookmarkEnd w:id="30"/>
      <w:r>
        <w:rPr>
          <w:rFonts w:hint="eastAsia"/>
          <w:lang w:val="en-US" w:eastAsia="zh-CN"/>
        </w:rPr>
        <w:t>3.2</w:t>
      </w:r>
    </w:p>
    <w:p>
      <w:pPr>
        <w:pStyle w:val="69"/>
        <w:keepNext w:val="0"/>
        <w:keepLines w:val="0"/>
        <w:pageBreakBefore w:val="0"/>
        <w:widowControl/>
        <w:kinsoku/>
        <w:wordWrap/>
        <w:overflowPunct/>
        <w:topLinePunct w:val="0"/>
        <w:bidi w:val="0"/>
        <w:adjustRightInd/>
        <w:snapToGrid/>
        <w:spacing w:beforeLines="0" w:afterLines="0" w:line="300" w:lineRule="exact"/>
        <w:ind w:left="0" w:firstLine="420" w:firstLineChars="200"/>
        <w:textAlignment w:val="auto"/>
      </w:pPr>
      <w:bookmarkStart w:id="31" w:name="_Toc72997723"/>
      <w:bookmarkStart w:id="32" w:name="_Toc33615721"/>
      <w:bookmarkStart w:id="33" w:name="_Toc63257800"/>
      <w:r>
        <w:rPr>
          <w:rFonts w:hint="eastAsia"/>
        </w:rPr>
        <w:t xml:space="preserve">绿色设计产品  </w:t>
      </w:r>
      <w:r>
        <w:rPr>
          <w:rFonts w:hint="eastAsia"/>
          <w:lang w:val="en-US" w:eastAsia="zh-CN"/>
        </w:rPr>
        <w:t>g</w:t>
      </w:r>
      <w:r>
        <w:rPr>
          <w:rFonts w:hint="eastAsia"/>
        </w:rPr>
        <w:t>reen-designproduct</w:t>
      </w:r>
    </w:p>
    <w:p>
      <w:pPr>
        <w:pStyle w:val="68"/>
        <w:keepNext w:val="0"/>
        <w:keepLines w:val="0"/>
        <w:pageBreakBefore w:val="0"/>
        <w:widowControl/>
        <w:kinsoku/>
        <w:wordWrap/>
        <w:overflowPunct/>
        <w:topLinePunct w:val="0"/>
        <w:bidi w:val="0"/>
        <w:adjustRightInd/>
        <w:snapToGrid/>
        <w:spacing w:line="300" w:lineRule="exact"/>
        <w:ind w:firstLine="420"/>
        <w:textAlignment w:val="auto"/>
      </w:pPr>
      <w:r>
        <w:rPr>
          <w:rFonts w:hint="eastAsia"/>
        </w:rPr>
        <w:t>符合绿色设计理念和评价要求的产品。</w:t>
      </w:r>
    </w:p>
    <w:p>
      <w:pPr>
        <w:pStyle w:val="68"/>
        <w:keepNext w:val="0"/>
        <w:keepLines w:val="0"/>
        <w:pageBreakBefore w:val="0"/>
        <w:widowControl/>
        <w:kinsoku/>
        <w:wordWrap/>
        <w:overflowPunct/>
        <w:topLinePunct w:val="0"/>
        <w:bidi w:val="0"/>
        <w:adjustRightInd/>
        <w:snapToGrid/>
        <w:spacing w:line="300" w:lineRule="exact"/>
        <w:ind w:firstLine="420"/>
        <w:textAlignment w:val="auto"/>
      </w:pPr>
      <w:r>
        <w:rPr>
          <w:rFonts w:hint="eastAsia"/>
        </w:rPr>
        <w:t>[</w:t>
      </w:r>
      <w:r>
        <w:rPr>
          <w:rFonts w:hint="eastAsia" w:ascii="宋体" w:hAnsi="宋体" w:eastAsia="宋体" w:cs="宋体"/>
          <w:sz w:val="18"/>
          <w:szCs w:val="18"/>
        </w:rPr>
        <w:t>来源</w:t>
      </w:r>
      <w:r>
        <w:rPr>
          <w:rFonts w:hint="eastAsia"/>
          <w:sz w:val="18"/>
          <w:szCs w:val="18"/>
        </w:rPr>
        <w:t>：</w:t>
      </w:r>
      <w:r>
        <w:rPr>
          <w:rFonts w:hint="eastAsia"/>
        </w:rPr>
        <w:t>GB/T 32161—2015，定义3.3]</w:t>
      </w:r>
    </w:p>
    <w:p>
      <w:pPr>
        <w:pStyle w:val="69"/>
        <w:keepNext w:val="0"/>
        <w:keepLines w:val="0"/>
        <w:pageBreakBefore w:val="0"/>
        <w:widowControl/>
        <w:numPr>
          <w:ilvl w:val="0"/>
          <w:numId w:val="0"/>
        </w:numPr>
        <w:kinsoku/>
        <w:wordWrap/>
        <w:overflowPunct/>
        <w:topLinePunct w:val="0"/>
        <w:bidi w:val="0"/>
        <w:adjustRightInd/>
        <w:snapToGrid/>
        <w:spacing w:beforeLines="0" w:afterLines="0" w:line="240" w:lineRule="exact"/>
        <w:ind w:leftChars="0"/>
        <w:textAlignment w:val="auto"/>
        <w:rPr>
          <w:rFonts w:hint="default" w:eastAsia="黑体"/>
          <w:lang w:val="en-US" w:eastAsia="zh-CN"/>
        </w:rPr>
      </w:pPr>
      <w:r>
        <w:rPr>
          <w:rFonts w:hint="eastAsia"/>
          <w:lang w:val="en-US" w:eastAsia="zh-CN"/>
        </w:rPr>
        <w:t>3.3</w:t>
      </w:r>
    </w:p>
    <w:p>
      <w:pPr>
        <w:pStyle w:val="69"/>
        <w:keepNext w:val="0"/>
        <w:keepLines w:val="0"/>
        <w:pageBreakBefore w:val="0"/>
        <w:widowControl/>
        <w:kinsoku/>
        <w:wordWrap/>
        <w:overflowPunct/>
        <w:topLinePunct w:val="0"/>
        <w:bidi w:val="0"/>
        <w:adjustRightInd/>
        <w:snapToGrid/>
        <w:spacing w:beforeLines="0" w:afterLines="0" w:line="300" w:lineRule="exact"/>
        <w:ind w:left="0" w:firstLine="420" w:firstLineChars="200"/>
        <w:textAlignment w:val="auto"/>
      </w:pPr>
      <w:r>
        <w:rPr>
          <w:rFonts w:hint="eastAsia"/>
        </w:rPr>
        <w:t xml:space="preserve">家用和类似用途软水机  </w:t>
      </w:r>
      <w:r>
        <w:rPr>
          <w:rFonts w:hint="eastAsia"/>
          <w:lang w:val="en-US" w:eastAsia="zh-CN"/>
        </w:rPr>
        <w:t>h</w:t>
      </w:r>
      <w:r>
        <w:rPr>
          <w:rFonts w:hint="eastAsia"/>
        </w:rPr>
        <w:t>ousehold and similar water softener</w:t>
      </w:r>
    </w:p>
    <w:p>
      <w:pPr>
        <w:pStyle w:val="68"/>
        <w:keepNext w:val="0"/>
        <w:keepLines w:val="0"/>
        <w:pageBreakBefore w:val="0"/>
        <w:widowControl/>
        <w:kinsoku/>
        <w:wordWrap/>
        <w:overflowPunct/>
        <w:topLinePunct w:val="0"/>
        <w:bidi w:val="0"/>
        <w:adjustRightInd/>
        <w:snapToGrid/>
        <w:spacing w:line="300" w:lineRule="exact"/>
        <w:ind w:firstLine="420"/>
        <w:textAlignment w:val="auto"/>
      </w:pPr>
      <w:r>
        <w:rPr>
          <w:rFonts w:hint="eastAsia"/>
        </w:rPr>
        <w:t>以符合GB 5749 要求的市政自来水或其他集中式供水为原水，以离子交换为软化方法，供家庭或类似场所使用的软水机。</w:t>
      </w:r>
    </w:p>
    <w:p>
      <w:pPr>
        <w:pStyle w:val="68"/>
        <w:keepNext w:val="0"/>
        <w:keepLines w:val="0"/>
        <w:pageBreakBefore w:val="0"/>
        <w:widowControl/>
        <w:kinsoku/>
        <w:wordWrap/>
        <w:overflowPunct/>
        <w:topLinePunct w:val="0"/>
        <w:bidi w:val="0"/>
        <w:adjustRightInd/>
        <w:snapToGrid/>
        <w:spacing w:line="300" w:lineRule="exact"/>
        <w:ind w:firstLine="420"/>
        <w:textAlignment w:val="auto"/>
      </w:pPr>
      <w:r>
        <w:rPr>
          <w:rFonts w:hint="eastAsia"/>
        </w:rPr>
        <w:t>[</w:t>
      </w:r>
      <w:r>
        <w:rPr>
          <w:rFonts w:hint="eastAsia" w:ascii="宋体" w:hAnsi="宋体" w:eastAsia="宋体" w:cs="宋体"/>
          <w:sz w:val="18"/>
          <w:szCs w:val="18"/>
        </w:rPr>
        <w:t>来源</w:t>
      </w:r>
      <w:r>
        <w:rPr>
          <w:rFonts w:hint="eastAsia"/>
          <w:sz w:val="18"/>
          <w:szCs w:val="18"/>
        </w:rPr>
        <w:t>：</w:t>
      </w:r>
      <w:r>
        <w:rPr>
          <w:rFonts w:hint="eastAsia"/>
        </w:rPr>
        <w:t>QB/T 4698—2014，定义3.1]</w:t>
      </w:r>
    </w:p>
    <w:p>
      <w:pPr>
        <w:pStyle w:val="69"/>
        <w:keepNext w:val="0"/>
        <w:keepLines w:val="0"/>
        <w:pageBreakBefore w:val="0"/>
        <w:widowControl/>
        <w:numPr>
          <w:ilvl w:val="0"/>
          <w:numId w:val="0"/>
        </w:numPr>
        <w:kinsoku/>
        <w:wordWrap/>
        <w:overflowPunct/>
        <w:topLinePunct w:val="0"/>
        <w:bidi w:val="0"/>
        <w:adjustRightInd/>
        <w:snapToGrid/>
        <w:spacing w:beforeLines="0" w:afterLines="0" w:line="240" w:lineRule="exact"/>
        <w:ind w:leftChars="0"/>
        <w:textAlignment w:val="auto"/>
        <w:rPr>
          <w:rFonts w:hint="default" w:eastAsia="黑体"/>
          <w:lang w:val="en-US" w:eastAsia="zh-CN"/>
        </w:rPr>
      </w:pPr>
      <w:r>
        <w:rPr>
          <w:rFonts w:hint="eastAsia"/>
          <w:lang w:val="en-US" w:eastAsia="zh-CN"/>
        </w:rPr>
        <w:t>3.4</w:t>
      </w:r>
    </w:p>
    <w:p>
      <w:pPr>
        <w:pStyle w:val="69"/>
        <w:keepNext w:val="0"/>
        <w:keepLines w:val="0"/>
        <w:pageBreakBefore w:val="0"/>
        <w:widowControl/>
        <w:kinsoku/>
        <w:wordWrap/>
        <w:overflowPunct/>
        <w:topLinePunct w:val="0"/>
        <w:bidi w:val="0"/>
        <w:adjustRightInd/>
        <w:snapToGrid/>
        <w:spacing w:beforeLines="0" w:afterLines="0" w:line="300" w:lineRule="exact"/>
        <w:ind w:left="0" w:firstLine="420" w:firstLineChars="200"/>
        <w:textAlignment w:val="auto"/>
      </w:pPr>
      <w:r>
        <w:rPr>
          <w:rFonts w:hint="eastAsia"/>
        </w:rPr>
        <w:t xml:space="preserve">软化  </w:t>
      </w:r>
      <w:r>
        <w:rPr>
          <w:rFonts w:hint="eastAsia"/>
          <w:lang w:val="en-US" w:eastAsia="zh-CN"/>
        </w:rPr>
        <w:t>s</w:t>
      </w:r>
      <w:r>
        <w:rPr>
          <w:rFonts w:hint="eastAsia"/>
        </w:rPr>
        <w:t>often</w:t>
      </w:r>
      <w:bookmarkEnd w:id="31"/>
      <w:bookmarkEnd w:id="32"/>
      <w:bookmarkEnd w:id="33"/>
    </w:p>
    <w:p>
      <w:pPr>
        <w:pStyle w:val="68"/>
        <w:keepNext w:val="0"/>
        <w:keepLines w:val="0"/>
        <w:pageBreakBefore w:val="0"/>
        <w:widowControl/>
        <w:kinsoku/>
        <w:wordWrap/>
        <w:overflowPunct/>
        <w:topLinePunct w:val="0"/>
        <w:bidi w:val="0"/>
        <w:adjustRightInd/>
        <w:snapToGrid/>
        <w:spacing w:line="300" w:lineRule="exact"/>
        <w:ind w:firstLine="420"/>
        <w:textAlignment w:val="auto"/>
      </w:pPr>
      <w:r>
        <w:rPr>
          <w:rFonts w:hint="eastAsia"/>
        </w:rPr>
        <w:t>水通过交换器中的离子交换树脂层，除去水中大部分或全部钙、镁离子的过程。</w:t>
      </w:r>
    </w:p>
    <w:p>
      <w:pPr>
        <w:pStyle w:val="68"/>
        <w:keepNext w:val="0"/>
        <w:keepLines w:val="0"/>
        <w:pageBreakBefore w:val="0"/>
        <w:widowControl/>
        <w:kinsoku/>
        <w:wordWrap/>
        <w:overflowPunct/>
        <w:topLinePunct w:val="0"/>
        <w:bidi w:val="0"/>
        <w:adjustRightInd/>
        <w:snapToGrid/>
        <w:spacing w:line="300" w:lineRule="exact"/>
        <w:ind w:firstLine="420"/>
        <w:textAlignment w:val="auto"/>
      </w:pPr>
      <w:r>
        <w:rPr>
          <w:rFonts w:hint="eastAsia"/>
        </w:rPr>
        <w:t>[</w:t>
      </w:r>
      <w:r>
        <w:rPr>
          <w:rFonts w:hint="eastAsia" w:ascii="宋体" w:hAnsi="宋体" w:eastAsia="宋体" w:cs="宋体"/>
          <w:sz w:val="18"/>
          <w:szCs w:val="18"/>
        </w:rPr>
        <w:t>来源</w:t>
      </w:r>
      <w:r>
        <w:rPr>
          <w:rFonts w:hint="eastAsia"/>
          <w:sz w:val="18"/>
          <w:szCs w:val="18"/>
        </w:rPr>
        <w:t>：</w:t>
      </w:r>
      <w:r>
        <w:rPr>
          <w:rFonts w:hint="eastAsia"/>
        </w:rPr>
        <w:t>QB/T 4698—2014，定义3.3]</w:t>
      </w:r>
    </w:p>
    <w:p>
      <w:pPr>
        <w:pStyle w:val="69"/>
        <w:keepNext w:val="0"/>
        <w:keepLines w:val="0"/>
        <w:pageBreakBefore w:val="0"/>
        <w:widowControl/>
        <w:numPr>
          <w:ilvl w:val="0"/>
          <w:numId w:val="0"/>
        </w:numPr>
        <w:kinsoku/>
        <w:wordWrap/>
        <w:overflowPunct/>
        <w:topLinePunct w:val="0"/>
        <w:bidi w:val="0"/>
        <w:adjustRightInd/>
        <w:snapToGrid/>
        <w:spacing w:beforeLines="0" w:afterLines="0" w:line="300" w:lineRule="exact"/>
        <w:ind w:leftChars="0"/>
        <w:textAlignment w:val="auto"/>
        <w:rPr>
          <w:rFonts w:hint="default" w:eastAsia="黑体"/>
          <w:lang w:val="en-US" w:eastAsia="zh-CN"/>
        </w:rPr>
      </w:pPr>
      <w:bookmarkStart w:id="34" w:name="_Toc33615722"/>
      <w:bookmarkEnd w:id="34"/>
      <w:bookmarkStart w:id="35" w:name="_Toc72997724"/>
      <w:bookmarkEnd w:id="35"/>
      <w:bookmarkStart w:id="36" w:name="_Toc63257801"/>
      <w:bookmarkEnd w:id="36"/>
      <w:r>
        <w:rPr>
          <w:rFonts w:hint="eastAsia"/>
          <w:lang w:val="en-US" w:eastAsia="zh-CN"/>
        </w:rPr>
        <w:t>3.5</w:t>
      </w:r>
    </w:p>
    <w:p>
      <w:pPr>
        <w:pStyle w:val="69"/>
        <w:keepNext w:val="0"/>
        <w:keepLines w:val="0"/>
        <w:pageBreakBefore w:val="0"/>
        <w:widowControl/>
        <w:kinsoku/>
        <w:wordWrap/>
        <w:overflowPunct/>
        <w:topLinePunct w:val="0"/>
        <w:bidi w:val="0"/>
        <w:adjustRightInd/>
        <w:snapToGrid/>
        <w:spacing w:beforeLines="0" w:afterLines="0" w:line="300" w:lineRule="exact"/>
        <w:ind w:left="0" w:firstLine="420" w:firstLineChars="200"/>
        <w:textAlignment w:val="auto"/>
      </w:pPr>
      <w:bookmarkStart w:id="37" w:name="_Toc72997725"/>
      <w:bookmarkStart w:id="38" w:name="_Toc63257802"/>
      <w:r>
        <w:rPr>
          <w:rFonts w:hint="eastAsia"/>
        </w:rPr>
        <w:t xml:space="preserve">再生盐耗 </w:t>
      </w:r>
      <w:r>
        <w:rPr>
          <w:rFonts w:hint="eastAsia"/>
          <w:lang w:val="en-US" w:eastAsia="zh-CN"/>
        </w:rPr>
        <w:t xml:space="preserve"> s</w:t>
      </w:r>
      <w:r>
        <w:rPr>
          <w:rFonts w:hint="eastAsia"/>
        </w:rPr>
        <w:t>alt consumption for regeneration</w:t>
      </w:r>
      <w:bookmarkEnd w:id="37"/>
      <w:bookmarkEnd w:id="38"/>
    </w:p>
    <w:p>
      <w:pPr>
        <w:pStyle w:val="68"/>
        <w:keepNext w:val="0"/>
        <w:keepLines w:val="0"/>
        <w:pageBreakBefore w:val="0"/>
        <w:widowControl/>
        <w:kinsoku/>
        <w:wordWrap/>
        <w:overflowPunct/>
        <w:topLinePunct w:val="0"/>
        <w:bidi w:val="0"/>
        <w:adjustRightInd/>
        <w:snapToGrid/>
        <w:spacing w:line="300" w:lineRule="exact"/>
        <w:ind w:firstLine="420"/>
        <w:textAlignment w:val="auto"/>
      </w:pPr>
      <w:r>
        <w:rPr>
          <w:rFonts w:hint="eastAsia"/>
        </w:rPr>
        <w:t>每克盐所去除的硬度。</w:t>
      </w:r>
    </w:p>
    <w:p>
      <w:pPr>
        <w:pStyle w:val="68"/>
        <w:keepNext w:val="0"/>
        <w:keepLines w:val="0"/>
        <w:pageBreakBefore w:val="0"/>
        <w:widowControl/>
        <w:kinsoku/>
        <w:wordWrap/>
        <w:overflowPunct/>
        <w:topLinePunct w:val="0"/>
        <w:bidi w:val="0"/>
        <w:adjustRightInd/>
        <w:snapToGrid/>
        <w:spacing w:line="300" w:lineRule="exact"/>
        <w:textAlignment w:val="auto"/>
        <w:rPr>
          <w:sz w:val="18"/>
          <w:szCs w:val="18"/>
        </w:rPr>
      </w:pPr>
      <w:r>
        <w:rPr>
          <w:rFonts w:hint="eastAsia" w:ascii="黑体" w:hAnsi="黑体" w:eastAsia="黑体"/>
          <w:sz w:val="18"/>
          <w:szCs w:val="18"/>
        </w:rPr>
        <w:t>注：</w:t>
      </w:r>
      <w:r>
        <w:rPr>
          <w:rFonts w:hint="eastAsia"/>
          <w:sz w:val="18"/>
          <w:szCs w:val="18"/>
        </w:rPr>
        <w:t>单位（mg）</w:t>
      </w:r>
    </w:p>
    <w:p>
      <w:pPr>
        <w:pStyle w:val="69"/>
        <w:keepNext w:val="0"/>
        <w:keepLines w:val="0"/>
        <w:pageBreakBefore w:val="0"/>
        <w:widowControl/>
        <w:numPr>
          <w:ilvl w:val="0"/>
          <w:numId w:val="0"/>
        </w:numPr>
        <w:kinsoku/>
        <w:wordWrap/>
        <w:overflowPunct/>
        <w:topLinePunct w:val="0"/>
        <w:bidi w:val="0"/>
        <w:adjustRightInd/>
        <w:snapToGrid/>
        <w:spacing w:beforeLines="0" w:afterLines="0" w:line="240" w:lineRule="exact"/>
        <w:ind w:leftChars="0"/>
        <w:textAlignment w:val="auto"/>
        <w:rPr>
          <w:rFonts w:hint="default" w:eastAsia="黑体"/>
          <w:lang w:val="en-US" w:eastAsia="zh-CN"/>
        </w:rPr>
      </w:pPr>
      <w:bookmarkStart w:id="39" w:name="_Toc72997726"/>
      <w:bookmarkEnd w:id="39"/>
      <w:bookmarkStart w:id="40" w:name="_Toc63257803"/>
      <w:bookmarkEnd w:id="40"/>
      <w:r>
        <w:rPr>
          <w:rFonts w:hint="eastAsia"/>
          <w:lang w:val="en-US" w:eastAsia="zh-CN"/>
        </w:rPr>
        <w:t>3.6</w:t>
      </w:r>
    </w:p>
    <w:p>
      <w:pPr>
        <w:pStyle w:val="69"/>
        <w:keepNext w:val="0"/>
        <w:keepLines w:val="0"/>
        <w:pageBreakBefore w:val="0"/>
        <w:widowControl/>
        <w:kinsoku/>
        <w:wordWrap/>
        <w:overflowPunct/>
        <w:topLinePunct w:val="0"/>
        <w:bidi w:val="0"/>
        <w:adjustRightInd/>
        <w:snapToGrid/>
        <w:spacing w:beforeLines="0" w:afterLines="0" w:line="300" w:lineRule="exact"/>
        <w:ind w:left="0" w:firstLine="420" w:firstLineChars="200"/>
        <w:textAlignment w:val="auto"/>
      </w:pPr>
      <w:bookmarkStart w:id="41" w:name="_Toc72997727"/>
      <w:bookmarkStart w:id="42" w:name="_Toc63257804"/>
      <w:r>
        <w:rPr>
          <w:rFonts w:hint="eastAsia"/>
        </w:rPr>
        <w:t xml:space="preserve">再生耗水率 </w:t>
      </w:r>
      <w:r>
        <w:rPr>
          <w:rFonts w:hint="eastAsia"/>
          <w:lang w:val="en-US" w:eastAsia="zh-CN"/>
        </w:rPr>
        <w:t xml:space="preserve"> w</w:t>
      </w:r>
      <w:r>
        <w:rPr>
          <w:rFonts w:hint="eastAsia"/>
        </w:rPr>
        <w:t>ater consumption for regeneration</w:t>
      </w:r>
      <w:bookmarkEnd w:id="41"/>
      <w:bookmarkEnd w:id="42"/>
    </w:p>
    <w:p>
      <w:pPr>
        <w:pStyle w:val="68"/>
        <w:keepNext w:val="0"/>
        <w:keepLines w:val="0"/>
        <w:pageBreakBefore w:val="0"/>
        <w:widowControl/>
        <w:kinsoku/>
        <w:wordWrap/>
        <w:overflowPunct/>
        <w:topLinePunct w:val="0"/>
        <w:bidi w:val="0"/>
        <w:adjustRightInd/>
        <w:snapToGrid/>
        <w:spacing w:line="300" w:lineRule="exact"/>
        <w:ind w:firstLine="420"/>
        <w:textAlignment w:val="auto"/>
        <w:rPr>
          <w:rFonts w:hint="eastAsia"/>
        </w:rPr>
      </w:pPr>
      <w:r>
        <w:rPr>
          <w:rFonts w:hint="eastAsia"/>
        </w:rPr>
        <w:t>再生周期内的排水量和周期制水量的比例。</w:t>
      </w:r>
    </w:p>
    <w:p>
      <w:pPr>
        <w:pStyle w:val="68"/>
        <w:keepNext w:val="0"/>
        <w:keepLines w:val="0"/>
        <w:pageBreakBefore w:val="0"/>
        <w:widowControl/>
        <w:kinsoku/>
        <w:wordWrap/>
        <w:overflowPunct/>
        <w:topLinePunct w:val="0"/>
        <w:autoSpaceDE w:val="0"/>
        <w:autoSpaceDN w:val="0"/>
        <w:bidi w:val="0"/>
        <w:adjustRightInd/>
        <w:snapToGrid/>
        <w:spacing w:line="240" w:lineRule="exact"/>
        <w:ind w:firstLine="420"/>
        <w:textAlignment w:val="auto"/>
        <w:rPr>
          <w:rFonts w:hint="eastAsia"/>
        </w:rPr>
      </w:pPr>
    </w:p>
    <w:p>
      <w:pPr>
        <w:pStyle w:val="69"/>
        <w:keepNext w:val="0"/>
        <w:keepLines w:val="0"/>
        <w:pageBreakBefore w:val="0"/>
        <w:widowControl/>
        <w:numPr>
          <w:ilvl w:val="0"/>
          <w:numId w:val="0"/>
        </w:numPr>
        <w:kinsoku/>
        <w:wordWrap/>
        <w:overflowPunct/>
        <w:topLinePunct w:val="0"/>
        <w:bidi w:val="0"/>
        <w:adjustRightInd/>
        <w:snapToGrid/>
        <w:spacing w:beforeLines="0" w:afterLines="0"/>
        <w:ind w:leftChars="0"/>
        <w:textAlignment w:val="auto"/>
        <w:rPr>
          <w:rFonts w:hint="default" w:eastAsia="黑体"/>
          <w:color w:val="auto"/>
          <w:lang w:val="en-US" w:eastAsia="zh-CN"/>
        </w:rPr>
      </w:pPr>
      <w:bookmarkStart w:id="43" w:name="_Toc33615726"/>
      <w:bookmarkEnd w:id="43"/>
      <w:bookmarkStart w:id="44" w:name="_Toc72997728"/>
      <w:bookmarkEnd w:id="44"/>
      <w:bookmarkStart w:id="45" w:name="_Toc33615725"/>
      <w:bookmarkEnd w:id="45"/>
      <w:bookmarkStart w:id="46" w:name="_Toc63257805"/>
      <w:bookmarkEnd w:id="46"/>
      <w:bookmarkStart w:id="47" w:name="_Toc63257806"/>
      <w:bookmarkEnd w:id="47"/>
      <w:bookmarkStart w:id="48" w:name="_Toc72997729"/>
      <w:bookmarkEnd w:id="48"/>
      <w:bookmarkStart w:id="49" w:name="_Toc33615727"/>
      <w:bookmarkEnd w:id="49"/>
      <w:bookmarkStart w:id="50" w:name="_Toc33615728"/>
      <w:bookmarkStart w:id="51" w:name="_Toc72997730"/>
      <w:r>
        <w:rPr>
          <w:rFonts w:hint="eastAsia"/>
          <w:color w:val="auto"/>
          <w:lang w:val="en-US" w:eastAsia="zh-CN"/>
        </w:rPr>
        <w:t>4  评价要求</w:t>
      </w:r>
      <w:bookmarkEnd w:id="50"/>
      <w:bookmarkEnd w:id="51"/>
    </w:p>
    <w:p>
      <w:pPr>
        <w:pStyle w:val="69"/>
        <w:keepNext w:val="0"/>
        <w:keepLines w:val="0"/>
        <w:pageBreakBefore w:val="0"/>
        <w:widowControl/>
        <w:numPr>
          <w:ilvl w:val="0"/>
          <w:numId w:val="0"/>
        </w:numPr>
        <w:kinsoku/>
        <w:wordWrap/>
        <w:overflowPunct/>
        <w:topLinePunct w:val="0"/>
        <w:bidi w:val="0"/>
        <w:adjustRightInd/>
        <w:snapToGrid/>
        <w:spacing w:beforeLines="0" w:afterLines="0" w:line="240" w:lineRule="exact"/>
        <w:ind w:leftChars="0"/>
        <w:textAlignment w:val="auto"/>
        <w:rPr>
          <w:rFonts w:hint="eastAsia" w:eastAsia="黑体"/>
          <w:color w:val="auto"/>
          <w:lang w:eastAsia="zh-CN"/>
        </w:rPr>
      </w:pPr>
    </w:p>
    <w:p>
      <w:pPr>
        <w:pStyle w:val="69"/>
        <w:keepNext w:val="0"/>
        <w:keepLines w:val="0"/>
        <w:pageBreakBefore w:val="0"/>
        <w:widowControl/>
        <w:numPr>
          <w:ilvl w:val="0"/>
          <w:numId w:val="0"/>
        </w:numPr>
        <w:kinsoku/>
        <w:wordWrap/>
        <w:overflowPunct/>
        <w:topLinePunct w:val="0"/>
        <w:bidi w:val="0"/>
        <w:adjustRightInd/>
        <w:snapToGrid/>
        <w:spacing w:beforeLines="0" w:afterLines="0" w:line="240" w:lineRule="exact"/>
        <w:ind w:leftChars="0"/>
        <w:textAlignment w:val="auto"/>
        <w:rPr>
          <w:rFonts w:hint="eastAsia"/>
          <w:color w:val="auto"/>
        </w:rPr>
      </w:pPr>
      <w:r>
        <w:rPr>
          <w:rFonts w:hint="eastAsia"/>
          <w:color w:val="auto"/>
          <w:lang w:val="en-US" w:eastAsia="zh-CN"/>
        </w:rPr>
        <w:t xml:space="preserve">4.1  </w:t>
      </w:r>
      <w:r>
        <w:rPr>
          <w:rFonts w:hint="eastAsia"/>
          <w:color w:val="auto"/>
        </w:rPr>
        <w:t>基本要求</w:t>
      </w:r>
    </w:p>
    <w:p>
      <w:pPr>
        <w:pStyle w:val="68"/>
        <w:keepNext w:val="0"/>
        <w:keepLines w:val="0"/>
        <w:pageBreakBefore w:val="0"/>
        <w:widowControl/>
        <w:kinsoku/>
        <w:wordWrap/>
        <w:overflowPunct/>
        <w:topLinePunct w:val="0"/>
        <w:autoSpaceDE w:val="0"/>
        <w:autoSpaceDN w:val="0"/>
        <w:bidi w:val="0"/>
        <w:adjustRightInd/>
        <w:snapToGrid/>
        <w:spacing w:line="240" w:lineRule="exact"/>
        <w:textAlignment w:val="auto"/>
        <w:rPr>
          <w:color w:val="auto"/>
        </w:rPr>
      </w:pPr>
    </w:p>
    <w:p>
      <w:pPr>
        <w:pStyle w:val="68"/>
        <w:ind w:firstLine="420"/>
        <w:rPr>
          <w:color w:val="auto"/>
        </w:rPr>
      </w:pPr>
      <w:r>
        <w:rPr>
          <w:rFonts w:hint="eastAsia"/>
          <w:color w:val="auto"/>
        </w:rPr>
        <w:t>产品生产企业应将绿色设计过程引入管理体系：</w:t>
      </w:r>
    </w:p>
    <w:p>
      <w:pPr>
        <w:pStyle w:val="68"/>
        <w:numPr>
          <w:ilvl w:val="0"/>
          <w:numId w:val="9"/>
        </w:numPr>
        <w:ind w:firstLine="420"/>
        <w:rPr>
          <w:color w:val="auto"/>
        </w:rPr>
      </w:pPr>
      <w:r>
        <w:rPr>
          <w:rFonts w:hint="eastAsia"/>
          <w:color w:val="auto"/>
        </w:rPr>
        <w:t>在企业政策和战略中加入绿色设计和减少整体环境影响的目标；</w:t>
      </w:r>
    </w:p>
    <w:p>
      <w:pPr>
        <w:pStyle w:val="68"/>
        <w:numPr>
          <w:ilvl w:val="0"/>
          <w:numId w:val="9"/>
        </w:numPr>
        <w:ind w:firstLine="420"/>
        <w:rPr>
          <w:color w:val="auto"/>
        </w:rPr>
      </w:pPr>
      <w:r>
        <w:rPr>
          <w:rFonts w:hint="eastAsia"/>
          <w:color w:val="auto"/>
        </w:rPr>
        <w:t>与企业的管理体系程序一致，定期审议绿色设计过程，以促进持续改进；</w:t>
      </w:r>
    </w:p>
    <w:p>
      <w:pPr>
        <w:pStyle w:val="68"/>
        <w:keepNext w:val="0"/>
        <w:keepLines w:val="0"/>
        <w:pageBreakBefore w:val="0"/>
        <w:widowControl/>
        <w:numPr>
          <w:ilvl w:val="0"/>
          <w:numId w:val="9"/>
        </w:numPr>
        <w:kinsoku/>
        <w:wordWrap/>
        <w:overflowPunct/>
        <w:topLinePunct w:val="0"/>
        <w:bidi w:val="0"/>
        <w:adjustRightInd/>
        <w:snapToGrid/>
        <w:ind w:firstLine="420"/>
        <w:textAlignment w:val="auto"/>
        <w:rPr>
          <w:rFonts w:hint="eastAsia"/>
          <w:color w:val="auto"/>
        </w:rPr>
      </w:pPr>
      <w:r>
        <w:rPr>
          <w:rFonts w:hint="eastAsia"/>
          <w:color w:val="auto"/>
        </w:rPr>
        <w:t>审议内容包括企业政策和战略、是否需要改进绿色设计过程、是否可能提升产品环境绩效。</w:t>
      </w:r>
    </w:p>
    <w:p>
      <w:pPr>
        <w:pStyle w:val="68"/>
        <w:keepNext w:val="0"/>
        <w:keepLines w:val="0"/>
        <w:pageBreakBefore w:val="0"/>
        <w:widowControl/>
        <w:kinsoku/>
        <w:wordWrap/>
        <w:overflowPunct/>
        <w:topLinePunct w:val="0"/>
        <w:autoSpaceDE w:val="0"/>
        <w:autoSpaceDN w:val="0"/>
        <w:bidi w:val="0"/>
        <w:adjustRightInd/>
        <w:snapToGrid/>
        <w:spacing w:line="240" w:lineRule="exact"/>
        <w:ind w:firstLine="420"/>
        <w:textAlignment w:val="auto"/>
        <w:rPr>
          <w:rFonts w:hint="eastAsia"/>
          <w:color w:val="auto"/>
        </w:rPr>
      </w:pPr>
    </w:p>
    <w:p>
      <w:pPr>
        <w:pStyle w:val="69"/>
        <w:keepNext w:val="0"/>
        <w:keepLines w:val="0"/>
        <w:pageBreakBefore w:val="0"/>
        <w:widowControl/>
        <w:numPr>
          <w:ilvl w:val="0"/>
          <w:numId w:val="0"/>
        </w:numPr>
        <w:kinsoku/>
        <w:wordWrap/>
        <w:overflowPunct/>
        <w:topLinePunct w:val="0"/>
        <w:bidi w:val="0"/>
        <w:adjustRightInd/>
        <w:snapToGrid/>
        <w:spacing w:beforeLines="0" w:afterLines="0"/>
        <w:ind w:leftChars="0"/>
        <w:textAlignment w:val="auto"/>
        <w:rPr>
          <w:rFonts w:hint="eastAsia"/>
          <w:color w:val="auto"/>
        </w:rPr>
      </w:pPr>
      <w:r>
        <w:rPr>
          <w:rFonts w:hint="eastAsia"/>
          <w:color w:val="auto"/>
          <w:lang w:val="en-US" w:eastAsia="zh-CN"/>
        </w:rPr>
        <w:t xml:space="preserve">4.2  </w:t>
      </w:r>
      <w:r>
        <w:rPr>
          <w:rFonts w:hint="eastAsia"/>
          <w:color w:val="auto"/>
        </w:rPr>
        <w:t>指标要求</w:t>
      </w:r>
    </w:p>
    <w:p>
      <w:pPr>
        <w:pStyle w:val="68"/>
        <w:keepNext w:val="0"/>
        <w:keepLines w:val="0"/>
        <w:pageBreakBefore w:val="0"/>
        <w:widowControl/>
        <w:kinsoku/>
        <w:wordWrap/>
        <w:overflowPunct/>
        <w:topLinePunct w:val="0"/>
        <w:autoSpaceDE w:val="0"/>
        <w:autoSpaceDN w:val="0"/>
        <w:bidi w:val="0"/>
        <w:adjustRightInd/>
        <w:snapToGrid/>
        <w:spacing w:line="240" w:lineRule="exact"/>
        <w:textAlignment w:val="auto"/>
        <w:rPr>
          <w:color w:val="auto"/>
        </w:rPr>
      </w:pPr>
    </w:p>
    <w:p>
      <w:pPr>
        <w:pStyle w:val="68"/>
        <w:ind w:firstLine="420"/>
        <w:rPr>
          <w:rFonts w:hint="eastAsia"/>
          <w:color w:val="auto"/>
        </w:rPr>
      </w:pPr>
      <w:r>
        <w:rPr>
          <w:rFonts w:hint="eastAsia"/>
          <w:color w:val="auto"/>
        </w:rPr>
        <w:t>评价产品为绿色设计产品由一级指标和二级指标组成。一级指标包括资源属性、能源属性、环境属性和产品属性四类指标。二级指标为四类属性指标中具体评价项目，包括了指标名称、基准值、判定依据等。评价指标要求见表1。</w:t>
      </w:r>
    </w:p>
    <w:p>
      <w:pPr>
        <w:pStyle w:val="68"/>
        <w:keepNext w:val="0"/>
        <w:keepLines w:val="0"/>
        <w:pageBreakBefore w:val="0"/>
        <w:widowControl/>
        <w:kinsoku/>
        <w:wordWrap/>
        <w:overflowPunct/>
        <w:topLinePunct w:val="0"/>
        <w:autoSpaceDE w:val="0"/>
        <w:autoSpaceDN w:val="0"/>
        <w:bidi w:val="0"/>
        <w:adjustRightInd/>
        <w:snapToGrid/>
        <w:spacing w:line="240" w:lineRule="exact"/>
        <w:ind w:firstLine="420"/>
        <w:textAlignment w:val="auto"/>
        <w:rPr>
          <w:rFonts w:hint="eastAsia"/>
          <w:color w:val="auto"/>
        </w:rPr>
      </w:pPr>
    </w:p>
    <w:p>
      <w:pPr>
        <w:pStyle w:val="68"/>
        <w:ind w:firstLine="0" w:firstLineChars="0"/>
        <w:jc w:val="center"/>
        <w:rPr>
          <w:rFonts w:hint="eastAsia" w:ascii="黑体" w:hAnsi="黑体" w:eastAsia="黑体"/>
          <w:color w:val="auto"/>
        </w:rPr>
      </w:pPr>
      <w:r>
        <w:rPr>
          <w:rFonts w:hint="eastAsia" w:ascii="黑体" w:hAnsi="黑体" w:eastAsia="黑体"/>
          <w:color w:val="auto"/>
        </w:rPr>
        <w:t>表1  软水机评价指标要求</w:t>
      </w:r>
    </w:p>
    <w:p>
      <w:pPr>
        <w:pStyle w:val="68"/>
        <w:keepNext w:val="0"/>
        <w:keepLines w:val="0"/>
        <w:pageBreakBefore w:val="0"/>
        <w:widowControl/>
        <w:kinsoku/>
        <w:wordWrap/>
        <w:overflowPunct/>
        <w:topLinePunct w:val="0"/>
        <w:autoSpaceDE w:val="0"/>
        <w:autoSpaceDN w:val="0"/>
        <w:bidi w:val="0"/>
        <w:adjustRightInd/>
        <w:snapToGrid/>
        <w:spacing w:line="240" w:lineRule="exact"/>
        <w:ind w:firstLine="0" w:firstLineChars="0"/>
        <w:jc w:val="center"/>
        <w:textAlignment w:val="auto"/>
        <w:rPr>
          <w:rFonts w:hint="eastAsia" w:ascii="黑体" w:hAnsi="黑体" w:eastAsia="黑体"/>
          <w:color w:val="auto"/>
        </w:rPr>
      </w:pPr>
    </w:p>
    <w:tbl>
      <w:tblPr>
        <w:tblStyle w:val="31"/>
        <w:tblW w:w="0" w:type="auto"/>
        <w:tblInd w:w="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6"/>
        <w:gridCol w:w="880"/>
        <w:gridCol w:w="112"/>
        <w:gridCol w:w="992"/>
        <w:gridCol w:w="3119"/>
        <w:gridCol w:w="3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26" w:type="dxa"/>
            <w:vAlign w:val="center"/>
          </w:tcPr>
          <w:p>
            <w:pPr>
              <w:pStyle w:val="68"/>
              <w:widowControl w:val="0"/>
              <w:ind w:firstLine="0" w:firstLineChars="0"/>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一级指标</w:t>
            </w:r>
          </w:p>
        </w:tc>
        <w:tc>
          <w:tcPr>
            <w:tcW w:w="1984" w:type="dxa"/>
            <w:gridSpan w:val="3"/>
            <w:vAlign w:val="center"/>
          </w:tcPr>
          <w:p>
            <w:pPr>
              <w:pStyle w:val="68"/>
              <w:widowControl w:val="0"/>
              <w:ind w:firstLine="0" w:firstLineChars="0"/>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二级指标</w:t>
            </w:r>
          </w:p>
        </w:tc>
        <w:tc>
          <w:tcPr>
            <w:tcW w:w="3119" w:type="dxa"/>
            <w:vAlign w:val="center"/>
          </w:tcPr>
          <w:p>
            <w:pPr>
              <w:pStyle w:val="68"/>
              <w:widowControl w:val="0"/>
              <w:ind w:firstLine="0" w:firstLineChars="0"/>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基准值</w:t>
            </w:r>
          </w:p>
        </w:tc>
        <w:tc>
          <w:tcPr>
            <w:tcW w:w="3261" w:type="dxa"/>
            <w:vAlign w:val="center"/>
          </w:tcPr>
          <w:p>
            <w:pPr>
              <w:pStyle w:val="68"/>
              <w:widowControl w:val="0"/>
              <w:ind w:firstLine="0" w:firstLineChars="0"/>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判断依据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6" w:type="dxa"/>
            <w:vMerge w:val="restart"/>
            <w:vAlign w:val="center"/>
          </w:tcPr>
          <w:p>
            <w:pPr>
              <w:pStyle w:val="68"/>
              <w:widowControl w:val="0"/>
              <w:ind w:firstLine="0" w:firstLineChars="0"/>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资源属性</w:t>
            </w:r>
          </w:p>
        </w:tc>
        <w:tc>
          <w:tcPr>
            <w:tcW w:w="1984" w:type="dxa"/>
            <w:gridSpan w:val="3"/>
            <w:vMerge w:val="restart"/>
            <w:vAlign w:val="center"/>
          </w:tcPr>
          <w:p>
            <w:pPr>
              <w:pStyle w:val="68"/>
              <w:widowControl w:val="0"/>
              <w:ind w:firstLine="0" w:firstLineChars="0"/>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限用有害物质</w:t>
            </w:r>
          </w:p>
        </w:tc>
        <w:tc>
          <w:tcPr>
            <w:tcW w:w="3119" w:type="dxa"/>
            <w:vAlign w:val="center"/>
          </w:tcPr>
          <w:p>
            <w:pPr>
              <w:pStyle w:val="68"/>
              <w:widowControl w:val="0"/>
              <w:ind w:firstLine="0" w:firstLineChars="0"/>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产品应符合GB/T 26572中对产品含六种限用物质（铅、汞、镉、六价铬、多溴联苯和多溴二苯醚）的限量要求。</w:t>
            </w:r>
          </w:p>
        </w:tc>
        <w:tc>
          <w:tcPr>
            <w:tcW w:w="3261" w:type="dxa"/>
            <w:vAlign w:val="center"/>
          </w:tcPr>
          <w:p>
            <w:pPr>
              <w:pStyle w:val="68"/>
              <w:widowControl w:val="0"/>
              <w:ind w:firstLine="0" w:firstLineChars="0"/>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依据GB/T 26125测试并提供测试报告。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6" w:type="dxa"/>
            <w:vMerge w:val="continue"/>
            <w:vAlign w:val="center"/>
          </w:tcPr>
          <w:p>
            <w:pPr>
              <w:pStyle w:val="68"/>
              <w:widowControl w:val="0"/>
              <w:ind w:firstLine="0" w:firstLineChars="0"/>
              <w:jc w:val="center"/>
              <w:rPr>
                <w:rFonts w:asciiTheme="minorEastAsia" w:hAnsiTheme="minorEastAsia" w:eastAsiaTheme="minorEastAsia"/>
                <w:color w:val="auto"/>
                <w:sz w:val="18"/>
                <w:szCs w:val="18"/>
              </w:rPr>
            </w:pPr>
          </w:p>
        </w:tc>
        <w:tc>
          <w:tcPr>
            <w:tcW w:w="1984" w:type="dxa"/>
            <w:gridSpan w:val="3"/>
            <w:vMerge w:val="continue"/>
            <w:vAlign w:val="center"/>
          </w:tcPr>
          <w:p>
            <w:pPr>
              <w:pStyle w:val="68"/>
              <w:widowControl w:val="0"/>
              <w:ind w:firstLine="0" w:firstLineChars="0"/>
              <w:jc w:val="center"/>
              <w:rPr>
                <w:rFonts w:asciiTheme="minorEastAsia" w:hAnsiTheme="minorEastAsia" w:eastAsiaTheme="minorEastAsia"/>
                <w:color w:val="auto"/>
                <w:sz w:val="18"/>
                <w:szCs w:val="18"/>
              </w:rPr>
            </w:pPr>
          </w:p>
        </w:tc>
        <w:tc>
          <w:tcPr>
            <w:tcW w:w="3119" w:type="dxa"/>
            <w:vAlign w:val="center"/>
          </w:tcPr>
          <w:p>
            <w:pPr>
              <w:pStyle w:val="68"/>
              <w:widowControl w:val="0"/>
              <w:ind w:firstLine="0" w:firstLineChars="0"/>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产品应符合SJ/T 11364的标识要求。</w:t>
            </w:r>
          </w:p>
        </w:tc>
        <w:tc>
          <w:tcPr>
            <w:tcW w:w="3261" w:type="dxa"/>
            <w:vAlign w:val="center"/>
          </w:tcPr>
          <w:p>
            <w:pPr>
              <w:pStyle w:val="68"/>
              <w:widowControl w:val="0"/>
              <w:ind w:firstLine="0" w:firstLineChars="0"/>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依据SJ/T 11364在产品上进行标识。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6" w:type="dxa"/>
            <w:vMerge w:val="continue"/>
            <w:vAlign w:val="center"/>
          </w:tcPr>
          <w:p>
            <w:pPr>
              <w:pStyle w:val="68"/>
              <w:widowControl w:val="0"/>
              <w:ind w:firstLine="0" w:firstLineChars="0"/>
              <w:jc w:val="center"/>
              <w:rPr>
                <w:rFonts w:asciiTheme="minorEastAsia" w:hAnsiTheme="minorEastAsia" w:eastAsiaTheme="minorEastAsia"/>
                <w:color w:val="auto"/>
                <w:sz w:val="18"/>
                <w:szCs w:val="18"/>
              </w:rPr>
            </w:pPr>
          </w:p>
        </w:tc>
        <w:tc>
          <w:tcPr>
            <w:tcW w:w="1984" w:type="dxa"/>
            <w:gridSpan w:val="3"/>
            <w:vMerge w:val="continue"/>
            <w:vAlign w:val="center"/>
          </w:tcPr>
          <w:p>
            <w:pPr>
              <w:pStyle w:val="68"/>
              <w:widowControl w:val="0"/>
              <w:ind w:firstLine="0" w:firstLineChars="0"/>
              <w:jc w:val="center"/>
              <w:rPr>
                <w:rFonts w:asciiTheme="minorEastAsia" w:hAnsiTheme="minorEastAsia" w:eastAsiaTheme="minorEastAsia"/>
                <w:color w:val="auto"/>
                <w:sz w:val="18"/>
                <w:szCs w:val="18"/>
              </w:rPr>
            </w:pPr>
          </w:p>
        </w:tc>
        <w:tc>
          <w:tcPr>
            <w:tcW w:w="3119" w:type="dxa"/>
            <w:vAlign w:val="center"/>
          </w:tcPr>
          <w:p>
            <w:pPr>
              <w:pStyle w:val="68"/>
              <w:widowControl w:val="0"/>
              <w:ind w:firstLine="0" w:firstLineChars="0"/>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产品中邻苯二甲酸二异丁酯、邻苯二甲酸二（2-乙基己基）酯 、邻苯二甲酸甲苯基丁酯、邻苯二甲酸苯基丁基酯四种物质含量应分别不超过0.1%。</w:t>
            </w:r>
          </w:p>
        </w:tc>
        <w:tc>
          <w:tcPr>
            <w:tcW w:w="3261" w:type="dxa"/>
            <w:vAlign w:val="center"/>
          </w:tcPr>
          <w:p>
            <w:pPr>
              <w:pStyle w:val="68"/>
              <w:widowControl w:val="0"/>
              <w:ind w:firstLine="0" w:firstLineChars="0"/>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依据GB/T 29786进行测试并提供测试报告。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0" w:type="dxa"/>
            <w:gridSpan w:val="6"/>
            <w:tcBorders>
              <w:top w:val="nil"/>
              <w:left w:val="nil"/>
              <w:bottom w:val="nil"/>
              <w:right w:val="nil"/>
            </w:tcBorders>
            <w:vAlign w:val="center"/>
          </w:tcPr>
          <w:p>
            <w:pPr>
              <w:pStyle w:val="68"/>
              <w:widowControl w:val="0"/>
              <w:ind w:firstLine="0" w:firstLineChars="0"/>
              <w:jc w:val="center"/>
              <w:rPr>
                <w:rFonts w:hint="eastAsia" w:ascii="黑体" w:hAnsi="黑体" w:eastAsia="黑体"/>
                <w:color w:val="auto"/>
              </w:rPr>
            </w:pPr>
          </w:p>
          <w:p>
            <w:pPr>
              <w:pStyle w:val="68"/>
              <w:widowControl w:val="0"/>
              <w:ind w:firstLine="0" w:firstLineChars="0"/>
              <w:jc w:val="center"/>
              <w:rPr>
                <w:rFonts w:hint="eastAsia" w:ascii="黑体" w:hAnsi="黑体" w:eastAsia="黑体"/>
                <w:color w:val="auto"/>
                <w:lang w:eastAsia="zh-CN"/>
              </w:rPr>
            </w:pPr>
            <w:r>
              <w:rPr>
                <w:rFonts w:hint="eastAsia" w:ascii="黑体" w:hAnsi="黑体" w:eastAsia="黑体"/>
                <w:color w:val="auto"/>
              </w:rPr>
              <w:t>表1  软水机评价指标要求</w:t>
            </w:r>
            <w:r>
              <w:rPr>
                <w:rFonts w:hint="eastAsia" w:ascii="黑体" w:hAnsi="黑体" w:eastAsia="黑体"/>
                <w:color w:val="auto"/>
                <w:lang w:eastAsia="zh-CN"/>
              </w:rPr>
              <w:t>（续）</w:t>
            </w:r>
          </w:p>
          <w:p>
            <w:pPr>
              <w:pStyle w:val="68"/>
              <w:widowControl w:val="0"/>
              <w:ind w:firstLine="0" w:firstLineChars="0"/>
              <w:jc w:val="both"/>
              <w:rPr>
                <w:rFonts w:hint="eastAsia" w:asciiTheme="minorEastAsia" w:hAnsiTheme="minorEastAsia" w:eastAsiaTheme="minorEastAsia"/>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6" w:type="dxa"/>
            <w:vAlign w:val="center"/>
          </w:tcPr>
          <w:p>
            <w:pPr>
              <w:pStyle w:val="68"/>
              <w:widowControl w:val="0"/>
              <w:ind w:firstLine="0" w:firstLineChars="0"/>
              <w:jc w:val="center"/>
              <w:rPr>
                <w:rFonts w:cs="Times New Roman" w:asciiTheme="minorEastAsia" w:hAnsiTheme="minorEastAsia" w:eastAsiaTheme="minorEastAsia"/>
                <w:color w:val="auto"/>
                <w:sz w:val="18"/>
                <w:szCs w:val="18"/>
                <w:lang w:val="en-US" w:eastAsia="zh-CN" w:bidi="ar-SA"/>
              </w:rPr>
            </w:pPr>
            <w:r>
              <w:rPr>
                <w:rFonts w:hint="eastAsia" w:asciiTheme="minorEastAsia" w:hAnsiTheme="minorEastAsia" w:eastAsiaTheme="minorEastAsia"/>
                <w:color w:val="auto"/>
                <w:sz w:val="18"/>
                <w:szCs w:val="18"/>
              </w:rPr>
              <w:t>一级指标</w:t>
            </w:r>
          </w:p>
        </w:tc>
        <w:tc>
          <w:tcPr>
            <w:tcW w:w="1984" w:type="dxa"/>
            <w:gridSpan w:val="3"/>
            <w:vAlign w:val="center"/>
          </w:tcPr>
          <w:p>
            <w:pPr>
              <w:pStyle w:val="68"/>
              <w:widowControl w:val="0"/>
              <w:ind w:firstLine="0" w:firstLineChars="0"/>
              <w:jc w:val="center"/>
              <w:rPr>
                <w:rFonts w:cs="Times New Roman" w:asciiTheme="minorEastAsia" w:hAnsiTheme="minorEastAsia" w:eastAsiaTheme="minorEastAsia"/>
                <w:color w:val="auto"/>
                <w:sz w:val="18"/>
                <w:szCs w:val="18"/>
                <w:lang w:val="en-US" w:eastAsia="zh-CN" w:bidi="ar-SA"/>
              </w:rPr>
            </w:pPr>
            <w:r>
              <w:rPr>
                <w:rFonts w:hint="eastAsia" w:asciiTheme="minorEastAsia" w:hAnsiTheme="minorEastAsia" w:eastAsiaTheme="minorEastAsia"/>
                <w:color w:val="auto"/>
                <w:sz w:val="18"/>
                <w:szCs w:val="18"/>
              </w:rPr>
              <w:t>二级指标</w:t>
            </w:r>
          </w:p>
        </w:tc>
        <w:tc>
          <w:tcPr>
            <w:tcW w:w="3119" w:type="dxa"/>
            <w:vAlign w:val="center"/>
          </w:tcPr>
          <w:p>
            <w:pPr>
              <w:pStyle w:val="68"/>
              <w:widowControl w:val="0"/>
              <w:ind w:firstLine="0" w:firstLineChars="0"/>
              <w:jc w:val="center"/>
              <w:rPr>
                <w:rFonts w:hint="eastAsia" w:cs="Times New Roman" w:asciiTheme="minorEastAsia" w:hAnsiTheme="minorEastAsia" w:eastAsiaTheme="minorEastAsia"/>
                <w:color w:val="auto"/>
                <w:sz w:val="18"/>
                <w:szCs w:val="18"/>
                <w:lang w:val="en-US" w:eastAsia="zh-CN" w:bidi="ar-SA"/>
              </w:rPr>
            </w:pPr>
            <w:r>
              <w:rPr>
                <w:rFonts w:hint="eastAsia" w:asciiTheme="minorEastAsia" w:hAnsiTheme="minorEastAsia" w:eastAsiaTheme="minorEastAsia"/>
                <w:color w:val="auto"/>
                <w:sz w:val="18"/>
                <w:szCs w:val="18"/>
              </w:rPr>
              <w:t>基准值</w:t>
            </w:r>
          </w:p>
        </w:tc>
        <w:tc>
          <w:tcPr>
            <w:tcW w:w="3261" w:type="dxa"/>
            <w:vAlign w:val="center"/>
          </w:tcPr>
          <w:p>
            <w:pPr>
              <w:pStyle w:val="68"/>
              <w:widowControl w:val="0"/>
              <w:ind w:firstLine="0" w:firstLineChars="0"/>
              <w:jc w:val="center"/>
              <w:rPr>
                <w:rFonts w:hint="eastAsia" w:cs="Times New Roman" w:asciiTheme="minorEastAsia" w:hAnsiTheme="minorEastAsia" w:eastAsiaTheme="minorEastAsia"/>
                <w:color w:val="auto"/>
                <w:sz w:val="18"/>
                <w:szCs w:val="18"/>
                <w:lang w:val="en-US" w:eastAsia="zh-CN" w:bidi="ar-SA"/>
              </w:rPr>
            </w:pPr>
            <w:r>
              <w:rPr>
                <w:rFonts w:hint="eastAsia" w:asciiTheme="minorEastAsia" w:hAnsiTheme="minorEastAsia" w:eastAsiaTheme="minorEastAsia"/>
                <w:color w:val="auto"/>
                <w:sz w:val="18"/>
                <w:szCs w:val="18"/>
              </w:rPr>
              <w:t>判断依据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6" w:type="dxa"/>
            <w:vMerge w:val="restart"/>
            <w:vAlign w:val="center"/>
          </w:tcPr>
          <w:p>
            <w:pPr>
              <w:pStyle w:val="68"/>
              <w:widowControl w:val="0"/>
              <w:ind w:firstLine="0" w:firstLineChars="0"/>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资源属性</w:t>
            </w:r>
          </w:p>
        </w:tc>
        <w:tc>
          <w:tcPr>
            <w:tcW w:w="1984" w:type="dxa"/>
            <w:gridSpan w:val="3"/>
            <w:vAlign w:val="center"/>
          </w:tcPr>
          <w:p>
            <w:pPr>
              <w:pStyle w:val="68"/>
              <w:widowControl w:val="0"/>
              <w:ind w:firstLine="0" w:firstLineChars="0"/>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限用有害物质</w:t>
            </w:r>
          </w:p>
        </w:tc>
        <w:tc>
          <w:tcPr>
            <w:tcW w:w="3119" w:type="dxa"/>
            <w:vAlign w:val="center"/>
          </w:tcPr>
          <w:p>
            <w:pPr>
              <w:pStyle w:val="68"/>
              <w:widowControl w:val="0"/>
              <w:ind w:firstLine="0" w:firstLineChars="0"/>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产品塑料零部件中不应使用短链氯化石蜡（SCCPs），含量不应大于0.15％。</w:t>
            </w:r>
          </w:p>
        </w:tc>
        <w:tc>
          <w:tcPr>
            <w:tcW w:w="3261" w:type="dxa"/>
            <w:vAlign w:val="center"/>
          </w:tcPr>
          <w:p>
            <w:pPr>
              <w:pStyle w:val="68"/>
              <w:widowControl w:val="0"/>
              <w:ind w:firstLine="0" w:firstLineChars="0"/>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依据GB/T 33345进行测试并提供测试报告。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6" w:type="dxa"/>
            <w:vMerge w:val="continue"/>
            <w:vAlign w:val="center"/>
          </w:tcPr>
          <w:p>
            <w:pPr>
              <w:pStyle w:val="68"/>
              <w:widowControl w:val="0"/>
              <w:ind w:firstLine="0" w:firstLineChars="0"/>
              <w:jc w:val="center"/>
              <w:rPr>
                <w:rFonts w:asciiTheme="minorEastAsia" w:hAnsiTheme="minorEastAsia" w:eastAsiaTheme="minorEastAsia"/>
                <w:color w:val="auto"/>
                <w:sz w:val="18"/>
                <w:szCs w:val="18"/>
              </w:rPr>
            </w:pPr>
          </w:p>
        </w:tc>
        <w:tc>
          <w:tcPr>
            <w:tcW w:w="1984" w:type="dxa"/>
            <w:gridSpan w:val="3"/>
            <w:vMerge w:val="restart"/>
            <w:vAlign w:val="center"/>
          </w:tcPr>
          <w:p>
            <w:pPr>
              <w:pStyle w:val="68"/>
              <w:widowControl w:val="0"/>
              <w:ind w:firstLine="0" w:firstLineChars="0"/>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材料种类和重量</w:t>
            </w:r>
          </w:p>
        </w:tc>
        <w:tc>
          <w:tcPr>
            <w:tcW w:w="3119" w:type="dxa"/>
            <w:vAlign w:val="center"/>
          </w:tcPr>
          <w:p>
            <w:pPr>
              <w:pStyle w:val="68"/>
              <w:widowControl w:val="0"/>
              <w:ind w:firstLine="0" w:firstLineChars="0"/>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应按照GB/T 16288的要求对重量超过25 g且最大面积的表面积超过200 mm</w:t>
            </w:r>
            <w:r>
              <w:rPr>
                <w:rFonts w:hint="eastAsia" w:asciiTheme="minorEastAsia" w:hAnsiTheme="minorEastAsia" w:eastAsiaTheme="minorEastAsia"/>
                <w:color w:val="auto"/>
                <w:sz w:val="18"/>
                <w:szCs w:val="18"/>
                <w:vertAlign w:val="superscript"/>
              </w:rPr>
              <w:t>2</w:t>
            </w:r>
            <w:r>
              <w:rPr>
                <w:rFonts w:hint="eastAsia" w:asciiTheme="minorEastAsia" w:hAnsiTheme="minorEastAsia" w:eastAsiaTheme="minorEastAsia"/>
                <w:color w:val="auto"/>
                <w:sz w:val="18"/>
                <w:szCs w:val="18"/>
              </w:rPr>
              <w:t xml:space="preserve"> 的塑料零部件进行标记。</w:t>
            </w:r>
          </w:p>
        </w:tc>
        <w:tc>
          <w:tcPr>
            <w:tcW w:w="3261" w:type="dxa"/>
            <w:vAlign w:val="center"/>
          </w:tcPr>
          <w:p>
            <w:pPr>
              <w:pStyle w:val="68"/>
              <w:widowControl w:val="0"/>
              <w:ind w:firstLine="0" w:firstLineChars="0"/>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依据GB/T 16288在产品塑料零部件上进行标记。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6" w:type="dxa"/>
            <w:vMerge w:val="continue"/>
            <w:vAlign w:val="center"/>
          </w:tcPr>
          <w:p>
            <w:pPr>
              <w:pStyle w:val="68"/>
              <w:widowControl w:val="0"/>
              <w:ind w:firstLine="0" w:firstLineChars="0"/>
              <w:jc w:val="center"/>
              <w:rPr>
                <w:rFonts w:asciiTheme="minorEastAsia" w:hAnsiTheme="minorEastAsia" w:eastAsiaTheme="minorEastAsia"/>
                <w:color w:val="auto"/>
                <w:sz w:val="18"/>
                <w:szCs w:val="18"/>
              </w:rPr>
            </w:pPr>
          </w:p>
        </w:tc>
        <w:tc>
          <w:tcPr>
            <w:tcW w:w="1984" w:type="dxa"/>
            <w:gridSpan w:val="3"/>
            <w:vMerge w:val="continue"/>
            <w:vAlign w:val="center"/>
          </w:tcPr>
          <w:p>
            <w:pPr>
              <w:pStyle w:val="68"/>
              <w:widowControl w:val="0"/>
              <w:ind w:firstLine="0" w:firstLineChars="0"/>
              <w:jc w:val="center"/>
              <w:rPr>
                <w:rFonts w:asciiTheme="minorEastAsia" w:hAnsiTheme="minorEastAsia" w:eastAsiaTheme="minorEastAsia"/>
                <w:color w:val="auto"/>
                <w:sz w:val="18"/>
                <w:szCs w:val="18"/>
              </w:rPr>
            </w:pPr>
          </w:p>
        </w:tc>
        <w:tc>
          <w:tcPr>
            <w:tcW w:w="3119" w:type="dxa"/>
            <w:vAlign w:val="center"/>
          </w:tcPr>
          <w:p>
            <w:pPr>
              <w:pStyle w:val="68"/>
              <w:widowControl w:val="0"/>
              <w:ind w:firstLine="0" w:firstLineChars="0"/>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产品的包装上应有符合GB/T 18455的回收标志。</w:t>
            </w:r>
          </w:p>
        </w:tc>
        <w:tc>
          <w:tcPr>
            <w:tcW w:w="3261" w:type="dxa"/>
            <w:vAlign w:val="center"/>
          </w:tcPr>
          <w:p>
            <w:pPr>
              <w:pStyle w:val="68"/>
              <w:widowControl w:val="0"/>
              <w:ind w:firstLine="0" w:firstLineChars="0"/>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依据GB/T 18455在产品包装上标记回收标志。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6" w:type="dxa"/>
            <w:vMerge w:val="continue"/>
            <w:vAlign w:val="center"/>
          </w:tcPr>
          <w:p>
            <w:pPr>
              <w:pStyle w:val="68"/>
              <w:widowControl w:val="0"/>
              <w:ind w:firstLine="0" w:firstLineChars="0"/>
              <w:jc w:val="center"/>
              <w:rPr>
                <w:rFonts w:asciiTheme="minorEastAsia" w:hAnsiTheme="minorEastAsia" w:eastAsiaTheme="minorEastAsia"/>
                <w:color w:val="auto"/>
                <w:sz w:val="18"/>
                <w:szCs w:val="18"/>
              </w:rPr>
            </w:pPr>
          </w:p>
        </w:tc>
        <w:tc>
          <w:tcPr>
            <w:tcW w:w="1984" w:type="dxa"/>
            <w:gridSpan w:val="3"/>
            <w:vMerge w:val="restart"/>
            <w:vAlign w:val="center"/>
          </w:tcPr>
          <w:p>
            <w:pPr>
              <w:pStyle w:val="68"/>
              <w:widowControl w:val="0"/>
              <w:ind w:firstLine="0" w:firstLineChars="0"/>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材料再生利用</w:t>
            </w:r>
          </w:p>
        </w:tc>
        <w:tc>
          <w:tcPr>
            <w:tcW w:w="3119" w:type="dxa"/>
            <w:vAlign w:val="center"/>
          </w:tcPr>
          <w:p>
            <w:pPr>
              <w:pStyle w:val="68"/>
              <w:widowControl w:val="0"/>
              <w:ind w:firstLine="0" w:firstLineChars="0"/>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产品的可再生利用率应不低于70％。</w:t>
            </w:r>
          </w:p>
        </w:tc>
        <w:tc>
          <w:tcPr>
            <w:tcW w:w="3261" w:type="dxa"/>
            <w:vAlign w:val="center"/>
          </w:tcPr>
          <w:p>
            <w:pPr>
              <w:pStyle w:val="68"/>
              <w:widowControl w:val="0"/>
              <w:ind w:firstLine="0" w:firstLineChars="0"/>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依据附录C计算并提供声明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6" w:type="dxa"/>
            <w:vMerge w:val="continue"/>
            <w:vAlign w:val="center"/>
          </w:tcPr>
          <w:p>
            <w:pPr>
              <w:pStyle w:val="68"/>
              <w:widowControl w:val="0"/>
              <w:ind w:firstLine="0" w:firstLineChars="0"/>
              <w:jc w:val="center"/>
              <w:rPr>
                <w:rFonts w:asciiTheme="minorEastAsia" w:hAnsiTheme="minorEastAsia" w:eastAsiaTheme="minorEastAsia"/>
                <w:color w:val="auto"/>
                <w:sz w:val="18"/>
                <w:szCs w:val="18"/>
              </w:rPr>
            </w:pPr>
          </w:p>
        </w:tc>
        <w:tc>
          <w:tcPr>
            <w:tcW w:w="1984" w:type="dxa"/>
            <w:gridSpan w:val="3"/>
            <w:vMerge w:val="continue"/>
            <w:vAlign w:val="center"/>
          </w:tcPr>
          <w:p>
            <w:pPr>
              <w:pStyle w:val="68"/>
              <w:widowControl w:val="0"/>
              <w:ind w:firstLine="0" w:firstLineChars="0"/>
              <w:jc w:val="center"/>
              <w:rPr>
                <w:rFonts w:asciiTheme="minorEastAsia" w:hAnsiTheme="minorEastAsia" w:eastAsiaTheme="minorEastAsia"/>
                <w:color w:val="auto"/>
                <w:sz w:val="18"/>
                <w:szCs w:val="18"/>
              </w:rPr>
            </w:pPr>
          </w:p>
        </w:tc>
        <w:tc>
          <w:tcPr>
            <w:tcW w:w="3119" w:type="dxa"/>
            <w:vAlign w:val="center"/>
          </w:tcPr>
          <w:p>
            <w:pPr>
              <w:pStyle w:val="68"/>
              <w:widowControl w:val="0"/>
              <w:ind w:firstLine="0" w:firstLineChars="0"/>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产品包装材料应为可再生利用或可降解材料，应符合GB/T 16716.5的要求。</w:t>
            </w:r>
          </w:p>
        </w:tc>
        <w:tc>
          <w:tcPr>
            <w:tcW w:w="3261" w:type="dxa"/>
            <w:vAlign w:val="center"/>
          </w:tcPr>
          <w:p>
            <w:pPr>
              <w:pStyle w:val="68"/>
              <w:widowControl w:val="0"/>
              <w:ind w:firstLine="0" w:firstLineChars="0"/>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依据GB/T 16716.5提供符合性声明。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6" w:type="dxa"/>
            <w:vMerge w:val="restart"/>
            <w:vAlign w:val="center"/>
          </w:tcPr>
          <w:p>
            <w:pPr>
              <w:pStyle w:val="68"/>
              <w:widowControl w:val="0"/>
              <w:ind w:firstLine="0" w:firstLineChars="0"/>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能源属性</w:t>
            </w:r>
          </w:p>
        </w:tc>
        <w:tc>
          <w:tcPr>
            <w:tcW w:w="1984" w:type="dxa"/>
            <w:gridSpan w:val="3"/>
            <w:vAlign w:val="center"/>
          </w:tcPr>
          <w:p>
            <w:pPr>
              <w:spacing w:line="240" w:lineRule="exact"/>
              <w:jc w:val="center"/>
              <w:rPr>
                <w:rFonts w:cs="宋体" w:asciiTheme="minorEastAsia" w:hAnsiTheme="minorEastAsia" w:eastAsiaTheme="minorEastAsia"/>
                <w:color w:val="auto"/>
                <w:sz w:val="18"/>
                <w:szCs w:val="18"/>
              </w:rPr>
            </w:pPr>
            <w:r>
              <w:rPr>
                <w:rFonts w:hint="eastAsia" w:cs="宋体" w:asciiTheme="minorEastAsia" w:hAnsiTheme="minorEastAsia" w:eastAsiaTheme="minorEastAsia"/>
                <w:color w:val="auto"/>
                <w:sz w:val="18"/>
                <w:szCs w:val="18"/>
              </w:rPr>
              <w:t>再生盐耗</w:t>
            </w:r>
          </w:p>
        </w:tc>
        <w:tc>
          <w:tcPr>
            <w:tcW w:w="3119" w:type="dxa"/>
            <w:vAlign w:val="center"/>
          </w:tcPr>
          <w:p>
            <w:pPr>
              <w:pStyle w:val="125"/>
              <w:spacing w:line="240" w:lineRule="exact"/>
              <w:ind w:left="85" w:right="85"/>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≥350（mg）</w:t>
            </w:r>
          </w:p>
        </w:tc>
        <w:tc>
          <w:tcPr>
            <w:tcW w:w="3261" w:type="dxa"/>
            <w:vAlign w:val="center"/>
          </w:tcPr>
          <w:p>
            <w:pPr>
              <w:pStyle w:val="125"/>
              <w:spacing w:before="38" w:line="240" w:lineRule="exact"/>
              <w:ind w:left="103" w:right="96"/>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提供检测报告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6" w:type="dxa"/>
            <w:vMerge w:val="continue"/>
            <w:vAlign w:val="center"/>
          </w:tcPr>
          <w:p>
            <w:pPr>
              <w:pStyle w:val="68"/>
              <w:widowControl w:val="0"/>
              <w:ind w:firstLine="0" w:firstLineChars="0"/>
              <w:jc w:val="center"/>
              <w:rPr>
                <w:rFonts w:asciiTheme="minorEastAsia" w:hAnsiTheme="minorEastAsia" w:eastAsiaTheme="minorEastAsia"/>
                <w:color w:val="auto"/>
                <w:sz w:val="18"/>
                <w:szCs w:val="18"/>
              </w:rPr>
            </w:pPr>
          </w:p>
        </w:tc>
        <w:tc>
          <w:tcPr>
            <w:tcW w:w="1984" w:type="dxa"/>
            <w:gridSpan w:val="3"/>
            <w:vAlign w:val="center"/>
          </w:tcPr>
          <w:p>
            <w:pPr>
              <w:spacing w:line="240" w:lineRule="exact"/>
              <w:jc w:val="center"/>
              <w:rPr>
                <w:rFonts w:cs="宋体" w:asciiTheme="minorEastAsia" w:hAnsiTheme="minorEastAsia" w:eastAsiaTheme="minorEastAsia"/>
                <w:color w:val="auto"/>
                <w:sz w:val="18"/>
                <w:szCs w:val="18"/>
              </w:rPr>
            </w:pPr>
            <w:r>
              <w:rPr>
                <w:rFonts w:hint="eastAsia" w:cs="宋体" w:asciiTheme="minorEastAsia" w:hAnsiTheme="minorEastAsia" w:eastAsiaTheme="minorEastAsia"/>
                <w:color w:val="auto"/>
                <w:sz w:val="18"/>
                <w:szCs w:val="18"/>
              </w:rPr>
              <w:t>再生耗水率</w:t>
            </w:r>
          </w:p>
        </w:tc>
        <w:tc>
          <w:tcPr>
            <w:tcW w:w="3119" w:type="dxa"/>
            <w:vAlign w:val="center"/>
          </w:tcPr>
          <w:p>
            <w:pPr>
              <w:pStyle w:val="125"/>
              <w:spacing w:line="240" w:lineRule="exact"/>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≤6%</w:t>
            </w:r>
          </w:p>
        </w:tc>
        <w:tc>
          <w:tcPr>
            <w:tcW w:w="3261" w:type="dxa"/>
            <w:vAlign w:val="center"/>
          </w:tcPr>
          <w:p>
            <w:pPr>
              <w:pStyle w:val="125"/>
              <w:spacing w:before="38" w:line="240" w:lineRule="exact"/>
              <w:ind w:left="103" w:right="96"/>
              <w:jc w:val="center"/>
              <w:rPr>
                <w:rFonts w:asciiTheme="minorEastAsia" w:hAnsiTheme="minorEastAsia" w:eastAsiaTheme="minorEastAsia"/>
                <w:color w:val="auto"/>
                <w:spacing w:val="5"/>
                <w:sz w:val="18"/>
                <w:szCs w:val="18"/>
              </w:rPr>
            </w:pPr>
            <w:r>
              <w:rPr>
                <w:rFonts w:hint="eastAsia" w:asciiTheme="minorEastAsia" w:hAnsiTheme="minorEastAsia" w:eastAsiaTheme="minorEastAsia"/>
                <w:color w:val="auto"/>
                <w:sz w:val="18"/>
                <w:szCs w:val="18"/>
              </w:rPr>
              <w:t>提供证明文件及报告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6" w:type="dxa"/>
            <w:vMerge w:val="continue"/>
            <w:vAlign w:val="center"/>
          </w:tcPr>
          <w:p>
            <w:pPr>
              <w:pStyle w:val="68"/>
              <w:widowControl w:val="0"/>
              <w:ind w:firstLine="0" w:firstLineChars="0"/>
              <w:jc w:val="center"/>
              <w:rPr>
                <w:rFonts w:asciiTheme="minorEastAsia" w:hAnsiTheme="minorEastAsia" w:eastAsiaTheme="minorEastAsia"/>
                <w:color w:val="auto"/>
                <w:sz w:val="18"/>
                <w:szCs w:val="18"/>
              </w:rPr>
            </w:pPr>
          </w:p>
        </w:tc>
        <w:tc>
          <w:tcPr>
            <w:tcW w:w="992" w:type="dxa"/>
            <w:gridSpan w:val="2"/>
            <w:vAlign w:val="center"/>
          </w:tcPr>
          <w:p>
            <w:pPr>
              <w:spacing w:line="240" w:lineRule="exact"/>
              <w:jc w:val="center"/>
              <w:rPr>
                <w:rFonts w:cs="Times New Roman" w:asciiTheme="minorEastAsia" w:hAnsiTheme="minorEastAsia" w:eastAsiaTheme="minorEastAsia"/>
                <w:color w:val="auto"/>
                <w:sz w:val="18"/>
                <w:szCs w:val="18"/>
              </w:rPr>
            </w:pPr>
            <w:r>
              <w:rPr>
                <w:rFonts w:hint="eastAsia" w:cs="宋体" w:asciiTheme="minorEastAsia" w:hAnsiTheme="minorEastAsia" w:eastAsiaTheme="minorEastAsia"/>
                <w:color w:val="auto"/>
                <w:sz w:val="18"/>
                <w:szCs w:val="18"/>
              </w:rPr>
              <w:t>待机功率</w:t>
            </w:r>
          </w:p>
        </w:tc>
        <w:tc>
          <w:tcPr>
            <w:tcW w:w="992" w:type="dxa"/>
            <w:vAlign w:val="center"/>
          </w:tcPr>
          <w:p>
            <w:pPr>
              <w:spacing w:line="240" w:lineRule="exact"/>
              <w:jc w:val="center"/>
              <w:rPr>
                <w:rFonts w:cs="Times New Roman" w:asciiTheme="minorEastAsia" w:hAnsiTheme="minorEastAsia" w:eastAsiaTheme="minorEastAsia"/>
                <w:color w:val="auto"/>
                <w:sz w:val="18"/>
                <w:szCs w:val="18"/>
              </w:rPr>
            </w:pPr>
            <w:r>
              <w:rPr>
                <w:rFonts w:hint="eastAsia" w:cs="宋体" w:asciiTheme="minorEastAsia" w:hAnsiTheme="minorEastAsia" w:eastAsiaTheme="minorEastAsia"/>
                <w:color w:val="auto"/>
                <w:sz w:val="18"/>
                <w:szCs w:val="18"/>
              </w:rPr>
              <w:t>制水状态</w:t>
            </w:r>
          </w:p>
        </w:tc>
        <w:tc>
          <w:tcPr>
            <w:tcW w:w="3119" w:type="dxa"/>
            <w:vAlign w:val="center"/>
          </w:tcPr>
          <w:p>
            <w:pPr>
              <w:spacing w:line="240" w:lineRule="exact"/>
              <w:jc w:val="center"/>
              <w:rPr>
                <w:rFonts w:cs="Times New Roman" w:asciiTheme="minorEastAsia" w:hAnsiTheme="minorEastAsia" w:eastAsiaTheme="minorEastAsia"/>
                <w:color w:val="auto"/>
                <w:sz w:val="18"/>
                <w:szCs w:val="18"/>
              </w:rPr>
            </w:pPr>
          </w:p>
        </w:tc>
        <w:tc>
          <w:tcPr>
            <w:tcW w:w="3261" w:type="dxa"/>
            <w:vAlign w:val="center"/>
          </w:tcPr>
          <w:p>
            <w:pPr>
              <w:pStyle w:val="68"/>
              <w:widowControl w:val="0"/>
              <w:ind w:firstLine="0" w:firstLineChars="0"/>
              <w:jc w:val="center"/>
              <w:rPr>
                <w:rFonts w:asciiTheme="minorEastAsia" w:hAnsiTheme="minorEastAsia" w:eastAsiaTheme="minorEastAsia"/>
                <w:color w:val="auto"/>
                <w:sz w:val="18"/>
                <w:szCs w:val="18"/>
              </w:rPr>
            </w:pPr>
            <w:r>
              <w:rPr>
                <w:rFonts w:hint="eastAsia" w:cs="宋体" w:asciiTheme="minorEastAsia" w:hAnsiTheme="minorEastAsia" w:eastAsiaTheme="minorEastAsia"/>
                <w:color w:val="auto"/>
                <w:sz w:val="18"/>
                <w:szCs w:val="18"/>
              </w:rPr>
              <w:t>提供检测报告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6" w:type="dxa"/>
            <w:vMerge w:val="continue"/>
            <w:tcBorders>
              <w:bottom w:val="single" w:color="auto" w:sz="4" w:space="0"/>
            </w:tcBorders>
            <w:vAlign w:val="center"/>
          </w:tcPr>
          <w:p>
            <w:pPr>
              <w:pStyle w:val="68"/>
              <w:widowControl w:val="0"/>
              <w:ind w:firstLine="0" w:firstLineChars="0"/>
              <w:jc w:val="center"/>
              <w:rPr>
                <w:rFonts w:asciiTheme="minorEastAsia" w:hAnsiTheme="minorEastAsia" w:eastAsiaTheme="minorEastAsia"/>
                <w:color w:val="auto"/>
                <w:sz w:val="18"/>
                <w:szCs w:val="18"/>
              </w:rPr>
            </w:pPr>
          </w:p>
        </w:tc>
        <w:tc>
          <w:tcPr>
            <w:tcW w:w="1984" w:type="dxa"/>
            <w:gridSpan w:val="3"/>
            <w:tcBorders>
              <w:bottom w:val="single" w:color="auto" w:sz="4" w:space="0"/>
            </w:tcBorders>
            <w:vAlign w:val="center"/>
          </w:tcPr>
          <w:p>
            <w:pPr>
              <w:spacing w:line="240" w:lineRule="exact"/>
              <w:jc w:val="center"/>
              <w:rPr>
                <w:rFonts w:cs="Times New Roman" w:asciiTheme="minorEastAsia" w:hAnsiTheme="minorEastAsia" w:eastAsiaTheme="minorEastAsia"/>
                <w:color w:val="auto"/>
                <w:sz w:val="18"/>
                <w:szCs w:val="18"/>
              </w:rPr>
            </w:pPr>
            <w:r>
              <w:rPr>
                <w:rFonts w:hint="eastAsia" w:cs="宋体" w:asciiTheme="minorEastAsia" w:hAnsiTheme="minorEastAsia" w:eastAsiaTheme="minorEastAsia"/>
                <w:color w:val="auto"/>
                <w:sz w:val="18"/>
                <w:szCs w:val="18"/>
              </w:rPr>
              <w:t>能效等级</w:t>
            </w:r>
          </w:p>
        </w:tc>
        <w:tc>
          <w:tcPr>
            <w:tcW w:w="3119" w:type="dxa"/>
            <w:tcBorders>
              <w:bottom w:val="single" w:color="auto" w:sz="4" w:space="0"/>
            </w:tcBorders>
            <w:vAlign w:val="center"/>
          </w:tcPr>
          <w:p>
            <w:pPr>
              <w:spacing w:line="240" w:lineRule="exact"/>
              <w:jc w:val="center"/>
              <w:rPr>
                <w:rFonts w:cs="Times New Roman" w:asciiTheme="minorEastAsia" w:hAnsiTheme="minorEastAsia" w:eastAsiaTheme="minorEastAsia"/>
                <w:color w:val="auto"/>
                <w:sz w:val="18"/>
                <w:szCs w:val="18"/>
              </w:rPr>
            </w:pPr>
            <w:r>
              <w:rPr>
                <w:rFonts w:hint="eastAsia" w:cs="宋体" w:asciiTheme="minorEastAsia" w:hAnsiTheme="minorEastAsia" w:eastAsiaTheme="minorEastAsia"/>
                <w:color w:val="auto"/>
                <w:sz w:val="18"/>
                <w:szCs w:val="18"/>
              </w:rPr>
              <w:t>1级</w:t>
            </w:r>
          </w:p>
        </w:tc>
        <w:tc>
          <w:tcPr>
            <w:tcW w:w="3261" w:type="dxa"/>
            <w:tcBorders>
              <w:bottom w:val="single" w:color="auto" w:sz="4" w:space="0"/>
            </w:tcBorders>
            <w:vAlign w:val="center"/>
          </w:tcPr>
          <w:p>
            <w:pPr>
              <w:spacing w:line="240" w:lineRule="exact"/>
              <w:jc w:val="center"/>
              <w:rPr>
                <w:rFonts w:cs="Times New Roman" w:asciiTheme="minorEastAsia" w:hAnsiTheme="minorEastAsia" w:eastAsiaTheme="minorEastAsia"/>
                <w:color w:val="auto"/>
                <w:sz w:val="18"/>
                <w:szCs w:val="18"/>
              </w:rPr>
            </w:pPr>
            <w:r>
              <w:rPr>
                <w:rFonts w:hint="eastAsia" w:cs="宋体" w:asciiTheme="minorEastAsia" w:hAnsiTheme="minorEastAsia" w:eastAsiaTheme="minorEastAsia"/>
                <w:color w:val="auto"/>
                <w:sz w:val="18"/>
                <w:szCs w:val="18"/>
              </w:rPr>
              <w:t>按照GB30978检测，并提供检测报告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6" w:type="dxa"/>
            <w:tcBorders>
              <w:top w:val="single" w:color="auto" w:sz="4" w:space="0"/>
              <w:bottom w:val="nil"/>
            </w:tcBorders>
            <w:vAlign w:val="center"/>
          </w:tcPr>
          <w:p>
            <w:pPr>
              <w:pStyle w:val="68"/>
              <w:widowControl w:val="0"/>
              <w:ind w:firstLine="0" w:firstLineChars="0"/>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环境属性</w:t>
            </w:r>
          </w:p>
        </w:tc>
        <w:tc>
          <w:tcPr>
            <w:tcW w:w="1984" w:type="dxa"/>
            <w:gridSpan w:val="3"/>
            <w:tcBorders>
              <w:top w:val="single" w:color="auto" w:sz="4" w:space="0"/>
              <w:bottom w:val="nil"/>
            </w:tcBorders>
            <w:vAlign w:val="center"/>
          </w:tcPr>
          <w:p>
            <w:pPr>
              <w:pStyle w:val="68"/>
              <w:widowControl w:val="0"/>
              <w:ind w:firstLine="0" w:firstLineChars="0"/>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电磁兼容</w:t>
            </w:r>
          </w:p>
        </w:tc>
        <w:tc>
          <w:tcPr>
            <w:tcW w:w="3119" w:type="dxa"/>
            <w:tcBorders>
              <w:top w:val="single" w:color="auto" w:sz="4" w:space="0"/>
              <w:bottom w:val="nil"/>
            </w:tcBorders>
            <w:vAlign w:val="center"/>
          </w:tcPr>
          <w:p>
            <w:pPr>
              <w:pStyle w:val="68"/>
              <w:widowControl w:val="0"/>
              <w:ind w:firstLine="0" w:firstLineChars="0"/>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产品应符合GB 4343.1和GB 17625.1的要求。</w:t>
            </w:r>
          </w:p>
        </w:tc>
        <w:tc>
          <w:tcPr>
            <w:tcW w:w="3261" w:type="dxa"/>
            <w:tcBorders>
              <w:top w:val="single" w:color="auto" w:sz="4" w:space="0"/>
              <w:bottom w:val="nil"/>
            </w:tcBorders>
            <w:vAlign w:val="center"/>
          </w:tcPr>
          <w:p>
            <w:pPr>
              <w:pStyle w:val="68"/>
              <w:widowControl w:val="0"/>
              <w:ind w:firstLine="0" w:firstLineChars="0"/>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依据GB 4343.1和GB 17625.1进行测试并提供测试报告。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6" w:type="dxa"/>
            <w:vMerge w:val="restart"/>
            <w:tcBorders>
              <w:top w:val="single" w:color="auto" w:sz="4" w:space="0"/>
            </w:tcBorders>
            <w:vAlign w:val="center"/>
          </w:tcPr>
          <w:p>
            <w:pPr>
              <w:pStyle w:val="68"/>
              <w:widowControl w:val="0"/>
              <w:ind w:firstLine="0" w:firstLineChars="0"/>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基本属性</w:t>
            </w:r>
          </w:p>
        </w:tc>
        <w:tc>
          <w:tcPr>
            <w:tcW w:w="880" w:type="dxa"/>
            <w:vMerge w:val="restart"/>
            <w:tcBorders>
              <w:top w:val="single" w:color="auto" w:sz="4" w:space="0"/>
            </w:tcBorders>
            <w:vAlign w:val="center"/>
          </w:tcPr>
          <w:p>
            <w:pPr>
              <w:pStyle w:val="68"/>
              <w:widowControl w:val="0"/>
              <w:ind w:firstLine="0" w:firstLineChars="0"/>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材料卫生安全</w:t>
            </w:r>
          </w:p>
        </w:tc>
        <w:tc>
          <w:tcPr>
            <w:tcW w:w="1104" w:type="dxa"/>
            <w:gridSpan w:val="2"/>
            <w:tcBorders>
              <w:top w:val="single" w:color="auto" w:sz="4" w:space="0"/>
            </w:tcBorders>
            <w:vAlign w:val="center"/>
          </w:tcPr>
          <w:p>
            <w:pPr>
              <w:pStyle w:val="68"/>
              <w:widowControl w:val="0"/>
              <w:ind w:firstLine="0" w:firstLineChars="0"/>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涉水部件</w:t>
            </w:r>
          </w:p>
        </w:tc>
        <w:tc>
          <w:tcPr>
            <w:tcW w:w="3119" w:type="dxa"/>
            <w:tcBorders>
              <w:top w:val="single" w:color="auto" w:sz="4" w:space="0"/>
            </w:tcBorders>
            <w:vAlign w:val="center"/>
          </w:tcPr>
          <w:p>
            <w:pPr>
              <w:pStyle w:val="125"/>
              <w:spacing w:line="240" w:lineRule="exact"/>
              <w:ind w:left="102"/>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产品应符合 GB/T 17218 、GB/T 17219 的要求</w:t>
            </w:r>
          </w:p>
        </w:tc>
        <w:tc>
          <w:tcPr>
            <w:tcW w:w="3261" w:type="dxa"/>
            <w:tcBorders>
              <w:top w:val="single" w:color="auto" w:sz="4" w:space="0"/>
            </w:tcBorders>
            <w:vAlign w:val="center"/>
          </w:tcPr>
          <w:p>
            <w:pPr>
              <w:pStyle w:val="125"/>
              <w:spacing w:before="38" w:line="240" w:lineRule="exact"/>
              <w:ind w:left="103"/>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按照 GB/T 17218 、GB/T 17219 检测，并提供检测报告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6" w:type="dxa"/>
            <w:vMerge w:val="continue"/>
            <w:vAlign w:val="center"/>
          </w:tcPr>
          <w:p>
            <w:pPr>
              <w:pStyle w:val="68"/>
              <w:widowControl w:val="0"/>
              <w:ind w:firstLine="0" w:firstLineChars="0"/>
              <w:jc w:val="center"/>
              <w:rPr>
                <w:rFonts w:asciiTheme="minorEastAsia" w:hAnsiTheme="minorEastAsia" w:eastAsiaTheme="minorEastAsia"/>
                <w:color w:val="auto"/>
                <w:sz w:val="18"/>
                <w:szCs w:val="18"/>
              </w:rPr>
            </w:pPr>
          </w:p>
        </w:tc>
        <w:tc>
          <w:tcPr>
            <w:tcW w:w="880" w:type="dxa"/>
            <w:vMerge w:val="continue"/>
            <w:vAlign w:val="center"/>
          </w:tcPr>
          <w:p>
            <w:pPr>
              <w:pStyle w:val="68"/>
              <w:widowControl w:val="0"/>
              <w:ind w:firstLine="0" w:firstLineChars="0"/>
              <w:jc w:val="center"/>
              <w:rPr>
                <w:rFonts w:asciiTheme="minorEastAsia" w:hAnsiTheme="minorEastAsia" w:eastAsiaTheme="minorEastAsia"/>
                <w:color w:val="auto"/>
                <w:sz w:val="18"/>
                <w:szCs w:val="18"/>
              </w:rPr>
            </w:pPr>
          </w:p>
        </w:tc>
        <w:tc>
          <w:tcPr>
            <w:tcW w:w="1104" w:type="dxa"/>
            <w:gridSpan w:val="2"/>
            <w:vAlign w:val="center"/>
          </w:tcPr>
          <w:p>
            <w:pPr>
              <w:pStyle w:val="68"/>
              <w:widowControl w:val="0"/>
              <w:ind w:firstLine="0" w:firstLineChars="0"/>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整机</w:t>
            </w:r>
          </w:p>
        </w:tc>
        <w:tc>
          <w:tcPr>
            <w:tcW w:w="3119" w:type="dxa"/>
            <w:vAlign w:val="center"/>
          </w:tcPr>
          <w:p>
            <w:pPr>
              <w:pStyle w:val="125"/>
              <w:spacing w:before="40" w:line="240" w:lineRule="exact"/>
              <w:ind w:left="102" w:right="155"/>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产品应符合《生活饮用水水质处理器卫生安全与功能评价规</w:t>
            </w:r>
          </w:p>
          <w:p>
            <w:pPr>
              <w:pStyle w:val="125"/>
              <w:spacing w:before="2" w:line="240" w:lineRule="exact"/>
              <w:ind w:left="102"/>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范》（2001）的要求</w:t>
            </w:r>
          </w:p>
        </w:tc>
        <w:tc>
          <w:tcPr>
            <w:tcW w:w="3261" w:type="dxa"/>
            <w:vAlign w:val="center"/>
          </w:tcPr>
          <w:p>
            <w:pPr>
              <w:pStyle w:val="125"/>
              <w:spacing w:before="122" w:line="240" w:lineRule="exact"/>
              <w:ind w:left="103"/>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提供证明文件及报告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6" w:type="dxa"/>
            <w:vMerge w:val="continue"/>
            <w:vAlign w:val="center"/>
          </w:tcPr>
          <w:p>
            <w:pPr>
              <w:pStyle w:val="68"/>
              <w:widowControl w:val="0"/>
              <w:ind w:firstLine="0" w:firstLineChars="0"/>
              <w:jc w:val="center"/>
              <w:rPr>
                <w:rFonts w:asciiTheme="minorEastAsia" w:hAnsiTheme="minorEastAsia" w:eastAsiaTheme="minorEastAsia"/>
                <w:color w:val="auto"/>
                <w:sz w:val="18"/>
                <w:szCs w:val="18"/>
              </w:rPr>
            </w:pPr>
          </w:p>
        </w:tc>
        <w:tc>
          <w:tcPr>
            <w:tcW w:w="1984" w:type="dxa"/>
            <w:gridSpan w:val="3"/>
            <w:vAlign w:val="center"/>
          </w:tcPr>
          <w:p>
            <w:pPr>
              <w:pStyle w:val="68"/>
              <w:widowControl w:val="0"/>
              <w:ind w:firstLine="0" w:firstLineChars="0"/>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电气安全</w:t>
            </w:r>
          </w:p>
        </w:tc>
        <w:tc>
          <w:tcPr>
            <w:tcW w:w="3119" w:type="dxa"/>
            <w:vAlign w:val="center"/>
          </w:tcPr>
          <w:p>
            <w:pPr>
              <w:pStyle w:val="68"/>
              <w:widowControl w:val="0"/>
              <w:ind w:firstLine="0" w:firstLineChars="0"/>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产品应符合GB 4706.1的要求。</w:t>
            </w:r>
          </w:p>
        </w:tc>
        <w:tc>
          <w:tcPr>
            <w:tcW w:w="3261" w:type="dxa"/>
            <w:vAlign w:val="center"/>
          </w:tcPr>
          <w:p>
            <w:pPr>
              <w:pStyle w:val="68"/>
              <w:widowControl w:val="0"/>
              <w:ind w:firstLine="0" w:firstLineChars="0"/>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依据GB 4706.1进行测试并提供测试报告。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6" w:type="dxa"/>
            <w:vMerge w:val="continue"/>
            <w:vAlign w:val="center"/>
          </w:tcPr>
          <w:p>
            <w:pPr>
              <w:pStyle w:val="68"/>
              <w:widowControl w:val="0"/>
              <w:ind w:firstLine="0" w:firstLineChars="0"/>
              <w:jc w:val="center"/>
              <w:rPr>
                <w:rFonts w:asciiTheme="minorEastAsia" w:hAnsiTheme="minorEastAsia" w:eastAsiaTheme="minorEastAsia"/>
                <w:color w:val="auto"/>
                <w:sz w:val="18"/>
                <w:szCs w:val="18"/>
              </w:rPr>
            </w:pPr>
          </w:p>
        </w:tc>
        <w:tc>
          <w:tcPr>
            <w:tcW w:w="1984" w:type="dxa"/>
            <w:gridSpan w:val="3"/>
            <w:vAlign w:val="center"/>
          </w:tcPr>
          <w:p>
            <w:pPr>
              <w:pStyle w:val="68"/>
              <w:widowControl w:val="0"/>
              <w:ind w:firstLine="0" w:firstLineChars="0"/>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卫生功能</w:t>
            </w:r>
          </w:p>
        </w:tc>
        <w:tc>
          <w:tcPr>
            <w:tcW w:w="3119" w:type="dxa"/>
            <w:vAlign w:val="center"/>
          </w:tcPr>
          <w:p>
            <w:pPr>
              <w:pStyle w:val="68"/>
              <w:widowControl w:val="0"/>
              <w:ind w:firstLine="0" w:firstLineChars="0"/>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有涉水产品卫生许可批件</w:t>
            </w:r>
          </w:p>
        </w:tc>
        <w:tc>
          <w:tcPr>
            <w:tcW w:w="3261" w:type="dxa"/>
            <w:vAlign w:val="center"/>
          </w:tcPr>
          <w:p>
            <w:pPr>
              <w:pStyle w:val="68"/>
              <w:widowControl w:val="0"/>
              <w:ind w:firstLine="0" w:firstLineChars="0"/>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按照《生活饮用水水质处理器卫生安全与功能评价规范》，提供证明材料。</w:t>
            </w:r>
          </w:p>
        </w:tc>
      </w:tr>
    </w:tbl>
    <w:p>
      <w:pPr>
        <w:pStyle w:val="69"/>
        <w:spacing w:before="0" w:beforeLines="0" w:after="0" w:afterLines="0" w:line="240" w:lineRule="exact"/>
        <w:ind w:left="0"/>
        <w:rPr>
          <w:rFonts w:hint="eastAsia"/>
          <w:color w:val="auto"/>
          <w:lang w:val="en-US" w:eastAsia="zh-CN"/>
        </w:rPr>
      </w:pPr>
      <w:bookmarkStart w:id="52" w:name="_Toc20399769"/>
      <w:bookmarkStart w:id="53" w:name="_Toc20399756"/>
      <w:bookmarkStart w:id="54" w:name="_Toc54189178"/>
      <w:bookmarkStart w:id="55" w:name="_Toc72151897"/>
      <w:bookmarkStart w:id="56" w:name="_Toc55919850"/>
      <w:bookmarkStart w:id="57" w:name="_Toc55910853"/>
    </w:p>
    <w:p>
      <w:pPr>
        <w:pStyle w:val="69"/>
        <w:spacing w:before="0" w:beforeLines="0" w:after="0" w:afterLines="0" w:line="240" w:lineRule="exact"/>
        <w:ind w:left="0"/>
        <w:rPr>
          <w:rFonts w:hint="eastAsia"/>
          <w:color w:val="auto"/>
        </w:rPr>
      </w:pPr>
      <w:r>
        <w:rPr>
          <w:rFonts w:hint="eastAsia"/>
          <w:color w:val="auto"/>
          <w:lang w:val="en-US" w:eastAsia="zh-CN"/>
        </w:rPr>
        <w:t xml:space="preserve">5   </w:t>
      </w:r>
      <w:r>
        <w:rPr>
          <w:rFonts w:hint="eastAsia"/>
          <w:color w:val="auto"/>
        </w:rPr>
        <w:t>生命周期评价</w:t>
      </w:r>
      <w:bookmarkEnd w:id="52"/>
      <w:bookmarkEnd w:id="53"/>
      <w:bookmarkEnd w:id="54"/>
      <w:r>
        <w:rPr>
          <w:rFonts w:hint="eastAsia"/>
          <w:color w:val="auto"/>
        </w:rPr>
        <w:t>报告编制方法</w:t>
      </w:r>
      <w:bookmarkEnd w:id="55"/>
      <w:bookmarkEnd w:id="56"/>
      <w:bookmarkEnd w:id="57"/>
    </w:p>
    <w:p>
      <w:pPr>
        <w:widowControl/>
        <w:numPr>
          <w:ilvl w:val="1"/>
          <w:numId w:val="0"/>
        </w:numPr>
        <w:spacing w:before="0" w:beforeLines="0" w:after="0" w:afterLines="0" w:line="240" w:lineRule="exact"/>
        <w:jc w:val="left"/>
        <w:outlineLvl w:val="2"/>
        <w:rPr>
          <w:rFonts w:hint="eastAsia" w:ascii="黑体" w:eastAsia="黑体"/>
          <w:color w:val="auto"/>
          <w:kern w:val="0"/>
          <w:szCs w:val="21"/>
        </w:rPr>
      </w:pPr>
      <w:bookmarkStart w:id="58" w:name="_Toc20399757"/>
    </w:p>
    <w:p>
      <w:pPr>
        <w:widowControl/>
        <w:numPr>
          <w:ilvl w:val="1"/>
          <w:numId w:val="0"/>
        </w:numPr>
        <w:spacing w:before="0" w:beforeLines="0" w:after="0" w:afterLines="0" w:line="240" w:lineRule="exact"/>
        <w:jc w:val="left"/>
        <w:outlineLvl w:val="2"/>
        <w:rPr>
          <w:rFonts w:hint="eastAsia" w:ascii="黑体" w:eastAsia="黑体"/>
          <w:color w:val="auto"/>
          <w:kern w:val="0"/>
          <w:szCs w:val="21"/>
        </w:rPr>
      </w:pPr>
      <w:r>
        <w:rPr>
          <w:rFonts w:hint="eastAsia" w:ascii="黑体" w:eastAsia="黑体"/>
          <w:color w:val="auto"/>
          <w:kern w:val="0"/>
          <w:szCs w:val="21"/>
        </w:rPr>
        <w:t>5</w:t>
      </w:r>
      <w:r>
        <w:rPr>
          <w:rFonts w:ascii="黑体" w:eastAsia="黑体"/>
          <w:color w:val="auto"/>
          <w:kern w:val="0"/>
          <w:szCs w:val="21"/>
        </w:rPr>
        <w:t>.1</w:t>
      </w:r>
      <w:r>
        <w:rPr>
          <w:rFonts w:hint="eastAsia" w:ascii="黑体" w:eastAsia="黑体"/>
          <w:color w:val="auto"/>
          <w:kern w:val="0"/>
          <w:szCs w:val="21"/>
          <w:lang w:val="en-US" w:eastAsia="zh-CN"/>
        </w:rPr>
        <w:t xml:space="preserve">  </w:t>
      </w:r>
      <w:r>
        <w:rPr>
          <w:rFonts w:hint="eastAsia" w:ascii="黑体" w:eastAsia="黑体"/>
          <w:color w:val="auto"/>
          <w:kern w:val="0"/>
          <w:szCs w:val="21"/>
        </w:rPr>
        <w:t>编制依据</w:t>
      </w:r>
      <w:bookmarkEnd w:id="58"/>
    </w:p>
    <w:p>
      <w:pPr>
        <w:widowControl/>
        <w:ind w:firstLine="420" w:firstLineChars="200"/>
        <w:rPr>
          <w:rFonts w:hint="eastAsia" w:ascii="宋体" w:hAnsi="宋体" w:eastAsia="宋体" w:cs="宋体"/>
          <w:color w:val="auto"/>
          <w:kern w:val="0"/>
          <w:szCs w:val="22"/>
        </w:rPr>
      </w:pPr>
      <w:r>
        <w:rPr>
          <w:color w:val="auto"/>
          <w:kern w:val="0"/>
          <w:szCs w:val="22"/>
        </w:rPr>
        <w:t>依</w:t>
      </w:r>
      <w:r>
        <w:rPr>
          <w:rFonts w:hint="eastAsia" w:ascii="宋体" w:hAnsi="宋体" w:eastAsia="宋体" w:cs="宋体"/>
          <w:color w:val="auto"/>
          <w:kern w:val="0"/>
          <w:szCs w:val="22"/>
        </w:rPr>
        <w:t>据GB/T 24040、GB/T 24044和GB/T 32161给出</w:t>
      </w:r>
      <w:r>
        <w:rPr>
          <w:color w:val="auto"/>
          <w:kern w:val="0"/>
          <w:szCs w:val="22"/>
        </w:rPr>
        <w:t>的生命周期评价方法学框架及总体要求开展</w:t>
      </w:r>
      <w:r>
        <w:rPr>
          <w:rFonts w:hint="eastAsia"/>
          <w:color w:val="auto"/>
          <w:kern w:val="0"/>
          <w:szCs w:val="22"/>
          <w:lang w:eastAsia="zh-CN"/>
        </w:rPr>
        <w:t>软水机</w:t>
      </w:r>
      <w:r>
        <w:rPr>
          <w:color w:val="auto"/>
          <w:kern w:val="0"/>
          <w:szCs w:val="22"/>
        </w:rPr>
        <w:t>产品生命周期评价（生命周期评价方法见</w:t>
      </w:r>
      <w:r>
        <w:rPr>
          <w:rFonts w:hint="eastAsia" w:ascii="宋体" w:hAnsi="宋体" w:eastAsia="宋体" w:cs="宋体"/>
          <w:color w:val="auto"/>
          <w:kern w:val="0"/>
          <w:szCs w:val="22"/>
        </w:rPr>
        <w:t>附录A）</w:t>
      </w:r>
      <w:r>
        <w:rPr>
          <w:color w:val="auto"/>
          <w:kern w:val="0"/>
          <w:szCs w:val="22"/>
        </w:rPr>
        <w:t>，并编制生命周期评价报告（报告格式见</w:t>
      </w:r>
      <w:r>
        <w:rPr>
          <w:rFonts w:hint="eastAsia" w:ascii="宋体" w:hAnsi="宋体" w:eastAsia="宋体" w:cs="宋体"/>
          <w:color w:val="auto"/>
          <w:kern w:val="0"/>
          <w:szCs w:val="22"/>
        </w:rPr>
        <w:t>附录B）。</w:t>
      </w:r>
    </w:p>
    <w:p>
      <w:pPr>
        <w:widowControl/>
        <w:numPr>
          <w:ilvl w:val="1"/>
          <w:numId w:val="0"/>
        </w:numPr>
        <w:spacing w:before="0" w:beforeLines="0" w:after="0" w:afterLines="0" w:line="240" w:lineRule="exact"/>
        <w:jc w:val="left"/>
        <w:outlineLvl w:val="2"/>
        <w:rPr>
          <w:rFonts w:hint="eastAsia" w:ascii="黑体" w:eastAsia="黑体"/>
          <w:color w:val="auto"/>
          <w:kern w:val="0"/>
          <w:szCs w:val="21"/>
        </w:rPr>
      </w:pPr>
      <w:bookmarkStart w:id="59" w:name="_Toc20399758"/>
    </w:p>
    <w:p>
      <w:pPr>
        <w:widowControl/>
        <w:numPr>
          <w:ilvl w:val="1"/>
          <w:numId w:val="0"/>
        </w:numPr>
        <w:spacing w:before="0" w:beforeLines="0" w:after="0" w:afterLines="0" w:line="240" w:lineRule="exact"/>
        <w:jc w:val="left"/>
        <w:outlineLvl w:val="2"/>
        <w:rPr>
          <w:rFonts w:ascii="黑体" w:eastAsia="黑体"/>
          <w:color w:val="auto"/>
          <w:kern w:val="0"/>
          <w:szCs w:val="21"/>
        </w:rPr>
      </w:pPr>
      <w:r>
        <w:rPr>
          <w:rFonts w:hint="eastAsia" w:ascii="黑体" w:eastAsia="黑体"/>
          <w:color w:val="auto"/>
          <w:kern w:val="0"/>
          <w:szCs w:val="21"/>
        </w:rPr>
        <w:t>5</w:t>
      </w:r>
      <w:r>
        <w:rPr>
          <w:rFonts w:ascii="黑体" w:eastAsia="黑体"/>
          <w:color w:val="auto"/>
          <w:kern w:val="0"/>
          <w:szCs w:val="21"/>
        </w:rPr>
        <w:t>.2</w:t>
      </w:r>
      <w:r>
        <w:rPr>
          <w:rFonts w:hint="eastAsia" w:ascii="黑体" w:eastAsia="黑体"/>
          <w:color w:val="auto"/>
          <w:kern w:val="0"/>
          <w:szCs w:val="21"/>
          <w:lang w:val="en-US" w:eastAsia="zh-CN"/>
        </w:rPr>
        <w:t xml:space="preserve">  </w:t>
      </w:r>
      <w:r>
        <w:rPr>
          <w:rFonts w:ascii="黑体" w:eastAsia="黑体"/>
          <w:color w:val="auto"/>
          <w:kern w:val="0"/>
          <w:szCs w:val="21"/>
        </w:rPr>
        <w:t>报告内容框架</w:t>
      </w:r>
      <w:bookmarkEnd w:id="59"/>
    </w:p>
    <w:p>
      <w:pPr>
        <w:widowControl/>
        <w:numPr>
          <w:ilvl w:val="2"/>
          <w:numId w:val="0"/>
        </w:numPr>
        <w:spacing w:before="0" w:beforeLines="0" w:after="0" w:afterLines="0" w:line="240" w:lineRule="exact"/>
        <w:jc w:val="left"/>
        <w:outlineLvl w:val="3"/>
        <w:rPr>
          <w:rFonts w:hint="eastAsia" w:ascii="黑体" w:eastAsia="黑体"/>
          <w:color w:val="auto"/>
          <w:kern w:val="0"/>
          <w:szCs w:val="21"/>
        </w:rPr>
      </w:pPr>
    </w:p>
    <w:p>
      <w:pPr>
        <w:widowControl/>
        <w:numPr>
          <w:ilvl w:val="2"/>
          <w:numId w:val="0"/>
        </w:numPr>
        <w:spacing w:before="0" w:beforeLines="0" w:after="0" w:afterLines="0" w:line="240" w:lineRule="exact"/>
        <w:jc w:val="left"/>
        <w:outlineLvl w:val="3"/>
        <w:rPr>
          <w:rFonts w:ascii="黑体" w:eastAsia="黑体"/>
          <w:color w:val="auto"/>
          <w:kern w:val="0"/>
          <w:szCs w:val="21"/>
        </w:rPr>
      </w:pPr>
      <w:r>
        <w:rPr>
          <w:rFonts w:hint="eastAsia" w:ascii="黑体" w:eastAsia="黑体"/>
          <w:color w:val="auto"/>
          <w:kern w:val="0"/>
          <w:szCs w:val="21"/>
        </w:rPr>
        <w:t>5</w:t>
      </w:r>
      <w:r>
        <w:rPr>
          <w:rFonts w:ascii="黑体" w:eastAsia="黑体"/>
          <w:color w:val="auto"/>
          <w:kern w:val="0"/>
          <w:szCs w:val="21"/>
        </w:rPr>
        <w:t>.2.1</w:t>
      </w:r>
      <w:r>
        <w:rPr>
          <w:rFonts w:hint="eastAsia" w:ascii="黑体" w:eastAsia="黑体"/>
          <w:color w:val="auto"/>
          <w:kern w:val="0"/>
          <w:szCs w:val="21"/>
          <w:lang w:val="en-US" w:eastAsia="zh-CN"/>
        </w:rPr>
        <w:t xml:space="preserve">  </w:t>
      </w:r>
      <w:r>
        <w:rPr>
          <w:rFonts w:ascii="黑体" w:eastAsia="黑体"/>
          <w:color w:val="auto"/>
          <w:kern w:val="0"/>
          <w:szCs w:val="21"/>
        </w:rPr>
        <w:t>基本信息</w:t>
      </w:r>
    </w:p>
    <w:p>
      <w:pPr>
        <w:widowControl/>
        <w:numPr>
          <w:ilvl w:val="2"/>
          <w:numId w:val="0"/>
        </w:numPr>
        <w:spacing w:before="0" w:beforeLines="0" w:after="0" w:afterLines="0" w:line="240" w:lineRule="exact"/>
        <w:jc w:val="left"/>
        <w:outlineLvl w:val="3"/>
        <w:rPr>
          <w:rFonts w:ascii="黑体" w:eastAsia="黑体"/>
          <w:color w:val="auto"/>
          <w:kern w:val="0"/>
          <w:szCs w:val="21"/>
        </w:rPr>
      </w:pPr>
    </w:p>
    <w:p>
      <w:pPr>
        <w:widowControl/>
        <w:autoSpaceDE w:val="0"/>
        <w:autoSpaceDN w:val="0"/>
        <w:ind w:firstLine="420" w:firstLineChars="200"/>
        <w:rPr>
          <w:color w:val="auto"/>
          <w:kern w:val="0"/>
          <w:szCs w:val="22"/>
        </w:rPr>
      </w:pPr>
      <w:r>
        <w:rPr>
          <w:color w:val="auto"/>
          <w:kern w:val="0"/>
          <w:szCs w:val="22"/>
        </w:rPr>
        <w:t>报告应提供报告信息、申请者信息、评估对象信息、采用的标准信息等基本信息，其中报告信息包括报告编号、编制人员、审核人员、发布日期等，申请者信息包括公司全称、组织机构代码、地址、联系人、联系方式等。</w:t>
      </w:r>
    </w:p>
    <w:p>
      <w:pPr>
        <w:widowControl/>
        <w:autoSpaceDE w:val="0"/>
        <w:autoSpaceDN w:val="0"/>
        <w:ind w:firstLine="420" w:firstLineChars="200"/>
        <w:rPr>
          <w:color w:val="auto"/>
          <w:kern w:val="0"/>
          <w:szCs w:val="22"/>
        </w:rPr>
      </w:pPr>
      <w:r>
        <w:rPr>
          <w:color w:val="auto"/>
          <w:kern w:val="0"/>
          <w:szCs w:val="22"/>
        </w:rPr>
        <w:t>在报告中应提供产品的主要技术参数和功能，包括：物理形态、生产厂家、使用范围等。产品重量、包装的大小和材质也应在生命周期评价报告中阐明。</w:t>
      </w:r>
    </w:p>
    <w:p>
      <w:pPr>
        <w:widowControl/>
        <w:numPr>
          <w:ilvl w:val="2"/>
          <w:numId w:val="0"/>
        </w:numPr>
        <w:spacing w:before="0" w:beforeLines="0" w:after="0" w:afterLines="0" w:line="240" w:lineRule="exact"/>
        <w:jc w:val="left"/>
        <w:outlineLvl w:val="3"/>
        <w:rPr>
          <w:rFonts w:hint="eastAsia" w:ascii="黑体" w:eastAsia="黑体"/>
          <w:color w:val="auto"/>
          <w:kern w:val="0"/>
          <w:szCs w:val="21"/>
        </w:rPr>
      </w:pPr>
    </w:p>
    <w:p>
      <w:pPr>
        <w:widowControl/>
        <w:numPr>
          <w:ilvl w:val="2"/>
          <w:numId w:val="0"/>
        </w:numPr>
        <w:spacing w:before="0" w:beforeLines="0" w:after="0" w:afterLines="0" w:line="240" w:lineRule="exact"/>
        <w:jc w:val="left"/>
        <w:outlineLvl w:val="3"/>
        <w:rPr>
          <w:rFonts w:ascii="黑体" w:eastAsia="黑体"/>
          <w:color w:val="auto"/>
          <w:kern w:val="0"/>
          <w:szCs w:val="21"/>
        </w:rPr>
      </w:pPr>
      <w:r>
        <w:rPr>
          <w:rFonts w:hint="eastAsia" w:ascii="黑体" w:eastAsia="黑体"/>
          <w:color w:val="auto"/>
          <w:kern w:val="0"/>
          <w:szCs w:val="21"/>
        </w:rPr>
        <w:t>5</w:t>
      </w:r>
      <w:r>
        <w:rPr>
          <w:rFonts w:ascii="黑体" w:eastAsia="黑体"/>
          <w:color w:val="auto"/>
          <w:kern w:val="0"/>
          <w:szCs w:val="21"/>
        </w:rPr>
        <w:t>.2.2</w:t>
      </w:r>
      <w:r>
        <w:rPr>
          <w:rFonts w:hint="eastAsia" w:ascii="黑体" w:eastAsia="黑体"/>
          <w:color w:val="auto"/>
          <w:kern w:val="0"/>
          <w:szCs w:val="21"/>
          <w:lang w:val="en-US" w:eastAsia="zh-CN"/>
        </w:rPr>
        <w:t xml:space="preserve">  </w:t>
      </w:r>
      <w:r>
        <w:rPr>
          <w:rFonts w:ascii="黑体" w:eastAsia="黑体"/>
          <w:color w:val="auto"/>
          <w:kern w:val="0"/>
          <w:szCs w:val="21"/>
        </w:rPr>
        <w:t>符合性评价</w:t>
      </w:r>
    </w:p>
    <w:p>
      <w:pPr>
        <w:widowControl/>
        <w:numPr>
          <w:ilvl w:val="2"/>
          <w:numId w:val="0"/>
        </w:numPr>
        <w:spacing w:before="0" w:beforeLines="0" w:after="0" w:afterLines="0" w:line="240" w:lineRule="exact"/>
        <w:jc w:val="left"/>
        <w:outlineLvl w:val="3"/>
        <w:rPr>
          <w:rFonts w:ascii="黑体" w:eastAsia="黑体"/>
          <w:color w:val="auto"/>
          <w:kern w:val="0"/>
          <w:szCs w:val="21"/>
        </w:rPr>
      </w:pPr>
    </w:p>
    <w:p>
      <w:pPr>
        <w:widowControl/>
        <w:autoSpaceDE w:val="0"/>
        <w:autoSpaceDN w:val="0"/>
        <w:ind w:firstLine="408" w:firstLineChars="200"/>
        <w:rPr>
          <w:color w:val="auto"/>
          <w:szCs w:val="24"/>
        </w:rPr>
      </w:pPr>
      <w:r>
        <w:rPr>
          <w:color w:val="auto"/>
          <w:spacing w:val="-3"/>
          <w:szCs w:val="24"/>
        </w:rPr>
        <w:t>报</w:t>
      </w:r>
      <w:r>
        <w:rPr>
          <w:color w:val="auto"/>
          <w:szCs w:val="24"/>
        </w:rPr>
        <w:t>告</w:t>
      </w:r>
      <w:r>
        <w:rPr>
          <w:color w:val="auto"/>
          <w:spacing w:val="-3"/>
          <w:szCs w:val="24"/>
        </w:rPr>
        <w:t>中</w:t>
      </w:r>
      <w:r>
        <w:rPr>
          <w:color w:val="auto"/>
          <w:szCs w:val="24"/>
        </w:rPr>
        <w:t>应</w:t>
      </w:r>
      <w:r>
        <w:rPr>
          <w:color w:val="auto"/>
          <w:spacing w:val="-3"/>
          <w:szCs w:val="24"/>
        </w:rPr>
        <w:t>提</w:t>
      </w:r>
      <w:r>
        <w:rPr>
          <w:color w:val="auto"/>
          <w:szCs w:val="24"/>
        </w:rPr>
        <w:t>供</w:t>
      </w:r>
      <w:r>
        <w:rPr>
          <w:color w:val="auto"/>
          <w:spacing w:val="-3"/>
          <w:szCs w:val="24"/>
        </w:rPr>
        <w:t>对</w:t>
      </w:r>
      <w:r>
        <w:rPr>
          <w:color w:val="auto"/>
          <w:szCs w:val="24"/>
        </w:rPr>
        <w:t>基</w:t>
      </w:r>
      <w:r>
        <w:rPr>
          <w:color w:val="auto"/>
          <w:spacing w:val="-3"/>
          <w:szCs w:val="24"/>
        </w:rPr>
        <w:t>本</w:t>
      </w:r>
      <w:r>
        <w:rPr>
          <w:color w:val="auto"/>
          <w:kern w:val="0"/>
          <w:szCs w:val="22"/>
        </w:rPr>
        <w:t>要求</w:t>
      </w:r>
      <w:r>
        <w:rPr>
          <w:color w:val="auto"/>
          <w:spacing w:val="-3"/>
          <w:szCs w:val="24"/>
        </w:rPr>
        <w:t>和</w:t>
      </w:r>
      <w:r>
        <w:rPr>
          <w:color w:val="auto"/>
          <w:szCs w:val="24"/>
        </w:rPr>
        <w:t>评</w:t>
      </w:r>
      <w:r>
        <w:rPr>
          <w:color w:val="auto"/>
          <w:spacing w:val="-3"/>
          <w:szCs w:val="24"/>
        </w:rPr>
        <w:t>价</w:t>
      </w:r>
      <w:r>
        <w:rPr>
          <w:color w:val="auto"/>
          <w:szCs w:val="24"/>
        </w:rPr>
        <w:t>指</w:t>
      </w:r>
      <w:r>
        <w:rPr>
          <w:color w:val="auto"/>
          <w:spacing w:val="-3"/>
          <w:szCs w:val="24"/>
        </w:rPr>
        <w:t>标</w:t>
      </w:r>
      <w:r>
        <w:rPr>
          <w:color w:val="auto"/>
          <w:szCs w:val="24"/>
        </w:rPr>
        <w:t>要</w:t>
      </w:r>
      <w:r>
        <w:rPr>
          <w:color w:val="auto"/>
          <w:spacing w:val="-3"/>
          <w:szCs w:val="24"/>
        </w:rPr>
        <w:t>求</w:t>
      </w:r>
      <w:r>
        <w:rPr>
          <w:color w:val="auto"/>
          <w:szCs w:val="24"/>
        </w:rPr>
        <w:t>的</w:t>
      </w:r>
      <w:r>
        <w:rPr>
          <w:color w:val="auto"/>
          <w:spacing w:val="-3"/>
          <w:szCs w:val="24"/>
        </w:rPr>
        <w:t>符</w:t>
      </w:r>
      <w:r>
        <w:rPr>
          <w:color w:val="auto"/>
          <w:szCs w:val="24"/>
        </w:rPr>
        <w:t>合性</w:t>
      </w:r>
      <w:r>
        <w:rPr>
          <w:color w:val="auto"/>
          <w:spacing w:val="-3"/>
          <w:szCs w:val="24"/>
        </w:rPr>
        <w:t>情</w:t>
      </w:r>
      <w:r>
        <w:rPr>
          <w:color w:val="auto"/>
          <w:szCs w:val="24"/>
        </w:rPr>
        <w:t>况</w:t>
      </w:r>
      <w:r>
        <w:rPr>
          <w:rFonts w:hint="eastAsia"/>
          <w:color w:val="auto"/>
          <w:szCs w:val="24"/>
          <w:lang w:eastAsia="zh-CN"/>
        </w:rPr>
        <w:t>，</w:t>
      </w:r>
      <w:r>
        <w:rPr>
          <w:color w:val="auto"/>
          <w:szCs w:val="24"/>
        </w:rPr>
        <w:t>并</w:t>
      </w:r>
      <w:r>
        <w:rPr>
          <w:color w:val="auto"/>
          <w:spacing w:val="-3"/>
          <w:szCs w:val="24"/>
        </w:rPr>
        <w:t>提</w:t>
      </w:r>
      <w:r>
        <w:rPr>
          <w:color w:val="auto"/>
          <w:szCs w:val="24"/>
        </w:rPr>
        <w:t>供</w:t>
      </w:r>
      <w:r>
        <w:rPr>
          <w:color w:val="auto"/>
          <w:spacing w:val="-3"/>
          <w:szCs w:val="24"/>
        </w:rPr>
        <w:t>所</w:t>
      </w:r>
      <w:r>
        <w:rPr>
          <w:color w:val="auto"/>
          <w:szCs w:val="24"/>
        </w:rPr>
        <w:t>有</w:t>
      </w:r>
      <w:r>
        <w:rPr>
          <w:color w:val="auto"/>
          <w:spacing w:val="-3"/>
          <w:szCs w:val="24"/>
        </w:rPr>
        <w:t>评价</w:t>
      </w:r>
      <w:r>
        <w:rPr>
          <w:color w:val="auto"/>
          <w:szCs w:val="24"/>
        </w:rPr>
        <w:t>指标</w:t>
      </w:r>
      <w:r>
        <w:rPr>
          <w:color w:val="auto"/>
          <w:spacing w:val="-3"/>
          <w:szCs w:val="24"/>
        </w:rPr>
        <w:t>报</w:t>
      </w:r>
      <w:r>
        <w:rPr>
          <w:color w:val="auto"/>
          <w:szCs w:val="24"/>
        </w:rPr>
        <w:t>告</w:t>
      </w:r>
      <w:r>
        <w:rPr>
          <w:color w:val="auto"/>
          <w:spacing w:val="-3"/>
          <w:szCs w:val="24"/>
        </w:rPr>
        <w:t>期</w:t>
      </w:r>
      <w:r>
        <w:rPr>
          <w:color w:val="auto"/>
          <w:szCs w:val="24"/>
        </w:rPr>
        <w:t>比</w:t>
      </w:r>
      <w:r>
        <w:rPr>
          <w:color w:val="auto"/>
          <w:spacing w:val="-3"/>
          <w:szCs w:val="24"/>
        </w:rPr>
        <w:t>基</w:t>
      </w:r>
      <w:r>
        <w:rPr>
          <w:color w:val="auto"/>
          <w:szCs w:val="24"/>
        </w:rPr>
        <w:t>期</w:t>
      </w:r>
      <w:r>
        <w:rPr>
          <w:color w:val="auto"/>
          <w:spacing w:val="-3"/>
          <w:szCs w:val="24"/>
        </w:rPr>
        <w:t>改进</w:t>
      </w:r>
      <w:r>
        <w:rPr>
          <w:color w:val="auto"/>
          <w:szCs w:val="24"/>
        </w:rPr>
        <w:t>情况的</w:t>
      </w:r>
      <w:r>
        <w:rPr>
          <w:color w:val="auto"/>
          <w:spacing w:val="-3"/>
          <w:szCs w:val="24"/>
        </w:rPr>
        <w:t>说</w:t>
      </w:r>
      <w:r>
        <w:rPr>
          <w:color w:val="auto"/>
          <w:szCs w:val="24"/>
        </w:rPr>
        <w:t>明</w:t>
      </w:r>
      <w:r>
        <w:rPr>
          <w:color w:val="auto"/>
          <w:spacing w:val="-3"/>
          <w:szCs w:val="24"/>
        </w:rPr>
        <w:t>，</w:t>
      </w:r>
      <w:r>
        <w:rPr>
          <w:color w:val="auto"/>
          <w:szCs w:val="24"/>
        </w:rPr>
        <w:t>或</w:t>
      </w:r>
      <w:r>
        <w:rPr>
          <w:color w:val="auto"/>
          <w:spacing w:val="-3"/>
          <w:szCs w:val="24"/>
        </w:rPr>
        <w:t>同</w:t>
      </w:r>
      <w:r>
        <w:rPr>
          <w:color w:val="auto"/>
          <w:szCs w:val="24"/>
        </w:rPr>
        <w:t>等</w:t>
      </w:r>
      <w:r>
        <w:rPr>
          <w:color w:val="auto"/>
          <w:spacing w:val="-3"/>
          <w:szCs w:val="24"/>
        </w:rPr>
        <w:t>功</w:t>
      </w:r>
      <w:r>
        <w:rPr>
          <w:color w:val="auto"/>
          <w:szCs w:val="24"/>
        </w:rPr>
        <w:t>能</w:t>
      </w:r>
      <w:r>
        <w:rPr>
          <w:color w:val="auto"/>
          <w:spacing w:val="-3"/>
          <w:szCs w:val="24"/>
        </w:rPr>
        <w:t>产</w:t>
      </w:r>
      <w:r>
        <w:rPr>
          <w:color w:val="auto"/>
          <w:szCs w:val="24"/>
        </w:rPr>
        <w:t>品对</w:t>
      </w:r>
      <w:r>
        <w:rPr>
          <w:color w:val="auto"/>
          <w:spacing w:val="-3"/>
          <w:szCs w:val="24"/>
        </w:rPr>
        <w:t>比</w:t>
      </w:r>
      <w:r>
        <w:rPr>
          <w:color w:val="auto"/>
          <w:szCs w:val="24"/>
        </w:rPr>
        <w:t>情</w:t>
      </w:r>
      <w:r>
        <w:rPr>
          <w:color w:val="auto"/>
          <w:spacing w:val="-3"/>
          <w:szCs w:val="24"/>
        </w:rPr>
        <w:t>况</w:t>
      </w:r>
      <w:r>
        <w:rPr>
          <w:color w:val="auto"/>
          <w:szCs w:val="24"/>
        </w:rPr>
        <w:t>的</w:t>
      </w:r>
      <w:r>
        <w:rPr>
          <w:color w:val="auto"/>
          <w:spacing w:val="-3"/>
          <w:szCs w:val="24"/>
        </w:rPr>
        <w:t>说</w:t>
      </w:r>
      <w:r>
        <w:rPr>
          <w:color w:val="auto"/>
          <w:szCs w:val="24"/>
        </w:rPr>
        <w:t>明。</w:t>
      </w:r>
    </w:p>
    <w:p>
      <w:pPr>
        <w:widowControl/>
        <w:autoSpaceDE w:val="0"/>
        <w:autoSpaceDN w:val="0"/>
        <w:spacing w:line="240" w:lineRule="exact"/>
        <w:ind w:firstLine="420" w:firstLineChars="200"/>
        <w:rPr>
          <w:color w:val="auto"/>
          <w:szCs w:val="24"/>
        </w:rPr>
      </w:pPr>
    </w:p>
    <w:p>
      <w:pPr>
        <w:widowControl/>
        <w:numPr>
          <w:ilvl w:val="2"/>
          <w:numId w:val="0"/>
        </w:numPr>
        <w:spacing w:before="0" w:beforeLines="0" w:after="0" w:afterLines="0" w:line="240" w:lineRule="exact"/>
        <w:jc w:val="left"/>
        <w:outlineLvl w:val="3"/>
        <w:rPr>
          <w:rFonts w:ascii="黑体" w:eastAsia="黑体"/>
          <w:color w:val="auto"/>
          <w:kern w:val="0"/>
          <w:szCs w:val="21"/>
        </w:rPr>
      </w:pPr>
      <w:r>
        <w:rPr>
          <w:rFonts w:hint="eastAsia" w:ascii="黑体" w:eastAsia="黑体"/>
          <w:color w:val="auto"/>
          <w:kern w:val="0"/>
          <w:szCs w:val="21"/>
        </w:rPr>
        <w:t>5</w:t>
      </w:r>
      <w:r>
        <w:rPr>
          <w:rFonts w:ascii="黑体" w:eastAsia="黑体"/>
          <w:color w:val="auto"/>
          <w:kern w:val="0"/>
          <w:szCs w:val="21"/>
        </w:rPr>
        <w:t>.2.3</w:t>
      </w:r>
      <w:r>
        <w:rPr>
          <w:rFonts w:hint="eastAsia" w:ascii="黑体" w:eastAsia="黑体"/>
          <w:color w:val="auto"/>
          <w:kern w:val="0"/>
          <w:szCs w:val="21"/>
          <w:lang w:val="en-US" w:eastAsia="zh-CN"/>
        </w:rPr>
        <w:t xml:space="preserve">  </w:t>
      </w:r>
      <w:r>
        <w:rPr>
          <w:rFonts w:ascii="黑体" w:eastAsia="黑体"/>
          <w:color w:val="auto"/>
          <w:kern w:val="0"/>
          <w:szCs w:val="21"/>
        </w:rPr>
        <w:t>生命周期评价</w:t>
      </w:r>
    </w:p>
    <w:p>
      <w:pPr>
        <w:widowControl/>
        <w:numPr>
          <w:ilvl w:val="2"/>
          <w:numId w:val="0"/>
        </w:numPr>
        <w:spacing w:before="0" w:beforeLines="0" w:after="0" w:afterLines="0" w:line="240" w:lineRule="exact"/>
        <w:jc w:val="left"/>
        <w:outlineLvl w:val="3"/>
        <w:rPr>
          <w:rFonts w:ascii="黑体" w:eastAsia="黑体"/>
          <w:color w:val="auto"/>
          <w:kern w:val="0"/>
          <w:szCs w:val="21"/>
        </w:rPr>
      </w:pPr>
    </w:p>
    <w:p>
      <w:pPr>
        <w:widowControl/>
        <w:numPr>
          <w:ilvl w:val="3"/>
          <w:numId w:val="0"/>
        </w:numPr>
        <w:spacing w:before="0" w:beforeLines="0" w:after="0" w:afterLines="0" w:line="240" w:lineRule="exact"/>
        <w:jc w:val="left"/>
        <w:outlineLvl w:val="4"/>
        <w:rPr>
          <w:rFonts w:ascii="黑体" w:eastAsia="黑体"/>
          <w:color w:val="auto"/>
          <w:kern w:val="0"/>
          <w:sz w:val="12"/>
          <w:szCs w:val="12"/>
        </w:rPr>
      </w:pPr>
      <w:r>
        <w:rPr>
          <w:rFonts w:hint="eastAsia" w:ascii="黑体" w:eastAsia="黑体"/>
          <w:color w:val="auto"/>
          <w:spacing w:val="-4"/>
          <w:w w:val="110"/>
          <w:kern w:val="0"/>
          <w:szCs w:val="21"/>
        </w:rPr>
        <w:t>5</w:t>
      </w:r>
      <w:r>
        <w:rPr>
          <w:rFonts w:ascii="黑体" w:eastAsia="黑体"/>
          <w:color w:val="auto"/>
          <w:spacing w:val="-4"/>
          <w:w w:val="110"/>
          <w:kern w:val="0"/>
          <w:szCs w:val="21"/>
        </w:rPr>
        <w:t>.2.3.1</w:t>
      </w:r>
      <w:r>
        <w:rPr>
          <w:rFonts w:hint="eastAsia" w:ascii="黑体" w:eastAsia="黑体"/>
          <w:color w:val="auto"/>
          <w:spacing w:val="-4"/>
          <w:w w:val="110"/>
          <w:kern w:val="0"/>
          <w:szCs w:val="21"/>
          <w:lang w:val="en-US" w:eastAsia="zh-CN"/>
        </w:rPr>
        <w:t xml:space="preserve">  </w:t>
      </w:r>
      <w:r>
        <w:rPr>
          <w:rFonts w:ascii="黑体" w:eastAsia="黑体"/>
          <w:color w:val="auto"/>
          <w:spacing w:val="-4"/>
          <w:w w:val="110"/>
          <w:kern w:val="0"/>
          <w:szCs w:val="21"/>
        </w:rPr>
        <w:t>评</w:t>
      </w:r>
      <w:r>
        <w:rPr>
          <w:rFonts w:ascii="黑体" w:eastAsia="黑体"/>
          <w:color w:val="auto"/>
          <w:w w:val="110"/>
          <w:kern w:val="0"/>
          <w:szCs w:val="21"/>
        </w:rPr>
        <w:t>价</w:t>
      </w:r>
      <w:r>
        <w:rPr>
          <w:rFonts w:ascii="黑体" w:eastAsia="黑体"/>
          <w:color w:val="auto"/>
          <w:spacing w:val="-4"/>
          <w:w w:val="110"/>
          <w:kern w:val="0"/>
          <w:szCs w:val="21"/>
        </w:rPr>
        <w:t>对</w:t>
      </w:r>
      <w:r>
        <w:rPr>
          <w:rFonts w:ascii="黑体" w:eastAsia="黑体"/>
          <w:color w:val="auto"/>
          <w:w w:val="110"/>
          <w:kern w:val="0"/>
          <w:szCs w:val="21"/>
        </w:rPr>
        <w:t>象</w:t>
      </w:r>
      <w:r>
        <w:rPr>
          <w:rFonts w:ascii="黑体" w:eastAsia="黑体"/>
          <w:color w:val="auto"/>
          <w:spacing w:val="-4"/>
          <w:w w:val="110"/>
          <w:kern w:val="0"/>
          <w:szCs w:val="21"/>
        </w:rPr>
        <w:t>及</w:t>
      </w:r>
      <w:r>
        <w:rPr>
          <w:rFonts w:ascii="黑体" w:eastAsia="黑体"/>
          <w:color w:val="auto"/>
          <w:w w:val="110"/>
          <w:kern w:val="0"/>
          <w:szCs w:val="21"/>
        </w:rPr>
        <w:t>工具</w:t>
      </w:r>
    </w:p>
    <w:p>
      <w:pPr>
        <w:widowControl/>
        <w:autoSpaceDE w:val="0"/>
        <w:autoSpaceDN w:val="0"/>
        <w:ind w:firstLine="420" w:firstLineChars="200"/>
        <w:rPr>
          <w:color w:val="auto"/>
          <w:szCs w:val="24"/>
        </w:rPr>
      </w:pPr>
      <w:r>
        <w:rPr>
          <w:color w:val="auto"/>
          <w:szCs w:val="24"/>
        </w:rPr>
        <w:t>报告</w:t>
      </w:r>
      <w:r>
        <w:rPr>
          <w:color w:val="auto"/>
          <w:spacing w:val="-3"/>
          <w:szCs w:val="24"/>
        </w:rPr>
        <w:t>中</w:t>
      </w:r>
      <w:r>
        <w:rPr>
          <w:color w:val="auto"/>
          <w:szCs w:val="24"/>
        </w:rPr>
        <w:t>应</w:t>
      </w:r>
      <w:r>
        <w:rPr>
          <w:color w:val="auto"/>
          <w:spacing w:val="-3"/>
          <w:szCs w:val="24"/>
        </w:rPr>
        <w:t>详</w:t>
      </w:r>
      <w:r>
        <w:rPr>
          <w:color w:val="auto"/>
          <w:szCs w:val="24"/>
        </w:rPr>
        <w:t>细</w:t>
      </w:r>
      <w:r>
        <w:rPr>
          <w:color w:val="auto"/>
          <w:spacing w:val="-3"/>
          <w:szCs w:val="24"/>
        </w:rPr>
        <w:t>描</w:t>
      </w:r>
      <w:r>
        <w:rPr>
          <w:color w:val="auto"/>
          <w:szCs w:val="24"/>
        </w:rPr>
        <w:t>述</w:t>
      </w:r>
      <w:r>
        <w:rPr>
          <w:color w:val="auto"/>
          <w:spacing w:val="-3"/>
          <w:szCs w:val="24"/>
        </w:rPr>
        <w:t>评</w:t>
      </w:r>
      <w:r>
        <w:rPr>
          <w:color w:val="auto"/>
          <w:szCs w:val="24"/>
        </w:rPr>
        <w:t>估</w:t>
      </w:r>
      <w:r>
        <w:rPr>
          <w:color w:val="auto"/>
          <w:spacing w:val="-3"/>
          <w:szCs w:val="24"/>
        </w:rPr>
        <w:t>的</w:t>
      </w:r>
      <w:r>
        <w:rPr>
          <w:color w:val="auto"/>
          <w:kern w:val="0"/>
          <w:szCs w:val="22"/>
        </w:rPr>
        <w:t>对象</w:t>
      </w:r>
      <w:r>
        <w:rPr>
          <w:rFonts w:hint="eastAsia"/>
          <w:color w:val="auto"/>
          <w:kern w:val="0"/>
          <w:szCs w:val="22"/>
        </w:rPr>
        <w:t>、功</w:t>
      </w:r>
      <w:r>
        <w:rPr>
          <w:color w:val="auto"/>
          <w:spacing w:val="-3"/>
          <w:szCs w:val="24"/>
        </w:rPr>
        <w:t>能</w:t>
      </w:r>
      <w:r>
        <w:rPr>
          <w:color w:val="auto"/>
          <w:szCs w:val="24"/>
        </w:rPr>
        <w:t>单</w:t>
      </w:r>
      <w:r>
        <w:rPr>
          <w:color w:val="auto"/>
          <w:spacing w:val="-3"/>
          <w:szCs w:val="24"/>
        </w:rPr>
        <w:t>位</w:t>
      </w:r>
      <w:r>
        <w:rPr>
          <w:color w:val="auto"/>
          <w:szCs w:val="24"/>
        </w:rPr>
        <w:t>和</w:t>
      </w:r>
      <w:r>
        <w:rPr>
          <w:color w:val="auto"/>
          <w:spacing w:val="-3"/>
          <w:szCs w:val="24"/>
        </w:rPr>
        <w:t>产</w:t>
      </w:r>
      <w:r>
        <w:rPr>
          <w:color w:val="auto"/>
          <w:szCs w:val="24"/>
        </w:rPr>
        <w:t>品</w:t>
      </w:r>
      <w:r>
        <w:rPr>
          <w:color w:val="auto"/>
          <w:spacing w:val="-3"/>
          <w:szCs w:val="24"/>
        </w:rPr>
        <w:t>主要</w:t>
      </w:r>
      <w:r>
        <w:rPr>
          <w:color w:val="auto"/>
          <w:szCs w:val="24"/>
        </w:rPr>
        <w:t>功能</w:t>
      </w:r>
      <w:r>
        <w:rPr>
          <w:color w:val="auto"/>
          <w:spacing w:val="-104"/>
          <w:szCs w:val="24"/>
        </w:rPr>
        <w:t>，</w:t>
      </w:r>
      <w:r>
        <w:rPr>
          <w:color w:val="auto"/>
          <w:szCs w:val="24"/>
        </w:rPr>
        <w:t>提</w:t>
      </w:r>
      <w:r>
        <w:rPr>
          <w:color w:val="auto"/>
          <w:spacing w:val="-3"/>
          <w:szCs w:val="24"/>
        </w:rPr>
        <w:t>供</w:t>
      </w:r>
      <w:r>
        <w:rPr>
          <w:color w:val="auto"/>
          <w:szCs w:val="24"/>
        </w:rPr>
        <w:t>产</w:t>
      </w:r>
      <w:r>
        <w:rPr>
          <w:color w:val="auto"/>
          <w:spacing w:val="-3"/>
          <w:szCs w:val="24"/>
        </w:rPr>
        <w:t>品</w:t>
      </w:r>
      <w:r>
        <w:rPr>
          <w:color w:val="auto"/>
          <w:szCs w:val="24"/>
        </w:rPr>
        <w:t>的</w:t>
      </w:r>
      <w:r>
        <w:rPr>
          <w:color w:val="auto"/>
          <w:spacing w:val="-3"/>
          <w:szCs w:val="24"/>
        </w:rPr>
        <w:t>材</w:t>
      </w:r>
      <w:r>
        <w:rPr>
          <w:color w:val="auto"/>
          <w:szCs w:val="24"/>
        </w:rPr>
        <w:t>料</w:t>
      </w:r>
      <w:r>
        <w:rPr>
          <w:color w:val="auto"/>
          <w:spacing w:val="-3"/>
          <w:szCs w:val="24"/>
        </w:rPr>
        <w:t>构成</w:t>
      </w:r>
      <w:r>
        <w:rPr>
          <w:color w:val="auto"/>
          <w:szCs w:val="24"/>
        </w:rPr>
        <w:t>及主</w:t>
      </w:r>
      <w:r>
        <w:rPr>
          <w:color w:val="auto"/>
          <w:spacing w:val="-3"/>
          <w:szCs w:val="24"/>
        </w:rPr>
        <w:t>要</w:t>
      </w:r>
      <w:r>
        <w:rPr>
          <w:color w:val="auto"/>
          <w:szCs w:val="24"/>
        </w:rPr>
        <w:t>技</w:t>
      </w:r>
      <w:r>
        <w:rPr>
          <w:color w:val="auto"/>
          <w:spacing w:val="-3"/>
          <w:szCs w:val="24"/>
        </w:rPr>
        <w:t>术</w:t>
      </w:r>
      <w:r>
        <w:rPr>
          <w:color w:val="auto"/>
          <w:szCs w:val="24"/>
        </w:rPr>
        <w:t>参</w:t>
      </w:r>
      <w:r>
        <w:rPr>
          <w:color w:val="auto"/>
          <w:spacing w:val="-3"/>
          <w:szCs w:val="24"/>
        </w:rPr>
        <w:t>数</w:t>
      </w:r>
      <w:r>
        <w:rPr>
          <w:color w:val="auto"/>
          <w:szCs w:val="24"/>
        </w:rPr>
        <w:t>表，绘制</w:t>
      </w:r>
      <w:r>
        <w:rPr>
          <w:color w:val="auto"/>
          <w:spacing w:val="-3"/>
          <w:szCs w:val="24"/>
        </w:rPr>
        <w:t>并</w:t>
      </w:r>
      <w:r>
        <w:rPr>
          <w:color w:val="auto"/>
          <w:szCs w:val="24"/>
        </w:rPr>
        <w:t>说</w:t>
      </w:r>
      <w:r>
        <w:rPr>
          <w:color w:val="auto"/>
          <w:spacing w:val="-3"/>
          <w:szCs w:val="24"/>
        </w:rPr>
        <w:t>明</w:t>
      </w:r>
      <w:r>
        <w:rPr>
          <w:color w:val="auto"/>
          <w:szCs w:val="24"/>
        </w:rPr>
        <w:t>产</w:t>
      </w:r>
      <w:r>
        <w:rPr>
          <w:color w:val="auto"/>
          <w:spacing w:val="-3"/>
          <w:szCs w:val="24"/>
        </w:rPr>
        <w:t>品</w:t>
      </w:r>
      <w:r>
        <w:rPr>
          <w:color w:val="auto"/>
          <w:szCs w:val="24"/>
        </w:rPr>
        <w:t>的</w:t>
      </w:r>
      <w:r>
        <w:rPr>
          <w:color w:val="auto"/>
          <w:spacing w:val="-3"/>
          <w:szCs w:val="24"/>
        </w:rPr>
        <w:t>系</w:t>
      </w:r>
      <w:r>
        <w:rPr>
          <w:color w:val="auto"/>
          <w:szCs w:val="24"/>
        </w:rPr>
        <w:t>统</w:t>
      </w:r>
      <w:r>
        <w:rPr>
          <w:color w:val="auto"/>
          <w:spacing w:val="-3"/>
          <w:szCs w:val="24"/>
        </w:rPr>
        <w:t>边</w:t>
      </w:r>
      <w:r>
        <w:rPr>
          <w:color w:val="auto"/>
          <w:szCs w:val="24"/>
        </w:rPr>
        <w:t>界</w:t>
      </w:r>
      <w:r>
        <w:rPr>
          <w:rFonts w:hint="eastAsia"/>
          <w:color w:val="auto"/>
          <w:szCs w:val="24"/>
        </w:rPr>
        <w:t>，</w:t>
      </w:r>
      <w:r>
        <w:rPr>
          <w:color w:val="auto"/>
          <w:spacing w:val="-3"/>
          <w:szCs w:val="24"/>
        </w:rPr>
        <w:t>披</w:t>
      </w:r>
      <w:r>
        <w:rPr>
          <w:color w:val="auto"/>
          <w:szCs w:val="24"/>
        </w:rPr>
        <w:t>露</w:t>
      </w:r>
      <w:r>
        <w:rPr>
          <w:color w:val="auto"/>
          <w:spacing w:val="-3"/>
          <w:szCs w:val="24"/>
        </w:rPr>
        <w:t>所</w:t>
      </w:r>
      <w:r>
        <w:rPr>
          <w:color w:val="auto"/>
          <w:szCs w:val="24"/>
        </w:rPr>
        <w:t>使</w:t>
      </w:r>
      <w:r>
        <w:rPr>
          <w:color w:val="auto"/>
          <w:spacing w:val="-3"/>
          <w:szCs w:val="24"/>
        </w:rPr>
        <w:t>用</w:t>
      </w:r>
      <w:r>
        <w:rPr>
          <w:color w:val="auto"/>
          <w:szCs w:val="24"/>
        </w:rPr>
        <w:t>的</w:t>
      </w:r>
      <w:r>
        <w:rPr>
          <w:color w:val="auto"/>
          <w:spacing w:val="-3"/>
          <w:szCs w:val="24"/>
        </w:rPr>
        <w:t>基</w:t>
      </w:r>
      <w:r>
        <w:rPr>
          <w:color w:val="auto"/>
          <w:szCs w:val="24"/>
        </w:rPr>
        <w:t>于</w:t>
      </w:r>
      <w:r>
        <w:rPr>
          <w:color w:val="auto"/>
          <w:spacing w:val="-3"/>
          <w:szCs w:val="24"/>
        </w:rPr>
        <w:t>中</w:t>
      </w:r>
      <w:r>
        <w:rPr>
          <w:color w:val="auto"/>
          <w:szCs w:val="24"/>
        </w:rPr>
        <w:t>国生</w:t>
      </w:r>
      <w:r>
        <w:rPr>
          <w:color w:val="auto"/>
          <w:spacing w:val="-3"/>
          <w:szCs w:val="24"/>
        </w:rPr>
        <w:t>命</w:t>
      </w:r>
      <w:r>
        <w:rPr>
          <w:color w:val="auto"/>
          <w:szCs w:val="24"/>
        </w:rPr>
        <w:t>周</w:t>
      </w:r>
      <w:r>
        <w:rPr>
          <w:color w:val="auto"/>
          <w:spacing w:val="-3"/>
          <w:szCs w:val="24"/>
        </w:rPr>
        <w:t>期</w:t>
      </w:r>
      <w:r>
        <w:rPr>
          <w:color w:val="auto"/>
          <w:szCs w:val="24"/>
        </w:rPr>
        <w:t>数</w:t>
      </w:r>
      <w:r>
        <w:rPr>
          <w:color w:val="auto"/>
          <w:spacing w:val="-3"/>
          <w:szCs w:val="24"/>
        </w:rPr>
        <w:t>据</w:t>
      </w:r>
      <w:r>
        <w:rPr>
          <w:color w:val="auto"/>
          <w:szCs w:val="24"/>
        </w:rPr>
        <w:t>库</w:t>
      </w:r>
      <w:r>
        <w:rPr>
          <w:color w:val="auto"/>
          <w:spacing w:val="-3"/>
          <w:szCs w:val="24"/>
        </w:rPr>
        <w:t>的</w:t>
      </w:r>
      <w:r>
        <w:rPr>
          <w:color w:val="auto"/>
          <w:szCs w:val="24"/>
        </w:rPr>
        <w:t>软</w:t>
      </w:r>
      <w:r>
        <w:rPr>
          <w:color w:val="auto"/>
          <w:spacing w:val="-3"/>
          <w:szCs w:val="24"/>
        </w:rPr>
        <w:t>件</w:t>
      </w:r>
      <w:r>
        <w:rPr>
          <w:color w:val="auto"/>
          <w:szCs w:val="24"/>
        </w:rPr>
        <w:t>工</w:t>
      </w:r>
      <w:r>
        <w:rPr>
          <w:color w:val="auto"/>
          <w:spacing w:val="-1"/>
          <w:szCs w:val="24"/>
        </w:rPr>
        <w:t>具</w:t>
      </w:r>
      <w:r>
        <w:rPr>
          <w:color w:val="auto"/>
          <w:szCs w:val="24"/>
        </w:rPr>
        <w:t>。</w:t>
      </w:r>
    </w:p>
    <w:p>
      <w:pPr>
        <w:widowControl/>
        <w:autoSpaceDE w:val="0"/>
        <w:autoSpaceDN w:val="0"/>
        <w:ind w:firstLine="420" w:firstLineChars="200"/>
        <w:rPr>
          <w:color w:val="auto"/>
          <w:sz w:val="15"/>
          <w:szCs w:val="15"/>
        </w:rPr>
      </w:pPr>
      <w:r>
        <w:rPr>
          <w:color w:val="auto"/>
          <w:szCs w:val="24"/>
        </w:rPr>
        <w:t>本文件</w:t>
      </w:r>
      <w:r>
        <w:rPr>
          <w:color w:val="auto"/>
          <w:spacing w:val="-1"/>
          <w:szCs w:val="24"/>
        </w:rPr>
        <w:t>以</w:t>
      </w:r>
      <w:r>
        <w:rPr>
          <w:rFonts w:hint="eastAsia" w:ascii="宋体" w:hAnsi="宋体" w:eastAsia="宋体" w:cs="宋体"/>
          <w:color w:val="auto"/>
          <w:spacing w:val="-1"/>
          <w:szCs w:val="24"/>
        </w:rPr>
        <w:t>“</w:t>
      </w:r>
      <w:r>
        <w:rPr>
          <w:rFonts w:hint="eastAsia" w:ascii="宋体" w:hAnsi="宋体" w:eastAsia="宋体" w:cs="宋体"/>
          <w:color w:val="auto"/>
          <w:szCs w:val="24"/>
        </w:rPr>
        <w:t>1</w:t>
      </w:r>
      <w:r>
        <w:rPr>
          <w:rFonts w:hint="eastAsia" w:ascii="宋体" w:hAnsi="宋体" w:eastAsia="宋体" w:cs="宋体"/>
          <w:color w:val="auto"/>
          <w:spacing w:val="-3"/>
          <w:szCs w:val="24"/>
        </w:rPr>
        <w:t>台</w:t>
      </w:r>
      <w:r>
        <w:rPr>
          <w:rFonts w:hint="eastAsia"/>
          <w:color w:val="auto"/>
          <w:szCs w:val="24"/>
          <w:lang w:eastAsia="zh-CN"/>
        </w:rPr>
        <w:t>软水机</w:t>
      </w:r>
      <w:r>
        <w:rPr>
          <w:rFonts w:hint="eastAsia"/>
          <w:color w:val="auto"/>
          <w:spacing w:val="-1"/>
          <w:szCs w:val="24"/>
        </w:rPr>
        <w:t>”</w:t>
      </w:r>
      <w:r>
        <w:rPr>
          <w:color w:val="auto"/>
          <w:spacing w:val="-3"/>
          <w:szCs w:val="24"/>
        </w:rPr>
        <w:t>为</w:t>
      </w:r>
      <w:r>
        <w:rPr>
          <w:color w:val="auto"/>
          <w:kern w:val="0"/>
          <w:szCs w:val="22"/>
        </w:rPr>
        <w:t>功</w:t>
      </w:r>
      <w:r>
        <w:rPr>
          <w:color w:val="auto"/>
          <w:spacing w:val="-3"/>
          <w:kern w:val="0"/>
          <w:szCs w:val="22"/>
        </w:rPr>
        <w:t>能</w:t>
      </w:r>
      <w:r>
        <w:rPr>
          <w:color w:val="auto"/>
          <w:szCs w:val="24"/>
        </w:rPr>
        <w:t>单</w:t>
      </w:r>
      <w:r>
        <w:rPr>
          <w:color w:val="auto"/>
          <w:spacing w:val="-3"/>
          <w:szCs w:val="24"/>
        </w:rPr>
        <w:t>位</w:t>
      </w:r>
      <w:r>
        <w:rPr>
          <w:color w:val="auto"/>
          <w:szCs w:val="24"/>
        </w:rPr>
        <w:t>来</w:t>
      </w:r>
      <w:r>
        <w:rPr>
          <w:color w:val="auto"/>
          <w:spacing w:val="-3"/>
          <w:szCs w:val="24"/>
        </w:rPr>
        <w:t>表</w:t>
      </w:r>
      <w:r>
        <w:rPr>
          <w:color w:val="auto"/>
          <w:szCs w:val="24"/>
        </w:rPr>
        <w:t>示。</w:t>
      </w:r>
    </w:p>
    <w:p>
      <w:pPr>
        <w:widowControl/>
        <w:numPr>
          <w:ilvl w:val="3"/>
          <w:numId w:val="0"/>
        </w:numPr>
        <w:spacing w:before="0" w:beforeLines="0" w:after="0" w:afterLines="0" w:line="240" w:lineRule="exact"/>
        <w:jc w:val="left"/>
        <w:outlineLvl w:val="4"/>
        <w:rPr>
          <w:rFonts w:hint="eastAsia" w:ascii="黑体" w:eastAsia="黑体"/>
          <w:color w:val="auto"/>
          <w:w w:val="110"/>
          <w:kern w:val="0"/>
          <w:szCs w:val="21"/>
        </w:rPr>
      </w:pPr>
    </w:p>
    <w:p>
      <w:pPr>
        <w:widowControl/>
        <w:numPr>
          <w:ilvl w:val="3"/>
          <w:numId w:val="0"/>
        </w:numPr>
        <w:spacing w:before="0" w:beforeLines="0" w:after="0" w:afterLines="0" w:line="240" w:lineRule="exact"/>
        <w:jc w:val="left"/>
        <w:outlineLvl w:val="4"/>
        <w:rPr>
          <w:rFonts w:ascii="黑体" w:eastAsia="黑体"/>
          <w:color w:val="auto"/>
          <w:w w:val="110"/>
          <w:kern w:val="0"/>
          <w:szCs w:val="21"/>
        </w:rPr>
      </w:pPr>
      <w:r>
        <w:rPr>
          <w:rFonts w:hint="eastAsia" w:ascii="黑体" w:eastAsia="黑体"/>
          <w:color w:val="auto"/>
          <w:w w:val="110"/>
          <w:kern w:val="0"/>
          <w:szCs w:val="21"/>
        </w:rPr>
        <w:t>5</w:t>
      </w:r>
      <w:r>
        <w:rPr>
          <w:rFonts w:ascii="黑体" w:eastAsia="黑体"/>
          <w:color w:val="auto"/>
          <w:w w:val="110"/>
          <w:kern w:val="0"/>
          <w:szCs w:val="21"/>
        </w:rPr>
        <w:t>.2.3.2</w:t>
      </w:r>
      <w:r>
        <w:rPr>
          <w:rFonts w:hint="eastAsia" w:ascii="黑体" w:eastAsia="黑体"/>
          <w:color w:val="auto"/>
          <w:w w:val="110"/>
          <w:kern w:val="0"/>
          <w:szCs w:val="21"/>
          <w:lang w:val="en-US" w:eastAsia="zh-CN"/>
        </w:rPr>
        <w:t xml:space="preserve">  </w:t>
      </w:r>
      <w:r>
        <w:rPr>
          <w:rFonts w:ascii="黑体" w:eastAsia="黑体"/>
          <w:color w:val="auto"/>
          <w:w w:val="110"/>
          <w:kern w:val="0"/>
          <w:szCs w:val="21"/>
        </w:rPr>
        <w:t>清单分析</w:t>
      </w:r>
    </w:p>
    <w:p>
      <w:pPr>
        <w:widowControl/>
        <w:autoSpaceDE w:val="0"/>
        <w:autoSpaceDN w:val="0"/>
        <w:ind w:firstLine="408" w:firstLineChars="200"/>
        <w:rPr>
          <w:color w:val="auto"/>
          <w:spacing w:val="-3"/>
          <w:szCs w:val="24"/>
        </w:rPr>
      </w:pPr>
      <w:r>
        <w:rPr>
          <w:color w:val="auto"/>
          <w:spacing w:val="-3"/>
          <w:szCs w:val="24"/>
        </w:rPr>
        <w:t>报告中应提供考虑的生命周期阶段，说明每个阶段所考虑的清单因子及收集到的现场数据或背景数据，涉及到数据分配的情况应说明分配方法和结果。</w:t>
      </w:r>
    </w:p>
    <w:p>
      <w:pPr>
        <w:widowControl/>
        <w:numPr>
          <w:ilvl w:val="3"/>
          <w:numId w:val="0"/>
        </w:numPr>
        <w:spacing w:before="0" w:beforeLines="0" w:after="0" w:afterLines="0" w:line="240" w:lineRule="exact"/>
        <w:jc w:val="left"/>
        <w:outlineLvl w:val="4"/>
        <w:rPr>
          <w:rFonts w:ascii="黑体" w:eastAsia="黑体"/>
          <w:color w:val="auto"/>
          <w:w w:val="110"/>
          <w:kern w:val="0"/>
          <w:szCs w:val="21"/>
        </w:rPr>
      </w:pPr>
    </w:p>
    <w:p>
      <w:pPr>
        <w:widowControl/>
        <w:numPr>
          <w:ilvl w:val="3"/>
          <w:numId w:val="0"/>
        </w:numPr>
        <w:spacing w:before="0" w:beforeLines="0" w:after="0" w:afterLines="0" w:line="240" w:lineRule="exact"/>
        <w:jc w:val="left"/>
        <w:outlineLvl w:val="4"/>
        <w:rPr>
          <w:rFonts w:ascii="黑体" w:eastAsia="黑体"/>
          <w:color w:val="auto"/>
          <w:w w:val="110"/>
          <w:kern w:val="0"/>
          <w:szCs w:val="21"/>
        </w:rPr>
      </w:pPr>
      <w:r>
        <w:rPr>
          <w:rFonts w:ascii="黑体" w:eastAsia="黑体"/>
          <w:color w:val="auto"/>
          <w:w w:val="110"/>
          <w:kern w:val="0"/>
          <w:szCs w:val="21"/>
        </w:rPr>
        <w:t>5.2.3.3</w:t>
      </w:r>
      <w:r>
        <w:rPr>
          <w:rFonts w:hint="eastAsia" w:ascii="黑体" w:eastAsia="黑体"/>
          <w:color w:val="auto"/>
          <w:w w:val="110"/>
          <w:kern w:val="0"/>
          <w:szCs w:val="21"/>
          <w:lang w:val="en-US" w:eastAsia="zh-CN"/>
        </w:rPr>
        <w:t xml:space="preserve">  </w:t>
      </w:r>
      <w:r>
        <w:rPr>
          <w:rFonts w:ascii="黑体" w:eastAsia="黑体"/>
          <w:color w:val="auto"/>
          <w:w w:val="110"/>
          <w:kern w:val="0"/>
          <w:szCs w:val="21"/>
        </w:rPr>
        <w:t>生命周期影响评价</w:t>
      </w:r>
    </w:p>
    <w:p>
      <w:pPr>
        <w:widowControl/>
        <w:autoSpaceDE w:val="0"/>
        <w:autoSpaceDN w:val="0"/>
        <w:ind w:firstLine="420" w:firstLineChars="200"/>
        <w:rPr>
          <w:color w:val="auto"/>
          <w:sz w:val="15"/>
          <w:szCs w:val="15"/>
        </w:rPr>
      </w:pPr>
      <w:r>
        <w:rPr>
          <w:color w:val="auto"/>
          <w:szCs w:val="24"/>
        </w:rPr>
        <w:t>报告</w:t>
      </w:r>
      <w:r>
        <w:rPr>
          <w:color w:val="auto"/>
          <w:spacing w:val="-3"/>
          <w:szCs w:val="24"/>
        </w:rPr>
        <w:t>中</w:t>
      </w:r>
      <w:r>
        <w:rPr>
          <w:color w:val="auto"/>
          <w:szCs w:val="24"/>
        </w:rPr>
        <w:t>应</w:t>
      </w:r>
      <w:r>
        <w:rPr>
          <w:color w:val="auto"/>
          <w:spacing w:val="-3"/>
          <w:szCs w:val="24"/>
        </w:rPr>
        <w:t>提供</w:t>
      </w:r>
      <w:r>
        <w:rPr>
          <w:color w:val="auto"/>
          <w:szCs w:val="24"/>
        </w:rPr>
        <w:t>产</w:t>
      </w:r>
      <w:r>
        <w:rPr>
          <w:color w:val="auto"/>
          <w:spacing w:val="-3"/>
          <w:szCs w:val="24"/>
        </w:rPr>
        <w:t>品</w:t>
      </w:r>
      <w:r>
        <w:rPr>
          <w:color w:val="auto"/>
          <w:szCs w:val="24"/>
        </w:rPr>
        <w:t>生命</w:t>
      </w:r>
      <w:r>
        <w:rPr>
          <w:color w:val="auto"/>
          <w:spacing w:val="-3"/>
          <w:szCs w:val="24"/>
        </w:rPr>
        <w:t>周</w:t>
      </w:r>
      <w:r>
        <w:rPr>
          <w:color w:val="auto"/>
          <w:szCs w:val="24"/>
        </w:rPr>
        <w:t>期各</w:t>
      </w:r>
      <w:r>
        <w:rPr>
          <w:color w:val="auto"/>
          <w:spacing w:val="-3"/>
          <w:szCs w:val="24"/>
        </w:rPr>
        <w:t>阶</w:t>
      </w:r>
      <w:r>
        <w:rPr>
          <w:color w:val="auto"/>
          <w:szCs w:val="24"/>
        </w:rPr>
        <w:t>段的</w:t>
      </w:r>
      <w:r>
        <w:rPr>
          <w:color w:val="auto"/>
          <w:spacing w:val="-3"/>
          <w:szCs w:val="24"/>
        </w:rPr>
        <w:t>不</w:t>
      </w:r>
      <w:r>
        <w:rPr>
          <w:color w:val="auto"/>
          <w:szCs w:val="24"/>
        </w:rPr>
        <w:t>同</w:t>
      </w:r>
      <w:r>
        <w:rPr>
          <w:color w:val="auto"/>
          <w:spacing w:val="-3"/>
          <w:szCs w:val="24"/>
        </w:rPr>
        <w:t>影</w:t>
      </w:r>
      <w:r>
        <w:rPr>
          <w:color w:val="auto"/>
          <w:szCs w:val="24"/>
        </w:rPr>
        <w:t>响类</w:t>
      </w:r>
      <w:r>
        <w:rPr>
          <w:color w:val="auto"/>
          <w:spacing w:val="-3"/>
          <w:szCs w:val="24"/>
        </w:rPr>
        <w:t>型</w:t>
      </w:r>
      <w:r>
        <w:rPr>
          <w:color w:val="auto"/>
          <w:szCs w:val="24"/>
        </w:rPr>
        <w:t>的特</w:t>
      </w:r>
      <w:r>
        <w:rPr>
          <w:color w:val="auto"/>
          <w:spacing w:val="-3"/>
          <w:szCs w:val="24"/>
        </w:rPr>
        <w:t>征</w:t>
      </w:r>
      <w:r>
        <w:rPr>
          <w:color w:val="auto"/>
          <w:szCs w:val="24"/>
        </w:rPr>
        <w:t>化值</w:t>
      </w:r>
      <w:r>
        <w:rPr>
          <w:color w:val="auto"/>
          <w:spacing w:val="-3"/>
          <w:szCs w:val="24"/>
        </w:rPr>
        <w:t>，</w:t>
      </w:r>
      <w:r>
        <w:rPr>
          <w:color w:val="auto"/>
          <w:szCs w:val="24"/>
        </w:rPr>
        <w:t>并</w:t>
      </w:r>
      <w:r>
        <w:rPr>
          <w:color w:val="auto"/>
          <w:spacing w:val="-3"/>
          <w:szCs w:val="24"/>
        </w:rPr>
        <w:t>对</w:t>
      </w:r>
      <w:r>
        <w:rPr>
          <w:color w:val="auto"/>
          <w:szCs w:val="24"/>
        </w:rPr>
        <w:t>不同</w:t>
      </w:r>
      <w:r>
        <w:rPr>
          <w:color w:val="auto"/>
          <w:spacing w:val="-3"/>
          <w:szCs w:val="24"/>
        </w:rPr>
        <w:t>影</w:t>
      </w:r>
      <w:r>
        <w:rPr>
          <w:color w:val="auto"/>
          <w:szCs w:val="24"/>
        </w:rPr>
        <w:t>响类</w:t>
      </w:r>
      <w:r>
        <w:rPr>
          <w:color w:val="auto"/>
          <w:spacing w:val="-3"/>
          <w:szCs w:val="24"/>
        </w:rPr>
        <w:t>型</w:t>
      </w:r>
      <w:r>
        <w:rPr>
          <w:color w:val="auto"/>
          <w:szCs w:val="24"/>
        </w:rPr>
        <w:t>在各</w:t>
      </w:r>
      <w:r>
        <w:rPr>
          <w:color w:val="auto"/>
          <w:spacing w:val="-3"/>
          <w:szCs w:val="24"/>
        </w:rPr>
        <w:t>生</w:t>
      </w:r>
      <w:r>
        <w:rPr>
          <w:color w:val="auto"/>
          <w:szCs w:val="24"/>
        </w:rPr>
        <w:t>命</w:t>
      </w:r>
      <w:r>
        <w:rPr>
          <w:color w:val="auto"/>
          <w:spacing w:val="-3"/>
          <w:szCs w:val="24"/>
        </w:rPr>
        <w:t>周</w:t>
      </w:r>
      <w:r>
        <w:rPr>
          <w:color w:val="auto"/>
          <w:szCs w:val="24"/>
        </w:rPr>
        <w:t>期</w:t>
      </w:r>
      <w:r>
        <w:rPr>
          <w:color w:val="auto"/>
          <w:spacing w:val="-3"/>
          <w:szCs w:val="24"/>
        </w:rPr>
        <w:t>阶</w:t>
      </w:r>
      <w:r>
        <w:rPr>
          <w:color w:val="auto"/>
          <w:szCs w:val="24"/>
        </w:rPr>
        <w:t>段</w:t>
      </w:r>
      <w:r>
        <w:rPr>
          <w:color w:val="auto"/>
          <w:spacing w:val="-3"/>
          <w:szCs w:val="24"/>
        </w:rPr>
        <w:t>的</w:t>
      </w:r>
      <w:r>
        <w:rPr>
          <w:color w:val="auto"/>
          <w:szCs w:val="24"/>
        </w:rPr>
        <w:t>分</w:t>
      </w:r>
      <w:r>
        <w:rPr>
          <w:color w:val="auto"/>
          <w:spacing w:val="-3"/>
          <w:szCs w:val="24"/>
        </w:rPr>
        <w:t>布</w:t>
      </w:r>
      <w:r>
        <w:rPr>
          <w:color w:val="auto"/>
          <w:szCs w:val="24"/>
        </w:rPr>
        <w:t>情况</w:t>
      </w:r>
      <w:r>
        <w:rPr>
          <w:color w:val="auto"/>
          <w:spacing w:val="-3"/>
          <w:szCs w:val="24"/>
        </w:rPr>
        <w:t>进</w:t>
      </w:r>
      <w:r>
        <w:rPr>
          <w:color w:val="auto"/>
          <w:szCs w:val="24"/>
        </w:rPr>
        <w:t>行</w:t>
      </w:r>
      <w:r>
        <w:rPr>
          <w:color w:val="auto"/>
          <w:spacing w:val="-3"/>
          <w:szCs w:val="24"/>
        </w:rPr>
        <w:t>比</w:t>
      </w:r>
      <w:r>
        <w:rPr>
          <w:color w:val="auto"/>
          <w:szCs w:val="24"/>
        </w:rPr>
        <w:t>较</w:t>
      </w:r>
      <w:r>
        <w:rPr>
          <w:color w:val="auto"/>
          <w:spacing w:val="-3"/>
          <w:szCs w:val="24"/>
        </w:rPr>
        <w:t>分</w:t>
      </w:r>
      <w:r>
        <w:rPr>
          <w:color w:val="auto"/>
          <w:szCs w:val="24"/>
        </w:rPr>
        <w:t>析。</w:t>
      </w:r>
    </w:p>
    <w:p>
      <w:pPr>
        <w:widowControl/>
        <w:numPr>
          <w:ilvl w:val="3"/>
          <w:numId w:val="0"/>
        </w:numPr>
        <w:spacing w:before="0" w:beforeLines="0" w:after="0" w:afterLines="0" w:line="240" w:lineRule="exact"/>
        <w:jc w:val="left"/>
        <w:outlineLvl w:val="4"/>
        <w:rPr>
          <w:rFonts w:ascii="黑体" w:eastAsia="黑体"/>
          <w:color w:val="auto"/>
          <w:w w:val="110"/>
          <w:kern w:val="0"/>
          <w:szCs w:val="21"/>
        </w:rPr>
      </w:pPr>
    </w:p>
    <w:p>
      <w:pPr>
        <w:widowControl/>
        <w:numPr>
          <w:ilvl w:val="3"/>
          <w:numId w:val="0"/>
        </w:numPr>
        <w:spacing w:before="0" w:beforeLines="0" w:after="0" w:afterLines="0" w:line="240" w:lineRule="exact"/>
        <w:jc w:val="left"/>
        <w:outlineLvl w:val="4"/>
        <w:rPr>
          <w:rFonts w:ascii="黑体" w:eastAsia="黑体"/>
          <w:color w:val="auto"/>
          <w:w w:val="110"/>
          <w:kern w:val="0"/>
          <w:szCs w:val="21"/>
        </w:rPr>
      </w:pPr>
      <w:r>
        <w:rPr>
          <w:rFonts w:ascii="黑体" w:eastAsia="黑体"/>
          <w:color w:val="auto"/>
          <w:w w:val="110"/>
          <w:kern w:val="0"/>
          <w:szCs w:val="21"/>
        </w:rPr>
        <w:t>5.2.3.4</w:t>
      </w:r>
      <w:r>
        <w:rPr>
          <w:rFonts w:hint="eastAsia" w:ascii="黑体" w:eastAsia="黑体"/>
          <w:color w:val="auto"/>
          <w:w w:val="110"/>
          <w:kern w:val="0"/>
          <w:szCs w:val="21"/>
          <w:lang w:val="en-US" w:eastAsia="zh-CN"/>
        </w:rPr>
        <w:t xml:space="preserve">  </w:t>
      </w:r>
      <w:r>
        <w:rPr>
          <w:rFonts w:ascii="黑体" w:eastAsia="黑体"/>
          <w:color w:val="auto"/>
          <w:w w:val="110"/>
          <w:kern w:val="0"/>
          <w:szCs w:val="21"/>
        </w:rPr>
        <w:t>绿色设计改进</w:t>
      </w:r>
      <w:r>
        <w:rPr>
          <w:rFonts w:hint="eastAsia" w:ascii="黑体" w:eastAsia="黑体"/>
          <w:color w:val="auto"/>
          <w:w w:val="110"/>
          <w:kern w:val="0"/>
          <w:szCs w:val="21"/>
        </w:rPr>
        <w:t>建议</w:t>
      </w:r>
    </w:p>
    <w:p>
      <w:pPr>
        <w:widowControl/>
        <w:autoSpaceDE w:val="0"/>
        <w:autoSpaceDN w:val="0"/>
        <w:ind w:firstLine="428" w:firstLineChars="200"/>
        <w:rPr>
          <w:color w:val="auto"/>
          <w:szCs w:val="24"/>
        </w:rPr>
      </w:pPr>
      <w:r>
        <w:rPr>
          <w:color w:val="auto"/>
          <w:spacing w:val="2"/>
          <w:szCs w:val="24"/>
        </w:rPr>
        <w:t>在分析</w:t>
      </w:r>
      <w:r>
        <w:rPr>
          <w:color w:val="auto"/>
          <w:szCs w:val="24"/>
        </w:rPr>
        <w:t>指</w:t>
      </w:r>
      <w:r>
        <w:rPr>
          <w:color w:val="auto"/>
          <w:spacing w:val="2"/>
          <w:szCs w:val="24"/>
        </w:rPr>
        <w:t>标的</w:t>
      </w:r>
      <w:r>
        <w:rPr>
          <w:color w:val="auto"/>
          <w:spacing w:val="-3"/>
          <w:szCs w:val="24"/>
        </w:rPr>
        <w:t>符合</w:t>
      </w:r>
      <w:r>
        <w:rPr>
          <w:color w:val="auto"/>
          <w:spacing w:val="2"/>
          <w:szCs w:val="24"/>
        </w:rPr>
        <w:t>性</w:t>
      </w:r>
      <w:r>
        <w:rPr>
          <w:color w:val="auto"/>
          <w:szCs w:val="24"/>
        </w:rPr>
        <w:t>评价</w:t>
      </w:r>
      <w:r>
        <w:rPr>
          <w:color w:val="auto"/>
          <w:spacing w:val="2"/>
          <w:szCs w:val="24"/>
        </w:rPr>
        <w:t>结果以</w:t>
      </w:r>
      <w:r>
        <w:rPr>
          <w:color w:val="auto"/>
          <w:szCs w:val="24"/>
        </w:rPr>
        <w:t>及</w:t>
      </w:r>
      <w:r>
        <w:rPr>
          <w:color w:val="auto"/>
          <w:spacing w:val="2"/>
          <w:szCs w:val="24"/>
        </w:rPr>
        <w:t>生命</w:t>
      </w:r>
      <w:r>
        <w:rPr>
          <w:color w:val="auto"/>
          <w:szCs w:val="24"/>
        </w:rPr>
        <w:t>周</w:t>
      </w:r>
      <w:r>
        <w:rPr>
          <w:color w:val="auto"/>
          <w:spacing w:val="2"/>
          <w:szCs w:val="24"/>
        </w:rPr>
        <w:t>期评</w:t>
      </w:r>
      <w:r>
        <w:rPr>
          <w:color w:val="auto"/>
          <w:szCs w:val="24"/>
        </w:rPr>
        <w:t>价结</w:t>
      </w:r>
      <w:r>
        <w:rPr>
          <w:color w:val="auto"/>
          <w:spacing w:val="2"/>
          <w:szCs w:val="24"/>
        </w:rPr>
        <w:t>果的基</w:t>
      </w:r>
      <w:r>
        <w:rPr>
          <w:color w:val="auto"/>
          <w:szCs w:val="24"/>
        </w:rPr>
        <w:t>础</w:t>
      </w:r>
      <w:r>
        <w:rPr>
          <w:color w:val="auto"/>
          <w:spacing w:val="2"/>
          <w:szCs w:val="24"/>
        </w:rPr>
        <w:t>上，</w:t>
      </w:r>
      <w:r>
        <w:rPr>
          <w:color w:val="auto"/>
          <w:szCs w:val="24"/>
        </w:rPr>
        <w:t>提</w:t>
      </w:r>
      <w:r>
        <w:rPr>
          <w:color w:val="auto"/>
          <w:spacing w:val="2"/>
          <w:szCs w:val="24"/>
        </w:rPr>
        <w:t>出产</w:t>
      </w:r>
      <w:r>
        <w:rPr>
          <w:color w:val="auto"/>
          <w:spacing w:val="6"/>
          <w:szCs w:val="24"/>
        </w:rPr>
        <w:t>品</w:t>
      </w:r>
      <w:r>
        <w:rPr>
          <w:color w:val="auto"/>
          <w:szCs w:val="24"/>
        </w:rPr>
        <w:t>绿</w:t>
      </w:r>
      <w:r>
        <w:rPr>
          <w:color w:val="auto"/>
          <w:spacing w:val="2"/>
          <w:szCs w:val="24"/>
        </w:rPr>
        <w:t>色设</w:t>
      </w:r>
      <w:r>
        <w:rPr>
          <w:color w:val="auto"/>
          <w:spacing w:val="3"/>
          <w:szCs w:val="24"/>
        </w:rPr>
        <w:t>计</w:t>
      </w:r>
      <w:r>
        <w:rPr>
          <w:color w:val="auto"/>
          <w:szCs w:val="24"/>
        </w:rPr>
        <w:t>改</w:t>
      </w:r>
      <w:r>
        <w:rPr>
          <w:color w:val="auto"/>
          <w:spacing w:val="2"/>
          <w:szCs w:val="24"/>
        </w:rPr>
        <w:t>进的</w:t>
      </w:r>
      <w:r>
        <w:rPr>
          <w:color w:val="auto"/>
          <w:szCs w:val="24"/>
        </w:rPr>
        <w:t>具</w:t>
      </w:r>
      <w:r>
        <w:rPr>
          <w:color w:val="auto"/>
          <w:spacing w:val="2"/>
          <w:szCs w:val="24"/>
        </w:rPr>
        <w:t>体</w:t>
      </w:r>
      <w:r>
        <w:rPr>
          <w:rFonts w:hint="eastAsia"/>
          <w:color w:val="auto"/>
          <w:szCs w:val="24"/>
        </w:rPr>
        <w:t>建议</w:t>
      </w:r>
      <w:r>
        <w:rPr>
          <w:color w:val="auto"/>
          <w:szCs w:val="24"/>
        </w:rPr>
        <w:t>。</w:t>
      </w:r>
    </w:p>
    <w:p>
      <w:pPr>
        <w:widowControl/>
        <w:numPr>
          <w:ilvl w:val="2"/>
          <w:numId w:val="0"/>
        </w:numPr>
        <w:spacing w:before="0" w:beforeLines="0" w:after="0" w:afterLines="0" w:line="240" w:lineRule="exact"/>
        <w:jc w:val="left"/>
        <w:outlineLvl w:val="3"/>
        <w:rPr>
          <w:rFonts w:hint="eastAsia" w:ascii="黑体" w:eastAsia="黑体"/>
          <w:color w:val="auto"/>
          <w:kern w:val="0"/>
          <w:szCs w:val="21"/>
        </w:rPr>
      </w:pPr>
    </w:p>
    <w:p>
      <w:pPr>
        <w:widowControl/>
        <w:numPr>
          <w:ilvl w:val="2"/>
          <w:numId w:val="0"/>
        </w:numPr>
        <w:spacing w:before="0" w:beforeLines="0" w:after="0" w:afterLines="0" w:line="240" w:lineRule="exact"/>
        <w:jc w:val="left"/>
        <w:outlineLvl w:val="3"/>
        <w:rPr>
          <w:rFonts w:ascii="黑体" w:eastAsia="黑体"/>
          <w:color w:val="auto"/>
          <w:kern w:val="0"/>
          <w:szCs w:val="21"/>
        </w:rPr>
      </w:pPr>
      <w:r>
        <w:rPr>
          <w:rFonts w:hint="eastAsia" w:ascii="黑体" w:eastAsia="黑体"/>
          <w:color w:val="auto"/>
          <w:kern w:val="0"/>
          <w:szCs w:val="21"/>
        </w:rPr>
        <w:t>5</w:t>
      </w:r>
      <w:r>
        <w:rPr>
          <w:rFonts w:ascii="黑体" w:eastAsia="黑体"/>
          <w:color w:val="auto"/>
          <w:kern w:val="0"/>
          <w:szCs w:val="21"/>
        </w:rPr>
        <w:t>.2.3.</w:t>
      </w:r>
      <w:r>
        <w:rPr>
          <w:rFonts w:hint="eastAsia" w:ascii="黑体" w:eastAsia="黑体"/>
          <w:color w:val="auto"/>
          <w:kern w:val="0"/>
          <w:szCs w:val="21"/>
          <w:lang w:eastAsia="zh-CN"/>
        </w:rPr>
        <w:t>5</w:t>
      </w:r>
      <w:r>
        <w:rPr>
          <w:rFonts w:hint="eastAsia" w:ascii="黑体" w:eastAsia="黑体"/>
          <w:color w:val="auto"/>
          <w:kern w:val="0"/>
          <w:szCs w:val="21"/>
          <w:lang w:val="en-US" w:eastAsia="zh-CN"/>
        </w:rPr>
        <w:t xml:space="preserve">  </w:t>
      </w:r>
      <w:r>
        <w:rPr>
          <w:rFonts w:ascii="黑体" w:eastAsia="黑体"/>
          <w:color w:val="auto"/>
          <w:kern w:val="0"/>
          <w:szCs w:val="21"/>
        </w:rPr>
        <w:t>评价报告主要结论</w:t>
      </w:r>
    </w:p>
    <w:p>
      <w:pPr>
        <w:widowControl/>
        <w:autoSpaceDE w:val="0"/>
        <w:autoSpaceDN w:val="0"/>
        <w:ind w:firstLine="420" w:firstLineChars="200"/>
        <w:rPr>
          <w:color w:val="auto"/>
          <w:szCs w:val="24"/>
        </w:rPr>
      </w:pPr>
      <w:r>
        <w:rPr>
          <w:color w:val="auto"/>
          <w:szCs w:val="24"/>
        </w:rPr>
        <w:t>应说</w:t>
      </w:r>
      <w:r>
        <w:rPr>
          <w:color w:val="auto"/>
          <w:spacing w:val="-3"/>
          <w:szCs w:val="24"/>
        </w:rPr>
        <w:t>明</w:t>
      </w:r>
      <w:r>
        <w:rPr>
          <w:color w:val="auto"/>
          <w:szCs w:val="24"/>
        </w:rPr>
        <w:t>该</w:t>
      </w:r>
      <w:r>
        <w:rPr>
          <w:color w:val="auto"/>
          <w:spacing w:val="-3"/>
          <w:szCs w:val="24"/>
        </w:rPr>
        <w:t>产</w:t>
      </w:r>
      <w:r>
        <w:rPr>
          <w:color w:val="auto"/>
          <w:szCs w:val="24"/>
        </w:rPr>
        <w:t>品</w:t>
      </w:r>
      <w:r>
        <w:rPr>
          <w:color w:val="auto"/>
          <w:spacing w:val="-3"/>
          <w:szCs w:val="24"/>
        </w:rPr>
        <w:t>对</w:t>
      </w:r>
      <w:r>
        <w:rPr>
          <w:color w:val="auto"/>
          <w:szCs w:val="24"/>
        </w:rPr>
        <w:t>评</w:t>
      </w:r>
      <w:r>
        <w:rPr>
          <w:color w:val="auto"/>
          <w:spacing w:val="-3"/>
          <w:szCs w:val="24"/>
        </w:rPr>
        <w:t>价</w:t>
      </w:r>
      <w:r>
        <w:rPr>
          <w:color w:val="auto"/>
          <w:szCs w:val="24"/>
        </w:rPr>
        <w:t>指</w:t>
      </w:r>
      <w:r>
        <w:rPr>
          <w:color w:val="auto"/>
          <w:spacing w:val="-3"/>
          <w:szCs w:val="24"/>
        </w:rPr>
        <w:t>标</w:t>
      </w:r>
      <w:r>
        <w:rPr>
          <w:color w:val="auto"/>
          <w:szCs w:val="24"/>
        </w:rPr>
        <w:t>的符</w:t>
      </w:r>
      <w:r>
        <w:rPr>
          <w:color w:val="auto"/>
          <w:spacing w:val="-3"/>
          <w:szCs w:val="24"/>
        </w:rPr>
        <w:t>合</w:t>
      </w:r>
      <w:r>
        <w:rPr>
          <w:color w:val="auto"/>
          <w:szCs w:val="24"/>
        </w:rPr>
        <w:t>性</w:t>
      </w:r>
      <w:r>
        <w:rPr>
          <w:color w:val="auto"/>
          <w:spacing w:val="-3"/>
          <w:szCs w:val="24"/>
        </w:rPr>
        <w:t>结论</w:t>
      </w:r>
      <w:r>
        <w:rPr>
          <w:color w:val="auto"/>
          <w:spacing w:val="-32"/>
          <w:szCs w:val="24"/>
        </w:rPr>
        <w:t>、</w:t>
      </w:r>
      <w:r>
        <w:rPr>
          <w:color w:val="auto"/>
          <w:spacing w:val="-3"/>
          <w:szCs w:val="24"/>
        </w:rPr>
        <w:t>生</w:t>
      </w:r>
      <w:r>
        <w:rPr>
          <w:color w:val="auto"/>
          <w:szCs w:val="24"/>
        </w:rPr>
        <w:t>命</w:t>
      </w:r>
      <w:r>
        <w:rPr>
          <w:color w:val="auto"/>
          <w:spacing w:val="-3"/>
          <w:szCs w:val="24"/>
        </w:rPr>
        <w:t>周期</w:t>
      </w:r>
      <w:r>
        <w:rPr>
          <w:color w:val="auto"/>
          <w:szCs w:val="24"/>
        </w:rPr>
        <w:t>评价</w:t>
      </w:r>
      <w:r>
        <w:rPr>
          <w:color w:val="auto"/>
          <w:spacing w:val="-3"/>
          <w:szCs w:val="24"/>
        </w:rPr>
        <w:t>结果</w:t>
      </w:r>
      <w:r>
        <w:rPr>
          <w:color w:val="auto"/>
          <w:spacing w:val="-32"/>
          <w:szCs w:val="24"/>
        </w:rPr>
        <w:t>、</w:t>
      </w:r>
      <w:r>
        <w:rPr>
          <w:color w:val="auto"/>
          <w:spacing w:val="-3"/>
          <w:szCs w:val="24"/>
        </w:rPr>
        <w:t>提</w:t>
      </w:r>
      <w:r>
        <w:rPr>
          <w:color w:val="auto"/>
          <w:szCs w:val="24"/>
        </w:rPr>
        <w:t>出</w:t>
      </w:r>
      <w:r>
        <w:rPr>
          <w:color w:val="auto"/>
          <w:spacing w:val="-3"/>
          <w:szCs w:val="24"/>
        </w:rPr>
        <w:t>的</w:t>
      </w:r>
      <w:r>
        <w:rPr>
          <w:color w:val="auto"/>
          <w:szCs w:val="24"/>
        </w:rPr>
        <w:t>改</w:t>
      </w:r>
      <w:r>
        <w:rPr>
          <w:color w:val="auto"/>
          <w:spacing w:val="-3"/>
          <w:szCs w:val="24"/>
        </w:rPr>
        <w:t>进</w:t>
      </w:r>
      <w:r>
        <w:rPr>
          <w:rFonts w:hint="eastAsia"/>
          <w:color w:val="auto"/>
          <w:szCs w:val="24"/>
        </w:rPr>
        <w:t>建议</w:t>
      </w:r>
      <w:r>
        <w:rPr>
          <w:color w:val="auto"/>
          <w:spacing w:val="-34"/>
          <w:szCs w:val="24"/>
        </w:rPr>
        <w:t>，</w:t>
      </w:r>
      <w:r>
        <w:rPr>
          <w:color w:val="auto"/>
          <w:szCs w:val="24"/>
        </w:rPr>
        <w:t>并</w:t>
      </w:r>
      <w:r>
        <w:rPr>
          <w:color w:val="auto"/>
          <w:spacing w:val="-3"/>
          <w:szCs w:val="24"/>
        </w:rPr>
        <w:t>根</w:t>
      </w:r>
      <w:r>
        <w:rPr>
          <w:color w:val="auto"/>
          <w:szCs w:val="24"/>
        </w:rPr>
        <w:t>据</w:t>
      </w:r>
      <w:r>
        <w:rPr>
          <w:color w:val="auto"/>
          <w:spacing w:val="-3"/>
          <w:szCs w:val="24"/>
        </w:rPr>
        <w:t>评</w:t>
      </w:r>
      <w:r>
        <w:rPr>
          <w:color w:val="auto"/>
          <w:szCs w:val="24"/>
        </w:rPr>
        <w:t>价</w:t>
      </w:r>
      <w:r>
        <w:rPr>
          <w:color w:val="auto"/>
          <w:spacing w:val="-3"/>
          <w:szCs w:val="24"/>
        </w:rPr>
        <w:t>结</w:t>
      </w:r>
      <w:r>
        <w:rPr>
          <w:color w:val="auto"/>
          <w:szCs w:val="24"/>
        </w:rPr>
        <w:t>论初步判</w:t>
      </w:r>
      <w:r>
        <w:rPr>
          <w:color w:val="auto"/>
          <w:spacing w:val="-3"/>
          <w:szCs w:val="24"/>
        </w:rPr>
        <w:t>断</w:t>
      </w:r>
      <w:r>
        <w:rPr>
          <w:color w:val="auto"/>
          <w:szCs w:val="24"/>
        </w:rPr>
        <w:t>该</w:t>
      </w:r>
      <w:r>
        <w:rPr>
          <w:color w:val="auto"/>
          <w:spacing w:val="-3"/>
          <w:szCs w:val="24"/>
        </w:rPr>
        <w:t>产</w:t>
      </w:r>
      <w:r>
        <w:rPr>
          <w:color w:val="auto"/>
          <w:szCs w:val="24"/>
        </w:rPr>
        <w:t>品</w:t>
      </w:r>
      <w:r>
        <w:rPr>
          <w:color w:val="auto"/>
          <w:spacing w:val="-3"/>
          <w:szCs w:val="24"/>
        </w:rPr>
        <w:t>是</w:t>
      </w:r>
      <w:r>
        <w:rPr>
          <w:color w:val="auto"/>
          <w:szCs w:val="24"/>
        </w:rPr>
        <w:t>否</w:t>
      </w:r>
      <w:r>
        <w:rPr>
          <w:color w:val="auto"/>
          <w:spacing w:val="-3"/>
          <w:szCs w:val="24"/>
        </w:rPr>
        <w:t>为</w:t>
      </w:r>
      <w:r>
        <w:rPr>
          <w:color w:val="auto"/>
          <w:szCs w:val="24"/>
        </w:rPr>
        <w:t>绿</w:t>
      </w:r>
      <w:r>
        <w:rPr>
          <w:color w:val="auto"/>
          <w:spacing w:val="-3"/>
          <w:szCs w:val="24"/>
        </w:rPr>
        <w:t>色</w:t>
      </w:r>
      <w:r>
        <w:rPr>
          <w:color w:val="auto"/>
          <w:szCs w:val="24"/>
        </w:rPr>
        <w:t>设计</w:t>
      </w:r>
      <w:r>
        <w:rPr>
          <w:color w:val="auto"/>
          <w:spacing w:val="-3"/>
          <w:szCs w:val="24"/>
        </w:rPr>
        <w:t>产</w:t>
      </w:r>
      <w:r>
        <w:rPr>
          <w:color w:val="auto"/>
          <w:szCs w:val="24"/>
        </w:rPr>
        <w:t>品。</w:t>
      </w:r>
    </w:p>
    <w:p>
      <w:pPr>
        <w:widowControl/>
        <w:numPr>
          <w:ilvl w:val="2"/>
          <w:numId w:val="0"/>
        </w:numPr>
        <w:spacing w:before="0" w:beforeLines="0" w:after="0" w:afterLines="0" w:line="240" w:lineRule="exact"/>
        <w:jc w:val="left"/>
        <w:outlineLvl w:val="3"/>
        <w:rPr>
          <w:rFonts w:hint="eastAsia" w:ascii="黑体" w:eastAsia="黑体"/>
          <w:color w:val="auto"/>
          <w:kern w:val="0"/>
          <w:szCs w:val="21"/>
        </w:rPr>
      </w:pPr>
    </w:p>
    <w:p>
      <w:pPr>
        <w:widowControl/>
        <w:numPr>
          <w:ilvl w:val="2"/>
          <w:numId w:val="0"/>
        </w:numPr>
        <w:spacing w:before="0" w:beforeLines="0" w:after="0" w:afterLines="0" w:line="240" w:lineRule="exact"/>
        <w:jc w:val="left"/>
        <w:outlineLvl w:val="3"/>
        <w:rPr>
          <w:rFonts w:ascii="黑体" w:eastAsia="黑体"/>
          <w:color w:val="auto"/>
          <w:kern w:val="0"/>
          <w:szCs w:val="21"/>
        </w:rPr>
      </w:pPr>
      <w:r>
        <w:rPr>
          <w:rFonts w:hint="eastAsia" w:ascii="黑体" w:eastAsia="黑体"/>
          <w:color w:val="auto"/>
          <w:kern w:val="0"/>
          <w:szCs w:val="21"/>
        </w:rPr>
        <w:t>5</w:t>
      </w:r>
      <w:r>
        <w:rPr>
          <w:rFonts w:ascii="黑体" w:eastAsia="黑体"/>
          <w:color w:val="auto"/>
          <w:kern w:val="0"/>
          <w:szCs w:val="21"/>
        </w:rPr>
        <w:t>.2.5</w:t>
      </w:r>
      <w:r>
        <w:rPr>
          <w:rFonts w:hint="eastAsia" w:ascii="黑体" w:eastAsia="黑体"/>
          <w:color w:val="auto"/>
          <w:kern w:val="0"/>
          <w:szCs w:val="21"/>
          <w:lang w:val="en-US" w:eastAsia="zh-CN"/>
        </w:rPr>
        <w:t xml:space="preserve">  </w:t>
      </w:r>
      <w:r>
        <w:rPr>
          <w:rFonts w:ascii="黑体" w:eastAsia="黑体"/>
          <w:color w:val="auto"/>
          <w:kern w:val="0"/>
          <w:szCs w:val="21"/>
        </w:rPr>
        <w:t>附件</w:t>
      </w:r>
    </w:p>
    <w:p>
      <w:pPr>
        <w:widowControl/>
        <w:numPr>
          <w:ilvl w:val="2"/>
          <w:numId w:val="0"/>
        </w:numPr>
        <w:spacing w:before="0" w:beforeLines="0" w:after="0" w:afterLines="0" w:line="240" w:lineRule="exact"/>
        <w:jc w:val="left"/>
        <w:outlineLvl w:val="3"/>
        <w:rPr>
          <w:rFonts w:ascii="黑体" w:eastAsia="黑体"/>
          <w:color w:val="auto"/>
          <w:kern w:val="0"/>
          <w:szCs w:val="21"/>
        </w:rPr>
      </w:pPr>
    </w:p>
    <w:p>
      <w:pPr>
        <w:widowControl/>
        <w:autoSpaceDE w:val="0"/>
        <w:autoSpaceDN w:val="0"/>
        <w:ind w:firstLine="408" w:firstLineChars="200"/>
        <w:rPr>
          <w:color w:val="auto"/>
          <w:szCs w:val="24"/>
        </w:rPr>
      </w:pPr>
      <w:r>
        <w:rPr>
          <w:color w:val="auto"/>
          <w:spacing w:val="-3"/>
          <w:szCs w:val="24"/>
        </w:rPr>
        <w:t>报</w:t>
      </w:r>
      <w:r>
        <w:rPr>
          <w:color w:val="auto"/>
          <w:szCs w:val="24"/>
        </w:rPr>
        <w:t>告</w:t>
      </w:r>
      <w:r>
        <w:rPr>
          <w:color w:val="auto"/>
          <w:spacing w:val="-3"/>
          <w:szCs w:val="24"/>
        </w:rPr>
        <w:t>中</w:t>
      </w:r>
      <w:r>
        <w:rPr>
          <w:color w:val="auto"/>
          <w:szCs w:val="24"/>
        </w:rPr>
        <w:t>应</w:t>
      </w:r>
      <w:r>
        <w:rPr>
          <w:color w:val="auto"/>
          <w:spacing w:val="-3"/>
          <w:szCs w:val="24"/>
        </w:rPr>
        <w:t>在</w:t>
      </w:r>
      <w:r>
        <w:rPr>
          <w:color w:val="auto"/>
          <w:szCs w:val="24"/>
        </w:rPr>
        <w:t>附</w:t>
      </w:r>
      <w:r>
        <w:rPr>
          <w:color w:val="auto"/>
          <w:spacing w:val="-3"/>
          <w:szCs w:val="24"/>
        </w:rPr>
        <w:t>件</w:t>
      </w:r>
      <w:r>
        <w:rPr>
          <w:color w:val="auto"/>
          <w:szCs w:val="24"/>
        </w:rPr>
        <w:t>中</w:t>
      </w:r>
      <w:r>
        <w:rPr>
          <w:color w:val="auto"/>
          <w:spacing w:val="-3"/>
          <w:szCs w:val="24"/>
        </w:rPr>
        <w:t>提</w:t>
      </w:r>
      <w:r>
        <w:rPr>
          <w:color w:val="auto"/>
          <w:szCs w:val="24"/>
        </w:rPr>
        <w:t>供：</w:t>
      </w:r>
    </w:p>
    <w:p>
      <w:pPr>
        <w:ind w:firstLine="420" w:firstLineChars="200"/>
        <w:jc w:val="left"/>
        <w:rPr>
          <w:color w:val="auto"/>
          <w:kern w:val="0"/>
          <w:szCs w:val="21"/>
        </w:rPr>
      </w:pPr>
      <w:r>
        <w:rPr>
          <w:color w:val="auto"/>
          <w:kern w:val="0"/>
          <w:szCs w:val="21"/>
        </w:rPr>
        <w:t>—</w:t>
      </w:r>
      <w:r>
        <w:rPr>
          <w:color w:val="auto"/>
          <w:spacing w:val="-3"/>
          <w:kern w:val="0"/>
          <w:szCs w:val="21"/>
        </w:rPr>
        <w:t>—</w:t>
      </w:r>
      <w:r>
        <w:rPr>
          <w:color w:val="auto"/>
          <w:kern w:val="0"/>
          <w:szCs w:val="21"/>
        </w:rPr>
        <w:t>产品</w:t>
      </w:r>
      <w:r>
        <w:rPr>
          <w:color w:val="auto"/>
          <w:spacing w:val="-3"/>
          <w:kern w:val="0"/>
          <w:szCs w:val="21"/>
        </w:rPr>
        <w:t>原</w:t>
      </w:r>
      <w:r>
        <w:rPr>
          <w:color w:val="auto"/>
          <w:kern w:val="0"/>
          <w:szCs w:val="21"/>
        </w:rPr>
        <w:t>始</w:t>
      </w:r>
      <w:r>
        <w:rPr>
          <w:color w:val="auto"/>
          <w:spacing w:val="-3"/>
          <w:kern w:val="0"/>
          <w:szCs w:val="21"/>
        </w:rPr>
        <w:t>包</w:t>
      </w:r>
      <w:r>
        <w:rPr>
          <w:color w:val="auto"/>
          <w:kern w:val="0"/>
          <w:szCs w:val="21"/>
        </w:rPr>
        <w:t>装</w:t>
      </w:r>
      <w:r>
        <w:rPr>
          <w:color w:val="auto"/>
          <w:spacing w:val="-3"/>
          <w:kern w:val="0"/>
          <w:szCs w:val="21"/>
        </w:rPr>
        <w:t>图</w:t>
      </w:r>
      <w:r>
        <w:rPr>
          <w:color w:val="auto"/>
          <w:kern w:val="0"/>
          <w:szCs w:val="21"/>
        </w:rPr>
        <w:t>；</w:t>
      </w:r>
    </w:p>
    <w:p>
      <w:pPr>
        <w:ind w:firstLine="420" w:firstLineChars="200"/>
        <w:jc w:val="left"/>
        <w:rPr>
          <w:color w:val="auto"/>
          <w:kern w:val="0"/>
          <w:szCs w:val="21"/>
        </w:rPr>
      </w:pPr>
      <w:r>
        <w:rPr>
          <w:color w:val="auto"/>
          <w:kern w:val="0"/>
          <w:szCs w:val="21"/>
        </w:rPr>
        <w:t>—</w:t>
      </w:r>
      <w:r>
        <w:rPr>
          <w:color w:val="auto"/>
          <w:spacing w:val="-3"/>
          <w:kern w:val="0"/>
          <w:szCs w:val="21"/>
        </w:rPr>
        <w:t>—</w:t>
      </w:r>
      <w:r>
        <w:rPr>
          <w:color w:val="auto"/>
          <w:kern w:val="0"/>
          <w:szCs w:val="21"/>
        </w:rPr>
        <w:t>产品</w:t>
      </w:r>
      <w:r>
        <w:rPr>
          <w:color w:val="auto"/>
          <w:spacing w:val="-3"/>
          <w:kern w:val="0"/>
          <w:szCs w:val="21"/>
        </w:rPr>
        <w:t>生</w:t>
      </w:r>
      <w:r>
        <w:rPr>
          <w:color w:val="auto"/>
          <w:kern w:val="0"/>
          <w:szCs w:val="21"/>
        </w:rPr>
        <w:t>产</w:t>
      </w:r>
      <w:r>
        <w:rPr>
          <w:color w:val="auto"/>
          <w:spacing w:val="-3"/>
          <w:kern w:val="0"/>
          <w:szCs w:val="21"/>
        </w:rPr>
        <w:t>材</w:t>
      </w:r>
      <w:r>
        <w:rPr>
          <w:color w:val="auto"/>
          <w:kern w:val="0"/>
          <w:szCs w:val="21"/>
        </w:rPr>
        <w:t>料</w:t>
      </w:r>
      <w:r>
        <w:rPr>
          <w:color w:val="auto"/>
          <w:spacing w:val="-3"/>
          <w:kern w:val="0"/>
          <w:szCs w:val="21"/>
        </w:rPr>
        <w:t>清</w:t>
      </w:r>
      <w:r>
        <w:rPr>
          <w:color w:val="auto"/>
          <w:kern w:val="0"/>
          <w:szCs w:val="21"/>
        </w:rPr>
        <w:t>单；</w:t>
      </w:r>
    </w:p>
    <w:p>
      <w:pPr>
        <w:ind w:firstLine="420" w:firstLineChars="200"/>
        <w:jc w:val="left"/>
        <w:rPr>
          <w:color w:val="auto"/>
          <w:kern w:val="0"/>
          <w:szCs w:val="21"/>
        </w:rPr>
      </w:pPr>
      <w:r>
        <w:rPr>
          <w:color w:val="auto"/>
          <w:kern w:val="0"/>
          <w:szCs w:val="21"/>
        </w:rPr>
        <w:t>—</w:t>
      </w:r>
      <w:r>
        <w:rPr>
          <w:color w:val="auto"/>
          <w:spacing w:val="-3"/>
          <w:kern w:val="0"/>
          <w:szCs w:val="21"/>
        </w:rPr>
        <w:t>—</w:t>
      </w:r>
      <w:r>
        <w:rPr>
          <w:color w:val="auto"/>
          <w:kern w:val="0"/>
          <w:szCs w:val="21"/>
        </w:rPr>
        <w:t>产品</w:t>
      </w:r>
      <w:r>
        <w:rPr>
          <w:color w:val="auto"/>
          <w:spacing w:val="-3"/>
          <w:kern w:val="0"/>
          <w:szCs w:val="21"/>
        </w:rPr>
        <w:t>工</w:t>
      </w:r>
      <w:r>
        <w:rPr>
          <w:color w:val="auto"/>
          <w:kern w:val="0"/>
          <w:szCs w:val="21"/>
        </w:rPr>
        <w:t>艺</w:t>
      </w:r>
      <w:r>
        <w:rPr>
          <w:color w:val="auto"/>
          <w:spacing w:val="-3"/>
          <w:kern w:val="0"/>
          <w:szCs w:val="21"/>
        </w:rPr>
        <w:t>表</w:t>
      </w:r>
      <w:r>
        <w:rPr>
          <w:color w:val="auto"/>
          <w:kern w:val="0"/>
          <w:szCs w:val="21"/>
        </w:rPr>
        <w:t>（</w:t>
      </w:r>
      <w:r>
        <w:rPr>
          <w:color w:val="auto"/>
          <w:spacing w:val="-3"/>
          <w:kern w:val="0"/>
          <w:szCs w:val="21"/>
        </w:rPr>
        <w:t>产</w:t>
      </w:r>
      <w:r>
        <w:rPr>
          <w:color w:val="auto"/>
          <w:kern w:val="0"/>
          <w:szCs w:val="21"/>
        </w:rPr>
        <w:t>品</w:t>
      </w:r>
      <w:r>
        <w:rPr>
          <w:color w:val="auto"/>
          <w:spacing w:val="-3"/>
          <w:kern w:val="0"/>
          <w:szCs w:val="21"/>
        </w:rPr>
        <w:t>生</w:t>
      </w:r>
      <w:r>
        <w:rPr>
          <w:color w:val="auto"/>
          <w:kern w:val="0"/>
          <w:szCs w:val="21"/>
        </w:rPr>
        <w:t>产</w:t>
      </w:r>
      <w:r>
        <w:rPr>
          <w:color w:val="auto"/>
          <w:spacing w:val="-3"/>
          <w:kern w:val="0"/>
          <w:szCs w:val="21"/>
        </w:rPr>
        <w:t>工</w:t>
      </w:r>
      <w:r>
        <w:rPr>
          <w:color w:val="auto"/>
          <w:kern w:val="0"/>
          <w:szCs w:val="21"/>
        </w:rPr>
        <w:t>艺过</w:t>
      </w:r>
      <w:r>
        <w:rPr>
          <w:color w:val="auto"/>
          <w:spacing w:val="-3"/>
          <w:kern w:val="0"/>
          <w:szCs w:val="21"/>
        </w:rPr>
        <w:t>程</w:t>
      </w:r>
      <w:r>
        <w:rPr>
          <w:color w:val="auto"/>
          <w:kern w:val="0"/>
          <w:szCs w:val="21"/>
        </w:rPr>
        <w:t>示</w:t>
      </w:r>
      <w:r>
        <w:rPr>
          <w:color w:val="auto"/>
          <w:spacing w:val="-3"/>
          <w:kern w:val="0"/>
          <w:szCs w:val="21"/>
        </w:rPr>
        <w:t>意</w:t>
      </w:r>
      <w:r>
        <w:rPr>
          <w:color w:val="auto"/>
          <w:spacing w:val="-1"/>
          <w:kern w:val="0"/>
          <w:szCs w:val="21"/>
        </w:rPr>
        <w:t>图</w:t>
      </w:r>
      <w:r>
        <w:rPr>
          <w:color w:val="auto"/>
          <w:spacing w:val="-3"/>
          <w:kern w:val="0"/>
          <w:szCs w:val="21"/>
        </w:rPr>
        <w:t>等</w:t>
      </w:r>
      <w:r>
        <w:rPr>
          <w:color w:val="auto"/>
          <w:kern w:val="0"/>
          <w:szCs w:val="21"/>
        </w:rPr>
        <w:t>）；</w:t>
      </w:r>
    </w:p>
    <w:p>
      <w:pPr>
        <w:ind w:firstLine="420" w:firstLineChars="200"/>
        <w:jc w:val="left"/>
        <w:rPr>
          <w:color w:val="auto"/>
          <w:kern w:val="0"/>
          <w:szCs w:val="21"/>
        </w:rPr>
      </w:pPr>
      <w:r>
        <w:rPr>
          <w:color w:val="auto"/>
          <w:kern w:val="0"/>
          <w:szCs w:val="21"/>
        </w:rPr>
        <w:t>—</w:t>
      </w:r>
      <w:r>
        <w:rPr>
          <w:color w:val="auto"/>
          <w:spacing w:val="-3"/>
          <w:kern w:val="0"/>
          <w:szCs w:val="21"/>
        </w:rPr>
        <w:t>—</w:t>
      </w:r>
      <w:r>
        <w:rPr>
          <w:color w:val="auto"/>
          <w:kern w:val="0"/>
          <w:szCs w:val="21"/>
        </w:rPr>
        <w:t>各单</w:t>
      </w:r>
      <w:r>
        <w:rPr>
          <w:color w:val="auto"/>
          <w:spacing w:val="-3"/>
          <w:kern w:val="0"/>
          <w:szCs w:val="21"/>
        </w:rPr>
        <w:t>元</w:t>
      </w:r>
      <w:r>
        <w:rPr>
          <w:color w:val="auto"/>
          <w:kern w:val="0"/>
          <w:szCs w:val="21"/>
        </w:rPr>
        <w:t>过</w:t>
      </w:r>
      <w:r>
        <w:rPr>
          <w:color w:val="auto"/>
          <w:spacing w:val="-3"/>
          <w:kern w:val="0"/>
          <w:szCs w:val="21"/>
        </w:rPr>
        <w:t>程</w:t>
      </w:r>
      <w:r>
        <w:rPr>
          <w:color w:val="auto"/>
          <w:kern w:val="0"/>
          <w:szCs w:val="21"/>
        </w:rPr>
        <w:t>的</w:t>
      </w:r>
      <w:r>
        <w:rPr>
          <w:color w:val="auto"/>
          <w:spacing w:val="-3"/>
          <w:kern w:val="0"/>
          <w:szCs w:val="21"/>
        </w:rPr>
        <w:t>数</w:t>
      </w:r>
      <w:r>
        <w:rPr>
          <w:color w:val="auto"/>
          <w:kern w:val="0"/>
          <w:szCs w:val="21"/>
        </w:rPr>
        <w:t>据</w:t>
      </w:r>
      <w:r>
        <w:rPr>
          <w:color w:val="auto"/>
          <w:spacing w:val="-3"/>
          <w:kern w:val="0"/>
          <w:szCs w:val="21"/>
        </w:rPr>
        <w:t>收</w:t>
      </w:r>
      <w:r>
        <w:rPr>
          <w:color w:val="auto"/>
          <w:kern w:val="0"/>
          <w:szCs w:val="21"/>
        </w:rPr>
        <w:t>集</w:t>
      </w:r>
      <w:r>
        <w:rPr>
          <w:color w:val="auto"/>
          <w:spacing w:val="-3"/>
          <w:kern w:val="0"/>
          <w:szCs w:val="21"/>
        </w:rPr>
        <w:t>表</w:t>
      </w:r>
      <w:r>
        <w:rPr>
          <w:color w:val="auto"/>
          <w:kern w:val="0"/>
          <w:szCs w:val="21"/>
        </w:rPr>
        <w:t>；</w:t>
      </w:r>
    </w:p>
    <w:p>
      <w:pPr>
        <w:widowControl/>
        <w:tabs>
          <w:tab w:val="center" w:pos="4201"/>
          <w:tab w:val="right" w:leader="dot" w:pos="9298"/>
        </w:tabs>
        <w:autoSpaceDE w:val="0"/>
        <w:autoSpaceDN w:val="0"/>
        <w:ind w:firstLine="400" w:firstLineChars="200"/>
        <w:rPr>
          <w:color w:val="auto"/>
          <w:kern w:val="0"/>
          <w:sz w:val="20"/>
        </w:rPr>
      </w:pPr>
      <w:r>
        <w:rPr>
          <w:color w:val="auto"/>
          <w:kern w:val="0"/>
          <w:sz w:val="20"/>
        </w:rPr>
        <w:t>—</w:t>
      </w:r>
      <w:r>
        <w:rPr>
          <w:color w:val="auto"/>
          <w:spacing w:val="-3"/>
          <w:kern w:val="0"/>
          <w:sz w:val="20"/>
        </w:rPr>
        <w:t>—</w:t>
      </w:r>
      <w:r>
        <w:rPr>
          <w:color w:val="auto"/>
          <w:kern w:val="0"/>
          <w:sz w:val="21"/>
          <w:szCs w:val="24"/>
        </w:rPr>
        <w:t>其他。</w:t>
      </w:r>
    </w:p>
    <w:p>
      <w:pPr>
        <w:widowControl/>
        <w:tabs>
          <w:tab w:val="center" w:pos="4201"/>
          <w:tab w:val="right" w:leader="dot" w:pos="9298"/>
        </w:tabs>
        <w:autoSpaceDE w:val="0"/>
        <w:autoSpaceDN w:val="0"/>
        <w:spacing w:beforeLines="0" w:afterLines="0" w:line="240" w:lineRule="exact"/>
        <w:ind w:firstLine="400" w:firstLineChars="200"/>
        <w:rPr>
          <w:rFonts w:hint="default" w:asciiTheme="minorHAnsi"/>
          <w:color w:val="auto"/>
          <w:kern w:val="0"/>
          <w:sz w:val="20"/>
        </w:rPr>
      </w:pPr>
    </w:p>
    <w:p>
      <w:pPr>
        <w:pStyle w:val="69"/>
        <w:keepNext w:val="0"/>
        <w:keepLines w:val="0"/>
        <w:pageBreakBefore w:val="0"/>
        <w:widowControl/>
        <w:numPr>
          <w:ilvl w:val="0"/>
          <w:numId w:val="0"/>
        </w:numPr>
        <w:kinsoku/>
        <w:wordWrap/>
        <w:overflowPunct/>
        <w:topLinePunct w:val="0"/>
        <w:bidi w:val="0"/>
        <w:adjustRightInd/>
        <w:snapToGrid/>
        <w:spacing w:beforeLines="0" w:afterLines="0" w:line="240" w:lineRule="exact"/>
        <w:ind w:leftChars="0"/>
        <w:textAlignment w:val="auto"/>
        <w:rPr>
          <w:rFonts w:hint="default" w:eastAsia="黑体"/>
          <w:color w:val="auto"/>
          <w:lang w:val="en-US" w:eastAsia="zh-CN"/>
        </w:rPr>
      </w:pPr>
      <w:r>
        <w:rPr>
          <w:rFonts w:hint="eastAsia"/>
          <w:color w:val="auto"/>
          <w:lang w:val="en-US" w:eastAsia="zh-CN"/>
        </w:rPr>
        <w:t>6  评价方法</w:t>
      </w:r>
    </w:p>
    <w:p>
      <w:pPr>
        <w:pStyle w:val="68"/>
        <w:keepNext w:val="0"/>
        <w:keepLines w:val="0"/>
        <w:pageBreakBefore w:val="0"/>
        <w:widowControl/>
        <w:kinsoku/>
        <w:wordWrap/>
        <w:overflowPunct/>
        <w:topLinePunct w:val="0"/>
        <w:autoSpaceDE w:val="0"/>
        <w:autoSpaceDN w:val="0"/>
        <w:bidi w:val="0"/>
        <w:adjustRightInd/>
        <w:snapToGrid/>
        <w:spacing w:beforeLines="0" w:afterLines="0" w:line="240" w:lineRule="exact"/>
        <w:textAlignment w:val="auto"/>
        <w:rPr>
          <w:color w:val="auto"/>
        </w:rPr>
      </w:pPr>
    </w:p>
    <w:p>
      <w:pPr>
        <w:ind w:firstLine="420" w:firstLineChars="200"/>
        <w:jc w:val="left"/>
        <w:rPr>
          <w:rFonts w:ascii="宋体" w:hAnsi="宋体"/>
          <w:color w:val="auto"/>
          <w:kern w:val="0"/>
          <w:szCs w:val="21"/>
        </w:rPr>
      </w:pPr>
      <w:r>
        <w:rPr>
          <w:rFonts w:hint="eastAsia" w:ascii="宋体" w:hAnsi="宋体"/>
          <w:color w:val="auto"/>
          <w:kern w:val="0"/>
          <w:szCs w:val="21"/>
        </w:rPr>
        <w:t>同时满足以下要求的</w:t>
      </w:r>
      <w:r>
        <w:rPr>
          <w:rFonts w:hint="eastAsia" w:ascii="宋体" w:hAnsi="宋体"/>
          <w:color w:val="auto"/>
          <w:kern w:val="0"/>
          <w:szCs w:val="21"/>
          <w:lang w:eastAsia="zh-CN"/>
        </w:rPr>
        <w:t>软水机</w:t>
      </w:r>
      <w:r>
        <w:rPr>
          <w:rFonts w:hint="eastAsia" w:ascii="宋体" w:hAnsi="宋体"/>
          <w:color w:val="auto"/>
          <w:kern w:val="0"/>
          <w:szCs w:val="21"/>
        </w:rPr>
        <w:t>产品，可判定为绿色设计产品：</w:t>
      </w:r>
    </w:p>
    <w:p>
      <w:pPr>
        <w:ind w:firstLine="420" w:firstLineChars="200"/>
        <w:jc w:val="left"/>
        <w:rPr>
          <w:rFonts w:hint="eastAsia" w:ascii="宋体" w:hAnsi="宋体" w:eastAsia="宋体" w:cs="宋体"/>
          <w:color w:val="auto"/>
          <w:kern w:val="0"/>
          <w:szCs w:val="21"/>
        </w:rPr>
      </w:pPr>
      <w:r>
        <w:rPr>
          <w:color w:val="auto"/>
          <w:kern w:val="0"/>
          <w:szCs w:val="21"/>
        </w:rPr>
        <w:t>——满足本文</w:t>
      </w:r>
      <w:r>
        <w:rPr>
          <w:rFonts w:hint="eastAsia" w:ascii="宋体" w:hAnsi="宋体" w:eastAsia="宋体" w:cs="宋体"/>
          <w:color w:val="auto"/>
          <w:kern w:val="0"/>
          <w:szCs w:val="21"/>
        </w:rPr>
        <w:t>件4.1的要求；</w:t>
      </w:r>
    </w:p>
    <w:p>
      <w:pPr>
        <w:ind w:firstLine="420" w:firstLineChars="200"/>
        <w:jc w:val="left"/>
        <w:rPr>
          <w:color w:val="auto"/>
          <w:kern w:val="0"/>
          <w:szCs w:val="21"/>
        </w:rPr>
      </w:pPr>
      <w:r>
        <w:rPr>
          <w:rFonts w:hint="eastAsia" w:ascii="宋体" w:hAnsi="宋体" w:eastAsia="宋体" w:cs="宋体"/>
          <w:color w:val="auto"/>
          <w:kern w:val="0"/>
          <w:szCs w:val="21"/>
        </w:rPr>
        <w:t>——满足本文件4.2的</w:t>
      </w:r>
      <w:r>
        <w:rPr>
          <w:color w:val="auto"/>
          <w:kern w:val="0"/>
          <w:szCs w:val="21"/>
        </w:rPr>
        <w:t>要求；</w:t>
      </w:r>
    </w:p>
    <w:p>
      <w:pPr>
        <w:ind w:firstLine="420" w:firstLineChars="200"/>
        <w:jc w:val="left"/>
        <w:rPr>
          <w:rFonts w:ascii="宋体" w:hAnsi="宋体"/>
          <w:color w:val="auto"/>
          <w:kern w:val="0"/>
          <w:szCs w:val="21"/>
        </w:rPr>
      </w:pPr>
      <w:r>
        <w:rPr>
          <w:color w:val="auto"/>
          <w:kern w:val="0"/>
          <w:szCs w:val="21"/>
        </w:rPr>
        <w:t>——按照</w:t>
      </w:r>
      <w:r>
        <w:rPr>
          <w:rFonts w:hint="eastAsia" w:ascii="宋体" w:hAnsi="宋体" w:eastAsia="宋体" w:cs="宋体"/>
          <w:color w:val="auto"/>
          <w:kern w:val="0"/>
          <w:szCs w:val="21"/>
        </w:rPr>
        <w:t>第5</w:t>
      </w:r>
      <w:r>
        <w:rPr>
          <w:color w:val="auto"/>
          <w:kern w:val="0"/>
          <w:szCs w:val="21"/>
        </w:rPr>
        <w:t>章提供</w:t>
      </w:r>
      <w:r>
        <w:rPr>
          <w:rFonts w:hint="eastAsia"/>
          <w:color w:val="auto"/>
          <w:kern w:val="0"/>
          <w:szCs w:val="21"/>
          <w:lang w:eastAsia="zh-CN"/>
        </w:rPr>
        <w:t>软水机</w:t>
      </w:r>
      <w:r>
        <w:rPr>
          <w:color w:val="auto"/>
          <w:kern w:val="0"/>
          <w:szCs w:val="21"/>
        </w:rPr>
        <w:t>产品生命周期评价报告。</w:t>
      </w:r>
    </w:p>
    <w:bookmarkEnd w:id="21"/>
    <w:p>
      <w:pPr>
        <w:pStyle w:val="98"/>
        <w:spacing w:before="0" w:after="0" w:line="400" w:lineRule="exact"/>
        <w:jc w:val="both"/>
        <w:rPr>
          <w:sz w:val="21"/>
          <w:szCs w:val="21"/>
        </w:rPr>
      </w:pPr>
      <w:bookmarkStart w:id="60" w:name="_Toc55919852"/>
      <w:bookmarkEnd w:id="60"/>
      <w:bookmarkStart w:id="61" w:name="_Toc55910855"/>
      <w:bookmarkEnd w:id="61"/>
      <w:bookmarkStart w:id="62" w:name="_Toc72997736"/>
    </w:p>
    <w:p>
      <w:pPr>
        <w:pStyle w:val="68"/>
        <w:rPr>
          <w:sz w:val="21"/>
          <w:szCs w:val="21"/>
        </w:rPr>
      </w:pPr>
    </w:p>
    <w:p>
      <w:pPr>
        <w:pStyle w:val="68"/>
        <w:rPr>
          <w:sz w:val="21"/>
          <w:szCs w:val="21"/>
        </w:rPr>
      </w:pPr>
    </w:p>
    <w:p>
      <w:pPr>
        <w:pStyle w:val="68"/>
        <w:rPr>
          <w:sz w:val="21"/>
          <w:szCs w:val="21"/>
        </w:rPr>
      </w:pPr>
    </w:p>
    <w:p>
      <w:pPr>
        <w:pStyle w:val="68"/>
        <w:rPr>
          <w:sz w:val="21"/>
          <w:szCs w:val="21"/>
        </w:rPr>
      </w:pPr>
    </w:p>
    <w:p>
      <w:pPr>
        <w:pStyle w:val="68"/>
        <w:rPr>
          <w:sz w:val="21"/>
          <w:szCs w:val="21"/>
        </w:rPr>
      </w:pPr>
    </w:p>
    <w:p>
      <w:pPr>
        <w:pStyle w:val="68"/>
        <w:rPr>
          <w:sz w:val="21"/>
          <w:szCs w:val="21"/>
        </w:rPr>
      </w:pPr>
    </w:p>
    <w:p>
      <w:pPr>
        <w:pStyle w:val="68"/>
        <w:ind w:firstLine="0" w:firstLineChars="0"/>
        <w:jc w:val="center"/>
        <w:rPr>
          <w:sz w:val="21"/>
          <w:szCs w:val="21"/>
        </w:rPr>
      </w:pPr>
    </w:p>
    <w:p>
      <w:pPr>
        <w:pStyle w:val="68"/>
        <w:ind w:firstLine="0" w:firstLineChars="0"/>
        <w:jc w:val="center"/>
        <w:rPr>
          <w:sz w:val="21"/>
          <w:szCs w:val="21"/>
        </w:rPr>
      </w:pPr>
    </w:p>
    <w:p>
      <w:pPr>
        <w:pStyle w:val="68"/>
        <w:ind w:firstLine="0" w:firstLineChars="0"/>
        <w:jc w:val="center"/>
        <w:rPr>
          <w:sz w:val="21"/>
          <w:szCs w:val="21"/>
        </w:rPr>
      </w:pPr>
    </w:p>
    <w:p>
      <w:pPr>
        <w:pStyle w:val="68"/>
        <w:ind w:firstLine="0" w:firstLineChars="0"/>
        <w:rPr>
          <w:sz w:val="21"/>
          <w:szCs w:val="21"/>
        </w:rPr>
      </w:pPr>
    </w:p>
    <w:p>
      <w:pPr>
        <w:pStyle w:val="98"/>
        <w:spacing w:before="0" w:after="0" w:line="400" w:lineRule="exact"/>
        <w:jc w:val="center"/>
        <w:rPr>
          <w:szCs w:val="21"/>
        </w:rPr>
      </w:pPr>
      <w:r>
        <w:rPr>
          <w:rFonts w:hint="eastAsia"/>
          <w:sz w:val="21"/>
          <w:szCs w:val="21"/>
        </w:rPr>
        <w:t>附录A</w:t>
      </w:r>
      <w:bookmarkEnd w:id="62"/>
    </w:p>
    <w:p>
      <w:pPr>
        <w:pStyle w:val="98"/>
        <w:spacing w:before="0" w:after="0" w:line="400" w:lineRule="exact"/>
        <w:rPr>
          <w:szCs w:val="21"/>
        </w:rPr>
      </w:pPr>
      <w:bookmarkStart w:id="63" w:name="_Toc72997737"/>
      <w:bookmarkStart w:id="64" w:name="_Toc63257814"/>
      <w:r>
        <w:rPr>
          <w:rFonts w:hint="eastAsia"/>
          <w:sz w:val="21"/>
          <w:szCs w:val="21"/>
        </w:rPr>
        <w:t>（</w:t>
      </w:r>
      <w:r>
        <w:rPr>
          <w:rFonts w:hint="eastAsia"/>
          <w:sz w:val="21"/>
          <w:szCs w:val="21"/>
          <w:lang w:eastAsia="zh-CN"/>
        </w:rPr>
        <w:t>规范</w:t>
      </w:r>
      <w:r>
        <w:rPr>
          <w:rFonts w:hint="eastAsia"/>
          <w:sz w:val="21"/>
          <w:szCs w:val="21"/>
        </w:rPr>
        <w:t>性）</w:t>
      </w:r>
      <w:bookmarkEnd w:id="63"/>
      <w:bookmarkEnd w:id="64"/>
    </w:p>
    <w:p>
      <w:pPr>
        <w:pStyle w:val="98"/>
        <w:spacing w:before="0" w:after="0" w:line="400" w:lineRule="exact"/>
        <w:rPr>
          <w:rFonts w:hint="eastAsia"/>
          <w:sz w:val="21"/>
          <w:szCs w:val="21"/>
        </w:rPr>
      </w:pPr>
      <w:bookmarkStart w:id="65" w:name="_Toc63257815"/>
      <w:bookmarkStart w:id="66" w:name="_Toc72997738"/>
      <w:r>
        <w:rPr>
          <w:rFonts w:hint="eastAsia"/>
          <w:sz w:val="21"/>
          <w:szCs w:val="21"/>
        </w:rPr>
        <w:t>软水机</w:t>
      </w:r>
      <w:r>
        <w:rPr>
          <w:rFonts w:hint="eastAsia"/>
          <w:sz w:val="21"/>
          <w:szCs w:val="21"/>
          <w:lang w:eastAsia="zh-CN"/>
        </w:rPr>
        <w:t>产品</w:t>
      </w:r>
      <w:r>
        <w:rPr>
          <w:rFonts w:hint="eastAsia"/>
          <w:sz w:val="21"/>
          <w:szCs w:val="21"/>
        </w:rPr>
        <w:t>生命周期评价方法</w:t>
      </w:r>
      <w:bookmarkEnd w:id="65"/>
      <w:bookmarkEnd w:id="66"/>
    </w:p>
    <w:p>
      <w:pPr>
        <w:pStyle w:val="68"/>
      </w:pPr>
    </w:p>
    <w:p>
      <w:pPr>
        <w:pStyle w:val="68"/>
        <w:keepNext w:val="0"/>
        <w:keepLines w:val="0"/>
        <w:pageBreakBefore w:val="0"/>
        <w:widowControl/>
        <w:numPr>
          <w:ilvl w:val="0"/>
          <w:numId w:val="0"/>
        </w:numPr>
        <w:kinsoku/>
        <w:wordWrap/>
        <w:overflowPunct/>
        <w:topLinePunct w:val="0"/>
        <w:autoSpaceDE w:val="0"/>
        <w:autoSpaceDN w:val="0"/>
        <w:bidi w:val="0"/>
        <w:adjustRightInd/>
        <w:snapToGrid/>
        <w:spacing w:line="240" w:lineRule="auto"/>
        <w:ind w:leftChars="0"/>
        <w:textAlignment w:val="auto"/>
        <w:rPr>
          <w:rFonts w:hint="eastAsia" w:ascii="黑体" w:hAnsi="黑体" w:eastAsia="黑体"/>
        </w:rPr>
      </w:pPr>
      <w:r>
        <w:rPr>
          <w:rFonts w:hint="eastAsia" w:ascii="黑体" w:hAnsi="黑体" w:eastAsia="黑体"/>
          <w:lang w:val="en-US" w:eastAsia="zh-CN"/>
        </w:rPr>
        <w:t xml:space="preserve">A.1  </w:t>
      </w:r>
      <w:r>
        <w:rPr>
          <w:rFonts w:hint="eastAsia" w:ascii="黑体" w:hAnsi="黑体" w:eastAsia="黑体"/>
        </w:rPr>
        <w:t>概况</w:t>
      </w:r>
    </w:p>
    <w:p>
      <w:pPr>
        <w:pStyle w:val="68"/>
        <w:keepNext w:val="0"/>
        <w:keepLines w:val="0"/>
        <w:pageBreakBefore w:val="0"/>
        <w:widowControl/>
        <w:numPr>
          <w:ilvl w:val="0"/>
          <w:numId w:val="0"/>
        </w:numPr>
        <w:kinsoku/>
        <w:wordWrap/>
        <w:overflowPunct/>
        <w:topLinePunct w:val="0"/>
        <w:autoSpaceDE w:val="0"/>
        <w:autoSpaceDN w:val="0"/>
        <w:bidi w:val="0"/>
        <w:adjustRightInd/>
        <w:snapToGrid/>
        <w:spacing w:line="240" w:lineRule="exact"/>
        <w:ind w:leftChars="0"/>
        <w:textAlignment w:val="auto"/>
        <w:rPr>
          <w:rFonts w:hint="eastAsia" w:ascii="黑体" w:hAnsi="黑体" w:eastAsia="黑体"/>
        </w:rPr>
      </w:pPr>
    </w:p>
    <w:p>
      <w:pPr>
        <w:pStyle w:val="68"/>
        <w:keepNext w:val="0"/>
        <w:keepLines w:val="0"/>
        <w:pageBreakBefore w:val="0"/>
        <w:widowControl/>
        <w:kinsoku/>
        <w:wordWrap/>
        <w:overflowPunct/>
        <w:topLinePunct w:val="0"/>
        <w:autoSpaceDE w:val="0"/>
        <w:autoSpaceDN w:val="0"/>
        <w:bidi w:val="0"/>
        <w:adjustRightInd/>
        <w:snapToGrid/>
        <w:spacing w:line="240" w:lineRule="auto"/>
        <w:ind w:firstLine="420"/>
        <w:textAlignment w:val="auto"/>
        <w:rPr>
          <w:rFonts w:hint="eastAsia" w:hAnsi="宋体"/>
        </w:rPr>
      </w:pPr>
      <w:r>
        <w:rPr>
          <w:rFonts w:hint="eastAsia" w:hAnsi="宋体"/>
        </w:rPr>
        <w:t>本附录依据GB/T 24040和GB/T 24044制定，适用于软水机的生命周期评价（LCA），其基本方法步骤如图A.1所示。</w:t>
      </w:r>
    </w:p>
    <w:p>
      <w:pPr>
        <w:pStyle w:val="68"/>
        <w:keepNext w:val="0"/>
        <w:keepLines w:val="0"/>
        <w:pageBreakBefore w:val="0"/>
        <w:widowControl/>
        <w:kinsoku/>
        <w:wordWrap/>
        <w:overflowPunct/>
        <w:topLinePunct w:val="0"/>
        <w:autoSpaceDE w:val="0"/>
        <w:autoSpaceDN w:val="0"/>
        <w:bidi w:val="0"/>
        <w:adjustRightInd/>
        <w:snapToGrid/>
        <w:spacing w:line="240" w:lineRule="exact"/>
        <w:ind w:firstLine="420"/>
        <w:textAlignment w:val="auto"/>
        <w:rPr>
          <w:rFonts w:hint="eastAsia" w:hAnsi="宋体"/>
        </w:rPr>
      </w:pPr>
    </w:p>
    <w:p>
      <w:pPr>
        <w:pStyle w:val="68"/>
        <w:spacing w:line="264" w:lineRule="auto"/>
        <w:ind w:firstLine="420"/>
        <w:rPr>
          <w:rFonts w:hAnsi="宋体"/>
        </w:rPr>
      </w:pPr>
      <w:r>
        <w:rPr>
          <w:rFonts w:hAnsi="宋体"/>
        </w:rPr>
        <w:drawing>
          <wp:inline distT="0" distB="0" distL="0" distR="0">
            <wp:extent cx="5200650" cy="4522470"/>
            <wp:effectExtent l="0" t="0" r="0" b="1143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3"/>
                    <a:srcRect/>
                    <a:stretch>
                      <a:fillRect/>
                    </a:stretch>
                  </pic:blipFill>
                  <pic:spPr>
                    <a:xfrm>
                      <a:off x="0" y="0"/>
                      <a:ext cx="5200650" cy="4522470"/>
                    </a:xfrm>
                    <a:prstGeom prst="rect">
                      <a:avLst/>
                    </a:prstGeom>
                    <a:noFill/>
                    <a:ln w="9525">
                      <a:noFill/>
                      <a:miter lim="800000"/>
                      <a:headEnd/>
                      <a:tailEnd/>
                    </a:ln>
                  </pic:spPr>
                </pic:pic>
              </a:graphicData>
            </a:graphic>
          </wp:inline>
        </w:drawing>
      </w:r>
    </w:p>
    <w:p>
      <w:pPr>
        <w:pStyle w:val="68"/>
        <w:keepNext w:val="0"/>
        <w:keepLines w:val="0"/>
        <w:pageBreakBefore w:val="0"/>
        <w:widowControl/>
        <w:kinsoku/>
        <w:wordWrap/>
        <w:overflowPunct/>
        <w:topLinePunct w:val="0"/>
        <w:autoSpaceDE w:val="0"/>
        <w:autoSpaceDN w:val="0"/>
        <w:bidi w:val="0"/>
        <w:adjustRightInd/>
        <w:snapToGrid/>
        <w:spacing w:line="240" w:lineRule="exact"/>
        <w:ind w:firstLine="420"/>
        <w:jc w:val="center"/>
        <w:textAlignment w:val="auto"/>
        <w:rPr>
          <w:rFonts w:hint="eastAsia" w:ascii="黑体" w:hAnsi="黑体" w:eastAsia="黑体"/>
        </w:rPr>
      </w:pPr>
    </w:p>
    <w:p>
      <w:pPr>
        <w:pStyle w:val="68"/>
        <w:keepNext w:val="0"/>
        <w:keepLines w:val="0"/>
        <w:pageBreakBefore w:val="0"/>
        <w:widowControl/>
        <w:kinsoku/>
        <w:wordWrap/>
        <w:overflowPunct/>
        <w:topLinePunct w:val="0"/>
        <w:autoSpaceDE w:val="0"/>
        <w:autoSpaceDN w:val="0"/>
        <w:bidi w:val="0"/>
        <w:adjustRightInd/>
        <w:snapToGrid/>
        <w:spacing w:line="240" w:lineRule="exact"/>
        <w:ind w:firstLine="420"/>
        <w:jc w:val="center"/>
        <w:textAlignment w:val="auto"/>
        <w:rPr>
          <w:rFonts w:hint="eastAsia" w:ascii="黑体" w:hAnsi="黑体" w:eastAsia="黑体"/>
        </w:rPr>
      </w:pPr>
      <w:r>
        <w:rPr>
          <w:rFonts w:hint="eastAsia" w:ascii="黑体" w:hAnsi="黑体" w:eastAsia="黑体"/>
        </w:rPr>
        <w:t>图A.1 软水机生命周期评价基本步骤</w:t>
      </w:r>
    </w:p>
    <w:p>
      <w:pPr>
        <w:pStyle w:val="68"/>
        <w:keepNext w:val="0"/>
        <w:keepLines w:val="0"/>
        <w:pageBreakBefore w:val="0"/>
        <w:widowControl/>
        <w:kinsoku/>
        <w:wordWrap/>
        <w:overflowPunct/>
        <w:topLinePunct w:val="0"/>
        <w:autoSpaceDE w:val="0"/>
        <w:autoSpaceDN w:val="0"/>
        <w:bidi w:val="0"/>
        <w:adjustRightInd/>
        <w:snapToGrid/>
        <w:spacing w:line="240" w:lineRule="exact"/>
        <w:ind w:firstLine="420"/>
        <w:jc w:val="center"/>
        <w:textAlignment w:val="auto"/>
        <w:rPr>
          <w:rFonts w:hint="eastAsia" w:ascii="黑体" w:hAnsi="黑体" w:eastAsia="黑体"/>
        </w:rPr>
      </w:pPr>
    </w:p>
    <w:p>
      <w:pPr>
        <w:pStyle w:val="68"/>
        <w:keepNext w:val="0"/>
        <w:keepLines w:val="0"/>
        <w:pageBreakBefore w:val="0"/>
        <w:widowControl/>
        <w:numPr>
          <w:ilvl w:val="0"/>
          <w:numId w:val="0"/>
        </w:numPr>
        <w:kinsoku/>
        <w:wordWrap/>
        <w:overflowPunct/>
        <w:topLinePunct w:val="0"/>
        <w:autoSpaceDE w:val="0"/>
        <w:autoSpaceDN w:val="0"/>
        <w:bidi w:val="0"/>
        <w:adjustRightInd/>
        <w:snapToGrid/>
        <w:spacing w:line="240" w:lineRule="exact"/>
        <w:ind w:leftChars="0"/>
        <w:textAlignment w:val="auto"/>
        <w:rPr>
          <w:rFonts w:hint="eastAsia" w:ascii="黑体" w:hAnsi="黑体" w:eastAsia="黑体"/>
        </w:rPr>
      </w:pPr>
      <w:r>
        <w:rPr>
          <w:rFonts w:hint="eastAsia" w:ascii="黑体" w:hAnsi="黑体" w:eastAsia="黑体"/>
          <w:lang w:val="en-US" w:eastAsia="zh-CN"/>
        </w:rPr>
        <w:t xml:space="preserve">A.2  </w:t>
      </w:r>
      <w:r>
        <w:rPr>
          <w:rFonts w:hint="eastAsia" w:ascii="黑体" w:hAnsi="黑体" w:eastAsia="黑体"/>
        </w:rPr>
        <w:t>目的和范围</w:t>
      </w:r>
    </w:p>
    <w:p>
      <w:pPr>
        <w:pStyle w:val="68"/>
        <w:keepNext w:val="0"/>
        <w:keepLines w:val="0"/>
        <w:pageBreakBefore w:val="0"/>
        <w:widowControl/>
        <w:numPr>
          <w:ilvl w:val="0"/>
          <w:numId w:val="0"/>
        </w:numPr>
        <w:kinsoku/>
        <w:wordWrap/>
        <w:overflowPunct/>
        <w:topLinePunct w:val="0"/>
        <w:autoSpaceDE w:val="0"/>
        <w:autoSpaceDN w:val="0"/>
        <w:bidi w:val="0"/>
        <w:adjustRightInd/>
        <w:snapToGrid/>
        <w:spacing w:line="240" w:lineRule="exact"/>
        <w:ind w:leftChars="0"/>
        <w:textAlignment w:val="auto"/>
        <w:rPr>
          <w:rFonts w:hint="eastAsia" w:ascii="黑体" w:hAnsi="黑体" w:eastAsia="黑体"/>
        </w:rPr>
      </w:pPr>
    </w:p>
    <w:p>
      <w:pPr>
        <w:pStyle w:val="68"/>
        <w:keepNext w:val="0"/>
        <w:keepLines w:val="0"/>
        <w:pageBreakBefore w:val="0"/>
        <w:widowControl/>
        <w:numPr>
          <w:ilvl w:val="0"/>
          <w:numId w:val="0"/>
        </w:numPr>
        <w:kinsoku/>
        <w:wordWrap/>
        <w:overflowPunct/>
        <w:topLinePunct w:val="0"/>
        <w:autoSpaceDE w:val="0"/>
        <w:autoSpaceDN w:val="0"/>
        <w:bidi w:val="0"/>
        <w:adjustRightInd/>
        <w:snapToGrid/>
        <w:spacing w:line="240" w:lineRule="exact"/>
        <w:ind w:leftChars="0"/>
        <w:textAlignment w:val="auto"/>
        <w:rPr>
          <w:rFonts w:hint="eastAsia" w:ascii="黑体" w:hAnsi="黑体" w:eastAsia="黑体"/>
        </w:rPr>
      </w:pPr>
      <w:r>
        <w:rPr>
          <w:rFonts w:hint="eastAsia" w:ascii="黑体" w:hAnsi="黑体" w:eastAsia="黑体"/>
          <w:lang w:val="en-US" w:eastAsia="zh-CN"/>
        </w:rPr>
        <w:t xml:space="preserve">A.2.1  </w:t>
      </w:r>
      <w:r>
        <w:rPr>
          <w:rFonts w:hint="eastAsia" w:ascii="黑体" w:hAnsi="黑体" w:eastAsia="黑体"/>
        </w:rPr>
        <w:t>评价目的</w:t>
      </w:r>
    </w:p>
    <w:p>
      <w:pPr>
        <w:pStyle w:val="68"/>
        <w:keepNext w:val="0"/>
        <w:keepLines w:val="0"/>
        <w:pageBreakBefore w:val="0"/>
        <w:widowControl/>
        <w:numPr>
          <w:ilvl w:val="0"/>
          <w:numId w:val="0"/>
        </w:numPr>
        <w:kinsoku/>
        <w:wordWrap/>
        <w:overflowPunct/>
        <w:topLinePunct w:val="0"/>
        <w:autoSpaceDE w:val="0"/>
        <w:autoSpaceDN w:val="0"/>
        <w:bidi w:val="0"/>
        <w:adjustRightInd/>
        <w:snapToGrid/>
        <w:spacing w:line="240" w:lineRule="exact"/>
        <w:ind w:leftChars="0"/>
        <w:textAlignment w:val="auto"/>
        <w:rPr>
          <w:rFonts w:hint="eastAsia" w:ascii="黑体" w:hAnsi="黑体" w:eastAsia="黑体"/>
        </w:rPr>
      </w:pPr>
    </w:p>
    <w:p>
      <w:pPr>
        <w:pStyle w:val="68"/>
        <w:keepNext w:val="0"/>
        <w:keepLines w:val="0"/>
        <w:pageBreakBefore w:val="0"/>
        <w:widowControl/>
        <w:kinsoku/>
        <w:wordWrap/>
        <w:overflowPunct/>
        <w:topLinePunct w:val="0"/>
        <w:autoSpaceDE w:val="0"/>
        <w:autoSpaceDN w:val="0"/>
        <w:bidi w:val="0"/>
        <w:adjustRightInd/>
        <w:snapToGrid/>
        <w:spacing w:line="300" w:lineRule="exact"/>
        <w:ind w:firstLine="420"/>
        <w:textAlignment w:val="auto"/>
        <w:rPr>
          <w:rFonts w:hAnsi="宋体"/>
        </w:rPr>
      </w:pPr>
      <w:r>
        <w:rPr>
          <w:rFonts w:hint="eastAsia" w:hAnsi="宋体"/>
        </w:rPr>
        <w:t>软水机生命周期评价可用于以下目的：</w:t>
      </w:r>
    </w:p>
    <w:p>
      <w:pPr>
        <w:pStyle w:val="68"/>
        <w:keepNext w:val="0"/>
        <w:keepLines w:val="0"/>
        <w:pageBreakBefore w:val="0"/>
        <w:widowControl/>
        <w:kinsoku/>
        <w:wordWrap/>
        <w:overflowPunct/>
        <w:topLinePunct w:val="0"/>
        <w:autoSpaceDE w:val="0"/>
        <w:autoSpaceDN w:val="0"/>
        <w:bidi w:val="0"/>
        <w:adjustRightInd/>
        <w:snapToGrid/>
        <w:spacing w:line="300" w:lineRule="exact"/>
        <w:ind w:firstLine="420"/>
        <w:textAlignment w:val="auto"/>
        <w:rPr>
          <w:rFonts w:hAnsi="宋体"/>
        </w:rPr>
      </w:pPr>
      <w:r>
        <w:rPr>
          <w:rFonts w:hint="eastAsia" w:hAnsi="宋体"/>
        </w:rPr>
        <w:t>a) 为碳足迹、水足迹、环境足迹等产品环境声明与环境标识的评价提供数据；</w:t>
      </w:r>
    </w:p>
    <w:p>
      <w:pPr>
        <w:pStyle w:val="68"/>
        <w:keepNext w:val="0"/>
        <w:keepLines w:val="0"/>
        <w:pageBreakBefore w:val="0"/>
        <w:widowControl/>
        <w:kinsoku/>
        <w:wordWrap/>
        <w:overflowPunct/>
        <w:topLinePunct w:val="0"/>
        <w:autoSpaceDE w:val="0"/>
        <w:autoSpaceDN w:val="0"/>
        <w:bidi w:val="0"/>
        <w:adjustRightInd/>
        <w:snapToGrid/>
        <w:spacing w:line="300" w:lineRule="exact"/>
        <w:ind w:firstLine="420"/>
        <w:textAlignment w:val="auto"/>
        <w:rPr>
          <w:rFonts w:hint="eastAsia" w:hAnsi="宋体"/>
        </w:rPr>
      </w:pPr>
      <w:r>
        <w:rPr>
          <w:rFonts w:hint="eastAsia" w:hAnsi="宋体"/>
        </w:rPr>
        <w:t>b) 为产品设计、工艺技术评价、生产管理、原料采购等工作提供评价依据和改进建议。</w:t>
      </w:r>
    </w:p>
    <w:p>
      <w:pPr>
        <w:pStyle w:val="68"/>
        <w:keepNext w:val="0"/>
        <w:keepLines w:val="0"/>
        <w:pageBreakBefore w:val="0"/>
        <w:widowControl/>
        <w:kinsoku/>
        <w:wordWrap/>
        <w:overflowPunct/>
        <w:topLinePunct w:val="0"/>
        <w:autoSpaceDE w:val="0"/>
        <w:autoSpaceDN w:val="0"/>
        <w:bidi w:val="0"/>
        <w:adjustRightInd/>
        <w:snapToGrid/>
        <w:spacing w:line="240" w:lineRule="exact"/>
        <w:ind w:firstLine="420"/>
        <w:textAlignment w:val="auto"/>
        <w:rPr>
          <w:rFonts w:hint="eastAsia" w:hAnsi="宋体"/>
        </w:rPr>
      </w:pPr>
    </w:p>
    <w:p>
      <w:pPr>
        <w:pStyle w:val="68"/>
        <w:keepNext w:val="0"/>
        <w:keepLines w:val="0"/>
        <w:pageBreakBefore w:val="0"/>
        <w:widowControl/>
        <w:numPr>
          <w:ilvl w:val="0"/>
          <w:numId w:val="0"/>
        </w:numPr>
        <w:kinsoku/>
        <w:wordWrap/>
        <w:overflowPunct/>
        <w:topLinePunct w:val="0"/>
        <w:autoSpaceDE w:val="0"/>
        <w:autoSpaceDN w:val="0"/>
        <w:bidi w:val="0"/>
        <w:adjustRightInd/>
        <w:snapToGrid/>
        <w:spacing w:line="240" w:lineRule="exact"/>
        <w:ind w:leftChars="0"/>
        <w:textAlignment w:val="auto"/>
        <w:rPr>
          <w:rFonts w:hint="eastAsia" w:ascii="黑体" w:hAnsi="黑体" w:eastAsia="黑体"/>
        </w:rPr>
      </w:pPr>
      <w:r>
        <w:rPr>
          <w:rFonts w:hint="eastAsia" w:ascii="黑体" w:hAnsi="黑体" w:eastAsia="黑体"/>
          <w:lang w:val="en-US" w:eastAsia="zh-CN"/>
        </w:rPr>
        <w:t xml:space="preserve">A.2.2  </w:t>
      </w:r>
      <w:r>
        <w:rPr>
          <w:rFonts w:hint="eastAsia" w:ascii="黑体" w:hAnsi="黑体" w:eastAsia="黑体"/>
        </w:rPr>
        <w:t>功能单位和基准流</w:t>
      </w:r>
    </w:p>
    <w:p>
      <w:pPr>
        <w:pStyle w:val="68"/>
        <w:keepNext w:val="0"/>
        <w:keepLines w:val="0"/>
        <w:pageBreakBefore w:val="0"/>
        <w:widowControl/>
        <w:numPr>
          <w:ilvl w:val="0"/>
          <w:numId w:val="0"/>
        </w:numPr>
        <w:kinsoku/>
        <w:wordWrap/>
        <w:overflowPunct/>
        <w:topLinePunct w:val="0"/>
        <w:autoSpaceDE w:val="0"/>
        <w:autoSpaceDN w:val="0"/>
        <w:bidi w:val="0"/>
        <w:adjustRightInd/>
        <w:snapToGrid/>
        <w:spacing w:line="240" w:lineRule="exact"/>
        <w:ind w:leftChars="0"/>
        <w:textAlignment w:val="auto"/>
        <w:rPr>
          <w:rFonts w:hint="eastAsia" w:ascii="黑体" w:hAnsi="黑体" w:eastAsia="黑体"/>
        </w:rPr>
      </w:pPr>
    </w:p>
    <w:p>
      <w:pPr>
        <w:pStyle w:val="68"/>
        <w:keepNext w:val="0"/>
        <w:keepLines w:val="0"/>
        <w:pageBreakBefore w:val="0"/>
        <w:widowControl/>
        <w:kinsoku/>
        <w:wordWrap/>
        <w:overflowPunct/>
        <w:topLinePunct w:val="0"/>
        <w:autoSpaceDE w:val="0"/>
        <w:autoSpaceDN w:val="0"/>
        <w:bidi w:val="0"/>
        <w:adjustRightInd/>
        <w:snapToGrid/>
        <w:spacing w:line="300" w:lineRule="exact"/>
        <w:ind w:firstLine="420"/>
        <w:textAlignment w:val="auto"/>
        <w:rPr>
          <w:rFonts w:hAnsi="宋体"/>
        </w:rPr>
      </w:pPr>
      <w:r>
        <w:rPr>
          <w:rFonts w:hint="eastAsia" w:hAnsi="宋体"/>
        </w:rPr>
        <w:t>功能单位和基准流是对产品功能的量化描述，是数据收集、评价和方案对比的基础。</w:t>
      </w:r>
    </w:p>
    <w:p>
      <w:pPr>
        <w:pStyle w:val="68"/>
        <w:keepNext w:val="0"/>
        <w:keepLines w:val="0"/>
        <w:pageBreakBefore w:val="0"/>
        <w:widowControl/>
        <w:kinsoku/>
        <w:wordWrap/>
        <w:overflowPunct/>
        <w:topLinePunct w:val="0"/>
        <w:autoSpaceDE w:val="0"/>
        <w:autoSpaceDN w:val="0"/>
        <w:bidi w:val="0"/>
        <w:adjustRightInd/>
        <w:snapToGrid/>
        <w:spacing w:line="300" w:lineRule="exact"/>
        <w:ind w:firstLine="420"/>
        <w:textAlignment w:val="auto"/>
        <w:rPr>
          <w:rFonts w:hAnsi="宋体"/>
        </w:rPr>
      </w:pPr>
      <w:r>
        <w:rPr>
          <w:rFonts w:hint="eastAsia" w:hAnsi="宋体"/>
        </w:rPr>
        <w:t>软水机的功能单位定义包含产品名称、主要规格型号、产品数量与功能描述等信息。</w:t>
      </w:r>
    </w:p>
    <w:p>
      <w:pPr>
        <w:pStyle w:val="68"/>
        <w:keepNext w:val="0"/>
        <w:keepLines w:val="0"/>
        <w:pageBreakBefore w:val="0"/>
        <w:widowControl/>
        <w:kinsoku/>
        <w:wordWrap/>
        <w:overflowPunct/>
        <w:topLinePunct w:val="0"/>
        <w:autoSpaceDE w:val="0"/>
        <w:autoSpaceDN w:val="0"/>
        <w:bidi w:val="0"/>
        <w:adjustRightInd/>
        <w:snapToGrid/>
        <w:spacing w:line="300" w:lineRule="exact"/>
        <w:ind w:firstLine="420"/>
        <w:textAlignment w:val="auto"/>
        <w:rPr>
          <w:rFonts w:hAnsi="宋体"/>
        </w:rPr>
      </w:pPr>
      <w:r>
        <w:rPr>
          <w:rFonts w:hint="eastAsia" w:hAnsi="宋体"/>
        </w:rPr>
        <w:t>功能单位和基准流的定义与产品种类和用途有关，例如：</w:t>
      </w:r>
    </w:p>
    <w:p>
      <w:pPr>
        <w:pStyle w:val="68"/>
        <w:keepNext w:val="0"/>
        <w:keepLines w:val="0"/>
        <w:pageBreakBefore w:val="0"/>
        <w:widowControl/>
        <w:kinsoku/>
        <w:wordWrap/>
        <w:overflowPunct/>
        <w:topLinePunct w:val="0"/>
        <w:autoSpaceDE w:val="0"/>
        <w:autoSpaceDN w:val="0"/>
        <w:bidi w:val="0"/>
        <w:adjustRightInd/>
        <w:snapToGrid/>
        <w:spacing w:line="300" w:lineRule="exact"/>
        <w:ind w:left="840" w:leftChars="200" w:hanging="420" w:hangingChars="200"/>
        <w:textAlignment w:val="auto"/>
        <w:rPr>
          <w:rFonts w:hAnsi="宋体"/>
        </w:rPr>
      </w:pPr>
      <w:r>
        <w:rPr>
          <w:rFonts w:hint="eastAsia" w:hAnsi="宋体"/>
        </w:rPr>
        <w:t xml:space="preserve">a) </w:t>
      </w:r>
      <w:r>
        <w:rPr>
          <w:rFonts w:hint="eastAsia" w:hAnsi="宋体"/>
          <w:lang w:val="en-US" w:eastAsia="zh-CN"/>
        </w:rPr>
        <w:t xml:space="preserve"> </w:t>
      </w:r>
      <w:r>
        <w:rPr>
          <w:rFonts w:hint="eastAsia" w:hAnsi="宋体"/>
        </w:rPr>
        <w:t>用于其他产品生产的零部件、原材料类产品，其功能单位和基准流一般定义为“生产单位数量的产品”，如“生产 1 台 控制阀”，其生命周期评价系统边界包含从资源开采开始的全生产阶段，可以不包含使用和废弃阶段；</w:t>
      </w:r>
    </w:p>
    <w:p>
      <w:pPr>
        <w:pStyle w:val="68"/>
        <w:keepNext w:val="0"/>
        <w:keepLines w:val="0"/>
        <w:pageBreakBefore w:val="0"/>
        <w:widowControl/>
        <w:kinsoku/>
        <w:wordWrap/>
        <w:overflowPunct/>
        <w:topLinePunct w:val="0"/>
        <w:autoSpaceDE w:val="0"/>
        <w:autoSpaceDN w:val="0"/>
        <w:bidi w:val="0"/>
        <w:adjustRightInd/>
        <w:snapToGrid/>
        <w:spacing w:line="300" w:lineRule="exact"/>
        <w:ind w:left="840" w:leftChars="200" w:hanging="420" w:hangingChars="200"/>
        <w:textAlignment w:val="auto"/>
        <w:rPr>
          <w:rFonts w:hint="eastAsia" w:hAnsi="宋体"/>
          <w:lang w:eastAsia="zh-CN"/>
        </w:rPr>
      </w:pPr>
      <w:r>
        <w:rPr>
          <w:rFonts w:hint="eastAsia" w:hAnsi="宋体"/>
        </w:rPr>
        <w:t xml:space="preserve">b) </w:t>
      </w:r>
      <w:r>
        <w:rPr>
          <w:rFonts w:hint="eastAsia" w:hAnsi="宋体"/>
          <w:lang w:val="en-US" w:eastAsia="zh-CN"/>
        </w:rPr>
        <w:t xml:space="preserve"> </w:t>
      </w:r>
      <w:r>
        <w:rPr>
          <w:rFonts w:hint="eastAsia" w:hAnsi="宋体"/>
        </w:rPr>
        <w:t>用于交付给消费者直接使用的软水机， 其功能单位和基准流一般定义为 “单位数量产品的生产和使用”，如“1 台软水机的生产和使用”，并描述产品使用场景，如产品使用寿命、使用频率等</w:t>
      </w:r>
      <w:r>
        <w:rPr>
          <w:rFonts w:hint="eastAsia" w:hAnsi="宋体"/>
          <w:lang w:eastAsia="zh-CN"/>
        </w:rPr>
        <w:t>。</w:t>
      </w:r>
    </w:p>
    <w:p>
      <w:pPr>
        <w:pStyle w:val="68"/>
        <w:keepNext w:val="0"/>
        <w:keepLines w:val="0"/>
        <w:pageBreakBefore w:val="0"/>
        <w:widowControl/>
        <w:kinsoku/>
        <w:wordWrap/>
        <w:overflowPunct/>
        <w:topLinePunct w:val="0"/>
        <w:autoSpaceDE w:val="0"/>
        <w:autoSpaceDN w:val="0"/>
        <w:bidi w:val="0"/>
        <w:adjustRightInd/>
        <w:snapToGrid/>
        <w:spacing w:line="240" w:lineRule="exact"/>
        <w:ind w:firstLine="420"/>
        <w:textAlignment w:val="auto"/>
        <w:rPr>
          <w:rFonts w:hint="eastAsia" w:hAnsi="宋体"/>
          <w:lang w:eastAsia="zh-CN"/>
        </w:rPr>
      </w:pPr>
    </w:p>
    <w:p>
      <w:pPr>
        <w:pStyle w:val="68"/>
        <w:keepNext w:val="0"/>
        <w:keepLines w:val="0"/>
        <w:pageBreakBefore w:val="0"/>
        <w:widowControl/>
        <w:numPr>
          <w:ilvl w:val="0"/>
          <w:numId w:val="0"/>
        </w:numPr>
        <w:kinsoku/>
        <w:wordWrap/>
        <w:overflowPunct/>
        <w:topLinePunct w:val="0"/>
        <w:autoSpaceDE w:val="0"/>
        <w:autoSpaceDN w:val="0"/>
        <w:bidi w:val="0"/>
        <w:adjustRightInd/>
        <w:snapToGrid/>
        <w:spacing w:line="240" w:lineRule="exact"/>
        <w:ind w:leftChars="0"/>
        <w:textAlignment w:val="auto"/>
        <w:rPr>
          <w:rFonts w:hint="eastAsia" w:ascii="黑体" w:hAnsi="黑体" w:eastAsia="黑体"/>
        </w:rPr>
      </w:pPr>
      <w:r>
        <w:rPr>
          <w:rFonts w:hint="eastAsia" w:ascii="黑体" w:hAnsi="黑体" w:eastAsia="黑体"/>
          <w:lang w:val="en-US" w:eastAsia="zh-CN"/>
        </w:rPr>
        <w:t xml:space="preserve">A.2.3  </w:t>
      </w:r>
      <w:r>
        <w:rPr>
          <w:rFonts w:hint="eastAsia" w:ascii="黑体" w:hAnsi="黑体" w:eastAsia="黑体"/>
        </w:rPr>
        <w:t>系统边界</w:t>
      </w:r>
    </w:p>
    <w:p>
      <w:pPr>
        <w:pStyle w:val="68"/>
        <w:keepNext w:val="0"/>
        <w:keepLines w:val="0"/>
        <w:pageBreakBefore w:val="0"/>
        <w:widowControl/>
        <w:numPr>
          <w:ilvl w:val="0"/>
          <w:numId w:val="0"/>
        </w:numPr>
        <w:kinsoku/>
        <w:wordWrap/>
        <w:overflowPunct/>
        <w:topLinePunct w:val="0"/>
        <w:autoSpaceDE w:val="0"/>
        <w:autoSpaceDN w:val="0"/>
        <w:bidi w:val="0"/>
        <w:adjustRightInd/>
        <w:snapToGrid/>
        <w:spacing w:line="240" w:lineRule="exact"/>
        <w:ind w:leftChars="0"/>
        <w:textAlignment w:val="auto"/>
        <w:rPr>
          <w:rFonts w:hint="eastAsia" w:ascii="黑体" w:hAnsi="黑体" w:eastAsia="黑体"/>
        </w:rPr>
      </w:pPr>
    </w:p>
    <w:p>
      <w:pPr>
        <w:pStyle w:val="68"/>
        <w:keepNext w:val="0"/>
        <w:keepLines w:val="0"/>
        <w:pageBreakBefore w:val="0"/>
        <w:widowControl/>
        <w:kinsoku/>
        <w:wordWrap/>
        <w:overflowPunct/>
        <w:topLinePunct w:val="0"/>
        <w:autoSpaceDE w:val="0"/>
        <w:autoSpaceDN w:val="0"/>
        <w:bidi w:val="0"/>
        <w:adjustRightInd/>
        <w:snapToGrid/>
        <w:spacing w:line="300" w:lineRule="exact"/>
        <w:ind w:firstLine="420"/>
        <w:textAlignment w:val="auto"/>
        <w:rPr>
          <w:rFonts w:hint="eastAsia" w:hAnsi="宋体"/>
        </w:rPr>
      </w:pPr>
      <w:r>
        <w:rPr>
          <w:rFonts w:hint="eastAsia" w:hAnsi="宋体"/>
        </w:rPr>
        <w:t>软水机生命周期包括从资源开采开始的原材料和能源生产、 零部件和原辅料生产、 产品生产、产品使用、产品生命末期处理以及运输过程（如图A.2所示）。</w:t>
      </w:r>
    </w:p>
    <w:p>
      <w:pPr>
        <w:pStyle w:val="68"/>
        <w:keepNext w:val="0"/>
        <w:keepLines w:val="0"/>
        <w:pageBreakBefore w:val="0"/>
        <w:widowControl/>
        <w:kinsoku/>
        <w:wordWrap/>
        <w:overflowPunct/>
        <w:topLinePunct w:val="0"/>
        <w:autoSpaceDE w:val="0"/>
        <w:autoSpaceDN w:val="0"/>
        <w:bidi w:val="0"/>
        <w:adjustRightInd/>
        <w:snapToGrid/>
        <w:spacing w:line="240" w:lineRule="exact"/>
        <w:ind w:firstLine="420"/>
        <w:textAlignment w:val="auto"/>
        <w:rPr>
          <w:rFonts w:hint="eastAsia" w:hAnsi="宋体"/>
        </w:rPr>
      </w:pPr>
    </w:p>
    <w:p>
      <w:pPr>
        <w:pStyle w:val="68"/>
        <w:spacing w:line="264" w:lineRule="auto"/>
        <w:ind w:firstLine="420"/>
        <w:rPr>
          <w:rFonts w:hAnsi="宋体"/>
        </w:rPr>
      </w:pPr>
      <w:r>
        <w:rPr>
          <w:rFonts w:hAnsi="宋体"/>
        </w:rPr>
        <w:drawing>
          <wp:inline distT="0" distB="0" distL="0" distR="0">
            <wp:extent cx="5476875" cy="4667250"/>
            <wp:effectExtent l="19050" t="0" r="9525" b="0"/>
            <wp:docPr id="5" name="图片 5" descr="F:\2021\2021-01-23 082819.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F:\2021\2021-01-23 082819.bmp"/>
                    <pic:cNvPicPr>
                      <a:picLocks noChangeAspect="1" noChangeArrowheads="1"/>
                    </pic:cNvPicPr>
                  </pic:nvPicPr>
                  <pic:blipFill>
                    <a:blip r:embed="rId14"/>
                    <a:srcRect/>
                    <a:stretch>
                      <a:fillRect/>
                    </a:stretch>
                  </pic:blipFill>
                  <pic:spPr>
                    <a:xfrm>
                      <a:off x="0" y="0"/>
                      <a:ext cx="5476875" cy="4667250"/>
                    </a:xfrm>
                    <a:prstGeom prst="rect">
                      <a:avLst/>
                    </a:prstGeom>
                    <a:noFill/>
                    <a:ln w="9525">
                      <a:noFill/>
                      <a:miter lim="800000"/>
                      <a:headEnd/>
                      <a:tailEnd/>
                    </a:ln>
                  </pic:spPr>
                </pic:pic>
              </a:graphicData>
            </a:graphic>
          </wp:inline>
        </w:drawing>
      </w:r>
    </w:p>
    <w:p>
      <w:pPr>
        <w:pStyle w:val="68"/>
        <w:keepNext w:val="0"/>
        <w:keepLines w:val="0"/>
        <w:pageBreakBefore w:val="0"/>
        <w:widowControl/>
        <w:kinsoku/>
        <w:wordWrap/>
        <w:overflowPunct/>
        <w:topLinePunct w:val="0"/>
        <w:autoSpaceDE w:val="0"/>
        <w:autoSpaceDN w:val="0"/>
        <w:bidi w:val="0"/>
        <w:adjustRightInd/>
        <w:spacing w:line="240" w:lineRule="auto"/>
        <w:ind w:firstLine="2940" w:firstLineChars="1400"/>
        <w:jc w:val="both"/>
        <w:textAlignment w:val="auto"/>
        <w:rPr>
          <w:rFonts w:hint="eastAsia" w:ascii="黑体" w:hAnsi="黑体" w:eastAsia="黑体"/>
        </w:rPr>
      </w:pPr>
      <w:r>
        <w:rPr>
          <w:rFonts w:hint="eastAsia" w:ascii="黑体" w:hAnsi="黑体" w:eastAsia="黑体"/>
        </w:rPr>
        <w:t xml:space="preserve">图A.2 </w:t>
      </w:r>
      <w:r>
        <w:rPr>
          <w:rFonts w:hint="eastAsia" w:ascii="黑体" w:hAnsi="黑体" w:eastAsia="黑体"/>
          <w:lang w:val="en-US" w:eastAsia="zh-CN"/>
        </w:rPr>
        <w:t xml:space="preserve"> </w:t>
      </w:r>
      <w:r>
        <w:rPr>
          <w:rFonts w:hint="eastAsia" w:ascii="黑体" w:hAnsi="黑体" w:eastAsia="黑体"/>
        </w:rPr>
        <w:t>软水机生命周期示意图</w:t>
      </w:r>
    </w:p>
    <w:p>
      <w:pPr>
        <w:pStyle w:val="68"/>
        <w:keepNext w:val="0"/>
        <w:keepLines w:val="0"/>
        <w:pageBreakBefore w:val="0"/>
        <w:widowControl/>
        <w:kinsoku/>
        <w:wordWrap/>
        <w:overflowPunct/>
        <w:topLinePunct w:val="0"/>
        <w:autoSpaceDE w:val="0"/>
        <w:autoSpaceDN w:val="0"/>
        <w:bidi w:val="0"/>
        <w:adjustRightInd/>
        <w:snapToGrid/>
        <w:spacing w:line="240" w:lineRule="exact"/>
        <w:ind w:firstLine="420"/>
        <w:jc w:val="center"/>
        <w:textAlignment w:val="auto"/>
        <w:rPr>
          <w:rFonts w:hint="eastAsia" w:ascii="黑体" w:hAnsi="黑体" w:eastAsia="黑体"/>
        </w:rPr>
      </w:pPr>
    </w:p>
    <w:p>
      <w:pPr>
        <w:pStyle w:val="68"/>
        <w:keepNext w:val="0"/>
        <w:keepLines w:val="0"/>
        <w:pageBreakBefore w:val="0"/>
        <w:widowControl/>
        <w:kinsoku/>
        <w:wordWrap/>
        <w:overflowPunct/>
        <w:topLinePunct w:val="0"/>
        <w:autoSpaceDE w:val="0"/>
        <w:autoSpaceDN w:val="0"/>
        <w:bidi w:val="0"/>
        <w:adjustRightInd/>
        <w:snapToGrid/>
        <w:spacing w:line="240" w:lineRule="auto"/>
        <w:ind w:firstLine="420"/>
        <w:textAlignment w:val="auto"/>
        <w:rPr>
          <w:rFonts w:hint="eastAsia" w:hAnsi="宋体"/>
        </w:rPr>
      </w:pPr>
      <w:r>
        <w:rPr>
          <w:rFonts w:hint="eastAsia" w:hAnsi="宋体"/>
        </w:rPr>
        <w:t>按照评价目的、功能单位和数据取舍准则，考虑到各过程的重要性和数据可得性，确定系统边界。</w:t>
      </w:r>
    </w:p>
    <w:p>
      <w:pPr>
        <w:pStyle w:val="68"/>
        <w:keepNext w:val="0"/>
        <w:keepLines w:val="0"/>
        <w:pageBreakBefore w:val="0"/>
        <w:widowControl/>
        <w:kinsoku/>
        <w:wordWrap/>
        <w:overflowPunct/>
        <w:topLinePunct w:val="0"/>
        <w:autoSpaceDE w:val="0"/>
        <w:autoSpaceDN w:val="0"/>
        <w:bidi w:val="0"/>
        <w:adjustRightInd/>
        <w:snapToGrid/>
        <w:spacing w:line="240" w:lineRule="exact"/>
        <w:ind w:firstLine="420"/>
        <w:textAlignment w:val="auto"/>
        <w:rPr>
          <w:rFonts w:hint="eastAsia" w:hAnsi="宋体"/>
          <w:lang w:val="en-US" w:eastAsia="zh-CN"/>
        </w:rPr>
      </w:pPr>
    </w:p>
    <w:p>
      <w:pPr>
        <w:pStyle w:val="68"/>
        <w:keepNext w:val="0"/>
        <w:keepLines w:val="0"/>
        <w:pageBreakBefore w:val="0"/>
        <w:widowControl/>
        <w:numPr>
          <w:ilvl w:val="0"/>
          <w:numId w:val="0"/>
        </w:numPr>
        <w:kinsoku/>
        <w:wordWrap/>
        <w:overflowPunct/>
        <w:topLinePunct w:val="0"/>
        <w:autoSpaceDE w:val="0"/>
        <w:autoSpaceDN w:val="0"/>
        <w:bidi w:val="0"/>
        <w:adjustRightInd/>
        <w:snapToGrid/>
        <w:spacing w:line="240" w:lineRule="auto"/>
        <w:ind w:leftChars="0"/>
        <w:textAlignment w:val="auto"/>
        <w:rPr>
          <w:rFonts w:hint="eastAsia" w:ascii="黑体" w:hAnsi="黑体" w:eastAsia="黑体"/>
        </w:rPr>
      </w:pPr>
      <w:r>
        <w:rPr>
          <w:rFonts w:hint="eastAsia" w:ascii="黑体" w:hAnsi="黑体" w:eastAsia="黑体"/>
          <w:lang w:val="en-US" w:eastAsia="zh-CN"/>
        </w:rPr>
        <w:t xml:space="preserve">A.2.4  </w:t>
      </w:r>
      <w:r>
        <w:rPr>
          <w:rFonts w:hint="eastAsia" w:ascii="黑体" w:hAnsi="黑体" w:eastAsia="黑体"/>
        </w:rPr>
        <w:t>环境影响评价指标</w:t>
      </w:r>
    </w:p>
    <w:p>
      <w:pPr>
        <w:pStyle w:val="68"/>
        <w:keepNext w:val="0"/>
        <w:keepLines w:val="0"/>
        <w:pageBreakBefore w:val="0"/>
        <w:widowControl/>
        <w:numPr>
          <w:ilvl w:val="0"/>
          <w:numId w:val="0"/>
        </w:numPr>
        <w:kinsoku/>
        <w:wordWrap/>
        <w:overflowPunct/>
        <w:topLinePunct w:val="0"/>
        <w:autoSpaceDE w:val="0"/>
        <w:autoSpaceDN w:val="0"/>
        <w:bidi w:val="0"/>
        <w:adjustRightInd/>
        <w:snapToGrid/>
        <w:spacing w:line="240" w:lineRule="exact"/>
        <w:ind w:leftChars="0"/>
        <w:textAlignment w:val="auto"/>
        <w:rPr>
          <w:rFonts w:hint="eastAsia" w:ascii="黑体" w:hAnsi="黑体" w:eastAsia="黑体"/>
        </w:rPr>
      </w:pPr>
    </w:p>
    <w:p>
      <w:pPr>
        <w:pStyle w:val="68"/>
        <w:keepNext w:val="0"/>
        <w:keepLines w:val="0"/>
        <w:pageBreakBefore w:val="0"/>
        <w:widowControl/>
        <w:kinsoku/>
        <w:wordWrap/>
        <w:overflowPunct/>
        <w:topLinePunct w:val="0"/>
        <w:autoSpaceDE w:val="0"/>
        <w:autoSpaceDN w:val="0"/>
        <w:bidi w:val="0"/>
        <w:adjustRightInd/>
        <w:snapToGrid/>
        <w:spacing w:line="240" w:lineRule="auto"/>
        <w:ind w:firstLine="420"/>
        <w:textAlignment w:val="auto"/>
        <w:rPr>
          <w:rFonts w:hAnsi="宋体"/>
        </w:rPr>
      </w:pPr>
      <w:r>
        <w:rPr>
          <w:rFonts w:hint="eastAsia" w:hAnsi="宋体"/>
        </w:rPr>
        <w:t>环境影响评价指标的选择取决于评价目的，并影响数据收集的范围。</w:t>
      </w:r>
    </w:p>
    <w:p>
      <w:pPr>
        <w:pStyle w:val="68"/>
        <w:snapToGrid w:val="0"/>
        <w:spacing w:line="264" w:lineRule="auto"/>
        <w:ind w:firstLine="420"/>
        <w:rPr>
          <w:rFonts w:hAnsi="宋体"/>
        </w:rPr>
      </w:pPr>
      <w:r>
        <w:rPr>
          <w:rFonts w:hint="eastAsia" w:hAnsi="宋体"/>
        </w:rPr>
        <w:t>环境影响评价指标选择可考虑目标市场、客户、相关方所关注的环境问题，以及产品特有的环境影响类型。</w:t>
      </w:r>
    </w:p>
    <w:p>
      <w:pPr>
        <w:pStyle w:val="68"/>
        <w:keepNext w:val="0"/>
        <w:keepLines w:val="0"/>
        <w:pageBreakBefore w:val="0"/>
        <w:widowControl/>
        <w:kinsoku/>
        <w:wordWrap/>
        <w:overflowPunct/>
        <w:topLinePunct w:val="0"/>
        <w:autoSpaceDE w:val="0"/>
        <w:autoSpaceDN w:val="0"/>
        <w:bidi w:val="0"/>
        <w:adjustRightInd/>
        <w:snapToGrid/>
        <w:spacing w:line="240" w:lineRule="auto"/>
        <w:ind w:firstLine="420"/>
        <w:textAlignment w:val="auto"/>
        <w:rPr>
          <w:rFonts w:hint="eastAsia" w:hAnsi="宋体"/>
        </w:rPr>
      </w:pPr>
      <w:r>
        <w:rPr>
          <w:rFonts w:hint="eastAsia" w:hAnsi="宋体"/>
        </w:rPr>
        <w:t>环境影响评价指标包括温室气体（碳足迹）、酸化、富营养化（水体）、富营养化（土壤）、可吸入无机物、臭氧层损耗、电离辐射、人体毒性（致癌）、人体毒性（非致癌）、生态毒性、能源消耗、矿石资源消耗、水资源消耗、土地转化等。</w:t>
      </w:r>
    </w:p>
    <w:p>
      <w:pPr>
        <w:pStyle w:val="68"/>
        <w:keepNext w:val="0"/>
        <w:keepLines w:val="0"/>
        <w:pageBreakBefore w:val="0"/>
        <w:widowControl/>
        <w:kinsoku/>
        <w:wordWrap/>
        <w:overflowPunct/>
        <w:topLinePunct w:val="0"/>
        <w:autoSpaceDE w:val="0"/>
        <w:autoSpaceDN w:val="0"/>
        <w:bidi w:val="0"/>
        <w:adjustRightInd/>
        <w:snapToGrid/>
        <w:spacing w:line="240" w:lineRule="exact"/>
        <w:ind w:firstLine="420"/>
        <w:textAlignment w:val="auto"/>
        <w:rPr>
          <w:rFonts w:hint="eastAsia" w:hAnsi="宋体"/>
        </w:rPr>
      </w:pPr>
    </w:p>
    <w:p>
      <w:pPr>
        <w:pStyle w:val="68"/>
        <w:keepNext w:val="0"/>
        <w:keepLines w:val="0"/>
        <w:pageBreakBefore w:val="0"/>
        <w:widowControl/>
        <w:numPr>
          <w:ilvl w:val="0"/>
          <w:numId w:val="0"/>
        </w:numPr>
        <w:kinsoku/>
        <w:wordWrap/>
        <w:overflowPunct/>
        <w:topLinePunct w:val="0"/>
        <w:autoSpaceDE w:val="0"/>
        <w:autoSpaceDN w:val="0"/>
        <w:bidi w:val="0"/>
        <w:adjustRightInd/>
        <w:snapToGrid/>
        <w:spacing w:line="240" w:lineRule="auto"/>
        <w:ind w:leftChars="0"/>
        <w:textAlignment w:val="auto"/>
        <w:rPr>
          <w:rFonts w:hint="eastAsia" w:ascii="黑体" w:hAnsi="黑体" w:eastAsia="黑体"/>
        </w:rPr>
      </w:pPr>
      <w:r>
        <w:rPr>
          <w:rFonts w:hint="eastAsia" w:ascii="黑体" w:hAnsi="黑体" w:eastAsia="黑体"/>
          <w:lang w:val="en-US" w:eastAsia="zh-CN"/>
        </w:rPr>
        <w:t xml:space="preserve">A.2.5  </w:t>
      </w:r>
      <w:r>
        <w:rPr>
          <w:rFonts w:hint="eastAsia" w:ascii="黑体" w:hAnsi="黑体" w:eastAsia="黑体"/>
        </w:rPr>
        <w:t>数据取舍准则</w:t>
      </w:r>
    </w:p>
    <w:p>
      <w:pPr>
        <w:pStyle w:val="68"/>
        <w:keepNext w:val="0"/>
        <w:keepLines w:val="0"/>
        <w:pageBreakBefore w:val="0"/>
        <w:widowControl/>
        <w:numPr>
          <w:ilvl w:val="0"/>
          <w:numId w:val="0"/>
        </w:numPr>
        <w:kinsoku/>
        <w:wordWrap/>
        <w:overflowPunct/>
        <w:topLinePunct w:val="0"/>
        <w:autoSpaceDE w:val="0"/>
        <w:autoSpaceDN w:val="0"/>
        <w:bidi w:val="0"/>
        <w:adjustRightInd/>
        <w:snapToGrid/>
        <w:spacing w:line="240" w:lineRule="exact"/>
        <w:ind w:leftChars="0"/>
        <w:jc w:val="distribute"/>
        <w:textAlignment w:val="auto"/>
        <w:rPr>
          <w:rFonts w:hint="eastAsia" w:ascii="黑体" w:hAnsi="黑体" w:eastAsia="黑体"/>
        </w:rPr>
      </w:pPr>
    </w:p>
    <w:p>
      <w:pPr>
        <w:pStyle w:val="68"/>
        <w:snapToGrid w:val="0"/>
        <w:spacing w:line="264" w:lineRule="auto"/>
        <w:ind w:firstLine="420"/>
        <w:rPr>
          <w:rFonts w:hAnsi="宋体"/>
        </w:rPr>
      </w:pPr>
      <w:r>
        <w:rPr>
          <w:rFonts w:hint="eastAsia" w:hAnsi="宋体"/>
        </w:rPr>
        <w:t>在选定系统边界和环境影响评价指标的基础上， 可规定一套数据取舍准则， 忽略对评价结果影响较小的因素，从而简化数据收集和评价过程。</w:t>
      </w:r>
    </w:p>
    <w:p>
      <w:pPr>
        <w:pStyle w:val="68"/>
        <w:snapToGrid w:val="0"/>
        <w:spacing w:line="264" w:lineRule="auto"/>
        <w:ind w:firstLine="420"/>
        <w:rPr>
          <w:rFonts w:hAnsi="宋体"/>
        </w:rPr>
      </w:pPr>
      <w:r>
        <w:rPr>
          <w:rFonts w:hint="eastAsia" w:hAnsi="宋体"/>
        </w:rPr>
        <w:t>常用的取舍准则包括、但不限于：</w:t>
      </w:r>
    </w:p>
    <w:p>
      <w:pPr>
        <w:pStyle w:val="68"/>
        <w:snapToGrid w:val="0"/>
        <w:spacing w:line="264" w:lineRule="auto"/>
        <w:ind w:left="840" w:leftChars="200" w:hanging="420" w:hangingChars="200"/>
        <w:rPr>
          <w:rFonts w:hAnsi="宋体"/>
        </w:rPr>
      </w:pPr>
      <w:r>
        <w:rPr>
          <w:rFonts w:hint="eastAsia" w:hAnsi="宋体"/>
        </w:rPr>
        <w:t xml:space="preserve">a) </w:t>
      </w:r>
      <w:r>
        <w:rPr>
          <w:rFonts w:hint="eastAsia" w:hAnsi="宋体"/>
          <w:lang w:val="en-US" w:eastAsia="zh-CN"/>
        </w:rPr>
        <w:t xml:space="preserve"> </w:t>
      </w:r>
      <w:r>
        <w:rPr>
          <w:rFonts w:hint="eastAsia" w:hAnsi="宋体"/>
        </w:rPr>
        <w:t>原则上可忽略对LCA结果影响不大的能耗、零部件、原辅料、使用阶段耗材等消耗。例如，小于产品重量1％的普通物耗可忽略、含有稀贵金属（如金银铂钯等）或高纯物质（如纯度高于99.99％）的物耗小于产品重量0.1％时可忽略（同类物料，如芯片、螺钉，应该按此类物料合计重量判断），但总共忽略的物耗推荐不超过产品重量的5％；</w:t>
      </w:r>
    </w:p>
    <w:p>
      <w:pPr>
        <w:pStyle w:val="68"/>
        <w:snapToGrid w:val="0"/>
        <w:spacing w:line="264" w:lineRule="auto"/>
        <w:ind w:firstLine="420"/>
        <w:rPr>
          <w:rFonts w:hAnsi="宋体"/>
        </w:rPr>
      </w:pPr>
      <w:r>
        <w:rPr>
          <w:rFonts w:hint="eastAsia" w:hAnsi="宋体"/>
        </w:rPr>
        <w:t xml:space="preserve">b) </w:t>
      </w:r>
      <w:r>
        <w:rPr>
          <w:rFonts w:hint="eastAsia" w:hAnsi="宋体"/>
          <w:lang w:val="en-US" w:eastAsia="zh-CN"/>
        </w:rPr>
        <w:t xml:space="preserve"> </w:t>
      </w:r>
      <w:r>
        <w:rPr>
          <w:rFonts w:hint="eastAsia" w:hAnsi="宋体"/>
        </w:rPr>
        <w:t>道路与厂房等基础设施、生产设备、厂区内人员及生活设施的消耗和排放，可忽略；</w:t>
      </w:r>
    </w:p>
    <w:p>
      <w:pPr>
        <w:pStyle w:val="68"/>
        <w:keepNext w:val="0"/>
        <w:keepLines w:val="0"/>
        <w:pageBreakBefore w:val="0"/>
        <w:widowControl/>
        <w:kinsoku/>
        <w:wordWrap/>
        <w:overflowPunct/>
        <w:topLinePunct w:val="0"/>
        <w:autoSpaceDE w:val="0"/>
        <w:autoSpaceDN w:val="0"/>
        <w:bidi w:val="0"/>
        <w:adjustRightInd/>
        <w:snapToGrid w:val="0"/>
        <w:spacing w:line="240" w:lineRule="auto"/>
        <w:ind w:left="840" w:leftChars="200" w:hanging="420" w:hangingChars="200"/>
        <w:textAlignment w:val="auto"/>
        <w:rPr>
          <w:rFonts w:hint="eastAsia" w:hAnsi="宋体"/>
        </w:rPr>
      </w:pPr>
      <w:r>
        <w:rPr>
          <w:rFonts w:hint="eastAsia" w:hAnsi="宋体"/>
        </w:rPr>
        <w:t xml:space="preserve">c) </w:t>
      </w:r>
      <w:r>
        <w:rPr>
          <w:rFonts w:hint="eastAsia" w:hAnsi="宋体"/>
          <w:lang w:val="en-US" w:eastAsia="zh-CN"/>
        </w:rPr>
        <w:t xml:space="preserve"> </w:t>
      </w:r>
      <w:r>
        <w:rPr>
          <w:rFonts w:hint="eastAsia" w:hAnsi="宋体"/>
        </w:rPr>
        <w:t>原则上包括与所选环境影响类型相关的所有环境排放， 但在估计排放数据对结果影响不大的情况下（如小于1％时）可忽略，但总共忽略的排放推荐不超过对应指标总值的5％。可在LCA报告中说明采用的取舍准则，以及因此被排除在系统之外的过程和数据。</w:t>
      </w:r>
    </w:p>
    <w:p>
      <w:pPr>
        <w:pStyle w:val="68"/>
        <w:keepNext w:val="0"/>
        <w:keepLines w:val="0"/>
        <w:pageBreakBefore w:val="0"/>
        <w:widowControl/>
        <w:kinsoku/>
        <w:wordWrap/>
        <w:overflowPunct/>
        <w:topLinePunct w:val="0"/>
        <w:autoSpaceDE w:val="0"/>
        <w:autoSpaceDN w:val="0"/>
        <w:bidi w:val="0"/>
        <w:adjustRightInd/>
        <w:snapToGrid w:val="0"/>
        <w:spacing w:line="240" w:lineRule="exact"/>
        <w:ind w:firstLine="420"/>
        <w:textAlignment w:val="auto"/>
        <w:rPr>
          <w:rFonts w:hint="eastAsia" w:hAnsi="宋体"/>
        </w:rPr>
      </w:pPr>
    </w:p>
    <w:p>
      <w:pPr>
        <w:pStyle w:val="68"/>
        <w:keepNext w:val="0"/>
        <w:keepLines w:val="0"/>
        <w:pageBreakBefore w:val="0"/>
        <w:widowControl/>
        <w:numPr>
          <w:ilvl w:val="0"/>
          <w:numId w:val="0"/>
        </w:numPr>
        <w:kinsoku/>
        <w:wordWrap/>
        <w:overflowPunct/>
        <w:topLinePunct w:val="0"/>
        <w:autoSpaceDE w:val="0"/>
        <w:autoSpaceDN w:val="0"/>
        <w:bidi w:val="0"/>
        <w:adjustRightInd/>
        <w:spacing w:line="240" w:lineRule="auto"/>
        <w:ind w:leftChars="0"/>
        <w:textAlignment w:val="auto"/>
        <w:rPr>
          <w:rFonts w:hint="eastAsia" w:ascii="黑体" w:hAnsi="黑体" w:eastAsia="黑体"/>
        </w:rPr>
      </w:pPr>
      <w:r>
        <w:rPr>
          <w:rFonts w:hint="eastAsia" w:ascii="黑体" w:hAnsi="黑体" w:eastAsia="黑体"/>
          <w:lang w:val="en-US" w:eastAsia="zh-CN"/>
        </w:rPr>
        <w:t xml:space="preserve">A.3  </w:t>
      </w:r>
      <w:r>
        <w:rPr>
          <w:rFonts w:hint="eastAsia" w:ascii="黑体" w:hAnsi="黑体" w:eastAsia="黑体"/>
        </w:rPr>
        <w:t>生命周期清单数据收集</w:t>
      </w:r>
    </w:p>
    <w:p>
      <w:pPr>
        <w:pStyle w:val="68"/>
        <w:keepNext w:val="0"/>
        <w:keepLines w:val="0"/>
        <w:pageBreakBefore w:val="0"/>
        <w:widowControl/>
        <w:numPr>
          <w:ilvl w:val="0"/>
          <w:numId w:val="0"/>
        </w:numPr>
        <w:kinsoku/>
        <w:wordWrap/>
        <w:overflowPunct/>
        <w:topLinePunct w:val="0"/>
        <w:autoSpaceDE w:val="0"/>
        <w:autoSpaceDN w:val="0"/>
        <w:bidi w:val="0"/>
        <w:adjustRightInd/>
        <w:snapToGrid/>
        <w:spacing w:line="240" w:lineRule="exact"/>
        <w:ind w:leftChars="0"/>
        <w:textAlignment w:val="auto"/>
        <w:rPr>
          <w:rFonts w:hint="eastAsia" w:ascii="黑体" w:hAnsi="黑体" w:eastAsia="黑体"/>
        </w:rPr>
      </w:pPr>
    </w:p>
    <w:p>
      <w:pPr>
        <w:pStyle w:val="68"/>
        <w:keepNext w:val="0"/>
        <w:keepLines w:val="0"/>
        <w:pageBreakBefore w:val="0"/>
        <w:widowControl/>
        <w:numPr>
          <w:ilvl w:val="0"/>
          <w:numId w:val="0"/>
        </w:numPr>
        <w:kinsoku/>
        <w:wordWrap/>
        <w:overflowPunct/>
        <w:topLinePunct w:val="0"/>
        <w:autoSpaceDE w:val="0"/>
        <w:autoSpaceDN w:val="0"/>
        <w:bidi w:val="0"/>
        <w:adjustRightInd/>
        <w:spacing w:line="240" w:lineRule="auto"/>
        <w:ind w:leftChars="0"/>
        <w:textAlignment w:val="auto"/>
        <w:rPr>
          <w:rFonts w:hint="eastAsia" w:ascii="黑体" w:hAnsi="黑体" w:eastAsia="黑体"/>
        </w:rPr>
      </w:pPr>
      <w:r>
        <w:rPr>
          <w:rFonts w:hint="eastAsia" w:ascii="黑体" w:hAnsi="黑体" w:eastAsia="黑体"/>
          <w:lang w:val="en-US" w:eastAsia="zh-CN"/>
        </w:rPr>
        <w:t xml:space="preserve">A.3.1  </w:t>
      </w:r>
      <w:r>
        <w:rPr>
          <w:rFonts w:hint="eastAsia" w:ascii="黑体" w:hAnsi="黑体" w:eastAsia="黑体"/>
        </w:rPr>
        <w:t>基本方法</w:t>
      </w:r>
    </w:p>
    <w:p>
      <w:pPr>
        <w:pStyle w:val="68"/>
        <w:keepNext w:val="0"/>
        <w:keepLines w:val="0"/>
        <w:pageBreakBefore w:val="0"/>
        <w:widowControl/>
        <w:numPr>
          <w:ilvl w:val="0"/>
          <w:numId w:val="0"/>
        </w:numPr>
        <w:kinsoku/>
        <w:wordWrap/>
        <w:overflowPunct/>
        <w:topLinePunct w:val="0"/>
        <w:autoSpaceDE w:val="0"/>
        <w:autoSpaceDN w:val="0"/>
        <w:bidi w:val="0"/>
        <w:adjustRightInd/>
        <w:snapToGrid/>
        <w:spacing w:line="240" w:lineRule="exact"/>
        <w:ind w:leftChars="0"/>
        <w:textAlignment w:val="auto"/>
        <w:rPr>
          <w:rFonts w:hint="eastAsia" w:ascii="黑体" w:hAnsi="黑体" w:eastAsia="黑体"/>
        </w:rPr>
      </w:pPr>
    </w:p>
    <w:p>
      <w:pPr>
        <w:pStyle w:val="68"/>
        <w:snapToGrid w:val="0"/>
        <w:spacing w:line="264" w:lineRule="auto"/>
        <w:ind w:firstLine="420"/>
        <w:rPr>
          <w:rFonts w:hAnsi="宋体"/>
        </w:rPr>
      </w:pPr>
      <w:r>
        <w:rPr>
          <w:rFonts w:hint="eastAsia" w:hAnsi="宋体"/>
        </w:rPr>
        <w:t>收集系统边界内各过程产出单位产品所对应的各项消耗与排放数据， 即清单数据。 数据来源包括实际生产过程统计或监测、文献资料、LCA数据库。</w:t>
      </w:r>
    </w:p>
    <w:p>
      <w:pPr>
        <w:pStyle w:val="68"/>
        <w:snapToGrid w:val="0"/>
        <w:spacing w:line="264" w:lineRule="auto"/>
        <w:ind w:firstLine="420"/>
        <w:rPr>
          <w:rFonts w:hAnsi="宋体"/>
        </w:rPr>
      </w:pPr>
      <w:r>
        <w:rPr>
          <w:rFonts w:hint="eastAsia" w:hAnsi="宋体"/>
        </w:rPr>
        <w:t>对于不同情况，有不同的数据收集要求：</w:t>
      </w:r>
    </w:p>
    <w:p>
      <w:pPr>
        <w:pStyle w:val="68"/>
        <w:keepNext w:val="0"/>
        <w:keepLines w:val="0"/>
        <w:pageBreakBefore w:val="0"/>
        <w:widowControl/>
        <w:kinsoku/>
        <w:wordWrap/>
        <w:overflowPunct/>
        <w:topLinePunct w:val="0"/>
        <w:autoSpaceDE w:val="0"/>
        <w:autoSpaceDN w:val="0"/>
        <w:bidi w:val="0"/>
        <w:adjustRightInd/>
        <w:snapToGrid w:val="0"/>
        <w:spacing w:line="264" w:lineRule="auto"/>
        <w:ind w:left="840" w:leftChars="200" w:hanging="420" w:hangingChars="200"/>
        <w:textAlignment w:val="auto"/>
        <w:rPr>
          <w:rFonts w:hAnsi="宋体"/>
        </w:rPr>
      </w:pPr>
      <w:r>
        <w:rPr>
          <w:rFonts w:hint="eastAsia" w:hAnsi="宋体"/>
        </w:rPr>
        <w:t xml:space="preserve">a) </w:t>
      </w:r>
      <w:r>
        <w:rPr>
          <w:rFonts w:hint="eastAsia" w:hAnsi="宋体"/>
          <w:lang w:val="en-US" w:eastAsia="zh-CN"/>
        </w:rPr>
        <w:t xml:space="preserve"> </w:t>
      </w:r>
      <w:r>
        <w:rPr>
          <w:rFonts w:hint="eastAsia" w:hAnsi="宋体"/>
        </w:rPr>
        <w:t>开展产品LCA的企业对本企业、或负责实际生产的代工生产（OEM）企业的生产过程的物料消耗和环境排放进行调查。</w:t>
      </w:r>
    </w:p>
    <w:p>
      <w:pPr>
        <w:pStyle w:val="68"/>
        <w:snapToGrid w:val="0"/>
        <w:spacing w:line="264" w:lineRule="auto"/>
        <w:ind w:left="840" w:leftChars="200" w:hanging="420" w:hangingChars="200"/>
        <w:rPr>
          <w:rFonts w:hAnsi="宋体"/>
        </w:rPr>
      </w:pPr>
      <w:r>
        <w:rPr>
          <w:rFonts w:hint="eastAsia" w:hAnsi="宋体"/>
        </w:rPr>
        <w:t xml:space="preserve">b) </w:t>
      </w:r>
      <w:r>
        <w:rPr>
          <w:rFonts w:hint="eastAsia" w:hAnsi="宋体"/>
          <w:lang w:val="en-US" w:eastAsia="zh-CN"/>
        </w:rPr>
        <w:t xml:space="preserve"> </w:t>
      </w:r>
      <w:r>
        <w:rPr>
          <w:rFonts w:hint="eastAsia" w:hAnsi="宋体"/>
        </w:rPr>
        <w:t>重要物料（重要零部件和原辅料）的上游生产过程优先采用实际供应商生产过程的调查数据。一般而言，如果某项物料的重量大于 5％的产品重量，则视为重要的。按照数据取舍准则，不重要的物料消耗和能耗可忽略。</w:t>
      </w:r>
    </w:p>
    <w:p>
      <w:pPr>
        <w:pStyle w:val="68"/>
        <w:snapToGrid w:val="0"/>
        <w:spacing w:line="264" w:lineRule="auto"/>
        <w:ind w:left="840" w:leftChars="200" w:hanging="420" w:hangingChars="200"/>
        <w:rPr>
          <w:rFonts w:hAnsi="宋体"/>
        </w:rPr>
      </w:pPr>
      <w:r>
        <w:rPr>
          <w:rFonts w:hint="eastAsia" w:hAnsi="宋体"/>
        </w:rPr>
        <w:t xml:space="preserve">c) </w:t>
      </w:r>
      <w:r>
        <w:rPr>
          <w:rFonts w:hint="eastAsia" w:hAnsi="宋体"/>
          <w:lang w:val="en-US" w:eastAsia="zh-CN"/>
        </w:rPr>
        <w:t xml:space="preserve"> </w:t>
      </w:r>
      <w:r>
        <w:rPr>
          <w:rFonts w:hint="eastAsia" w:hAnsi="宋体"/>
        </w:rPr>
        <w:t>大宗原材料和能源（如电力、燃料、通用金属、非金属和塑料）的上游生产过程数据可采用LCA背景数据，优先采用代表原料产地国家、代表相同生产技术的背景数据。在原产地、相同技术的背景数据不可得的情况下，可使用其他国家、类似技术生产的同类原料的数据替代，同时明确说明替代数据来源以及产地国家和技术代表性的差异。</w:t>
      </w:r>
    </w:p>
    <w:p>
      <w:pPr>
        <w:pStyle w:val="68"/>
        <w:snapToGrid w:val="0"/>
        <w:spacing w:line="264" w:lineRule="auto"/>
        <w:ind w:left="840" w:leftChars="200" w:hanging="420" w:hangingChars="200"/>
        <w:rPr>
          <w:rFonts w:hAnsi="宋体"/>
        </w:rPr>
      </w:pPr>
      <w:r>
        <w:rPr>
          <w:rFonts w:hint="eastAsia" w:hAnsi="宋体"/>
        </w:rPr>
        <w:t xml:space="preserve">d) </w:t>
      </w:r>
      <w:r>
        <w:rPr>
          <w:rFonts w:hint="eastAsia" w:hAnsi="宋体"/>
          <w:lang w:val="en-US" w:eastAsia="zh-CN"/>
        </w:rPr>
        <w:t xml:space="preserve"> </w:t>
      </w:r>
      <w:r>
        <w:rPr>
          <w:rFonts w:hint="eastAsia" w:hAnsi="宋体"/>
        </w:rPr>
        <w:t>生产过程的环境污染物排放可采用环保监测或现场测量并换算为单位产出的排放量， 也可通过平衡计算获得数据。可按照数据取舍准则忽略不重要的排放。</w:t>
      </w:r>
    </w:p>
    <w:p>
      <w:pPr>
        <w:pStyle w:val="68"/>
        <w:snapToGrid w:val="0"/>
        <w:spacing w:line="264" w:lineRule="auto"/>
        <w:ind w:left="840" w:leftChars="200" w:hanging="420" w:hangingChars="200"/>
        <w:rPr>
          <w:rFonts w:hAnsi="宋体"/>
        </w:rPr>
      </w:pPr>
      <w:r>
        <w:rPr>
          <w:rFonts w:hint="eastAsia" w:hAnsi="宋体"/>
        </w:rPr>
        <w:t xml:space="preserve">e) </w:t>
      </w:r>
      <w:r>
        <w:rPr>
          <w:rFonts w:hint="eastAsia" w:hAnsi="宋体"/>
          <w:lang w:val="en-US" w:eastAsia="zh-CN"/>
        </w:rPr>
        <w:t xml:space="preserve"> </w:t>
      </w:r>
      <w:r>
        <w:rPr>
          <w:rFonts w:hint="eastAsia" w:hAnsi="宋体"/>
        </w:rPr>
        <w:t>实际生产过程调查中需明确数据收集期（生产期间），文献调查和背景数据尽量选择与产品生产年份接近的数据。</w:t>
      </w:r>
    </w:p>
    <w:p>
      <w:pPr>
        <w:pStyle w:val="68"/>
        <w:snapToGrid w:val="0"/>
        <w:spacing w:line="264" w:lineRule="auto"/>
        <w:ind w:left="840" w:leftChars="200" w:hanging="420" w:hangingChars="200"/>
        <w:rPr>
          <w:rFonts w:hAnsi="宋体"/>
        </w:rPr>
      </w:pPr>
      <w:r>
        <w:rPr>
          <w:rFonts w:hint="eastAsia" w:hAnsi="宋体"/>
        </w:rPr>
        <w:t xml:space="preserve">f) </w:t>
      </w:r>
      <w:r>
        <w:rPr>
          <w:rFonts w:hint="eastAsia" w:hAnsi="宋体"/>
          <w:lang w:val="en-US" w:eastAsia="zh-CN"/>
        </w:rPr>
        <w:t xml:space="preserve"> </w:t>
      </w:r>
      <w:r>
        <w:rPr>
          <w:rFonts w:hint="eastAsia" w:hAnsi="宋体"/>
        </w:rPr>
        <w:t>对于实际收集和文献调查的数据，建议详细记录相关的原始数据来源和数据处理算法，保留相关凭证，以便数据查验、审核和数据更新。</w:t>
      </w:r>
    </w:p>
    <w:p>
      <w:pPr>
        <w:pStyle w:val="68"/>
        <w:snapToGrid w:val="0"/>
        <w:spacing w:line="264" w:lineRule="auto"/>
        <w:ind w:firstLine="420"/>
        <w:rPr>
          <w:rFonts w:hAnsi="宋体"/>
        </w:rPr>
      </w:pPr>
      <w:r>
        <w:rPr>
          <w:rFonts w:hint="eastAsia" w:hAnsi="宋体"/>
        </w:rPr>
        <w:t xml:space="preserve">g) </w:t>
      </w:r>
      <w:r>
        <w:rPr>
          <w:rFonts w:hint="eastAsia" w:hAnsi="宋体"/>
          <w:lang w:val="en-US" w:eastAsia="zh-CN"/>
        </w:rPr>
        <w:t xml:space="preserve"> </w:t>
      </w:r>
      <w:r>
        <w:rPr>
          <w:rFonts w:hint="eastAsia" w:hAnsi="宋体"/>
        </w:rPr>
        <w:t>建议企业制定数据管理计划，建立产品、零部件或原材料数据库。</w:t>
      </w:r>
    </w:p>
    <w:p>
      <w:pPr>
        <w:pStyle w:val="68"/>
        <w:snapToGrid w:val="0"/>
        <w:spacing w:line="264" w:lineRule="auto"/>
        <w:ind w:firstLine="420"/>
        <w:rPr>
          <w:rFonts w:hAnsi="宋体"/>
        </w:rPr>
      </w:pPr>
      <w:r>
        <w:rPr>
          <w:rFonts w:hint="eastAsia" w:hAnsi="宋体"/>
        </w:rPr>
        <w:t>清单数据收集的基本步骤如图A.3所示。</w:t>
      </w:r>
    </w:p>
    <w:p>
      <w:pPr>
        <w:pStyle w:val="68"/>
        <w:snapToGrid w:val="0"/>
        <w:spacing w:line="264" w:lineRule="auto"/>
        <w:ind w:firstLine="0" w:firstLineChars="0"/>
        <w:jc w:val="left"/>
        <w:rPr>
          <w:rFonts w:hAnsi="宋体"/>
        </w:rPr>
      </w:pPr>
      <w:r>
        <w:rPr>
          <w:rFonts w:hint="eastAsia" w:hAnsi="宋体"/>
        </w:rPr>
        <w:drawing>
          <wp:inline distT="0" distB="0" distL="0" distR="0">
            <wp:extent cx="5953125" cy="3028950"/>
            <wp:effectExtent l="19050" t="0" r="9525" b="0"/>
            <wp:docPr id="6" name="图片 6" descr="F:\2021\2021-01-23 094528.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F:\2021\2021-01-23 094528.bmp"/>
                    <pic:cNvPicPr>
                      <a:picLocks noChangeAspect="1" noChangeArrowheads="1"/>
                    </pic:cNvPicPr>
                  </pic:nvPicPr>
                  <pic:blipFill>
                    <a:blip r:embed="rId15"/>
                    <a:srcRect/>
                    <a:stretch>
                      <a:fillRect/>
                    </a:stretch>
                  </pic:blipFill>
                  <pic:spPr>
                    <a:xfrm>
                      <a:off x="0" y="0"/>
                      <a:ext cx="5953125" cy="3028950"/>
                    </a:xfrm>
                    <a:prstGeom prst="rect">
                      <a:avLst/>
                    </a:prstGeom>
                    <a:noFill/>
                    <a:ln w="9525">
                      <a:noFill/>
                      <a:miter lim="800000"/>
                      <a:headEnd/>
                      <a:tailEnd/>
                    </a:ln>
                  </pic:spPr>
                </pic:pic>
              </a:graphicData>
            </a:graphic>
          </wp:inline>
        </w:drawing>
      </w:r>
    </w:p>
    <w:p>
      <w:pPr>
        <w:pStyle w:val="68"/>
        <w:keepNext w:val="0"/>
        <w:keepLines w:val="0"/>
        <w:pageBreakBefore w:val="0"/>
        <w:widowControl/>
        <w:kinsoku/>
        <w:wordWrap/>
        <w:overflowPunct/>
        <w:topLinePunct w:val="0"/>
        <w:autoSpaceDE w:val="0"/>
        <w:autoSpaceDN w:val="0"/>
        <w:bidi w:val="0"/>
        <w:adjustRightInd/>
        <w:snapToGrid/>
        <w:spacing w:line="240" w:lineRule="auto"/>
        <w:ind w:firstLine="420"/>
        <w:jc w:val="center"/>
        <w:textAlignment w:val="auto"/>
        <w:rPr>
          <w:rFonts w:hint="eastAsia" w:ascii="黑体" w:hAnsi="黑体" w:eastAsia="黑体"/>
        </w:rPr>
      </w:pPr>
      <w:r>
        <w:rPr>
          <w:rFonts w:hint="eastAsia" w:ascii="黑体" w:hAnsi="黑体" w:eastAsia="黑体"/>
        </w:rPr>
        <w:t xml:space="preserve">图A.3 </w:t>
      </w:r>
      <w:r>
        <w:rPr>
          <w:rFonts w:hint="eastAsia" w:ascii="黑体" w:hAnsi="黑体" w:eastAsia="黑体"/>
          <w:lang w:val="en-US" w:eastAsia="zh-CN"/>
        </w:rPr>
        <w:t xml:space="preserve"> </w:t>
      </w:r>
      <w:r>
        <w:rPr>
          <w:rFonts w:hint="eastAsia" w:ascii="黑体" w:hAnsi="黑体" w:eastAsia="黑体"/>
        </w:rPr>
        <w:t>软水机生命周期清单数据收集基本步骤</w:t>
      </w:r>
    </w:p>
    <w:p>
      <w:pPr>
        <w:pStyle w:val="68"/>
        <w:keepNext w:val="0"/>
        <w:keepLines w:val="0"/>
        <w:pageBreakBefore w:val="0"/>
        <w:widowControl/>
        <w:kinsoku/>
        <w:wordWrap/>
        <w:overflowPunct/>
        <w:topLinePunct w:val="0"/>
        <w:autoSpaceDE w:val="0"/>
        <w:autoSpaceDN w:val="0"/>
        <w:bidi w:val="0"/>
        <w:adjustRightInd/>
        <w:snapToGrid/>
        <w:spacing w:line="240" w:lineRule="exact"/>
        <w:ind w:firstLine="420"/>
        <w:jc w:val="center"/>
        <w:textAlignment w:val="auto"/>
        <w:rPr>
          <w:rFonts w:hint="eastAsia" w:ascii="黑体" w:hAnsi="黑体" w:eastAsia="黑体"/>
        </w:rPr>
      </w:pPr>
    </w:p>
    <w:p>
      <w:pPr>
        <w:pStyle w:val="68"/>
        <w:keepNext w:val="0"/>
        <w:keepLines w:val="0"/>
        <w:pageBreakBefore w:val="0"/>
        <w:widowControl/>
        <w:numPr>
          <w:ilvl w:val="0"/>
          <w:numId w:val="0"/>
        </w:numPr>
        <w:kinsoku/>
        <w:wordWrap/>
        <w:overflowPunct/>
        <w:topLinePunct w:val="0"/>
        <w:autoSpaceDE w:val="0"/>
        <w:autoSpaceDN w:val="0"/>
        <w:bidi w:val="0"/>
        <w:adjustRightInd/>
        <w:snapToGrid/>
        <w:spacing w:line="240" w:lineRule="auto"/>
        <w:ind w:leftChars="0"/>
        <w:textAlignment w:val="auto"/>
        <w:rPr>
          <w:rFonts w:hint="eastAsia" w:ascii="黑体" w:hAnsi="黑体" w:eastAsia="黑体"/>
        </w:rPr>
      </w:pPr>
      <w:r>
        <w:rPr>
          <w:rFonts w:hint="eastAsia" w:ascii="黑体" w:hAnsi="黑体" w:eastAsia="黑体"/>
          <w:lang w:val="en-US" w:eastAsia="zh-CN"/>
        </w:rPr>
        <w:t xml:space="preserve">A.3.2  </w:t>
      </w:r>
      <w:r>
        <w:rPr>
          <w:rFonts w:hint="eastAsia" w:ascii="黑体" w:hAnsi="黑体" w:eastAsia="黑体"/>
        </w:rPr>
        <w:t>企业生产阶段的数据收集</w:t>
      </w:r>
    </w:p>
    <w:p>
      <w:pPr>
        <w:pStyle w:val="68"/>
        <w:keepNext w:val="0"/>
        <w:keepLines w:val="0"/>
        <w:pageBreakBefore w:val="0"/>
        <w:widowControl/>
        <w:numPr>
          <w:ilvl w:val="0"/>
          <w:numId w:val="0"/>
        </w:numPr>
        <w:kinsoku/>
        <w:wordWrap/>
        <w:overflowPunct/>
        <w:topLinePunct w:val="0"/>
        <w:autoSpaceDE w:val="0"/>
        <w:autoSpaceDN w:val="0"/>
        <w:bidi w:val="0"/>
        <w:adjustRightInd/>
        <w:snapToGrid/>
        <w:spacing w:line="240" w:lineRule="exact"/>
        <w:ind w:leftChars="0"/>
        <w:textAlignment w:val="auto"/>
        <w:rPr>
          <w:rFonts w:hint="eastAsia" w:ascii="黑体" w:hAnsi="黑体" w:eastAsia="黑体"/>
        </w:rPr>
      </w:pPr>
    </w:p>
    <w:p>
      <w:pPr>
        <w:pStyle w:val="68"/>
        <w:snapToGrid w:val="0"/>
        <w:ind w:firstLine="420"/>
        <w:rPr>
          <w:rFonts w:hAnsi="宋体"/>
        </w:rPr>
      </w:pPr>
      <w:r>
        <w:rPr>
          <w:rFonts w:hint="eastAsia" w:hAnsi="宋体"/>
        </w:rPr>
        <w:t>开展产品LCA的企业需要对本企业、或负责实际生产的代工生产（OEM）企业的实际生产过程进行调查，包括产品组装和自制零部件生产。该阶段始于产品外购零部件、原材料进入生产场址，止于成品出厂。建议按以下方式进行数据收集：</w:t>
      </w:r>
    </w:p>
    <w:p>
      <w:pPr>
        <w:pStyle w:val="68"/>
        <w:keepNext w:val="0"/>
        <w:keepLines w:val="0"/>
        <w:pageBreakBefore w:val="0"/>
        <w:widowControl/>
        <w:kinsoku/>
        <w:wordWrap/>
        <w:overflowPunct/>
        <w:topLinePunct w:val="0"/>
        <w:autoSpaceDE w:val="0"/>
        <w:autoSpaceDN w:val="0"/>
        <w:bidi w:val="0"/>
        <w:adjustRightInd/>
        <w:snapToGrid w:val="0"/>
        <w:spacing w:line="240" w:lineRule="auto"/>
        <w:ind w:left="840" w:leftChars="200" w:hanging="420" w:hangingChars="200"/>
        <w:textAlignment w:val="auto"/>
        <w:rPr>
          <w:rFonts w:hAnsi="宋体"/>
        </w:rPr>
      </w:pPr>
      <w:r>
        <w:rPr>
          <w:rFonts w:hint="eastAsia" w:hAnsi="宋体"/>
        </w:rPr>
        <w:t xml:space="preserve">a) </w:t>
      </w:r>
      <w:r>
        <w:rPr>
          <w:rFonts w:hint="eastAsia" w:hAnsi="宋体"/>
          <w:lang w:val="en-US" w:eastAsia="zh-CN"/>
        </w:rPr>
        <w:t xml:space="preserve"> </w:t>
      </w:r>
      <w:r>
        <w:rPr>
          <w:rFonts w:hint="eastAsia" w:hAnsi="宋体"/>
        </w:rPr>
        <w:t>零部件和物料消耗数量可采用产品物料清单（BOM）数据，并按产品合格率进行修正。如果零部件的使用寿命与产品使用寿命不同，也可进行修正；</w:t>
      </w:r>
    </w:p>
    <w:p>
      <w:pPr>
        <w:pStyle w:val="68"/>
        <w:keepNext w:val="0"/>
        <w:keepLines w:val="0"/>
        <w:pageBreakBefore w:val="0"/>
        <w:widowControl/>
        <w:kinsoku/>
        <w:wordWrap/>
        <w:overflowPunct/>
        <w:topLinePunct w:val="0"/>
        <w:autoSpaceDE w:val="0"/>
        <w:autoSpaceDN w:val="0"/>
        <w:bidi w:val="0"/>
        <w:adjustRightInd/>
        <w:snapToGrid w:val="0"/>
        <w:spacing w:line="240" w:lineRule="auto"/>
        <w:ind w:left="840" w:leftChars="200" w:hanging="420" w:hangingChars="200"/>
        <w:textAlignment w:val="auto"/>
        <w:rPr>
          <w:rFonts w:hAnsi="宋体"/>
        </w:rPr>
      </w:pPr>
      <w:r>
        <w:rPr>
          <w:rFonts w:hint="eastAsia" w:hAnsi="宋体"/>
        </w:rPr>
        <w:t>b)</w:t>
      </w:r>
      <w:r>
        <w:rPr>
          <w:rFonts w:hint="eastAsia" w:hAnsi="宋体"/>
          <w:lang w:val="en-US" w:eastAsia="zh-CN"/>
        </w:rPr>
        <w:t xml:space="preserve">  </w:t>
      </w:r>
      <w:r>
        <w:rPr>
          <w:rFonts w:hint="eastAsia" w:hAnsi="宋体"/>
        </w:rPr>
        <w:t>生产过程的能耗、辅料消耗、包装消耗、环境排放数据以及产品销售的运输数据，可从企业相关部门调查得到或通过测量得到；</w:t>
      </w:r>
    </w:p>
    <w:p>
      <w:pPr>
        <w:pStyle w:val="68"/>
        <w:keepNext w:val="0"/>
        <w:keepLines w:val="0"/>
        <w:pageBreakBefore w:val="0"/>
        <w:widowControl/>
        <w:kinsoku/>
        <w:wordWrap/>
        <w:overflowPunct/>
        <w:topLinePunct w:val="0"/>
        <w:autoSpaceDE w:val="0"/>
        <w:autoSpaceDN w:val="0"/>
        <w:bidi w:val="0"/>
        <w:adjustRightInd/>
        <w:snapToGrid/>
        <w:spacing w:line="240" w:lineRule="auto"/>
        <w:ind w:firstLine="420"/>
        <w:textAlignment w:val="auto"/>
        <w:rPr>
          <w:rFonts w:hint="eastAsia" w:hAnsi="宋体"/>
        </w:rPr>
      </w:pPr>
      <w:r>
        <w:rPr>
          <w:rFonts w:hint="eastAsia" w:hAnsi="宋体"/>
        </w:rPr>
        <w:t>c)</w:t>
      </w:r>
      <w:r>
        <w:rPr>
          <w:rFonts w:hint="eastAsia" w:hAnsi="宋体"/>
          <w:lang w:val="en-US" w:eastAsia="zh-CN"/>
        </w:rPr>
        <w:t xml:space="preserve">  </w:t>
      </w:r>
      <w:r>
        <w:rPr>
          <w:rFonts w:hint="eastAsia" w:hAnsi="宋体"/>
        </w:rPr>
        <w:t>按照取舍准则要求可忽略不重要的数据。</w:t>
      </w:r>
    </w:p>
    <w:p>
      <w:pPr>
        <w:pStyle w:val="68"/>
        <w:keepNext w:val="0"/>
        <w:keepLines w:val="0"/>
        <w:pageBreakBefore w:val="0"/>
        <w:widowControl/>
        <w:kinsoku/>
        <w:wordWrap/>
        <w:overflowPunct/>
        <w:topLinePunct w:val="0"/>
        <w:autoSpaceDE w:val="0"/>
        <w:autoSpaceDN w:val="0"/>
        <w:bidi w:val="0"/>
        <w:adjustRightInd/>
        <w:snapToGrid/>
        <w:spacing w:line="240" w:lineRule="exact"/>
        <w:ind w:firstLine="420"/>
        <w:textAlignment w:val="auto"/>
        <w:rPr>
          <w:rFonts w:hint="eastAsia" w:hAnsi="宋体"/>
        </w:rPr>
      </w:pPr>
    </w:p>
    <w:p>
      <w:pPr>
        <w:pStyle w:val="68"/>
        <w:keepNext w:val="0"/>
        <w:keepLines w:val="0"/>
        <w:pageBreakBefore w:val="0"/>
        <w:widowControl/>
        <w:numPr>
          <w:ilvl w:val="0"/>
          <w:numId w:val="0"/>
        </w:numPr>
        <w:kinsoku/>
        <w:wordWrap/>
        <w:overflowPunct/>
        <w:topLinePunct w:val="0"/>
        <w:autoSpaceDE w:val="0"/>
        <w:autoSpaceDN w:val="0"/>
        <w:bidi w:val="0"/>
        <w:adjustRightInd/>
        <w:snapToGrid/>
        <w:ind w:leftChars="0"/>
        <w:textAlignment w:val="auto"/>
        <w:rPr>
          <w:rFonts w:hint="eastAsia" w:ascii="黑体" w:hAnsi="黑体" w:eastAsia="黑体"/>
        </w:rPr>
      </w:pPr>
      <w:r>
        <w:rPr>
          <w:rFonts w:hint="eastAsia" w:ascii="黑体" w:hAnsi="黑体" w:eastAsia="黑体"/>
          <w:lang w:val="en-US" w:eastAsia="zh-CN"/>
        </w:rPr>
        <w:t xml:space="preserve">A.3.3  </w:t>
      </w:r>
      <w:r>
        <w:rPr>
          <w:rFonts w:hint="eastAsia" w:ascii="黑体" w:hAnsi="黑体" w:eastAsia="黑体"/>
        </w:rPr>
        <w:t>外购物料的生产阶段数据收集</w:t>
      </w:r>
    </w:p>
    <w:p>
      <w:pPr>
        <w:pStyle w:val="68"/>
        <w:keepNext w:val="0"/>
        <w:keepLines w:val="0"/>
        <w:pageBreakBefore w:val="0"/>
        <w:widowControl/>
        <w:numPr>
          <w:ilvl w:val="0"/>
          <w:numId w:val="0"/>
        </w:numPr>
        <w:kinsoku/>
        <w:wordWrap/>
        <w:overflowPunct/>
        <w:topLinePunct w:val="0"/>
        <w:autoSpaceDE w:val="0"/>
        <w:autoSpaceDN w:val="0"/>
        <w:bidi w:val="0"/>
        <w:adjustRightInd/>
        <w:snapToGrid/>
        <w:spacing w:line="240" w:lineRule="exact"/>
        <w:ind w:leftChars="0"/>
        <w:textAlignment w:val="auto"/>
        <w:rPr>
          <w:rFonts w:hint="eastAsia" w:ascii="黑体" w:hAnsi="黑体" w:eastAsia="黑体"/>
        </w:rPr>
      </w:pPr>
    </w:p>
    <w:p>
      <w:pPr>
        <w:pStyle w:val="68"/>
        <w:keepNext w:val="0"/>
        <w:keepLines w:val="0"/>
        <w:pageBreakBefore w:val="0"/>
        <w:widowControl/>
        <w:kinsoku/>
        <w:wordWrap/>
        <w:overflowPunct/>
        <w:topLinePunct w:val="0"/>
        <w:autoSpaceDE w:val="0"/>
        <w:autoSpaceDN w:val="0"/>
        <w:bidi w:val="0"/>
        <w:adjustRightInd/>
        <w:snapToGrid/>
        <w:spacing w:line="240" w:lineRule="auto"/>
        <w:ind w:firstLine="420"/>
        <w:textAlignment w:val="auto"/>
        <w:rPr>
          <w:rFonts w:hint="eastAsia" w:hAnsi="宋体"/>
        </w:rPr>
      </w:pPr>
      <w:r>
        <w:rPr>
          <w:rFonts w:hint="eastAsia" w:hAnsi="宋体"/>
        </w:rPr>
        <w:t>根据外购物料所占产品重量的比例进行重要性分类，并分别进行数据收集，如见表A.1所示。</w:t>
      </w:r>
    </w:p>
    <w:p>
      <w:pPr>
        <w:pStyle w:val="68"/>
        <w:keepNext w:val="0"/>
        <w:keepLines w:val="0"/>
        <w:pageBreakBefore w:val="0"/>
        <w:widowControl/>
        <w:kinsoku/>
        <w:wordWrap/>
        <w:overflowPunct/>
        <w:topLinePunct w:val="0"/>
        <w:autoSpaceDE w:val="0"/>
        <w:autoSpaceDN w:val="0"/>
        <w:bidi w:val="0"/>
        <w:adjustRightInd/>
        <w:snapToGrid/>
        <w:spacing w:line="240" w:lineRule="exact"/>
        <w:ind w:firstLine="420"/>
        <w:textAlignment w:val="auto"/>
        <w:rPr>
          <w:rFonts w:hint="eastAsia" w:hAnsi="宋体"/>
        </w:rPr>
      </w:pPr>
    </w:p>
    <w:p>
      <w:pPr>
        <w:pStyle w:val="68"/>
        <w:keepNext w:val="0"/>
        <w:keepLines w:val="0"/>
        <w:pageBreakBefore w:val="0"/>
        <w:widowControl/>
        <w:kinsoku/>
        <w:wordWrap/>
        <w:overflowPunct/>
        <w:topLinePunct w:val="0"/>
        <w:autoSpaceDE w:val="0"/>
        <w:autoSpaceDN w:val="0"/>
        <w:bidi w:val="0"/>
        <w:adjustRightInd/>
        <w:snapToGrid/>
        <w:spacing w:line="240" w:lineRule="auto"/>
        <w:ind w:firstLine="420"/>
        <w:jc w:val="center"/>
        <w:textAlignment w:val="auto"/>
        <w:rPr>
          <w:rFonts w:hint="eastAsia" w:ascii="黑体" w:hAnsi="黑体" w:eastAsia="黑体"/>
        </w:rPr>
      </w:pPr>
      <w:r>
        <w:rPr>
          <w:rFonts w:hint="eastAsia" w:ascii="黑体" w:hAnsi="黑体" w:eastAsia="黑体"/>
        </w:rPr>
        <w:t xml:space="preserve">表A.1 </w:t>
      </w:r>
      <w:r>
        <w:rPr>
          <w:rFonts w:hint="eastAsia" w:ascii="黑体" w:hAnsi="黑体" w:eastAsia="黑体"/>
          <w:lang w:val="en-US" w:eastAsia="zh-CN"/>
        </w:rPr>
        <w:t xml:space="preserve"> </w:t>
      </w:r>
      <w:r>
        <w:rPr>
          <w:rFonts w:hint="eastAsia" w:ascii="黑体" w:hAnsi="黑体" w:eastAsia="黑体"/>
        </w:rPr>
        <w:t>外购物料数据调查要求</w:t>
      </w:r>
    </w:p>
    <w:p>
      <w:pPr>
        <w:pStyle w:val="68"/>
        <w:keepNext w:val="0"/>
        <w:keepLines w:val="0"/>
        <w:pageBreakBefore w:val="0"/>
        <w:widowControl/>
        <w:kinsoku/>
        <w:wordWrap/>
        <w:overflowPunct/>
        <w:topLinePunct w:val="0"/>
        <w:autoSpaceDE w:val="0"/>
        <w:autoSpaceDN w:val="0"/>
        <w:bidi w:val="0"/>
        <w:adjustRightInd/>
        <w:snapToGrid/>
        <w:spacing w:line="240" w:lineRule="exact"/>
        <w:ind w:firstLine="420"/>
        <w:jc w:val="center"/>
        <w:textAlignment w:val="auto"/>
        <w:rPr>
          <w:rFonts w:hint="eastAsia" w:ascii="黑体" w:hAnsi="黑体" w:eastAsia="黑体"/>
        </w:rPr>
      </w:pPr>
    </w:p>
    <w:tbl>
      <w:tblPr>
        <w:tblStyle w:val="31"/>
        <w:tblW w:w="0" w:type="auto"/>
        <w:tblInd w:w="-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70"/>
        <w:gridCol w:w="4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Pr>
          <w:p>
            <w:pPr>
              <w:pStyle w:val="68"/>
              <w:widowControl w:val="0"/>
              <w:snapToGrid w:val="0"/>
              <w:ind w:firstLine="360"/>
              <w:jc w:val="center"/>
              <w:rPr>
                <w:rFonts w:hAnsi="宋体"/>
                <w:sz w:val="18"/>
                <w:szCs w:val="18"/>
              </w:rPr>
            </w:pPr>
            <w:r>
              <w:rPr>
                <w:rFonts w:hint="eastAsia" w:hAnsi="宋体"/>
                <w:sz w:val="18"/>
                <w:szCs w:val="18"/>
              </w:rPr>
              <w:t>物料重量比 m</w:t>
            </w:r>
            <w:r>
              <w:rPr>
                <w:rFonts w:hAnsi="宋体"/>
                <w:sz w:val="18"/>
                <w:szCs w:val="18"/>
                <w:vertAlign w:val="superscript"/>
              </w:rPr>
              <w:t>a</w:t>
            </w:r>
          </w:p>
        </w:tc>
        <w:tc>
          <w:tcPr>
            <w:tcW w:w="4530" w:type="dxa"/>
          </w:tcPr>
          <w:p>
            <w:pPr>
              <w:pStyle w:val="68"/>
              <w:widowControl w:val="0"/>
              <w:snapToGrid w:val="0"/>
              <w:ind w:firstLine="0" w:firstLineChars="0"/>
              <w:jc w:val="center"/>
              <w:rPr>
                <w:rFonts w:hAnsi="宋体"/>
                <w:sz w:val="18"/>
                <w:szCs w:val="18"/>
              </w:rPr>
            </w:pPr>
            <w:r>
              <w:rPr>
                <w:rFonts w:hint="eastAsia" w:hAnsi="宋体"/>
                <w:sz w:val="18"/>
                <w:szCs w:val="18"/>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Pr>
          <w:p>
            <w:pPr>
              <w:widowControl/>
              <w:tabs>
                <w:tab w:val="center" w:pos="4201"/>
                <w:tab w:val="right" w:leader="dot" w:pos="9298"/>
              </w:tabs>
              <w:ind w:firstLine="1260" w:firstLineChars="700"/>
              <w:rPr>
                <w:rFonts w:hint="eastAsia" w:ascii="宋体" w:hAnsi="宋体" w:eastAsia="宋体" w:cs="宋体"/>
                <w:color w:val="000000"/>
                <w:sz w:val="18"/>
                <w:szCs w:val="18"/>
              </w:rPr>
            </w:pPr>
            <w:r>
              <w:rPr>
                <w:rFonts w:hint="eastAsia" w:ascii="宋体" w:hAnsi="宋体" w:eastAsia="宋体" w:cs="宋体"/>
                <w:color w:val="000000"/>
                <w:kern w:val="0"/>
                <w:sz w:val="18"/>
                <w:szCs w:val="18"/>
              </w:rPr>
              <w:t>m ≥5％ 为重要物料</w:t>
            </w:r>
          </w:p>
          <w:p>
            <w:pPr>
              <w:widowControl/>
              <w:tabs>
                <w:tab w:val="center" w:pos="4201"/>
                <w:tab w:val="right" w:leader="dot" w:pos="9298"/>
              </w:tabs>
              <w:ind w:firstLine="0" w:firstLineChars="0"/>
              <w:rPr>
                <w:rFonts w:ascii="Times New Roman" w:hAnsi="宋体" w:eastAsia="宋体" w:cs="Times New Roman"/>
                <w:sz w:val="18"/>
                <w:szCs w:val="18"/>
              </w:rPr>
            </w:pPr>
            <w:r>
              <w:rPr>
                <w:rFonts w:hint="eastAsia" w:ascii="宋体" w:hAnsi="宋体" w:eastAsia="宋体" w:cs="宋体"/>
                <w:color w:val="000000"/>
                <w:kern w:val="0"/>
                <w:sz w:val="18"/>
                <w:szCs w:val="18"/>
              </w:rPr>
              <w:t>（如果含有稀贵和高纯成分b ，则m ≥1％为重要物</w:t>
            </w:r>
            <w:r>
              <w:rPr>
                <w:rFonts w:hint="eastAsia" w:asciiTheme="minorHAnsi" w:hAnsiTheme="minorHAnsi" w:eastAsiaTheme="minorEastAsia" w:cstheme="minorBidi"/>
                <w:color w:val="000000"/>
                <w:kern w:val="0"/>
                <w:sz w:val="18"/>
                <w:szCs w:val="18"/>
              </w:rPr>
              <w:t>料）</w:t>
            </w:r>
          </w:p>
        </w:tc>
        <w:tc>
          <w:tcPr>
            <w:tcW w:w="4530" w:type="dxa"/>
          </w:tcPr>
          <w:p>
            <w:pPr>
              <w:widowControl/>
              <w:tabs>
                <w:tab w:val="center" w:pos="4201"/>
                <w:tab w:val="right" w:leader="dot" w:pos="9298"/>
              </w:tabs>
              <w:ind w:firstLine="180" w:firstLineChars="100"/>
              <w:rPr>
                <w:rFonts w:ascii="Times New Roman" w:hAnsi="宋体" w:eastAsia="宋体" w:cs="Times New Roman"/>
                <w:sz w:val="18"/>
                <w:szCs w:val="18"/>
              </w:rPr>
            </w:pPr>
            <w:r>
              <w:rPr>
                <w:rFonts w:hint="eastAsia" w:asciiTheme="minorHAnsi" w:hAnsiTheme="minorHAnsi" w:eastAsiaTheme="minorEastAsia" w:cstheme="minorBidi"/>
                <w:color w:val="000000"/>
                <w:kern w:val="0"/>
                <w:sz w:val="18"/>
                <w:szCs w:val="18"/>
              </w:rPr>
              <w:t>优先采用供应商提供的实际生产过程数据，</w:t>
            </w:r>
            <w:r>
              <w:rPr>
                <w:rFonts w:asciiTheme="minorHAnsi" w:hAnsiTheme="minorHAnsi" w:eastAsiaTheme="minorEastAsia" w:cstheme="minorBidi"/>
                <w:color w:val="000000"/>
                <w:kern w:val="0"/>
                <w:sz w:val="18"/>
                <w:szCs w:val="18"/>
              </w:rPr>
              <w:t xml:space="preserve"> </w:t>
            </w:r>
            <w:r>
              <w:rPr>
                <w:rFonts w:hint="eastAsia" w:asciiTheme="minorHAnsi" w:hAnsiTheme="minorHAnsi" w:eastAsiaTheme="minorEastAsia" w:cstheme="minorBidi"/>
                <w:color w:val="000000"/>
                <w:kern w:val="0"/>
                <w:sz w:val="18"/>
                <w:szCs w:val="18"/>
              </w:rPr>
              <w:t>供应商数据收集方法和要求与企业自身的数据调查方式相同，并包括物料从供应商到本企业的运输数据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Pr>
          <w:p>
            <w:pPr>
              <w:widowControl/>
              <w:tabs>
                <w:tab w:val="center" w:pos="4201"/>
                <w:tab w:val="right" w:leader="dot" w:pos="9298"/>
              </w:tabs>
              <w:ind w:firstLine="1260" w:firstLineChars="700"/>
              <w:rPr>
                <w:rFonts w:hint="eastAsia" w:ascii="宋体" w:hAnsi="宋体" w:eastAsia="宋体" w:cs="宋体"/>
                <w:color w:val="000000"/>
                <w:sz w:val="18"/>
                <w:szCs w:val="18"/>
              </w:rPr>
            </w:pPr>
            <w:r>
              <w:rPr>
                <w:rFonts w:asciiTheme="minorHAnsi" w:hAnsiTheme="minorHAnsi" w:eastAsiaTheme="minorEastAsia" w:cstheme="minorBidi"/>
                <w:color w:val="000000"/>
                <w:kern w:val="0"/>
                <w:sz w:val="18"/>
                <w:szCs w:val="18"/>
              </w:rPr>
              <w:t>1</w:t>
            </w:r>
            <w:r>
              <w:rPr>
                <w:rFonts w:hint="eastAsia" w:asciiTheme="minorHAnsi" w:hAnsiTheme="minorHAnsi" w:eastAsiaTheme="minorEastAsia" w:cstheme="minorBidi"/>
                <w:color w:val="000000"/>
                <w:kern w:val="0"/>
                <w:sz w:val="18"/>
                <w:szCs w:val="18"/>
              </w:rPr>
              <w:t>％≤</w:t>
            </w:r>
            <w:r>
              <w:rPr>
                <w:rFonts w:asciiTheme="minorHAnsi" w:hAnsiTheme="minorHAnsi" w:eastAsiaTheme="minorEastAsia" w:cstheme="minorBidi"/>
                <w:color w:val="000000"/>
                <w:kern w:val="0"/>
                <w:sz w:val="18"/>
                <w:szCs w:val="18"/>
              </w:rPr>
              <w:t xml:space="preserve"> </w:t>
            </w:r>
            <w:r>
              <w:rPr>
                <w:rFonts w:hint="eastAsia" w:ascii="宋体" w:hAnsi="宋体" w:eastAsia="宋体" w:cs="宋体"/>
                <w:color w:val="000000"/>
                <w:kern w:val="0"/>
                <w:sz w:val="18"/>
                <w:szCs w:val="18"/>
              </w:rPr>
              <w:t>m &lt; 5％为次要物料</w:t>
            </w:r>
          </w:p>
          <w:p>
            <w:pPr>
              <w:widowControl/>
              <w:tabs>
                <w:tab w:val="center" w:pos="4201"/>
                <w:tab w:val="right" w:leader="dot" w:pos="9298"/>
              </w:tabs>
              <w:ind w:firstLine="0" w:firstLineChars="0"/>
              <w:rPr>
                <w:rFonts w:ascii="Times New Roman" w:hAnsi="宋体" w:eastAsia="宋体" w:cs="Times New Roman"/>
                <w:sz w:val="18"/>
                <w:szCs w:val="18"/>
              </w:rPr>
            </w:pPr>
            <w:r>
              <w:rPr>
                <w:rFonts w:hint="eastAsia" w:ascii="宋体" w:hAnsi="宋体" w:eastAsia="宋体" w:cs="宋体"/>
                <w:color w:val="000000"/>
                <w:kern w:val="0"/>
                <w:sz w:val="18"/>
                <w:szCs w:val="18"/>
              </w:rPr>
              <w:t>（如果含有稀贵和高纯成分， 则 0.1％≤ m &lt;1％为</w:t>
            </w:r>
            <w:r>
              <w:rPr>
                <w:rFonts w:hint="eastAsia" w:asciiTheme="minorHAnsi" w:hAnsiTheme="minorHAnsi" w:eastAsiaTheme="minorEastAsia" w:cstheme="minorBidi"/>
                <w:color w:val="000000"/>
                <w:kern w:val="0"/>
                <w:sz w:val="18"/>
                <w:szCs w:val="18"/>
              </w:rPr>
              <w:t>次要物料）</w:t>
            </w:r>
          </w:p>
        </w:tc>
        <w:tc>
          <w:tcPr>
            <w:tcW w:w="4530" w:type="dxa"/>
          </w:tcPr>
          <w:p>
            <w:pPr>
              <w:widowControl/>
              <w:tabs>
                <w:tab w:val="center" w:pos="4201"/>
                <w:tab w:val="right" w:leader="dot" w:pos="9298"/>
              </w:tabs>
              <w:ind w:firstLine="180" w:firstLineChars="100"/>
              <w:rPr>
                <w:rFonts w:ascii="Times New Roman" w:hAnsi="宋体" w:eastAsia="宋体" w:cs="Times New Roman"/>
                <w:sz w:val="18"/>
                <w:szCs w:val="18"/>
              </w:rPr>
            </w:pPr>
            <w:r>
              <w:rPr>
                <w:rFonts w:hint="eastAsia" w:asciiTheme="minorHAnsi" w:hAnsiTheme="minorHAnsi" w:eastAsiaTheme="minorEastAsia" w:cstheme="minorBidi"/>
                <w:color w:val="000000"/>
                <w:kern w:val="0"/>
                <w:sz w:val="18"/>
                <w:szCs w:val="18"/>
              </w:rPr>
              <w:t>可不调查实际生产过程和运输，</w:t>
            </w:r>
            <w:r>
              <w:rPr>
                <w:rFonts w:asciiTheme="minorHAnsi" w:hAnsiTheme="minorHAnsi" w:eastAsiaTheme="minorEastAsia" w:cstheme="minorBidi"/>
                <w:color w:val="000000"/>
                <w:kern w:val="0"/>
                <w:sz w:val="18"/>
                <w:szCs w:val="18"/>
              </w:rPr>
              <w:t xml:space="preserve"> </w:t>
            </w:r>
            <w:r>
              <w:rPr>
                <w:rFonts w:hint="eastAsia" w:asciiTheme="minorHAnsi" w:hAnsiTheme="minorHAnsi" w:eastAsiaTheme="minorEastAsia" w:cstheme="minorBidi"/>
                <w:color w:val="000000"/>
                <w:kern w:val="0"/>
                <w:sz w:val="18"/>
                <w:szCs w:val="18"/>
              </w:rPr>
              <w:t>而采用其材质含量和</w:t>
            </w:r>
            <w:r>
              <w:rPr>
                <w:rFonts w:hint="eastAsia" w:ascii="宋体" w:hAnsi="宋体" w:eastAsia="宋体" w:cs="宋体"/>
                <w:color w:val="000000"/>
                <w:kern w:val="0"/>
                <w:sz w:val="18"/>
                <w:szCs w:val="18"/>
              </w:rPr>
              <w:t>LCA</w:t>
            </w:r>
            <w:r>
              <w:rPr>
                <w:rFonts w:hint="eastAsia" w:asciiTheme="minorHAnsi" w:hAnsiTheme="minorHAnsi" w:eastAsiaTheme="minorEastAsia" w:cstheme="minorBidi"/>
                <w:color w:val="000000"/>
                <w:kern w:val="0"/>
                <w:sz w:val="18"/>
                <w:szCs w:val="18"/>
              </w:rPr>
              <w:t>背景数据库进行近似计算，从而简化数据收集工作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Pr>
          <w:p>
            <w:pPr>
              <w:widowControl/>
              <w:tabs>
                <w:tab w:val="center" w:pos="4201"/>
                <w:tab w:val="right" w:leader="dot" w:pos="9298"/>
              </w:tabs>
              <w:ind w:firstLine="900" w:firstLineChars="500"/>
              <w:rPr>
                <w:rFonts w:hint="eastAsia" w:ascii="宋体" w:hAnsi="宋体" w:eastAsia="宋体" w:cs="宋体"/>
                <w:color w:val="000000"/>
                <w:sz w:val="18"/>
                <w:szCs w:val="18"/>
              </w:rPr>
            </w:pPr>
            <w:r>
              <w:rPr>
                <w:rFonts w:hint="eastAsia" w:ascii="宋体" w:hAnsi="宋体" w:eastAsia="宋体" w:cs="宋体"/>
                <w:color w:val="000000"/>
                <w:kern w:val="0"/>
                <w:sz w:val="18"/>
                <w:szCs w:val="18"/>
              </w:rPr>
              <w:t>m&lt;1％为不重要物料</w:t>
            </w:r>
          </w:p>
          <w:p>
            <w:pPr>
              <w:widowControl/>
              <w:tabs>
                <w:tab w:val="center" w:pos="4201"/>
                <w:tab w:val="right" w:leader="dot" w:pos="9298"/>
              </w:tabs>
              <w:ind w:firstLine="0" w:firstLineChars="0"/>
              <w:rPr>
                <w:rFonts w:ascii="Times New Roman" w:hAnsi="宋体" w:eastAsia="宋体" w:cs="Times New Roman"/>
                <w:sz w:val="18"/>
                <w:szCs w:val="18"/>
              </w:rPr>
            </w:pPr>
            <w:r>
              <w:rPr>
                <w:rFonts w:hint="eastAsia" w:ascii="宋体" w:hAnsi="宋体" w:eastAsia="宋体" w:cs="宋体"/>
                <w:color w:val="000000"/>
                <w:kern w:val="0"/>
                <w:sz w:val="18"/>
                <w:szCs w:val="18"/>
              </w:rPr>
              <w:t>（如果含有稀贵和高纯成分， 则 m&lt;0.1％为不重要物料</w:t>
            </w:r>
            <w:r>
              <w:rPr>
                <w:rFonts w:hint="eastAsia" w:asciiTheme="minorHAnsi" w:hAnsiTheme="minorHAnsi" w:eastAsiaTheme="minorEastAsia" w:cstheme="minorBidi"/>
                <w:color w:val="000000"/>
                <w:kern w:val="0"/>
                <w:sz w:val="18"/>
                <w:szCs w:val="18"/>
              </w:rPr>
              <w:t>）</w:t>
            </w:r>
          </w:p>
        </w:tc>
        <w:tc>
          <w:tcPr>
            <w:tcW w:w="4530" w:type="dxa"/>
          </w:tcPr>
          <w:p>
            <w:pPr>
              <w:widowControl/>
              <w:tabs>
                <w:tab w:val="center" w:pos="4201"/>
                <w:tab w:val="right" w:leader="dot" w:pos="9298"/>
              </w:tabs>
              <w:ind w:firstLine="180" w:firstLineChars="100"/>
              <w:rPr>
                <w:rFonts w:ascii="Times New Roman" w:hAnsi="宋体" w:eastAsia="宋体" w:cs="Times New Roman"/>
                <w:sz w:val="18"/>
                <w:szCs w:val="18"/>
              </w:rPr>
            </w:pPr>
            <w:r>
              <w:rPr>
                <w:rFonts w:hint="eastAsia" w:asciiTheme="minorHAnsi" w:hAnsiTheme="minorHAnsi" w:eastAsiaTheme="minorEastAsia" w:cstheme="minorBidi"/>
                <w:color w:val="000000"/>
                <w:kern w:val="0"/>
                <w:sz w:val="18"/>
                <w:szCs w:val="18"/>
              </w:rPr>
              <w:t>可忽略，但总共忽略的物料原则上不超过产品重量</w:t>
            </w:r>
            <w:r>
              <w:rPr>
                <w:rFonts w:hint="eastAsia" w:ascii="宋体" w:hAnsi="宋体" w:eastAsia="宋体" w:cs="宋体"/>
                <w:color w:val="000000"/>
                <w:kern w:val="0"/>
                <w:sz w:val="18"/>
                <w:szCs w:val="18"/>
              </w:rPr>
              <w:t>的 5</w:t>
            </w:r>
            <w:r>
              <w:rPr>
                <w:rFonts w:hint="eastAsia" w:asciiTheme="minorHAnsi" w:hAnsiTheme="minorHAnsi" w:eastAsiaTheme="minorEastAsia" w:cstheme="minorBidi"/>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0" w:type="dxa"/>
            <w:gridSpan w:val="2"/>
            <w:tcBorders>
              <w:bottom w:val="single" w:color="auto" w:sz="4" w:space="0"/>
            </w:tcBorders>
          </w:tcPr>
          <w:p>
            <w:pPr>
              <w:pStyle w:val="68"/>
              <w:widowControl w:val="0"/>
              <w:snapToGrid w:val="0"/>
              <w:ind w:firstLine="0" w:firstLineChars="0"/>
              <w:jc w:val="left"/>
              <w:rPr>
                <w:rFonts w:hAnsi="宋体"/>
                <w:sz w:val="18"/>
                <w:szCs w:val="18"/>
              </w:rPr>
            </w:pPr>
            <w:r>
              <w:rPr>
                <w:rFonts w:hint="eastAsia" w:hAnsi="宋体"/>
                <w:sz w:val="18"/>
                <w:szCs w:val="18"/>
              </w:rPr>
              <w:t>注：在无法获得实际生产过程数据的情况下，可通过采用背景数据进行近似计算，但需对背景数据来源及采用依据进行详细说明。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0" w:type="dxa"/>
            <w:gridSpan w:val="2"/>
          </w:tcPr>
          <w:p>
            <w:pPr>
              <w:pStyle w:val="68"/>
              <w:widowControl w:val="0"/>
              <w:snapToGrid w:val="0"/>
              <w:ind w:firstLine="0" w:firstLineChars="0"/>
              <w:jc w:val="left"/>
              <w:rPr>
                <w:rFonts w:hAnsi="宋体"/>
                <w:sz w:val="18"/>
                <w:szCs w:val="18"/>
              </w:rPr>
            </w:pPr>
            <w:r>
              <w:rPr>
                <w:rFonts w:hint="eastAsia" w:hAnsi="宋体"/>
                <w:sz w:val="18"/>
                <w:szCs w:val="18"/>
              </w:rPr>
              <w:t>a 物料指零部件和原辅料， m =（物料重量/产品重量）×100％，同类材质的物料（如所有芯片、所有螺钉）需合并重量后计算。</w:t>
            </w:r>
          </w:p>
          <w:p>
            <w:pPr>
              <w:pStyle w:val="68"/>
              <w:widowControl w:val="0"/>
              <w:snapToGrid w:val="0"/>
              <w:ind w:firstLine="0" w:firstLineChars="0"/>
              <w:jc w:val="left"/>
              <w:rPr>
                <w:rFonts w:hAnsi="宋体"/>
                <w:sz w:val="18"/>
                <w:szCs w:val="18"/>
              </w:rPr>
            </w:pPr>
            <w:r>
              <w:rPr>
                <w:rFonts w:hint="eastAsia" w:hAnsi="宋体"/>
                <w:sz w:val="18"/>
                <w:szCs w:val="18"/>
              </w:rPr>
              <w:t>b 稀贵金属如金银铂钯等，高纯物质如纯度高于 99.99％。</w:t>
            </w:r>
          </w:p>
        </w:tc>
      </w:tr>
    </w:tbl>
    <w:p>
      <w:pPr>
        <w:pStyle w:val="68"/>
        <w:keepNext w:val="0"/>
        <w:keepLines w:val="0"/>
        <w:pageBreakBefore w:val="0"/>
        <w:widowControl/>
        <w:numPr>
          <w:ilvl w:val="0"/>
          <w:numId w:val="0"/>
        </w:numPr>
        <w:kinsoku/>
        <w:wordWrap/>
        <w:overflowPunct/>
        <w:topLinePunct w:val="0"/>
        <w:autoSpaceDE w:val="0"/>
        <w:autoSpaceDN w:val="0"/>
        <w:bidi w:val="0"/>
        <w:adjustRightInd/>
        <w:snapToGrid/>
        <w:spacing w:line="240" w:lineRule="exact"/>
        <w:ind w:leftChars="0"/>
        <w:textAlignment w:val="auto"/>
        <w:rPr>
          <w:rFonts w:hint="eastAsia" w:ascii="黑体" w:hAnsi="黑体" w:eastAsia="黑体"/>
        </w:rPr>
      </w:pPr>
      <w:r>
        <w:rPr>
          <w:rFonts w:hint="eastAsia" w:ascii="黑体" w:hAnsi="黑体" w:eastAsia="黑体"/>
          <w:lang w:val="en-US" w:eastAsia="zh-CN"/>
        </w:rPr>
        <w:t xml:space="preserve">A.3.4  </w:t>
      </w:r>
      <w:r>
        <w:rPr>
          <w:rFonts w:hint="eastAsia" w:ascii="黑体" w:hAnsi="黑体" w:eastAsia="黑体"/>
        </w:rPr>
        <w:t>大宗原材料和能源的生产阶段数据收集</w:t>
      </w:r>
    </w:p>
    <w:p>
      <w:pPr>
        <w:pStyle w:val="68"/>
        <w:keepNext w:val="0"/>
        <w:keepLines w:val="0"/>
        <w:pageBreakBefore w:val="0"/>
        <w:widowControl/>
        <w:numPr>
          <w:ilvl w:val="0"/>
          <w:numId w:val="0"/>
        </w:numPr>
        <w:kinsoku/>
        <w:wordWrap/>
        <w:overflowPunct/>
        <w:topLinePunct w:val="0"/>
        <w:autoSpaceDE w:val="0"/>
        <w:autoSpaceDN w:val="0"/>
        <w:bidi w:val="0"/>
        <w:adjustRightInd/>
        <w:snapToGrid/>
        <w:spacing w:line="240" w:lineRule="exact"/>
        <w:ind w:leftChars="0"/>
        <w:textAlignment w:val="auto"/>
        <w:rPr>
          <w:rFonts w:hint="eastAsia" w:ascii="黑体" w:hAnsi="黑体" w:eastAsia="黑体"/>
        </w:rPr>
      </w:pPr>
    </w:p>
    <w:p>
      <w:pPr>
        <w:pStyle w:val="68"/>
        <w:keepNext w:val="0"/>
        <w:keepLines w:val="0"/>
        <w:pageBreakBefore w:val="0"/>
        <w:widowControl/>
        <w:kinsoku/>
        <w:wordWrap/>
        <w:overflowPunct/>
        <w:topLinePunct w:val="0"/>
        <w:autoSpaceDE w:val="0"/>
        <w:autoSpaceDN w:val="0"/>
        <w:bidi w:val="0"/>
        <w:adjustRightInd/>
        <w:snapToGrid/>
        <w:spacing w:line="300" w:lineRule="exact"/>
        <w:ind w:firstLine="420"/>
        <w:textAlignment w:val="auto"/>
        <w:rPr>
          <w:rFonts w:hint="eastAsia" w:hAnsi="宋体"/>
        </w:rPr>
      </w:pPr>
      <w:r>
        <w:rPr>
          <w:rFonts w:hint="eastAsia" w:hAnsi="宋体"/>
        </w:rPr>
        <w:t>大宗原材料和能源（如电力、燃料、通用金属、非金属和塑料）的生产过程数据可采用LCA背景数据库数据。</w:t>
      </w:r>
    </w:p>
    <w:p>
      <w:pPr>
        <w:pStyle w:val="68"/>
        <w:keepNext w:val="0"/>
        <w:keepLines w:val="0"/>
        <w:pageBreakBefore w:val="0"/>
        <w:widowControl/>
        <w:kinsoku/>
        <w:wordWrap/>
        <w:overflowPunct/>
        <w:topLinePunct w:val="0"/>
        <w:autoSpaceDE w:val="0"/>
        <w:autoSpaceDN w:val="0"/>
        <w:bidi w:val="0"/>
        <w:adjustRightInd/>
        <w:snapToGrid/>
        <w:spacing w:line="240" w:lineRule="exact"/>
        <w:ind w:firstLine="420"/>
        <w:textAlignment w:val="auto"/>
        <w:rPr>
          <w:rFonts w:hint="eastAsia" w:hAnsi="宋体"/>
        </w:rPr>
      </w:pPr>
    </w:p>
    <w:p>
      <w:pPr>
        <w:pStyle w:val="68"/>
        <w:keepNext w:val="0"/>
        <w:keepLines w:val="0"/>
        <w:pageBreakBefore w:val="0"/>
        <w:widowControl/>
        <w:numPr>
          <w:ilvl w:val="0"/>
          <w:numId w:val="0"/>
        </w:numPr>
        <w:kinsoku/>
        <w:wordWrap/>
        <w:overflowPunct/>
        <w:topLinePunct w:val="0"/>
        <w:autoSpaceDE w:val="0"/>
        <w:autoSpaceDN w:val="0"/>
        <w:bidi w:val="0"/>
        <w:adjustRightInd/>
        <w:snapToGrid/>
        <w:spacing w:line="240" w:lineRule="exact"/>
        <w:ind w:leftChars="0"/>
        <w:textAlignment w:val="auto"/>
        <w:rPr>
          <w:rFonts w:hint="eastAsia" w:ascii="黑体" w:hAnsi="黑体" w:eastAsia="黑体"/>
        </w:rPr>
      </w:pPr>
      <w:r>
        <w:rPr>
          <w:rFonts w:hint="eastAsia" w:ascii="黑体" w:hAnsi="黑体" w:eastAsia="黑体"/>
          <w:lang w:val="en-US" w:eastAsia="zh-CN"/>
        </w:rPr>
        <w:t xml:space="preserve">A.3.5  </w:t>
      </w:r>
      <w:r>
        <w:rPr>
          <w:rFonts w:hint="eastAsia" w:ascii="黑体" w:hAnsi="黑体" w:eastAsia="黑体"/>
        </w:rPr>
        <w:t>使用阶段的数据收集</w:t>
      </w:r>
    </w:p>
    <w:p>
      <w:pPr>
        <w:pStyle w:val="68"/>
        <w:keepNext w:val="0"/>
        <w:keepLines w:val="0"/>
        <w:pageBreakBefore w:val="0"/>
        <w:widowControl/>
        <w:numPr>
          <w:ilvl w:val="0"/>
          <w:numId w:val="0"/>
        </w:numPr>
        <w:kinsoku/>
        <w:wordWrap/>
        <w:overflowPunct/>
        <w:topLinePunct w:val="0"/>
        <w:autoSpaceDE w:val="0"/>
        <w:autoSpaceDN w:val="0"/>
        <w:bidi w:val="0"/>
        <w:adjustRightInd/>
        <w:snapToGrid/>
        <w:spacing w:line="240" w:lineRule="exact"/>
        <w:ind w:leftChars="0"/>
        <w:textAlignment w:val="auto"/>
        <w:rPr>
          <w:rFonts w:hint="eastAsia" w:ascii="黑体" w:hAnsi="黑体" w:eastAsia="黑体"/>
        </w:rPr>
      </w:pPr>
    </w:p>
    <w:p>
      <w:pPr>
        <w:pStyle w:val="68"/>
        <w:snapToGrid w:val="0"/>
        <w:spacing w:line="264" w:lineRule="auto"/>
        <w:ind w:firstLine="420"/>
        <w:rPr>
          <w:rFonts w:hAnsi="宋体"/>
        </w:rPr>
      </w:pPr>
      <w:r>
        <w:rPr>
          <w:rFonts w:hint="eastAsia" w:hAnsi="宋体"/>
        </w:rPr>
        <w:t>该阶段始于消费者或终端用户获得产品，止于产品废弃。</w:t>
      </w:r>
    </w:p>
    <w:p>
      <w:pPr>
        <w:pStyle w:val="68"/>
        <w:snapToGrid w:val="0"/>
        <w:spacing w:line="264" w:lineRule="auto"/>
        <w:ind w:firstLine="420"/>
        <w:rPr>
          <w:rFonts w:hAnsi="宋体"/>
        </w:rPr>
      </w:pPr>
      <w:r>
        <w:rPr>
          <w:rFonts w:hint="eastAsia" w:hAnsi="宋体"/>
        </w:rPr>
        <w:t>在满足数据取舍准则的前提下，需要收集的数据包括：</w:t>
      </w:r>
    </w:p>
    <w:p>
      <w:pPr>
        <w:pStyle w:val="68"/>
        <w:snapToGrid w:val="0"/>
        <w:spacing w:line="240" w:lineRule="auto"/>
        <w:ind w:firstLine="420"/>
        <w:rPr>
          <w:rFonts w:hAnsi="宋体"/>
        </w:rPr>
      </w:pPr>
      <w:r>
        <w:rPr>
          <w:rFonts w:hint="eastAsia" w:hAnsi="宋体"/>
        </w:rPr>
        <w:t xml:space="preserve">a) </w:t>
      </w:r>
      <w:r>
        <w:rPr>
          <w:rFonts w:hint="eastAsia" w:hAnsi="宋体"/>
          <w:lang w:val="en-US" w:eastAsia="zh-CN"/>
        </w:rPr>
        <w:t xml:space="preserve"> </w:t>
      </w:r>
      <w:r>
        <w:rPr>
          <w:rFonts w:hint="eastAsia" w:hAnsi="宋体"/>
        </w:rPr>
        <w:t>产品使用/消费的模式，包括使用寿命、使用频率；</w:t>
      </w:r>
    </w:p>
    <w:p>
      <w:pPr>
        <w:pStyle w:val="68"/>
        <w:snapToGrid w:val="0"/>
        <w:spacing w:line="240" w:lineRule="auto"/>
        <w:ind w:firstLine="420"/>
        <w:rPr>
          <w:rFonts w:hAnsi="宋体"/>
        </w:rPr>
      </w:pPr>
      <w:r>
        <w:rPr>
          <w:rFonts w:hint="eastAsia" w:hAnsi="宋体"/>
        </w:rPr>
        <w:t>b)</w:t>
      </w:r>
      <w:r>
        <w:rPr>
          <w:rFonts w:hint="eastAsia" w:hAnsi="宋体"/>
          <w:lang w:val="en-US" w:eastAsia="zh-CN"/>
        </w:rPr>
        <w:t xml:space="preserve"> </w:t>
      </w:r>
      <w:r>
        <w:rPr>
          <w:rFonts w:hint="eastAsia" w:hAnsi="宋体"/>
        </w:rPr>
        <w:t xml:space="preserve"> 产品使用过程的能源消耗、耗材、污染物排放；</w:t>
      </w:r>
    </w:p>
    <w:p>
      <w:pPr>
        <w:pStyle w:val="68"/>
        <w:snapToGrid w:val="0"/>
        <w:spacing w:line="240" w:lineRule="auto"/>
        <w:ind w:firstLine="420"/>
        <w:rPr>
          <w:rFonts w:hAnsi="宋体"/>
        </w:rPr>
      </w:pPr>
      <w:r>
        <w:rPr>
          <w:rFonts w:hint="eastAsia" w:hAnsi="宋体"/>
        </w:rPr>
        <w:t>c)</w:t>
      </w:r>
      <w:r>
        <w:rPr>
          <w:rFonts w:hint="eastAsia" w:hAnsi="宋体"/>
          <w:lang w:val="en-US" w:eastAsia="zh-CN"/>
        </w:rPr>
        <w:t xml:space="preserve"> </w:t>
      </w:r>
      <w:r>
        <w:rPr>
          <w:rFonts w:hint="eastAsia" w:hAnsi="宋体"/>
        </w:rPr>
        <w:t xml:space="preserve"> 产品修理和维护过程的能源消耗、耗材、污染物排放。</w:t>
      </w:r>
    </w:p>
    <w:p>
      <w:pPr>
        <w:pStyle w:val="68"/>
        <w:keepNext w:val="0"/>
        <w:keepLines w:val="0"/>
        <w:pageBreakBefore w:val="0"/>
        <w:widowControl/>
        <w:kinsoku/>
        <w:wordWrap/>
        <w:overflowPunct/>
        <w:topLinePunct w:val="0"/>
        <w:autoSpaceDE w:val="0"/>
        <w:autoSpaceDN w:val="0"/>
        <w:bidi w:val="0"/>
        <w:adjustRightInd/>
        <w:snapToGrid/>
        <w:spacing w:line="240" w:lineRule="auto"/>
        <w:ind w:firstLine="420"/>
        <w:textAlignment w:val="auto"/>
        <w:rPr>
          <w:rFonts w:hint="eastAsia" w:hAnsi="宋体"/>
        </w:rPr>
      </w:pPr>
      <w:r>
        <w:rPr>
          <w:rFonts w:hint="eastAsia" w:hAnsi="宋体"/>
        </w:rPr>
        <w:t>上述数据可以通过用户调查获得，也可以采用行业通用的估计或产品设计数据。</w:t>
      </w:r>
    </w:p>
    <w:p>
      <w:pPr>
        <w:pStyle w:val="68"/>
        <w:keepNext w:val="0"/>
        <w:keepLines w:val="0"/>
        <w:pageBreakBefore w:val="0"/>
        <w:widowControl/>
        <w:kinsoku/>
        <w:wordWrap/>
        <w:overflowPunct/>
        <w:topLinePunct w:val="0"/>
        <w:autoSpaceDE w:val="0"/>
        <w:autoSpaceDN w:val="0"/>
        <w:bidi w:val="0"/>
        <w:adjustRightInd/>
        <w:snapToGrid/>
        <w:spacing w:line="240" w:lineRule="exact"/>
        <w:ind w:firstLine="420"/>
        <w:textAlignment w:val="auto"/>
        <w:rPr>
          <w:rFonts w:hint="eastAsia" w:hAnsi="宋体"/>
        </w:rPr>
      </w:pPr>
    </w:p>
    <w:p>
      <w:pPr>
        <w:pStyle w:val="68"/>
        <w:keepNext w:val="0"/>
        <w:keepLines w:val="0"/>
        <w:pageBreakBefore w:val="0"/>
        <w:widowControl/>
        <w:numPr>
          <w:ilvl w:val="0"/>
          <w:numId w:val="0"/>
        </w:numPr>
        <w:kinsoku/>
        <w:wordWrap/>
        <w:overflowPunct/>
        <w:topLinePunct w:val="0"/>
        <w:autoSpaceDE w:val="0"/>
        <w:autoSpaceDN w:val="0"/>
        <w:bidi w:val="0"/>
        <w:adjustRightInd/>
        <w:snapToGrid/>
        <w:spacing w:line="240" w:lineRule="auto"/>
        <w:ind w:leftChars="0"/>
        <w:textAlignment w:val="auto"/>
        <w:rPr>
          <w:rFonts w:hint="eastAsia" w:ascii="黑体" w:hAnsi="黑体" w:eastAsia="黑体"/>
        </w:rPr>
      </w:pPr>
      <w:r>
        <w:rPr>
          <w:rFonts w:hint="eastAsia" w:ascii="黑体" w:hAnsi="黑体" w:eastAsia="黑体"/>
          <w:lang w:val="en-US" w:eastAsia="zh-CN"/>
        </w:rPr>
        <w:t xml:space="preserve">A.3.6  </w:t>
      </w:r>
      <w:r>
        <w:rPr>
          <w:rFonts w:hint="eastAsia" w:ascii="黑体" w:hAnsi="黑体" w:eastAsia="黑体"/>
        </w:rPr>
        <w:t>废弃处理阶段的数据收集</w:t>
      </w:r>
    </w:p>
    <w:p>
      <w:pPr>
        <w:pStyle w:val="68"/>
        <w:keepNext w:val="0"/>
        <w:keepLines w:val="0"/>
        <w:pageBreakBefore w:val="0"/>
        <w:widowControl/>
        <w:numPr>
          <w:ilvl w:val="0"/>
          <w:numId w:val="0"/>
        </w:numPr>
        <w:kinsoku/>
        <w:wordWrap/>
        <w:overflowPunct/>
        <w:topLinePunct w:val="0"/>
        <w:autoSpaceDE w:val="0"/>
        <w:autoSpaceDN w:val="0"/>
        <w:bidi w:val="0"/>
        <w:adjustRightInd/>
        <w:snapToGrid/>
        <w:spacing w:line="240" w:lineRule="exact"/>
        <w:ind w:leftChars="0"/>
        <w:textAlignment w:val="auto"/>
        <w:rPr>
          <w:rFonts w:hint="eastAsia" w:ascii="黑体" w:hAnsi="黑体" w:eastAsia="黑体"/>
        </w:rPr>
      </w:pPr>
    </w:p>
    <w:p>
      <w:pPr>
        <w:pStyle w:val="68"/>
        <w:snapToGrid w:val="0"/>
        <w:spacing w:line="264" w:lineRule="auto"/>
        <w:ind w:firstLine="420"/>
        <w:rPr>
          <w:rFonts w:hAnsi="宋体"/>
        </w:rPr>
      </w:pPr>
      <w:r>
        <w:rPr>
          <w:rFonts w:hint="eastAsia" w:hAnsi="宋体"/>
        </w:rPr>
        <w:t>该阶段始于消费者或终端用户丢弃产品，止于产品作为废弃物返回自然界或被再生。在满足数据取舍准则的前提下，需要收集的数据包括：</w:t>
      </w:r>
    </w:p>
    <w:p>
      <w:pPr>
        <w:pStyle w:val="68"/>
        <w:snapToGrid w:val="0"/>
        <w:spacing w:line="240" w:lineRule="auto"/>
        <w:ind w:firstLine="420"/>
        <w:rPr>
          <w:rFonts w:hAnsi="宋体"/>
        </w:rPr>
      </w:pPr>
      <w:r>
        <w:rPr>
          <w:rFonts w:hint="eastAsia" w:hAnsi="宋体"/>
        </w:rPr>
        <w:t xml:space="preserve">a) </w:t>
      </w:r>
      <w:r>
        <w:rPr>
          <w:rFonts w:hint="eastAsia" w:hAnsi="宋体"/>
          <w:lang w:val="en-US" w:eastAsia="zh-CN"/>
        </w:rPr>
        <w:t xml:space="preserve"> </w:t>
      </w:r>
      <w:r>
        <w:rPr>
          <w:rFonts w:hint="eastAsia" w:hAnsi="宋体"/>
        </w:rPr>
        <w:t>废弃产品回收过程的运输数据；</w:t>
      </w:r>
    </w:p>
    <w:p>
      <w:pPr>
        <w:pStyle w:val="68"/>
        <w:snapToGrid w:val="0"/>
        <w:spacing w:line="240" w:lineRule="auto"/>
        <w:ind w:firstLine="420"/>
        <w:rPr>
          <w:rFonts w:hAnsi="宋体"/>
        </w:rPr>
      </w:pPr>
      <w:r>
        <w:rPr>
          <w:rFonts w:hint="eastAsia" w:hAnsi="宋体"/>
        </w:rPr>
        <w:t>b)</w:t>
      </w:r>
      <w:r>
        <w:rPr>
          <w:rFonts w:hint="eastAsia" w:hAnsi="宋体"/>
          <w:lang w:val="en-US" w:eastAsia="zh-CN"/>
        </w:rPr>
        <w:t xml:space="preserve">  </w:t>
      </w:r>
      <w:r>
        <w:rPr>
          <w:rFonts w:hint="eastAsia" w:hAnsi="宋体"/>
        </w:rPr>
        <w:t>废弃产品拆解过程能耗、物耗与污染物排放；</w:t>
      </w:r>
    </w:p>
    <w:p>
      <w:pPr>
        <w:pStyle w:val="68"/>
        <w:snapToGrid w:val="0"/>
        <w:spacing w:line="240" w:lineRule="auto"/>
        <w:ind w:firstLine="420"/>
        <w:rPr>
          <w:rFonts w:hAnsi="宋体"/>
        </w:rPr>
      </w:pPr>
      <w:r>
        <w:rPr>
          <w:rFonts w:hint="eastAsia" w:hAnsi="宋体"/>
        </w:rPr>
        <w:t>c)</w:t>
      </w:r>
      <w:r>
        <w:rPr>
          <w:rFonts w:hint="eastAsia" w:hAnsi="宋体"/>
          <w:lang w:val="en-US" w:eastAsia="zh-CN"/>
        </w:rPr>
        <w:t xml:space="preserve">  </w:t>
      </w:r>
      <w:r>
        <w:rPr>
          <w:rFonts w:hint="eastAsia" w:hAnsi="宋体"/>
        </w:rPr>
        <w:t>废弃产品最终处置过程（焚烧、填埋等）的能耗、物耗及污染物排放；</w:t>
      </w:r>
    </w:p>
    <w:p>
      <w:pPr>
        <w:pStyle w:val="68"/>
        <w:keepNext w:val="0"/>
        <w:keepLines w:val="0"/>
        <w:pageBreakBefore w:val="0"/>
        <w:widowControl/>
        <w:kinsoku/>
        <w:wordWrap/>
        <w:overflowPunct/>
        <w:topLinePunct w:val="0"/>
        <w:autoSpaceDE w:val="0"/>
        <w:autoSpaceDN w:val="0"/>
        <w:bidi w:val="0"/>
        <w:adjustRightInd/>
        <w:snapToGrid w:val="0"/>
        <w:spacing w:line="240" w:lineRule="auto"/>
        <w:ind w:left="840" w:leftChars="200" w:hanging="420" w:hangingChars="200"/>
        <w:textAlignment w:val="auto"/>
        <w:rPr>
          <w:rFonts w:hAnsi="宋体"/>
        </w:rPr>
      </w:pPr>
      <w:r>
        <w:rPr>
          <w:rFonts w:hint="eastAsia" w:hAnsi="宋体"/>
        </w:rPr>
        <w:t>d)</w:t>
      </w:r>
      <w:r>
        <w:rPr>
          <w:rFonts w:hint="eastAsia" w:hAnsi="宋体"/>
          <w:lang w:val="en-US" w:eastAsia="zh-CN"/>
        </w:rPr>
        <w:t xml:space="preserve">  </w:t>
      </w:r>
      <w:r>
        <w:rPr>
          <w:rFonts w:hint="eastAsia" w:hAnsi="宋体"/>
        </w:rPr>
        <w:t>废弃产品中可再生的零部件和材料、 可回收利用的能量， 可部分抵消产品生产过程的原料消耗与能耗，可在生命周期评价报告中予以计算说明。</w:t>
      </w:r>
    </w:p>
    <w:p>
      <w:pPr>
        <w:pStyle w:val="68"/>
        <w:keepNext w:val="0"/>
        <w:keepLines w:val="0"/>
        <w:pageBreakBefore w:val="0"/>
        <w:widowControl/>
        <w:kinsoku/>
        <w:wordWrap/>
        <w:overflowPunct/>
        <w:topLinePunct w:val="0"/>
        <w:autoSpaceDE w:val="0"/>
        <w:autoSpaceDN w:val="0"/>
        <w:bidi w:val="0"/>
        <w:adjustRightInd/>
        <w:snapToGrid/>
        <w:spacing w:line="240" w:lineRule="auto"/>
        <w:ind w:firstLine="420"/>
        <w:textAlignment w:val="auto"/>
        <w:rPr>
          <w:rFonts w:hint="eastAsia" w:hAnsi="宋体"/>
        </w:rPr>
      </w:pPr>
      <w:r>
        <w:rPr>
          <w:rFonts w:hint="eastAsia" w:hAnsi="宋体"/>
        </w:rPr>
        <w:t>上述数据可以通过对回收、再生、处置过程调查获得，也可以采用行业通用的估计数据或背景数据库。</w:t>
      </w:r>
    </w:p>
    <w:p>
      <w:pPr>
        <w:pStyle w:val="68"/>
        <w:keepNext w:val="0"/>
        <w:keepLines w:val="0"/>
        <w:pageBreakBefore w:val="0"/>
        <w:widowControl/>
        <w:kinsoku/>
        <w:wordWrap/>
        <w:overflowPunct/>
        <w:topLinePunct w:val="0"/>
        <w:autoSpaceDE w:val="0"/>
        <w:autoSpaceDN w:val="0"/>
        <w:bidi w:val="0"/>
        <w:adjustRightInd/>
        <w:snapToGrid/>
        <w:spacing w:line="240" w:lineRule="exact"/>
        <w:ind w:firstLine="420"/>
        <w:textAlignment w:val="auto"/>
        <w:rPr>
          <w:rFonts w:hint="eastAsia" w:hAnsi="宋体"/>
        </w:rPr>
      </w:pPr>
    </w:p>
    <w:p>
      <w:pPr>
        <w:pStyle w:val="68"/>
        <w:keepNext w:val="0"/>
        <w:keepLines w:val="0"/>
        <w:pageBreakBefore w:val="0"/>
        <w:widowControl/>
        <w:numPr>
          <w:ilvl w:val="0"/>
          <w:numId w:val="0"/>
        </w:numPr>
        <w:kinsoku/>
        <w:wordWrap/>
        <w:overflowPunct/>
        <w:topLinePunct w:val="0"/>
        <w:autoSpaceDE w:val="0"/>
        <w:autoSpaceDN w:val="0"/>
        <w:bidi w:val="0"/>
        <w:adjustRightInd/>
        <w:snapToGrid/>
        <w:spacing w:line="240" w:lineRule="auto"/>
        <w:ind w:leftChars="0"/>
        <w:textAlignment w:val="auto"/>
        <w:rPr>
          <w:rFonts w:hint="eastAsia" w:ascii="黑体" w:hAnsi="黑体" w:eastAsia="黑体"/>
        </w:rPr>
      </w:pPr>
      <w:r>
        <w:rPr>
          <w:rFonts w:hint="eastAsia" w:ascii="黑体" w:hAnsi="黑体" w:eastAsia="黑体"/>
          <w:lang w:val="en-US" w:eastAsia="zh-CN"/>
        </w:rPr>
        <w:t xml:space="preserve">A.4  </w:t>
      </w:r>
      <w:r>
        <w:rPr>
          <w:rFonts w:hint="eastAsia" w:ascii="黑体" w:hAnsi="黑体" w:eastAsia="黑体"/>
        </w:rPr>
        <w:t>生命周期建模与计算分析</w:t>
      </w:r>
    </w:p>
    <w:p>
      <w:pPr>
        <w:pStyle w:val="68"/>
        <w:keepNext w:val="0"/>
        <w:keepLines w:val="0"/>
        <w:pageBreakBefore w:val="0"/>
        <w:widowControl/>
        <w:numPr>
          <w:ilvl w:val="0"/>
          <w:numId w:val="0"/>
        </w:numPr>
        <w:kinsoku/>
        <w:wordWrap/>
        <w:overflowPunct/>
        <w:topLinePunct w:val="0"/>
        <w:autoSpaceDE w:val="0"/>
        <w:autoSpaceDN w:val="0"/>
        <w:bidi w:val="0"/>
        <w:adjustRightInd/>
        <w:snapToGrid/>
        <w:spacing w:line="240" w:lineRule="exact"/>
        <w:ind w:leftChars="0"/>
        <w:textAlignment w:val="auto"/>
        <w:rPr>
          <w:rFonts w:hint="eastAsia" w:ascii="黑体" w:hAnsi="黑体" w:eastAsia="黑体"/>
        </w:rPr>
      </w:pPr>
    </w:p>
    <w:p>
      <w:pPr>
        <w:pStyle w:val="68"/>
        <w:snapToGrid w:val="0"/>
        <w:spacing w:line="264" w:lineRule="auto"/>
        <w:ind w:firstLine="420"/>
        <w:rPr>
          <w:rFonts w:hAnsi="宋体"/>
        </w:rPr>
      </w:pPr>
      <w:r>
        <w:rPr>
          <w:rFonts w:hint="eastAsia" w:hAnsi="宋体"/>
        </w:rPr>
        <w:t>生命周期建模与计算分析通常包括如下步骤：</w:t>
      </w:r>
    </w:p>
    <w:p>
      <w:pPr>
        <w:pStyle w:val="68"/>
        <w:keepNext w:val="0"/>
        <w:keepLines w:val="0"/>
        <w:pageBreakBefore w:val="0"/>
        <w:widowControl/>
        <w:kinsoku/>
        <w:wordWrap/>
        <w:overflowPunct/>
        <w:topLinePunct w:val="0"/>
        <w:autoSpaceDE w:val="0"/>
        <w:autoSpaceDN w:val="0"/>
        <w:bidi w:val="0"/>
        <w:adjustRightInd/>
        <w:snapToGrid w:val="0"/>
        <w:spacing w:line="240" w:lineRule="auto"/>
        <w:ind w:firstLine="420"/>
        <w:textAlignment w:val="auto"/>
        <w:rPr>
          <w:rFonts w:hAnsi="宋体"/>
        </w:rPr>
      </w:pPr>
      <w:r>
        <w:rPr>
          <w:rFonts w:hint="eastAsia" w:hAnsi="宋体"/>
        </w:rPr>
        <w:t>a)</w:t>
      </w:r>
      <w:r>
        <w:rPr>
          <w:rFonts w:hint="eastAsia" w:hAnsi="宋体"/>
          <w:lang w:val="en-US" w:eastAsia="zh-CN"/>
        </w:rPr>
        <w:t xml:space="preserve">  </w:t>
      </w:r>
      <w:r>
        <w:rPr>
          <w:rFonts w:hint="eastAsia" w:hAnsi="宋体"/>
        </w:rPr>
        <w:t>创建产品模型，并图形化展示；</w:t>
      </w:r>
    </w:p>
    <w:p>
      <w:pPr>
        <w:pStyle w:val="68"/>
        <w:keepNext w:val="0"/>
        <w:keepLines w:val="0"/>
        <w:pageBreakBefore w:val="0"/>
        <w:widowControl/>
        <w:kinsoku/>
        <w:wordWrap/>
        <w:overflowPunct/>
        <w:topLinePunct w:val="0"/>
        <w:autoSpaceDE w:val="0"/>
        <w:autoSpaceDN w:val="0"/>
        <w:bidi w:val="0"/>
        <w:adjustRightInd/>
        <w:snapToGrid w:val="0"/>
        <w:spacing w:line="240" w:lineRule="auto"/>
        <w:ind w:firstLine="420"/>
        <w:textAlignment w:val="auto"/>
        <w:rPr>
          <w:rFonts w:hAnsi="宋体"/>
        </w:rPr>
      </w:pPr>
      <w:r>
        <w:rPr>
          <w:rFonts w:hint="eastAsia" w:hAnsi="宋体"/>
        </w:rPr>
        <w:t>b)</w:t>
      </w:r>
      <w:r>
        <w:rPr>
          <w:rFonts w:hint="eastAsia" w:hAnsi="宋体"/>
          <w:lang w:val="en-US" w:eastAsia="zh-CN"/>
        </w:rPr>
        <w:t xml:space="preserve">  </w:t>
      </w:r>
      <w:r>
        <w:rPr>
          <w:rFonts w:hint="eastAsia" w:hAnsi="宋体"/>
        </w:rPr>
        <w:t>导入产品材料清单表（BOM表）或数据收集表，批量输入产品的零部件和原辅料等生产数据；</w:t>
      </w:r>
    </w:p>
    <w:p>
      <w:pPr>
        <w:pStyle w:val="68"/>
        <w:keepNext w:val="0"/>
        <w:keepLines w:val="0"/>
        <w:pageBreakBefore w:val="0"/>
        <w:widowControl/>
        <w:kinsoku/>
        <w:wordWrap/>
        <w:overflowPunct/>
        <w:topLinePunct w:val="0"/>
        <w:autoSpaceDE w:val="0"/>
        <w:autoSpaceDN w:val="0"/>
        <w:bidi w:val="0"/>
        <w:adjustRightInd/>
        <w:snapToGrid w:val="0"/>
        <w:spacing w:line="240" w:lineRule="auto"/>
        <w:ind w:firstLine="420"/>
        <w:textAlignment w:val="auto"/>
        <w:rPr>
          <w:rFonts w:hAnsi="宋体"/>
        </w:rPr>
      </w:pPr>
      <w:r>
        <w:rPr>
          <w:rFonts w:hint="eastAsia" w:hAnsi="宋体"/>
        </w:rPr>
        <w:t>c)</w:t>
      </w:r>
      <w:r>
        <w:rPr>
          <w:rFonts w:hint="eastAsia" w:hAnsi="宋体"/>
          <w:lang w:val="en-US" w:eastAsia="zh-CN"/>
        </w:rPr>
        <w:t xml:space="preserve"> </w:t>
      </w:r>
      <w:r>
        <w:rPr>
          <w:rFonts w:hint="eastAsia" w:hAnsi="宋体"/>
        </w:rPr>
        <w:t>手工输入和编辑零部件、原辅料、能耗、污染物排放数据；</w:t>
      </w:r>
    </w:p>
    <w:p>
      <w:pPr>
        <w:pStyle w:val="68"/>
        <w:keepNext w:val="0"/>
        <w:keepLines w:val="0"/>
        <w:pageBreakBefore w:val="0"/>
        <w:widowControl/>
        <w:kinsoku/>
        <w:wordWrap/>
        <w:overflowPunct/>
        <w:topLinePunct w:val="0"/>
        <w:autoSpaceDE w:val="0"/>
        <w:autoSpaceDN w:val="0"/>
        <w:bidi w:val="0"/>
        <w:adjustRightInd/>
        <w:snapToGrid w:val="0"/>
        <w:spacing w:line="240" w:lineRule="auto"/>
        <w:ind w:left="840" w:leftChars="200" w:hanging="420" w:hangingChars="200"/>
        <w:textAlignment w:val="auto"/>
        <w:rPr>
          <w:rFonts w:hAnsi="宋体"/>
        </w:rPr>
      </w:pPr>
      <w:r>
        <w:rPr>
          <w:rFonts w:hint="eastAsia" w:hAnsi="宋体"/>
        </w:rPr>
        <w:t>d)</w:t>
      </w:r>
      <w:r>
        <w:rPr>
          <w:rFonts w:hint="eastAsia" w:hAnsi="宋体"/>
          <w:lang w:val="en-US" w:eastAsia="zh-CN"/>
        </w:rPr>
        <w:t xml:space="preserve"> </w:t>
      </w:r>
      <w:r>
        <w:rPr>
          <w:rFonts w:hint="eastAsia" w:hAnsi="宋体"/>
        </w:rPr>
        <w:t xml:space="preserve"> 采用LCA基础数据库作为背景数据， 并解决物质名称、单位、评价指标等各种数据库兼容问题；</w:t>
      </w:r>
    </w:p>
    <w:p>
      <w:pPr>
        <w:pStyle w:val="68"/>
        <w:keepNext w:val="0"/>
        <w:keepLines w:val="0"/>
        <w:pageBreakBefore w:val="0"/>
        <w:widowControl/>
        <w:kinsoku/>
        <w:wordWrap/>
        <w:overflowPunct/>
        <w:topLinePunct w:val="0"/>
        <w:autoSpaceDE w:val="0"/>
        <w:autoSpaceDN w:val="0"/>
        <w:bidi w:val="0"/>
        <w:adjustRightInd/>
        <w:snapToGrid w:val="0"/>
        <w:spacing w:line="240" w:lineRule="auto"/>
        <w:ind w:firstLine="420"/>
        <w:textAlignment w:val="auto"/>
        <w:rPr>
          <w:rFonts w:hAnsi="宋体"/>
        </w:rPr>
      </w:pPr>
      <w:r>
        <w:rPr>
          <w:rFonts w:hint="eastAsia" w:hAnsi="宋体"/>
          <w:lang w:val="en-US" w:eastAsia="zh-CN"/>
        </w:rPr>
        <w:t>e</w:t>
      </w:r>
      <w:r>
        <w:rPr>
          <w:rFonts w:hint="eastAsia" w:hAnsi="宋体"/>
        </w:rPr>
        <w:t>)</w:t>
      </w:r>
      <w:r>
        <w:rPr>
          <w:rFonts w:hint="eastAsia" w:hAnsi="宋体"/>
          <w:lang w:val="en-US" w:eastAsia="zh-CN"/>
        </w:rPr>
        <w:t xml:space="preserve"> </w:t>
      </w:r>
      <w:r>
        <w:rPr>
          <w:rFonts w:hint="eastAsia" w:hAnsi="宋体"/>
        </w:rPr>
        <w:t xml:space="preserve"> 选择一种或多种环境影响评价指标；</w:t>
      </w:r>
    </w:p>
    <w:p>
      <w:pPr>
        <w:pStyle w:val="68"/>
        <w:keepNext w:val="0"/>
        <w:keepLines w:val="0"/>
        <w:pageBreakBefore w:val="0"/>
        <w:widowControl/>
        <w:kinsoku/>
        <w:wordWrap/>
        <w:overflowPunct/>
        <w:topLinePunct w:val="0"/>
        <w:autoSpaceDE w:val="0"/>
        <w:autoSpaceDN w:val="0"/>
        <w:bidi w:val="0"/>
        <w:adjustRightInd/>
        <w:snapToGrid w:val="0"/>
        <w:spacing w:line="240" w:lineRule="auto"/>
        <w:ind w:firstLine="420"/>
        <w:textAlignment w:val="auto"/>
        <w:rPr>
          <w:rFonts w:hAnsi="宋体"/>
        </w:rPr>
      </w:pPr>
      <w:r>
        <w:rPr>
          <w:rFonts w:hint="eastAsia" w:hAnsi="宋体"/>
          <w:lang w:val="en-US" w:eastAsia="zh-CN"/>
        </w:rPr>
        <w:t>f</w:t>
      </w:r>
      <w:r>
        <w:rPr>
          <w:rFonts w:hint="eastAsia" w:hAnsi="宋体"/>
        </w:rPr>
        <w:t>)</w:t>
      </w:r>
      <w:r>
        <w:rPr>
          <w:rFonts w:hint="eastAsia" w:hAnsi="宋体"/>
          <w:lang w:val="en-US" w:eastAsia="zh-CN"/>
        </w:rPr>
        <w:t xml:space="preserve"> </w:t>
      </w:r>
      <w:r>
        <w:rPr>
          <w:rFonts w:hint="eastAsia" w:hAnsi="宋体"/>
        </w:rPr>
        <w:t xml:space="preserve"> 生命周期汇总计算，得到LCA结果（各种环境影响评价指标的结果）；</w:t>
      </w:r>
    </w:p>
    <w:p>
      <w:pPr>
        <w:pStyle w:val="68"/>
        <w:keepNext w:val="0"/>
        <w:keepLines w:val="0"/>
        <w:pageBreakBefore w:val="0"/>
        <w:widowControl/>
        <w:kinsoku/>
        <w:wordWrap/>
        <w:overflowPunct/>
        <w:topLinePunct w:val="0"/>
        <w:autoSpaceDE w:val="0"/>
        <w:autoSpaceDN w:val="0"/>
        <w:bidi w:val="0"/>
        <w:adjustRightInd/>
        <w:snapToGrid w:val="0"/>
        <w:spacing w:line="240" w:lineRule="auto"/>
        <w:ind w:left="840" w:leftChars="200" w:hanging="420" w:hangingChars="200"/>
        <w:textAlignment w:val="auto"/>
        <w:rPr>
          <w:rFonts w:hAnsi="宋体"/>
        </w:rPr>
      </w:pPr>
      <w:r>
        <w:rPr>
          <w:rFonts w:hint="eastAsia" w:hAnsi="宋体"/>
          <w:lang w:val="en-US" w:eastAsia="zh-CN"/>
        </w:rPr>
        <w:t>g</w:t>
      </w:r>
      <w:r>
        <w:rPr>
          <w:rFonts w:hint="eastAsia" w:hAnsi="宋体"/>
        </w:rPr>
        <w:t>)</w:t>
      </w:r>
      <w:r>
        <w:rPr>
          <w:rFonts w:hint="eastAsia" w:hAnsi="宋体"/>
          <w:lang w:val="en-US" w:eastAsia="zh-CN"/>
        </w:rPr>
        <w:t xml:space="preserve"> </w:t>
      </w:r>
      <w:r>
        <w:rPr>
          <w:rFonts w:hint="eastAsia" w:hAnsi="宋体"/>
        </w:rPr>
        <w:t xml:space="preserve"> 贡献分析和灵敏度分析：计算分析产品各阶段、各项零部件、原材料、能耗、排放在LCA结果中的贡献率，识别关键的过程和数据，分析潜在的改进方向；</w:t>
      </w:r>
    </w:p>
    <w:p>
      <w:pPr>
        <w:pStyle w:val="68"/>
        <w:keepNext w:val="0"/>
        <w:keepLines w:val="0"/>
        <w:pageBreakBefore w:val="0"/>
        <w:widowControl/>
        <w:kinsoku/>
        <w:wordWrap/>
        <w:overflowPunct/>
        <w:topLinePunct w:val="0"/>
        <w:autoSpaceDE w:val="0"/>
        <w:autoSpaceDN w:val="0"/>
        <w:bidi w:val="0"/>
        <w:adjustRightInd/>
        <w:snapToGrid w:val="0"/>
        <w:spacing w:line="240" w:lineRule="auto"/>
        <w:ind w:firstLine="420"/>
        <w:textAlignment w:val="auto"/>
        <w:rPr>
          <w:rFonts w:hAnsi="宋体"/>
        </w:rPr>
      </w:pPr>
      <w:r>
        <w:rPr>
          <w:rFonts w:hint="eastAsia" w:hAnsi="宋体"/>
          <w:lang w:val="en-US" w:eastAsia="zh-CN"/>
        </w:rPr>
        <w:t>h</w:t>
      </w:r>
      <w:r>
        <w:rPr>
          <w:rFonts w:hint="eastAsia" w:hAnsi="宋体"/>
        </w:rPr>
        <w:t>)</w:t>
      </w:r>
      <w:r>
        <w:rPr>
          <w:rFonts w:hint="eastAsia" w:hAnsi="宋体"/>
          <w:lang w:val="en-US" w:eastAsia="zh-CN"/>
        </w:rPr>
        <w:t xml:space="preserve">  </w:t>
      </w:r>
      <w:r>
        <w:rPr>
          <w:rFonts w:hint="eastAsia" w:hAnsi="宋体"/>
        </w:rPr>
        <w:t>进行数据质量评估分析，通过反复的数据收集，提高关键数据的数据质量；</w:t>
      </w:r>
    </w:p>
    <w:p>
      <w:pPr>
        <w:pStyle w:val="68"/>
        <w:keepNext w:val="0"/>
        <w:keepLines w:val="0"/>
        <w:pageBreakBefore w:val="0"/>
        <w:widowControl/>
        <w:kinsoku/>
        <w:wordWrap/>
        <w:overflowPunct/>
        <w:topLinePunct w:val="0"/>
        <w:autoSpaceDE w:val="0"/>
        <w:autoSpaceDN w:val="0"/>
        <w:bidi w:val="0"/>
        <w:adjustRightInd/>
        <w:snapToGrid w:val="0"/>
        <w:spacing w:line="240" w:lineRule="auto"/>
        <w:ind w:firstLine="420"/>
        <w:textAlignment w:val="auto"/>
        <w:rPr>
          <w:rFonts w:hAnsi="宋体"/>
        </w:rPr>
      </w:pPr>
      <w:r>
        <w:rPr>
          <w:rFonts w:hint="eastAsia" w:hAnsi="宋体"/>
          <w:lang w:val="en-US" w:eastAsia="zh-CN"/>
        </w:rPr>
        <w:t>i</w:t>
      </w:r>
      <w:r>
        <w:rPr>
          <w:rFonts w:hint="eastAsia" w:hAnsi="宋体"/>
        </w:rPr>
        <w:t xml:space="preserve">) </w:t>
      </w:r>
      <w:r>
        <w:rPr>
          <w:rFonts w:hint="eastAsia" w:hAnsi="宋体"/>
          <w:lang w:val="en-US" w:eastAsia="zh-CN"/>
        </w:rPr>
        <w:t xml:space="preserve"> </w:t>
      </w:r>
      <w:r>
        <w:rPr>
          <w:rFonts w:hint="eastAsia" w:hAnsi="宋体"/>
        </w:rPr>
        <w:t>输出产品LCA报告。</w:t>
      </w:r>
    </w:p>
    <w:p>
      <w:pPr>
        <w:pStyle w:val="68"/>
        <w:keepNext w:val="0"/>
        <w:keepLines w:val="0"/>
        <w:pageBreakBefore w:val="0"/>
        <w:widowControl/>
        <w:kinsoku/>
        <w:wordWrap/>
        <w:overflowPunct/>
        <w:topLinePunct w:val="0"/>
        <w:autoSpaceDE w:val="0"/>
        <w:autoSpaceDN w:val="0"/>
        <w:bidi w:val="0"/>
        <w:adjustRightInd/>
        <w:snapToGrid/>
        <w:spacing w:line="240" w:lineRule="auto"/>
        <w:ind w:firstLine="360"/>
        <w:textAlignment w:val="auto"/>
        <w:rPr>
          <w:rFonts w:hint="eastAsia" w:hAnsi="宋体"/>
          <w:sz w:val="18"/>
          <w:szCs w:val="18"/>
        </w:rPr>
      </w:pPr>
      <w:r>
        <w:rPr>
          <w:rFonts w:hint="eastAsia" w:hAnsi="宋体"/>
          <w:sz w:val="18"/>
          <w:szCs w:val="18"/>
        </w:rPr>
        <w:t>注：为避免数据和计算错误，企业可采用专用LCA软件提高工作效率，同时在LCA报告中说明采用的LCA软件工具。</w:t>
      </w:r>
    </w:p>
    <w:p>
      <w:pPr>
        <w:pStyle w:val="68"/>
        <w:keepNext w:val="0"/>
        <w:keepLines w:val="0"/>
        <w:pageBreakBefore w:val="0"/>
        <w:widowControl/>
        <w:kinsoku/>
        <w:wordWrap/>
        <w:overflowPunct/>
        <w:topLinePunct w:val="0"/>
        <w:autoSpaceDE w:val="0"/>
        <w:autoSpaceDN w:val="0"/>
        <w:bidi w:val="0"/>
        <w:adjustRightInd/>
        <w:snapToGrid/>
        <w:spacing w:line="240" w:lineRule="exact"/>
        <w:ind w:left="0" w:leftChars="0" w:firstLine="0" w:firstLineChars="0"/>
        <w:textAlignment w:val="auto"/>
        <w:rPr>
          <w:rFonts w:hint="eastAsia" w:hAnsi="宋体"/>
          <w:sz w:val="18"/>
          <w:szCs w:val="18"/>
        </w:rPr>
      </w:pPr>
    </w:p>
    <w:p>
      <w:pPr>
        <w:pStyle w:val="68"/>
        <w:keepNext w:val="0"/>
        <w:keepLines w:val="0"/>
        <w:pageBreakBefore w:val="0"/>
        <w:widowControl/>
        <w:numPr>
          <w:ilvl w:val="0"/>
          <w:numId w:val="0"/>
        </w:numPr>
        <w:kinsoku/>
        <w:wordWrap/>
        <w:overflowPunct/>
        <w:topLinePunct w:val="0"/>
        <w:autoSpaceDE w:val="0"/>
        <w:autoSpaceDN w:val="0"/>
        <w:bidi w:val="0"/>
        <w:adjustRightInd/>
        <w:snapToGrid/>
        <w:spacing w:line="240" w:lineRule="auto"/>
        <w:ind w:leftChars="0"/>
        <w:textAlignment w:val="auto"/>
        <w:rPr>
          <w:rFonts w:hint="eastAsia" w:ascii="黑体" w:hAnsi="黑体" w:eastAsia="黑体"/>
        </w:rPr>
      </w:pPr>
      <w:r>
        <w:rPr>
          <w:rFonts w:hint="eastAsia" w:ascii="黑体" w:hAnsi="黑体" w:eastAsia="黑体"/>
          <w:lang w:val="en-US" w:eastAsia="zh-CN"/>
        </w:rPr>
        <w:t xml:space="preserve">A.5  </w:t>
      </w:r>
      <w:r>
        <w:rPr>
          <w:rFonts w:hint="eastAsia" w:ascii="黑体" w:hAnsi="黑体" w:eastAsia="黑体"/>
        </w:rPr>
        <w:t>数据质量</w:t>
      </w:r>
    </w:p>
    <w:p>
      <w:pPr>
        <w:pStyle w:val="68"/>
        <w:keepNext w:val="0"/>
        <w:keepLines w:val="0"/>
        <w:pageBreakBefore w:val="0"/>
        <w:widowControl/>
        <w:numPr>
          <w:ilvl w:val="0"/>
          <w:numId w:val="0"/>
        </w:numPr>
        <w:kinsoku/>
        <w:wordWrap/>
        <w:overflowPunct/>
        <w:topLinePunct w:val="0"/>
        <w:autoSpaceDE w:val="0"/>
        <w:autoSpaceDN w:val="0"/>
        <w:bidi w:val="0"/>
        <w:adjustRightInd/>
        <w:snapToGrid/>
        <w:spacing w:line="240" w:lineRule="exact"/>
        <w:ind w:leftChars="0"/>
        <w:textAlignment w:val="auto"/>
        <w:rPr>
          <w:rFonts w:hint="eastAsia" w:ascii="黑体" w:hAnsi="黑体" w:eastAsia="黑体"/>
        </w:rPr>
      </w:pPr>
    </w:p>
    <w:p>
      <w:pPr>
        <w:pStyle w:val="68"/>
        <w:keepNext w:val="0"/>
        <w:keepLines w:val="0"/>
        <w:pageBreakBefore w:val="0"/>
        <w:widowControl/>
        <w:numPr>
          <w:ilvl w:val="0"/>
          <w:numId w:val="0"/>
        </w:numPr>
        <w:kinsoku/>
        <w:wordWrap/>
        <w:overflowPunct/>
        <w:topLinePunct w:val="0"/>
        <w:autoSpaceDE w:val="0"/>
        <w:autoSpaceDN w:val="0"/>
        <w:bidi w:val="0"/>
        <w:adjustRightInd/>
        <w:snapToGrid/>
        <w:spacing w:line="240" w:lineRule="exact"/>
        <w:ind w:leftChars="0"/>
        <w:textAlignment w:val="auto"/>
        <w:rPr>
          <w:rFonts w:hint="eastAsia" w:ascii="黑体" w:hAnsi="黑体" w:eastAsia="黑体"/>
        </w:rPr>
      </w:pPr>
      <w:r>
        <w:rPr>
          <w:rFonts w:hint="eastAsia" w:ascii="黑体" w:hAnsi="黑体" w:eastAsia="黑体"/>
          <w:lang w:val="en-US" w:eastAsia="zh-CN"/>
        </w:rPr>
        <w:t xml:space="preserve">A.5.4  </w:t>
      </w:r>
      <w:r>
        <w:rPr>
          <w:rFonts w:hint="eastAsia" w:ascii="黑体" w:hAnsi="黑体" w:eastAsia="黑体"/>
        </w:rPr>
        <w:t>概述</w:t>
      </w:r>
    </w:p>
    <w:p>
      <w:pPr>
        <w:pStyle w:val="68"/>
        <w:keepNext w:val="0"/>
        <w:keepLines w:val="0"/>
        <w:pageBreakBefore w:val="0"/>
        <w:widowControl/>
        <w:numPr>
          <w:ilvl w:val="0"/>
          <w:numId w:val="0"/>
        </w:numPr>
        <w:kinsoku/>
        <w:wordWrap/>
        <w:overflowPunct/>
        <w:topLinePunct w:val="0"/>
        <w:autoSpaceDE w:val="0"/>
        <w:autoSpaceDN w:val="0"/>
        <w:bidi w:val="0"/>
        <w:adjustRightInd/>
        <w:snapToGrid/>
        <w:spacing w:line="240" w:lineRule="auto"/>
        <w:ind w:leftChars="0" w:firstLine="420" w:firstLineChars="200"/>
        <w:textAlignment w:val="auto"/>
        <w:rPr>
          <w:rFonts w:hint="eastAsia" w:hAnsi="宋体"/>
        </w:rPr>
      </w:pPr>
      <w:r>
        <w:rPr>
          <w:rFonts w:hint="eastAsia" w:hAnsi="宋体"/>
        </w:rPr>
        <w:t>数据质量评估的目的是判断LCA结果和结论的可信度，并指出提高数据质量的关键因素。各种LCA标准和规范有不同的数据质量评估方法建议，例如欧盟产品环境足迹（PEF）采用半定量的评估方法，一些数据库采用了基于不确定度的量化评估方法。可以根据项目的目的和相关方要求采用不同评估方法。</w:t>
      </w:r>
    </w:p>
    <w:p>
      <w:pPr>
        <w:pStyle w:val="68"/>
        <w:keepNext w:val="0"/>
        <w:keepLines w:val="0"/>
        <w:pageBreakBefore w:val="0"/>
        <w:widowControl/>
        <w:numPr>
          <w:ilvl w:val="0"/>
          <w:numId w:val="0"/>
        </w:numPr>
        <w:kinsoku/>
        <w:wordWrap/>
        <w:overflowPunct/>
        <w:topLinePunct w:val="0"/>
        <w:autoSpaceDE w:val="0"/>
        <w:autoSpaceDN w:val="0"/>
        <w:bidi w:val="0"/>
        <w:adjustRightInd/>
        <w:snapToGrid/>
        <w:spacing w:line="240" w:lineRule="exact"/>
        <w:ind w:leftChars="0" w:firstLine="420" w:firstLineChars="200"/>
        <w:textAlignment w:val="auto"/>
        <w:rPr>
          <w:rFonts w:hint="eastAsia" w:hAnsi="宋体"/>
        </w:rPr>
      </w:pPr>
    </w:p>
    <w:p>
      <w:pPr>
        <w:pStyle w:val="68"/>
        <w:keepNext w:val="0"/>
        <w:keepLines w:val="0"/>
        <w:pageBreakBefore w:val="0"/>
        <w:widowControl/>
        <w:numPr>
          <w:ilvl w:val="0"/>
          <w:numId w:val="0"/>
        </w:numPr>
        <w:kinsoku/>
        <w:wordWrap/>
        <w:overflowPunct/>
        <w:topLinePunct w:val="0"/>
        <w:autoSpaceDE w:val="0"/>
        <w:autoSpaceDN w:val="0"/>
        <w:bidi w:val="0"/>
        <w:adjustRightInd/>
        <w:snapToGrid/>
        <w:spacing w:line="240" w:lineRule="auto"/>
        <w:ind w:leftChars="0"/>
        <w:textAlignment w:val="auto"/>
        <w:rPr>
          <w:rFonts w:hint="eastAsia" w:ascii="黑体" w:hAnsi="黑体" w:eastAsia="黑体"/>
        </w:rPr>
      </w:pPr>
      <w:r>
        <w:rPr>
          <w:rFonts w:hint="eastAsia" w:ascii="黑体" w:hAnsi="黑体" w:eastAsia="黑体"/>
          <w:lang w:val="en-US" w:eastAsia="zh-CN"/>
        </w:rPr>
        <w:t xml:space="preserve">A.5.2  </w:t>
      </w:r>
      <w:r>
        <w:rPr>
          <w:rFonts w:hint="eastAsia" w:ascii="黑体" w:hAnsi="黑体" w:eastAsia="黑体"/>
        </w:rPr>
        <w:t>实际生产过程调查的数据质量</w:t>
      </w:r>
    </w:p>
    <w:p>
      <w:pPr>
        <w:pStyle w:val="68"/>
        <w:keepNext w:val="0"/>
        <w:keepLines w:val="0"/>
        <w:pageBreakBefore w:val="0"/>
        <w:widowControl/>
        <w:numPr>
          <w:ilvl w:val="0"/>
          <w:numId w:val="0"/>
        </w:numPr>
        <w:kinsoku/>
        <w:wordWrap/>
        <w:overflowPunct/>
        <w:topLinePunct w:val="0"/>
        <w:autoSpaceDE w:val="0"/>
        <w:autoSpaceDN w:val="0"/>
        <w:bidi w:val="0"/>
        <w:adjustRightInd/>
        <w:snapToGrid/>
        <w:spacing w:line="240" w:lineRule="exact"/>
        <w:ind w:leftChars="0"/>
        <w:textAlignment w:val="auto"/>
        <w:rPr>
          <w:rFonts w:hint="eastAsia" w:ascii="黑体" w:hAnsi="黑体" w:eastAsia="黑体"/>
        </w:rPr>
      </w:pPr>
    </w:p>
    <w:p>
      <w:pPr>
        <w:pStyle w:val="68"/>
        <w:snapToGrid w:val="0"/>
        <w:spacing w:line="264" w:lineRule="auto"/>
        <w:ind w:firstLine="420"/>
        <w:rPr>
          <w:rFonts w:hAnsi="宋体"/>
        </w:rPr>
      </w:pPr>
      <w:r>
        <w:rPr>
          <w:rFonts w:hint="eastAsia" w:hAnsi="宋体"/>
        </w:rPr>
        <w:t>实际生产过程调查的数据质量宜具备：</w:t>
      </w:r>
    </w:p>
    <w:p>
      <w:pPr>
        <w:pStyle w:val="68"/>
        <w:keepNext w:val="0"/>
        <w:keepLines w:val="0"/>
        <w:pageBreakBefore w:val="0"/>
        <w:widowControl/>
        <w:kinsoku/>
        <w:wordWrap/>
        <w:overflowPunct/>
        <w:topLinePunct w:val="0"/>
        <w:autoSpaceDE w:val="0"/>
        <w:autoSpaceDN w:val="0"/>
        <w:bidi w:val="0"/>
        <w:adjustRightInd/>
        <w:snapToGrid w:val="0"/>
        <w:spacing w:line="240" w:lineRule="auto"/>
        <w:ind w:left="840" w:leftChars="200" w:hanging="420" w:hangingChars="200"/>
        <w:textAlignment w:val="auto"/>
        <w:rPr>
          <w:rFonts w:hAnsi="宋体"/>
        </w:rPr>
      </w:pPr>
      <w:r>
        <w:rPr>
          <w:rFonts w:hint="eastAsia" w:hAnsi="宋体"/>
        </w:rPr>
        <w:t xml:space="preserve">a) </w:t>
      </w:r>
      <w:r>
        <w:rPr>
          <w:rFonts w:hint="eastAsia" w:hAnsi="宋体"/>
          <w:lang w:val="en-US" w:eastAsia="zh-CN"/>
        </w:rPr>
        <w:t xml:space="preserve"> </w:t>
      </w:r>
      <w:r>
        <w:rPr>
          <w:rFonts w:hint="eastAsia" w:hAnsi="宋体"/>
        </w:rPr>
        <w:t>技术代表性：数据需反映实际生产情况，即体现实际工艺流程、技术和设备类型、原料与能耗类型、生产规模等因素的影响；</w:t>
      </w:r>
    </w:p>
    <w:p>
      <w:pPr>
        <w:pStyle w:val="68"/>
        <w:keepNext w:val="0"/>
        <w:keepLines w:val="0"/>
        <w:pageBreakBefore w:val="0"/>
        <w:widowControl/>
        <w:kinsoku/>
        <w:wordWrap/>
        <w:overflowPunct/>
        <w:topLinePunct w:val="0"/>
        <w:autoSpaceDE w:val="0"/>
        <w:autoSpaceDN w:val="0"/>
        <w:bidi w:val="0"/>
        <w:adjustRightInd/>
        <w:snapToGrid w:val="0"/>
        <w:spacing w:line="240" w:lineRule="auto"/>
        <w:ind w:left="840" w:leftChars="200" w:hanging="420" w:hangingChars="200"/>
        <w:textAlignment w:val="auto"/>
        <w:rPr>
          <w:rFonts w:hAnsi="宋体"/>
          <w:color w:val="000000" w:themeColor="text1"/>
          <w14:textFill>
            <w14:solidFill>
              <w14:schemeClr w14:val="tx1"/>
            </w14:solidFill>
          </w14:textFill>
        </w:rPr>
      </w:pPr>
      <w:r>
        <w:rPr>
          <w:rFonts w:hint="eastAsia" w:hAnsi="宋体"/>
        </w:rPr>
        <w:t>b)</w:t>
      </w:r>
      <w:r>
        <w:rPr>
          <w:rFonts w:hint="eastAsia" w:hAnsi="宋体"/>
          <w:lang w:val="en-US" w:eastAsia="zh-CN"/>
        </w:rPr>
        <w:t xml:space="preserve">  </w:t>
      </w:r>
      <w:r>
        <w:rPr>
          <w:rFonts w:hint="eastAsia" w:hAnsi="宋体"/>
        </w:rPr>
        <w:t>数据完整性：按照环境影响评价指标、数据取舍准则</w:t>
      </w:r>
      <w:r>
        <w:rPr>
          <w:rFonts w:hint="eastAsia" w:hAnsi="宋体"/>
          <w:color w:val="000000" w:themeColor="text1"/>
          <w14:textFill>
            <w14:solidFill>
              <w14:schemeClr w14:val="tx1"/>
            </w14:solidFill>
          </w14:textFill>
        </w:rPr>
        <w:t>，判断是否已收集各生产过程的主要消耗与和排放数据。缺失的数据需在LCA报告中说明；</w:t>
      </w:r>
    </w:p>
    <w:p>
      <w:pPr>
        <w:pStyle w:val="68"/>
        <w:keepNext w:val="0"/>
        <w:keepLines w:val="0"/>
        <w:pageBreakBefore w:val="0"/>
        <w:widowControl/>
        <w:kinsoku/>
        <w:wordWrap/>
        <w:overflowPunct/>
        <w:topLinePunct w:val="0"/>
        <w:autoSpaceDE w:val="0"/>
        <w:autoSpaceDN w:val="0"/>
        <w:bidi w:val="0"/>
        <w:adjustRightInd/>
        <w:snapToGrid w:val="0"/>
        <w:spacing w:line="240" w:lineRule="auto"/>
        <w:ind w:left="840" w:leftChars="200" w:hanging="420" w:hangingChars="200"/>
        <w:textAlignment w:val="auto"/>
        <w:rPr>
          <w:rFonts w:hAnsi="宋体"/>
        </w:rPr>
      </w:pPr>
      <w:r>
        <w:rPr>
          <w:rFonts w:hint="eastAsia" w:hAnsi="宋体"/>
          <w:color w:val="000000" w:themeColor="text1"/>
          <w14:textFill>
            <w14:solidFill>
              <w14:schemeClr w14:val="tx1"/>
            </w14:solidFill>
          </w14:textFill>
        </w:rPr>
        <w:t>c)</w:t>
      </w:r>
      <w:r>
        <w:rPr>
          <w:rFonts w:hint="eastAsia" w:hAnsi="宋体"/>
          <w:color w:val="000000" w:themeColor="text1"/>
          <w:lang w:val="en-US" w:eastAsia="zh-CN"/>
          <w14:textFill>
            <w14:solidFill>
              <w14:schemeClr w14:val="tx1"/>
            </w14:solidFill>
          </w14:textFill>
        </w:rPr>
        <w:t xml:space="preserve">  </w:t>
      </w:r>
      <w:r>
        <w:rPr>
          <w:rFonts w:hint="eastAsia" w:hAnsi="宋体"/>
          <w:color w:val="000000" w:themeColor="text1"/>
          <w14:textFill>
            <w14:solidFill>
              <w14:schemeClr w14:val="tx1"/>
            </w14:solidFill>
          </w14:textFill>
        </w:rPr>
        <w:t>数据准确性：零部件、辅料、能耗、包装、原料与产品运输等数据需采用企业实际生产</w:t>
      </w:r>
      <w:bookmarkStart w:id="295" w:name="_GoBack"/>
      <w:bookmarkEnd w:id="295"/>
      <w:r>
        <w:rPr>
          <w:rFonts w:hint="eastAsia" w:hAnsi="宋体"/>
          <w:color w:val="000000" w:themeColor="text1"/>
          <w14:textFill>
            <w14:solidFill>
              <w14:schemeClr w14:val="tx1"/>
            </w14:solidFill>
          </w14:textFill>
        </w:rPr>
        <w:t>统</w:t>
      </w:r>
      <w:r>
        <w:rPr>
          <w:rFonts w:hint="eastAsia" w:hAnsi="宋体"/>
        </w:rPr>
        <w:t>计记录， 环境排放数据优先采用环境监测报告。 所有数据均详细记录相关的数据来源和数据处理算法。估算或引用文献的数据需在LCA报告中说明；</w:t>
      </w:r>
    </w:p>
    <w:p>
      <w:pPr>
        <w:pStyle w:val="68"/>
        <w:keepNext w:val="0"/>
        <w:keepLines w:val="0"/>
        <w:pageBreakBefore w:val="0"/>
        <w:widowControl/>
        <w:kinsoku/>
        <w:wordWrap/>
        <w:overflowPunct/>
        <w:topLinePunct w:val="0"/>
        <w:autoSpaceDE w:val="0"/>
        <w:autoSpaceDN w:val="0"/>
        <w:bidi w:val="0"/>
        <w:adjustRightInd/>
        <w:snapToGrid/>
        <w:spacing w:line="240" w:lineRule="auto"/>
        <w:ind w:left="840" w:leftChars="200" w:hanging="420" w:hangingChars="200"/>
        <w:textAlignment w:val="auto"/>
        <w:rPr>
          <w:rFonts w:hint="eastAsia" w:hAnsi="宋体"/>
        </w:rPr>
      </w:pPr>
      <w:r>
        <w:rPr>
          <w:rFonts w:hint="eastAsia" w:hAnsi="宋体"/>
        </w:rPr>
        <w:t xml:space="preserve">d) </w:t>
      </w:r>
      <w:r>
        <w:rPr>
          <w:rFonts w:hint="eastAsia" w:hAnsi="宋体"/>
          <w:lang w:val="en-US" w:eastAsia="zh-CN"/>
        </w:rPr>
        <w:t xml:space="preserve"> </w:t>
      </w:r>
      <w:r>
        <w:rPr>
          <w:rFonts w:hint="eastAsia" w:hAnsi="宋体"/>
        </w:rPr>
        <w:t>数据一致性：每个过程的消耗与排放数据需保持一致的统计标准，即基于相同产品产出、相同过程边界、相同数据统计期。存在不一致情况时需在LCA报告中说明。</w:t>
      </w:r>
    </w:p>
    <w:p>
      <w:pPr>
        <w:pStyle w:val="68"/>
        <w:keepNext w:val="0"/>
        <w:keepLines w:val="0"/>
        <w:pageBreakBefore w:val="0"/>
        <w:widowControl/>
        <w:kinsoku/>
        <w:wordWrap/>
        <w:overflowPunct/>
        <w:topLinePunct w:val="0"/>
        <w:autoSpaceDE w:val="0"/>
        <w:autoSpaceDN w:val="0"/>
        <w:bidi w:val="0"/>
        <w:adjustRightInd/>
        <w:snapToGrid/>
        <w:spacing w:line="240" w:lineRule="exact"/>
        <w:ind w:hanging="420" w:hangingChars="200"/>
        <w:textAlignment w:val="auto"/>
        <w:rPr>
          <w:rFonts w:hint="eastAsia" w:hAnsi="宋体"/>
        </w:rPr>
      </w:pPr>
    </w:p>
    <w:p>
      <w:pPr>
        <w:pStyle w:val="68"/>
        <w:keepNext w:val="0"/>
        <w:keepLines w:val="0"/>
        <w:pageBreakBefore w:val="0"/>
        <w:widowControl/>
        <w:numPr>
          <w:ilvl w:val="0"/>
          <w:numId w:val="0"/>
        </w:numPr>
        <w:kinsoku/>
        <w:wordWrap/>
        <w:overflowPunct/>
        <w:topLinePunct w:val="0"/>
        <w:autoSpaceDE w:val="0"/>
        <w:autoSpaceDN w:val="0"/>
        <w:bidi w:val="0"/>
        <w:adjustRightInd/>
        <w:snapToGrid/>
        <w:spacing w:line="240" w:lineRule="auto"/>
        <w:ind w:leftChars="0"/>
        <w:textAlignment w:val="auto"/>
        <w:rPr>
          <w:rFonts w:hint="eastAsia" w:ascii="黑体" w:hAnsi="黑体" w:eastAsia="黑体"/>
        </w:rPr>
      </w:pPr>
      <w:r>
        <w:rPr>
          <w:rFonts w:hint="eastAsia" w:ascii="黑体" w:hAnsi="黑体" w:eastAsia="黑体"/>
          <w:lang w:val="en-US" w:eastAsia="zh-CN"/>
        </w:rPr>
        <w:t xml:space="preserve">A.5.3  </w:t>
      </w:r>
      <w:r>
        <w:rPr>
          <w:rFonts w:hint="eastAsia" w:ascii="黑体" w:hAnsi="黑体" w:eastAsia="黑体"/>
        </w:rPr>
        <w:t>产品生命周期模型的数据质量</w:t>
      </w:r>
    </w:p>
    <w:p>
      <w:pPr>
        <w:pStyle w:val="68"/>
        <w:keepNext w:val="0"/>
        <w:keepLines w:val="0"/>
        <w:pageBreakBefore w:val="0"/>
        <w:widowControl/>
        <w:numPr>
          <w:ilvl w:val="0"/>
          <w:numId w:val="0"/>
        </w:numPr>
        <w:kinsoku/>
        <w:wordWrap/>
        <w:overflowPunct/>
        <w:topLinePunct w:val="0"/>
        <w:autoSpaceDE w:val="0"/>
        <w:autoSpaceDN w:val="0"/>
        <w:bidi w:val="0"/>
        <w:adjustRightInd/>
        <w:snapToGrid/>
        <w:spacing w:line="240" w:lineRule="exact"/>
        <w:ind w:leftChars="0"/>
        <w:textAlignment w:val="auto"/>
        <w:rPr>
          <w:rFonts w:hint="eastAsia" w:ascii="黑体" w:hAnsi="黑体" w:eastAsia="黑体"/>
        </w:rPr>
      </w:pPr>
    </w:p>
    <w:p>
      <w:pPr>
        <w:pStyle w:val="68"/>
        <w:snapToGrid w:val="0"/>
        <w:spacing w:line="264" w:lineRule="auto"/>
        <w:ind w:firstLine="420"/>
        <w:rPr>
          <w:rFonts w:hAnsi="宋体"/>
        </w:rPr>
      </w:pPr>
      <w:r>
        <w:rPr>
          <w:rFonts w:hint="eastAsia" w:hAnsi="宋体"/>
        </w:rPr>
        <w:t>产品生命周期模型的数据质量宜具备：</w:t>
      </w:r>
    </w:p>
    <w:p>
      <w:pPr>
        <w:pStyle w:val="68"/>
        <w:keepNext w:val="0"/>
        <w:keepLines w:val="0"/>
        <w:pageBreakBefore w:val="0"/>
        <w:widowControl/>
        <w:kinsoku/>
        <w:wordWrap/>
        <w:overflowPunct/>
        <w:topLinePunct w:val="0"/>
        <w:autoSpaceDE w:val="0"/>
        <w:autoSpaceDN w:val="0"/>
        <w:bidi w:val="0"/>
        <w:adjustRightInd/>
        <w:snapToGrid w:val="0"/>
        <w:spacing w:line="240" w:lineRule="auto"/>
        <w:ind w:left="840" w:leftChars="200" w:hanging="420" w:hangingChars="200"/>
        <w:textAlignment w:val="auto"/>
        <w:rPr>
          <w:rFonts w:hAnsi="宋体"/>
        </w:rPr>
      </w:pPr>
      <w:r>
        <w:rPr>
          <w:rFonts w:hint="eastAsia" w:hAnsi="宋体"/>
        </w:rPr>
        <w:t>a)</w:t>
      </w:r>
      <w:r>
        <w:rPr>
          <w:rFonts w:hint="eastAsia" w:hAnsi="宋体"/>
          <w:lang w:val="en-US" w:eastAsia="zh-CN"/>
        </w:rPr>
        <w:t xml:space="preserve">  </w:t>
      </w:r>
      <w:r>
        <w:rPr>
          <w:rFonts w:hint="eastAsia" w:hAnsi="宋体"/>
        </w:rPr>
        <w:t>生命周期代表性： 产品LCA模型尽量反映产品供应链的实际情况。 重要的外购零部件和原辅料的生产过程数据需尽量调查供应商，或是由供应商提供经第三方独立验证的LCA报告</w:t>
      </w:r>
      <w:r>
        <w:rPr>
          <w:rFonts w:hint="eastAsia" w:hAnsi="宋体"/>
          <w:lang w:eastAsia="zh-CN"/>
        </w:rPr>
        <w:t>，</w:t>
      </w:r>
      <w:r>
        <w:rPr>
          <w:rFonts w:hint="eastAsia" w:hAnsi="宋体"/>
        </w:rPr>
        <w:t>在无法获得实际生产过程数据的情况下，可采用背景数据，但需对背景数据来源及采用依据进行详细说明。未能调查的重要供应商需在LCA报告中说明；</w:t>
      </w:r>
    </w:p>
    <w:p>
      <w:pPr>
        <w:pStyle w:val="68"/>
        <w:keepNext w:val="0"/>
        <w:keepLines w:val="0"/>
        <w:pageBreakBefore w:val="0"/>
        <w:widowControl/>
        <w:kinsoku/>
        <w:wordWrap/>
        <w:overflowPunct/>
        <w:topLinePunct w:val="0"/>
        <w:autoSpaceDE w:val="0"/>
        <w:autoSpaceDN w:val="0"/>
        <w:bidi w:val="0"/>
        <w:adjustRightInd/>
        <w:snapToGrid w:val="0"/>
        <w:spacing w:line="240" w:lineRule="auto"/>
        <w:ind w:left="840" w:leftChars="200" w:hanging="420" w:hangingChars="200"/>
        <w:textAlignment w:val="auto"/>
        <w:rPr>
          <w:rFonts w:hAnsi="宋体"/>
        </w:rPr>
      </w:pPr>
      <w:r>
        <w:rPr>
          <w:rFonts w:hint="eastAsia" w:hAnsi="宋体"/>
        </w:rPr>
        <w:t>b)</w:t>
      </w:r>
      <w:r>
        <w:rPr>
          <w:rFonts w:hint="eastAsia" w:hAnsi="宋体"/>
          <w:lang w:val="en-US" w:eastAsia="zh-CN"/>
        </w:rPr>
        <w:t xml:space="preserve">  </w:t>
      </w:r>
      <w:r>
        <w:rPr>
          <w:rFonts w:hint="eastAsia" w:hAnsi="宋体"/>
        </w:rPr>
        <w:t>模型完整性：依据系统边界定义和数据取舍准则，产品LCA模型需包含所有主要过程，包括从资源开采开始的主要原材料和能源生产、主要零部件和原辅料生产、产品生产以及运输过程。如果是可以交付给消费者直接使用的产品，还需包含产品使用、废弃处理过程；</w:t>
      </w:r>
    </w:p>
    <w:p>
      <w:pPr>
        <w:pStyle w:val="68"/>
        <w:keepNext w:val="0"/>
        <w:keepLines w:val="0"/>
        <w:pageBreakBefore w:val="0"/>
        <w:widowControl/>
        <w:kinsoku/>
        <w:wordWrap/>
        <w:overflowPunct/>
        <w:topLinePunct w:val="0"/>
        <w:autoSpaceDE w:val="0"/>
        <w:autoSpaceDN w:val="0"/>
        <w:bidi w:val="0"/>
        <w:adjustRightInd/>
        <w:snapToGrid w:val="0"/>
        <w:spacing w:line="240" w:lineRule="auto"/>
        <w:ind w:left="840" w:leftChars="200" w:hanging="420" w:hangingChars="200"/>
        <w:textAlignment w:val="auto"/>
        <w:rPr>
          <w:rFonts w:hAnsi="宋体"/>
        </w:rPr>
      </w:pPr>
      <w:r>
        <w:rPr>
          <w:rFonts w:hint="eastAsia" w:hAnsi="宋体"/>
        </w:rPr>
        <w:t xml:space="preserve">c) </w:t>
      </w:r>
      <w:r>
        <w:rPr>
          <w:rFonts w:hint="eastAsia" w:hAnsi="宋体"/>
          <w:lang w:val="en-US" w:eastAsia="zh-CN"/>
        </w:rPr>
        <w:t xml:space="preserve"> </w:t>
      </w:r>
      <w:r>
        <w:rPr>
          <w:rFonts w:hint="eastAsia" w:hAnsi="宋体"/>
        </w:rPr>
        <w:t>背景数据准确性： 重要物料和能耗的上游生产过程数据优先选择代表原产地国家、 相同生产技术的公开基础数据库， 数据的年限优先选择近年数据。 仅在没有符合要求的背景数据的情况下，可以选择代表其他国家、代表其他技术的数据作为替代，并需在LCA报告中说明；</w:t>
      </w:r>
    </w:p>
    <w:p>
      <w:pPr>
        <w:pStyle w:val="68"/>
        <w:keepNext w:val="0"/>
        <w:keepLines w:val="0"/>
        <w:pageBreakBefore w:val="0"/>
        <w:widowControl/>
        <w:kinsoku/>
        <w:wordWrap/>
        <w:overflowPunct/>
        <w:topLinePunct w:val="0"/>
        <w:autoSpaceDE w:val="0"/>
        <w:autoSpaceDN w:val="0"/>
        <w:bidi w:val="0"/>
        <w:adjustRightInd/>
        <w:snapToGrid/>
        <w:spacing w:line="240" w:lineRule="auto"/>
        <w:ind w:left="840" w:leftChars="200" w:hanging="420" w:hangingChars="200"/>
        <w:textAlignment w:val="auto"/>
        <w:rPr>
          <w:rFonts w:hint="eastAsia" w:hAnsi="宋体"/>
        </w:rPr>
      </w:pPr>
      <w:r>
        <w:rPr>
          <w:rFonts w:hint="eastAsia" w:hAnsi="宋体"/>
        </w:rPr>
        <w:t xml:space="preserve">d) </w:t>
      </w:r>
      <w:r>
        <w:rPr>
          <w:rFonts w:hint="eastAsia" w:hAnsi="宋体"/>
          <w:lang w:val="en-US" w:eastAsia="zh-CN"/>
        </w:rPr>
        <w:t xml:space="preserve"> </w:t>
      </w:r>
      <w:r>
        <w:rPr>
          <w:rFonts w:hint="eastAsia" w:hAnsi="宋体"/>
        </w:rPr>
        <w:t>模型一致性： 如果模型中采用了多种背景数据库， 需保证各数据库均支持所选的环境影响类型指标。如果模型中包含分配和再生过程建模，需在LCA报告中说明。</w:t>
      </w:r>
    </w:p>
    <w:p>
      <w:pPr>
        <w:pStyle w:val="68"/>
        <w:keepNext w:val="0"/>
        <w:keepLines w:val="0"/>
        <w:pageBreakBefore w:val="0"/>
        <w:widowControl/>
        <w:kinsoku/>
        <w:wordWrap/>
        <w:overflowPunct/>
        <w:topLinePunct w:val="0"/>
        <w:autoSpaceDE w:val="0"/>
        <w:autoSpaceDN w:val="0"/>
        <w:bidi w:val="0"/>
        <w:adjustRightInd/>
        <w:snapToGrid/>
        <w:spacing w:line="240" w:lineRule="exact"/>
        <w:ind w:firstLine="420"/>
        <w:textAlignment w:val="auto"/>
        <w:rPr>
          <w:rFonts w:hint="eastAsia" w:hAnsi="宋体"/>
        </w:rPr>
      </w:pPr>
    </w:p>
    <w:p>
      <w:pPr>
        <w:pStyle w:val="68"/>
        <w:keepNext w:val="0"/>
        <w:keepLines w:val="0"/>
        <w:pageBreakBefore w:val="0"/>
        <w:widowControl/>
        <w:numPr>
          <w:ilvl w:val="0"/>
          <w:numId w:val="0"/>
        </w:numPr>
        <w:kinsoku/>
        <w:wordWrap/>
        <w:overflowPunct/>
        <w:topLinePunct w:val="0"/>
        <w:autoSpaceDE w:val="0"/>
        <w:autoSpaceDN w:val="0"/>
        <w:bidi w:val="0"/>
        <w:adjustRightInd/>
        <w:snapToGrid/>
        <w:spacing w:line="240" w:lineRule="auto"/>
        <w:ind w:leftChars="0"/>
        <w:textAlignment w:val="auto"/>
        <w:rPr>
          <w:rFonts w:hint="eastAsia" w:ascii="黑体" w:hAnsi="黑体" w:eastAsia="黑体"/>
        </w:rPr>
      </w:pPr>
      <w:r>
        <w:rPr>
          <w:rFonts w:hint="eastAsia" w:ascii="黑体" w:hAnsi="黑体" w:eastAsia="黑体"/>
          <w:lang w:val="en-US" w:eastAsia="zh-CN"/>
        </w:rPr>
        <w:t xml:space="preserve">A.5.4  </w:t>
      </w:r>
      <w:r>
        <w:rPr>
          <w:rFonts w:hint="eastAsia" w:ascii="黑体" w:hAnsi="黑体" w:eastAsia="黑体"/>
        </w:rPr>
        <w:t>背景数据库的数据质量</w:t>
      </w:r>
    </w:p>
    <w:p>
      <w:pPr>
        <w:pStyle w:val="68"/>
        <w:keepNext w:val="0"/>
        <w:keepLines w:val="0"/>
        <w:pageBreakBefore w:val="0"/>
        <w:widowControl/>
        <w:numPr>
          <w:ilvl w:val="0"/>
          <w:numId w:val="0"/>
        </w:numPr>
        <w:kinsoku/>
        <w:wordWrap/>
        <w:overflowPunct/>
        <w:topLinePunct w:val="0"/>
        <w:autoSpaceDE w:val="0"/>
        <w:autoSpaceDN w:val="0"/>
        <w:bidi w:val="0"/>
        <w:adjustRightInd/>
        <w:snapToGrid/>
        <w:spacing w:line="240" w:lineRule="exact"/>
        <w:ind w:leftChars="0"/>
        <w:textAlignment w:val="auto"/>
        <w:rPr>
          <w:rFonts w:hint="eastAsia" w:ascii="黑体" w:hAnsi="黑体" w:eastAsia="黑体"/>
        </w:rPr>
      </w:pPr>
    </w:p>
    <w:p>
      <w:pPr>
        <w:pStyle w:val="68"/>
        <w:snapToGrid w:val="0"/>
        <w:spacing w:line="264" w:lineRule="auto"/>
        <w:ind w:firstLine="420"/>
        <w:rPr>
          <w:rFonts w:hAnsi="宋体"/>
        </w:rPr>
      </w:pPr>
      <w:r>
        <w:rPr>
          <w:rFonts w:hint="eastAsia" w:hAnsi="宋体"/>
        </w:rPr>
        <w:t>背景数据库的数据质量宜具备：</w:t>
      </w:r>
    </w:p>
    <w:p>
      <w:pPr>
        <w:pStyle w:val="68"/>
        <w:keepNext w:val="0"/>
        <w:keepLines w:val="0"/>
        <w:pageBreakBefore w:val="0"/>
        <w:widowControl/>
        <w:kinsoku/>
        <w:wordWrap/>
        <w:overflowPunct/>
        <w:topLinePunct w:val="0"/>
        <w:autoSpaceDE w:val="0"/>
        <w:autoSpaceDN w:val="0"/>
        <w:bidi w:val="0"/>
        <w:adjustRightInd/>
        <w:snapToGrid w:val="0"/>
        <w:spacing w:line="240" w:lineRule="auto"/>
        <w:ind w:left="840" w:leftChars="200" w:hanging="420" w:hangingChars="200"/>
        <w:textAlignment w:val="auto"/>
        <w:rPr>
          <w:rFonts w:hAnsi="宋体"/>
        </w:rPr>
      </w:pPr>
      <w:r>
        <w:rPr>
          <w:rFonts w:hint="eastAsia" w:hAnsi="宋体"/>
        </w:rPr>
        <w:t xml:space="preserve">a) </w:t>
      </w:r>
      <w:r>
        <w:rPr>
          <w:rFonts w:hint="eastAsia" w:hAnsi="宋体"/>
          <w:lang w:val="en-US" w:eastAsia="zh-CN"/>
        </w:rPr>
        <w:t xml:space="preserve"> </w:t>
      </w:r>
      <w:r>
        <w:rPr>
          <w:rFonts w:hint="eastAsia" w:hAnsi="宋体"/>
        </w:rPr>
        <w:t>完整性：背景数据库一般至少包含一个国家或地区的数百种主要能源、基础原材料、化学品的开采、制造和运输过程，以保证背景数据库自身的完整性；</w:t>
      </w:r>
    </w:p>
    <w:p>
      <w:pPr>
        <w:pStyle w:val="68"/>
        <w:keepNext w:val="0"/>
        <w:keepLines w:val="0"/>
        <w:pageBreakBefore w:val="0"/>
        <w:widowControl/>
        <w:kinsoku/>
        <w:wordWrap/>
        <w:overflowPunct/>
        <w:topLinePunct w:val="0"/>
        <w:autoSpaceDE w:val="0"/>
        <w:autoSpaceDN w:val="0"/>
        <w:bidi w:val="0"/>
        <w:adjustRightInd/>
        <w:snapToGrid w:val="0"/>
        <w:spacing w:line="240" w:lineRule="auto"/>
        <w:ind w:left="840" w:leftChars="200" w:hanging="420" w:hangingChars="200"/>
        <w:textAlignment w:val="auto"/>
        <w:rPr>
          <w:rFonts w:hAnsi="宋体"/>
        </w:rPr>
      </w:pPr>
      <w:r>
        <w:rPr>
          <w:rFonts w:hint="eastAsia" w:hAnsi="宋体"/>
        </w:rPr>
        <w:t xml:space="preserve">b) </w:t>
      </w:r>
      <w:r>
        <w:rPr>
          <w:rFonts w:hint="eastAsia" w:hAnsi="宋体"/>
          <w:lang w:val="en-US" w:eastAsia="zh-CN"/>
        </w:rPr>
        <w:t xml:space="preserve"> </w:t>
      </w:r>
      <w:r>
        <w:rPr>
          <w:rFonts w:hint="eastAsia" w:hAnsi="宋体"/>
        </w:rPr>
        <w:t>准确性：背景数据库需采用来自本国或本地区的统计数据、调查数据和文献资料，以反映该国家或地区的能源结构、生产系统特点和平均的生产技术水平；</w:t>
      </w:r>
    </w:p>
    <w:p>
      <w:pPr>
        <w:pStyle w:val="68"/>
        <w:keepNext w:val="0"/>
        <w:keepLines w:val="0"/>
        <w:pageBreakBefore w:val="0"/>
        <w:widowControl/>
        <w:kinsoku/>
        <w:wordWrap/>
        <w:overflowPunct/>
        <w:topLinePunct w:val="0"/>
        <w:autoSpaceDE w:val="0"/>
        <w:autoSpaceDN w:val="0"/>
        <w:bidi w:val="0"/>
        <w:adjustRightInd/>
        <w:snapToGrid/>
        <w:spacing w:line="240" w:lineRule="auto"/>
        <w:ind w:firstLine="420"/>
        <w:textAlignment w:val="auto"/>
        <w:rPr>
          <w:rFonts w:hint="eastAsia" w:hAnsi="宋体"/>
        </w:rPr>
      </w:pPr>
      <w:r>
        <w:rPr>
          <w:rFonts w:hint="eastAsia" w:hAnsi="宋体"/>
        </w:rPr>
        <w:t>c)</w:t>
      </w:r>
      <w:r>
        <w:rPr>
          <w:rFonts w:hint="eastAsia" w:hAnsi="宋体"/>
          <w:lang w:val="en-US" w:eastAsia="zh-CN"/>
        </w:rPr>
        <w:t xml:space="preserve">  </w:t>
      </w:r>
      <w:r>
        <w:rPr>
          <w:rFonts w:hint="eastAsia" w:hAnsi="宋体"/>
        </w:rPr>
        <w:t>一致性：背景数据库需建立统一的数据库生命周期模型，以保证模型和数据的一致性。</w:t>
      </w:r>
    </w:p>
    <w:p>
      <w:pPr>
        <w:pStyle w:val="68"/>
        <w:keepNext w:val="0"/>
        <w:keepLines w:val="0"/>
        <w:pageBreakBefore w:val="0"/>
        <w:widowControl/>
        <w:kinsoku/>
        <w:wordWrap/>
        <w:overflowPunct/>
        <w:topLinePunct w:val="0"/>
        <w:autoSpaceDE w:val="0"/>
        <w:autoSpaceDN w:val="0"/>
        <w:bidi w:val="0"/>
        <w:adjustRightInd/>
        <w:snapToGrid/>
        <w:spacing w:line="240" w:lineRule="exact"/>
        <w:ind w:firstLine="420"/>
        <w:textAlignment w:val="auto"/>
        <w:rPr>
          <w:rFonts w:hint="eastAsia" w:hAnsi="宋体"/>
        </w:rPr>
      </w:pPr>
    </w:p>
    <w:p>
      <w:pPr>
        <w:pStyle w:val="68"/>
        <w:keepNext w:val="0"/>
        <w:keepLines w:val="0"/>
        <w:pageBreakBefore w:val="0"/>
        <w:widowControl/>
        <w:numPr>
          <w:ilvl w:val="0"/>
          <w:numId w:val="0"/>
        </w:numPr>
        <w:kinsoku/>
        <w:wordWrap/>
        <w:overflowPunct/>
        <w:topLinePunct w:val="0"/>
        <w:autoSpaceDE w:val="0"/>
        <w:autoSpaceDN w:val="0"/>
        <w:bidi w:val="0"/>
        <w:adjustRightInd/>
        <w:snapToGrid/>
        <w:spacing w:line="240" w:lineRule="auto"/>
        <w:ind w:leftChars="0"/>
        <w:textAlignment w:val="auto"/>
        <w:rPr>
          <w:rFonts w:hint="eastAsia" w:ascii="黑体" w:hAnsi="黑体" w:eastAsia="黑体"/>
        </w:rPr>
      </w:pPr>
      <w:r>
        <w:rPr>
          <w:rFonts w:hint="eastAsia" w:ascii="黑体" w:hAnsi="黑体" w:eastAsia="黑体"/>
          <w:lang w:val="en-US" w:eastAsia="zh-CN"/>
        </w:rPr>
        <w:t xml:space="preserve">A.5.5  </w:t>
      </w:r>
      <w:r>
        <w:rPr>
          <w:rFonts w:hint="eastAsia" w:ascii="黑体" w:hAnsi="黑体" w:eastAsia="黑体"/>
        </w:rPr>
        <w:t>数据质量评估表</w:t>
      </w:r>
    </w:p>
    <w:p>
      <w:pPr>
        <w:pStyle w:val="68"/>
        <w:keepNext w:val="0"/>
        <w:keepLines w:val="0"/>
        <w:pageBreakBefore w:val="0"/>
        <w:widowControl/>
        <w:numPr>
          <w:ilvl w:val="0"/>
          <w:numId w:val="0"/>
        </w:numPr>
        <w:kinsoku/>
        <w:wordWrap/>
        <w:overflowPunct/>
        <w:topLinePunct w:val="0"/>
        <w:autoSpaceDE w:val="0"/>
        <w:autoSpaceDN w:val="0"/>
        <w:bidi w:val="0"/>
        <w:adjustRightInd/>
        <w:snapToGrid/>
        <w:spacing w:line="240" w:lineRule="exact"/>
        <w:ind w:leftChars="0"/>
        <w:textAlignment w:val="auto"/>
        <w:rPr>
          <w:rFonts w:hint="eastAsia" w:ascii="黑体" w:hAnsi="黑体" w:eastAsia="黑体"/>
        </w:rPr>
      </w:pPr>
    </w:p>
    <w:p>
      <w:pPr>
        <w:pStyle w:val="68"/>
        <w:snapToGrid w:val="0"/>
        <w:spacing w:line="264" w:lineRule="auto"/>
        <w:ind w:firstLine="420"/>
        <w:rPr>
          <w:rFonts w:hint="eastAsia" w:hAnsi="宋体"/>
        </w:rPr>
      </w:pPr>
      <w:r>
        <w:rPr>
          <w:rFonts w:hint="eastAsia" w:hAnsi="宋体"/>
        </w:rPr>
        <w:t>在LCA过程中，可采用数据收集与建模情况的统计表（表A.2）对数据质量进行评估，并明确数据质量改进的重点。</w:t>
      </w:r>
    </w:p>
    <w:p>
      <w:pPr>
        <w:pStyle w:val="68"/>
        <w:keepNext w:val="0"/>
        <w:keepLines w:val="0"/>
        <w:pageBreakBefore w:val="0"/>
        <w:widowControl/>
        <w:kinsoku/>
        <w:wordWrap/>
        <w:overflowPunct/>
        <w:topLinePunct w:val="0"/>
        <w:autoSpaceDE w:val="0"/>
        <w:autoSpaceDN w:val="0"/>
        <w:bidi w:val="0"/>
        <w:adjustRightInd/>
        <w:snapToGrid w:val="0"/>
        <w:spacing w:line="240" w:lineRule="exact"/>
        <w:ind w:firstLine="420"/>
        <w:textAlignment w:val="auto"/>
        <w:rPr>
          <w:rFonts w:hint="eastAsia" w:hAnsi="宋体"/>
          <w:lang w:val="en-US" w:eastAsia="zh-CN"/>
        </w:rPr>
      </w:pPr>
      <w:r>
        <w:rPr>
          <w:rFonts w:hint="eastAsia" w:hAnsi="宋体"/>
          <w:lang w:val="en-US" w:eastAsia="zh-CN"/>
        </w:rPr>
        <w:t xml:space="preserve">    </w:t>
      </w:r>
    </w:p>
    <w:p>
      <w:pPr>
        <w:pStyle w:val="68"/>
        <w:keepNext w:val="0"/>
        <w:keepLines w:val="0"/>
        <w:pageBreakBefore w:val="0"/>
        <w:widowControl/>
        <w:kinsoku/>
        <w:wordWrap/>
        <w:overflowPunct/>
        <w:topLinePunct w:val="0"/>
        <w:autoSpaceDE w:val="0"/>
        <w:autoSpaceDN w:val="0"/>
        <w:bidi w:val="0"/>
        <w:adjustRightInd/>
        <w:snapToGrid w:val="0"/>
        <w:spacing w:line="240" w:lineRule="exact"/>
        <w:ind w:firstLine="420"/>
        <w:textAlignment w:val="auto"/>
        <w:rPr>
          <w:rFonts w:hint="eastAsia" w:hAnsi="宋体"/>
          <w:lang w:val="en-US" w:eastAsia="zh-CN"/>
        </w:rPr>
      </w:pPr>
    </w:p>
    <w:p>
      <w:pPr>
        <w:pStyle w:val="68"/>
        <w:keepNext w:val="0"/>
        <w:keepLines w:val="0"/>
        <w:pageBreakBefore w:val="0"/>
        <w:widowControl/>
        <w:kinsoku/>
        <w:wordWrap/>
        <w:overflowPunct/>
        <w:topLinePunct w:val="0"/>
        <w:autoSpaceDE w:val="0"/>
        <w:autoSpaceDN w:val="0"/>
        <w:bidi w:val="0"/>
        <w:adjustRightInd/>
        <w:snapToGrid w:val="0"/>
        <w:spacing w:line="240" w:lineRule="exact"/>
        <w:ind w:firstLine="420"/>
        <w:textAlignment w:val="auto"/>
        <w:rPr>
          <w:rFonts w:hint="eastAsia" w:hAnsi="宋体"/>
          <w:lang w:val="en-US" w:eastAsia="zh-CN"/>
        </w:rPr>
      </w:pPr>
    </w:p>
    <w:p>
      <w:pPr>
        <w:pStyle w:val="68"/>
        <w:keepNext w:val="0"/>
        <w:keepLines w:val="0"/>
        <w:pageBreakBefore w:val="0"/>
        <w:widowControl/>
        <w:kinsoku/>
        <w:wordWrap/>
        <w:overflowPunct/>
        <w:topLinePunct w:val="0"/>
        <w:autoSpaceDE w:val="0"/>
        <w:autoSpaceDN w:val="0"/>
        <w:bidi w:val="0"/>
        <w:adjustRightInd/>
        <w:snapToGrid w:val="0"/>
        <w:spacing w:line="240" w:lineRule="exact"/>
        <w:ind w:firstLine="420"/>
        <w:textAlignment w:val="auto"/>
        <w:rPr>
          <w:rFonts w:hint="eastAsia" w:hAnsi="宋体"/>
          <w:lang w:val="en-US" w:eastAsia="zh-CN"/>
        </w:rPr>
      </w:pPr>
    </w:p>
    <w:p>
      <w:pPr>
        <w:pStyle w:val="68"/>
        <w:keepNext w:val="0"/>
        <w:keepLines w:val="0"/>
        <w:pageBreakBefore w:val="0"/>
        <w:widowControl/>
        <w:kinsoku/>
        <w:wordWrap/>
        <w:overflowPunct/>
        <w:topLinePunct w:val="0"/>
        <w:autoSpaceDE w:val="0"/>
        <w:autoSpaceDN w:val="0"/>
        <w:bidi w:val="0"/>
        <w:adjustRightInd/>
        <w:snapToGrid w:val="0"/>
        <w:spacing w:line="240" w:lineRule="exact"/>
        <w:ind w:firstLine="420"/>
        <w:textAlignment w:val="auto"/>
        <w:rPr>
          <w:rFonts w:hint="eastAsia" w:hAnsi="宋体"/>
          <w:lang w:val="en-US" w:eastAsia="zh-CN"/>
        </w:rPr>
      </w:pPr>
    </w:p>
    <w:p>
      <w:pPr>
        <w:pStyle w:val="68"/>
        <w:keepNext w:val="0"/>
        <w:keepLines w:val="0"/>
        <w:pageBreakBefore w:val="0"/>
        <w:widowControl/>
        <w:kinsoku/>
        <w:wordWrap/>
        <w:overflowPunct/>
        <w:topLinePunct w:val="0"/>
        <w:autoSpaceDE w:val="0"/>
        <w:autoSpaceDN w:val="0"/>
        <w:bidi w:val="0"/>
        <w:adjustRightInd/>
        <w:snapToGrid w:val="0"/>
        <w:spacing w:line="240" w:lineRule="exact"/>
        <w:ind w:firstLine="420"/>
        <w:textAlignment w:val="auto"/>
        <w:rPr>
          <w:rFonts w:hint="eastAsia" w:hAnsi="宋体"/>
          <w:lang w:val="en-US" w:eastAsia="zh-CN"/>
        </w:rPr>
      </w:pPr>
    </w:p>
    <w:p>
      <w:pPr>
        <w:pStyle w:val="68"/>
        <w:keepNext w:val="0"/>
        <w:keepLines w:val="0"/>
        <w:pageBreakBefore w:val="0"/>
        <w:widowControl/>
        <w:kinsoku/>
        <w:wordWrap/>
        <w:overflowPunct/>
        <w:topLinePunct w:val="0"/>
        <w:autoSpaceDE w:val="0"/>
        <w:autoSpaceDN w:val="0"/>
        <w:bidi w:val="0"/>
        <w:adjustRightInd/>
        <w:snapToGrid w:val="0"/>
        <w:spacing w:line="240" w:lineRule="exact"/>
        <w:ind w:firstLine="420"/>
        <w:textAlignment w:val="auto"/>
        <w:rPr>
          <w:rFonts w:hint="eastAsia" w:hAnsi="宋体"/>
          <w:lang w:val="en-US" w:eastAsia="zh-CN"/>
        </w:rPr>
      </w:pPr>
    </w:p>
    <w:p>
      <w:pPr>
        <w:pStyle w:val="68"/>
        <w:keepNext w:val="0"/>
        <w:keepLines w:val="0"/>
        <w:pageBreakBefore w:val="0"/>
        <w:widowControl/>
        <w:kinsoku/>
        <w:wordWrap/>
        <w:overflowPunct/>
        <w:topLinePunct w:val="0"/>
        <w:autoSpaceDE w:val="0"/>
        <w:autoSpaceDN w:val="0"/>
        <w:bidi w:val="0"/>
        <w:adjustRightInd/>
        <w:snapToGrid w:val="0"/>
        <w:spacing w:line="240" w:lineRule="exact"/>
        <w:ind w:firstLine="420"/>
        <w:textAlignment w:val="auto"/>
        <w:rPr>
          <w:rFonts w:hint="eastAsia" w:hAnsi="宋体"/>
          <w:lang w:val="en-US" w:eastAsia="zh-CN"/>
        </w:rPr>
      </w:pPr>
    </w:p>
    <w:p>
      <w:pPr>
        <w:pStyle w:val="68"/>
        <w:keepNext w:val="0"/>
        <w:keepLines w:val="0"/>
        <w:pageBreakBefore w:val="0"/>
        <w:widowControl/>
        <w:kinsoku/>
        <w:wordWrap/>
        <w:overflowPunct/>
        <w:topLinePunct w:val="0"/>
        <w:autoSpaceDE w:val="0"/>
        <w:autoSpaceDN w:val="0"/>
        <w:bidi w:val="0"/>
        <w:adjustRightInd/>
        <w:snapToGrid w:val="0"/>
        <w:spacing w:line="240" w:lineRule="exact"/>
        <w:ind w:firstLine="420"/>
        <w:textAlignment w:val="auto"/>
        <w:rPr>
          <w:rFonts w:hint="eastAsia" w:hAnsi="宋体"/>
          <w:lang w:val="en-US" w:eastAsia="zh-CN"/>
        </w:rPr>
      </w:pPr>
    </w:p>
    <w:p>
      <w:pPr>
        <w:pStyle w:val="68"/>
        <w:keepNext w:val="0"/>
        <w:keepLines w:val="0"/>
        <w:pageBreakBefore w:val="0"/>
        <w:widowControl/>
        <w:kinsoku/>
        <w:wordWrap/>
        <w:overflowPunct/>
        <w:topLinePunct w:val="0"/>
        <w:autoSpaceDE w:val="0"/>
        <w:autoSpaceDN w:val="0"/>
        <w:bidi w:val="0"/>
        <w:adjustRightInd/>
        <w:snapToGrid w:val="0"/>
        <w:spacing w:line="240" w:lineRule="exact"/>
        <w:ind w:firstLine="420"/>
        <w:textAlignment w:val="auto"/>
        <w:rPr>
          <w:rFonts w:hint="eastAsia" w:hAnsi="宋体"/>
          <w:lang w:val="en-US" w:eastAsia="zh-CN"/>
        </w:rPr>
      </w:pPr>
    </w:p>
    <w:p>
      <w:pPr>
        <w:pStyle w:val="68"/>
        <w:keepNext w:val="0"/>
        <w:keepLines w:val="0"/>
        <w:pageBreakBefore w:val="0"/>
        <w:widowControl/>
        <w:kinsoku/>
        <w:wordWrap/>
        <w:overflowPunct/>
        <w:topLinePunct w:val="0"/>
        <w:autoSpaceDE w:val="0"/>
        <w:autoSpaceDN w:val="0"/>
        <w:bidi w:val="0"/>
        <w:adjustRightInd/>
        <w:snapToGrid w:val="0"/>
        <w:spacing w:line="240" w:lineRule="exact"/>
        <w:ind w:firstLine="420"/>
        <w:textAlignment w:val="auto"/>
        <w:rPr>
          <w:rFonts w:hint="eastAsia" w:hAnsi="宋体"/>
          <w:lang w:val="en-US" w:eastAsia="zh-CN"/>
        </w:rPr>
      </w:pPr>
    </w:p>
    <w:p>
      <w:pPr>
        <w:pStyle w:val="68"/>
        <w:keepNext w:val="0"/>
        <w:keepLines w:val="0"/>
        <w:pageBreakBefore w:val="0"/>
        <w:widowControl/>
        <w:kinsoku/>
        <w:wordWrap/>
        <w:overflowPunct/>
        <w:topLinePunct w:val="0"/>
        <w:autoSpaceDE w:val="0"/>
        <w:autoSpaceDN w:val="0"/>
        <w:bidi w:val="0"/>
        <w:adjustRightInd/>
        <w:snapToGrid w:val="0"/>
        <w:spacing w:line="240" w:lineRule="exact"/>
        <w:ind w:firstLine="420"/>
        <w:textAlignment w:val="auto"/>
        <w:rPr>
          <w:rFonts w:hint="default" w:hAnsi="宋体"/>
          <w:lang w:val="en-US" w:eastAsia="zh-CN"/>
        </w:rPr>
      </w:pPr>
    </w:p>
    <w:p>
      <w:pPr>
        <w:pStyle w:val="68"/>
        <w:keepNext w:val="0"/>
        <w:keepLines w:val="0"/>
        <w:pageBreakBefore w:val="0"/>
        <w:widowControl/>
        <w:kinsoku/>
        <w:wordWrap/>
        <w:overflowPunct/>
        <w:topLinePunct w:val="0"/>
        <w:autoSpaceDE w:val="0"/>
        <w:autoSpaceDN w:val="0"/>
        <w:bidi w:val="0"/>
        <w:adjustRightInd/>
        <w:snapToGrid/>
        <w:spacing w:line="264" w:lineRule="auto"/>
        <w:ind w:firstLine="3360" w:firstLineChars="1600"/>
        <w:jc w:val="both"/>
        <w:textAlignment w:val="auto"/>
        <w:rPr>
          <w:rFonts w:hint="eastAsia" w:ascii="黑体" w:hAnsi="黑体" w:eastAsia="黑体"/>
        </w:rPr>
      </w:pPr>
      <w:r>
        <w:rPr>
          <w:rFonts w:hint="eastAsia" w:ascii="黑体" w:hAnsi="黑体" w:eastAsia="黑体"/>
        </w:rPr>
        <w:t xml:space="preserve">表A.2 </w:t>
      </w:r>
      <w:r>
        <w:rPr>
          <w:rFonts w:hint="eastAsia" w:ascii="黑体" w:hAnsi="黑体" w:eastAsia="黑体"/>
          <w:lang w:val="en-US" w:eastAsia="zh-CN"/>
        </w:rPr>
        <w:t xml:space="preserve"> </w:t>
      </w:r>
      <w:r>
        <w:rPr>
          <w:rFonts w:hint="eastAsia" w:ascii="黑体" w:hAnsi="黑体" w:eastAsia="黑体"/>
        </w:rPr>
        <w:t>数据质量评估表</w:t>
      </w:r>
    </w:p>
    <w:p>
      <w:pPr>
        <w:pStyle w:val="68"/>
        <w:keepNext w:val="0"/>
        <w:keepLines w:val="0"/>
        <w:pageBreakBefore w:val="0"/>
        <w:widowControl/>
        <w:kinsoku/>
        <w:wordWrap/>
        <w:overflowPunct/>
        <w:topLinePunct w:val="0"/>
        <w:autoSpaceDE w:val="0"/>
        <w:autoSpaceDN w:val="0"/>
        <w:bidi w:val="0"/>
        <w:adjustRightInd/>
        <w:snapToGrid/>
        <w:spacing w:line="240" w:lineRule="exact"/>
        <w:ind w:firstLine="420"/>
        <w:jc w:val="center"/>
        <w:textAlignment w:val="auto"/>
        <w:rPr>
          <w:rFonts w:hint="eastAsia" w:ascii="黑体" w:hAnsi="黑体" w:eastAsia="黑体"/>
        </w:rPr>
      </w:pP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4"/>
        <w:gridCol w:w="1230"/>
        <w:gridCol w:w="34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vAlign w:val="center"/>
          </w:tcPr>
          <w:p>
            <w:pPr>
              <w:pStyle w:val="68"/>
              <w:widowControl w:val="0"/>
              <w:snapToGrid w:val="0"/>
              <w:spacing w:line="264" w:lineRule="auto"/>
              <w:ind w:firstLine="0" w:firstLineChars="0"/>
              <w:jc w:val="center"/>
              <w:rPr>
                <w:rFonts w:hAnsi="宋体"/>
                <w:sz w:val="18"/>
                <w:szCs w:val="18"/>
              </w:rPr>
            </w:pPr>
            <w:r>
              <w:rPr>
                <w:rFonts w:hint="eastAsia" w:hAnsi="宋体"/>
                <w:sz w:val="18"/>
                <w:szCs w:val="18"/>
              </w:rPr>
              <w:t>项目</w:t>
            </w:r>
          </w:p>
        </w:tc>
        <w:tc>
          <w:tcPr>
            <w:tcW w:w="4644" w:type="dxa"/>
            <w:gridSpan w:val="2"/>
            <w:vAlign w:val="center"/>
          </w:tcPr>
          <w:p>
            <w:pPr>
              <w:pStyle w:val="68"/>
              <w:widowControl w:val="0"/>
              <w:snapToGrid w:val="0"/>
              <w:spacing w:line="264" w:lineRule="auto"/>
              <w:ind w:firstLine="0" w:firstLineChars="0"/>
              <w:jc w:val="center"/>
              <w:rPr>
                <w:rFonts w:hAnsi="宋体"/>
                <w:sz w:val="18"/>
                <w:szCs w:val="18"/>
              </w:rPr>
            </w:pPr>
            <w:r>
              <w:rPr>
                <w:rFonts w:hint="eastAsia" w:hAnsi="宋体"/>
                <w:sz w:val="18"/>
                <w:szCs w:val="18"/>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vAlign w:val="center"/>
          </w:tcPr>
          <w:p>
            <w:pPr>
              <w:widowControl/>
              <w:tabs>
                <w:tab w:val="center" w:pos="4201"/>
                <w:tab w:val="right" w:leader="dot" w:pos="9298"/>
              </w:tabs>
              <w:ind w:firstLine="180" w:firstLineChars="100"/>
              <w:rPr>
                <w:rFonts w:ascii="Times New Roman" w:hAnsi="宋体" w:eastAsia="宋体" w:cs="Times New Roman"/>
                <w:sz w:val="18"/>
                <w:szCs w:val="18"/>
              </w:rPr>
            </w:pPr>
            <w:r>
              <w:rPr>
                <w:rFonts w:hint="eastAsia" w:asciiTheme="minorHAnsi" w:hAnsiTheme="minorHAnsi" w:eastAsiaTheme="minorEastAsia" w:cstheme="minorBidi"/>
                <w:color w:val="000000"/>
                <w:kern w:val="0"/>
                <w:sz w:val="18"/>
                <w:szCs w:val="18"/>
              </w:rPr>
              <w:t>模型完整性</w:t>
            </w:r>
          </w:p>
        </w:tc>
        <w:tc>
          <w:tcPr>
            <w:tcW w:w="4644" w:type="dxa"/>
            <w:gridSpan w:val="2"/>
            <w:vAlign w:val="center"/>
          </w:tcPr>
          <w:p>
            <w:pPr>
              <w:widowControl/>
              <w:tabs>
                <w:tab w:val="center" w:pos="4201"/>
                <w:tab w:val="right" w:leader="dot" w:pos="9298"/>
              </w:tabs>
              <w:ind w:firstLine="180" w:firstLineChars="100"/>
              <w:rPr>
                <w:rFonts w:ascii="Times New Roman" w:hAnsi="宋体" w:eastAsia="宋体" w:cs="Times New Roman"/>
                <w:sz w:val="18"/>
                <w:szCs w:val="18"/>
              </w:rPr>
            </w:pPr>
            <w:r>
              <w:rPr>
                <w:rFonts w:hint="eastAsia" w:asciiTheme="minorHAnsi" w:hAnsiTheme="minorHAnsi" w:eastAsiaTheme="minorEastAsia" w:cstheme="minorBidi"/>
                <w:color w:val="000000"/>
                <w:kern w:val="0"/>
                <w:sz w:val="18"/>
                <w:szCs w:val="18"/>
              </w:rPr>
              <w:t>描述系统边界涵盖的生命周期阶段，列举包含的过程和未包含的过程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vAlign w:val="center"/>
          </w:tcPr>
          <w:p>
            <w:pPr>
              <w:widowControl/>
              <w:tabs>
                <w:tab w:val="center" w:pos="4201"/>
                <w:tab w:val="right" w:leader="dot" w:pos="9298"/>
              </w:tabs>
              <w:ind w:firstLine="180" w:firstLineChars="100"/>
              <w:rPr>
                <w:rFonts w:ascii="Times New Roman" w:hAnsi="宋体" w:eastAsia="宋体" w:cs="Times New Roman"/>
                <w:sz w:val="18"/>
                <w:szCs w:val="18"/>
              </w:rPr>
            </w:pPr>
            <w:r>
              <w:rPr>
                <w:rFonts w:hint="eastAsia" w:asciiTheme="minorHAnsi" w:hAnsiTheme="minorHAnsi" w:eastAsiaTheme="minorEastAsia" w:cstheme="minorBidi"/>
                <w:color w:val="000000"/>
                <w:kern w:val="0"/>
                <w:sz w:val="18"/>
                <w:szCs w:val="18"/>
              </w:rPr>
              <w:t>数据取舍准则</w:t>
            </w:r>
          </w:p>
        </w:tc>
        <w:tc>
          <w:tcPr>
            <w:tcW w:w="4644" w:type="dxa"/>
            <w:gridSpan w:val="2"/>
            <w:vAlign w:val="center"/>
          </w:tcPr>
          <w:p>
            <w:pPr>
              <w:widowControl/>
              <w:tabs>
                <w:tab w:val="center" w:pos="4201"/>
                <w:tab w:val="right" w:leader="dot" w:pos="9298"/>
              </w:tabs>
              <w:ind w:firstLine="180" w:firstLineChars="100"/>
              <w:rPr>
                <w:rFonts w:ascii="Times New Roman" w:hAnsi="宋体" w:eastAsia="宋体" w:cs="Times New Roman"/>
                <w:sz w:val="18"/>
                <w:szCs w:val="18"/>
              </w:rPr>
            </w:pPr>
            <w:r>
              <w:rPr>
                <w:rFonts w:hint="eastAsia" w:asciiTheme="minorHAnsi" w:hAnsiTheme="minorHAnsi" w:eastAsiaTheme="minorEastAsia" w:cstheme="minorBidi"/>
                <w:color w:val="000000"/>
                <w:kern w:val="0"/>
                <w:sz w:val="18"/>
                <w:szCs w:val="18"/>
              </w:rPr>
              <w:t>描述数据取舍准则，列举未包含的数据、被忽略的物料总重量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4644" w:type="dxa"/>
            <w:vMerge w:val="restart"/>
            <w:vAlign w:val="center"/>
          </w:tcPr>
          <w:p>
            <w:pPr>
              <w:widowControl/>
              <w:tabs>
                <w:tab w:val="center" w:pos="4201"/>
                <w:tab w:val="right" w:leader="dot" w:pos="9298"/>
              </w:tabs>
              <w:ind w:firstLine="180" w:firstLineChars="100"/>
              <w:rPr>
                <w:rFonts w:ascii="Times New Roman" w:hAnsi="Times New Roman" w:eastAsia="宋体" w:cs="Times New Roman"/>
                <w:color w:val="000000"/>
                <w:sz w:val="18"/>
                <w:szCs w:val="18"/>
              </w:rPr>
            </w:pPr>
            <w:r>
              <w:rPr>
                <w:rFonts w:hint="eastAsia" w:asciiTheme="minorHAnsi" w:hAnsiTheme="minorHAnsi" w:eastAsiaTheme="minorEastAsia" w:cstheme="minorBidi"/>
                <w:color w:val="000000"/>
                <w:kern w:val="0"/>
                <w:sz w:val="18"/>
                <w:szCs w:val="18"/>
              </w:rPr>
              <w:t>数据准确性：</w:t>
            </w:r>
          </w:p>
          <w:p>
            <w:pPr>
              <w:widowControl/>
              <w:tabs>
                <w:tab w:val="center" w:pos="4201"/>
                <w:tab w:val="right" w:leader="dot" w:pos="9298"/>
              </w:tabs>
              <w:ind w:firstLine="180" w:firstLineChars="100"/>
              <w:rPr>
                <w:rFonts w:ascii="Times New Roman" w:hAnsi="Times New Roman" w:eastAsia="宋体" w:cs="Times New Roman"/>
                <w:color w:val="000000"/>
                <w:sz w:val="18"/>
                <w:szCs w:val="18"/>
              </w:rPr>
            </w:pPr>
            <w:r>
              <w:rPr>
                <w:rFonts w:hint="eastAsia" w:asciiTheme="minorHAnsi" w:hAnsiTheme="minorHAnsi" w:eastAsiaTheme="minorEastAsia" w:cstheme="minorBidi"/>
                <w:color w:val="000000"/>
                <w:kern w:val="0"/>
                <w:sz w:val="18"/>
                <w:szCs w:val="18"/>
              </w:rPr>
              <w:t>实际的生产过程调查却使用了估算或文献数据，且其生命周期贡献大于</w:t>
            </w:r>
            <w:r>
              <w:rPr>
                <w:rFonts w:asciiTheme="minorHAnsi" w:hAnsiTheme="minorHAnsi" w:eastAsiaTheme="minorEastAsia" w:cstheme="minorBidi"/>
                <w:color w:val="000000"/>
                <w:kern w:val="0"/>
                <w:sz w:val="18"/>
                <w:szCs w:val="18"/>
              </w:rPr>
              <w:t>1</w:t>
            </w:r>
            <w:r>
              <w:rPr>
                <w:rFonts w:hint="eastAsia" w:asciiTheme="minorHAnsi" w:hAnsiTheme="minorHAnsi" w:eastAsiaTheme="minorEastAsia" w:cstheme="minorBidi"/>
                <w:color w:val="000000"/>
                <w:kern w:val="0"/>
                <w:sz w:val="18"/>
                <w:szCs w:val="18"/>
              </w:rPr>
              <w:t>％</w:t>
            </w:r>
          </w:p>
          <w:p>
            <w:pPr>
              <w:widowControl/>
              <w:tabs>
                <w:tab w:val="center" w:pos="4201"/>
                <w:tab w:val="right" w:leader="dot" w:pos="9298"/>
              </w:tabs>
              <w:ind w:firstLine="180" w:firstLineChars="100"/>
              <w:rPr>
                <w:rFonts w:ascii="Times New Roman" w:hAnsi="宋体" w:eastAsia="宋体" w:cs="Times New Roman"/>
                <w:sz w:val="18"/>
                <w:szCs w:val="18"/>
              </w:rPr>
            </w:pPr>
            <w:r>
              <w:rPr>
                <w:rFonts w:hint="eastAsia" w:asciiTheme="minorHAnsi" w:hAnsiTheme="minorHAnsi" w:eastAsiaTheme="minorEastAsia" w:cstheme="minorBidi"/>
                <w:color w:val="000000"/>
                <w:kern w:val="0"/>
                <w:sz w:val="18"/>
                <w:szCs w:val="18"/>
              </w:rPr>
              <w:t>（背景数据不在此项范围内）</w:t>
            </w:r>
          </w:p>
        </w:tc>
        <w:tc>
          <w:tcPr>
            <w:tcW w:w="1230" w:type="dxa"/>
            <w:vAlign w:val="center"/>
          </w:tcPr>
          <w:p>
            <w:pPr>
              <w:widowControl/>
              <w:tabs>
                <w:tab w:val="center" w:pos="4201"/>
                <w:tab w:val="right" w:leader="dot" w:pos="9298"/>
              </w:tabs>
              <w:ind w:firstLine="180" w:firstLineChars="100"/>
              <w:rPr>
                <w:rFonts w:ascii="Times New Roman" w:hAnsi="Times New Roman" w:eastAsia="宋体" w:cs="Times New Roman"/>
                <w:color w:val="000000"/>
                <w:sz w:val="18"/>
                <w:szCs w:val="18"/>
              </w:rPr>
            </w:pPr>
            <w:r>
              <w:rPr>
                <w:rFonts w:hint="eastAsia" w:asciiTheme="minorHAnsi" w:hAnsiTheme="minorHAnsi" w:eastAsiaTheme="minorEastAsia" w:cstheme="minorBidi"/>
                <w:color w:val="000000"/>
                <w:kern w:val="0"/>
                <w:sz w:val="18"/>
                <w:szCs w:val="18"/>
              </w:rPr>
              <w:t>物料消耗</w:t>
            </w:r>
          </w:p>
        </w:tc>
        <w:tc>
          <w:tcPr>
            <w:tcW w:w="3414" w:type="dxa"/>
            <w:vMerge w:val="restart"/>
            <w:vAlign w:val="center"/>
          </w:tcPr>
          <w:p>
            <w:pPr>
              <w:widowControl/>
              <w:tabs>
                <w:tab w:val="center" w:pos="4201"/>
                <w:tab w:val="right" w:leader="dot" w:pos="9298"/>
              </w:tabs>
              <w:ind w:firstLine="180" w:firstLineChars="100"/>
              <w:rPr>
                <w:rFonts w:ascii="Times New Roman" w:hAnsi="Times New Roman" w:eastAsia="宋体" w:cs="Times New Roman"/>
                <w:color w:val="000000"/>
                <w:sz w:val="18"/>
                <w:szCs w:val="18"/>
              </w:rPr>
            </w:pPr>
            <w:r>
              <w:rPr>
                <w:rFonts w:hint="eastAsia" w:asciiTheme="minorHAnsi" w:hAnsiTheme="minorHAnsi" w:eastAsiaTheme="minorEastAsia" w:cstheme="minorBidi"/>
                <w:color w:val="000000"/>
                <w:kern w:val="0"/>
                <w:sz w:val="18"/>
                <w:szCs w:val="18"/>
              </w:rPr>
              <w:t>对哪些</w:t>
            </w:r>
            <w:r>
              <w:rPr>
                <w:rFonts w:hint="eastAsia" w:ascii="宋体" w:hAnsi="宋体" w:eastAsia="宋体" w:cs="宋体"/>
                <w:color w:val="000000"/>
                <w:kern w:val="0"/>
                <w:sz w:val="18"/>
                <w:szCs w:val="18"/>
              </w:rPr>
              <w:t>LCA</w:t>
            </w:r>
            <w:r>
              <w:rPr>
                <w:rFonts w:hint="eastAsia" w:asciiTheme="minorHAnsi" w:hAnsiTheme="minorHAnsi" w:eastAsiaTheme="minorEastAsia" w:cstheme="minorBidi"/>
                <w:color w:val="000000"/>
                <w:kern w:val="0"/>
                <w:sz w:val="18"/>
                <w:szCs w:val="18"/>
              </w:rPr>
              <w:t>指标贡献大</w:t>
            </w:r>
            <w:r>
              <w:rPr>
                <w:rFonts w:hint="eastAsia" w:ascii="宋体" w:hAnsi="宋体" w:eastAsia="宋体" w:cs="宋体"/>
                <w:color w:val="000000"/>
                <w:kern w:val="0"/>
                <w:sz w:val="18"/>
                <w:szCs w:val="18"/>
              </w:rPr>
              <w:t>于1％</w:t>
            </w:r>
            <w:r>
              <w:rPr>
                <w:rFonts w:hint="eastAsia" w:asciiTheme="minorHAnsi" w:hAnsiTheme="minorHAnsi" w:eastAsiaTheme="minorEastAsia" w:cstheme="minorBidi"/>
                <w:color w:val="000000"/>
                <w:kern w:val="0"/>
                <w:sz w:val="18"/>
                <w:szCs w:val="18"/>
              </w:rPr>
              <w:t>，说明数据来源以及为何未采用生产统计或实测数据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4644" w:type="dxa"/>
            <w:vMerge w:val="continue"/>
            <w:vAlign w:val="center"/>
          </w:tcPr>
          <w:p>
            <w:pPr>
              <w:pStyle w:val="68"/>
              <w:widowControl w:val="0"/>
              <w:snapToGrid w:val="0"/>
              <w:spacing w:line="264" w:lineRule="auto"/>
              <w:ind w:firstLine="360"/>
              <w:jc w:val="left"/>
              <w:rPr>
                <w:rFonts w:hAnsi="宋体"/>
                <w:sz w:val="18"/>
                <w:szCs w:val="18"/>
              </w:rPr>
            </w:pPr>
          </w:p>
        </w:tc>
        <w:tc>
          <w:tcPr>
            <w:tcW w:w="1230" w:type="dxa"/>
            <w:vAlign w:val="center"/>
          </w:tcPr>
          <w:p>
            <w:pPr>
              <w:widowControl/>
              <w:tabs>
                <w:tab w:val="center" w:pos="4201"/>
                <w:tab w:val="right" w:leader="dot" w:pos="9298"/>
              </w:tabs>
              <w:ind w:firstLine="180" w:firstLineChars="100"/>
              <w:rPr>
                <w:rFonts w:ascii="Times New Roman" w:hAnsi="Times New Roman" w:eastAsia="宋体" w:cs="Times New Roman"/>
                <w:color w:val="000000"/>
                <w:sz w:val="18"/>
                <w:szCs w:val="18"/>
              </w:rPr>
            </w:pPr>
            <w:r>
              <w:rPr>
                <w:rFonts w:hint="eastAsia" w:asciiTheme="minorHAnsi" w:hAnsiTheme="minorHAnsi" w:eastAsiaTheme="minorEastAsia" w:cstheme="minorBidi"/>
                <w:color w:val="000000"/>
                <w:kern w:val="0"/>
                <w:sz w:val="18"/>
                <w:szCs w:val="18"/>
              </w:rPr>
              <w:t>能源消耗</w:t>
            </w:r>
          </w:p>
        </w:tc>
        <w:tc>
          <w:tcPr>
            <w:tcW w:w="3414" w:type="dxa"/>
            <w:vMerge w:val="continue"/>
            <w:vAlign w:val="center"/>
          </w:tcPr>
          <w:p>
            <w:pPr>
              <w:pStyle w:val="68"/>
              <w:keepNext/>
              <w:keepLines/>
              <w:widowControl w:val="0"/>
              <w:numPr>
                <w:ilvl w:val="2"/>
                <w:numId w:val="1"/>
              </w:numPr>
              <w:snapToGrid w:val="0"/>
              <w:spacing w:before="260" w:after="260" w:line="264" w:lineRule="auto"/>
              <w:ind w:firstLine="0" w:firstLineChars="0"/>
              <w:jc w:val="left"/>
              <w:outlineLvl w:val="2"/>
              <w:rPr>
                <w:rFonts w:ascii="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4644" w:type="dxa"/>
            <w:vMerge w:val="continue"/>
            <w:vAlign w:val="center"/>
          </w:tcPr>
          <w:p>
            <w:pPr>
              <w:pStyle w:val="68"/>
              <w:widowControl w:val="0"/>
              <w:snapToGrid w:val="0"/>
              <w:spacing w:line="264" w:lineRule="auto"/>
              <w:ind w:firstLine="360"/>
              <w:jc w:val="left"/>
              <w:rPr>
                <w:rFonts w:hAnsi="宋体"/>
                <w:sz w:val="18"/>
                <w:szCs w:val="18"/>
              </w:rPr>
            </w:pPr>
          </w:p>
        </w:tc>
        <w:tc>
          <w:tcPr>
            <w:tcW w:w="1230" w:type="dxa"/>
            <w:vAlign w:val="center"/>
          </w:tcPr>
          <w:p>
            <w:pPr>
              <w:widowControl/>
              <w:tabs>
                <w:tab w:val="center" w:pos="4201"/>
                <w:tab w:val="right" w:leader="dot" w:pos="9298"/>
              </w:tabs>
              <w:ind w:firstLine="180" w:firstLineChars="100"/>
              <w:rPr>
                <w:rFonts w:ascii="Times New Roman" w:hAnsi="Times New Roman" w:eastAsia="宋体" w:cs="Times New Roman"/>
                <w:color w:val="000000"/>
                <w:kern w:val="0"/>
                <w:sz w:val="18"/>
                <w:szCs w:val="18"/>
              </w:rPr>
            </w:pPr>
            <w:r>
              <w:rPr>
                <w:rFonts w:hint="eastAsia" w:asciiTheme="minorHAnsi" w:hAnsiTheme="minorHAnsi" w:eastAsiaTheme="minorEastAsia" w:cstheme="minorBidi"/>
                <w:color w:val="000000"/>
                <w:kern w:val="0"/>
                <w:sz w:val="18"/>
                <w:szCs w:val="18"/>
              </w:rPr>
              <w:t>环境排放</w:t>
            </w:r>
          </w:p>
        </w:tc>
        <w:tc>
          <w:tcPr>
            <w:tcW w:w="3414" w:type="dxa"/>
            <w:vMerge w:val="continue"/>
            <w:vAlign w:val="center"/>
          </w:tcPr>
          <w:p>
            <w:pPr>
              <w:widowControl/>
              <w:tabs>
                <w:tab w:val="center" w:pos="4201"/>
                <w:tab w:val="right" w:leader="dot" w:pos="9298"/>
              </w:tabs>
              <w:ind w:firstLine="180" w:firstLineChars="100"/>
              <w:rPr>
                <w:rFonts w:ascii="Times New Roman" w:hAnsi="Times New Roman" w:eastAsia="宋体"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vAlign w:val="center"/>
          </w:tcPr>
          <w:p>
            <w:pPr>
              <w:widowControl/>
              <w:tabs>
                <w:tab w:val="center" w:pos="4201"/>
                <w:tab w:val="right" w:leader="dot" w:pos="9298"/>
              </w:tabs>
              <w:ind w:firstLine="180" w:firstLineChars="100"/>
              <w:rPr>
                <w:rFonts w:ascii="Times New Roman" w:hAnsi="宋体" w:eastAsia="宋体" w:cs="Times New Roman"/>
                <w:sz w:val="18"/>
                <w:szCs w:val="18"/>
              </w:rPr>
            </w:pPr>
            <w:r>
              <w:rPr>
                <w:rFonts w:hint="eastAsia" w:asciiTheme="minorHAnsi" w:hAnsiTheme="minorHAnsi" w:eastAsiaTheme="minorEastAsia" w:cstheme="minorBidi"/>
                <w:color w:val="000000"/>
                <w:kern w:val="0"/>
                <w:sz w:val="18"/>
                <w:szCs w:val="18"/>
              </w:rPr>
              <w:t>物料重量大于</w:t>
            </w:r>
            <w:r>
              <w:rPr>
                <w:rFonts w:hint="eastAsia" w:ascii="宋体" w:hAnsi="宋体" w:eastAsia="宋体" w:cs="宋体"/>
                <w:color w:val="000000"/>
                <w:kern w:val="0"/>
                <w:sz w:val="18"/>
                <w:szCs w:val="18"/>
              </w:rPr>
              <w:t>5％</w:t>
            </w:r>
            <w:r>
              <w:rPr>
                <w:rFonts w:hint="eastAsia" w:asciiTheme="minorHAnsi" w:hAnsiTheme="minorHAnsi" w:eastAsiaTheme="minorEastAsia" w:cstheme="minorBidi"/>
                <w:color w:val="000000"/>
                <w:kern w:val="0"/>
                <w:sz w:val="18"/>
                <w:szCs w:val="18"/>
              </w:rPr>
              <w:t>产品重量，却未调查此物料上游生产过程</w:t>
            </w:r>
          </w:p>
        </w:tc>
        <w:tc>
          <w:tcPr>
            <w:tcW w:w="1230" w:type="dxa"/>
            <w:vAlign w:val="center"/>
          </w:tcPr>
          <w:p>
            <w:pPr>
              <w:pStyle w:val="68"/>
              <w:widowControl w:val="0"/>
              <w:snapToGrid w:val="0"/>
              <w:spacing w:line="264" w:lineRule="auto"/>
              <w:ind w:firstLine="0" w:firstLineChars="0"/>
              <w:jc w:val="center"/>
              <w:rPr>
                <w:rFonts w:hAnsi="宋体"/>
                <w:sz w:val="18"/>
                <w:szCs w:val="18"/>
              </w:rPr>
            </w:pPr>
            <w:r>
              <w:rPr>
                <w:rFonts w:hint="eastAsia" w:hAnsi="宋体"/>
                <w:sz w:val="18"/>
                <w:szCs w:val="18"/>
              </w:rPr>
              <w:t>物料名称</w:t>
            </w:r>
          </w:p>
        </w:tc>
        <w:tc>
          <w:tcPr>
            <w:tcW w:w="3414" w:type="dxa"/>
            <w:vAlign w:val="center"/>
          </w:tcPr>
          <w:p>
            <w:pPr>
              <w:widowControl/>
              <w:tabs>
                <w:tab w:val="center" w:pos="4201"/>
                <w:tab w:val="right" w:leader="dot" w:pos="9298"/>
              </w:tabs>
              <w:ind w:firstLine="180" w:firstLineChars="100"/>
              <w:rPr>
                <w:rFonts w:ascii="Times New Roman" w:hAnsi="宋体" w:eastAsia="宋体" w:cs="Times New Roman"/>
                <w:sz w:val="18"/>
                <w:szCs w:val="18"/>
              </w:rPr>
            </w:pPr>
            <w:r>
              <w:rPr>
                <w:rFonts w:hint="eastAsia" w:asciiTheme="minorHAnsi" w:hAnsiTheme="minorHAnsi" w:eastAsiaTheme="minorEastAsia" w:cstheme="minorBidi"/>
                <w:color w:val="000000"/>
                <w:kern w:val="0"/>
                <w:sz w:val="18"/>
                <w:szCs w:val="18"/>
              </w:rPr>
              <w:t>未调查上游生产过程的原因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vAlign w:val="center"/>
          </w:tcPr>
          <w:p>
            <w:pPr>
              <w:widowControl/>
              <w:tabs>
                <w:tab w:val="center" w:pos="4201"/>
                <w:tab w:val="right" w:leader="dot" w:pos="9298"/>
              </w:tabs>
              <w:ind w:firstLine="180" w:firstLineChars="100"/>
              <w:rPr>
                <w:rFonts w:ascii="Times New Roman" w:hAnsi="宋体" w:eastAsia="宋体" w:cs="Times New Roman"/>
                <w:sz w:val="18"/>
                <w:szCs w:val="18"/>
              </w:rPr>
            </w:pPr>
            <w:r>
              <w:rPr>
                <w:rFonts w:hint="eastAsia" w:asciiTheme="minorHAnsi" w:hAnsiTheme="minorHAnsi" w:eastAsiaTheme="minorEastAsia" w:cstheme="minorBidi"/>
                <w:color w:val="000000"/>
                <w:kern w:val="0"/>
                <w:sz w:val="18"/>
                <w:szCs w:val="18"/>
              </w:rPr>
              <w:t>物料重量大于</w:t>
            </w:r>
            <w:r>
              <w:rPr>
                <w:rFonts w:asciiTheme="minorHAnsi" w:hAnsiTheme="minorHAnsi" w:eastAsiaTheme="minorEastAsia" w:cstheme="minorBidi"/>
                <w:color w:val="000000"/>
                <w:kern w:val="0"/>
                <w:sz w:val="18"/>
                <w:szCs w:val="18"/>
              </w:rPr>
              <w:t>1</w:t>
            </w:r>
            <w:r>
              <w:rPr>
                <w:rFonts w:hint="eastAsia" w:asciiTheme="minorHAnsi" w:hAnsiTheme="minorHAnsi" w:eastAsiaTheme="minorEastAsia" w:cstheme="minorBidi"/>
                <w:color w:val="000000"/>
                <w:kern w:val="0"/>
                <w:sz w:val="18"/>
                <w:szCs w:val="18"/>
              </w:rPr>
              <w:t>％产品重量，却被忽略的物料</w:t>
            </w:r>
          </w:p>
        </w:tc>
        <w:tc>
          <w:tcPr>
            <w:tcW w:w="1230" w:type="dxa"/>
            <w:vAlign w:val="center"/>
          </w:tcPr>
          <w:p>
            <w:pPr>
              <w:pStyle w:val="68"/>
              <w:widowControl w:val="0"/>
              <w:snapToGrid w:val="0"/>
              <w:spacing w:line="264" w:lineRule="auto"/>
              <w:ind w:firstLine="0" w:firstLineChars="0"/>
              <w:jc w:val="center"/>
              <w:rPr>
                <w:rFonts w:hAnsi="宋体"/>
                <w:sz w:val="18"/>
                <w:szCs w:val="18"/>
              </w:rPr>
            </w:pPr>
            <w:r>
              <w:rPr>
                <w:rFonts w:hint="eastAsia" w:hAnsi="宋体"/>
                <w:sz w:val="18"/>
                <w:szCs w:val="18"/>
              </w:rPr>
              <w:t>物料名称</w:t>
            </w:r>
          </w:p>
        </w:tc>
        <w:tc>
          <w:tcPr>
            <w:tcW w:w="3414" w:type="dxa"/>
            <w:vAlign w:val="center"/>
          </w:tcPr>
          <w:p>
            <w:pPr>
              <w:pStyle w:val="68"/>
              <w:widowControl w:val="0"/>
              <w:snapToGrid w:val="0"/>
              <w:spacing w:line="264" w:lineRule="auto"/>
              <w:ind w:firstLine="0" w:firstLineChars="0"/>
              <w:jc w:val="left"/>
              <w:rPr>
                <w:rFonts w:hAnsi="宋体"/>
                <w:sz w:val="18"/>
                <w:szCs w:val="18"/>
              </w:rPr>
            </w:pPr>
            <w:r>
              <w:rPr>
                <w:rFonts w:hint="eastAsia" w:hAnsi="宋体"/>
                <w:sz w:val="18"/>
                <w:szCs w:val="18"/>
              </w:rPr>
              <w:t>被忽略的原因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vAlign w:val="center"/>
          </w:tcPr>
          <w:p>
            <w:pPr>
              <w:widowControl/>
              <w:tabs>
                <w:tab w:val="center" w:pos="4201"/>
                <w:tab w:val="right" w:leader="dot" w:pos="9298"/>
              </w:tabs>
              <w:ind w:firstLine="180" w:firstLineChars="100"/>
              <w:rPr>
                <w:rFonts w:ascii="Times New Roman" w:hAnsi="宋体" w:eastAsia="宋体" w:cs="Times New Roman"/>
                <w:sz w:val="18"/>
                <w:szCs w:val="18"/>
              </w:rPr>
            </w:pPr>
            <w:r>
              <w:rPr>
                <w:rFonts w:hint="eastAsia" w:asciiTheme="minorHAnsi" w:hAnsiTheme="minorHAnsi" w:eastAsiaTheme="minorEastAsia" w:cstheme="minorBidi"/>
                <w:color w:val="000000"/>
                <w:kern w:val="0"/>
                <w:sz w:val="18"/>
                <w:szCs w:val="18"/>
              </w:rPr>
              <w:t>物料重量大于</w:t>
            </w:r>
            <w:r>
              <w:rPr>
                <w:rFonts w:asciiTheme="minorHAnsi" w:hAnsiTheme="minorHAnsi" w:eastAsiaTheme="minorEastAsia" w:cstheme="minorBidi"/>
                <w:color w:val="000000"/>
                <w:kern w:val="0"/>
                <w:sz w:val="18"/>
                <w:szCs w:val="18"/>
              </w:rPr>
              <w:t>1</w:t>
            </w:r>
            <w:r>
              <w:rPr>
                <w:rFonts w:hint="eastAsia" w:asciiTheme="minorHAnsi" w:hAnsiTheme="minorHAnsi" w:eastAsiaTheme="minorEastAsia" w:cstheme="minorBidi"/>
                <w:color w:val="000000"/>
                <w:kern w:val="0"/>
                <w:sz w:val="18"/>
                <w:szCs w:val="18"/>
              </w:rPr>
              <w:t>％产品重量，且所选上游背景数据代表性不一致的</w:t>
            </w:r>
          </w:p>
        </w:tc>
        <w:tc>
          <w:tcPr>
            <w:tcW w:w="1230" w:type="dxa"/>
            <w:vAlign w:val="center"/>
          </w:tcPr>
          <w:p>
            <w:pPr>
              <w:pStyle w:val="68"/>
              <w:widowControl w:val="0"/>
              <w:snapToGrid w:val="0"/>
              <w:spacing w:line="264" w:lineRule="auto"/>
              <w:ind w:firstLine="0" w:firstLineChars="0"/>
              <w:jc w:val="center"/>
              <w:rPr>
                <w:rFonts w:hAnsi="宋体"/>
                <w:sz w:val="18"/>
                <w:szCs w:val="18"/>
              </w:rPr>
            </w:pPr>
            <w:r>
              <w:rPr>
                <w:rFonts w:hint="eastAsia" w:hAnsi="宋体"/>
                <w:sz w:val="18"/>
                <w:szCs w:val="18"/>
              </w:rPr>
              <w:t>物料名称</w:t>
            </w:r>
          </w:p>
        </w:tc>
        <w:tc>
          <w:tcPr>
            <w:tcW w:w="3414" w:type="dxa"/>
            <w:vAlign w:val="center"/>
          </w:tcPr>
          <w:p>
            <w:pPr>
              <w:pStyle w:val="68"/>
              <w:widowControl w:val="0"/>
              <w:snapToGrid w:val="0"/>
              <w:spacing w:line="264" w:lineRule="auto"/>
              <w:ind w:firstLine="0" w:firstLineChars="0"/>
              <w:jc w:val="left"/>
              <w:rPr>
                <w:rFonts w:hAnsi="宋体"/>
                <w:sz w:val="18"/>
                <w:szCs w:val="18"/>
              </w:rPr>
            </w:pPr>
            <w:r>
              <w:rPr>
                <w:rFonts w:hint="eastAsia" w:hAnsi="宋体"/>
                <w:sz w:val="18"/>
                <w:szCs w:val="18"/>
              </w:rPr>
              <w:t>在物料规格、产地、技术代表性、年份等方面，背景数据与实际物料的差异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vAlign w:val="center"/>
          </w:tcPr>
          <w:p>
            <w:pPr>
              <w:widowControl/>
              <w:tabs>
                <w:tab w:val="center" w:pos="4201"/>
                <w:tab w:val="right" w:leader="dot" w:pos="9298"/>
              </w:tabs>
              <w:ind w:firstLine="180" w:firstLineChars="100"/>
              <w:rPr>
                <w:rFonts w:ascii="Times New Roman" w:hAnsi="宋体" w:eastAsia="宋体" w:cs="Times New Roman"/>
                <w:sz w:val="18"/>
                <w:szCs w:val="18"/>
              </w:rPr>
            </w:pPr>
            <w:r>
              <w:rPr>
                <w:rFonts w:hint="eastAsia" w:asciiTheme="minorHAnsi" w:hAnsiTheme="minorHAnsi" w:eastAsiaTheme="minorEastAsia" w:cstheme="minorBidi"/>
                <w:color w:val="000000"/>
                <w:kern w:val="0"/>
                <w:sz w:val="18"/>
                <w:szCs w:val="18"/>
              </w:rPr>
              <w:t>采用的背景数据库</w:t>
            </w:r>
          </w:p>
        </w:tc>
        <w:tc>
          <w:tcPr>
            <w:tcW w:w="4644" w:type="dxa"/>
            <w:gridSpan w:val="2"/>
            <w:vAlign w:val="center"/>
          </w:tcPr>
          <w:p>
            <w:pPr>
              <w:widowControl/>
              <w:tabs>
                <w:tab w:val="center" w:pos="4201"/>
                <w:tab w:val="right" w:leader="dot" w:pos="9298"/>
              </w:tabs>
              <w:ind w:firstLine="180" w:firstLineChars="100"/>
              <w:rPr>
                <w:rFonts w:ascii="Times New Roman" w:hAnsi="宋体" w:eastAsia="宋体" w:cs="Times New Roman"/>
                <w:sz w:val="18"/>
                <w:szCs w:val="18"/>
              </w:rPr>
            </w:pPr>
            <w:r>
              <w:rPr>
                <w:rFonts w:hint="eastAsia" w:asciiTheme="minorHAnsi" w:hAnsiTheme="minorHAnsi" w:eastAsiaTheme="minorEastAsia" w:cstheme="minorBidi"/>
                <w:color w:val="000000"/>
                <w:kern w:val="0"/>
                <w:sz w:val="18"/>
                <w:szCs w:val="18"/>
              </w:rPr>
              <w:t>所采用的各项背景数据库的名称、数据库代表的国家或地区、数据库版本如果采用了多个数据库，数据库之间的兼容性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vAlign w:val="center"/>
          </w:tcPr>
          <w:p>
            <w:pPr>
              <w:widowControl/>
              <w:tabs>
                <w:tab w:val="center" w:pos="4201"/>
                <w:tab w:val="right" w:leader="dot" w:pos="9298"/>
              </w:tabs>
              <w:ind w:firstLine="180" w:firstLineChars="100"/>
              <w:rPr>
                <w:rFonts w:ascii="Times New Roman" w:hAnsi="Times New Roman" w:eastAsia="宋体" w:cs="Times New Roman"/>
                <w:color w:val="000000"/>
                <w:kern w:val="0"/>
                <w:sz w:val="18"/>
                <w:szCs w:val="18"/>
              </w:rPr>
            </w:pPr>
            <w:r>
              <w:rPr>
                <w:rFonts w:hint="eastAsia" w:asciiTheme="minorHAnsi" w:hAnsiTheme="minorHAnsi" w:eastAsiaTheme="minorEastAsia" w:cstheme="minorBidi"/>
                <w:color w:val="000000"/>
                <w:kern w:val="0"/>
                <w:sz w:val="18"/>
                <w:szCs w:val="18"/>
              </w:rPr>
              <w:t>采用的</w:t>
            </w:r>
            <w:r>
              <w:rPr>
                <w:rFonts w:hint="eastAsia" w:ascii="宋体" w:hAnsi="宋体" w:eastAsia="宋体" w:cs="宋体"/>
                <w:color w:val="000000"/>
                <w:kern w:val="0"/>
                <w:sz w:val="18"/>
                <w:szCs w:val="18"/>
              </w:rPr>
              <w:t>LCA</w:t>
            </w:r>
            <w:r>
              <w:rPr>
                <w:rFonts w:hint="eastAsia" w:asciiTheme="minorHAnsi" w:hAnsiTheme="minorHAnsi" w:eastAsiaTheme="minorEastAsia" w:cstheme="minorBidi"/>
                <w:color w:val="000000"/>
                <w:kern w:val="0"/>
                <w:sz w:val="18"/>
                <w:szCs w:val="18"/>
              </w:rPr>
              <w:t>软件工具</w:t>
            </w:r>
          </w:p>
        </w:tc>
        <w:tc>
          <w:tcPr>
            <w:tcW w:w="4644" w:type="dxa"/>
            <w:gridSpan w:val="2"/>
            <w:vAlign w:val="center"/>
          </w:tcPr>
          <w:p>
            <w:pPr>
              <w:widowControl/>
              <w:tabs>
                <w:tab w:val="center" w:pos="4201"/>
                <w:tab w:val="right" w:leader="dot" w:pos="9298"/>
              </w:tabs>
              <w:ind w:firstLine="180" w:firstLineChars="100"/>
              <w:rPr>
                <w:rFonts w:ascii="Times New Roman" w:hAnsi="Times New Roman" w:eastAsia="宋体" w:cs="Times New Roman"/>
                <w:color w:val="000000"/>
                <w:kern w:val="0"/>
                <w:sz w:val="18"/>
                <w:szCs w:val="18"/>
              </w:rPr>
            </w:pPr>
            <w:r>
              <w:rPr>
                <w:rFonts w:hint="eastAsia" w:ascii="宋体" w:hAnsi="宋体" w:eastAsia="宋体" w:cs="宋体"/>
                <w:color w:val="000000"/>
                <w:kern w:val="0"/>
                <w:sz w:val="18"/>
                <w:szCs w:val="18"/>
              </w:rPr>
              <w:t>LCA</w:t>
            </w:r>
            <w:r>
              <w:rPr>
                <w:rFonts w:hint="eastAsia" w:ascii="黑体" w:hAnsi="黑体" w:eastAsia="黑体" w:cs="黑体"/>
                <w:color w:val="000000"/>
                <w:kern w:val="0"/>
                <w:sz w:val="18"/>
                <w:szCs w:val="18"/>
              </w:rPr>
              <w:t>软</w:t>
            </w:r>
            <w:r>
              <w:rPr>
                <w:rFonts w:hint="eastAsia" w:asciiTheme="minorHAnsi" w:hAnsiTheme="minorHAnsi" w:eastAsiaTheme="minorEastAsia" w:cstheme="minorBidi"/>
                <w:color w:val="000000"/>
                <w:kern w:val="0"/>
                <w:sz w:val="18"/>
                <w:szCs w:val="18"/>
              </w:rPr>
              <w:t>件工具名称、版本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4644" w:type="dxa"/>
            <w:vAlign w:val="center"/>
          </w:tcPr>
          <w:p>
            <w:pPr>
              <w:widowControl/>
              <w:tabs>
                <w:tab w:val="center" w:pos="4201"/>
                <w:tab w:val="right" w:leader="dot" w:pos="9298"/>
              </w:tabs>
              <w:ind w:firstLine="180" w:firstLineChars="100"/>
              <w:rPr>
                <w:rFonts w:ascii="Times New Roman" w:hAnsi="Times New Roman" w:eastAsia="宋体" w:cs="Times New Roman"/>
                <w:color w:val="000000"/>
                <w:kern w:val="0"/>
                <w:sz w:val="18"/>
                <w:szCs w:val="18"/>
              </w:rPr>
            </w:pPr>
            <w:r>
              <w:rPr>
                <w:rFonts w:hint="eastAsia" w:asciiTheme="minorHAnsi" w:hAnsiTheme="minorHAnsi" w:eastAsiaTheme="minorEastAsia" w:cstheme="minorBidi"/>
                <w:color w:val="000000"/>
                <w:kern w:val="0"/>
                <w:sz w:val="18"/>
                <w:szCs w:val="18"/>
              </w:rPr>
              <w:t>评估结论</w:t>
            </w:r>
          </w:p>
        </w:tc>
        <w:tc>
          <w:tcPr>
            <w:tcW w:w="4644" w:type="dxa"/>
            <w:gridSpan w:val="2"/>
            <w:vAlign w:val="center"/>
          </w:tcPr>
          <w:p>
            <w:pPr>
              <w:widowControl/>
              <w:tabs>
                <w:tab w:val="center" w:pos="4201"/>
                <w:tab w:val="right" w:leader="dot" w:pos="9298"/>
              </w:tabs>
              <w:ind w:firstLine="180" w:firstLineChars="100"/>
              <w:rPr>
                <w:rFonts w:ascii="Times New Roman" w:hAnsi="Times New Roman" w:eastAsia="宋体" w:cs="Times New Roman"/>
                <w:color w:val="000000"/>
                <w:kern w:val="0"/>
                <w:sz w:val="18"/>
                <w:szCs w:val="18"/>
              </w:rPr>
            </w:pPr>
            <w:r>
              <w:rPr>
                <w:rFonts w:hint="eastAsia" w:asciiTheme="minorHAnsi" w:hAnsiTheme="minorHAnsi" w:eastAsiaTheme="minorEastAsia" w:cstheme="minorBidi"/>
                <w:color w:val="000000"/>
                <w:kern w:val="0"/>
                <w:sz w:val="18"/>
                <w:szCs w:val="18"/>
              </w:rPr>
              <w:t>概述影响数据质量和结论可信度的主要因素，评估当前模型和数据能否满足</w:t>
            </w:r>
            <w:r>
              <w:rPr>
                <w:rFonts w:asciiTheme="minorHAnsi" w:hAnsiTheme="minorHAnsi" w:eastAsiaTheme="minorEastAsia" w:cstheme="minorBidi"/>
                <w:color w:val="000000"/>
                <w:kern w:val="0"/>
                <w:sz w:val="18"/>
                <w:szCs w:val="18"/>
              </w:rPr>
              <w:t>LCA</w:t>
            </w:r>
            <w:r>
              <w:rPr>
                <w:rFonts w:hint="eastAsia" w:asciiTheme="minorHAnsi" w:hAnsiTheme="minorHAnsi" w:eastAsiaTheme="minorEastAsia" w:cstheme="minorBidi"/>
                <w:color w:val="000000"/>
                <w:kern w:val="0"/>
                <w:sz w:val="18"/>
                <w:szCs w:val="18"/>
              </w:rPr>
              <w:t>目的和要求，说明可能的改进计划</w:t>
            </w:r>
          </w:p>
        </w:tc>
      </w:tr>
    </w:tbl>
    <w:p>
      <w:pPr>
        <w:pStyle w:val="68"/>
        <w:keepNext w:val="0"/>
        <w:keepLines w:val="0"/>
        <w:pageBreakBefore w:val="0"/>
        <w:widowControl/>
        <w:numPr>
          <w:ilvl w:val="0"/>
          <w:numId w:val="0"/>
        </w:numPr>
        <w:kinsoku/>
        <w:wordWrap/>
        <w:overflowPunct/>
        <w:topLinePunct w:val="0"/>
        <w:autoSpaceDE w:val="0"/>
        <w:autoSpaceDN w:val="0"/>
        <w:bidi w:val="0"/>
        <w:adjustRightInd/>
        <w:snapToGrid/>
        <w:spacing w:line="240" w:lineRule="exact"/>
        <w:ind w:leftChars="0"/>
        <w:textAlignment w:val="auto"/>
        <w:rPr>
          <w:rFonts w:hint="eastAsia" w:ascii="黑体" w:hAnsi="黑体" w:eastAsia="黑体"/>
          <w:lang w:val="en-US" w:eastAsia="zh-CN"/>
        </w:rPr>
      </w:pPr>
    </w:p>
    <w:p>
      <w:pPr>
        <w:pStyle w:val="68"/>
        <w:keepNext w:val="0"/>
        <w:keepLines w:val="0"/>
        <w:pageBreakBefore w:val="0"/>
        <w:widowControl/>
        <w:numPr>
          <w:ilvl w:val="0"/>
          <w:numId w:val="0"/>
        </w:numPr>
        <w:kinsoku/>
        <w:wordWrap/>
        <w:overflowPunct/>
        <w:topLinePunct w:val="0"/>
        <w:autoSpaceDE w:val="0"/>
        <w:autoSpaceDN w:val="0"/>
        <w:bidi w:val="0"/>
        <w:adjustRightInd/>
        <w:snapToGrid/>
        <w:spacing w:line="240" w:lineRule="auto"/>
        <w:ind w:leftChars="0"/>
        <w:textAlignment w:val="auto"/>
        <w:rPr>
          <w:rFonts w:hint="eastAsia" w:ascii="黑体" w:hAnsi="黑体" w:eastAsia="黑体"/>
        </w:rPr>
      </w:pPr>
      <w:r>
        <w:rPr>
          <w:rFonts w:hint="eastAsia" w:ascii="黑体" w:hAnsi="黑体" w:eastAsia="黑体"/>
          <w:lang w:val="en-US" w:eastAsia="zh-CN"/>
        </w:rPr>
        <w:t xml:space="preserve">A.5.6  </w:t>
      </w:r>
      <w:r>
        <w:rPr>
          <w:rFonts w:hint="eastAsia" w:ascii="黑体" w:hAnsi="黑体" w:eastAsia="黑体"/>
        </w:rPr>
        <w:t>数据质量改进</w:t>
      </w:r>
    </w:p>
    <w:p>
      <w:pPr>
        <w:pStyle w:val="68"/>
        <w:keepNext w:val="0"/>
        <w:keepLines w:val="0"/>
        <w:pageBreakBefore w:val="0"/>
        <w:widowControl/>
        <w:numPr>
          <w:ilvl w:val="0"/>
          <w:numId w:val="0"/>
        </w:numPr>
        <w:kinsoku/>
        <w:wordWrap/>
        <w:overflowPunct/>
        <w:topLinePunct w:val="0"/>
        <w:autoSpaceDE w:val="0"/>
        <w:autoSpaceDN w:val="0"/>
        <w:bidi w:val="0"/>
        <w:adjustRightInd/>
        <w:snapToGrid/>
        <w:spacing w:line="240" w:lineRule="exact"/>
        <w:ind w:leftChars="0"/>
        <w:textAlignment w:val="auto"/>
        <w:rPr>
          <w:rFonts w:hint="eastAsia" w:ascii="黑体" w:hAnsi="黑体" w:eastAsia="黑体"/>
        </w:rPr>
      </w:pPr>
    </w:p>
    <w:p>
      <w:pPr>
        <w:pStyle w:val="68"/>
        <w:keepNext w:val="0"/>
        <w:keepLines w:val="0"/>
        <w:pageBreakBefore w:val="0"/>
        <w:widowControl/>
        <w:kinsoku/>
        <w:wordWrap/>
        <w:overflowPunct/>
        <w:topLinePunct w:val="0"/>
        <w:autoSpaceDE w:val="0"/>
        <w:autoSpaceDN w:val="0"/>
        <w:bidi w:val="0"/>
        <w:adjustRightInd/>
        <w:snapToGrid/>
        <w:spacing w:line="240" w:lineRule="auto"/>
        <w:ind w:firstLine="420"/>
        <w:textAlignment w:val="auto"/>
        <w:rPr>
          <w:rFonts w:hAnsi="宋体"/>
        </w:rPr>
      </w:pPr>
      <w:r>
        <w:rPr>
          <w:rFonts w:hint="eastAsia" w:hAnsi="宋体"/>
        </w:rPr>
        <w:t>根据上述数据质量要求和评估结果，可以发现提高数据质量的关键因素并持续改进数据质量：</w:t>
      </w:r>
    </w:p>
    <w:p>
      <w:pPr>
        <w:pStyle w:val="68"/>
        <w:keepNext w:val="0"/>
        <w:keepLines w:val="0"/>
        <w:pageBreakBefore w:val="0"/>
        <w:widowControl/>
        <w:kinsoku/>
        <w:wordWrap/>
        <w:overflowPunct/>
        <w:topLinePunct w:val="0"/>
        <w:autoSpaceDE w:val="0"/>
        <w:autoSpaceDN w:val="0"/>
        <w:bidi w:val="0"/>
        <w:adjustRightInd/>
        <w:snapToGrid w:val="0"/>
        <w:spacing w:line="240" w:lineRule="auto"/>
        <w:ind w:left="840" w:leftChars="200" w:hanging="420" w:hangingChars="200"/>
        <w:textAlignment w:val="auto"/>
        <w:rPr>
          <w:rFonts w:hAnsi="宋体"/>
        </w:rPr>
      </w:pPr>
      <w:r>
        <w:rPr>
          <w:rFonts w:hint="eastAsia" w:hAnsi="宋体"/>
        </w:rPr>
        <w:t xml:space="preserve">a) </w:t>
      </w:r>
      <w:r>
        <w:rPr>
          <w:rFonts w:hint="eastAsia" w:hAnsi="宋体"/>
          <w:lang w:val="en-US" w:eastAsia="zh-CN"/>
        </w:rPr>
        <w:t xml:space="preserve"> </w:t>
      </w:r>
      <w:r>
        <w:rPr>
          <w:rFonts w:hint="eastAsia" w:hAnsi="宋体"/>
        </w:rPr>
        <w:t>对于数据质量不符合要求的关键过程、清单数据和背景数据，需重新进行数据收集调查或生命周期建模，尤其是针对贡献和灵敏度较大的过程和清单数据，需采用实际生产过程数据代替背景数据、采用产地国家的背景数据代替其他国家背景数据，是提高数据质量的最有效方法。</w:t>
      </w:r>
    </w:p>
    <w:p>
      <w:pPr>
        <w:pStyle w:val="68"/>
        <w:keepNext w:val="0"/>
        <w:keepLines w:val="0"/>
        <w:pageBreakBefore w:val="0"/>
        <w:widowControl/>
        <w:kinsoku/>
        <w:wordWrap/>
        <w:overflowPunct/>
        <w:topLinePunct w:val="0"/>
        <w:autoSpaceDE w:val="0"/>
        <w:autoSpaceDN w:val="0"/>
        <w:bidi w:val="0"/>
        <w:adjustRightInd/>
        <w:snapToGrid/>
        <w:spacing w:line="240" w:lineRule="auto"/>
        <w:ind w:left="840" w:leftChars="200" w:hanging="420" w:hangingChars="200"/>
        <w:textAlignment w:val="auto"/>
        <w:rPr>
          <w:rFonts w:hint="eastAsia" w:hAnsi="宋体"/>
        </w:rPr>
      </w:pPr>
      <w:r>
        <w:rPr>
          <w:rFonts w:hint="eastAsia" w:hAnsi="宋体"/>
        </w:rPr>
        <w:t xml:space="preserve">b) </w:t>
      </w:r>
      <w:r>
        <w:rPr>
          <w:rFonts w:hint="eastAsia" w:hAnsi="宋体"/>
          <w:lang w:val="en-US" w:eastAsia="zh-CN"/>
        </w:rPr>
        <w:t xml:space="preserve"> </w:t>
      </w:r>
      <w:r>
        <w:rPr>
          <w:rFonts w:hint="eastAsia" w:hAnsi="宋体"/>
        </w:rPr>
        <w:t>对于数据质量较差但不重要的或对环境影响类型贡献较小的清单数据或单元过程可忽略，并适当调整系统边界、数据取舍准则等，以确保最终评价结果满足数据质量评估要求。</w:t>
      </w:r>
    </w:p>
    <w:p>
      <w:pPr>
        <w:pStyle w:val="68"/>
        <w:keepNext w:val="0"/>
        <w:keepLines w:val="0"/>
        <w:pageBreakBefore w:val="0"/>
        <w:widowControl/>
        <w:kinsoku/>
        <w:wordWrap/>
        <w:overflowPunct/>
        <w:topLinePunct w:val="0"/>
        <w:autoSpaceDE w:val="0"/>
        <w:autoSpaceDN w:val="0"/>
        <w:bidi w:val="0"/>
        <w:adjustRightInd/>
        <w:snapToGrid/>
        <w:spacing w:line="240" w:lineRule="exact"/>
        <w:ind w:hanging="420" w:hangingChars="200"/>
        <w:textAlignment w:val="auto"/>
        <w:rPr>
          <w:rFonts w:hint="eastAsia" w:hAnsi="宋体"/>
        </w:rPr>
      </w:pPr>
    </w:p>
    <w:p>
      <w:pPr>
        <w:pStyle w:val="68"/>
        <w:keepNext w:val="0"/>
        <w:keepLines w:val="0"/>
        <w:pageBreakBefore w:val="0"/>
        <w:widowControl/>
        <w:numPr>
          <w:ilvl w:val="0"/>
          <w:numId w:val="0"/>
        </w:numPr>
        <w:kinsoku/>
        <w:wordWrap/>
        <w:overflowPunct/>
        <w:topLinePunct w:val="0"/>
        <w:autoSpaceDE w:val="0"/>
        <w:autoSpaceDN w:val="0"/>
        <w:bidi w:val="0"/>
        <w:adjustRightInd/>
        <w:snapToGrid/>
        <w:spacing w:line="240" w:lineRule="auto"/>
        <w:ind w:leftChars="0"/>
        <w:textAlignment w:val="auto"/>
        <w:rPr>
          <w:rFonts w:hint="eastAsia" w:ascii="黑体" w:hAnsi="黑体" w:eastAsia="黑体"/>
        </w:rPr>
      </w:pPr>
      <w:r>
        <w:rPr>
          <w:rFonts w:hint="eastAsia" w:ascii="黑体" w:hAnsi="黑体" w:eastAsia="黑体"/>
          <w:lang w:val="en-US" w:eastAsia="zh-CN"/>
        </w:rPr>
        <w:t xml:space="preserve">A.6  </w:t>
      </w:r>
      <w:r>
        <w:rPr>
          <w:rFonts w:hint="eastAsia" w:ascii="黑体" w:hAnsi="黑体" w:eastAsia="黑体"/>
        </w:rPr>
        <w:t>LCA报告</w:t>
      </w:r>
    </w:p>
    <w:p>
      <w:pPr>
        <w:pStyle w:val="68"/>
        <w:keepNext w:val="0"/>
        <w:keepLines w:val="0"/>
        <w:pageBreakBefore w:val="0"/>
        <w:widowControl/>
        <w:numPr>
          <w:ilvl w:val="0"/>
          <w:numId w:val="0"/>
        </w:numPr>
        <w:kinsoku/>
        <w:wordWrap/>
        <w:overflowPunct/>
        <w:topLinePunct w:val="0"/>
        <w:autoSpaceDE w:val="0"/>
        <w:autoSpaceDN w:val="0"/>
        <w:bidi w:val="0"/>
        <w:adjustRightInd/>
        <w:snapToGrid/>
        <w:spacing w:line="240" w:lineRule="exact"/>
        <w:ind w:leftChars="0"/>
        <w:textAlignment w:val="auto"/>
        <w:rPr>
          <w:rFonts w:hint="eastAsia" w:ascii="黑体" w:hAnsi="黑体" w:eastAsia="黑体"/>
        </w:rPr>
      </w:pPr>
    </w:p>
    <w:p>
      <w:pPr>
        <w:pStyle w:val="68"/>
        <w:snapToGrid w:val="0"/>
        <w:spacing w:line="264" w:lineRule="auto"/>
        <w:ind w:firstLine="420"/>
        <w:rPr>
          <w:rFonts w:hAnsi="宋体"/>
        </w:rPr>
      </w:pPr>
      <w:r>
        <w:rPr>
          <w:rFonts w:hint="eastAsia" w:hAnsi="宋体"/>
        </w:rPr>
        <w:t>产品LCA报告可用于绿色设计产品评价，也可用于产品碳足迹、 水足迹、欧盟产品环境足迹 （PEF）、环境产品声明（EPD）等LCA评价，具体要求可参见相关标准和评价体系的规定。</w:t>
      </w:r>
    </w:p>
    <w:p>
      <w:pPr>
        <w:pStyle w:val="68"/>
        <w:spacing w:line="264" w:lineRule="auto"/>
        <w:ind w:firstLine="420"/>
        <w:rPr>
          <w:rFonts w:hAnsi="宋体"/>
        </w:rPr>
      </w:pPr>
    </w:p>
    <w:p>
      <w:pPr>
        <w:pStyle w:val="68"/>
        <w:spacing w:line="264" w:lineRule="auto"/>
        <w:ind w:firstLine="0" w:firstLineChars="0"/>
        <w:jc w:val="center"/>
        <w:rPr>
          <w:rFonts w:ascii="黑体" w:hAnsi="黑体" w:eastAsia="黑体"/>
        </w:rPr>
      </w:pPr>
    </w:p>
    <w:bookmarkEnd w:id="8"/>
    <w:p>
      <w:pPr>
        <w:pStyle w:val="68"/>
        <w:snapToGrid w:val="0"/>
        <w:spacing w:line="264" w:lineRule="auto"/>
        <w:ind w:firstLine="360"/>
        <w:rPr>
          <w:rFonts w:hAnsi="宋体"/>
          <w:sz w:val="18"/>
          <w:szCs w:val="18"/>
        </w:rPr>
      </w:pPr>
    </w:p>
    <w:p>
      <w:pPr>
        <w:pStyle w:val="68"/>
        <w:snapToGrid w:val="0"/>
        <w:spacing w:line="264" w:lineRule="auto"/>
        <w:ind w:firstLine="360"/>
        <w:rPr>
          <w:rFonts w:hAnsi="宋体"/>
          <w:sz w:val="18"/>
          <w:szCs w:val="18"/>
        </w:rPr>
      </w:pPr>
    </w:p>
    <w:p>
      <w:pPr>
        <w:pStyle w:val="68"/>
        <w:snapToGrid w:val="0"/>
        <w:spacing w:line="264" w:lineRule="auto"/>
        <w:ind w:firstLine="0" w:firstLineChars="0"/>
        <w:rPr>
          <w:rFonts w:hAnsi="宋体"/>
          <w:sz w:val="18"/>
          <w:szCs w:val="18"/>
        </w:rPr>
      </w:pPr>
    </w:p>
    <w:p>
      <w:pPr>
        <w:pStyle w:val="98"/>
        <w:spacing w:before="0" w:after="0" w:line="400" w:lineRule="exact"/>
        <w:rPr>
          <w:rFonts w:hint="eastAsia"/>
          <w:sz w:val="21"/>
          <w:szCs w:val="21"/>
        </w:rPr>
      </w:pPr>
      <w:bookmarkStart w:id="67" w:name="_Toc72997739"/>
    </w:p>
    <w:p>
      <w:pPr>
        <w:pStyle w:val="98"/>
        <w:spacing w:before="0" w:after="0" w:line="400" w:lineRule="exact"/>
        <w:rPr>
          <w:rFonts w:hint="eastAsia"/>
          <w:sz w:val="21"/>
          <w:szCs w:val="21"/>
        </w:rPr>
      </w:pPr>
    </w:p>
    <w:p>
      <w:pPr>
        <w:pStyle w:val="98"/>
        <w:spacing w:before="0" w:after="0" w:line="400" w:lineRule="exact"/>
        <w:rPr>
          <w:rFonts w:hint="eastAsia"/>
          <w:sz w:val="21"/>
          <w:szCs w:val="21"/>
        </w:rPr>
      </w:pPr>
    </w:p>
    <w:p>
      <w:pPr>
        <w:pStyle w:val="98"/>
        <w:spacing w:before="0" w:after="0" w:line="400" w:lineRule="exact"/>
        <w:rPr>
          <w:szCs w:val="21"/>
        </w:rPr>
      </w:pPr>
      <w:r>
        <w:rPr>
          <w:rFonts w:hint="eastAsia"/>
          <w:sz w:val="21"/>
          <w:szCs w:val="21"/>
        </w:rPr>
        <w:t>附录B</w:t>
      </w:r>
      <w:bookmarkEnd w:id="67"/>
    </w:p>
    <w:p>
      <w:pPr>
        <w:pStyle w:val="98"/>
        <w:spacing w:before="0" w:after="0" w:line="400" w:lineRule="exact"/>
        <w:rPr>
          <w:szCs w:val="21"/>
        </w:rPr>
      </w:pPr>
      <w:bookmarkStart w:id="68" w:name="_Toc72997740"/>
      <w:bookmarkStart w:id="69" w:name="_Toc63257817"/>
      <w:r>
        <w:rPr>
          <w:rFonts w:hint="eastAsia"/>
          <w:sz w:val="21"/>
          <w:szCs w:val="21"/>
        </w:rPr>
        <w:t>（</w:t>
      </w:r>
      <w:r>
        <w:rPr>
          <w:rFonts w:hint="eastAsia"/>
          <w:sz w:val="21"/>
          <w:szCs w:val="21"/>
          <w:lang w:eastAsia="zh-CN"/>
        </w:rPr>
        <w:t>规范</w:t>
      </w:r>
      <w:r>
        <w:rPr>
          <w:rFonts w:hint="eastAsia"/>
          <w:sz w:val="21"/>
          <w:szCs w:val="21"/>
        </w:rPr>
        <w:t>性）</w:t>
      </w:r>
      <w:bookmarkEnd w:id="68"/>
      <w:bookmarkEnd w:id="69"/>
    </w:p>
    <w:p>
      <w:pPr>
        <w:pStyle w:val="98"/>
        <w:spacing w:before="0" w:after="0" w:line="400" w:lineRule="exact"/>
        <w:rPr>
          <w:rFonts w:hint="eastAsia"/>
          <w:sz w:val="21"/>
          <w:szCs w:val="21"/>
        </w:rPr>
      </w:pPr>
      <w:bookmarkStart w:id="70" w:name="_Toc72997741"/>
      <w:bookmarkStart w:id="71" w:name="_Toc63257818"/>
      <w:r>
        <w:rPr>
          <w:rFonts w:hint="eastAsia"/>
          <w:sz w:val="21"/>
          <w:szCs w:val="21"/>
        </w:rPr>
        <w:t>软水机</w:t>
      </w:r>
      <w:r>
        <w:rPr>
          <w:rFonts w:hint="eastAsia"/>
          <w:sz w:val="21"/>
          <w:szCs w:val="21"/>
          <w:lang w:val="en-US" w:eastAsia="zh-CN"/>
        </w:rPr>
        <w:t>生命周期评价</w:t>
      </w:r>
      <w:r>
        <w:rPr>
          <w:rFonts w:hint="eastAsia"/>
          <w:sz w:val="21"/>
          <w:szCs w:val="21"/>
        </w:rPr>
        <w:t>报告格式</w:t>
      </w:r>
      <w:bookmarkEnd w:id="70"/>
      <w:bookmarkEnd w:id="71"/>
    </w:p>
    <w:p>
      <w:pPr>
        <w:pStyle w:val="68"/>
        <w:keepNext w:val="0"/>
        <w:keepLines w:val="0"/>
        <w:pageBreakBefore w:val="0"/>
        <w:widowControl/>
        <w:kinsoku/>
        <w:wordWrap/>
        <w:overflowPunct/>
        <w:topLinePunct w:val="0"/>
        <w:bidi w:val="0"/>
        <w:adjustRightInd/>
        <w:snapToGrid/>
        <w:spacing w:line="240" w:lineRule="auto"/>
        <w:textAlignment w:val="auto"/>
      </w:pPr>
    </w:p>
    <w:p>
      <w:pPr>
        <w:pStyle w:val="98"/>
        <w:keepNext w:val="0"/>
        <w:keepLines w:val="0"/>
        <w:pageBreakBefore w:val="0"/>
        <w:widowControl/>
        <w:numPr>
          <w:ilvl w:val="0"/>
          <w:numId w:val="0"/>
        </w:numPr>
        <w:kinsoku/>
        <w:wordWrap/>
        <w:overflowPunct/>
        <w:topLinePunct w:val="0"/>
        <w:bidi w:val="0"/>
        <w:adjustRightInd/>
        <w:snapToGrid/>
        <w:spacing w:before="0" w:after="0" w:line="240" w:lineRule="auto"/>
        <w:ind w:leftChars="0"/>
        <w:jc w:val="left"/>
        <w:textAlignment w:val="auto"/>
        <w:rPr>
          <w:rFonts w:hint="eastAsia"/>
          <w:sz w:val="21"/>
          <w:szCs w:val="21"/>
        </w:rPr>
      </w:pPr>
      <w:bookmarkStart w:id="72" w:name="_Toc63257819"/>
      <w:bookmarkStart w:id="73" w:name="_Toc72997742"/>
      <w:r>
        <w:rPr>
          <w:rFonts w:hint="eastAsia"/>
          <w:sz w:val="21"/>
          <w:szCs w:val="21"/>
          <w:lang w:val="en-US" w:eastAsia="zh-CN"/>
        </w:rPr>
        <w:t xml:space="preserve">B.1 </w:t>
      </w:r>
      <w:r>
        <w:rPr>
          <w:rFonts w:hint="eastAsia"/>
          <w:sz w:val="21"/>
          <w:szCs w:val="21"/>
        </w:rPr>
        <w:t>基本信息</w:t>
      </w:r>
      <w:bookmarkEnd w:id="72"/>
      <w:bookmarkEnd w:id="73"/>
    </w:p>
    <w:p>
      <w:pPr>
        <w:pStyle w:val="68"/>
        <w:keepNext w:val="0"/>
        <w:keepLines w:val="0"/>
        <w:pageBreakBefore w:val="0"/>
        <w:widowControl/>
        <w:kinsoku/>
        <w:wordWrap/>
        <w:overflowPunct/>
        <w:topLinePunct w:val="0"/>
        <w:autoSpaceDE w:val="0"/>
        <w:autoSpaceDN w:val="0"/>
        <w:bidi w:val="0"/>
        <w:adjustRightInd/>
        <w:snapToGrid/>
        <w:spacing w:line="240" w:lineRule="exact"/>
        <w:textAlignment w:val="auto"/>
      </w:pPr>
    </w:p>
    <w:p>
      <w:pPr>
        <w:pStyle w:val="68"/>
        <w:snapToGrid w:val="0"/>
        <w:spacing w:line="264" w:lineRule="auto"/>
        <w:ind w:firstLine="420"/>
        <w:rPr>
          <w:rFonts w:hAnsi="宋体"/>
        </w:rPr>
      </w:pPr>
      <w:r>
        <w:rPr>
          <w:rFonts w:hint="eastAsia" w:hAnsi="宋体"/>
        </w:rPr>
        <w:t>报告中的基本信息可包括但不限于以下内容：</w:t>
      </w:r>
    </w:p>
    <w:p>
      <w:pPr>
        <w:pStyle w:val="68"/>
        <w:snapToGrid w:val="0"/>
        <w:spacing w:line="264" w:lineRule="auto"/>
        <w:ind w:firstLine="420"/>
        <w:rPr>
          <w:rFonts w:hAnsi="宋体"/>
        </w:rPr>
      </w:pPr>
      <w:r>
        <w:rPr>
          <w:rFonts w:hint="eastAsia" w:hAnsi="宋体"/>
        </w:rPr>
        <w:t>——报告信息，如：报告编号、审核人员、发布日期等；</w:t>
      </w:r>
    </w:p>
    <w:p>
      <w:pPr>
        <w:pStyle w:val="68"/>
        <w:snapToGrid w:val="0"/>
        <w:spacing w:line="264" w:lineRule="auto"/>
        <w:ind w:firstLine="420"/>
        <w:rPr>
          <w:rFonts w:hAnsi="宋体"/>
        </w:rPr>
      </w:pPr>
      <w:r>
        <w:rPr>
          <w:rFonts w:hint="eastAsia" w:hAnsi="宋体"/>
        </w:rPr>
        <w:t>——申请者信息，如：企业名称、组织机构代码、企业地址、联系人、联系方式等；</w:t>
      </w:r>
    </w:p>
    <w:p>
      <w:pPr>
        <w:pStyle w:val="68"/>
        <w:snapToGrid w:val="0"/>
        <w:spacing w:line="264" w:lineRule="auto"/>
        <w:ind w:left="840" w:leftChars="200" w:hanging="420" w:hangingChars="200"/>
        <w:rPr>
          <w:rFonts w:hAnsi="宋体"/>
        </w:rPr>
      </w:pPr>
      <w:r>
        <w:rPr>
          <w:rFonts w:hint="eastAsia" w:hAnsi="宋体"/>
        </w:rPr>
        <w:t>——申请评估对象信息，如：产品名称、产品型号、主要技术参数、产品重量、产品尺寸、包装尺寸等；</w:t>
      </w:r>
    </w:p>
    <w:p>
      <w:pPr>
        <w:pStyle w:val="68"/>
        <w:keepNext w:val="0"/>
        <w:keepLines w:val="0"/>
        <w:pageBreakBefore w:val="0"/>
        <w:widowControl/>
        <w:kinsoku/>
        <w:wordWrap/>
        <w:overflowPunct/>
        <w:topLinePunct w:val="0"/>
        <w:bidi w:val="0"/>
        <w:adjustRightInd/>
        <w:snapToGrid/>
        <w:spacing w:line="240" w:lineRule="auto"/>
        <w:ind w:firstLine="420"/>
        <w:textAlignment w:val="auto"/>
        <w:rPr>
          <w:rFonts w:hint="eastAsia"/>
        </w:rPr>
      </w:pPr>
      <w:r>
        <w:rPr>
          <w:rFonts w:hint="eastAsia"/>
        </w:rPr>
        <w:t>——评价过程中采用的标准信息，如标准名称、标准编号及发布日期等。</w:t>
      </w:r>
    </w:p>
    <w:p>
      <w:pPr>
        <w:pStyle w:val="68"/>
        <w:keepNext w:val="0"/>
        <w:keepLines w:val="0"/>
        <w:pageBreakBefore w:val="0"/>
        <w:widowControl/>
        <w:kinsoku/>
        <w:wordWrap/>
        <w:overflowPunct/>
        <w:topLinePunct w:val="0"/>
        <w:autoSpaceDE w:val="0"/>
        <w:autoSpaceDN w:val="0"/>
        <w:bidi w:val="0"/>
        <w:adjustRightInd/>
        <w:snapToGrid/>
        <w:spacing w:line="240" w:lineRule="exact"/>
        <w:ind w:firstLine="420"/>
        <w:textAlignment w:val="auto"/>
        <w:rPr>
          <w:rFonts w:hint="eastAsia"/>
        </w:rPr>
      </w:pPr>
    </w:p>
    <w:p>
      <w:pPr>
        <w:pStyle w:val="98"/>
        <w:keepNext w:val="0"/>
        <w:keepLines w:val="0"/>
        <w:pageBreakBefore w:val="0"/>
        <w:widowControl/>
        <w:numPr>
          <w:ilvl w:val="0"/>
          <w:numId w:val="0"/>
        </w:numPr>
        <w:kinsoku/>
        <w:wordWrap/>
        <w:overflowPunct/>
        <w:topLinePunct w:val="0"/>
        <w:bidi w:val="0"/>
        <w:adjustRightInd/>
        <w:snapToGrid/>
        <w:spacing w:before="0" w:after="0" w:line="240" w:lineRule="auto"/>
        <w:ind w:leftChars="0"/>
        <w:jc w:val="left"/>
        <w:textAlignment w:val="auto"/>
        <w:rPr>
          <w:rFonts w:hint="eastAsia"/>
          <w:sz w:val="21"/>
          <w:szCs w:val="21"/>
        </w:rPr>
      </w:pPr>
      <w:bookmarkStart w:id="74" w:name="_Toc63257820"/>
      <w:bookmarkStart w:id="75" w:name="_Toc72997743"/>
      <w:r>
        <w:rPr>
          <w:rFonts w:hint="eastAsia"/>
          <w:sz w:val="21"/>
          <w:szCs w:val="21"/>
          <w:lang w:val="en-US" w:eastAsia="zh-CN"/>
        </w:rPr>
        <w:t xml:space="preserve">B.2  </w:t>
      </w:r>
      <w:r>
        <w:rPr>
          <w:rFonts w:hint="eastAsia"/>
          <w:sz w:val="21"/>
          <w:szCs w:val="21"/>
        </w:rPr>
        <w:t>符合性评价报告格式</w:t>
      </w:r>
      <w:bookmarkEnd w:id="74"/>
      <w:bookmarkEnd w:id="75"/>
    </w:p>
    <w:p>
      <w:pPr>
        <w:pStyle w:val="68"/>
        <w:keepNext w:val="0"/>
        <w:keepLines w:val="0"/>
        <w:pageBreakBefore w:val="0"/>
        <w:widowControl/>
        <w:kinsoku/>
        <w:wordWrap/>
        <w:overflowPunct/>
        <w:topLinePunct w:val="0"/>
        <w:autoSpaceDE w:val="0"/>
        <w:autoSpaceDN w:val="0"/>
        <w:bidi w:val="0"/>
        <w:adjustRightInd/>
        <w:snapToGrid/>
        <w:spacing w:line="240" w:lineRule="exact"/>
        <w:textAlignment w:val="auto"/>
      </w:pPr>
    </w:p>
    <w:p>
      <w:pPr>
        <w:pStyle w:val="68"/>
        <w:keepNext w:val="0"/>
        <w:keepLines w:val="0"/>
        <w:pageBreakBefore w:val="0"/>
        <w:widowControl/>
        <w:kinsoku/>
        <w:wordWrap/>
        <w:overflowPunct/>
        <w:topLinePunct w:val="0"/>
        <w:autoSpaceDE w:val="0"/>
        <w:autoSpaceDN w:val="0"/>
        <w:bidi w:val="0"/>
        <w:adjustRightInd/>
        <w:snapToGrid/>
        <w:spacing w:line="240" w:lineRule="auto"/>
        <w:ind w:firstLine="420"/>
        <w:textAlignment w:val="auto"/>
        <w:rPr>
          <w:rFonts w:hint="eastAsia" w:hAnsi="宋体"/>
        </w:rPr>
      </w:pPr>
      <w:r>
        <w:rPr>
          <w:rFonts w:hint="eastAsia" w:hAnsi="宋体"/>
        </w:rPr>
        <w:t>符合性评价报告提供对组织的基本要求 （对应第5章） 和评价指标要求 （对应第6章） 的符合性情况，并提供所有评价指标报告期比基准期改进情况说明，格式见表B.1。其中报告期为当年评价的年份，一般是指产品参与评价年份的上一年；基准期为一个对照年份，一般比报告期提前1年。</w:t>
      </w:r>
    </w:p>
    <w:p>
      <w:pPr>
        <w:pStyle w:val="68"/>
        <w:keepNext w:val="0"/>
        <w:keepLines w:val="0"/>
        <w:pageBreakBefore w:val="0"/>
        <w:widowControl/>
        <w:kinsoku/>
        <w:wordWrap/>
        <w:overflowPunct/>
        <w:topLinePunct w:val="0"/>
        <w:autoSpaceDE w:val="0"/>
        <w:autoSpaceDN w:val="0"/>
        <w:bidi w:val="0"/>
        <w:adjustRightInd/>
        <w:snapToGrid/>
        <w:spacing w:line="240" w:lineRule="exact"/>
        <w:ind w:firstLine="420"/>
        <w:textAlignment w:val="auto"/>
        <w:rPr>
          <w:rFonts w:hint="eastAsia" w:hAnsi="宋体"/>
        </w:rPr>
      </w:pPr>
    </w:p>
    <w:p>
      <w:pPr>
        <w:pStyle w:val="68"/>
        <w:keepNext w:val="0"/>
        <w:keepLines w:val="0"/>
        <w:pageBreakBefore w:val="0"/>
        <w:widowControl/>
        <w:kinsoku/>
        <w:wordWrap/>
        <w:overflowPunct/>
        <w:topLinePunct w:val="0"/>
        <w:autoSpaceDE w:val="0"/>
        <w:autoSpaceDN w:val="0"/>
        <w:bidi w:val="0"/>
        <w:adjustRightInd/>
        <w:snapToGrid/>
        <w:spacing w:line="240" w:lineRule="auto"/>
        <w:ind w:firstLine="420"/>
        <w:jc w:val="center"/>
        <w:textAlignment w:val="auto"/>
        <w:rPr>
          <w:rFonts w:hint="eastAsia" w:ascii="黑体" w:hAnsi="黑体" w:eastAsia="黑体"/>
        </w:rPr>
      </w:pPr>
      <w:r>
        <w:rPr>
          <w:rFonts w:hint="eastAsia" w:ascii="黑体" w:hAnsi="黑体" w:eastAsia="黑体"/>
        </w:rPr>
        <w:t>表B.1</w:t>
      </w:r>
      <w:r>
        <w:rPr>
          <w:rFonts w:hint="eastAsia" w:ascii="黑体" w:hAnsi="黑体" w:eastAsia="黑体"/>
          <w:lang w:val="en-US" w:eastAsia="zh-CN"/>
        </w:rPr>
        <w:t xml:space="preserve"> </w:t>
      </w:r>
      <w:r>
        <w:rPr>
          <w:rFonts w:hint="eastAsia" w:ascii="黑体" w:hAnsi="黑体" w:eastAsia="黑体"/>
          <w:lang w:eastAsia="zh-CN"/>
        </w:rPr>
        <w:t>软水机</w:t>
      </w:r>
      <w:r>
        <w:rPr>
          <w:rFonts w:hint="eastAsia" w:ascii="黑体" w:hAnsi="黑体" w:eastAsia="黑体"/>
        </w:rPr>
        <w:t>绿色设计产品符合性情况表</w:t>
      </w:r>
    </w:p>
    <w:p>
      <w:pPr>
        <w:pStyle w:val="68"/>
        <w:keepNext w:val="0"/>
        <w:keepLines w:val="0"/>
        <w:pageBreakBefore w:val="0"/>
        <w:widowControl/>
        <w:kinsoku/>
        <w:wordWrap/>
        <w:overflowPunct/>
        <w:topLinePunct w:val="0"/>
        <w:autoSpaceDE w:val="0"/>
        <w:autoSpaceDN w:val="0"/>
        <w:bidi w:val="0"/>
        <w:adjustRightInd/>
        <w:snapToGrid/>
        <w:spacing w:line="240" w:lineRule="exact"/>
        <w:ind w:firstLine="420"/>
        <w:jc w:val="center"/>
        <w:textAlignment w:val="auto"/>
        <w:rPr>
          <w:rFonts w:hint="eastAsia" w:ascii="黑体" w:hAnsi="黑体" w:eastAsia="黑体"/>
        </w:rPr>
      </w:pP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1552"/>
        <w:gridCol w:w="990"/>
        <w:gridCol w:w="1143"/>
        <w:gridCol w:w="1134"/>
        <w:gridCol w:w="1134"/>
        <w:gridCol w:w="907"/>
        <w:gridCol w:w="13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pStyle w:val="98"/>
              <w:widowControl w:val="0"/>
              <w:shd w:val="clear" w:color="auto" w:fill="auto"/>
              <w:spacing w:before="0" w:after="0" w:line="400" w:lineRule="exact"/>
              <w:rPr>
                <w:rFonts w:asciiTheme="minorEastAsia" w:hAnsiTheme="minorEastAsia" w:eastAsiaTheme="minorEastAsia"/>
                <w:sz w:val="18"/>
                <w:szCs w:val="18"/>
              </w:rPr>
            </w:pPr>
            <w:bookmarkStart w:id="76" w:name="_Toc63257821"/>
            <w:bookmarkStart w:id="77" w:name="_Toc72997744"/>
            <w:r>
              <w:rPr>
                <w:rFonts w:hint="eastAsia" w:asciiTheme="minorEastAsia" w:hAnsiTheme="minorEastAsia" w:eastAsiaTheme="minorEastAsia"/>
                <w:sz w:val="18"/>
                <w:szCs w:val="18"/>
              </w:rPr>
              <w:t>产品评价技术规范</w:t>
            </w:r>
            <w:bookmarkEnd w:id="76"/>
            <w:bookmarkEnd w:id="77"/>
          </w:p>
        </w:tc>
        <w:tc>
          <w:tcPr>
            <w:tcW w:w="1552" w:type="dxa"/>
            <w:vAlign w:val="center"/>
          </w:tcPr>
          <w:p>
            <w:pPr>
              <w:pStyle w:val="98"/>
              <w:widowControl w:val="0"/>
              <w:shd w:val="clear" w:color="auto" w:fill="auto"/>
              <w:spacing w:before="0" w:after="0" w:line="400" w:lineRule="exact"/>
              <w:rPr>
                <w:rFonts w:asciiTheme="minorEastAsia" w:hAnsiTheme="minorEastAsia" w:eastAsiaTheme="minorEastAsia"/>
                <w:sz w:val="18"/>
                <w:szCs w:val="18"/>
              </w:rPr>
            </w:pPr>
            <w:bookmarkStart w:id="78" w:name="_Toc72997745"/>
            <w:bookmarkStart w:id="79" w:name="_Toc63257822"/>
            <w:r>
              <w:rPr>
                <w:rFonts w:hint="eastAsia" w:asciiTheme="minorEastAsia" w:hAnsiTheme="minorEastAsia" w:eastAsiaTheme="minorEastAsia"/>
                <w:sz w:val="18"/>
                <w:szCs w:val="18"/>
              </w:rPr>
              <w:t>实施日期/最新修订日期</w:t>
            </w:r>
            <w:bookmarkEnd w:id="78"/>
            <w:bookmarkEnd w:id="79"/>
          </w:p>
        </w:tc>
        <w:tc>
          <w:tcPr>
            <w:tcW w:w="2133" w:type="dxa"/>
            <w:gridSpan w:val="2"/>
            <w:vAlign w:val="center"/>
          </w:tcPr>
          <w:p>
            <w:pPr>
              <w:pStyle w:val="98"/>
              <w:widowControl w:val="0"/>
              <w:shd w:val="clear" w:color="auto" w:fill="auto"/>
              <w:spacing w:before="0" w:after="0" w:line="400" w:lineRule="exact"/>
              <w:rPr>
                <w:rFonts w:asciiTheme="minorEastAsia" w:hAnsiTheme="minorEastAsia" w:eastAsiaTheme="minorEastAsia"/>
                <w:sz w:val="18"/>
                <w:szCs w:val="18"/>
              </w:rPr>
            </w:pPr>
            <w:bookmarkStart w:id="80" w:name="_Toc63257823"/>
            <w:bookmarkStart w:id="81" w:name="_Toc72997746"/>
            <w:r>
              <w:rPr>
                <w:rFonts w:hint="eastAsia" w:asciiTheme="minorEastAsia" w:hAnsiTheme="minorEastAsia" w:eastAsiaTheme="minorEastAsia"/>
                <w:sz w:val="18"/>
                <w:szCs w:val="18"/>
              </w:rPr>
              <w:t>相关条款要求</w:t>
            </w:r>
            <w:bookmarkEnd w:id="80"/>
            <w:bookmarkEnd w:id="81"/>
          </w:p>
        </w:tc>
        <w:tc>
          <w:tcPr>
            <w:tcW w:w="1134" w:type="dxa"/>
            <w:vAlign w:val="center"/>
          </w:tcPr>
          <w:p>
            <w:pPr>
              <w:pStyle w:val="98"/>
              <w:widowControl w:val="0"/>
              <w:shd w:val="clear" w:color="auto" w:fill="auto"/>
              <w:spacing w:before="0" w:after="0" w:line="400" w:lineRule="exact"/>
              <w:rPr>
                <w:rFonts w:asciiTheme="minorEastAsia" w:hAnsiTheme="minorEastAsia" w:eastAsiaTheme="minorEastAsia"/>
                <w:sz w:val="18"/>
                <w:szCs w:val="18"/>
              </w:rPr>
            </w:pPr>
            <w:bookmarkStart w:id="82" w:name="_Toc63257824"/>
            <w:bookmarkStart w:id="83" w:name="_Toc72997747"/>
            <w:r>
              <w:rPr>
                <w:rFonts w:hint="eastAsia" w:asciiTheme="minorEastAsia" w:hAnsiTheme="minorEastAsia" w:eastAsiaTheme="minorEastAsia"/>
                <w:sz w:val="18"/>
                <w:szCs w:val="18"/>
              </w:rPr>
              <w:t>符合性</w:t>
            </w:r>
            <w:bookmarkEnd w:id="82"/>
            <w:bookmarkEnd w:id="83"/>
          </w:p>
        </w:tc>
        <w:tc>
          <w:tcPr>
            <w:tcW w:w="1134" w:type="dxa"/>
            <w:vAlign w:val="center"/>
          </w:tcPr>
          <w:p>
            <w:pPr>
              <w:pStyle w:val="98"/>
              <w:widowControl w:val="0"/>
              <w:shd w:val="clear" w:color="auto" w:fill="auto"/>
              <w:spacing w:before="0" w:after="0" w:line="400" w:lineRule="exact"/>
              <w:rPr>
                <w:rFonts w:asciiTheme="minorEastAsia" w:hAnsiTheme="minorEastAsia" w:eastAsiaTheme="minorEastAsia"/>
                <w:sz w:val="18"/>
                <w:szCs w:val="18"/>
              </w:rPr>
            </w:pPr>
            <w:bookmarkStart w:id="84" w:name="_Toc72997748"/>
            <w:bookmarkStart w:id="85" w:name="_Toc63257825"/>
            <w:r>
              <w:rPr>
                <w:rFonts w:hint="eastAsia" w:asciiTheme="minorEastAsia" w:hAnsiTheme="minorEastAsia" w:eastAsiaTheme="minorEastAsia"/>
                <w:sz w:val="18"/>
                <w:szCs w:val="18"/>
              </w:rPr>
              <w:t>报告期情况</w:t>
            </w:r>
            <w:bookmarkEnd w:id="84"/>
            <w:bookmarkEnd w:id="85"/>
          </w:p>
        </w:tc>
        <w:tc>
          <w:tcPr>
            <w:tcW w:w="907" w:type="dxa"/>
            <w:vAlign w:val="center"/>
          </w:tcPr>
          <w:p>
            <w:pPr>
              <w:pStyle w:val="98"/>
              <w:widowControl w:val="0"/>
              <w:shd w:val="clear" w:color="auto" w:fill="auto"/>
              <w:spacing w:before="0" w:after="0" w:line="400" w:lineRule="exact"/>
              <w:rPr>
                <w:rFonts w:asciiTheme="minorEastAsia" w:hAnsiTheme="minorEastAsia" w:eastAsiaTheme="minorEastAsia"/>
                <w:sz w:val="18"/>
                <w:szCs w:val="18"/>
              </w:rPr>
            </w:pPr>
            <w:bookmarkStart w:id="86" w:name="_Toc63257826"/>
            <w:bookmarkStart w:id="87" w:name="_Toc72997749"/>
            <w:r>
              <w:rPr>
                <w:rFonts w:hint="eastAsia" w:asciiTheme="minorEastAsia" w:hAnsiTheme="minorEastAsia" w:eastAsiaTheme="minorEastAsia"/>
                <w:sz w:val="18"/>
                <w:szCs w:val="18"/>
              </w:rPr>
              <w:t>基准期情况</w:t>
            </w:r>
            <w:bookmarkEnd w:id="86"/>
            <w:bookmarkEnd w:id="87"/>
          </w:p>
        </w:tc>
        <w:tc>
          <w:tcPr>
            <w:tcW w:w="1327" w:type="dxa"/>
            <w:vAlign w:val="center"/>
          </w:tcPr>
          <w:p>
            <w:pPr>
              <w:pStyle w:val="98"/>
              <w:widowControl w:val="0"/>
              <w:shd w:val="clear" w:color="auto" w:fill="auto"/>
              <w:spacing w:before="0" w:after="0" w:line="400" w:lineRule="exact"/>
              <w:rPr>
                <w:rFonts w:asciiTheme="minorEastAsia" w:hAnsiTheme="minorEastAsia" w:eastAsiaTheme="minorEastAsia"/>
                <w:sz w:val="18"/>
                <w:szCs w:val="18"/>
              </w:rPr>
            </w:pPr>
            <w:bookmarkStart w:id="88" w:name="_Toc72997750"/>
            <w:bookmarkStart w:id="89" w:name="_Toc63257827"/>
            <w:r>
              <w:rPr>
                <w:rFonts w:hint="eastAsia" w:asciiTheme="minorEastAsia" w:hAnsiTheme="minorEastAsia" w:eastAsiaTheme="minorEastAsia"/>
                <w:sz w:val="18"/>
                <w:szCs w:val="18"/>
              </w:rPr>
              <w:t>改进情况说明</w:t>
            </w:r>
            <w:bookmarkEnd w:id="88"/>
            <w:bookmarkEnd w:id="8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01" w:type="dxa"/>
            <w:vMerge w:val="restart"/>
            <w:vAlign w:val="center"/>
          </w:tcPr>
          <w:p>
            <w:pPr>
              <w:pStyle w:val="98"/>
              <w:widowControl w:val="0"/>
              <w:shd w:val="clear" w:color="auto" w:fill="auto"/>
              <w:spacing w:before="0" w:after="0" w:line="400" w:lineRule="exact"/>
              <w:rPr>
                <w:rFonts w:asciiTheme="minorEastAsia" w:hAnsiTheme="minorEastAsia" w:eastAsiaTheme="minorEastAsia"/>
                <w:sz w:val="18"/>
                <w:szCs w:val="18"/>
              </w:rPr>
            </w:pPr>
            <w:bookmarkStart w:id="90" w:name="_Toc63257828"/>
            <w:bookmarkStart w:id="91" w:name="_Toc72997751"/>
            <w:r>
              <w:rPr>
                <w:rFonts w:hint="eastAsia" w:asciiTheme="minorEastAsia" w:hAnsiTheme="minorEastAsia" w:eastAsiaTheme="minorEastAsia"/>
                <w:sz w:val="18"/>
                <w:szCs w:val="18"/>
              </w:rPr>
              <w:t>XXXX</w:t>
            </w:r>
            <w:bookmarkEnd w:id="90"/>
            <w:bookmarkEnd w:id="91"/>
          </w:p>
        </w:tc>
        <w:tc>
          <w:tcPr>
            <w:tcW w:w="1552" w:type="dxa"/>
            <w:vMerge w:val="restart"/>
            <w:vAlign w:val="center"/>
          </w:tcPr>
          <w:p>
            <w:pPr>
              <w:pStyle w:val="98"/>
              <w:widowControl w:val="0"/>
              <w:shd w:val="clear" w:color="auto" w:fill="auto"/>
              <w:spacing w:before="0" w:after="0" w:line="400" w:lineRule="exact"/>
              <w:rPr>
                <w:rFonts w:asciiTheme="minorEastAsia" w:hAnsiTheme="minorEastAsia" w:eastAsiaTheme="minorEastAsia"/>
                <w:sz w:val="18"/>
                <w:szCs w:val="18"/>
              </w:rPr>
            </w:pPr>
            <w:bookmarkStart w:id="92" w:name="_Toc63257829"/>
            <w:bookmarkStart w:id="93" w:name="_Toc72997752"/>
            <w:r>
              <w:rPr>
                <w:rFonts w:hint="eastAsia" w:asciiTheme="minorEastAsia" w:hAnsiTheme="minorEastAsia" w:eastAsiaTheme="minorEastAsia"/>
                <w:sz w:val="18"/>
                <w:szCs w:val="18"/>
              </w:rPr>
              <w:t>XXXX年XX月XX日</w:t>
            </w:r>
            <w:bookmarkEnd w:id="92"/>
            <w:bookmarkEnd w:id="93"/>
          </w:p>
        </w:tc>
        <w:tc>
          <w:tcPr>
            <w:tcW w:w="990" w:type="dxa"/>
            <w:vMerge w:val="restart"/>
            <w:vAlign w:val="center"/>
          </w:tcPr>
          <w:p>
            <w:pPr>
              <w:pStyle w:val="98"/>
              <w:widowControl w:val="0"/>
              <w:shd w:val="clear" w:color="auto" w:fill="auto"/>
              <w:spacing w:before="0" w:after="0" w:line="400" w:lineRule="exact"/>
              <w:rPr>
                <w:rFonts w:asciiTheme="minorEastAsia" w:hAnsiTheme="minorEastAsia" w:eastAsiaTheme="minorEastAsia"/>
                <w:sz w:val="18"/>
                <w:szCs w:val="18"/>
              </w:rPr>
            </w:pPr>
            <w:bookmarkStart w:id="94" w:name="_Toc63257830"/>
            <w:bookmarkStart w:id="95" w:name="_Toc72997753"/>
            <w:r>
              <w:rPr>
                <w:rFonts w:hint="eastAsia" w:asciiTheme="minorEastAsia" w:hAnsiTheme="minorEastAsia" w:eastAsiaTheme="minorEastAsia"/>
                <w:sz w:val="18"/>
                <w:szCs w:val="18"/>
              </w:rPr>
              <w:t>基本要求</w:t>
            </w:r>
            <w:bookmarkEnd w:id="94"/>
            <w:bookmarkEnd w:id="95"/>
          </w:p>
        </w:tc>
        <w:tc>
          <w:tcPr>
            <w:tcW w:w="1143" w:type="dxa"/>
            <w:vAlign w:val="center"/>
          </w:tcPr>
          <w:p>
            <w:pPr>
              <w:pStyle w:val="98"/>
              <w:widowControl w:val="0"/>
              <w:shd w:val="clear" w:color="auto" w:fill="auto"/>
              <w:spacing w:before="0" w:after="0" w:line="400" w:lineRule="exact"/>
              <w:rPr>
                <w:rFonts w:asciiTheme="minorEastAsia" w:hAnsiTheme="minorEastAsia" w:eastAsiaTheme="minorEastAsia"/>
                <w:sz w:val="18"/>
                <w:szCs w:val="18"/>
              </w:rPr>
            </w:pPr>
          </w:p>
        </w:tc>
        <w:tc>
          <w:tcPr>
            <w:tcW w:w="1134" w:type="dxa"/>
            <w:vAlign w:val="center"/>
          </w:tcPr>
          <w:p>
            <w:pPr>
              <w:pStyle w:val="98"/>
              <w:widowControl w:val="0"/>
              <w:shd w:val="clear" w:color="auto" w:fill="auto"/>
              <w:spacing w:before="0" w:after="0" w:line="400" w:lineRule="exact"/>
              <w:rPr>
                <w:rFonts w:asciiTheme="minorEastAsia" w:hAnsiTheme="minorEastAsia" w:eastAsiaTheme="minorEastAsia"/>
                <w:sz w:val="18"/>
                <w:szCs w:val="18"/>
              </w:rPr>
            </w:pPr>
          </w:p>
        </w:tc>
        <w:tc>
          <w:tcPr>
            <w:tcW w:w="1134" w:type="dxa"/>
            <w:vAlign w:val="center"/>
          </w:tcPr>
          <w:p>
            <w:pPr>
              <w:pStyle w:val="98"/>
              <w:widowControl w:val="0"/>
              <w:shd w:val="clear" w:color="auto" w:fill="auto"/>
              <w:spacing w:before="0" w:after="0" w:line="400" w:lineRule="exact"/>
              <w:rPr>
                <w:rFonts w:asciiTheme="minorEastAsia" w:hAnsiTheme="minorEastAsia" w:eastAsiaTheme="minorEastAsia"/>
                <w:sz w:val="18"/>
                <w:szCs w:val="18"/>
              </w:rPr>
            </w:pPr>
          </w:p>
        </w:tc>
        <w:tc>
          <w:tcPr>
            <w:tcW w:w="907" w:type="dxa"/>
            <w:vAlign w:val="center"/>
          </w:tcPr>
          <w:p>
            <w:pPr>
              <w:pStyle w:val="98"/>
              <w:widowControl w:val="0"/>
              <w:shd w:val="clear" w:color="auto" w:fill="auto"/>
              <w:spacing w:before="0" w:after="0" w:line="400" w:lineRule="exact"/>
              <w:rPr>
                <w:rFonts w:asciiTheme="minorEastAsia" w:hAnsiTheme="minorEastAsia" w:eastAsiaTheme="minorEastAsia"/>
                <w:sz w:val="18"/>
                <w:szCs w:val="18"/>
              </w:rPr>
            </w:pPr>
          </w:p>
        </w:tc>
        <w:tc>
          <w:tcPr>
            <w:tcW w:w="1327" w:type="dxa"/>
            <w:vAlign w:val="center"/>
          </w:tcPr>
          <w:p>
            <w:pPr>
              <w:pStyle w:val="98"/>
              <w:widowControl w:val="0"/>
              <w:shd w:val="clear" w:color="auto" w:fill="auto"/>
              <w:spacing w:before="0" w:after="0" w:line="400" w:lineRule="exact"/>
              <w:rPr>
                <w:rFonts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101" w:type="dxa"/>
            <w:vMerge w:val="continue"/>
            <w:vAlign w:val="center"/>
          </w:tcPr>
          <w:p>
            <w:pPr>
              <w:pStyle w:val="98"/>
              <w:widowControl w:val="0"/>
              <w:shd w:val="clear" w:color="auto" w:fill="auto"/>
              <w:spacing w:before="0" w:after="0" w:line="400" w:lineRule="exact"/>
              <w:rPr>
                <w:rFonts w:asciiTheme="minorEastAsia" w:hAnsiTheme="minorEastAsia" w:eastAsiaTheme="minorEastAsia"/>
                <w:sz w:val="18"/>
                <w:szCs w:val="18"/>
              </w:rPr>
            </w:pPr>
          </w:p>
        </w:tc>
        <w:tc>
          <w:tcPr>
            <w:tcW w:w="1552" w:type="dxa"/>
            <w:vMerge w:val="continue"/>
            <w:vAlign w:val="center"/>
          </w:tcPr>
          <w:p>
            <w:pPr>
              <w:pStyle w:val="98"/>
              <w:widowControl w:val="0"/>
              <w:shd w:val="clear" w:color="auto" w:fill="auto"/>
              <w:spacing w:before="0" w:after="0" w:line="400" w:lineRule="exact"/>
              <w:rPr>
                <w:rFonts w:asciiTheme="minorEastAsia" w:hAnsiTheme="minorEastAsia" w:eastAsiaTheme="minorEastAsia"/>
                <w:sz w:val="18"/>
                <w:szCs w:val="18"/>
              </w:rPr>
            </w:pPr>
          </w:p>
        </w:tc>
        <w:tc>
          <w:tcPr>
            <w:tcW w:w="990" w:type="dxa"/>
            <w:vMerge w:val="continue"/>
            <w:vAlign w:val="center"/>
          </w:tcPr>
          <w:p>
            <w:pPr>
              <w:pStyle w:val="98"/>
              <w:widowControl w:val="0"/>
              <w:shd w:val="clear" w:color="auto" w:fill="auto"/>
              <w:spacing w:before="0" w:after="0" w:line="400" w:lineRule="exact"/>
              <w:rPr>
                <w:rFonts w:asciiTheme="minorEastAsia" w:hAnsiTheme="minorEastAsia" w:eastAsiaTheme="minorEastAsia"/>
                <w:sz w:val="18"/>
                <w:szCs w:val="18"/>
              </w:rPr>
            </w:pPr>
          </w:p>
        </w:tc>
        <w:tc>
          <w:tcPr>
            <w:tcW w:w="1143" w:type="dxa"/>
            <w:vAlign w:val="center"/>
          </w:tcPr>
          <w:p>
            <w:pPr>
              <w:pStyle w:val="98"/>
              <w:widowControl w:val="0"/>
              <w:shd w:val="clear" w:color="auto" w:fill="auto"/>
              <w:spacing w:before="0" w:after="0" w:line="400" w:lineRule="exact"/>
              <w:rPr>
                <w:rFonts w:asciiTheme="minorEastAsia" w:hAnsiTheme="minorEastAsia" w:eastAsiaTheme="minorEastAsia"/>
                <w:sz w:val="18"/>
                <w:szCs w:val="18"/>
              </w:rPr>
            </w:pPr>
          </w:p>
        </w:tc>
        <w:tc>
          <w:tcPr>
            <w:tcW w:w="1134" w:type="dxa"/>
            <w:vAlign w:val="center"/>
          </w:tcPr>
          <w:p>
            <w:pPr>
              <w:pStyle w:val="98"/>
              <w:widowControl w:val="0"/>
              <w:shd w:val="clear" w:color="auto" w:fill="auto"/>
              <w:spacing w:before="0" w:after="0" w:line="400" w:lineRule="exact"/>
              <w:rPr>
                <w:rFonts w:asciiTheme="minorEastAsia" w:hAnsiTheme="minorEastAsia" w:eastAsiaTheme="minorEastAsia"/>
                <w:sz w:val="18"/>
                <w:szCs w:val="18"/>
              </w:rPr>
            </w:pPr>
          </w:p>
        </w:tc>
        <w:tc>
          <w:tcPr>
            <w:tcW w:w="1134" w:type="dxa"/>
            <w:vAlign w:val="center"/>
          </w:tcPr>
          <w:p>
            <w:pPr>
              <w:pStyle w:val="98"/>
              <w:widowControl w:val="0"/>
              <w:shd w:val="clear" w:color="auto" w:fill="auto"/>
              <w:spacing w:before="0" w:after="0" w:line="400" w:lineRule="exact"/>
              <w:rPr>
                <w:rFonts w:asciiTheme="minorEastAsia" w:hAnsiTheme="minorEastAsia" w:eastAsiaTheme="minorEastAsia"/>
                <w:sz w:val="18"/>
                <w:szCs w:val="18"/>
              </w:rPr>
            </w:pPr>
          </w:p>
        </w:tc>
        <w:tc>
          <w:tcPr>
            <w:tcW w:w="907" w:type="dxa"/>
            <w:vAlign w:val="center"/>
          </w:tcPr>
          <w:p>
            <w:pPr>
              <w:pStyle w:val="98"/>
              <w:widowControl w:val="0"/>
              <w:shd w:val="clear" w:color="auto" w:fill="auto"/>
              <w:spacing w:before="0" w:after="0" w:line="400" w:lineRule="exact"/>
              <w:rPr>
                <w:rFonts w:asciiTheme="minorEastAsia" w:hAnsiTheme="minorEastAsia" w:eastAsiaTheme="minorEastAsia"/>
                <w:sz w:val="18"/>
                <w:szCs w:val="18"/>
              </w:rPr>
            </w:pPr>
          </w:p>
        </w:tc>
        <w:tc>
          <w:tcPr>
            <w:tcW w:w="1327" w:type="dxa"/>
            <w:vAlign w:val="center"/>
          </w:tcPr>
          <w:p>
            <w:pPr>
              <w:pStyle w:val="98"/>
              <w:widowControl w:val="0"/>
              <w:shd w:val="clear" w:color="auto" w:fill="auto"/>
              <w:spacing w:before="0" w:after="0" w:line="400" w:lineRule="exact"/>
              <w:rPr>
                <w:rFonts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101" w:type="dxa"/>
            <w:vMerge w:val="continue"/>
            <w:vAlign w:val="center"/>
          </w:tcPr>
          <w:p>
            <w:pPr>
              <w:pStyle w:val="98"/>
              <w:widowControl w:val="0"/>
              <w:shd w:val="clear" w:color="auto" w:fill="auto"/>
              <w:spacing w:before="0" w:after="0" w:line="400" w:lineRule="exact"/>
              <w:rPr>
                <w:rFonts w:asciiTheme="minorEastAsia" w:hAnsiTheme="minorEastAsia" w:eastAsiaTheme="minorEastAsia"/>
                <w:sz w:val="18"/>
                <w:szCs w:val="18"/>
              </w:rPr>
            </w:pPr>
          </w:p>
        </w:tc>
        <w:tc>
          <w:tcPr>
            <w:tcW w:w="1552" w:type="dxa"/>
            <w:vMerge w:val="continue"/>
            <w:vAlign w:val="center"/>
          </w:tcPr>
          <w:p>
            <w:pPr>
              <w:pStyle w:val="98"/>
              <w:widowControl w:val="0"/>
              <w:shd w:val="clear" w:color="auto" w:fill="auto"/>
              <w:spacing w:before="0" w:after="0" w:line="400" w:lineRule="exact"/>
              <w:rPr>
                <w:rFonts w:asciiTheme="minorEastAsia" w:hAnsiTheme="minorEastAsia" w:eastAsiaTheme="minorEastAsia"/>
                <w:sz w:val="18"/>
                <w:szCs w:val="18"/>
              </w:rPr>
            </w:pPr>
          </w:p>
        </w:tc>
        <w:tc>
          <w:tcPr>
            <w:tcW w:w="990" w:type="dxa"/>
            <w:vMerge w:val="continue"/>
            <w:vAlign w:val="center"/>
          </w:tcPr>
          <w:p>
            <w:pPr>
              <w:pStyle w:val="98"/>
              <w:widowControl w:val="0"/>
              <w:shd w:val="clear" w:color="auto" w:fill="auto"/>
              <w:spacing w:before="0" w:after="0" w:line="400" w:lineRule="exact"/>
              <w:rPr>
                <w:rFonts w:asciiTheme="minorEastAsia" w:hAnsiTheme="minorEastAsia" w:eastAsiaTheme="minorEastAsia"/>
                <w:sz w:val="18"/>
                <w:szCs w:val="18"/>
              </w:rPr>
            </w:pPr>
          </w:p>
        </w:tc>
        <w:tc>
          <w:tcPr>
            <w:tcW w:w="1143" w:type="dxa"/>
            <w:vAlign w:val="center"/>
          </w:tcPr>
          <w:p>
            <w:pPr>
              <w:pStyle w:val="98"/>
              <w:widowControl w:val="0"/>
              <w:shd w:val="clear" w:color="auto" w:fill="auto"/>
              <w:spacing w:before="0" w:after="0" w:line="400" w:lineRule="exact"/>
              <w:rPr>
                <w:rFonts w:asciiTheme="minorEastAsia" w:hAnsiTheme="minorEastAsia" w:eastAsiaTheme="minorEastAsia"/>
                <w:sz w:val="18"/>
                <w:szCs w:val="18"/>
              </w:rPr>
            </w:pPr>
          </w:p>
        </w:tc>
        <w:tc>
          <w:tcPr>
            <w:tcW w:w="1134" w:type="dxa"/>
            <w:vAlign w:val="center"/>
          </w:tcPr>
          <w:p>
            <w:pPr>
              <w:pStyle w:val="98"/>
              <w:widowControl w:val="0"/>
              <w:shd w:val="clear" w:color="auto" w:fill="auto"/>
              <w:spacing w:before="0" w:after="0" w:line="400" w:lineRule="exact"/>
              <w:rPr>
                <w:rFonts w:asciiTheme="minorEastAsia" w:hAnsiTheme="minorEastAsia" w:eastAsiaTheme="minorEastAsia"/>
                <w:sz w:val="18"/>
                <w:szCs w:val="18"/>
              </w:rPr>
            </w:pPr>
          </w:p>
        </w:tc>
        <w:tc>
          <w:tcPr>
            <w:tcW w:w="1134" w:type="dxa"/>
            <w:vAlign w:val="center"/>
          </w:tcPr>
          <w:p>
            <w:pPr>
              <w:pStyle w:val="98"/>
              <w:widowControl w:val="0"/>
              <w:shd w:val="clear" w:color="auto" w:fill="auto"/>
              <w:spacing w:before="0" w:after="0" w:line="400" w:lineRule="exact"/>
              <w:rPr>
                <w:rFonts w:asciiTheme="minorEastAsia" w:hAnsiTheme="minorEastAsia" w:eastAsiaTheme="minorEastAsia"/>
                <w:sz w:val="18"/>
                <w:szCs w:val="18"/>
              </w:rPr>
            </w:pPr>
          </w:p>
        </w:tc>
        <w:tc>
          <w:tcPr>
            <w:tcW w:w="907" w:type="dxa"/>
            <w:vAlign w:val="center"/>
          </w:tcPr>
          <w:p>
            <w:pPr>
              <w:pStyle w:val="98"/>
              <w:widowControl w:val="0"/>
              <w:shd w:val="clear" w:color="auto" w:fill="auto"/>
              <w:spacing w:before="0" w:after="0" w:line="400" w:lineRule="exact"/>
              <w:rPr>
                <w:rFonts w:asciiTheme="minorEastAsia" w:hAnsiTheme="minorEastAsia" w:eastAsiaTheme="minorEastAsia"/>
                <w:sz w:val="18"/>
                <w:szCs w:val="18"/>
              </w:rPr>
            </w:pPr>
          </w:p>
        </w:tc>
        <w:tc>
          <w:tcPr>
            <w:tcW w:w="1327" w:type="dxa"/>
            <w:vAlign w:val="center"/>
          </w:tcPr>
          <w:p>
            <w:pPr>
              <w:pStyle w:val="98"/>
              <w:widowControl w:val="0"/>
              <w:shd w:val="clear" w:color="auto" w:fill="auto"/>
              <w:spacing w:before="0" w:after="0" w:line="400" w:lineRule="exact"/>
              <w:rPr>
                <w:rFonts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101" w:type="dxa"/>
            <w:vMerge w:val="continue"/>
            <w:vAlign w:val="center"/>
          </w:tcPr>
          <w:p>
            <w:pPr>
              <w:pStyle w:val="98"/>
              <w:widowControl w:val="0"/>
              <w:shd w:val="clear" w:color="auto" w:fill="auto"/>
              <w:spacing w:before="0" w:after="0" w:line="400" w:lineRule="exact"/>
              <w:rPr>
                <w:rFonts w:asciiTheme="minorEastAsia" w:hAnsiTheme="minorEastAsia" w:eastAsiaTheme="minorEastAsia"/>
                <w:sz w:val="18"/>
                <w:szCs w:val="18"/>
              </w:rPr>
            </w:pPr>
          </w:p>
        </w:tc>
        <w:tc>
          <w:tcPr>
            <w:tcW w:w="1552" w:type="dxa"/>
            <w:vMerge w:val="continue"/>
            <w:vAlign w:val="center"/>
          </w:tcPr>
          <w:p>
            <w:pPr>
              <w:pStyle w:val="98"/>
              <w:widowControl w:val="0"/>
              <w:shd w:val="clear" w:color="auto" w:fill="auto"/>
              <w:spacing w:before="0" w:after="0" w:line="400" w:lineRule="exact"/>
              <w:rPr>
                <w:rFonts w:asciiTheme="minorEastAsia" w:hAnsiTheme="minorEastAsia" w:eastAsiaTheme="minorEastAsia"/>
                <w:sz w:val="18"/>
                <w:szCs w:val="18"/>
              </w:rPr>
            </w:pPr>
          </w:p>
        </w:tc>
        <w:tc>
          <w:tcPr>
            <w:tcW w:w="990" w:type="dxa"/>
            <w:vMerge w:val="restart"/>
            <w:vAlign w:val="center"/>
          </w:tcPr>
          <w:p>
            <w:pPr>
              <w:pStyle w:val="98"/>
              <w:widowControl w:val="0"/>
              <w:shd w:val="clear" w:color="auto" w:fill="auto"/>
              <w:spacing w:before="0" w:after="0" w:line="400" w:lineRule="exact"/>
              <w:rPr>
                <w:rFonts w:asciiTheme="minorEastAsia" w:hAnsiTheme="minorEastAsia" w:eastAsiaTheme="minorEastAsia"/>
                <w:sz w:val="18"/>
                <w:szCs w:val="18"/>
              </w:rPr>
            </w:pPr>
            <w:bookmarkStart w:id="96" w:name="_Toc72997754"/>
            <w:bookmarkStart w:id="97" w:name="_Toc63257831"/>
            <w:r>
              <w:rPr>
                <w:rFonts w:hint="eastAsia" w:asciiTheme="minorEastAsia" w:hAnsiTheme="minorEastAsia" w:eastAsiaTheme="minorEastAsia"/>
                <w:sz w:val="18"/>
                <w:szCs w:val="18"/>
              </w:rPr>
              <w:t>评价指标要求</w:t>
            </w:r>
            <w:bookmarkEnd w:id="96"/>
            <w:bookmarkEnd w:id="97"/>
          </w:p>
        </w:tc>
        <w:tc>
          <w:tcPr>
            <w:tcW w:w="1143" w:type="dxa"/>
            <w:vAlign w:val="center"/>
          </w:tcPr>
          <w:p>
            <w:pPr>
              <w:pStyle w:val="98"/>
              <w:widowControl w:val="0"/>
              <w:shd w:val="clear" w:color="auto" w:fill="auto"/>
              <w:spacing w:before="0" w:after="0" w:line="400" w:lineRule="exact"/>
              <w:rPr>
                <w:rFonts w:asciiTheme="minorEastAsia" w:hAnsiTheme="minorEastAsia" w:eastAsiaTheme="minorEastAsia"/>
                <w:sz w:val="18"/>
                <w:szCs w:val="18"/>
              </w:rPr>
            </w:pPr>
          </w:p>
        </w:tc>
        <w:tc>
          <w:tcPr>
            <w:tcW w:w="1134" w:type="dxa"/>
            <w:vAlign w:val="center"/>
          </w:tcPr>
          <w:p>
            <w:pPr>
              <w:pStyle w:val="98"/>
              <w:widowControl w:val="0"/>
              <w:shd w:val="clear" w:color="auto" w:fill="auto"/>
              <w:spacing w:before="0" w:after="0" w:line="400" w:lineRule="exact"/>
              <w:rPr>
                <w:rFonts w:asciiTheme="minorEastAsia" w:hAnsiTheme="minorEastAsia" w:eastAsiaTheme="minorEastAsia"/>
                <w:sz w:val="18"/>
                <w:szCs w:val="18"/>
              </w:rPr>
            </w:pPr>
          </w:p>
        </w:tc>
        <w:tc>
          <w:tcPr>
            <w:tcW w:w="1134" w:type="dxa"/>
            <w:vAlign w:val="center"/>
          </w:tcPr>
          <w:p>
            <w:pPr>
              <w:pStyle w:val="98"/>
              <w:widowControl w:val="0"/>
              <w:shd w:val="clear" w:color="auto" w:fill="auto"/>
              <w:spacing w:before="0" w:after="0" w:line="400" w:lineRule="exact"/>
              <w:rPr>
                <w:rFonts w:asciiTheme="minorEastAsia" w:hAnsiTheme="minorEastAsia" w:eastAsiaTheme="minorEastAsia"/>
                <w:sz w:val="18"/>
                <w:szCs w:val="18"/>
              </w:rPr>
            </w:pPr>
          </w:p>
        </w:tc>
        <w:tc>
          <w:tcPr>
            <w:tcW w:w="907" w:type="dxa"/>
            <w:vAlign w:val="center"/>
          </w:tcPr>
          <w:p>
            <w:pPr>
              <w:pStyle w:val="98"/>
              <w:widowControl w:val="0"/>
              <w:shd w:val="clear" w:color="auto" w:fill="auto"/>
              <w:spacing w:before="0" w:after="0" w:line="400" w:lineRule="exact"/>
              <w:rPr>
                <w:rFonts w:asciiTheme="minorEastAsia" w:hAnsiTheme="minorEastAsia" w:eastAsiaTheme="minorEastAsia"/>
                <w:sz w:val="18"/>
                <w:szCs w:val="18"/>
              </w:rPr>
            </w:pPr>
          </w:p>
        </w:tc>
        <w:tc>
          <w:tcPr>
            <w:tcW w:w="1327" w:type="dxa"/>
            <w:vAlign w:val="center"/>
          </w:tcPr>
          <w:p>
            <w:pPr>
              <w:pStyle w:val="98"/>
              <w:widowControl w:val="0"/>
              <w:shd w:val="clear" w:color="auto" w:fill="auto"/>
              <w:spacing w:before="0" w:after="0" w:line="400" w:lineRule="exact"/>
              <w:rPr>
                <w:rFonts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101" w:type="dxa"/>
            <w:vMerge w:val="continue"/>
            <w:vAlign w:val="center"/>
          </w:tcPr>
          <w:p>
            <w:pPr>
              <w:pStyle w:val="98"/>
              <w:widowControl w:val="0"/>
              <w:shd w:val="clear" w:color="auto" w:fill="auto"/>
              <w:spacing w:before="0" w:after="0" w:line="400" w:lineRule="exact"/>
              <w:rPr>
                <w:rFonts w:asciiTheme="minorEastAsia" w:hAnsiTheme="minorEastAsia" w:eastAsiaTheme="minorEastAsia"/>
                <w:sz w:val="18"/>
                <w:szCs w:val="18"/>
              </w:rPr>
            </w:pPr>
          </w:p>
        </w:tc>
        <w:tc>
          <w:tcPr>
            <w:tcW w:w="1552" w:type="dxa"/>
            <w:vMerge w:val="continue"/>
            <w:vAlign w:val="center"/>
          </w:tcPr>
          <w:p>
            <w:pPr>
              <w:pStyle w:val="98"/>
              <w:widowControl w:val="0"/>
              <w:shd w:val="clear" w:color="auto" w:fill="auto"/>
              <w:spacing w:before="0" w:after="0" w:line="400" w:lineRule="exact"/>
              <w:rPr>
                <w:rFonts w:asciiTheme="minorEastAsia" w:hAnsiTheme="minorEastAsia" w:eastAsiaTheme="minorEastAsia"/>
                <w:sz w:val="18"/>
                <w:szCs w:val="18"/>
              </w:rPr>
            </w:pPr>
          </w:p>
        </w:tc>
        <w:tc>
          <w:tcPr>
            <w:tcW w:w="990" w:type="dxa"/>
            <w:vMerge w:val="continue"/>
            <w:vAlign w:val="center"/>
          </w:tcPr>
          <w:p>
            <w:pPr>
              <w:pStyle w:val="98"/>
              <w:widowControl w:val="0"/>
              <w:shd w:val="clear" w:color="auto" w:fill="auto"/>
              <w:spacing w:before="0" w:after="0" w:line="400" w:lineRule="exact"/>
              <w:rPr>
                <w:rFonts w:asciiTheme="minorEastAsia" w:hAnsiTheme="minorEastAsia" w:eastAsiaTheme="minorEastAsia"/>
                <w:sz w:val="18"/>
                <w:szCs w:val="18"/>
              </w:rPr>
            </w:pPr>
          </w:p>
        </w:tc>
        <w:tc>
          <w:tcPr>
            <w:tcW w:w="1143" w:type="dxa"/>
            <w:vAlign w:val="center"/>
          </w:tcPr>
          <w:p>
            <w:pPr>
              <w:pStyle w:val="98"/>
              <w:widowControl w:val="0"/>
              <w:shd w:val="clear" w:color="auto" w:fill="auto"/>
              <w:spacing w:before="0" w:after="0" w:line="400" w:lineRule="exact"/>
              <w:rPr>
                <w:rFonts w:asciiTheme="minorEastAsia" w:hAnsiTheme="minorEastAsia" w:eastAsiaTheme="minorEastAsia"/>
                <w:sz w:val="18"/>
                <w:szCs w:val="18"/>
              </w:rPr>
            </w:pPr>
          </w:p>
        </w:tc>
        <w:tc>
          <w:tcPr>
            <w:tcW w:w="1134" w:type="dxa"/>
            <w:vAlign w:val="center"/>
          </w:tcPr>
          <w:p>
            <w:pPr>
              <w:pStyle w:val="98"/>
              <w:widowControl w:val="0"/>
              <w:shd w:val="clear" w:color="auto" w:fill="auto"/>
              <w:spacing w:before="0" w:after="0" w:line="400" w:lineRule="exact"/>
              <w:rPr>
                <w:rFonts w:asciiTheme="minorEastAsia" w:hAnsiTheme="minorEastAsia" w:eastAsiaTheme="minorEastAsia"/>
                <w:sz w:val="18"/>
                <w:szCs w:val="18"/>
              </w:rPr>
            </w:pPr>
          </w:p>
        </w:tc>
        <w:tc>
          <w:tcPr>
            <w:tcW w:w="1134" w:type="dxa"/>
            <w:vAlign w:val="center"/>
          </w:tcPr>
          <w:p>
            <w:pPr>
              <w:pStyle w:val="98"/>
              <w:widowControl w:val="0"/>
              <w:shd w:val="clear" w:color="auto" w:fill="auto"/>
              <w:spacing w:before="0" w:after="0" w:line="400" w:lineRule="exact"/>
              <w:rPr>
                <w:rFonts w:asciiTheme="minorEastAsia" w:hAnsiTheme="minorEastAsia" w:eastAsiaTheme="minorEastAsia"/>
                <w:sz w:val="18"/>
                <w:szCs w:val="18"/>
              </w:rPr>
            </w:pPr>
          </w:p>
        </w:tc>
        <w:tc>
          <w:tcPr>
            <w:tcW w:w="907" w:type="dxa"/>
            <w:vAlign w:val="center"/>
          </w:tcPr>
          <w:p>
            <w:pPr>
              <w:pStyle w:val="98"/>
              <w:widowControl w:val="0"/>
              <w:shd w:val="clear" w:color="auto" w:fill="auto"/>
              <w:spacing w:before="0" w:after="0" w:line="400" w:lineRule="exact"/>
              <w:rPr>
                <w:rFonts w:asciiTheme="minorEastAsia" w:hAnsiTheme="minorEastAsia" w:eastAsiaTheme="minorEastAsia"/>
                <w:sz w:val="18"/>
                <w:szCs w:val="18"/>
              </w:rPr>
            </w:pPr>
          </w:p>
        </w:tc>
        <w:tc>
          <w:tcPr>
            <w:tcW w:w="1327" w:type="dxa"/>
            <w:vAlign w:val="center"/>
          </w:tcPr>
          <w:p>
            <w:pPr>
              <w:pStyle w:val="98"/>
              <w:widowControl w:val="0"/>
              <w:shd w:val="clear" w:color="auto" w:fill="auto"/>
              <w:spacing w:before="0" w:after="0" w:line="400" w:lineRule="exact"/>
              <w:rPr>
                <w:rFonts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101" w:type="dxa"/>
            <w:vMerge w:val="continue"/>
            <w:vAlign w:val="center"/>
          </w:tcPr>
          <w:p>
            <w:pPr>
              <w:pStyle w:val="98"/>
              <w:widowControl w:val="0"/>
              <w:shd w:val="clear" w:color="auto" w:fill="auto"/>
              <w:spacing w:before="0" w:after="0" w:line="400" w:lineRule="exact"/>
              <w:rPr>
                <w:rFonts w:asciiTheme="minorEastAsia" w:hAnsiTheme="minorEastAsia" w:eastAsiaTheme="minorEastAsia"/>
                <w:sz w:val="18"/>
                <w:szCs w:val="18"/>
              </w:rPr>
            </w:pPr>
          </w:p>
        </w:tc>
        <w:tc>
          <w:tcPr>
            <w:tcW w:w="1552" w:type="dxa"/>
            <w:vMerge w:val="continue"/>
            <w:vAlign w:val="center"/>
          </w:tcPr>
          <w:p>
            <w:pPr>
              <w:pStyle w:val="98"/>
              <w:widowControl w:val="0"/>
              <w:shd w:val="clear" w:color="auto" w:fill="auto"/>
              <w:spacing w:before="0" w:after="0" w:line="400" w:lineRule="exact"/>
              <w:rPr>
                <w:rFonts w:asciiTheme="minorEastAsia" w:hAnsiTheme="minorEastAsia" w:eastAsiaTheme="minorEastAsia"/>
                <w:sz w:val="18"/>
                <w:szCs w:val="18"/>
              </w:rPr>
            </w:pPr>
          </w:p>
        </w:tc>
        <w:tc>
          <w:tcPr>
            <w:tcW w:w="990" w:type="dxa"/>
            <w:vMerge w:val="continue"/>
            <w:vAlign w:val="center"/>
          </w:tcPr>
          <w:p>
            <w:pPr>
              <w:pStyle w:val="98"/>
              <w:widowControl w:val="0"/>
              <w:shd w:val="clear" w:color="auto" w:fill="auto"/>
              <w:spacing w:before="0" w:after="0" w:line="400" w:lineRule="exact"/>
              <w:rPr>
                <w:rFonts w:asciiTheme="minorEastAsia" w:hAnsiTheme="minorEastAsia" w:eastAsiaTheme="minorEastAsia"/>
                <w:sz w:val="18"/>
                <w:szCs w:val="18"/>
              </w:rPr>
            </w:pPr>
          </w:p>
        </w:tc>
        <w:tc>
          <w:tcPr>
            <w:tcW w:w="1143" w:type="dxa"/>
            <w:vAlign w:val="center"/>
          </w:tcPr>
          <w:p>
            <w:pPr>
              <w:pStyle w:val="98"/>
              <w:widowControl w:val="0"/>
              <w:shd w:val="clear" w:color="auto" w:fill="auto"/>
              <w:spacing w:before="0" w:after="0" w:line="400" w:lineRule="exact"/>
              <w:rPr>
                <w:rFonts w:asciiTheme="minorEastAsia" w:hAnsiTheme="minorEastAsia" w:eastAsiaTheme="minorEastAsia"/>
                <w:sz w:val="18"/>
                <w:szCs w:val="18"/>
              </w:rPr>
            </w:pPr>
          </w:p>
        </w:tc>
        <w:tc>
          <w:tcPr>
            <w:tcW w:w="1134" w:type="dxa"/>
            <w:vAlign w:val="center"/>
          </w:tcPr>
          <w:p>
            <w:pPr>
              <w:pStyle w:val="98"/>
              <w:widowControl w:val="0"/>
              <w:shd w:val="clear" w:color="auto" w:fill="auto"/>
              <w:spacing w:before="0" w:after="0" w:line="400" w:lineRule="exact"/>
              <w:rPr>
                <w:rFonts w:asciiTheme="minorEastAsia" w:hAnsiTheme="minorEastAsia" w:eastAsiaTheme="minorEastAsia"/>
                <w:sz w:val="18"/>
                <w:szCs w:val="18"/>
              </w:rPr>
            </w:pPr>
          </w:p>
        </w:tc>
        <w:tc>
          <w:tcPr>
            <w:tcW w:w="1134" w:type="dxa"/>
            <w:vAlign w:val="center"/>
          </w:tcPr>
          <w:p>
            <w:pPr>
              <w:pStyle w:val="98"/>
              <w:widowControl w:val="0"/>
              <w:shd w:val="clear" w:color="auto" w:fill="auto"/>
              <w:spacing w:before="0" w:after="0" w:line="400" w:lineRule="exact"/>
              <w:rPr>
                <w:rFonts w:asciiTheme="minorEastAsia" w:hAnsiTheme="minorEastAsia" w:eastAsiaTheme="minorEastAsia"/>
                <w:sz w:val="18"/>
                <w:szCs w:val="18"/>
              </w:rPr>
            </w:pPr>
          </w:p>
        </w:tc>
        <w:tc>
          <w:tcPr>
            <w:tcW w:w="907" w:type="dxa"/>
            <w:vAlign w:val="center"/>
          </w:tcPr>
          <w:p>
            <w:pPr>
              <w:pStyle w:val="98"/>
              <w:widowControl w:val="0"/>
              <w:shd w:val="clear" w:color="auto" w:fill="auto"/>
              <w:spacing w:before="0" w:after="0" w:line="400" w:lineRule="exact"/>
              <w:rPr>
                <w:rFonts w:asciiTheme="minorEastAsia" w:hAnsiTheme="minorEastAsia" w:eastAsiaTheme="minorEastAsia"/>
                <w:sz w:val="18"/>
                <w:szCs w:val="18"/>
              </w:rPr>
            </w:pPr>
          </w:p>
        </w:tc>
        <w:tc>
          <w:tcPr>
            <w:tcW w:w="1327" w:type="dxa"/>
            <w:vAlign w:val="center"/>
          </w:tcPr>
          <w:p>
            <w:pPr>
              <w:pStyle w:val="98"/>
              <w:widowControl w:val="0"/>
              <w:shd w:val="clear" w:color="auto" w:fill="auto"/>
              <w:spacing w:before="0" w:after="0" w:line="400" w:lineRule="exact"/>
              <w:rPr>
                <w:rFonts w:asciiTheme="minorEastAsia" w:hAnsiTheme="minorEastAsia" w:eastAsiaTheme="minorEastAsia"/>
                <w:sz w:val="18"/>
                <w:szCs w:val="18"/>
              </w:rPr>
            </w:pPr>
          </w:p>
        </w:tc>
      </w:tr>
    </w:tbl>
    <w:p>
      <w:pPr>
        <w:pStyle w:val="98"/>
        <w:keepNext w:val="0"/>
        <w:keepLines w:val="0"/>
        <w:pageBreakBefore w:val="0"/>
        <w:widowControl/>
        <w:numPr>
          <w:ilvl w:val="0"/>
          <w:numId w:val="0"/>
        </w:numPr>
        <w:kinsoku/>
        <w:wordWrap/>
        <w:overflowPunct/>
        <w:topLinePunct w:val="0"/>
        <w:autoSpaceDE/>
        <w:autoSpaceDN/>
        <w:bidi w:val="0"/>
        <w:adjustRightInd/>
        <w:snapToGrid/>
        <w:spacing w:before="0" w:after="0" w:line="240" w:lineRule="exact"/>
        <w:ind w:leftChars="0"/>
        <w:jc w:val="left"/>
        <w:textAlignment w:val="auto"/>
        <w:rPr>
          <w:rFonts w:hint="eastAsia"/>
          <w:sz w:val="21"/>
          <w:szCs w:val="21"/>
          <w:lang w:val="en-US" w:eastAsia="zh-CN"/>
        </w:rPr>
      </w:pPr>
      <w:bookmarkStart w:id="98" w:name="_Toc63257832"/>
      <w:bookmarkStart w:id="99" w:name="_Toc72997755"/>
    </w:p>
    <w:p>
      <w:pPr>
        <w:pStyle w:val="98"/>
        <w:keepNext w:val="0"/>
        <w:keepLines w:val="0"/>
        <w:pageBreakBefore w:val="0"/>
        <w:widowControl/>
        <w:numPr>
          <w:ilvl w:val="0"/>
          <w:numId w:val="0"/>
        </w:numPr>
        <w:kinsoku/>
        <w:wordWrap/>
        <w:overflowPunct/>
        <w:topLinePunct w:val="0"/>
        <w:bidi w:val="0"/>
        <w:adjustRightInd/>
        <w:snapToGrid/>
        <w:spacing w:before="0" w:after="0" w:line="240" w:lineRule="auto"/>
        <w:ind w:leftChars="0"/>
        <w:jc w:val="left"/>
        <w:textAlignment w:val="auto"/>
        <w:rPr>
          <w:rFonts w:hint="eastAsia"/>
          <w:sz w:val="21"/>
          <w:szCs w:val="21"/>
        </w:rPr>
      </w:pPr>
      <w:r>
        <w:rPr>
          <w:rFonts w:hint="eastAsia"/>
          <w:sz w:val="21"/>
          <w:szCs w:val="21"/>
          <w:lang w:val="en-US" w:eastAsia="zh-CN"/>
        </w:rPr>
        <w:t xml:space="preserve">B.3  </w:t>
      </w:r>
      <w:r>
        <w:rPr>
          <w:rFonts w:hint="eastAsia"/>
          <w:sz w:val="21"/>
          <w:szCs w:val="21"/>
        </w:rPr>
        <w:t>生命周期评价报告格式</w:t>
      </w:r>
      <w:bookmarkEnd w:id="98"/>
      <w:bookmarkEnd w:id="99"/>
    </w:p>
    <w:p>
      <w:pPr>
        <w:pStyle w:val="68"/>
        <w:keepNext w:val="0"/>
        <w:keepLines w:val="0"/>
        <w:pageBreakBefore w:val="0"/>
        <w:widowControl/>
        <w:kinsoku/>
        <w:wordWrap/>
        <w:overflowPunct/>
        <w:topLinePunct w:val="0"/>
        <w:autoSpaceDE w:val="0"/>
        <w:autoSpaceDN w:val="0"/>
        <w:bidi w:val="0"/>
        <w:adjustRightInd/>
        <w:snapToGrid/>
        <w:spacing w:line="240" w:lineRule="exact"/>
        <w:textAlignment w:val="auto"/>
      </w:pPr>
    </w:p>
    <w:p>
      <w:pPr>
        <w:pStyle w:val="68"/>
        <w:keepNext w:val="0"/>
        <w:keepLines w:val="0"/>
        <w:pageBreakBefore w:val="0"/>
        <w:widowControl/>
        <w:numPr>
          <w:ilvl w:val="0"/>
          <w:numId w:val="0"/>
        </w:numPr>
        <w:kinsoku/>
        <w:wordWrap/>
        <w:overflowPunct/>
        <w:topLinePunct w:val="0"/>
        <w:bidi w:val="0"/>
        <w:adjustRightInd/>
        <w:snapToGrid/>
        <w:spacing w:line="240" w:lineRule="auto"/>
        <w:ind w:leftChars="0"/>
        <w:textAlignment w:val="auto"/>
        <w:rPr>
          <w:rFonts w:hint="eastAsia" w:ascii="黑体" w:hAnsi="黑体" w:eastAsia="黑体"/>
        </w:rPr>
      </w:pPr>
      <w:r>
        <w:rPr>
          <w:rFonts w:hint="eastAsia" w:ascii="黑体" w:hAnsi="黑体" w:eastAsia="黑体"/>
          <w:lang w:val="en-US" w:eastAsia="zh-CN"/>
        </w:rPr>
        <w:t xml:space="preserve">B.3.1  </w:t>
      </w:r>
      <w:r>
        <w:rPr>
          <w:rFonts w:hint="eastAsia" w:ascii="黑体" w:hAnsi="黑体" w:eastAsia="黑体"/>
        </w:rPr>
        <w:t>评价对象及工具</w:t>
      </w:r>
    </w:p>
    <w:p>
      <w:pPr>
        <w:pStyle w:val="68"/>
        <w:keepNext w:val="0"/>
        <w:keepLines w:val="0"/>
        <w:pageBreakBefore w:val="0"/>
        <w:widowControl/>
        <w:numPr>
          <w:ilvl w:val="0"/>
          <w:numId w:val="0"/>
        </w:numPr>
        <w:kinsoku/>
        <w:wordWrap/>
        <w:overflowPunct/>
        <w:topLinePunct w:val="0"/>
        <w:autoSpaceDE w:val="0"/>
        <w:autoSpaceDN w:val="0"/>
        <w:bidi w:val="0"/>
        <w:adjustRightInd/>
        <w:snapToGrid/>
        <w:spacing w:line="240" w:lineRule="exact"/>
        <w:ind w:leftChars="0"/>
        <w:textAlignment w:val="auto"/>
        <w:rPr>
          <w:rFonts w:hint="eastAsia" w:ascii="黑体" w:hAnsi="黑体" w:eastAsia="黑体"/>
        </w:rPr>
      </w:pPr>
    </w:p>
    <w:p>
      <w:pPr>
        <w:pStyle w:val="68"/>
        <w:keepNext w:val="0"/>
        <w:keepLines w:val="0"/>
        <w:pageBreakBefore w:val="0"/>
        <w:widowControl/>
        <w:kinsoku/>
        <w:wordWrap/>
        <w:overflowPunct/>
        <w:topLinePunct w:val="0"/>
        <w:autoSpaceDE w:val="0"/>
        <w:autoSpaceDN w:val="0"/>
        <w:bidi w:val="0"/>
        <w:adjustRightInd/>
        <w:snapToGrid/>
        <w:spacing w:line="240" w:lineRule="auto"/>
        <w:ind w:firstLine="420"/>
        <w:textAlignment w:val="auto"/>
        <w:rPr>
          <w:rFonts w:hint="eastAsia" w:hAnsi="宋体"/>
        </w:rPr>
      </w:pPr>
      <w:r>
        <w:rPr>
          <w:rFonts w:hint="eastAsia" w:hAnsi="宋体"/>
        </w:rPr>
        <w:t>报告中详细描述评估的对象、功能单位和产品主要功能，提供主要技术参数表，绘制并说明产品的系统边界，披露所使用的生命周期评价工具和数据库。</w:t>
      </w:r>
    </w:p>
    <w:p>
      <w:pPr>
        <w:pStyle w:val="68"/>
        <w:keepNext w:val="0"/>
        <w:keepLines w:val="0"/>
        <w:pageBreakBefore w:val="0"/>
        <w:widowControl/>
        <w:kinsoku/>
        <w:wordWrap/>
        <w:overflowPunct/>
        <w:topLinePunct w:val="0"/>
        <w:autoSpaceDE w:val="0"/>
        <w:autoSpaceDN w:val="0"/>
        <w:bidi w:val="0"/>
        <w:adjustRightInd/>
        <w:snapToGrid/>
        <w:spacing w:line="240" w:lineRule="exact"/>
        <w:ind w:firstLine="420"/>
        <w:textAlignment w:val="auto"/>
        <w:rPr>
          <w:rFonts w:hint="eastAsia" w:hAnsi="宋体"/>
        </w:rPr>
      </w:pPr>
    </w:p>
    <w:p>
      <w:pPr>
        <w:pStyle w:val="68"/>
        <w:keepNext w:val="0"/>
        <w:keepLines w:val="0"/>
        <w:pageBreakBefore w:val="0"/>
        <w:widowControl/>
        <w:numPr>
          <w:ilvl w:val="0"/>
          <w:numId w:val="0"/>
        </w:numPr>
        <w:kinsoku/>
        <w:wordWrap/>
        <w:overflowPunct/>
        <w:topLinePunct w:val="0"/>
        <w:autoSpaceDE w:val="0"/>
        <w:autoSpaceDN w:val="0"/>
        <w:bidi w:val="0"/>
        <w:adjustRightInd/>
        <w:snapToGrid/>
        <w:spacing w:line="240" w:lineRule="auto"/>
        <w:ind w:leftChars="0"/>
        <w:textAlignment w:val="auto"/>
        <w:rPr>
          <w:rFonts w:hint="eastAsia" w:ascii="黑体" w:hAnsi="黑体" w:eastAsia="黑体"/>
        </w:rPr>
      </w:pPr>
      <w:r>
        <w:rPr>
          <w:rFonts w:hint="eastAsia" w:ascii="黑体" w:hAnsi="黑体" w:eastAsia="黑体"/>
          <w:lang w:val="en-US" w:eastAsia="zh-CN"/>
        </w:rPr>
        <w:t xml:space="preserve">B.3.2  </w:t>
      </w:r>
      <w:r>
        <w:rPr>
          <w:rFonts w:hint="eastAsia" w:ascii="黑体" w:hAnsi="黑体" w:eastAsia="黑体"/>
        </w:rPr>
        <w:t>生命周期评价结果</w:t>
      </w:r>
    </w:p>
    <w:p>
      <w:pPr>
        <w:pStyle w:val="68"/>
        <w:keepNext w:val="0"/>
        <w:keepLines w:val="0"/>
        <w:pageBreakBefore w:val="0"/>
        <w:widowControl/>
        <w:numPr>
          <w:ilvl w:val="0"/>
          <w:numId w:val="0"/>
        </w:numPr>
        <w:kinsoku/>
        <w:wordWrap/>
        <w:overflowPunct/>
        <w:topLinePunct w:val="0"/>
        <w:autoSpaceDE w:val="0"/>
        <w:autoSpaceDN w:val="0"/>
        <w:bidi w:val="0"/>
        <w:adjustRightInd/>
        <w:snapToGrid/>
        <w:spacing w:line="240" w:lineRule="exact"/>
        <w:ind w:leftChars="0"/>
        <w:textAlignment w:val="auto"/>
        <w:rPr>
          <w:rFonts w:hint="eastAsia" w:ascii="黑体" w:hAnsi="黑体" w:eastAsia="黑体"/>
        </w:rPr>
      </w:pPr>
    </w:p>
    <w:p>
      <w:pPr>
        <w:pStyle w:val="68"/>
        <w:keepNext w:val="0"/>
        <w:keepLines w:val="0"/>
        <w:pageBreakBefore w:val="0"/>
        <w:widowControl/>
        <w:kinsoku/>
        <w:wordWrap/>
        <w:overflowPunct/>
        <w:topLinePunct w:val="0"/>
        <w:autoSpaceDE w:val="0"/>
        <w:autoSpaceDN w:val="0"/>
        <w:bidi w:val="0"/>
        <w:adjustRightInd/>
        <w:snapToGrid/>
        <w:spacing w:line="240" w:lineRule="auto"/>
        <w:ind w:firstLine="420"/>
        <w:textAlignment w:val="auto"/>
        <w:rPr>
          <w:rFonts w:hint="eastAsia" w:hAnsi="宋体"/>
        </w:rPr>
      </w:pPr>
      <w:r>
        <w:rPr>
          <w:rFonts w:hint="eastAsia" w:hAnsi="宋体"/>
        </w:rPr>
        <w:t>给出预选的环境影响评价指标的生命周期评价结果， 分析主要的贡献过程和因素， 说明数据质量评估结论。</w:t>
      </w:r>
    </w:p>
    <w:p>
      <w:pPr>
        <w:pStyle w:val="68"/>
        <w:keepNext w:val="0"/>
        <w:keepLines w:val="0"/>
        <w:pageBreakBefore w:val="0"/>
        <w:widowControl/>
        <w:kinsoku/>
        <w:wordWrap/>
        <w:overflowPunct/>
        <w:topLinePunct w:val="0"/>
        <w:autoSpaceDE w:val="0"/>
        <w:autoSpaceDN w:val="0"/>
        <w:bidi w:val="0"/>
        <w:adjustRightInd/>
        <w:snapToGrid/>
        <w:spacing w:line="240" w:lineRule="exact"/>
        <w:ind w:firstLine="420"/>
        <w:textAlignment w:val="auto"/>
        <w:rPr>
          <w:rFonts w:hint="eastAsia" w:hAnsi="宋体"/>
          <w:lang w:val="en-US" w:eastAsia="zh-CN"/>
        </w:rPr>
      </w:pPr>
    </w:p>
    <w:p>
      <w:pPr>
        <w:pStyle w:val="98"/>
        <w:keepNext w:val="0"/>
        <w:keepLines w:val="0"/>
        <w:pageBreakBefore w:val="0"/>
        <w:widowControl/>
        <w:numPr>
          <w:ilvl w:val="0"/>
          <w:numId w:val="0"/>
        </w:numPr>
        <w:kinsoku/>
        <w:wordWrap/>
        <w:overflowPunct/>
        <w:topLinePunct w:val="0"/>
        <w:bidi w:val="0"/>
        <w:adjustRightInd/>
        <w:snapToGrid/>
        <w:spacing w:before="0" w:after="0" w:line="240" w:lineRule="auto"/>
        <w:ind w:leftChars="0"/>
        <w:jc w:val="left"/>
        <w:textAlignment w:val="auto"/>
        <w:rPr>
          <w:rFonts w:hint="eastAsia"/>
          <w:sz w:val="21"/>
          <w:szCs w:val="21"/>
        </w:rPr>
      </w:pPr>
      <w:bookmarkStart w:id="100" w:name="_Toc63257833"/>
      <w:bookmarkStart w:id="101" w:name="_Toc72997756"/>
      <w:r>
        <w:rPr>
          <w:rFonts w:hint="eastAsia"/>
          <w:sz w:val="21"/>
          <w:szCs w:val="21"/>
          <w:lang w:val="en-US" w:eastAsia="zh-CN"/>
        </w:rPr>
        <w:t xml:space="preserve">B.4  </w:t>
      </w:r>
      <w:r>
        <w:rPr>
          <w:rFonts w:hint="eastAsia"/>
          <w:sz w:val="21"/>
          <w:szCs w:val="21"/>
        </w:rPr>
        <w:t>绿色设计改进建议或方案</w:t>
      </w:r>
      <w:bookmarkEnd w:id="100"/>
      <w:bookmarkEnd w:id="101"/>
    </w:p>
    <w:p>
      <w:pPr>
        <w:pStyle w:val="68"/>
        <w:keepNext w:val="0"/>
        <w:keepLines w:val="0"/>
        <w:pageBreakBefore w:val="0"/>
        <w:widowControl/>
        <w:kinsoku/>
        <w:wordWrap/>
        <w:overflowPunct/>
        <w:topLinePunct w:val="0"/>
        <w:autoSpaceDE w:val="0"/>
        <w:autoSpaceDN w:val="0"/>
        <w:bidi w:val="0"/>
        <w:adjustRightInd/>
        <w:snapToGrid/>
        <w:spacing w:line="240" w:lineRule="exact"/>
        <w:textAlignment w:val="auto"/>
      </w:pPr>
    </w:p>
    <w:p>
      <w:pPr>
        <w:pStyle w:val="68"/>
        <w:keepNext w:val="0"/>
        <w:keepLines w:val="0"/>
        <w:pageBreakBefore w:val="0"/>
        <w:widowControl/>
        <w:kinsoku/>
        <w:wordWrap/>
        <w:overflowPunct/>
        <w:topLinePunct w:val="0"/>
        <w:bidi w:val="0"/>
        <w:adjustRightInd/>
        <w:snapToGrid/>
        <w:spacing w:line="240" w:lineRule="auto"/>
        <w:ind w:firstLine="420"/>
        <w:textAlignment w:val="auto"/>
        <w:rPr>
          <w:rFonts w:hint="eastAsia"/>
        </w:rPr>
      </w:pPr>
      <w:r>
        <w:rPr>
          <w:rFonts w:hint="eastAsia"/>
        </w:rPr>
        <w:t>在分析生命周期评价结果的基础上， 针对产品绿色设计需要改进的内容提出具体改进建议或总体改进方案。</w:t>
      </w:r>
    </w:p>
    <w:p>
      <w:pPr>
        <w:pStyle w:val="68"/>
        <w:keepNext w:val="0"/>
        <w:keepLines w:val="0"/>
        <w:pageBreakBefore w:val="0"/>
        <w:widowControl/>
        <w:kinsoku/>
        <w:wordWrap/>
        <w:overflowPunct/>
        <w:topLinePunct w:val="0"/>
        <w:autoSpaceDE w:val="0"/>
        <w:autoSpaceDN w:val="0"/>
        <w:bidi w:val="0"/>
        <w:adjustRightInd/>
        <w:snapToGrid/>
        <w:spacing w:line="240" w:lineRule="exact"/>
        <w:ind w:firstLine="420"/>
        <w:textAlignment w:val="auto"/>
        <w:rPr>
          <w:rFonts w:hint="eastAsia"/>
        </w:rPr>
      </w:pPr>
    </w:p>
    <w:p>
      <w:pPr>
        <w:pStyle w:val="98"/>
        <w:keepNext w:val="0"/>
        <w:keepLines w:val="0"/>
        <w:pageBreakBefore w:val="0"/>
        <w:widowControl/>
        <w:numPr>
          <w:ilvl w:val="0"/>
          <w:numId w:val="0"/>
        </w:numPr>
        <w:kinsoku/>
        <w:wordWrap/>
        <w:overflowPunct/>
        <w:topLinePunct w:val="0"/>
        <w:bidi w:val="0"/>
        <w:adjustRightInd/>
        <w:snapToGrid/>
        <w:spacing w:before="0" w:after="0" w:line="240" w:lineRule="auto"/>
        <w:ind w:leftChars="0"/>
        <w:jc w:val="left"/>
        <w:textAlignment w:val="auto"/>
        <w:rPr>
          <w:rFonts w:hint="eastAsia"/>
          <w:sz w:val="21"/>
          <w:szCs w:val="21"/>
        </w:rPr>
      </w:pPr>
      <w:bookmarkStart w:id="102" w:name="_Toc63257834"/>
      <w:bookmarkStart w:id="103" w:name="_Toc72997757"/>
      <w:r>
        <w:rPr>
          <w:rFonts w:hint="eastAsia"/>
          <w:sz w:val="21"/>
          <w:szCs w:val="21"/>
          <w:lang w:val="en-US" w:eastAsia="zh-CN"/>
        </w:rPr>
        <w:t xml:space="preserve">B.5  </w:t>
      </w:r>
      <w:r>
        <w:rPr>
          <w:rFonts w:hint="eastAsia"/>
          <w:sz w:val="21"/>
          <w:szCs w:val="21"/>
        </w:rPr>
        <w:t>评价报告主要结论</w:t>
      </w:r>
      <w:bookmarkEnd w:id="102"/>
      <w:bookmarkEnd w:id="103"/>
    </w:p>
    <w:p>
      <w:pPr>
        <w:pStyle w:val="68"/>
        <w:keepNext w:val="0"/>
        <w:keepLines w:val="0"/>
        <w:pageBreakBefore w:val="0"/>
        <w:widowControl/>
        <w:kinsoku/>
        <w:wordWrap/>
        <w:overflowPunct/>
        <w:topLinePunct w:val="0"/>
        <w:autoSpaceDE w:val="0"/>
        <w:autoSpaceDN w:val="0"/>
        <w:bidi w:val="0"/>
        <w:adjustRightInd/>
        <w:snapToGrid/>
        <w:spacing w:line="240" w:lineRule="exact"/>
        <w:textAlignment w:val="auto"/>
      </w:pPr>
    </w:p>
    <w:p>
      <w:pPr>
        <w:pStyle w:val="68"/>
        <w:keepNext w:val="0"/>
        <w:keepLines w:val="0"/>
        <w:pageBreakBefore w:val="0"/>
        <w:widowControl/>
        <w:kinsoku/>
        <w:wordWrap/>
        <w:overflowPunct/>
        <w:topLinePunct w:val="0"/>
        <w:bidi w:val="0"/>
        <w:adjustRightInd/>
        <w:snapToGrid/>
        <w:spacing w:line="240" w:lineRule="auto"/>
        <w:ind w:firstLine="420"/>
        <w:textAlignment w:val="auto"/>
        <w:rPr>
          <w:rFonts w:hint="eastAsia"/>
        </w:rPr>
      </w:pPr>
      <w:r>
        <w:rPr>
          <w:rFonts w:hint="eastAsia"/>
        </w:rPr>
        <w:t>通过评价报告说明产品对评价指标的符合性结论、生命周期评价结果、提出的改进方案，并根据评价结论初步判断产品是否为绿色设计产品。</w:t>
      </w:r>
    </w:p>
    <w:p>
      <w:pPr>
        <w:pStyle w:val="68"/>
        <w:keepNext w:val="0"/>
        <w:keepLines w:val="0"/>
        <w:pageBreakBefore w:val="0"/>
        <w:widowControl/>
        <w:kinsoku/>
        <w:wordWrap/>
        <w:overflowPunct/>
        <w:topLinePunct w:val="0"/>
        <w:autoSpaceDE w:val="0"/>
        <w:autoSpaceDN w:val="0"/>
        <w:bidi w:val="0"/>
        <w:adjustRightInd/>
        <w:snapToGrid/>
        <w:spacing w:line="240" w:lineRule="exact"/>
        <w:ind w:firstLine="420"/>
        <w:textAlignment w:val="auto"/>
        <w:rPr>
          <w:rFonts w:hint="eastAsia"/>
        </w:rPr>
      </w:pPr>
    </w:p>
    <w:p>
      <w:pPr>
        <w:pStyle w:val="98"/>
        <w:keepNext w:val="0"/>
        <w:keepLines w:val="0"/>
        <w:pageBreakBefore w:val="0"/>
        <w:widowControl/>
        <w:numPr>
          <w:ilvl w:val="0"/>
          <w:numId w:val="0"/>
        </w:numPr>
        <w:kinsoku/>
        <w:wordWrap/>
        <w:overflowPunct/>
        <w:topLinePunct w:val="0"/>
        <w:bidi w:val="0"/>
        <w:adjustRightInd/>
        <w:snapToGrid/>
        <w:spacing w:before="0" w:after="0" w:line="240" w:lineRule="auto"/>
        <w:ind w:leftChars="0"/>
        <w:jc w:val="left"/>
        <w:textAlignment w:val="auto"/>
        <w:rPr>
          <w:rFonts w:hint="eastAsia"/>
          <w:sz w:val="21"/>
          <w:szCs w:val="21"/>
        </w:rPr>
      </w:pPr>
      <w:bookmarkStart w:id="104" w:name="_Toc72997758"/>
      <w:bookmarkStart w:id="105" w:name="_Toc63257835"/>
      <w:r>
        <w:rPr>
          <w:rFonts w:hint="eastAsia"/>
          <w:sz w:val="21"/>
          <w:szCs w:val="21"/>
          <w:lang w:val="en-US" w:eastAsia="zh-CN"/>
        </w:rPr>
        <w:t xml:space="preserve">B.6  </w:t>
      </w:r>
      <w:r>
        <w:rPr>
          <w:rFonts w:hint="eastAsia"/>
          <w:sz w:val="21"/>
          <w:szCs w:val="21"/>
        </w:rPr>
        <w:t>评价结论</w:t>
      </w:r>
      <w:bookmarkEnd w:id="104"/>
      <w:bookmarkEnd w:id="105"/>
    </w:p>
    <w:p>
      <w:pPr>
        <w:pStyle w:val="68"/>
        <w:keepNext w:val="0"/>
        <w:keepLines w:val="0"/>
        <w:pageBreakBefore w:val="0"/>
        <w:widowControl/>
        <w:kinsoku/>
        <w:wordWrap/>
        <w:overflowPunct/>
        <w:topLinePunct w:val="0"/>
        <w:autoSpaceDE w:val="0"/>
        <w:autoSpaceDN w:val="0"/>
        <w:bidi w:val="0"/>
        <w:adjustRightInd/>
        <w:snapToGrid/>
        <w:spacing w:line="240" w:lineRule="exact"/>
        <w:ind w:left="0" w:leftChars="0" w:firstLine="0" w:firstLineChars="0"/>
        <w:textAlignment w:val="auto"/>
      </w:pPr>
    </w:p>
    <w:p>
      <w:pPr>
        <w:pStyle w:val="68"/>
        <w:snapToGrid w:val="0"/>
        <w:spacing w:line="264" w:lineRule="auto"/>
        <w:ind w:firstLine="420"/>
        <w:rPr>
          <w:rFonts w:hAnsi="宋体"/>
        </w:rPr>
      </w:pPr>
      <w:r>
        <w:rPr>
          <w:rFonts w:hint="eastAsia" w:hAnsi="宋体"/>
        </w:rPr>
        <w:t>评价报告宜附带以下材料：</w:t>
      </w:r>
    </w:p>
    <w:p>
      <w:pPr>
        <w:pStyle w:val="68"/>
        <w:snapToGrid w:val="0"/>
        <w:spacing w:line="264" w:lineRule="auto"/>
        <w:ind w:firstLine="420"/>
        <w:rPr>
          <w:rFonts w:hAnsi="宋体"/>
        </w:rPr>
      </w:pPr>
      <w:r>
        <w:rPr>
          <w:rFonts w:hint="eastAsia" w:hAnsi="宋体"/>
        </w:rPr>
        <w:t xml:space="preserve">a) </w:t>
      </w:r>
      <w:r>
        <w:rPr>
          <w:rFonts w:hint="eastAsia" w:hAnsi="宋体"/>
          <w:lang w:val="en-US" w:eastAsia="zh-CN"/>
        </w:rPr>
        <w:t xml:space="preserve"> </w:t>
      </w:r>
      <w:r>
        <w:rPr>
          <w:rFonts w:hint="eastAsia" w:hAnsi="宋体"/>
        </w:rPr>
        <w:t>产品样图或分解图；</w:t>
      </w:r>
    </w:p>
    <w:p>
      <w:pPr>
        <w:pStyle w:val="68"/>
        <w:snapToGrid w:val="0"/>
        <w:spacing w:line="264" w:lineRule="auto"/>
        <w:ind w:firstLine="420"/>
        <w:rPr>
          <w:rFonts w:hAnsi="宋体"/>
        </w:rPr>
      </w:pPr>
      <w:r>
        <w:rPr>
          <w:rFonts w:hint="eastAsia" w:hAnsi="宋体"/>
        </w:rPr>
        <w:t xml:space="preserve">b) </w:t>
      </w:r>
      <w:r>
        <w:rPr>
          <w:rFonts w:hint="eastAsia" w:hAnsi="宋体"/>
          <w:lang w:val="en-US" w:eastAsia="zh-CN"/>
        </w:rPr>
        <w:t xml:space="preserve"> </w:t>
      </w:r>
      <w:r>
        <w:rPr>
          <w:rFonts w:hint="eastAsia" w:hAnsi="宋体"/>
        </w:rPr>
        <w:t>产品零部件及材料清单；</w:t>
      </w:r>
    </w:p>
    <w:p>
      <w:pPr>
        <w:pStyle w:val="68"/>
        <w:snapToGrid w:val="0"/>
        <w:spacing w:line="264" w:lineRule="auto"/>
        <w:ind w:firstLine="420"/>
        <w:rPr>
          <w:rFonts w:hAnsi="宋体"/>
        </w:rPr>
      </w:pPr>
      <w:r>
        <w:rPr>
          <w:rFonts w:hint="eastAsia" w:hAnsi="宋体"/>
        </w:rPr>
        <w:t>c)</w:t>
      </w:r>
      <w:r>
        <w:rPr>
          <w:rFonts w:hint="eastAsia" w:hAnsi="宋体"/>
          <w:lang w:val="en-US" w:eastAsia="zh-CN"/>
        </w:rPr>
        <w:t xml:space="preserve"> </w:t>
      </w:r>
      <w:r>
        <w:rPr>
          <w:rFonts w:hint="eastAsia" w:hAnsi="宋体"/>
        </w:rPr>
        <w:t xml:space="preserve"> 产品工艺表；</w:t>
      </w:r>
    </w:p>
    <w:p>
      <w:pPr>
        <w:pStyle w:val="68"/>
        <w:snapToGrid w:val="0"/>
        <w:spacing w:line="264" w:lineRule="auto"/>
        <w:ind w:firstLine="420"/>
        <w:rPr>
          <w:rFonts w:hAnsi="宋体"/>
        </w:rPr>
      </w:pPr>
      <w:r>
        <w:rPr>
          <w:rFonts w:hint="eastAsia" w:hAnsi="宋体"/>
        </w:rPr>
        <w:t>d)</w:t>
      </w:r>
      <w:r>
        <w:rPr>
          <w:rFonts w:hint="eastAsia" w:hAnsi="宋体"/>
          <w:lang w:val="en-US" w:eastAsia="zh-CN"/>
        </w:rPr>
        <w:t xml:space="preserve"> </w:t>
      </w:r>
      <w:r>
        <w:rPr>
          <w:rFonts w:hint="eastAsia" w:hAnsi="宋体"/>
        </w:rPr>
        <w:t xml:space="preserve"> 各单元过程的数据表。</w:t>
      </w:r>
    </w:p>
    <w:p>
      <w:pPr>
        <w:pStyle w:val="68"/>
        <w:snapToGrid w:val="0"/>
        <w:spacing w:line="264" w:lineRule="auto"/>
        <w:ind w:firstLine="420"/>
        <w:rPr>
          <w:rFonts w:hAnsi="宋体"/>
        </w:rPr>
      </w:pPr>
    </w:p>
    <w:p>
      <w:pPr>
        <w:pStyle w:val="68"/>
        <w:snapToGrid w:val="0"/>
        <w:spacing w:line="264" w:lineRule="auto"/>
        <w:ind w:firstLine="420"/>
        <w:rPr>
          <w:rFonts w:hAnsi="宋体"/>
        </w:rPr>
      </w:pPr>
    </w:p>
    <w:p>
      <w:pPr>
        <w:pStyle w:val="68"/>
        <w:snapToGrid w:val="0"/>
        <w:spacing w:line="264" w:lineRule="auto"/>
        <w:ind w:firstLine="420"/>
        <w:rPr>
          <w:rFonts w:hAnsi="宋体"/>
        </w:rPr>
      </w:pPr>
    </w:p>
    <w:p>
      <w:pPr>
        <w:pStyle w:val="68"/>
        <w:snapToGrid w:val="0"/>
        <w:spacing w:line="264" w:lineRule="auto"/>
        <w:ind w:firstLine="420"/>
        <w:rPr>
          <w:rFonts w:hAnsi="宋体"/>
        </w:rPr>
      </w:pPr>
    </w:p>
    <w:p>
      <w:pPr>
        <w:pStyle w:val="68"/>
        <w:snapToGrid w:val="0"/>
        <w:spacing w:line="264" w:lineRule="auto"/>
        <w:ind w:firstLine="420"/>
        <w:rPr>
          <w:rFonts w:hAnsi="宋体"/>
        </w:rPr>
      </w:pPr>
    </w:p>
    <w:p>
      <w:pPr>
        <w:pStyle w:val="68"/>
        <w:snapToGrid w:val="0"/>
        <w:spacing w:line="264" w:lineRule="auto"/>
        <w:ind w:firstLine="420"/>
        <w:rPr>
          <w:rFonts w:hAnsi="宋体"/>
        </w:rPr>
      </w:pPr>
    </w:p>
    <w:p>
      <w:pPr>
        <w:pStyle w:val="68"/>
        <w:snapToGrid w:val="0"/>
        <w:spacing w:line="264" w:lineRule="auto"/>
        <w:ind w:firstLine="420"/>
        <w:rPr>
          <w:rFonts w:hAnsi="宋体"/>
        </w:rPr>
      </w:pPr>
    </w:p>
    <w:p>
      <w:pPr>
        <w:pStyle w:val="68"/>
        <w:snapToGrid w:val="0"/>
        <w:spacing w:line="264" w:lineRule="auto"/>
        <w:ind w:firstLine="420"/>
        <w:rPr>
          <w:rFonts w:hAnsi="宋体"/>
        </w:rPr>
      </w:pPr>
    </w:p>
    <w:p>
      <w:pPr>
        <w:pStyle w:val="68"/>
        <w:snapToGrid w:val="0"/>
        <w:spacing w:line="264" w:lineRule="auto"/>
        <w:ind w:firstLine="420"/>
        <w:rPr>
          <w:rFonts w:hAnsi="宋体"/>
        </w:rPr>
      </w:pPr>
    </w:p>
    <w:p>
      <w:pPr>
        <w:pStyle w:val="68"/>
        <w:snapToGrid w:val="0"/>
        <w:spacing w:line="264" w:lineRule="auto"/>
        <w:ind w:firstLine="420"/>
        <w:rPr>
          <w:rFonts w:hAnsi="宋体"/>
        </w:rPr>
      </w:pPr>
    </w:p>
    <w:p>
      <w:pPr>
        <w:pStyle w:val="68"/>
        <w:snapToGrid w:val="0"/>
        <w:spacing w:line="264" w:lineRule="auto"/>
        <w:ind w:firstLine="420"/>
        <w:rPr>
          <w:rFonts w:hAnsi="宋体"/>
        </w:rPr>
      </w:pPr>
    </w:p>
    <w:p>
      <w:pPr>
        <w:pStyle w:val="68"/>
        <w:snapToGrid w:val="0"/>
        <w:spacing w:line="264" w:lineRule="auto"/>
        <w:ind w:firstLine="420"/>
        <w:rPr>
          <w:rFonts w:hAnsi="宋体"/>
        </w:rPr>
      </w:pPr>
    </w:p>
    <w:p>
      <w:pPr>
        <w:pStyle w:val="68"/>
        <w:snapToGrid w:val="0"/>
        <w:spacing w:line="264" w:lineRule="auto"/>
        <w:ind w:firstLine="420"/>
        <w:rPr>
          <w:rFonts w:hAnsi="宋体"/>
        </w:rPr>
      </w:pPr>
    </w:p>
    <w:p>
      <w:pPr>
        <w:pStyle w:val="68"/>
        <w:snapToGrid w:val="0"/>
        <w:spacing w:line="264" w:lineRule="auto"/>
        <w:ind w:firstLine="420"/>
        <w:rPr>
          <w:rFonts w:hAnsi="宋体"/>
        </w:rPr>
      </w:pPr>
    </w:p>
    <w:p>
      <w:pPr>
        <w:pStyle w:val="68"/>
        <w:snapToGrid w:val="0"/>
        <w:spacing w:line="264" w:lineRule="auto"/>
        <w:ind w:firstLine="420"/>
        <w:rPr>
          <w:rFonts w:hAnsi="宋体"/>
        </w:rPr>
      </w:pPr>
    </w:p>
    <w:p>
      <w:pPr>
        <w:pStyle w:val="68"/>
        <w:snapToGrid w:val="0"/>
        <w:spacing w:line="264" w:lineRule="auto"/>
        <w:ind w:firstLine="420"/>
        <w:rPr>
          <w:rFonts w:hAnsi="宋体"/>
        </w:rPr>
      </w:pPr>
    </w:p>
    <w:p>
      <w:pPr>
        <w:pStyle w:val="68"/>
        <w:snapToGrid w:val="0"/>
        <w:spacing w:line="264" w:lineRule="auto"/>
        <w:ind w:firstLine="420"/>
        <w:rPr>
          <w:rFonts w:hAnsi="宋体"/>
        </w:rPr>
      </w:pPr>
    </w:p>
    <w:p>
      <w:pPr>
        <w:pStyle w:val="68"/>
        <w:snapToGrid w:val="0"/>
        <w:spacing w:line="264" w:lineRule="auto"/>
        <w:ind w:firstLine="420"/>
        <w:rPr>
          <w:rFonts w:hAnsi="宋体"/>
        </w:rPr>
      </w:pPr>
    </w:p>
    <w:p>
      <w:pPr>
        <w:pStyle w:val="68"/>
        <w:snapToGrid w:val="0"/>
        <w:spacing w:line="264" w:lineRule="auto"/>
        <w:ind w:firstLine="420"/>
        <w:rPr>
          <w:rFonts w:hAnsi="宋体"/>
        </w:rPr>
      </w:pPr>
    </w:p>
    <w:p>
      <w:pPr>
        <w:pStyle w:val="68"/>
        <w:snapToGrid w:val="0"/>
        <w:spacing w:line="264" w:lineRule="auto"/>
        <w:ind w:firstLine="420"/>
        <w:rPr>
          <w:rFonts w:hAnsi="宋体"/>
        </w:rPr>
      </w:pPr>
    </w:p>
    <w:p>
      <w:pPr>
        <w:pStyle w:val="68"/>
        <w:snapToGrid w:val="0"/>
        <w:spacing w:line="264" w:lineRule="auto"/>
        <w:ind w:firstLine="420"/>
        <w:rPr>
          <w:rFonts w:hAnsi="宋体"/>
        </w:rPr>
      </w:pPr>
    </w:p>
    <w:p>
      <w:pPr>
        <w:pStyle w:val="68"/>
        <w:snapToGrid w:val="0"/>
        <w:spacing w:line="264" w:lineRule="auto"/>
        <w:ind w:firstLine="420"/>
        <w:rPr>
          <w:rFonts w:hAnsi="宋体"/>
        </w:rPr>
      </w:pPr>
    </w:p>
    <w:p>
      <w:pPr>
        <w:pStyle w:val="68"/>
        <w:snapToGrid w:val="0"/>
        <w:spacing w:line="264" w:lineRule="auto"/>
        <w:ind w:firstLine="420"/>
        <w:rPr>
          <w:rFonts w:hAnsi="宋体"/>
        </w:rPr>
      </w:pPr>
    </w:p>
    <w:p>
      <w:pPr>
        <w:pStyle w:val="68"/>
        <w:snapToGrid w:val="0"/>
        <w:spacing w:line="264" w:lineRule="auto"/>
        <w:ind w:firstLine="420"/>
        <w:rPr>
          <w:rFonts w:hAnsi="宋体"/>
        </w:rPr>
      </w:pPr>
    </w:p>
    <w:p>
      <w:pPr>
        <w:pStyle w:val="68"/>
        <w:snapToGrid w:val="0"/>
        <w:spacing w:line="264" w:lineRule="auto"/>
        <w:ind w:firstLine="420"/>
        <w:rPr>
          <w:rFonts w:hAnsi="宋体"/>
        </w:rPr>
      </w:pPr>
    </w:p>
    <w:p>
      <w:pPr>
        <w:pStyle w:val="68"/>
        <w:snapToGrid w:val="0"/>
        <w:spacing w:line="264" w:lineRule="auto"/>
        <w:ind w:firstLine="420"/>
        <w:rPr>
          <w:rFonts w:hAnsi="宋体"/>
        </w:rPr>
      </w:pPr>
    </w:p>
    <w:p>
      <w:pPr>
        <w:pStyle w:val="68"/>
        <w:snapToGrid w:val="0"/>
        <w:spacing w:line="264" w:lineRule="auto"/>
        <w:ind w:firstLine="420"/>
        <w:rPr>
          <w:rFonts w:hAnsi="宋体"/>
        </w:rPr>
      </w:pPr>
    </w:p>
    <w:p>
      <w:pPr>
        <w:pStyle w:val="68"/>
        <w:snapToGrid w:val="0"/>
        <w:spacing w:line="264" w:lineRule="auto"/>
        <w:ind w:firstLine="420"/>
        <w:rPr>
          <w:rFonts w:hAnsi="宋体"/>
        </w:rPr>
      </w:pPr>
    </w:p>
    <w:p>
      <w:pPr>
        <w:pStyle w:val="68"/>
        <w:snapToGrid w:val="0"/>
        <w:spacing w:line="264" w:lineRule="auto"/>
        <w:ind w:firstLine="420"/>
        <w:rPr>
          <w:rFonts w:hAnsi="宋体"/>
        </w:rPr>
      </w:pPr>
    </w:p>
    <w:p>
      <w:pPr>
        <w:pStyle w:val="68"/>
        <w:snapToGrid w:val="0"/>
        <w:spacing w:line="264" w:lineRule="auto"/>
        <w:ind w:firstLine="420"/>
        <w:rPr>
          <w:rFonts w:hAnsi="宋体"/>
        </w:rPr>
      </w:pPr>
    </w:p>
    <w:p>
      <w:pPr>
        <w:pStyle w:val="68"/>
        <w:snapToGrid w:val="0"/>
        <w:spacing w:line="264" w:lineRule="auto"/>
        <w:ind w:left="0" w:leftChars="0" w:firstLine="0" w:firstLineChars="0"/>
        <w:rPr>
          <w:rFonts w:hAnsi="宋体"/>
        </w:rPr>
      </w:pPr>
    </w:p>
    <w:p>
      <w:pPr>
        <w:pStyle w:val="98"/>
        <w:spacing w:before="0" w:after="0" w:line="400" w:lineRule="exact"/>
        <w:rPr>
          <w:szCs w:val="21"/>
        </w:rPr>
      </w:pPr>
      <w:bookmarkStart w:id="106" w:name="_Toc72997759"/>
      <w:r>
        <w:rPr>
          <w:rFonts w:hint="eastAsia"/>
          <w:sz w:val="21"/>
          <w:szCs w:val="21"/>
        </w:rPr>
        <w:t>附录C</w:t>
      </w:r>
      <w:bookmarkEnd w:id="106"/>
    </w:p>
    <w:p>
      <w:pPr>
        <w:pStyle w:val="98"/>
        <w:spacing w:before="0" w:after="0" w:line="400" w:lineRule="exact"/>
        <w:rPr>
          <w:szCs w:val="21"/>
        </w:rPr>
      </w:pPr>
      <w:bookmarkStart w:id="107" w:name="_Toc72997760"/>
      <w:bookmarkStart w:id="108" w:name="_Toc63257837"/>
      <w:r>
        <w:rPr>
          <w:rFonts w:hint="eastAsia"/>
          <w:sz w:val="21"/>
          <w:szCs w:val="21"/>
        </w:rPr>
        <w:t>（</w:t>
      </w:r>
      <w:r>
        <w:rPr>
          <w:rFonts w:hint="eastAsia"/>
          <w:sz w:val="21"/>
          <w:szCs w:val="21"/>
          <w:lang w:eastAsia="zh-CN"/>
        </w:rPr>
        <w:t>规范</w:t>
      </w:r>
      <w:r>
        <w:rPr>
          <w:rFonts w:hint="eastAsia"/>
          <w:sz w:val="21"/>
          <w:szCs w:val="21"/>
        </w:rPr>
        <w:t>性）</w:t>
      </w:r>
      <w:bookmarkEnd w:id="107"/>
      <w:bookmarkEnd w:id="108"/>
    </w:p>
    <w:p>
      <w:pPr>
        <w:pStyle w:val="98"/>
        <w:spacing w:before="0" w:after="0" w:line="400" w:lineRule="exact"/>
        <w:rPr>
          <w:rFonts w:hint="eastAsia"/>
          <w:sz w:val="21"/>
          <w:szCs w:val="21"/>
        </w:rPr>
      </w:pPr>
      <w:bookmarkStart w:id="109" w:name="_Toc72997761"/>
      <w:bookmarkStart w:id="110" w:name="_Toc63257838"/>
      <w:r>
        <w:rPr>
          <w:rFonts w:hint="eastAsia"/>
          <w:sz w:val="21"/>
          <w:szCs w:val="21"/>
        </w:rPr>
        <w:t>软水机可再生利用率计算方法</w:t>
      </w:r>
      <w:bookmarkEnd w:id="109"/>
      <w:bookmarkEnd w:id="110"/>
    </w:p>
    <w:p>
      <w:pPr>
        <w:pStyle w:val="68"/>
        <w:keepNext w:val="0"/>
        <w:keepLines w:val="0"/>
        <w:pageBreakBefore w:val="0"/>
        <w:widowControl/>
        <w:kinsoku/>
        <w:wordWrap/>
        <w:overflowPunct/>
        <w:topLinePunct w:val="0"/>
        <w:bidi w:val="0"/>
        <w:adjustRightInd/>
        <w:snapToGrid/>
        <w:spacing w:line="240" w:lineRule="auto"/>
        <w:textAlignment w:val="auto"/>
      </w:pPr>
    </w:p>
    <w:p>
      <w:pPr>
        <w:pStyle w:val="98"/>
        <w:keepNext w:val="0"/>
        <w:keepLines w:val="0"/>
        <w:pageBreakBefore w:val="0"/>
        <w:widowControl/>
        <w:numPr>
          <w:ilvl w:val="0"/>
          <w:numId w:val="0"/>
        </w:numPr>
        <w:kinsoku/>
        <w:wordWrap/>
        <w:overflowPunct/>
        <w:topLinePunct w:val="0"/>
        <w:bidi w:val="0"/>
        <w:adjustRightInd/>
        <w:snapToGrid/>
        <w:spacing w:before="0" w:after="0" w:line="240" w:lineRule="auto"/>
        <w:ind w:leftChars="0"/>
        <w:jc w:val="left"/>
        <w:textAlignment w:val="auto"/>
        <w:rPr>
          <w:sz w:val="21"/>
          <w:szCs w:val="21"/>
        </w:rPr>
      </w:pPr>
      <w:bookmarkStart w:id="111" w:name="_Toc63257839"/>
      <w:bookmarkStart w:id="112" w:name="_Toc72997762"/>
      <w:r>
        <w:rPr>
          <w:rFonts w:hint="eastAsia"/>
          <w:sz w:val="21"/>
          <w:szCs w:val="21"/>
          <w:lang w:val="en-US" w:eastAsia="zh-CN"/>
        </w:rPr>
        <w:t xml:space="preserve">C.1  </w:t>
      </w:r>
      <w:r>
        <w:rPr>
          <w:rFonts w:hint="eastAsia"/>
          <w:sz w:val="21"/>
          <w:szCs w:val="21"/>
        </w:rPr>
        <w:t>可再生利用率计算方法</w:t>
      </w:r>
      <w:bookmarkEnd w:id="111"/>
      <w:bookmarkEnd w:id="112"/>
    </w:p>
    <w:p>
      <w:pPr>
        <w:pStyle w:val="68"/>
        <w:keepNext w:val="0"/>
        <w:keepLines w:val="0"/>
        <w:pageBreakBefore w:val="0"/>
        <w:widowControl/>
        <w:kinsoku/>
        <w:wordWrap/>
        <w:overflowPunct/>
        <w:topLinePunct w:val="0"/>
        <w:autoSpaceDE w:val="0"/>
        <w:autoSpaceDN w:val="0"/>
        <w:bidi w:val="0"/>
        <w:adjustRightInd/>
        <w:snapToGrid/>
        <w:spacing w:line="240" w:lineRule="exact"/>
        <w:textAlignment w:val="auto"/>
      </w:pPr>
    </w:p>
    <w:p>
      <w:pPr>
        <w:pStyle w:val="68"/>
        <w:ind w:firstLine="420"/>
        <w:rPr>
          <w:rFonts w:hint="eastAsia"/>
        </w:rPr>
      </w:pPr>
      <w:r>
        <w:rPr>
          <w:rFonts w:hint="eastAsia"/>
        </w:rPr>
        <w:t>产品的可再生利用率按式（C.1）计算：</w:t>
      </w:r>
    </w:p>
    <w:p>
      <w:pPr>
        <w:pStyle w:val="68"/>
        <w:keepNext w:val="0"/>
        <w:keepLines w:val="0"/>
        <w:pageBreakBefore w:val="0"/>
        <w:widowControl/>
        <w:kinsoku/>
        <w:wordWrap/>
        <w:overflowPunct/>
        <w:topLinePunct w:val="0"/>
        <w:autoSpaceDE w:val="0"/>
        <w:autoSpaceDN w:val="0"/>
        <w:bidi w:val="0"/>
        <w:adjustRightInd/>
        <w:snapToGrid/>
        <w:spacing w:line="240" w:lineRule="exact"/>
        <w:ind w:firstLine="420"/>
        <w:textAlignment w:val="auto"/>
        <w:rPr>
          <w:rFonts w:hint="eastAsia"/>
        </w:rPr>
      </w:pPr>
    </w:p>
    <w:p>
      <w:pPr>
        <w:pStyle w:val="68"/>
        <w:snapToGrid w:val="0"/>
        <w:spacing w:line="264" w:lineRule="auto"/>
        <w:ind w:firstLine="420"/>
        <w:jc w:val="center"/>
        <w:rPr>
          <w:rFonts w:hint="eastAsia" w:hAnsi="宋体"/>
        </w:rPr>
      </w:pPr>
      <m:oMath>
        <m:sSub>
          <m:sSubPr>
            <m:ctrlPr>
              <w:rPr>
                <w:rFonts w:ascii="Cambria Math" w:hAnsi="Cambria Math"/>
              </w:rPr>
            </m:ctrlPr>
          </m:sSubPr>
          <m:e>
            <m:r>
              <m:rPr>
                <m:sty m:val="p"/>
              </m:rPr>
              <w:rPr>
                <w:rFonts w:ascii="Cambria Math" w:hAnsi="Cambria Math"/>
              </w:rPr>
              <m:t>R</m:t>
            </m:r>
            <m:ctrlPr>
              <w:rPr>
                <w:rFonts w:ascii="Cambria Math" w:hAnsi="Cambria Math"/>
              </w:rPr>
            </m:ctrlPr>
          </m:e>
          <m:sub>
            <m:r>
              <m:rPr>
                <m:sty m:val="p"/>
              </m:rPr>
              <w:rPr>
                <w:rFonts w:ascii="Cambria Math" w:hAnsi="Cambria Math"/>
              </w:rPr>
              <m:t>cyc</m:t>
            </m:r>
            <m:ctrlPr>
              <w:rPr>
                <w:rFonts w:ascii="Cambria Math" w:hAnsi="Cambria Math"/>
              </w:rPr>
            </m:ctrlPr>
          </m:sub>
        </m:sSub>
        <m:r>
          <m:rPr>
            <m:sty m:val="p"/>
          </m:rPr>
          <w:rPr>
            <w:rFonts w:ascii="Cambria Math" w:hAnsi="Cambria Math"/>
          </w:rPr>
          <m:t>=</m:t>
        </m:r>
        <m:f>
          <m:fPr>
            <m:ctrlPr>
              <w:rPr>
                <w:rFonts w:ascii="Cambria Math" w:hAnsi="Cambria Math"/>
              </w:rPr>
            </m:ctrlPr>
          </m:fPr>
          <m:num>
            <m:nary>
              <m:naryPr>
                <m:chr m:val="∑"/>
                <m:ctrlPr>
                  <w:rPr>
                    <w:rFonts w:ascii="Cambria Math" w:hAnsi="Cambria Math"/>
                  </w:rPr>
                </m:ctrlPr>
              </m:naryPr>
              <m:sub>
                <m:r>
                  <m:rPr>
                    <m:sty m:val="p"/>
                  </m:rPr>
                  <w:rPr>
                    <w:rFonts w:ascii="Cambria Math" w:hAnsi="Cambria Math"/>
                  </w:rPr>
                  <m:t>i=1</m:t>
                </m:r>
                <m:ctrlPr>
                  <w:rPr>
                    <w:rFonts w:ascii="Cambria Math" w:hAnsi="Cambria Math"/>
                  </w:rPr>
                </m:ctrlPr>
              </m:sub>
              <m:sup>
                <m:r>
                  <m:rPr>
                    <m:sty m:val="p"/>
                  </m:rPr>
                  <w:rPr>
                    <w:rFonts w:ascii="Cambria Math" w:hAnsi="Cambria Math"/>
                  </w:rPr>
                  <m:t>n</m:t>
                </m:r>
                <m:ctrlPr>
                  <w:rPr>
                    <w:rFonts w:ascii="Cambria Math" w:hAnsi="Cambria Math"/>
                  </w:rPr>
                </m:ctrlPr>
              </m:sup>
              <m:e>
                <m:sSub>
                  <m:sSubPr>
                    <m:ctrlPr>
                      <w:rPr>
                        <w:rFonts w:ascii="Cambria Math" w:hAnsi="Cambria Math"/>
                      </w:rPr>
                    </m:ctrlPr>
                  </m:sSubPr>
                  <m:e>
                    <m:r>
                      <m:rPr>
                        <m:sty m:val="p"/>
                      </m:rPr>
                      <w:rPr>
                        <w:rFonts w:ascii="Cambria Math" w:hAnsi="Cambria Math"/>
                      </w:rPr>
                      <m:t>m</m:t>
                    </m:r>
                    <m:ctrlPr>
                      <w:rPr>
                        <w:rFonts w:ascii="Cambria Math" w:hAnsi="Cambria Math"/>
                      </w:rPr>
                    </m:ctrlPr>
                  </m:e>
                  <m:sub>
                    <m:r>
                      <m:rPr>
                        <m:sty m:val="p"/>
                      </m:rPr>
                      <w:rPr>
                        <w:rFonts w:ascii="Cambria Math" w:hAnsi="Cambria Math"/>
                      </w:rPr>
                      <m:t>cyci</m:t>
                    </m:r>
                    <m:ctrlPr>
                      <w:rPr>
                        <w:rFonts w:ascii="Cambria Math" w:hAnsi="Cambria Math"/>
                      </w:rPr>
                    </m:ctrlPr>
                  </m:sub>
                </m:sSub>
                <m:ctrlPr>
                  <w:rPr>
                    <w:rFonts w:ascii="Cambria Math" w:hAnsi="Cambria Math"/>
                  </w:rPr>
                </m:ctrlPr>
              </m:e>
            </m:nary>
            <m:ctrlPr>
              <w:rPr>
                <w:rFonts w:ascii="Cambria Math" w:hAnsi="Cambria Math"/>
              </w:rPr>
            </m:ctrlPr>
          </m:num>
          <m:den>
            <m:sSub>
              <m:sSubPr>
                <m:ctrlPr>
                  <w:rPr>
                    <w:rFonts w:ascii="Cambria Math" w:hAnsi="Cambria Math"/>
                  </w:rPr>
                </m:ctrlPr>
              </m:sSubPr>
              <m:e>
                <m:r>
                  <m:rPr>
                    <m:sty m:val="p"/>
                  </m:rPr>
                  <w:rPr>
                    <w:rFonts w:ascii="Cambria Math" w:hAnsi="Cambria Math"/>
                  </w:rPr>
                  <m:t>M</m:t>
                </m:r>
                <m:ctrlPr>
                  <w:rPr>
                    <w:rFonts w:ascii="Cambria Math" w:hAnsi="Cambria Math"/>
                  </w:rPr>
                </m:ctrlPr>
              </m:e>
              <m:sub>
                <m:r>
                  <m:rPr>
                    <m:sty m:val="p"/>
                  </m:rPr>
                  <w:rPr>
                    <w:rFonts w:ascii="Cambria Math" w:hAnsi="Cambria Math"/>
                  </w:rPr>
                  <m:t>v</m:t>
                </m:r>
                <m:ctrlPr>
                  <w:rPr>
                    <w:rFonts w:ascii="Cambria Math" w:hAnsi="Cambria Math"/>
                  </w:rPr>
                </m:ctrlPr>
              </m:sub>
            </m:sSub>
            <m:ctrlPr>
              <w:rPr>
                <w:rFonts w:ascii="Cambria Math" w:hAnsi="Cambria Math"/>
              </w:rPr>
            </m:ctrlPr>
          </m:den>
        </m:f>
        <m:r>
          <m:rPr>
            <m:sty m:val="p"/>
          </m:rPr>
          <w:rPr>
            <w:rFonts w:ascii="Cambria Math" w:hAnsi="Cambria Math"/>
          </w:rPr>
          <m:t>×100%</m:t>
        </m:r>
      </m:oMath>
      <w:r>
        <w:rPr>
          <w:rFonts w:hint="eastAsia" w:hAnsi="宋体"/>
        </w:rPr>
        <w:t>...........................(C.1)</w:t>
      </w:r>
    </w:p>
    <w:p>
      <w:pPr>
        <w:pStyle w:val="68"/>
        <w:snapToGrid w:val="0"/>
        <w:spacing w:line="264" w:lineRule="auto"/>
        <w:ind w:firstLine="420"/>
        <w:jc w:val="center"/>
        <w:rPr>
          <w:rFonts w:hint="eastAsia" w:hAnsi="宋体"/>
          <w:sz w:val="18"/>
          <w:szCs w:val="18"/>
        </w:rPr>
      </w:pPr>
    </w:p>
    <w:p>
      <w:pPr>
        <w:pStyle w:val="68"/>
        <w:snapToGrid w:val="0"/>
        <w:spacing w:line="264" w:lineRule="auto"/>
        <w:ind w:firstLine="420"/>
        <w:rPr>
          <w:rFonts w:hint="eastAsia" w:ascii="黑体" w:hAnsi="黑体" w:eastAsia="黑体" w:cs="黑体"/>
          <w:sz w:val="18"/>
          <w:szCs w:val="18"/>
        </w:rPr>
      </w:pPr>
      <w:r>
        <w:rPr>
          <w:rFonts w:hint="eastAsia" w:ascii="黑体" w:hAnsi="黑体" w:eastAsia="黑体" w:cs="黑体"/>
          <w:sz w:val="18"/>
          <w:szCs w:val="18"/>
        </w:rPr>
        <w:t>式中：</w:t>
      </w:r>
    </w:p>
    <w:p>
      <w:pPr>
        <w:pStyle w:val="68"/>
        <w:snapToGrid w:val="0"/>
        <w:spacing w:line="264" w:lineRule="auto"/>
        <w:ind w:firstLine="420"/>
        <w:rPr>
          <w:rFonts w:hAnsi="宋体"/>
          <w:sz w:val="18"/>
          <w:szCs w:val="18"/>
        </w:rPr>
      </w:pPr>
      <w:r>
        <w:rPr>
          <w:rFonts w:hint="eastAsia" w:hAnsi="宋体"/>
          <w:sz w:val="18"/>
          <w:szCs w:val="18"/>
        </w:rPr>
        <w:t>R</w:t>
      </w:r>
      <w:r>
        <w:rPr>
          <w:rFonts w:hint="eastAsia" w:hAnsi="宋体"/>
          <w:sz w:val="18"/>
          <w:szCs w:val="18"/>
          <w:vertAlign w:val="subscript"/>
        </w:rPr>
        <w:t>cyc</w:t>
      </w:r>
      <w:r>
        <w:rPr>
          <w:rFonts w:hint="eastAsia" w:hAnsi="宋体"/>
          <w:sz w:val="18"/>
          <w:szCs w:val="18"/>
        </w:rPr>
        <w:t>—— 产品可再生利用率（％）；</w:t>
      </w:r>
    </w:p>
    <w:p>
      <w:pPr>
        <w:pStyle w:val="68"/>
        <w:snapToGrid w:val="0"/>
        <w:spacing w:line="264" w:lineRule="auto"/>
        <w:ind w:firstLine="420"/>
        <w:rPr>
          <w:rFonts w:hAnsi="宋体"/>
          <w:sz w:val="18"/>
          <w:szCs w:val="18"/>
        </w:rPr>
      </w:pPr>
      <w:r>
        <w:rPr>
          <w:rFonts w:hint="eastAsia" w:hAnsi="宋体"/>
          <w:sz w:val="18"/>
          <w:szCs w:val="18"/>
        </w:rPr>
        <w:t>m</w:t>
      </w:r>
      <w:r>
        <w:rPr>
          <w:rFonts w:hint="eastAsia" w:hAnsi="宋体"/>
          <w:sz w:val="18"/>
          <w:szCs w:val="18"/>
          <w:vertAlign w:val="subscript"/>
        </w:rPr>
        <w:t>cyci</w:t>
      </w:r>
      <w:r>
        <w:rPr>
          <w:rFonts w:hint="eastAsia" w:hAnsi="宋体"/>
          <w:sz w:val="18"/>
          <w:szCs w:val="18"/>
        </w:rPr>
        <w:t>—— 第i种零部件和（或）材料可再生利用的质量，单位为千克（kg）；</w:t>
      </w:r>
    </w:p>
    <w:p>
      <w:pPr>
        <w:pStyle w:val="68"/>
        <w:snapToGrid w:val="0"/>
        <w:spacing w:line="264" w:lineRule="auto"/>
        <w:ind w:firstLine="420"/>
        <w:rPr>
          <w:rFonts w:hAnsi="宋体"/>
          <w:sz w:val="18"/>
          <w:szCs w:val="18"/>
        </w:rPr>
      </w:pPr>
      <w:r>
        <w:rPr>
          <w:rFonts w:hint="eastAsia" w:hAnsi="宋体"/>
          <w:sz w:val="18"/>
          <w:szCs w:val="18"/>
        </w:rPr>
        <w:t>M</w:t>
      </w:r>
      <w:r>
        <w:rPr>
          <w:rFonts w:hint="eastAsia" w:hAnsi="宋体"/>
          <w:sz w:val="18"/>
          <w:szCs w:val="18"/>
          <w:vertAlign w:val="subscript"/>
        </w:rPr>
        <w:t>v</w:t>
      </w:r>
      <w:r>
        <w:rPr>
          <w:rFonts w:hint="eastAsia" w:hAnsi="宋体"/>
          <w:sz w:val="18"/>
          <w:szCs w:val="18"/>
        </w:rPr>
        <w:t>—— 产品整机质量，单位为千克（kg）；</w:t>
      </w:r>
    </w:p>
    <w:p>
      <w:pPr>
        <w:pStyle w:val="68"/>
        <w:snapToGrid w:val="0"/>
        <w:spacing w:line="264" w:lineRule="auto"/>
        <w:ind w:firstLine="420"/>
        <w:rPr>
          <w:rFonts w:hAnsi="宋体"/>
          <w:sz w:val="18"/>
          <w:szCs w:val="18"/>
        </w:rPr>
      </w:pPr>
      <w:r>
        <w:rPr>
          <w:rFonts w:hint="eastAsia" w:hAnsi="宋体"/>
          <w:sz w:val="18"/>
          <w:szCs w:val="18"/>
        </w:rPr>
        <w:t>n—— 零部件和（或）材料的类别总数。</w:t>
      </w:r>
    </w:p>
    <w:p>
      <w:pPr>
        <w:pStyle w:val="68"/>
        <w:keepNext w:val="0"/>
        <w:keepLines w:val="0"/>
        <w:pageBreakBefore w:val="0"/>
        <w:widowControl/>
        <w:kinsoku/>
        <w:wordWrap/>
        <w:overflowPunct/>
        <w:topLinePunct w:val="0"/>
        <w:autoSpaceDE w:val="0"/>
        <w:autoSpaceDN w:val="0"/>
        <w:bidi w:val="0"/>
        <w:adjustRightInd/>
        <w:snapToGrid w:val="0"/>
        <w:spacing w:line="240" w:lineRule="exact"/>
        <w:ind w:firstLine="420"/>
        <w:textAlignment w:val="auto"/>
        <w:rPr>
          <w:rFonts w:hAnsi="宋体"/>
        </w:rPr>
      </w:pPr>
    </w:p>
    <w:p>
      <w:pPr>
        <w:pStyle w:val="68"/>
        <w:keepNext w:val="0"/>
        <w:keepLines w:val="0"/>
        <w:pageBreakBefore w:val="0"/>
        <w:widowControl/>
        <w:kinsoku/>
        <w:wordWrap/>
        <w:overflowPunct/>
        <w:topLinePunct w:val="0"/>
        <w:bidi w:val="0"/>
        <w:adjustRightInd/>
        <w:snapToGrid w:val="0"/>
        <w:spacing w:line="300" w:lineRule="exact"/>
        <w:ind w:firstLine="420"/>
        <w:textAlignment w:val="auto"/>
        <w:rPr>
          <w:rFonts w:hAnsi="宋体"/>
        </w:rPr>
      </w:pPr>
      <w:r>
        <w:rPr>
          <w:rFonts w:hint="eastAsia" w:hAnsi="宋体"/>
        </w:rPr>
        <w:t>产品中以下零部件和（或）材料，其质量不计算在分子内：</w:t>
      </w:r>
    </w:p>
    <w:p>
      <w:pPr>
        <w:pStyle w:val="68"/>
        <w:keepNext w:val="0"/>
        <w:keepLines w:val="0"/>
        <w:pageBreakBefore w:val="0"/>
        <w:widowControl/>
        <w:numPr>
          <w:ilvl w:val="0"/>
          <w:numId w:val="10"/>
        </w:numPr>
        <w:kinsoku/>
        <w:wordWrap/>
        <w:overflowPunct/>
        <w:topLinePunct w:val="0"/>
        <w:bidi w:val="0"/>
        <w:adjustRightInd/>
        <w:snapToGrid w:val="0"/>
        <w:spacing w:line="300" w:lineRule="exact"/>
        <w:ind w:firstLine="420"/>
        <w:textAlignment w:val="auto"/>
        <w:rPr>
          <w:rFonts w:hAnsi="宋体"/>
        </w:rPr>
      </w:pPr>
      <w:r>
        <w:rPr>
          <w:rFonts w:hint="eastAsia" w:hAnsi="宋体"/>
          <w:lang w:val="en-US" w:eastAsia="zh-CN"/>
        </w:rPr>
        <w:t xml:space="preserve"> </w:t>
      </w:r>
      <w:r>
        <w:rPr>
          <w:rFonts w:hint="eastAsia" w:hAnsi="宋体"/>
        </w:rPr>
        <w:t>印刷电路板；</w:t>
      </w:r>
    </w:p>
    <w:p>
      <w:pPr>
        <w:pStyle w:val="68"/>
        <w:keepNext w:val="0"/>
        <w:keepLines w:val="0"/>
        <w:pageBreakBefore w:val="0"/>
        <w:widowControl/>
        <w:numPr>
          <w:ilvl w:val="0"/>
          <w:numId w:val="10"/>
        </w:numPr>
        <w:kinsoku/>
        <w:wordWrap/>
        <w:overflowPunct/>
        <w:topLinePunct w:val="0"/>
        <w:bidi w:val="0"/>
        <w:adjustRightInd/>
        <w:snapToGrid w:val="0"/>
        <w:spacing w:line="300" w:lineRule="exact"/>
        <w:ind w:left="0" w:leftChars="0" w:firstLine="420" w:firstLineChars="200"/>
        <w:textAlignment w:val="auto"/>
        <w:rPr>
          <w:rFonts w:hAnsi="宋体"/>
        </w:rPr>
      </w:pPr>
      <w:r>
        <w:rPr>
          <w:rFonts w:hint="eastAsia" w:hAnsi="宋体"/>
        </w:rPr>
        <w:t xml:space="preserve"> 热固性塑料；</w:t>
      </w:r>
    </w:p>
    <w:p>
      <w:pPr>
        <w:pStyle w:val="68"/>
        <w:keepNext w:val="0"/>
        <w:keepLines w:val="0"/>
        <w:pageBreakBefore w:val="0"/>
        <w:widowControl/>
        <w:kinsoku/>
        <w:wordWrap/>
        <w:overflowPunct/>
        <w:topLinePunct w:val="0"/>
        <w:bidi w:val="0"/>
        <w:adjustRightInd/>
        <w:snapToGrid w:val="0"/>
        <w:spacing w:line="300" w:lineRule="exact"/>
        <w:ind w:firstLine="420"/>
        <w:textAlignment w:val="auto"/>
        <w:rPr>
          <w:rFonts w:hAnsi="宋体"/>
        </w:rPr>
      </w:pPr>
      <w:r>
        <w:rPr>
          <w:rFonts w:hint="eastAsia" w:hAnsi="宋体"/>
        </w:rPr>
        <w:t xml:space="preserve">c) </w:t>
      </w:r>
      <w:r>
        <w:rPr>
          <w:rFonts w:hint="eastAsia" w:hAnsi="宋体"/>
          <w:lang w:val="en-US" w:eastAsia="zh-CN"/>
        </w:rPr>
        <w:t xml:space="preserve"> </w:t>
      </w:r>
      <w:r>
        <w:rPr>
          <w:rFonts w:hint="eastAsia" w:hAnsi="宋体"/>
        </w:rPr>
        <w:t>表 C.1 中不相容的混合塑料；</w:t>
      </w:r>
    </w:p>
    <w:p>
      <w:pPr>
        <w:pStyle w:val="68"/>
        <w:keepNext w:val="0"/>
        <w:keepLines w:val="0"/>
        <w:pageBreakBefore w:val="0"/>
        <w:widowControl/>
        <w:kinsoku/>
        <w:wordWrap/>
        <w:overflowPunct/>
        <w:topLinePunct w:val="0"/>
        <w:bidi w:val="0"/>
        <w:adjustRightInd/>
        <w:snapToGrid/>
        <w:spacing w:line="300" w:lineRule="exact"/>
        <w:ind w:firstLine="420"/>
        <w:textAlignment w:val="auto"/>
        <w:rPr>
          <w:rFonts w:hAnsi="宋体"/>
        </w:rPr>
      </w:pPr>
      <w:r>
        <w:rPr>
          <w:rFonts w:hint="eastAsia" w:hAnsi="宋体"/>
        </w:rPr>
        <w:t xml:space="preserve">d) </w:t>
      </w:r>
      <w:r>
        <w:rPr>
          <w:rFonts w:hint="eastAsia" w:hAnsi="宋体"/>
          <w:lang w:val="en-US" w:eastAsia="zh-CN"/>
        </w:rPr>
        <w:t xml:space="preserve"> </w:t>
      </w:r>
      <w:r>
        <w:rPr>
          <w:rFonts w:hint="eastAsia" w:hAnsi="宋体"/>
        </w:rPr>
        <w:t>对于产品中质量小于25g且表面积小于200mm</w:t>
      </w:r>
      <w:r>
        <w:rPr>
          <w:rFonts w:hAnsi="宋体"/>
          <w:vertAlign w:val="superscript"/>
        </w:rPr>
        <w:t>2</w:t>
      </w:r>
      <w:r>
        <w:rPr>
          <w:rFonts w:hint="eastAsia" w:hAnsi="宋体"/>
        </w:rPr>
        <w:t xml:space="preserve"> 的塑料零部件，且未在表面标注材料成分的。</w:t>
      </w:r>
    </w:p>
    <w:p>
      <w:pPr>
        <w:pStyle w:val="98"/>
        <w:keepNext w:val="0"/>
        <w:keepLines w:val="0"/>
        <w:pageBreakBefore w:val="0"/>
        <w:widowControl/>
        <w:kinsoku/>
        <w:wordWrap/>
        <w:overflowPunct/>
        <w:topLinePunct w:val="0"/>
        <w:bidi w:val="0"/>
        <w:adjustRightInd/>
        <w:snapToGrid/>
        <w:spacing w:before="0" w:after="0" w:line="300" w:lineRule="exact"/>
        <w:ind w:left="425"/>
        <w:jc w:val="left"/>
        <w:textAlignment w:val="auto"/>
        <w:rPr>
          <w:rFonts w:hint="eastAsia"/>
          <w:sz w:val="18"/>
          <w:szCs w:val="18"/>
        </w:rPr>
      </w:pPr>
      <w:bookmarkStart w:id="113" w:name="_Toc72997763"/>
      <w:bookmarkStart w:id="114" w:name="_Toc63257840"/>
      <w:r>
        <w:rPr>
          <w:rFonts w:hint="eastAsia"/>
          <w:sz w:val="18"/>
          <w:szCs w:val="18"/>
        </w:rPr>
        <w:t>注：</w:t>
      </w:r>
      <w:r>
        <w:rPr>
          <w:rFonts w:hint="eastAsia" w:ascii="宋体" w:hAnsi="宋体" w:eastAsia="宋体" w:cs="宋体"/>
          <w:sz w:val="18"/>
          <w:szCs w:val="18"/>
        </w:rPr>
        <w:t>以上所提“分子”均指公式（C.1）中的分子。</w:t>
      </w:r>
      <w:bookmarkEnd w:id="113"/>
      <w:bookmarkEnd w:id="114"/>
    </w:p>
    <w:p>
      <w:pPr>
        <w:pStyle w:val="68"/>
        <w:keepNext w:val="0"/>
        <w:keepLines w:val="0"/>
        <w:pageBreakBefore w:val="0"/>
        <w:widowControl/>
        <w:kinsoku/>
        <w:wordWrap/>
        <w:overflowPunct/>
        <w:topLinePunct w:val="0"/>
        <w:autoSpaceDE w:val="0"/>
        <w:autoSpaceDN w:val="0"/>
        <w:bidi w:val="0"/>
        <w:adjustRightInd/>
        <w:snapToGrid/>
        <w:spacing w:line="240" w:lineRule="exact"/>
        <w:textAlignment w:val="auto"/>
      </w:pPr>
    </w:p>
    <w:p>
      <w:pPr>
        <w:pStyle w:val="68"/>
        <w:keepNext w:val="0"/>
        <w:keepLines w:val="0"/>
        <w:pageBreakBefore w:val="0"/>
        <w:widowControl/>
        <w:kinsoku/>
        <w:wordWrap/>
        <w:overflowPunct/>
        <w:topLinePunct w:val="0"/>
        <w:autoSpaceDE w:val="0"/>
        <w:autoSpaceDN w:val="0"/>
        <w:bidi w:val="0"/>
        <w:adjustRightInd/>
        <w:snapToGrid/>
        <w:spacing w:line="264" w:lineRule="auto"/>
        <w:ind w:firstLine="420"/>
        <w:jc w:val="center"/>
        <w:textAlignment w:val="auto"/>
        <w:rPr>
          <w:rFonts w:hint="eastAsia" w:ascii="黑体" w:hAnsi="黑体" w:eastAsia="黑体"/>
        </w:rPr>
      </w:pPr>
      <w:r>
        <w:rPr>
          <w:rFonts w:hint="eastAsia" w:ascii="黑体" w:hAnsi="黑体" w:eastAsia="黑体"/>
        </w:rPr>
        <w:t>表C.1</w:t>
      </w:r>
      <w:r>
        <w:rPr>
          <w:rFonts w:hint="eastAsia" w:ascii="黑体" w:hAnsi="黑体" w:eastAsia="黑体"/>
          <w:lang w:val="en-US" w:eastAsia="zh-CN"/>
        </w:rPr>
        <w:t xml:space="preserve"> </w:t>
      </w:r>
      <w:r>
        <w:rPr>
          <w:rFonts w:hint="eastAsia" w:ascii="黑体" w:hAnsi="黑体" w:eastAsia="黑体"/>
        </w:rPr>
        <w:t xml:space="preserve"> 不同热塑性塑料的相容性表</w:t>
      </w:r>
    </w:p>
    <w:p>
      <w:pPr>
        <w:pStyle w:val="68"/>
        <w:keepNext w:val="0"/>
        <w:keepLines w:val="0"/>
        <w:pageBreakBefore w:val="0"/>
        <w:widowControl/>
        <w:kinsoku/>
        <w:wordWrap/>
        <w:overflowPunct/>
        <w:topLinePunct w:val="0"/>
        <w:autoSpaceDE w:val="0"/>
        <w:autoSpaceDN w:val="0"/>
        <w:bidi w:val="0"/>
        <w:adjustRightInd/>
        <w:snapToGrid/>
        <w:spacing w:line="240" w:lineRule="exact"/>
        <w:ind w:firstLine="420"/>
        <w:jc w:val="center"/>
        <w:textAlignment w:val="auto"/>
        <w:rPr>
          <w:rFonts w:hint="eastAsia" w:ascii="黑体" w:hAnsi="黑体" w:eastAsia="黑体"/>
        </w:rPr>
      </w:pPr>
    </w:p>
    <w:tbl>
      <w:tblPr>
        <w:tblStyle w:val="31"/>
        <w:tblW w:w="10710" w:type="dxa"/>
        <w:tblInd w:w="-4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6"/>
        <w:gridCol w:w="486"/>
        <w:gridCol w:w="486"/>
        <w:gridCol w:w="396"/>
        <w:gridCol w:w="486"/>
        <w:gridCol w:w="756"/>
        <w:gridCol w:w="396"/>
        <w:gridCol w:w="756"/>
        <w:gridCol w:w="756"/>
        <w:gridCol w:w="396"/>
        <w:gridCol w:w="486"/>
        <w:gridCol w:w="576"/>
        <w:gridCol w:w="486"/>
        <w:gridCol w:w="396"/>
        <w:gridCol w:w="486"/>
        <w:gridCol w:w="756"/>
        <w:gridCol w:w="396"/>
        <w:gridCol w:w="486"/>
        <w:gridCol w:w="486"/>
        <w:gridCol w:w="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56" w:type="dxa"/>
            <w:vMerge w:val="restart"/>
            <w:vAlign w:val="center"/>
          </w:tcPr>
          <w:p>
            <w:pPr>
              <w:pStyle w:val="98"/>
              <w:widowControl w:val="0"/>
              <w:shd w:val="clear" w:color="auto" w:fill="auto"/>
              <w:spacing w:before="0" w:after="0" w:line="400" w:lineRule="exact"/>
              <w:jc w:val="center"/>
              <w:rPr>
                <w:rFonts w:ascii="宋体" w:hAnsi="宋体" w:eastAsia="宋体"/>
                <w:sz w:val="18"/>
                <w:szCs w:val="18"/>
              </w:rPr>
            </w:pPr>
            <w:bookmarkStart w:id="115" w:name="_Toc72997764"/>
            <w:bookmarkStart w:id="116" w:name="_Toc63257841"/>
            <w:r>
              <w:rPr>
                <w:rFonts w:hint="eastAsia" w:ascii="宋体" w:hAnsi="宋体" w:eastAsia="宋体"/>
                <w:sz w:val="18"/>
                <w:szCs w:val="18"/>
              </w:rPr>
              <w:t>基础</w:t>
            </w:r>
            <w:r>
              <w:rPr>
                <w:rFonts w:hint="eastAsia" w:ascii="宋体" w:hAnsi="宋体" w:eastAsia="宋体"/>
                <w:sz w:val="18"/>
                <w:szCs w:val="18"/>
                <w:lang w:val="en-US" w:eastAsia="zh-CN"/>
              </w:rPr>
              <w:t xml:space="preserve"> </w:t>
            </w:r>
            <w:r>
              <w:rPr>
                <w:rFonts w:hint="eastAsia" w:ascii="宋体" w:hAnsi="宋体" w:eastAsia="宋体"/>
                <w:sz w:val="18"/>
                <w:szCs w:val="18"/>
              </w:rPr>
              <w:t>材料</w:t>
            </w:r>
            <w:bookmarkEnd w:id="115"/>
            <w:bookmarkEnd w:id="116"/>
          </w:p>
        </w:tc>
        <w:tc>
          <w:tcPr>
            <w:tcW w:w="9954" w:type="dxa"/>
            <w:gridSpan w:val="19"/>
          </w:tcPr>
          <w:p>
            <w:pPr>
              <w:pStyle w:val="98"/>
              <w:widowControl w:val="0"/>
              <w:shd w:val="clear" w:color="auto" w:fill="auto"/>
              <w:spacing w:before="0" w:after="0" w:line="400" w:lineRule="exact"/>
              <w:rPr>
                <w:rFonts w:ascii="宋体" w:hAnsi="宋体" w:eastAsia="宋体"/>
                <w:sz w:val="18"/>
                <w:szCs w:val="18"/>
              </w:rPr>
            </w:pPr>
            <w:bookmarkStart w:id="117" w:name="_Toc72997765"/>
            <w:bookmarkStart w:id="118" w:name="_Toc63257842"/>
            <w:r>
              <w:rPr>
                <w:rFonts w:hint="eastAsia" w:ascii="宋体" w:hAnsi="宋体" w:eastAsia="宋体"/>
                <w:sz w:val="18"/>
                <w:szCs w:val="18"/>
              </w:rPr>
              <w:t>添加材料</w:t>
            </w:r>
            <w:bookmarkEnd w:id="117"/>
            <w:bookmarkEnd w:id="1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756" w:type="dxa"/>
            <w:vMerge w:val="continue"/>
          </w:tcPr>
          <w:p>
            <w:pPr>
              <w:pStyle w:val="98"/>
              <w:widowControl w:val="0"/>
              <w:shd w:val="clear" w:color="auto" w:fill="auto"/>
              <w:spacing w:before="0" w:after="0" w:line="400" w:lineRule="exact"/>
              <w:jc w:val="left"/>
              <w:rPr>
                <w:rFonts w:ascii="宋体" w:hAnsi="宋体" w:eastAsia="宋体"/>
                <w:sz w:val="18"/>
                <w:szCs w:val="18"/>
              </w:rPr>
            </w:pPr>
          </w:p>
        </w:tc>
        <w:tc>
          <w:tcPr>
            <w:tcW w:w="486" w:type="dxa"/>
          </w:tcPr>
          <w:p>
            <w:pPr>
              <w:pStyle w:val="98"/>
              <w:widowControl w:val="0"/>
              <w:shd w:val="clear" w:color="auto" w:fill="auto"/>
              <w:spacing w:before="0" w:after="0" w:line="400" w:lineRule="exact"/>
              <w:jc w:val="left"/>
              <w:rPr>
                <w:rFonts w:ascii="宋体" w:hAnsi="宋体" w:eastAsia="宋体"/>
                <w:sz w:val="18"/>
                <w:szCs w:val="18"/>
              </w:rPr>
            </w:pPr>
            <w:bookmarkStart w:id="119" w:name="_Toc63257843"/>
            <w:bookmarkStart w:id="120" w:name="_Toc72997766"/>
            <w:r>
              <w:rPr>
                <w:rFonts w:hint="eastAsia" w:ascii="宋体" w:hAnsi="宋体" w:eastAsia="宋体"/>
                <w:sz w:val="18"/>
                <w:szCs w:val="18"/>
              </w:rPr>
              <w:t>ABS</w:t>
            </w:r>
            <w:bookmarkEnd w:id="119"/>
            <w:bookmarkEnd w:id="120"/>
          </w:p>
        </w:tc>
        <w:tc>
          <w:tcPr>
            <w:tcW w:w="486" w:type="dxa"/>
          </w:tcPr>
          <w:p>
            <w:pPr>
              <w:pStyle w:val="98"/>
              <w:widowControl w:val="0"/>
              <w:shd w:val="clear" w:color="auto" w:fill="auto"/>
              <w:spacing w:before="0" w:after="0" w:line="400" w:lineRule="exact"/>
              <w:jc w:val="left"/>
              <w:rPr>
                <w:rFonts w:ascii="宋体" w:hAnsi="宋体" w:eastAsia="宋体"/>
                <w:sz w:val="18"/>
                <w:szCs w:val="18"/>
              </w:rPr>
            </w:pPr>
            <w:bookmarkStart w:id="121" w:name="_Toc72997767"/>
            <w:bookmarkStart w:id="122" w:name="_Toc63257844"/>
            <w:r>
              <w:rPr>
                <w:rFonts w:hint="eastAsia" w:ascii="宋体" w:hAnsi="宋体" w:eastAsia="宋体"/>
                <w:sz w:val="18"/>
                <w:szCs w:val="18"/>
              </w:rPr>
              <w:t>ASA</w:t>
            </w:r>
            <w:bookmarkEnd w:id="121"/>
            <w:bookmarkEnd w:id="122"/>
          </w:p>
        </w:tc>
        <w:tc>
          <w:tcPr>
            <w:tcW w:w="396" w:type="dxa"/>
          </w:tcPr>
          <w:p>
            <w:pPr>
              <w:pStyle w:val="98"/>
              <w:widowControl w:val="0"/>
              <w:shd w:val="clear" w:color="auto" w:fill="auto"/>
              <w:spacing w:before="0" w:after="0" w:line="400" w:lineRule="exact"/>
              <w:jc w:val="left"/>
              <w:rPr>
                <w:rFonts w:ascii="宋体" w:hAnsi="宋体" w:eastAsia="宋体"/>
                <w:sz w:val="18"/>
                <w:szCs w:val="18"/>
              </w:rPr>
            </w:pPr>
            <w:bookmarkStart w:id="123" w:name="_Toc72997768"/>
            <w:bookmarkStart w:id="124" w:name="_Toc63257845"/>
            <w:r>
              <w:rPr>
                <w:rFonts w:hint="eastAsia" w:ascii="宋体" w:hAnsi="宋体" w:eastAsia="宋体"/>
                <w:sz w:val="18"/>
                <w:szCs w:val="18"/>
              </w:rPr>
              <w:t>PA</w:t>
            </w:r>
            <w:bookmarkEnd w:id="123"/>
            <w:bookmarkEnd w:id="124"/>
          </w:p>
        </w:tc>
        <w:tc>
          <w:tcPr>
            <w:tcW w:w="486" w:type="dxa"/>
          </w:tcPr>
          <w:p>
            <w:pPr>
              <w:pStyle w:val="98"/>
              <w:widowControl w:val="0"/>
              <w:shd w:val="clear" w:color="auto" w:fill="auto"/>
              <w:spacing w:before="0" w:after="0" w:line="400" w:lineRule="exact"/>
              <w:jc w:val="left"/>
              <w:rPr>
                <w:rFonts w:ascii="宋体" w:hAnsi="宋体" w:eastAsia="宋体"/>
                <w:sz w:val="18"/>
                <w:szCs w:val="18"/>
              </w:rPr>
            </w:pPr>
            <w:bookmarkStart w:id="125" w:name="_Toc63257846"/>
            <w:bookmarkStart w:id="126" w:name="_Toc72997769"/>
            <w:r>
              <w:rPr>
                <w:rFonts w:hint="eastAsia" w:ascii="宋体" w:hAnsi="宋体" w:eastAsia="宋体"/>
                <w:sz w:val="18"/>
                <w:szCs w:val="18"/>
              </w:rPr>
              <w:t>PBT</w:t>
            </w:r>
            <w:bookmarkEnd w:id="125"/>
            <w:bookmarkEnd w:id="126"/>
          </w:p>
        </w:tc>
        <w:tc>
          <w:tcPr>
            <w:tcW w:w="756" w:type="dxa"/>
          </w:tcPr>
          <w:p>
            <w:pPr>
              <w:pStyle w:val="98"/>
              <w:widowControl w:val="0"/>
              <w:shd w:val="clear" w:color="auto" w:fill="auto"/>
              <w:spacing w:before="0" w:after="0" w:line="400" w:lineRule="exact"/>
              <w:jc w:val="left"/>
              <w:rPr>
                <w:rFonts w:ascii="宋体" w:hAnsi="宋体" w:eastAsia="宋体"/>
                <w:sz w:val="18"/>
                <w:szCs w:val="18"/>
              </w:rPr>
            </w:pPr>
            <w:bookmarkStart w:id="127" w:name="_Toc72997770"/>
            <w:bookmarkStart w:id="128" w:name="_Toc63257847"/>
            <w:r>
              <w:rPr>
                <w:rFonts w:hint="eastAsia" w:ascii="宋体" w:hAnsi="宋体" w:eastAsia="宋体"/>
                <w:sz w:val="18"/>
                <w:szCs w:val="18"/>
              </w:rPr>
              <w:t>PBT+PC</w:t>
            </w:r>
            <w:bookmarkEnd w:id="127"/>
            <w:bookmarkEnd w:id="128"/>
          </w:p>
        </w:tc>
        <w:tc>
          <w:tcPr>
            <w:tcW w:w="396" w:type="dxa"/>
          </w:tcPr>
          <w:p>
            <w:pPr>
              <w:pStyle w:val="98"/>
              <w:widowControl w:val="0"/>
              <w:shd w:val="clear" w:color="auto" w:fill="auto"/>
              <w:spacing w:before="0" w:after="0" w:line="400" w:lineRule="exact"/>
              <w:jc w:val="left"/>
              <w:rPr>
                <w:rFonts w:ascii="宋体" w:hAnsi="宋体" w:eastAsia="宋体"/>
                <w:sz w:val="18"/>
                <w:szCs w:val="18"/>
              </w:rPr>
            </w:pPr>
            <w:bookmarkStart w:id="129" w:name="_Toc72997771"/>
            <w:bookmarkStart w:id="130" w:name="_Toc63257848"/>
            <w:r>
              <w:rPr>
                <w:rFonts w:hint="eastAsia" w:ascii="宋体" w:hAnsi="宋体" w:eastAsia="宋体"/>
                <w:sz w:val="18"/>
                <w:szCs w:val="18"/>
              </w:rPr>
              <w:t>PC</w:t>
            </w:r>
            <w:bookmarkEnd w:id="129"/>
            <w:bookmarkEnd w:id="130"/>
          </w:p>
        </w:tc>
        <w:tc>
          <w:tcPr>
            <w:tcW w:w="756" w:type="dxa"/>
          </w:tcPr>
          <w:p>
            <w:pPr>
              <w:pStyle w:val="98"/>
              <w:widowControl w:val="0"/>
              <w:shd w:val="clear" w:color="auto" w:fill="auto"/>
              <w:spacing w:before="0" w:after="0" w:line="400" w:lineRule="exact"/>
              <w:jc w:val="left"/>
              <w:rPr>
                <w:rFonts w:ascii="宋体" w:hAnsi="宋体" w:eastAsia="宋体"/>
                <w:sz w:val="18"/>
                <w:szCs w:val="18"/>
              </w:rPr>
            </w:pPr>
            <w:bookmarkStart w:id="131" w:name="_Toc72997772"/>
            <w:bookmarkStart w:id="132" w:name="_Toc63257849"/>
            <w:r>
              <w:rPr>
                <w:rFonts w:hint="eastAsia" w:ascii="宋体" w:hAnsi="宋体" w:eastAsia="宋体"/>
                <w:sz w:val="18"/>
                <w:szCs w:val="18"/>
              </w:rPr>
              <w:t>PC+ABS</w:t>
            </w:r>
            <w:bookmarkEnd w:id="131"/>
            <w:bookmarkEnd w:id="132"/>
          </w:p>
        </w:tc>
        <w:tc>
          <w:tcPr>
            <w:tcW w:w="756" w:type="dxa"/>
          </w:tcPr>
          <w:p>
            <w:pPr>
              <w:pStyle w:val="98"/>
              <w:widowControl w:val="0"/>
              <w:shd w:val="clear" w:color="auto" w:fill="auto"/>
              <w:spacing w:before="0" w:after="0" w:line="400" w:lineRule="exact"/>
              <w:jc w:val="left"/>
              <w:rPr>
                <w:rFonts w:ascii="宋体" w:hAnsi="宋体" w:eastAsia="宋体"/>
                <w:sz w:val="18"/>
                <w:szCs w:val="18"/>
              </w:rPr>
            </w:pPr>
            <w:bookmarkStart w:id="133" w:name="_Toc72997773"/>
            <w:bookmarkStart w:id="134" w:name="_Toc63257850"/>
            <w:r>
              <w:rPr>
                <w:rFonts w:hint="eastAsia" w:ascii="宋体" w:hAnsi="宋体" w:eastAsia="宋体"/>
                <w:sz w:val="18"/>
                <w:szCs w:val="18"/>
              </w:rPr>
              <w:t>PC+PBT</w:t>
            </w:r>
            <w:bookmarkEnd w:id="133"/>
            <w:bookmarkEnd w:id="134"/>
          </w:p>
        </w:tc>
        <w:tc>
          <w:tcPr>
            <w:tcW w:w="396" w:type="dxa"/>
          </w:tcPr>
          <w:p>
            <w:pPr>
              <w:pStyle w:val="98"/>
              <w:widowControl w:val="0"/>
              <w:shd w:val="clear" w:color="auto" w:fill="auto"/>
              <w:spacing w:before="0" w:after="0" w:line="400" w:lineRule="exact"/>
              <w:jc w:val="left"/>
              <w:rPr>
                <w:rFonts w:ascii="宋体" w:hAnsi="宋体" w:eastAsia="宋体"/>
                <w:sz w:val="18"/>
                <w:szCs w:val="18"/>
              </w:rPr>
            </w:pPr>
            <w:bookmarkStart w:id="135" w:name="_Toc72997774"/>
            <w:bookmarkStart w:id="136" w:name="_Toc63257851"/>
            <w:r>
              <w:rPr>
                <w:rFonts w:hint="eastAsia" w:ascii="宋体" w:hAnsi="宋体" w:eastAsia="宋体"/>
                <w:sz w:val="18"/>
                <w:szCs w:val="18"/>
              </w:rPr>
              <w:t>PE</w:t>
            </w:r>
            <w:bookmarkEnd w:id="135"/>
            <w:bookmarkEnd w:id="136"/>
          </w:p>
        </w:tc>
        <w:tc>
          <w:tcPr>
            <w:tcW w:w="486" w:type="dxa"/>
          </w:tcPr>
          <w:p>
            <w:pPr>
              <w:pStyle w:val="98"/>
              <w:widowControl w:val="0"/>
              <w:shd w:val="clear" w:color="auto" w:fill="auto"/>
              <w:spacing w:before="0" w:after="0" w:line="400" w:lineRule="exact"/>
              <w:jc w:val="left"/>
              <w:rPr>
                <w:rFonts w:ascii="宋体" w:hAnsi="宋体" w:eastAsia="宋体"/>
                <w:sz w:val="18"/>
                <w:szCs w:val="18"/>
              </w:rPr>
            </w:pPr>
            <w:bookmarkStart w:id="137" w:name="_Toc63257852"/>
            <w:bookmarkStart w:id="138" w:name="_Toc72997775"/>
            <w:r>
              <w:rPr>
                <w:rFonts w:hint="eastAsia" w:ascii="宋体" w:hAnsi="宋体" w:eastAsia="宋体"/>
                <w:sz w:val="18"/>
                <w:szCs w:val="18"/>
              </w:rPr>
              <w:t>PET</w:t>
            </w:r>
            <w:bookmarkEnd w:id="137"/>
            <w:bookmarkEnd w:id="138"/>
          </w:p>
        </w:tc>
        <w:tc>
          <w:tcPr>
            <w:tcW w:w="576" w:type="dxa"/>
          </w:tcPr>
          <w:p>
            <w:pPr>
              <w:pStyle w:val="98"/>
              <w:widowControl w:val="0"/>
              <w:shd w:val="clear" w:color="auto" w:fill="auto"/>
              <w:spacing w:before="0" w:after="0" w:line="400" w:lineRule="exact"/>
              <w:jc w:val="left"/>
              <w:rPr>
                <w:rFonts w:ascii="宋体" w:hAnsi="宋体" w:eastAsia="宋体"/>
                <w:sz w:val="18"/>
                <w:szCs w:val="18"/>
              </w:rPr>
            </w:pPr>
            <w:bookmarkStart w:id="139" w:name="_Toc72997776"/>
            <w:bookmarkStart w:id="140" w:name="_Toc63257853"/>
            <w:r>
              <w:rPr>
                <w:rFonts w:hint="eastAsia" w:ascii="宋体" w:hAnsi="宋体" w:eastAsia="宋体"/>
                <w:sz w:val="18"/>
                <w:szCs w:val="18"/>
              </w:rPr>
              <w:t>PMMA</w:t>
            </w:r>
            <w:bookmarkEnd w:id="139"/>
            <w:bookmarkEnd w:id="140"/>
          </w:p>
        </w:tc>
        <w:tc>
          <w:tcPr>
            <w:tcW w:w="486" w:type="dxa"/>
          </w:tcPr>
          <w:p>
            <w:pPr>
              <w:pStyle w:val="98"/>
              <w:widowControl w:val="0"/>
              <w:shd w:val="clear" w:color="auto" w:fill="auto"/>
              <w:spacing w:before="0" w:after="0" w:line="400" w:lineRule="exact"/>
              <w:jc w:val="left"/>
              <w:rPr>
                <w:rFonts w:ascii="宋体" w:hAnsi="宋体" w:eastAsia="宋体"/>
                <w:sz w:val="18"/>
                <w:szCs w:val="18"/>
              </w:rPr>
            </w:pPr>
            <w:bookmarkStart w:id="141" w:name="_Toc72997777"/>
            <w:bookmarkStart w:id="142" w:name="_Toc63257854"/>
            <w:r>
              <w:rPr>
                <w:rFonts w:hint="eastAsia" w:ascii="宋体" w:hAnsi="宋体" w:eastAsia="宋体"/>
                <w:sz w:val="18"/>
                <w:szCs w:val="18"/>
              </w:rPr>
              <w:t>POM</w:t>
            </w:r>
            <w:bookmarkEnd w:id="141"/>
            <w:bookmarkEnd w:id="142"/>
          </w:p>
        </w:tc>
        <w:tc>
          <w:tcPr>
            <w:tcW w:w="396" w:type="dxa"/>
          </w:tcPr>
          <w:p>
            <w:pPr>
              <w:pStyle w:val="98"/>
              <w:widowControl w:val="0"/>
              <w:shd w:val="clear" w:color="auto" w:fill="auto"/>
              <w:spacing w:before="0" w:after="0" w:line="400" w:lineRule="exact"/>
              <w:jc w:val="left"/>
              <w:rPr>
                <w:rFonts w:ascii="宋体" w:hAnsi="宋体" w:eastAsia="宋体"/>
                <w:sz w:val="18"/>
                <w:szCs w:val="18"/>
              </w:rPr>
            </w:pPr>
            <w:bookmarkStart w:id="143" w:name="_Toc72997778"/>
            <w:bookmarkStart w:id="144" w:name="_Toc63257855"/>
            <w:r>
              <w:rPr>
                <w:rFonts w:hint="eastAsia" w:ascii="宋体" w:hAnsi="宋体" w:eastAsia="宋体"/>
                <w:sz w:val="18"/>
                <w:szCs w:val="18"/>
              </w:rPr>
              <w:t>PP</w:t>
            </w:r>
            <w:bookmarkEnd w:id="143"/>
            <w:bookmarkEnd w:id="144"/>
          </w:p>
        </w:tc>
        <w:tc>
          <w:tcPr>
            <w:tcW w:w="486" w:type="dxa"/>
          </w:tcPr>
          <w:p>
            <w:pPr>
              <w:pStyle w:val="98"/>
              <w:widowControl w:val="0"/>
              <w:shd w:val="clear" w:color="auto" w:fill="auto"/>
              <w:spacing w:before="0" w:after="0" w:line="400" w:lineRule="exact"/>
              <w:jc w:val="left"/>
              <w:rPr>
                <w:rFonts w:ascii="宋体" w:hAnsi="宋体" w:eastAsia="宋体"/>
                <w:sz w:val="18"/>
                <w:szCs w:val="18"/>
              </w:rPr>
            </w:pPr>
            <w:bookmarkStart w:id="145" w:name="_Toc63257856"/>
            <w:bookmarkStart w:id="146" w:name="_Toc72997779"/>
            <w:r>
              <w:rPr>
                <w:rFonts w:hint="eastAsia" w:ascii="宋体" w:hAnsi="宋体" w:eastAsia="宋体"/>
                <w:sz w:val="18"/>
                <w:szCs w:val="18"/>
              </w:rPr>
              <w:t>PPE</w:t>
            </w:r>
            <w:bookmarkEnd w:id="145"/>
            <w:bookmarkEnd w:id="146"/>
          </w:p>
        </w:tc>
        <w:tc>
          <w:tcPr>
            <w:tcW w:w="756" w:type="dxa"/>
          </w:tcPr>
          <w:p>
            <w:pPr>
              <w:pStyle w:val="98"/>
              <w:widowControl w:val="0"/>
              <w:shd w:val="clear" w:color="auto" w:fill="auto"/>
              <w:spacing w:before="0" w:after="0" w:line="400" w:lineRule="exact"/>
              <w:jc w:val="left"/>
              <w:rPr>
                <w:rFonts w:ascii="宋体" w:hAnsi="宋体" w:eastAsia="宋体"/>
                <w:sz w:val="18"/>
                <w:szCs w:val="18"/>
              </w:rPr>
            </w:pPr>
            <w:bookmarkStart w:id="147" w:name="_Toc72997780"/>
            <w:bookmarkStart w:id="148" w:name="_Toc63257857"/>
            <w:r>
              <w:rPr>
                <w:rFonts w:hint="eastAsia" w:ascii="宋体" w:hAnsi="宋体" w:eastAsia="宋体"/>
                <w:sz w:val="18"/>
                <w:szCs w:val="18"/>
              </w:rPr>
              <w:t>PPE+PS</w:t>
            </w:r>
            <w:bookmarkEnd w:id="147"/>
            <w:bookmarkEnd w:id="148"/>
          </w:p>
        </w:tc>
        <w:tc>
          <w:tcPr>
            <w:tcW w:w="396" w:type="dxa"/>
          </w:tcPr>
          <w:p>
            <w:pPr>
              <w:pStyle w:val="98"/>
              <w:widowControl w:val="0"/>
              <w:shd w:val="clear" w:color="auto" w:fill="auto"/>
              <w:spacing w:before="0" w:after="0" w:line="400" w:lineRule="exact"/>
              <w:jc w:val="left"/>
              <w:rPr>
                <w:rFonts w:ascii="宋体" w:hAnsi="宋体" w:eastAsia="宋体"/>
                <w:sz w:val="18"/>
                <w:szCs w:val="18"/>
              </w:rPr>
            </w:pPr>
            <w:bookmarkStart w:id="149" w:name="_Toc63257858"/>
            <w:bookmarkStart w:id="150" w:name="_Toc72997781"/>
            <w:r>
              <w:rPr>
                <w:rFonts w:hint="eastAsia" w:ascii="宋体" w:hAnsi="宋体" w:eastAsia="宋体"/>
                <w:sz w:val="18"/>
                <w:szCs w:val="18"/>
              </w:rPr>
              <w:t>PS</w:t>
            </w:r>
            <w:bookmarkEnd w:id="149"/>
            <w:bookmarkEnd w:id="150"/>
          </w:p>
        </w:tc>
        <w:tc>
          <w:tcPr>
            <w:tcW w:w="486" w:type="dxa"/>
          </w:tcPr>
          <w:p>
            <w:pPr>
              <w:pStyle w:val="98"/>
              <w:widowControl w:val="0"/>
              <w:shd w:val="clear" w:color="auto" w:fill="auto"/>
              <w:spacing w:before="0" w:after="0" w:line="400" w:lineRule="exact"/>
              <w:jc w:val="left"/>
              <w:rPr>
                <w:rFonts w:ascii="宋体" w:hAnsi="宋体" w:eastAsia="宋体"/>
                <w:sz w:val="18"/>
                <w:szCs w:val="18"/>
              </w:rPr>
            </w:pPr>
            <w:bookmarkStart w:id="151" w:name="_Toc72997782"/>
            <w:bookmarkStart w:id="152" w:name="_Toc63257859"/>
            <w:r>
              <w:rPr>
                <w:rFonts w:hint="eastAsia" w:ascii="宋体" w:hAnsi="宋体" w:eastAsia="宋体"/>
                <w:sz w:val="18"/>
                <w:szCs w:val="18"/>
              </w:rPr>
              <w:t>PVC</w:t>
            </w:r>
            <w:bookmarkEnd w:id="151"/>
            <w:bookmarkEnd w:id="152"/>
          </w:p>
        </w:tc>
        <w:tc>
          <w:tcPr>
            <w:tcW w:w="486" w:type="dxa"/>
          </w:tcPr>
          <w:p>
            <w:pPr>
              <w:pStyle w:val="98"/>
              <w:widowControl w:val="0"/>
              <w:shd w:val="clear" w:color="auto" w:fill="auto"/>
              <w:spacing w:before="0" w:after="0" w:line="400" w:lineRule="exact"/>
              <w:jc w:val="left"/>
              <w:rPr>
                <w:rFonts w:ascii="宋体" w:hAnsi="宋体" w:eastAsia="宋体"/>
                <w:sz w:val="18"/>
                <w:szCs w:val="18"/>
              </w:rPr>
            </w:pPr>
            <w:bookmarkStart w:id="153" w:name="_Toc72997783"/>
            <w:bookmarkStart w:id="154" w:name="_Toc63257860"/>
            <w:r>
              <w:rPr>
                <w:rFonts w:hint="eastAsia" w:ascii="宋体" w:hAnsi="宋体" w:eastAsia="宋体"/>
                <w:sz w:val="18"/>
                <w:szCs w:val="18"/>
              </w:rPr>
              <w:t>SAN</w:t>
            </w:r>
            <w:bookmarkEnd w:id="153"/>
            <w:bookmarkEnd w:id="154"/>
          </w:p>
        </w:tc>
        <w:tc>
          <w:tcPr>
            <w:tcW w:w="486" w:type="dxa"/>
          </w:tcPr>
          <w:p>
            <w:pPr>
              <w:pStyle w:val="98"/>
              <w:widowControl w:val="0"/>
              <w:shd w:val="clear" w:color="auto" w:fill="auto"/>
              <w:spacing w:before="0" w:after="0" w:line="400" w:lineRule="exact"/>
              <w:jc w:val="left"/>
              <w:rPr>
                <w:rFonts w:ascii="宋体" w:hAnsi="宋体" w:eastAsia="宋体"/>
                <w:sz w:val="18"/>
                <w:szCs w:val="18"/>
              </w:rPr>
            </w:pPr>
            <w:bookmarkStart w:id="155" w:name="_Toc72997784"/>
            <w:bookmarkStart w:id="156" w:name="_Toc63257861"/>
            <w:r>
              <w:rPr>
                <w:rFonts w:hint="eastAsia" w:ascii="宋体" w:hAnsi="宋体" w:eastAsia="宋体"/>
                <w:sz w:val="18"/>
                <w:szCs w:val="18"/>
              </w:rPr>
              <w:t>TPU</w:t>
            </w:r>
            <w:bookmarkEnd w:id="155"/>
            <w:bookmarkEnd w:id="15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vAlign w:val="center"/>
          </w:tcPr>
          <w:p>
            <w:pPr>
              <w:pStyle w:val="98"/>
              <w:widowControl w:val="0"/>
              <w:shd w:val="clear" w:color="auto" w:fill="auto"/>
              <w:spacing w:before="0" w:after="0" w:line="400" w:lineRule="exact"/>
              <w:rPr>
                <w:rFonts w:asciiTheme="minorEastAsia" w:hAnsiTheme="minorEastAsia" w:eastAsiaTheme="minorEastAsia"/>
                <w:sz w:val="18"/>
                <w:szCs w:val="18"/>
              </w:rPr>
            </w:pPr>
            <w:bookmarkStart w:id="157" w:name="_Toc72997785"/>
            <w:bookmarkStart w:id="158" w:name="_Toc63257862"/>
            <w:r>
              <w:rPr>
                <w:rFonts w:hint="eastAsia" w:asciiTheme="minorEastAsia" w:hAnsiTheme="minorEastAsia" w:eastAsiaTheme="minorEastAsia"/>
                <w:sz w:val="18"/>
                <w:szCs w:val="18"/>
              </w:rPr>
              <w:t>ABS</w:t>
            </w:r>
            <w:bookmarkEnd w:id="157"/>
            <w:bookmarkEnd w:id="158"/>
          </w:p>
        </w:tc>
        <w:tc>
          <w:tcPr>
            <w:tcW w:w="486" w:type="dxa"/>
            <w:vAlign w:val="center"/>
          </w:tcPr>
          <w:p>
            <w:pPr>
              <w:pStyle w:val="98"/>
              <w:widowControl w:val="0"/>
              <w:shd w:val="clear" w:color="auto" w:fill="auto"/>
              <w:spacing w:before="0" w:after="0" w:line="400" w:lineRule="exact"/>
              <w:rPr>
                <w:rFonts w:asciiTheme="minorEastAsia" w:hAnsiTheme="minorEastAsia" w:eastAsiaTheme="minorEastAsia"/>
                <w:sz w:val="18"/>
                <w:szCs w:val="18"/>
              </w:rPr>
            </w:pPr>
            <w:bookmarkStart w:id="159" w:name="_Toc63257863"/>
            <w:bookmarkStart w:id="160" w:name="_Toc72997786"/>
            <w:r>
              <w:rPr>
                <w:rFonts w:hint="eastAsia" w:asciiTheme="minorEastAsia" w:hAnsiTheme="minorEastAsia" w:eastAsiaTheme="minorEastAsia"/>
                <w:sz w:val="18"/>
                <w:szCs w:val="18"/>
              </w:rPr>
              <w:t>+</w:t>
            </w:r>
            <w:bookmarkEnd w:id="159"/>
            <w:bookmarkEnd w:id="160"/>
          </w:p>
        </w:tc>
        <w:tc>
          <w:tcPr>
            <w:tcW w:w="486" w:type="dxa"/>
            <w:vAlign w:val="center"/>
          </w:tcPr>
          <w:p>
            <w:pPr>
              <w:pStyle w:val="98"/>
              <w:widowControl w:val="0"/>
              <w:shd w:val="clear" w:color="auto" w:fill="auto"/>
              <w:spacing w:before="0" w:after="0" w:line="400" w:lineRule="exact"/>
              <w:rPr>
                <w:rFonts w:asciiTheme="minorEastAsia" w:hAnsiTheme="minorEastAsia" w:eastAsiaTheme="minorEastAsia"/>
                <w:sz w:val="18"/>
                <w:szCs w:val="18"/>
              </w:rPr>
            </w:pPr>
            <w:bookmarkStart w:id="161" w:name="_Toc72997787"/>
            <w:bookmarkStart w:id="162" w:name="_Toc63257864"/>
            <w:r>
              <w:rPr>
                <w:rFonts w:hint="eastAsia" w:asciiTheme="minorEastAsia" w:hAnsiTheme="minorEastAsia" w:eastAsiaTheme="minorEastAsia"/>
                <w:sz w:val="18"/>
                <w:szCs w:val="18"/>
              </w:rPr>
              <w:t>+</w:t>
            </w:r>
            <w:bookmarkEnd w:id="161"/>
            <w:bookmarkEnd w:id="162"/>
          </w:p>
        </w:tc>
        <w:tc>
          <w:tcPr>
            <w:tcW w:w="396" w:type="dxa"/>
            <w:vAlign w:val="center"/>
          </w:tcPr>
          <w:p>
            <w:pPr>
              <w:pStyle w:val="98"/>
              <w:widowControl w:val="0"/>
              <w:shd w:val="clear" w:color="auto" w:fill="auto"/>
              <w:spacing w:before="0" w:after="0" w:line="400" w:lineRule="exact"/>
              <w:rPr>
                <w:rFonts w:asciiTheme="minorEastAsia" w:hAnsiTheme="minorEastAsia" w:eastAsiaTheme="minorEastAsia"/>
                <w:sz w:val="18"/>
                <w:szCs w:val="18"/>
              </w:rPr>
            </w:pPr>
            <w:bookmarkStart w:id="163" w:name="_Toc63257865"/>
            <w:bookmarkStart w:id="164" w:name="_Toc72997788"/>
            <w:r>
              <w:rPr>
                <w:rFonts w:hint="eastAsia" w:asciiTheme="minorEastAsia" w:hAnsiTheme="minorEastAsia" w:eastAsiaTheme="minorEastAsia"/>
                <w:sz w:val="18"/>
                <w:szCs w:val="18"/>
              </w:rPr>
              <w:t>@</w:t>
            </w:r>
            <w:bookmarkEnd w:id="163"/>
            <w:bookmarkEnd w:id="164"/>
          </w:p>
        </w:tc>
        <w:tc>
          <w:tcPr>
            <w:tcW w:w="486" w:type="dxa"/>
            <w:vAlign w:val="center"/>
          </w:tcPr>
          <w:p>
            <w:pPr>
              <w:pStyle w:val="98"/>
              <w:widowControl w:val="0"/>
              <w:shd w:val="clear" w:color="auto" w:fill="auto"/>
              <w:spacing w:before="0" w:after="0" w:line="400" w:lineRule="exact"/>
              <w:rPr>
                <w:rFonts w:asciiTheme="minorEastAsia" w:hAnsiTheme="minorEastAsia" w:eastAsiaTheme="minorEastAsia"/>
                <w:sz w:val="18"/>
                <w:szCs w:val="18"/>
              </w:rPr>
            </w:pPr>
            <w:bookmarkStart w:id="165" w:name="_Toc63257866"/>
            <w:bookmarkStart w:id="166" w:name="_Toc72997789"/>
            <w:r>
              <w:rPr>
                <w:rFonts w:hint="eastAsia" w:asciiTheme="minorEastAsia" w:hAnsiTheme="minorEastAsia" w:eastAsiaTheme="minorEastAsia"/>
                <w:sz w:val="18"/>
                <w:szCs w:val="18"/>
              </w:rPr>
              <w:t>+</w:t>
            </w:r>
            <w:bookmarkEnd w:id="165"/>
            <w:bookmarkEnd w:id="166"/>
          </w:p>
        </w:tc>
        <w:tc>
          <w:tcPr>
            <w:tcW w:w="756" w:type="dxa"/>
            <w:vAlign w:val="center"/>
          </w:tcPr>
          <w:p>
            <w:pPr>
              <w:pStyle w:val="98"/>
              <w:widowControl w:val="0"/>
              <w:shd w:val="clear" w:color="auto" w:fill="auto"/>
              <w:spacing w:before="0" w:after="0" w:line="400" w:lineRule="exact"/>
              <w:rPr>
                <w:rFonts w:asciiTheme="minorEastAsia" w:hAnsiTheme="minorEastAsia" w:eastAsiaTheme="minorEastAsia"/>
                <w:sz w:val="18"/>
                <w:szCs w:val="18"/>
              </w:rPr>
            </w:pPr>
            <w:bookmarkStart w:id="167" w:name="_Toc63257867"/>
            <w:bookmarkStart w:id="168" w:name="_Toc72997790"/>
            <w:r>
              <w:rPr>
                <w:rFonts w:hint="eastAsia" w:asciiTheme="minorEastAsia" w:hAnsiTheme="minorEastAsia" w:eastAsiaTheme="minorEastAsia"/>
                <w:sz w:val="18"/>
                <w:szCs w:val="18"/>
              </w:rPr>
              <w:t>+</w:t>
            </w:r>
            <w:bookmarkEnd w:id="167"/>
            <w:bookmarkEnd w:id="168"/>
          </w:p>
        </w:tc>
        <w:tc>
          <w:tcPr>
            <w:tcW w:w="396" w:type="dxa"/>
            <w:vAlign w:val="center"/>
          </w:tcPr>
          <w:p>
            <w:pPr>
              <w:pStyle w:val="98"/>
              <w:widowControl w:val="0"/>
              <w:shd w:val="clear" w:color="auto" w:fill="auto"/>
              <w:spacing w:before="0" w:after="0" w:line="400" w:lineRule="exact"/>
              <w:rPr>
                <w:rFonts w:asciiTheme="minorEastAsia" w:hAnsiTheme="minorEastAsia" w:eastAsiaTheme="minorEastAsia"/>
                <w:sz w:val="18"/>
                <w:szCs w:val="18"/>
              </w:rPr>
            </w:pPr>
            <w:bookmarkStart w:id="169" w:name="_Toc63257868"/>
            <w:bookmarkStart w:id="170" w:name="_Toc72997791"/>
            <w:r>
              <w:rPr>
                <w:rFonts w:hint="eastAsia" w:asciiTheme="minorEastAsia" w:hAnsiTheme="minorEastAsia" w:eastAsiaTheme="minorEastAsia"/>
                <w:sz w:val="18"/>
                <w:szCs w:val="18"/>
              </w:rPr>
              <w:t>+</w:t>
            </w:r>
            <w:bookmarkEnd w:id="169"/>
            <w:bookmarkEnd w:id="170"/>
          </w:p>
        </w:tc>
        <w:tc>
          <w:tcPr>
            <w:tcW w:w="756" w:type="dxa"/>
            <w:vAlign w:val="center"/>
          </w:tcPr>
          <w:p>
            <w:pPr>
              <w:pStyle w:val="98"/>
              <w:widowControl w:val="0"/>
              <w:shd w:val="clear" w:color="auto" w:fill="auto"/>
              <w:spacing w:before="0" w:after="0" w:line="400" w:lineRule="exact"/>
              <w:rPr>
                <w:rFonts w:asciiTheme="minorEastAsia" w:hAnsiTheme="minorEastAsia" w:eastAsiaTheme="minorEastAsia"/>
                <w:sz w:val="18"/>
                <w:szCs w:val="18"/>
              </w:rPr>
            </w:pPr>
            <w:bookmarkStart w:id="171" w:name="_Toc72997792"/>
            <w:bookmarkStart w:id="172" w:name="_Toc63257869"/>
            <w:r>
              <w:rPr>
                <w:rFonts w:hint="eastAsia" w:asciiTheme="minorEastAsia" w:hAnsiTheme="minorEastAsia" w:eastAsiaTheme="minorEastAsia"/>
                <w:sz w:val="18"/>
                <w:szCs w:val="18"/>
              </w:rPr>
              <w:t>+</w:t>
            </w:r>
            <w:bookmarkEnd w:id="171"/>
            <w:bookmarkEnd w:id="172"/>
          </w:p>
        </w:tc>
        <w:tc>
          <w:tcPr>
            <w:tcW w:w="756" w:type="dxa"/>
            <w:vAlign w:val="center"/>
          </w:tcPr>
          <w:p>
            <w:pPr>
              <w:pStyle w:val="98"/>
              <w:widowControl w:val="0"/>
              <w:shd w:val="clear" w:color="auto" w:fill="auto"/>
              <w:spacing w:before="0" w:after="0" w:line="400" w:lineRule="exact"/>
              <w:rPr>
                <w:rFonts w:asciiTheme="minorEastAsia" w:hAnsiTheme="minorEastAsia" w:eastAsiaTheme="minorEastAsia"/>
                <w:sz w:val="18"/>
                <w:szCs w:val="18"/>
              </w:rPr>
            </w:pPr>
            <w:bookmarkStart w:id="173" w:name="_Toc72997793"/>
            <w:bookmarkStart w:id="174" w:name="_Toc63257870"/>
            <w:r>
              <w:rPr>
                <w:rFonts w:hint="eastAsia" w:asciiTheme="minorEastAsia" w:hAnsiTheme="minorEastAsia" w:eastAsiaTheme="minorEastAsia"/>
                <w:sz w:val="18"/>
                <w:szCs w:val="18"/>
              </w:rPr>
              <w:t>+</w:t>
            </w:r>
            <w:bookmarkEnd w:id="173"/>
            <w:bookmarkEnd w:id="174"/>
          </w:p>
        </w:tc>
        <w:tc>
          <w:tcPr>
            <w:tcW w:w="396" w:type="dxa"/>
            <w:vAlign w:val="center"/>
          </w:tcPr>
          <w:p>
            <w:pPr>
              <w:pStyle w:val="98"/>
              <w:widowControl w:val="0"/>
              <w:shd w:val="clear" w:color="auto" w:fill="auto"/>
              <w:spacing w:before="0" w:after="0" w:line="400" w:lineRule="exact"/>
              <w:rPr>
                <w:rFonts w:asciiTheme="minorEastAsia" w:hAnsiTheme="minorEastAsia" w:eastAsiaTheme="minorEastAsia"/>
                <w:sz w:val="18"/>
                <w:szCs w:val="18"/>
              </w:rPr>
            </w:pPr>
            <w:bookmarkStart w:id="175" w:name="_Toc63257871"/>
            <w:bookmarkStart w:id="176" w:name="_Toc72997794"/>
            <w:r>
              <w:rPr>
                <w:rFonts w:hint="eastAsia" w:asciiTheme="minorEastAsia" w:hAnsiTheme="minorEastAsia" w:eastAsiaTheme="minorEastAsia"/>
                <w:sz w:val="18"/>
                <w:szCs w:val="18"/>
              </w:rPr>
              <w:t>@</w:t>
            </w:r>
            <w:bookmarkEnd w:id="175"/>
            <w:bookmarkEnd w:id="176"/>
          </w:p>
        </w:tc>
        <w:tc>
          <w:tcPr>
            <w:tcW w:w="486" w:type="dxa"/>
            <w:vAlign w:val="center"/>
          </w:tcPr>
          <w:p>
            <w:pPr>
              <w:pStyle w:val="98"/>
              <w:widowControl w:val="0"/>
              <w:shd w:val="clear" w:color="auto" w:fill="auto"/>
              <w:spacing w:before="0" w:after="0" w:line="400" w:lineRule="exact"/>
              <w:rPr>
                <w:rFonts w:asciiTheme="minorEastAsia" w:hAnsiTheme="minorEastAsia" w:eastAsiaTheme="minorEastAsia"/>
                <w:sz w:val="18"/>
                <w:szCs w:val="18"/>
              </w:rPr>
            </w:pPr>
            <w:bookmarkStart w:id="177" w:name="_Toc63257872"/>
            <w:bookmarkStart w:id="178" w:name="_Toc72997795"/>
            <w:r>
              <w:rPr>
                <w:rFonts w:hint="eastAsia" w:asciiTheme="minorEastAsia" w:hAnsiTheme="minorEastAsia" w:eastAsiaTheme="minorEastAsia"/>
                <w:sz w:val="18"/>
                <w:szCs w:val="18"/>
              </w:rPr>
              <w:t>@</w:t>
            </w:r>
            <w:bookmarkEnd w:id="177"/>
            <w:bookmarkEnd w:id="178"/>
          </w:p>
        </w:tc>
        <w:tc>
          <w:tcPr>
            <w:tcW w:w="576" w:type="dxa"/>
            <w:vAlign w:val="center"/>
          </w:tcPr>
          <w:p>
            <w:pPr>
              <w:pStyle w:val="98"/>
              <w:widowControl w:val="0"/>
              <w:shd w:val="clear" w:color="auto" w:fill="auto"/>
              <w:spacing w:before="0" w:after="0" w:line="400" w:lineRule="exact"/>
              <w:rPr>
                <w:rFonts w:asciiTheme="minorEastAsia" w:hAnsiTheme="minorEastAsia" w:eastAsiaTheme="minorEastAsia"/>
                <w:sz w:val="18"/>
                <w:szCs w:val="18"/>
              </w:rPr>
            </w:pPr>
            <w:bookmarkStart w:id="179" w:name="_Toc63257873"/>
            <w:bookmarkStart w:id="180" w:name="_Toc72997796"/>
            <w:r>
              <w:rPr>
                <w:rFonts w:hint="eastAsia" w:asciiTheme="minorEastAsia" w:hAnsiTheme="minorEastAsia" w:eastAsiaTheme="minorEastAsia"/>
                <w:sz w:val="18"/>
                <w:szCs w:val="18"/>
              </w:rPr>
              <w:t>+</w:t>
            </w:r>
            <w:bookmarkEnd w:id="179"/>
            <w:bookmarkEnd w:id="180"/>
          </w:p>
        </w:tc>
        <w:tc>
          <w:tcPr>
            <w:tcW w:w="486" w:type="dxa"/>
            <w:vAlign w:val="center"/>
          </w:tcPr>
          <w:p>
            <w:pPr>
              <w:pStyle w:val="98"/>
              <w:widowControl w:val="0"/>
              <w:shd w:val="clear" w:color="auto" w:fill="auto"/>
              <w:spacing w:before="0" w:after="0" w:line="400" w:lineRule="exact"/>
              <w:rPr>
                <w:rFonts w:asciiTheme="minorEastAsia" w:hAnsiTheme="minorEastAsia" w:eastAsiaTheme="minorEastAsia"/>
                <w:sz w:val="18"/>
                <w:szCs w:val="18"/>
              </w:rPr>
            </w:pPr>
          </w:p>
        </w:tc>
        <w:tc>
          <w:tcPr>
            <w:tcW w:w="396" w:type="dxa"/>
            <w:vAlign w:val="center"/>
          </w:tcPr>
          <w:p>
            <w:pPr>
              <w:pStyle w:val="98"/>
              <w:widowControl w:val="0"/>
              <w:shd w:val="clear" w:color="auto" w:fill="auto"/>
              <w:spacing w:before="0" w:after="0" w:line="400" w:lineRule="exact"/>
              <w:rPr>
                <w:rFonts w:asciiTheme="minorEastAsia" w:hAnsiTheme="minorEastAsia" w:eastAsiaTheme="minorEastAsia"/>
                <w:sz w:val="18"/>
                <w:szCs w:val="18"/>
              </w:rPr>
            </w:pPr>
            <w:bookmarkStart w:id="181" w:name="_Toc72997797"/>
            <w:bookmarkStart w:id="182" w:name="_Toc63257874"/>
            <w:r>
              <w:rPr>
                <w:rFonts w:hint="eastAsia" w:asciiTheme="minorEastAsia" w:hAnsiTheme="minorEastAsia" w:eastAsiaTheme="minorEastAsia"/>
                <w:sz w:val="18"/>
                <w:szCs w:val="18"/>
              </w:rPr>
              <w:t>@</w:t>
            </w:r>
            <w:bookmarkEnd w:id="181"/>
            <w:bookmarkEnd w:id="182"/>
          </w:p>
        </w:tc>
        <w:tc>
          <w:tcPr>
            <w:tcW w:w="486" w:type="dxa"/>
            <w:vAlign w:val="center"/>
          </w:tcPr>
          <w:p>
            <w:pPr>
              <w:pStyle w:val="98"/>
              <w:widowControl w:val="0"/>
              <w:shd w:val="clear" w:color="auto" w:fill="auto"/>
              <w:spacing w:before="0" w:after="0" w:line="400" w:lineRule="exact"/>
              <w:rPr>
                <w:rFonts w:asciiTheme="minorEastAsia" w:hAnsiTheme="minorEastAsia" w:eastAsiaTheme="minorEastAsia"/>
                <w:sz w:val="18"/>
                <w:szCs w:val="18"/>
              </w:rPr>
            </w:pPr>
            <w:bookmarkStart w:id="183" w:name="_Toc63257875"/>
            <w:bookmarkStart w:id="184" w:name="_Toc72997798"/>
            <w:r>
              <w:rPr>
                <w:rFonts w:hint="eastAsia" w:asciiTheme="minorEastAsia" w:hAnsiTheme="minorEastAsia" w:eastAsiaTheme="minorEastAsia"/>
                <w:sz w:val="18"/>
                <w:szCs w:val="18"/>
              </w:rPr>
              <w:t>@</w:t>
            </w:r>
            <w:bookmarkEnd w:id="183"/>
            <w:bookmarkEnd w:id="184"/>
          </w:p>
        </w:tc>
        <w:tc>
          <w:tcPr>
            <w:tcW w:w="756" w:type="dxa"/>
            <w:vAlign w:val="center"/>
          </w:tcPr>
          <w:p>
            <w:pPr>
              <w:pStyle w:val="98"/>
              <w:widowControl w:val="0"/>
              <w:shd w:val="clear" w:color="auto" w:fill="auto"/>
              <w:spacing w:before="0" w:after="0" w:line="400" w:lineRule="exact"/>
              <w:rPr>
                <w:rFonts w:asciiTheme="minorEastAsia" w:hAnsiTheme="minorEastAsia" w:eastAsiaTheme="minorEastAsia"/>
                <w:sz w:val="18"/>
                <w:szCs w:val="18"/>
              </w:rPr>
            </w:pPr>
            <w:bookmarkStart w:id="185" w:name="_Toc63257876"/>
            <w:bookmarkStart w:id="186" w:name="_Toc72997799"/>
            <w:r>
              <w:rPr>
                <w:rFonts w:hint="eastAsia" w:asciiTheme="minorEastAsia" w:hAnsiTheme="minorEastAsia" w:eastAsiaTheme="minorEastAsia"/>
                <w:sz w:val="18"/>
                <w:szCs w:val="18"/>
              </w:rPr>
              <w:t>@</w:t>
            </w:r>
            <w:bookmarkEnd w:id="185"/>
            <w:bookmarkEnd w:id="186"/>
          </w:p>
        </w:tc>
        <w:tc>
          <w:tcPr>
            <w:tcW w:w="396" w:type="dxa"/>
            <w:vAlign w:val="center"/>
          </w:tcPr>
          <w:p>
            <w:pPr>
              <w:pStyle w:val="98"/>
              <w:widowControl w:val="0"/>
              <w:shd w:val="clear" w:color="auto" w:fill="auto"/>
              <w:spacing w:before="0" w:after="0" w:line="400" w:lineRule="exact"/>
              <w:rPr>
                <w:rFonts w:asciiTheme="minorEastAsia" w:hAnsiTheme="minorEastAsia" w:eastAsiaTheme="minorEastAsia"/>
                <w:sz w:val="18"/>
                <w:szCs w:val="18"/>
              </w:rPr>
            </w:pPr>
          </w:p>
        </w:tc>
        <w:tc>
          <w:tcPr>
            <w:tcW w:w="486" w:type="dxa"/>
            <w:vAlign w:val="center"/>
          </w:tcPr>
          <w:p>
            <w:pPr>
              <w:pStyle w:val="98"/>
              <w:widowControl w:val="0"/>
              <w:shd w:val="clear" w:color="auto" w:fill="auto"/>
              <w:spacing w:before="0" w:after="0" w:line="400" w:lineRule="exact"/>
              <w:rPr>
                <w:rFonts w:asciiTheme="minorEastAsia" w:hAnsiTheme="minorEastAsia" w:eastAsiaTheme="minorEastAsia"/>
                <w:sz w:val="18"/>
                <w:szCs w:val="18"/>
              </w:rPr>
            </w:pPr>
            <w:bookmarkStart w:id="187" w:name="_Toc63257877"/>
            <w:bookmarkStart w:id="188" w:name="_Toc72997800"/>
            <w:r>
              <w:rPr>
                <w:rFonts w:hint="eastAsia" w:asciiTheme="minorEastAsia" w:hAnsiTheme="minorEastAsia" w:eastAsiaTheme="minorEastAsia"/>
                <w:sz w:val="18"/>
                <w:szCs w:val="18"/>
              </w:rPr>
              <w:t>+</w:t>
            </w:r>
            <w:bookmarkEnd w:id="187"/>
            <w:bookmarkEnd w:id="188"/>
          </w:p>
        </w:tc>
        <w:tc>
          <w:tcPr>
            <w:tcW w:w="486" w:type="dxa"/>
            <w:vAlign w:val="center"/>
          </w:tcPr>
          <w:p>
            <w:pPr>
              <w:pStyle w:val="98"/>
              <w:widowControl w:val="0"/>
              <w:shd w:val="clear" w:color="auto" w:fill="auto"/>
              <w:spacing w:before="0" w:after="0" w:line="400" w:lineRule="exact"/>
              <w:rPr>
                <w:rFonts w:asciiTheme="minorEastAsia" w:hAnsiTheme="minorEastAsia" w:eastAsiaTheme="minorEastAsia"/>
                <w:sz w:val="18"/>
                <w:szCs w:val="18"/>
              </w:rPr>
            </w:pPr>
            <w:bookmarkStart w:id="189" w:name="_Toc72997801"/>
            <w:bookmarkStart w:id="190" w:name="_Toc63257878"/>
            <w:r>
              <w:rPr>
                <w:rFonts w:hint="eastAsia" w:asciiTheme="minorEastAsia" w:hAnsiTheme="minorEastAsia" w:eastAsiaTheme="minorEastAsia"/>
                <w:sz w:val="18"/>
                <w:szCs w:val="18"/>
              </w:rPr>
              <w:t>+</w:t>
            </w:r>
            <w:bookmarkEnd w:id="189"/>
            <w:bookmarkEnd w:id="190"/>
          </w:p>
        </w:tc>
        <w:tc>
          <w:tcPr>
            <w:tcW w:w="486" w:type="dxa"/>
            <w:vAlign w:val="center"/>
          </w:tcPr>
          <w:p>
            <w:pPr>
              <w:pStyle w:val="98"/>
              <w:widowControl w:val="0"/>
              <w:shd w:val="clear" w:color="auto" w:fill="auto"/>
              <w:spacing w:before="0" w:after="0" w:line="400" w:lineRule="exact"/>
              <w:rPr>
                <w:rFonts w:asciiTheme="minorEastAsia" w:hAnsiTheme="minorEastAsia" w:eastAsiaTheme="minorEastAsia"/>
                <w:sz w:val="18"/>
                <w:szCs w:val="18"/>
              </w:rPr>
            </w:pPr>
            <w:bookmarkStart w:id="191" w:name="_Toc72997802"/>
            <w:bookmarkStart w:id="192" w:name="_Toc63257879"/>
            <w:r>
              <w:rPr>
                <w:rFonts w:hint="eastAsia" w:asciiTheme="minorEastAsia" w:hAnsiTheme="minorEastAsia" w:eastAsiaTheme="minorEastAsia"/>
                <w:sz w:val="18"/>
                <w:szCs w:val="18"/>
              </w:rPr>
              <w:t>+</w:t>
            </w:r>
            <w:bookmarkEnd w:id="191"/>
            <w:bookmarkEnd w:id="19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vAlign w:val="center"/>
          </w:tcPr>
          <w:p>
            <w:pPr>
              <w:pStyle w:val="98"/>
              <w:widowControl w:val="0"/>
              <w:shd w:val="clear" w:color="auto" w:fill="auto"/>
              <w:spacing w:before="0" w:after="0" w:line="400" w:lineRule="exact"/>
              <w:rPr>
                <w:rFonts w:asciiTheme="minorEastAsia" w:hAnsiTheme="minorEastAsia" w:eastAsiaTheme="minorEastAsia"/>
                <w:sz w:val="18"/>
                <w:szCs w:val="18"/>
              </w:rPr>
            </w:pPr>
            <w:bookmarkStart w:id="193" w:name="_Toc72997803"/>
            <w:bookmarkStart w:id="194" w:name="_Toc63257880"/>
            <w:r>
              <w:rPr>
                <w:rFonts w:hint="eastAsia" w:asciiTheme="minorEastAsia" w:hAnsiTheme="minorEastAsia" w:eastAsiaTheme="minorEastAsia"/>
                <w:sz w:val="18"/>
                <w:szCs w:val="18"/>
              </w:rPr>
              <w:t>ASA</w:t>
            </w:r>
            <w:bookmarkEnd w:id="193"/>
            <w:bookmarkEnd w:id="194"/>
          </w:p>
        </w:tc>
        <w:tc>
          <w:tcPr>
            <w:tcW w:w="486" w:type="dxa"/>
            <w:vAlign w:val="center"/>
          </w:tcPr>
          <w:p>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w:t>
            </w:r>
          </w:p>
        </w:tc>
        <w:tc>
          <w:tcPr>
            <w:tcW w:w="486" w:type="dxa"/>
            <w:vAlign w:val="center"/>
          </w:tcPr>
          <w:p>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w:t>
            </w:r>
          </w:p>
        </w:tc>
        <w:tc>
          <w:tcPr>
            <w:tcW w:w="396" w:type="dxa"/>
            <w:vAlign w:val="center"/>
          </w:tcPr>
          <w:p>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w:t>
            </w:r>
          </w:p>
        </w:tc>
        <w:tc>
          <w:tcPr>
            <w:tcW w:w="486" w:type="dxa"/>
            <w:vAlign w:val="center"/>
          </w:tcPr>
          <w:p>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w:t>
            </w:r>
          </w:p>
        </w:tc>
        <w:tc>
          <w:tcPr>
            <w:tcW w:w="756" w:type="dxa"/>
            <w:vAlign w:val="center"/>
          </w:tcPr>
          <w:p>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w:t>
            </w:r>
          </w:p>
        </w:tc>
        <w:tc>
          <w:tcPr>
            <w:tcW w:w="396" w:type="dxa"/>
            <w:vAlign w:val="center"/>
          </w:tcPr>
          <w:p>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w:t>
            </w:r>
          </w:p>
        </w:tc>
        <w:tc>
          <w:tcPr>
            <w:tcW w:w="756" w:type="dxa"/>
            <w:vAlign w:val="center"/>
          </w:tcPr>
          <w:p>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w:t>
            </w:r>
          </w:p>
        </w:tc>
        <w:tc>
          <w:tcPr>
            <w:tcW w:w="756" w:type="dxa"/>
            <w:vAlign w:val="center"/>
          </w:tcPr>
          <w:p>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w:t>
            </w:r>
          </w:p>
        </w:tc>
        <w:tc>
          <w:tcPr>
            <w:tcW w:w="396" w:type="dxa"/>
            <w:vAlign w:val="center"/>
          </w:tcPr>
          <w:p>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w:t>
            </w:r>
          </w:p>
        </w:tc>
        <w:tc>
          <w:tcPr>
            <w:tcW w:w="486" w:type="dxa"/>
            <w:vAlign w:val="center"/>
          </w:tcPr>
          <w:p>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w:t>
            </w:r>
          </w:p>
        </w:tc>
        <w:tc>
          <w:tcPr>
            <w:tcW w:w="576" w:type="dxa"/>
            <w:vAlign w:val="center"/>
          </w:tcPr>
          <w:p>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w:t>
            </w:r>
          </w:p>
        </w:tc>
        <w:tc>
          <w:tcPr>
            <w:tcW w:w="486" w:type="dxa"/>
            <w:vAlign w:val="center"/>
          </w:tcPr>
          <w:p>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w:t>
            </w:r>
          </w:p>
        </w:tc>
        <w:tc>
          <w:tcPr>
            <w:tcW w:w="396" w:type="dxa"/>
            <w:vAlign w:val="center"/>
          </w:tcPr>
          <w:p>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w:t>
            </w:r>
          </w:p>
        </w:tc>
        <w:tc>
          <w:tcPr>
            <w:tcW w:w="486" w:type="dxa"/>
            <w:vAlign w:val="center"/>
          </w:tcPr>
          <w:p>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w:t>
            </w:r>
          </w:p>
        </w:tc>
        <w:tc>
          <w:tcPr>
            <w:tcW w:w="756" w:type="dxa"/>
            <w:vAlign w:val="center"/>
          </w:tcPr>
          <w:p>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w:t>
            </w:r>
          </w:p>
        </w:tc>
        <w:tc>
          <w:tcPr>
            <w:tcW w:w="396" w:type="dxa"/>
            <w:vAlign w:val="center"/>
          </w:tcPr>
          <w:p>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w:t>
            </w:r>
          </w:p>
        </w:tc>
        <w:tc>
          <w:tcPr>
            <w:tcW w:w="486" w:type="dxa"/>
            <w:vAlign w:val="center"/>
          </w:tcPr>
          <w:p>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w:t>
            </w:r>
          </w:p>
        </w:tc>
        <w:tc>
          <w:tcPr>
            <w:tcW w:w="486" w:type="dxa"/>
            <w:vAlign w:val="center"/>
          </w:tcPr>
          <w:p>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w:t>
            </w:r>
          </w:p>
        </w:tc>
        <w:tc>
          <w:tcPr>
            <w:tcW w:w="486" w:type="dxa"/>
            <w:vAlign w:val="center"/>
          </w:tcPr>
          <w:p>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vAlign w:val="center"/>
          </w:tcPr>
          <w:p>
            <w:pPr>
              <w:pStyle w:val="98"/>
              <w:widowControl w:val="0"/>
              <w:shd w:val="clear" w:color="auto" w:fill="auto"/>
              <w:spacing w:before="0" w:after="0" w:line="400" w:lineRule="exact"/>
              <w:rPr>
                <w:rFonts w:asciiTheme="minorEastAsia" w:hAnsiTheme="minorEastAsia" w:eastAsiaTheme="minorEastAsia"/>
                <w:sz w:val="18"/>
                <w:szCs w:val="18"/>
              </w:rPr>
            </w:pPr>
            <w:bookmarkStart w:id="195" w:name="_Toc72997804"/>
            <w:bookmarkStart w:id="196" w:name="_Toc63257881"/>
            <w:r>
              <w:rPr>
                <w:rFonts w:hint="eastAsia" w:asciiTheme="minorEastAsia" w:hAnsiTheme="minorEastAsia" w:eastAsiaTheme="minorEastAsia"/>
                <w:sz w:val="18"/>
                <w:szCs w:val="18"/>
              </w:rPr>
              <w:t>PA</w:t>
            </w:r>
            <w:bookmarkEnd w:id="195"/>
            <w:bookmarkEnd w:id="196"/>
          </w:p>
        </w:tc>
        <w:tc>
          <w:tcPr>
            <w:tcW w:w="48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48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39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48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75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39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75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75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39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48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57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48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39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48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75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39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48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48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48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vAlign w:val="center"/>
          </w:tcPr>
          <w:p>
            <w:pPr>
              <w:pStyle w:val="98"/>
              <w:widowControl w:val="0"/>
              <w:shd w:val="clear" w:color="auto" w:fill="auto"/>
              <w:spacing w:before="0" w:after="0" w:line="400" w:lineRule="exact"/>
              <w:rPr>
                <w:rFonts w:asciiTheme="minorEastAsia" w:hAnsiTheme="minorEastAsia" w:eastAsiaTheme="minorEastAsia"/>
                <w:sz w:val="18"/>
                <w:szCs w:val="18"/>
              </w:rPr>
            </w:pPr>
            <w:bookmarkStart w:id="197" w:name="_Toc72997805"/>
            <w:bookmarkStart w:id="198" w:name="_Toc63257882"/>
            <w:r>
              <w:rPr>
                <w:rFonts w:hint="eastAsia" w:asciiTheme="minorEastAsia" w:hAnsiTheme="minorEastAsia" w:eastAsiaTheme="minorEastAsia"/>
                <w:sz w:val="18"/>
                <w:szCs w:val="18"/>
              </w:rPr>
              <w:t>PBT</w:t>
            </w:r>
            <w:bookmarkEnd w:id="197"/>
            <w:bookmarkEnd w:id="198"/>
          </w:p>
        </w:tc>
        <w:tc>
          <w:tcPr>
            <w:tcW w:w="48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48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39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48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75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39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75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75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39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48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57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48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39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48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75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39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48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48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48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vAlign w:val="center"/>
          </w:tcPr>
          <w:p>
            <w:pPr>
              <w:pStyle w:val="98"/>
              <w:widowControl w:val="0"/>
              <w:shd w:val="clear" w:color="auto" w:fill="auto"/>
              <w:spacing w:before="0" w:after="0" w:line="400" w:lineRule="exact"/>
              <w:rPr>
                <w:rFonts w:asciiTheme="minorEastAsia" w:hAnsiTheme="minorEastAsia" w:eastAsiaTheme="minorEastAsia"/>
                <w:sz w:val="18"/>
                <w:szCs w:val="18"/>
              </w:rPr>
            </w:pPr>
            <w:bookmarkStart w:id="199" w:name="_Toc63257883"/>
            <w:bookmarkStart w:id="200" w:name="_Toc72997806"/>
            <w:r>
              <w:rPr>
                <w:rFonts w:hint="eastAsia" w:asciiTheme="minorEastAsia" w:hAnsiTheme="minorEastAsia" w:eastAsiaTheme="minorEastAsia"/>
                <w:sz w:val="18"/>
                <w:szCs w:val="18"/>
              </w:rPr>
              <w:t>PBT+PC</w:t>
            </w:r>
            <w:bookmarkEnd w:id="199"/>
            <w:bookmarkEnd w:id="200"/>
          </w:p>
        </w:tc>
        <w:tc>
          <w:tcPr>
            <w:tcW w:w="48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48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39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48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75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39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75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75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39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48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57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48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39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48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75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39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48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48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48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vAlign w:val="center"/>
          </w:tcPr>
          <w:p>
            <w:pPr>
              <w:pStyle w:val="98"/>
              <w:widowControl w:val="0"/>
              <w:shd w:val="clear" w:color="auto" w:fill="auto"/>
              <w:spacing w:before="0" w:after="0" w:line="400" w:lineRule="exact"/>
              <w:rPr>
                <w:rFonts w:asciiTheme="minorEastAsia" w:hAnsiTheme="minorEastAsia" w:eastAsiaTheme="minorEastAsia"/>
                <w:sz w:val="18"/>
                <w:szCs w:val="18"/>
              </w:rPr>
            </w:pPr>
            <w:bookmarkStart w:id="201" w:name="_Toc72997807"/>
            <w:bookmarkStart w:id="202" w:name="_Toc63257884"/>
            <w:r>
              <w:rPr>
                <w:rFonts w:hint="eastAsia" w:asciiTheme="minorEastAsia" w:hAnsiTheme="minorEastAsia" w:eastAsiaTheme="minorEastAsia"/>
                <w:sz w:val="18"/>
                <w:szCs w:val="18"/>
              </w:rPr>
              <w:t>PC</w:t>
            </w:r>
            <w:bookmarkEnd w:id="201"/>
            <w:bookmarkEnd w:id="202"/>
          </w:p>
        </w:tc>
        <w:tc>
          <w:tcPr>
            <w:tcW w:w="48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48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39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48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75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39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75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75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39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48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57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48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39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48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75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39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48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48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48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vAlign w:val="center"/>
          </w:tcPr>
          <w:p>
            <w:pPr>
              <w:pStyle w:val="98"/>
              <w:widowControl w:val="0"/>
              <w:shd w:val="clear" w:color="auto" w:fill="auto"/>
              <w:spacing w:before="0" w:after="0" w:line="400" w:lineRule="exact"/>
              <w:rPr>
                <w:rFonts w:asciiTheme="minorEastAsia" w:hAnsiTheme="minorEastAsia" w:eastAsiaTheme="minorEastAsia"/>
                <w:sz w:val="18"/>
                <w:szCs w:val="18"/>
              </w:rPr>
            </w:pPr>
            <w:bookmarkStart w:id="203" w:name="_Toc72997808"/>
            <w:bookmarkStart w:id="204" w:name="_Toc63257885"/>
            <w:r>
              <w:rPr>
                <w:rFonts w:hint="eastAsia" w:asciiTheme="minorEastAsia" w:hAnsiTheme="minorEastAsia" w:eastAsiaTheme="minorEastAsia"/>
                <w:sz w:val="18"/>
                <w:szCs w:val="18"/>
              </w:rPr>
              <w:t>PC+ABS</w:t>
            </w:r>
            <w:bookmarkEnd w:id="203"/>
            <w:bookmarkEnd w:id="204"/>
          </w:p>
        </w:tc>
        <w:tc>
          <w:tcPr>
            <w:tcW w:w="48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48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39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48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75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39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75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75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39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48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57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48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39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48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75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39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48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48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48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vAlign w:val="center"/>
          </w:tcPr>
          <w:p>
            <w:pPr>
              <w:pStyle w:val="98"/>
              <w:widowControl w:val="0"/>
              <w:shd w:val="clear" w:color="auto" w:fill="auto"/>
              <w:spacing w:before="0" w:after="0" w:line="400" w:lineRule="exact"/>
              <w:rPr>
                <w:rFonts w:asciiTheme="minorEastAsia" w:hAnsiTheme="minorEastAsia" w:eastAsiaTheme="minorEastAsia"/>
                <w:sz w:val="18"/>
                <w:szCs w:val="18"/>
              </w:rPr>
            </w:pPr>
            <w:bookmarkStart w:id="205" w:name="_Toc72997809"/>
            <w:bookmarkStart w:id="206" w:name="_Toc63257886"/>
            <w:r>
              <w:rPr>
                <w:rFonts w:hint="eastAsia" w:asciiTheme="minorEastAsia" w:hAnsiTheme="minorEastAsia" w:eastAsiaTheme="minorEastAsia"/>
                <w:sz w:val="18"/>
                <w:szCs w:val="18"/>
              </w:rPr>
              <w:t>PC+PBT</w:t>
            </w:r>
            <w:bookmarkEnd w:id="205"/>
            <w:bookmarkEnd w:id="206"/>
          </w:p>
        </w:tc>
        <w:tc>
          <w:tcPr>
            <w:tcW w:w="48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48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39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48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75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39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75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75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39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48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57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48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39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48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75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39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48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48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48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vAlign w:val="center"/>
          </w:tcPr>
          <w:p>
            <w:pPr>
              <w:pStyle w:val="98"/>
              <w:widowControl w:val="0"/>
              <w:shd w:val="clear" w:color="auto" w:fill="auto"/>
              <w:spacing w:before="0" w:after="0" w:line="400" w:lineRule="exact"/>
              <w:rPr>
                <w:rFonts w:asciiTheme="minorEastAsia" w:hAnsiTheme="minorEastAsia" w:eastAsiaTheme="minorEastAsia"/>
                <w:sz w:val="18"/>
                <w:szCs w:val="18"/>
              </w:rPr>
            </w:pPr>
            <w:bookmarkStart w:id="207" w:name="_Toc63257887"/>
            <w:bookmarkStart w:id="208" w:name="_Toc72997810"/>
            <w:r>
              <w:rPr>
                <w:rFonts w:hint="eastAsia" w:asciiTheme="minorEastAsia" w:hAnsiTheme="minorEastAsia" w:eastAsiaTheme="minorEastAsia"/>
                <w:sz w:val="18"/>
                <w:szCs w:val="18"/>
              </w:rPr>
              <w:t>PE</w:t>
            </w:r>
            <w:bookmarkEnd w:id="207"/>
            <w:bookmarkEnd w:id="208"/>
          </w:p>
        </w:tc>
        <w:tc>
          <w:tcPr>
            <w:tcW w:w="48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48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39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48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75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39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75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75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39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48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57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48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39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48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75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39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48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48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48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vAlign w:val="center"/>
          </w:tcPr>
          <w:p>
            <w:pPr>
              <w:pStyle w:val="98"/>
              <w:widowControl w:val="0"/>
              <w:shd w:val="clear" w:color="auto" w:fill="auto"/>
              <w:spacing w:before="0" w:after="0" w:line="400" w:lineRule="exact"/>
              <w:rPr>
                <w:rFonts w:asciiTheme="minorEastAsia" w:hAnsiTheme="minorEastAsia" w:eastAsiaTheme="minorEastAsia"/>
                <w:sz w:val="18"/>
                <w:szCs w:val="18"/>
              </w:rPr>
            </w:pPr>
            <w:bookmarkStart w:id="209" w:name="_Toc63257888"/>
            <w:bookmarkStart w:id="210" w:name="_Toc72997811"/>
            <w:r>
              <w:rPr>
                <w:rFonts w:hint="eastAsia" w:asciiTheme="minorEastAsia" w:hAnsiTheme="minorEastAsia" w:eastAsiaTheme="minorEastAsia"/>
                <w:sz w:val="18"/>
                <w:szCs w:val="18"/>
              </w:rPr>
              <w:t>PET</w:t>
            </w:r>
            <w:bookmarkEnd w:id="209"/>
            <w:bookmarkEnd w:id="210"/>
          </w:p>
        </w:tc>
        <w:tc>
          <w:tcPr>
            <w:tcW w:w="486" w:type="dxa"/>
            <w:vAlign w:val="center"/>
          </w:tcPr>
          <w:p>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w:t>
            </w:r>
          </w:p>
        </w:tc>
        <w:tc>
          <w:tcPr>
            <w:tcW w:w="486" w:type="dxa"/>
            <w:vAlign w:val="center"/>
          </w:tcPr>
          <w:p>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w:t>
            </w:r>
          </w:p>
        </w:tc>
        <w:tc>
          <w:tcPr>
            <w:tcW w:w="396" w:type="dxa"/>
            <w:vAlign w:val="center"/>
          </w:tcPr>
          <w:p>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w:t>
            </w:r>
          </w:p>
        </w:tc>
        <w:tc>
          <w:tcPr>
            <w:tcW w:w="486" w:type="dxa"/>
            <w:vAlign w:val="center"/>
          </w:tcPr>
          <w:p>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w:t>
            </w:r>
          </w:p>
        </w:tc>
        <w:tc>
          <w:tcPr>
            <w:tcW w:w="756" w:type="dxa"/>
            <w:vAlign w:val="center"/>
          </w:tcPr>
          <w:p>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w:t>
            </w:r>
          </w:p>
        </w:tc>
        <w:tc>
          <w:tcPr>
            <w:tcW w:w="396" w:type="dxa"/>
            <w:vAlign w:val="center"/>
          </w:tcPr>
          <w:p>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w:t>
            </w:r>
          </w:p>
        </w:tc>
        <w:tc>
          <w:tcPr>
            <w:tcW w:w="756" w:type="dxa"/>
            <w:vAlign w:val="center"/>
          </w:tcPr>
          <w:p>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w:t>
            </w:r>
          </w:p>
        </w:tc>
        <w:tc>
          <w:tcPr>
            <w:tcW w:w="756" w:type="dxa"/>
            <w:vAlign w:val="center"/>
          </w:tcPr>
          <w:p>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w:t>
            </w:r>
          </w:p>
        </w:tc>
        <w:tc>
          <w:tcPr>
            <w:tcW w:w="396" w:type="dxa"/>
            <w:vAlign w:val="center"/>
          </w:tcPr>
          <w:p>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w:t>
            </w:r>
          </w:p>
        </w:tc>
        <w:tc>
          <w:tcPr>
            <w:tcW w:w="486" w:type="dxa"/>
            <w:vAlign w:val="center"/>
          </w:tcPr>
          <w:p>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w:t>
            </w:r>
          </w:p>
        </w:tc>
        <w:tc>
          <w:tcPr>
            <w:tcW w:w="576" w:type="dxa"/>
            <w:vAlign w:val="center"/>
          </w:tcPr>
          <w:p>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w:t>
            </w:r>
          </w:p>
        </w:tc>
        <w:tc>
          <w:tcPr>
            <w:tcW w:w="486" w:type="dxa"/>
            <w:vAlign w:val="center"/>
          </w:tcPr>
          <w:p>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w:t>
            </w:r>
          </w:p>
        </w:tc>
        <w:tc>
          <w:tcPr>
            <w:tcW w:w="396" w:type="dxa"/>
            <w:vAlign w:val="center"/>
          </w:tcPr>
          <w:p>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w:t>
            </w:r>
          </w:p>
        </w:tc>
        <w:tc>
          <w:tcPr>
            <w:tcW w:w="486" w:type="dxa"/>
            <w:vAlign w:val="center"/>
          </w:tcPr>
          <w:p>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w:t>
            </w:r>
          </w:p>
        </w:tc>
        <w:tc>
          <w:tcPr>
            <w:tcW w:w="756" w:type="dxa"/>
            <w:vAlign w:val="center"/>
          </w:tcPr>
          <w:p>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w:t>
            </w:r>
          </w:p>
        </w:tc>
        <w:tc>
          <w:tcPr>
            <w:tcW w:w="396" w:type="dxa"/>
            <w:vAlign w:val="center"/>
          </w:tcPr>
          <w:p>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w:t>
            </w:r>
          </w:p>
        </w:tc>
        <w:tc>
          <w:tcPr>
            <w:tcW w:w="486" w:type="dxa"/>
            <w:vAlign w:val="center"/>
          </w:tcPr>
          <w:p>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w:t>
            </w:r>
          </w:p>
        </w:tc>
        <w:tc>
          <w:tcPr>
            <w:tcW w:w="486" w:type="dxa"/>
            <w:vAlign w:val="center"/>
          </w:tcPr>
          <w:p>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w:t>
            </w:r>
          </w:p>
        </w:tc>
        <w:tc>
          <w:tcPr>
            <w:tcW w:w="486" w:type="dxa"/>
            <w:vAlign w:val="center"/>
          </w:tcPr>
          <w:p>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vAlign w:val="center"/>
          </w:tcPr>
          <w:p>
            <w:pPr>
              <w:pStyle w:val="98"/>
              <w:widowControl w:val="0"/>
              <w:shd w:val="clear" w:color="auto" w:fill="auto"/>
              <w:spacing w:before="0" w:after="0" w:line="400" w:lineRule="exact"/>
              <w:rPr>
                <w:rFonts w:asciiTheme="minorEastAsia" w:hAnsiTheme="minorEastAsia" w:eastAsiaTheme="minorEastAsia"/>
                <w:sz w:val="18"/>
                <w:szCs w:val="18"/>
              </w:rPr>
            </w:pPr>
            <w:bookmarkStart w:id="211" w:name="_Toc63257889"/>
            <w:bookmarkStart w:id="212" w:name="_Toc72997812"/>
            <w:r>
              <w:rPr>
                <w:rFonts w:hint="eastAsia" w:asciiTheme="minorEastAsia" w:hAnsiTheme="minorEastAsia" w:eastAsiaTheme="minorEastAsia"/>
                <w:sz w:val="18"/>
                <w:szCs w:val="18"/>
              </w:rPr>
              <w:t>PMMA</w:t>
            </w:r>
            <w:bookmarkEnd w:id="211"/>
            <w:bookmarkEnd w:id="212"/>
          </w:p>
        </w:tc>
        <w:tc>
          <w:tcPr>
            <w:tcW w:w="48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48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39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48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75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39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75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75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39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48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57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48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39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48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75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39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48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48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48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vAlign w:val="center"/>
          </w:tcPr>
          <w:p>
            <w:pPr>
              <w:pStyle w:val="98"/>
              <w:widowControl w:val="0"/>
              <w:shd w:val="clear" w:color="auto" w:fill="auto"/>
              <w:spacing w:before="0" w:after="0" w:line="400" w:lineRule="exact"/>
              <w:rPr>
                <w:rFonts w:asciiTheme="minorEastAsia" w:hAnsiTheme="minorEastAsia" w:eastAsiaTheme="minorEastAsia"/>
                <w:sz w:val="18"/>
                <w:szCs w:val="18"/>
              </w:rPr>
            </w:pPr>
            <w:bookmarkStart w:id="213" w:name="_Toc72997813"/>
            <w:bookmarkStart w:id="214" w:name="_Toc63257890"/>
            <w:r>
              <w:rPr>
                <w:rFonts w:hint="eastAsia" w:asciiTheme="minorEastAsia" w:hAnsiTheme="minorEastAsia" w:eastAsiaTheme="minorEastAsia"/>
                <w:sz w:val="18"/>
                <w:szCs w:val="18"/>
              </w:rPr>
              <w:t>POM</w:t>
            </w:r>
            <w:bookmarkEnd w:id="213"/>
            <w:bookmarkEnd w:id="214"/>
          </w:p>
        </w:tc>
        <w:tc>
          <w:tcPr>
            <w:tcW w:w="48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48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39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48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75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39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75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75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39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48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57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48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39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48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75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39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48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48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48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0" w:type="dxa"/>
            <w:gridSpan w:val="20"/>
            <w:tcBorders>
              <w:top w:val="nil"/>
              <w:left w:val="nil"/>
              <w:bottom w:val="nil"/>
              <w:right w:val="nil"/>
            </w:tcBorders>
            <w:vAlign w:val="center"/>
          </w:tcPr>
          <w:p>
            <w:pPr>
              <w:pStyle w:val="68"/>
              <w:keepNext w:val="0"/>
              <w:keepLines w:val="0"/>
              <w:pageBreakBefore w:val="0"/>
              <w:widowControl/>
              <w:kinsoku/>
              <w:wordWrap/>
              <w:overflowPunct/>
              <w:topLinePunct w:val="0"/>
              <w:autoSpaceDE w:val="0"/>
              <w:autoSpaceDN w:val="0"/>
              <w:bidi w:val="0"/>
              <w:adjustRightInd/>
              <w:snapToGrid/>
              <w:spacing w:line="264" w:lineRule="auto"/>
              <w:ind w:firstLine="420"/>
              <w:jc w:val="center"/>
              <w:textAlignment w:val="auto"/>
              <w:rPr>
                <w:rFonts w:hint="eastAsia" w:ascii="黑体" w:hAnsi="黑体" w:eastAsia="黑体"/>
              </w:rPr>
            </w:pPr>
            <w:bookmarkStart w:id="215" w:name="_Toc72997814"/>
            <w:bookmarkStart w:id="216" w:name="_Toc63257891"/>
          </w:p>
          <w:p>
            <w:pPr>
              <w:pStyle w:val="68"/>
              <w:keepNext w:val="0"/>
              <w:keepLines w:val="0"/>
              <w:pageBreakBefore w:val="0"/>
              <w:widowControl/>
              <w:kinsoku/>
              <w:wordWrap/>
              <w:overflowPunct/>
              <w:topLinePunct w:val="0"/>
              <w:autoSpaceDE w:val="0"/>
              <w:autoSpaceDN w:val="0"/>
              <w:bidi w:val="0"/>
              <w:adjustRightInd/>
              <w:snapToGrid/>
              <w:spacing w:line="264" w:lineRule="auto"/>
              <w:ind w:firstLine="420"/>
              <w:jc w:val="center"/>
              <w:textAlignment w:val="auto"/>
              <w:rPr>
                <w:rFonts w:hint="eastAsia" w:eastAsia="黑体" w:cs="Times New Roman" w:asciiTheme="minorEastAsia" w:hAnsiTheme="minorEastAsia"/>
                <w:b/>
                <w:bCs/>
                <w:sz w:val="18"/>
                <w:szCs w:val="18"/>
                <w:lang w:val="en-US" w:eastAsia="zh-CN"/>
              </w:rPr>
            </w:pPr>
            <w:r>
              <w:rPr>
                <w:rFonts w:hint="eastAsia" w:ascii="黑体" w:hAnsi="黑体" w:eastAsia="黑体"/>
              </w:rPr>
              <w:t xml:space="preserve">表C.1 </w:t>
            </w:r>
            <w:r>
              <w:rPr>
                <w:rFonts w:hint="eastAsia" w:ascii="黑体" w:hAnsi="黑体" w:eastAsia="黑体"/>
                <w:lang w:val="en-US" w:eastAsia="zh-CN"/>
              </w:rPr>
              <w:t xml:space="preserve"> </w:t>
            </w:r>
            <w:r>
              <w:rPr>
                <w:rFonts w:hint="eastAsia" w:ascii="黑体" w:hAnsi="黑体" w:eastAsia="黑体"/>
              </w:rPr>
              <w:t>不同热塑性塑料的相容性</w:t>
            </w:r>
            <w:r>
              <w:rPr>
                <w:rFonts w:hint="eastAsia" w:ascii="黑体" w:hAnsi="黑体" w:eastAsia="黑体"/>
                <w:lang w:val="en-US" w:eastAsia="zh-CN"/>
              </w:rPr>
              <w:t>（续）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0" w:type="dxa"/>
            <w:gridSpan w:val="20"/>
            <w:tcBorders>
              <w:top w:val="nil"/>
              <w:left w:val="nil"/>
              <w:bottom w:val="single" w:color="auto" w:sz="4" w:space="0"/>
              <w:right w:val="nil"/>
            </w:tcBorders>
            <w:vAlign w:val="center"/>
          </w:tcPr>
          <w:p>
            <w:pPr>
              <w:jc w:val="center"/>
              <w:rPr>
                <w:rFonts w:hint="eastAsia" w:cs="Times New Roman"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vMerge w:val="restart"/>
            <w:tcBorders>
              <w:top w:val="single" w:color="auto" w:sz="4" w:space="0"/>
              <w:left w:val="single" w:color="auto" w:sz="4" w:space="0"/>
              <w:right w:val="single" w:color="auto" w:sz="4" w:space="0"/>
            </w:tcBorders>
            <w:vAlign w:val="center"/>
          </w:tcPr>
          <w:p>
            <w:pPr>
              <w:pStyle w:val="98"/>
              <w:widowControl w:val="0"/>
              <w:shd w:val="clear" w:color="auto" w:fill="auto"/>
              <w:spacing w:before="0" w:after="0" w:line="400" w:lineRule="exact"/>
              <w:ind w:left="0" w:leftChars="0" w:firstLine="0" w:firstLineChars="0"/>
              <w:jc w:val="center"/>
              <w:rPr>
                <w:rFonts w:hint="eastAsia" w:cs="Times New Roman" w:asciiTheme="minorEastAsia" w:hAnsiTheme="minorEastAsia" w:eastAsiaTheme="minorEastAsia"/>
                <w:sz w:val="18"/>
                <w:szCs w:val="18"/>
              </w:rPr>
            </w:pPr>
            <w:r>
              <w:rPr>
                <w:rFonts w:hint="eastAsia" w:ascii="宋体" w:hAnsi="宋体" w:eastAsia="宋体"/>
                <w:sz w:val="18"/>
                <w:szCs w:val="18"/>
              </w:rPr>
              <w:t>基础</w:t>
            </w:r>
            <w:r>
              <w:rPr>
                <w:rFonts w:hint="eastAsia" w:ascii="宋体" w:hAnsi="宋体" w:eastAsia="宋体"/>
                <w:sz w:val="18"/>
                <w:szCs w:val="18"/>
                <w:lang w:val="en-US" w:eastAsia="zh-CN"/>
              </w:rPr>
              <w:t xml:space="preserve"> </w:t>
            </w:r>
            <w:r>
              <w:rPr>
                <w:rFonts w:hint="eastAsia" w:ascii="宋体" w:hAnsi="宋体" w:eastAsia="宋体"/>
                <w:sz w:val="18"/>
                <w:szCs w:val="18"/>
              </w:rPr>
              <w:t>材料</w:t>
            </w:r>
          </w:p>
        </w:tc>
        <w:tc>
          <w:tcPr>
            <w:tcW w:w="9954" w:type="dxa"/>
            <w:gridSpan w:val="19"/>
            <w:tcBorders>
              <w:top w:val="single" w:color="auto" w:sz="4" w:space="0"/>
              <w:left w:val="single" w:color="auto" w:sz="4" w:space="0"/>
              <w:bottom w:val="single" w:color="auto" w:sz="4" w:space="0"/>
              <w:right w:val="single" w:color="auto" w:sz="4" w:space="0"/>
            </w:tcBorders>
            <w:vAlign w:val="top"/>
          </w:tcPr>
          <w:p>
            <w:pPr>
              <w:pStyle w:val="98"/>
              <w:widowControl w:val="0"/>
              <w:shd w:val="clear" w:color="auto" w:fill="auto"/>
              <w:spacing w:before="0" w:after="0" w:line="400" w:lineRule="exact"/>
              <w:ind w:left="0" w:leftChars="0" w:firstLine="0" w:firstLineChars="0"/>
              <w:rPr>
                <w:rFonts w:hint="eastAsia" w:ascii="宋体" w:hAnsi="宋体" w:eastAsia="宋体" w:cs="Times New Roman"/>
                <w:sz w:val="18"/>
                <w:szCs w:val="18"/>
                <w:lang w:val="en-US" w:eastAsia="zh-CN" w:bidi="ar-SA"/>
              </w:rPr>
            </w:pPr>
            <w:r>
              <w:rPr>
                <w:rFonts w:hint="eastAsia" w:ascii="宋体" w:hAnsi="宋体" w:eastAsia="宋体"/>
                <w:sz w:val="18"/>
                <w:szCs w:val="18"/>
              </w:rPr>
              <w:t>添加材料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vMerge w:val="continue"/>
            <w:tcBorders>
              <w:left w:val="single" w:color="auto" w:sz="4" w:space="0"/>
              <w:right w:val="single" w:color="auto" w:sz="4" w:space="0"/>
            </w:tcBorders>
            <w:vAlign w:val="center"/>
          </w:tcPr>
          <w:p>
            <w:pPr>
              <w:jc w:val="center"/>
              <w:rPr>
                <w:rFonts w:hint="eastAsia" w:cs="Times New Roman" w:asciiTheme="minorEastAsia" w:hAnsiTheme="minorEastAsia" w:eastAsiaTheme="minorEastAsia"/>
                <w:sz w:val="18"/>
                <w:szCs w:val="18"/>
              </w:rPr>
            </w:pPr>
          </w:p>
        </w:tc>
        <w:tc>
          <w:tcPr>
            <w:tcW w:w="486" w:type="dxa"/>
            <w:tcBorders>
              <w:top w:val="single" w:color="auto" w:sz="4" w:space="0"/>
              <w:left w:val="single" w:color="auto" w:sz="4" w:space="0"/>
              <w:right w:val="single" w:color="auto" w:sz="4" w:space="0"/>
            </w:tcBorders>
            <w:vAlign w:val="top"/>
          </w:tcPr>
          <w:p>
            <w:pPr>
              <w:pStyle w:val="98"/>
              <w:widowControl w:val="0"/>
              <w:shd w:val="clear" w:color="auto" w:fill="auto"/>
              <w:spacing w:before="0" w:after="0" w:line="400" w:lineRule="exact"/>
              <w:ind w:left="0" w:leftChars="0" w:firstLine="0" w:firstLineChars="0"/>
              <w:jc w:val="left"/>
              <w:rPr>
                <w:rFonts w:hint="eastAsia" w:ascii="宋体" w:hAnsi="宋体" w:eastAsia="宋体" w:cs="Times New Roman"/>
                <w:sz w:val="18"/>
                <w:szCs w:val="18"/>
                <w:lang w:val="en-US" w:eastAsia="zh-CN" w:bidi="ar-SA"/>
              </w:rPr>
            </w:pPr>
            <w:r>
              <w:rPr>
                <w:rFonts w:hint="eastAsia" w:ascii="宋体" w:hAnsi="宋体" w:eastAsia="宋体"/>
                <w:sz w:val="18"/>
                <w:szCs w:val="18"/>
              </w:rPr>
              <w:t>ABS</w:t>
            </w:r>
          </w:p>
        </w:tc>
        <w:tc>
          <w:tcPr>
            <w:tcW w:w="486" w:type="dxa"/>
            <w:tcBorders>
              <w:top w:val="single" w:color="auto" w:sz="4" w:space="0"/>
              <w:left w:val="single" w:color="auto" w:sz="4" w:space="0"/>
              <w:right w:val="single" w:color="auto" w:sz="4" w:space="0"/>
            </w:tcBorders>
            <w:vAlign w:val="top"/>
          </w:tcPr>
          <w:p>
            <w:pPr>
              <w:pStyle w:val="98"/>
              <w:widowControl w:val="0"/>
              <w:shd w:val="clear" w:color="auto" w:fill="auto"/>
              <w:spacing w:before="0" w:after="0" w:line="400" w:lineRule="exact"/>
              <w:ind w:left="0" w:leftChars="0" w:firstLine="0" w:firstLineChars="0"/>
              <w:jc w:val="left"/>
              <w:rPr>
                <w:rFonts w:hint="eastAsia" w:ascii="宋体" w:hAnsi="宋体" w:eastAsia="宋体" w:cs="Times New Roman"/>
                <w:sz w:val="18"/>
                <w:szCs w:val="18"/>
                <w:lang w:val="en-US" w:eastAsia="zh-CN" w:bidi="ar-SA"/>
              </w:rPr>
            </w:pPr>
            <w:r>
              <w:rPr>
                <w:rFonts w:hint="eastAsia" w:ascii="宋体" w:hAnsi="宋体" w:eastAsia="宋体"/>
                <w:sz w:val="18"/>
                <w:szCs w:val="18"/>
              </w:rPr>
              <w:t>ASA</w:t>
            </w:r>
          </w:p>
        </w:tc>
        <w:tc>
          <w:tcPr>
            <w:tcW w:w="396" w:type="dxa"/>
            <w:tcBorders>
              <w:top w:val="single" w:color="auto" w:sz="4" w:space="0"/>
              <w:left w:val="single" w:color="auto" w:sz="4" w:space="0"/>
              <w:right w:val="single" w:color="auto" w:sz="4" w:space="0"/>
            </w:tcBorders>
            <w:vAlign w:val="top"/>
          </w:tcPr>
          <w:p>
            <w:pPr>
              <w:pStyle w:val="98"/>
              <w:widowControl w:val="0"/>
              <w:shd w:val="clear" w:color="auto" w:fill="auto"/>
              <w:spacing w:before="0" w:after="0" w:line="400" w:lineRule="exact"/>
              <w:ind w:left="0" w:leftChars="0" w:firstLine="0" w:firstLineChars="0"/>
              <w:jc w:val="left"/>
              <w:rPr>
                <w:rFonts w:hint="eastAsia" w:ascii="宋体" w:hAnsi="宋体" w:eastAsia="宋体" w:cs="Times New Roman"/>
                <w:sz w:val="18"/>
                <w:szCs w:val="18"/>
                <w:lang w:val="en-US" w:eastAsia="zh-CN" w:bidi="ar-SA"/>
              </w:rPr>
            </w:pPr>
            <w:r>
              <w:rPr>
                <w:rFonts w:hint="eastAsia" w:ascii="宋体" w:hAnsi="宋体" w:eastAsia="宋体"/>
                <w:sz w:val="18"/>
                <w:szCs w:val="18"/>
              </w:rPr>
              <w:t>PA</w:t>
            </w:r>
          </w:p>
        </w:tc>
        <w:tc>
          <w:tcPr>
            <w:tcW w:w="486" w:type="dxa"/>
            <w:tcBorders>
              <w:top w:val="single" w:color="auto" w:sz="4" w:space="0"/>
              <w:left w:val="single" w:color="auto" w:sz="4" w:space="0"/>
              <w:right w:val="single" w:color="auto" w:sz="4" w:space="0"/>
            </w:tcBorders>
            <w:vAlign w:val="top"/>
          </w:tcPr>
          <w:p>
            <w:pPr>
              <w:pStyle w:val="98"/>
              <w:widowControl w:val="0"/>
              <w:shd w:val="clear" w:color="auto" w:fill="auto"/>
              <w:spacing w:before="0" w:after="0" w:line="400" w:lineRule="exact"/>
              <w:ind w:left="0" w:leftChars="0" w:firstLine="0" w:firstLineChars="0"/>
              <w:jc w:val="left"/>
              <w:rPr>
                <w:rFonts w:hint="eastAsia" w:ascii="宋体" w:hAnsi="宋体" w:eastAsia="宋体" w:cs="Times New Roman"/>
                <w:sz w:val="18"/>
                <w:szCs w:val="18"/>
                <w:lang w:val="en-US" w:eastAsia="zh-CN" w:bidi="ar-SA"/>
              </w:rPr>
            </w:pPr>
            <w:r>
              <w:rPr>
                <w:rFonts w:hint="eastAsia" w:ascii="宋体" w:hAnsi="宋体" w:eastAsia="宋体"/>
                <w:sz w:val="18"/>
                <w:szCs w:val="18"/>
              </w:rPr>
              <w:t>PBT</w:t>
            </w:r>
          </w:p>
        </w:tc>
        <w:tc>
          <w:tcPr>
            <w:tcW w:w="756" w:type="dxa"/>
            <w:tcBorders>
              <w:top w:val="single" w:color="auto" w:sz="4" w:space="0"/>
              <w:left w:val="single" w:color="auto" w:sz="4" w:space="0"/>
              <w:right w:val="single" w:color="auto" w:sz="4" w:space="0"/>
            </w:tcBorders>
            <w:vAlign w:val="top"/>
          </w:tcPr>
          <w:p>
            <w:pPr>
              <w:pStyle w:val="98"/>
              <w:widowControl w:val="0"/>
              <w:shd w:val="clear" w:color="auto" w:fill="auto"/>
              <w:spacing w:before="0" w:after="0" w:line="400" w:lineRule="exact"/>
              <w:ind w:left="0" w:leftChars="0" w:firstLine="0" w:firstLineChars="0"/>
              <w:jc w:val="left"/>
              <w:rPr>
                <w:rFonts w:hint="eastAsia" w:ascii="宋体" w:hAnsi="宋体" w:eastAsia="宋体" w:cs="Times New Roman"/>
                <w:sz w:val="18"/>
                <w:szCs w:val="18"/>
                <w:lang w:val="en-US" w:eastAsia="zh-CN" w:bidi="ar-SA"/>
              </w:rPr>
            </w:pPr>
            <w:r>
              <w:rPr>
                <w:rFonts w:hint="eastAsia" w:ascii="宋体" w:hAnsi="宋体" w:eastAsia="宋体"/>
                <w:sz w:val="18"/>
                <w:szCs w:val="18"/>
              </w:rPr>
              <w:t>PBT+PC</w:t>
            </w:r>
          </w:p>
        </w:tc>
        <w:tc>
          <w:tcPr>
            <w:tcW w:w="396" w:type="dxa"/>
            <w:tcBorders>
              <w:top w:val="single" w:color="auto" w:sz="4" w:space="0"/>
              <w:left w:val="single" w:color="auto" w:sz="4" w:space="0"/>
              <w:right w:val="single" w:color="auto" w:sz="4" w:space="0"/>
            </w:tcBorders>
            <w:vAlign w:val="top"/>
          </w:tcPr>
          <w:p>
            <w:pPr>
              <w:pStyle w:val="98"/>
              <w:widowControl w:val="0"/>
              <w:shd w:val="clear" w:color="auto" w:fill="auto"/>
              <w:spacing w:before="0" w:after="0" w:line="400" w:lineRule="exact"/>
              <w:ind w:left="0" w:leftChars="0" w:firstLine="0" w:firstLineChars="0"/>
              <w:jc w:val="left"/>
              <w:rPr>
                <w:rFonts w:hint="eastAsia" w:ascii="宋体" w:hAnsi="宋体" w:eastAsia="宋体" w:cs="Times New Roman"/>
                <w:sz w:val="18"/>
                <w:szCs w:val="18"/>
                <w:lang w:val="en-US" w:eastAsia="zh-CN" w:bidi="ar-SA"/>
              </w:rPr>
            </w:pPr>
            <w:r>
              <w:rPr>
                <w:rFonts w:hint="eastAsia" w:ascii="宋体" w:hAnsi="宋体" w:eastAsia="宋体"/>
                <w:sz w:val="18"/>
                <w:szCs w:val="18"/>
              </w:rPr>
              <w:t>PC</w:t>
            </w:r>
          </w:p>
        </w:tc>
        <w:tc>
          <w:tcPr>
            <w:tcW w:w="756" w:type="dxa"/>
            <w:tcBorders>
              <w:top w:val="single" w:color="auto" w:sz="4" w:space="0"/>
              <w:left w:val="single" w:color="auto" w:sz="4" w:space="0"/>
              <w:right w:val="single" w:color="auto" w:sz="4" w:space="0"/>
            </w:tcBorders>
            <w:vAlign w:val="top"/>
          </w:tcPr>
          <w:p>
            <w:pPr>
              <w:pStyle w:val="98"/>
              <w:widowControl w:val="0"/>
              <w:shd w:val="clear" w:color="auto" w:fill="auto"/>
              <w:spacing w:before="0" w:after="0" w:line="400" w:lineRule="exact"/>
              <w:ind w:left="0" w:leftChars="0" w:firstLine="0" w:firstLineChars="0"/>
              <w:jc w:val="left"/>
              <w:rPr>
                <w:rFonts w:hint="eastAsia" w:ascii="宋体" w:hAnsi="宋体" w:eastAsia="宋体" w:cs="Times New Roman"/>
                <w:sz w:val="18"/>
                <w:szCs w:val="18"/>
                <w:lang w:val="en-US" w:eastAsia="zh-CN" w:bidi="ar-SA"/>
              </w:rPr>
            </w:pPr>
            <w:r>
              <w:rPr>
                <w:rFonts w:hint="eastAsia" w:ascii="宋体" w:hAnsi="宋体" w:eastAsia="宋体"/>
                <w:sz w:val="18"/>
                <w:szCs w:val="18"/>
              </w:rPr>
              <w:t>PC+ABS</w:t>
            </w:r>
          </w:p>
        </w:tc>
        <w:tc>
          <w:tcPr>
            <w:tcW w:w="756" w:type="dxa"/>
            <w:tcBorders>
              <w:top w:val="single" w:color="auto" w:sz="4" w:space="0"/>
              <w:left w:val="single" w:color="auto" w:sz="4" w:space="0"/>
              <w:right w:val="single" w:color="auto" w:sz="4" w:space="0"/>
            </w:tcBorders>
            <w:vAlign w:val="top"/>
          </w:tcPr>
          <w:p>
            <w:pPr>
              <w:pStyle w:val="98"/>
              <w:widowControl w:val="0"/>
              <w:shd w:val="clear" w:color="auto" w:fill="auto"/>
              <w:spacing w:before="0" w:after="0" w:line="400" w:lineRule="exact"/>
              <w:ind w:left="0" w:leftChars="0" w:firstLine="0" w:firstLineChars="0"/>
              <w:jc w:val="left"/>
              <w:rPr>
                <w:rFonts w:hint="eastAsia" w:ascii="宋体" w:hAnsi="宋体" w:eastAsia="宋体" w:cs="Times New Roman"/>
                <w:sz w:val="18"/>
                <w:szCs w:val="18"/>
                <w:lang w:val="en-US" w:eastAsia="zh-CN" w:bidi="ar-SA"/>
              </w:rPr>
            </w:pPr>
            <w:r>
              <w:rPr>
                <w:rFonts w:hint="eastAsia" w:ascii="宋体" w:hAnsi="宋体" w:eastAsia="宋体"/>
                <w:sz w:val="18"/>
                <w:szCs w:val="18"/>
              </w:rPr>
              <w:t>PC+PBT</w:t>
            </w:r>
          </w:p>
        </w:tc>
        <w:tc>
          <w:tcPr>
            <w:tcW w:w="396" w:type="dxa"/>
            <w:tcBorders>
              <w:top w:val="single" w:color="auto" w:sz="4" w:space="0"/>
              <w:left w:val="single" w:color="auto" w:sz="4" w:space="0"/>
              <w:right w:val="single" w:color="auto" w:sz="4" w:space="0"/>
            </w:tcBorders>
            <w:vAlign w:val="top"/>
          </w:tcPr>
          <w:p>
            <w:pPr>
              <w:pStyle w:val="98"/>
              <w:widowControl w:val="0"/>
              <w:shd w:val="clear" w:color="auto" w:fill="auto"/>
              <w:spacing w:before="0" w:after="0" w:line="400" w:lineRule="exact"/>
              <w:ind w:left="0" w:leftChars="0" w:firstLine="0" w:firstLineChars="0"/>
              <w:jc w:val="left"/>
              <w:rPr>
                <w:rFonts w:hint="eastAsia" w:ascii="宋体" w:hAnsi="宋体" w:eastAsia="宋体" w:cs="Times New Roman"/>
                <w:sz w:val="18"/>
                <w:szCs w:val="18"/>
                <w:lang w:val="en-US" w:eastAsia="zh-CN" w:bidi="ar-SA"/>
              </w:rPr>
            </w:pPr>
            <w:r>
              <w:rPr>
                <w:rFonts w:hint="eastAsia" w:ascii="宋体" w:hAnsi="宋体" w:eastAsia="宋体"/>
                <w:sz w:val="18"/>
                <w:szCs w:val="18"/>
              </w:rPr>
              <w:t>PE</w:t>
            </w:r>
          </w:p>
        </w:tc>
        <w:tc>
          <w:tcPr>
            <w:tcW w:w="486" w:type="dxa"/>
            <w:tcBorders>
              <w:top w:val="single" w:color="auto" w:sz="4" w:space="0"/>
              <w:left w:val="single" w:color="auto" w:sz="4" w:space="0"/>
              <w:right w:val="single" w:color="auto" w:sz="4" w:space="0"/>
            </w:tcBorders>
            <w:vAlign w:val="top"/>
          </w:tcPr>
          <w:p>
            <w:pPr>
              <w:pStyle w:val="98"/>
              <w:widowControl w:val="0"/>
              <w:shd w:val="clear" w:color="auto" w:fill="auto"/>
              <w:spacing w:before="0" w:after="0" w:line="400" w:lineRule="exact"/>
              <w:ind w:left="0" w:leftChars="0" w:firstLine="0" w:firstLineChars="0"/>
              <w:jc w:val="left"/>
              <w:rPr>
                <w:rFonts w:hint="eastAsia" w:ascii="宋体" w:hAnsi="宋体" w:eastAsia="宋体" w:cs="Times New Roman"/>
                <w:sz w:val="18"/>
                <w:szCs w:val="18"/>
                <w:lang w:val="en-US" w:eastAsia="zh-CN" w:bidi="ar-SA"/>
              </w:rPr>
            </w:pPr>
            <w:r>
              <w:rPr>
                <w:rFonts w:hint="eastAsia" w:ascii="宋体" w:hAnsi="宋体" w:eastAsia="宋体"/>
                <w:sz w:val="18"/>
                <w:szCs w:val="18"/>
              </w:rPr>
              <w:t>PET</w:t>
            </w:r>
          </w:p>
        </w:tc>
        <w:tc>
          <w:tcPr>
            <w:tcW w:w="576" w:type="dxa"/>
            <w:tcBorders>
              <w:top w:val="single" w:color="auto" w:sz="4" w:space="0"/>
              <w:left w:val="single" w:color="auto" w:sz="4" w:space="0"/>
              <w:right w:val="single" w:color="auto" w:sz="4" w:space="0"/>
            </w:tcBorders>
            <w:vAlign w:val="top"/>
          </w:tcPr>
          <w:p>
            <w:pPr>
              <w:pStyle w:val="98"/>
              <w:widowControl w:val="0"/>
              <w:shd w:val="clear" w:color="auto" w:fill="auto"/>
              <w:spacing w:before="0" w:after="0" w:line="400" w:lineRule="exact"/>
              <w:ind w:left="0" w:leftChars="0" w:firstLine="0" w:firstLineChars="0"/>
              <w:jc w:val="left"/>
              <w:rPr>
                <w:rFonts w:hint="eastAsia" w:ascii="宋体" w:hAnsi="宋体" w:eastAsia="宋体" w:cs="Times New Roman"/>
                <w:sz w:val="18"/>
                <w:szCs w:val="18"/>
                <w:lang w:val="en-US" w:eastAsia="zh-CN" w:bidi="ar-SA"/>
              </w:rPr>
            </w:pPr>
            <w:r>
              <w:rPr>
                <w:rFonts w:hint="eastAsia" w:ascii="宋体" w:hAnsi="宋体" w:eastAsia="宋体"/>
                <w:sz w:val="18"/>
                <w:szCs w:val="18"/>
              </w:rPr>
              <w:t>PMMA</w:t>
            </w:r>
          </w:p>
        </w:tc>
        <w:tc>
          <w:tcPr>
            <w:tcW w:w="486" w:type="dxa"/>
            <w:tcBorders>
              <w:top w:val="single" w:color="auto" w:sz="4" w:space="0"/>
              <w:left w:val="single" w:color="auto" w:sz="4" w:space="0"/>
              <w:right w:val="single" w:color="auto" w:sz="4" w:space="0"/>
            </w:tcBorders>
            <w:vAlign w:val="top"/>
          </w:tcPr>
          <w:p>
            <w:pPr>
              <w:pStyle w:val="98"/>
              <w:widowControl w:val="0"/>
              <w:shd w:val="clear" w:color="auto" w:fill="auto"/>
              <w:spacing w:before="0" w:after="0" w:line="400" w:lineRule="exact"/>
              <w:ind w:left="0" w:leftChars="0" w:firstLine="0" w:firstLineChars="0"/>
              <w:jc w:val="left"/>
              <w:rPr>
                <w:rFonts w:hint="eastAsia" w:ascii="宋体" w:hAnsi="宋体" w:eastAsia="宋体" w:cs="Times New Roman"/>
                <w:sz w:val="18"/>
                <w:szCs w:val="18"/>
                <w:lang w:val="en-US" w:eastAsia="zh-CN" w:bidi="ar-SA"/>
              </w:rPr>
            </w:pPr>
            <w:r>
              <w:rPr>
                <w:rFonts w:hint="eastAsia" w:ascii="宋体" w:hAnsi="宋体" w:eastAsia="宋体"/>
                <w:sz w:val="18"/>
                <w:szCs w:val="18"/>
              </w:rPr>
              <w:t>POM</w:t>
            </w:r>
          </w:p>
        </w:tc>
        <w:tc>
          <w:tcPr>
            <w:tcW w:w="396" w:type="dxa"/>
            <w:tcBorders>
              <w:top w:val="single" w:color="auto" w:sz="4" w:space="0"/>
              <w:left w:val="single" w:color="auto" w:sz="4" w:space="0"/>
              <w:right w:val="single" w:color="auto" w:sz="4" w:space="0"/>
            </w:tcBorders>
            <w:vAlign w:val="top"/>
          </w:tcPr>
          <w:p>
            <w:pPr>
              <w:pStyle w:val="98"/>
              <w:widowControl w:val="0"/>
              <w:shd w:val="clear" w:color="auto" w:fill="auto"/>
              <w:spacing w:before="0" w:after="0" w:line="400" w:lineRule="exact"/>
              <w:ind w:left="0" w:leftChars="0" w:firstLine="0" w:firstLineChars="0"/>
              <w:jc w:val="left"/>
              <w:rPr>
                <w:rFonts w:hint="eastAsia" w:ascii="宋体" w:hAnsi="宋体" w:eastAsia="宋体" w:cs="Times New Roman"/>
                <w:sz w:val="18"/>
                <w:szCs w:val="18"/>
                <w:lang w:val="en-US" w:eastAsia="zh-CN" w:bidi="ar-SA"/>
              </w:rPr>
            </w:pPr>
            <w:r>
              <w:rPr>
                <w:rFonts w:hint="eastAsia" w:ascii="宋体" w:hAnsi="宋体" w:eastAsia="宋体"/>
                <w:sz w:val="18"/>
                <w:szCs w:val="18"/>
              </w:rPr>
              <w:t>PP</w:t>
            </w:r>
          </w:p>
        </w:tc>
        <w:tc>
          <w:tcPr>
            <w:tcW w:w="486" w:type="dxa"/>
            <w:tcBorders>
              <w:top w:val="single" w:color="auto" w:sz="4" w:space="0"/>
              <w:left w:val="single" w:color="auto" w:sz="4" w:space="0"/>
              <w:right w:val="single" w:color="auto" w:sz="4" w:space="0"/>
            </w:tcBorders>
            <w:vAlign w:val="top"/>
          </w:tcPr>
          <w:p>
            <w:pPr>
              <w:pStyle w:val="98"/>
              <w:widowControl w:val="0"/>
              <w:shd w:val="clear" w:color="auto" w:fill="auto"/>
              <w:spacing w:before="0" w:after="0" w:line="400" w:lineRule="exact"/>
              <w:ind w:left="0" w:leftChars="0" w:firstLine="0" w:firstLineChars="0"/>
              <w:jc w:val="left"/>
              <w:rPr>
                <w:rFonts w:hint="eastAsia" w:ascii="宋体" w:hAnsi="宋体" w:eastAsia="宋体" w:cs="Times New Roman"/>
                <w:sz w:val="18"/>
                <w:szCs w:val="18"/>
                <w:lang w:val="en-US" w:eastAsia="zh-CN" w:bidi="ar-SA"/>
              </w:rPr>
            </w:pPr>
            <w:r>
              <w:rPr>
                <w:rFonts w:hint="eastAsia" w:ascii="宋体" w:hAnsi="宋体" w:eastAsia="宋体"/>
                <w:sz w:val="18"/>
                <w:szCs w:val="18"/>
              </w:rPr>
              <w:t>PPE</w:t>
            </w:r>
          </w:p>
        </w:tc>
        <w:tc>
          <w:tcPr>
            <w:tcW w:w="756" w:type="dxa"/>
            <w:tcBorders>
              <w:top w:val="single" w:color="auto" w:sz="4" w:space="0"/>
              <w:left w:val="single" w:color="auto" w:sz="4" w:space="0"/>
              <w:right w:val="single" w:color="auto" w:sz="4" w:space="0"/>
            </w:tcBorders>
            <w:vAlign w:val="top"/>
          </w:tcPr>
          <w:p>
            <w:pPr>
              <w:pStyle w:val="98"/>
              <w:widowControl w:val="0"/>
              <w:shd w:val="clear" w:color="auto" w:fill="auto"/>
              <w:spacing w:before="0" w:after="0" w:line="400" w:lineRule="exact"/>
              <w:ind w:left="0" w:leftChars="0" w:firstLine="0" w:firstLineChars="0"/>
              <w:jc w:val="left"/>
              <w:rPr>
                <w:rFonts w:hint="eastAsia" w:ascii="宋体" w:hAnsi="宋体" w:eastAsia="宋体" w:cs="Times New Roman"/>
                <w:sz w:val="18"/>
                <w:szCs w:val="18"/>
                <w:lang w:val="en-US" w:eastAsia="zh-CN" w:bidi="ar-SA"/>
              </w:rPr>
            </w:pPr>
            <w:r>
              <w:rPr>
                <w:rFonts w:hint="eastAsia" w:ascii="宋体" w:hAnsi="宋体" w:eastAsia="宋体"/>
                <w:sz w:val="18"/>
                <w:szCs w:val="18"/>
              </w:rPr>
              <w:t>PPE+PS</w:t>
            </w:r>
          </w:p>
        </w:tc>
        <w:tc>
          <w:tcPr>
            <w:tcW w:w="396" w:type="dxa"/>
            <w:tcBorders>
              <w:top w:val="single" w:color="auto" w:sz="4" w:space="0"/>
              <w:left w:val="single" w:color="auto" w:sz="4" w:space="0"/>
              <w:right w:val="single" w:color="auto" w:sz="4" w:space="0"/>
            </w:tcBorders>
            <w:vAlign w:val="top"/>
          </w:tcPr>
          <w:p>
            <w:pPr>
              <w:pStyle w:val="98"/>
              <w:widowControl w:val="0"/>
              <w:shd w:val="clear" w:color="auto" w:fill="auto"/>
              <w:spacing w:before="0" w:after="0" w:line="400" w:lineRule="exact"/>
              <w:ind w:left="0" w:leftChars="0" w:firstLine="0" w:firstLineChars="0"/>
              <w:jc w:val="left"/>
              <w:rPr>
                <w:rFonts w:hint="eastAsia" w:ascii="宋体" w:hAnsi="宋体" w:eastAsia="宋体" w:cs="Times New Roman"/>
                <w:sz w:val="18"/>
                <w:szCs w:val="18"/>
                <w:lang w:val="en-US" w:eastAsia="zh-CN" w:bidi="ar-SA"/>
              </w:rPr>
            </w:pPr>
            <w:r>
              <w:rPr>
                <w:rFonts w:hint="eastAsia" w:ascii="宋体" w:hAnsi="宋体" w:eastAsia="宋体"/>
                <w:sz w:val="18"/>
                <w:szCs w:val="18"/>
              </w:rPr>
              <w:t>PS</w:t>
            </w:r>
          </w:p>
        </w:tc>
        <w:tc>
          <w:tcPr>
            <w:tcW w:w="486" w:type="dxa"/>
            <w:tcBorders>
              <w:top w:val="single" w:color="auto" w:sz="4" w:space="0"/>
              <w:left w:val="single" w:color="auto" w:sz="4" w:space="0"/>
              <w:right w:val="single" w:color="auto" w:sz="4" w:space="0"/>
            </w:tcBorders>
            <w:vAlign w:val="top"/>
          </w:tcPr>
          <w:p>
            <w:pPr>
              <w:pStyle w:val="98"/>
              <w:widowControl w:val="0"/>
              <w:shd w:val="clear" w:color="auto" w:fill="auto"/>
              <w:spacing w:before="0" w:after="0" w:line="400" w:lineRule="exact"/>
              <w:ind w:left="0" w:leftChars="0" w:firstLine="0" w:firstLineChars="0"/>
              <w:jc w:val="left"/>
              <w:rPr>
                <w:rFonts w:hint="eastAsia" w:ascii="宋体" w:hAnsi="宋体" w:eastAsia="宋体" w:cs="Times New Roman"/>
                <w:sz w:val="18"/>
                <w:szCs w:val="18"/>
                <w:lang w:val="en-US" w:eastAsia="zh-CN" w:bidi="ar-SA"/>
              </w:rPr>
            </w:pPr>
            <w:r>
              <w:rPr>
                <w:rFonts w:hint="eastAsia" w:ascii="宋体" w:hAnsi="宋体" w:eastAsia="宋体"/>
                <w:sz w:val="18"/>
                <w:szCs w:val="18"/>
              </w:rPr>
              <w:t>PVC</w:t>
            </w:r>
          </w:p>
        </w:tc>
        <w:tc>
          <w:tcPr>
            <w:tcW w:w="486" w:type="dxa"/>
            <w:tcBorders>
              <w:top w:val="single" w:color="auto" w:sz="4" w:space="0"/>
              <w:left w:val="single" w:color="auto" w:sz="4" w:space="0"/>
              <w:right w:val="single" w:color="auto" w:sz="4" w:space="0"/>
            </w:tcBorders>
            <w:vAlign w:val="top"/>
          </w:tcPr>
          <w:p>
            <w:pPr>
              <w:pStyle w:val="98"/>
              <w:widowControl w:val="0"/>
              <w:shd w:val="clear" w:color="auto" w:fill="auto"/>
              <w:spacing w:before="0" w:after="0" w:line="400" w:lineRule="exact"/>
              <w:ind w:left="0" w:leftChars="0" w:firstLine="0" w:firstLineChars="0"/>
              <w:jc w:val="left"/>
              <w:rPr>
                <w:rFonts w:hint="eastAsia" w:ascii="宋体" w:hAnsi="宋体" w:eastAsia="宋体" w:cs="Times New Roman"/>
                <w:sz w:val="18"/>
                <w:szCs w:val="18"/>
                <w:lang w:val="en-US" w:eastAsia="zh-CN" w:bidi="ar-SA"/>
              </w:rPr>
            </w:pPr>
            <w:r>
              <w:rPr>
                <w:rFonts w:hint="eastAsia" w:ascii="宋体" w:hAnsi="宋体" w:eastAsia="宋体"/>
                <w:sz w:val="18"/>
                <w:szCs w:val="18"/>
              </w:rPr>
              <w:t>SAN</w:t>
            </w:r>
          </w:p>
        </w:tc>
        <w:tc>
          <w:tcPr>
            <w:tcW w:w="486" w:type="dxa"/>
            <w:tcBorders>
              <w:top w:val="single" w:color="auto" w:sz="4" w:space="0"/>
              <w:left w:val="single" w:color="auto" w:sz="4" w:space="0"/>
              <w:right w:val="single" w:color="auto" w:sz="4" w:space="0"/>
            </w:tcBorders>
            <w:vAlign w:val="top"/>
          </w:tcPr>
          <w:p>
            <w:pPr>
              <w:pStyle w:val="98"/>
              <w:widowControl w:val="0"/>
              <w:shd w:val="clear" w:color="auto" w:fill="auto"/>
              <w:spacing w:before="0" w:after="0" w:line="400" w:lineRule="exact"/>
              <w:ind w:left="0" w:leftChars="0" w:firstLine="0" w:firstLineChars="0"/>
              <w:jc w:val="left"/>
              <w:rPr>
                <w:rFonts w:hint="eastAsia" w:ascii="宋体" w:hAnsi="宋体" w:eastAsia="宋体" w:cs="Times New Roman"/>
                <w:sz w:val="18"/>
                <w:szCs w:val="18"/>
                <w:lang w:val="en-US" w:eastAsia="zh-CN" w:bidi="ar-SA"/>
              </w:rPr>
            </w:pPr>
            <w:r>
              <w:rPr>
                <w:rFonts w:hint="eastAsia" w:ascii="宋体" w:hAnsi="宋体" w:eastAsia="宋体"/>
                <w:sz w:val="18"/>
                <w:szCs w:val="18"/>
              </w:rPr>
              <w:t>TPU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vAlign w:val="center"/>
          </w:tcPr>
          <w:p>
            <w:pPr>
              <w:pStyle w:val="98"/>
              <w:widowControl w:val="0"/>
              <w:shd w:val="clear" w:color="auto" w:fill="auto"/>
              <w:spacing w:before="0" w:after="0" w:line="400" w:lineRule="exact"/>
              <w:rPr>
                <w:rFonts w:asciiTheme="minorEastAsia" w:hAnsiTheme="minorEastAsia" w:eastAsiaTheme="minorEastAsia"/>
                <w:sz w:val="18"/>
                <w:szCs w:val="18"/>
              </w:rPr>
            </w:pPr>
            <w:r>
              <w:rPr>
                <w:rFonts w:hint="eastAsia" w:asciiTheme="minorEastAsia" w:hAnsiTheme="minorEastAsia" w:eastAsiaTheme="minorEastAsia"/>
                <w:sz w:val="18"/>
                <w:szCs w:val="18"/>
              </w:rPr>
              <w:t>PP</w:t>
            </w:r>
            <w:bookmarkEnd w:id="215"/>
            <w:bookmarkEnd w:id="216"/>
          </w:p>
        </w:tc>
        <w:tc>
          <w:tcPr>
            <w:tcW w:w="48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48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39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48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75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39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75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75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39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48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57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48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39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48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75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39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48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48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48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vAlign w:val="center"/>
          </w:tcPr>
          <w:p>
            <w:pPr>
              <w:pStyle w:val="98"/>
              <w:widowControl w:val="0"/>
              <w:shd w:val="clear" w:color="auto" w:fill="auto"/>
              <w:spacing w:before="0" w:after="0" w:line="400" w:lineRule="exact"/>
              <w:rPr>
                <w:rFonts w:asciiTheme="minorEastAsia" w:hAnsiTheme="minorEastAsia" w:eastAsiaTheme="minorEastAsia"/>
                <w:sz w:val="18"/>
                <w:szCs w:val="18"/>
              </w:rPr>
            </w:pPr>
            <w:bookmarkStart w:id="217" w:name="_Toc72997815"/>
            <w:bookmarkStart w:id="218" w:name="_Toc63257892"/>
            <w:r>
              <w:rPr>
                <w:rFonts w:hint="eastAsia" w:asciiTheme="minorEastAsia" w:hAnsiTheme="minorEastAsia" w:eastAsiaTheme="minorEastAsia"/>
                <w:sz w:val="18"/>
                <w:szCs w:val="18"/>
              </w:rPr>
              <w:t>PPE</w:t>
            </w:r>
            <w:bookmarkEnd w:id="217"/>
            <w:bookmarkEnd w:id="218"/>
          </w:p>
        </w:tc>
        <w:tc>
          <w:tcPr>
            <w:tcW w:w="48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48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39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48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75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39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75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75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39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48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57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48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39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48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75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39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48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48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48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vAlign w:val="center"/>
          </w:tcPr>
          <w:p>
            <w:pPr>
              <w:pStyle w:val="98"/>
              <w:widowControl w:val="0"/>
              <w:shd w:val="clear" w:color="auto" w:fill="auto"/>
              <w:spacing w:before="0" w:after="0" w:line="400" w:lineRule="exact"/>
              <w:rPr>
                <w:rFonts w:asciiTheme="minorEastAsia" w:hAnsiTheme="minorEastAsia" w:eastAsiaTheme="minorEastAsia"/>
                <w:sz w:val="18"/>
                <w:szCs w:val="18"/>
              </w:rPr>
            </w:pPr>
            <w:bookmarkStart w:id="219" w:name="_Toc63257893"/>
            <w:bookmarkStart w:id="220" w:name="_Toc72997816"/>
            <w:r>
              <w:rPr>
                <w:rFonts w:hint="eastAsia" w:asciiTheme="minorEastAsia" w:hAnsiTheme="minorEastAsia" w:eastAsiaTheme="minorEastAsia"/>
                <w:sz w:val="18"/>
                <w:szCs w:val="18"/>
              </w:rPr>
              <w:t>PPE+PS</w:t>
            </w:r>
            <w:bookmarkEnd w:id="219"/>
            <w:bookmarkEnd w:id="220"/>
          </w:p>
        </w:tc>
        <w:tc>
          <w:tcPr>
            <w:tcW w:w="48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48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39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48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75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39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75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75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39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48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57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48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39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48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75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39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48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48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48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vAlign w:val="center"/>
          </w:tcPr>
          <w:p>
            <w:pPr>
              <w:pStyle w:val="98"/>
              <w:widowControl w:val="0"/>
              <w:shd w:val="clear" w:color="auto" w:fill="auto"/>
              <w:spacing w:before="0" w:after="0" w:line="400" w:lineRule="exact"/>
              <w:rPr>
                <w:rFonts w:asciiTheme="minorEastAsia" w:hAnsiTheme="minorEastAsia" w:eastAsiaTheme="minorEastAsia"/>
                <w:sz w:val="18"/>
                <w:szCs w:val="18"/>
              </w:rPr>
            </w:pPr>
            <w:bookmarkStart w:id="221" w:name="_Toc63257894"/>
            <w:bookmarkStart w:id="222" w:name="_Toc72997817"/>
            <w:r>
              <w:rPr>
                <w:rFonts w:hint="eastAsia" w:asciiTheme="minorEastAsia" w:hAnsiTheme="minorEastAsia" w:eastAsiaTheme="minorEastAsia"/>
                <w:sz w:val="18"/>
                <w:szCs w:val="18"/>
              </w:rPr>
              <w:t>PS</w:t>
            </w:r>
            <w:bookmarkEnd w:id="221"/>
            <w:bookmarkEnd w:id="222"/>
          </w:p>
        </w:tc>
        <w:tc>
          <w:tcPr>
            <w:tcW w:w="486" w:type="dxa"/>
            <w:vAlign w:val="center"/>
          </w:tcPr>
          <w:p>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w:t>
            </w:r>
          </w:p>
        </w:tc>
        <w:tc>
          <w:tcPr>
            <w:tcW w:w="486" w:type="dxa"/>
            <w:vAlign w:val="center"/>
          </w:tcPr>
          <w:p>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w:t>
            </w:r>
          </w:p>
        </w:tc>
        <w:tc>
          <w:tcPr>
            <w:tcW w:w="396" w:type="dxa"/>
            <w:vAlign w:val="center"/>
          </w:tcPr>
          <w:p>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w:t>
            </w:r>
          </w:p>
        </w:tc>
        <w:tc>
          <w:tcPr>
            <w:tcW w:w="486" w:type="dxa"/>
            <w:vAlign w:val="center"/>
          </w:tcPr>
          <w:p>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w:t>
            </w:r>
          </w:p>
        </w:tc>
        <w:tc>
          <w:tcPr>
            <w:tcW w:w="756" w:type="dxa"/>
            <w:vAlign w:val="center"/>
          </w:tcPr>
          <w:p>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w:t>
            </w:r>
          </w:p>
        </w:tc>
        <w:tc>
          <w:tcPr>
            <w:tcW w:w="396" w:type="dxa"/>
            <w:vAlign w:val="center"/>
          </w:tcPr>
          <w:p>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w:t>
            </w:r>
          </w:p>
        </w:tc>
        <w:tc>
          <w:tcPr>
            <w:tcW w:w="756" w:type="dxa"/>
            <w:vAlign w:val="center"/>
          </w:tcPr>
          <w:p>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w:t>
            </w:r>
          </w:p>
        </w:tc>
        <w:tc>
          <w:tcPr>
            <w:tcW w:w="756" w:type="dxa"/>
            <w:vAlign w:val="center"/>
          </w:tcPr>
          <w:p>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w:t>
            </w:r>
          </w:p>
        </w:tc>
        <w:tc>
          <w:tcPr>
            <w:tcW w:w="396" w:type="dxa"/>
            <w:vAlign w:val="center"/>
          </w:tcPr>
          <w:p>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w:t>
            </w:r>
          </w:p>
        </w:tc>
        <w:tc>
          <w:tcPr>
            <w:tcW w:w="486" w:type="dxa"/>
            <w:vAlign w:val="center"/>
          </w:tcPr>
          <w:p>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w:t>
            </w:r>
          </w:p>
        </w:tc>
        <w:tc>
          <w:tcPr>
            <w:tcW w:w="576" w:type="dxa"/>
            <w:vAlign w:val="center"/>
          </w:tcPr>
          <w:p>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w:t>
            </w:r>
          </w:p>
        </w:tc>
        <w:tc>
          <w:tcPr>
            <w:tcW w:w="486" w:type="dxa"/>
            <w:vAlign w:val="center"/>
          </w:tcPr>
          <w:p>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w:t>
            </w:r>
          </w:p>
        </w:tc>
        <w:tc>
          <w:tcPr>
            <w:tcW w:w="396" w:type="dxa"/>
            <w:vAlign w:val="center"/>
          </w:tcPr>
          <w:p>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w:t>
            </w:r>
          </w:p>
        </w:tc>
        <w:tc>
          <w:tcPr>
            <w:tcW w:w="486" w:type="dxa"/>
            <w:vAlign w:val="center"/>
          </w:tcPr>
          <w:p>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w:t>
            </w:r>
          </w:p>
        </w:tc>
        <w:tc>
          <w:tcPr>
            <w:tcW w:w="756" w:type="dxa"/>
            <w:vAlign w:val="center"/>
          </w:tcPr>
          <w:p>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w:t>
            </w:r>
          </w:p>
        </w:tc>
        <w:tc>
          <w:tcPr>
            <w:tcW w:w="396" w:type="dxa"/>
            <w:vAlign w:val="center"/>
          </w:tcPr>
          <w:p>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w:t>
            </w:r>
          </w:p>
        </w:tc>
        <w:tc>
          <w:tcPr>
            <w:tcW w:w="486" w:type="dxa"/>
            <w:vAlign w:val="center"/>
          </w:tcPr>
          <w:p>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w:t>
            </w:r>
          </w:p>
        </w:tc>
        <w:tc>
          <w:tcPr>
            <w:tcW w:w="486" w:type="dxa"/>
            <w:vAlign w:val="center"/>
          </w:tcPr>
          <w:p>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w:t>
            </w:r>
          </w:p>
        </w:tc>
        <w:tc>
          <w:tcPr>
            <w:tcW w:w="486" w:type="dxa"/>
            <w:vAlign w:val="center"/>
          </w:tcPr>
          <w:p>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vAlign w:val="center"/>
          </w:tcPr>
          <w:p>
            <w:pPr>
              <w:pStyle w:val="98"/>
              <w:widowControl w:val="0"/>
              <w:shd w:val="clear" w:color="auto" w:fill="auto"/>
              <w:spacing w:before="0" w:after="0" w:line="400" w:lineRule="exact"/>
              <w:rPr>
                <w:rFonts w:asciiTheme="minorEastAsia" w:hAnsiTheme="minorEastAsia" w:eastAsiaTheme="minorEastAsia"/>
                <w:sz w:val="18"/>
                <w:szCs w:val="18"/>
              </w:rPr>
            </w:pPr>
            <w:bookmarkStart w:id="223" w:name="_Toc63257895"/>
            <w:bookmarkStart w:id="224" w:name="_Toc72997818"/>
            <w:r>
              <w:rPr>
                <w:rFonts w:hint="eastAsia" w:asciiTheme="minorEastAsia" w:hAnsiTheme="minorEastAsia" w:eastAsiaTheme="minorEastAsia"/>
                <w:sz w:val="18"/>
                <w:szCs w:val="18"/>
              </w:rPr>
              <w:t>PVC</w:t>
            </w:r>
            <w:bookmarkEnd w:id="223"/>
            <w:bookmarkEnd w:id="224"/>
          </w:p>
        </w:tc>
        <w:tc>
          <w:tcPr>
            <w:tcW w:w="48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48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39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48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75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39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75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75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39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48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57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48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39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48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75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39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48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48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48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vAlign w:val="center"/>
          </w:tcPr>
          <w:p>
            <w:pPr>
              <w:pStyle w:val="98"/>
              <w:widowControl w:val="0"/>
              <w:shd w:val="clear" w:color="auto" w:fill="auto"/>
              <w:spacing w:before="0" w:after="0" w:line="400" w:lineRule="exact"/>
              <w:rPr>
                <w:rFonts w:asciiTheme="minorEastAsia" w:hAnsiTheme="minorEastAsia" w:eastAsiaTheme="minorEastAsia"/>
                <w:sz w:val="18"/>
                <w:szCs w:val="18"/>
              </w:rPr>
            </w:pPr>
            <w:bookmarkStart w:id="225" w:name="_Toc63257896"/>
            <w:bookmarkStart w:id="226" w:name="_Toc72997819"/>
            <w:r>
              <w:rPr>
                <w:rFonts w:hint="eastAsia" w:asciiTheme="minorEastAsia" w:hAnsiTheme="minorEastAsia" w:eastAsiaTheme="minorEastAsia"/>
                <w:sz w:val="18"/>
                <w:szCs w:val="18"/>
              </w:rPr>
              <w:t>SAN</w:t>
            </w:r>
            <w:bookmarkEnd w:id="225"/>
            <w:bookmarkEnd w:id="226"/>
          </w:p>
        </w:tc>
        <w:tc>
          <w:tcPr>
            <w:tcW w:w="486" w:type="dxa"/>
            <w:vAlign w:val="center"/>
          </w:tcPr>
          <w:p>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w:t>
            </w:r>
          </w:p>
        </w:tc>
        <w:tc>
          <w:tcPr>
            <w:tcW w:w="486" w:type="dxa"/>
            <w:vAlign w:val="center"/>
          </w:tcPr>
          <w:p>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w:t>
            </w:r>
          </w:p>
        </w:tc>
        <w:tc>
          <w:tcPr>
            <w:tcW w:w="396" w:type="dxa"/>
            <w:vAlign w:val="center"/>
          </w:tcPr>
          <w:p>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w:t>
            </w:r>
          </w:p>
        </w:tc>
        <w:tc>
          <w:tcPr>
            <w:tcW w:w="486" w:type="dxa"/>
            <w:vAlign w:val="center"/>
          </w:tcPr>
          <w:p>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w:t>
            </w:r>
          </w:p>
        </w:tc>
        <w:tc>
          <w:tcPr>
            <w:tcW w:w="756" w:type="dxa"/>
            <w:vAlign w:val="center"/>
          </w:tcPr>
          <w:p>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w:t>
            </w:r>
          </w:p>
        </w:tc>
        <w:tc>
          <w:tcPr>
            <w:tcW w:w="396" w:type="dxa"/>
            <w:vAlign w:val="center"/>
          </w:tcPr>
          <w:p>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w:t>
            </w:r>
          </w:p>
        </w:tc>
        <w:tc>
          <w:tcPr>
            <w:tcW w:w="756" w:type="dxa"/>
            <w:vAlign w:val="center"/>
          </w:tcPr>
          <w:p>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w:t>
            </w:r>
          </w:p>
        </w:tc>
        <w:tc>
          <w:tcPr>
            <w:tcW w:w="756" w:type="dxa"/>
            <w:vAlign w:val="center"/>
          </w:tcPr>
          <w:p>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w:t>
            </w:r>
          </w:p>
        </w:tc>
        <w:tc>
          <w:tcPr>
            <w:tcW w:w="396" w:type="dxa"/>
            <w:vAlign w:val="center"/>
          </w:tcPr>
          <w:p>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w:t>
            </w:r>
          </w:p>
        </w:tc>
        <w:tc>
          <w:tcPr>
            <w:tcW w:w="486" w:type="dxa"/>
            <w:vAlign w:val="center"/>
          </w:tcPr>
          <w:p>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w:t>
            </w:r>
          </w:p>
        </w:tc>
        <w:tc>
          <w:tcPr>
            <w:tcW w:w="576" w:type="dxa"/>
            <w:vAlign w:val="center"/>
          </w:tcPr>
          <w:p>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w:t>
            </w:r>
          </w:p>
        </w:tc>
        <w:tc>
          <w:tcPr>
            <w:tcW w:w="486" w:type="dxa"/>
            <w:vAlign w:val="center"/>
          </w:tcPr>
          <w:p>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w:t>
            </w:r>
          </w:p>
        </w:tc>
        <w:tc>
          <w:tcPr>
            <w:tcW w:w="396" w:type="dxa"/>
            <w:vAlign w:val="center"/>
          </w:tcPr>
          <w:p>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w:t>
            </w:r>
          </w:p>
        </w:tc>
        <w:tc>
          <w:tcPr>
            <w:tcW w:w="486" w:type="dxa"/>
            <w:vAlign w:val="center"/>
          </w:tcPr>
          <w:p>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w:t>
            </w:r>
          </w:p>
        </w:tc>
        <w:tc>
          <w:tcPr>
            <w:tcW w:w="756" w:type="dxa"/>
            <w:vAlign w:val="center"/>
          </w:tcPr>
          <w:p>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w:t>
            </w:r>
          </w:p>
        </w:tc>
        <w:tc>
          <w:tcPr>
            <w:tcW w:w="396" w:type="dxa"/>
            <w:vAlign w:val="center"/>
          </w:tcPr>
          <w:p>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w:t>
            </w:r>
          </w:p>
        </w:tc>
        <w:tc>
          <w:tcPr>
            <w:tcW w:w="486" w:type="dxa"/>
            <w:vAlign w:val="center"/>
          </w:tcPr>
          <w:p>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w:t>
            </w:r>
          </w:p>
        </w:tc>
        <w:tc>
          <w:tcPr>
            <w:tcW w:w="486" w:type="dxa"/>
            <w:vAlign w:val="center"/>
          </w:tcPr>
          <w:p>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w:t>
            </w:r>
          </w:p>
        </w:tc>
        <w:tc>
          <w:tcPr>
            <w:tcW w:w="486" w:type="dxa"/>
            <w:vAlign w:val="center"/>
          </w:tcPr>
          <w:p>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vAlign w:val="center"/>
          </w:tcPr>
          <w:p>
            <w:pPr>
              <w:pStyle w:val="98"/>
              <w:widowControl w:val="0"/>
              <w:shd w:val="clear" w:color="auto" w:fill="auto"/>
              <w:spacing w:before="0" w:after="0" w:line="400" w:lineRule="exact"/>
              <w:rPr>
                <w:rFonts w:asciiTheme="minorEastAsia" w:hAnsiTheme="minorEastAsia" w:eastAsiaTheme="minorEastAsia"/>
                <w:sz w:val="18"/>
                <w:szCs w:val="18"/>
              </w:rPr>
            </w:pPr>
            <w:bookmarkStart w:id="227" w:name="_Toc72997820"/>
            <w:bookmarkStart w:id="228" w:name="_Toc63257897"/>
            <w:r>
              <w:rPr>
                <w:rFonts w:hint="eastAsia" w:asciiTheme="minorEastAsia" w:hAnsiTheme="minorEastAsia" w:eastAsiaTheme="minorEastAsia"/>
                <w:sz w:val="18"/>
                <w:szCs w:val="18"/>
              </w:rPr>
              <w:t>TPU</w:t>
            </w:r>
            <w:bookmarkEnd w:id="227"/>
            <w:bookmarkEnd w:id="228"/>
          </w:p>
        </w:tc>
        <w:tc>
          <w:tcPr>
            <w:tcW w:w="48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48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39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48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75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39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75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75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39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48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57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48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39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48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75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39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48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48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c>
          <w:tcPr>
            <w:tcW w:w="486" w:type="dxa"/>
            <w:vAlign w:val="center"/>
          </w:tcPr>
          <w:p>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trPr>
        <w:tc>
          <w:tcPr>
            <w:tcW w:w="10710" w:type="dxa"/>
            <w:gridSpan w:val="20"/>
          </w:tcPr>
          <w:p>
            <w:pPr>
              <w:pStyle w:val="68"/>
              <w:widowControl w:val="0"/>
              <w:snapToGrid w:val="0"/>
              <w:spacing w:line="264" w:lineRule="auto"/>
              <w:ind w:firstLine="420"/>
              <w:jc w:val="left"/>
              <w:rPr>
                <w:rFonts w:hAnsi="宋体"/>
                <w:sz w:val="18"/>
                <w:szCs w:val="18"/>
              </w:rPr>
            </w:pPr>
            <w:r>
              <w:rPr>
                <w:rFonts w:hint="eastAsia" w:hAnsi="宋体"/>
                <w:sz w:val="18"/>
                <w:szCs w:val="18"/>
              </w:rPr>
              <w:t>+：兼容；@：有限兼容；■：不兼容。</w:t>
            </w:r>
          </w:p>
          <w:p>
            <w:pPr>
              <w:pStyle w:val="68"/>
              <w:widowControl w:val="0"/>
              <w:snapToGrid w:val="0"/>
              <w:spacing w:line="264" w:lineRule="auto"/>
              <w:ind w:left="357" w:leftChars="170" w:firstLine="0" w:firstLineChars="0"/>
              <w:jc w:val="left"/>
              <w:rPr>
                <w:rFonts w:hAnsi="宋体"/>
                <w:sz w:val="18"/>
                <w:szCs w:val="18"/>
              </w:rPr>
            </w:pPr>
            <w:r>
              <w:rPr>
                <w:rFonts w:hint="eastAsia" w:hAnsi="宋体"/>
                <w:sz w:val="18"/>
                <w:szCs w:val="18"/>
              </w:rPr>
              <w:t>ABS：丙烯腈-丁二烯-苯乙烯共聚物；ASA：丙烯酸-苯乙烯-丙烯酸酯；PA：聚酰胺；PBT：聚对苯二甲酸丁二酯；PC：聚碳酸酯；PE：聚乙烯；</w:t>
            </w:r>
          </w:p>
          <w:p>
            <w:pPr>
              <w:pStyle w:val="68"/>
              <w:widowControl w:val="0"/>
              <w:snapToGrid w:val="0"/>
              <w:spacing w:line="264" w:lineRule="auto"/>
              <w:ind w:left="357" w:leftChars="170" w:firstLine="0" w:firstLineChars="0"/>
              <w:jc w:val="left"/>
              <w:rPr>
                <w:rFonts w:hAnsi="宋体"/>
                <w:sz w:val="18"/>
                <w:szCs w:val="18"/>
              </w:rPr>
            </w:pPr>
            <w:r>
              <w:rPr>
                <w:rFonts w:hint="eastAsia" w:hAnsi="宋体"/>
                <w:sz w:val="18"/>
                <w:szCs w:val="18"/>
              </w:rPr>
              <w:t>PET：聚对苯二甲酸乙二酯；PMMA：聚甲基丙烯酸甲酯；POM：聚甲醛；PP：聚丙烯；PPE：聚苯醚；PS：聚苯乙烯；PVC：聚氯乙烯；SAN：丙烯</w:t>
            </w:r>
          </w:p>
          <w:p>
            <w:pPr>
              <w:pStyle w:val="68"/>
              <w:widowControl w:val="0"/>
              <w:snapToGrid w:val="0"/>
              <w:spacing w:line="264" w:lineRule="auto"/>
              <w:ind w:firstLine="420"/>
              <w:jc w:val="left"/>
              <w:rPr>
                <w:szCs w:val="21"/>
              </w:rPr>
            </w:pPr>
            <w:r>
              <w:rPr>
                <w:rFonts w:hint="eastAsia" w:hAnsi="宋体"/>
                <w:sz w:val="18"/>
                <w:szCs w:val="18"/>
              </w:rPr>
              <w:t>腈-苯乙烯；TPU：热可塑性聚氨酯。</w:t>
            </w:r>
          </w:p>
        </w:tc>
      </w:tr>
    </w:tbl>
    <w:p>
      <w:pPr>
        <w:pStyle w:val="98"/>
        <w:keepNext w:val="0"/>
        <w:keepLines w:val="0"/>
        <w:pageBreakBefore w:val="0"/>
        <w:widowControl/>
        <w:numPr>
          <w:ilvl w:val="0"/>
          <w:numId w:val="0"/>
        </w:numPr>
        <w:kinsoku/>
        <w:wordWrap/>
        <w:overflowPunct/>
        <w:topLinePunct w:val="0"/>
        <w:autoSpaceDE/>
        <w:autoSpaceDN/>
        <w:bidi w:val="0"/>
        <w:adjustRightInd/>
        <w:snapToGrid/>
        <w:spacing w:before="0" w:after="0" w:line="240" w:lineRule="exact"/>
        <w:ind w:leftChars="0"/>
        <w:jc w:val="left"/>
        <w:textAlignment w:val="auto"/>
        <w:rPr>
          <w:sz w:val="21"/>
          <w:szCs w:val="21"/>
        </w:rPr>
      </w:pPr>
      <w:bookmarkStart w:id="229" w:name="_Toc63257898"/>
      <w:bookmarkStart w:id="230" w:name="_Toc72997821"/>
    </w:p>
    <w:p>
      <w:pPr>
        <w:pStyle w:val="98"/>
        <w:keepNext w:val="0"/>
        <w:keepLines w:val="0"/>
        <w:pageBreakBefore w:val="0"/>
        <w:widowControl/>
        <w:numPr>
          <w:ilvl w:val="0"/>
          <w:numId w:val="0"/>
        </w:numPr>
        <w:kinsoku/>
        <w:wordWrap/>
        <w:overflowPunct/>
        <w:topLinePunct w:val="0"/>
        <w:autoSpaceDE/>
        <w:autoSpaceDN/>
        <w:bidi w:val="0"/>
        <w:adjustRightInd/>
        <w:snapToGrid/>
        <w:spacing w:before="0" w:after="0" w:line="240" w:lineRule="exact"/>
        <w:ind w:leftChars="0"/>
        <w:jc w:val="left"/>
        <w:textAlignment w:val="auto"/>
        <w:rPr>
          <w:sz w:val="21"/>
          <w:szCs w:val="21"/>
        </w:rPr>
      </w:pPr>
      <w:r>
        <w:rPr>
          <w:rFonts w:hint="eastAsia"/>
          <w:sz w:val="21"/>
          <w:szCs w:val="21"/>
          <w:lang w:val="en-US" w:eastAsia="zh-CN"/>
        </w:rPr>
        <w:t xml:space="preserve">C.2  </w:t>
      </w:r>
      <w:r>
        <w:rPr>
          <w:rFonts w:hint="eastAsia"/>
          <w:sz w:val="21"/>
          <w:szCs w:val="21"/>
        </w:rPr>
        <w:t>可再生利用率的拆解清单</w:t>
      </w:r>
      <w:bookmarkEnd w:id="229"/>
      <w:bookmarkEnd w:id="230"/>
    </w:p>
    <w:p>
      <w:pPr>
        <w:pStyle w:val="68"/>
        <w:keepNext w:val="0"/>
        <w:keepLines w:val="0"/>
        <w:pageBreakBefore w:val="0"/>
        <w:widowControl/>
        <w:kinsoku/>
        <w:wordWrap/>
        <w:overflowPunct/>
        <w:topLinePunct w:val="0"/>
        <w:autoSpaceDE w:val="0"/>
        <w:autoSpaceDN w:val="0"/>
        <w:bidi w:val="0"/>
        <w:adjustRightInd/>
        <w:snapToGrid/>
        <w:spacing w:line="240" w:lineRule="exact"/>
        <w:textAlignment w:val="auto"/>
      </w:pPr>
    </w:p>
    <w:p>
      <w:pPr>
        <w:pStyle w:val="68"/>
        <w:ind w:firstLine="420"/>
        <w:rPr>
          <w:rFonts w:hint="eastAsia"/>
          <w:lang w:eastAsia="zh-CN"/>
        </w:rPr>
      </w:pPr>
      <w:r>
        <w:rPr>
          <w:rFonts w:hint="eastAsia"/>
        </w:rPr>
        <w:t>软水机可再生利用率的拆解清单示例见表C.2</w:t>
      </w:r>
      <w:r>
        <w:rPr>
          <w:rFonts w:hint="eastAsia"/>
          <w:lang w:eastAsia="zh-CN"/>
        </w:rPr>
        <w:t>。</w:t>
      </w:r>
    </w:p>
    <w:p>
      <w:pPr>
        <w:pStyle w:val="68"/>
        <w:ind w:firstLine="420"/>
        <w:rPr>
          <w:rFonts w:hint="eastAsia"/>
          <w:lang w:eastAsia="zh-CN"/>
        </w:rPr>
      </w:pPr>
    </w:p>
    <w:p>
      <w:pPr>
        <w:pStyle w:val="68"/>
        <w:keepNext w:val="0"/>
        <w:keepLines w:val="0"/>
        <w:pageBreakBefore w:val="0"/>
        <w:widowControl/>
        <w:kinsoku/>
        <w:wordWrap/>
        <w:overflowPunct/>
        <w:topLinePunct w:val="0"/>
        <w:autoSpaceDE w:val="0"/>
        <w:autoSpaceDN w:val="0"/>
        <w:bidi w:val="0"/>
        <w:adjustRightInd/>
        <w:snapToGrid/>
        <w:spacing w:line="240" w:lineRule="exact"/>
        <w:ind w:firstLine="420"/>
        <w:jc w:val="center"/>
        <w:textAlignment w:val="auto"/>
        <w:rPr>
          <w:rFonts w:hint="eastAsia" w:ascii="黑体" w:hAnsi="黑体" w:eastAsia="黑体"/>
        </w:rPr>
      </w:pPr>
      <w:r>
        <w:rPr>
          <w:rFonts w:hint="eastAsia" w:ascii="黑体" w:hAnsi="黑体" w:eastAsia="黑体"/>
        </w:rPr>
        <w:t xml:space="preserve">表C.2 </w:t>
      </w:r>
      <w:r>
        <w:rPr>
          <w:rFonts w:hint="eastAsia" w:ascii="黑体" w:hAnsi="黑体" w:eastAsia="黑体"/>
          <w:lang w:val="en-US" w:eastAsia="zh-CN"/>
        </w:rPr>
        <w:t xml:space="preserve"> </w:t>
      </w:r>
      <w:r>
        <w:rPr>
          <w:rFonts w:hint="eastAsia" w:ascii="黑体" w:hAnsi="黑体" w:eastAsia="黑体"/>
        </w:rPr>
        <w:t>软水机可再生利用率的拆解清单示例</w:t>
      </w:r>
    </w:p>
    <w:p>
      <w:pPr>
        <w:pStyle w:val="68"/>
        <w:keepNext w:val="0"/>
        <w:keepLines w:val="0"/>
        <w:pageBreakBefore w:val="0"/>
        <w:widowControl/>
        <w:kinsoku/>
        <w:wordWrap/>
        <w:overflowPunct/>
        <w:topLinePunct w:val="0"/>
        <w:autoSpaceDE w:val="0"/>
        <w:autoSpaceDN w:val="0"/>
        <w:bidi w:val="0"/>
        <w:adjustRightInd/>
        <w:snapToGrid/>
        <w:spacing w:line="240" w:lineRule="exact"/>
        <w:ind w:firstLine="420"/>
        <w:jc w:val="center"/>
        <w:textAlignment w:val="auto"/>
        <w:rPr>
          <w:rFonts w:hint="eastAsia" w:ascii="黑体" w:hAnsi="黑体" w:eastAsia="黑体"/>
        </w:rPr>
      </w:pPr>
    </w:p>
    <w:tbl>
      <w:tblPr>
        <w:tblStyle w:val="31"/>
        <w:tblW w:w="10487" w:type="dxa"/>
        <w:tblInd w:w="-3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9"/>
        <w:gridCol w:w="1712"/>
        <w:gridCol w:w="1276"/>
        <w:gridCol w:w="1275"/>
        <w:gridCol w:w="1701"/>
        <w:gridCol w:w="2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9" w:type="dxa"/>
            <w:vAlign w:val="center"/>
          </w:tcPr>
          <w:p>
            <w:pPr>
              <w:pStyle w:val="98"/>
              <w:widowControl w:val="0"/>
              <w:shd w:val="clear" w:color="auto" w:fill="auto"/>
              <w:spacing w:before="0" w:after="0" w:line="400" w:lineRule="exact"/>
              <w:rPr>
                <w:rFonts w:asciiTheme="minorEastAsia" w:hAnsiTheme="minorEastAsia" w:eastAsiaTheme="minorEastAsia"/>
                <w:sz w:val="18"/>
                <w:szCs w:val="18"/>
              </w:rPr>
            </w:pPr>
            <w:bookmarkStart w:id="231" w:name="_Toc63257899"/>
            <w:bookmarkStart w:id="232" w:name="_Toc72997822"/>
            <w:r>
              <w:rPr>
                <w:rFonts w:hint="eastAsia" w:asciiTheme="minorEastAsia" w:hAnsiTheme="minorEastAsia" w:eastAsiaTheme="minorEastAsia"/>
                <w:sz w:val="18"/>
                <w:szCs w:val="18"/>
              </w:rPr>
              <w:t>类型</w:t>
            </w:r>
            <w:bookmarkEnd w:id="231"/>
            <w:bookmarkEnd w:id="232"/>
          </w:p>
        </w:tc>
        <w:tc>
          <w:tcPr>
            <w:tcW w:w="1712" w:type="dxa"/>
            <w:vAlign w:val="center"/>
          </w:tcPr>
          <w:p>
            <w:pPr>
              <w:pStyle w:val="98"/>
              <w:widowControl w:val="0"/>
              <w:shd w:val="clear" w:color="auto" w:fill="auto"/>
              <w:spacing w:before="0" w:after="0" w:line="400" w:lineRule="exact"/>
              <w:rPr>
                <w:rFonts w:asciiTheme="minorEastAsia" w:hAnsiTheme="minorEastAsia" w:eastAsiaTheme="minorEastAsia"/>
                <w:sz w:val="18"/>
                <w:szCs w:val="18"/>
              </w:rPr>
            </w:pPr>
            <w:bookmarkStart w:id="233" w:name="_Toc63257900"/>
            <w:bookmarkStart w:id="234" w:name="_Toc72997823"/>
            <w:r>
              <w:rPr>
                <w:rFonts w:hint="eastAsia" w:asciiTheme="minorEastAsia" w:hAnsiTheme="minorEastAsia" w:eastAsiaTheme="minorEastAsia"/>
                <w:sz w:val="18"/>
                <w:szCs w:val="18"/>
              </w:rPr>
              <w:t>零部件名称</w:t>
            </w:r>
            <w:bookmarkEnd w:id="233"/>
            <w:bookmarkEnd w:id="234"/>
          </w:p>
        </w:tc>
        <w:tc>
          <w:tcPr>
            <w:tcW w:w="1276" w:type="dxa"/>
          </w:tcPr>
          <w:p>
            <w:pPr>
              <w:pStyle w:val="98"/>
              <w:widowControl w:val="0"/>
              <w:shd w:val="clear" w:color="auto" w:fill="auto"/>
              <w:spacing w:before="0" w:after="0" w:line="400" w:lineRule="exact"/>
              <w:rPr>
                <w:rFonts w:asciiTheme="minorEastAsia" w:hAnsiTheme="minorEastAsia" w:eastAsiaTheme="minorEastAsia"/>
                <w:sz w:val="18"/>
                <w:szCs w:val="18"/>
              </w:rPr>
            </w:pPr>
            <w:bookmarkStart w:id="235" w:name="_Toc63257901"/>
            <w:bookmarkStart w:id="236" w:name="_Toc72997824"/>
            <w:r>
              <w:rPr>
                <w:rFonts w:hint="eastAsia" w:asciiTheme="minorEastAsia" w:hAnsiTheme="minorEastAsia" w:eastAsiaTheme="minorEastAsia"/>
                <w:sz w:val="18"/>
                <w:szCs w:val="18"/>
              </w:rPr>
              <w:t>从属</w:t>
            </w:r>
            <w:bookmarkEnd w:id="235"/>
            <w:bookmarkEnd w:id="236"/>
          </w:p>
        </w:tc>
        <w:tc>
          <w:tcPr>
            <w:tcW w:w="1275" w:type="dxa"/>
            <w:vAlign w:val="center"/>
          </w:tcPr>
          <w:p>
            <w:pPr>
              <w:pStyle w:val="98"/>
              <w:widowControl w:val="0"/>
              <w:shd w:val="clear" w:color="auto" w:fill="auto"/>
              <w:spacing w:before="0" w:after="0" w:line="400" w:lineRule="exact"/>
              <w:rPr>
                <w:rFonts w:asciiTheme="minorEastAsia" w:hAnsiTheme="minorEastAsia" w:eastAsiaTheme="minorEastAsia"/>
                <w:sz w:val="18"/>
                <w:szCs w:val="18"/>
              </w:rPr>
            </w:pPr>
            <w:bookmarkStart w:id="237" w:name="_Toc72997825"/>
            <w:bookmarkStart w:id="238" w:name="_Toc63257902"/>
            <w:r>
              <w:rPr>
                <w:rFonts w:hint="eastAsia" w:asciiTheme="minorEastAsia" w:hAnsiTheme="minorEastAsia" w:eastAsiaTheme="minorEastAsia"/>
                <w:sz w:val="18"/>
                <w:szCs w:val="18"/>
              </w:rPr>
              <w:t>材料</w:t>
            </w:r>
            <w:bookmarkEnd w:id="237"/>
            <w:bookmarkEnd w:id="238"/>
          </w:p>
        </w:tc>
        <w:tc>
          <w:tcPr>
            <w:tcW w:w="1701" w:type="dxa"/>
            <w:vAlign w:val="center"/>
          </w:tcPr>
          <w:p>
            <w:pPr>
              <w:pStyle w:val="98"/>
              <w:widowControl w:val="0"/>
              <w:shd w:val="clear" w:color="auto" w:fill="auto"/>
              <w:spacing w:before="0" w:after="0" w:line="400" w:lineRule="exact"/>
              <w:rPr>
                <w:rFonts w:asciiTheme="minorEastAsia" w:hAnsiTheme="minorEastAsia" w:eastAsiaTheme="minorEastAsia"/>
                <w:sz w:val="18"/>
                <w:szCs w:val="18"/>
              </w:rPr>
            </w:pPr>
            <w:bookmarkStart w:id="239" w:name="_Toc63257903"/>
            <w:bookmarkStart w:id="240" w:name="_Toc72997826"/>
            <w:r>
              <w:rPr>
                <w:rFonts w:hint="eastAsia" w:asciiTheme="minorEastAsia" w:hAnsiTheme="minorEastAsia" w:eastAsiaTheme="minorEastAsia"/>
                <w:sz w:val="18"/>
                <w:szCs w:val="18"/>
              </w:rPr>
              <w:t>质量（kg）</w:t>
            </w:r>
            <w:bookmarkEnd w:id="239"/>
            <w:bookmarkEnd w:id="240"/>
          </w:p>
        </w:tc>
        <w:tc>
          <w:tcPr>
            <w:tcW w:w="2694" w:type="dxa"/>
            <w:vAlign w:val="center"/>
          </w:tcPr>
          <w:p>
            <w:pPr>
              <w:pStyle w:val="98"/>
              <w:widowControl w:val="0"/>
              <w:shd w:val="clear" w:color="auto" w:fill="auto"/>
              <w:spacing w:before="0" w:after="0" w:line="400" w:lineRule="exact"/>
              <w:rPr>
                <w:rFonts w:asciiTheme="minorEastAsia" w:hAnsiTheme="minorEastAsia" w:eastAsiaTheme="minorEastAsia"/>
                <w:sz w:val="18"/>
                <w:szCs w:val="18"/>
              </w:rPr>
            </w:pPr>
            <w:bookmarkStart w:id="241" w:name="_Toc63257904"/>
            <w:bookmarkStart w:id="242" w:name="_Toc72997827"/>
            <w:r>
              <w:rPr>
                <w:rFonts w:hint="eastAsia" w:asciiTheme="minorEastAsia" w:hAnsiTheme="minorEastAsia" w:eastAsiaTheme="minorEastAsia"/>
                <w:sz w:val="18"/>
                <w:szCs w:val="18"/>
              </w:rPr>
              <w:t>计算在分子中的质量kg</w:t>
            </w:r>
            <w:bookmarkEnd w:id="241"/>
            <w:bookmarkEnd w:id="24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9" w:type="dxa"/>
            <w:vMerge w:val="restart"/>
            <w:vAlign w:val="center"/>
          </w:tcPr>
          <w:p>
            <w:pPr>
              <w:pStyle w:val="98"/>
              <w:widowControl w:val="0"/>
              <w:shd w:val="clear" w:color="auto" w:fill="auto"/>
              <w:spacing w:before="0" w:after="0" w:line="400" w:lineRule="exact"/>
              <w:rPr>
                <w:rFonts w:asciiTheme="minorEastAsia" w:hAnsiTheme="minorEastAsia" w:eastAsiaTheme="minorEastAsia"/>
                <w:sz w:val="18"/>
                <w:szCs w:val="18"/>
              </w:rPr>
            </w:pPr>
            <w:bookmarkStart w:id="243" w:name="_Toc72997828"/>
            <w:bookmarkStart w:id="244" w:name="_Toc63257905"/>
            <w:r>
              <w:rPr>
                <w:rFonts w:hint="eastAsia" w:asciiTheme="minorEastAsia" w:hAnsiTheme="minorEastAsia" w:eastAsiaTheme="minorEastAsia"/>
                <w:sz w:val="18"/>
                <w:szCs w:val="18"/>
              </w:rPr>
              <w:t>塑料件</w:t>
            </w:r>
            <w:bookmarkEnd w:id="243"/>
            <w:bookmarkEnd w:id="244"/>
          </w:p>
        </w:tc>
        <w:tc>
          <w:tcPr>
            <w:tcW w:w="1712" w:type="dxa"/>
            <w:vAlign w:val="center"/>
          </w:tcPr>
          <w:p>
            <w:pPr>
              <w:pStyle w:val="68"/>
              <w:widowControl w:val="0"/>
              <w:spacing w:line="264" w:lineRule="auto"/>
              <w:ind w:firstLine="0" w:firstLineChars="0"/>
              <w:jc w:val="center"/>
              <w:rPr>
                <w:rFonts w:hAnsi="宋体"/>
                <w:sz w:val="18"/>
                <w:szCs w:val="18"/>
              </w:rPr>
            </w:pPr>
            <w:r>
              <w:rPr>
                <w:rFonts w:hint="eastAsia" w:hAnsi="宋体"/>
                <w:sz w:val="18"/>
                <w:szCs w:val="18"/>
              </w:rPr>
              <w:t>控制阀</w:t>
            </w:r>
          </w:p>
        </w:tc>
        <w:tc>
          <w:tcPr>
            <w:tcW w:w="1276" w:type="dxa"/>
          </w:tcPr>
          <w:p>
            <w:pPr>
              <w:pStyle w:val="98"/>
              <w:widowControl w:val="0"/>
              <w:shd w:val="clear" w:color="auto" w:fill="auto"/>
              <w:spacing w:before="0" w:after="0" w:line="400" w:lineRule="exact"/>
              <w:rPr>
                <w:rFonts w:asciiTheme="minorEastAsia" w:hAnsiTheme="minorEastAsia" w:eastAsiaTheme="minorEastAsia"/>
                <w:sz w:val="18"/>
                <w:szCs w:val="18"/>
              </w:rPr>
            </w:pPr>
          </w:p>
        </w:tc>
        <w:tc>
          <w:tcPr>
            <w:tcW w:w="1275" w:type="dxa"/>
            <w:vAlign w:val="center"/>
          </w:tcPr>
          <w:p>
            <w:pPr>
              <w:pStyle w:val="98"/>
              <w:widowControl w:val="0"/>
              <w:shd w:val="clear" w:color="auto" w:fill="auto"/>
              <w:spacing w:before="0" w:after="0" w:line="400" w:lineRule="exact"/>
              <w:rPr>
                <w:rFonts w:asciiTheme="minorEastAsia" w:hAnsiTheme="minorEastAsia" w:eastAsiaTheme="minorEastAsia"/>
                <w:sz w:val="18"/>
                <w:szCs w:val="18"/>
              </w:rPr>
            </w:pPr>
          </w:p>
        </w:tc>
        <w:tc>
          <w:tcPr>
            <w:tcW w:w="1701" w:type="dxa"/>
            <w:vAlign w:val="center"/>
          </w:tcPr>
          <w:p>
            <w:pPr>
              <w:pStyle w:val="98"/>
              <w:widowControl w:val="0"/>
              <w:shd w:val="clear" w:color="auto" w:fill="auto"/>
              <w:spacing w:before="0" w:after="0" w:line="400" w:lineRule="exact"/>
              <w:rPr>
                <w:rFonts w:asciiTheme="minorEastAsia" w:hAnsiTheme="minorEastAsia" w:eastAsiaTheme="minorEastAsia"/>
                <w:sz w:val="18"/>
                <w:szCs w:val="18"/>
              </w:rPr>
            </w:pPr>
          </w:p>
        </w:tc>
        <w:tc>
          <w:tcPr>
            <w:tcW w:w="2694" w:type="dxa"/>
            <w:vAlign w:val="center"/>
          </w:tcPr>
          <w:p>
            <w:pPr>
              <w:pStyle w:val="98"/>
              <w:widowControl w:val="0"/>
              <w:shd w:val="clear" w:color="auto" w:fill="auto"/>
              <w:spacing w:before="0" w:after="0" w:line="400" w:lineRule="exact"/>
              <w:rPr>
                <w:rFonts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9" w:type="dxa"/>
            <w:vMerge w:val="continue"/>
            <w:vAlign w:val="center"/>
          </w:tcPr>
          <w:p>
            <w:pPr>
              <w:pStyle w:val="98"/>
              <w:widowControl w:val="0"/>
              <w:shd w:val="clear" w:color="auto" w:fill="auto"/>
              <w:spacing w:before="0" w:after="0" w:line="400" w:lineRule="exact"/>
              <w:rPr>
                <w:rFonts w:asciiTheme="minorEastAsia" w:hAnsiTheme="minorEastAsia" w:eastAsiaTheme="minorEastAsia"/>
                <w:sz w:val="18"/>
                <w:szCs w:val="18"/>
              </w:rPr>
            </w:pPr>
          </w:p>
        </w:tc>
        <w:tc>
          <w:tcPr>
            <w:tcW w:w="1712" w:type="dxa"/>
            <w:vAlign w:val="center"/>
          </w:tcPr>
          <w:p>
            <w:pPr>
              <w:pStyle w:val="68"/>
              <w:widowControl w:val="0"/>
              <w:spacing w:line="264" w:lineRule="auto"/>
              <w:ind w:firstLine="0" w:firstLineChars="0"/>
              <w:jc w:val="center"/>
              <w:rPr>
                <w:rFonts w:hAnsi="宋体"/>
                <w:sz w:val="18"/>
                <w:szCs w:val="18"/>
              </w:rPr>
            </w:pPr>
            <w:r>
              <w:rPr>
                <w:rFonts w:hint="eastAsia" w:hAnsi="宋体"/>
                <w:sz w:val="18"/>
                <w:szCs w:val="18"/>
              </w:rPr>
              <w:t>桶体</w:t>
            </w:r>
          </w:p>
        </w:tc>
        <w:tc>
          <w:tcPr>
            <w:tcW w:w="1276" w:type="dxa"/>
          </w:tcPr>
          <w:p>
            <w:pPr>
              <w:pStyle w:val="98"/>
              <w:widowControl w:val="0"/>
              <w:shd w:val="clear" w:color="auto" w:fill="auto"/>
              <w:spacing w:before="0" w:after="0" w:line="400" w:lineRule="exact"/>
              <w:rPr>
                <w:rFonts w:asciiTheme="minorEastAsia" w:hAnsiTheme="minorEastAsia" w:eastAsiaTheme="minorEastAsia"/>
                <w:sz w:val="18"/>
                <w:szCs w:val="18"/>
              </w:rPr>
            </w:pPr>
          </w:p>
        </w:tc>
        <w:tc>
          <w:tcPr>
            <w:tcW w:w="1275" w:type="dxa"/>
            <w:vAlign w:val="center"/>
          </w:tcPr>
          <w:p>
            <w:pPr>
              <w:pStyle w:val="98"/>
              <w:widowControl w:val="0"/>
              <w:shd w:val="clear" w:color="auto" w:fill="auto"/>
              <w:spacing w:before="0" w:after="0" w:line="400" w:lineRule="exact"/>
              <w:rPr>
                <w:rFonts w:asciiTheme="minorEastAsia" w:hAnsiTheme="minorEastAsia" w:eastAsiaTheme="minorEastAsia"/>
                <w:sz w:val="18"/>
                <w:szCs w:val="18"/>
              </w:rPr>
            </w:pPr>
          </w:p>
        </w:tc>
        <w:tc>
          <w:tcPr>
            <w:tcW w:w="1701" w:type="dxa"/>
            <w:vAlign w:val="center"/>
          </w:tcPr>
          <w:p>
            <w:pPr>
              <w:pStyle w:val="98"/>
              <w:widowControl w:val="0"/>
              <w:shd w:val="clear" w:color="auto" w:fill="auto"/>
              <w:spacing w:before="0" w:after="0" w:line="400" w:lineRule="exact"/>
              <w:rPr>
                <w:rFonts w:asciiTheme="minorEastAsia" w:hAnsiTheme="minorEastAsia" w:eastAsiaTheme="minorEastAsia"/>
                <w:sz w:val="18"/>
                <w:szCs w:val="18"/>
              </w:rPr>
            </w:pPr>
          </w:p>
        </w:tc>
        <w:tc>
          <w:tcPr>
            <w:tcW w:w="2694" w:type="dxa"/>
            <w:vAlign w:val="center"/>
          </w:tcPr>
          <w:p>
            <w:pPr>
              <w:pStyle w:val="98"/>
              <w:widowControl w:val="0"/>
              <w:shd w:val="clear" w:color="auto" w:fill="auto"/>
              <w:spacing w:before="0" w:after="0" w:line="400" w:lineRule="exact"/>
              <w:rPr>
                <w:rFonts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9" w:type="dxa"/>
            <w:vMerge w:val="continue"/>
            <w:vAlign w:val="center"/>
          </w:tcPr>
          <w:p>
            <w:pPr>
              <w:pStyle w:val="98"/>
              <w:widowControl w:val="0"/>
              <w:shd w:val="clear" w:color="auto" w:fill="auto"/>
              <w:spacing w:before="0" w:after="0" w:line="400" w:lineRule="exact"/>
              <w:rPr>
                <w:rFonts w:asciiTheme="minorEastAsia" w:hAnsiTheme="minorEastAsia" w:eastAsiaTheme="minorEastAsia"/>
                <w:sz w:val="18"/>
                <w:szCs w:val="18"/>
              </w:rPr>
            </w:pPr>
          </w:p>
        </w:tc>
        <w:tc>
          <w:tcPr>
            <w:tcW w:w="1712" w:type="dxa"/>
            <w:vAlign w:val="center"/>
          </w:tcPr>
          <w:p>
            <w:pPr>
              <w:pStyle w:val="68"/>
              <w:widowControl w:val="0"/>
              <w:spacing w:line="264" w:lineRule="auto"/>
              <w:ind w:firstLine="0" w:firstLineChars="0"/>
              <w:jc w:val="center"/>
              <w:rPr>
                <w:rFonts w:hAnsi="宋体"/>
                <w:sz w:val="18"/>
                <w:szCs w:val="18"/>
              </w:rPr>
            </w:pPr>
            <w:r>
              <w:rPr>
                <w:rFonts w:hint="eastAsia" w:hAnsi="宋体"/>
                <w:sz w:val="18"/>
                <w:szCs w:val="18"/>
              </w:rPr>
              <w:t>装饰件</w:t>
            </w:r>
          </w:p>
        </w:tc>
        <w:tc>
          <w:tcPr>
            <w:tcW w:w="1276" w:type="dxa"/>
          </w:tcPr>
          <w:p>
            <w:pPr>
              <w:pStyle w:val="98"/>
              <w:widowControl w:val="0"/>
              <w:shd w:val="clear" w:color="auto" w:fill="auto"/>
              <w:spacing w:before="0" w:after="0" w:line="400" w:lineRule="exact"/>
              <w:rPr>
                <w:rFonts w:asciiTheme="minorEastAsia" w:hAnsiTheme="minorEastAsia" w:eastAsiaTheme="minorEastAsia"/>
                <w:sz w:val="18"/>
                <w:szCs w:val="18"/>
              </w:rPr>
            </w:pPr>
          </w:p>
        </w:tc>
        <w:tc>
          <w:tcPr>
            <w:tcW w:w="1275" w:type="dxa"/>
            <w:vAlign w:val="center"/>
          </w:tcPr>
          <w:p>
            <w:pPr>
              <w:pStyle w:val="98"/>
              <w:widowControl w:val="0"/>
              <w:shd w:val="clear" w:color="auto" w:fill="auto"/>
              <w:spacing w:before="0" w:after="0" w:line="400" w:lineRule="exact"/>
              <w:rPr>
                <w:rFonts w:asciiTheme="minorEastAsia" w:hAnsiTheme="minorEastAsia" w:eastAsiaTheme="minorEastAsia"/>
                <w:sz w:val="18"/>
                <w:szCs w:val="18"/>
              </w:rPr>
            </w:pPr>
          </w:p>
        </w:tc>
        <w:tc>
          <w:tcPr>
            <w:tcW w:w="1701" w:type="dxa"/>
            <w:vAlign w:val="center"/>
          </w:tcPr>
          <w:p>
            <w:pPr>
              <w:pStyle w:val="98"/>
              <w:widowControl w:val="0"/>
              <w:shd w:val="clear" w:color="auto" w:fill="auto"/>
              <w:spacing w:before="0" w:after="0" w:line="400" w:lineRule="exact"/>
              <w:rPr>
                <w:rFonts w:asciiTheme="minorEastAsia" w:hAnsiTheme="minorEastAsia" w:eastAsiaTheme="minorEastAsia"/>
                <w:sz w:val="18"/>
                <w:szCs w:val="18"/>
              </w:rPr>
            </w:pPr>
          </w:p>
        </w:tc>
        <w:tc>
          <w:tcPr>
            <w:tcW w:w="2694" w:type="dxa"/>
            <w:vAlign w:val="center"/>
          </w:tcPr>
          <w:p>
            <w:pPr>
              <w:pStyle w:val="98"/>
              <w:widowControl w:val="0"/>
              <w:shd w:val="clear" w:color="auto" w:fill="auto"/>
              <w:spacing w:before="0" w:after="0" w:line="400" w:lineRule="exact"/>
              <w:rPr>
                <w:rFonts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9" w:type="dxa"/>
            <w:vMerge w:val="continue"/>
            <w:vAlign w:val="center"/>
          </w:tcPr>
          <w:p>
            <w:pPr>
              <w:pStyle w:val="98"/>
              <w:widowControl w:val="0"/>
              <w:shd w:val="clear" w:color="auto" w:fill="auto"/>
              <w:spacing w:before="0" w:after="0" w:line="400" w:lineRule="exact"/>
              <w:rPr>
                <w:rFonts w:asciiTheme="minorEastAsia" w:hAnsiTheme="minorEastAsia" w:eastAsiaTheme="minorEastAsia"/>
                <w:sz w:val="18"/>
                <w:szCs w:val="18"/>
              </w:rPr>
            </w:pPr>
          </w:p>
        </w:tc>
        <w:tc>
          <w:tcPr>
            <w:tcW w:w="1712" w:type="dxa"/>
            <w:vAlign w:val="center"/>
          </w:tcPr>
          <w:p>
            <w:pPr>
              <w:pStyle w:val="68"/>
              <w:widowControl w:val="0"/>
              <w:spacing w:line="264" w:lineRule="auto"/>
              <w:ind w:firstLine="0" w:firstLineChars="0"/>
              <w:jc w:val="center"/>
              <w:rPr>
                <w:rFonts w:hAnsi="宋体"/>
                <w:sz w:val="18"/>
                <w:szCs w:val="18"/>
              </w:rPr>
            </w:pPr>
            <w:r>
              <w:rPr>
                <w:rFonts w:hint="eastAsia" w:hAnsi="宋体"/>
                <w:sz w:val="18"/>
                <w:szCs w:val="18"/>
              </w:rPr>
              <w:t>防尘罩</w:t>
            </w:r>
          </w:p>
        </w:tc>
        <w:tc>
          <w:tcPr>
            <w:tcW w:w="1276" w:type="dxa"/>
          </w:tcPr>
          <w:p>
            <w:pPr>
              <w:pStyle w:val="98"/>
              <w:widowControl w:val="0"/>
              <w:shd w:val="clear" w:color="auto" w:fill="auto"/>
              <w:spacing w:before="0" w:after="0" w:line="400" w:lineRule="exact"/>
              <w:rPr>
                <w:rFonts w:asciiTheme="minorEastAsia" w:hAnsiTheme="minorEastAsia" w:eastAsiaTheme="minorEastAsia"/>
                <w:sz w:val="18"/>
                <w:szCs w:val="18"/>
              </w:rPr>
            </w:pPr>
          </w:p>
        </w:tc>
        <w:tc>
          <w:tcPr>
            <w:tcW w:w="1275" w:type="dxa"/>
            <w:vAlign w:val="center"/>
          </w:tcPr>
          <w:p>
            <w:pPr>
              <w:pStyle w:val="98"/>
              <w:widowControl w:val="0"/>
              <w:shd w:val="clear" w:color="auto" w:fill="auto"/>
              <w:spacing w:before="0" w:after="0" w:line="400" w:lineRule="exact"/>
              <w:rPr>
                <w:rFonts w:asciiTheme="minorEastAsia" w:hAnsiTheme="minorEastAsia" w:eastAsiaTheme="minorEastAsia"/>
                <w:sz w:val="18"/>
                <w:szCs w:val="18"/>
              </w:rPr>
            </w:pPr>
          </w:p>
        </w:tc>
        <w:tc>
          <w:tcPr>
            <w:tcW w:w="1701" w:type="dxa"/>
            <w:vAlign w:val="center"/>
          </w:tcPr>
          <w:p>
            <w:pPr>
              <w:pStyle w:val="98"/>
              <w:widowControl w:val="0"/>
              <w:shd w:val="clear" w:color="auto" w:fill="auto"/>
              <w:spacing w:before="0" w:after="0" w:line="400" w:lineRule="exact"/>
              <w:rPr>
                <w:rFonts w:asciiTheme="minorEastAsia" w:hAnsiTheme="minorEastAsia" w:eastAsiaTheme="minorEastAsia"/>
                <w:sz w:val="18"/>
                <w:szCs w:val="18"/>
              </w:rPr>
            </w:pPr>
          </w:p>
        </w:tc>
        <w:tc>
          <w:tcPr>
            <w:tcW w:w="2694" w:type="dxa"/>
            <w:vAlign w:val="center"/>
          </w:tcPr>
          <w:p>
            <w:pPr>
              <w:pStyle w:val="98"/>
              <w:widowControl w:val="0"/>
              <w:shd w:val="clear" w:color="auto" w:fill="auto"/>
              <w:spacing w:before="0" w:after="0" w:line="400" w:lineRule="exact"/>
              <w:rPr>
                <w:rFonts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9" w:type="dxa"/>
            <w:vMerge w:val="continue"/>
            <w:vAlign w:val="center"/>
          </w:tcPr>
          <w:p>
            <w:pPr>
              <w:pStyle w:val="98"/>
              <w:widowControl w:val="0"/>
              <w:shd w:val="clear" w:color="auto" w:fill="auto"/>
              <w:spacing w:before="0" w:after="0" w:line="400" w:lineRule="exact"/>
              <w:rPr>
                <w:rFonts w:asciiTheme="minorEastAsia" w:hAnsiTheme="minorEastAsia" w:eastAsiaTheme="minorEastAsia"/>
                <w:sz w:val="18"/>
                <w:szCs w:val="18"/>
              </w:rPr>
            </w:pPr>
          </w:p>
        </w:tc>
        <w:tc>
          <w:tcPr>
            <w:tcW w:w="1712" w:type="dxa"/>
            <w:vAlign w:val="center"/>
          </w:tcPr>
          <w:p>
            <w:pPr>
              <w:pStyle w:val="68"/>
              <w:widowControl w:val="0"/>
              <w:spacing w:line="264" w:lineRule="auto"/>
              <w:ind w:firstLine="0" w:firstLineChars="0"/>
              <w:jc w:val="center"/>
              <w:rPr>
                <w:rFonts w:hAnsi="宋体"/>
                <w:sz w:val="18"/>
                <w:szCs w:val="18"/>
              </w:rPr>
            </w:pPr>
            <w:r>
              <w:rPr>
                <w:rFonts w:hint="eastAsia" w:hAnsi="宋体"/>
                <w:sz w:val="18"/>
                <w:szCs w:val="18"/>
              </w:rPr>
              <w:t>控制盒</w:t>
            </w:r>
          </w:p>
        </w:tc>
        <w:tc>
          <w:tcPr>
            <w:tcW w:w="1276" w:type="dxa"/>
          </w:tcPr>
          <w:p>
            <w:pPr>
              <w:pStyle w:val="98"/>
              <w:widowControl w:val="0"/>
              <w:shd w:val="clear" w:color="auto" w:fill="auto"/>
              <w:spacing w:before="0" w:after="0" w:line="400" w:lineRule="exact"/>
              <w:rPr>
                <w:rFonts w:asciiTheme="minorEastAsia" w:hAnsiTheme="minorEastAsia" w:eastAsiaTheme="minorEastAsia"/>
                <w:sz w:val="18"/>
                <w:szCs w:val="18"/>
              </w:rPr>
            </w:pPr>
          </w:p>
        </w:tc>
        <w:tc>
          <w:tcPr>
            <w:tcW w:w="1275" w:type="dxa"/>
            <w:vAlign w:val="center"/>
          </w:tcPr>
          <w:p>
            <w:pPr>
              <w:pStyle w:val="98"/>
              <w:widowControl w:val="0"/>
              <w:shd w:val="clear" w:color="auto" w:fill="auto"/>
              <w:spacing w:before="0" w:after="0" w:line="400" w:lineRule="exact"/>
              <w:rPr>
                <w:rFonts w:asciiTheme="minorEastAsia" w:hAnsiTheme="minorEastAsia" w:eastAsiaTheme="minorEastAsia"/>
                <w:sz w:val="18"/>
                <w:szCs w:val="18"/>
              </w:rPr>
            </w:pPr>
          </w:p>
        </w:tc>
        <w:tc>
          <w:tcPr>
            <w:tcW w:w="1701" w:type="dxa"/>
            <w:vAlign w:val="center"/>
          </w:tcPr>
          <w:p>
            <w:pPr>
              <w:pStyle w:val="98"/>
              <w:widowControl w:val="0"/>
              <w:shd w:val="clear" w:color="auto" w:fill="auto"/>
              <w:spacing w:before="0" w:after="0" w:line="400" w:lineRule="exact"/>
              <w:rPr>
                <w:rFonts w:asciiTheme="minorEastAsia" w:hAnsiTheme="minorEastAsia" w:eastAsiaTheme="minorEastAsia"/>
                <w:sz w:val="18"/>
                <w:szCs w:val="18"/>
              </w:rPr>
            </w:pPr>
          </w:p>
        </w:tc>
        <w:tc>
          <w:tcPr>
            <w:tcW w:w="2694" w:type="dxa"/>
            <w:vAlign w:val="center"/>
          </w:tcPr>
          <w:p>
            <w:pPr>
              <w:pStyle w:val="98"/>
              <w:widowControl w:val="0"/>
              <w:shd w:val="clear" w:color="auto" w:fill="auto"/>
              <w:spacing w:before="0" w:after="0" w:line="400" w:lineRule="exact"/>
              <w:rPr>
                <w:rFonts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9" w:type="dxa"/>
            <w:vMerge w:val="continue"/>
            <w:vAlign w:val="center"/>
          </w:tcPr>
          <w:p>
            <w:pPr>
              <w:pStyle w:val="98"/>
              <w:widowControl w:val="0"/>
              <w:shd w:val="clear" w:color="auto" w:fill="auto"/>
              <w:spacing w:before="0" w:after="0" w:line="400" w:lineRule="exact"/>
              <w:rPr>
                <w:rFonts w:asciiTheme="minorEastAsia" w:hAnsiTheme="minorEastAsia" w:eastAsiaTheme="minorEastAsia"/>
                <w:sz w:val="18"/>
                <w:szCs w:val="18"/>
              </w:rPr>
            </w:pPr>
          </w:p>
        </w:tc>
        <w:tc>
          <w:tcPr>
            <w:tcW w:w="1712" w:type="dxa"/>
            <w:vAlign w:val="center"/>
          </w:tcPr>
          <w:p>
            <w:pPr>
              <w:pStyle w:val="68"/>
              <w:widowControl w:val="0"/>
              <w:spacing w:line="264" w:lineRule="auto"/>
              <w:ind w:firstLine="0" w:firstLineChars="0"/>
              <w:jc w:val="center"/>
              <w:rPr>
                <w:rFonts w:hAnsi="宋体"/>
                <w:sz w:val="18"/>
                <w:szCs w:val="18"/>
              </w:rPr>
            </w:pPr>
            <w:r>
              <w:rPr>
                <w:rFonts w:hint="eastAsia" w:hAnsi="宋体"/>
                <w:sz w:val="18"/>
                <w:szCs w:val="18"/>
              </w:rPr>
              <w:t>接头</w:t>
            </w:r>
          </w:p>
        </w:tc>
        <w:tc>
          <w:tcPr>
            <w:tcW w:w="1276" w:type="dxa"/>
          </w:tcPr>
          <w:p>
            <w:pPr>
              <w:pStyle w:val="98"/>
              <w:widowControl w:val="0"/>
              <w:shd w:val="clear" w:color="auto" w:fill="auto"/>
              <w:spacing w:before="0" w:after="0" w:line="400" w:lineRule="exact"/>
              <w:rPr>
                <w:rFonts w:asciiTheme="minorEastAsia" w:hAnsiTheme="minorEastAsia" w:eastAsiaTheme="minorEastAsia"/>
                <w:sz w:val="18"/>
                <w:szCs w:val="18"/>
              </w:rPr>
            </w:pPr>
          </w:p>
        </w:tc>
        <w:tc>
          <w:tcPr>
            <w:tcW w:w="1275" w:type="dxa"/>
            <w:vAlign w:val="center"/>
          </w:tcPr>
          <w:p>
            <w:pPr>
              <w:pStyle w:val="98"/>
              <w:widowControl w:val="0"/>
              <w:shd w:val="clear" w:color="auto" w:fill="auto"/>
              <w:spacing w:before="0" w:after="0" w:line="400" w:lineRule="exact"/>
              <w:rPr>
                <w:rFonts w:asciiTheme="minorEastAsia" w:hAnsiTheme="minorEastAsia" w:eastAsiaTheme="minorEastAsia"/>
                <w:sz w:val="18"/>
                <w:szCs w:val="18"/>
              </w:rPr>
            </w:pPr>
          </w:p>
        </w:tc>
        <w:tc>
          <w:tcPr>
            <w:tcW w:w="1701" w:type="dxa"/>
            <w:vAlign w:val="center"/>
          </w:tcPr>
          <w:p>
            <w:pPr>
              <w:pStyle w:val="98"/>
              <w:widowControl w:val="0"/>
              <w:shd w:val="clear" w:color="auto" w:fill="auto"/>
              <w:spacing w:before="0" w:after="0" w:line="400" w:lineRule="exact"/>
              <w:rPr>
                <w:rFonts w:asciiTheme="minorEastAsia" w:hAnsiTheme="minorEastAsia" w:eastAsiaTheme="minorEastAsia"/>
                <w:sz w:val="18"/>
                <w:szCs w:val="18"/>
              </w:rPr>
            </w:pPr>
          </w:p>
        </w:tc>
        <w:tc>
          <w:tcPr>
            <w:tcW w:w="2694" w:type="dxa"/>
            <w:vAlign w:val="center"/>
          </w:tcPr>
          <w:p>
            <w:pPr>
              <w:pStyle w:val="98"/>
              <w:widowControl w:val="0"/>
              <w:shd w:val="clear" w:color="auto" w:fill="auto"/>
              <w:spacing w:before="0" w:after="0" w:line="400" w:lineRule="exact"/>
              <w:rPr>
                <w:rFonts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9" w:type="dxa"/>
            <w:vMerge w:val="continue"/>
            <w:vAlign w:val="center"/>
          </w:tcPr>
          <w:p>
            <w:pPr>
              <w:pStyle w:val="98"/>
              <w:widowControl w:val="0"/>
              <w:shd w:val="clear" w:color="auto" w:fill="auto"/>
              <w:spacing w:before="0" w:after="0" w:line="400" w:lineRule="exact"/>
              <w:rPr>
                <w:rFonts w:asciiTheme="minorEastAsia" w:hAnsiTheme="minorEastAsia" w:eastAsiaTheme="minorEastAsia"/>
                <w:sz w:val="18"/>
                <w:szCs w:val="18"/>
              </w:rPr>
            </w:pPr>
          </w:p>
        </w:tc>
        <w:tc>
          <w:tcPr>
            <w:tcW w:w="1712" w:type="dxa"/>
            <w:vAlign w:val="center"/>
          </w:tcPr>
          <w:p>
            <w:pPr>
              <w:pStyle w:val="68"/>
              <w:widowControl w:val="0"/>
              <w:spacing w:line="264" w:lineRule="auto"/>
              <w:ind w:firstLine="0" w:firstLineChars="0"/>
              <w:jc w:val="center"/>
              <w:rPr>
                <w:rFonts w:hAnsi="宋体"/>
                <w:sz w:val="18"/>
                <w:szCs w:val="18"/>
              </w:rPr>
            </w:pPr>
            <w:r>
              <w:rPr>
                <w:rFonts w:hint="eastAsia" w:hAnsi="宋体"/>
                <w:sz w:val="18"/>
                <w:szCs w:val="18"/>
              </w:rPr>
              <w:t>布水器</w:t>
            </w:r>
          </w:p>
        </w:tc>
        <w:tc>
          <w:tcPr>
            <w:tcW w:w="1276" w:type="dxa"/>
          </w:tcPr>
          <w:p>
            <w:pPr>
              <w:pStyle w:val="98"/>
              <w:widowControl w:val="0"/>
              <w:shd w:val="clear" w:color="auto" w:fill="auto"/>
              <w:spacing w:before="0" w:after="0" w:line="400" w:lineRule="exact"/>
              <w:rPr>
                <w:rFonts w:asciiTheme="minorEastAsia" w:hAnsiTheme="minorEastAsia" w:eastAsiaTheme="minorEastAsia"/>
                <w:sz w:val="18"/>
                <w:szCs w:val="18"/>
              </w:rPr>
            </w:pPr>
          </w:p>
        </w:tc>
        <w:tc>
          <w:tcPr>
            <w:tcW w:w="1275" w:type="dxa"/>
            <w:vAlign w:val="center"/>
          </w:tcPr>
          <w:p>
            <w:pPr>
              <w:pStyle w:val="98"/>
              <w:widowControl w:val="0"/>
              <w:shd w:val="clear" w:color="auto" w:fill="auto"/>
              <w:spacing w:before="0" w:after="0" w:line="400" w:lineRule="exact"/>
              <w:rPr>
                <w:rFonts w:asciiTheme="minorEastAsia" w:hAnsiTheme="minorEastAsia" w:eastAsiaTheme="minorEastAsia"/>
                <w:sz w:val="18"/>
                <w:szCs w:val="18"/>
              </w:rPr>
            </w:pPr>
          </w:p>
        </w:tc>
        <w:tc>
          <w:tcPr>
            <w:tcW w:w="1701" w:type="dxa"/>
            <w:vAlign w:val="center"/>
          </w:tcPr>
          <w:p>
            <w:pPr>
              <w:pStyle w:val="98"/>
              <w:widowControl w:val="0"/>
              <w:shd w:val="clear" w:color="auto" w:fill="auto"/>
              <w:spacing w:before="0" w:after="0" w:line="400" w:lineRule="exact"/>
              <w:rPr>
                <w:rFonts w:asciiTheme="minorEastAsia" w:hAnsiTheme="minorEastAsia" w:eastAsiaTheme="minorEastAsia"/>
                <w:sz w:val="18"/>
                <w:szCs w:val="18"/>
              </w:rPr>
            </w:pPr>
          </w:p>
        </w:tc>
        <w:tc>
          <w:tcPr>
            <w:tcW w:w="2694" w:type="dxa"/>
            <w:vAlign w:val="center"/>
          </w:tcPr>
          <w:p>
            <w:pPr>
              <w:pStyle w:val="98"/>
              <w:widowControl w:val="0"/>
              <w:shd w:val="clear" w:color="auto" w:fill="auto"/>
              <w:spacing w:before="0" w:after="0" w:line="400" w:lineRule="exact"/>
              <w:rPr>
                <w:rFonts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9" w:type="dxa"/>
            <w:vMerge w:val="continue"/>
            <w:vAlign w:val="center"/>
          </w:tcPr>
          <w:p>
            <w:pPr>
              <w:pStyle w:val="98"/>
              <w:widowControl w:val="0"/>
              <w:shd w:val="clear" w:color="auto" w:fill="auto"/>
              <w:spacing w:before="0" w:after="0" w:line="400" w:lineRule="exact"/>
              <w:rPr>
                <w:rFonts w:asciiTheme="minorEastAsia" w:hAnsiTheme="minorEastAsia" w:eastAsiaTheme="minorEastAsia"/>
                <w:sz w:val="18"/>
                <w:szCs w:val="18"/>
              </w:rPr>
            </w:pPr>
          </w:p>
        </w:tc>
        <w:tc>
          <w:tcPr>
            <w:tcW w:w="1712" w:type="dxa"/>
            <w:vAlign w:val="center"/>
          </w:tcPr>
          <w:p>
            <w:pPr>
              <w:pStyle w:val="68"/>
              <w:widowControl w:val="0"/>
              <w:spacing w:line="264" w:lineRule="auto"/>
              <w:ind w:firstLine="0" w:firstLineChars="0"/>
              <w:jc w:val="center"/>
              <w:rPr>
                <w:rFonts w:hAnsi="宋体"/>
                <w:sz w:val="18"/>
                <w:szCs w:val="18"/>
              </w:rPr>
            </w:pPr>
            <w:r>
              <w:rPr>
                <w:rFonts w:hint="eastAsia" w:hAnsi="宋体"/>
                <w:sz w:val="18"/>
                <w:szCs w:val="18"/>
              </w:rPr>
              <w:t>固定件</w:t>
            </w:r>
          </w:p>
        </w:tc>
        <w:tc>
          <w:tcPr>
            <w:tcW w:w="1276" w:type="dxa"/>
          </w:tcPr>
          <w:p>
            <w:pPr>
              <w:pStyle w:val="98"/>
              <w:widowControl w:val="0"/>
              <w:shd w:val="clear" w:color="auto" w:fill="auto"/>
              <w:spacing w:before="0" w:after="0" w:line="400" w:lineRule="exact"/>
              <w:rPr>
                <w:rFonts w:asciiTheme="minorEastAsia" w:hAnsiTheme="minorEastAsia" w:eastAsiaTheme="minorEastAsia"/>
                <w:sz w:val="18"/>
                <w:szCs w:val="18"/>
              </w:rPr>
            </w:pPr>
          </w:p>
        </w:tc>
        <w:tc>
          <w:tcPr>
            <w:tcW w:w="1275" w:type="dxa"/>
            <w:vAlign w:val="center"/>
          </w:tcPr>
          <w:p>
            <w:pPr>
              <w:pStyle w:val="98"/>
              <w:widowControl w:val="0"/>
              <w:shd w:val="clear" w:color="auto" w:fill="auto"/>
              <w:spacing w:before="0" w:after="0" w:line="400" w:lineRule="exact"/>
              <w:rPr>
                <w:rFonts w:asciiTheme="minorEastAsia" w:hAnsiTheme="minorEastAsia" w:eastAsiaTheme="minorEastAsia"/>
                <w:sz w:val="18"/>
                <w:szCs w:val="18"/>
              </w:rPr>
            </w:pPr>
          </w:p>
        </w:tc>
        <w:tc>
          <w:tcPr>
            <w:tcW w:w="1701" w:type="dxa"/>
            <w:vAlign w:val="center"/>
          </w:tcPr>
          <w:p>
            <w:pPr>
              <w:pStyle w:val="98"/>
              <w:widowControl w:val="0"/>
              <w:shd w:val="clear" w:color="auto" w:fill="auto"/>
              <w:spacing w:before="0" w:after="0" w:line="400" w:lineRule="exact"/>
              <w:rPr>
                <w:rFonts w:asciiTheme="minorEastAsia" w:hAnsiTheme="minorEastAsia" w:eastAsiaTheme="minorEastAsia"/>
                <w:sz w:val="18"/>
                <w:szCs w:val="18"/>
              </w:rPr>
            </w:pPr>
          </w:p>
        </w:tc>
        <w:tc>
          <w:tcPr>
            <w:tcW w:w="2694" w:type="dxa"/>
            <w:vAlign w:val="center"/>
          </w:tcPr>
          <w:p>
            <w:pPr>
              <w:pStyle w:val="98"/>
              <w:widowControl w:val="0"/>
              <w:shd w:val="clear" w:color="auto" w:fill="auto"/>
              <w:spacing w:before="0" w:after="0" w:line="400" w:lineRule="exact"/>
              <w:rPr>
                <w:rFonts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9" w:type="dxa"/>
            <w:vMerge w:val="continue"/>
            <w:vAlign w:val="center"/>
          </w:tcPr>
          <w:p>
            <w:pPr>
              <w:pStyle w:val="98"/>
              <w:widowControl w:val="0"/>
              <w:shd w:val="clear" w:color="auto" w:fill="auto"/>
              <w:spacing w:before="0" w:after="0" w:line="400" w:lineRule="exact"/>
              <w:rPr>
                <w:rFonts w:asciiTheme="minorEastAsia" w:hAnsiTheme="minorEastAsia" w:eastAsiaTheme="minorEastAsia"/>
                <w:sz w:val="18"/>
                <w:szCs w:val="18"/>
              </w:rPr>
            </w:pPr>
          </w:p>
        </w:tc>
        <w:tc>
          <w:tcPr>
            <w:tcW w:w="1712" w:type="dxa"/>
            <w:vAlign w:val="center"/>
          </w:tcPr>
          <w:p>
            <w:pPr>
              <w:pStyle w:val="68"/>
              <w:widowControl w:val="0"/>
              <w:spacing w:line="264" w:lineRule="auto"/>
              <w:ind w:firstLine="0" w:firstLineChars="0"/>
              <w:jc w:val="center"/>
              <w:rPr>
                <w:rFonts w:hAnsi="宋体"/>
                <w:sz w:val="18"/>
                <w:szCs w:val="18"/>
              </w:rPr>
            </w:pPr>
            <w:r>
              <w:rPr>
                <w:rFonts w:hint="eastAsia" w:hAnsi="宋体"/>
                <w:sz w:val="18"/>
                <w:szCs w:val="18"/>
              </w:rPr>
              <w:t>密封垫</w:t>
            </w:r>
          </w:p>
        </w:tc>
        <w:tc>
          <w:tcPr>
            <w:tcW w:w="1276" w:type="dxa"/>
          </w:tcPr>
          <w:p>
            <w:pPr>
              <w:pStyle w:val="98"/>
              <w:widowControl w:val="0"/>
              <w:shd w:val="clear" w:color="auto" w:fill="auto"/>
              <w:spacing w:before="0" w:after="0" w:line="400" w:lineRule="exact"/>
              <w:rPr>
                <w:rFonts w:asciiTheme="minorEastAsia" w:hAnsiTheme="minorEastAsia" w:eastAsiaTheme="minorEastAsia"/>
                <w:sz w:val="18"/>
                <w:szCs w:val="18"/>
              </w:rPr>
            </w:pPr>
          </w:p>
        </w:tc>
        <w:tc>
          <w:tcPr>
            <w:tcW w:w="1275" w:type="dxa"/>
            <w:vAlign w:val="center"/>
          </w:tcPr>
          <w:p>
            <w:pPr>
              <w:pStyle w:val="98"/>
              <w:widowControl w:val="0"/>
              <w:shd w:val="clear" w:color="auto" w:fill="auto"/>
              <w:spacing w:before="0" w:after="0" w:line="400" w:lineRule="exact"/>
              <w:rPr>
                <w:rFonts w:asciiTheme="minorEastAsia" w:hAnsiTheme="minorEastAsia" w:eastAsiaTheme="minorEastAsia"/>
                <w:sz w:val="18"/>
                <w:szCs w:val="18"/>
              </w:rPr>
            </w:pPr>
          </w:p>
        </w:tc>
        <w:tc>
          <w:tcPr>
            <w:tcW w:w="1701" w:type="dxa"/>
            <w:vAlign w:val="center"/>
          </w:tcPr>
          <w:p>
            <w:pPr>
              <w:pStyle w:val="98"/>
              <w:widowControl w:val="0"/>
              <w:shd w:val="clear" w:color="auto" w:fill="auto"/>
              <w:spacing w:before="0" w:after="0" w:line="400" w:lineRule="exact"/>
              <w:rPr>
                <w:rFonts w:asciiTheme="minorEastAsia" w:hAnsiTheme="minorEastAsia" w:eastAsiaTheme="minorEastAsia"/>
                <w:sz w:val="18"/>
                <w:szCs w:val="18"/>
              </w:rPr>
            </w:pPr>
          </w:p>
        </w:tc>
        <w:tc>
          <w:tcPr>
            <w:tcW w:w="2694" w:type="dxa"/>
            <w:vAlign w:val="center"/>
          </w:tcPr>
          <w:p>
            <w:pPr>
              <w:pStyle w:val="98"/>
              <w:widowControl w:val="0"/>
              <w:shd w:val="clear" w:color="auto" w:fill="auto"/>
              <w:spacing w:before="0" w:after="0" w:line="400" w:lineRule="exact"/>
              <w:rPr>
                <w:rFonts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9" w:type="dxa"/>
            <w:vMerge w:val="continue"/>
            <w:vAlign w:val="center"/>
          </w:tcPr>
          <w:p>
            <w:pPr>
              <w:pStyle w:val="98"/>
              <w:widowControl w:val="0"/>
              <w:shd w:val="clear" w:color="auto" w:fill="auto"/>
              <w:spacing w:before="0" w:after="0" w:line="400" w:lineRule="exact"/>
              <w:rPr>
                <w:rFonts w:asciiTheme="minorEastAsia" w:hAnsiTheme="minorEastAsia" w:eastAsiaTheme="minorEastAsia"/>
                <w:sz w:val="18"/>
                <w:szCs w:val="18"/>
              </w:rPr>
            </w:pPr>
          </w:p>
        </w:tc>
        <w:tc>
          <w:tcPr>
            <w:tcW w:w="1712" w:type="dxa"/>
            <w:vAlign w:val="center"/>
          </w:tcPr>
          <w:p>
            <w:pPr>
              <w:pStyle w:val="68"/>
              <w:widowControl w:val="0"/>
              <w:spacing w:line="264" w:lineRule="auto"/>
              <w:ind w:firstLine="0" w:firstLineChars="0"/>
              <w:jc w:val="center"/>
              <w:rPr>
                <w:rFonts w:hAnsi="宋体"/>
                <w:sz w:val="18"/>
                <w:szCs w:val="18"/>
              </w:rPr>
            </w:pPr>
            <w:r>
              <w:rPr>
                <w:rFonts w:hint="eastAsia" w:hAnsi="宋体"/>
                <w:sz w:val="18"/>
                <w:szCs w:val="18"/>
              </w:rPr>
              <w:t>O形圈</w:t>
            </w:r>
          </w:p>
        </w:tc>
        <w:tc>
          <w:tcPr>
            <w:tcW w:w="1276" w:type="dxa"/>
          </w:tcPr>
          <w:p>
            <w:pPr>
              <w:pStyle w:val="98"/>
              <w:widowControl w:val="0"/>
              <w:shd w:val="clear" w:color="auto" w:fill="auto"/>
              <w:spacing w:before="0" w:after="0" w:line="400" w:lineRule="exact"/>
              <w:rPr>
                <w:rFonts w:asciiTheme="minorEastAsia" w:hAnsiTheme="minorEastAsia" w:eastAsiaTheme="minorEastAsia"/>
                <w:sz w:val="18"/>
                <w:szCs w:val="18"/>
              </w:rPr>
            </w:pPr>
          </w:p>
        </w:tc>
        <w:tc>
          <w:tcPr>
            <w:tcW w:w="1275" w:type="dxa"/>
            <w:vAlign w:val="center"/>
          </w:tcPr>
          <w:p>
            <w:pPr>
              <w:pStyle w:val="98"/>
              <w:widowControl w:val="0"/>
              <w:shd w:val="clear" w:color="auto" w:fill="auto"/>
              <w:spacing w:before="0" w:after="0" w:line="400" w:lineRule="exact"/>
              <w:rPr>
                <w:rFonts w:asciiTheme="minorEastAsia" w:hAnsiTheme="minorEastAsia" w:eastAsiaTheme="minorEastAsia"/>
                <w:sz w:val="18"/>
                <w:szCs w:val="18"/>
              </w:rPr>
            </w:pPr>
          </w:p>
        </w:tc>
        <w:tc>
          <w:tcPr>
            <w:tcW w:w="1701" w:type="dxa"/>
            <w:vAlign w:val="center"/>
          </w:tcPr>
          <w:p>
            <w:pPr>
              <w:pStyle w:val="98"/>
              <w:widowControl w:val="0"/>
              <w:shd w:val="clear" w:color="auto" w:fill="auto"/>
              <w:spacing w:before="0" w:after="0" w:line="400" w:lineRule="exact"/>
              <w:rPr>
                <w:rFonts w:asciiTheme="minorEastAsia" w:hAnsiTheme="minorEastAsia" w:eastAsiaTheme="minorEastAsia"/>
                <w:sz w:val="18"/>
                <w:szCs w:val="18"/>
              </w:rPr>
            </w:pPr>
          </w:p>
        </w:tc>
        <w:tc>
          <w:tcPr>
            <w:tcW w:w="2694" w:type="dxa"/>
            <w:vAlign w:val="center"/>
          </w:tcPr>
          <w:p>
            <w:pPr>
              <w:pStyle w:val="98"/>
              <w:widowControl w:val="0"/>
              <w:shd w:val="clear" w:color="auto" w:fill="auto"/>
              <w:spacing w:before="0" w:after="0" w:line="400" w:lineRule="exact"/>
              <w:rPr>
                <w:rFonts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9" w:type="dxa"/>
            <w:vMerge w:val="continue"/>
            <w:vAlign w:val="center"/>
          </w:tcPr>
          <w:p>
            <w:pPr>
              <w:pStyle w:val="98"/>
              <w:widowControl w:val="0"/>
              <w:shd w:val="clear" w:color="auto" w:fill="auto"/>
              <w:spacing w:before="0" w:after="0" w:line="400" w:lineRule="exact"/>
              <w:rPr>
                <w:rFonts w:asciiTheme="minorEastAsia" w:hAnsiTheme="minorEastAsia" w:eastAsiaTheme="minorEastAsia"/>
                <w:sz w:val="18"/>
                <w:szCs w:val="18"/>
              </w:rPr>
            </w:pPr>
          </w:p>
        </w:tc>
        <w:tc>
          <w:tcPr>
            <w:tcW w:w="1712" w:type="dxa"/>
            <w:vAlign w:val="center"/>
          </w:tcPr>
          <w:p>
            <w:pPr>
              <w:pStyle w:val="68"/>
              <w:widowControl w:val="0"/>
              <w:spacing w:line="264" w:lineRule="auto"/>
              <w:ind w:firstLine="0" w:firstLineChars="0"/>
              <w:jc w:val="center"/>
              <w:rPr>
                <w:rFonts w:hAnsi="宋体"/>
                <w:sz w:val="18"/>
                <w:szCs w:val="18"/>
              </w:rPr>
            </w:pPr>
            <w:r>
              <w:rPr>
                <w:rFonts w:hint="eastAsia" w:hAnsi="宋体"/>
                <w:sz w:val="18"/>
                <w:szCs w:val="18"/>
              </w:rPr>
              <w:t>软管</w:t>
            </w:r>
          </w:p>
        </w:tc>
        <w:tc>
          <w:tcPr>
            <w:tcW w:w="1276" w:type="dxa"/>
          </w:tcPr>
          <w:p>
            <w:pPr>
              <w:pStyle w:val="98"/>
              <w:widowControl w:val="0"/>
              <w:shd w:val="clear" w:color="auto" w:fill="auto"/>
              <w:spacing w:before="0" w:after="0" w:line="400" w:lineRule="exact"/>
              <w:rPr>
                <w:rFonts w:asciiTheme="minorEastAsia" w:hAnsiTheme="minorEastAsia" w:eastAsiaTheme="minorEastAsia"/>
                <w:sz w:val="18"/>
                <w:szCs w:val="18"/>
              </w:rPr>
            </w:pPr>
          </w:p>
        </w:tc>
        <w:tc>
          <w:tcPr>
            <w:tcW w:w="1275" w:type="dxa"/>
            <w:vAlign w:val="center"/>
          </w:tcPr>
          <w:p>
            <w:pPr>
              <w:pStyle w:val="98"/>
              <w:widowControl w:val="0"/>
              <w:shd w:val="clear" w:color="auto" w:fill="auto"/>
              <w:spacing w:before="0" w:after="0" w:line="400" w:lineRule="exact"/>
              <w:rPr>
                <w:rFonts w:asciiTheme="minorEastAsia" w:hAnsiTheme="minorEastAsia" w:eastAsiaTheme="minorEastAsia"/>
                <w:sz w:val="18"/>
                <w:szCs w:val="18"/>
              </w:rPr>
            </w:pPr>
          </w:p>
        </w:tc>
        <w:tc>
          <w:tcPr>
            <w:tcW w:w="1701" w:type="dxa"/>
            <w:vAlign w:val="center"/>
          </w:tcPr>
          <w:p>
            <w:pPr>
              <w:pStyle w:val="98"/>
              <w:widowControl w:val="0"/>
              <w:shd w:val="clear" w:color="auto" w:fill="auto"/>
              <w:spacing w:before="0" w:after="0" w:line="400" w:lineRule="exact"/>
              <w:rPr>
                <w:rFonts w:asciiTheme="minorEastAsia" w:hAnsiTheme="minorEastAsia" w:eastAsiaTheme="minorEastAsia"/>
                <w:sz w:val="18"/>
                <w:szCs w:val="18"/>
              </w:rPr>
            </w:pPr>
          </w:p>
        </w:tc>
        <w:tc>
          <w:tcPr>
            <w:tcW w:w="2694" w:type="dxa"/>
            <w:vAlign w:val="center"/>
          </w:tcPr>
          <w:p>
            <w:pPr>
              <w:pStyle w:val="98"/>
              <w:widowControl w:val="0"/>
              <w:shd w:val="clear" w:color="auto" w:fill="auto"/>
              <w:spacing w:before="0" w:after="0" w:line="400" w:lineRule="exact"/>
              <w:rPr>
                <w:rFonts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9" w:type="dxa"/>
            <w:vMerge w:val="continue"/>
            <w:vAlign w:val="center"/>
          </w:tcPr>
          <w:p>
            <w:pPr>
              <w:pStyle w:val="98"/>
              <w:widowControl w:val="0"/>
              <w:shd w:val="clear" w:color="auto" w:fill="auto"/>
              <w:spacing w:before="0" w:after="0" w:line="400" w:lineRule="exact"/>
              <w:rPr>
                <w:rFonts w:asciiTheme="minorEastAsia" w:hAnsiTheme="minorEastAsia" w:eastAsiaTheme="minorEastAsia"/>
                <w:sz w:val="18"/>
                <w:szCs w:val="18"/>
              </w:rPr>
            </w:pPr>
          </w:p>
        </w:tc>
        <w:tc>
          <w:tcPr>
            <w:tcW w:w="1712" w:type="dxa"/>
            <w:vAlign w:val="center"/>
          </w:tcPr>
          <w:p>
            <w:pPr>
              <w:pStyle w:val="68"/>
              <w:widowControl w:val="0"/>
              <w:spacing w:line="264" w:lineRule="auto"/>
              <w:ind w:firstLine="0" w:firstLineChars="0"/>
              <w:jc w:val="center"/>
              <w:rPr>
                <w:rFonts w:hAnsi="宋体"/>
                <w:sz w:val="18"/>
                <w:szCs w:val="18"/>
              </w:rPr>
            </w:pPr>
            <w:r>
              <w:rPr>
                <w:rFonts w:hint="eastAsia" w:hAnsi="宋体"/>
                <w:sz w:val="18"/>
                <w:szCs w:val="18"/>
              </w:rPr>
              <w:t>密封垫</w:t>
            </w:r>
          </w:p>
        </w:tc>
        <w:tc>
          <w:tcPr>
            <w:tcW w:w="1276" w:type="dxa"/>
          </w:tcPr>
          <w:p>
            <w:pPr>
              <w:pStyle w:val="98"/>
              <w:widowControl w:val="0"/>
              <w:shd w:val="clear" w:color="auto" w:fill="auto"/>
              <w:spacing w:before="0" w:after="0" w:line="400" w:lineRule="exact"/>
              <w:rPr>
                <w:rFonts w:asciiTheme="minorEastAsia" w:hAnsiTheme="minorEastAsia" w:eastAsiaTheme="minorEastAsia"/>
                <w:sz w:val="18"/>
                <w:szCs w:val="18"/>
              </w:rPr>
            </w:pPr>
          </w:p>
        </w:tc>
        <w:tc>
          <w:tcPr>
            <w:tcW w:w="1275" w:type="dxa"/>
            <w:vAlign w:val="center"/>
          </w:tcPr>
          <w:p>
            <w:pPr>
              <w:pStyle w:val="98"/>
              <w:widowControl w:val="0"/>
              <w:shd w:val="clear" w:color="auto" w:fill="auto"/>
              <w:spacing w:before="0" w:after="0" w:line="400" w:lineRule="exact"/>
              <w:rPr>
                <w:rFonts w:asciiTheme="minorEastAsia" w:hAnsiTheme="minorEastAsia" w:eastAsiaTheme="minorEastAsia"/>
                <w:sz w:val="18"/>
                <w:szCs w:val="18"/>
              </w:rPr>
            </w:pPr>
          </w:p>
        </w:tc>
        <w:tc>
          <w:tcPr>
            <w:tcW w:w="1701" w:type="dxa"/>
            <w:vAlign w:val="center"/>
          </w:tcPr>
          <w:p>
            <w:pPr>
              <w:pStyle w:val="98"/>
              <w:widowControl w:val="0"/>
              <w:shd w:val="clear" w:color="auto" w:fill="auto"/>
              <w:spacing w:before="0" w:after="0" w:line="400" w:lineRule="exact"/>
              <w:rPr>
                <w:rFonts w:asciiTheme="minorEastAsia" w:hAnsiTheme="minorEastAsia" w:eastAsiaTheme="minorEastAsia"/>
                <w:sz w:val="18"/>
                <w:szCs w:val="18"/>
              </w:rPr>
            </w:pPr>
          </w:p>
        </w:tc>
        <w:tc>
          <w:tcPr>
            <w:tcW w:w="2694" w:type="dxa"/>
            <w:vAlign w:val="center"/>
          </w:tcPr>
          <w:p>
            <w:pPr>
              <w:pStyle w:val="98"/>
              <w:widowControl w:val="0"/>
              <w:shd w:val="clear" w:color="auto" w:fill="auto"/>
              <w:spacing w:before="0" w:after="0" w:line="400" w:lineRule="exact"/>
              <w:rPr>
                <w:rFonts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9" w:type="dxa"/>
            <w:vMerge w:val="restart"/>
            <w:vAlign w:val="center"/>
          </w:tcPr>
          <w:p>
            <w:pPr>
              <w:pStyle w:val="98"/>
              <w:widowControl w:val="0"/>
              <w:shd w:val="clear" w:color="auto" w:fill="auto"/>
              <w:spacing w:before="0" w:after="0" w:line="400" w:lineRule="exact"/>
              <w:rPr>
                <w:rFonts w:asciiTheme="minorEastAsia" w:hAnsiTheme="minorEastAsia" w:eastAsiaTheme="minorEastAsia"/>
                <w:sz w:val="18"/>
                <w:szCs w:val="18"/>
              </w:rPr>
            </w:pPr>
            <w:bookmarkStart w:id="245" w:name="_Toc72997829"/>
            <w:bookmarkStart w:id="246" w:name="_Toc63257906"/>
            <w:r>
              <w:rPr>
                <w:rFonts w:hint="eastAsia" w:asciiTheme="minorEastAsia" w:hAnsiTheme="minorEastAsia" w:eastAsiaTheme="minorEastAsia"/>
                <w:sz w:val="18"/>
                <w:szCs w:val="18"/>
              </w:rPr>
              <w:t>钣金件及金属件</w:t>
            </w:r>
            <w:bookmarkEnd w:id="245"/>
            <w:bookmarkEnd w:id="246"/>
          </w:p>
        </w:tc>
        <w:tc>
          <w:tcPr>
            <w:tcW w:w="1712" w:type="dxa"/>
            <w:vAlign w:val="center"/>
          </w:tcPr>
          <w:p>
            <w:pPr>
              <w:pStyle w:val="98"/>
              <w:widowControl w:val="0"/>
              <w:shd w:val="clear" w:color="auto" w:fill="auto"/>
              <w:spacing w:before="0" w:after="0" w:line="400" w:lineRule="exact"/>
              <w:rPr>
                <w:rFonts w:asciiTheme="minorEastAsia" w:hAnsiTheme="minorEastAsia" w:eastAsiaTheme="minorEastAsia"/>
                <w:sz w:val="18"/>
                <w:szCs w:val="18"/>
              </w:rPr>
            </w:pPr>
            <w:bookmarkStart w:id="247" w:name="_Toc72997830"/>
            <w:bookmarkStart w:id="248" w:name="_Toc63257907"/>
            <w:r>
              <w:rPr>
                <w:rFonts w:hint="eastAsia" w:asciiTheme="minorEastAsia" w:hAnsiTheme="minorEastAsia" w:eastAsiaTheme="minorEastAsia"/>
                <w:sz w:val="18"/>
                <w:szCs w:val="18"/>
              </w:rPr>
              <w:t>螺钉</w:t>
            </w:r>
            <w:bookmarkEnd w:id="247"/>
            <w:bookmarkEnd w:id="248"/>
          </w:p>
        </w:tc>
        <w:tc>
          <w:tcPr>
            <w:tcW w:w="1276" w:type="dxa"/>
          </w:tcPr>
          <w:p>
            <w:pPr>
              <w:pStyle w:val="98"/>
              <w:widowControl w:val="0"/>
              <w:shd w:val="clear" w:color="auto" w:fill="auto"/>
              <w:spacing w:before="0" w:after="0" w:line="400" w:lineRule="exact"/>
              <w:rPr>
                <w:rFonts w:asciiTheme="minorEastAsia" w:hAnsiTheme="minorEastAsia" w:eastAsiaTheme="minorEastAsia"/>
                <w:sz w:val="18"/>
                <w:szCs w:val="18"/>
              </w:rPr>
            </w:pPr>
          </w:p>
        </w:tc>
        <w:tc>
          <w:tcPr>
            <w:tcW w:w="1275" w:type="dxa"/>
            <w:vAlign w:val="center"/>
          </w:tcPr>
          <w:p>
            <w:pPr>
              <w:pStyle w:val="98"/>
              <w:widowControl w:val="0"/>
              <w:shd w:val="clear" w:color="auto" w:fill="auto"/>
              <w:spacing w:before="0" w:after="0" w:line="400" w:lineRule="exact"/>
              <w:rPr>
                <w:rFonts w:asciiTheme="minorEastAsia" w:hAnsiTheme="minorEastAsia" w:eastAsiaTheme="minorEastAsia"/>
                <w:sz w:val="18"/>
                <w:szCs w:val="18"/>
              </w:rPr>
            </w:pPr>
          </w:p>
        </w:tc>
        <w:tc>
          <w:tcPr>
            <w:tcW w:w="1701" w:type="dxa"/>
            <w:vAlign w:val="center"/>
          </w:tcPr>
          <w:p>
            <w:pPr>
              <w:pStyle w:val="98"/>
              <w:widowControl w:val="0"/>
              <w:shd w:val="clear" w:color="auto" w:fill="auto"/>
              <w:spacing w:before="0" w:after="0" w:line="400" w:lineRule="exact"/>
              <w:rPr>
                <w:rFonts w:asciiTheme="minorEastAsia" w:hAnsiTheme="minorEastAsia" w:eastAsiaTheme="minorEastAsia"/>
                <w:sz w:val="18"/>
                <w:szCs w:val="18"/>
              </w:rPr>
            </w:pPr>
          </w:p>
        </w:tc>
        <w:tc>
          <w:tcPr>
            <w:tcW w:w="2694" w:type="dxa"/>
            <w:vAlign w:val="center"/>
          </w:tcPr>
          <w:p>
            <w:pPr>
              <w:pStyle w:val="98"/>
              <w:widowControl w:val="0"/>
              <w:shd w:val="clear" w:color="auto" w:fill="auto"/>
              <w:spacing w:before="0" w:after="0" w:line="400" w:lineRule="exact"/>
              <w:rPr>
                <w:rFonts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9" w:type="dxa"/>
            <w:vMerge w:val="continue"/>
            <w:tcBorders>
              <w:bottom w:val="single" w:color="auto" w:sz="4" w:space="0"/>
            </w:tcBorders>
            <w:vAlign w:val="center"/>
          </w:tcPr>
          <w:p>
            <w:pPr>
              <w:pStyle w:val="98"/>
              <w:widowControl w:val="0"/>
              <w:shd w:val="clear" w:color="auto" w:fill="auto"/>
              <w:spacing w:before="0" w:after="0" w:line="400" w:lineRule="exact"/>
              <w:rPr>
                <w:rFonts w:asciiTheme="minorEastAsia" w:hAnsiTheme="minorEastAsia" w:eastAsiaTheme="minorEastAsia"/>
                <w:sz w:val="18"/>
                <w:szCs w:val="18"/>
              </w:rPr>
            </w:pPr>
          </w:p>
        </w:tc>
        <w:tc>
          <w:tcPr>
            <w:tcW w:w="1712" w:type="dxa"/>
            <w:tcBorders>
              <w:bottom w:val="single" w:color="auto" w:sz="4" w:space="0"/>
            </w:tcBorders>
            <w:vAlign w:val="center"/>
          </w:tcPr>
          <w:p>
            <w:pPr>
              <w:pStyle w:val="98"/>
              <w:widowControl w:val="0"/>
              <w:shd w:val="clear" w:color="auto" w:fill="auto"/>
              <w:spacing w:before="0" w:after="0" w:line="400" w:lineRule="exact"/>
              <w:rPr>
                <w:rFonts w:asciiTheme="minorEastAsia" w:hAnsiTheme="minorEastAsia" w:eastAsiaTheme="minorEastAsia"/>
                <w:sz w:val="18"/>
                <w:szCs w:val="18"/>
              </w:rPr>
            </w:pPr>
            <w:bookmarkStart w:id="249" w:name="_Toc72997831"/>
            <w:bookmarkStart w:id="250" w:name="_Toc63257908"/>
            <w:r>
              <w:rPr>
                <w:rFonts w:hint="eastAsia" w:asciiTheme="minorEastAsia" w:hAnsiTheme="minorEastAsia" w:eastAsiaTheme="minorEastAsia"/>
                <w:sz w:val="18"/>
                <w:szCs w:val="18"/>
              </w:rPr>
              <w:t>充电接触片</w:t>
            </w:r>
            <w:bookmarkEnd w:id="249"/>
            <w:bookmarkEnd w:id="250"/>
          </w:p>
        </w:tc>
        <w:tc>
          <w:tcPr>
            <w:tcW w:w="1276" w:type="dxa"/>
            <w:tcBorders>
              <w:bottom w:val="single" w:color="auto" w:sz="4" w:space="0"/>
            </w:tcBorders>
          </w:tcPr>
          <w:p>
            <w:pPr>
              <w:pStyle w:val="98"/>
              <w:widowControl w:val="0"/>
              <w:shd w:val="clear" w:color="auto" w:fill="auto"/>
              <w:spacing w:before="0" w:after="0" w:line="400" w:lineRule="exact"/>
              <w:rPr>
                <w:rFonts w:asciiTheme="minorEastAsia" w:hAnsiTheme="minorEastAsia" w:eastAsiaTheme="minorEastAsia"/>
                <w:sz w:val="18"/>
                <w:szCs w:val="18"/>
              </w:rPr>
            </w:pPr>
          </w:p>
        </w:tc>
        <w:tc>
          <w:tcPr>
            <w:tcW w:w="1275" w:type="dxa"/>
            <w:tcBorders>
              <w:bottom w:val="single" w:color="auto" w:sz="4" w:space="0"/>
            </w:tcBorders>
            <w:vAlign w:val="center"/>
          </w:tcPr>
          <w:p>
            <w:pPr>
              <w:pStyle w:val="98"/>
              <w:widowControl w:val="0"/>
              <w:shd w:val="clear" w:color="auto" w:fill="auto"/>
              <w:spacing w:before="0" w:after="0" w:line="400" w:lineRule="exact"/>
              <w:rPr>
                <w:rFonts w:asciiTheme="minorEastAsia" w:hAnsiTheme="minorEastAsia" w:eastAsiaTheme="minorEastAsia"/>
                <w:sz w:val="18"/>
                <w:szCs w:val="18"/>
              </w:rPr>
            </w:pPr>
          </w:p>
        </w:tc>
        <w:tc>
          <w:tcPr>
            <w:tcW w:w="1701" w:type="dxa"/>
            <w:tcBorders>
              <w:bottom w:val="single" w:color="auto" w:sz="4" w:space="0"/>
            </w:tcBorders>
            <w:vAlign w:val="center"/>
          </w:tcPr>
          <w:p>
            <w:pPr>
              <w:pStyle w:val="98"/>
              <w:widowControl w:val="0"/>
              <w:shd w:val="clear" w:color="auto" w:fill="auto"/>
              <w:spacing w:before="0" w:after="0" w:line="400" w:lineRule="exact"/>
              <w:rPr>
                <w:rFonts w:asciiTheme="minorEastAsia" w:hAnsiTheme="minorEastAsia" w:eastAsiaTheme="minorEastAsia"/>
                <w:sz w:val="18"/>
                <w:szCs w:val="18"/>
              </w:rPr>
            </w:pPr>
          </w:p>
        </w:tc>
        <w:tc>
          <w:tcPr>
            <w:tcW w:w="2694" w:type="dxa"/>
            <w:tcBorders>
              <w:bottom w:val="single" w:color="auto" w:sz="4" w:space="0"/>
            </w:tcBorders>
            <w:vAlign w:val="center"/>
          </w:tcPr>
          <w:p>
            <w:pPr>
              <w:pStyle w:val="98"/>
              <w:widowControl w:val="0"/>
              <w:shd w:val="clear" w:color="auto" w:fill="auto"/>
              <w:spacing w:before="0" w:after="0" w:line="400" w:lineRule="exact"/>
              <w:rPr>
                <w:rFonts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9" w:type="dxa"/>
            <w:tcBorders>
              <w:top w:val="nil"/>
              <w:left w:val="nil"/>
              <w:bottom w:val="nil"/>
              <w:right w:val="nil"/>
            </w:tcBorders>
            <w:vAlign w:val="center"/>
          </w:tcPr>
          <w:p>
            <w:pPr>
              <w:pStyle w:val="98"/>
              <w:widowControl w:val="0"/>
              <w:shd w:val="clear" w:color="auto" w:fill="auto"/>
              <w:spacing w:before="0" w:after="0" w:line="400" w:lineRule="exact"/>
              <w:rPr>
                <w:rFonts w:asciiTheme="minorEastAsia" w:hAnsiTheme="minorEastAsia" w:eastAsiaTheme="minorEastAsia"/>
                <w:sz w:val="18"/>
                <w:szCs w:val="18"/>
              </w:rPr>
            </w:pPr>
            <w:bookmarkStart w:id="251" w:name="_Toc63257909"/>
            <w:bookmarkStart w:id="252" w:name="_Toc72997832"/>
          </w:p>
        </w:tc>
        <w:tc>
          <w:tcPr>
            <w:tcW w:w="1712" w:type="dxa"/>
            <w:tcBorders>
              <w:top w:val="nil"/>
              <w:left w:val="nil"/>
              <w:bottom w:val="nil"/>
              <w:right w:val="nil"/>
            </w:tcBorders>
            <w:vAlign w:val="center"/>
          </w:tcPr>
          <w:p>
            <w:pPr>
              <w:pStyle w:val="98"/>
              <w:widowControl w:val="0"/>
              <w:shd w:val="clear" w:color="auto" w:fill="auto"/>
              <w:spacing w:before="0" w:after="0" w:line="400" w:lineRule="exact"/>
              <w:rPr>
                <w:rFonts w:hint="eastAsia" w:asciiTheme="minorEastAsia" w:hAnsiTheme="minorEastAsia" w:eastAsiaTheme="minorEastAsia"/>
                <w:sz w:val="18"/>
                <w:szCs w:val="18"/>
              </w:rPr>
            </w:pPr>
          </w:p>
        </w:tc>
        <w:tc>
          <w:tcPr>
            <w:tcW w:w="1276" w:type="dxa"/>
            <w:tcBorders>
              <w:top w:val="nil"/>
              <w:left w:val="nil"/>
              <w:bottom w:val="nil"/>
              <w:right w:val="nil"/>
            </w:tcBorders>
          </w:tcPr>
          <w:p>
            <w:pPr>
              <w:pStyle w:val="98"/>
              <w:widowControl w:val="0"/>
              <w:shd w:val="clear" w:color="auto" w:fill="auto"/>
              <w:spacing w:before="0" w:after="0" w:line="400" w:lineRule="exact"/>
              <w:rPr>
                <w:rFonts w:asciiTheme="minorEastAsia" w:hAnsiTheme="minorEastAsia" w:eastAsiaTheme="minorEastAsia"/>
                <w:sz w:val="18"/>
                <w:szCs w:val="18"/>
              </w:rPr>
            </w:pPr>
          </w:p>
        </w:tc>
        <w:tc>
          <w:tcPr>
            <w:tcW w:w="1275" w:type="dxa"/>
            <w:tcBorders>
              <w:top w:val="nil"/>
              <w:left w:val="nil"/>
              <w:bottom w:val="nil"/>
              <w:right w:val="nil"/>
            </w:tcBorders>
            <w:vAlign w:val="center"/>
          </w:tcPr>
          <w:p>
            <w:pPr>
              <w:pStyle w:val="98"/>
              <w:widowControl w:val="0"/>
              <w:shd w:val="clear" w:color="auto" w:fill="auto"/>
              <w:spacing w:before="0" w:after="0" w:line="400" w:lineRule="exact"/>
              <w:rPr>
                <w:rFonts w:asciiTheme="minorEastAsia" w:hAnsiTheme="minorEastAsia" w:eastAsiaTheme="minorEastAsia"/>
                <w:sz w:val="18"/>
                <w:szCs w:val="18"/>
              </w:rPr>
            </w:pPr>
          </w:p>
        </w:tc>
        <w:tc>
          <w:tcPr>
            <w:tcW w:w="1701" w:type="dxa"/>
            <w:tcBorders>
              <w:top w:val="nil"/>
              <w:left w:val="nil"/>
              <w:bottom w:val="nil"/>
              <w:right w:val="nil"/>
            </w:tcBorders>
            <w:vAlign w:val="center"/>
          </w:tcPr>
          <w:p>
            <w:pPr>
              <w:pStyle w:val="98"/>
              <w:widowControl w:val="0"/>
              <w:shd w:val="clear" w:color="auto" w:fill="auto"/>
              <w:spacing w:before="0" w:after="0" w:line="400" w:lineRule="exact"/>
              <w:rPr>
                <w:rFonts w:asciiTheme="minorEastAsia" w:hAnsiTheme="minorEastAsia" w:eastAsiaTheme="minorEastAsia"/>
                <w:sz w:val="18"/>
                <w:szCs w:val="18"/>
              </w:rPr>
            </w:pPr>
          </w:p>
        </w:tc>
        <w:tc>
          <w:tcPr>
            <w:tcW w:w="2694" w:type="dxa"/>
            <w:tcBorders>
              <w:top w:val="nil"/>
              <w:left w:val="nil"/>
              <w:bottom w:val="nil"/>
              <w:right w:val="nil"/>
            </w:tcBorders>
            <w:vAlign w:val="center"/>
          </w:tcPr>
          <w:p>
            <w:pPr>
              <w:pStyle w:val="98"/>
              <w:widowControl w:val="0"/>
              <w:shd w:val="clear" w:color="auto" w:fill="auto"/>
              <w:spacing w:before="0" w:after="0" w:line="400" w:lineRule="exact"/>
              <w:rPr>
                <w:rFonts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87" w:type="dxa"/>
            <w:gridSpan w:val="6"/>
            <w:tcBorders>
              <w:top w:val="nil"/>
              <w:left w:val="nil"/>
              <w:bottom w:val="single" w:color="auto" w:sz="4" w:space="0"/>
              <w:right w:val="nil"/>
            </w:tcBorders>
            <w:vAlign w:val="center"/>
          </w:tcPr>
          <w:p>
            <w:pPr>
              <w:pStyle w:val="68"/>
              <w:keepNext w:val="0"/>
              <w:keepLines w:val="0"/>
              <w:pageBreakBefore w:val="0"/>
              <w:widowControl/>
              <w:kinsoku/>
              <w:wordWrap/>
              <w:overflowPunct/>
              <w:topLinePunct w:val="0"/>
              <w:autoSpaceDE w:val="0"/>
              <w:autoSpaceDN w:val="0"/>
              <w:bidi w:val="0"/>
              <w:adjustRightInd/>
              <w:snapToGrid/>
              <w:spacing w:line="240" w:lineRule="exact"/>
              <w:ind w:firstLine="420"/>
              <w:jc w:val="center"/>
              <w:textAlignment w:val="auto"/>
              <w:rPr>
                <w:rFonts w:hint="eastAsia" w:ascii="黑体" w:hAnsi="黑体" w:eastAsia="黑体"/>
                <w:lang w:eastAsia="zh-CN"/>
              </w:rPr>
            </w:pPr>
            <w:r>
              <w:rPr>
                <w:rFonts w:hint="eastAsia" w:ascii="黑体" w:hAnsi="黑体" w:eastAsia="黑体"/>
              </w:rPr>
              <w:t>表C.2</w:t>
            </w:r>
            <w:r>
              <w:rPr>
                <w:rFonts w:hint="eastAsia" w:ascii="黑体" w:hAnsi="黑体" w:eastAsia="黑体"/>
                <w:lang w:val="en-US" w:eastAsia="zh-CN"/>
              </w:rPr>
              <w:t xml:space="preserve"> </w:t>
            </w:r>
            <w:r>
              <w:rPr>
                <w:rFonts w:hint="eastAsia" w:ascii="黑体" w:hAnsi="黑体" w:eastAsia="黑体"/>
              </w:rPr>
              <w:t xml:space="preserve"> 软水机可再生利用率的拆解清单示例</w:t>
            </w:r>
            <w:r>
              <w:rPr>
                <w:rFonts w:hint="eastAsia" w:ascii="黑体" w:hAnsi="黑体" w:eastAsia="黑体"/>
                <w:lang w:eastAsia="zh-CN"/>
              </w:rPr>
              <w:t>（续）</w:t>
            </w:r>
          </w:p>
          <w:p>
            <w:pPr>
              <w:pStyle w:val="98"/>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textAlignment w:val="auto"/>
              <w:rPr>
                <w:rFonts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9" w:type="dxa"/>
            <w:tcBorders>
              <w:top w:val="single" w:color="auto" w:sz="4" w:space="0"/>
              <w:left w:val="single" w:color="auto" w:sz="4" w:space="0"/>
              <w:bottom w:val="single" w:color="auto" w:sz="4" w:space="0"/>
              <w:right w:val="single" w:color="auto" w:sz="4" w:space="0"/>
            </w:tcBorders>
            <w:vAlign w:val="center"/>
          </w:tcPr>
          <w:p>
            <w:pPr>
              <w:pStyle w:val="98"/>
              <w:widowControl w:val="0"/>
              <w:shd w:val="clear" w:color="auto" w:fill="auto"/>
              <w:spacing w:before="0" w:after="0" w:line="400" w:lineRule="exact"/>
              <w:ind w:left="0" w:leftChars="0" w:firstLine="0" w:firstLineChars="0"/>
              <w:rPr>
                <w:rFonts w:cs="Times New Roman" w:asciiTheme="minorEastAsia" w:hAnsiTheme="minorEastAsia" w:eastAsiaTheme="minorEastAsia"/>
                <w:sz w:val="18"/>
                <w:szCs w:val="18"/>
                <w:lang w:val="en-US" w:eastAsia="zh-CN" w:bidi="ar-SA"/>
              </w:rPr>
            </w:pPr>
            <w:r>
              <w:rPr>
                <w:rFonts w:hint="eastAsia" w:asciiTheme="minorEastAsia" w:hAnsiTheme="minorEastAsia" w:eastAsiaTheme="minorEastAsia"/>
                <w:sz w:val="18"/>
                <w:szCs w:val="18"/>
              </w:rPr>
              <w:t>类型</w:t>
            </w:r>
          </w:p>
        </w:tc>
        <w:tc>
          <w:tcPr>
            <w:tcW w:w="1712" w:type="dxa"/>
            <w:tcBorders>
              <w:top w:val="single" w:color="auto" w:sz="4" w:space="0"/>
              <w:left w:val="single" w:color="auto" w:sz="4" w:space="0"/>
              <w:bottom w:val="single" w:color="auto" w:sz="4" w:space="0"/>
              <w:right w:val="single" w:color="auto" w:sz="4" w:space="0"/>
            </w:tcBorders>
            <w:vAlign w:val="center"/>
          </w:tcPr>
          <w:p>
            <w:pPr>
              <w:pStyle w:val="98"/>
              <w:widowControl w:val="0"/>
              <w:shd w:val="clear" w:color="auto" w:fill="auto"/>
              <w:spacing w:before="0" w:after="0" w:line="400" w:lineRule="exact"/>
              <w:ind w:left="0" w:leftChars="0" w:firstLine="0" w:firstLineChars="0"/>
              <w:rPr>
                <w:rFonts w:cs="Times New Roman" w:asciiTheme="minorEastAsia" w:hAnsiTheme="minorEastAsia" w:eastAsiaTheme="minorEastAsia"/>
                <w:sz w:val="18"/>
                <w:szCs w:val="18"/>
                <w:lang w:val="en-US" w:eastAsia="zh-CN" w:bidi="ar-SA"/>
              </w:rPr>
            </w:pPr>
            <w:r>
              <w:rPr>
                <w:rFonts w:hint="eastAsia" w:asciiTheme="minorEastAsia" w:hAnsiTheme="minorEastAsia" w:eastAsiaTheme="minorEastAsia"/>
                <w:sz w:val="18"/>
                <w:szCs w:val="18"/>
              </w:rPr>
              <w:t>零部件名称</w:t>
            </w:r>
          </w:p>
        </w:tc>
        <w:tc>
          <w:tcPr>
            <w:tcW w:w="1276" w:type="dxa"/>
            <w:tcBorders>
              <w:top w:val="single" w:color="auto" w:sz="4" w:space="0"/>
              <w:left w:val="single" w:color="auto" w:sz="4" w:space="0"/>
              <w:bottom w:val="single" w:color="auto" w:sz="4" w:space="0"/>
              <w:right w:val="single" w:color="auto" w:sz="4" w:space="0"/>
            </w:tcBorders>
            <w:vAlign w:val="top"/>
          </w:tcPr>
          <w:p>
            <w:pPr>
              <w:pStyle w:val="98"/>
              <w:widowControl w:val="0"/>
              <w:shd w:val="clear" w:color="auto" w:fill="auto"/>
              <w:spacing w:before="0" w:after="0" w:line="400" w:lineRule="exact"/>
              <w:ind w:left="0" w:leftChars="0" w:firstLine="0" w:firstLineChars="0"/>
              <w:rPr>
                <w:rFonts w:cs="Times New Roman" w:asciiTheme="minorEastAsia" w:hAnsiTheme="minorEastAsia" w:eastAsiaTheme="minorEastAsia"/>
                <w:sz w:val="18"/>
                <w:szCs w:val="18"/>
                <w:lang w:val="en-US" w:eastAsia="zh-CN" w:bidi="ar-SA"/>
              </w:rPr>
            </w:pPr>
            <w:r>
              <w:rPr>
                <w:rFonts w:hint="eastAsia" w:asciiTheme="minorEastAsia" w:hAnsiTheme="minorEastAsia" w:eastAsiaTheme="minorEastAsia"/>
                <w:sz w:val="18"/>
                <w:szCs w:val="18"/>
              </w:rPr>
              <w:t>从属</w:t>
            </w:r>
          </w:p>
        </w:tc>
        <w:tc>
          <w:tcPr>
            <w:tcW w:w="1275" w:type="dxa"/>
            <w:tcBorders>
              <w:top w:val="single" w:color="auto" w:sz="4" w:space="0"/>
              <w:left w:val="single" w:color="auto" w:sz="4" w:space="0"/>
              <w:bottom w:val="single" w:color="auto" w:sz="4" w:space="0"/>
              <w:right w:val="single" w:color="auto" w:sz="4" w:space="0"/>
            </w:tcBorders>
            <w:vAlign w:val="center"/>
          </w:tcPr>
          <w:p>
            <w:pPr>
              <w:pStyle w:val="98"/>
              <w:widowControl w:val="0"/>
              <w:shd w:val="clear" w:color="auto" w:fill="auto"/>
              <w:spacing w:before="0" w:after="0" w:line="400" w:lineRule="exact"/>
              <w:ind w:left="0" w:leftChars="0" w:firstLine="0" w:firstLineChars="0"/>
              <w:rPr>
                <w:rFonts w:cs="Times New Roman" w:asciiTheme="minorEastAsia" w:hAnsiTheme="minorEastAsia" w:eastAsiaTheme="minorEastAsia"/>
                <w:sz w:val="18"/>
                <w:szCs w:val="18"/>
                <w:lang w:val="en-US" w:eastAsia="zh-CN" w:bidi="ar-SA"/>
              </w:rPr>
            </w:pPr>
            <w:r>
              <w:rPr>
                <w:rFonts w:hint="eastAsia" w:asciiTheme="minorEastAsia" w:hAnsiTheme="minorEastAsia" w:eastAsiaTheme="minorEastAsia"/>
                <w:sz w:val="18"/>
                <w:szCs w:val="18"/>
              </w:rPr>
              <w:t>材料</w:t>
            </w:r>
          </w:p>
        </w:tc>
        <w:tc>
          <w:tcPr>
            <w:tcW w:w="1701" w:type="dxa"/>
            <w:tcBorders>
              <w:top w:val="single" w:color="auto" w:sz="4" w:space="0"/>
              <w:left w:val="single" w:color="auto" w:sz="4" w:space="0"/>
              <w:bottom w:val="single" w:color="auto" w:sz="4" w:space="0"/>
              <w:right w:val="single" w:color="auto" w:sz="4" w:space="0"/>
            </w:tcBorders>
            <w:vAlign w:val="center"/>
          </w:tcPr>
          <w:p>
            <w:pPr>
              <w:pStyle w:val="98"/>
              <w:widowControl w:val="0"/>
              <w:shd w:val="clear" w:color="auto" w:fill="auto"/>
              <w:spacing w:before="0" w:after="0" w:line="400" w:lineRule="exact"/>
              <w:ind w:left="0" w:leftChars="0" w:firstLine="0" w:firstLineChars="0"/>
              <w:rPr>
                <w:rFonts w:cs="Times New Roman" w:asciiTheme="minorEastAsia" w:hAnsiTheme="minorEastAsia" w:eastAsiaTheme="minorEastAsia"/>
                <w:sz w:val="18"/>
                <w:szCs w:val="18"/>
                <w:lang w:val="en-US" w:eastAsia="zh-CN" w:bidi="ar-SA"/>
              </w:rPr>
            </w:pPr>
            <w:r>
              <w:rPr>
                <w:rFonts w:hint="eastAsia" w:asciiTheme="minorEastAsia" w:hAnsiTheme="minorEastAsia" w:eastAsiaTheme="minorEastAsia"/>
                <w:sz w:val="18"/>
                <w:szCs w:val="18"/>
              </w:rPr>
              <w:t>质量（kg）</w:t>
            </w:r>
          </w:p>
        </w:tc>
        <w:tc>
          <w:tcPr>
            <w:tcW w:w="2694" w:type="dxa"/>
            <w:tcBorders>
              <w:top w:val="single" w:color="auto" w:sz="4" w:space="0"/>
              <w:left w:val="single" w:color="auto" w:sz="4" w:space="0"/>
              <w:bottom w:val="single" w:color="auto" w:sz="4" w:space="0"/>
              <w:right w:val="single" w:color="auto" w:sz="4" w:space="0"/>
            </w:tcBorders>
            <w:vAlign w:val="center"/>
          </w:tcPr>
          <w:p>
            <w:pPr>
              <w:pStyle w:val="98"/>
              <w:widowControl w:val="0"/>
              <w:shd w:val="clear" w:color="auto" w:fill="auto"/>
              <w:spacing w:before="0" w:after="0" w:line="400" w:lineRule="exact"/>
              <w:ind w:left="0" w:leftChars="0" w:firstLine="0" w:firstLineChars="0"/>
              <w:rPr>
                <w:rFonts w:cs="Times New Roman" w:asciiTheme="minorEastAsia" w:hAnsiTheme="minorEastAsia" w:eastAsiaTheme="minorEastAsia"/>
                <w:sz w:val="18"/>
                <w:szCs w:val="18"/>
                <w:lang w:val="en-US" w:eastAsia="zh-CN" w:bidi="ar-SA"/>
              </w:rPr>
            </w:pPr>
            <w:r>
              <w:rPr>
                <w:rFonts w:hint="eastAsia" w:asciiTheme="minorEastAsia" w:hAnsiTheme="minorEastAsia" w:eastAsiaTheme="minorEastAsia"/>
                <w:sz w:val="18"/>
                <w:szCs w:val="18"/>
              </w:rPr>
              <w:t>计算在分子中的质量kg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9" w:type="dxa"/>
            <w:vMerge w:val="restart"/>
            <w:tcBorders>
              <w:top w:val="single" w:color="auto" w:sz="4" w:space="0"/>
              <w:bottom w:val="single" w:color="auto" w:sz="4" w:space="0"/>
            </w:tcBorders>
            <w:vAlign w:val="center"/>
          </w:tcPr>
          <w:p>
            <w:pPr>
              <w:pStyle w:val="98"/>
              <w:widowControl w:val="0"/>
              <w:shd w:val="clear" w:color="auto" w:fill="auto"/>
              <w:spacing w:before="0" w:after="0" w:line="400" w:lineRule="exact"/>
              <w:rPr>
                <w:rFonts w:asciiTheme="minorEastAsia" w:hAnsiTheme="minorEastAsia" w:eastAsiaTheme="minorEastAsia"/>
                <w:sz w:val="18"/>
                <w:szCs w:val="18"/>
              </w:rPr>
            </w:pPr>
            <w:r>
              <w:rPr>
                <w:rFonts w:hint="eastAsia" w:asciiTheme="minorEastAsia" w:hAnsiTheme="minorEastAsia" w:eastAsiaTheme="minorEastAsia"/>
                <w:sz w:val="18"/>
                <w:szCs w:val="18"/>
              </w:rPr>
              <w:t>电路板</w:t>
            </w:r>
            <w:bookmarkEnd w:id="251"/>
            <w:bookmarkEnd w:id="252"/>
          </w:p>
        </w:tc>
        <w:tc>
          <w:tcPr>
            <w:tcW w:w="1712" w:type="dxa"/>
            <w:tcBorders>
              <w:top w:val="single" w:color="auto" w:sz="4" w:space="0"/>
              <w:bottom w:val="single" w:color="auto" w:sz="4" w:space="0"/>
            </w:tcBorders>
            <w:vAlign w:val="center"/>
          </w:tcPr>
          <w:p>
            <w:pPr>
              <w:pStyle w:val="98"/>
              <w:widowControl w:val="0"/>
              <w:shd w:val="clear" w:color="auto" w:fill="auto"/>
              <w:spacing w:before="0" w:after="0" w:line="400" w:lineRule="exact"/>
              <w:rPr>
                <w:rFonts w:asciiTheme="minorEastAsia" w:hAnsiTheme="minorEastAsia" w:eastAsiaTheme="minorEastAsia"/>
                <w:sz w:val="18"/>
                <w:szCs w:val="18"/>
              </w:rPr>
            </w:pPr>
            <w:bookmarkStart w:id="253" w:name="_Toc72997833"/>
            <w:bookmarkStart w:id="254" w:name="_Toc63257910"/>
            <w:r>
              <w:rPr>
                <w:rFonts w:hint="eastAsia" w:asciiTheme="minorEastAsia" w:hAnsiTheme="minorEastAsia" w:eastAsiaTheme="minorEastAsia"/>
                <w:sz w:val="18"/>
                <w:szCs w:val="18"/>
              </w:rPr>
              <w:t>连接器（端子）</w:t>
            </w:r>
            <w:bookmarkEnd w:id="253"/>
            <w:bookmarkEnd w:id="254"/>
          </w:p>
        </w:tc>
        <w:tc>
          <w:tcPr>
            <w:tcW w:w="1276" w:type="dxa"/>
            <w:tcBorders>
              <w:top w:val="single" w:color="auto" w:sz="4" w:space="0"/>
              <w:bottom w:val="single" w:color="auto" w:sz="4" w:space="0"/>
            </w:tcBorders>
          </w:tcPr>
          <w:p>
            <w:pPr>
              <w:pStyle w:val="98"/>
              <w:widowControl w:val="0"/>
              <w:shd w:val="clear" w:color="auto" w:fill="auto"/>
              <w:spacing w:before="0" w:after="0" w:line="400" w:lineRule="exact"/>
              <w:rPr>
                <w:rFonts w:asciiTheme="minorEastAsia" w:hAnsiTheme="minorEastAsia" w:eastAsiaTheme="minorEastAsia"/>
                <w:sz w:val="18"/>
                <w:szCs w:val="18"/>
              </w:rPr>
            </w:pPr>
          </w:p>
        </w:tc>
        <w:tc>
          <w:tcPr>
            <w:tcW w:w="1275" w:type="dxa"/>
            <w:tcBorders>
              <w:top w:val="single" w:color="auto" w:sz="4" w:space="0"/>
              <w:bottom w:val="single" w:color="auto" w:sz="4" w:space="0"/>
            </w:tcBorders>
            <w:vAlign w:val="center"/>
          </w:tcPr>
          <w:p>
            <w:pPr>
              <w:pStyle w:val="98"/>
              <w:widowControl w:val="0"/>
              <w:shd w:val="clear" w:color="auto" w:fill="auto"/>
              <w:spacing w:before="0" w:after="0" w:line="400" w:lineRule="exact"/>
              <w:rPr>
                <w:rFonts w:asciiTheme="minorEastAsia" w:hAnsiTheme="minorEastAsia" w:eastAsiaTheme="minorEastAsia"/>
                <w:sz w:val="18"/>
                <w:szCs w:val="18"/>
              </w:rPr>
            </w:pPr>
          </w:p>
        </w:tc>
        <w:tc>
          <w:tcPr>
            <w:tcW w:w="1701" w:type="dxa"/>
            <w:tcBorders>
              <w:top w:val="single" w:color="auto" w:sz="4" w:space="0"/>
              <w:bottom w:val="single" w:color="auto" w:sz="4" w:space="0"/>
            </w:tcBorders>
            <w:vAlign w:val="center"/>
          </w:tcPr>
          <w:p>
            <w:pPr>
              <w:pStyle w:val="98"/>
              <w:widowControl w:val="0"/>
              <w:shd w:val="clear" w:color="auto" w:fill="auto"/>
              <w:spacing w:before="0" w:after="0" w:line="400" w:lineRule="exact"/>
              <w:rPr>
                <w:rFonts w:asciiTheme="minorEastAsia" w:hAnsiTheme="minorEastAsia" w:eastAsiaTheme="minorEastAsia"/>
                <w:sz w:val="18"/>
                <w:szCs w:val="18"/>
              </w:rPr>
            </w:pPr>
          </w:p>
        </w:tc>
        <w:tc>
          <w:tcPr>
            <w:tcW w:w="2694" w:type="dxa"/>
            <w:tcBorders>
              <w:top w:val="single" w:color="auto" w:sz="4" w:space="0"/>
              <w:bottom w:val="single" w:color="auto" w:sz="4" w:space="0"/>
            </w:tcBorders>
            <w:vAlign w:val="center"/>
          </w:tcPr>
          <w:p>
            <w:pPr>
              <w:pStyle w:val="98"/>
              <w:widowControl w:val="0"/>
              <w:shd w:val="clear" w:color="auto" w:fill="auto"/>
              <w:spacing w:before="0" w:after="0" w:line="400" w:lineRule="exact"/>
              <w:rPr>
                <w:rFonts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9" w:type="dxa"/>
            <w:vMerge w:val="continue"/>
            <w:tcBorders>
              <w:top w:val="single" w:color="auto" w:sz="4" w:space="0"/>
            </w:tcBorders>
            <w:vAlign w:val="center"/>
          </w:tcPr>
          <w:p>
            <w:pPr>
              <w:pStyle w:val="98"/>
              <w:widowControl w:val="0"/>
              <w:shd w:val="clear" w:color="auto" w:fill="auto"/>
              <w:spacing w:before="0" w:after="0" w:line="400" w:lineRule="exact"/>
              <w:rPr>
                <w:rFonts w:asciiTheme="minorEastAsia" w:hAnsiTheme="minorEastAsia" w:eastAsiaTheme="minorEastAsia"/>
                <w:sz w:val="18"/>
                <w:szCs w:val="18"/>
              </w:rPr>
            </w:pPr>
          </w:p>
        </w:tc>
        <w:tc>
          <w:tcPr>
            <w:tcW w:w="1712" w:type="dxa"/>
            <w:tcBorders>
              <w:top w:val="single" w:color="auto" w:sz="4" w:space="0"/>
            </w:tcBorders>
            <w:vAlign w:val="center"/>
          </w:tcPr>
          <w:p>
            <w:pPr>
              <w:pStyle w:val="98"/>
              <w:widowControl w:val="0"/>
              <w:shd w:val="clear" w:color="auto" w:fill="auto"/>
              <w:spacing w:before="0" w:after="0" w:line="400" w:lineRule="exact"/>
              <w:rPr>
                <w:rFonts w:asciiTheme="minorEastAsia" w:hAnsiTheme="minorEastAsia" w:eastAsiaTheme="minorEastAsia"/>
                <w:sz w:val="18"/>
                <w:szCs w:val="18"/>
              </w:rPr>
            </w:pPr>
            <w:bookmarkStart w:id="255" w:name="_Toc63257911"/>
            <w:bookmarkStart w:id="256" w:name="_Toc72997834"/>
            <w:r>
              <w:rPr>
                <w:rFonts w:hint="eastAsia" w:asciiTheme="minorEastAsia" w:hAnsiTheme="minorEastAsia" w:eastAsiaTheme="minorEastAsia"/>
                <w:sz w:val="18"/>
                <w:szCs w:val="18"/>
              </w:rPr>
              <w:t>PCB板材</w:t>
            </w:r>
            <w:bookmarkEnd w:id="255"/>
            <w:bookmarkEnd w:id="256"/>
          </w:p>
        </w:tc>
        <w:tc>
          <w:tcPr>
            <w:tcW w:w="1276" w:type="dxa"/>
            <w:tcBorders>
              <w:top w:val="single" w:color="auto" w:sz="4" w:space="0"/>
            </w:tcBorders>
          </w:tcPr>
          <w:p>
            <w:pPr>
              <w:pStyle w:val="98"/>
              <w:widowControl w:val="0"/>
              <w:shd w:val="clear" w:color="auto" w:fill="auto"/>
              <w:spacing w:before="0" w:after="0" w:line="400" w:lineRule="exact"/>
              <w:rPr>
                <w:rFonts w:asciiTheme="minorEastAsia" w:hAnsiTheme="minorEastAsia" w:eastAsiaTheme="minorEastAsia"/>
                <w:sz w:val="18"/>
                <w:szCs w:val="18"/>
              </w:rPr>
            </w:pPr>
          </w:p>
        </w:tc>
        <w:tc>
          <w:tcPr>
            <w:tcW w:w="1275" w:type="dxa"/>
            <w:tcBorders>
              <w:top w:val="single" w:color="auto" w:sz="4" w:space="0"/>
            </w:tcBorders>
            <w:vAlign w:val="center"/>
          </w:tcPr>
          <w:p>
            <w:pPr>
              <w:pStyle w:val="98"/>
              <w:widowControl w:val="0"/>
              <w:shd w:val="clear" w:color="auto" w:fill="auto"/>
              <w:spacing w:before="0" w:after="0" w:line="400" w:lineRule="exact"/>
              <w:rPr>
                <w:rFonts w:asciiTheme="minorEastAsia" w:hAnsiTheme="minorEastAsia" w:eastAsiaTheme="minorEastAsia"/>
                <w:sz w:val="18"/>
                <w:szCs w:val="18"/>
              </w:rPr>
            </w:pPr>
          </w:p>
        </w:tc>
        <w:tc>
          <w:tcPr>
            <w:tcW w:w="1701" w:type="dxa"/>
            <w:tcBorders>
              <w:top w:val="single" w:color="auto" w:sz="4" w:space="0"/>
            </w:tcBorders>
            <w:vAlign w:val="center"/>
          </w:tcPr>
          <w:p>
            <w:pPr>
              <w:pStyle w:val="98"/>
              <w:widowControl w:val="0"/>
              <w:shd w:val="clear" w:color="auto" w:fill="auto"/>
              <w:spacing w:before="0" w:after="0" w:line="400" w:lineRule="exact"/>
              <w:rPr>
                <w:rFonts w:asciiTheme="minorEastAsia" w:hAnsiTheme="minorEastAsia" w:eastAsiaTheme="minorEastAsia"/>
                <w:sz w:val="18"/>
                <w:szCs w:val="18"/>
              </w:rPr>
            </w:pPr>
          </w:p>
        </w:tc>
        <w:tc>
          <w:tcPr>
            <w:tcW w:w="2694" w:type="dxa"/>
            <w:tcBorders>
              <w:top w:val="single" w:color="auto" w:sz="4" w:space="0"/>
            </w:tcBorders>
            <w:vAlign w:val="center"/>
          </w:tcPr>
          <w:p>
            <w:pPr>
              <w:pStyle w:val="98"/>
              <w:widowControl w:val="0"/>
              <w:shd w:val="clear" w:color="auto" w:fill="auto"/>
              <w:spacing w:before="0" w:after="0" w:line="400" w:lineRule="exact"/>
              <w:rPr>
                <w:rFonts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9" w:type="dxa"/>
            <w:vMerge w:val="continue"/>
            <w:vAlign w:val="center"/>
          </w:tcPr>
          <w:p>
            <w:pPr>
              <w:pStyle w:val="98"/>
              <w:widowControl w:val="0"/>
              <w:shd w:val="clear" w:color="auto" w:fill="auto"/>
              <w:spacing w:before="0" w:after="0" w:line="400" w:lineRule="exact"/>
              <w:rPr>
                <w:rFonts w:asciiTheme="minorEastAsia" w:hAnsiTheme="minorEastAsia" w:eastAsiaTheme="minorEastAsia"/>
                <w:sz w:val="18"/>
                <w:szCs w:val="18"/>
              </w:rPr>
            </w:pPr>
          </w:p>
        </w:tc>
        <w:tc>
          <w:tcPr>
            <w:tcW w:w="1712" w:type="dxa"/>
            <w:vAlign w:val="center"/>
          </w:tcPr>
          <w:p>
            <w:pPr>
              <w:pStyle w:val="98"/>
              <w:widowControl w:val="0"/>
              <w:shd w:val="clear" w:color="auto" w:fill="auto"/>
              <w:spacing w:before="0" w:after="0" w:line="400" w:lineRule="exact"/>
              <w:rPr>
                <w:rFonts w:asciiTheme="minorEastAsia" w:hAnsiTheme="minorEastAsia" w:eastAsiaTheme="minorEastAsia"/>
                <w:sz w:val="18"/>
                <w:szCs w:val="18"/>
              </w:rPr>
            </w:pPr>
            <w:bookmarkStart w:id="257" w:name="_Toc63257912"/>
            <w:bookmarkStart w:id="258" w:name="_Toc72997835"/>
            <w:r>
              <w:rPr>
                <w:rFonts w:hint="eastAsia" w:asciiTheme="minorEastAsia" w:hAnsiTheme="minorEastAsia" w:eastAsiaTheme="minorEastAsia"/>
                <w:sz w:val="18"/>
                <w:szCs w:val="18"/>
              </w:rPr>
              <w:t>显示电路覆铜板</w:t>
            </w:r>
            <w:bookmarkEnd w:id="257"/>
            <w:bookmarkEnd w:id="258"/>
          </w:p>
        </w:tc>
        <w:tc>
          <w:tcPr>
            <w:tcW w:w="1276" w:type="dxa"/>
          </w:tcPr>
          <w:p>
            <w:pPr>
              <w:pStyle w:val="98"/>
              <w:widowControl w:val="0"/>
              <w:shd w:val="clear" w:color="auto" w:fill="auto"/>
              <w:spacing w:before="0" w:after="0" w:line="400" w:lineRule="exact"/>
              <w:rPr>
                <w:rFonts w:asciiTheme="minorEastAsia" w:hAnsiTheme="minorEastAsia" w:eastAsiaTheme="minorEastAsia"/>
                <w:sz w:val="18"/>
                <w:szCs w:val="18"/>
              </w:rPr>
            </w:pPr>
          </w:p>
        </w:tc>
        <w:tc>
          <w:tcPr>
            <w:tcW w:w="1275" w:type="dxa"/>
            <w:vAlign w:val="center"/>
          </w:tcPr>
          <w:p>
            <w:pPr>
              <w:pStyle w:val="98"/>
              <w:widowControl w:val="0"/>
              <w:shd w:val="clear" w:color="auto" w:fill="auto"/>
              <w:spacing w:before="0" w:after="0" w:line="400" w:lineRule="exact"/>
              <w:rPr>
                <w:rFonts w:asciiTheme="minorEastAsia" w:hAnsiTheme="minorEastAsia" w:eastAsiaTheme="minorEastAsia"/>
                <w:sz w:val="18"/>
                <w:szCs w:val="18"/>
              </w:rPr>
            </w:pPr>
          </w:p>
        </w:tc>
        <w:tc>
          <w:tcPr>
            <w:tcW w:w="1701" w:type="dxa"/>
            <w:vAlign w:val="center"/>
          </w:tcPr>
          <w:p>
            <w:pPr>
              <w:pStyle w:val="98"/>
              <w:widowControl w:val="0"/>
              <w:shd w:val="clear" w:color="auto" w:fill="auto"/>
              <w:spacing w:before="0" w:after="0" w:line="400" w:lineRule="exact"/>
              <w:rPr>
                <w:rFonts w:asciiTheme="minorEastAsia" w:hAnsiTheme="minorEastAsia" w:eastAsiaTheme="minorEastAsia"/>
                <w:sz w:val="18"/>
                <w:szCs w:val="18"/>
              </w:rPr>
            </w:pPr>
          </w:p>
        </w:tc>
        <w:tc>
          <w:tcPr>
            <w:tcW w:w="2694" w:type="dxa"/>
            <w:vAlign w:val="center"/>
          </w:tcPr>
          <w:p>
            <w:pPr>
              <w:pStyle w:val="98"/>
              <w:widowControl w:val="0"/>
              <w:shd w:val="clear" w:color="auto" w:fill="auto"/>
              <w:spacing w:before="0" w:after="0" w:line="400" w:lineRule="exact"/>
              <w:rPr>
                <w:rFonts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9" w:type="dxa"/>
            <w:vMerge w:val="continue"/>
            <w:vAlign w:val="center"/>
          </w:tcPr>
          <w:p>
            <w:pPr>
              <w:pStyle w:val="98"/>
              <w:widowControl w:val="0"/>
              <w:shd w:val="clear" w:color="auto" w:fill="auto"/>
              <w:spacing w:before="0" w:after="0" w:line="400" w:lineRule="exact"/>
              <w:rPr>
                <w:rFonts w:asciiTheme="minorEastAsia" w:hAnsiTheme="minorEastAsia" w:eastAsiaTheme="minorEastAsia"/>
                <w:sz w:val="18"/>
                <w:szCs w:val="18"/>
              </w:rPr>
            </w:pPr>
          </w:p>
        </w:tc>
        <w:tc>
          <w:tcPr>
            <w:tcW w:w="1712" w:type="dxa"/>
            <w:vAlign w:val="center"/>
          </w:tcPr>
          <w:p>
            <w:pPr>
              <w:pStyle w:val="98"/>
              <w:widowControl w:val="0"/>
              <w:shd w:val="clear" w:color="auto" w:fill="auto"/>
              <w:spacing w:before="0" w:after="0" w:line="400" w:lineRule="exact"/>
              <w:rPr>
                <w:rFonts w:asciiTheme="minorEastAsia" w:hAnsiTheme="minorEastAsia" w:eastAsiaTheme="minorEastAsia"/>
                <w:sz w:val="18"/>
                <w:szCs w:val="18"/>
              </w:rPr>
            </w:pPr>
            <w:bookmarkStart w:id="259" w:name="_Toc72997836"/>
            <w:bookmarkStart w:id="260" w:name="_Toc63257913"/>
            <w:r>
              <w:rPr>
                <w:rFonts w:hint="eastAsia" w:asciiTheme="minorEastAsia" w:hAnsiTheme="minorEastAsia" w:eastAsiaTheme="minorEastAsia"/>
                <w:sz w:val="18"/>
                <w:szCs w:val="18"/>
              </w:rPr>
              <w:t>控制电路覆铜板</w:t>
            </w:r>
            <w:bookmarkEnd w:id="259"/>
            <w:bookmarkEnd w:id="260"/>
          </w:p>
        </w:tc>
        <w:tc>
          <w:tcPr>
            <w:tcW w:w="1276" w:type="dxa"/>
          </w:tcPr>
          <w:p>
            <w:pPr>
              <w:pStyle w:val="98"/>
              <w:widowControl w:val="0"/>
              <w:shd w:val="clear" w:color="auto" w:fill="auto"/>
              <w:spacing w:before="0" w:after="0" w:line="400" w:lineRule="exact"/>
              <w:rPr>
                <w:rFonts w:asciiTheme="minorEastAsia" w:hAnsiTheme="minorEastAsia" w:eastAsiaTheme="minorEastAsia"/>
                <w:sz w:val="18"/>
                <w:szCs w:val="18"/>
              </w:rPr>
            </w:pPr>
          </w:p>
        </w:tc>
        <w:tc>
          <w:tcPr>
            <w:tcW w:w="1275" w:type="dxa"/>
            <w:vAlign w:val="center"/>
          </w:tcPr>
          <w:p>
            <w:pPr>
              <w:pStyle w:val="98"/>
              <w:widowControl w:val="0"/>
              <w:shd w:val="clear" w:color="auto" w:fill="auto"/>
              <w:spacing w:before="0" w:after="0" w:line="400" w:lineRule="exact"/>
              <w:rPr>
                <w:rFonts w:asciiTheme="minorEastAsia" w:hAnsiTheme="minorEastAsia" w:eastAsiaTheme="minorEastAsia"/>
                <w:sz w:val="18"/>
                <w:szCs w:val="18"/>
              </w:rPr>
            </w:pPr>
          </w:p>
        </w:tc>
        <w:tc>
          <w:tcPr>
            <w:tcW w:w="1701" w:type="dxa"/>
            <w:vAlign w:val="center"/>
          </w:tcPr>
          <w:p>
            <w:pPr>
              <w:pStyle w:val="98"/>
              <w:widowControl w:val="0"/>
              <w:shd w:val="clear" w:color="auto" w:fill="auto"/>
              <w:spacing w:before="0" w:after="0" w:line="400" w:lineRule="exact"/>
              <w:rPr>
                <w:rFonts w:asciiTheme="minorEastAsia" w:hAnsiTheme="minorEastAsia" w:eastAsiaTheme="minorEastAsia"/>
                <w:sz w:val="18"/>
                <w:szCs w:val="18"/>
              </w:rPr>
            </w:pPr>
          </w:p>
        </w:tc>
        <w:tc>
          <w:tcPr>
            <w:tcW w:w="2694" w:type="dxa"/>
            <w:vAlign w:val="center"/>
          </w:tcPr>
          <w:p>
            <w:pPr>
              <w:pStyle w:val="98"/>
              <w:widowControl w:val="0"/>
              <w:shd w:val="clear" w:color="auto" w:fill="auto"/>
              <w:spacing w:before="0" w:after="0" w:line="400" w:lineRule="exact"/>
              <w:rPr>
                <w:rFonts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9" w:type="dxa"/>
            <w:vMerge w:val="continue"/>
            <w:vAlign w:val="center"/>
          </w:tcPr>
          <w:p>
            <w:pPr>
              <w:pStyle w:val="98"/>
              <w:widowControl w:val="0"/>
              <w:shd w:val="clear" w:color="auto" w:fill="auto"/>
              <w:spacing w:before="0" w:after="0" w:line="400" w:lineRule="exact"/>
              <w:rPr>
                <w:rFonts w:asciiTheme="minorEastAsia" w:hAnsiTheme="minorEastAsia" w:eastAsiaTheme="minorEastAsia"/>
                <w:sz w:val="18"/>
                <w:szCs w:val="18"/>
              </w:rPr>
            </w:pPr>
          </w:p>
        </w:tc>
        <w:tc>
          <w:tcPr>
            <w:tcW w:w="1712" w:type="dxa"/>
            <w:vAlign w:val="center"/>
          </w:tcPr>
          <w:p>
            <w:pPr>
              <w:pStyle w:val="98"/>
              <w:widowControl w:val="0"/>
              <w:shd w:val="clear" w:color="auto" w:fill="auto"/>
              <w:spacing w:before="0" w:after="0" w:line="400" w:lineRule="exact"/>
              <w:rPr>
                <w:rFonts w:asciiTheme="minorEastAsia" w:hAnsiTheme="minorEastAsia" w:eastAsiaTheme="minorEastAsia"/>
                <w:sz w:val="18"/>
                <w:szCs w:val="18"/>
              </w:rPr>
            </w:pPr>
            <w:bookmarkStart w:id="261" w:name="_Toc63257914"/>
            <w:bookmarkStart w:id="262" w:name="_Toc72997837"/>
            <w:r>
              <w:rPr>
                <w:rFonts w:hint="eastAsia" w:asciiTheme="minorEastAsia" w:hAnsiTheme="minorEastAsia" w:eastAsiaTheme="minorEastAsia"/>
                <w:sz w:val="18"/>
                <w:szCs w:val="18"/>
              </w:rPr>
              <w:t>电源电路覆铜板</w:t>
            </w:r>
            <w:bookmarkEnd w:id="261"/>
            <w:bookmarkEnd w:id="262"/>
          </w:p>
        </w:tc>
        <w:tc>
          <w:tcPr>
            <w:tcW w:w="1276" w:type="dxa"/>
          </w:tcPr>
          <w:p>
            <w:pPr>
              <w:pStyle w:val="98"/>
              <w:widowControl w:val="0"/>
              <w:shd w:val="clear" w:color="auto" w:fill="auto"/>
              <w:spacing w:before="0" w:after="0" w:line="400" w:lineRule="exact"/>
              <w:rPr>
                <w:rFonts w:asciiTheme="minorEastAsia" w:hAnsiTheme="minorEastAsia" w:eastAsiaTheme="minorEastAsia"/>
                <w:sz w:val="18"/>
                <w:szCs w:val="18"/>
              </w:rPr>
            </w:pPr>
          </w:p>
        </w:tc>
        <w:tc>
          <w:tcPr>
            <w:tcW w:w="1275" w:type="dxa"/>
            <w:vAlign w:val="center"/>
          </w:tcPr>
          <w:p>
            <w:pPr>
              <w:pStyle w:val="98"/>
              <w:widowControl w:val="0"/>
              <w:shd w:val="clear" w:color="auto" w:fill="auto"/>
              <w:spacing w:before="0" w:after="0" w:line="400" w:lineRule="exact"/>
              <w:rPr>
                <w:rFonts w:asciiTheme="minorEastAsia" w:hAnsiTheme="minorEastAsia" w:eastAsiaTheme="minorEastAsia"/>
                <w:sz w:val="18"/>
                <w:szCs w:val="18"/>
              </w:rPr>
            </w:pPr>
          </w:p>
        </w:tc>
        <w:tc>
          <w:tcPr>
            <w:tcW w:w="1701" w:type="dxa"/>
            <w:vAlign w:val="center"/>
          </w:tcPr>
          <w:p>
            <w:pPr>
              <w:pStyle w:val="98"/>
              <w:widowControl w:val="0"/>
              <w:shd w:val="clear" w:color="auto" w:fill="auto"/>
              <w:spacing w:before="0" w:after="0" w:line="400" w:lineRule="exact"/>
              <w:rPr>
                <w:rFonts w:asciiTheme="minorEastAsia" w:hAnsiTheme="minorEastAsia" w:eastAsiaTheme="minorEastAsia"/>
                <w:sz w:val="18"/>
                <w:szCs w:val="18"/>
              </w:rPr>
            </w:pPr>
          </w:p>
        </w:tc>
        <w:tc>
          <w:tcPr>
            <w:tcW w:w="2694" w:type="dxa"/>
            <w:vAlign w:val="center"/>
          </w:tcPr>
          <w:p>
            <w:pPr>
              <w:pStyle w:val="98"/>
              <w:widowControl w:val="0"/>
              <w:shd w:val="clear" w:color="auto" w:fill="auto"/>
              <w:spacing w:before="0" w:after="0" w:line="400" w:lineRule="exact"/>
              <w:rPr>
                <w:rFonts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9" w:type="dxa"/>
            <w:vMerge w:val="continue"/>
            <w:vAlign w:val="center"/>
          </w:tcPr>
          <w:p>
            <w:pPr>
              <w:pStyle w:val="98"/>
              <w:widowControl w:val="0"/>
              <w:shd w:val="clear" w:color="auto" w:fill="auto"/>
              <w:spacing w:before="0" w:after="0" w:line="400" w:lineRule="exact"/>
              <w:rPr>
                <w:rFonts w:asciiTheme="minorEastAsia" w:hAnsiTheme="minorEastAsia" w:eastAsiaTheme="minorEastAsia"/>
                <w:sz w:val="18"/>
                <w:szCs w:val="18"/>
              </w:rPr>
            </w:pPr>
          </w:p>
        </w:tc>
        <w:tc>
          <w:tcPr>
            <w:tcW w:w="1712" w:type="dxa"/>
            <w:vAlign w:val="center"/>
          </w:tcPr>
          <w:p>
            <w:pPr>
              <w:pStyle w:val="98"/>
              <w:widowControl w:val="0"/>
              <w:shd w:val="clear" w:color="auto" w:fill="auto"/>
              <w:spacing w:before="0" w:after="0" w:line="400" w:lineRule="exact"/>
              <w:rPr>
                <w:rFonts w:asciiTheme="minorEastAsia" w:hAnsiTheme="minorEastAsia" w:eastAsiaTheme="minorEastAsia"/>
                <w:sz w:val="18"/>
                <w:szCs w:val="18"/>
              </w:rPr>
            </w:pPr>
            <w:bookmarkStart w:id="263" w:name="_Toc63257915"/>
            <w:bookmarkStart w:id="264" w:name="_Toc72997838"/>
            <w:r>
              <w:rPr>
                <w:rFonts w:hint="eastAsia" w:asciiTheme="minorEastAsia" w:hAnsiTheme="minorEastAsia" w:eastAsiaTheme="minorEastAsia"/>
                <w:sz w:val="18"/>
                <w:szCs w:val="18"/>
              </w:rPr>
              <w:t>变压器</w:t>
            </w:r>
            <w:bookmarkEnd w:id="263"/>
            <w:bookmarkEnd w:id="264"/>
          </w:p>
        </w:tc>
        <w:tc>
          <w:tcPr>
            <w:tcW w:w="1276" w:type="dxa"/>
          </w:tcPr>
          <w:p>
            <w:pPr>
              <w:pStyle w:val="98"/>
              <w:widowControl w:val="0"/>
              <w:shd w:val="clear" w:color="auto" w:fill="auto"/>
              <w:spacing w:before="0" w:after="0" w:line="400" w:lineRule="exact"/>
              <w:rPr>
                <w:rFonts w:asciiTheme="minorEastAsia" w:hAnsiTheme="minorEastAsia" w:eastAsiaTheme="minorEastAsia"/>
                <w:sz w:val="18"/>
                <w:szCs w:val="18"/>
              </w:rPr>
            </w:pPr>
          </w:p>
        </w:tc>
        <w:tc>
          <w:tcPr>
            <w:tcW w:w="1275" w:type="dxa"/>
            <w:vAlign w:val="center"/>
          </w:tcPr>
          <w:p>
            <w:pPr>
              <w:pStyle w:val="98"/>
              <w:widowControl w:val="0"/>
              <w:shd w:val="clear" w:color="auto" w:fill="auto"/>
              <w:spacing w:before="0" w:after="0" w:line="400" w:lineRule="exact"/>
              <w:rPr>
                <w:rFonts w:asciiTheme="minorEastAsia" w:hAnsiTheme="minorEastAsia" w:eastAsiaTheme="minorEastAsia"/>
                <w:sz w:val="18"/>
                <w:szCs w:val="18"/>
              </w:rPr>
            </w:pPr>
          </w:p>
        </w:tc>
        <w:tc>
          <w:tcPr>
            <w:tcW w:w="1701" w:type="dxa"/>
            <w:vAlign w:val="center"/>
          </w:tcPr>
          <w:p>
            <w:pPr>
              <w:pStyle w:val="98"/>
              <w:widowControl w:val="0"/>
              <w:shd w:val="clear" w:color="auto" w:fill="auto"/>
              <w:spacing w:before="0" w:after="0" w:line="400" w:lineRule="exact"/>
              <w:rPr>
                <w:rFonts w:asciiTheme="minorEastAsia" w:hAnsiTheme="minorEastAsia" w:eastAsiaTheme="minorEastAsia"/>
                <w:sz w:val="18"/>
                <w:szCs w:val="18"/>
              </w:rPr>
            </w:pPr>
          </w:p>
        </w:tc>
        <w:tc>
          <w:tcPr>
            <w:tcW w:w="2694" w:type="dxa"/>
            <w:vAlign w:val="center"/>
          </w:tcPr>
          <w:p>
            <w:pPr>
              <w:pStyle w:val="98"/>
              <w:widowControl w:val="0"/>
              <w:shd w:val="clear" w:color="auto" w:fill="auto"/>
              <w:spacing w:before="0" w:after="0" w:line="400" w:lineRule="exact"/>
              <w:rPr>
                <w:rFonts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9" w:type="dxa"/>
            <w:vMerge w:val="continue"/>
            <w:vAlign w:val="center"/>
          </w:tcPr>
          <w:p>
            <w:pPr>
              <w:pStyle w:val="98"/>
              <w:widowControl w:val="0"/>
              <w:shd w:val="clear" w:color="auto" w:fill="auto"/>
              <w:spacing w:before="0" w:after="0" w:line="400" w:lineRule="exact"/>
              <w:rPr>
                <w:rFonts w:asciiTheme="minorEastAsia" w:hAnsiTheme="minorEastAsia" w:eastAsiaTheme="minorEastAsia"/>
                <w:sz w:val="18"/>
                <w:szCs w:val="18"/>
              </w:rPr>
            </w:pPr>
          </w:p>
        </w:tc>
        <w:tc>
          <w:tcPr>
            <w:tcW w:w="1712" w:type="dxa"/>
            <w:vAlign w:val="center"/>
          </w:tcPr>
          <w:p>
            <w:pPr>
              <w:pStyle w:val="98"/>
              <w:widowControl w:val="0"/>
              <w:shd w:val="clear" w:color="auto" w:fill="auto"/>
              <w:spacing w:before="0" w:after="0" w:line="400" w:lineRule="exact"/>
              <w:rPr>
                <w:rFonts w:asciiTheme="minorEastAsia" w:hAnsiTheme="minorEastAsia" w:eastAsiaTheme="minorEastAsia"/>
                <w:sz w:val="18"/>
                <w:szCs w:val="18"/>
              </w:rPr>
            </w:pPr>
            <w:bookmarkStart w:id="265" w:name="_Toc63257916"/>
            <w:bookmarkStart w:id="266" w:name="_Toc72997839"/>
            <w:r>
              <w:rPr>
                <w:rFonts w:hint="eastAsia" w:asciiTheme="minorEastAsia" w:hAnsiTheme="minorEastAsia" w:eastAsiaTheme="minorEastAsia"/>
                <w:sz w:val="18"/>
                <w:szCs w:val="18"/>
              </w:rPr>
              <w:t>电容器</w:t>
            </w:r>
            <w:bookmarkEnd w:id="265"/>
            <w:bookmarkEnd w:id="266"/>
          </w:p>
        </w:tc>
        <w:tc>
          <w:tcPr>
            <w:tcW w:w="1276" w:type="dxa"/>
          </w:tcPr>
          <w:p>
            <w:pPr>
              <w:pStyle w:val="98"/>
              <w:widowControl w:val="0"/>
              <w:shd w:val="clear" w:color="auto" w:fill="auto"/>
              <w:spacing w:before="0" w:after="0" w:line="400" w:lineRule="exact"/>
              <w:rPr>
                <w:rFonts w:asciiTheme="minorEastAsia" w:hAnsiTheme="minorEastAsia" w:eastAsiaTheme="minorEastAsia"/>
                <w:sz w:val="18"/>
                <w:szCs w:val="18"/>
              </w:rPr>
            </w:pPr>
          </w:p>
        </w:tc>
        <w:tc>
          <w:tcPr>
            <w:tcW w:w="1275" w:type="dxa"/>
            <w:vAlign w:val="center"/>
          </w:tcPr>
          <w:p>
            <w:pPr>
              <w:pStyle w:val="98"/>
              <w:widowControl w:val="0"/>
              <w:shd w:val="clear" w:color="auto" w:fill="auto"/>
              <w:spacing w:before="0" w:after="0" w:line="400" w:lineRule="exact"/>
              <w:rPr>
                <w:rFonts w:asciiTheme="minorEastAsia" w:hAnsiTheme="minorEastAsia" w:eastAsiaTheme="minorEastAsia"/>
                <w:sz w:val="18"/>
                <w:szCs w:val="18"/>
              </w:rPr>
            </w:pPr>
          </w:p>
        </w:tc>
        <w:tc>
          <w:tcPr>
            <w:tcW w:w="1701" w:type="dxa"/>
            <w:vAlign w:val="center"/>
          </w:tcPr>
          <w:p>
            <w:pPr>
              <w:pStyle w:val="98"/>
              <w:widowControl w:val="0"/>
              <w:shd w:val="clear" w:color="auto" w:fill="auto"/>
              <w:spacing w:before="0" w:after="0" w:line="400" w:lineRule="exact"/>
              <w:rPr>
                <w:rFonts w:asciiTheme="minorEastAsia" w:hAnsiTheme="minorEastAsia" w:eastAsiaTheme="minorEastAsia"/>
                <w:sz w:val="18"/>
                <w:szCs w:val="18"/>
              </w:rPr>
            </w:pPr>
          </w:p>
        </w:tc>
        <w:tc>
          <w:tcPr>
            <w:tcW w:w="2694" w:type="dxa"/>
            <w:vAlign w:val="center"/>
          </w:tcPr>
          <w:p>
            <w:pPr>
              <w:pStyle w:val="98"/>
              <w:widowControl w:val="0"/>
              <w:shd w:val="clear" w:color="auto" w:fill="auto"/>
              <w:spacing w:before="0" w:after="0" w:line="400" w:lineRule="exact"/>
              <w:rPr>
                <w:rFonts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9" w:type="dxa"/>
            <w:vMerge w:val="continue"/>
            <w:vAlign w:val="center"/>
          </w:tcPr>
          <w:p>
            <w:pPr>
              <w:pStyle w:val="98"/>
              <w:widowControl w:val="0"/>
              <w:shd w:val="clear" w:color="auto" w:fill="auto"/>
              <w:spacing w:before="0" w:after="0" w:line="400" w:lineRule="exact"/>
              <w:rPr>
                <w:rFonts w:asciiTheme="minorEastAsia" w:hAnsiTheme="minorEastAsia" w:eastAsiaTheme="minorEastAsia"/>
                <w:sz w:val="18"/>
                <w:szCs w:val="18"/>
              </w:rPr>
            </w:pPr>
          </w:p>
        </w:tc>
        <w:tc>
          <w:tcPr>
            <w:tcW w:w="1712" w:type="dxa"/>
            <w:vAlign w:val="center"/>
          </w:tcPr>
          <w:p>
            <w:pPr>
              <w:pStyle w:val="98"/>
              <w:widowControl w:val="0"/>
              <w:shd w:val="clear" w:color="auto" w:fill="auto"/>
              <w:spacing w:before="0" w:after="0" w:line="400" w:lineRule="exact"/>
              <w:rPr>
                <w:rFonts w:asciiTheme="minorEastAsia" w:hAnsiTheme="minorEastAsia" w:eastAsiaTheme="minorEastAsia"/>
                <w:sz w:val="18"/>
                <w:szCs w:val="18"/>
              </w:rPr>
            </w:pPr>
            <w:bookmarkStart w:id="267" w:name="_Toc63257917"/>
            <w:bookmarkStart w:id="268" w:name="_Toc72997840"/>
            <w:r>
              <w:rPr>
                <w:rFonts w:hint="eastAsia" w:asciiTheme="minorEastAsia" w:hAnsiTheme="minorEastAsia" w:eastAsiaTheme="minorEastAsia"/>
                <w:sz w:val="18"/>
                <w:szCs w:val="18"/>
              </w:rPr>
              <w:t>传感器</w:t>
            </w:r>
            <w:bookmarkEnd w:id="267"/>
            <w:bookmarkEnd w:id="268"/>
          </w:p>
        </w:tc>
        <w:tc>
          <w:tcPr>
            <w:tcW w:w="1276" w:type="dxa"/>
          </w:tcPr>
          <w:p>
            <w:pPr>
              <w:pStyle w:val="98"/>
              <w:widowControl w:val="0"/>
              <w:shd w:val="clear" w:color="auto" w:fill="auto"/>
              <w:spacing w:before="0" w:after="0" w:line="400" w:lineRule="exact"/>
              <w:rPr>
                <w:rFonts w:asciiTheme="minorEastAsia" w:hAnsiTheme="minorEastAsia" w:eastAsiaTheme="minorEastAsia"/>
                <w:sz w:val="18"/>
                <w:szCs w:val="18"/>
              </w:rPr>
            </w:pPr>
          </w:p>
        </w:tc>
        <w:tc>
          <w:tcPr>
            <w:tcW w:w="1275" w:type="dxa"/>
            <w:vAlign w:val="center"/>
          </w:tcPr>
          <w:p>
            <w:pPr>
              <w:pStyle w:val="98"/>
              <w:widowControl w:val="0"/>
              <w:shd w:val="clear" w:color="auto" w:fill="auto"/>
              <w:spacing w:before="0" w:after="0" w:line="400" w:lineRule="exact"/>
              <w:rPr>
                <w:rFonts w:asciiTheme="minorEastAsia" w:hAnsiTheme="minorEastAsia" w:eastAsiaTheme="minorEastAsia"/>
                <w:sz w:val="18"/>
                <w:szCs w:val="18"/>
              </w:rPr>
            </w:pPr>
          </w:p>
        </w:tc>
        <w:tc>
          <w:tcPr>
            <w:tcW w:w="1701" w:type="dxa"/>
            <w:vAlign w:val="center"/>
          </w:tcPr>
          <w:p>
            <w:pPr>
              <w:pStyle w:val="98"/>
              <w:widowControl w:val="0"/>
              <w:shd w:val="clear" w:color="auto" w:fill="auto"/>
              <w:spacing w:before="0" w:after="0" w:line="400" w:lineRule="exact"/>
              <w:rPr>
                <w:rFonts w:asciiTheme="minorEastAsia" w:hAnsiTheme="minorEastAsia" w:eastAsiaTheme="minorEastAsia"/>
                <w:sz w:val="18"/>
                <w:szCs w:val="18"/>
              </w:rPr>
            </w:pPr>
          </w:p>
        </w:tc>
        <w:tc>
          <w:tcPr>
            <w:tcW w:w="2694" w:type="dxa"/>
            <w:vAlign w:val="center"/>
          </w:tcPr>
          <w:p>
            <w:pPr>
              <w:pStyle w:val="98"/>
              <w:widowControl w:val="0"/>
              <w:shd w:val="clear" w:color="auto" w:fill="auto"/>
              <w:spacing w:before="0" w:after="0" w:line="400" w:lineRule="exact"/>
              <w:rPr>
                <w:rFonts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9" w:type="dxa"/>
            <w:vMerge w:val="continue"/>
            <w:vAlign w:val="center"/>
          </w:tcPr>
          <w:p>
            <w:pPr>
              <w:pStyle w:val="98"/>
              <w:widowControl w:val="0"/>
              <w:shd w:val="clear" w:color="auto" w:fill="auto"/>
              <w:spacing w:before="0" w:after="0" w:line="400" w:lineRule="exact"/>
              <w:rPr>
                <w:rFonts w:asciiTheme="minorEastAsia" w:hAnsiTheme="minorEastAsia" w:eastAsiaTheme="minorEastAsia"/>
                <w:sz w:val="18"/>
                <w:szCs w:val="18"/>
              </w:rPr>
            </w:pPr>
          </w:p>
        </w:tc>
        <w:tc>
          <w:tcPr>
            <w:tcW w:w="1712" w:type="dxa"/>
            <w:vAlign w:val="center"/>
          </w:tcPr>
          <w:p>
            <w:pPr>
              <w:pStyle w:val="98"/>
              <w:widowControl w:val="0"/>
              <w:shd w:val="clear" w:color="auto" w:fill="auto"/>
              <w:spacing w:before="0" w:after="0" w:line="400" w:lineRule="exact"/>
              <w:rPr>
                <w:rFonts w:asciiTheme="minorEastAsia" w:hAnsiTheme="minorEastAsia" w:eastAsiaTheme="minorEastAsia"/>
                <w:sz w:val="18"/>
                <w:szCs w:val="18"/>
              </w:rPr>
            </w:pPr>
            <w:bookmarkStart w:id="269" w:name="_Toc72997841"/>
            <w:bookmarkStart w:id="270" w:name="_Toc63257918"/>
            <w:r>
              <w:rPr>
                <w:rFonts w:hint="eastAsia" w:asciiTheme="minorEastAsia" w:hAnsiTheme="minorEastAsia" w:eastAsiaTheme="minorEastAsia"/>
                <w:sz w:val="18"/>
                <w:szCs w:val="18"/>
              </w:rPr>
              <w:t>集成芯片</w:t>
            </w:r>
            <w:bookmarkEnd w:id="269"/>
            <w:bookmarkEnd w:id="270"/>
          </w:p>
        </w:tc>
        <w:tc>
          <w:tcPr>
            <w:tcW w:w="1276" w:type="dxa"/>
          </w:tcPr>
          <w:p>
            <w:pPr>
              <w:pStyle w:val="98"/>
              <w:widowControl w:val="0"/>
              <w:shd w:val="clear" w:color="auto" w:fill="auto"/>
              <w:spacing w:before="0" w:after="0" w:line="400" w:lineRule="exact"/>
              <w:rPr>
                <w:rFonts w:asciiTheme="minorEastAsia" w:hAnsiTheme="minorEastAsia" w:eastAsiaTheme="minorEastAsia"/>
                <w:sz w:val="18"/>
                <w:szCs w:val="18"/>
              </w:rPr>
            </w:pPr>
          </w:p>
        </w:tc>
        <w:tc>
          <w:tcPr>
            <w:tcW w:w="1275" w:type="dxa"/>
            <w:vAlign w:val="center"/>
          </w:tcPr>
          <w:p>
            <w:pPr>
              <w:pStyle w:val="98"/>
              <w:widowControl w:val="0"/>
              <w:shd w:val="clear" w:color="auto" w:fill="auto"/>
              <w:spacing w:before="0" w:after="0" w:line="400" w:lineRule="exact"/>
              <w:rPr>
                <w:rFonts w:asciiTheme="minorEastAsia" w:hAnsiTheme="minorEastAsia" w:eastAsiaTheme="minorEastAsia"/>
                <w:sz w:val="18"/>
                <w:szCs w:val="18"/>
              </w:rPr>
            </w:pPr>
          </w:p>
        </w:tc>
        <w:tc>
          <w:tcPr>
            <w:tcW w:w="1701" w:type="dxa"/>
            <w:vAlign w:val="center"/>
          </w:tcPr>
          <w:p>
            <w:pPr>
              <w:pStyle w:val="98"/>
              <w:widowControl w:val="0"/>
              <w:shd w:val="clear" w:color="auto" w:fill="auto"/>
              <w:spacing w:before="0" w:after="0" w:line="400" w:lineRule="exact"/>
              <w:rPr>
                <w:rFonts w:asciiTheme="minorEastAsia" w:hAnsiTheme="minorEastAsia" w:eastAsiaTheme="minorEastAsia"/>
                <w:sz w:val="18"/>
                <w:szCs w:val="18"/>
              </w:rPr>
            </w:pPr>
          </w:p>
        </w:tc>
        <w:tc>
          <w:tcPr>
            <w:tcW w:w="2694" w:type="dxa"/>
            <w:vAlign w:val="center"/>
          </w:tcPr>
          <w:p>
            <w:pPr>
              <w:pStyle w:val="98"/>
              <w:widowControl w:val="0"/>
              <w:shd w:val="clear" w:color="auto" w:fill="auto"/>
              <w:spacing w:before="0" w:after="0" w:line="400" w:lineRule="exact"/>
              <w:rPr>
                <w:rFonts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9" w:type="dxa"/>
            <w:vAlign w:val="center"/>
          </w:tcPr>
          <w:p>
            <w:pPr>
              <w:pStyle w:val="98"/>
              <w:widowControl w:val="0"/>
              <w:shd w:val="clear" w:color="auto" w:fill="auto"/>
              <w:spacing w:before="0" w:after="0" w:line="400" w:lineRule="exact"/>
              <w:rPr>
                <w:rFonts w:asciiTheme="minorEastAsia" w:hAnsiTheme="minorEastAsia" w:eastAsiaTheme="minorEastAsia"/>
                <w:sz w:val="18"/>
                <w:szCs w:val="18"/>
              </w:rPr>
            </w:pPr>
            <w:bookmarkStart w:id="271" w:name="_Toc63257919"/>
            <w:bookmarkStart w:id="272" w:name="_Toc72997842"/>
            <w:r>
              <w:rPr>
                <w:rFonts w:hint="eastAsia" w:asciiTheme="minorEastAsia" w:hAnsiTheme="minorEastAsia" w:eastAsiaTheme="minorEastAsia"/>
                <w:sz w:val="18"/>
                <w:szCs w:val="18"/>
              </w:rPr>
              <w:t>电机</w:t>
            </w:r>
            <w:bookmarkEnd w:id="271"/>
            <w:bookmarkEnd w:id="272"/>
          </w:p>
        </w:tc>
        <w:tc>
          <w:tcPr>
            <w:tcW w:w="1712" w:type="dxa"/>
            <w:vAlign w:val="center"/>
          </w:tcPr>
          <w:p>
            <w:pPr>
              <w:pStyle w:val="98"/>
              <w:widowControl w:val="0"/>
              <w:shd w:val="clear" w:color="auto" w:fill="auto"/>
              <w:spacing w:before="0" w:after="0" w:line="400" w:lineRule="exact"/>
              <w:rPr>
                <w:rFonts w:asciiTheme="minorEastAsia" w:hAnsiTheme="minorEastAsia" w:eastAsiaTheme="minorEastAsia"/>
                <w:sz w:val="18"/>
                <w:szCs w:val="18"/>
              </w:rPr>
            </w:pPr>
            <w:bookmarkStart w:id="273" w:name="_Toc72997843"/>
            <w:bookmarkStart w:id="274" w:name="_Toc63257920"/>
            <w:r>
              <w:rPr>
                <w:rFonts w:hint="eastAsia" w:asciiTheme="minorEastAsia" w:hAnsiTheme="minorEastAsia" w:eastAsiaTheme="minorEastAsia"/>
                <w:sz w:val="18"/>
                <w:szCs w:val="18"/>
              </w:rPr>
              <w:t>减速电机</w:t>
            </w:r>
            <w:bookmarkEnd w:id="273"/>
            <w:bookmarkEnd w:id="274"/>
          </w:p>
        </w:tc>
        <w:tc>
          <w:tcPr>
            <w:tcW w:w="1276" w:type="dxa"/>
          </w:tcPr>
          <w:p>
            <w:pPr>
              <w:pStyle w:val="98"/>
              <w:widowControl w:val="0"/>
              <w:shd w:val="clear" w:color="auto" w:fill="auto"/>
              <w:spacing w:before="0" w:after="0" w:line="400" w:lineRule="exact"/>
              <w:rPr>
                <w:rFonts w:asciiTheme="minorEastAsia" w:hAnsiTheme="minorEastAsia" w:eastAsiaTheme="minorEastAsia"/>
                <w:sz w:val="18"/>
                <w:szCs w:val="18"/>
              </w:rPr>
            </w:pPr>
          </w:p>
        </w:tc>
        <w:tc>
          <w:tcPr>
            <w:tcW w:w="1275" w:type="dxa"/>
            <w:vAlign w:val="center"/>
          </w:tcPr>
          <w:p>
            <w:pPr>
              <w:pStyle w:val="98"/>
              <w:widowControl w:val="0"/>
              <w:shd w:val="clear" w:color="auto" w:fill="auto"/>
              <w:spacing w:before="0" w:after="0" w:line="400" w:lineRule="exact"/>
              <w:rPr>
                <w:rFonts w:asciiTheme="minorEastAsia" w:hAnsiTheme="minorEastAsia" w:eastAsiaTheme="minorEastAsia"/>
                <w:sz w:val="18"/>
                <w:szCs w:val="18"/>
              </w:rPr>
            </w:pPr>
          </w:p>
        </w:tc>
        <w:tc>
          <w:tcPr>
            <w:tcW w:w="1701" w:type="dxa"/>
            <w:vAlign w:val="center"/>
          </w:tcPr>
          <w:p>
            <w:pPr>
              <w:pStyle w:val="98"/>
              <w:widowControl w:val="0"/>
              <w:shd w:val="clear" w:color="auto" w:fill="auto"/>
              <w:spacing w:before="0" w:after="0" w:line="400" w:lineRule="exact"/>
              <w:rPr>
                <w:rFonts w:asciiTheme="minorEastAsia" w:hAnsiTheme="minorEastAsia" w:eastAsiaTheme="minorEastAsia"/>
                <w:sz w:val="18"/>
                <w:szCs w:val="18"/>
              </w:rPr>
            </w:pPr>
          </w:p>
        </w:tc>
        <w:tc>
          <w:tcPr>
            <w:tcW w:w="2694" w:type="dxa"/>
            <w:vAlign w:val="center"/>
          </w:tcPr>
          <w:p>
            <w:pPr>
              <w:pStyle w:val="98"/>
              <w:widowControl w:val="0"/>
              <w:shd w:val="clear" w:color="auto" w:fill="auto"/>
              <w:spacing w:before="0" w:after="0" w:line="400" w:lineRule="exact"/>
              <w:rPr>
                <w:rFonts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9" w:type="dxa"/>
            <w:vMerge w:val="restart"/>
            <w:vAlign w:val="center"/>
          </w:tcPr>
          <w:p>
            <w:pPr>
              <w:pStyle w:val="98"/>
              <w:widowControl w:val="0"/>
              <w:shd w:val="clear" w:color="auto" w:fill="auto"/>
              <w:spacing w:before="0" w:after="0" w:line="400" w:lineRule="exact"/>
              <w:rPr>
                <w:rFonts w:asciiTheme="minorEastAsia" w:hAnsiTheme="minorEastAsia" w:eastAsiaTheme="minorEastAsia"/>
                <w:sz w:val="18"/>
                <w:szCs w:val="18"/>
              </w:rPr>
            </w:pPr>
            <w:bookmarkStart w:id="275" w:name="_Toc72997844"/>
            <w:bookmarkStart w:id="276" w:name="_Toc63257921"/>
            <w:r>
              <w:rPr>
                <w:rFonts w:hint="eastAsia" w:asciiTheme="minorEastAsia" w:hAnsiTheme="minorEastAsia" w:eastAsiaTheme="minorEastAsia"/>
                <w:sz w:val="18"/>
                <w:szCs w:val="18"/>
              </w:rPr>
              <w:t>电线</w:t>
            </w:r>
            <w:bookmarkEnd w:id="275"/>
            <w:bookmarkEnd w:id="276"/>
          </w:p>
        </w:tc>
        <w:tc>
          <w:tcPr>
            <w:tcW w:w="1712" w:type="dxa"/>
            <w:vAlign w:val="center"/>
          </w:tcPr>
          <w:p>
            <w:pPr>
              <w:pStyle w:val="98"/>
              <w:widowControl w:val="0"/>
              <w:shd w:val="clear" w:color="auto" w:fill="auto"/>
              <w:spacing w:before="0" w:after="0" w:line="400" w:lineRule="exact"/>
              <w:rPr>
                <w:rFonts w:asciiTheme="minorEastAsia" w:hAnsiTheme="minorEastAsia" w:eastAsiaTheme="minorEastAsia"/>
                <w:sz w:val="18"/>
                <w:szCs w:val="18"/>
              </w:rPr>
            </w:pPr>
            <w:bookmarkStart w:id="277" w:name="_Toc72997845"/>
            <w:bookmarkStart w:id="278" w:name="_Toc63257922"/>
            <w:r>
              <w:rPr>
                <w:rFonts w:hint="eastAsia" w:asciiTheme="minorEastAsia" w:hAnsiTheme="minorEastAsia" w:eastAsiaTheme="minorEastAsia"/>
                <w:sz w:val="18"/>
                <w:szCs w:val="18"/>
              </w:rPr>
              <w:t>电源线</w:t>
            </w:r>
            <w:bookmarkEnd w:id="277"/>
            <w:bookmarkEnd w:id="278"/>
          </w:p>
        </w:tc>
        <w:tc>
          <w:tcPr>
            <w:tcW w:w="1276" w:type="dxa"/>
          </w:tcPr>
          <w:p>
            <w:pPr>
              <w:pStyle w:val="98"/>
              <w:widowControl w:val="0"/>
              <w:shd w:val="clear" w:color="auto" w:fill="auto"/>
              <w:spacing w:before="0" w:after="0" w:line="400" w:lineRule="exact"/>
              <w:rPr>
                <w:rFonts w:asciiTheme="minorEastAsia" w:hAnsiTheme="minorEastAsia" w:eastAsiaTheme="minorEastAsia"/>
                <w:sz w:val="18"/>
                <w:szCs w:val="18"/>
              </w:rPr>
            </w:pPr>
          </w:p>
        </w:tc>
        <w:tc>
          <w:tcPr>
            <w:tcW w:w="1275" w:type="dxa"/>
            <w:vAlign w:val="center"/>
          </w:tcPr>
          <w:p>
            <w:pPr>
              <w:pStyle w:val="98"/>
              <w:widowControl w:val="0"/>
              <w:shd w:val="clear" w:color="auto" w:fill="auto"/>
              <w:spacing w:before="0" w:after="0" w:line="400" w:lineRule="exact"/>
              <w:rPr>
                <w:rFonts w:asciiTheme="minorEastAsia" w:hAnsiTheme="minorEastAsia" w:eastAsiaTheme="minorEastAsia"/>
                <w:sz w:val="18"/>
                <w:szCs w:val="18"/>
              </w:rPr>
            </w:pPr>
          </w:p>
        </w:tc>
        <w:tc>
          <w:tcPr>
            <w:tcW w:w="1701" w:type="dxa"/>
            <w:vAlign w:val="center"/>
          </w:tcPr>
          <w:p>
            <w:pPr>
              <w:pStyle w:val="98"/>
              <w:widowControl w:val="0"/>
              <w:shd w:val="clear" w:color="auto" w:fill="auto"/>
              <w:spacing w:before="0" w:after="0" w:line="400" w:lineRule="exact"/>
              <w:rPr>
                <w:rFonts w:asciiTheme="minorEastAsia" w:hAnsiTheme="minorEastAsia" w:eastAsiaTheme="minorEastAsia"/>
                <w:sz w:val="18"/>
                <w:szCs w:val="18"/>
              </w:rPr>
            </w:pPr>
          </w:p>
        </w:tc>
        <w:tc>
          <w:tcPr>
            <w:tcW w:w="2694" w:type="dxa"/>
            <w:vAlign w:val="center"/>
          </w:tcPr>
          <w:p>
            <w:pPr>
              <w:pStyle w:val="98"/>
              <w:widowControl w:val="0"/>
              <w:shd w:val="clear" w:color="auto" w:fill="auto"/>
              <w:spacing w:before="0" w:after="0" w:line="400" w:lineRule="exact"/>
              <w:rPr>
                <w:rFonts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9" w:type="dxa"/>
            <w:vMerge w:val="continue"/>
            <w:vAlign w:val="center"/>
          </w:tcPr>
          <w:p>
            <w:pPr>
              <w:pStyle w:val="98"/>
              <w:widowControl w:val="0"/>
              <w:shd w:val="clear" w:color="auto" w:fill="auto"/>
              <w:spacing w:before="0" w:after="0" w:line="400" w:lineRule="exact"/>
              <w:rPr>
                <w:rFonts w:asciiTheme="minorEastAsia" w:hAnsiTheme="minorEastAsia" w:eastAsiaTheme="minorEastAsia"/>
                <w:sz w:val="18"/>
                <w:szCs w:val="18"/>
              </w:rPr>
            </w:pPr>
          </w:p>
        </w:tc>
        <w:tc>
          <w:tcPr>
            <w:tcW w:w="1712" w:type="dxa"/>
            <w:vAlign w:val="center"/>
          </w:tcPr>
          <w:p>
            <w:pPr>
              <w:pStyle w:val="98"/>
              <w:widowControl w:val="0"/>
              <w:shd w:val="clear" w:color="auto" w:fill="auto"/>
              <w:spacing w:before="0" w:after="0" w:line="400" w:lineRule="exact"/>
              <w:rPr>
                <w:rFonts w:asciiTheme="minorEastAsia" w:hAnsiTheme="minorEastAsia" w:eastAsiaTheme="minorEastAsia"/>
                <w:sz w:val="18"/>
                <w:szCs w:val="18"/>
              </w:rPr>
            </w:pPr>
            <w:bookmarkStart w:id="279" w:name="_Toc72997846"/>
            <w:bookmarkStart w:id="280" w:name="_Toc63257923"/>
            <w:r>
              <w:rPr>
                <w:rFonts w:hint="eastAsia" w:asciiTheme="minorEastAsia" w:hAnsiTheme="minorEastAsia" w:eastAsiaTheme="minorEastAsia"/>
                <w:sz w:val="18"/>
                <w:szCs w:val="18"/>
              </w:rPr>
              <w:t>控制线</w:t>
            </w:r>
            <w:bookmarkEnd w:id="279"/>
            <w:bookmarkEnd w:id="280"/>
          </w:p>
        </w:tc>
        <w:tc>
          <w:tcPr>
            <w:tcW w:w="1276" w:type="dxa"/>
          </w:tcPr>
          <w:p>
            <w:pPr>
              <w:pStyle w:val="98"/>
              <w:widowControl w:val="0"/>
              <w:shd w:val="clear" w:color="auto" w:fill="auto"/>
              <w:spacing w:before="0" w:after="0" w:line="400" w:lineRule="exact"/>
              <w:rPr>
                <w:rFonts w:asciiTheme="minorEastAsia" w:hAnsiTheme="minorEastAsia" w:eastAsiaTheme="minorEastAsia"/>
                <w:sz w:val="18"/>
                <w:szCs w:val="18"/>
              </w:rPr>
            </w:pPr>
          </w:p>
        </w:tc>
        <w:tc>
          <w:tcPr>
            <w:tcW w:w="1275" w:type="dxa"/>
            <w:vAlign w:val="center"/>
          </w:tcPr>
          <w:p>
            <w:pPr>
              <w:pStyle w:val="98"/>
              <w:widowControl w:val="0"/>
              <w:shd w:val="clear" w:color="auto" w:fill="auto"/>
              <w:spacing w:before="0" w:after="0" w:line="400" w:lineRule="exact"/>
              <w:rPr>
                <w:rFonts w:asciiTheme="minorEastAsia" w:hAnsiTheme="minorEastAsia" w:eastAsiaTheme="minorEastAsia"/>
                <w:sz w:val="18"/>
                <w:szCs w:val="18"/>
              </w:rPr>
            </w:pPr>
          </w:p>
        </w:tc>
        <w:tc>
          <w:tcPr>
            <w:tcW w:w="1701" w:type="dxa"/>
            <w:vAlign w:val="center"/>
          </w:tcPr>
          <w:p>
            <w:pPr>
              <w:pStyle w:val="98"/>
              <w:widowControl w:val="0"/>
              <w:shd w:val="clear" w:color="auto" w:fill="auto"/>
              <w:spacing w:before="0" w:after="0" w:line="400" w:lineRule="exact"/>
              <w:rPr>
                <w:rFonts w:asciiTheme="minorEastAsia" w:hAnsiTheme="minorEastAsia" w:eastAsiaTheme="minorEastAsia"/>
                <w:sz w:val="18"/>
                <w:szCs w:val="18"/>
              </w:rPr>
            </w:pPr>
          </w:p>
        </w:tc>
        <w:tc>
          <w:tcPr>
            <w:tcW w:w="2694" w:type="dxa"/>
            <w:vAlign w:val="center"/>
          </w:tcPr>
          <w:p>
            <w:pPr>
              <w:pStyle w:val="98"/>
              <w:widowControl w:val="0"/>
              <w:shd w:val="clear" w:color="auto" w:fill="auto"/>
              <w:spacing w:before="0" w:after="0" w:line="400" w:lineRule="exact"/>
              <w:rPr>
                <w:rFonts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9" w:type="dxa"/>
            <w:vMerge w:val="continue"/>
            <w:vAlign w:val="center"/>
          </w:tcPr>
          <w:p>
            <w:pPr>
              <w:pStyle w:val="98"/>
              <w:widowControl w:val="0"/>
              <w:shd w:val="clear" w:color="auto" w:fill="auto"/>
              <w:spacing w:before="0" w:after="0" w:line="400" w:lineRule="exact"/>
              <w:rPr>
                <w:rFonts w:asciiTheme="minorEastAsia" w:hAnsiTheme="minorEastAsia" w:eastAsiaTheme="minorEastAsia"/>
                <w:sz w:val="18"/>
                <w:szCs w:val="18"/>
              </w:rPr>
            </w:pPr>
          </w:p>
        </w:tc>
        <w:tc>
          <w:tcPr>
            <w:tcW w:w="1712" w:type="dxa"/>
            <w:vAlign w:val="center"/>
          </w:tcPr>
          <w:p>
            <w:pPr>
              <w:pStyle w:val="98"/>
              <w:widowControl w:val="0"/>
              <w:shd w:val="clear" w:color="auto" w:fill="auto"/>
              <w:spacing w:before="0" w:after="0" w:line="400" w:lineRule="exact"/>
              <w:rPr>
                <w:rFonts w:asciiTheme="minorEastAsia" w:hAnsiTheme="minorEastAsia" w:eastAsiaTheme="minorEastAsia"/>
                <w:sz w:val="18"/>
                <w:szCs w:val="18"/>
              </w:rPr>
            </w:pPr>
            <w:bookmarkStart w:id="281" w:name="_Toc63257924"/>
            <w:bookmarkStart w:id="282" w:name="_Toc72997847"/>
            <w:r>
              <w:rPr>
                <w:rFonts w:hint="eastAsia" w:asciiTheme="minorEastAsia" w:hAnsiTheme="minorEastAsia" w:eastAsiaTheme="minorEastAsia"/>
                <w:sz w:val="18"/>
                <w:szCs w:val="18"/>
              </w:rPr>
              <w:t>信号线</w:t>
            </w:r>
            <w:bookmarkEnd w:id="281"/>
            <w:bookmarkEnd w:id="282"/>
          </w:p>
        </w:tc>
        <w:tc>
          <w:tcPr>
            <w:tcW w:w="1276" w:type="dxa"/>
          </w:tcPr>
          <w:p>
            <w:pPr>
              <w:pStyle w:val="98"/>
              <w:widowControl w:val="0"/>
              <w:shd w:val="clear" w:color="auto" w:fill="auto"/>
              <w:spacing w:before="0" w:after="0" w:line="400" w:lineRule="exact"/>
              <w:rPr>
                <w:rFonts w:asciiTheme="minorEastAsia" w:hAnsiTheme="minorEastAsia" w:eastAsiaTheme="minorEastAsia"/>
                <w:sz w:val="18"/>
                <w:szCs w:val="18"/>
              </w:rPr>
            </w:pPr>
          </w:p>
        </w:tc>
        <w:tc>
          <w:tcPr>
            <w:tcW w:w="1275" w:type="dxa"/>
            <w:vAlign w:val="center"/>
          </w:tcPr>
          <w:p>
            <w:pPr>
              <w:pStyle w:val="98"/>
              <w:widowControl w:val="0"/>
              <w:shd w:val="clear" w:color="auto" w:fill="auto"/>
              <w:spacing w:before="0" w:after="0" w:line="400" w:lineRule="exact"/>
              <w:rPr>
                <w:rFonts w:asciiTheme="minorEastAsia" w:hAnsiTheme="minorEastAsia" w:eastAsiaTheme="minorEastAsia"/>
                <w:sz w:val="18"/>
                <w:szCs w:val="18"/>
              </w:rPr>
            </w:pPr>
          </w:p>
        </w:tc>
        <w:tc>
          <w:tcPr>
            <w:tcW w:w="1701" w:type="dxa"/>
            <w:vAlign w:val="center"/>
          </w:tcPr>
          <w:p>
            <w:pPr>
              <w:pStyle w:val="98"/>
              <w:widowControl w:val="0"/>
              <w:shd w:val="clear" w:color="auto" w:fill="auto"/>
              <w:spacing w:before="0" w:after="0" w:line="400" w:lineRule="exact"/>
              <w:rPr>
                <w:rFonts w:asciiTheme="minorEastAsia" w:hAnsiTheme="minorEastAsia" w:eastAsiaTheme="minorEastAsia"/>
                <w:sz w:val="18"/>
                <w:szCs w:val="18"/>
              </w:rPr>
            </w:pPr>
          </w:p>
        </w:tc>
        <w:tc>
          <w:tcPr>
            <w:tcW w:w="2694" w:type="dxa"/>
            <w:vAlign w:val="center"/>
          </w:tcPr>
          <w:p>
            <w:pPr>
              <w:pStyle w:val="98"/>
              <w:widowControl w:val="0"/>
              <w:shd w:val="clear" w:color="auto" w:fill="auto"/>
              <w:spacing w:before="0" w:after="0" w:line="400" w:lineRule="exact"/>
              <w:rPr>
                <w:rFonts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9" w:type="dxa"/>
            <w:vMerge w:val="restart"/>
            <w:vAlign w:val="center"/>
          </w:tcPr>
          <w:p>
            <w:pPr>
              <w:pStyle w:val="98"/>
              <w:widowControl w:val="0"/>
              <w:shd w:val="clear" w:color="auto" w:fill="auto"/>
              <w:spacing w:before="0" w:after="0" w:line="400" w:lineRule="exact"/>
              <w:rPr>
                <w:rFonts w:asciiTheme="minorEastAsia" w:hAnsiTheme="minorEastAsia" w:eastAsiaTheme="minorEastAsia"/>
                <w:sz w:val="18"/>
                <w:szCs w:val="18"/>
              </w:rPr>
            </w:pPr>
            <w:bookmarkStart w:id="283" w:name="_Toc63257925"/>
            <w:bookmarkStart w:id="284" w:name="_Toc72997848"/>
            <w:r>
              <w:rPr>
                <w:rFonts w:hint="eastAsia" w:asciiTheme="minorEastAsia" w:hAnsiTheme="minorEastAsia" w:eastAsiaTheme="minorEastAsia"/>
                <w:sz w:val="18"/>
                <w:szCs w:val="18"/>
              </w:rPr>
              <w:t>包装</w:t>
            </w:r>
            <w:bookmarkEnd w:id="283"/>
            <w:bookmarkEnd w:id="284"/>
          </w:p>
        </w:tc>
        <w:tc>
          <w:tcPr>
            <w:tcW w:w="1712" w:type="dxa"/>
            <w:vAlign w:val="center"/>
          </w:tcPr>
          <w:p>
            <w:pPr>
              <w:pStyle w:val="98"/>
              <w:widowControl w:val="0"/>
              <w:shd w:val="clear" w:color="auto" w:fill="auto"/>
              <w:spacing w:before="0" w:after="0" w:line="400" w:lineRule="exact"/>
              <w:rPr>
                <w:rFonts w:asciiTheme="minorEastAsia" w:hAnsiTheme="minorEastAsia" w:eastAsiaTheme="minorEastAsia"/>
                <w:sz w:val="18"/>
                <w:szCs w:val="18"/>
              </w:rPr>
            </w:pPr>
            <w:bookmarkStart w:id="285" w:name="_Toc72997849"/>
            <w:bookmarkStart w:id="286" w:name="_Toc63257926"/>
            <w:r>
              <w:rPr>
                <w:rFonts w:hint="eastAsia" w:asciiTheme="minorEastAsia" w:hAnsiTheme="minorEastAsia" w:eastAsiaTheme="minorEastAsia"/>
                <w:sz w:val="18"/>
                <w:szCs w:val="18"/>
              </w:rPr>
              <w:t>纸制品</w:t>
            </w:r>
            <w:bookmarkEnd w:id="285"/>
            <w:bookmarkEnd w:id="286"/>
          </w:p>
        </w:tc>
        <w:tc>
          <w:tcPr>
            <w:tcW w:w="1276" w:type="dxa"/>
          </w:tcPr>
          <w:p>
            <w:pPr>
              <w:pStyle w:val="98"/>
              <w:widowControl w:val="0"/>
              <w:shd w:val="clear" w:color="auto" w:fill="auto"/>
              <w:spacing w:before="0" w:after="0" w:line="400" w:lineRule="exact"/>
              <w:rPr>
                <w:rFonts w:asciiTheme="minorEastAsia" w:hAnsiTheme="minorEastAsia" w:eastAsiaTheme="minorEastAsia"/>
                <w:sz w:val="18"/>
                <w:szCs w:val="18"/>
              </w:rPr>
            </w:pPr>
          </w:p>
        </w:tc>
        <w:tc>
          <w:tcPr>
            <w:tcW w:w="1275" w:type="dxa"/>
            <w:vAlign w:val="center"/>
          </w:tcPr>
          <w:p>
            <w:pPr>
              <w:pStyle w:val="98"/>
              <w:widowControl w:val="0"/>
              <w:shd w:val="clear" w:color="auto" w:fill="auto"/>
              <w:spacing w:before="0" w:after="0" w:line="400" w:lineRule="exact"/>
              <w:rPr>
                <w:rFonts w:asciiTheme="minorEastAsia" w:hAnsiTheme="minorEastAsia" w:eastAsiaTheme="minorEastAsia"/>
                <w:sz w:val="18"/>
                <w:szCs w:val="18"/>
              </w:rPr>
            </w:pPr>
          </w:p>
        </w:tc>
        <w:tc>
          <w:tcPr>
            <w:tcW w:w="1701" w:type="dxa"/>
            <w:vAlign w:val="center"/>
          </w:tcPr>
          <w:p>
            <w:pPr>
              <w:pStyle w:val="98"/>
              <w:widowControl w:val="0"/>
              <w:shd w:val="clear" w:color="auto" w:fill="auto"/>
              <w:spacing w:before="0" w:after="0" w:line="400" w:lineRule="exact"/>
              <w:rPr>
                <w:rFonts w:asciiTheme="minorEastAsia" w:hAnsiTheme="minorEastAsia" w:eastAsiaTheme="minorEastAsia"/>
                <w:sz w:val="18"/>
                <w:szCs w:val="18"/>
              </w:rPr>
            </w:pPr>
          </w:p>
        </w:tc>
        <w:tc>
          <w:tcPr>
            <w:tcW w:w="2694" w:type="dxa"/>
            <w:vAlign w:val="center"/>
          </w:tcPr>
          <w:p>
            <w:pPr>
              <w:pStyle w:val="98"/>
              <w:widowControl w:val="0"/>
              <w:shd w:val="clear" w:color="auto" w:fill="auto"/>
              <w:spacing w:before="0" w:after="0" w:line="400" w:lineRule="exact"/>
              <w:rPr>
                <w:rFonts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9" w:type="dxa"/>
            <w:vMerge w:val="continue"/>
            <w:vAlign w:val="center"/>
          </w:tcPr>
          <w:p>
            <w:pPr>
              <w:pStyle w:val="98"/>
              <w:widowControl w:val="0"/>
              <w:shd w:val="clear" w:color="auto" w:fill="auto"/>
              <w:spacing w:before="0" w:after="0" w:line="400" w:lineRule="exact"/>
              <w:rPr>
                <w:rFonts w:asciiTheme="minorEastAsia" w:hAnsiTheme="minorEastAsia" w:eastAsiaTheme="minorEastAsia"/>
                <w:sz w:val="18"/>
                <w:szCs w:val="18"/>
              </w:rPr>
            </w:pPr>
          </w:p>
        </w:tc>
        <w:tc>
          <w:tcPr>
            <w:tcW w:w="1712" w:type="dxa"/>
            <w:vAlign w:val="center"/>
          </w:tcPr>
          <w:p>
            <w:pPr>
              <w:pStyle w:val="98"/>
              <w:widowControl w:val="0"/>
              <w:shd w:val="clear" w:color="auto" w:fill="auto"/>
              <w:spacing w:before="0" w:after="0" w:line="400" w:lineRule="exact"/>
              <w:rPr>
                <w:rFonts w:asciiTheme="minorEastAsia" w:hAnsiTheme="minorEastAsia" w:eastAsiaTheme="minorEastAsia"/>
                <w:sz w:val="18"/>
                <w:szCs w:val="18"/>
              </w:rPr>
            </w:pPr>
            <w:bookmarkStart w:id="287" w:name="_Toc63257927"/>
            <w:bookmarkStart w:id="288" w:name="_Toc72997850"/>
            <w:r>
              <w:rPr>
                <w:rFonts w:hint="eastAsia" w:asciiTheme="minorEastAsia" w:hAnsiTheme="minorEastAsia" w:eastAsiaTheme="minorEastAsia"/>
                <w:sz w:val="18"/>
                <w:szCs w:val="18"/>
              </w:rPr>
              <w:t>泡沫</w:t>
            </w:r>
            <w:bookmarkEnd w:id="287"/>
            <w:bookmarkEnd w:id="288"/>
          </w:p>
        </w:tc>
        <w:tc>
          <w:tcPr>
            <w:tcW w:w="1276" w:type="dxa"/>
          </w:tcPr>
          <w:p>
            <w:pPr>
              <w:pStyle w:val="98"/>
              <w:widowControl w:val="0"/>
              <w:shd w:val="clear" w:color="auto" w:fill="auto"/>
              <w:spacing w:before="0" w:after="0" w:line="400" w:lineRule="exact"/>
              <w:rPr>
                <w:rFonts w:asciiTheme="minorEastAsia" w:hAnsiTheme="minorEastAsia" w:eastAsiaTheme="minorEastAsia"/>
                <w:sz w:val="18"/>
                <w:szCs w:val="18"/>
              </w:rPr>
            </w:pPr>
          </w:p>
        </w:tc>
        <w:tc>
          <w:tcPr>
            <w:tcW w:w="1275" w:type="dxa"/>
            <w:vAlign w:val="center"/>
          </w:tcPr>
          <w:p>
            <w:pPr>
              <w:pStyle w:val="98"/>
              <w:widowControl w:val="0"/>
              <w:shd w:val="clear" w:color="auto" w:fill="auto"/>
              <w:spacing w:before="0" w:after="0" w:line="400" w:lineRule="exact"/>
              <w:rPr>
                <w:rFonts w:asciiTheme="minorEastAsia" w:hAnsiTheme="minorEastAsia" w:eastAsiaTheme="minorEastAsia"/>
                <w:sz w:val="18"/>
                <w:szCs w:val="18"/>
              </w:rPr>
            </w:pPr>
          </w:p>
        </w:tc>
        <w:tc>
          <w:tcPr>
            <w:tcW w:w="1701" w:type="dxa"/>
            <w:vAlign w:val="center"/>
          </w:tcPr>
          <w:p>
            <w:pPr>
              <w:pStyle w:val="98"/>
              <w:widowControl w:val="0"/>
              <w:shd w:val="clear" w:color="auto" w:fill="auto"/>
              <w:spacing w:before="0" w:after="0" w:line="400" w:lineRule="exact"/>
              <w:rPr>
                <w:rFonts w:asciiTheme="minorEastAsia" w:hAnsiTheme="minorEastAsia" w:eastAsiaTheme="minorEastAsia"/>
                <w:sz w:val="18"/>
                <w:szCs w:val="18"/>
              </w:rPr>
            </w:pPr>
          </w:p>
        </w:tc>
        <w:tc>
          <w:tcPr>
            <w:tcW w:w="2694" w:type="dxa"/>
            <w:vAlign w:val="center"/>
          </w:tcPr>
          <w:p>
            <w:pPr>
              <w:pStyle w:val="98"/>
              <w:widowControl w:val="0"/>
              <w:shd w:val="clear" w:color="auto" w:fill="auto"/>
              <w:spacing w:before="0" w:after="0" w:line="400" w:lineRule="exact"/>
              <w:rPr>
                <w:rFonts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9" w:type="dxa"/>
            <w:vMerge w:val="continue"/>
            <w:vAlign w:val="center"/>
          </w:tcPr>
          <w:p>
            <w:pPr>
              <w:pStyle w:val="98"/>
              <w:widowControl w:val="0"/>
              <w:shd w:val="clear" w:color="auto" w:fill="auto"/>
              <w:spacing w:before="0" w:after="0" w:line="400" w:lineRule="exact"/>
              <w:rPr>
                <w:rFonts w:asciiTheme="minorEastAsia" w:hAnsiTheme="minorEastAsia" w:eastAsiaTheme="minorEastAsia"/>
                <w:sz w:val="18"/>
                <w:szCs w:val="18"/>
              </w:rPr>
            </w:pPr>
          </w:p>
        </w:tc>
        <w:tc>
          <w:tcPr>
            <w:tcW w:w="1712" w:type="dxa"/>
            <w:vAlign w:val="center"/>
          </w:tcPr>
          <w:p>
            <w:pPr>
              <w:pStyle w:val="98"/>
              <w:widowControl w:val="0"/>
              <w:shd w:val="clear" w:color="auto" w:fill="auto"/>
              <w:spacing w:before="0" w:after="0" w:line="400" w:lineRule="exact"/>
              <w:rPr>
                <w:rFonts w:asciiTheme="minorEastAsia" w:hAnsiTheme="minorEastAsia" w:eastAsiaTheme="minorEastAsia"/>
                <w:sz w:val="18"/>
                <w:szCs w:val="18"/>
              </w:rPr>
            </w:pPr>
            <w:bookmarkStart w:id="289" w:name="_Toc72997851"/>
            <w:bookmarkStart w:id="290" w:name="_Toc63257928"/>
            <w:r>
              <w:rPr>
                <w:rFonts w:hint="eastAsia" w:asciiTheme="minorEastAsia" w:hAnsiTheme="minorEastAsia" w:eastAsiaTheme="minorEastAsia"/>
                <w:sz w:val="18"/>
                <w:szCs w:val="18"/>
              </w:rPr>
              <w:t>包装袋</w:t>
            </w:r>
            <w:bookmarkEnd w:id="289"/>
            <w:bookmarkEnd w:id="290"/>
          </w:p>
        </w:tc>
        <w:tc>
          <w:tcPr>
            <w:tcW w:w="1276" w:type="dxa"/>
          </w:tcPr>
          <w:p>
            <w:pPr>
              <w:pStyle w:val="98"/>
              <w:widowControl w:val="0"/>
              <w:shd w:val="clear" w:color="auto" w:fill="auto"/>
              <w:spacing w:before="0" w:after="0" w:line="400" w:lineRule="exact"/>
              <w:rPr>
                <w:rFonts w:asciiTheme="minorEastAsia" w:hAnsiTheme="minorEastAsia" w:eastAsiaTheme="minorEastAsia"/>
                <w:sz w:val="18"/>
                <w:szCs w:val="18"/>
              </w:rPr>
            </w:pPr>
          </w:p>
        </w:tc>
        <w:tc>
          <w:tcPr>
            <w:tcW w:w="1275" w:type="dxa"/>
            <w:vAlign w:val="center"/>
          </w:tcPr>
          <w:p>
            <w:pPr>
              <w:pStyle w:val="98"/>
              <w:widowControl w:val="0"/>
              <w:shd w:val="clear" w:color="auto" w:fill="auto"/>
              <w:spacing w:before="0" w:after="0" w:line="400" w:lineRule="exact"/>
              <w:rPr>
                <w:rFonts w:asciiTheme="minorEastAsia" w:hAnsiTheme="minorEastAsia" w:eastAsiaTheme="minorEastAsia"/>
                <w:sz w:val="18"/>
                <w:szCs w:val="18"/>
              </w:rPr>
            </w:pPr>
          </w:p>
        </w:tc>
        <w:tc>
          <w:tcPr>
            <w:tcW w:w="1701" w:type="dxa"/>
            <w:vAlign w:val="center"/>
          </w:tcPr>
          <w:p>
            <w:pPr>
              <w:pStyle w:val="98"/>
              <w:widowControl w:val="0"/>
              <w:shd w:val="clear" w:color="auto" w:fill="auto"/>
              <w:spacing w:before="0" w:after="0" w:line="400" w:lineRule="exact"/>
              <w:rPr>
                <w:rFonts w:asciiTheme="minorEastAsia" w:hAnsiTheme="minorEastAsia" w:eastAsiaTheme="minorEastAsia"/>
                <w:sz w:val="18"/>
                <w:szCs w:val="18"/>
              </w:rPr>
            </w:pPr>
          </w:p>
        </w:tc>
        <w:tc>
          <w:tcPr>
            <w:tcW w:w="2694" w:type="dxa"/>
            <w:vAlign w:val="center"/>
          </w:tcPr>
          <w:p>
            <w:pPr>
              <w:pStyle w:val="98"/>
              <w:widowControl w:val="0"/>
              <w:shd w:val="clear" w:color="auto" w:fill="auto"/>
              <w:spacing w:before="0" w:after="0" w:line="400" w:lineRule="exact"/>
              <w:rPr>
                <w:rFonts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9" w:type="dxa"/>
          </w:tcPr>
          <w:p>
            <w:pPr>
              <w:pStyle w:val="98"/>
              <w:widowControl w:val="0"/>
              <w:shd w:val="clear" w:color="auto" w:fill="auto"/>
              <w:spacing w:before="0" w:after="0" w:line="400" w:lineRule="exact"/>
              <w:rPr>
                <w:rFonts w:asciiTheme="minorEastAsia" w:hAnsiTheme="minorEastAsia" w:eastAsiaTheme="minorEastAsia"/>
                <w:sz w:val="18"/>
                <w:szCs w:val="18"/>
              </w:rPr>
            </w:pPr>
            <w:bookmarkStart w:id="291" w:name="_Toc72997852"/>
            <w:bookmarkStart w:id="292" w:name="_Toc63257929"/>
            <w:r>
              <w:rPr>
                <w:rFonts w:hint="eastAsia" w:asciiTheme="minorEastAsia" w:hAnsiTheme="minorEastAsia" w:eastAsiaTheme="minorEastAsia"/>
                <w:sz w:val="18"/>
                <w:szCs w:val="18"/>
              </w:rPr>
              <w:t>其它</w:t>
            </w:r>
            <w:bookmarkEnd w:id="291"/>
            <w:bookmarkEnd w:id="292"/>
          </w:p>
        </w:tc>
        <w:tc>
          <w:tcPr>
            <w:tcW w:w="1712" w:type="dxa"/>
          </w:tcPr>
          <w:p>
            <w:pPr>
              <w:pStyle w:val="98"/>
              <w:widowControl w:val="0"/>
              <w:shd w:val="clear" w:color="auto" w:fill="auto"/>
              <w:spacing w:before="0" w:after="0" w:line="400" w:lineRule="exact"/>
              <w:rPr>
                <w:rFonts w:asciiTheme="minorEastAsia" w:hAnsiTheme="minorEastAsia" w:eastAsiaTheme="minorEastAsia"/>
                <w:sz w:val="18"/>
                <w:szCs w:val="18"/>
              </w:rPr>
            </w:pPr>
          </w:p>
        </w:tc>
        <w:tc>
          <w:tcPr>
            <w:tcW w:w="1276" w:type="dxa"/>
          </w:tcPr>
          <w:p>
            <w:pPr>
              <w:pStyle w:val="98"/>
              <w:widowControl w:val="0"/>
              <w:shd w:val="clear" w:color="auto" w:fill="auto"/>
              <w:spacing w:before="0" w:after="0" w:line="400" w:lineRule="exact"/>
              <w:rPr>
                <w:rFonts w:asciiTheme="minorEastAsia" w:hAnsiTheme="minorEastAsia" w:eastAsiaTheme="minorEastAsia"/>
                <w:sz w:val="18"/>
                <w:szCs w:val="18"/>
              </w:rPr>
            </w:pPr>
          </w:p>
        </w:tc>
        <w:tc>
          <w:tcPr>
            <w:tcW w:w="1275" w:type="dxa"/>
          </w:tcPr>
          <w:p>
            <w:pPr>
              <w:pStyle w:val="98"/>
              <w:widowControl w:val="0"/>
              <w:shd w:val="clear" w:color="auto" w:fill="auto"/>
              <w:spacing w:before="0" w:after="0" w:line="400" w:lineRule="exact"/>
              <w:rPr>
                <w:rFonts w:asciiTheme="minorEastAsia" w:hAnsiTheme="minorEastAsia" w:eastAsiaTheme="minorEastAsia"/>
                <w:sz w:val="18"/>
                <w:szCs w:val="18"/>
              </w:rPr>
            </w:pPr>
          </w:p>
        </w:tc>
        <w:tc>
          <w:tcPr>
            <w:tcW w:w="1701" w:type="dxa"/>
          </w:tcPr>
          <w:p>
            <w:pPr>
              <w:pStyle w:val="98"/>
              <w:widowControl w:val="0"/>
              <w:shd w:val="clear" w:color="auto" w:fill="auto"/>
              <w:spacing w:before="0" w:after="0" w:line="400" w:lineRule="exact"/>
              <w:rPr>
                <w:rFonts w:asciiTheme="minorEastAsia" w:hAnsiTheme="minorEastAsia" w:eastAsiaTheme="minorEastAsia"/>
                <w:sz w:val="18"/>
                <w:szCs w:val="18"/>
              </w:rPr>
            </w:pPr>
          </w:p>
        </w:tc>
        <w:tc>
          <w:tcPr>
            <w:tcW w:w="2694" w:type="dxa"/>
          </w:tcPr>
          <w:p>
            <w:pPr>
              <w:pStyle w:val="98"/>
              <w:widowControl w:val="0"/>
              <w:shd w:val="clear" w:color="auto" w:fill="auto"/>
              <w:spacing w:before="0" w:after="0" w:line="400" w:lineRule="exact"/>
              <w:rPr>
                <w:rFonts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9" w:type="dxa"/>
          </w:tcPr>
          <w:p>
            <w:pPr>
              <w:pStyle w:val="98"/>
              <w:widowControl w:val="0"/>
              <w:shd w:val="clear" w:color="auto" w:fill="auto"/>
              <w:spacing w:before="0" w:after="0" w:line="400" w:lineRule="exact"/>
              <w:rPr>
                <w:rFonts w:asciiTheme="minorEastAsia" w:hAnsiTheme="minorEastAsia" w:eastAsiaTheme="minorEastAsia"/>
                <w:sz w:val="18"/>
                <w:szCs w:val="18"/>
              </w:rPr>
            </w:pPr>
            <w:bookmarkStart w:id="293" w:name="_Toc63257930"/>
            <w:bookmarkStart w:id="294" w:name="_Toc72997853"/>
            <w:r>
              <w:rPr>
                <w:rFonts w:hint="eastAsia" w:asciiTheme="minorEastAsia" w:hAnsiTheme="minorEastAsia" w:eastAsiaTheme="minorEastAsia"/>
                <w:sz w:val="18"/>
                <w:szCs w:val="18"/>
              </w:rPr>
              <w:t>总质量kg</w:t>
            </w:r>
            <w:bookmarkEnd w:id="293"/>
            <w:bookmarkEnd w:id="294"/>
          </w:p>
        </w:tc>
        <w:tc>
          <w:tcPr>
            <w:tcW w:w="1712" w:type="dxa"/>
          </w:tcPr>
          <w:p>
            <w:pPr>
              <w:pStyle w:val="98"/>
              <w:widowControl w:val="0"/>
              <w:shd w:val="clear" w:color="auto" w:fill="auto"/>
              <w:spacing w:before="0" w:after="0" w:line="400" w:lineRule="exact"/>
              <w:rPr>
                <w:rFonts w:asciiTheme="minorEastAsia" w:hAnsiTheme="minorEastAsia" w:eastAsiaTheme="minorEastAsia"/>
                <w:sz w:val="18"/>
                <w:szCs w:val="18"/>
              </w:rPr>
            </w:pPr>
          </w:p>
        </w:tc>
        <w:tc>
          <w:tcPr>
            <w:tcW w:w="1276" w:type="dxa"/>
          </w:tcPr>
          <w:p>
            <w:pPr>
              <w:pStyle w:val="98"/>
              <w:widowControl w:val="0"/>
              <w:shd w:val="clear" w:color="auto" w:fill="auto"/>
              <w:spacing w:before="0" w:after="0" w:line="400" w:lineRule="exact"/>
              <w:rPr>
                <w:rFonts w:asciiTheme="minorEastAsia" w:hAnsiTheme="minorEastAsia" w:eastAsiaTheme="minorEastAsia"/>
                <w:sz w:val="18"/>
                <w:szCs w:val="18"/>
              </w:rPr>
            </w:pPr>
          </w:p>
        </w:tc>
        <w:tc>
          <w:tcPr>
            <w:tcW w:w="1275" w:type="dxa"/>
          </w:tcPr>
          <w:p>
            <w:pPr>
              <w:pStyle w:val="98"/>
              <w:widowControl w:val="0"/>
              <w:shd w:val="clear" w:color="auto" w:fill="auto"/>
              <w:spacing w:before="0" w:after="0" w:line="400" w:lineRule="exact"/>
              <w:rPr>
                <w:rFonts w:asciiTheme="minorEastAsia" w:hAnsiTheme="minorEastAsia" w:eastAsiaTheme="minorEastAsia"/>
                <w:sz w:val="18"/>
                <w:szCs w:val="18"/>
              </w:rPr>
            </w:pPr>
          </w:p>
        </w:tc>
        <w:tc>
          <w:tcPr>
            <w:tcW w:w="1701" w:type="dxa"/>
          </w:tcPr>
          <w:p>
            <w:pPr>
              <w:pStyle w:val="98"/>
              <w:widowControl w:val="0"/>
              <w:shd w:val="clear" w:color="auto" w:fill="auto"/>
              <w:spacing w:before="0" w:after="0" w:line="400" w:lineRule="exact"/>
              <w:rPr>
                <w:rFonts w:asciiTheme="minorEastAsia" w:hAnsiTheme="minorEastAsia" w:eastAsiaTheme="minorEastAsia"/>
                <w:sz w:val="18"/>
                <w:szCs w:val="18"/>
              </w:rPr>
            </w:pPr>
          </w:p>
        </w:tc>
        <w:tc>
          <w:tcPr>
            <w:tcW w:w="2694" w:type="dxa"/>
          </w:tcPr>
          <w:p>
            <w:pPr>
              <w:pStyle w:val="98"/>
              <w:widowControl w:val="0"/>
              <w:shd w:val="clear" w:color="auto" w:fill="auto"/>
              <w:spacing w:before="0" w:after="0" w:line="400" w:lineRule="exact"/>
              <w:rPr>
                <w:rFonts w:asciiTheme="minorEastAsia" w:hAnsiTheme="minorEastAsia" w:eastAsiaTheme="minorEastAsia"/>
                <w:sz w:val="18"/>
                <w:szCs w:val="18"/>
              </w:rPr>
            </w:pPr>
          </w:p>
        </w:tc>
      </w:tr>
    </w:tbl>
    <w:p>
      <w:pPr>
        <w:pStyle w:val="98"/>
        <w:spacing w:before="0" w:after="0" w:line="400" w:lineRule="exact"/>
        <w:ind w:left="425"/>
        <w:jc w:val="left"/>
        <w:rPr>
          <w:sz w:val="21"/>
          <w:szCs w:val="21"/>
        </w:rPr>
      </w:pPr>
    </w:p>
    <w:p>
      <w:pPr>
        <w:pStyle w:val="98"/>
        <w:spacing w:before="0" w:after="0" w:line="400" w:lineRule="exact"/>
        <w:ind w:left="425"/>
        <w:jc w:val="left"/>
        <w:rPr>
          <w:sz w:val="21"/>
          <w:szCs w:val="21"/>
        </w:rPr>
      </w:pPr>
    </w:p>
    <w:p>
      <w:pPr>
        <w:pStyle w:val="98"/>
        <w:spacing w:before="0" w:after="0" w:line="400" w:lineRule="exact"/>
        <w:ind w:left="425"/>
        <w:jc w:val="left"/>
        <w:rPr>
          <w:sz w:val="21"/>
          <w:szCs w:val="21"/>
        </w:rPr>
      </w:pPr>
    </w:p>
    <w:p>
      <w:pPr>
        <w:pStyle w:val="98"/>
        <w:spacing w:before="0" w:after="0" w:line="400" w:lineRule="exact"/>
        <w:ind w:left="425"/>
        <w:jc w:val="left"/>
        <w:rPr>
          <w:sz w:val="21"/>
          <w:szCs w:val="21"/>
        </w:rPr>
      </w:pPr>
      <w:r>
        <w:rPr>
          <w:rFonts w:hAnsi="宋体"/>
          <w:sz w:val="18"/>
          <w:szCs w:val="18"/>
        </w:rPr>
        <w:pict>
          <v:line id="_x0000_s2050" o:spid="_x0000_s2050" o:spt="20" style="position:absolute;left:0pt;margin-left:159.55pt;margin-top:53.65pt;height:0pt;width:113.4pt;z-index:251660288;mso-width-relative:page;mso-height-relative:page;" coordsize="21600,21600">
            <v:path arrowok="t"/>
            <v:fill focussize="0,0"/>
            <v:stroke weight="1.25pt"/>
            <v:imagedata o:title=""/>
            <o:lock v:ext="edit"/>
          </v:line>
        </w:pict>
      </w:r>
    </w:p>
    <w:sectPr>
      <w:footerReference r:id="rId11" w:type="default"/>
      <w:pgSz w:w="11907" w:h="16839"/>
      <w:pgMar w:top="1417" w:right="1134" w:bottom="1417" w:left="1134" w:header="1020" w:footer="1077" w:gutter="0"/>
      <w:pgNumType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Cambria Math">
    <w:panose1 w:val="02040503050406030204"/>
    <w:charset w:val="00"/>
    <w:family w:val="roman"/>
    <w:pitch w:val="default"/>
    <w:sig w:usb0="E00002FF" w:usb1="420024FF" w:usb2="00000000"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rPr>
        <w:rStyle w:val="33"/>
      </w:rPr>
    </w:pPr>
    <w:r>
      <w:rPr>
        <w:rStyle w:val="33"/>
      </w:rPr>
      <w:fldChar w:fldCharType="begin"/>
    </w:r>
    <w:r>
      <w:rPr>
        <w:rStyle w:val="33"/>
      </w:rPr>
      <w:instrText xml:space="preserve">PAGE  </w:instrText>
    </w:r>
    <w:r>
      <w:rPr>
        <w:rStyle w:val="33"/>
      </w:rPr>
      <w:fldChar w:fldCharType="separate"/>
    </w:r>
    <w:r>
      <w:rPr>
        <w:rStyle w:val="33"/>
      </w:rPr>
      <w:t>2</w:t>
    </w:r>
    <w:r>
      <w:rPr>
        <w:rStyle w:val="33"/>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right" w:y="1"/>
      <w:tabs>
        <w:tab w:val="left" w:pos="900"/>
      </w:tabs>
      <w:ind w:left="900" w:right="210" w:rightChars="100" w:hanging="500"/>
      <w:jc w:val="right"/>
      <w:rPr>
        <w:rStyle w:val="33"/>
      </w:rPr>
    </w:pPr>
    <w:r>
      <w:rPr>
        <w:rStyle w:val="33"/>
      </w:rPr>
      <w:fldChar w:fldCharType="begin"/>
    </w:r>
    <w:r>
      <w:rPr>
        <w:rStyle w:val="33"/>
      </w:rPr>
      <w:instrText xml:space="preserve">PAGE  </w:instrText>
    </w:r>
    <w:r>
      <w:rPr>
        <w:rStyle w:val="33"/>
      </w:rPr>
      <w:fldChar w:fldCharType="separate"/>
    </w:r>
    <w:r>
      <w:rPr>
        <w:rStyle w:val="33"/>
      </w:rPr>
      <w:t>13</w:t>
    </w:r>
    <w:r>
      <w:rPr>
        <w:rStyle w:val="33"/>
      </w:rPr>
      <w:fldChar w:fldCharType="end"/>
    </w:r>
  </w:p>
  <w:p>
    <w:pPr>
      <w:pStyle w:val="24"/>
      <w:tabs>
        <w:tab w:val="left" w:pos="900"/>
      </w:tabs>
      <w:ind w:left="900" w:right="210" w:rightChars="100" w:hanging="50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left="90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827953"/>
    </w:sdtPr>
    <w:sdtEndPr>
      <w:rPr>
        <w:rFonts w:asciiTheme="majorEastAsia" w:hAnsiTheme="majorEastAsia" w:eastAsiaTheme="majorEastAsia"/>
        <w:sz w:val="21"/>
        <w:szCs w:val="21"/>
      </w:rPr>
    </w:sdtEndPr>
    <w:sdtContent>
      <w:p>
        <w:pPr>
          <w:pStyle w:val="24"/>
          <w:ind w:left="5250"/>
          <w:jc w:val="right"/>
        </w:pPr>
        <w:r>
          <w:rPr>
            <w:rFonts w:asciiTheme="majorEastAsia" w:hAnsiTheme="majorEastAsia" w:eastAsiaTheme="majorEastAsia"/>
            <w:sz w:val="21"/>
            <w:szCs w:val="21"/>
          </w:rPr>
          <w:fldChar w:fldCharType="begin"/>
        </w:r>
        <w:r>
          <w:rPr>
            <w:rFonts w:asciiTheme="majorEastAsia" w:hAnsiTheme="majorEastAsia" w:eastAsiaTheme="majorEastAsia"/>
            <w:sz w:val="21"/>
            <w:szCs w:val="21"/>
          </w:rPr>
          <w:instrText xml:space="preserve"> PAGE   \* MERGEFORMAT </w:instrText>
        </w:r>
        <w:r>
          <w:rPr>
            <w:rFonts w:asciiTheme="majorEastAsia" w:hAnsiTheme="majorEastAsia" w:eastAsiaTheme="majorEastAsia"/>
            <w:sz w:val="21"/>
            <w:szCs w:val="21"/>
          </w:rPr>
          <w:fldChar w:fldCharType="separate"/>
        </w:r>
        <w:r>
          <w:rPr>
            <w:rFonts w:asciiTheme="majorEastAsia" w:hAnsiTheme="majorEastAsia" w:eastAsiaTheme="majorEastAsia"/>
            <w:sz w:val="21"/>
            <w:szCs w:val="21"/>
            <w:lang w:val="zh-CN"/>
          </w:rPr>
          <w:t>I</w:t>
        </w:r>
        <w:r>
          <w:rPr>
            <w:rFonts w:asciiTheme="majorEastAsia" w:hAnsiTheme="majorEastAsia" w:eastAsiaTheme="majorEastAsia"/>
            <w:sz w:val="21"/>
            <w:szCs w:val="21"/>
          </w:rPr>
          <w:fldChar w:fldCharType="end"/>
        </w:r>
      </w:p>
    </w:sdtContent>
  </w:sdt>
  <w:p>
    <w:pPr>
      <w:pStyle w:val="62"/>
      <w:rPr>
        <w:rStyle w:val="33"/>
        <w:rFonts w:ascii="宋体" w:hAnsi="宋体" w:cs="宋体"/>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rPr>
        <w:rStyle w:val="33"/>
      </w:rPr>
    </w:pPr>
    <w:r>
      <w:rPr>
        <w:rStyle w:val="33"/>
      </w:rPr>
      <w:fldChar w:fldCharType="begin"/>
    </w:r>
    <w:r>
      <w:rPr>
        <w:rStyle w:val="33"/>
      </w:rPr>
      <w:instrText xml:space="preserve">PAGE  </w:instrText>
    </w:r>
    <w:r>
      <w:rPr>
        <w:rStyle w:val="33"/>
      </w:rPr>
      <w:fldChar w:fldCharType="separate"/>
    </w:r>
    <w:r>
      <w:rPr>
        <w:rStyle w:val="33"/>
      </w:rPr>
      <w:t>4</w:t>
    </w:r>
    <w:r>
      <w:rPr>
        <w:rStyle w:val="33"/>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3"/>
    </w:pPr>
    <w:r>
      <w:t>Q/×××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89"/>
      <w:ind w:firstLine="7560" w:firstLineChars="3600"/>
      <w:rPr>
        <w:rFonts w:ascii="黑体" w:hAnsi="黑体" w:eastAsia="黑体" w:cs="黑体"/>
        <w:szCs w:val="21"/>
      </w:rPr>
    </w:pPr>
    <w:r>
      <w:rPr>
        <w:rFonts w:hint="eastAsia" w:ascii="黑体" w:hAnsi="黑体" w:eastAsia="黑体" w:cs="黑体"/>
        <w:szCs w:val="21"/>
      </w:rPr>
      <w:t>T/CNLIC****—20**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193804"/>
    <w:multiLevelType w:val="singleLevel"/>
    <w:tmpl w:val="9E193804"/>
    <w:lvl w:ilvl="0" w:tentative="0">
      <w:start w:val="1"/>
      <w:numFmt w:val="lowerLetter"/>
      <w:suff w:val="space"/>
      <w:lvlText w:val="%1）"/>
      <w:lvlJc w:val="left"/>
    </w:lvl>
  </w:abstractNum>
  <w:abstractNum w:abstractNumId="1">
    <w:nsid w:val="0AE367E9"/>
    <w:multiLevelType w:val="multilevel"/>
    <w:tmpl w:val="0AE367E9"/>
    <w:lvl w:ilvl="0" w:tentative="0">
      <w:start w:val="1"/>
      <w:numFmt w:val="none"/>
      <w:pStyle w:val="106"/>
      <w:lvlText w:val="%1示例"/>
      <w:lvlJc w:val="left"/>
      <w:pPr>
        <w:tabs>
          <w:tab w:val="left" w:pos="1120"/>
        </w:tabs>
        <w:ind w:left="0" w:firstLine="400"/>
      </w:pPr>
      <w:rPr>
        <w:rFonts w:hint="eastAsia" w:ascii="宋体"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24E639C9"/>
    <w:multiLevelType w:val="multilevel"/>
    <w:tmpl w:val="24E639C9"/>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rPr>
        <w:rFonts w:asciiTheme="minorEastAsia" w:hAnsiTheme="minorEastAsia" w:eastAsiaTheme="minorEastAsia"/>
        <w:sz w:val="21"/>
        <w:szCs w:val="21"/>
      </w:r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3">
    <w:nsid w:val="40FB9EEF"/>
    <w:multiLevelType w:val="singleLevel"/>
    <w:tmpl w:val="40FB9EEF"/>
    <w:lvl w:ilvl="0" w:tentative="0">
      <w:start w:val="1"/>
      <w:numFmt w:val="lowerLetter"/>
      <w:suff w:val="space"/>
      <w:lvlText w:val="%1)"/>
      <w:lvlJc w:val="left"/>
    </w:lvl>
  </w:abstractNum>
  <w:abstractNum w:abstractNumId="4">
    <w:nsid w:val="46806F7D"/>
    <w:multiLevelType w:val="multilevel"/>
    <w:tmpl w:val="46806F7D"/>
    <w:lvl w:ilvl="0" w:tentative="0">
      <w:start w:val="1"/>
      <w:numFmt w:val="none"/>
      <w:pStyle w:val="91"/>
      <w:lvlText w:val="图"/>
      <w:lvlJc w:val="left"/>
      <w:pPr>
        <w:tabs>
          <w:tab w:val="left" w:pos="360"/>
        </w:tabs>
        <w:ind w:left="0" w:firstLine="0"/>
      </w:pPr>
      <w:rPr>
        <w:rFonts w:hint="eastAsia" w:ascii="黑体" w:eastAsia="黑体"/>
        <w:b w:val="0"/>
        <w:i w:val="0"/>
        <w:sz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46D22D8F"/>
    <w:multiLevelType w:val="multilevel"/>
    <w:tmpl w:val="46D22D8F"/>
    <w:lvl w:ilvl="0" w:tentative="0">
      <w:start w:val="1"/>
      <w:numFmt w:val="none"/>
      <w:pStyle w:val="117"/>
      <w:lvlText w:val="%1◆　"/>
      <w:lvlJc w:val="left"/>
      <w:pPr>
        <w:tabs>
          <w:tab w:val="left" w:pos="960"/>
        </w:tabs>
        <w:ind w:left="917" w:hanging="317"/>
      </w:pPr>
      <w:rPr>
        <w:rFonts w:hint="eastAsia" w:ascii="宋体" w:hAnsi="Times New Roman" w:eastAsia="宋体"/>
        <w:b w:val="0"/>
        <w:i w:val="0"/>
        <w:position w:val="4"/>
        <w:sz w:val="1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4F302902"/>
    <w:multiLevelType w:val="multilevel"/>
    <w:tmpl w:val="4F302902"/>
    <w:lvl w:ilvl="0" w:tentative="0">
      <w:start w:val="1"/>
      <w:numFmt w:val="none"/>
      <w:pStyle w:val="85"/>
      <w:lvlText w:val="表"/>
      <w:lvlJc w:val="left"/>
      <w:pPr>
        <w:tabs>
          <w:tab w:val="left" w:pos="360"/>
        </w:tabs>
        <w:ind w:left="0" w:firstLine="0"/>
      </w:pPr>
      <w:rPr>
        <w:rFonts w:hint="eastAsia" w:ascii="黑体" w:eastAsia="黑体"/>
        <w:b w:val="0"/>
        <w:i w:val="0"/>
        <w:sz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6350366A"/>
    <w:multiLevelType w:val="multilevel"/>
    <w:tmpl w:val="6350366A"/>
    <w:lvl w:ilvl="0" w:tentative="0">
      <w:start w:val="1"/>
      <w:numFmt w:val="none"/>
      <w:pStyle w:val="97"/>
      <w:lvlText w:val="%1●　"/>
      <w:lvlJc w:val="left"/>
      <w:pPr>
        <w:tabs>
          <w:tab w:val="left" w:pos="760"/>
        </w:tabs>
        <w:ind w:left="717" w:hanging="317"/>
      </w:pPr>
      <w:rPr>
        <w:rFonts w:hint="eastAsia" w:ascii="宋体" w:hAnsi="Times New Roman" w:eastAsia="宋体"/>
        <w:b w:val="0"/>
        <w:i w:val="0"/>
        <w:position w:val="4"/>
        <w:sz w:val="13"/>
      </w:rPr>
    </w:lvl>
    <w:lvl w:ilvl="1" w:tentative="0">
      <w:start w:val="1"/>
      <w:numFmt w:val="lowerLetter"/>
      <w:lvlText w:val="%2)"/>
      <w:lvlJc w:val="left"/>
      <w:pPr>
        <w:tabs>
          <w:tab w:val="left" w:pos="780"/>
        </w:tabs>
        <w:ind w:left="780" w:hanging="360"/>
      </w:pPr>
      <w:rPr>
        <w:rFonts w:hint="eastAsia"/>
      </w:rPr>
    </w:lvl>
    <w:lvl w:ilvl="2" w:tentative="0">
      <w:start w:val="1"/>
      <w:numFmt w:val="decimal"/>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657D3FBC"/>
    <w:multiLevelType w:val="multilevel"/>
    <w:tmpl w:val="657D3FBC"/>
    <w:lvl w:ilvl="0" w:tentative="0">
      <w:start w:val="1"/>
      <w:numFmt w:val="upperLetter"/>
      <w:suff w:val="nothing"/>
      <w:lvlText w:val="附　录　%1"/>
      <w:lvlJc w:val="left"/>
      <w:pPr>
        <w:ind w:left="0" w:firstLine="0"/>
      </w:pPr>
      <w:rPr>
        <w:rFonts w:hint="eastAsia" w:ascii="黑体" w:hAnsi="Times New Roman" w:eastAsia="黑体"/>
        <w:b w:val="0"/>
        <w:i w:val="0"/>
        <w:sz w:val="21"/>
      </w:rPr>
    </w:lvl>
    <w:lvl w:ilvl="1" w:tentative="0">
      <w:start w:val="1"/>
      <w:numFmt w:val="decimal"/>
      <w:pStyle w:val="87"/>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88"/>
      <w:suff w:val="nothing"/>
      <w:lvlText w:val="%1.%2.%3　"/>
      <w:lvlJc w:val="left"/>
      <w:pPr>
        <w:ind w:left="0" w:firstLine="0"/>
      </w:pPr>
      <w:rPr>
        <w:rFonts w:hint="eastAsia" w:ascii="黑体" w:hAnsi="Times New Roman" w:eastAsia="黑体"/>
        <w:b w:val="0"/>
        <w:i w:val="0"/>
        <w:sz w:val="21"/>
      </w:rPr>
    </w:lvl>
    <w:lvl w:ilvl="3" w:tentative="0">
      <w:start w:val="1"/>
      <w:numFmt w:val="decimal"/>
      <w:pStyle w:val="89"/>
      <w:suff w:val="nothing"/>
      <w:lvlText w:val="%1.%2.%3.%4　"/>
      <w:lvlJc w:val="left"/>
      <w:pPr>
        <w:ind w:left="0" w:firstLine="0"/>
      </w:pPr>
      <w:rPr>
        <w:rFonts w:hint="eastAsia" w:ascii="黑体" w:hAnsi="Times New Roman" w:eastAsia="黑体"/>
        <w:b w:val="0"/>
        <w:i w:val="0"/>
        <w:sz w:val="21"/>
      </w:rPr>
    </w:lvl>
    <w:lvl w:ilvl="4" w:tentative="0">
      <w:start w:val="1"/>
      <w:numFmt w:val="decimal"/>
      <w:pStyle w:val="90"/>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9">
    <w:nsid w:val="76933334"/>
    <w:multiLevelType w:val="multilevel"/>
    <w:tmpl w:val="76933334"/>
    <w:lvl w:ilvl="0" w:tentative="0">
      <w:start w:val="1"/>
      <w:numFmt w:val="none"/>
      <w:pStyle w:val="96"/>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6"/>
  </w:num>
  <w:num w:numId="3">
    <w:abstractNumId w:val="8"/>
  </w:num>
  <w:num w:numId="4">
    <w:abstractNumId w:val="4"/>
  </w:num>
  <w:num w:numId="5">
    <w:abstractNumId w:val="9"/>
  </w:num>
  <w:num w:numId="6">
    <w:abstractNumId w:val="7"/>
  </w:num>
  <w:num w:numId="7">
    <w:abstractNumId w:val="1"/>
  </w:num>
  <w:num w:numId="8">
    <w:abstractNumId w:val="5"/>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5666F"/>
    <w:rsid w:val="00001235"/>
    <w:rsid w:val="00007E4D"/>
    <w:rsid w:val="00013D3D"/>
    <w:rsid w:val="000162C8"/>
    <w:rsid w:val="00030E51"/>
    <w:rsid w:val="000331BB"/>
    <w:rsid w:val="00035118"/>
    <w:rsid w:val="00037751"/>
    <w:rsid w:val="00046914"/>
    <w:rsid w:val="0008079C"/>
    <w:rsid w:val="00090A6C"/>
    <w:rsid w:val="00090C54"/>
    <w:rsid w:val="000931C0"/>
    <w:rsid w:val="00094C44"/>
    <w:rsid w:val="000960A7"/>
    <w:rsid w:val="000963B4"/>
    <w:rsid w:val="000A618B"/>
    <w:rsid w:val="000B1EF4"/>
    <w:rsid w:val="000B5A2F"/>
    <w:rsid w:val="000C0467"/>
    <w:rsid w:val="000C3545"/>
    <w:rsid w:val="000C615E"/>
    <w:rsid w:val="000C753E"/>
    <w:rsid w:val="000C7ED1"/>
    <w:rsid w:val="000D1948"/>
    <w:rsid w:val="000D1CDC"/>
    <w:rsid w:val="000D2E62"/>
    <w:rsid w:val="000D3474"/>
    <w:rsid w:val="000D4018"/>
    <w:rsid w:val="000D4A10"/>
    <w:rsid w:val="000D577D"/>
    <w:rsid w:val="000D6047"/>
    <w:rsid w:val="000E091C"/>
    <w:rsid w:val="000E0FE5"/>
    <w:rsid w:val="000E2DC9"/>
    <w:rsid w:val="000E3426"/>
    <w:rsid w:val="000E4365"/>
    <w:rsid w:val="000F7FFD"/>
    <w:rsid w:val="00100DFD"/>
    <w:rsid w:val="0010102A"/>
    <w:rsid w:val="00111418"/>
    <w:rsid w:val="0011164B"/>
    <w:rsid w:val="001121E6"/>
    <w:rsid w:val="001217FF"/>
    <w:rsid w:val="00123547"/>
    <w:rsid w:val="00124C93"/>
    <w:rsid w:val="00126591"/>
    <w:rsid w:val="00132C97"/>
    <w:rsid w:val="0013373F"/>
    <w:rsid w:val="00154628"/>
    <w:rsid w:val="00157A49"/>
    <w:rsid w:val="00157DBC"/>
    <w:rsid w:val="00163697"/>
    <w:rsid w:val="00164721"/>
    <w:rsid w:val="00166C9A"/>
    <w:rsid w:val="00167B6D"/>
    <w:rsid w:val="00192A4E"/>
    <w:rsid w:val="001946FA"/>
    <w:rsid w:val="001B246F"/>
    <w:rsid w:val="001B409A"/>
    <w:rsid w:val="001C38C8"/>
    <w:rsid w:val="001C58A6"/>
    <w:rsid w:val="001C6308"/>
    <w:rsid w:val="001D20AA"/>
    <w:rsid w:val="001D667B"/>
    <w:rsid w:val="001D6F39"/>
    <w:rsid w:val="001E7CDF"/>
    <w:rsid w:val="001F438E"/>
    <w:rsid w:val="00207A8B"/>
    <w:rsid w:val="0021014B"/>
    <w:rsid w:val="0021272D"/>
    <w:rsid w:val="0021399C"/>
    <w:rsid w:val="002313CF"/>
    <w:rsid w:val="00233982"/>
    <w:rsid w:val="002341AA"/>
    <w:rsid w:val="00243F57"/>
    <w:rsid w:val="00246C56"/>
    <w:rsid w:val="00255738"/>
    <w:rsid w:val="00257DF2"/>
    <w:rsid w:val="00261A19"/>
    <w:rsid w:val="00266077"/>
    <w:rsid w:val="002677D8"/>
    <w:rsid w:val="0027040E"/>
    <w:rsid w:val="00270B74"/>
    <w:rsid w:val="00271D9E"/>
    <w:rsid w:val="00274B90"/>
    <w:rsid w:val="0027574E"/>
    <w:rsid w:val="002777EC"/>
    <w:rsid w:val="00277AD6"/>
    <w:rsid w:val="00280C4D"/>
    <w:rsid w:val="002812BE"/>
    <w:rsid w:val="00282203"/>
    <w:rsid w:val="002827D8"/>
    <w:rsid w:val="00282A69"/>
    <w:rsid w:val="00284956"/>
    <w:rsid w:val="00284DB2"/>
    <w:rsid w:val="00287D1A"/>
    <w:rsid w:val="00290382"/>
    <w:rsid w:val="002972CA"/>
    <w:rsid w:val="00297568"/>
    <w:rsid w:val="002B08DA"/>
    <w:rsid w:val="002B2FBD"/>
    <w:rsid w:val="002B3D32"/>
    <w:rsid w:val="002B5E0F"/>
    <w:rsid w:val="002C0095"/>
    <w:rsid w:val="002C5A6A"/>
    <w:rsid w:val="002D18AD"/>
    <w:rsid w:val="002D7C87"/>
    <w:rsid w:val="002E4312"/>
    <w:rsid w:val="002E69A0"/>
    <w:rsid w:val="002F233B"/>
    <w:rsid w:val="00300156"/>
    <w:rsid w:val="00302094"/>
    <w:rsid w:val="00302B81"/>
    <w:rsid w:val="0030328D"/>
    <w:rsid w:val="0031162F"/>
    <w:rsid w:val="0031266B"/>
    <w:rsid w:val="00316F2D"/>
    <w:rsid w:val="00317418"/>
    <w:rsid w:val="00317CD8"/>
    <w:rsid w:val="00320357"/>
    <w:rsid w:val="00320FA1"/>
    <w:rsid w:val="00322305"/>
    <w:rsid w:val="00323700"/>
    <w:rsid w:val="00327739"/>
    <w:rsid w:val="003307F8"/>
    <w:rsid w:val="003366E2"/>
    <w:rsid w:val="00352A03"/>
    <w:rsid w:val="00360B03"/>
    <w:rsid w:val="00377529"/>
    <w:rsid w:val="00382373"/>
    <w:rsid w:val="00382A06"/>
    <w:rsid w:val="003A63A7"/>
    <w:rsid w:val="003B1E24"/>
    <w:rsid w:val="003B6AAC"/>
    <w:rsid w:val="003C2E7D"/>
    <w:rsid w:val="003C52DB"/>
    <w:rsid w:val="003D4547"/>
    <w:rsid w:val="003D4B5D"/>
    <w:rsid w:val="003D4F1B"/>
    <w:rsid w:val="003D703F"/>
    <w:rsid w:val="003E75D4"/>
    <w:rsid w:val="003F3604"/>
    <w:rsid w:val="00405676"/>
    <w:rsid w:val="004056CE"/>
    <w:rsid w:val="00415D2B"/>
    <w:rsid w:val="00431CD7"/>
    <w:rsid w:val="00437A89"/>
    <w:rsid w:val="004533C6"/>
    <w:rsid w:val="00481EE5"/>
    <w:rsid w:val="00482E1F"/>
    <w:rsid w:val="00497787"/>
    <w:rsid w:val="004B1273"/>
    <w:rsid w:val="004B3E64"/>
    <w:rsid w:val="004B5BAD"/>
    <w:rsid w:val="004D1EA2"/>
    <w:rsid w:val="004E74A4"/>
    <w:rsid w:val="004F3FA0"/>
    <w:rsid w:val="004F62B0"/>
    <w:rsid w:val="005129B1"/>
    <w:rsid w:val="00514F6F"/>
    <w:rsid w:val="00516599"/>
    <w:rsid w:val="00516EEE"/>
    <w:rsid w:val="00520772"/>
    <w:rsid w:val="00533338"/>
    <w:rsid w:val="0053585E"/>
    <w:rsid w:val="005418D8"/>
    <w:rsid w:val="00541DD0"/>
    <w:rsid w:val="00542C45"/>
    <w:rsid w:val="0055307A"/>
    <w:rsid w:val="00557285"/>
    <w:rsid w:val="0056622D"/>
    <w:rsid w:val="00570A1F"/>
    <w:rsid w:val="00571937"/>
    <w:rsid w:val="00571CED"/>
    <w:rsid w:val="005722E9"/>
    <w:rsid w:val="00575BBF"/>
    <w:rsid w:val="005762A5"/>
    <w:rsid w:val="00581617"/>
    <w:rsid w:val="005859A4"/>
    <w:rsid w:val="0059349B"/>
    <w:rsid w:val="005A5E0E"/>
    <w:rsid w:val="005A618A"/>
    <w:rsid w:val="005A6E97"/>
    <w:rsid w:val="005B0BBF"/>
    <w:rsid w:val="005B0DBE"/>
    <w:rsid w:val="005B7818"/>
    <w:rsid w:val="005C5EF3"/>
    <w:rsid w:val="005C7220"/>
    <w:rsid w:val="005D6755"/>
    <w:rsid w:val="005D7269"/>
    <w:rsid w:val="005D759D"/>
    <w:rsid w:val="005E02AF"/>
    <w:rsid w:val="005E48CE"/>
    <w:rsid w:val="005E53D7"/>
    <w:rsid w:val="005E7238"/>
    <w:rsid w:val="005F0079"/>
    <w:rsid w:val="005F6660"/>
    <w:rsid w:val="005F7871"/>
    <w:rsid w:val="005F7A92"/>
    <w:rsid w:val="0060627E"/>
    <w:rsid w:val="006076CB"/>
    <w:rsid w:val="00615C51"/>
    <w:rsid w:val="006248F8"/>
    <w:rsid w:val="00627E3B"/>
    <w:rsid w:val="006313E5"/>
    <w:rsid w:val="00640589"/>
    <w:rsid w:val="00642935"/>
    <w:rsid w:val="006468A7"/>
    <w:rsid w:val="00650C2E"/>
    <w:rsid w:val="00662CB7"/>
    <w:rsid w:val="00672F79"/>
    <w:rsid w:val="0067373C"/>
    <w:rsid w:val="00681494"/>
    <w:rsid w:val="0068465D"/>
    <w:rsid w:val="00685998"/>
    <w:rsid w:val="00685D2D"/>
    <w:rsid w:val="0069071A"/>
    <w:rsid w:val="00692CF0"/>
    <w:rsid w:val="00697448"/>
    <w:rsid w:val="006A2275"/>
    <w:rsid w:val="006A52FD"/>
    <w:rsid w:val="006C17B6"/>
    <w:rsid w:val="006C22EA"/>
    <w:rsid w:val="006C4000"/>
    <w:rsid w:val="006D1C3B"/>
    <w:rsid w:val="006E0024"/>
    <w:rsid w:val="006E28AF"/>
    <w:rsid w:val="006F2314"/>
    <w:rsid w:val="0070414A"/>
    <w:rsid w:val="00724E22"/>
    <w:rsid w:val="0073172A"/>
    <w:rsid w:val="007335F5"/>
    <w:rsid w:val="007341A3"/>
    <w:rsid w:val="00742BC3"/>
    <w:rsid w:val="00754517"/>
    <w:rsid w:val="00757583"/>
    <w:rsid w:val="0076393C"/>
    <w:rsid w:val="00763F29"/>
    <w:rsid w:val="00764CC8"/>
    <w:rsid w:val="00765CBD"/>
    <w:rsid w:val="00766E74"/>
    <w:rsid w:val="00771333"/>
    <w:rsid w:val="007821A8"/>
    <w:rsid w:val="007823F3"/>
    <w:rsid w:val="00784982"/>
    <w:rsid w:val="0078568A"/>
    <w:rsid w:val="00786008"/>
    <w:rsid w:val="007964EE"/>
    <w:rsid w:val="007A6688"/>
    <w:rsid w:val="007B2EA4"/>
    <w:rsid w:val="007B7010"/>
    <w:rsid w:val="007C4D64"/>
    <w:rsid w:val="007D1037"/>
    <w:rsid w:val="007D230D"/>
    <w:rsid w:val="007D457D"/>
    <w:rsid w:val="007E3A6B"/>
    <w:rsid w:val="007E428C"/>
    <w:rsid w:val="007E7A6A"/>
    <w:rsid w:val="007F0111"/>
    <w:rsid w:val="008018D6"/>
    <w:rsid w:val="00802B53"/>
    <w:rsid w:val="008035A8"/>
    <w:rsid w:val="00804E3B"/>
    <w:rsid w:val="00811ACD"/>
    <w:rsid w:val="00816326"/>
    <w:rsid w:val="00817CF7"/>
    <w:rsid w:val="00820A65"/>
    <w:rsid w:val="00821F4C"/>
    <w:rsid w:val="00822409"/>
    <w:rsid w:val="008240CE"/>
    <w:rsid w:val="00825F85"/>
    <w:rsid w:val="0083228C"/>
    <w:rsid w:val="00834A19"/>
    <w:rsid w:val="0084385A"/>
    <w:rsid w:val="008439B9"/>
    <w:rsid w:val="00846E5D"/>
    <w:rsid w:val="00860486"/>
    <w:rsid w:val="00862825"/>
    <w:rsid w:val="00865230"/>
    <w:rsid w:val="00866DC7"/>
    <w:rsid w:val="00867C66"/>
    <w:rsid w:val="008839A1"/>
    <w:rsid w:val="00893F3D"/>
    <w:rsid w:val="00897660"/>
    <w:rsid w:val="008C2930"/>
    <w:rsid w:val="008D28DB"/>
    <w:rsid w:val="008E5AB5"/>
    <w:rsid w:val="00900081"/>
    <w:rsid w:val="0090088C"/>
    <w:rsid w:val="009015A3"/>
    <w:rsid w:val="009047A1"/>
    <w:rsid w:val="00924758"/>
    <w:rsid w:val="00930D3D"/>
    <w:rsid w:val="009368F3"/>
    <w:rsid w:val="00943F62"/>
    <w:rsid w:val="0096519A"/>
    <w:rsid w:val="00966808"/>
    <w:rsid w:val="0097228F"/>
    <w:rsid w:val="009846C8"/>
    <w:rsid w:val="00984702"/>
    <w:rsid w:val="00995EEB"/>
    <w:rsid w:val="0099696F"/>
    <w:rsid w:val="009B53E4"/>
    <w:rsid w:val="009C535E"/>
    <w:rsid w:val="009D4B13"/>
    <w:rsid w:val="009D69FB"/>
    <w:rsid w:val="009E43EB"/>
    <w:rsid w:val="009F520E"/>
    <w:rsid w:val="009F78F1"/>
    <w:rsid w:val="009F7CE3"/>
    <w:rsid w:val="00A01874"/>
    <w:rsid w:val="00A01E7D"/>
    <w:rsid w:val="00A06D8F"/>
    <w:rsid w:val="00A07DF3"/>
    <w:rsid w:val="00A11C87"/>
    <w:rsid w:val="00A2020D"/>
    <w:rsid w:val="00A20CC1"/>
    <w:rsid w:val="00A31E82"/>
    <w:rsid w:val="00A325BC"/>
    <w:rsid w:val="00A36B72"/>
    <w:rsid w:val="00A46476"/>
    <w:rsid w:val="00A51CBA"/>
    <w:rsid w:val="00A577D4"/>
    <w:rsid w:val="00A67204"/>
    <w:rsid w:val="00A763C4"/>
    <w:rsid w:val="00A80469"/>
    <w:rsid w:val="00A9180A"/>
    <w:rsid w:val="00A924F3"/>
    <w:rsid w:val="00A95218"/>
    <w:rsid w:val="00AA0000"/>
    <w:rsid w:val="00AA4923"/>
    <w:rsid w:val="00AB4D51"/>
    <w:rsid w:val="00AB52F7"/>
    <w:rsid w:val="00AC392A"/>
    <w:rsid w:val="00AC58E3"/>
    <w:rsid w:val="00AD0AA7"/>
    <w:rsid w:val="00AD2983"/>
    <w:rsid w:val="00AD46A6"/>
    <w:rsid w:val="00AD761F"/>
    <w:rsid w:val="00AF0A22"/>
    <w:rsid w:val="00AF3951"/>
    <w:rsid w:val="00AF56A9"/>
    <w:rsid w:val="00B004C3"/>
    <w:rsid w:val="00B20BDE"/>
    <w:rsid w:val="00B471D8"/>
    <w:rsid w:val="00B5356F"/>
    <w:rsid w:val="00B5666F"/>
    <w:rsid w:val="00B61586"/>
    <w:rsid w:val="00B61F13"/>
    <w:rsid w:val="00B6234F"/>
    <w:rsid w:val="00B6308C"/>
    <w:rsid w:val="00B67157"/>
    <w:rsid w:val="00B7584E"/>
    <w:rsid w:val="00B76E11"/>
    <w:rsid w:val="00B81C53"/>
    <w:rsid w:val="00B86E85"/>
    <w:rsid w:val="00B871AA"/>
    <w:rsid w:val="00B87A9C"/>
    <w:rsid w:val="00B96C08"/>
    <w:rsid w:val="00B96D11"/>
    <w:rsid w:val="00BA5B40"/>
    <w:rsid w:val="00BB1CCC"/>
    <w:rsid w:val="00BB6DAA"/>
    <w:rsid w:val="00BC134C"/>
    <w:rsid w:val="00BC155C"/>
    <w:rsid w:val="00BC4FC8"/>
    <w:rsid w:val="00BC6AFC"/>
    <w:rsid w:val="00BD3EC4"/>
    <w:rsid w:val="00BE07E3"/>
    <w:rsid w:val="00BE1894"/>
    <w:rsid w:val="00BE3697"/>
    <w:rsid w:val="00BE3991"/>
    <w:rsid w:val="00BF7A88"/>
    <w:rsid w:val="00C04188"/>
    <w:rsid w:val="00C1307F"/>
    <w:rsid w:val="00C305A6"/>
    <w:rsid w:val="00C32EED"/>
    <w:rsid w:val="00C51831"/>
    <w:rsid w:val="00C5184E"/>
    <w:rsid w:val="00C534EA"/>
    <w:rsid w:val="00C61188"/>
    <w:rsid w:val="00C61C14"/>
    <w:rsid w:val="00C645AE"/>
    <w:rsid w:val="00C65021"/>
    <w:rsid w:val="00C66082"/>
    <w:rsid w:val="00C67325"/>
    <w:rsid w:val="00C75B0A"/>
    <w:rsid w:val="00C91F92"/>
    <w:rsid w:val="00C95A1C"/>
    <w:rsid w:val="00CA0D71"/>
    <w:rsid w:val="00CB3265"/>
    <w:rsid w:val="00CB5519"/>
    <w:rsid w:val="00CC3478"/>
    <w:rsid w:val="00CC48F0"/>
    <w:rsid w:val="00CD030B"/>
    <w:rsid w:val="00CD075D"/>
    <w:rsid w:val="00CD571E"/>
    <w:rsid w:val="00CD5D24"/>
    <w:rsid w:val="00CD70FE"/>
    <w:rsid w:val="00CE158B"/>
    <w:rsid w:val="00CE15BD"/>
    <w:rsid w:val="00CE441D"/>
    <w:rsid w:val="00CE49ED"/>
    <w:rsid w:val="00CE516E"/>
    <w:rsid w:val="00CE781A"/>
    <w:rsid w:val="00CF391B"/>
    <w:rsid w:val="00D04297"/>
    <w:rsid w:val="00D04F59"/>
    <w:rsid w:val="00D12055"/>
    <w:rsid w:val="00D15598"/>
    <w:rsid w:val="00D176CF"/>
    <w:rsid w:val="00D300FF"/>
    <w:rsid w:val="00D32018"/>
    <w:rsid w:val="00D4313C"/>
    <w:rsid w:val="00D4364B"/>
    <w:rsid w:val="00D5255B"/>
    <w:rsid w:val="00D6069F"/>
    <w:rsid w:val="00D67A4B"/>
    <w:rsid w:val="00D70B3D"/>
    <w:rsid w:val="00D73B9F"/>
    <w:rsid w:val="00D74A82"/>
    <w:rsid w:val="00D77714"/>
    <w:rsid w:val="00D87EAC"/>
    <w:rsid w:val="00D91C8B"/>
    <w:rsid w:val="00D962A2"/>
    <w:rsid w:val="00D96A2E"/>
    <w:rsid w:val="00D97C70"/>
    <w:rsid w:val="00DA4D2B"/>
    <w:rsid w:val="00DA7A6C"/>
    <w:rsid w:val="00DC4F31"/>
    <w:rsid w:val="00DC6F53"/>
    <w:rsid w:val="00DD0C54"/>
    <w:rsid w:val="00DD1340"/>
    <w:rsid w:val="00DD6E98"/>
    <w:rsid w:val="00DD779D"/>
    <w:rsid w:val="00DE2BF1"/>
    <w:rsid w:val="00DF2239"/>
    <w:rsid w:val="00DF5CEF"/>
    <w:rsid w:val="00DF7CD0"/>
    <w:rsid w:val="00E05D30"/>
    <w:rsid w:val="00E1013B"/>
    <w:rsid w:val="00E1062A"/>
    <w:rsid w:val="00E109C3"/>
    <w:rsid w:val="00E22482"/>
    <w:rsid w:val="00E32572"/>
    <w:rsid w:val="00E32E37"/>
    <w:rsid w:val="00E3597F"/>
    <w:rsid w:val="00E3654B"/>
    <w:rsid w:val="00E40D0B"/>
    <w:rsid w:val="00E440E4"/>
    <w:rsid w:val="00E44AB5"/>
    <w:rsid w:val="00E4560D"/>
    <w:rsid w:val="00E4731C"/>
    <w:rsid w:val="00E551D6"/>
    <w:rsid w:val="00E574CE"/>
    <w:rsid w:val="00E61B53"/>
    <w:rsid w:val="00E6444F"/>
    <w:rsid w:val="00E65461"/>
    <w:rsid w:val="00E65BF4"/>
    <w:rsid w:val="00E805B0"/>
    <w:rsid w:val="00E84E0C"/>
    <w:rsid w:val="00E850B9"/>
    <w:rsid w:val="00E85EA1"/>
    <w:rsid w:val="00E90E00"/>
    <w:rsid w:val="00EA123C"/>
    <w:rsid w:val="00EB0B87"/>
    <w:rsid w:val="00EB3577"/>
    <w:rsid w:val="00EB6A81"/>
    <w:rsid w:val="00EC1AB4"/>
    <w:rsid w:val="00EC526E"/>
    <w:rsid w:val="00EC5EC9"/>
    <w:rsid w:val="00ED1AA8"/>
    <w:rsid w:val="00ED3716"/>
    <w:rsid w:val="00ED697E"/>
    <w:rsid w:val="00EE022D"/>
    <w:rsid w:val="00EF0887"/>
    <w:rsid w:val="00F017F3"/>
    <w:rsid w:val="00F02207"/>
    <w:rsid w:val="00F0235B"/>
    <w:rsid w:val="00F06424"/>
    <w:rsid w:val="00F07411"/>
    <w:rsid w:val="00F1481B"/>
    <w:rsid w:val="00F210C3"/>
    <w:rsid w:val="00F419CC"/>
    <w:rsid w:val="00F4394E"/>
    <w:rsid w:val="00F573DF"/>
    <w:rsid w:val="00F65CCD"/>
    <w:rsid w:val="00F70604"/>
    <w:rsid w:val="00F70D82"/>
    <w:rsid w:val="00F714A7"/>
    <w:rsid w:val="00F72496"/>
    <w:rsid w:val="00F7319E"/>
    <w:rsid w:val="00F73414"/>
    <w:rsid w:val="00F90368"/>
    <w:rsid w:val="00F93AF7"/>
    <w:rsid w:val="00F9475E"/>
    <w:rsid w:val="00F96CB2"/>
    <w:rsid w:val="00FA1194"/>
    <w:rsid w:val="00FA75DA"/>
    <w:rsid w:val="00FB317E"/>
    <w:rsid w:val="00FB5094"/>
    <w:rsid w:val="00FC6550"/>
    <w:rsid w:val="00FD1CB0"/>
    <w:rsid w:val="00FD391C"/>
    <w:rsid w:val="00FD4A83"/>
    <w:rsid w:val="00FD5F4F"/>
    <w:rsid w:val="00FD6026"/>
    <w:rsid w:val="00FE1067"/>
    <w:rsid w:val="00FE4361"/>
    <w:rsid w:val="00FE7FB8"/>
    <w:rsid w:val="00FF0F87"/>
    <w:rsid w:val="00FF1EED"/>
    <w:rsid w:val="00FF3AAB"/>
    <w:rsid w:val="00FF3B82"/>
    <w:rsid w:val="00FF3FD7"/>
    <w:rsid w:val="00FF630D"/>
    <w:rsid w:val="01356B59"/>
    <w:rsid w:val="026F6A94"/>
    <w:rsid w:val="039A2DA1"/>
    <w:rsid w:val="052A5BDF"/>
    <w:rsid w:val="058074EF"/>
    <w:rsid w:val="068D2BB3"/>
    <w:rsid w:val="071630F6"/>
    <w:rsid w:val="07580794"/>
    <w:rsid w:val="076B5A31"/>
    <w:rsid w:val="09BD5521"/>
    <w:rsid w:val="0B14753B"/>
    <w:rsid w:val="0C5A3069"/>
    <w:rsid w:val="0D431668"/>
    <w:rsid w:val="0D8901D8"/>
    <w:rsid w:val="0DA91CC5"/>
    <w:rsid w:val="0E414A7A"/>
    <w:rsid w:val="11276D52"/>
    <w:rsid w:val="121612E1"/>
    <w:rsid w:val="12892689"/>
    <w:rsid w:val="12D255D0"/>
    <w:rsid w:val="135D6EEE"/>
    <w:rsid w:val="15772CB0"/>
    <w:rsid w:val="168A20B1"/>
    <w:rsid w:val="16914467"/>
    <w:rsid w:val="16D76586"/>
    <w:rsid w:val="17D45D83"/>
    <w:rsid w:val="1870396B"/>
    <w:rsid w:val="1A8C508E"/>
    <w:rsid w:val="1BB80117"/>
    <w:rsid w:val="1BDF7767"/>
    <w:rsid w:val="1C8F3D62"/>
    <w:rsid w:val="1DC12D19"/>
    <w:rsid w:val="1E033FA8"/>
    <w:rsid w:val="1EA0048B"/>
    <w:rsid w:val="1F580F55"/>
    <w:rsid w:val="1F5B0EF3"/>
    <w:rsid w:val="1FFF2D4B"/>
    <w:rsid w:val="202606E4"/>
    <w:rsid w:val="20F95DF8"/>
    <w:rsid w:val="231B1779"/>
    <w:rsid w:val="236F3510"/>
    <w:rsid w:val="25430A63"/>
    <w:rsid w:val="25710DBA"/>
    <w:rsid w:val="25C05266"/>
    <w:rsid w:val="26870D86"/>
    <w:rsid w:val="272D0BB4"/>
    <w:rsid w:val="28BF4A37"/>
    <w:rsid w:val="29075E8D"/>
    <w:rsid w:val="2A7237E7"/>
    <w:rsid w:val="2ABC7C16"/>
    <w:rsid w:val="2AD05C5A"/>
    <w:rsid w:val="2B316BBD"/>
    <w:rsid w:val="2C445797"/>
    <w:rsid w:val="2C5F68EB"/>
    <w:rsid w:val="2C62669F"/>
    <w:rsid w:val="2D980D9D"/>
    <w:rsid w:val="2F037A8E"/>
    <w:rsid w:val="300930BC"/>
    <w:rsid w:val="304E14D7"/>
    <w:rsid w:val="30720551"/>
    <w:rsid w:val="32953587"/>
    <w:rsid w:val="3302545D"/>
    <w:rsid w:val="34BA09ED"/>
    <w:rsid w:val="3696697F"/>
    <w:rsid w:val="36F90B6F"/>
    <w:rsid w:val="37590019"/>
    <w:rsid w:val="37612F15"/>
    <w:rsid w:val="37854647"/>
    <w:rsid w:val="3830387D"/>
    <w:rsid w:val="38BC2E04"/>
    <w:rsid w:val="3A9B1085"/>
    <w:rsid w:val="3B306942"/>
    <w:rsid w:val="3BC40DBA"/>
    <w:rsid w:val="3CA001F9"/>
    <w:rsid w:val="3D594F2A"/>
    <w:rsid w:val="412D338F"/>
    <w:rsid w:val="41BE0ABB"/>
    <w:rsid w:val="43625B0A"/>
    <w:rsid w:val="443A1641"/>
    <w:rsid w:val="45475AB8"/>
    <w:rsid w:val="45DF45D7"/>
    <w:rsid w:val="472D2B49"/>
    <w:rsid w:val="47AC2D53"/>
    <w:rsid w:val="4C187FC9"/>
    <w:rsid w:val="4EE3748A"/>
    <w:rsid w:val="5263346A"/>
    <w:rsid w:val="528562A2"/>
    <w:rsid w:val="52D35F1C"/>
    <w:rsid w:val="5737356F"/>
    <w:rsid w:val="58246F7D"/>
    <w:rsid w:val="587A7475"/>
    <w:rsid w:val="58CC461C"/>
    <w:rsid w:val="5A5C50AF"/>
    <w:rsid w:val="5A8E6042"/>
    <w:rsid w:val="5B3E00D8"/>
    <w:rsid w:val="5BB911E0"/>
    <w:rsid w:val="5BFF3A56"/>
    <w:rsid w:val="5C27511B"/>
    <w:rsid w:val="5C706D77"/>
    <w:rsid w:val="5DF41B22"/>
    <w:rsid w:val="5E702775"/>
    <w:rsid w:val="5F571113"/>
    <w:rsid w:val="5FC67F41"/>
    <w:rsid w:val="5FE01C71"/>
    <w:rsid w:val="5FEB7ED9"/>
    <w:rsid w:val="60163E04"/>
    <w:rsid w:val="60466B96"/>
    <w:rsid w:val="62533583"/>
    <w:rsid w:val="63B375DC"/>
    <w:rsid w:val="6482156A"/>
    <w:rsid w:val="65824DE7"/>
    <w:rsid w:val="65F274EE"/>
    <w:rsid w:val="662D640A"/>
    <w:rsid w:val="671A1BD9"/>
    <w:rsid w:val="67435F17"/>
    <w:rsid w:val="679D5907"/>
    <w:rsid w:val="6AC01508"/>
    <w:rsid w:val="6B077235"/>
    <w:rsid w:val="6CCC13A3"/>
    <w:rsid w:val="6CD50D66"/>
    <w:rsid w:val="6CF8339F"/>
    <w:rsid w:val="6D4C0A40"/>
    <w:rsid w:val="6E54442B"/>
    <w:rsid w:val="6F8B6428"/>
    <w:rsid w:val="709733B0"/>
    <w:rsid w:val="72136417"/>
    <w:rsid w:val="72665692"/>
    <w:rsid w:val="72997E56"/>
    <w:rsid w:val="74154074"/>
    <w:rsid w:val="746C3A5E"/>
    <w:rsid w:val="761F669C"/>
    <w:rsid w:val="7692253B"/>
    <w:rsid w:val="76FC32F5"/>
    <w:rsid w:val="7720003F"/>
    <w:rsid w:val="782558C8"/>
    <w:rsid w:val="78400096"/>
    <w:rsid w:val="789F0BE0"/>
    <w:rsid w:val="79557D36"/>
    <w:rsid w:val="7C0C093D"/>
    <w:rsid w:val="7C877F59"/>
    <w:rsid w:val="7CAA68AB"/>
    <w:rsid w:val="7CFE226E"/>
    <w:rsid w:val="7E4536C1"/>
    <w:rsid w:val="7E4A564B"/>
    <w:rsid w:val="7ED5270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直接连接符 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99" w:name="Normal Indent"/>
    <w:lsdException w:qFormat="1" w:unhideWhenUsed="0" w:uiPriority="0"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7"/>
    <w:qFormat/>
    <w:uiPriority w:val="0"/>
    <w:pPr>
      <w:keepNext/>
      <w:keepLines/>
      <w:numPr>
        <w:ilvl w:val="0"/>
        <w:numId w:val="1"/>
      </w:numPr>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48"/>
    <w:qFormat/>
    <w:uiPriority w:val="0"/>
    <w:pPr>
      <w:keepNext/>
      <w:keepLines/>
      <w:numPr>
        <w:ilvl w:val="1"/>
        <w:numId w:val="1"/>
      </w:numPr>
      <w:spacing w:before="260" w:after="260" w:line="416" w:lineRule="auto"/>
      <w:outlineLvl w:val="1"/>
    </w:pPr>
    <w:rPr>
      <w:rFonts w:ascii="Arial" w:hAnsi="Arial" w:eastAsia="黑体" w:cs="Times New Roman"/>
      <w:b/>
      <w:bCs/>
      <w:sz w:val="32"/>
      <w:szCs w:val="32"/>
    </w:rPr>
  </w:style>
  <w:style w:type="paragraph" w:styleId="4">
    <w:name w:val="heading 3"/>
    <w:basedOn w:val="1"/>
    <w:next w:val="1"/>
    <w:link w:val="49"/>
    <w:qFormat/>
    <w:uiPriority w:val="0"/>
    <w:pPr>
      <w:keepNext/>
      <w:keepLines/>
      <w:numPr>
        <w:ilvl w:val="2"/>
        <w:numId w:val="1"/>
      </w:numPr>
      <w:spacing w:before="260" w:after="260" w:line="416" w:lineRule="auto"/>
      <w:outlineLvl w:val="2"/>
    </w:pPr>
    <w:rPr>
      <w:rFonts w:ascii="Times New Roman" w:hAnsi="Times New Roman" w:eastAsia="宋体" w:cs="Times New Roman"/>
      <w:b/>
      <w:bCs/>
      <w:sz w:val="32"/>
      <w:szCs w:val="32"/>
    </w:rPr>
  </w:style>
  <w:style w:type="paragraph" w:styleId="5">
    <w:name w:val="heading 4"/>
    <w:basedOn w:val="1"/>
    <w:next w:val="1"/>
    <w:link w:val="50"/>
    <w:qFormat/>
    <w:uiPriority w:val="0"/>
    <w:pPr>
      <w:keepNext/>
      <w:keepLines/>
      <w:numPr>
        <w:ilvl w:val="3"/>
        <w:numId w:val="1"/>
      </w:numPr>
      <w:spacing w:before="280" w:after="290" w:line="376" w:lineRule="auto"/>
      <w:outlineLvl w:val="3"/>
    </w:pPr>
    <w:rPr>
      <w:rFonts w:ascii="Arial" w:hAnsi="Arial" w:eastAsia="黑体" w:cs="Times New Roman"/>
      <w:b/>
      <w:bCs/>
      <w:sz w:val="28"/>
      <w:szCs w:val="28"/>
    </w:rPr>
  </w:style>
  <w:style w:type="paragraph" w:styleId="6">
    <w:name w:val="heading 5"/>
    <w:basedOn w:val="1"/>
    <w:next w:val="1"/>
    <w:link w:val="51"/>
    <w:qFormat/>
    <w:uiPriority w:val="0"/>
    <w:pPr>
      <w:keepNext/>
      <w:keepLines/>
      <w:numPr>
        <w:ilvl w:val="4"/>
        <w:numId w:val="1"/>
      </w:numPr>
      <w:spacing w:before="280" w:after="290" w:line="376" w:lineRule="auto"/>
      <w:outlineLvl w:val="4"/>
    </w:pPr>
    <w:rPr>
      <w:rFonts w:ascii="Times New Roman" w:hAnsi="Times New Roman" w:eastAsia="宋体" w:cs="Times New Roman"/>
      <w:b/>
      <w:bCs/>
      <w:sz w:val="28"/>
      <w:szCs w:val="28"/>
    </w:rPr>
  </w:style>
  <w:style w:type="paragraph" w:styleId="7">
    <w:name w:val="heading 6"/>
    <w:basedOn w:val="1"/>
    <w:next w:val="1"/>
    <w:link w:val="52"/>
    <w:qFormat/>
    <w:uiPriority w:val="0"/>
    <w:pPr>
      <w:keepNext/>
      <w:keepLines/>
      <w:numPr>
        <w:ilvl w:val="5"/>
        <w:numId w:val="1"/>
      </w:numPr>
      <w:spacing w:before="240" w:after="64" w:line="320" w:lineRule="auto"/>
      <w:outlineLvl w:val="5"/>
    </w:pPr>
    <w:rPr>
      <w:rFonts w:ascii="Arial" w:hAnsi="Arial" w:eastAsia="黑体" w:cs="Times New Roman"/>
      <w:b/>
      <w:bCs/>
      <w:sz w:val="24"/>
      <w:szCs w:val="24"/>
    </w:rPr>
  </w:style>
  <w:style w:type="paragraph" w:styleId="8">
    <w:name w:val="heading 7"/>
    <w:basedOn w:val="1"/>
    <w:next w:val="1"/>
    <w:link w:val="53"/>
    <w:qFormat/>
    <w:uiPriority w:val="0"/>
    <w:pPr>
      <w:keepNext/>
      <w:keepLines/>
      <w:numPr>
        <w:ilvl w:val="6"/>
        <w:numId w:val="1"/>
      </w:numPr>
      <w:spacing w:before="240" w:after="64" w:line="320" w:lineRule="auto"/>
      <w:outlineLvl w:val="6"/>
    </w:pPr>
    <w:rPr>
      <w:rFonts w:ascii="Times New Roman" w:hAnsi="Times New Roman" w:eastAsia="宋体" w:cs="Times New Roman"/>
      <w:b/>
      <w:bCs/>
      <w:sz w:val="24"/>
      <w:szCs w:val="24"/>
    </w:rPr>
  </w:style>
  <w:style w:type="paragraph" w:styleId="9">
    <w:name w:val="heading 8"/>
    <w:basedOn w:val="1"/>
    <w:next w:val="1"/>
    <w:link w:val="54"/>
    <w:qFormat/>
    <w:uiPriority w:val="0"/>
    <w:pPr>
      <w:keepNext/>
      <w:keepLines/>
      <w:numPr>
        <w:ilvl w:val="7"/>
        <w:numId w:val="1"/>
      </w:numPr>
      <w:spacing w:before="240" w:after="64" w:line="320" w:lineRule="auto"/>
      <w:outlineLvl w:val="7"/>
    </w:pPr>
    <w:rPr>
      <w:rFonts w:ascii="Arial" w:hAnsi="Arial" w:eastAsia="黑体" w:cs="Times New Roman"/>
      <w:sz w:val="24"/>
      <w:szCs w:val="24"/>
    </w:rPr>
  </w:style>
  <w:style w:type="paragraph" w:styleId="10">
    <w:name w:val="heading 9"/>
    <w:basedOn w:val="1"/>
    <w:next w:val="1"/>
    <w:link w:val="55"/>
    <w:qFormat/>
    <w:uiPriority w:val="0"/>
    <w:pPr>
      <w:keepNext/>
      <w:keepLines/>
      <w:numPr>
        <w:ilvl w:val="8"/>
        <w:numId w:val="1"/>
      </w:numPr>
      <w:spacing w:before="240" w:after="64" w:line="320" w:lineRule="auto"/>
      <w:outlineLvl w:val="8"/>
    </w:pPr>
    <w:rPr>
      <w:rFonts w:ascii="Arial" w:hAnsi="Arial" w:eastAsia="黑体" w:cs="Times New Roman"/>
      <w:szCs w:val="21"/>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11">
    <w:name w:val="toc 7"/>
    <w:basedOn w:val="12"/>
    <w:next w:val="1"/>
    <w:qFormat/>
    <w:uiPriority w:val="39"/>
  </w:style>
  <w:style w:type="paragraph" w:styleId="12">
    <w:name w:val="toc 6"/>
    <w:basedOn w:val="13"/>
    <w:next w:val="1"/>
    <w:qFormat/>
    <w:uiPriority w:val="39"/>
  </w:style>
  <w:style w:type="paragraph" w:styleId="13">
    <w:name w:val="toc 5"/>
    <w:basedOn w:val="14"/>
    <w:next w:val="1"/>
    <w:qFormat/>
    <w:uiPriority w:val="39"/>
  </w:style>
  <w:style w:type="paragraph" w:styleId="14">
    <w:name w:val="toc 4"/>
    <w:basedOn w:val="15"/>
    <w:next w:val="1"/>
    <w:qFormat/>
    <w:uiPriority w:val="39"/>
  </w:style>
  <w:style w:type="paragraph" w:styleId="15">
    <w:name w:val="toc 3"/>
    <w:basedOn w:val="16"/>
    <w:next w:val="1"/>
    <w:qFormat/>
    <w:uiPriority w:val="39"/>
  </w:style>
  <w:style w:type="paragraph" w:styleId="16">
    <w:name w:val="toc 2"/>
    <w:basedOn w:val="17"/>
    <w:next w:val="1"/>
    <w:qFormat/>
    <w:uiPriority w:val="39"/>
  </w:style>
  <w:style w:type="paragraph" w:styleId="17">
    <w:name w:val="toc 1"/>
    <w:next w:val="1"/>
    <w:qFormat/>
    <w:uiPriority w:val="39"/>
    <w:pPr>
      <w:jc w:val="both"/>
    </w:pPr>
    <w:rPr>
      <w:rFonts w:ascii="宋体" w:hAnsi="Times New Roman" w:eastAsia="宋体" w:cs="Times New Roman"/>
      <w:sz w:val="21"/>
      <w:lang w:val="en-US" w:eastAsia="zh-CN" w:bidi="ar-SA"/>
    </w:rPr>
  </w:style>
  <w:style w:type="paragraph" w:styleId="18">
    <w:name w:val="Body Text"/>
    <w:basedOn w:val="1"/>
    <w:qFormat/>
    <w:uiPriority w:val="1"/>
    <w:rPr>
      <w:szCs w:val="21"/>
    </w:rPr>
  </w:style>
  <w:style w:type="paragraph" w:styleId="19">
    <w:name w:val="HTML Address"/>
    <w:basedOn w:val="1"/>
    <w:link w:val="56"/>
    <w:qFormat/>
    <w:uiPriority w:val="0"/>
    <w:pPr>
      <w:tabs>
        <w:tab w:val="left" w:pos="360"/>
      </w:tabs>
    </w:pPr>
    <w:rPr>
      <w:rFonts w:ascii="Times New Roman" w:hAnsi="Times New Roman" w:eastAsia="宋体" w:cs="Times New Roman"/>
      <w:i/>
      <w:iCs/>
      <w:szCs w:val="24"/>
    </w:rPr>
  </w:style>
  <w:style w:type="paragraph" w:styleId="20">
    <w:name w:val="Plain Text"/>
    <w:basedOn w:val="1"/>
    <w:link w:val="119"/>
    <w:qFormat/>
    <w:uiPriority w:val="0"/>
    <w:pPr>
      <w:tabs>
        <w:tab w:val="left" w:pos="360"/>
        <w:tab w:val="left" w:pos="1140"/>
      </w:tabs>
    </w:pPr>
    <w:rPr>
      <w:rFonts w:ascii="宋体" w:hAnsi="Courier New" w:eastAsia="宋体" w:cs="Times New Roman"/>
      <w:szCs w:val="20"/>
    </w:rPr>
  </w:style>
  <w:style w:type="paragraph" w:styleId="21">
    <w:name w:val="toc 8"/>
    <w:basedOn w:val="11"/>
    <w:next w:val="1"/>
    <w:qFormat/>
    <w:uiPriority w:val="39"/>
  </w:style>
  <w:style w:type="paragraph" w:styleId="22">
    <w:name w:val="Date"/>
    <w:basedOn w:val="1"/>
    <w:next w:val="1"/>
    <w:link w:val="116"/>
    <w:qFormat/>
    <w:uiPriority w:val="0"/>
    <w:pPr>
      <w:tabs>
        <w:tab w:val="left" w:pos="360"/>
      </w:tabs>
      <w:ind w:left="100" w:leftChars="2500"/>
    </w:pPr>
    <w:rPr>
      <w:rFonts w:ascii="Times New Roman" w:hAnsi="Times New Roman" w:eastAsia="宋体" w:cs="Times New Roman"/>
      <w:szCs w:val="24"/>
    </w:rPr>
  </w:style>
  <w:style w:type="paragraph" w:styleId="23">
    <w:name w:val="Balloon Text"/>
    <w:basedOn w:val="1"/>
    <w:link w:val="121"/>
    <w:qFormat/>
    <w:uiPriority w:val="0"/>
    <w:pPr>
      <w:tabs>
        <w:tab w:val="left" w:pos="360"/>
      </w:tabs>
    </w:pPr>
    <w:rPr>
      <w:rFonts w:ascii="Times New Roman" w:hAnsi="Times New Roman" w:eastAsia="宋体" w:cs="Times New Roman"/>
      <w:sz w:val="18"/>
      <w:szCs w:val="18"/>
    </w:rPr>
  </w:style>
  <w:style w:type="paragraph" w:styleId="24">
    <w:name w:val="footer"/>
    <w:basedOn w:val="1"/>
    <w:link w:val="46"/>
    <w:unhideWhenUsed/>
    <w:qFormat/>
    <w:uiPriority w:val="99"/>
    <w:pPr>
      <w:tabs>
        <w:tab w:val="center" w:pos="4153"/>
        <w:tab w:val="right" w:pos="8306"/>
      </w:tabs>
      <w:snapToGrid w:val="0"/>
      <w:jc w:val="left"/>
    </w:pPr>
    <w:rPr>
      <w:sz w:val="18"/>
      <w:szCs w:val="18"/>
    </w:rPr>
  </w:style>
  <w:style w:type="paragraph" w:styleId="25">
    <w:name w:val="header"/>
    <w:basedOn w:val="1"/>
    <w:link w:val="45"/>
    <w:unhideWhenUsed/>
    <w:qFormat/>
    <w:uiPriority w:val="0"/>
    <w:pPr>
      <w:pBdr>
        <w:bottom w:val="single" w:color="auto" w:sz="6" w:space="1"/>
      </w:pBdr>
      <w:tabs>
        <w:tab w:val="center" w:pos="4153"/>
        <w:tab w:val="right" w:pos="8306"/>
      </w:tabs>
      <w:snapToGrid w:val="0"/>
      <w:jc w:val="center"/>
    </w:pPr>
    <w:rPr>
      <w:sz w:val="18"/>
      <w:szCs w:val="18"/>
    </w:rPr>
  </w:style>
  <w:style w:type="paragraph" w:styleId="26">
    <w:name w:val="footnote text"/>
    <w:basedOn w:val="1"/>
    <w:link w:val="95"/>
    <w:semiHidden/>
    <w:qFormat/>
    <w:uiPriority w:val="0"/>
    <w:pPr>
      <w:tabs>
        <w:tab w:val="left" w:pos="360"/>
      </w:tabs>
      <w:snapToGrid w:val="0"/>
      <w:jc w:val="left"/>
    </w:pPr>
    <w:rPr>
      <w:rFonts w:ascii="Times New Roman" w:hAnsi="Times New Roman" w:eastAsia="宋体" w:cs="Times New Roman"/>
      <w:sz w:val="18"/>
      <w:szCs w:val="18"/>
    </w:rPr>
  </w:style>
  <w:style w:type="paragraph" w:styleId="27">
    <w:name w:val="toc 9"/>
    <w:basedOn w:val="21"/>
    <w:next w:val="1"/>
    <w:qFormat/>
    <w:uiPriority w:val="39"/>
  </w:style>
  <w:style w:type="paragraph" w:styleId="28">
    <w:name w:val="HTML Preformatted"/>
    <w:basedOn w:val="1"/>
    <w:link w:val="57"/>
    <w:qFormat/>
    <w:uiPriority w:val="0"/>
    <w:pPr>
      <w:tabs>
        <w:tab w:val="left" w:pos="360"/>
      </w:tabs>
    </w:pPr>
    <w:rPr>
      <w:rFonts w:ascii="Courier New" w:hAnsi="Courier New" w:eastAsia="宋体" w:cs="Courier New"/>
      <w:sz w:val="20"/>
      <w:szCs w:val="20"/>
    </w:rPr>
  </w:style>
  <w:style w:type="paragraph" w:styleId="29">
    <w:name w:val="Title"/>
    <w:basedOn w:val="1"/>
    <w:link w:val="58"/>
    <w:qFormat/>
    <w:uiPriority w:val="0"/>
    <w:pPr>
      <w:tabs>
        <w:tab w:val="left" w:pos="360"/>
      </w:tabs>
      <w:spacing w:before="240" w:after="60"/>
      <w:jc w:val="center"/>
      <w:outlineLvl w:val="0"/>
    </w:pPr>
    <w:rPr>
      <w:rFonts w:ascii="Arial" w:hAnsi="Arial" w:eastAsia="宋体" w:cs="Arial"/>
      <w:b/>
      <w:bCs/>
      <w:sz w:val="32"/>
      <w:szCs w:val="32"/>
    </w:rPr>
  </w:style>
  <w:style w:type="table" w:styleId="31">
    <w:name w:val="Table Grid"/>
    <w:basedOn w:val="30"/>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3">
    <w:name w:val="page number"/>
    <w:basedOn w:val="32"/>
    <w:qFormat/>
    <w:uiPriority w:val="0"/>
    <w:rPr>
      <w:rFonts w:ascii="Times New Roman" w:hAnsi="Times New Roman" w:eastAsia="宋体"/>
      <w:sz w:val="18"/>
    </w:rPr>
  </w:style>
  <w:style w:type="character" w:styleId="34">
    <w:name w:val="FollowedHyperlink"/>
    <w:basedOn w:val="32"/>
    <w:qFormat/>
    <w:uiPriority w:val="0"/>
    <w:rPr>
      <w:color w:val="800080"/>
      <w:u w:val="single"/>
    </w:rPr>
  </w:style>
  <w:style w:type="character" w:styleId="35">
    <w:name w:val="HTML Definition"/>
    <w:basedOn w:val="32"/>
    <w:qFormat/>
    <w:uiPriority w:val="0"/>
    <w:rPr>
      <w:i/>
      <w:iCs/>
    </w:rPr>
  </w:style>
  <w:style w:type="character" w:styleId="36">
    <w:name w:val="HTML Typewriter"/>
    <w:basedOn w:val="32"/>
    <w:qFormat/>
    <w:uiPriority w:val="0"/>
    <w:rPr>
      <w:rFonts w:ascii="Courier New" w:hAnsi="Courier New"/>
      <w:sz w:val="20"/>
      <w:szCs w:val="20"/>
    </w:rPr>
  </w:style>
  <w:style w:type="character" w:styleId="37">
    <w:name w:val="HTML Acronym"/>
    <w:basedOn w:val="32"/>
    <w:qFormat/>
    <w:uiPriority w:val="0"/>
  </w:style>
  <w:style w:type="character" w:styleId="38">
    <w:name w:val="HTML Variable"/>
    <w:basedOn w:val="32"/>
    <w:qFormat/>
    <w:uiPriority w:val="0"/>
    <w:rPr>
      <w:i/>
      <w:iCs/>
    </w:rPr>
  </w:style>
  <w:style w:type="character" w:styleId="39">
    <w:name w:val="Hyperlink"/>
    <w:basedOn w:val="32"/>
    <w:qFormat/>
    <w:uiPriority w:val="99"/>
    <w:rPr>
      <w:rFonts w:ascii="Times New Roman" w:hAnsi="Times New Roman" w:eastAsia="宋体"/>
      <w:color w:val="auto"/>
      <w:spacing w:val="0"/>
      <w:w w:val="100"/>
      <w:position w:val="0"/>
      <w:sz w:val="21"/>
      <w:u w:val="none"/>
      <w:vertAlign w:val="baseline"/>
    </w:rPr>
  </w:style>
  <w:style w:type="character" w:styleId="40">
    <w:name w:val="HTML Code"/>
    <w:basedOn w:val="32"/>
    <w:qFormat/>
    <w:uiPriority w:val="0"/>
    <w:rPr>
      <w:rFonts w:ascii="Courier New" w:hAnsi="Courier New"/>
      <w:sz w:val="20"/>
      <w:szCs w:val="20"/>
    </w:rPr>
  </w:style>
  <w:style w:type="character" w:styleId="41">
    <w:name w:val="HTML Cite"/>
    <w:basedOn w:val="32"/>
    <w:qFormat/>
    <w:uiPriority w:val="0"/>
    <w:rPr>
      <w:i/>
      <w:iCs/>
    </w:rPr>
  </w:style>
  <w:style w:type="character" w:styleId="42">
    <w:name w:val="footnote reference"/>
    <w:basedOn w:val="32"/>
    <w:semiHidden/>
    <w:qFormat/>
    <w:uiPriority w:val="0"/>
    <w:rPr>
      <w:vertAlign w:val="superscript"/>
    </w:rPr>
  </w:style>
  <w:style w:type="character" w:styleId="43">
    <w:name w:val="HTML Keyboard"/>
    <w:basedOn w:val="32"/>
    <w:qFormat/>
    <w:uiPriority w:val="0"/>
    <w:rPr>
      <w:rFonts w:ascii="Courier New" w:hAnsi="Courier New"/>
      <w:sz w:val="20"/>
      <w:szCs w:val="20"/>
    </w:rPr>
  </w:style>
  <w:style w:type="character" w:styleId="44">
    <w:name w:val="HTML Sample"/>
    <w:basedOn w:val="32"/>
    <w:qFormat/>
    <w:uiPriority w:val="0"/>
    <w:rPr>
      <w:rFonts w:ascii="Courier New" w:hAnsi="Courier New"/>
    </w:rPr>
  </w:style>
  <w:style w:type="character" w:customStyle="1" w:styleId="45">
    <w:name w:val="页眉 Char"/>
    <w:basedOn w:val="32"/>
    <w:link w:val="25"/>
    <w:qFormat/>
    <w:uiPriority w:val="0"/>
    <w:rPr>
      <w:sz w:val="18"/>
      <w:szCs w:val="18"/>
    </w:rPr>
  </w:style>
  <w:style w:type="character" w:customStyle="1" w:styleId="46">
    <w:name w:val="页脚 Char"/>
    <w:basedOn w:val="32"/>
    <w:link w:val="24"/>
    <w:qFormat/>
    <w:uiPriority w:val="99"/>
    <w:rPr>
      <w:sz w:val="18"/>
      <w:szCs w:val="18"/>
    </w:rPr>
  </w:style>
  <w:style w:type="character" w:customStyle="1" w:styleId="47">
    <w:name w:val="标题 1 Char"/>
    <w:basedOn w:val="32"/>
    <w:link w:val="2"/>
    <w:qFormat/>
    <w:uiPriority w:val="0"/>
    <w:rPr>
      <w:rFonts w:ascii="Times New Roman" w:hAnsi="Times New Roman" w:eastAsia="宋体" w:cs="Times New Roman"/>
      <w:b/>
      <w:bCs/>
      <w:kern w:val="44"/>
      <w:sz w:val="44"/>
      <w:szCs w:val="44"/>
    </w:rPr>
  </w:style>
  <w:style w:type="character" w:customStyle="1" w:styleId="48">
    <w:name w:val="标题 2 Char"/>
    <w:basedOn w:val="32"/>
    <w:link w:val="3"/>
    <w:qFormat/>
    <w:uiPriority w:val="0"/>
    <w:rPr>
      <w:rFonts w:ascii="Arial" w:hAnsi="Arial" w:eastAsia="黑体" w:cs="Times New Roman"/>
      <w:b/>
      <w:bCs/>
      <w:sz w:val="32"/>
      <w:szCs w:val="32"/>
    </w:rPr>
  </w:style>
  <w:style w:type="character" w:customStyle="1" w:styleId="49">
    <w:name w:val="标题 3 Char"/>
    <w:basedOn w:val="32"/>
    <w:link w:val="4"/>
    <w:qFormat/>
    <w:uiPriority w:val="0"/>
    <w:rPr>
      <w:rFonts w:ascii="Times New Roman" w:hAnsi="Times New Roman" w:eastAsia="宋体" w:cs="Times New Roman"/>
      <w:b/>
      <w:bCs/>
      <w:sz w:val="32"/>
      <w:szCs w:val="32"/>
    </w:rPr>
  </w:style>
  <w:style w:type="character" w:customStyle="1" w:styleId="50">
    <w:name w:val="标题 4 Char"/>
    <w:basedOn w:val="32"/>
    <w:link w:val="5"/>
    <w:qFormat/>
    <w:uiPriority w:val="0"/>
    <w:rPr>
      <w:rFonts w:ascii="Arial" w:hAnsi="Arial" w:eastAsia="黑体" w:cs="Times New Roman"/>
      <w:b/>
      <w:bCs/>
      <w:sz w:val="28"/>
      <w:szCs w:val="28"/>
    </w:rPr>
  </w:style>
  <w:style w:type="character" w:customStyle="1" w:styleId="51">
    <w:name w:val="标题 5 Char"/>
    <w:basedOn w:val="32"/>
    <w:link w:val="6"/>
    <w:qFormat/>
    <w:uiPriority w:val="0"/>
    <w:rPr>
      <w:rFonts w:ascii="Times New Roman" w:hAnsi="Times New Roman" w:eastAsia="宋体" w:cs="Times New Roman"/>
      <w:b/>
      <w:bCs/>
      <w:sz w:val="28"/>
      <w:szCs w:val="28"/>
    </w:rPr>
  </w:style>
  <w:style w:type="character" w:customStyle="1" w:styleId="52">
    <w:name w:val="标题 6 Char"/>
    <w:basedOn w:val="32"/>
    <w:link w:val="7"/>
    <w:qFormat/>
    <w:uiPriority w:val="0"/>
    <w:rPr>
      <w:rFonts w:ascii="Arial" w:hAnsi="Arial" w:eastAsia="黑体" w:cs="Times New Roman"/>
      <w:b/>
      <w:bCs/>
      <w:sz w:val="24"/>
      <w:szCs w:val="24"/>
    </w:rPr>
  </w:style>
  <w:style w:type="character" w:customStyle="1" w:styleId="53">
    <w:name w:val="标题 7 Char"/>
    <w:basedOn w:val="32"/>
    <w:link w:val="8"/>
    <w:qFormat/>
    <w:uiPriority w:val="0"/>
    <w:rPr>
      <w:rFonts w:ascii="Times New Roman" w:hAnsi="Times New Roman" w:eastAsia="宋体" w:cs="Times New Roman"/>
      <w:b/>
      <w:bCs/>
      <w:sz w:val="24"/>
      <w:szCs w:val="24"/>
    </w:rPr>
  </w:style>
  <w:style w:type="character" w:customStyle="1" w:styleId="54">
    <w:name w:val="标题 8 Char"/>
    <w:basedOn w:val="32"/>
    <w:link w:val="9"/>
    <w:qFormat/>
    <w:uiPriority w:val="0"/>
    <w:rPr>
      <w:rFonts w:ascii="Arial" w:hAnsi="Arial" w:eastAsia="黑体" w:cs="Times New Roman"/>
      <w:sz w:val="24"/>
      <w:szCs w:val="24"/>
    </w:rPr>
  </w:style>
  <w:style w:type="character" w:customStyle="1" w:styleId="55">
    <w:name w:val="标题 9 Char"/>
    <w:basedOn w:val="32"/>
    <w:link w:val="10"/>
    <w:qFormat/>
    <w:uiPriority w:val="0"/>
    <w:rPr>
      <w:rFonts w:ascii="Arial" w:hAnsi="Arial" w:eastAsia="黑体" w:cs="Times New Roman"/>
      <w:szCs w:val="21"/>
    </w:rPr>
  </w:style>
  <w:style w:type="character" w:customStyle="1" w:styleId="56">
    <w:name w:val="HTML 地址 Char"/>
    <w:basedOn w:val="32"/>
    <w:link w:val="19"/>
    <w:qFormat/>
    <w:uiPriority w:val="0"/>
    <w:rPr>
      <w:rFonts w:ascii="Times New Roman" w:hAnsi="Times New Roman" w:eastAsia="宋体" w:cs="Times New Roman"/>
      <w:i/>
      <w:iCs/>
      <w:szCs w:val="24"/>
    </w:rPr>
  </w:style>
  <w:style w:type="character" w:customStyle="1" w:styleId="57">
    <w:name w:val="HTML 预设格式 Char"/>
    <w:basedOn w:val="32"/>
    <w:link w:val="28"/>
    <w:qFormat/>
    <w:uiPriority w:val="0"/>
    <w:rPr>
      <w:rFonts w:ascii="Courier New" w:hAnsi="Courier New" w:eastAsia="宋体" w:cs="Courier New"/>
      <w:sz w:val="20"/>
      <w:szCs w:val="20"/>
    </w:rPr>
  </w:style>
  <w:style w:type="character" w:customStyle="1" w:styleId="58">
    <w:name w:val="标题 Char"/>
    <w:basedOn w:val="32"/>
    <w:link w:val="29"/>
    <w:qFormat/>
    <w:uiPriority w:val="0"/>
    <w:rPr>
      <w:rFonts w:ascii="Arial" w:hAnsi="Arial" w:eastAsia="宋体" w:cs="Arial"/>
      <w:b/>
      <w:bCs/>
      <w:sz w:val="32"/>
      <w:szCs w:val="32"/>
    </w:rPr>
  </w:style>
  <w:style w:type="paragraph" w:customStyle="1" w:styleId="5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6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61">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62">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63">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64">
    <w:name w:val="标准书眉_偶数页"/>
    <w:basedOn w:val="63"/>
    <w:next w:val="1"/>
    <w:qFormat/>
    <w:uiPriority w:val="0"/>
    <w:pPr>
      <w:jc w:val="left"/>
    </w:pPr>
  </w:style>
  <w:style w:type="paragraph" w:customStyle="1" w:styleId="65">
    <w:name w:val="标准书眉一"/>
    <w:qFormat/>
    <w:uiPriority w:val="0"/>
    <w:pPr>
      <w:jc w:val="both"/>
    </w:pPr>
    <w:rPr>
      <w:rFonts w:ascii="Times New Roman" w:hAnsi="Times New Roman" w:eastAsia="宋体" w:cs="Times New Roman"/>
      <w:lang w:val="en-US" w:eastAsia="zh-CN" w:bidi="ar-SA"/>
    </w:rPr>
  </w:style>
  <w:style w:type="paragraph" w:customStyle="1" w:styleId="66">
    <w:name w:val="前言、引言标题"/>
    <w:next w:val="1"/>
    <w:qFormat/>
    <w:uiPriority w:val="0"/>
    <w:pPr>
      <w:shd w:val="clear" w:color="FFFFFF" w:fill="FFFFFF"/>
      <w:spacing w:before="640" w:after="560"/>
      <w:ind w:left="425" w:hanging="425"/>
      <w:jc w:val="center"/>
      <w:outlineLvl w:val="0"/>
    </w:pPr>
    <w:rPr>
      <w:rFonts w:ascii="黑体" w:hAnsi="Times New Roman" w:eastAsia="黑体" w:cs="Times New Roman"/>
      <w:sz w:val="32"/>
      <w:lang w:val="en-US" w:eastAsia="zh-CN" w:bidi="ar-SA"/>
    </w:rPr>
  </w:style>
  <w:style w:type="paragraph" w:customStyle="1" w:styleId="67">
    <w:name w:val="参考文献、索引标题"/>
    <w:basedOn w:val="66"/>
    <w:next w:val="1"/>
    <w:qFormat/>
    <w:uiPriority w:val="0"/>
    <w:pPr>
      <w:spacing w:after="200"/>
      <w:ind w:left="0" w:firstLine="0"/>
    </w:pPr>
    <w:rPr>
      <w:sz w:val="21"/>
    </w:rPr>
  </w:style>
  <w:style w:type="paragraph" w:customStyle="1" w:styleId="68">
    <w:name w:val="段"/>
    <w:link w:val="120"/>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9">
    <w:name w:val="章标题"/>
    <w:next w:val="68"/>
    <w:qFormat/>
    <w:uiPriority w:val="0"/>
    <w:pPr>
      <w:spacing w:beforeLines="50" w:afterLines="50"/>
      <w:ind w:left="142"/>
      <w:jc w:val="both"/>
      <w:outlineLvl w:val="1"/>
    </w:pPr>
    <w:rPr>
      <w:rFonts w:ascii="黑体" w:hAnsi="Times New Roman" w:eastAsia="黑体" w:cs="Times New Roman"/>
      <w:sz w:val="21"/>
      <w:lang w:val="en-US" w:eastAsia="zh-CN" w:bidi="ar-SA"/>
    </w:rPr>
  </w:style>
  <w:style w:type="paragraph" w:customStyle="1" w:styleId="70">
    <w:name w:val="一级条标题"/>
    <w:next w:val="68"/>
    <w:qFormat/>
    <w:uiPriority w:val="0"/>
    <w:pPr>
      <w:ind w:left="709" w:hanging="709"/>
      <w:outlineLvl w:val="2"/>
    </w:pPr>
    <w:rPr>
      <w:rFonts w:ascii="Times New Roman" w:hAnsi="Times New Roman" w:eastAsia="黑体" w:cs="Times New Roman"/>
      <w:sz w:val="21"/>
      <w:lang w:val="en-US" w:eastAsia="zh-CN" w:bidi="ar-SA"/>
    </w:rPr>
  </w:style>
  <w:style w:type="paragraph" w:customStyle="1" w:styleId="71">
    <w:name w:val="二级条标题"/>
    <w:basedOn w:val="70"/>
    <w:next w:val="68"/>
    <w:qFormat/>
    <w:uiPriority w:val="0"/>
    <w:pPr>
      <w:outlineLvl w:val="3"/>
    </w:pPr>
  </w:style>
  <w:style w:type="character" w:customStyle="1" w:styleId="72">
    <w:name w:val="发布"/>
    <w:basedOn w:val="32"/>
    <w:qFormat/>
    <w:uiPriority w:val="0"/>
    <w:rPr>
      <w:rFonts w:ascii="黑体" w:eastAsia="黑体"/>
      <w:spacing w:val="22"/>
      <w:w w:val="100"/>
      <w:position w:val="3"/>
      <w:sz w:val="28"/>
    </w:rPr>
  </w:style>
  <w:style w:type="paragraph" w:customStyle="1" w:styleId="73">
    <w:name w:val="发布部门"/>
    <w:next w:val="68"/>
    <w:qFormat/>
    <w:uiPriority w:val="0"/>
    <w:pPr>
      <w:framePr w:w="7433" w:h="585" w:hRule="exact" w:hSpace="180" w:vSpace="180" w:wrap="around" w:vAnchor="margin" w:hAnchor="margin" w:xAlign="center" w:y="14401" w:anchorLock="1"/>
      <w:jc w:val="center"/>
    </w:pPr>
    <w:rPr>
      <w:rFonts w:ascii="宋体" w:hAnsi="Times New Roman" w:eastAsia="宋体" w:cs="Times New Roman"/>
      <w:b/>
      <w:spacing w:val="20"/>
      <w:w w:val="135"/>
      <w:sz w:val="36"/>
      <w:lang w:val="en-US" w:eastAsia="zh-CN" w:bidi="ar-SA"/>
    </w:rPr>
  </w:style>
  <w:style w:type="paragraph" w:customStyle="1" w:styleId="74">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75">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76">
    <w:name w:val="封面标准号2"/>
    <w:basedOn w:val="75"/>
    <w:qFormat/>
    <w:uiPriority w:val="0"/>
    <w:pPr>
      <w:framePr w:w="9138" w:h="1244" w:hRule="exact" w:wrap="around" w:vAnchor="page" w:hAnchor="margin" w:y="2908"/>
      <w:adjustRightInd w:val="0"/>
      <w:spacing w:before="357" w:line="280" w:lineRule="exact"/>
    </w:pPr>
  </w:style>
  <w:style w:type="paragraph" w:customStyle="1" w:styleId="77">
    <w:name w:val="封面标准代替信息"/>
    <w:basedOn w:val="76"/>
    <w:qFormat/>
    <w:uiPriority w:val="0"/>
    <w:pPr>
      <w:framePr w:wrap="around"/>
      <w:spacing w:before="57"/>
    </w:pPr>
    <w:rPr>
      <w:rFonts w:ascii="宋体"/>
      <w:sz w:val="21"/>
    </w:rPr>
  </w:style>
  <w:style w:type="paragraph" w:customStyle="1" w:styleId="78">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79">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80">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81">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82">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83">
    <w:name w:val="封面正文"/>
    <w:qFormat/>
    <w:uiPriority w:val="0"/>
    <w:pPr>
      <w:jc w:val="both"/>
    </w:pPr>
    <w:rPr>
      <w:rFonts w:ascii="Times New Roman" w:hAnsi="Times New Roman" w:eastAsia="宋体" w:cs="Times New Roman"/>
      <w:lang w:val="en-US" w:eastAsia="zh-CN" w:bidi="ar-SA"/>
    </w:rPr>
  </w:style>
  <w:style w:type="paragraph" w:customStyle="1" w:styleId="84">
    <w:name w:val="附录标识"/>
    <w:basedOn w:val="66"/>
    <w:qFormat/>
    <w:uiPriority w:val="0"/>
    <w:pPr>
      <w:tabs>
        <w:tab w:val="left" w:pos="6405"/>
      </w:tabs>
      <w:spacing w:after="200"/>
      <w:ind w:left="0" w:firstLine="0"/>
    </w:pPr>
    <w:rPr>
      <w:sz w:val="21"/>
    </w:rPr>
  </w:style>
  <w:style w:type="paragraph" w:customStyle="1" w:styleId="85">
    <w:name w:val="附录表标题"/>
    <w:next w:val="68"/>
    <w:qFormat/>
    <w:uiPriority w:val="0"/>
    <w:pPr>
      <w:numPr>
        <w:ilvl w:val="0"/>
        <w:numId w:val="2"/>
      </w:numPr>
      <w:jc w:val="center"/>
      <w:textAlignment w:val="baseline"/>
    </w:pPr>
    <w:rPr>
      <w:rFonts w:ascii="黑体" w:hAnsi="Times New Roman" w:eastAsia="黑体" w:cs="Times New Roman"/>
      <w:kern w:val="21"/>
      <w:sz w:val="21"/>
      <w:lang w:val="en-US" w:eastAsia="zh-CN" w:bidi="ar-SA"/>
    </w:rPr>
  </w:style>
  <w:style w:type="paragraph" w:customStyle="1" w:styleId="86">
    <w:name w:val="附录章标题"/>
    <w:next w:val="68"/>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7">
    <w:name w:val="附录一级条标题"/>
    <w:basedOn w:val="86"/>
    <w:next w:val="68"/>
    <w:qFormat/>
    <w:uiPriority w:val="0"/>
    <w:pPr>
      <w:numPr>
        <w:ilvl w:val="1"/>
        <w:numId w:val="3"/>
      </w:numPr>
      <w:autoSpaceDN w:val="0"/>
      <w:spacing w:beforeLines="0" w:afterLines="0"/>
      <w:outlineLvl w:val="2"/>
    </w:pPr>
  </w:style>
  <w:style w:type="paragraph" w:customStyle="1" w:styleId="88">
    <w:name w:val="附录二级条标题"/>
    <w:basedOn w:val="87"/>
    <w:next w:val="68"/>
    <w:qFormat/>
    <w:uiPriority w:val="0"/>
    <w:pPr>
      <w:numPr>
        <w:ilvl w:val="2"/>
      </w:numPr>
      <w:outlineLvl w:val="3"/>
    </w:pPr>
  </w:style>
  <w:style w:type="paragraph" w:customStyle="1" w:styleId="89">
    <w:name w:val="附录三级条标题"/>
    <w:basedOn w:val="88"/>
    <w:next w:val="68"/>
    <w:qFormat/>
    <w:uiPriority w:val="0"/>
    <w:pPr>
      <w:numPr>
        <w:ilvl w:val="3"/>
      </w:numPr>
      <w:outlineLvl w:val="4"/>
    </w:pPr>
  </w:style>
  <w:style w:type="paragraph" w:customStyle="1" w:styleId="90">
    <w:name w:val="附录四级条标题"/>
    <w:basedOn w:val="89"/>
    <w:next w:val="68"/>
    <w:qFormat/>
    <w:uiPriority w:val="0"/>
    <w:pPr>
      <w:numPr>
        <w:ilvl w:val="4"/>
      </w:numPr>
      <w:outlineLvl w:val="5"/>
    </w:pPr>
  </w:style>
  <w:style w:type="paragraph" w:customStyle="1" w:styleId="91">
    <w:name w:val="附录图标题"/>
    <w:next w:val="68"/>
    <w:qFormat/>
    <w:uiPriority w:val="0"/>
    <w:pPr>
      <w:numPr>
        <w:ilvl w:val="0"/>
        <w:numId w:val="4"/>
      </w:numPr>
      <w:jc w:val="center"/>
    </w:pPr>
    <w:rPr>
      <w:rFonts w:ascii="黑体" w:hAnsi="Times New Roman" w:eastAsia="黑体" w:cs="Times New Roman"/>
      <w:sz w:val="21"/>
      <w:lang w:val="en-US" w:eastAsia="zh-CN" w:bidi="ar-SA"/>
    </w:rPr>
  </w:style>
  <w:style w:type="paragraph" w:customStyle="1" w:styleId="92">
    <w:name w:val="附录五级条标题"/>
    <w:basedOn w:val="90"/>
    <w:next w:val="68"/>
    <w:qFormat/>
    <w:uiPriority w:val="0"/>
    <w:pPr>
      <w:numPr>
        <w:ilvl w:val="0"/>
        <w:numId w:val="0"/>
      </w:numPr>
      <w:outlineLvl w:val="6"/>
    </w:pPr>
  </w:style>
  <w:style w:type="character" w:customStyle="1" w:styleId="93">
    <w:name w:val="EmailStyle77"/>
    <w:basedOn w:val="32"/>
    <w:qFormat/>
    <w:uiPriority w:val="0"/>
    <w:rPr>
      <w:rFonts w:ascii="Arial" w:hAnsi="Arial" w:eastAsia="宋体" w:cs="Arial"/>
      <w:color w:val="auto"/>
      <w:sz w:val="20"/>
    </w:rPr>
  </w:style>
  <w:style w:type="character" w:customStyle="1" w:styleId="94">
    <w:name w:val="EmailStyle78"/>
    <w:basedOn w:val="32"/>
    <w:qFormat/>
    <w:uiPriority w:val="0"/>
    <w:rPr>
      <w:rFonts w:ascii="Arial" w:hAnsi="Arial" w:eastAsia="宋体" w:cs="Arial"/>
      <w:color w:val="auto"/>
      <w:sz w:val="20"/>
    </w:rPr>
  </w:style>
  <w:style w:type="character" w:customStyle="1" w:styleId="95">
    <w:name w:val="脚注文本 Char"/>
    <w:basedOn w:val="32"/>
    <w:link w:val="26"/>
    <w:semiHidden/>
    <w:qFormat/>
    <w:uiPriority w:val="0"/>
    <w:rPr>
      <w:rFonts w:ascii="Times New Roman" w:hAnsi="Times New Roman" w:eastAsia="宋体" w:cs="Times New Roman"/>
      <w:sz w:val="18"/>
      <w:szCs w:val="18"/>
    </w:rPr>
  </w:style>
  <w:style w:type="paragraph" w:customStyle="1" w:styleId="96">
    <w:name w:val="列项——（一级）"/>
    <w:qFormat/>
    <w:uiPriority w:val="0"/>
    <w:pPr>
      <w:widowControl w:val="0"/>
      <w:numPr>
        <w:ilvl w:val="0"/>
        <w:numId w:val="5"/>
      </w:numPr>
      <w:jc w:val="both"/>
    </w:pPr>
    <w:rPr>
      <w:rFonts w:ascii="宋体" w:hAnsi="Times New Roman" w:eastAsia="宋体" w:cs="Times New Roman"/>
      <w:sz w:val="21"/>
      <w:lang w:val="en-US" w:eastAsia="zh-CN" w:bidi="ar-SA"/>
    </w:rPr>
  </w:style>
  <w:style w:type="paragraph" w:customStyle="1" w:styleId="97">
    <w:name w:val="列项●（二级）"/>
    <w:qFormat/>
    <w:uiPriority w:val="0"/>
    <w:pPr>
      <w:numPr>
        <w:ilvl w:val="0"/>
        <w:numId w:val="6"/>
      </w:numPr>
      <w:tabs>
        <w:tab w:val="left" w:pos="840"/>
      </w:tabs>
      <w:jc w:val="both"/>
    </w:pPr>
    <w:rPr>
      <w:rFonts w:ascii="宋体" w:hAnsi="Times New Roman" w:eastAsia="宋体" w:cs="Times New Roman"/>
      <w:sz w:val="21"/>
      <w:lang w:val="en-US" w:eastAsia="zh-CN" w:bidi="ar-SA"/>
    </w:rPr>
  </w:style>
  <w:style w:type="paragraph" w:customStyle="1" w:styleId="98">
    <w:name w:val="目次、标准名称标题"/>
    <w:basedOn w:val="66"/>
    <w:next w:val="68"/>
    <w:qFormat/>
    <w:uiPriority w:val="0"/>
    <w:pPr>
      <w:spacing w:line="460" w:lineRule="exact"/>
      <w:ind w:left="0" w:firstLine="0"/>
    </w:pPr>
  </w:style>
  <w:style w:type="paragraph" w:customStyle="1" w:styleId="99">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0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01">
    <w:name w:val="其他发布部门"/>
    <w:basedOn w:val="73"/>
    <w:qFormat/>
    <w:uiPriority w:val="0"/>
    <w:pPr>
      <w:framePr w:wrap="around"/>
      <w:spacing w:line="0" w:lineRule="atLeast"/>
    </w:pPr>
    <w:rPr>
      <w:rFonts w:ascii="黑体" w:eastAsia="黑体"/>
      <w:b w:val="0"/>
    </w:rPr>
  </w:style>
  <w:style w:type="paragraph" w:customStyle="1" w:styleId="102">
    <w:name w:val="三级条标题"/>
    <w:basedOn w:val="71"/>
    <w:next w:val="68"/>
    <w:qFormat/>
    <w:uiPriority w:val="0"/>
    <w:pPr>
      <w:outlineLvl w:val="4"/>
    </w:pPr>
  </w:style>
  <w:style w:type="paragraph" w:customStyle="1" w:styleId="103">
    <w:name w:val="实施日期"/>
    <w:basedOn w:val="74"/>
    <w:qFormat/>
    <w:uiPriority w:val="0"/>
    <w:pPr>
      <w:framePr w:hSpace="0" w:wrap="around" w:xAlign="right"/>
      <w:ind w:left="3544" w:hanging="992"/>
      <w:jc w:val="right"/>
    </w:pPr>
  </w:style>
  <w:style w:type="paragraph" w:customStyle="1" w:styleId="104">
    <w:name w:val="示例"/>
    <w:next w:val="68"/>
    <w:qFormat/>
    <w:uiPriority w:val="0"/>
    <w:pPr>
      <w:jc w:val="both"/>
    </w:pPr>
    <w:rPr>
      <w:rFonts w:ascii="宋体" w:hAnsi="Times New Roman" w:eastAsia="宋体" w:cs="Times New Roman"/>
      <w:sz w:val="18"/>
      <w:lang w:val="en-US" w:eastAsia="zh-CN" w:bidi="ar-SA"/>
    </w:rPr>
  </w:style>
  <w:style w:type="paragraph" w:customStyle="1" w:styleId="105">
    <w:name w:val="数字编号列项（二级）"/>
    <w:qFormat/>
    <w:uiPriority w:val="0"/>
    <w:pPr>
      <w:ind w:left="1260" w:leftChars="400" w:hanging="420" w:hangingChars="200"/>
      <w:jc w:val="both"/>
    </w:pPr>
    <w:rPr>
      <w:rFonts w:ascii="宋体" w:hAnsi="Times New Roman" w:eastAsia="宋体" w:cs="Times New Roman"/>
      <w:sz w:val="21"/>
      <w:lang w:val="en-US" w:eastAsia="zh-CN" w:bidi="ar-SA"/>
    </w:rPr>
  </w:style>
  <w:style w:type="paragraph" w:customStyle="1" w:styleId="106">
    <w:name w:val="四级条标题"/>
    <w:basedOn w:val="102"/>
    <w:next w:val="68"/>
    <w:qFormat/>
    <w:uiPriority w:val="0"/>
    <w:pPr>
      <w:numPr>
        <w:ilvl w:val="0"/>
        <w:numId w:val="7"/>
      </w:numPr>
      <w:outlineLvl w:val="5"/>
    </w:pPr>
  </w:style>
  <w:style w:type="paragraph" w:customStyle="1" w:styleId="107">
    <w:name w:val="条文脚注"/>
    <w:basedOn w:val="26"/>
    <w:qFormat/>
    <w:uiPriority w:val="0"/>
    <w:pPr>
      <w:tabs>
        <w:tab w:val="clear" w:pos="360"/>
      </w:tabs>
      <w:ind w:left="780" w:leftChars="200" w:hanging="360" w:hangingChars="200"/>
      <w:jc w:val="both"/>
    </w:pPr>
    <w:rPr>
      <w:rFonts w:ascii="宋体"/>
    </w:rPr>
  </w:style>
  <w:style w:type="paragraph" w:customStyle="1" w:styleId="108">
    <w:name w:val="图表脚注"/>
    <w:next w:val="68"/>
    <w:qFormat/>
    <w:uiPriority w:val="0"/>
    <w:pPr>
      <w:ind w:left="1134" w:hanging="1134"/>
      <w:jc w:val="both"/>
    </w:pPr>
    <w:rPr>
      <w:rFonts w:ascii="宋体" w:hAnsi="Times New Roman" w:eastAsia="宋体" w:cs="Times New Roman"/>
      <w:sz w:val="18"/>
      <w:lang w:val="en-US" w:eastAsia="zh-CN" w:bidi="ar-SA"/>
    </w:rPr>
  </w:style>
  <w:style w:type="paragraph" w:customStyle="1" w:styleId="109">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10">
    <w:name w:val="五级条标题"/>
    <w:basedOn w:val="106"/>
    <w:next w:val="68"/>
    <w:qFormat/>
    <w:uiPriority w:val="0"/>
    <w:pPr>
      <w:outlineLvl w:val="6"/>
    </w:pPr>
  </w:style>
  <w:style w:type="paragraph" w:customStyle="1" w:styleId="111">
    <w:name w:val="正文表标题"/>
    <w:next w:val="68"/>
    <w:qFormat/>
    <w:uiPriority w:val="0"/>
    <w:pPr>
      <w:jc w:val="center"/>
    </w:pPr>
    <w:rPr>
      <w:rFonts w:ascii="黑体" w:hAnsi="Times New Roman" w:eastAsia="黑体" w:cs="Times New Roman"/>
      <w:sz w:val="21"/>
      <w:lang w:val="en-US" w:eastAsia="zh-CN" w:bidi="ar-SA"/>
    </w:rPr>
  </w:style>
  <w:style w:type="paragraph" w:customStyle="1" w:styleId="112">
    <w:name w:val="正文图标题"/>
    <w:next w:val="68"/>
    <w:qFormat/>
    <w:uiPriority w:val="0"/>
    <w:pPr>
      <w:jc w:val="center"/>
    </w:pPr>
    <w:rPr>
      <w:rFonts w:ascii="黑体" w:hAnsi="Times New Roman" w:eastAsia="黑体" w:cs="Times New Roman"/>
      <w:sz w:val="21"/>
      <w:lang w:val="en-US" w:eastAsia="zh-CN" w:bidi="ar-SA"/>
    </w:rPr>
  </w:style>
  <w:style w:type="paragraph" w:customStyle="1" w:styleId="113">
    <w:name w:val="注："/>
    <w:next w:val="68"/>
    <w:qFormat/>
    <w:uiPriority w:val="0"/>
    <w:pPr>
      <w:widowControl w:val="0"/>
      <w:autoSpaceDE w:val="0"/>
      <w:autoSpaceDN w:val="0"/>
      <w:jc w:val="both"/>
    </w:pPr>
    <w:rPr>
      <w:rFonts w:ascii="宋体" w:hAnsi="Times New Roman" w:eastAsia="宋体" w:cs="Times New Roman"/>
      <w:sz w:val="18"/>
      <w:lang w:val="en-US" w:eastAsia="zh-CN" w:bidi="ar-SA"/>
    </w:rPr>
  </w:style>
  <w:style w:type="paragraph" w:customStyle="1" w:styleId="114">
    <w:name w:val="注×："/>
    <w:qFormat/>
    <w:uiPriority w:val="0"/>
    <w:pPr>
      <w:widowControl w:val="0"/>
      <w:tabs>
        <w:tab w:val="left" w:pos="630"/>
      </w:tabs>
      <w:autoSpaceDE w:val="0"/>
      <w:autoSpaceDN w:val="0"/>
      <w:jc w:val="both"/>
    </w:pPr>
    <w:rPr>
      <w:rFonts w:ascii="宋体" w:hAnsi="Times New Roman" w:eastAsia="宋体" w:cs="Times New Roman"/>
      <w:sz w:val="18"/>
      <w:lang w:val="en-US" w:eastAsia="zh-CN" w:bidi="ar-SA"/>
    </w:rPr>
  </w:style>
  <w:style w:type="paragraph" w:customStyle="1" w:styleId="115">
    <w:name w:val="字母编号列项（一级）"/>
    <w:qFormat/>
    <w:uiPriority w:val="0"/>
    <w:pPr>
      <w:ind w:left="840" w:leftChars="200" w:hanging="420" w:hangingChars="200"/>
      <w:jc w:val="both"/>
    </w:pPr>
    <w:rPr>
      <w:rFonts w:ascii="宋体" w:hAnsi="Times New Roman" w:eastAsia="宋体" w:cs="Times New Roman"/>
      <w:sz w:val="21"/>
      <w:lang w:val="en-US" w:eastAsia="zh-CN" w:bidi="ar-SA"/>
    </w:rPr>
  </w:style>
  <w:style w:type="character" w:customStyle="1" w:styleId="116">
    <w:name w:val="日期 Char"/>
    <w:basedOn w:val="32"/>
    <w:link w:val="22"/>
    <w:qFormat/>
    <w:uiPriority w:val="0"/>
    <w:rPr>
      <w:rFonts w:ascii="Times New Roman" w:hAnsi="Times New Roman" w:eastAsia="宋体" w:cs="Times New Roman"/>
      <w:szCs w:val="24"/>
    </w:rPr>
  </w:style>
  <w:style w:type="paragraph" w:customStyle="1" w:styleId="117">
    <w:name w:val="列项◆（三级）"/>
    <w:qFormat/>
    <w:uiPriority w:val="0"/>
    <w:pPr>
      <w:numPr>
        <w:ilvl w:val="0"/>
        <w:numId w:val="8"/>
      </w:numPr>
    </w:pPr>
    <w:rPr>
      <w:rFonts w:ascii="宋体" w:hAnsi="Times New Roman" w:eastAsia="宋体" w:cs="Times New Roman"/>
      <w:sz w:val="21"/>
      <w:lang w:val="en-US" w:eastAsia="zh-CN" w:bidi="ar-SA"/>
    </w:rPr>
  </w:style>
  <w:style w:type="paragraph" w:customStyle="1" w:styleId="118">
    <w:name w:val="编号列项（三级）"/>
    <w:qFormat/>
    <w:uiPriority w:val="0"/>
    <w:pPr>
      <w:ind w:left="800" w:leftChars="600" w:hanging="200" w:hangingChars="200"/>
    </w:pPr>
    <w:rPr>
      <w:rFonts w:ascii="宋体" w:hAnsi="Times New Roman" w:eastAsia="宋体" w:cs="Times New Roman"/>
      <w:sz w:val="21"/>
      <w:lang w:val="en-US" w:eastAsia="zh-CN" w:bidi="ar-SA"/>
    </w:rPr>
  </w:style>
  <w:style w:type="character" w:customStyle="1" w:styleId="119">
    <w:name w:val="纯文本 Char"/>
    <w:basedOn w:val="32"/>
    <w:link w:val="20"/>
    <w:qFormat/>
    <w:uiPriority w:val="0"/>
    <w:rPr>
      <w:rFonts w:ascii="宋体" w:hAnsi="Courier New" w:eastAsia="宋体" w:cs="Times New Roman"/>
      <w:szCs w:val="20"/>
    </w:rPr>
  </w:style>
  <w:style w:type="character" w:customStyle="1" w:styleId="120">
    <w:name w:val="段 Char"/>
    <w:basedOn w:val="32"/>
    <w:link w:val="68"/>
    <w:qFormat/>
    <w:uiPriority w:val="0"/>
    <w:rPr>
      <w:rFonts w:ascii="宋体" w:hAnsi="Times New Roman" w:eastAsia="宋体" w:cs="Times New Roman"/>
      <w:kern w:val="0"/>
      <w:szCs w:val="20"/>
    </w:rPr>
  </w:style>
  <w:style w:type="character" w:customStyle="1" w:styleId="121">
    <w:name w:val="批注框文本 Char"/>
    <w:basedOn w:val="32"/>
    <w:link w:val="23"/>
    <w:qFormat/>
    <w:uiPriority w:val="0"/>
    <w:rPr>
      <w:rFonts w:ascii="Times New Roman" w:hAnsi="Times New Roman" w:eastAsia="宋体" w:cs="Times New Roman"/>
      <w:sz w:val="18"/>
      <w:szCs w:val="18"/>
    </w:rPr>
  </w:style>
  <w:style w:type="character" w:customStyle="1" w:styleId="122">
    <w:name w:val="sh141"/>
    <w:basedOn w:val="32"/>
    <w:qFormat/>
    <w:uiPriority w:val="0"/>
    <w:rPr>
      <w:color w:val="2B2B2B"/>
      <w:sz w:val="19"/>
      <w:szCs w:val="19"/>
    </w:rPr>
  </w:style>
  <w:style w:type="paragraph" w:styleId="123">
    <w:name w:val="List Paragraph"/>
    <w:basedOn w:val="1"/>
    <w:qFormat/>
    <w:uiPriority w:val="34"/>
    <w:pPr>
      <w:ind w:firstLine="420" w:firstLineChars="200"/>
    </w:pPr>
  </w:style>
  <w:style w:type="paragraph" w:customStyle="1" w:styleId="124">
    <w:name w:val="TOC 标题1"/>
    <w:basedOn w:val="2"/>
    <w:next w:val="1"/>
    <w:unhideWhenUsed/>
    <w:qFormat/>
    <w:uiPriority w:val="39"/>
    <w:pPr>
      <w:widowControl/>
      <w:numPr>
        <w:numId w:val="0"/>
      </w:numPr>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125">
    <w:name w:val="Table Paragraph"/>
    <w:basedOn w:val="1"/>
    <w:qFormat/>
    <w:uiPriority w:val="1"/>
    <w:pPr>
      <w:widowControl/>
      <w:jc w:val="left"/>
    </w:pPr>
    <w:rPr>
      <w:rFonts w:cs="宋体"/>
      <w:kern w:val="0"/>
      <w:sz w:val="24"/>
      <w:szCs w:val="24"/>
    </w:rPr>
  </w:style>
  <w:style w:type="paragraph" w:customStyle="1" w:styleId="126">
    <w:name w:val="TOC Heading"/>
    <w:basedOn w:val="2"/>
    <w:next w:val="1"/>
    <w:unhideWhenUsed/>
    <w:qFormat/>
    <w:uiPriority w:val="39"/>
    <w:pPr>
      <w:widowControl/>
      <w:numPr>
        <w:numId w:val="0"/>
      </w:numPr>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styleId="127">
    <w:name w:val="Placeholder Text"/>
    <w:basedOn w:val="32"/>
    <w:unhideWhenUsed/>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3.png"/><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73"/>
    <customShpInfo spid="_x0000_s2066"/>
    <customShpInfo spid="_x0000_s2064"/>
    <customShpInfo spid="_x0000_s2059"/>
    <customShpInfo spid="_x0000_s2060"/>
    <customShpInfo spid="_x0000_s2055"/>
    <customShpInfo spid="_x0000_s2054"/>
    <customShpInfo spid="_x0000_s2052"/>
    <customShpInfo spid="_x0000_s2074"/>
    <customShpInfo spid="_x0000_s2078"/>
    <customShpInfo spid="_x0000_s2077"/>
    <customShpInfo spid="_x0000_s2051"/>
    <customShpInfo spid="_x0000_s205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96938ED-AF68-4770-BB50-19E45DE9C957}">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19</Pages>
  <Words>1946</Words>
  <Characters>11093</Characters>
  <Lines>92</Lines>
  <Paragraphs>26</Paragraphs>
  <TotalTime>4</TotalTime>
  <ScaleCrop>false</ScaleCrop>
  <LinksUpToDate>false</LinksUpToDate>
  <CharactersWithSpaces>13013</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2021-05-27T05:45:00Z</dcterms:created>
  <dc:creator>研发部_丁雄志</dc:creator>
  <cp:lastModifiedBy>赵星然</cp:lastModifiedBy>
  <cp:lastPrinted>2021-03-29T01:30:00Z</cp:lastPrinted>
  <dcterms:modified xsi:type="dcterms:W3CDTF">2021-06-29T01:30:07Z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E278E662C5EB486CA12ABDF03A0E4632</vt:lpwstr>
  </property>
</Properties>
</file>