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ind w:firstLine="640"/>
        <w:jc w:val="center"/>
        <w:rPr>
          <w:rFonts w:ascii="微软雅黑" w:hAnsi="微软雅黑" w:eastAsia="微软雅黑"/>
          <w:b/>
          <w:sz w:val="32"/>
          <w:szCs w:val="32"/>
        </w:rPr>
      </w:pPr>
      <w:bookmarkStart w:id="0" w:name="SectionMark0"/>
    </w:p>
    <w:p>
      <w:pPr>
        <w:spacing w:before="156" w:beforeLines="50" w:after="312" w:afterLines="100"/>
        <w:ind w:firstLine="0" w:firstLineChars="0"/>
        <w:jc w:val="center"/>
        <w:rPr>
          <w:rFonts w:ascii="黑体" w:hAnsi="黑体" w:eastAsia="黑体"/>
          <w:b/>
          <w:sz w:val="48"/>
          <w:szCs w:val="48"/>
        </w:rPr>
      </w:pPr>
      <w:r>
        <w:rPr>
          <w:rFonts w:hint="eastAsia" w:ascii="黑体" w:hAnsi="黑体" w:eastAsia="黑体"/>
          <w:sz w:val="48"/>
          <w:szCs w:val="48"/>
        </w:rPr>
        <w:t>《速冻巴沙鱼片、块》标准编制说明</w:t>
      </w:r>
    </w:p>
    <w:p>
      <w:pPr>
        <w:spacing w:before="156" w:beforeLines="50" w:after="312" w:afterLines="100"/>
        <w:ind w:firstLine="0" w:firstLineChars="0"/>
        <w:jc w:val="center"/>
        <w:rPr>
          <w:rFonts w:ascii="黑体" w:hAnsi="黑体" w:eastAsia="黑体"/>
          <w:sz w:val="36"/>
          <w:szCs w:val="36"/>
        </w:rPr>
      </w:pPr>
      <w:r>
        <w:rPr>
          <w:rFonts w:hint="eastAsia" w:ascii="黑体" w:hAnsi="黑体" w:eastAsia="黑体"/>
          <w:sz w:val="36"/>
          <w:szCs w:val="36"/>
        </w:rPr>
        <w:t>（</w:t>
      </w:r>
      <w:r>
        <w:rPr>
          <w:rFonts w:hint="eastAsia" w:ascii="黑体" w:hAnsi="黑体" w:eastAsia="黑体"/>
          <w:sz w:val="36"/>
          <w:szCs w:val="36"/>
          <w:lang w:val="en-US" w:eastAsia="zh-CN"/>
        </w:rPr>
        <w:t>征求意见稿</w:t>
      </w:r>
      <w:r>
        <w:rPr>
          <w:rFonts w:hint="eastAsia" w:ascii="黑体" w:hAnsi="黑体" w:eastAsia="黑体"/>
          <w:sz w:val="36"/>
          <w:szCs w:val="36"/>
        </w:rPr>
        <w:t>）</w:t>
      </w:r>
    </w:p>
    <w:p>
      <w:pPr>
        <w:spacing w:before="156" w:beforeLines="50" w:after="312" w:afterLines="100"/>
        <w:ind w:firstLine="0" w:firstLineChars="0"/>
        <w:jc w:val="center"/>
        <w:rPr>
          <w:rFonts w:ascii="微软雅黑" w:hAnsi="微软雅黑" w:eastAsia="微软雅黑"/>
          <w:b/>
          <w:sz w:val="32"/>
          <w:szCs w:val="32"/>
        </w:rPr>
      </w:pPr>
    </w:p>
    <w:p>
      <w:pPr>
        <w:spacing w:before="156" w:beforeLines="50" w:after="312" w:afterLines="100"/>
        <w:ind w:firstLine="640"/>
        <w:jc w:val="center"/>
        <w:rPr>
          <w:rFonts w:ascii="微软雅黑" w:hAnsi="微软雅黑" w:eastAsia="微软雅黑"/>
          <w:b/>
          <w:sz w:val="32"/>
          <w:szCs w:val="32"/>
        </w:rPr>
      </w:pPr>
    </w:p>
    <w:p>
      <w:pPr>
        <w:spacing w:before="156" w:beforeLines="50" w:after="312" w:afterLines="100"/>
        <w:ind w:firstLine="640"/>
        <w:jc w:val="center"/>
        <w:rPr>
          <w:rFonts w:ascii="微软雅黑" w:hAnsi="微软雅黑" w:eastAsia="微软雅黑"/>
          <w:b/>
          <w:sz w:val="32"/>
          <w:szCs w:val="32"/>
        </w:rPr>
      </w:pPr>
    </w:p>
    <w:p>
      <w:pPr>
        <w:spacing w:before="156" w:beforeLines="50" w:after="312" w:afterLines="100"/>
        <w:ind w:firstLine="640"/>
        <w:jc w:val="center"/>
        <w:rPr>
          <w:rFonts w:ascii="微软雅黑" w:hAnsi="微软雅黑" w:eastAsia="微软雅黑"/>
          <w:b/>
          <w:sz w:val="32"/>
          <w:szCs w:val="32"/>
        </w:rPr>
      </w:pPr>
    </w:p>
    <w:p>
      <w:pPr>
        <w:spacing w:before="156" w:beforeLines="50" w:after="312" w:afterLines="100"/>
        <w:ind w:firstLine="640"/>
        <w:jc w:val="center"/>
        <w:rPr>
          <w:rFonts w:ascii="微软雅黑" w:hAnsi="微软雅黑" w:eastAsia="微软雅黑"/>
          <w:b/>
          <w:sz w:val="32"/>
          <w:szCs w:val="32"/>
        </w:rPr>
      </w:pPr>
    </w:p>
    <w:p>
      <w:pPr>
        <w:spacing w:before="156" w:beforeLines="50" w:after="312" w:afterLines="100"/>
        <w:ind w:firstLine="640"/>
        <w:jc w:val="center"/>
        <w:rPr>
          <w:rFonts w:ascii="微软雅黑" w:hAnsi="微软雅黑" w:eastAsia="微软雅黑"/>
          <w:b/>
          <w:sz w:val="32"/>
          <w:szCs w:val="32"/>
        </w:rPr>
      </w:pPr>
    </w:p>
    <w:p>
      <w:pPr>
        <w:spacing w:before="156" w:beforeLines="50" w:after="312" w:afterLines="100"/>
        <w:ind w:firstLine="0" w:firstLineChars="0"/>
        <w:rPr>
          <w:rFonts w:ascii="微软雅黑" w:hAnsi="微软雅黑" w:eastAsia="微软雅黑"/>
          <w:b/>
          <w:sz w:val="32"/>
          <w:szCs w:val="32"/>
        </w:rPr>
      </w:pPr>
    </w:p>
    <w:p>
      <w:pPr>
        <w:spacing w:before="156" w:beforeLines="50" w:after="312" w:afterLines="100"/>
        <w:ind w:firstLine="0" w:firstLineChars="0"/>
        <w:jc w:val="center"/>
        <w:rPr>
          <w:rFonts w:ascii="黑体" w:hAnsi="黑体" w:eastAsia="黑体"/>
          <w:sz w:val="32"/>
          <w:szCs w:val="32"/>
        </w:rPr>
      </w:pPr>
      <w:r>
        <w:rPr>
          <w:rFonts w:hint="eastAsia" w:ascii="黑体" w:hAnsi="黑体" w:eastAsia="黑体"/>
          <w:sz w:val="32"/>
          <w:szCs w:val="32"/>
        </w:rPr>
        <w:t>《速冻巴沙鱼片、块》编制组</w:t>
      </w:r>
    </w:p>
    <w:p>
      <w:pPr>
        <w:pStyle w:val="2"/>
        <w:adjustRightInd/>
        <w:snapToGrid/>
        <w:spacing w:before="851" w:beforeLines="0" w:after="680" w:afterLines="0"/>
        <w:ind w:firstLine="422"/>
        <w:jc w:val="center"/>
      </w:pPr>
      <w:bookmarkStart w:id="1" w:name="_Toc513735994"/>
      <w:bookmarkStart w:id="2" w:name="_Toc511234376"/>
      <w:bookmarkStart w:id="82" w:name="_GoBack"/>
      <w:bookmarkEnd w:id="82"/>
      <w:r>
        <w:rPr>
          <w:rFonts w:hAnsi="黑体"/>
          <w:sz w:val="32"/>
          <w:szCs w:val="32"/>
        </w:rPr>
        <w:br w:type="page"/>
      </w:r>
      <w:bookmarkStart w:id="3" w:name="_Toc17370"/>
      <w:bookmarkStart w:id="4" w:name="_Toc15685"/>
      <w:bookmarkStart w:id="5" w:name="_Toc7984"/>
      <w:bookmarkStart w:id="6" w:name="_Toc1638"/>
      <w:bookmarkStart w:id="7" w:name="_Toc15973"/>
      <w:r>
        <w:rPr>
          <w:rFonts w:hAnsi="黑体"/>
          <w:sz w:val="32"/>
        </w:rPr>
        <w:t>目</w:t>
      </w:r>
      <w:r>
        <w:rPr>
          <w:rFonts w:hint="eastAsia" w:hAnsi="黑体"/>
          <w:sz w:val="32"/>
        </w:rPr>
        <w:t xml:space="preserve">   次</w:t>
      </w:r>
      <w:bookmarkEnd w:id="1"/>
      <w:bookmarkEnd w:id="2"/>
      <w:bookmarkEnd w:id="3"/>
      <w:bookmarkEnd w:id="4"/>
      <w:bookmarkEnd w:id="5"/>
      <w:bookmarkEnd w:id="6"/>
      <w:bookmarkEnd w:id="7"/>
      <w:r>
        <w:rPr>
          <w:rFonts w:hAnsi="黑体"/>
          <w:sz w:val="32"/>
        </w:rPr>
        <w:fldChar w:fldCharType="begin"/>
      </w:r>
      <w:r>
        <w:rPr>
          <w:rFonts w:hAnsi="黑体"/>
          <w:sz w:val="32"/>
        </w:rPr>
        <w:instrText xml:space="preserve"> TOC \o "1-3" \h \z \u </w:instrText>
      </w:r>
      <w:r>
        <w:rPr>
          <w:rFonts w:hAnsi="黑体"/>
          <w:sz w:val="32"/>
        </w:rPr>
        <w:fldChar w:fldCharType="separate"/>
      </w:r>
    </w:p>
    <w:p>
      <w:pPr>
        <w:pStyle w:val="28"/>
        <w:tabs>
          <w:tab w:val="right" w:leader="dot" w:pos="9355"/>
        </w:tabs>
        <w:ind w:firstLine="420"/>
      </w:pPr>
      <w:r>
        <w:fldChar w:fldCharType="begin"/>
      </w:r>
      <w:r>
        <w:instrText xml:space="preserve"> HYPERLINK \l "_Toc20017" </w:instrText>
      </w:r>
      <w:r>
        <w:fldChar w:fldCharType="separate"/>
      </w:r>
      <w:r>
        <w:rPr>
          <w:rFonts w:hint="eastAsia"/>
        </w:rPr>
        <w:t>一、</w:t>
      </w:r>
      <w:r>
        <w:t>工作简况</w:t>
      </w:r>
      <w:r>
        <w:tab/>
      </w:r>
      <w:r>
        <w:fldChar w:fldCharType="begin"/>
      </w:r>
      <w:r>
        <w:instrText xml:space="preserve"> PAGEREF _Toc20017 </w:instrText>
      </w:r>
      <w:r>
        <w:fldChar w:fldCharType="separate"/>
      </w:r>
      <w:r>
        <w:t>1</w:t>
      </w:r>
      <w:r>
        <w:fldChar w:fldCharType="end"/>
      </w:r>
      <w:r>
        <w:fldChar w:fldCharType="end"/>
      </w:r>
    </w:p>
    <w:p>
      <w:pPr>
        <w:pStyle w:val="30"/>
        <w:tabs>
          <w:tab w:val="right" w:leader="dot" w:pos="9355"/>
        </w:tabs>
        <w:ind w:firstLine="420"/>
      </w:pPr>
      <w:r>
        <w:fldChar w:fldCharType="begin"/>
      </w:r>
      <w:r>
        <w:instrText xml:space="preserve"> HYPERLINK \l "_Toc14909" </w:instrText>
      </w:r>
      <w:r>
        <w:fldChar w:fldCharType="separate"/>
      </w:r>
      <w:r>
        <w:rPr>
          <w:rFonts w:hint="eastAsia"/>
        </w:rPr>
        <w:t xml:space="preserve">1 </w:t>
      </w:r>
      <w:r>
        <w:t>立项目的</w:t>
      </w:r>
      <w:r>
        <w:tab/>
      </w:r>
      <w:r>
        <w:fldChar w:fldCharType="begin"/>
      </w:r>
      <w:r>
        <w:instrText xml:space="preserve"> PAGEREF _Toc14909 </w:instrText>
      </w:r>
      <w:r>
        <w:fldChar w:fldCharType="separate"/>
      </w:r>
      <w:r>
        <w:t>1</w:t>
      </w:r>
      <w:r>
        <w:fldChar w:fldCharType="end"/>
      </w:r>
      <w:r>
        <w:fldChar w:fldCharType="end"/>
      </w:r>
    </w:p>
    <w:p>
      <w:pPr>
        <w:pStyle w:val="30"/>
        <w:tabs>
          <w:tab w:val="right" w:leader="dot" w:pos="9355"/>
        </w:tabs>
        <w:ind w:firstLine="420"/>
      </w:pPr>
      <w:r>
        <w:fldChar w:fldCharType="begin"/>
      </w:r>
      <w:r>
        <w:instrText xml:space="preserve"> HYPERLINK \l "_Toc29459" </w:instrText>
      </w:r>
      <w:r>
        <w:fldChar w:fldCharType="separate"/>
      </w:r>
      <w:r>
        <w:t>2 任务来源</w:t>
      </w:r>
      <w:r>
        <w:tab/>
      </w:r>
      <w:r>
        <w:fldChar w:fldCharType="begin"/>
      </w:r>
      <w:r>
        <w:instrText xml:space="preserve"> PAGEREF _Toc29459 </w:instrText>
      </w:r>
      <w:r>
        <w:fldChar w:fldCharType="separate"/>
      </w:r>
      <w:r>
        <w:t>1</w:t>
      </w:r>
      <w:r>
        <w:fldChar w:fldCharType="end"/>
      </w:r>
      <w:r>
        <w:fldChar w:fldCharType="end"/>
      </w:r>
    </w:p>
    <w:p>
      <w:pPr>
        <w:pStyle w:val="30"/>
        <w:tabs>
          <w:tab w:val="right" w:leader="dot" w:pos="9355"/>
        </w:tabs>
        <w:ind w:firstLine="420"/>
      </w:pPr>
      <w:r>
        <w:fldChar w:fldCharType="begin"/>
      </w:r>
      <w:r>
        <w:instrText xml:space="preserve"> HYPERLINK \l "_Toc14098" </w:instrText>
      </w:r>
      <w:r>
        <w:fldChar w:fldCharType="separate"/>
      </w:r>
      <w:r>
        <w:t xml:space="preserve">3 </w:t>
      </w:r>
      <w:r>
        <w:rPr>
          <w:rFonts w:hint="eastAsia"/>
        </w:rPr>
        <w:t>工作过程</w:t>
      </w:r>
      <w:r>
        <w:tab/>
      </w:r>
      <w:r>
        <w:fldChar w:fldCharType="begin"/>
      </w:r>
      <w:r>
        <w:instrText xml:space="preserve"> PAGEREF _Toc14098 </w:instrText>
      </w:r>
      <w:r>
        <w:fldChar w:fldCharType="separate"/>
      </w:r>
      <w:r>
        <w:t>2</w:t>
      </w:r>
      <w:r>
        <w:fldChar w:fldCharType="end"/>
      </w:r>
      <w:r>
        <w:fldChar w:fldCharType="end"/>
      </w:r>
    </w:p>
    <w:p>
      <w:pPr>
        <w:pStyle w:val="30"/>
        <w:tabs>
          <w:tab w:val="right" w:leader="dot" w:pos="9355"/>
        </w:tabs>
        <w:ind w:firstLine="420"/>
      </w:pPr>
      <w:r>
        <w:fldChar w:fldCharType="begin"/>
      </w:r>
      <w:r>
        <w:instrText xml:space="preserve"> HYPERLINK \l "_Toc12098" </w:instrText>
      </w:r>
      <w:r>
        <w:fldChar w:fldCharType="separate"/>
      </w:r>
      <w:r>
        <w:rPr>
          <w:rFonts w:hint="eastAsia"/>
        </w:rPr>
        <w:t>3.1 起草阶段</w:t>
      </w:r>
      <w:r>
        <w:tab/>
      </w:r>
      <w:r>
        <w:fldChar w:fldCharType="begin"/>
      </w:r>
      <w:r>
        <w:instrText xml:space="preserve"> PAGEREF _Toc12098 </w:instrText>
      </w:r>
      <w:r>
        <w:fldChar w:fldCharType="separate"/>
      </w:r>
      <w:r>
        <w:t>2</w:t>
      </w:r>
      <w:r>
        <w:fldChar w:fldCharType="end"/>
      </w:r>
      <w:r>
        <w:fldChar w:fldCharType="end"/>
      </w:r>
    </w:p>
    <w:p>
      <w:pPr>
        <w:pStyle w:val="30"/>
        <w:tabs>
          <w:tab w:val="right" w:leader="dot" w:pos="9355"/>
        </w:tabs>
        <w:ind w:firstLine="420"/>
      </w:pPr>
      <w:r>
        <w:fldChar w:fldCharType="begin"/>
      </w:r>
      <w:r>
        <w:instrText xml:space="preserve"> HYPERLINK \l "_Toc2837" </w:instrText>
      </w:r>
      <w:r>
        <w:fldChar w:fldCharType="separate"/>
      </w:r>
      <w:r>
        <w:rPr>
          <w:rFonts w:hint="eastAsia"/>
        </w:rPr>
        <w:t>3.2 征求意见阶段</w:t>
      </w:r>
      <w:r>
        <w:tab/>
      </w:r>
      <w:r>
        <w:fldChar w:fldCharType="begin"/>
      </w:r>
      <w:r>
        <w:instrText xml:space="preserve"> PAGEREF _Toc2837 </w:instrText>
      </w:r>
      <w:r>
        <w:fldChar w:fldCharType="separate"/>
      </w:r>
      <w:r>
        <w:t>2</w:t>
      </w:r>
      <w:r>
        <w:fldChar w:fldCharType="end"/>
      </w:r>
      <w:r>
        <w:fldChar w:fldCharType="end"/>
      </w:r>
    </w:p>
    <w:p>
      <w:pPr>
        <w:pStyle w:val="30"/>
        <w:tabs>
          <w:tab w:val="right" w:leader="dot" w:pos="9355"/>
        </w:tabs>
        <w:ind w:firstLine="420"/>
      </w:pPr>
      <w:r>
        <w:fldChar w:fldCharType="begin"/>
      </w:r>
      <w:r>
        <w:instrText xml:space="preserve"> HYPERLINK \l "_Toc14249" </w:instrText>
      </w:r>
      <w:r>
        <w:fldChar w:fldCharType="separate"/>
      </w:r>
      <w:r>
        <w:rPr>
          <w:rFonts w:hint="eastAsia"/>
        </w:rPr>
        <w:t>4 主要参加单位和工作组成员及其所做的工作等</w:t>
      </w:r>
      <w:r>
        <w:tab/>
      </w:r>
      <w:r>
        <w:fldChar w:fldCharType="begin"/>
      </w:r>
      <w:r>
        <w:instrText xml:space="preserve"> PAGEREF _Toc14249 </w:instrText>
      </w:r>
      <w:r>
        <w:fldChar w:fldCharType="separate"/>
      </w:r>
      <w:r>
        <w:t>2</w:t>
      </w:r>
      <w:r>
        <w:fldChar w:fldCharType="end"/>
      </w:r>
      <w:r>
        <w:fldChar w:fldCharType="end"/>
      </w:r>
    </w:p>
    <w:p>
      <w:pPr>
        <w:pStyle w:val="28"/>
        <w:tabs>
          <w:tab w:val="right" w:leader="dot" w:pos="9355"/>
        </w:tabs>
        <w:ind w:firstLine="420"/>
      </w:pPr>
      <w:r>
        <w:fldChar w:fldCharType="begin"/>
      </w:r>
      <w:r>
        <w:instrText xml:space="preserve"> HYPERLINK \l "_Toc2618" </w:instrText>
      </w:r>
      <w:r>
        <w:fldChar w:fldCharType="separate"/>
      </w:r>
      <w:r>
        <w:rPr>
          <w:rFonts w:hint="eastAsia"/>
        </w:rPr>
        <w:t>二、标准主要条款说明</w:t>
      </w:r>
      <w:r>
        <w:tab/>
      </w:r>
      <w:r>
        <w:fldChar w:fldCharType="begin"/>
      </w:r>
      <w:r>
        <w:instrText xml:space="preserve"> PAGEREF _Toc2618 </w:instrText>
      </w:r>
      <w:r>
        <w:fldChar w:fldCharType="separate"/>
      </w:r>
      <w:r>
        <w:t>3</w:t>
      </w:r>
      <w:r>
        <w:fldChar w:fldCharType="end"/>
      </w:r>
      <w:r>
        <w:fldChar w:fldCharType="end"/>
      </w:r>
    </w:p>
    <w:p>
      <w:pPr>
        <w:pStyle w:val="30"/>
        <w:tabs>
          <w:tab w:val="right" w:leader="dot" w:pos="9355"/>
        </w:tabs>
        <w:ind w:firstLine="420"/>
      </w:pPr>
      <w:r>
        <w:fldChar w:fldCharType="begin"/>
      </w:r>
      <w:r>
        <w:instrText xml:space="preserve"> HYPERLINK \l "_Toc75" </w:instrText>
      </w:r>
      <w:r>
        <w:fldChar w:fldCharType="separate"/>
      </w:r>
      <w:r>
        <w:rPr>
          <w:rFonts w:hint="eastAsia"/>
        </w:rPr>
        <w:t>1、范围</w:t>
      </w:r>
      <w:r>
        <w:tab/>
      </w:r>
      <w:r>
        <w:fldChar w:fldCharType="begin"/>
      </w:r>
      <w:r>
        <w:instrText xml:space="preserve"> PAGEREF _Toc75 </w:instrText>
      </w:r>
      <w:r>
        <w:fldChar w:fldCharType="separate"/>
      </w:r>
      <w:r>
        <w:t>3</w:t>
      </w:r>
      <w:r>
        <w:fldChar w:fldCharType="end"/>
      </w:r>
      <w:r>
        <w:fldChar w:fldCharType="end"/>
      </w:r>
    </w:p>
    <w:p>
      <w:pPr>
        <w:pStyle w:val="30"/>
        <w:tabs>
          <w:tab w:val="right" w:leader="dot" w:pos="9355"/>
        </w:tabs>
        <w:ind w:firstLine="420"/>
      </w:pPr>
      <w:r>
        <w:fldChar w:fldCharType="begin"/>
      </w:r>
      <w:r>
        <w:instrText xml:space="preserve"> HYPERLINK \l "_Toc12471" </w:instrText>
      </w:r>
      <w:r>
        <w:fldChar w:fldCharType="separate"/>
      </w:r>
      <w:r>
        <w:rPr>
          <w:rFonts w:hint="eastAsia"/>
        </w:rPr>
        <w:t>2、术语和定义</w:t>
      </w:r>
      <w:r>
        <w:tab/>
      </w:r>
      <w:r>
        <w:fldChar w:fldCharType="begin"/>
      </w:r>
      <w:r>
        <w:instrText xml:space="preserve"> PAGEREF _Toc12471 </w:instrText>
      </w:r>
      <w:r>
        <w:fldChar w:fldCharType="separate"/>
      </w:r>
      <w:r>
        <w:t>3</w:t>
      </w:r>
      <w:r>
        <w:fldChar w:fldCharType="end"/>
      </w:r>
      <w:r>
        <w:fldChar w:fldCharType="end"/>
      </w:r>
    </w:p>
    <w:p>
      <w:pPr>
        <w:pStyle w:val="30"/>
        <w:tabs>
          <w:tab w:val="right" w:leader="dot" w:pos="9355"/>
        </w:tabs>
        <w:ind w:firstLine="420"/>
      </w:pPr>
      <w:r>
        <w:fldChar w:fldCharType="begin"/>
      </w:r>
      <w:r>
        <w:instrText xml:space="preserve"> HYPERLINK \l "_Toc5068" </w:instrText>
      </w:r>
      <w:r>
        <w:fldChar w:fldCharType="separate"/>
      </w:r>
      <w:r>
        <w:rPr>
          <w:rFonts w:hint="eastAsia"/>
        </w:rPr>
        <w:t>2.1 速冻巴沙鱼片</w:t>
      </w:r>
      <w:r>
        <w:tab/>
      </w:r>
      <w:r>
        <w:fldChar w:fldCharType="begin"/>
      </w:r>
      <w:r>
        <w:instrText xml:space="preserve"> PAGEREF _Toc5068 </w:instrText>
      </w:r>
      <w:r>
        <w:fldChar w:fldCharType="separate"/>
      </w:r>
      <w:r>
        <w:t>3</w:t>
      </w:r>
      <w:r>
        <w:fldChar w:fldCharType="end"/>
      </w:r>
      <w:r>
        <w:fldChar w:fldCharType="end"/>
      </w:r>
    </w:p>
    <w:p>
      <w:pPr>
        <w:pStyle w:val="30"/>
        <w:tabs>
          <w:tab w:val="right" w:leader="dot" w:pos="9355"/>
        </w:tabs>
        <w:ind w:firstLine="420"/>
      </w:pPr>
      <w:r>
        <w:fldChar w:fldCharType="begin"/>
      </w:r>
      <w:r>
        <w:instrText xml:space="preserve"> HYPERLINK \l "_Toc18676" </w:instrText>
      </w:r>
      <w:r>
        <w:fldChar w:fldCharType="separate"/>
      </w:r>
      <w:r>
        <w:rPr>
          <w:rFonts w:hint="eastAsia"/>
        </w:rPr>
        <w:t>2.2 速冻巴沙鱼块</w:t>
      </w:r>
      <w:r>
        <w:tab/>
      </w:r>
      <w:r>
        <w:fldChar w:fldCharType="begin"/>
      </w:r>
      <w:r>
        <w:instrText xml:space="preserve"> PAGEREF _Toc18676 </w:instrText>
      </w:r>
      <w:r>
        <w:fldChar w:fldCharType="separate"/>
      </w:r>
      <w:r>
        <w:t>3</w:t>
      </w:r>
      <w:r>
        <w:fldChar w:fldCharType="end"/>
      </w:r>
      <w:r>
        <w:fldChar w:fldCharType="end"/>
      </w:r>
    </w:p>
    <w:p>
      <w:pPr>
        <w:pStyle w:val="30"/>
        <w:tabs>
          <w:tab w:val="right" w:leader="dot" w:pos="9355"/>
        </w:tabs>
        <w:ind w:firstLine="420"/>
      </w:pPr>
      <w:r>
        <w:fldChar w:fldCharType="begin"/>
      </w:r>
      <w:r>
        <w:instrText xml:space="preserve"> HYPERLINK \l "_Toc7157" </w:instrText>
      </w:r>
      <w:r>
        <w:fldChar w:fldCharType="separate"/>
      </w:r>
      <w:r>
        <w:rPr>
          <w:rFonts w:hint="eastAsia"/>
        </w:rPr>
        <w:t>2.3 规格</w:t>
      </w:r>
      <w:r>
        <w:tab/>
      </w:r>
      <w:r>
        <w:fldChar w:fldCharType="begin"/>
      </w:r>
      <w:r>
        <w:instrText xml:space="preserve"> PAGEREF _Toc7157 </w:instrText>
      </w:r>
      <w:r>
        <w:fldChar w:fldCharType="separate"/>
      </w:r>
      <w:r>
        <w:t>3</w:t>
      </w:r>
      <w:r>
        <w:fldChar w:fldCharType="end"/>
      </w:r>
      <w:r>
        <w:fldChar w:fldCharType="end"/>
      </w:r>
    </w:p>
    <w:p>
      <w:pPr>
        <w:pStyle w:val="30"/>
        <w:tabs>
          <w:tab w:val="right" w:leader="dot" w:pos="9355"/>
        </w:tabs>
        <w:ind w:firstLine="420"/>
      </w:pPr>
      <w:r>
        <w:fldChar w:fldCharType="begin"/>
      </w:r>
      <w:r>
        <w:instrText xml:space="preserve"> HYPERLINK \l "_Toc25207" </w:instrText>
      </w:r>
      <w:r>
        <w:fldChar w:fldCharType="separate"/>
      </w:r>
      <w:r>
        <w:rPr>
          <w:rFonts w:hint="eastAsia"/>
        </w:rPr>
        <w:t>3、要求</w:t>
      </w:r>
      <w:r>
        <w:tab/>
      </w:r>
      <w:r>
        <w:fldChar w:fldCharType="begin"/>
      </w:r>
      <w:r>
        <w:instrText xml:space="preserve"> PAGEREF _Toc25207 </w:instrText>
      </w:r>
      <w:r>
        <w:fldChar w:fldCharType="separate"/>
      </w:r>
      <w:r>
        <w:t>3</w:t>
      </w:r>
      <w:r>
        <w:fldChar w:fldCharType="end"/>
      </w:r>
      <w:r>
        <w:fldChar w:fldCharType="end"/>
      </w:r>
    </w:p>
    <w:p>
      <w:pPr>
        <w:pStyle w:val="30"/>
        <w:tabs>
          <w:tab w:val="right" w:leader="dot" w:pos="9355"/>
        </w:tabs>
        <w:ind w:firstLine="420"/>
      </w:pPr>
      <w:r>
        <w:fldChar w:fldCharType="begin"/>
      </w:r>
      <w:r>
        <w:instrText xml:space="preserve"> HYPERLINK \l "_Toc19347" </w:instrText>
      </w:r>
      <w:r>
        <w:fldChar w:fldCharType="separate"/>
      </w:r>
      <w:r>
        <w:rPr>
          <w:rFonts w:hint="eastAsia"/>
        </w:rPr>
        <w:t>3.1 原、辅料及加工用水要求</w:t>
      </w:r>
      <w:r>
        <w:tab/>
      </w:r>
      <w:r>
        <w:fldChar w:fldCharType="begin"/>
      </w:r>
      <w:r>
        <w:instrText xml:space="preserve"> PAGEREF _Toc19347 </w:instrText>
      </w:r>
      <w:r>
        <w:fldChar w:fldCharType="separate"/>
      </w:r>
      <w:r>
        <w:t>3</w:t>
      </w:r>
      <w:r>
        <w:fldChar w:fldCharType="end"/>
      </w:r>
      <w:r>
        <w:fldChar w:fldCharType="end"/>
      </w:r>
    </w:p>
    <w:p>
      <w:pPr>
        <w:pStyle w:val="30"/>
        <w:tabs>
          <w:tab w:val="right" w:leader="dot" w:pos="9355"/>
        </w:tabs>
        <w:ind w:firstLine="420"/>
      </w:pPr>
      <w:r>
        <w:fldChar w:fldCharType="begin"/>
      </w:r>
      <w:r>
        <w:instrText xml:space="preserve"> HYPERLINK \l "_Toc10444" </w:instrText>
      </w:r>
      <w:r>
        <w:fldChar w:fldCharType="separate"/>
      </w:r>
      <w:r>
        <w:rPr>
          <w:rFonts w:hint="eastAsia"/>
        </w:rPr>
        <w:t>3.2 感官要求</w:t>
      </w:r>
      <w:r>
        <w:tab/>
      </w:r>
      <w:r>
        <w:fldChar w:fldCharType="begin"/>
      </w:r>
      <w:r>
        <w:instrText xml:space="preserve"> PAGEREF _Toc10444 </w:instrText>
      </w:r>
      <w:r>
        <w:fldChar w:fldCharType="separate"/>
      </w:r>
      <w:r>
        <w:t>3</w:t>
      </w:r>
      <w:r>
        <w:fldChar w:fldCharType="end"/>
      </w:r>
      <w:r>
        <w:fldChar w:fldCharType="end"/>
      </w:r>
    </w:p>
    <w:p>
      <w:pPr>
        <w:pStyle w:val="30"/>
        <w:tabs>
          <w:tab w:val="right" w:leader="dot" w:pos="9355"/>
        </w:tabs>
        <w:ind w:firstLine="420"/>
      </w:pPr>
      <w:r>
        <w:fldChar w:fldCharType="begin"/>
      </w:r>
      <w:r>
        <w:instrText xml:space="preserve"> HYPERLINK \l "_Toc7208" </w:instrText>
      </w:r>
      <w:r>
        <w:fldChar w:fldCharType="separate"/>
      </w:r>
      <w:r>
        <w:rPr>
          <w:rFonts w:hint="eastAsia"/>
        </w:rPr>
        <w:t>3.3 理化指标</w:t>
      </w:r>
      <w:r>
        <w:tab/>
      </w:r>
      <w:r>
        <w:fldChar w:fldCharType="begin"/>
      </w:r>
      <w:r>
        <w:instrText xml:space="preserve"> PAGEREF _Toc7208 </w:instrText>
      </w:r>
      <w:r>
        <w:fldChar w:fldCharType="separate"/>
      </w:r>
      <w:r>
        <w:t>4</w:t>
      </w:r>
      <w:r>
        <w:fldChar w:fldCharType="end"/>
      </w:r>
      <w:r>
        <w:fldChar w:fldCharType="end"/>
      </w:r>
    </w:p>
    <w:p>
      <w:pPr>
        <w:pStyle w:val="30"/>
        <w:tabs>
          <w:tab w:val="right" w:leader="dot" w:pos="9355"/>
        </w:tabs>
        <w:ind w:firstLine="420"/>
      </w:pPr>
      <w:r>
        <w:fldChar w:fldCharType="begin"/>
      </w:r>
      <w:r>
        <w:instrText xml:space="preserve"> HYPERLINK \l "_Toc25325" </w:instrText>
      </w:r>
      <w:r>
        <w:fldChar w:fldCharType="separate"/>
      </w:r>
      <w:r>
        <w:rPr>
          <w:rFonts w:hint="eastAsia"/>
        </w:rPr>
        <w:t>3.4 污染物限量</w:t>
      </w:r>
      <w:r>
        <w:tab/>
      </w:r>
      <w:r>
        <w:fldChar w:fldCharType="begin"/>
      </w:r>
      <w:r>
        <w:instrText xml:space="preserve"> PAGEREF _Toc25325 </w:instrText>
      </w:r>
      <w:r>
        <w:fldChar w:fldCharType="separate"/>
      </w:r>
      <w:r>
        <w:t>9</w:t>
      </w:r>
      <w:r>
        <w:fldChar w:fldCharType="end"/>
      </w:r>
      <w:r>
        <w:fldChar w:fldCharType="end"/>
      </w:r>
    </w:p>
    <w:p>
      <w:pPr>
        <w:pStyle w:val="30"/>
        <w:tabs>
          <w:tab w:val="right" w:leader="dot" w:pos="9355"/>
        </w:tabs>
        <w:ind w:firstLine="420"/>
      </w:pPr>
      <w:r>
        <w:fldChar w:fldCharType="begin"/>
      </w:r>
      <w:r>
        <w:instrText xml:space="preserve"> HYPERLINK \l "_Toc9795" </w:instrText>
      </w:r>
      <w:r>
        <w:fldChar w:fldCharType="separate"/>
      </w:r>
      <w:r>
        <w:rPr>
          <w:rFonts w:hint="eastAsia"/>
        </w:rPr>
        <w:t>3.5 生产加工过程</w:t>
      </w:r>
      <w:r>
        <w:tab/>
      </w:r>
      <w:r>
        <w:fldChar w:fldCharType="begin"/>
      </w:r>
      <w:r>
        <w:instrText xml:space="preserve"> PAGEREF _Toc9795 </w:instrText>
      </w:r>
      <w:r>
        <w:fldChar w:fldCharType="separate"/>
      </w:r>
      <w:r>
        <w:t>9</w:t>
      </w:r>
      <w:r>
        <w:fldChar w:fldCharType="end"/>
      </w:r>
      <w:r>
        <w:fldChar w:fldCharType="end"/>
      </w:r>
    </w:p>
    <w:p>
      <w:pPr>
        <w:pStyle w:val="30"/>
        <w:tabs>
          <w:tab w:val="right" w:leader="dot" w:pos="9355"/>
        </w:tabs>
        <w:ind w:firstLine="420"/>
      </w:pPr>
      <w:r>
        <w:fldChar w:fldCharType="begin"/>
      </w:r>
      <w:r>
        <w:instrText xml:space="preserve"> HYPERLINK \l "_Toc26303" </w:instrText>
      </w:r>
      <w:r>
        <w:fldChar w:fldCharType="separate"/>
      </w:r>
      <w:r>
        <w:rPr>
          <w:rFonts w:hint="eastAsia"/>
        </w:rPr>
        <w:t>3.6 食品添加剂</w:t>
      </w:r>
      <w:r>
        <w:tab/>
      </w:r>
      <w:r>
        <w:fldChar w:fldCharType="begin"/>
      </w:r>
      <w:r>
        <w:instrText xml:space="preserve"> PAGEREF _Toc26303 </w:instrText>
      </w:r>
      <w:r>
        <w:fldChar w:fldCharType="separate"/>
      </w:r>
      <w:r>
        <w:t>9</w:t>
      </w:r>
      <w:r>
        <w:fldChar w:fldCharType="end"/>
      </w:r>
      <w:r>
        <w:fldChar w:fldCharType="end"/>
      </w:r>
    </w:p>
    <w:p>
      <w:pPr>
        <w:pStyle w:val="30"/>
        <w:tabs>
          <w:tab w:val="right" w:leader="dot" w:pos="9355"/>
        </w:tabs>
        <w:ind w:firstLine="420"/>
      </w:pPr>
      <w:r>
        <w:fldChar w:fldCharType="begin"/>
      </w:r>
      <w:r>
        <w:instrText xml:space="preserve"> HYPERLINK \l "_Toc20862" </w:instrText>
      </w:r>
      <w:r>
        <w:fldChar w:fldCharType="separate"/>
      </w:r>
      <w:r>
        <w:rPr>
          <w:rFonts w:hint="eastAsia"/>
        </w:rPr>
        <w:t>4、试验方法</w:t>
      </w:r>
      <w:r>
        <w:tab/>
      </w:r>
      <w:r>
        <w:fldChar w:fldCharType="begin"/>
      </w:r>
      <w:r>
        <w:instrText xml:space="preserve"> PAGEREF _Toc20862 </w:instrText>
      </w:r>
      <w:r>
        <w:fldChar w:fldCharType="separate"/>
      </w:r>
      <w:r>
        <w:t>10</w:t>
      </w:r>
      <w:r>
        <w:fldChar w:fldCharType="end"/>
      </w:r>
      <w:r>
        <w:fldChar w:fldCharType="end"/>
      </w:r>
    </w:p>
    <w:p>
      <w:pPr>
        <w:pStyle w:val="30"/>
        <w:tabs>
          <w:tab w:val="right" w:leader="dot" w:pos="9355"/>
        </w:tabs>
        <w:ind w:firstLine="420"/>
      </w:pPr>
      <w:r>
        <w:fldChar w:fldCharType="begin"/>
      </w:r>
      <w:r>
        <w:instrText xml:space="preserve"> HYPERLINK \l "_Toc27035" </w:instrText>
      </w:r>
      <w:r>
        <w:fldChar w:fldCharType="separate"/>
      </w:r>
      <w:r>
        <w:rPr>
          <w:rFonts w:hint="eastAsia"/>
        </w:rPr>
        <w:t>4.1 感官要求/水煮实验检测</w:t>
      </w:r>
      <w:r>
        <w:tab/>
      </w:r>
      <w:r>
        <w:fldChar w:fldCharType="begin"/>
      </w:r>
      <w:r>
        <w:instrText xml:space="preserve"> PAGEREF _Toc27035 </w:instrText>
      </w:r>
      <w:r>
        <w:fldChar w:fldCharType="separate"/>
      </w:r>
      <w:r>
        <w:t>10</w:t>
      </w:r>
      <w:r>
        <w:fldChar w:fldCharType="end"/>
      </w:r>
      <w:r>
        <w:fldChar w:fldCharType="end"/>
      </w:r>
    </w:p>
    <w:p>
      <w:pPr>
        <w:pStyle w:val="30"/>
        <w:tabs>
          <w:tab w:val="right" w:leader="dot" w:pos="9355"/>
        </w:tabs>
        <w:ind w:firstLine="420"/>
      </w:pPr>
      <w:r>
        <w:fldChar w:fldCharType="begin"/>
      </w:r>
      <w:r>
        <w:instrText xml:space="preserve"> HYPERLINK \l "_Toc16744" </w:instrText>
      </w:r>
      <w:r>
        <w:fldChar w:fldCharType="separate"/>
      </w:r>
      <w:r>
        <w:rPr>
          <w:rFonts w:hint="eastAsia"/>
        </w:rPr>
        <w:t>4.1.1 感官要求</w:t>
      </w:r>
      <w:r>
        <w:tab/>
      </w:r>
      <w:r>
        <w:fldChar w:fldCharType="begin"/>
      </w:r>
      <w:r>
        <w:instrText xml:space="preserve"> PAGEREF _Toc16744 </w:instrText>
      </w:r>
      <w:r>
        <w:fldChar w:fldCharType="separate"/>
      </w:r>
      <w:r>
        <w:t>10</w:t>
      </w:r>
      <w:r>
        <w:fldChar w:fldCharType="end"/>
      </w:r>
      <w:r>
        <w:fldChar w:fldCharType="end"/>
      </w:r>
    </w:p>
    <w:p>
      <w:pPr>
        <w:pStyle w:val="30"/>
        <w:tabs>
          <w:tab w:val="right" w:leader="dot" w:pos="9355"/>
        </w:tabs>
        <w:ind w:firstLine="420"/>
      </w:pPr>
      <w:r>
        <w:fldChar w:fldCharType="begin"/>
      </w:r>
      <w:r>
        <w:instrText xml:space="preserve"> HYPERLINK \l "_Toc7678" </w:instrText>
      </w:r>
      <w:r>
        <w:fldChar w:fldCharType="separate"/>
      </w:r>
      <w:r>
        <w:rPr>
          <w:rFonts w:hint="eastAsia"/>
        </w:rPr>
        <w:t>4.1.2 水煮实验</w:t>
      </w:r>
      <w:r>
        <w:tab/>
      </w:r>
      <w:r>
        <w:fldChar w:fldCharType="begin"/>
      </w:r>
      <w:r>
        <w:instrText xml:space="preserve"> PAGEREF _Toc7678 </w:instrText>
      </w:r>
      <w:r>
        <w:fldChar w:fldCharType="separate"/>
      </w:r>
      <w:r>
        <w:t>10</w:t>
      </w:r>
      <w:r>
        <w:fldChar w:fldCharType="end"/>
      </w:r>
      <w:r>
        <w:fldChar w:fldCharType="end"/>
      </w:r>
    </w:p>
    <w:p>
      <w:pPr>
        <w:pStyle w:val="30"/>
        <w:tabs>
          <w:tab w:val="right" w:leader="dot" w:pos="9355"/>
        </w:tabs>
        <w:ind w:firstLine="420"/>
      </w:pPr>
      <w:r>
        <w:fldChar w:fldCharType="begin"/>
      </w:r>
      <w:r>
        <w:instrText xml:space="preserve"> HYPERLINK \l "_Toc20215" </w:instrText>
      </w:r>
      <w:r>
        <w:fldChar w:fldCharType="separate"/>
      </w:r>
      <w:r>
        <w:rPr>
          <w:rFonts w:hint="eastAsia"/>
        </w:rPr>
        <w:t>4.2 产品中心温度检测</w:t>
      </w:r>
      <w:r>
        <w:tab/>
      </w:r>
      <w:r>
        <w:fldChar w:fldCharType="begin"/>
      </w:r>
      <w:r>
        <w:instrText xml:space="preserve"> PAGEREF _Toc20215 </w:instrText>
      </w:r>
      <w:r>
        <w:fldChar w:fldCharType="separate"/>
      </w:r>
      <w:r>
        <w:t>10</w:t>
      </w:r>
      <w:r>
        <w:fldChar w:fldCharType="end"/>
      </w:r>
      <w:r>
        <w:fldChar w:fldCharType="end"/>
      </w:r>
    </w:p>
    <w:p>
      <w:pPr>
        <w:pStyle w:val="30"/>
        <w:tabs>
          <w:tab w:val="right" w:leader="dot" w:pos="9355"/>
        </w:tabs>
        <w:ind w:firstLine="420"/>
      </w:pPr>
      <w:r>
        <w:fldChar w:fldCharType="begin"/>
      </w:r>
      <w:r>
        <w:instrText xml:space="preserve"> HYPERLINK \l "_Toc20433" </w:instrText>
      </w:r>
      <w:r>
        <w:fldChar w:fldCharType="separate"/>
      </w:r>
      <w:r>
        <w:rPr>
          <w:rFonts w:hint="eastAsia"/>
        </w:rPr>
        <w:t>4.3 净含量及冰衣的检测</w:t>
      </w:r>
      <w:r>
        <w:tab/>
      </w:r>
      <w:r>
        <w:fldChar w:fldCharType="begin"/>
      </w:r>
      <w:r>
        <w:instrText xml:space="preserve"> PAGEREF _Toc20433 </w:instrText>
      </w:r>
      <w:r>
        <w:fldChar w:fldCharType="separate"/>
      </w:r>
      <w:r>
        <w:t>11</w:t>
      </w:r>
      <w:r>
        <w:fldChar w:fldCharType="end"/>
      </w:r>
      <w:r>
        <w:fldChar w:fldCharType="end"/>
      </w:r>
    </w:p>
    <w:p>
      <w:pPr>
        <w:pStyle w:val="30"/>
        <w:tabs>
          <w:tab w:val="right" w:leader="dot" w:pos="9355"/>
        </w:tabs>
        <w:ind w:firstLine="420"/>
      </w:pPr>
      <w:r>
        <w:fldChar w:fldCharType="begin"/>
      </w:r>
      <w:r>
        <w:instrText xml:space="preserve"> HYPERLINK \l "_Toc6693" </w:instrText>
      </w:r>
      <w:r>
        <w:fldChar w:fldCharType="separate"/>
      </w:r>
      <w:r>
        <w:rPr>
          <w:rFonts w:hint="eastAsia"/>
        </w:rPr>
        <w:t>4.3.1设备</w:t>
      </w:r>
      <w:r>
        <w:tab/>
      </w:r>
      <w:r>
        <w:fldChar w:fldCharType="begin"/>
      </w:r>
      <w:r>
        <w:instrText xml:space="preserve"> PAGEREF _Toc6693 </w:instrText>
      </w:r>
      <w:r>
        <w:fldChar w:fldCharType="separate"/>
      </w:r>
      <w:r>
        <w:t>11</w:t>
      </w:r>
      <w:r>
        <w:fldChar w:fldCharType="end"/>
      </w:r>
      <w:r>
        <w:fldChar w:fldCharType="end"/>
      </w:r>
    </w:p>
    <w:p>
      <w:pPr>
        <w:pStyle w:val="30"/>
        <w:tabs>
          <w:tab w:val="right" w:leader="dot" w:pos="9355"/>
        </w:tabs>
        <w:ind w:firstLine="420"/>
      </w:pPr>
      <w:r>
        <w:fldChar w:fldCharType="begin"/>
      </w:r>
      <w:r>
        <w:instrText xml:space="preserve"> HYPERLINK \l "_Toc31727" </w:instrText>
      </w:r>
      <w:r>
        <w:fldChar w:fldCharType="separate"/>
      </w:r>
      <w:r>
        <w:rPr>
          <w:rFonts w:hint="eastAsia"/>
        </w:rPr>
        <w:t>4.3.2步骤</w:t>
      </w:r>
      <w:r>
        <w:tab/>
      </w:r>
      <w:r>
        <w:fldChar w:fldCharType="begin"/>
      </w:r>
      <w:r>
        <w:instrText xml:space="preserve"> PAGEREF _Toc31727 </w:instrText>
      </w:r>
      <w:r>
        <w:fldChar w:fldCharType="separate"/>
      </w:r>
      <w:r>
        <w:t>12</w:t>
      </w:r>
      <w:r>
        <w:fldChar w:fldCharType="end"/>
      </w:r>
      <w:r>
        <w:fldChar w:fldCharType="end"/>
      </w:r>
    </w:p>
    <w:p>
      <w:pPr>
        <w:pStyle w:val="30"/>
        <w:tabs>
          <w:tab w:val="right" w:leader="dot" w:pos="9355"/>
        </w:tabs>
        <w:ind w:firstLine="420"/>
      </w:pPr>
      <w:r>
        <w:fldChar w:fldCharType="begin"/>
      </w:r>
      <w:r>
        <w:instrText xml:space="preserve"> HYPERLINK \l "_Toc24046" </w:instrText>
      </w:r>
      <w:r>
        <w:fldChar w:fldCharType="separate"/>
      </w:r>
      <w:r>
        <w:rPr>
          <w:rFonts w:hint="eastAsia"/>
        </w:rPr>
        <w:t>4.4 水分、蛋白质、脂肪、挥发性盐基氮、污染物限量的检验</w:t>
      </w:r>
      <w:r>
        <w:tab/>
      </w:r>
      <w:r>
        <w:fldChar w:fldCharType="begin"/>
      </w:r>
      <w:r>
        <w:instrText xml:space="preserve"> PAGEREF _Toc24046 </w:instrText>
      </w:r>
      <w:r>
        <w:fldChar w:fldCharType="separate"/>
      </w:r>
      <w:r>
        <w:t>12</w:t>
      </w:r>
      <w:r>
        <w:fldChar w:fldCharType="end"/>
      </w:r>
      <w:r>
        <w:fldChar w:fldCharType="end"/>
      </w:r>
    </w:p>
    <w:p>
      <w:pPr>
        <w:pStyle w:val="30"/>
        <w:tabs>
          <w:tab w:val="right" w:leader="dot" w:pos="9355"/>
        </w:tabs>
        <w:ind w:firstLine="420"/>
      </w:pPr>
      <w:r>
        <w:fldChar w:fldCharType="begin"/>
      </w:r>
      <w:r>
        <w:instrText xml:space="preserve"> HYPERLINK \l "_Toc1230" </w:instrText>
      </w:r>
      <w:r>
        <w:fldChar w:fldCharType="separate"/>
      </w:r>
      <w:r>
        <w:rPr>
          <w:rFonts w:hint="eastAsia"/>
        </w:rPr>
        <w:t>5、检验规则</w:t>
      </w:r>
      <w:r>
        <w:tab/>
      </w:r>
      <w:r>
        <w:fldChar w:fldCharType="begin"/>
      </w:r>
      <w:r>
        <w:instrText xml:space="preserve"> PAGEREF _Toc1230 </w:instrText>
      </w:r>
      <w:r>
        <w:fldChar w:fldCharType="separate"/>
      </w:r>
      <w:r>
        <w:t>12</w:t>
      </w:r>
      <w:r>
        <w:fldChar w:fldCharType="end"/>
      </w:r>
      <w:r>
        <w:fldChar w:fldCharType="end"/>
      </w:r>
    </w:p>
    <w:p>
      <w:pPr>
        <w:pStyle w:val="30"/>
        <w:tabs>
          <w:tab w:val="right" w:leader="dot" w:pos="9355"/>
        </w:tabs>
        <w:ind w:firstLine="420"/>
      </w:pPr>
      <w:r>
        <w:fldChar w:fldCharType="begin"/>
      </w:r>
      <w:r>
        <w:instrText xml:space="preserve"> HYPERLINK \l "_Toc16585" </w:instrText>
      </w:r>
      <w:r>
        <w:fldChar w:fldCharType="separate"/>
      </w:r>
      <w:r>
        <w:rPr>
          <w:rFonts w:hint="eastAsia"/>
        </w:rPr>
        <w:t>6、标志、包装、运输、贮存</w:t>
      </w:r>
      <w:r>
        <w:tab/>
      </w:r>
      <w:r>
        <w:fldChar w:fldCharType="begin"/>
      </w:r>
      <w:r>
        <w:instrText xml:space="preserve"> PAGEREF _Toc16585 </w:instrText>
      </w:r>
      <w:r>
        <w:fldChar w:fldCharType="separate"/>
      </w:r>
      <w:r>
        <w:t>13</w:t>
      </w:r>
      <w:r>
        <w:fldChar w:fldCharType="end"/>
      </w:r>
      <w:r>
        <w:fldChar w:fldCharType="end"/>
      </w:r>
    </w:p>
    <w:p>
      <w:pPr>
        <w:pStyle w:val="28"/>
        <w:tabs>
          <w:tab w:val="right" w:leader="dot" w:pos="9355"/>
        </w:tabs>
        <w:ind w:firstLine="420"/>
      </w:pPr>
      <w:r>
        <w:fldChar w:fldCharType="begin"/>
      </w:r>
      <w:r>
        <w:instrText xml:space="preserve"> HYPERLINK \l "_Toc30069" </w:instrText>
      </w:r>
      <w:r>
        <w:fldChar w:fldCharType="separate"/>
      </w:r>
      <w:r>
        <w:rPr>
          <w:rFonts w:hint="eastAsia"/>
        </w:rPr>
        <w:t>三、标准水平分析</w:t>
      </w:r>
      <w:r>
        <w:tab/>
      </w:r>
      <w:r>
        <w:fldChar w:fldCharType="begin"/>
      </w:r>
      <w:r>
        <w:instrText xml:space="preserve"> PAGEREF _Toc30069 </w:instrText>
      </w:r>
      <w:r>
        <w:fldChar w:fldCharType="separate"/>
      </w:r>
      <w:r>
        <w:t>13</w:t>
      </w:r>
      <w:r>
        <w:fldChar w:fldCharType="end"/>
      </w:r>
      <w:r>
        <w:fldChar w:fldCharType="end"/>
      </w:r>
    </w:p>
    <w:p>
      <w:pPr>
        <w:pStyle w:val="28"/>
        <w:tabs>
          <w:tab w:val="right" w:leader="dot" w:pos="9355"/>
        </w:tabs>
        <w:ind w:firstLine="420"/>
      </w:pPr>
      <w:r>
        <w:fldChar w:fldCharType="begin"/>
      </w:r>
      <w:r>
        <w:instrText xml:space="preserve"> HYPERLINK \l "_Toc28235" </w:instrText>
      </w:r>
      <w:r>
        <w:fldChar w:fldCharType="separate"/>
      </w:r>
      <w:r>
        <w:rPr>
          <w:rFonts w:hint="eastAsia"/>
        </w:rPr>
        <w:t>四、</w:t>
      </w:r>
      <w:r>
        <w:t>与现行相关法律、法规、规章及相关标准，特别是强制性标准的协调性</w:t>
      </w:r>
      <w:r>
        <w:tab/>
      </w:r>
      <w:r>
        <w:fldChar w:fldCharType="begin"/>
      </w:r>
      <w:r>
        <w:instrText xml:space="preserve"> PAGEREF _Toc28235 </w:instrText>
      </w:r>
      <w:r>
        <w:fldChar w:fldCharType="separate"/>
      </w:r>
      <w:r>
        <w:t>14</w:t>
      </w:r>
      <w:r>
        <w:fldChar w:fldCharType="end"/>
      </w:r>
      <w:r>
        <w:fldChar w:fldCharType="end"/>
      </w:r>
    </w:p>
    <w:p>
      <w:pPr>
        <w:pStyle w:val="28"/>
        <w:tabs>
          <w:tab w:val="right" w:leader="dot" w:pos="9355"/>
        </w:tabs>
        <w:ind w:firstLine="420"/>
      </w:pPr>
      <w:r>
        <w:fldChar w:fldCharType="begin"/>
      </w:r>
      <w:r>
        <w:instrText xml:space="preserve"> HYPERLINK \l "_Toc3368" </w:instrText>
      </w:r>
      <w:r>
        <w:fldChar w:fldCharType="separate"/>
      </w:r>
      <w:r>
        <w:rPr>
          <w:rFonts w:hint="eastAsia"/>
        </w:rPr>
        <w:t>五、</w:t>
      </w:r>
      <w:r>
        <w:t>标准中涉及的专利或知识产权说明</w:t>
      </w:r>
      <w:r>
        <w:tab/>
      </w:r>
      <w:r>
        <w:fldChar w:fldCharType="begin"/>
      </w:r>
      <w:r>
        <w:instrText xml:space="preserve"> PAGEREF _Toc3368 </w:instrText>
      </w:r>
      <w:r>
        <w:fldChar w:fldCharType="separate"/>
      </w:r>
      <w:r>
        <w:t>14</w:t>
      </w:r>
      <w:r>
        <w:fldChar w:fldCharType="end"/>
      </w:r>
      <w:r>
        <w:fldChar w:fldCharType="end"/>
      </w:r>
    </w:p>
    <w:p>
      <w:pPr>
        <w:pStyle w:val="28"/>
        <w:tabs>
          <w:tab w:val="right" w:leader="dot" w:pos="9355"/>
        </w:tabs>
        <w:ind w:firstLine="420"/>
      </w:pPr>
      <w:r>
        <w:fldChar w:fldCharType="begin"/>
      </w:r>
      <w:r>
        <w:instrText xml:space="preserve"> HYPERLINK \l "_Toc27298" </w:instrText>
      </w:r>
      <w:r>
        <w:fldChar w:fldCharType="separate"/>
      </w:r>
      <w:r>
        <w:rPr>
          <w:rFonts w:hint="eastAsia"/>
        </w:rPr>
        <w:t>六、预期达到的社会效益、对产业发展的作用等情况</w:t>
      </w:r>
      <w:r>
        <w:tab/>
      </w:r>
      <w:r>
        <w:fldChar w:fldCharType="begin"/>
      </w:r>
      <w:r>
        <w:instrText xml:space="preserve"> PAGEREF _Toc27298 </w:instrText>
      </w:r>
      <w:r>
        <w:fldChar w:fldCharType="separate"/>
      </w:r>
      <w:r>
        <w:t>14</w:t>
      </w:r>
      <w:r>
        <w:fldChar w:fldCharType="end"/>
      </w:r>
      <w:r>
        <w:fldChar w:fldCharType="end"/>
      </w:r>
    </w:p>
    <w:p>
      <w:pPr>
        <w:pStyle w:val="28"/>
        <w:tabs>
          <w:tab w:val="right" w:leader="dot" w:pos="9355"/>
        </w:tabs>
        <w:ind w:firstLine="420"/>
      </w:pPr>
      <w:r>
        <w:fldChar w:fldCharType="begin"/>
      </w:r>
      <w:r>
        <w:instrText xml:space="preserve"> HYPERLINK \l "_Toc24945" </w:instrText>
      </w:r>
      <w:r>
        <w:fldChar w:fldCharType="separate"/>
      </w:r>
      <w:r>
        <w:rPr>
          <w:rFonts w:hint="eastAsia"/>
        </w:rPr>
        <w:t>七、</w:t>
      </w:r>
      <w:r>
        <w:t>重大分歧意见的处理经过和依据</w:t>
      </w:r>
      <w:r>
        <w:tab/>
      </w:r>
      <w:r>
        <w:fldChar w:fldCharType="begin"/>
      </w:r>
      <w:r>
        <w:instrText xml:space="preserve"> PAGEREF _Toc24945 </w:instrText>
      </w:r>
      <w:r>
        <w:fldChar w:fldCharType="separate"/>
      </w:r>
      <w:r>
        <w:t>14</w:t>
      </w:r>
      <w:r>
        <w:fldChar w:fldCharType="end"/>
      </w:r>
      <w:r>
        <w:fldChar w:fldCharType="end"/>
      </w:r>
    </w:p>
    <w:p>
      <w:pPr>
        <w:pStyle w:val="28"/>
        <w:tabs>
          <w:tab w:val="right" w:leader="dot" w:pos="9355"/>
        </w:tabs>
        <w:ind w:firstLine="420"/>
      </w:pPr>
      <w:r>
        <w:fldChar w:fldCharType="begin"/>
      </w:r>
      <w:r>
        <w:instrText xml:space="preserve"> HYPERLINK \l "_Toc22267" </w:instrText>
      </w:r>
      <w:r>
        <w:fldChar w:fldCharType="separate"/>
      </w:r>
      <w:r>
        <w:rPr>
          <w:rFonts w:hint="eastAsia"/>
        </w:rPr>
        <w:t>八、</w:t>
      </w:r>
      <w:r>
        <w:t>标准作为强制性或推荐性</w:t>
      </w:r>
      <w:r>
        <w:rPr>
          <w:rFonts w:hint="eastAsia"/>
        </w:rPr>
        <w:t>行业</w:t>
      </w:r>
      <w:r>
        <w:t>标准的建议</w:t>
      </w:r>
      <w:r>
        <w:tab/>
      </w:r>
      <w:r>
        <w:fldChar w:fldCharType="begin"/>
      </w:r>
      <w:r>
        <w:instrText xml:space="preserve"> PAGEREF _Toc22267 </w:instrText>
      </w:r>
      <w:r>
        <w:fldChar w:fldCharType="separate"/>
      </w:r>
      <w:r>
        <w:t>14</w:t>
      </w:r>
      <w:r>
        <w:fldChar w:fldCharType="end"/>
      </w:r>
      <w:r>
        <w:fldChar w:fldCharType="end"/>
      </w:r>
    </w:p>
    <w:p>
      <w:pPr>
        <w:pStyle w:val="28"/>
        <w:tabs>
          <w:tab w:val="right" w:leader="dot" w:pos="9355"/>
        </w:tabs>
        <w:ind w:firstLine="420"/>
      </w:pPr>
      <w:r>
        <w:fldChar w:fldCharType="begin"/>
      </w:r>
      <w:r>
        <w:instrText xml:space="preserve"> HYPERLINK \l "_Toc4462" </w:instrText>
      </w:r>
      <w:r>
        <w:fldChar w:fldCharType="separate"/>
      </w:r>
      <w:r>
        <w:rPr>
          <w:rFonts w:hint="eastAsia"/>
        </w:rPr>
        <w:t>九、贯彻标准的要求和措施建议</w:t>
      </w:r>
      <w:r>
        <w:tab/>
      </w:r>
      <w:r>
        <w:fldChar w:fldCharType="begin"/>
      </w:r>
      <w:r>
        <w:instrText xml:space="preserve"> PAGEREF _Toc4462 </w:instrText>
      </w:r>
      <w:r>
        <w:fldChar w:fldCharType="separate"/>
      </w:r>
      <w:r>
        <w:t>14</w:t>
      </w:r>
      <w:r>
        <w:fldChar w:fldCharType="end"/>
      </w:r>
      <w:r>
        <w:fldChar w:fldCharType="end"/>
      </w:r>
    </w:p>
    <w:p>
      <w:pPr>
        <w:pStyle w:val="30"/>
        <w:tabs>
          <w:tab w:val="right" w:leader="dot" w:pos="9355"/>
        </w:tabs>
        <w:ind w:firstLine="420"/>
      </w:pPr>
      <w:r>
        <w:fldChar w:fldCharType="begin"/>
      </w:r>
      <w:r>
        <w:instrText xml:space="preserve"> HYPERLINK \l "_Toc22038" </w:instrText>
      </w:r>
      <w:r>
        <w:fldChar w:fldCharType="separate"/>
      </w:r>
      <w:r>
        <w:t xml:space="preserve">1 </w:t>
      </w:r>
      <w:r>
        <w:rPr>
          <w:rFonts w:hint="eastAsia"/>
        </w:rPr>
        <w:t>组织措施</w:t>
      </w:r>
      <w:r>
        <w:tab/>
      </w:r>
      <w:r>
        <w:fldChar w:fldCharType="begin"/>
      </w:r>
      <w:r>
        <w:instrText xml:space="preserve"> PAGEREF _Toc22038 </w:instrText>
      </w:r>
      <w:r>
        <w:fldChar w:fldCharType="separate"/>
      </w:r>
      <w:r>
        <w:t>14</w:t>
      </w:r>
      <w:r>
        <w:fldChar w:fldCharType="end"/>
      </w:r>
      <w:r>
        <w:fldChar w:fldCharType="end"/>
      </w:r>
    </w:p>
    <w:p>
      <w:pPr>
        <w:pStyle w:val="30"/>
        <w:tabs>
          <w:tab w:val="right" w:leader="dot" w:pos="9355"/>
        </w:tabs>
        <w:ind w:firstLine="420"/>
      </w:pPr>
      <w:r>
        <w:fldChar w:fldCharType="begin"/>
      </w:r>
      <w:r>
        <w:instrText xml:space="preserve"> HYPERLINK \l "_Toc7305" </w:instrText>
      </w:r>
      <w:r>
        <w:fldChar w:fldCharType="separate"/>
      </w:r>
      <w:r>
        <w:rPr>
          <w:rFonts w:hint="eastAsia"/>
        </w:rPr>
        <w:t>2</w:t>
      </w:r>
      <w:r>
        <w:t xml:space="preserve"> </w:t>
      </w:r>
      <w:r>
        <w:rPr>
          <w:rFonts w:hint="eastAsia"/>
        </w:rPr>
        <w:t>技术措施</w:t>
      </w:r>
      <w:r>
        <w:tab/>
      </w:r>
      <w:r>
        <w:fldChar w:fldCharType="begin"/>
      </w:r>
      <w:r>
        <w:instrText xml:space="preserve"> PAGEREF _Toc7305 </w:instrText>
      </w:r>
      <w:r>
        <w:fldChar w:fldCharType="separate"/>
      </w:r>
      <w:r>
        <w:t>14</w:t>
      </w:r>
      <w:r>
        <w:fldChar w:fldCharType="end"/>
      </w:r>
      <w:r>
        <w:fldChar w:fldCharType="end"/>
      </w:r>
    </w:p>
    <w:p>
      <w:pPr>
        <w:pStyle w:val="28"/>
        <w:tabs>
          <w:tab w:val="right" w:leader="dot" w:pos="9355"/>
        </w:tabs>
        <w:ind w:firstLine="420"/>
      </w:pPr>
      <w:r>
        <w:fldChar w:fldCharType="begin"/>
      </w:r>
      <w:r>
        <w:instrText xml:space="preserve"> HYPERLINK \l "_Toc31389" </w:instrText>
      </w:r>
      <w:r>
        <w:fldChar w:fldCharType="separate"/>
      </w:r>
      <w:r>
        <w:rPr>
          <w:rFonts w:hint="eastAsia"/>
        </w:rPr>
        <w:t>十、废止现行有关标准的建议</w:t>
      </w:r>
      <w:r>
        <w:tab/>
      </w:r>
      <w:r>
        <w:fldChar w:fldCharType="begin"/>
      </w:r>
      <w:r>
        <w:instrText xml:space="preserve"> PAGEREF _Toc31389 </w:instrText>
      </w:r>
      <w:r>
        <w:fldChar w:fldCharType="separate"/>
      </w:r>
      <w:r>
        <w:t>15</w:t>
      </w:r>
      <w:r>
        <w:fldChar w:fldCharType="end"/>
      </w:r>
      <w:r>
        <w:fldChar w:fldCharType="end"/>
      </w:r>
    </w:p>
    <w:p>
      <w:pPr>
        <w:adjustRightInd/>
        <w:snapToGrid/>
        <w:spacing w:before="851" w:after="680"/>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418" w:left="1418" w:header="1418" w:footer="1134" w:gutter="0"/>
          <w:pgNumType w:fmt="upperRoman" w:start="1"/>
          <w:cols w:space="720" w:num="1"/>
          <w:docGrid w:type="lines" w:linePitch="312" w:charSpace="0"/>
        </w:sectPr>
      </w:pPr>
      <w:r>
        <w:rPr>
          <w:rFonts w:hAnsi="宋体"/>
          <w:b/>
          <w:szCs w:val="21"/>
          <w:lang w:val="zh-CN"/>
        </w:rPr>
        <w:fldChar w:fldCharType="end"/>
      </w:r>
    </w:p>
    <w:bookmarkEnd w:id="0"/>
    <w:p>
      <w:pPr>
        <w:widowControl/>
        <w:adjustRightInd/>
        <w:snapToGrid/>
        <w:spacing w:before="850"/>
        <w:ind w:firstLine="0" w:firstLineChars="0"/>
        <w:jc w:val="center"/>
        <w:rPr>
          <w:rFonts w:ascii="黑体" w:hAnsi="黑体" w:eastAsia="黑体"/>
          <w:sz w:val="32"/>
          <w:szCs w:val="32"/>
        </w:rPr>
      </w:pPr>
      <w:r>
        <w:rPr>
          <w:rFonts w:hint="eastAsia" w:ascii="黑体" w:hAnsi="黑体" w:eastAsia="黑体"/>
          <w:sz w:val="32"/>
          <w:szCs w:val="32"/>
        </w:rPr>
        <w:t>《速冻巴沙鱼片、块》标准</w:t>
      </w:r>
      <w:r>
        <w:rPr>
          <w:rFonts w:ascii="黑体" w:hAnsi="黑体" w:eastAsia="黑体"/>
          <w:sz w:val="32"/>
          <w:szCs w:val="32"/>
        </w:rPr>
        <w:t>编制说明</w:t>
      </w:r>
    </w:p>
    <w:p>
      <w:pPr>
        <w:widowControl/>
        <w:adjustRightInd/>
        <w:snapToGrid/>
        <w:spacing w:before="10"/>
        <w:ind w:firstLine="0" w:firstLineChars="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征求意见</w:t>
      </w:r>
      <w:r>
        <w:rPr>
          <w:rFonts w:hint="eastAsia" w:ascii="黑体" w:hAnsi="黑体" w:eastAsia="黑体"/>
          <w:sz w:val="32"/>
          <w:szCs w:val="32"/>
        </w:rPr>
        <w:t>稿）</w:t>
      </w:r>
    </w:p>
    <w:p>
      <w:pPr>
        <w:pStyle w:val="2"/>
        <w:spacing w:before="312" w:after="312"/>
        <w:rPr>
          <w:sz w:val="24"/>
          <w:szCs w:val="24"/>
        </w:rPr>
      </w:pPr>
      <w:bookmarkStart w:id="8" w:name="_Toc497309492"/>
      <w:bookmarkStart w:id="9" w:name="_Toc20017"/>
      <w:r>
        <w:rPr>
          <w:rFonts w:hint="eastAsia"/>
          <w:sz w:val="24"/>
          <w:szCs w:val="24"/>
        </w:rPr>
        <w:t>一、</w:t>
      </w:r>
      <w:r>
        <w:rPr>
          <w:sz w:val="24"/>
          <w:szCs w:val="24"/>
        </w:rPr>
        <w:t>工作简况</w:t>
      </w:r>
      <w:bookmarkEnd w:id="8"/>
      <w:bookmarkEnd w:id="9"/>
    </w:p>
    <w:p>
      <w:pPr>
        <w:pStyle w:val="3"/>
        <w:spacing w:before="156" w:after="156"/>
        <w:rPr>
          <w:sz w:val="24"/>
          <w:szCs w:val="24"/>
        </w:rPr>
      </w:pPr>
      <w:bookmarkStart w:id="10" w:name="_Toc508985095"/>
      <w:bookmarkStart w:id="11" w:name="_Toc14909"/>
      <w:bookmarkStart w:id="12" w:name="_Toc513735996"/>
      <w:bookmarkStart w:id="13" w:name="_Toc497309493"/>
      <w:r>
        <w:rPr>
          <w:rFonts w:hint="eastAsia"/>
          <w:sz w:val="24"/>
          <w:szCs w:val="24"/>
        </w:rPr>
        <w:t xml:space="preserve">1 </w:t>
      </w:r>
      <w:r>
        <w:rPr>
          <w:sz w:val="24"/>
          <w:szCs w:val="24"/>
        </w:rPr>
        <w:t>立项目的</w:t>
      </w:r>
      <w:bookmarkEnd w:id="10"/>
      <w:bookmarkEnd w:id="11"/>
      <w:bookmarkEnd w:id="12"/>
      <w:bookmarkEnd w:id="13"/>
    </w:p>
    <w:p>
      <w:pPr>
        <w:spacing w:line="360" w:lineRule="auto"/>
        <w:ind w:firstLine="420"/>
        <w:rPr>
          <w:rFonts w:ascii="Times New Roman"/>
          <w:szCs w:val="21"/>
        </w:rPr>
      </w:pPr>
      <w:r>
        <w:rPr>
          <w:rFonts w:hint="eastAsia" w:ascii="Times New Roman"/>
          <w:szCs w:val="21"/>
        </w:rPr>
        <w:t>目前加工使用的</w:t>
      </w:r>
      <w:r>
        <w:rPr>
          <w:rFonts w:ascii="Times New Roman"/>
          <w:szCs w:val="21"/>
        </w:rPr>
        <w:t>巴沙鱼（学名：</w:t>
      </w:r>
      <w:r>
        <w:rPr>
          <w:rFonts w:hint="eastAsia" w:ascii="Times New Roman"/>
          <w:szCs w:val="21"/>
        </w:rPr>
        <w:t>低眼无齿巨鲶（Pangasius Hypophthalmus）</w:t>
      </w:r>
      <w:r>
        <w:rPr>
          <w:rFonts w:ascii="Times New Roman"/>
          <w:szCs w:val="21"/>
        </w:rPr>
        <w:t>），是东南亚国家重要的淡水养殖品种，是巨鲶属的一种，目前在我国海南</w:t>
      </w:r>
      <w:r>
        <w:rPr>
          <w:rFonts w:hint="eastAsia" w:ascii="Times New Roman"/>
          <w:szCs w:val="21"/>
        </w:rPr>
        <w:t>、广西</w:t>
      </w:r>
      <w:r>
        <w:rPr>
          <w:rFonts w:ascii="Times New Roman"/>
          <w:szCs w:val="21"/>
        </w:rPr>
        <w:t>等地区也开始逐渐进行养殖和加工。</w:t>
      </w:r>
    </w:p>
    <w:p>
      <w:pPr>
        <w:spacing w:line="360" w:lineRule="auto"/>
        <w:ind w:firstLine="420"/>
        <w:rPr>
          <w:rFonts w:ascii="Times New Roman"/>
          <w:szCs w:val="21"/>
        </w:rPr>
      </w:pPr>
      <w:r>
        <w:rPr>
          <w:rFonts w:ascii="Times New Roman"/>
          <w:szCs w:val="21"/>
        </w:rPr>
        <w:t>该鱼具有生长快、个体大、产量高、食性广、易饲养、</w:t>
      </w:r>
      <w:bookmarkStart w:id="14" w:name="_Hlk59615083"/>
      <w:r>
        <w:rPr>
          <w:rFonts w:ascii="Times New Roman"/>
          <w:szCs w:val="21"/>
        </w:rPr>
        <w:t>肉质白嫩、味道鲜美、</w:t>
      </w:r>
      <w:bookmarkEnd w:id="14"/>
      <w:r>
        <w:rPr>
          <w:rFonts w:ascii="Times New Roman"/>
          <w:szCs w:val="21"/>
        </w:rPr>
        <w:t>无肌间小刺、利于加工等优点，被广泛用于食品加工。</w:t>
      </w:r>
    </w:p>
    <w:p>
      <w:pPr>
        <w:spacing w:line="360" w:lineRule="auto"/>
        <w:ind w:firstLine="420"/>
        <w:rPr>
          <w:rFonts w:ascii="Times New Roman"/>
          <w:szCs w:val="21"/>
        </w:rPr>
      </w:pPr>
      <w:r>
        <w:rPr>
          <w:rFonts w:ascii="Times New Roman"/>
          <w:szCs w:val="21"/>
        </w:rPr>
        <w:t>目前我国没有专门针对速冻巴沙鱼片、块的产品标准。</w:t>
      </w:r>
    </w:p>
    <w:p>
      <w:pPr>
        <w:spacing w:line="360" w:lineRule="auto"/>
        <w:ind w:firstLine="420"/>
        <w:rPr>
          <w:rFonts w:ascii="Times New Roman"/>
          <w:szCs w:val="21"/>
        </w:rPr>
      </w:pPr>
      <w:r>
        <w:rPr>
          <w:rFonts w:ascii="Times New Roman"/>
          <w:szCs w:val="21"/>
        </w:rPr>
        <w:t>随着消费需求的日益增长，由于国内没有统一的标准，企业一般都是参照不同的标准来验收，导致市场上的巴沙鱼片食品安全存在风险、质量参差不齐，</w:t>
      </w:r>
      <w:r>
        <w:rPr>
          <w:rFonts w:hint="eastAsia" w:ascii="Times New Roman"/>
          <w:szCs w:val="21"/>
        </w:rPr>
        <w:t>有的企业为了经济利益，大量对鱼片进行保水、添加其他糊精、胶质类物质增重、鱼片表面镀较厚的冰衣，使鱼片的磷酸盐含量增高，鱼片质量较差，消费者买回去融化后鱼片掉秤严重、或呈粘稠糊状或碎掉。严重影响了巴沙鱼片的口碑，及巴沙鱼片加工行业的发展。</w:t>
      </w:r>
      <w:r>
        <w:rPr>
          <w:rFonts w:ascii="Times New Roman"/>
          <w:szCs w:val="21"/>
        </w:rPr>
        <w:t>本标准</w:t>
      </w:r>
      <w:r>
        <w:rPr>
          <w:rFonts w:hint="eastAsia" w:ascii="Times New Roman"/>
          <w:szCs w:val="21"/>
        </w:rPr>
        <w:t>制定的目的就是淘汰劣质生产企业和产品，促进行业发展，</w:t>
      </w:r>
      <w:r>
        <w:rPr>
          <w:rFonts w:ascii="Times New Roman"/>
          <w:szCs w:val="21"/>
        </w:rPr>
        <w:t>给消费者和监管部门提供选择和监督的依据。</w:t>
      </w:r>
    </w:p>
    <w:p>
      <w:pPr>
        <w:spacing w:line="360" w:lineRule="auto"/>
        <w:ind w:firstLine="420"/>
        <w:rPr>
          <w:rFonts w:ascii="Times New Roman"/>
          <w:szCs w:val="21"/>
        </w:rPr>
      </w:pPr>
      <w:r>
        <w:rPr>
          <w:rFonts w:ascii="Times New Roman"/>
          <w:szCs w:val="21"/>
        </w:rPr>
        <w:t>美国、欧盟、日本等农业发达国家</w:t>
      </w:r>
      <w:r>
        <w:rPr>
          <w:rFonts w:hint="eastAsia" w:ascii="Times New Roman"/>
          <w:szCs w:val="21"/>
        </w:rPr>
        <w:t>，</w:t>
      </w:r>
      <w:r>
        <w:rPr>
          <w:rFonts w:ascii="Times New Roman"/>
          <w:szCs w:val="21"/>
        </w:rPr>
        <w:t>在对农产品的食品安全严格管理的同时，也非常重视质量</w:t>
      </w:r>
      <w:r>
        <w:rPr>
          <w:rFonts w:hint="eastAsia" w:ascii="Times New Roman"/>
          <w:szCs w:val="21"/>
        </w:rPr>
        <w:t>标准</w:t>
      </w:r>
      <w:r>
        <w:rPr>
          <w:rFonts w:ascii="Times New Roman"/>
          <w:szCs w:val="21"/>
        </w:rPr>
        <w:t>，他们有较长的历史和成功的经验</w:t>
      </w:r>
      <w:r>
        <w:rPr>
          <w:rFonts w:hint="eastAsia" w:ascii="Times New Roman"/>
          <w:szCs w:val="21"/>
        </w:rPr>
        <w:t>。</w:t>
      </w:r>
      <w:r>
        <w:rPr>
          <w:rFonts w:ascii="Times New Roman"/>
          <w:szCs w:val="21"/>
        </w:rPr>
        <w:t>我国在看重食品安全方面有一定的成效，但是食品质量</w:t>
      </w:r>
      <w:r>
        <w:rPr>
          <w:rFonts w:hint="eastAsia" w:ascii="Times New Roman"/>
          <w:szCs w:val="21"/>
        </w:rPr>
        <w:t>控制、</w:t>
      </w:r>
      <w:r>
        <w:rPr>
          <w:rFonts w:ascii="Times New Roman"/>
          <w:szCs w:val="21"/>
        </w:rPr>
        <w:t>分等分级</w:t>
      </w:r>
      <w:r>
        <w:rPr>
          <w:rFonts w:hint="eastAsia" w:ascii="Times New Roman"/>
          <w:szCs w:val="21"/>
        </w:rPr>
        <w:t>、添加剂使用限制</w:t>
      </w:r>
      <w:r>
        <w:rPr>
          <w:rFonts w:ascii="Times New Roman"/>
          <w:szCs w:val="21"/>
        </w:rPr>
        <w:t>方面还</w:t>
      </w:r>
      <w:r>
        <w:rPr>
          <w:rFonts w:hint="eastAsia" w:ascii="Times New Roman"/>
          <w:szCs w:val="21"/>
        </w:rPr>
        <w:t>存在</w:t>
      </w:r>
      <w:r>
        <w:rPr>
          <w:rFonts w:ascii="Times New Roman"/>
          <w:szCs w:val="21"/>
        </w:rPr>
        <w:t>很大的</w:t>
      </w:r>
      <w:r>
        <w:rPr>
          <w:rFonts w:hint="eastAsia" w:ascii="Times New Roman"/>
          <w:szCs w:val="21"/>
        </w:rPr>
        <w:t>不足</w:t>
      </w:r>
      <w:r>
        <w:rPr>
          <w:rFonts w:ascii="Times New Roman"/>
          <w:szCs w:val="21"/>
        </w:rPr>
        <w:t>，在确保食品安全的基础上制定质量标准有利于增强市场竞争力，能更好</w:t>
      </w:r>
      <w:r>
        <w:rPr>
          <w:rFonts w:hint="eastAsia" w:ascii="Times New Roman"/>
          <w:szCs w:val="21"/>
        </w:rPr>
        <w:t>地</w:t>
      </w:r>
      <w:r>
        <w:rPr>
          <w:rFonts w:ascii="Times New Roman"/>
          <w:szCs w:val="21"/>
        </w:rPr>
        <w:t>满足消费者对</w:t>
      </w:r>
      <w:r>
        <w:rPr>
          <w:rFonts w:hint="eastAsia" w:ascii="Times New Roman"/>
          <w:szCs w:val="21"/>
        </w:rPr>
        <w:t>食品安全</w:t>
      </w:r>
      <w:r>
        <w:rPr>
          <w:rFonts w:ascii="Times New Roman"/>
          <w:szCs w:val="21"/>
        </w:rPr>
        <w:t>质量的需求。在商品经济高度发达的今天，</w:t>
      </w:r>
      <w:r>
        <w:rPr>
          <w:rFonts w:hint="eastAsia" w:ascii="Times New Roman"/>
          <w:szCs w:val="21"/>
        </w:rPr>
        <w:t>对产品的</w:t>
      </w:r>
      <w:r>
        <w:rPr>
          <w:rFonts w:ascii="Times New Roman"/>
          <w:szCs w:val="21"/>
        </w:rPr>
        <w:t>质量</w:t>
      </w:r>
      <w:r>
        <w:rPr>
          <w:rFonts w:hint="eastAsia" w:ascii="Times New Roman"/>
          <w:szCs w:val="21"/>
        </w:rPr>
        <w:t>确定更高的要求可以</w:t>
      </w:r>
      <w:r>
        <w:rPr>
          <w:rFonts w:ascii="Times New Roman"/>
          <w:szCs w:val="21"/>
        </w:rPr>
        <w:t>更好</w:t>
      </w:r>
      <w:r>
        <w:rPr>
          <w:rFonts w:hint="eastAsia" w:ascii="Times New Roman"/>
          <w:szCs w:val="21"/>
        </w:rPr>
        <w:t>地</w:t>
      </w:r>
      <w:r>
        <w:rPr>
          <w:rFonts w:ascii="Times New Roman"/>
          <w:szCs w:val="21"/>
        </w:rPr>
        <w:t>满足消费者的需求，制定速冻巴沙鱼片、块标准的意义重大。</w:t>
      </w:r>
    </w:p>
    <w:p>
      <w:pPr>
        <w:spacing w:line="360" w:lineRule="auto"/>
        <w:ind w:firstLine="420"/>
        <w:rPr>
          <w:rFonts w:ascii="Times New Roman"/>
          <w:szCs w:val="21"/>
        </w:rPr>
      </w:pPr>
      <w:r>
        <w:rPr>
          <w:rFonts w:ascii="Times New Roman"/>
          <w:szCs w:val="21"/>
        </w:rPr>
        <w:t>为此，本标准详细分析了国际、国外发达国家和地区的水产品</w:t>
      </w:r>
      <w:r>
        <w:rPr>
          <w:rFonts w:hint="eastAsia" w:ascii="Times New Roman"/>
          <w:szCs w:val="21"/>
        </w:rPr>
        <w:t>安全及质量</w:t>
      </w:r>
      <w:r>
        <w:rPr>
          <w:rFonts w:ascii="Times New Roman"/>
          <w:szCs w:val="21"/>
        </w:rPr>
        <w:t>管理情况，再通过大量的巴沙鱼实验数据研究，制定了速冻巴沙鱼片、块的标准的质量安全标准、等级划分、</w:t>
      </w:r>
      <w:r>
        <w:rPr>
          <w:rFonts w:hint="eastAsia" w:ascii="Times New Roman"/>
          <w:szCs w:val="21"/>
        </w:rPr>
        <w:t>添加剂限制、</w:t>
      </w:r>
      <w:r>
        <w:rPr>
          <w:rFonts w:ascii="Times New Roman"/>
          <w:szCs w:val="21"/>
        </w:rPr>
        <w:t>合格判定方法。本标准</w:t>
      </w:r>
      <w:r>
        <w:rPr>
          <w:rFonts w:hint="eastAsia" w:ascii="Times New Roman"/>
          <w:szCs w:val="21"/>
        </w:rPr>
        <w:t>是</w:t>
      </w:r>
      <w:r>
        <w:rPr>
          <w:rFonts w:ascii="Times New Roman"/>
          <w:szCs w:val="21"/>
        </w:rPr>
        <w:t>更符合我国巴沙鱼的详细科学的质量安全标准。有了质量安全标准，消费者和监管部门就有了统一度量的标准以参考。</w:t>
      </w:r>
    </w:p>
    <w:p>
      <w:pPr>
        <w:pStyle w:val="3"/>
        <w:spacing w:before="156" w:after="156"/>
      </w:pPr>
      <w:bookmarkStart w:id="15" w:name="_Toc508985096"/>
      <w:bookmarkStart w:id="16" w:name="_Toc29459"/>
      <w:bookmarkStart w:id="17" w:name="_Toc497309494"/>
      <w:bookmarkStart w:id="18" w:name="_Toc513735997"/>
      <w:r>
        <w:t>2 任务来源</w:t>
      </w:r>
      <w:bookmarkEnd w:id="15"/>
      <w:bookmarkEnd w:id="16"/>
      <w:bookmarkEnd w:id="17"/>
      <w:bookmarkEnd w:id="18"/>
    </w:p>
    <w:p>
      <w:pPr>
        <w:spacing w:line="360" w:lineRule="auto"/>
        <w:ind w:firstLine="420"/>
        <w:rPr>
          <w:rFonts w:ascii="Times New Roman"/>
          <w:szCs w:val="21"/>
        </w:rPr>
      </w:pPr>
      <w:r>
        <w:rPr>
          <w:rFonts w:ascii="Times New Roman"/>
          <w:szCs w:val="21"/>
        </w:rPr>
        <w:t>《速冻巴沙鱼片、块》团体标准制定任务是根据中国轻工联合会文件【关于下达《家用和类似用途食材净化机》等20项中国轻工业联合会团体标准计划的通知】（中轻联综合[2020]270号）要求，由深圳华大海洋科技有限公司、镇江华大检测有限公司、沃尔玛（中国）投资有限公司、广东恒兴集团有限公司主要负责制定，项目计划编号：2020039。</w:t>
      </w:r>
      <w:r>
        <w:rPr>
          <w:rFonts w:hint="eastAsia" w:ascii="Times New Roman"/>
          <w:szCs w:val="21"/>
        </w:rPr>
        <w:t>根据产品制定标准的需要，最终标准名称修改为《速冻巴沙鱼片、块》。</w:t>
      </w:r>
    </w:p>
    <w:p>
      <w:pPr>
        <w:pStyle w:val="3"/>
        <w:spacing w:before="156" w:after="156"/>
      </w:pPr>
      <w:bookmarkStart w:id="19" w:name="_Toc513736002"/>
      <w:bookmarkStart w:id="20" w:name="_Toc14098"/>
      <w:r>
        <w:t xml:space="preserve">3 </w:t>
      </w:r>
      <w:r>
        <w:rPr>
          <w:rFonts w:hint="eastAsia"/>
        </w:rPr>
        <w:t>工作过程</w:t>
      </w:r>
      <w:bookmarkEnd w:id="19"/>
      <w:bookmarkEnd w:id="20"/>
    </w:p>
    <w:p>
      <w:pPr>
        <w:pStyle w:val="3"/>
        <w:spacing w:before="156" w:after="156"/>
      </w:pPr>
      <w:bookmarkStart w:id="21" w:name="_Toc12098"/>
      <w:r>
        <w:rPr>
          <w:rFonts w:hint="eastAsia"/>
        </w:rPr>
        <w:t>3.1 起草阶段</w:t>
      </w:r>
      <w:bookmarkEnd w:id="21"/>
    </w:p>
    <w:p>
      <w:pPr>
        <w:spacing w:line="360" w:lineRule="auto"/>
        <w:ind w:firstLine="420"/>
        <w:rPr>
          <w:rFonts w:ascii="Times New Roman"/>
          <w:szCs w:val="21"/>
        </w:rPr>
      </w:pPr>
      <w:r>
        <w:rPr>
          <w:rFonts w:hint="eastAsia" w:ascii="Times New Roman"/>
          <w:szCs w:val="21"/>
        </w:rPr>
        <w:t>2</w:t>
      </w:r>
      <w:r>
        <w:rPr>
          <w:rFonts w:ascii="Times New Roman"/>
          <w:szCs w:val="21"/>
        </w:rPr>
        <w:t>019</w:t>
      </w:r>
      <w:r>
        <w:rPr>
          <w:rFonts w:hint="eastAsia" w:ascii="Times New Roman"/>
          <w:szCs w:val="21"/>
        </w:rPr>
        <w:t>年</w:t>
      </w:r>
      <w:r>
        <w:rPr>
          <w:rFonts w:ascii="Times New Roman"/>
          <w:szCs w:val="21"/>
        </w:rPr>
        <w:t>5</w:t>
      </w:r>
      <w:r>
        <w:rPr>
          <w:rFonts w:hint="eastAsia" w:ascii="Times New Roman"/>
          <w:szCs w:val="21"/>
        </w:rPr>
        <w:t>月至</w:t>
      </w:r>
      <w:r>
        <w:rPr>
          <w:rFonts w:ascii="Times New Roman"/>
          <w:szCs w:val="21"/>
        </w:rPr>
        <w:t>2020</w:t>
      </w:r>
      <w:r>
        <w:rPr>
          <w:rFonts w:hint="eastAsia" w:ascii="Times New Roman"/>
          <w:szCs w:val="21"/>
        </w:rPr>
        <w:t>年</w:t>
      </w:r>
      <w:r>
        <w:rPr>
          <w:rFonts w:ascii="Times New Roman"/>
          <w:szCs w:val="21"/>
        </w:rPr>
        <w:t>5月</w:t>
      </w:r>
      <w:r>
        <w:rPr>
          <w:rFonts w:hint="eastAsia" w:ascii="Times New Roman"/>
          <w:szCs w:val="21"/>
        </w:rPr>
        <w:t>，有关单位</w:t>
      </w:r>
      <w:r>
        <w:rPr>
          <w:rFonts w:ascii="Times New Roman"/>
          <w:szCs w:val="21"/>
        </w:rPr>
        <w:t>开始对国内外标准及有关技术资料进行检索整理，</w:t>
      </w:r>
      <w:r>
        <w:rPr>
          <w:rFonts w:hint="eastAsia" w:ascii="Times New Roman"/>
          <w:szCs w:val="21"/>
        </w:rPr>
        <w:t>通过不同的销售渠道搜集不同生产企业、不同销售价格、不同包装方式及不同质量的产品，针对食品安全和质量指标等项目进行实验室检测；</w:t>
      </w:r>
      <w:r>
        <w:rPr>
          <w:rFonts w:ascii="Times New Roman"/>
          <w:szCs w:val="21"/>
        </w:rPr>
        <w:t>并向生产、使用单位广泛征求制定标准的意见，</w:t>
      </w:r>
      <w:r>
        <w:rPr>
          <w:rFonts w:hint="eastAsia" w:ascii="Times New Roman"/>
          <w:szCs w:val="21"/>
        </w:rPr>
        <w:t>根据检测数据</w:t>
      </w:r>
      <w:r>
        <w:rPr>
          <w:rFonts w:ascii="Times New Roman"/>
          <w:szCs w:val="21"/>
        </w:rPr>
        <w:t>对产品质量和用户要求等进行综合分析，</w:t>
      </w:r>
      <w:r>
        <w:rPr>
          <w:rFonts w:hint="eastAsia" w:ascii="Times New Roman"/>
          <w:szCs w:val="21"/>
        </w:rPr>
        <w:t>对</w:t>
      </w:r>
      <w:r>
        <w:rPr>
          <w:rFonts w:ascii="Times New Roman"/>
          <w:szCs w:val="21"/>
        </w:rPr>
        <w:t>标准的框架结构、适用范围、</w:t>
      </w:r>
      <w:r>
        <w:rPr>
          <w:rFonts w:hint="eastAsia" w:ascii="Times New Roman"/>
          <w:szCs w:val="21"/>
        </w:rPr>
        <w:t>质量安全</w:t>
      </w:r>
      <w:r>
        <w:rPr>
          <w:rFonts w:ascii="Times New Roman"/>
          <w:szCs w:val="21"/>
        </w:rPr>
        <w:t>要求等进行充分研究</w:t>
      </w:r>
      <w:r>
        <w:rPr>
          <w:rFonts w:hint="eastAsia" w:ascii="Times New Roman"/>
          <w:szCs w:val="21"/>
        </w:rPr>
        <w:t>。</w:t>
      </w:r>
    </w:p>
    <w:p>
      <w:pPr>
        <w:spacing w:line="360" w:lineRule="auto"/>
        <w:ind w:firstLine="420"/>
        <w:rPr>
          <w:rFonts w:ascii="Times New Roman"/>
          <w:szCs w:val="21"/>
        </w:rPr>
      </w:pPr>
      <w:r>
        <w:rPr>
          <w:rFonts w:ascii="Times New Roman"/>
          <w:szCs w:val="21"/>
        </w:rPr>
        <w:t>2020年8月</w:t>
      </w:r>
      <w:bookmarkStart w:id="22" w:name="OLE_LINK4"/>
      <w:bookmarkStart w:id="23" w:name="OLE_LINK3"/>
      <w:r>
        <w:rPr>
          <w:rFonts w:hint="eastAsia" w:ascii="Times New Roman"/>
          <w:szCs w:val="21"/>
        </w:rPr>
        <w:t>，中国轻工联合会发布《冻巴沙鱼片质量通则》</w:t>
      </w:r>
      <w:r>
        <w:rPr>
          <w:rFonts w:ascii="Times New Roman"/>
          <w:szCs w:val="21"/>
        </w:rPr>
        <w:t>标准</w:t>
      </w:r>
      <w:r>
        <w:rPr>
          <w:rFonts w:hint="eastAsia" w:ascii="Times New Roman"/>
          <w:szCs w:val="21"/>
          <w:lang w:val="en-US" w:eastAsia="zh-CN"/>
        </w:rPr>
        <w:t>制定</w:t>
      </w:r>
      <w:r>
        <w:rPr>
          <w:rFonts w:ascii="Times New Roman"/>
          <w:szCs w:val="21"/>
        </w:rPr>
        <w:t>计划后，</w:t>
      </w:r>
      <w:r>
        <w:rPr>
          <w:rFonts w:hint="eastAsia" w:ascii="Times New Roman"/>
          <w:szCs w:val="21"/>
          <w:lang w:val="en-US" w:eastAsia="zh-CN"/>
        </w:rPr>
        <w:t>并</w:t>
      </w:r>
      <w:r>
        <w:rPr>
          <w:rFonts w:ascii="Times New Roman"/>
          <w:szCs w:val="21"/>
        </w:rPr>
        <w:t>于2020年11月11日召开了标准启动工作会议，和有关起草单位一同针对制定《</w:t>
      </w:r>
      <w:r>
        <w:rPr>
          <w:rFonts w:hint="eastAsia" w:ascii="Times New Roman"/>
          <w:szCs w:val="21"/>
        </w:rPr>
        <w:t>速冻巴沙鱼片、块</w:t>
      </w:r>
      <w:r>
        <w:rPr>
          <w:rFonts w:ascii="Times New Roman"/>
          <w:szCs w:val="21"/>
        </w:rPr>
        <w:t>》的具体工作进行了认真研究，确定了总体工作方案，并组建了标准起草工作小组，深圳华大海洋科技有限公司作为主起草单位，负责</w:t>
      </w:r>
      <w:r>
        <w:rPr>
          <w:rFonts w:hint="eastAsia" w:ascii="Times New Roman"/>
          <w:szCs w:val="21"/>
        </w:rPr>
        <w:t>标准内所需的数据检测、归纳、起草</w:t>
      </w:r>
      <w:r>
        <w:rPr>
          <w:rFonts w:ascii="Times New Roman"/>
          <w:szCs w:val="21"/>
        </w:rPr>
        <w:t>标准文本草稿。起草成员单位吸纳了国内主要生产和应用企业</w:t>
      </w:r>
      <w:r>
        <w:rPr>
          <w:rFonts w:hint="eastAsia" w:ascii="Times New Roman"/>
          <w:szCs w:val="21"/>
        </w:rPr>
        <w:t>，并详细分析国际、国外发达国家和地区对水产品的质量分级和管理情况，以便更好地满足国内外市场消费者的需求</w:t>
      </w:r>
      <w:r>
        <w:rPr>
          <w:rFonts w:ascii="Times New Roman"/>
          <w:szCs w:val="21"/>
        </w:rPr>
        <w:t>。</w:t>
      </w:r>
      <w:bookmarkEnd w:id="22"/>
      <w:bookmarkEnd w:id="23"/>
      <w:bookmarkStart w:id="24" w:name="OLE_LINK6"/>
      <w:bookmarkStart w:id="25" w:name="OLE_LINK5"/>
    </w:p>
    <w:p>
      <w:pPr>
        <w:spacing w:line="360" w:lineRule="auto"/>
        <w:ind w:firstLine="420"/>
        <w:rPr>
          <w:rFonts w:ascii="Times New Roman"/>
          <w:szCs w:val="21"/>
        </w:rPr>
      </w:pPr>
      <w:r>
        <w:rPr>
          <w:rFonts w:ascii="Times New Roman"/>
          <w:szCs w:val="21"/>
        </w:rPr>
        <w:t>2019年5月</w:t>
      </w:r>
      <w:r>
        <w:rPr>
          <w:rFonts w:hint="eastAsia" w:ascii="Times New Roman"/>
          <w:szCs w:val="21"/>
        </w:rPr>
        <w:t>至</w:t>
      </w:r>
      <w:r>
        <w:rPr>
          <w:rFonts w:ascii="Times New Roman"/>
          <w:szCs w:val="21"/>
        </w:rPr>
        <w:t>2020</w:t>
      </w:r>
      <w:r>
        <w:rPr>
          <w:rFonts w:hint="eastAsia" w:ascii="Times New Roman"/>
          <w:szCs w:val="21"/>
        </w:rPr>
        <w:t>年1</w:t>
      </w:r>
      <w:r>
        <w:rPr>
          <w:rFonts w:ascii="Times New Roman"/>
          <w:szCs w:val="21"/>
        </w:rPr>
        <w:t>0月，完成了样品收集和数据采集工作，多家单位完成了样品的评价工作，并针对《</w:t>
      </w:r>
      <w:r>
        <w:rPr>
          <w:rFonts w:hint="eastAsia" w:ascii="Times New Roman"/>
          <w:szCs w:val="21"/>
        </w:rPr>
        <w:t>速冻巴沙鱼片、块</w:t>
      </w:r>
      <w:r>
        <w:rPr>
          <w:rFonts w:ascii="Times New Roman"/>
          <w:szCs w:val="21"/>
        </w:rPr>
        <w:t>》初稿中所列试验方法进行了协同验证。</w:t>
      </w:r>
    </w:p>
    <w:p>
      <w:pPr>
        <w:spacing w:line="360" w:lineRule="auto"/>
        <w:ind w:firstLine="420"/>
        <w:rPr>
          <w:rFonts w:ascii="Times New Roman"/>
          <w:szCs w:val="21"/>
        </w:rPr>
      </w:pPr>
      <w:r>
        <w:rPr>
          <w:rFonts w:ascii="Times New Roman"/>
          <w:szCs w:val="21"/>
        </w:rPr>
        <w:t>2020年11月</w:t>
      </w:r>
      <w:bookmarkStart w:id="26" w:name="_Hlk57726281"/>
      <w:r>
        <w:rPr>
          <w:rFonts w:hint="eastAsia" w:ascii="Times New Roman"/>
          <w:szCs w:val="21"/>
        </w:rPr>
        <w:t>至</w:t>
      </w:r>
      <w:r>
        <w:rPr>
          <w:rFonts w:ascii="Times New Roman"/>
          <w:szCs w:val="21"/>
        </w:rPr>
        <w:t>2020年12月</w:t>
      </w:r>
      <w:bookmarkEnd w:id="24"/>
      <w:bookmarkEnd w:id="25"/>
      <w:bookmarkEnd w:id="26"/>
      <w:bookmarkStart w:id="27" w:name="OLE_LINK7"/>
      <w:r>
        <w:rPr>
          <w:rFonts w:hint="eastAsia" w:ascii="Times New Roman"/>
          <w:szCs w:val="21"/>
        </w:rPr>
        <w:t>，</w:t>
      </w:r>
      <w:r>
        <w:rPr>
          <w:rFonts w:ascii="Times New Roman"/>
          <w:szCs w:val="21"/>
        </w:rPr>
        <w:t>根据项目启动会意见，初步确定</w:t>
      </w:r>
      <w:r>
        <w:rPr>
          <w:rFonts w:hint="eastAsia" w:ascii="Times New Roman"/>
          <w:szCs w:val="21"/>
        </w:rPr>
        <w:t>冻巴沙鱼片、块</w:t>
      </w:r>
      <w:r>
        <w:rPr>
          <w:rFonts w:ascii="Times New Roman"/>
          <w:szCs w:val="21"/>
        </w:rPr>
        <w:t>的</w:t>
      </w:r>
      <w:r>
        <w:rPr>
          <w:rFonts w:hint="eastAsia" w:ascii="Times New Roman"/>
          <w:szCs w:val="21"/>
        </w:rPr>
        <w:t>产品范围、术语和定义、要求、</w:t>
      </w:r>
      <w:r>
        <w:rPr>
          <w:rFonts w:ascii="Times New Roman"/>
          <w:szCs w:val="21"/>
        </w:rPr>
        <w:t>试验方法</w:t>
      </w:r>
      <w:r>
        <w:rPr>
          <w:rFonts w:hint="eastAsia" w:ascii="Times New Roman"/>
          <w:szCs w:val="21"/>
        </w:rPr>
        <w:t>、检验规则、标志、包装、运输和贮存等</w:t>
      </w:r>
      <w:r>
        <w:rPr>
          <w:rFonts w:ascii="Times New Roman"/>
          <w:szCs w:val="21"/>
        </w:rPr>
        <w:t>，由起草工作组提出了</w:t>
      </w:r>
      <w:bookmarkStart w:id="28" w:name="_Hlk57983952"/>
      <w:r>
        <w:rPr>
          <w:rFonts w:ascii="Times New Roman"/>
          <w:szCs w:val="21"/>
        </w:rPr>
        <w:t>《</w:t>
      </w:r>
      <w:r>
        <w:rPr>
          <w:rFonts w:hint="eastAsia" w:ascii="Times New Roman"/>
          <w:szCs w:val="21"/>
        </w:rPr>
        <w:t>速冻巴沙鱼片、块</w:t>
      </w:r>
      <w:r>
        <w:rPr>
          <w:rFonts w:ascii="Times New Roman"/>
          <w:szCs w:val="21"/>
        </w:rPr>
        <w:t>》</w:t>
      </w:r>
      <w:bookmarkEnd w:id="28"/>
      <w:r>
        <w:rPr>
          <w:rFonts w:ascii="Times New Roman"/>
          <w:szCs w:val="21"/>
        </w:rPr>
        <w:t>初稿。</w:t>
      </w:r>
      <w:bookmarkEnd w:id="27"/>
    </w:p>
    <w:p>
      <w:pPr>
        <w:spacing w:line="360" w:lineRule="auto"/>
        <w:ind w:firstLine="420"/>
        <w:rPr>
          <w:rFonts w:ascii="Times New Roman"/>
          <w:szCs w:val="21"/>
        </w:rPr>
      </w:pPr>
      <w:r>
        <w:rPr>
          <w:rFonts w:hint="eastAsia" w:ascii="Times New Roman"/>
          <w:szCs w:val="21"/>
        </w:rPr>
        <w:t>2020年12月，在前期工作的基础上，由深圳华大海洋科技有限公司草拟《速冻巴沙鱼片、块》编制说明，并于2020年12月25日</w:t>
      </w:r>
      <w:r>
        <w:rPr>
          <w:rFonts w:hint="eastAsia" w:ascii="Times New Roman"/>
          <w:szCs w:val="21"/>
        </w:rPr>
        <w:t>完成《速冻巴沙鱼片、块》（征求意见稿）和编制说明。</w:t>
      </w:r>
    </w:p>
    <w:p>
      <w:pPr>
        <w:pStyle w:val="3"/>
        <w:spacing w:before="156" w:after="156"/>
        <w:rPr>
          <w:sz w:val="24"/>
          <w:szCs w:val="24"/>
        </w:rPr>
      </w:pPr>
      <w:bookmarkStart w:id="29" w:name="_Toc2837"/>
      <w:r>
        <w:rPr>
          <w:rFonts w:hint="eastAsia"/>
          <w:sz w:val="24"/>
          <w:szCs w:val="24"/>
        </w:rPr>
        <w:t>3.2 征求意见阶段</w:t>
      </w:r>
      <w:bookmarkEnd w:id="29"/>
    </w:p>
    <w:p>
      <w:pPr>
        <w:ind w:firstLine="420"/>
      </w:pPr>
      <w:r>
        <w:rPr>
          <w:rFonts w:hint="eastAsia"/>
        </w:rPr>
        <w:t>2</w:t>
      </w:r>
      <w:r>
        <w:t>020</w:t>
      </w:r>
      <w:r>
        <w:rPr>
          <w:rFonts w:hint="eastAsia"/>
        </w:rPr>
        <w:t>年1</w:t>
      </w:r>
      <w:r>
        <w:t>1</w:t>
      </w:r>
      <w:r>
        <w:rPr>
          <w:rFonts w:hint="eastAsia"/>
        </w:rPr>
        <w:t>月-</w:t>
      </w:r>
      <w:r>
        <w:t>2020</w:t>
      </w:r>
      <w:r>
        <w:rPr>
          <w:rFonts w:hint="eastAsia"/>
        </w:rPr>
        <w:t>年</w:t>
      </w:r>
      <w:r>
        <w:t>12</w:t>
      </w:r>
      <w:r>
        <w:rPr>
          <w:rFonts w:hint="eastAsia"/>
        </w:rPr>
        <w:t>月 编写单位内部征求修改意见</w:t>
      </w:r>
    </w:p>
    <w:p>
      <w:pPr>
        <w:pStyle w:val="3"/>
        <w:spacing w:before="156" w:after="156"/>
        <w:rPr>
          <w:sz w:val="24"/>
          <w:szCs w:val="24"/>
        </w:rPr>
      </w:pPr>
      <w:bookmarkStart w:id="30" w:name="_Toc14249"/>
      <w:r>
        <w:rPr>
          <w:rFonts w:hint="eastAsia"/>
          <w:sz w:val="24"/>
          <w:szCs w:val="24"/>
        </w:rPr>
        <w:t>4 主要参加单位和工作组成员及其所做的工作等</w:t>
      </w:r>
      <w:bookmarkEnd w:id="30"/>
    </w:p>
    <w:tbl>
      <w:tblPr>
        <w:tblStyle w:val="3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1"/>
        <w:gridCol w:w="1650"/>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vAlign w:val="center"/>
          </w:tcPr>
          <w:p>
            <w:pPr>
              <w:widowControl/>
              <w:spacing w:line="360" w:lineRule="exact"/>
              <w:ind w:firstLine="0" w:firstLineChars="0"/>
              <w:jc w:val="center"/>
              <w:rPr>
                <w:rFonts w:ascii="Times New Roman"/>
                <w:kern w:val="0"/>
                <w:szCs w:val="21"/>
              </w:rPr>
            </w:pPr>
            <w:r>
              <w:rPr>
                <w:rFonts w:ascii="Times New Roman"/>
                <w:kern w:val="0"/>
                <w:szCs w:val="21"/>
              </w:rPr>
              <w:t>主要参加单位</w:t>
            </w:r>
          </w:p>
        </w:tc>
        <w:tc>
          <w:tcPr>
            <w:tcW w:w="1650" w:type="dxa"/>
            <w:shd w:val="clear" w:color="auto" w:fill="auto"/>
            <w:vAlign w:val="center"/>
          </w:tcPr>
          <w:p>
            <w:pPr>
              <w:widowControl/>
              <w:spacing w:line="360" w:lineRule="exact"/>
              <w:ind w:firstLine="0" w:firstLineChars="0"/>
              <w:jc w:val="center"/>
              <w:rPr>
                <w:rFonts w:ascii="Times New Roman"/>
                <w:kern w:val="0"/>
                <w:szCs w:val="21"/>
              </w:rPr>
            </w:pPr>
            <w:r>
              <w:rPr>
                <w:rFonts w:ascii="Times New Roman"/>
                <w:kern w:val="0"/>
                <w:szCs w:val="21"/>
              </w:rPr>
              <w:t>成员</w:t>
            </w:r>
          </w:p>
        </w:tc>
        <w:tc>
          <w:tcPr>
            <w:tcW w:w="4686" w:type="dxa"/>
            <w:shd w:val="clear" w:color="auto" w:fill="auto"/>
            <w:vAlign w:val="center"/>
          </w:tcPr>
          <w:p>
            <w:pPr>
              <w:widowControl/>
              <w:spacing w:line="360" w:lineRule="exact"/>
              <w:ind w:firstLine="0" w:firstLineChars="0"/>
              <w:jc w:val="center"/>
              <w:rPr>
                <w:rFonts w:ascii="Times New Roman"/>
                <w:kern w:val="0"/>
                <w:szCs w:val="21"/>
              </w:rPr>
            </w:pPr>
            <w:r>
              <w:rPr>
                <w:rFonts w:ascii="Times New Roman"/>
                <w:kern w:val="0"/>
                <w:szCs w:val="21"/>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vAlign w:val="center"/>
          </w:tcPr>
          <w:p>
            <w:pPr>
              <w:widowControl/>
              <w:spacing w:line="360" w:lineRule="exact"/>
              <w:ind w:firstLine="0" w:firstLineChars="0"/>
              <w:jc w:val="center"/>
              <w:rPr>
                <w:rFonts w:ascii="Times New Roman"/>
                <w:kern w:val="0"/>
                <w:szCs w:val="21"/>
              </w:rPr>
            </w:pPr>
            <w:r>
              <w:rPr>
                <w:rFonts w:ascii="Times New Roman"/>
                <w:kern w:val="0"/>
                <w:szCs w:val="21"/>
              </w:rPr>
              <w:t>深圳华大海洋科技有限公司</w:t>
            </w:r>
          </w:p>
        </w:tc>
        <w:tc>
          <w:tcPr>
            <w:tcW w:w="1650" w:type="dxa"/>
            <w:shd w:val="clear" w:color="auto" w:fill="auto"/>
            <w:vAlign w:val="center"/>
          </w:tcPr>
          <w:p>
            <w:pPr>
              <w:widowControl/>
              <w:spacing w:line="360" w:lineRule="exact"/>
              <w:ind w:firstLine="0" w:firstLineChars="0"/>
              <w:jc w:val="center"/>
              <w:rPr>
                <w:rFonts w:ascii="Times New Roman"/>
                <w:kern w:val="0"/>
                <w:szCs w:val="21"/>
              </w:rPr>
            </w:pPr>
            <w:r>
              <w:rPr>
                <w:rFonts w:ascii="Times New Roman"/>
                <w:kern w:val="0"/>
                <w:szCs w:val="21"/>
              </w:rPr>
              <w:t>王继红</w:t>
            </w:r>
          </w:p>
        </w:tc>
        <w:tc>
          <w:tcPr>
            <w:tcW w:w="4686" w:type="dxa"/>
            <w:shd w:val="clear" w:color="auto" w:fill="auto"/>
            <w:vAlign w:val="center"/>
          </w:tcPr>
          <w:p>
            <w:pPr>
              <w:widowControl/>
              <w:spacing w:line="360" w:lineRule="exact"/>
              <w:ind w:firstLine="0" w:firstLineChars="0"/>
              <w:rPr>
                <w:rFonts w:ascii="Times New Roman"/>
                <w:kern w:val="0"/>
                <w:szCs w:val="21"/>
              </w:rPr>
            </w:pPr>
            <w:r>
              <w:rPr>
                <w:rFonts w:ascii="Times New Roman"/>
                <w:kern w:val="0"/>
                <w:szCs w:val="21"/>
              </w:rPr>
              <w:t>负责标准制定的组织、协调，并承担国内外相关标准和技术资料的收集、翻译，编制调查方案，主持样品评价，建立试验方法，并负责标准起草和编制说明编写工作。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3001" w:type="dxa"/>
            <w:vAlign w:val="center"/>
          </w:tcPr>
          <w:p>
            <w:pPr>
              <w:widowControl/>
              <w:spacing w:line="360" w:lineRule="exact"/>
              <w:ind w:firstLine="0" w:firstLineChars="0"/>
              <w:jc w:val="center"/>
              <w:rPr>
                <w:rFonts w:ascii="Times New Roman"/>
                <w:kern w:val="0"/>
                <w:szCs w:val="21"/>
              </w:rPr>
            </w:pPr>
            <w:r>
              <w:rPr>
                <w:rFonts w:ascii="Times New Roman"/>
                <w:kern w:val="0"/>
                <w:szCs w:val="21"/>
              </w:rPr>
              <w:t>镇江华大检测有限公司</w:t>
            </w:r>
          </w:p>
        </w:tc>
        <w:tc>
          <w:tcPr>
            <w:tcW w:w="1650" w:type="dxa"/>
            <w:shd w:val="clear" w:color="auto" w:fill="auto"/>
            <w:vAlign w:val="center"/>
          </w:tcPr>
          <w:p>
            <w:pPr>
              <w:widowControl/>
              <w:spacing w:line="360" w:lineRule="exact"/>
              <w:ind w:firstLine="0" w:firstLineChars="0"/>
              <w:jc w:val="center"/>
              <w:rPr>
                <w:rFonts w:ascii="Times New Roman"/>
                <w:color w:val="FF0000"/>
                <w:kern w:val="0"/>
                <w:szCs w:val="21"/>
              </w:rPr>
            </w:pPr>
            <w:r>
              <w:rPr>
                <w:rFonts w:ascii="Times New Roman"/>
                <w:color w:val="FF0000"/>
                <w:kern w:val="0"/>
                <w:szCs w:val="21"/>
              </w:rPr>
              <w:t>崔海月</w:t>
            </w:r>
          </w:p>
          <w:p>
            <w:pPr>
              <w:widowControl/>
              <w:spacing w:line="360" w:lineRule="exact"/>
              <w:ind w:firstLine="0" w:firstLineChars="0"/>
              <w:jc w:val="center"/>
              <w:rPr>
                <w:rFonts w:ascii="Times New Roman"/>
                <w:kern w:val="0"/>
                <w:szCs w:val="21"/>
              </w:rPr>
            </w:pPr>
            <w:r>
              <w:rPr>
                <w:rFonts w:hint="eastAsia" w:ascii="Times New Roman"/>
                <w:color w:val="FF0000"/>
                <w:kern w:val="0"/>
                <w:szCs w:val="21"/>
              </w:rPr>
              <w:t>张鹏</w:t>
            </w:r>
          </w:p>
        </w:tc>
        <w:tc>
          <w:tcPr>
            <w:tcW w:w="4686" w:type="dxa"/>
            <w:shd w:val="clear" w:color="auto" w:fill="auto"/>
            <w:vAlign w:val="center"/>
          </w:tcPr>
          <w:p>
            <w:pPr>
              <w:widowControl/>
              <w:spacing w:line="360" w:lineRule="exact"/>
              <w:ind w:firstLine="0" w:firstLineChars="0"/>
              <w:rPr>
                <w:rFonts w:ascii="Times New Roman"/>
                <w:kern w:val="0"/>
                <w:szCs w:val="21"/>
              </w:rPr>
            </w:pPr>
            <w:r>
              <w:rPr>
                <w:rFonts w:ascii="Times New Roman"/>
                <w:kern w:val="0"/>
                <w:szCs w:val="21"/>
              </w:rPr>
              <w:t>参与方案的确定、标准起草、</w:t>
            </w:r>
            <w:r>
              <w:rPr>
                <w:rFonts w:hint="eastAsia" w:ascii="Times New Roman"/>
                <w:kern w:val="0"/>
                <w:szCs w:val="21"/>
              </w:rPr>
              <w:t>理化指标验证、</w:t>
            </w:r>
            <w:r>
              <w:rPr>
                <w:rFonts w:ascii="Times New Roman"/>
                <w:kern w:val="0"/>
                <w:szCs w:val="21"/>
              </w:rPr>
              <w:t>样品评价、试验方法验证。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vAlign w:val="center"/>
          </w:tcPr>
          <w:p>
            <w:pPr>
              <w:widowControl/>
              <w:spacing w:line="360" w:lineRule="exact"/>
              <w:ind w:firstLine="0" w:firstLineChars="0"/>
              <w:jc w:val="center"/>
              <w:rPr>
                <w:rFonts w:ascii="Times New Roman"/>
                <w:color w:val="FF0000"/>
                <w:kern w:val="0"/>
                <w:szCs w:val="21"/>
              </w:rPr>
            </w:pPr>
            <w:r>
              <w:rPr>
                <w:rFonts w:ascii="Times New Roman"/>
                <w:kern w:val="0"/>
                <w:szCs w:val="21"/>
              </w:rPr>
              <w:t>沃尔玛（中国）投资有限公司</w:t>
            </w:r>
          </w:p>
        </w:tc>
        <w:tc>
          <w:tcPr>
            <w:tcW w:w="1650" w:type="dxa"/>
            <w:shd w:val="clear" w:color="auto" w:fill="auto"/>
            <w:vAlign w:val="center"/>
          </w:tcPr>
          <w:p>
            <w:pPr>
              <w:widowControl/>
              <w:spacing w:line="360" w:lineRule="exact"/>
              <w:ind w:firstLine="0" w:firstLineChars="0"/>
              <w:jc w:val="center"/>
              <w:rPr>
                <w:rFonts w:ascii="Times New Roman"/>
                <w:color w:val="FF0000"/>
                <w:kern w:val="0"/>
                <w:szCs w:val="21"/>
              </w:rPr>
            </w:pPr>
            <w:r>
              <w:rPr>
                <w:rFonts w:hint="eastAsia" w:ascii="Times New Roman"/>
                <w:color w:val="FF0000"/>
                <w:kern w:val="0"/>
                <w:szCs w:val="21"/>
              </w:rPr>
              <w:t>孟令扬</w:t>
            </w:r>
          </w:p>
        </w:tc>
        <w:tc>
          <w:tcPr>
            <w:tcW w:w="4686" w:type="dxa"/>
            <w:shd w:val="clear" w:color="auto" w:fill="auto"/>
            <w:vAlign w:val="center"/>
          </w:tcPr>
          <w:p>
            <w:pPr>
              <w:widowControl/>
              <w:spacing w:line="360" w:lineRule="exact"/>
              <w:ind w:firstLine="0" w:firstLineChars="0"/>
              <w:rPr>
                <w:rFonts w:ascii="Times New Roman"/>
                <w:kern w:val="0"/>
                <w:szCs w:val="21"/>
              </w:rPr>
            </w:pPr>
            <w:r>
              <w:rPr>
                <w:rFonts w:ascii="Times New Roman"/>
                <w:kern w:val="0"/>
                <w:szCs w:val="21"/>
              </w:rPr>
              <w:t>提供产品样本，参与方案的确定、标准起草、样品评价。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vAlign w:val="center"/>
          </w:tcPr>
          <w:p>
            <w:pPr>
              <w:widowControl/>
              <w:spacing w:line="360" w:lineRule="exact"/>
              <w:ind w:firstLine="0" w:firstLineChars="0"/>
              <w:jc w:val="center"/>
              <w:rPr>
                <w:rFonts w:ascii="Times New Roman"/>
                <w:kern w:val="0"/>
                <w:szCs w:val="21"/>
              </w:rPr>
            </w:pPr>
            <w:r>
              <w:rPr>
                <w:rFonts w:ascii="Times New Roman"/>
                <w:szCs w:val="21"/>
              </w:rPr>
              <w:t>广东恒兴集团有限公司</w:t>
            </w:r>
          </w:p>
        </w:tc>
        <w:tc>
          <w:tcPr>
            <w:tcW w:w="1650" w:type="dxa"/>
            <w:shd w:val="clear" w:color="auto" w:fill="auto"/>
            <w:vAlign w:val="center"/>
          </w:tcPr>
          <w:p>
            <w:pPr>
              <w:widowControl/>
              <w:spacing w:line="360" w:lineRule="exact"/>
              <w:ind w:firstLine="0" w:firstLineChars="0"/>
              <w:jc w:val="center"/>
              <w:rPr>
                <w:rFonts w:ascii="Times New Roman"/>
                <w:color w:val="FF0000"/>
                <w:kern w:val="0"/>
                <w:szCs w:val="21"/>
              </w:rPr>
            </w:pPr>
            <w:r>
              <w:rPr>
                <w:rFonts w:hint="eastAsia" w:ascii="Times New Roman"/>
                <w:color w:val="FF0000"/>
                <w:kern w:val="0"/>
                <w:szCs w:val="21"/>
              </w:rPr>
              <w:t>林海君</w:t>
            </w:r>
          </w:p>
        </w:tc>
        <w:tc>
          <w:tcPr>
            <w:tcW w:w="4686" w:type="dxa"/>
            <w:shd w:val="clear" w:color="auto" w:fill="auto"/>
            <w:vAlign w:val="center"/>
          </w:tcPr>
          <w:p>
            <w:pPr>
              <w:widowControl/>
              <w:spacing w:line="360" w:lineRule="exact"/>
              <w:ind w:firstLine="0" w:firstLineChars="0"/>
              <w:rPr>
                <w:rFonts w:ascii="Times New Roman"/>
                <w:kern w:val="0"/>
                <w:szCs w:val="21"/>
              </w:rPr>
            </w:pPr>
            <w:r>
              <w:rPr>
                <w:rFonts w:ascii="Times New Roman"/>
                <w:kern w:val="0"/>
                <w:szCs w:val="21"/>
              </w:rPr>
              <w:t>提供产品样本，参与方案的确定、标准起草、样品评价。</w:t>
            </w:r>
          </w:p>
        </w:tc>
      </w:tr>
    </w:tbl>
    <w:p>
      <w:pPr>
        <w:pStyle w:val="2"/>
        <w:spacing w:before="312" w:after="312"/>
        <w:rPr>
          <w:sz w:val="24"/>
          <w:szCs w:val="24"/>
        </w:rPr>
      </w:pPr>
      <w:bookmarkStart w:id="31" w:name="_Toc497309525"/>
      <w:bookmarkStart w:id="32" w:name="_Toc2618"/>
      <w:r>
        <w:rPr>
          <w:rFonts w:hint="eastAsia"/>
          <w:sz w:val="24"/>
          <w:szCs w:val="24"/>
        </w:rPr>
        <w:t>二、</w:t>
      </w:r>
      <w:bookmarkEnd w:id="31"/>
      <w:r>
        <w:rPr>
          <w:rFonts w:hint="eastAsia"/>
          <w:sz w:val="24"/>
          <w:szCs w:val="24"/>
        </w:rPr>
        <w:t>标准主要条款说明</w:t>
      </w:r>
      <w:bookmarkEnd w:id="32"/>
    </w:p>
    <w:p>
      <w:pPr>
        <w:pStyle w:val="3"/>
        <w:spacing w:before="156" w:after="156"/>
        <w:rPr>
          <w:sz w:val="24"/>
          <w:szCs w:val="24"/>
        </w:rPr>
      </w:pPr>
      <w:bookmarkStart w:id="33" w:name="_Toc75"/>
      <w:r>
        <w:rPr>
          <w:rFonts w:hint="eastAsia"/>
          <w:sz w:val="24"/>
          <w:szCs w:val="24"/>
        </w:rPr>
        <w:t>1、范围</w:t>
      </w:r>
      <w:bookmarkEnd w:id="33"/>
    </w:p>
    <w:p>
      <w:pPr>
        <w:tabs>
          <w:tab w:val="right" w:pos="8306"/>
        </w:tabs>
        <w:spacing w:line="360" w:lineRule="auto"/>
        <w:ind w:firstLine="420"/>
        <w:rPr>
          <w:rFonts w:hAnsi="宋体"/>
          <w:szCs w:val="21"/>
        </w:rPr>
      </w:pPr>
      <w:r>
        <w:rPr>
          <w:rFonts w:hint="eastAsia" w:hAnsi="宋体"/>
          <w:szCs w:val="21"/>
        </w:rPr>
        <w:t>本标准规定了速冻巴沙鱼片、块的技术要求、试验方法、检验规则、标志、包装、运输和贮存。</w:t>
      </w:r>
    </w:p>
    <w:p>
      <w:pPr>
        <w:spacing w:line="360" w:lineRule="auto"/>
        <w:ind w:firstLine="420"/>
        <w:rPr>
          <w:rFonts w:ascii="Times New Roman"/>
        </w:rPr>
      </w:pPr>
      <w:r>
        <w:rPr>
          <w:rFonts w:ascii="Times New Roman"/>
        </w:rPr>
        <w:t>本标准</w:t>
      </w:r>
      <w:r>
        <w:rPr>
          <w:rFonts w:hint="eastAsia" w:ascii="Times New Roman"/>
        </w:rPr>
        <w:t>适用于速冻巴沙鱼片、块的生产、检验和销售。</w:t>
      </w:r>
    </w:p>
    <w:p>
      <w:pPr>
        <w:pStyle w:val="3"/>
        <w:spacing w:before="156" w:after="156"/>
        <w:rPr>
          <w:sz w:val="24"/>
          <w:szCs w:val="24"/>
        </w:rPr>
      </w:pPr>
      <w:bookmarkStart w:id="34" w:name="_Toc12471"/>
      <w:r>
        <w:rPr>
          <w:rFonts w:hint="eastAsia"/>
          <w:sz w:val="24"/>
          <w:szCs w:val="24"/>
        </w:rPr>
        <w:t>2、术语和定义</w:t>
      </w:r>
      <w:bookmarkEnd w:id="34"/>
    </w:p>
    <w:p>
      <w:pPr>
        <w:spacing w:line="360" w:lineRule="auto"/>
        <w:ind w:firstLine="420"/>
      </w:pPr>
      <w:r>
        <w:rPr>
          <w:rFonts w:hint="eastAsia"/>
        </w:rPr>
        <w:t>根据目前巴沙鱼片、块的加工原料、加工工艺及产品的贮存情况，确定了速冻巴沙鱼片、块的定义及规格要求。</w:t>
      </w:r>
    </w:p>
    <w:p>
      <w:pPr>
        <w:pStyle w:val="3"/>
        <w:spacing w:before="156" w:after="156"/>
        <w:rPr>
          <w:sz w:val="24"/>
          <w:szCs w:val="24"/>
        </w:rPr>
      </w:pPr>
      <w:bookmarkStart w:id="35" w:name="_Toc5068"/>
      <w:r>
        <w:rPr>
          <w:rFonts w:hint="eastAsia"/>
          <w:sz w:val="24"/>
          <w:szCs w:val="24"/>
        </w:rPr>
        <w:t>2.1 速冻巴沙鱼片</w:t>
      </w:r>
      <w:bookmarkEnd w:id="35"/>
      <w:r>
        <w:rPr>
          <w:rFonts w:hint="eastAsia"/>
          <w:sz w:val="24"/>
          <w:szCs w:val="24"/>
        </w:rPr>
        <w:t>（Frozen Pangasius Hypophthalmus Fillet）</w:t>
      </w:r>
    </w:p>
    <w:p>
      <w:pPr>
        <w:pStyle w:val="3"/>
        <w:spacing w:before="156" w:after="156"/>
        <w:rPr>
          <w:rFonts w:ascii="Times New Roman" w:hAnsi="Times New Roman" w:eastAsia="宋体"/>
          <w:bCs w:val="0"/>
          <w:kern w:val="2"/>
          <w:sz w:val="21"/>
          <w:szCs w:val="24"/>
        </w:rPr>
      </w:pPr>
      <w:bookmarkStart w:id="36" w:name="_Toc18676"/>
      <w:r>
        <w:rPr>
          <w:rFonts w:hint="eastAsia" w:ascii="Times New Roman" w:hAnsi="Times New Roman" w:eastAsia="宋体"/>
          <w:bCs w:val="0"/>
          <w:kern w:val="2"/>
          <w:sz w:val="21"/>
          <w:szCs w:val="24"/>
        </w:rPr>
        <w:t>以活低眼无齿巨鲶（Pangasius Hypophthalmus）或以去头去脏的冻活低眼无齿巨鲶（Pangasius Hypophthalmus）为原料，活鱼经过去头脏（冻鱼解冻后）采取去刺、去皮或不去皮、保水或不保水、速冻、包冰衣等工艺制成的片状产品。</w:t>
      </w:r>
    </w:p>
    <w:p>
      <w:pPr>
        <w:pStyle w:val="3"/>
        <w:spacing w:before="156" w:after="156"/>
        <w:rPr>
          <w:rFonts w:hint="eastAsia"/>
          <w:sz w:val="24"/>
          <w:szCs w:val="24"/>
        </w:rPr>
      </w:pPr>
      <w:r>
        <w:rPr>
          <w:rFonts w:hint="eastAsia"/>
          <w:sz w:val="24"/>
          <w:szCs w:val="24"/>
        </w:rPr>
        <w:t>2.2</w:t>
      </w:r>
      <w:bookmarkEnd w:id="36"/>
      <w:bookmarkStart w:id="37" w:name="_Toc7157"/>
      <w:r>
        <w:rPr>
          <w:rFonts w:hint="eastAsia"/>
          <w:sz w:val="24"/>
          <w:szCs w:val="24"/>
        </w:rPr>
        <w:t>速冻巴沙鱼块（Frozen Pangasius Hypophthalmus Portion）</w:t>
      </w:r>
    </w:p>
    <w:p>
      <w:pPr>
        <w:pStyle w:val="3"/>
        <w:spacing w:before="156" w:after="156"/>
      </w:pPr>
      <w:r>
        <w:rPr>
          <w:rFonts w:hint="eastAsia"/>
        </w:rPr>
        <w:t>以活低眼无齿巨鲶（Pangasius Hypophthalmus）或以去头去脏的冻活低眼无齿巨鲶（Pangasius Hypophthalmus）为原料，，活鱼经过去头脏（冻鱼解冻后）采取去刺、去皮或不去皮、以一定规格切块、保水或不保水、速冻、包冰衣等工艺制成的块状产品。</w:t>
      </w:r>
    </w:p>
    <w:p>
      <w:pPr>
        <w:pStyle w:val="3"/>
        <w:spacing w:before="156" w:after="156"/>
        <w:rPr>
          <w:sz w:val="24"/>
          <w:szCs w:val="24"/>
        </w:rPr>
      </w:pPr>
      <w:r>
        <w:rPr>
          <w:rFonts w:hint="eastAsia"/>
          <w:sz w:val="24"/>
          <w:szCs w:val="24"/>
        </w:rPr>
        <w:t>2.3 规格</w:t>
      </w:r>
      <w:bookmarkEnd w:id="37"/>
      <w:r>
        <w:rPr>
          <w:rFonts w:hint="eastAsia"/>
          <w:sz w:val="24"/>
          <w:szCs w:val="24"/>
        </w:rPr>
        <w:t>（Size）</w:t>
      </w:r>
    </w:p>
    <w:p>
      <w:pPr>
        <w:spacing w:line="360" w:lineRule="auto"/>
        <w:ind w:firstLine="420"/>
        <w:rPr>
          <w:rFonts w:ascii="Times New Roman"/>
        </w:rPr>
      </w:pPr>
      <w:r>
        <w:rPr>
          <w:rFonts w:ascii="Times New Roman"/>
        </w:rPr>
        <w:t>按鱼片</w:t>
      </w:r>
      <w:r>
        <w:rPr>
          <w:rFonts w:hint="eastAsia" w:ascii="Times New Roman"/>
        </w:rPr>
        <w:t>、块</w:t>
      </w:r>
      <w:r>
        <w:rPr>
          <w:rFonts w:ascii="Times New Roman"/>
        </w:rPr>
        <w:t>个体大小划分</w:t>
      </w:r>
      <w:r>
        <w:rPr>
          <w:rFonts w:hint="eastAsia" w:ascii="Times New Roman"/>
        </w:rPr>
        <w:t>的品类</w:t>
      </w:r>
      <w:r>
        <w:rPr>
          <w:rFonts w:ascii="Times New Roman"/>
        </w:rPr>
        <w:t>。</w:t>
      </w:r>
    </w:p>
    <w:p>
      <w:pPr>
        <w:pStyle w:val="3"/>
        <w:spacing w:before="156" w:after="156"/>
        <w:rPr>
          <w:sz w:val="24"/>
          <w:szCs w:val="24"/>
        </w:rPr>
      </w:pPr>
      <w:bookmarkStart w:id="38" w:name="_Toc25207"/>
      <w:r>
        <w:rPr>
          <w:rFonts w:hint="eastAsia"/>
          <w:sz w:val="24"/>
          <w:szCs w:val="24"/>
        </w:rPr>
        <w:t>3、要求</w:t>
      </w:r>
      <w:bookmarkEnd w:id="38"/>
    </w:p>
    <w:p>
      <w:pPr>
        <w:ind w:firstLine="420"/>
        <w:rPr>
          <w:rFonts w:hint="eastAsia"/>
        </w:rPr>
      </w:pPr>
    </w:p>
    <w:p>
      <w:pPr>
        <w:pStyle w:val="3"/>
        <w:spacing w:before="156" w:after="156"/>
        <w:rPr>
          <w:sz w:val="24"/>
          <w:szCs w:val="24"/>
        </w:rPr>
      </w:pPr>
      <w:bookmarkStart w:id="39" w:name="_Toc19347"/>
      <w:r>
        <w:rPr>
          <w:rFonts w:hint="eastAsia"/>
          <w:sz w:val="24"/>
          <w:szCs w:val="24"/>
        </w:rPr>
        <w:t>3.1 原、辅料及加工用水要求</w:t>
      </w:r>
      <w:bookmarkEnd w:id="39"/>
    </w:p>
    <w:p>
      <w:pPr>
        <w:spacing w:line="360" w:lineRule="auto"/>
        <w:ind w:firstLine="420"/>
        <w:rPr>
          <w:rFonts w:ascii="Times New Roman"/>
        </w:rPr>
      </w:pPr>
      <w:r>
        <w:rPr>
          <w:rFonts w:hint="eastAsia" w:ascii="Times New Roman"/>
        </w:rPr>
        <w:t>速冻巴沙鱼片、块原料采用的是鲜活巴沙鱼或者去头脏的冷冻巴沙鱼，在加工过程中不使用辅料，会使用添加剂进行保水。但是在市场抽样、化验室检测过程中还是发现了原料药残超标的现象</w:t>
      </w:r>
      <w:r>
        <w:rPr>
          <w:rFonts w:hint="eastAsia" w:ascii="Times New Roman"/>
          <w:color w:val="FF0000"/>
        </w:rPr>
        <w:t>（见附表</w:t>
      </w:r>
      <w:r>
        <w:rPr>
          <w:rFonts w:ascii="Calibri" w:hAnsi="Calibri"/>
          <w:color w:val="FF0000"/>
        </w:rPr>
        <w:t>******</w:t>
      </w:r>
      <w:r>
        <w:rPr>
          <w:rFonts w:hint="eastAsia" w:ascii="Times New Roman"/>
          <w:color w:val="FF0000"/>
        </w:rPr>
        <w:t>）</w:t>
      </w:r>
      <w:r>
        <w:rPr>
          <w:rFonts w:hint="eastAsia" w:ascii="Times New Roman"/>
        </w:rPr>
        <w:t>。所以对原料着重提到了符合相关食品安全要求从而在原辅料、添加剂要求中规定：</w:t>
      </w:r>
    </w:p>
    <w:p>
      <w:pPr>
        <w:spacing w:line="360" w:lineRule="auto"/>
        <w:ind w:firstLine="0" w:firstLineChars="0"/>
        <w:rPr>
          <w:rFonts w:ascii="Times New Roman"/>
        </w:rPr>
      </w:pPr>
      <w:r>
        <w:rPr>
          <w:rFonts w:hint="eastAsia" w:ascii="Times New Roman"/>
        </w:rPr>
        <w:t>3.1.1 巴沙鱼：应符合GB 2733及国家有关渔药残留限量的规定。</w:t>
      </w:r>
    </w:p>
    <w:p>
      <w:pPr>
        <w:spacing w:line="360" w:lineRule="auto"/>
        <w:ind w:firstLine="0" w:firstLineChars="0"/>
        <w:rPr>
          <w:rFonts w:ascii="Times New Roman"/>
        </w:rPr>
      </w:pPr>
      <w:r>
        <w:rPr>
          <w:rFonts w:hint="eastAsia" w:ascii="Times New Roman"/>
        </w:rPr>
        <w:t>3.1.2 食品添加剂：符合相关国家标准的规定。</w:t>
      </w:r>
    </w:p>
    <w:p>
      <w:pPr>
        <w:spacing w:line="360" w:lineRule="auto"/>
        <w:ind w:firstLine="0" w:firstLineChars="0"/>
        <w:rPr>
          <w:rFonts w:ascii="Times New Roman"/>
        </w:rPr>
      </w:pPr>
      <w:r>
        <w:rPr>
          <w:rFonts w:hint="eastAsia" w:ascii="Times New Roman"/>
        </w:rPr>
        <w:t>3.1.3 加工用水：应符合GB 5749的规定。</w:t>
      </w:r>
    </w:p>
    <w:p>
      <w:pPr>
        <w:pStyle w:val="3"/>
        <w:spacing w:before="156" w:after="156"/>
        <w:rPr>
          <w:sz w:val="24"/>
          <w:szCs w:val="24"/>
        </w:rPr>
      </w:pPr>
      <w:bookmarkStart w:id="40" w:name="_Toc10444"/>
      <w:r>
        <w:rPr>
          <w:rFonts w:hint="eastAsia"/>
          <w:sz w:val="24"/>
          <w:szCs w:val="24"/>
        </w:rPr>
        <w:t>3.2 感官要求</w:t>
      </w:r>
      <w:bookmarkEnd w:id="40"/>
    </w:p>
    <w:p>
      <w:pPr>
        <w:spacing w:line="360" w:lineRule="auto"/>
        <w:ind w:firstLine="420"/>
        <w:rPr>
          <w:rFonts w:ascii="Times New Roman"/>
        </w:rPr>
      </w:pPr>
      <w:r>
        <w:rPr>
          <w:rFonts w:ascii="Times New Roman"/>
        </w:rPr>
        <w:t>本标准参照国际食品法典标准190-1995《速冻鱼片标准》和GB 2733《食品安全国家标准 鲜、冻动物性水产品》，规定了冻巴沙鱼片外观、状态、气味、杂质等感官项目的检测方法和要求，并对解冻后的巴沙鱼片进行水煮试验，以进一步确认鱼片的新鲜程度</w:t>
      </w:r>
      <w:r>
        <w:rPr>
          <w:rFonts w:hint="eastAsia" w:ascii="Times New Roman"/>
        </w:rPr>
        <w:t>（见表1和表2）</w:t>
      </w:r>
      <w:r>
        <w:rPr>
          <w:rFonts w:ascii="Times New Roman"/>
        </w:rPr>
        <w:t>。</w:t>
      </w:r>
    </w:p>
    <w:p>
      <w:pPr>
        <w:spacing w:line="360" w:lineRule="auto"/>
        <w:ind w:firstLine="420"/>
        <w:rPr>
          <w:rFonts w:ascii="Times New Roman"/>
        </w:rPr>
      </w:pPr>
    </w:p>
    <w:p>
      <w:pPr>
        <w:adjustRightInd/>
        <w:snapToGrid/>
        <w:spacing w:line="360" w:lineRule="auto"/>
        <w:ind w:firstLine="3584" w:firstLineChars="1700"/>
        <w:rPr>
          <w:rFonts w:ascii="黑体" w:hAnsi="宋体" w:eastAsia="黑体"/>
          <w:b/>
        </w:rPr>
      </w:pPr>
      <w:r>
        <w:rPr>
          <w:rFonts w:hint="eastAsia" w:ascii="黑体" w:hAnsi="宋体" w:eastAsia="黑体"/>
          <w:b/>
        </w:rPr>
        <w:t>表1冻品感官要求</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7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41" w:type="dxa"/>
            <w:shd w:val="clear" w:color="auto" w:fill="auto"/>
          </w:tcPr>
          <w:p>
            <w:pPr>
              <w:tabs>
                <w:tab w:val="right" w:pos="8306"/>
              </w:tabs>
              <w:adjustRightInd/>
              <w:snapToGrid/>
              <w:spacing w:line="360" w:lineRule="auto"/>
              <w:ind w:firstLine="0" w:firstLineChars="0"/>
              <w:jc w:val="center"/>
              <w:rPr>
                <w:rFonts w:hAnsi="宋体" w:cs="宋体"/>
                <w:szCs w:val="21"/>
              </w:rPr>
            </w:pPr>
            <w:r>
              <w:rPr>
                <w:rFonts w:hint="eastAsia" w:hAnsi="宋体" w:cs="宋体"/>
                <w:szCs w:val="21"/>
              </w:rPr>
              <w:t>项目</w:t>
            </w:r>
          </w:p>
        </w:tc>
        <w:tc>
          <w:tcPr>
            <w:tcW w:w="7799" w:type="dxa"/>
            <w:shd w:val="clear" w:color="auto" w:fill="auto"/>
          </w:tcPr>
          <w:p>
            <w:pPr>
              <w:tabs>
                <w:tab w:val="right" w:pos="8306"/>
              </w:tabs>
              <w:adjustRightInd/>
              <w:snapToGrid/>
              <w:spacing w:line="360" w:lineRule="auto"/>
              <w:ind w:firstLine="0" w:firstLineChars="0"/>
              <w:jc w:val="center"/>
              <w:rPr>
                <w:rFonts w:hAnsi="宋体" w:cs="宋体"/>
                <w:szCs w:val="21"/>
              </w:rPr>
            </w:pPr>
            <w:r>
              <w:rPr>
                <w:rFonts w:hint="eastAsia" w:hAnsi="宋体" w:cs="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1" w:type="dxa"/>
            <w:shd w:val="clear" w:color="auto" w:fill="auto"/>
          </w:tcPr>
          <w:p>
            <w:pPr>
              <w:adjustRightInd/>
              <w:snapToGrid/>
              <w:spacing w:line="360" w:lineRule="auto"/>
              <w:ind w:firstLine="0" w:firstLineChars="0"/>
              <w:jc w:val="center"/>
              <w:rPr>
                <w:rFonts w:hAnsi="宋体" w:cs="宋体"/>
                <w:szCs w:val="21"/>
              </w:rPr>
            </w:pPr>
            <w:r>
              <w:rPr>
                <w:rFonts w:hint="eastAsia" w:ascii="Times New Roman"/>
                <w:szCs w:val="21"/>
              </w:rPr>
              <w:t>外观</w:t>
            </w:r>
          </w:p>
        </w:tc>
        <w:tc>
          <w:tcPr>
            <w:tcW w:w="7799" w:type="dxa"/>
            <w:shd w:val="clear" w:color="auto" w:fill="auto"/>
          </w:tcPr>
          <w:p>
            <w:pPr>
              <w:ind w:firstLine="0" w:firstLineChars="0"/>
              <w:jc w:val="left"/>
              <w:rPr>
                <w:rFonts w:ascii="Times New Roman"/>
                <w:szCs w:val="21"/>
              </w:rPr>
            </w:pPr>
            <w:r>
              <w:rPr>
                <w:rFonts w:hint="eastAsia" w:ascii="Times New Roman"/>
                <w:szCs w:val="21"/>
              </w:rPr>
              <w:t>体表呈粉白色至粉紫色，片形（块型）基本完整；鱼片（块）个体间易于分离；冰衣透明光亮，表面平整均匀，无凸凹感，块体基本被包裹，无明显干耗，无软化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1" w:type="dxa"/>
            <w:shd w:val="clear" w:color="auto" w:fill="auto"/>
          </w:tcPr>
          <w:p>
            <w:pPr>
              <w:adjustRightInd/>
              <w:snapToGrid/>
              <w:spacing w:line="360" w:lineRule="auto"/>
              <w:ind w:firstLine="0" w:firstLineChars="0"/>
              <w:jc w:val="center"/>
              <w:rPr>
                <w:rFonts w:hAnsi="宋体" w:cs="宋体"/>
                <w:szCs w:val="21"/>
              </w:rPr>
            </w:pPr>
            <w:r>
              <w:rPr>
                <w:rFonts w:hint="eastAsia" w:ascii="Times New Roman"/>
                <w:szCs w:val="21"/>
              </w:rPr>
              <w:t>状态</w:t>
            </w:r>
          </w:p>
        </w:tc>
        <w:tc>
          <w:tcPr>
            <w:tcW w:w="7799" w:type="dxa"/>
            <w:shd w:val="clear" w:color="auto" w:fill="auto"/>
          </w:tcPr>
          <w:p>
            <w:pPr>
              <w:adjustRightInd/>
              <w:snapToGrid/>
              <w:spacing w:line="360" w:lineRule="auto"/>
              <w:ind w:firstLine="0" w:firstLineChars="0"/>
              <w:jc w:val="left"/>
              <w:rPr>
                <w:rFonts w:hAnsi="宋体" w:cs="宋体"/>
                <w:szCs w:val="21"/>
              </w:rPr>
            </w:pPr>
            <w:r>
              <w:rPr>
                <w:rFonts w:hint="eastAsia" w:hAnsi="宋体" w:cs="宋体"/>
                <w:szCs w:val="21"/>
              </w:rPr>
              <w:t>具有速冻巴沙鱼片、块固有的形态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1" w:type="dxa"/>
            <w:shd w:val="clear" w:color="auto" w:fill="auto"/>
          </w:tcPr>
          <w:p>
            <w:pPr>
              <w:adjustRightInd/>
              <w:snapToGrid/>
              <w:spacing w:line="360" w:lineRule="auto"/>
              <w:ind w:firstLine="0" w:firstLineChars="0"/>
              <w:jc w:val="center"/>
              <w:rPr>
                <w:rFonts w:hAnsi="宋体" w:cs="宋体"/>
                <w:szCs w:val="21"/>
              </w:rPr>
            </w:pPr>
            <w:r>
              <w:rPr>
                <w:rFonts w:hint="eastAsia" w:ascii="Times New Roman"/>
                <w:szCs w:val="21"/>
              </w:rPr>
              <w:t>气味</w:t>
            </w:r>
          </w:p>
        </w:tc>
        <w:tc>
          <w:tcPr>
            <w:tcW w:w="7799" w:type="dxa"/>
            <w:shd w:val="clear" w:color="auto" w:fill="auto"/>
          </w:tcPr>
          <w:p>
            <w:pPr>
              <w:adjustRightInd/>
              <w:snapToGrid/>
              <w:spacing w:line="360" w:lineRule="auto"/>
              <w:ind w:left="315" w:hanging="315" w:hangingChars="150"/>
              <w:jc w:val="left"/>
              <w:rPr>
                <w:rFonts w:hAnsi="宋体" w:cs="宋体"/>
                <w:szCs w:val="21"/>
              </w:rPr>
            </w:pPr>
            <w:r>
              <w:rPr>
                <w:rFonts w:hint="eastAsia" w:ascii="Times New Roman"/>
                <w:szCs w:val="21"/>
              </w:rPr>
              <w:t>具有巴沙鱼固有的气味，无异味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1" w:type="dxa"/>
            <w:shd w:val="clear" w:color="auto" w:fill="auto"/>
          </w:tcPr>
          <w:p>
            <w:pPr>
              <w:adjustRightInd/>
              <w:snapToGrid/>
              <w:spacing w:line="360" w:lineRule="auto"/>
              <w:ind w:firstLine="0" w:firstLineChars="0"/>
              <w:jc w:val="center"/>
              <w:rPr>
                <w:rFonts w:ascii="Times New Roman"/>
                <w:szCs w:val="21"/>
              </w:rPr>
            </w:pPr>
            <w:r>
              <w:rPr>
                <w:rFonts w:hint="eastAsia" w:ascii="Times New Roman"/>
                <w:szCs w:val="21"/>
              </w:rPr>
              <w:t>规格</w:t>
            </w:r>
          </w:p>
        </w:tc>
        <w:tc>
          <w:tcPr>
            <w:tcW w:w="7799" w:type="dxa"/>
            <w:shd w:val="clear" w:color="auto" w:fill="auto"/>
          </w:tcPr>
          <w:p>
            <w:pPr>
              <w:ind w:firstLine="0" w:firstLineChars="0"/>
              <w:jc w:val="left"/>
              <w:rPr>
                <w:rFonts w:ascii="Times New Roman"/>
                <w:szCs w:val="21"/>
              </w:rPr>
            </w:pPr>
            <w:r>
              <w:rPr>
                <w:rFonts w:hint="eastAsia" w:ascii="Times New Roman"/>
                <w:szCs w:val="21"/>
              </w:rPr>
              <w:t>同一规格鱼片（块）大小基本均匀；小于标示规格的个体数量不得超过同一包装总量的1</w:t>
            </w:r>
            <w:r>
              <w:rPr>
                <w:rFonts w:ascii="Times New Roman"/>
                <w:szCs w:val="21"/>
              </w:rPr>
              <w:t>0</w:t>
            </w:r>
            <w:r>
              <w:rPr>
                <w:rFonts w:hint="eastAsia" w:ascii="Times New Roman"/>
                <w:szCs w:val="21"/>
              </w:rPr>
              <w:t>%，鱼片（块）质量不能少于标示规格的9</w:t>
            </w:r>
            <w:r>
              <w:rPr>
                <w:rFonts w:ascii="Times New Roman"/>
                <w:szCs w:val="21"/>
              </w:rPr>
              <w:t>0</w:t>
            </w:r>
            <w:r>
              <w:rPr>
                <w:rFonts w:hint="eastAsia" w:asci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1" w:type="dxa"/>
            <w:shd w:val="clear" w:color="auto" w:fill="auto"/>
          </w:tcPr>
          <w:p>
            <w:pPr>
              <w:adjustRightInd/>
              <w:snapToGrid/>
              <w:spacing w:line="360" w:lineRule="auto"/>
              <w:ind w:firstLine="0" w:firstLineChars="0"/>
              <w:jc w:val="center"/>
              <w:rPr>
                <w:rFonts w:ascii="Times New Roman"/>
                <w:szCs w:val="21"/>
              </w:rPr>
            </w:pPr>
            <w:r>
              <w:rPr>
                <w:rFonts w:hint="eastAsia" w:ascii="Times New Roman"/>
                <w:szCs w:val="21"/>
              </w:rPr>
              <w:t>杂质</w:t>
            </w:r>
          </w:p>
        </w:tc>
        <w:tc>
          <w:tcPr>
            <w:tcW w:w="7799" w:type="dxa"/>
            <w:shd w:val="clear" w:color="auto" w:fill="auto"/>
          </w:tcPr>
          <w:p>
            <w:pPr>
              <w:adjustRightInd/>
              <w:snapToGrid/>
              <w:spacing w:line="360" w:lineRule="auto"/>
              <w:ind w:left="315" w:hanging="315" w:hangingChars="150"/>
              <w:jc w:val="left"/>
              <w:rPr>
                <w:rFonts w:ascii="Times New Roman"/>
                <w:szCs w:val="21"/>
              </w:rPr>
            </w:pPr>
            <w:r>
              <w:rPr>
                <w:rFonts w:hint="eastAsia" w:ascii="Times New Roman"/>
                <w:szCs w:val="21"/>
              </w:rPr>
              <w:t>无正常可见外来杂质</w:t>
            </w:r>
          </w:p>
        </w:tc>
      </w:tr>
    </w:tbl>
    <w:p>
      <w:pPr>
        <w:adjustRightInd/>
        <w:snapToGrid/>
        <w:spacing w:line="360" w:lineRule="auto"/>
        <w:ind w:firstLine="3584" w:firstLineChars="1700"/>
        <w:rPr>
          <w:rFonts w:ascii="黑体" w:hAnsi="宋体" w:eastAsia="黑体"/>
          <w:b/>
        </w:rPr>
      </w:pPr>
      <w:r>
        <w:rPr>
          <w:rFonts w:hint="eastAsia" w:ascii="黑体" w:hAnsi="宋体" w:eastAsia="黑体"/>
          <w:b/>
        </w:rPr>
        <w:t>表2 解冻后感官要求</w:t>
      </w:r>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7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641" w:type="dxa"/>
            <w:shd w:val="clear" w:color="auto" w:fill="auto"/>
          </w:tcPr>
          <w:p>
            <w:pPr>
              <w:tabs>
                <w:tab w:val="right" w:pos="8306"/>
              </w:tabs>
              <w:adjustRightInd/>
              <w:snapToGrid/>
              <w:spacing w:line="360" w:lineRule="auto"/>
              <w:ind w:firstLine="0" w:firstLineChars="0"/>
              <w:jc w:val="center"/>
              <w:rPr>
                <w:rFonts w:hAnsi="宋体" w:cs="宋体"/>
                <w:szCs w:val="21"/>
              </w:rPr>
            </w:pPr>
            <w:bookmarkStart w:id="41" w:name="_Hlk57209312"/>
            <w:r>
              <w:rPr>
                <w:rFonts w:hint="eastAsia" w:hAnsi="宋体" w:cs="宋体"/>
                <w:szCs w:val="21"/>
              </w:rPr>
              <w:t>项目</w:t>
            </w:r>
          </w:p>
        </w:tc>
        <w:tc>
          <w:tcPr>
            <w:tcW w:w="7799" w:type="dxa"/>
            <w:shd w:val="clear" w:color="auto" w:fill="auto"/>
          </w:tcPr>
          <w:p>
            <w:pPr>
              <w:tabs>
                <w:tab w:val="right" w:pos="8306"/>
              </w:tabs>
              <w:adjustRightInd/>
              <w:snapToGrid/>
              <w:spacing w:line="360" w:lineRule="auto"/>
              <w:ind w:firstLine="0" w:firstLineChars="0"/>
              <w:jc w:val="center"/>
              <w:rPr>
                <w:rFonts w:hAnsi="宋体" w:cs="宋体"/>
                <w:szCs w:val="21"/>
              </w:rPr>
            </w:pPr>
            <w:r>
              <w:rPr>
                <w:rFonts w:hint="eastAsia" w:hAnsi="宋体" w:cs="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1" w:type="dxa"/>
            <w:shd w:val="clear" w:color="auto" w:fill="auto"/>
            <w:vAlign w:val="center"/>
          </w:tcPr>
          <w:p>
            <w:pPr>
              <w:adjustRightInd/>
              <w:snapToGrid/>
              <w:spacing w:line="360" w:lineRule="auto"/>
              <w:ind w:firstLine="0" w:firstLineChars="0"/>
              <w:jc w:val="center"/>
              <w:rPr>
                <w:rFonts w:hAnsi="宋体" w:cs="宋体"/>
                <w:szCs w:val="21"/>
              </w:rPr>
            </w:pPr>
            <w:r>
              <w:rPr>
                <w:rFonts w:hint="eastAsia" w:ascii="Times New Roman"/>
                <w:szCs w:val="21"/>
              </w:rPr>
              <w:t>外观</w:t>
            </w:r>
          </w:p>
        </w:tc>
        <w:tc>
          <w:tcPr>
            <w:tcW w:w="7799" w:type="dxa"/>
            <w:shd w:val="clear" w:color="auto" w:fill="auto"/>
          </w:tcPr>
          <w:p>
            <w:pPr>
              <w:ind w:firstLine="0" w:firstLineChars="0"/>
              <w:jc w:val="left"/>
              <w:rPr>
                <w:rFonts w:ascii="Times New Roman"/>
                <w:szCs w:val="21"/>
              </w:rPr>
            </w:pPr>
            <w:r>
              <w:rPr>
                <w:rFonts w:hint="eastAsia" w:ascii="Times New Roman"/>
                <w:szCs w:val="21"/>
              </w:rPr>
              <w:t>体表呈粉白色至粉紫色，片形（块型）基本完整；无刺；无寄生虫和虫卵；具有巴沙鱼固有的色泽与花纹；</w:t>
            </w:r>
            <w:bookmarkStart w:id="42" w:name="_Hlk53146504"/>
            <w:r>
              <w:rPr>
                <w:rFonts w:hint="eastAsia" w:ascii="Times New Roman"/>
                <w:szCs w:val="21"/>
              </w:rPr>
              <w:t>无变色（黄变、红变、褐变）现象</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641" w:type="dxa"/>
            <w:shd w:val="clear" w:color="auto" w:fill="auto"/>
            <w:vAlign w:val="center"/>
          </w:tcPr>
          <w:p>
            <w:pPr>
              <w:adjustRightInd/>
              <w:snapToGrid/>
              <w:spacing w:line="360" w:lineRule="auto"/>
              <w:ind w:firstLine="0" w:firstLineChars="0"/>
              <w:jc w:val="center"/>
              <w:rPr>
                <w:rFonts w:hAnsi="宋体" w:cs="宋体"/>
                <w:szCs w:val="21"/>
              </w:rPr>
            </w:pPr>
            <w:r>
              <w:rPr>
                <w:rFonts w:hint="eastAsia" w:ascii="Times New Roman"/>
                <w:szCs w:val="21"/>
              </w:rPr>
              <w:t>组织</w:t>
            </w:r>
          </w:p>
        </w:tc>
        <w:tc>
          <w:tcPr>
            <w:tcW w:w="7799" w:type="dxa"/>
            <w:shd w:val="clear" w:color="auto" w:fill="auto"/>
          </w:tcPr>
          <w:p>
            <w:pPr>
              <w:adjustRightInd/>
              <w:snapToGrid/>
              <w:spacing w:line="360" w:lineRule="auto"/>
              <w:ind w:firstLine="0" w:firstLineChars="0"/>
              <w:jc w:val="left"/>
              <w:rPr>
                <w:rFonts w:hAnsi="宋体" w:cs="宋体"/>
                <w:szCs w:val="21"/>
              </w:rPr>
            </w:pPr>
            <w:r>
              <w:rPr>
                <w:rFonts w:hint="eastAsia" w:ascii="Times New Roman"/>
                <w:szCs w:val="21"/>
              </w:rPr>
              <w:t>具有巴沙鱼固有的组织形态；无呈现糊状，膏状现象；无糜烂现象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1" w:type="dxa"/>
            <w:shd w:val="clear" w:color="auto" w:fill="auto"/>
            <w:vAlign w:val="center"/>
          </w:tcPr>
          <w:p>
            <w:pPr>
              <w:adjustRightInd/>
              <w:snapToGrid/>
              <w:spacing w:line="360" w:lineRule="auto"/>
              <w:ind w:firstLine="0" w:firstLineChars="0"/>
              <w:jc w:val="center"/>
              <w:rPr>
                <w:rFonts w:hAnsi="宋体" w:cs="宋体"/>
                <w:szCs w:val="21"/>
              </w:rPr>
            </w:pPr>
            <w:r>
              <w:rPr>
                <w:rFonts w:hint="eastAsia" w:ascii="Times New Roman"/>
                <w:szCs w:val="21"/>
              </w:rPr>
              <w:t>气味</w:t>
            </w:r>
          </w:p>
        </w:tc>
        <w:tc>
          <w:tcPr>
            <w:tcW w:w="7799" w:type="dxa"/>
            <w:shd w:val="clear" w:color="auto" w:fill="auto"/>
          </w:tcPr>
          <w:p>
            <w:pPr>
              <w:ind w:firstLine="0" w:firstLineChars="0"/>
              <w:jc w:val="left"/>
              <w:rPr>
                <w:rFonts w:ascii="Times New Roman"/>
                <w:szCs w:val="21"/>
              </w:rPr>
            </w:pPr>
            <w:r>
              <w:rPr>
                <w:rFonts w:hint="eastAsia" w:ascii="Times New Roman"/>
                <w:szCs w:val="21"/>
              </w:rPr>
              <w:t>具有巴沙鱼固有的气味，无保水剂气味，无腐败，酸败等令人厌恶的臭味，及鱼体自身外的异味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1641" w:type="dxa"/>
            <w:shd w:val="clear" w:color="auto" w:fill="auto"/>
          </w:tcPr>
          <w:p>
            <w:pPr>
              <w:adjustRightInd/>
              <w:snapToGrid/>
              <w:spacing w:line="360" w:lineRule="auto"/>
              <w:ind w:firstLine="0" w:firstLineChars="0"/>
              <w:jc w:val="center"/>
              <w:rPr>
                <w:rFonts w:hAnsi="宋体" w:cs="宋体"/>
                <w:szCs w:val="21"/>
              </w:rPr>
            </w:pPr>
            <w:r>
              <w:rPr>
                <w:rFonts w:hint="eastAsia" w:ascii="Times New Roman"/>
                <w:szCs w:val="21"/>
              </w:rPr>
              <w:t>水煮试验</w:t>
            </w:r>
          </w:p>
        </w:tc>
        <w:tc>
          <w:tcPr>
            <w:tcW w:w="7799" w:type="dxa"/>
            <w:shd w:val="clear" w:color="auto" w:fill="auto"/>
          </w:tcPr>
          <w:p>
            <w:pPr>
              <w:adjustRightInd/>
              <w:snapToGrid/>
              <w:spacing w:line="360" w:lineRule="auto"/>
              <w:ind w:firstLine="0" w:firstLineChars="0"/>
              <w:jc w:val="left"/>
              <w:rPr>
                <w:rFonts w:hAnsi="宋体" w:cs="宋体"/>
                <w:szCs w:val="21"/>
              </w:rPr>
            </w:pPr>
            <w:r>
              <w:rPr>
                <w:rFonts w:hint="eastAsia" w:ascii="Times New Roman"/>
                <w:szCs w:val="21"/>
              </w:rPr>
              <w:t>水煮后有巴沙鱼正常鲜味，肌肉组织富有弹性；无其他异味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1" w:type="dxa"/>
            <w:shd w:val="clear" w:color="auto" w:fill="auto"/>
          </w:tcPr>
          <w:p>
            <w:pPr>
              <w:adjustRightInd/>
              <w:snapToGrid/>
              <w:spacing w:line="360" w:lineRule="auto"/>
              <w:ind w:firstLine="0" w:firstLineChars="0"/>
              <w:jc w:val="center"/>
              <w:rPr>
                <w:rFonts w:ascii="Times New Roman"/>
                <w:szCs w:val="21"/>
              </w:rPr>
            </w:pPr>
            <w:r>
              <w:rPr>
                <w:rFonts w:hint="eastAsia" w:ascii="Times New Roman"/>
                <w:szCs w:val="21"/>
              </w:rPr>
              <w:t>杂质</w:t>
            </w:r>
          </w:p>
        </w:tc>
        <w:tc>
          <w:tcPr>
            <w:tcW w:w="7799" w:type="dxa"/>
            <w:shd w:val="clear" w:color="auto" w:fill="auto"/>
          </w:tcPr>
          <w:p>
            <w:pPr>
              <w:adjustRightInd/>
              <w:snapToGrid/>
              <w:spacing w:line="360" w:lineRule="auto"/>
              <w:ind w:left="315" w:hanging="315" w:hangingChars="150"/>
              <w:jc w:val="left"/>
              <w:rPr>
                <w:rFonts w:ascii="Times New Roman"/>
                <w:szCs w:val="21"/>
              </w:rPr>
            </w:pPr>
            <w:r>
              <w:rPr>
                <w:rFonts w:hint="eastAsia" w:ascii="Times New Roman"/>
                <w:szCs w:val="21"/>
              </w:rPr>
              <w:t>无正常可见外来杂质</w:t>
            </w:r>
          </w:p>
        </w:tc>
      </w:tr>
      <w:bookmarkEnd w:id="41"/>
    </w:tbl>
    <w:p>
      <w:pPr>
        <w:pStyle w:val="3"/>
        <w:spacing w:before="156" w:after="156"/>
        <w:rPr>
          <w:sz w:val="24"/>
          <w:szCs w:val="24"/>
        </w:rPr>
      </w:pPr>
      <w:bookmarkStart w:id="43" w:name="_Toc7208"/>
      <w:r>
        <w:rPr>
          <w:rFonts w:hint="eastAsia"/>
          <w:sz w:val="24"/>
          <w:szCs w:val="24"/>
        </w:rPr>
        <w:t>3.3 理化指标</w:t>
      </w:r>
      <w:bookmarkEnd w:id="43"/>
    </w:p>
    <w:p>
      <w:pPr>
        <w:spacing w:line="360" w:lineRule="auto"/>
        <w:ind w:firstLine="420"/>
        <w:rPr>
          <w:rFonts w:ascii="Times New Roman"/>
        </w:rPr>
      </w:pPr>
      <w:r>
        <w:rPr>
          <w:rFonts w:ascii="Times New Roman"/>
        </w:rPr>
        <w:t>针对目前巴沙鱼市场存在的过度保水、</w:t>
      </w:r>
      <w:r>
        <w:rPr>
          <w:rFonts w:hint="eastAsia" w:ascii="Times New Roman"/>
        </w:rPr>
        <w:t>添加糊精和胶质增重、</w:t>
      </w:r>
      <w:r>
        <w:rPr>
          <w:rFonts w:ascii="Times New Roman"/>
        </w:rPr>
        <w:t>过度包冰</w:t>
      </w:r>
      <w:r>
        <w:rPr>
          <w:rFonts w:hint="eastAsia" w:ascii="Times New Roman"/>
        </w:rPr>
        <w:t>造成劣质速冻巴沙鱼片、块存在扰乱巴沙鱼片市场的</w:t>
      </w:r>
      <w:r>
        <w:rPr>
          <w:rFonts w:ascii="Times New Roman"/>
        </w:rPr>
        <w:t>现象，并考虑到国人对高蛋白、低脂肪食品需求的日益增长，编制组对国内市场上</w:t>
      </w:r>
      <w:r>
        <w:rPr>
          <w:rFonts w:hint="eastAsia" w:ascii="Times New Roman"/>
        </w:rPr>
        <w:t>在销售</w:t>
      </w:r>
      <w:r>
        <w:rPr>
          <w:rFonts w:ascii="Times New Roman"/>
        </w:rPr>
        <w:t>的</w:t>
      </w:r>
      <w:r>
        <w:rPr>
          <w:rFonts w:hint="eastAsia" w:ascii="Times New Roman"/>
        </w:rPr>
        <w:t>进口和国产速</w:t>
      </w:r>
      <w:r>
        <w:rPr>
          <w:rFonts w:ascii="Times New Roman"/>
        </w:rPr>
        <w:t>冻巴沙鱼</w:t>
      </w:r>
      <w:r>
        <w:rPr>
          <w:rFonts w:hint="eastAsia" w:ascii="Times New Roman"/>
        </w:rPr>
        <w:t>片、速冻巴沙鱼片（带皮）根据不同生产厂家、不同批次</w:t>
      </w:r>
      <w:r>
        <w:rPr>
          <w:rFonts w:ascii="Times New Roman"/>
        </w:rPr>
        <w:t>进行了</w:t>
      </w:r>
      <w:r>
        <w:rPr>
          <w:rFonts w:hint="eastAsia" w:ascii="Times New Roman"/>
        </w:rPr>
        <w:t>批量采样；在企业实验室和有资质的检测机构</w:t>
      </w:r>
      <w:r>
        <w:rPr>
          <w:rFonts w:ascii="Times New Roman"/>
        </w:rPr>
        <w:t>检测，</w:t>
      </w:r>
      <w:r>
        <w:rPr>
          <w:rFonts w:hint="eastAsia" w:ascii="Times New Roman"/>
        </w:rPr>
        <w:t>获得</w:t>
      </w:r>
      <w:r>
        <w:rPr>
          <w:rFonts w:ascii="Times New Roman"/>
        </w:rPr>
        <w:t>了大量</w:t>
      </w:r>
      <w:r>
        <w:rPr>
          <w:rFonts w:hint="eastAsia" w:ascii="Times New Roman"/>
        </w:rPr>
        <w:t>的</w:t>
      </w:r>
      <w:r>
        <w:rPr>
          <w:rFonts w:ascii="Times New Roman"/>
        </w:rPr>
        <w:t>检测数据</w:t>
      </w:r>
      <w:r>
        <w:rPr>
          <w:rFonts w:hint="eastAsia" w:ascii="Times New Roman"/>
        </w:rPr>
        <w:t>。</w:t>
      </w:r>
    </w:p>
    <w:p>
      <w:pPr>
        <w:adjustRightInd/>
        <w:snapToGrid/>
        <w:spacing w:line="360" w:lineRule="auto"/>
        <w:ind w:firstLine="0" w:firstLineChars="0"/>
        <w:rPr>
          <w:rFonts w:ascii="Calibri" w:hAnsi="Calibri"/>
          <w:szCs w:val="21"/>
        </w:rPr>
      </w:pPr>
      <w:r>
        <w:rPr>
          <w:rFonts w:hint="eastAsia" w:ascii="Calibri" w:hAnsi="Calibri"/>
          <w:color w:val="FF0000"/>
          <w:szCs w:val="21"/>
        </w:rPr>
        <w:t>*</w:t>
      </w:r>
      <w:r>
        <w:rPr>
          <w:rFonts w:hint="eastAsia" w:ascii="Calibri" w:hAnsi="Calibri"/>
          <w:szCs w:val="21"/>
        </w:rPr>
        <w:t>理化指标检测及数据分析</w:t>
      </w:r>
    </w:p>
    <w:p>
      <w:pPr>
        <w:spacing w:line="360" w:lineRule="auto"/>
        <w:ind w:firstLine="420"/>
        <w:rPr>
          <w:rFonts w:ascii="Times New Roman"/>
        </w:rPr>
      </w:pPr>
      <w:r>
        <w:rPr>
          <w:rFonts w:hint="eastAsia" w:ascii="Times New Roman"/>
        </w:rPr>
        <w:t>共检测巴沙鱼片（块）78批次，合格69批，合格率88.46%。各等级样品检测批次分布如下：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018"/>
        <w:gridCol w:w="1982"/>
        <w:gridCol w:w="1043"/>
        <w:gridCol w:w="1988"/>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Merge w:val="restart"/>
            <w:vAlign w:val="center"/>
          </w:tcPr>
          <w:p>
            <w:pPr>
              <w:ind w:firstLine="0" w:firstLineChars="0"/>
              <w:jc w:val="center"/>
              <w:rPr>
                <w:szCs w:val="21"/>
              </w:rPr>
            </w:pPr>
            <w:r>
              <w:rPr>
                <w:rFonts w:hint="eastAsia"/>
                <w:szCs w:val="21"/>
              </w:rPr>
              <w:t>质量等级</w:t>
            </w:r>
          </w:p>
        </w:tc>
        <w:tc>
          <w:tcPr>
            <w:tcW w:w="3000" w:type="dxa"/>
            <w:gridSpan w:val="2"/>
            <w:vAlign w:val="center"/>
          </w:tcPr>
          <w:p>
            <w:pPr>
              <w:widowControl/>
              <w:ind w:firstLine="0" w:firstLineChars="0"/>
              <w:jc w:val="center"/>
              <w:textAlignment w:val="center"/>
              <w:rPr>
                <w:szCs w:val="21"/>
              </w:rPr>
            </w:pPr>
            <w:r>
              <w:rPr>
                <w:rFonts w:hint="eastAsia" w:hAnsi="宋体" w:cs="宋体"/>
                <w:color w:val="000000"/>
                <w:kern w:val="0"/>
                <w:szCs w:val="21"/>
                <w:lang w:bidi="ar"/>
              </w:rPr>
              <w:t>带皮</w:t>
            </w:r>
          </w:p>
        </w:tc>
        <w:tc>
          <w:tcPr>
            <w:tcW w:w="3031" w:type="dxa"/>
            <w:gridSpan w:val="2"/>
            <w:vAlign w:val="center"/>
          </w:tcPr>
          <w:p>
            <w:pPr>
              <w:widowControl/>
              <w:ind w:firstLine="0" w:firstLineChars="0"/>
              <w:jc w:val="center"/>
              <w:textAlignment w:val="center"/>
              <w:rPr>
                <w:szCs w:val="21"/>
              </w:rPr>
            </w:pPr>
            <w:r>
              <w:rPr>
                <w:rFonts w:hint="eastAsia" w:hAnsi="宋体" w:cs="宋体"/>
                <w:color w:val="000000"/>
                <w:kern w:val="0"/>
                <w:szCs w:val="21"/>
                <w:lang w:bidi="ar"/>
              </w:rPr>
              <w:t>去皮</w:t>
            </w:r>
          </w:p>
        </w:tc>
        <w:tc>
          <w:tcPr>
            <w:tcW w:w="1295" w:type="dxa"/>
            <w:vMerge w:val="restart"/>
            <w:vAlign w:val="center"/>
          </w:tcPr>
          <w:p>
            <w:pPr>
              <w:widowControl/>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合计批次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Merge w:val="continue"/>
            <w:vAlign w:val="center"/>
          </w:tcPr>
          <w:p>
            <w:pPr>
              <w:ind w:firstLine="420"/>
              <w:jc w:val="center"/>
              <w:rPr>
                <w:szCs w:val="21"/>
              </w:rPr>
            </w:pPr>
          </w:p>
        </w:tc>
        <w:tc>
          <w:tcPr>
            <w:tcW w:w="1018" w:type="dxa"/>
            <w:vAlign w:val="center"/>
          </w:tcPr>
          <w:p>
            <w:pPr>
              <w:widowControl/>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批次</w:t>
            </w:r>
          </w:p>
        </w:tc>
        <w:tc>
          <w:tcPr>
            <w:tcW w:w="1982" w:type="dxa"/>
            <w:vAlign w:val="center"/>
          </w:tcPr>
          <w:p>
            <w:pPr>
              <w:widowControl/>
              <w:spacing w:line="240" w:lineRule="auto"/>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占带皮产品总批次的百分比</w:t>
            </w:r>
          </w:p>
        </w:tc>
        <w:tc>
          <w:tcPr>
            <w:tcW w:w="1043" w:type="dxa"/>
            <w:vAlign w:val="center"/>
          </w:tcPr>
          <w:p>
            <w:pPr>
              <w:widowControl/>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批次</w:t>
            </w:r>
          </w:p>
        </w:tc>
        <w:tc>
          <w:tcPr>
            <w:tcW w:w="1988" w:type="dxa"/>
            <w:vAlign w:val="center"/>
          </w:tcPr>
          <w:p>
            <w:pPr>
              <w:widowControl/>
              <w:spacing w:line="240" w:lineRule="auto"/>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占去皮产品总批次的百分比</w:t>
            </w:r>
          </w:p>
        </w:tc>
        <w:tc>
          <w:tcPr>
            <w:tcW w:w="1295" w:type="dxa"/>
            <w:vMerge w:val="continue"/>
            <w:vAlign w:val="center"/>
          </w:tcPr>
          <w:p>
            <w:pPr>
              <w:widowControl/>
              <w:ind w:firstLine="420"/>
              <w:jc w:val="center"/>
              <w:textAlignment w:val="center"/>
              <w:rPr>
                <w:rFonts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pPr>
              <w:widowControl/>
              <w:ind w:firstLine="0" w:firstLineChars="0"/>
              <w:jc w:val="center"/>
              <w:textAlignment w:val="center"/>
              <w:rPr>
                <w:szCs w:val="21"/>
              </w:rPr>
            </w:pPr>
            <w:r>
              <w:rPr>
                <w:rFonts w:hint="eastAsia" w:hAnsi="宋体" w:cs="宋体"/>
                <w:color w:val="000000"/>
                <w:kern w:val="0"/>
                <w:szCs w:val="21"/>
                <w:lang w:bidi="ar"/>
              </w:rPr>
              <w:t>特级品</w:t>
            </w:r>
          </w:p>
        </w:tc>
        <w:tc>
          <w:tcPr>
            <w:tcW w:w="1018" w:type="dxa"/>
            <w:vAlign w:val="center"/>
          </w:tcPr>
          <w:p>
            <w:pPr>
              <w:widowControl/>
              <w:ind w:firstLine="0" w:firstLineChars="0"/>
              <w:jc w:val="center"/>
              <w:textAlignment w:val="center"/>
              <w:rPr>
                <w:szCs w:val="21"/>
              </w:rPr>
            </w:pPr>
            <w:r>
              <w:rPr>
                <w:rFonts w:ascii="Times New Roman"/>
                <w:color w:val="000000"/>
                <w:kern w:val="0"/>
                <w:szCs w:val="21"/>
                <w:lang w:bidi="ar"/>
              </w:rPr>
              <w:t>2</w:t>
            </w:r>
          </w:p>
        </w:tc>
        <w:tc>
          <w:tcPr>
            <w:tcW w:w="1982" w:type="dxa"/>
            <w:vAlign w:val="center"/>
          </w:tcPr>
          <w:p>
            <w:pPr>
              <w:widowControl/>
              <w:ind w:firstLine="0" w:firstLineChars="0"/>
              <w:jc w:val="center"/>
              <w:textAlignment w:val="center"/>
              <w:rPr>
                <w:szCs w:val="21"/>
              </w:rPr>
            </w:pPr>
            <w:r>
              <w:rPr>
                <w:rFonts w:ascii="Times New Roman"/>
                <w:color w:val="000000"/>
                <w:kern w:val="0"/>
                <w:szCs w:val="21"/>
                <w:lang w:bidi="ar"/>
              </w:rPr>
              <w:t>11.76%</w:t>
            </w:r>
          </w:p>
        </w:tc>
        <w:tc>
          <w:tcPr>
            <w:tcW w:w="1043" w:type="dxa"/>
            <w:vAlign w:val="center"/>
          </w:tcPr>
          <w:p>
            <w:pPr>
              <w:widowControl/>
              <w:ind w:firstLine="0" w:firstLineChars="0"/>
              <w:jc w:val="center"/>
              <w:textAlignment w:val="center"/>
              <w:rPr>
                <w:szCs w:val="21"/>
              </w:rPr>
            </w:pPr>
            <w:r>
              <w:rPr>
                <w:rFonts w:ascii="Times New Roman"/>
                <w:color w:val="000000"/>
                <w:kern w:val="0"/>
                <w:szCs w:val="21"/>
                <w:lang w:bidi="ar"/>
              </w:rPr>
              <w:t>5</w:t>
            </w:r>
          </w:p>
        </w:tc>
        <w:tc>
          <w:tcPr>
            <w:tcW w:w="1988" w:type="dxa"/>
            <w:vAlign w:val="center"/>
          </w:tcPr>
          <w:p>
            <w:pPr>
              <w:widowControl/>
              <w:ind w:firstLine="0" w:firstLineChars="0"/>
              <w:jc w:val="center"/>
              <w:textAlignment w:val="center"/>
              <w:rPr>
                <w:szCs w:val="21"/>
              </w:rPr>
            </w:pPr>
            <w:r>
              <w:rPr>
                <w:rFonts w:ascii="Times New Roman"/>
                <w:color w:val="000000"/>
                <w:kern w:val="0"/>
                <w:szCs w:val="21"/>
                <w:lang w:bidi="ar"/>
              </w:rPr>
              <w:t>8.20%</w:t>
            </w:r>
          </w:p>
        </w:tc>
        <w:tc>
          <w:tcPr>
            <w:tcW w:w="1295"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pPr>
              <w:widowControl/>
              <w:ind w:firstLine="0" w:firstLineChars="0"/>
              <w:jc w:val="center"/>
              <w:textAlignment w:val="center"/>
              <w:rPr>
                <w:szCs w:val="21"/>
              </w:rPr>
            </w:pPr>
            <w:r>
              <w:rPr>
                <w:rFonts w:hint="eastAsia" w:hAnsi="宋体" w:cs="宋体"/>
                <w:color w:val="000000"/>
                <w:kern w:val="0"/>
                <w:szCs w:val="21"/>
                <w:lang w:bidi="ar"/>
              </w:rPr>
              <w:t>一级品</w:t>
            </w:r>
          </w:p>
        </w:tc>
        <w:tc>
          <w:tcPr>
            <w:tcW w:w="1018" w:type="dxa"/>
            <w:vAlign w:val="center"/>
          </w:tcPr>
          <w:p>
            <w:pPr>
              <w:widowControl/>
              <w:ind w:firstLine="0" w:firstLineChars="0"/>
              <w:jc w:val="center"/>
              <w:textAlignment w:val="center"/>
              <w:rPr>
                <w:szCs w:val="21"/>
              </w:rPr>
            </w:pPr>
            <w:r>
              <w:rPr>
                <w:rFonts w:ascii="Times New Roman"/>
                <w:color w:val="000000"/>
                <w:kern w:val="0"/>
                <w:szCs w:val="21"/>
                <w:lang w:bidi="ar"/>
              </w:rPr>
              <w:t>9</w:t>
            </w:r>
          </w:p>
        </w:tc>
        <w:tc>
          <w:tcPr>
            <w:tcW w:w="1982" w:type="dxa"/>
            <w:vAlign w:val="center"/>
          </w:tcPr>
          <w:p>
            <w:pPr>
              <w:widowControl/>
              <w:ind w:firstLine="0" w:firstLineChars="0"/>
              <w:jc w:val="center"/>
              <w:textAlignment w:val="center"/>
              <w:rPr>
                <w:szCs w:val="21"/>
              </w:rPr>
            </w:pPr>
            <w:r>
              <w:rPr>
                <w:rFonts w:ascii="Times New Roman"/>
                <w:color w:val="000000"/>
                <w:kern w:val="0"/>
                <w:szCs w:val="21"/>
                <w:lang w:bidi="ar"/>
              </w:rPr>
              <w:t>52.94%</w:t>
            </w:r>
          </w:p>
        </w:tc>
        <w:tc>
          <w:tcPr>
            <w:tcW w:w="1043" w:type="dxa"/>
            <w:vAlign w:val="center"/>
          </w:tcPr>
          <w:p>
            <w:pPr>
              <w:widowControl/>
              <w:ind w:firstLine="0" w:firstLineChars="0"/>
              <w:jc w:val="center"/>
              <w:textAlignment w:val="center"/>
              <w:rPr>
                <w:szCs w:val="21"/>
              </w:rPr>
            </w:pPr>
            <w:r>
              <w:rPr>
                <w:rFonts w:ascii="Times New Roman"/>
                <w:color w:val="000000"/>
                <w:kern w:val="0"/>
                <w:szCs w:val="21"/>
                <w:lang w:bidi="ar"/>
              </w:rPr>
              <w:t>23</w:t>
            </w:r>
          </w:p>
        </w:tc>
        <w:tc>
          <w:tcPr>
            <w:tcW w:w="1988" w:type="dxa"/>
            <w:vAlign w:val="center"/>
          </w:tcPr>
          <w:p>
            <w:pPr>
              <w:widowControl/>
              <w:ind w:firstLine="0" w:firstLineChars="0"/>
              <w:jc w:val="center"/>
              <w:textAlignment w:val="center"/>
              <w:rPr>
                <w:szCs w:val="21"/>
              </w:rPr>
            </w:pPr>
            <w:r>
              <w:rPr>
                <w:rFonts w:ascii="Times New Roman"/>
                <w:color w:val="000000"/>
                <w:kern w:val="0"/>
                <w:szCs w:val="21"/>
                <w:lang w:bidi="ar"/>
              </w:rPr>
              <w:t>37.70%</w:t>
            </w:r>
          </w:p>
        </w:tc>
        <w:tc>
          <w:tcPr>
            <w:tcW w:w="1295"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pPr>
              <w:widowControl/>
              <w:ind w:firstLine="0" w:firstLineChars="0"/>
              <w:jc w:val="center"/>
              <w:textAlignment w:val="center"/>
              <w:rPr>
                <w:szCs w:val="21"/>
              </w:rPr>
            </w:pPr>
            <w:r>
              <w:rPr>
                <w:rFonts w:hint="eastAsia" w:hAnsi="宋体" w:cs="宋体"/>
                <w:color w:val="000000"/>
                <w:kern w:val="0"/>
                <w:szCs w:val="21"/>
                <w:lang w:bidi="ar"/>
              </w:rPr>
              <w:t>二级品</w:t>
            </w:r>
          </w:p>
        </w:tc>
        <w:tc>
          <w:tcPr>
            <w:tcW w:w="1018" w:type="dxa"/>
            <w:vAlign w:val="center"/>
          </w:tcPr>
          <w:p>
            <w:pPr>
              <w:widowControl/>
              <w:ind w:firstLine="0" w:firstLineChars="0"/>
              <w:jc w:val="center"/>
              <w:textAlignment w:val="center"/>
              <w:rPr>
                <w:szCs w:val="21"/>
              </w:rPr>
            </w:pPr>
            <w:r>
              <w:rPr>
                <w:rFonts w:ascii="Times New Roman"/>
                <w:color w:val="000000"/>
                <w:kern w:val="0"/>
                <w:szCs w:val="21"/>
                <w:lang w:bidi="ar"/>
              </w:rPr>
              <w:t>1</w:t>
            </w:r>
          </w:p>
        </w:tc>
        <w:tc>
          <w:tcPr>
            <w:tcW w:w="1982" w:type="dxa"/>
            <w:vAlign w:val="center"/>
          </w:tcPr>
          <w:p>
            <w:pPr>
              <w:widowControl/>
              <w:ind w:firstLine="0" w:firstLineChars="0"/>
              <w:jc w:val="center"/>
              <w:textAlignment w:val="center"/>
              <w:rPr>
                <w:szCs w:val="21"/>
              </w:rPr>
            </w:pPr>
            <w:r>
              <w:rPr>
                <w:rFonts w:ascii="Times New Roman"/>
                <w:color w:val="000000"/>
                <w:kern w:val="0"/>
                <w:szCs w:val="21"/>
                <w:lang w:bidi="ar"/>
              </w:rPr>
              <w:t>5.88%</w:t>
            </w:r>
          </w:p>
        </w:tc>
        <w:tc>
          <w:tcPr>
            <w:tcW w:w="1043" w:type="dxa"/>
            <w:vAlign w:val="center"/>
          </w:tcPr>
          <w:p>
            <w:pPr>
              <w:widowControl/>
              <w:ind w:firstLine="0" w:firstLineChars="0"/>
              <w:jc w:val="center"/>
              <w:textAlignment w:val="center"/>
              <w:rPr>
                <w:szCs w:val="21"/>
              </w:rPr>
            </w:pPr>
            <w:r>
              <w:rPr>
                <w:rFonts w:ascii="Times New Roman"/>
                <w:color w:val="000000"/>
                <w:kern w:val="0"/>
                <w:szCs w:val="21"/>
                <w:lang w:bidi="ar"/>
              </w:rPr>
              <w:t>11</w:t>
            </w:r>
          </w:p>
        </w:tc>
        <w:tc>
          <w:tcPr>
            <w:tcW w:w="1988" w:type="dxa"/>
            <w:vAlign w:val="center"/>
          </w:tcPr>
          <w:p>
            <w:pPr>
              <w:widowControl/>
              <w:ind w:firstLine="0" w:firstLineChars="0"/>
              <w:jc w:val="center"/>
              <w:textAlignment w:val="center"/>
              <w:rPr>
                <w:szCs w:val="21"/>
              </w:rPr>
            </w:pPr>
            <w:r>
              <w:rPr>
                <w:rFonts w:ascii="Times New Roman"/>
                <w:color w:val="000000"/>
                <w:kern w:val="0"/>
                <w:szCs w:val="21"/>
                <w:lang w:bidi="ar"/>
              </w:rPr>
              <w:t>18.03%</w:t>
            </w:r>
          </w:p>
        </w:tc>
        <w:tc>
          <w:tcPr>
            <w:tcW w:w="1295"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pPr>
              <w:widowControl/>
              <w:ind w:firstLine="0" w:firstLineChars="0"/>
              <w:jc w:val="center"/>
              <w:textAlignment w:val="center"/>
              <w:rPr>
                <w:szCs w:val="21"/>
              </w:rPr>
            </w:pPr>
            <w:r>
              <w:rPr>
                <w:rFonts w:hint="eastAsia" w:hAnsi="宋体" w:cs="宋体"/>
                <w:color w:val="000000"/>
                <w:kern w:val="0"/>
                <w:szCs w:val="21"/>
                <w:lang w:bidi="ar"/>
              </w:rPr>
              <w:t>合格品</w:t>
            </w:r>
          </w:p>
        </w:tc>
        <w:tc>
          <w:tcPr>
            <w:tcW w:w="1018" w:type="dxa"/>
            <w:vAlign w:val="center"/>
          </w:tcPr>
          <w:p>
            <w:pPr>
              <w:widowControl/>
              <w:ind w:firstLine="0" w:firstLineChars="0"/>
              <w:jc w:val="center"/>
              <w:textAlignment w:val="center"/>
              <w:rPr>
                <w:szCs w:val="21"/>
              </w:rPr>
            </w:pPr>
            <w:r>
              <w:rPr>
                <w:rFonts w:ascii="Times New Roman"/>
                <w:color w:val="000000"/>
                <w:kern w:val="0"/>
                <w:szCs w:val="21"/>
                <w:lang w:bidi="ar"/>
              </w:rPr>
              <w:t>4</w:t>
            </w:r>
          </w:p>
        </w:tc>
        <w:tc>
          <w:tcPr>
            <w:tcW w:w="1982" w:type="dxa"/>
            <w:vAlign w:val="center"/>
          </w:tcPr>
          <w:p>
            <w:pPr>
              <w:widowControl/>
              <w:ind w:firstLine="0" w:firstLineChars="0"/>
              <w:jc w:val="center"/>
              <w:textAlignment w:val="center"/>
              <w:rPr>
                <w:szCs w:val="21"/>
              </w:rPr>
            </w:pPr>
            <w:r>
              <w:rPr>
                <w:rFonts w:ascii="Times New Roman"/>
                <w:color w:val="000000"/>
                <w:kern w:val="0"/>
                <w:szCs w:val="21"/>
                <w:lang w:bidi="ar"/>
              </w:rPr>
              <w:t>23.53%</w:t>
            </w:r>
          </w:p>
        </w:tc>
        <w:tc>
          <w:tcPr>
            <w:tcW w:w="1043" w:type="dxa"/>
            <w:vAlign w:val="center"/>
          </w:tcPr>
          <w:p>
            <w:pPr>
              <w:widowControl/>
              <w:ind w:firstLine="0" w:firstLineChars="0"/>
              <w:jc w:val="center"/>
              <w:textAlignment w:val="center"/>
              <w:rPr>
                <w:szCs w:val="21"/>
              </w:rPr>
            </w:pPr>
            <w:r>
              <w:rPr>
                <w:rFonts w:ascii="Times New Roman"/>
                <w:color w:val="000000"/>
                <w:kern w:val="0"/>
                <w:szCs w:val="21"/>
                <w:lang w:bidi="ar"/>
              </w:rPr>
              <w:t>14</w:t>
            </w:r>
          </w:p>
        </w:tc>
        <w:tc>
          <w:tcPr>
            <w:tcW w:w="1988" w:type="dxa"/>
            <w:vAlign w:val="center"/>
          </w:tcPr>
          <w:p>
            <w:pPr>
              <w:widowControl/>
              <w:ind w:firstLine="0" w:firstLineChars="0"/>
              <w:jc w:val="center"/>
              <w:textAlignment w:val="center"/>
              <w:rPr>
                <w:szCs w:val="21"/>
              </w:rPr>
            </w:pPr>
            <w:r>
              <w:rPr>
                <w:rFonts w:ascii="Times New Roman"/>
                <w:color w:val="000000"/>
                <w:kern w:val="0"/>
                <w:szCs w:val="21"/>
                <w:lang w:bidi="ar"/>
              </w:rPr>
              <w:t>22.95%</w:t>
            </w:r>
          </w:p>
        </w:tc>
        <w:tc>
          <w:tcPr>
            <w:tcW w:w="1295"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pPr>
              <w:widowControl/>
              <w:ind w:firstLine="0" w:firstLineChars="0"/>
              <w:jc w:val="center"/>
              <w:textAlignment w:val="center"/>
              <w:rPr>
                <w:szCs w:val="21"/>
              </w:rPr>
            </w:pPr>
            <w:r>
              <w:rPr>
                <w:rFonts w:hint="eastAsia" w:hAnsi="宋体" w:cs="宋体"/>
                <w:color w:val="000000"/>
                <w:kern w:val="0"/>
                <w:szCs w:val="21"/>
                <w:lang w:bidi="ar"/>
              </w:rPr>
              <w:t>不合格品</w:t>
            </w:r>
          </w:p>
        </w:tc>
        <w:tc>
          <w:tcPr>
            <w:tcW w:w="1018" w:type="dxa"/>
            <w:vAlign w:val="center"/>
          </w:tcPr>
          <w:p>
            <w:pPr>
              <w:widowControl/>
              <w:ind w:firstLine="0" w:firstLineChars="0"/>
              <w:jc w:val="center"/>
              <w:textAlignment w:val="center"/>
              <w:rPr>
                <w:szCs w:val="21"/>
              </w:rPr>
            </w:pPr>
            <w:r>
              <w:rPr>
                <w:rFonts w:ascii="Times New Roman"/>
                <w:color w:val="000000"/>
                <w:kern w:val="0"/>
                <w:szCs w:val="21"/>
                <w:lang w:bidi="ar"/>
              </w:rPr>
              <w:t>1</w:t>
            </w:r>
          </w:p>
        </w:tc>
        <w:tc>
          <w:tcPr>
            <w:tcW w:w="1982" w:type="dxa"/>
            <w:vAlign w:val="center"/>
          </w:tcPr>
          <w:p>
            <w:pPr>
              <w:widowControl/>
              <w:ind w:firstLine="0" w:firstLineChars="0"/>
              <w:jc w:val="center"/>
              <w:textAlignment w:val="center"/>
              <w:rPr>
                <w:szCs w:val="21"/>
              </w:rPr>
            </w:pPr>
            <w:r>
              <w:rPr>
                <w:rFonts w:ascii="Times New Roman"/>
                <w:color w:val="000000"/>
                <w:kern w:val="0"/>
                <w:szCs w:val="21"/>
                <w:lang w:bidi="ar"/>
              </w:rPr>
              <w:t>5.88%</w:t>
            </w:r>
          </w:p>
        </w:tc>
        <w:tc>
          <w:tcPr>
            <w:tcW w:w="1043" w:type="dxa"/>
            <w:vAlign w:val="center"/>
          </w:tcPr>
          <w:p>
            <w:pPr>
              <w:widowControl/>
              <w:ind w:firstLine="0" w:firstLineChars="0"/>
              <w:jc w:val="center"/>
              <w:textAlignment w:val="center"/>
              <w:rPr>
                <w:szCs w:val="21"/>
              </w:rPr>
            </w:pPr>
            <w:r>
              <w:rPr>
                <w:rFonts w:ascii="Times New Roman"/>
                <w:color w:val="000000"/>
                <w:kern w:val="0"/>
                <w:szCs w:val="21"/>
                <w:lang w:bidi="ar"/>
              </w:rPr>
              <w:t>8</w:t>
            </w:r>
          </w:p>
        </w:tc>
        <w:tc>
          <w:tcPr>
            <w:tcW w:w="1988" w:type="dxa"/>
            <w:vAlign w:val="center"/>
          </w:tcPr>
          <w:p>
            <w:pPr>
              <w:widowControl/>
              <w:ind w:firstLine="0" w:firstLineChars="0"/>
              <w:jc w:val="center"/>
              <w:textAlignment w:val="center"/>
              <w:rPr>
                <w:szCs w:val="21"/>
              </w:rPr>
            </w:pPr>
            <w:r>
              <w:rPr>
                <w:rFonts w:ascii="Times New Roman"/>
                <w:color w:val="000000"/>
                <w:kern w:val="0"/>
                <w:szCs w:val="21"/>
                <w:lang w:bidi="ar"/>
              </w:rPr>
              <w:t>13.11%</w:t>
            </w:r>
          </w:p>
        </w:tc>
        <w:tc>
          <w:tcPr>
            <w:tcW w:w="1295"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pPr>
              <w:widowControl/>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合计</w:t>
            </w:r>
          </w:p>
        </w:tc>
        <w:tc>
          <w:tcPr>
            <w:tcW w:w="1018"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17</w:t>
            </w:r>
          </w:p>
        </w:tc>
        <w:tc>
          <w:tcPr>
            <w:tcW w:w="1982"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w:t>
            </w:r>
          </w:p>
        </w:tc>
        <w:tc>
          <w:tcPr>
            <w:tcW w:w="1043"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61</w:t>
            </w:r>
          </w:p>
        </w:tc>
        <w:tc>
          <w:tcPr>
            <w:tcW w:w="1988"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w:t>
            </w:r>
          </w:p>
        </w:tc>
        <w:tc>
          <w:tcPr>
            <w:tcW w:w="1295"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78</w:t>
            </w:r>
          </w:p>
        </w:tc>
      </w:tr>
    </w:tbl>
    <w:p>
      <w:pPr>
        <w:adjustRightInd/>
        <w:snapToGrid/>
        <w:spacing w:line="240" w:lineRule="auto"/>
        <w:ind w:firstLine="0" w:firstLineChars="0"/>
        <w:rPr>
          <w:rFonts w:ascii="Calibri" w:hAnsi="Calibri"/>
          <w:sz w:val="24"/>
        </w:rPr>
      </w:pPr>
    </w:p>
    <w:p>
      <w:pPr>
        <w:adjustRightInd/>
        <w:snapToGrid/>
        <w:spacing w:line="240" w:lineRule="auto"/>
        <w:ind w:firstLine="0" w:firstLineChars="0"/>
        <w:jc w:val="center"/>
        <w:rPr>
          <w:rFonts w:ascii="Calibri" w:hAnsi="Calibri"/>
          <w:sz w:val="24"/>
        </w:rPr>
      </w:pPr>
      <w:r>
        <w:rPr>
          <w:rFonts w:hint="eastAsia" w:ascii="Calibri" w:hAnsi="Calibri"/>
          <w:sz w:val="24"/>
        </w:rPr>
        <w:drawing>
          <wp:inline distT="0" distB="0" distL="114300" distR="114300">
            <wp:extent cx="3648075" cy="2675890"/>
            <wp:effectExtent l="0" t="0" r="9525" b="10160"/>
            <wp:docPr id="7" name="图片 7" descr="1608781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8781154(1)"/>
                    <pic:cNvPicPr>
                      <a:picLocks noChangeAspect="1"/>
                    </pic:cNvPicPr>
                  </pic:nvPicPr>
                  <pic:blipFill>
                    <a:blip r:embed="rId12"/>
                    <a:stretch>
                      <a:fillRect/>
                    </a:stretch>
                  </pic:blipFill>
                  <pic:spPr>
                    <a:xfrm>
                      <a:off x="0" y="0"/>
                      <a:ext cx="3648075" cy="2675890"/>
                    </a:xfrm>
                    <a:prstGeom prst="rect">
                      <a:avLst/>
                    </a:prstGeom>
                  </pic:spPr>
                </pic:pic>
              </a:graphicData>
            </a:graphic>
          </wp:inline>
        </w:drawing>
      </w:r>
    </w:p>
    <w:p>
      <w:pPr>
        <w:adjustRightInd/>
        <w:snapToGrid/>
        <w:spacing w:line="240" w:lineRule="auto"/>
        <w:ind w:firstLine="0" w:firstLineChars="0"/>
        <w:jc w:val="center"/>
        <w:rPr>
          <w:rFonts w:ascii="Calibri" w:hAnsi="Calibri"/>
          <w:sz w:val="24"/>
        </w:rPr>
      </w:pPr>
      <w:r>
        <w:rPr>
          <w:rFonts w:ascii="Calibri" w:hAnsi="Calibri"/>
          <w:sz w:val="24"/>
        </w:rPr>
        <w:drawing>
          <wp:inline distT="0" distB="0" distL="114300" distR="114300">
            <wp:extent cx="3607435" cy="2586990"/>
            <wp:effectExtent l="0" t="0" r="12065" b="3810"/>
            <wp:docPr id="8" name="图片 8" descr="1608781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8781175(1)"/>
                    <pic:cNvPicPr>
                      <a:picLocks noChangeAspect="1"/>
                    </pic:cNvPicPr>
                  </pic:nvPicPr>
                  <pic:blipFill>
                    <a:blip r:embed="rId13"/>
                    <a:stretch>
                      <a:fillRect/>
                    </a:stretch>
                  </pic:blipFill>
                  <pic:spPr>
                    <a:xfrm>
                      <a:off x="0" y="0"/>
                      <a:ext cx="3607435" cy="2586990"/>
                    </a:xfrm>
                    <a:prstGeom prst="rect">
                      <a:avLst/>
                    </a:prstGeom>
                  </pic:spPr>
                </pic:pic>
              </a:graphicData>
            </a:graphic>
          </wp:inline>
        </w:drawing>
      </w:r>
    </w:p>
    <w:p>
      <w:pPr>
        <w:adjustRightInd/>
        <w:snapToGrid/>
        <w:spacing w:line="240" w:lineRule="auto"/>
        <w:ind w:firstLine="0" w:firstLineChars="0"/>
        <w:jc w:val="center"/>
        <w:rPr>
          <w:rFonts w:ascii="Calibri" w:hAnsi="Calibri"/>
          <w:sz w:val="24"/>
        </w:rPr>
      </w:pPr>
    </w:p>
    <w:p>
      <w:pPr>
        <w:adjustRightInd/>
        <w:snapToGrid/>
        <w:spacing w:line="240" w:lineRule="auto"/>
        <w:ind w:firstLine="0" w:firstLineChars="0"/>
        <w:rPr>
          <w:rFonts w:ascii="Calibri" w:hAnsi="Calibri"/>
          <w:sz w:val="24"/>
        </w:rPr>
      </w:pPr>
    </w:p>
    <w:p>
      <w:pPr>
        <w:adjustRightInd/>
        <w:snapToGrid/>
        <w:spacing w:line="360" w:lineRule="auto"/>
        <w:ind w:firstLine="0" w:firstLineChars="0"/>
        <w:rPr>
          <w:rFonts w:ascii="Calibri" w:hAnsi="Calibri"/>
          <w:szCs w:val="21"/>
        </w:rPr>
      </w:pPr>
      <w:r>
        <w:rPr>
          <w:rFonts w:hint="eastAsia" w:ascii="Calibri" w:hAnsi="Calibri"/>
          <w:color w:val="FF0000"/>
          <w:sz w:val="24"/>
        </w:rPr>
        <w:t>**</w:t>
      </w:r>
      <w:r>
        <w:rPr>
          <w:rFonts w:hint="eastAsia" w:ascii="Calibri" w:hAnsi="Calibri"/>
          <w:szCs w:val="21"/>
        </w:rPr>
        <w:t>污染物限量检测及数据分析</w:t>
      </w:r>
    </w:p>
    <w:p>
      <w:pPr>
        <w:spacing w:line="360" w:lineRule="auto"/>
        <w:ind w:firstLine="420"/>
        <w:rPr>
          <w:szCs w:val="21"/>
        </w:rPr>
      </w:pPr>
      <w:r>
        <w:rPr>
          <w:rFonts w:hint="eastAsia"/>
          <w:szCs w:val="21"/>
        </w:rPr>
        <w:t>共检测巴沙鱼原料6批、巴沙鱼片（块）8批次。原料均因兽药（氧氟沙星、诺氟沙星等）残留超标而不合格；巴沙鱼片（块）合格8批，合格率100%。巴沙鱼片（块）各类样品检测批次分布如下：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056"/>
        <w:gridCol w:w="2006"/>
        <w:gridCol w:w="975"/>
        <w:gridCol w:w="2006"/>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Merge w:val="restart"/>
            <w:vAlign w:val="center"/>
          </w:tcPr>
          <w:p>
            <w:pPr>
              <w:ind w:firstLine="0" w:firstLineChars="0"/>
              <w:jc w:val="center"/>
              <w:rPr>
                <w:szCs w:val="21"/>
              </w:rPr>
            </w:pPr>
            <w:r>
              <w:rPr>
                <w:rFonts w:hint="eastAsia"/>
                <w:szCs w:val="21"/>
              </w:rPr>
              <w:t>判定</w:t>
            </w:r>
          </w:p>
        </w:tc>
        <w:tc>
          <w:tcPr>
            <w:tcW w:w="3062" w:type="dxa"/>
            <w:gridSpan w:val="2"/>
            <w:vAlign w:val="center"/>
          </w:tcPr>
          <w:p>
            <w:pPr>
              <w:widowControl/>
              <w:ind w:firstLine="0" w:firstLineChars="0"/>
              <w:jc w:val="center"/>
              <w:textAlignment w:val="center"/>
              <w:rPr>
                <w:szCs w:val="21"/>
              </w:rPr>
            </w:pPr>
            <w:r>
              <w:rPr>
                <w:rFonts w:hint="eastAsia" w:hAnsi="宋体" w:cs="宋体"/>
                <w:color w:val="000000"/>
                <w:kern w:val="0"/>
                <w:szCs w:val="21"/>
                <w:lang w:bidi="ar"/>
              </w:rPr>
              <w:t>带皮</w:t>
            </w:r>
          </w:p>
        </w:tc>
        <w:tc>
          <w:tcPr>
            <w:tcW w:w="2981" w:type="dxa"/>
            <w:gridSpan w:val="2"/>
            <w:vAlign w:val="center"/>
          </w:tcPr>
          <w:p>
            <w:pPr>
              <w:widowControl/>
              <w:ind w:firstLine="0" w:firstLineChars="0"/>
              <w:jc w:val="center"/>
              <w:textAlignment w:val="center"/>
              <w:rPr>
                <w:szCs w:val="21"/>
              </w:rPr>
            </w:pPr>
            <w:r>
              <w:rPr>
                <w:rFonts w:hint="eastAsia" w:hAnsi="宋体" w:cs="宋体"/>
                <w:color w:val="000000"/>
                <w:kern w:val="0"/>
                <w:szCs w:val="21"/>
                <w:lang w:bidi="ar"/>
              </w:rPr>
              <w:t>去皮</w:t>
            </w:r>
          </w:p>
        </w:tc>
        <w:tc>
          <w:tcPr>
            <w:tcW w:w="1290" w:type="dxa"/>
            <w:vMerge w:val="restart"/>
            <w:vAlign w:val="center"/>
          </w:tcPr>
          <w:p>
            <w:pPr>
              <w:widowControl/>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合计批次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Merge w:val="continue"/>
            <w:vAlign w:val="center"/>
          </w:tcPr>
          <w:p>
            <w:pPr>
              <w:ind w:firstLine="420"/>
              <w:jc w:val="center"/>
              <w:rPr>
                <w:szCs w:val="21"/>
              </w:rPr>
            </w:pPr>
          </w:p>
        </w:tc>
        <w:tc>
          <w:tcPr>
            <w:tcW w:w="1056" w:type="dxa"/>
            <w:vAlign w:val="center"/>
          </w:tcPr>
          <w:p>
            <w:pPr>
              <w:widowControl/>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批次</w:t>
            </w:r>
          </w:p>
        </w:tc>
        <w:tc>
          <w:tcPr>
            <w:tcW w:w="2006" w:type="dxa"/>
            <w:vAlign w:val="center"/>
          </w:tcPr>
          <w:p>
            <w:pPr>
              <w:widowControl/>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占带皮样品总批次的百分比</w:t>
            </w:r>
          </w:p>
        </w:tc>
        <w:tc>
          <w:tcPr>
            <w:tcW w:w="975" w:type="dxa"/>
            <w:vAlign w:val="center"/>
          </w:tcPr>
          <w:p>
            <w:pPr>
              <w:widowControl/>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批次</w:t>
            </w:r>
          </w:p>
        </w:tc>
        <w:tc>
          <w:tcPr>
            <w:tcW w:w="2006" w:type="dxa"/>
            <w:vAlign w:val="center"/>
          </w:tcPr>
          <w:p>
            <w:pPr>
              <w:widowControl/>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占去皮样品总批次的百分比</w:t>
            </w:r>
          </w:p>
        </w:tc>
        <w:tc>
          <w:tcPr>
            <w:tcW w:w="1290" w:type="dxa"/>
            <w:vMerge w:val="continue"/>
            <w:vAlign w:val="center"/>
          </w:tcPr>
          <w:p>
            <w:pPr>
              <w:widowControl/>
              <w:ind w:firstLine="420"/>
              <w:jc w:val="center"/>
              <w:textAlignment w:val="center"/>
              <w:rPr>
                <w:rFonts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pPr>
              <w:widowControl/>
              <w:ind w:firstLine="0" w:firstLineChars="0"/>
              <w:jc w:val="center"/>
              <w:textAlignment w:val="center"/>
              <w:rPr>
                <w:szCs w:val="21"/>
              </w:rPr>
            </w:pPr>
            <w:r>
              <w:rPr>
                <w:rFonts w:hint="eastAsia" w:hAnsi="宋体" w:cs="宋体"/>
                <w:color w:val="000000"/>
                <w:kern w:val="0"/>
                <w:szCs w:val="21"/>
                <w:lang w:bidi="ar"/>
              </w:rPr>
              <w:t>合格</w:t>
            </w:r>
          </w:p>
        </w:tc>
        <w:tc>
          <w:tcPr>
            <w:tcW w:w="1056" w:type="dxa"/>
            <w:vAlign w:val="center"/>
          </w:tcPr>
          <w:p>
            <w:pPr>
              <w:widowControl/>
              <w:ind w:firstLine="0" w:firstLineChars="0"/>
              <w:jc w:val="center"/>
              <w:textAlignment w:val="center"/>
              <w:rPr>
                <w:szCs w:val="21"/>
              </w:rPr>
            </w:pPr>
            <w:r>
              <w:rPr>
                <w:rFonts w:ascii="Times New Roman"/>
                <w:color w:val="000000"/>
                <w:kern w:val="0"/>
                <w:szCs w:val="21"/>
                <w:lang w:bidi="ar"/>
              </w:rPr>
              <w:t>1</w:t>
            </w:r>
          </w:p>
        </w:tc>
        <w:tc>
          <w:tcPr>
            <w:tcW w:w="2006" w:type="dxa"/>
            <w:vAlign w:val="center"/>
          </w:tcPr>
          <w:p>
            <w:pPr>
              <w:widowControl/>
              <w:ind w:firstLine="0" w:firstLineChars="0"/>
              <w:jc w:val="center"/>
              <w:textAlignment w:val="center"/>
              <w:rPr>
                <w:szCs w:val="21"/>
              </w:rPr>
            </w:pPr>
            <w:r>
              <w:rPr>
                <w:rFonts w:ascii="Times New Roman"/>
                <w:color w:val="000000"/>
                <w:kern w:val="0"/>
                <w:szCs w:val="21"/>
                <w:lang w:bidi="ar"/>
              </w:rPr>
              <w:t>1</w:t>
            </w:r>
            <w:r>
              <w:rPr>
                <w:rFonts w:hint="eastAsia" w:ascii="Times New Roman"/>
                <w:color w:val="000000"/>
                <w:kern w:val="0"/>
                <w:szCs w:val="21"/>
                <w:lang w:bidi="ar"/>
              </w:rPr>
              <w:t>00</w:t>
            </w:r>
            <w:r>
              <w:rPr>
                <w:rFonts w:ascii="Times New Roman"/>
                <w:color w:val="000000"/>
                <w:kern w:val="0"/>
                <w:szCs w:val="21"/>
                <w:lang w:bidi="ar"/>
              </w:rPr>
              <w:t>%</w:t>
            </w:r>
          </w:p>
        </w:tc>
        <w:tc>
          <w:tcPr>
            <w:tcW w:w="975" w:type="dxa"/>
            <w:vAlign w:val="center"/>
          </w:tcPr>
          <w:p>
            <w:pPr>
              <w:widowControl/>
              <w:ind w:firstLine="0" w:firstLineChars="0"/>
              <w:jc w:val="center"/>
              <w:textAlignment w:val="center"/>
              <w:rPr>
                <w:szCs w:val="21"/>
              </w:rPr>
            </w:pPr>
            <w:r>
              <w:rPr>
                <w:rFonts w:ascii="Times New Roman"/>
                <w:color w:val="000000"/>
                <w:kern w:val="0"/>
                <w:szCs w:val="21"/>
                <w:lang w:bidi="ar"/>
              </w:rPr>
              <w:t>7</w:t>
            </w:r>
          </w:p>
        </w:tc>
        <w:tc>
          <w:tcPr>
            <w:tcW w:w="2006" w:type="dxa"/>
            <w:vAlign w:val="center"/>
          </w:tcPr>
          <w:p>
            <w:pPr>
              <w:widowControl/>
              <w:ind w:firstLine="0" w:firstLineChars="0"/>
              <w:jc w:val="center"/>
              <w:textAlignment w:val="center"/>
              <w:rPr>
                <w:szCs w:val="21"/>
              </w:rPr>
            </w:pPr>
            <w:r>
              <w:rPr>
                <w:rFonts w:ascii="Times New Roman"/>
                <w:color w:val="000000"/>
                <w:kern w:val="0"/>
                <w:szCs w:val="21"/>
                <w:lang w:bidi="ar"/>
              </w:rPr>
              <w:t>100.00%</w:t>
            </w:r>
          </w:p>
        </w:tc>
        <w:tc>
          <w:tcPr>
            <w:tcW w:w="1290"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pPr>
              <w:widowControl/>
              <w:ind w:firstLine="0" w:firstLineChars="0"/>
              <w:jc w:val="center"/>
              <w:textAlignment w:val="center"/>
              <w:rPr>
                <w:szCs w:val="21"/>
              </w:rPr>
            </w:pPr>
            <w:r>
              <w:rPr>
                <w:rFonts w:hint="eastAsia" w:hAnsi="宋体" w:cs="宋体"/>
                <w:color w:val="000000"/>
                <w:kern w:val="0"/>
                <w:szCs w:val="21"/>
                <w:lang w:bidi="ar"/>
              </w:rPr>
              <w:t>不合格</w:t>
            </w:r>
          </w:p>
        </w:tc>
        <w:tc>
          <w:tcPr>
            <w:tcW w:w="1056" w:type="dxa"/>
            <w:vAlign w:val="center"/>
          </w:tcPr>
          <w:p>
            <w:pPr>
              <w:widowControl/>
              <w:ind w:firstLine="0" w:firstLineChars="0"/>
              <w:jc w:val="center"/>
              <w:textAlignment w:val="center"/>
              <w:rPr>
                <w:szCs w:val="21"/>
              </w:rPr>
            </w:pPr>
            <w:r>
              <w:rPr>
                <w:rFonts w:hint="eastAsia" w:ascii="Times New Roman"/>
                <w:color w:val="000000"/>
                <w:kern w:val="0"/>
                <w:szCs w:val="21"/>
                <w:lang w:bidi="ar"/>
              </w:rPr>
              <w:t>0</w:t>
            </w:r>
          </w:p>
        </w:tc>
        <w:tc>
          <w:tcPr>
            <w:tcW w:w="2006" w:type="dxa"/>
            <w:vAlign w:val="center"/>
          </w:tcPr>
          <w:p>
            <w:pPr>
              <w:widowControl/>
              <w:ind w:firstLine="0" w:firstLineChars="0"/>
              <w:jc w:val="center"/>
              <w:textAlignment w:val="center"/>
              <w:rPr>
                <w:szCs w:val="21"/>
              </w:rPr>
            </w:pPr>
            <w:r>
              <w:rPr>
                <w:rFonts w:hint="eastAsia" w:ascii="Times New Roman"/>
                <w:color w:val="000000"/>
                <w:kern w:val="0"/>
                <w:szCs w:val="21"/>
                <w:lang w:bidi="ar"/>
              </w:rPr>
              <w:t>0</w:t>
            </w:r>
            <w:r>
              <w:rPr>
                <w:rFonts w:ascii="Times New Roman"/>
                <w:color w:val="000000"/>
                <w:kern w:val="0"/>
                <w:szCs w:val="21"/>
                <w:lang w:bidi="ar"/>
              </w:rPr>
              <w:t>%</w:t>
            </w:r>
          </w:p>
        </w:tc>
        <w:tc>
          <w:tcPr>
            <w:tcW w:w="975" w:type="dxa"/>
            <w:vAlign w:val="center"/>
          </w:tcPr>
          <w:p>
            <w:pPr>
              <w:widowControl/>
              <w:ind w:firstLine="0" w:firstLineChars="0"/>
              <w:jc w:val="center"/>
              <w:textAlignment w:val="center"/>
              <w:rPr>
                <w:szCs w:val="21"/>
              </w:rPr>
            </w:pPr>
            <w:r>
              <w:rPr>
                <w:rFonts w:ascii="Times New Roman"/>
                <w:color w:val="000000"/>
                <w:kern w:val="0"/>
                <w:szCs w:val="21"/>
                <w:lang w:bidi="ar"/>
              </w:rPr>
              <w:t>0</w:t>
            </w:r>
          </w:p>
        </w:tc>
        <w:tc>
          <w:tcPr>
            <w:tcW w:w="2006" w:type="dxa"/>
            <w:vAlign w:val="center"/>
          </w:tcPr>
          <w:p>
            <w:pPr>
              <w:widowControl/>
              <w:ind w:firstLine="0" w:firstLineChars="0"/>
              <w:jc w:val="center"/>
              <w:textAlignment w:val="center"/>
              <w:rPr>
                <w:szCs w:val="21"/>
              </w:rPr>
            </w:pPr>
            <w:r>
              <w:rPr>
                <w:rFonts w:ascii="Times New Roman"/>
                <w:color w:val="000000"/>
                <w:kern w:val="0"/>
                <w:szCs w:val="21"/>
                <w:lang w:bidi="ar"/>
              </w:rPr>
              <w:t>0.00%</w:t>
            </w:r>
          </w:p>
        </w:tc>
        <w:tc>
          <w:tcPr>
            <w:tcW w:w="1290"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pPr>
              <w:widowControl/>
              <w:ind w:firstLine="0" w:firstLineChars="0"/>
              <w:jc w:val="center"/>
              <w:textAlignment w:val="center"/>
              <w:rPr>
                <w:rFonts w:hAnsi="宋体" w:cs="宋体"/>
                <w:color w:val="000000"/>
                <w:kern w:val="0"/>
                <w:szCs w:val="21"/>
                <w:lang w:bidi="ar"/>
              </w:rPr>
            </w:pPr>
            <w:r>
              <w:rPr>
                <w:rFonts w:hint="eastAsia" w:hAnsi="宋体" w:cs="宋体"/>
                <w:color w:val="000000"/>
                <w:kern w:val="0"/>
                <w:szCs w:val="21"/>
                <w:lang w:bidi="ar"/>
              </w:rPr>
              <w:t>合计</w:t>
            </w:r>
          </w:p>
        </w:tc>
        <w:tc>
          <w:tcPr>
            <w:tcW w:w="1056"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1</w:t>
            </w:r>
          </w:p>
        </w:tc>
        <w:tc>
          <w:tcPr>
            <w:tcW w:w="2006" w:type="dxa"/>
            <w:vAlign w:val="center"/>
          </w:tcPr>
          <w:p>
            <w:pPr>
              <w:ind w:firstLine="0" w:firstLineChars="0"/>
              <w:jc w:val="center"/>
              <w:rPr>
                <w:rFonts w:ascii="Times New Roman"/>
                <w:color w:val="000000"/>
                <w:kern w:val="0"/>
                <w:szCs w:val="21"/>
                <w:lang w:bidi="ar"/>
              </w:rPr>
            </w:pPr>
            <w:r>
              <w:rPr>
                <w:rFonts w:hint="eastAsia" w:ascii="Times New Roman"/>
                <w:color w:val="000000"/>
                <w:kern w:val="0"/>
                <w:szCs w:val="21"/>
                <w:lang w:bidi="ar"/>
              </w:rPr>
              <w:t>/</w:t>
            </w:r>
          </w:p>
        </w:tc>
        <w:tc>
          <w:tcPr>
            <w:tcW w:w="975" w:type="dxa"/>
            <w:vAlign w:val="center"/>
          </w:tcPr>
          <w:p>
            <w:pPr>
              <w:widowControl/>
              <w:ind w:firstLine="0" w:firstLineChars="0"/>
              <w:jc w:val="center"/>
              <w:textAlignment w:val="center"/>
              <w:rPr>
                <w:rFonts w:ascii="Times New Roman"/>
                <w:color w:val="000000"/>
                <w:kern w:val="0"/>
                <w:szCs w:val="21"/>
                <w:lang w:bidi="ar"/>
              </w:rPr>
            </w:pPr>
            <w:r>
              <w:rPr>
                <w:rFonts w:ascii="Times New Roman"/>
                <w:color w:val="000000"/>
                <w:kern w:val="0"/>
                <w:szCs w:val="21"/>
                <w:lang w:bidi="ar"/>
              </w:rPr>
              <w:t>7</w:t>
            </w:r>
          </w:p>
        </w:tc>
        <w:tc>
          <w:tcPr>
            <w:tcW w:w="2006" w:type="dxa"/>
            <w:vAlign w:val="center"/>
          </w:tcPr>
          <w:p>
            <w:pPr>
              <w:ind w:firstLine="0" w:firstLineChars="0"/>
              <w:jc w:val="center"/>
              <w:rPr>
                <w:rFonts w:ascii="Times New Roman"/>
                <w:color w:val="000000"/>
                <w:kern w:val="0"/>
                <w:szCs w:val="21"/>
                <w:lang w:bidi="ar"/>
              </w:rPr>
            </w:pPr>
            <w:r>
              <w:rPr>
                <w:rFonts w:hint="eastAsia" w:ascii="Times New Roman"/>
                <w:color w:val="000000"/>
                <w:kern w:val="0"/>
                <w:szCs w:val="21"/>
                <w:lang w:bidi="ar"/>
              </w:rPr>
              <w:t>/</w:t>
            </w:r>
          </w:p>
        </w:tc>
        <w:tc>
          <w:tcPr>
            <w:tcW w:w="1290" w:type="dxa"/>
            <w:vAlign w:val="center"/>
          </w:tcPr>
          <w:p>
            <w:pPr>
              <w:widowControl/>
              <w:ind w:firstLine="0" w:firstLineChars="0"/>
              <w:jc w:val="center"/>
              <w:textAlignment w:val="center"/>
              <w:rPr>
                <w:rFonts w:ascii="Times New Roman"/>
                <w:color w:val="000000"/>
                <w:kern w:val="0"/>
                <w:szCs w:val="21"/>
                <w:lang w:bidi="ar"/>
              </w:rPr>
            </w:pPr>
            <w:r>
              <w:rPr>
                <w:rFonts w:hint="eastAsia" w:ascii="Times New Roman"/>
                <w:color w:val="000000"/>
                <w:kern w:val="0"/>
                <w:szCs w:val="21"/>
                <w:lang w:bidi="ar"/>
              </w:rPr>
              <w:t>8</w:t>
            </w:r>
          </w:p>
        </w:tc>
      </w:tr>
    </w:tbl>
    <w:p>
      <w:pPr>
        <w:ind w:firstLine="420"/>
        <w:jc w:val="center"/>
        <w:rPr>
          <w:szCs w:val="21"/>
        </w:rPr>
      </w:pPr>
    </w:p>
    <w:p>
      <w:pPr>
        <w:adjustRightInd/>
        <w:snapToGrid/>
        <w:spacing w:line="240" w:lineRule="auto"/>
        <w:ind w:firstLine="0" w:firstLineChars="0"/>
        <w:rPr>
          <w:rFonts w:ascii="Calibri" w:hAnsi="Calibri"/>
        </w:rPr>
      </w:pPr>
    </w:p>
    <w:p>
      <w:pPr>
        <w:adjustRightInd/>
        <w:snapToGrid/>
        <w:spacing w:line="240" w:lineRule="auto"/>
        <w:ind w:firstLine="0" w:firstLineChars="0"/>
        <w:rPr>
          <w:rFonts w:ascii="Calibri" w:hAnsi="Calibri"/>
        </w:rPr>
      </w:pPr>
      <w:r>
        <w:rPr>
          <w:rFonts w:hint="eastAsia" w:ascii="Calibri" w:hAnsi="Calibri"/>
        </w:rPr>
        <w:t>附表</w:t>
      </w:r>
      <w:r>
        <w:rPr>
          <w:rFonts w:ascii="Calibri" w:hAnsi="Calibri"/>
        </w:rPr>
        <w:t>*</w:t>
      </w:r>
      <w:r>
        <w:rPr>
          <w:rFonts w:hint="eastAsia" w:ascii="Calibri" w:hAnsi="Calibri"/>
        </w:rPr>
        <w:t>：巴沙鱼片（块）理化指标检测结果一览表（特级品）</w:t>
      </w:r>
    </w:p>
    <w:tbl>
      <w:tblPr>
        <w:tblStyle w:val="35"/>
        <w:tblW w:w="7619" w:type="dxa"/>
        <w:jc w:val="center"/>
        <w:tblLayout w:type="fixed"/>
        <w:tblCellMar>
          <w:top w:w="0" w:type="dxa"/>
          <w:left w:w="0" w:type="dxa"/>
          <w:bottom w:w="0" w:type="dxa"/>
          <w:right w:w="0" w:type="dxa"/>
        </w:tblCellMar>
      </w:tblPr>
      <w:tblGrid>
        <w:gridCol w:w="555"/>
        <w:gridCol w:w="1802"/>
        <w:gridCol w:w="1065"/>
        <w:gridCol w:w="780"/>
        <w:gridCol w:w="780"/>
        <w:gridCol w:w="780"/>
        <w:gridCol w:w="1857"/>
      </w:tblGrid>
      <w:tr>
        <w:tblPrEx>
          <w:tblCellMar>
            <w:top w:w="0" w:type="dxa"/>
            <w:left w:w="0" w:type="dxa"/>
            <w:bottom w:w="0" w:type="dxa"/>
            <w:right w:w="0" w:type="dxa"/>
          </w:tblCellMar>
        </w:tblPrEx>
        <w:trPr>
          <w:trHeight w:val="315"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Ansi="宋体" w:cs="宋体"/>
                <w:szCs w:val="21"/>
                <w:lang w:bidi="ar"/>
              </w:rPr>
              <w:t>序号</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Ansi="宋体" w:cs="宋体"/>
                <w:szCs w:val="21"/>
                <w:lang w:bidi="ar"/>
              </w:rPr>
              <w:t>样品名称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Ansi="宋体" w:cs="宋体"/>
                <w:szCs w:val="21"/>
                <w:lang w:bidi="ar"/>
              </w:rPr>
              <w:t>质量</w:t>
            </w:r>
            <w:r>
              <w:rPr>
                <w:rFonts w:ascii="Times New Roman"/>
                <w:szCs w:val="21"/>
                <w:lang w:bidi="ar"/>
              </w:rPr>
              <w:br w:type="textWrapping"/>
            </w:r>
            <w:r>
              <w:rPr>
                <w:rFonts w:hAnsi="宋体" w:cs="宋体"/>
                <w:szCs w:val="21"/>
                <w:lang w:bidi="ar"/>
              </w:rPr>
              <w:t>等级</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adjustRightInd/>
              <w:snapToGrid/>
              <w:spacing w:line="240" w:lineRule="auto"/>
              <w:ind w:firstLine="0" w:firstLineChars="0"/>
              <w:jc w:val="center"/>
              <w:textAlignment w:val="top"/>
              <w:rPr>
                <w:rFonts w:ascii="Times New Roman"/>
                <w:szCs w:val="21"/>
              </w:rPr>
            </w:pPr>
            <w:r>
              <w:rPr>
                <w:rFonts w:hAnsi="宋体" w:cs="宋体"/>
                <w:szCs w:val="21"/>
                <w:lang w:bidi="ar"/>
              </w:rPr>
              <w:t>检测结果</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Ansi="宋体" w:cs="宋体"/>
                <w:szCs w:val="21"/>
                <w:lang w:bidi="ar"/>
              </w:rPr>
              <w:t>报告编号</w:t>
            </w:r>
          </w:p>
        </w:tc>
      </w:tr>
      <w:tr>
        <w:tblPrEx>
          <w:tblCellMar>
            <w:top w:w="0" w:type="dxa"/>
            <w:left w:w="0" w:type="dxa"/>
            <w:bottom w:w="0" w:type="dxa"/>
            <w:right w:w="0" w:type="dxa"/>
          </w:tblCellMar>
        </w:tblPrEx>
        <w:trPr>
          <w:trHeight w:val="31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lang w:bidi="ar"/>
              </w:rPr>
            </w:pPr>
            <w:r>
              <w:rPr>
                <w:rFonts w:hAnsi="宋体" w:cs="宋体"/>
                <w:szCs w:val="21"/>
                <w:lang w:bidi="ar"/>
              </w:rPr>
              <w:t>水分</w:t>
            </w:r>
          </w:p>
          <w:p>
            <w:pPr>
              <w:widowControl/>
              <w:adjustRightInd/>
              <w:snapToGrid/>
              <w:spacing w:line="240" w:lineRule="auto"/>
              <w:ind w:firstLine="0" w:firstLineChars="0"/>
              <w:jc w:val="center"/>
              <w:textAlignment w:val="center"/>
              <w:rPr>
                <w:rFonts w:ascii="Times New Roman"/>
                <w:szCs w:val="21"/>
              </w:rPr>
            </w:pPr>
            <w:r>
              <w:rPr>
                <w:rFonts w:ascii="Times New Roman"/>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lang w:bidi="ar"/>
              </w:rPr>
            </w:pPr>
            <w:r>
              <w:rPr>
                <w:rFonts w:hAnsi="宋体" w:cs="宋体"/>
                <w:szCs w:val="21"/>
                <w:lang w:bidi="ar"/>
              </w:rPr>
              <w:t>蛋白质</w:t>
            </w:r>
          </w:p>
          <w:p>
            <w:pPr>
              <w:widowControl/>
              <w:adjustRightInd/>
              <w:snapToGrid/>
              <w:spacing w:line="240" w:lineRule="auto"/>
              <w:ind w:firstLine="0" w:firstLineChars="0"/>
              <w:jc w:val="center"/>
              <w:textAlignment w:val="center"/>
              <w:rPr>
                <w:rFonts w:ascii="Times New Roman"/>
                <w:szCs w:val="21"/>
              </w:rPr>
            </w:pPr>
            <w:r>
              <w:rPr>
                <w:rFonts w:ascii="Times New Roman"/>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lang w:bidi="ar"/>
              </w:rPr>
            </w:pPr>
            <w:r>
              <w:rPr>
                <w:rFonts w:hAnsi="宋体" w:cs="宋体"/>
                <w:szCs w:val="21"/>
                <w:lang w:bidi="ar"/>
              </w:rPr>
              <w:t>脂肪</w:t>
            </w:r>
          </w:p>
          <w:p>
            <w:pPr>
              <w:widowControl/>
              <w:adjustRightInd/>
              <w:snapToGrid/>
              <w:spacing w:line="240" w:lineRule="auto"/>
              <w:ind w:firstLine="0" w:firstLineChars="0"/>
              <w:jc w:val="center"/>
              <w:textAlignment w:val="center"/>
              <w:rPr>
                <w:rFonts w:ascii="Times New Roman"/>
                <w:szCs w:val="21"/>
              </w:rPr>
            </w:pPr>
            <w:r>
              <w:rPr>
                <w:rFonts w:ascii="Times New Roman"/>
                <w:szCs w:val="21"/>
                <w:lang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Ansi="宋体" w:cs="宋体"/>
                <w:szCs w:val="21"/>
                <w:lang w:bidi="ar"/>
              </w:rPr>
              <w:t>背开片巴沙鱼</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特级品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78.6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15.8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BZD-WT2001444</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Ansi="宋体" w:cs="宋体"/>
                <w:szCs w:val="21"/>
                <w:lang w:bidi="ar"/>
              </w:rPr>
              <w:t>背开片巴沙鱼</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特级品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75.8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16.5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BZD-WT2001445</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Ansi="宋体" w:cs="宋体"/>
                <w:szCs w:val="21"/>
                <w:lang w:bidi="ar"/>
              </w:rPr>
              <w:t>冻巴沙鱼片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特级品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84.6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BZD-WT2001457</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Ansi="宋体" w:cs="宋体"/>
                <w:szCs w:val="21"/>
                <w:lang w:bidi="ar"/>
              </w:rPr>
              <w:t>冻巴沙鱼片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特级品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83.1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15.0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BZD-WT2001688</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5</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Ansi="宋体" w:cs="宋体"/>
                <w:szCs w:val="21"/>
                <w:lang w:bidi="ar"/>
              </w:rPr>
              <w:t>冻巴沙鱼片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特级品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83.2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15.0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BZD-WT2001689</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Ansi="宋体" w:cs="宋体"/>
                <w:szCs w:val="21"/>
                <w:lang w:bidi="ar"/>
              </w:rPr>
              <w:t>冻巴沙鱼柳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特级品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82.2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15.1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BZD-WT2001704</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Ansi="宋体" w:cs="宋体"/>
                <w:szCs w:val="21"/>
                <w:lang w:bidi="ar"/>
              </w:rPr>
              <w:t>冻巴沙鱼片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特级品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81.2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17.3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1.2 </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BZD-WT2002180</w:t>
            </w:r>
          </w:p>
        </w:tc>
      </w:tr>
    </w:tbl>
    <w:p>
      <w:pPr>
        <w:adjustRightInd/>
        <w:snapToGrid/>
        <w:spacing w:line="240" w:lineRule="auto"/>
        <w:ind w:firstLine="0" w:firstLineChars="0"/>
        <w:rPr>
          <w:rFonts w:ascii="Calibri" w:hAnsi="Calibri"/>
        </w:rPr>
      </w:pPr>
    </w:p>
    <w:p>
      <w:pPr>
        <w:adjustRightInd/>
        <w:snapToGrid/>
        <w:spacing w:line="240" w:lineRule="auto"/>
        <w:ind w:firstLine="0" w:firstLineChars="0"/>
        <w:rPr>
          <w:rFonts w:ascii="Calibri" w:hAnsi="Calibri"/>
        </w:rPr>
      </w:pPr>
      <w:r>
        <w:rPr>
          <w:rFonts w:hint="eastAsia" w:ascii="Calibri" w:hAnsi="Calibri"/>
        </w:rPr>
        <w:t>附表</w:t>
      </w:r>
      <w:r>
        <w:rPr>
          <w:rFonts w:ascii="Calibri" w:hAnsi="Calibri"/>
          <w:color w:val="FF0000"/>
        </w:rPr>
        <w:t>**</w:t>
      </w:r>
      <w:r>
        <w:rPr>
          <w:rFonts w:hint="eastAsia" w:ascii="Calibri" w:hAnsi="Calibri"/>
        </w:rPr>
        <w:t>：巴沙鱼片（块）理化指标检测结果一览表（一级品）</w:t>
      </w:r>
    </w:p>
    <w:tbl>
      <w:tblPr>
        <w:tblStyle w:val="35"/>
        <w:tblW w:w="7901" w:type="dxa"/>
        <w:jc w:val="center"/>
        <w:tblLayout w:type="fixed"/>
        <w:tblCellMar>
          <w:top w:w="0" w:type="dxa"/>
          <w:left w:w="0" w:type="dxa"/>
          <w:bottom w:w="0" w:type="dxa"/>
          <w:right w:w="0" w:type="dxa"/>
        </w:tblCellMar>
      </w:tblPr>
      <w:tblGrid>
        <w:gridCol w:w="553"/>
        <w:gridCol w:w="2117"/>
        <w:gridCol w:w="1031"/>
        <w:gridCol w:w="794"/>
        <w:gridCol w:w="794"/>
        <w:gridCol w:w="794"/>
        <w:gridCol w:w="1818"/>
      </w:tblGrid>
      <w:tr>
        <w:tblPrEx>
          <w:tblCellMar>
            <w:top w:w="0" w:type="dxa"/>
            <w:left w:w="0" w:type="dxa"/>
            <w:bottom w:w="0" w:type="dxa"/>
            <w:right w:w="0" w:type="dxa"/>
          </w:tblCellMar>
        </w:tblPrEx>
        <w:trPr>
          <w:trHeight w:val="315" w:hRule="atLeast"/>
          <w:jc w:val="center"/>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序号</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样品名称</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质量</w:t>
            </w:r>
            <w:r>
              <w:rPr>
                <w:rFonts w:ascii="Times New Roman"/>
                <w:kern w:val="0"/>
                <w:szCs w:val="21"/>
                <w:lang w:bidi="ar"/>
              </w:rPr>
              <w:br w:type="textWrapping"/>
            </w:r>
            <w:r>
              <w:rPr>
                <w:rFonts w:hint="eastAsia" w:hAnsi="宋体" w:cs="宋体"/>
                <w:kern w:val="0"/>
                <w:szCs w:val="21"/>
                <w:lang w:bidi="ar"/>
              </w:rPr>
              <w:t>等级</w:t>
            </w:r>
          </w:p>
        </w:tc>
        <w:tc>
          <w:tcPr>
            <w:tcW w:w="2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adjustRightInd/>
              <w:snapToGrid/>
              <w:spacing w:line="240" w:lineRule="auto"/>
              <w:ind w:firstLine="0" w:firstLineChars="0"/>
              <w:jc w:val="center"/>
              <w:textAlignment w:val="top"/>
              <w:rPr>
                <w:rFonts w:ascii="Times New Roman"/>
                <w:szCs w:val="21"/>
              </w:rPr>
            </w:pPr>
            <w:r>
              <w:rPr>
                <w:rFonts w:hint="eastAsia" w:hAnsi="宋体" w:cs="宋体"/>
                <w:kern w:val="0"/>
                <w:szCs w:val="21"/>
                <w:lang w:bidi="ar"/>
              </w:rPr>
              <w:t>检测结果</w:t>
            </w:r>
          </w:p>
        </w:tc>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报告编号</w:t>
            </w:r>
          </w:p>
        </w:tc>
      </w:tr>
      <w:tr>
        <w:tblPrEx>
          <w:tblCellMar>
            <w:top w:w="0" w:type="dxa"/>
            <w:left w:w="0" w:type="dxa"/>
            <w:bottom w:w="0" w:type="dxa"/>
            <w:right w:w="0" w:type="dxa"/>
          </w:tblCellMar>
        </w:tblPrEx>
        <w:trPr>
          <w:trHeight w:val="315" w:hRule="atLeast"/>
          <w:jc w:val="center"/>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水分</w:t>
            </w:r>
            <w:r>
              <w:rPr>
                <w:rFonts w:ascii="Times New Roman"/>
                <w:kern w:val="0"/>
                <w:szCs w:val="21"/>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蛋白质</w:t>
            </w:r>
          </w:p>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脂肪</w:t>
            </w:r>
            <w:r>
              <w:rPr>
                <w:rFonts w:ascii="Times New Roman"/>
                <w:kern w:val="0"/>
                <w:szCs w:val="21"/>
                <w:lang w:bidi="ar"/>
              </w:rPr>
              <w:t>(%)</w:t>
            </w: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黄龙巴沙鱼柳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86.7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10.6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BZD-WT2000080</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冷冻巴沙鱼柳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85.6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10.9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2.0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BZD-WT2001187</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免浆巴沙鱼片</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82.2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14.3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1.7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BZD-WT2001212</w:t>
            </w:r>
          </w:p>
        </w:tc>
      </w:tr>
      <w:tr>
        <w:tblPrEx>
          <w:tblCellMar>
            <w:top w:w="0" w:type="dxa"/>
            <w:left w:w="0" w:type="dxa"/>
            <w:bottom w:w="0" w:type="dxa"/>
            <w:right w:w="0" w:type="dxa"/>
          </w:tblCellMar>
        </w:tblPrEx>
        <w:trPr>
          <w:trHeight w:val="90"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冷冻巴沙鱼片</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84.2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13.8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1.7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BZD-WT2001213</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冷冻巴沙鱼柳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84.0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12.4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1.8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BZD-WT2001223</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86.7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10.1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1.9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BZD-WT2001225</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冻巴沙鱼块（带皮）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74.4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13.7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BZD-WT2001357</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带皮巴沙鱼柳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82.0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11.1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BZD-WT2001358</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冻巴沙鱼片（带皮）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82.1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13.1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BZD-WT2001414</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冻巴沙鱼片（带皮）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81.6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13.6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BZD-WT2001420</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冻巴沙鱼片</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85.3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13.1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BZD-WT2001421</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冻巴沙鱼片（带皮）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83.4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13.2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BZD-WT2001449</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86.5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11.6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BZD-WT2001498</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85.8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11.6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BZD-WT2001571</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85.9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11.2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BZD-WT2001574</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冷冻巴沙鱼柳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10.9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2.0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BZD-WT2001605</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冻巴沙鱼片</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84.6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12.5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BZD-WT2001650</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86.0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12.3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BZD-WT2001670</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86.1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12.2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BZD-WT2001742</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冷冻巴沙鱼柳（带皮）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83.2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13.8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BZD-WT2001743</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冻巴沙鱼片</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BZD-WT2001891</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巴沙鱼柳（带皮）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76.1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15.6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2.3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BZD-WT2001892</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23</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巴沙鱼柳（带皮）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77.0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19.0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2.4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BZD-WT2001894</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24</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巴沙鱼柳（带皮）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79.0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17.9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2.2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BZD-WT2001895</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25</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巴沙鱼柳（去皮）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80.4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12.5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1.6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BZD-WT2001897</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26</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巴沙鱼柳（去皮）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79.3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13.1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2.0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BZD-WT2001898</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27</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巴沙鱼柳（去皮）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79.4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12.8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1.9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BZD-WT2001899</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28</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巴沙鱼柳（去皮）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80.1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13.9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1.9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BZD-WT2001900</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29</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巴沙鱼柳（去皮）</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79.7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13.7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1.9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BZD-WT2001901</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30</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冷冻带皮巴沙鱼柳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83.8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13.9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BZD-WT2001947</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31</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冷冻巴沙鱼柳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85.8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11.8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BZD-WT2001948</w:t>
            </w:r>
          </w:p>
        </w:tc>
      </w:tr>
      <w:tr>
        <w:tblPrEx>
          <w:tblCellMar>
            <w:top w:w="0" w:type="dxa"/>
            <w:left w:w="0" w:type="dxa"/>
            <w:bottom w:w="0" w:type="dxa"/>
            <w:right w:w="0" w:type="dxa"/>
          </w:tblCellMar>
        </w:tblPrEx>
        <w:trPr>
          <w:trHeight w:val="315" w:hRule="atLeast"/>
          <w:jc w:val="center"/>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32</w:t>
            </w:r>
          </w:p>
        </w:tc>
        <w:tc>
          <w:tcPr>
            <w:tcW w:w="2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一级品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86.8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11.0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BZD-WT2001967</w:t>
            </w:r>
          </w:p>
        </w:tc>
      </w:tr>
    </w:tbl>
    <w:p>
      <w:pPr>
        <w:adjustRightInd/>
        <w:snapToGrid/>
        <w:spacing w:line="240" w:lineRule="auto"/>
        <w:ind w:firstLine="0" w:firstLineChars="0"/>
        <w:rPr>
          <w:rFonts w:ascii="Calibri" w:hAnsi="Calibri"/>
        </w:rPr>
      </w:pPr>
    </w:p>
    <w:p>
      <w:pPr>
        <w:adjustRightInd/>
        <w:snapToGrid/>
        <w:spacing w:line="240" w:lineRule="auto"/>
        <w:ind w:firstLine="0" w:firstLineChars="0"/>
        <w:rPr>
          <w:rFonts w:ascii="Calibri" w:hAnsi="Calibri"/>
        </w:rPr>
      </w:pPr>
      <w:r>
        <w:rPr>
          <w:rFonts w:hint="eastAsia" w:ascii="Calibri" w:hAnsi="Calibri"/>
        </w:rPr>
        <w:t>附表</w:t>
      </w:r>
      <w:r>
        <w:rPr>
          <w:rFonts w:ascii="Calibri" w:hAnsi="Calibri"/>
          <w:color w:val="FF0000"/>
        </w:rPr>
        <w:t>***</w:t>
      </w:r>
      <w:r>
        <w:rPr>
          <w:rFonts w:hint="eastAsia" w:ascii="Calibri" w:hAnsi="Calibri"/>
        </w:rPr>
        <w:t>：巴沙鱼片（块）理化指标检测结果一览表（二级品）</w:t>
      </w:r>
    </w:p>
    <w:tbl>
      <w:tblPr>
        <w:tblStyle w:val="35"/>
        <w:tblW w:w="7596" w:type="dxa"/>
        <w:jc w:val="center"/>
        <w:tblLayout w:type="fixed"/>
        <w:tblCellMar>
          <w:top w:w="0" w:type="dxa"/>
          <w:left w:w="0" w:type="dxa"/>
          <w:bottom w:w="0" w:type="dxa"/>
          <w:right w:w="0" w:type="dxa"/>
        </w:tblCellMar>
      </w:tblPr>
      <w:tblGrid>
        <w:gridCol w:w="565"/>
        <w:gridCol w:w="1819"/>
        <w:gridCol w:w="1012"/>
        <w:gridCol w:w="794"/>
        <w:gridCol w:w="794"/>
        <w:gridCol w:w="794"/>
        <w:gridCol w:w="1818"/>
      </w:tblGrid>
      <w:tr>
        <w:tblPrEx>
          <w:tblCellMar>
            <w:top w:w="0" w:type="dxa"/>
            <w:left w:w="0" w:type="dxa"/>
            <w:bottom w:w="0" w:type="dxa"/>
            <w:right w:w="0" w:type="dxa"/>
          </w:tblCellMar>
        </w:tblPrEx>
        <w:trPr>
          <w:trHeight w:val="315"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序号</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样品名称</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质量</w:t>
            </w:r>
            <w:r>
              <w:rPr>
                <w:rFonts w:ascii="Times New Roman"/>
                <w:kern w:val="0"/>
                <w:szCs w:val="21"/>
                <w:lang w:bidi="ar"/>
              </w:rPr>
              <w:br w:type="textWrapping"/>
            </w:r>
            <w:r>
              <w:rPr>
                <w:rFonts w:hint="eastAsia" w:hAnsi="宋体" w:cs="宋体"/>
                <w:kern w:val="0"/>
                <w:szCs w:val="21"/>
                <w:lang w:bidi="ar"/>
              </w:rPr>
              <w:t>等级</w:t>
            </w:r>
          </w:p>
        </w:tc>
        <w:tc>
          <w:tcPr>
            <w:tcW w:w="2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adjustRightInd/>
              <w:snapToGrid/>
              <w:spacing w:line="240" w:lineRule="auto"/>
              <w:ind w:firstLine="0" w:firstLineChars="0"/>
              <w:jc w:val="center"/>
              <w:textAlignment w:val="top"/>
              <w:rPr>
                <w:rFonts w:ascii="Times New Roman"/>
                <w:szCs w:val="21"/>
              </w:rPr>
            </w:pPr>
            <w:r>
              <w:rPr>
                <w:rFonts w:hint="eastAsia" w:hAnsi="宋体" w:cs="宋体"/>
                <w:kern w:val="0"/>
                <w:szCs w:val="21"/>
                <w:lang w:bidi="ar"/>
              </w:rPr>
              <w:t>检测结果</w:t>
            </w:r>
          </w:p>
        </w:tc>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报告编号</w:t>
            </w:r>
          </w:p>
        </w:tc>
      </w:tr>
      <w:tr>
        <w:tblPrEx>
          <w:tblCellMar>
            <w:top w:w="0" w:type="dxa"/>
            <w:left w:w="0" w:type="dxa"/>
            <w:bottom w:w="0" w:type="dxa"/>
            <w:right w:w="0" w:type="dxa"/>
          </w:tblCellMar>
        </w:tblPrEx>
        <w:trPr>
          <w:trHeight w:val="31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水分</w:t>
            </w:r>
          </w:p>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蛋白质</w:t>
            </w:r>
          </w:p>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脂肪</w:t>
            </w:r>
            <w:r>
              <w:rPr>
                <w:rFonts w:ascii="Times New Roman"/>
                <w:kern w:val="0"/>
                <w:szCs w:val="21"/>
                <w:lang w:bidi="ar"/>
              </w:rPr>
              <w:t>(%)</w:t>
            </w:r>
          </w:p>
        </w:tc>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黄龙巴沙鱼柳</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10.9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BZD-WT2000082</w:t>
            </w: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BZD-WT2000151</w:t>
            </w: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BZD-WT2000157</w:t>
            </w: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BZD-WT2000194</w:t>
            </w: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巴沙鱼柳</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9.7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1.9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BZD-WT2001210</w:t>
            </w: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9.6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BZD-WT2001423</w:t>
            </w: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10.9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BZD-WT2001599</w:t>
            </w: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冻巴沙鱼柳</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87.2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11.9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BZD-WT2001668</w:t>
            </w: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巴沙鱼柳（带皮）</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76.6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16.7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2.6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BZD-WT2001896</w:t>
            </w: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冻巴沙鱼片</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9.7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2.0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BZD-WT2001942</w:t>
            </w: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冻巴沙鱼片</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11.0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1.5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BZD-WT2001943</w:t>
            </w:r>
          </w:p>
        </w:tc>
      </w:tr>
      <w:tr>
        <w:tblPrEx>
          <w:tblCellMar>
            <w:top w:w="0" w:type="dxa"/>
            <w:left w:w="0" w:type="dxa"/>
            <w:bottom w:w="0" w:type="dxa"/>
            <w:right w:w="0" w:type="dxa"/>
          </w:tblCellMar>
        </w:tblPrEx>
        <w:trPr>
          <w:trHeight w:val="315" w:hRule="atLeas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color w:val="000000"/>
                <w:kern w:val="0"/>
                <w:szCs w:val="21"/>
                <w:lang w:bidi="ar"/>
              </w:rPr>
              <w:t>冻巴沙鱼片</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二级品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87.5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 xml:space="preserve">9.6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color w:val="000000"/>
                <w:kern w:val="0"/>
                <w:szCs w:val="21"/>
                <w:lang w:bidi="ar"/>
              </w:rPr>
              <w:t>/</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color w:val="000000"/>
                <w:kern w:val="0"/>
                <w:szCs w:val="21"/>
                <w:lang w:bidi="ar"/>
              </w:rPr>
              <w:t>BZD-WT2001949</w:t>
            </w:r>
          </w:p>
        </w:tc>
      </w:tr>
    </w:tbl>
    <w:p>
      <w:pPr>
        <w:adjustRightInd/>
        <w:snapToGrid/>
        <w:spacing w:line="240" w:lineRule="auto"/>
        <w:ind w:firstLine="0" w:firstLineChars="0"/>
        <w:rPr>
          <w:rFonts w:ascii="Calibri" w:hAnsi="Calibri"/>
        </w:rPr>
      </w:pPr>
    </w:p>
    <w:p>
      <w:pPr>
        <w:adjustRightInd/>
        <w:snapToGrid/>
        <w:spacing w:line="240" w:lineRule="auto"/>
        <w:ind w:firstLine="0" w:firstLineChars="0"/>
        <w:rPr>
          <w:rFonts w:ascii="Calibri" w:hAnsi="Calibri"/>
        </w:rPr>
      </w:pPr>
      <w:r>
        <w:rPr>
          <w:rFonts w:hint="eastAsia" w:ascii="Calibri" w:hAnsi="Calibri"/>
        </w:rPr>
        <w:t>附表</w:t>
      </w:r>
      <w:r>
        <w:rPr>
          <w:rFonts w:ascii="Calibri" w:hAnsi="Calibri"/>
          <w:color w:val="FF0000"/>
        </w:rPr>
        <w:t>****</w:t>
      </w:r>
      <w:r>
        <w:rPr>
          <w:rFonts w:hint="eastAsia" w:ascii="Calibri" w:hAnsi="Calibri"/>
        </w:rPr>
        <w:t>：巴沙鱼片（块）理化指标检测结果一览表（合格品）</w:t>
      </w:r>
    </w:p>
    <w:tbl>
      <w:tblPr>
        <w:tblStyle w:val="35"/>
        <w:tblW w:w="7896" w:type="dxa"/>
        <w:jc w:val="center"/>
        <w:tblLayout w:type="fixed"/>
        <w:tblCellMar>
          <w:top w:w="0" w:type="dxa"/>
          <w:left w:w="0" w:type="dxa"/>
          <w:bottom w:w="0" w:type="dxa"/>
          <w:right w:w="0" w:type="dxa"/>
        </w:tblCellMar>
      </w:tblPr>
      <w:tblGrid>
        <w:gridCol w:w="573"/>
        <w:gridCol w:w="2082"/>
        <w:gridCol w:w="844"/>
        <w:gridCol w:w="762"/>
        <w:gridCol w:w="762"/>
        <w:gridCol w:w="763"/>
        <w:gridCol w:w="2110"/>
      </w:tblGrid>
      <w:tr>
        <w:tblPrEx>
          <w:tblCellMar>
            <w:top w:w="0" w:type="dxa"/>
            <w:left w:w="0" w:type="dxa"/>
            <w:bottom w:w="0" w:type="dxa"/>
            <w:right w:w="0" w:type="dxa"/>
          </w:tblCellMar>
        </w:tblPrEx>
        <w:trPr>
          <w:trHeight w:val="315"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序号</w:t>
            </w:r>
          </w:p>
        </w:tc>
        <w:tc>
          <w:tcPr>
            <w:tcW w:w="20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样品名称</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质量</w:t>
            </w:r>
            <w:r>
              <w:rPr>
                <w:rFonts w:ascii="Times New Roman"/>
                <w:szCs w:val="21"/>
                <w:lang w:bidi="ar"/>
              </w:rPr>
              <w:br w:type="textWrapping"/>
            </w:r>
            <w:r>
              <w:rPr>
                <w:rFonts w:hint="eastAsia" w:hAnsi="宋体" w:cs="宋体"/>
                <w:kern w:val="0"/>
                <w:szCs w:val="21"/>
                <w:lang w:bidi="ar"/>
              </w:rPr>
              <w:t>等级</w:t>
            </w:r>
          </w:p>
        </w:tc>
        <w:tc>
          <w:tcPr>
            <w:tcW w:w="22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adjustRightInd/>
              <w:snapToGrid/>
              <w:spacing w:line="240" w:lineRule="auto"/>
              <w:ind w:firstLine="0" w:firstLineChars="0"/>
              <w:jc w:val="center"/>
              <w:textAlignment w:val="top"/>
              <w:rPr>
                <w:rFonts w:ascii="Times New Roman"/>
                <w:szCs w:val="21"/>
              </w:rPr>
            </w:pPr>
            <w:r>
              <w:rPr>
                <w:rFonts w:hint="eastAsia" w:hAnsi="宋体" w:cs="宋体"/>
                <w:kern w:val="0"/>
                <w:szCs w:val="21"/>
                <w:lang w:bidi="ar"/>
              </w:rPr>
              <w:t>检测结果</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报告编号</w:t>
            </w:r>
          </w:p>
        </w:tc>
      </w:tr>
      <w:tr>
        <w:tblPrEx>
          <w:tblCellMar>
            <w:top w:w="0" w:type="dxa"/>
            <w:left w:w="0" w:type="dxa"/>
            <w:bottom w:w="0" w:type="dxa"/>
            <w:right w:w="0" w:type="dxa"/>
          </w:tblCellMar>
        </w:tblPrEx>
        <w:trPr>
          <w:trHeight w:val="315"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水分</w:t>
            </w:r>
          </w:p>
          <w:p>
            <w:pPr>
              <w:widowControl/>
              <w:adjustRightInd/>
              <w:snapToGrid/>
              <w:spacing w:line="240" w:lineRule="auto"/>
              <w:ind w:firstLine="0" w:firstLineChars="0"/>
              <w:jc w:val="center"/>
              <w:textAlignment w:val="center"/>
              <w:rPr>
                <w:rFonts w:ascii="Times New Roman"/>
                <w:szCs w:val="21"/>
              </w:rPr>
            </w:pPr>
            <w:r>
              <w:rPr>
                <w:rFonts w:ascii="Times New Roman"/>
                <w:szCs w:val="21"/>
                <w:lang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蛋白质</w:t>
            </w:r>
          </w:p>
          <w:p>
            <w:pPr>
              <w:widowControl/>
              <w:adjustRightInd/>
              <w:snapToGrid/>
              <w:spacing w:line="240" w:lineRule="auto"/>
              <w:ind w:firstLine="0" w:firstLineChars="0"/>
              <w:jc w:val="center"/>
              <w:textAlignment w:val="center"/>
              <w:rPr>
                <w:rFonts w:ascii="Times New Roman"/>
                <w:szCs w:val="21"/>
              </w:rPr>
            </w:pPr>
            <w:r>
              <w:rPr>
                <w:rFonts w:ascii="Times New Roman"/>
                <w:szCs w:val="21"/>
                <w:lang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脂肪</w:t>
            </w:r>
            <w:r>
              <w:rPr>
                <w:rFonts w:ascii="Times New Roman"/>
                <w:szCs w:val="21"/>
                <w:lang w:bidi="ar"/>
              </w:rPr>
              <w:t>(%)</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89.3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9.9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BZD-WT2000081</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89.4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BZD-WT2000155</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3</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89.4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BZD-WT2000193</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4</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冻巴沙鱼快</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85.0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12.6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2.5 </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BZD-WT2000349</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5</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冷冻巴沙鱼柳（带皮）</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83.8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12.4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2.7 </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BZD-WT2001174</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6</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冷冻巴沙鱼柳（带皮）</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85.1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11.3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2.8 </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BZD-WT2001175</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7</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冷冻巴沙鱼柳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85.8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11.6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2.3 </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BZD-WT2001176</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8</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87.8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8.9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BZD-WT2001422</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9</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89.6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8.3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BZD-WT2001434</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10</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88.3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9.3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BZD-WT2001435</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11</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冷冻巴沙鱼柳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88.5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BZD-WT2001456</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12</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冷冻巴沙鱼柳（带皮）</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11.3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2.8 </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BZD-WT2001499</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13</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冻巴沙鱼片</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87.3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8.7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2.1 </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BZD-WT2001944</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14</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88.6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9.9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BZD-WT2002075</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15</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89.0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8.7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BZD-WT2002190</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16</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90.0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8.9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A2200353424101001C</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17</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89.5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8.2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A2200353424101002C</w:t>
            </w:r>
          </w:p>
        </w:tc>
      </w:tr>
      <w:tr>
        <w:tblPrEx>
          <w:tblCellMar>
            <w:top w:w="0" w:type="dxa"/>
            <w:left w:w="0" w:type="dxa"/>
            <w:bottom w:w="0" w:type="dxa"/>
            <w:right w:w="0" w:type="dxa"/>
          </w:tblCellMar>
        </w:tblPrEx>
        <w:trPr>
          <w:trHeight w:val="31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18</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冻巴沙鱼柳（带皮）</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合格品</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86.9 </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 xml:space="preserve">9.8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A2200391523101001C</w:t>
            </w:r>
          </w:p>
        </w:tc>
      </w:tr>
    </w:tbl>
    <w:p>
      <w:pPr>
        <w:adjustRightInd/>
        <w:snapToGrid/>
        <w:spacing w:line="240" w:lineRule="auto"/>
        <w:ind w:firstLine="0" w:firstLineChars="0"/>
        <w:rPr>
          <w:rFonts w:ascii="Calibri" w:hAnsi="Calibri"/>
        </w:rPr>
      </w:pPr>
    </w:p>
    <w:p>
      <w:pPr>
        <w:adjustRightInd/>
        <w:snapToGrid/>
        <w:spacing w:line="240" w:lineRule="auto"/>
        <w:ind w:firstLine="0" w:firstLineChars="0"/>
        <w:rPr>
          <w:rFonts w:ascii="Calibri" w:hAnsi="Calibri"/>
        </w:rPr>
      </w:pPr>
      <w:r>
        <w:rPr>
          <w:rFonts w:hint="eastAsia" w:ascii="Calibri" w:hAnsi="Calibri"/>
        </w:rPr>
        <w:t>附表</w:t>
      </w:r>
      <w:r>
        <w:rPr>
          <w:rFonts w:ascii="Calibri" w:hAnsi="Calibri"/>
          <w:color w:val="FF0000"/>
        </w:rPr>
        <w:t>*****</w:t>
      </w:r>
      <w:r>
        <w:rPr>
          <w:rFonts w:hint="eastAsia" w:ascii="Calibri" w:hAnsi="Calibri"/>
        </w:rPr>
        <w:t>：巴沙鱼片（块）理化指标检测结果一览表（不合格品）</w:t>
      </w:r>
    </w:p>
    <w:tbl>
      <w:tblPr>
        <w:tblStyle w:val="35"/>
        <w:tblW w:w="10223" w:type="dxa"/>
        <w:jc w:val="center"/>
        <w:tblLayout w:type="fixed"/>
        <w:tblCellMar>
          <w:top w:w="0" w:type="dxa"/>
          <w:left w:w="0" w:type="dxa"/>
          <w:bottom w:w="0" w:type="dxa"/>
          <w:right w:w="0" w:type="dxa"/>
        </w:tblCellMar>
      </w:tblPr>
      <w:tblGrid>
        <w:gridCol w:w="555"/>
        <w:gridCol w:w="1782"/>
        <w:gridCol w:w="1769"/>
        <w:gridCol w:w="950"/>
        <w:gridCol w:w="758"/>
        <w:gridCol w:w="758"/>
        <w:gridCol w:w="758"/>
        <w:gridCol w:w="759"/>
        <w:gridCol w:w="2134"/>
      </w:tblGrid>
      <w:tr>
        <w:tblPrEx>
          <w:tblCellMar>
            <w:top w:w="0" w:type="dxa"/>
            <w:left w:w="0" w:type="dxa"/>
            <w:bottom w:w="0" w:type="dxa"/>
            <w:right w:w="0" w:type="dxa"/>
          </w:tblCellMar>
        </w:tblPrEx>
        <w:trPr>
          <w:trHeight w:val="315"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序号</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样品名称</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生产</w:t>
            </w:r>
            <w:r>
              <w:rPr>
                <w:rFonts w:ascii="Times New Roman"/>
                <w:kern w:val="0"/>
                <w:szCs w:val="21"/>
                <w:lang w:bidi="ar"/>
              </w:rPr>
              <w:t>/</w:t>
            </w:r>
            <w:r>
              <w:rPr>
                <w:rFonts w:hint="eastAsia" w:hAnsi="宋体" w:cs="宋体"/>
                <w:kern w:val="0"/>
                <w:szCs w:val="21"/>
                <w:lang w:bidi="ar"/>
              </w:rPr>
              <w:t>经销商</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判定</w:t>
            </w:r>
          </w:p>
        </w:tc>
        <w:tc>
          <w:tcPr>
            <w:tcW w:w="30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adjustRightInd/>
              <w:snapToGrid/>
              <w:spacing w:line="240" w:lineRule="auto"/>
              <w:ind w:firstLine="0" w:firstLineChars="0"/>
              <w:jc w:val="center"/>
              <w:textAlignment w:val="top"/>
              <w:rPr>
                <w:rFonts w:ascii="Times New Roman"/>
                <w:szCs w:val="21"/>
              </w:rPr>
            </w:pPr>
            <w:r>
              <w:rPr>
                <w:rFonts w:hint="eastAsia" w:hAnsi="宋体" w:cs="宋体"/>
                <w:kern w:val="0"/>
                <w:szCs w:val="21"/>
                <w:lang w:bidi="ar"/>
              </w:rPr>
              <w:t>检测结果</w:t>
            </w:r>
          </w:p>
        </w:tc>
        <w:tc>
          <w:tcPr>
            <w:tcW w:w="21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报告编号</w:t>
            </w:r>
          </w:p>
        </w:tc>
      </w:tr>
      <w:tr>
        <w:tblPrEx>
          <w:tblCellMar>
            <w:top w:w="0" w:type="dxa"/>
            <w:left w:w="0" w:type="dxa"/>
            <w:bottom w:w="0" w:type="dxa"/>
            <w:right w:w="0" w:type="dxa"/>
          </w:tblCellMar>
        </w:tblPrEx>
        <w:trPr>
          <w:trHeight w:val="31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水分</w:t>
            </w:r>
            <w:r>
              <w:rPr>
                <w:rFonts w:ascii="Times New Roman"/>
                <w:kern w:val="0"/>
                <w:szCs w:val="21"/>
                <w:lang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蛋白质</w:t>
            </w:r>
            <w:r>
              <w:rPr>
                <w:rFonts w:ascii="Times New Roman"/>
                <w:kern w:val="0"/>
                <w:szCs w:val="21"/>
                <w:lang w:bidi="ar"/>
              </w:rPr>
              <w:t>(%)</w:t>
            </w:r>
          </w:p>
        </w:tc>
        <w:tc>
          <w:tcPr>
            <w:tcW w:w="75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脂肪</w:t>
            </w:r>
            <w:r>
              <w:rPr>
                <w:rFonts w:ascii="Times New Roman"/>
                <w:kern w:val="0"/>
                <w:szCs w:val="21"/>
                <w:lang w:bidi="ar"/>
              </w:rPr>
              <w:t>(%)</w:t>
            </w:r>
          </w:p>
        </w:tc>
        <w:tc>
          <w:tcPr>
            <w:tcW w:w="7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冰衣率</w:t>
            </w:r>
            <w:r>
              <w:rPr>
                <w:rFonts w:ascii="Times New Roman"/>
                <w:kern w:val="0"/>
                <w:szCs w:val="21"/>
                <w:lang w:bidi="ar"/>
              </w:rPr>
              <w:t>(%)</w:t>
            </w:r>
          </w:p>
        </w:tc>
        <w:tc>
          <w:tcPr>
            <w:tcW w:w="21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r>
    </w:tbl>
    <w:p>
      <w:pPr>
        <w:adjustRightInd/>
        <w:snapToGrid/>
        <w:spacing w:line="240" w:lineRule="auto"/>
        <w:ind w:firstLine="0" w:firstLineChars="0"/>
        <w:rPr>
          <w:rFonts w:ascii="Calibri" w:hAnsi="Calibri"/>
        </w:rPr>
      </w:pPr>
    </w:p>
    <w:p>
      <w:pPr>
        <w:adjustRightInd/>
        <w:snapToGrid/>
        <w:spacing w:line="240" w:lineRule="auto"/>
        <w:ind w:firstLine="0" w:firstLineChars="0"/>
        <w:rPr>
          <w:rFonts w:ascii="Calibri" w:hAnsi="Calibri"/>
        </w:rPr>
      </w:pPr>
      <w:r>
        <w:rPr>
          <w:rFonts w:hint="eastAsia" w:ascii="Calibri" w:hAnsi="Calibri"/>
        </w:rPr>
        <w:t>附表</w:t>
      </w:r>
      <w:r>
        <w:rPr>
          <w:rFonts w:ascii="Calibri" w:hAnsi="Calibri"/>
          <w:color w:val="FF0000"/>
        </w:rPr>
        <w:t>******</w:t>
      </w:r>
      <w:r>
        <w:rPr>
          <w:rFonts w:hint="eastAsia" w:ascii="Calibri" w:hAnsi="Calibri"/>
        </w:rPr>
        <w:t>：巴沙鱼原料及巴沙鱼片（块）污染物限量检测结果一览表</w:t>
      </w:r>
    </w:p>
    <w:tbl>
      <w:tblPr>
        <w:tblStyle w:val="35"/>
        <w:tblW w:w="8592" w:type="dxa"/>
        <w:jc w:val="center"/>
        <w:tblLayout w:type="fixed"/>
        <w:tblCellMar>
          <w:top w:w="0" w:type="dxa"/>
          <w:left w:w="0" w:type="dxa"/>
          <w:bottom w:w="0" w:type="dxa"/>
          <w:right w:w="0" w:type="dxa"/>
        </w:tblCellMar>
      </w:tblPr>
      <w:tblGrid>
        <w:gridCol w:w="555"/>
        <w:gridCol w:w="1737"/>
        <w:gridCol w:w="1125"/>
        <w:gridCol w:w="1018"/>
        <w:gridCol w:w="1018"/>
        <w:gridCol w:w="1020"/>
        <w:gridCol w:w="2119"/>
      </w:tblGrid>
      <w:tr>
        <w:tblPrEx>
          <w:tblCellMar>
            <w:top w:w="0" w:type="dxa"/>
            <w:left w:w="0" w:type="dxa"/>
            <w:bottom w:w="0" w:type="dxa"/>
            <w:right w:w="0" w:type="dxa"/>
          </w:tblCellMar>
        </w:tblPrEx>
        <w:trPr>
          <w:trHeight w:val="315"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序号</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样品名称</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判定</w:t>
            </w:r>
          </w:p>
        </w:tc>
        <w:tc>
          <w:tcPr>
            <w:tcW w:w="30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adjustRightInd/>
              <w:snapToGrid/>
              <w:spacing w:line="240" w:lineRule="auto"/>
              <w:ind w:firstLine="0" w:firstLineChars="0"/>
              <w:jc w:val="center"/>
              <w:textAlignment w:val="top"/>
              <w:rPr>
                <w:rFonts w:ascii="Times New Roman"/>
                <w:szCs w:val="21"/>
              </w:rPr>
            </w:pPr>
            <w:r>
              <w:rPr>
                <w:rFonts w:hint="eastAsia" w:hAnsi="宋体" w:cs="宋体"/>
                <w:kern w:val="0"/>
                <w:szCs w:val="21"/>
                <w:lang w:bidi="ar"/>
              </w:rPr>
              <w:t>检测结果</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报告编号</w:t>
            </w:r>
          </w:p>
        </w:tc>
      </w:tr>
      <w:tr>
        <w:tblPrEx>
          <w:tblCellMar>
            <w:top w:w="0" w:type="dxa"/>
            <w:left w:w="0" w:type="dxa"/>
            <w:bottom w:w="0" w:type="dxa"/>
            <w:right w:w="0" w:type="dxa"/>
          </w:tblCellMar>
        </w:tblPrEx>
        <w:trPr>
          <w:trHeight w:val="31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重金属</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textAlignment w:val="center"/>
              <w:rPr>
                <w:rFonts w:ascii="Times New Roman"/>
                <w:szCs w:val="21"/>
              </w:rPr>
            </w:pPr>
            <w:r>
              <w:rPr>
                <w:rFonts w:hint="eastAsia" w:ascii="Times New Roman"/>
                <w:szCs w:val="21"/>
              </w:rPr>
              <w:t>兽药残留</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微生物</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snapToGrid/>
              <w:spacing w:line="240" w:lineRule="auto"/>
              <w:ind w:firstLine="0" w:firstLineChars="0"/>
              <w:jc w:val="center"/>
              <w:rPr>
                <w:rFonts w:ascii="Times New Roman"/>
                <w:szCs w:val="21"/>
              </w:rPr>
            </w:pP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kern w:val="0"/>
                <w:szCs w:val="21"/>
                <w:lang w:bidi="ar"/>
              </w:rPr>
              <w:t>1</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黄龙巴沙鱼柳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hint="eastAsia" w:ascii="Times New Roman"/>
                <w:kern w:val="0"/>
                <w:szCs w:val="21"/>
                <w:lang w:bidi="ar"/>
              </w:rPr>
              <w:t>/</w:t>
            </w:r>
            <w:r>
              <w:rPr>
                <w:rFonts w:ascii="Times New Roman"/>
                <w:kern w:val="0"/>
                <w:szCs w:val="21"/>
                <w:lang w:bidi="ar"/>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hint="eastAsia" w:ascii="Times New Roman"/>
                <w:kern w:val="0"/>
                <w:szCs w:val="21"/>
                <w:lang w:bidi="ar"/>
              </w:rPr>
              <w:t>未检出</w:t>
            </w:r>
            <w:r>
              <w:rPr>
                <w:rFonts w:ascii="Times New Roman"/>
                <w:kern w:val="0"/>
                <w:szCs w:val="21"/>
                <w:lang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hint="eastAsia" w:ascii="Times New Roman"/>
                <w:kern w:val="0"/>
                <w:szCs w:val="21"/>
                <w:lang w:bidi="ar"/>
              </w:rPr>
              <w:t>/</w:t>
            </w:r>
            <w:r>
              <w:rPr>
                <w:rFonts w:ascii="Times New Roman"/>
                <w:kern w:val="0"/>
                <w:szCs w:val="21"/>
                <w:lang w:bidi="ar"/>
              </w:rPr>
              <w:t xml:space="preserve"> </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BZD-WT2000080</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2</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巴沙鱼柳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hint="eastAsia" w:ascii="Times New Roman"/>
                <w:kern w:val="0"/>
                <w:szCs w:val="21"/>
                <w:lang w:bidi="ar"/>
              </w:rPr>
              <w:t>/</w:t>
            </w:r>
            <w:r>
              <w:rPr>
                <w:rFonts w:ascii="Times New Roman"/>
                <w:kern w:val="0"/>
                <w:szCs w:val="21"/>
                <w:lang w:bidi="ar"/>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hint="eastAsia" w:ascii="Times New Roman"/>
                <w:kern w:val="0"/>
                <w:szCs w:val="21"/>
                <w:lang w:bidi="ar"/>
              </w:rPr>
              <w:t>未检出</w:t>
            </w:r>
            <w:r>
              <w:rPr>
                <w:rFonts w:ascii="Times New Roman"/>
                <w:kern w:val="0"/>
                <w:szCs w:val="21"/>
                <w:lang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hint="eastAsia" w:ascii="Times New Roman"/>
                <w:szCs w:val="21"/>
              </w:rPr>
              <w:t>/</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BZD-WT2000081</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3</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黄龙巴沙鱼柳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hint="eastAsia" w:ascii="Times New Roman"/>
                <w:kern w:val="0"/>
                <w:szCs w:val="21"/>
                <w:lang w:bidi="ar"/>
              </w:rPr>
              <w:t>/</w:t>
            </w:r>
            <w:r>
              <w:rPr>
                <w:rFonts w:ascii="Times New Roman"/>
                <w:kern w:val="0"/>
                <w:szCs w:val="21"/>
                <w:lang w:bidi="ar"/>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hint="eastAsia" w:ascii="Times New Roman"/>
                <w:kern w:val="0"/>
                <w:szCs w:val="21"/>
                <w:lang w:bidi="ar"/>
              </w:rPr>
              <w:t>未检出</w:t>
            </w:r>
            <w:r>
              <w:rPr>
                <w:rFonts w:ascii="Times New Roman"/>
                <w:kern w:val="0"/>
                <w:szCs w:val="21"/>
                <w:lang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hint="eastAsia" w:ascii="Times New Roman"/>
                <w:szCs w:val="21"/>
              </w:rPr>
              <w:t>/</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BZD-WT2000082</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4</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hAnsi="宋体" w:cs="宋体"/>
                <w:kern w:val="0"/>
                <w:szCs w:val="21"/>
                <w:lang w:bidi="ar"/>
              </w:rPr>
              <w:t>冻巴沙鱼柳带皮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szCs w:val="21"/>
              </w:rPr>
            </w:pPr>
            <w:r>
              <w:rPr>
                <w:rFonts w:hint="eastAsia" w:hAnsi="宋体" w:cs="宋体"/>
                <w:kern w:val="0"/>
                <w:szCs w:val="21"/>
                <w:lang w:bidi="ar"/>
              </w:rPr>
              <w:t>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hint="eastAsia" w:ascii="Times New Roman"/>
                <w:kern w:val="0"/>
                <w:szCs w:val="21"/>
                <w:lang w:bidi="ar"/>
              </w:rPr>
              <w:t>未检出</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hint="eastAsia" w:ascii="Times New Roman"/>
                <w:kern w:val="0"/>
                <w:szCs w:val="21"/>
                <w:lang w:bidi="ar"/>
              </w:rPr>
              <w:t>未检出</w:t>
            </w:r>
            <w:r>
              <w:rPr>
                <w:rFonts w:ascii="Times New Roman"/>
                <w:kern w:val="0"/>
                <w:szCs w:val="21"/>
                <w:lang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szCs w:val="21"/>
              </w:rPr>
            </w:pPr>
            <w:r>
              <w:rPr>
                <w:rFonts w:ascii="Times New Roman"/>
                <w:kern w:val="0"/>
                <w:szCs w:val="21"/>
                <w:lang w:bidi="ar"/>
              </w:rPr>
              <w:t>/</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ascii="Times New Roman"/>
                <w:kern w:val="0"/>
                <w:szCs w:val="21"/>
                <w:lang w:bidi="ar"/>
              </w:rPr>
              <w:t>BZD-WT2001318</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5</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冻巴沙鱼块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未检出</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未检出</w:t>
            </w:r>
            <w:r>
              <w:rPr>
                <w:rFonts w:ascii="Times New Roman"/>
                <w:kern w:val="0"/>
                <w:szCs w:val="21"/>
                <w:lang w:bidi="ar"/>
              </w:rPr>
              <w:t xml:space="preserve">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kern w:val="0"/>
                <w:szCs w:val="21"/>
                <w:lang w:bidi="ar"/>
              </w:rPr>
            </w:pPr>
            <w:r>
              <w:rPr>
                <w:rFonts w:ascii="Times New Roman"/>
                <w:kern w:val="0"/>
                <w:szCs w:val="21"/>
                <w:lang w:bidi="ar"/>
              </w:rPr>
              <w:t>BZD-WT2001319</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6</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免浆巴沙鱼片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未检出</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未检出</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kern w:val="0"/>
                <w:szCs w:val="21"/>
                <w:lang w:bidi="ar"/>
              </w:rPr>
            </w:pPr>
            <w:r>
              <w:rPr>
                <w:rFonts w:ascii="Times New Roman"/>
                <w:kern w:val="0"/>
                <w:szCs w:val="21"/>
                <w:lang w:bidi="ar"/>
              </w:rPr>
              <w:t>BZD-WT2001479</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7</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冻巴沙鱼柳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未检出</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未检出</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kern w:val="0"/>
                <w:szCs w:val="21"/>
                <w:lang w:bidi="ar"/>
              </w:rPr>
            </w:pPr>
            <w:r>
              <w:rPr>
                <w:rFonts w:ascii="Times New Roman"/>
                <w:kern w:val="0"/>
                <w:szCs w:val="21"/>
                <w:lang w:bidi="ar"/>
              </w:rPr>
              <w:t>BZD-WT2001602</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8</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冻巴沙鱼柳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未检出</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未检出</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kern w:val="0"/>
                <w:szCs w:val="21"/>
                <w:lang w:bidi="ar"/>
              </w:rPr>
            </w:pPr>
            <w:r>
              <w:rPr>
                <w:rFonts w:ascii="Times New Roman"/>
                <w:kern w:val="0"/>
                <w:szCs w:val="21"/>
                <w:lang w:bidi="ar"/>
              </w:rPr>
              <w:t>BZD-WT2001890</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9</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开背巴沙鱼</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不合格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检出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kern w:val="0"/>
                <w:szCs w:val="21"/>
                <w:lang w:bidi="ar"/>
              </w:rPr>
            </w:pPr>
            <w:r>
              <w:rPr>
                <w:rFonts w:ascii="Times New Roman"/>
                <w:kern w:val="0"/>
                <w:szCs w:val="21"/>
                <w:lang w:bidi="ar"/>
              </w:rPr>
              <w:t>BZD-WT2001902</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10</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开背巴沙鱼</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不合格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检出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kern w:val="0"/>
                <w:szCs w:val="21"/>
                <w:lang w:bidi="ar"/>
              </w:rPr>
            </w:pPr>
            <w:r>
              <w:rPr>
                <w:rFonts w:ascii="Times New Roman"/>
                <w:kern w:val="0"/>
                <w:szCs w:val="21"/>
                <w:lang w:bidi="ar"/>
              </w:rPr>
              <w:t>BZD-WT2001903</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11</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开背巴沙鱼</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不合格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检出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kern w:val="0"/>
                <w:szCs w:val="21"/>
                <w:lang w:bidi="ar"/>
              </w:rPr>
            </w:pPr>
            <w:r>
              <w:rPr>
                <w:rFonts w:ascii="Times New Roman"/>
                <w:kern w:val="0"/>
                <w:szCs w:val="21"/>
                <w:lang w:bidi="ar"/>
              </w:rPr>
              <w:t>BZD-WT2001904</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12</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开背巴沙鱼</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不合格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检出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kern w:val="0"/>
                <w:szCs w:val="21"/>
                <w:lang w:bidi="ar"/>
              </w:rPr>
            </w:pPr>
            <w:r>
              <w:rPr>
                <w:rFonts w:ascii="Times New Roman"/>
                <w:kern w:val="0"/>
                <w:szCs w:val="21"/>
                <w:lang w:bidi="ar"/>
              </w:rPr>
              <w:t>BZD-WT2001905</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13</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开背巴沙鱼</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不合格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检出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kern w:val="0"/>
                <w:szCs w:val="21"/>
                <w:lang w:bidi="ar"/>
              </w:rPr>
            </w:pPr>
            <w:r>
              <w:rPr>
                <w:rFonts w:ascii="Times New Roman"/>
                <w:kern w:val="0"/>
                <w:szCs w:val="21"/>
                <w:lang w:bidi="ar"/>
              </w:rPr>
              <w:t>BZD-WT2001906</w:t>
            </w:r>
          </w:p>
        </w:tc>
      </w:tr>
      <w:tr>
        <w:tblPrEx>
          <w:tblCellMar>
            <w:top w:w="0" w:type="dxa"/>
            <w:left w:w="0" w:type="dxa"/>
            <w:bottom w:w="0" w:type="dxa"/>
            <w:right w:w="0" w:type="dxa"/>
          </w:tblCellMar>
        </w:tblPrEx>
        <w:trPr>
          <w:trHeight w:val="31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szCs w:val="21"/>
              </w:rPr>
            </w:pPr>
            <w:r>
              <w:rPr>
                <w:rFonts w:hint="eastAsia" w:ascii="Times New Roman"/>
                <w:szCs w:val="21"/>
              </w:rPr>
              <w:t>14</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开背巴沙鱼</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hAnsi="宋体" w:cs="宋体"/>
                <w:kern w:val="0"/>
                <w:szCs w:val="21"/>
                <w:lang w:bidi="ar"/>
              </w:rPr>
            </w:pPr>
            <w:r>
              <w:rPr>
                <w:rFonts w:hint="eastAsia" w:hAnsi="宋体" w:cs="宋体"/>
                <w:kern w:val="0"/>
                <w:szCs w:val="21"/>
                <w:lang w:bidi="ar"/>
              </w:rPr>
              <w:t>不合格</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检出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right"/>
              <w:textAlignment w:val="center"/>
              <w:rPr>
                <w:rFonts w:ascii="Times New Roman"/>
                <w:kern w:val="0"/>
                <w:szCs w:val="21"/>
                <w:lang w:bidi="ar"/>
              </w:rPr>
            </w:pPr>
            <w:r>
              <w:rPr>
                <w:rFonts w:hint="eastAsia" w:ascii="Times New Roman"/>
                <w:kern w:val="0"/>
                <w:szCs w:val="21"/>
                <w:lang w:bidi="ar"/>
              </w:rPr>
              <w:t>/</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djustRightInd/>
              <w:snapToGrid/>
              <w:spacing w:line="240" w:lineRule="auto"/>
              <w:ind w:firstLine="0" w:firstLineChars="0"/>
              <w:jc w:val="center"/>
              <w:textAlignment w:val="center"/>
              <w:rPr>
                <w:rFonts w:ascii="Times New Roman"/>
                <w:kern w:val="0"/>
                <w:szCs w:val="21"/>
                <w:lang w:bidi="ar"/>
              </w:rPr>
            </w:pPr>
            <w:r>
              <w:rPr>
                <w:rFonts w:ascii="Times New Roman"/>
                <w:kern w:val="0"/>
                <w:szCs w:val="21"/>
                <w:lang w:bidi="ar"/>
              </w:rPr>
              <w:t>BZD-WT2001907</w:t>
            </w:r>
          </w:p>
        </w:tc>
      </w:tr>
    </w:tbl>
    <w:p>
      <w:pPr>
        <w:adjustRightInd/>
        <w:snapToGrid/>
        <w:spacing w:line="240" w:lineRule="auto"/>
        <w:ind w:firstLine="0" w:firstLineChars="0"/>
        <w:rPr>
          <w:rFonts w:ascii="Calibri" w:hAnsi="Calibri"/>
        </w:rPr>
      </w:pPr>
    </w:p>
    <w:p>
      <w:pPr>
        <w:spacing w:line="360" w:lineRule="auto"/>
        <w:ind w:firstLine="420"/>
        <w:rPr>
          <w:rFonts w:ascii="Times New Roman"/>
        </w:rPr>
      </w:pPr>
    </w:p>
    <w:p>
      <w:pPr>
        <w:spacing w:line="360" w:lineRule="auto"/>
        <w:ind w:firstLine="420"/>
        <w:rPr>
          <w:rFonts w:ascii="黑体" w:hAnsi="宋体" w:eastAsia="黑体"/>
          <w:b/>
        </w:rPr>
      </w:pPr>
      <w:r>
        <w:rPr>
          <w:rFonts w:hint="eastAsia" w:ascii="Times New Roman"/>
        </w:rPr>
        <w:t>基于巴沙鱼片加工过程的保水率和水分的相对关系情况，同时防止以增重为目的的其他物质的添加，并确保鱼片镀冰衣是为了防止鱼片的干耗，编制组对获得的检测数据</w:t>
      </w:r>
      <w:r>
        <w:rPr>
          <w:rFonts w:ascii="Times New Roman"/>
        </w:rPr>
        <w:t>进行</w:t>
      </w:r>
      <w:r>
        <w:rPr>
          <w:rFonts w:hint="eastAsia" w:ascii="Times New Roman"/>
        </w:rPr>
        <w:t>系统的</w:t>
      </w:r>
      <w:r>
        <w:rPr>
          <w:rFonts w:ascii="Times New Roman"/>
        </w:rPr>
        <w:t>分析，</w:t>
      </w:r>
      <w:r>
        <w:rPr>
          <w:rFonts w:hint="eastAsia" w:ascii="Times New Roman"/>
        </w:rPr>
        <w:t>对巴沙鱼片的质量按照水分、蛋白质、脂肪含量、冰衣率进行分级管理，并淘汰不符合质量标准的劣质速冻巴沙鱼片。同时，</w:t>
      </w:r>
      <w:r>
        <w:rPr>
          <w:rFonts w:ascii="Times New Roman"/>
        </w:rPr>
        <w:t>对</w:t>
      </w:r>
      <w:r>
        <w:rPr>
          <w:rFonts w:hint="eastAsia" w:ascii="Times New Roman"/>
        </w:rPr>
        <w:t>速</w:t>
      </w:r>
      <w:r>
        <w:rPr>
          <w:rFonts w:ascii="Times New Roman"/>
        </w:rPr>
        <w:t>冻巴沙鱼</w:t>
      </w:r>
      <w:r>
        <w:rPr>
          <w:rFonts w:hint="eastAsia" w:ascii="Times New Roman"/>
        </w:rPr>
        <w:t>片</w:t>
      </w:r>
      <w:r>
        <w:rPr>
          <w:rFonts w:ascii="Times New Roman"/>
        </w:rPr>
        <w:t>的</w:t>
      </w:r>
      <w:r>
        <w:rPr>
          <w:rFonts w:hint="eastAsia" w:ascii="Times New Roman"/>
        </w:rPr>
        <w:t>干耗面积、淤血点限定大小的数量</w:t>
      </w:r>
      <w:r>
        <w:rPr>
          <w:rFonts w:ascii="Times New Roman"/>
        </w:rPr>
        <w:t>等项目要求进行规定</w:t>
      </w:r>
      <w:r>
        <w:rPr>
          <w:rFonts w:hint="eastAsia" w:ascii="Times New Roman"/>
        </w:rPr>
        <w:t>（见表3）</w:t>
      </w:r>
      <w:r>
        <w:rPr>
          <w:rFonts w:ascii="Times New Roman"/>
        </w:rPr>
        <w:t xml:space="preserve">。 </w:t>
      </w:r>
    </w:p>
    <w:p>
      <w:pPr>
        <w:adjustRightInd/>
        <w:snapToGrid/>
        <w:spacing w:line="360" w:lineRule="auto"/>
        <w:ind w:firstLine="0" w:firstLineChars="0"/>
        <w:jc w:val="center"/>
        <w:rPr>
          <w:rFonts w:ascii="黑体" w:hAnsi="宋体" w:eastAsia="黑体"/>
          <w:b/>
          <w:bCs/>
        </w:rPr>
      </w:pPr>
      <w:r>
        <w:rPr>
          <w:rFonts w:hint="eastAsia" w:ascii="黑体" w:hAnsi="宋体" w:eastAsia="黑体"/>
          <w:b/>
        </w:rPr>
        <w:t>表3</w:t>
      </w:r>
      <w:r>
        <w:rPr>
          <w:rFonts w:ascii="黑体" w:hAnsi="宋体" w:eastAsia="黑体"/>
          <w:b/>
        </w:rPr>
        <w:t xml:space="preserve"> </w:t>
      </w:r>
      <w:r>
        <w:rPr>
          <w:rFonts w:hint="eastAsia" w:ascii="黑体" w:hAnsi="宋体" w:eastAsia="黑体"/>
          <w:b/>
        </w:rPr>
        <w:t xml:space="preserve">  </w:t>
      </w:r>
      <w:r>
        <w:rPr>
          <w:rFonts w:hint="eastAsia" w:ascii="黑体" w:hAnsi="宋体" w:eastAsia="黑体"/>
          <w:b/>
          <w:bCs/>
        </w:rPr>
        <w:t>理化指标</w:t>
      </w:r>
    </w:p>
    <w:tbl>
      <w:tblPr>
        <w:tblStyle w:val="3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123"/>
        <w:gridCol w:w="874"/>
        <w:gridCol w:w="13"/>
        <w:gridCol w:w="860"/>
        <w:gridCol w:w="874"/>
        <w:gridCol w:w="873"/>
        <w:gridCol w:w="863"/>
        <w:gridCol w:w="11"/>
        <w:gridCol w:w="102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22" w:type="dxa"/>
            <w:vMerge w:val="restart"/>
            <w:vAlign w:val="center"/>
          </w:tcPr>
          <w:p>
            <w:pPr>
              <w:spacing w:line="360" w:lineRule="auto"/>
              <w:ind w:firstLine="420"/>
              <w:jc w:val="center"/>
              <w:rPr>
                <w:szCs w:val="21"/>
              </w:rPr>
            </w:pPr>
            <w:r>
              <w:rPr>
                <w:rFonts w:hint="eastAsia"/>
                <w:szCs w:val="21"/>
              </w:rPr>
              <w:t>项目</w:t>
            </w:r>
          </w:p>
        </w:tc>
        <w:tc>
          <w:tcPr>
            <w:tcW w:w="7512" w:type="dxa"/>
            <w:gridSpan w:val="10"/>
          </w:tcPr>
          <w:p>
            <w:pPr>
              <w:spacing w:line="360" w:lineRule="auto"/>
              <w:ind w:firstLine="420"/>
              <w:jc w:val="center"/>
              <w:rPr>
                <w:szCs w:val="21"/>
              </w:rPr>
            </w:pPr>
            <w:r>
              <w:rPr>
                <w:rFonts w:hint="eastAsia"/>
                <w:szCs w:val="21"/>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22" w:type="dxa"/>
            <w:vMerge w:val="continue"/>
          </w:tcPr>
          <w:p>
            <w:pPr>
              <w:spacing w:line="360" w:lineRule="auto"/>
              <w:ind w:firstLine="420"/>
              <w:jc w:val="center"/>
              <w:rPr>
                <w:szCs w:val="21"/>
              </w:rPr>
            </w:pPr>
          </w:p>
        </w:tc>
        <w:tc>
          <w:tcPr>
            <w:tcW w:w="1997" w:type="dxa"/>
            <w:gridSpan w:val="2"/>
            <w:vAlign w:val="center"/>
          </w:tcPr>
          <w:p>
            <w:pPr>
              <w:spacing w:line="360" w:lineRule="auto"/>
              <w:ind w:firstLine="420"/>
              <w:jc w:val="center"/>
              <w:rPr>
                <w:szCs w:val="21"/>
              </w:rPr>
            </w:pPr>
            <w:r>
              <w:rPr>
                <w:rFonts w:hint="eastAsia"/>
                <w:szCs w:val="21"/>
              </w:rPr>
              <w:t>特级品</w:t>
            </w:r>
          </w:p>
        </w:tc>
        <w:tc>
          <w:tcPr>
            <w:tcW w:w="1747" w:type="dxa"/>
            <w:gridSpan w:val="3"/>
            <w:vAlign w:val="center"/>
          </w:tcPr>
          <w:p>
            <w:pPr>
              <w:spacing w:line="360" w:lineRule="auto"/>
              <w:ind w:firstLine="420"/>
              <w:jc w:val="center"/>
              <w:rPr>
                <w:szCs w:val="21"/>
              </w:rPr>
            </w:pPr>
            <w:r>
              <w:rPr>
                <w:rFonts w:hint="eastAsia"/>
                <w:szCs w:val="21"/>
              </w:rPr>
              <w:t>一级品</w:t>
            </w:r>
          </w:p>
        </w:tc>
        <w:tc>
          <w:tcPr>
            <w:tcW w:w="1747" w:type="dxa"/>
            <w:gridSpan w:val="3"/>
            <w:vAlign w:val="center"/>
          </w:tcPr>
          <w:p>
            <w:pPr>
              <w:spacing w:line="360" w:lineRule="auto"/>
              <w:ind w:firstLine="420"/>
              <w:jc w:val="center"/>
              <w:rPr>
                <w:szCs w:val="21"/>
              </w:rPr>
            </w:pPr>
            <w:r>
              <w:rPr>
                <w:rFonts w:hint="eastAsia"/>
                <w:szCs w:val="21"/>
              </w:rPr>
              <w:t>二级品</w:t>
            </w:r>
          </w:p>
        </w:tc>
        <w:tc>
          <w:tcPr>
            <w:tcW w:w="2021" w:type="dxa"/>
            <w:gridSpan w:val="2"/>
            <w:vAlign w:val="center"/>
          </w:tcPr>
          <w:p>
            <w:pPr>
              <w:spacing w:line="360" w:lineRule="auto"/>
              <w:ind w:firstLine="420"/>
              <w:jc w:val="center"/>
              <w:rPr>
                <w:szCs w:val="21"/>
              </w:rPr>
            </w:pPr>
            <w:r>
              <w:rPr>
                <w:rFonts w:hint="eastAsia"/>
                <w:szCs w:val="21"/>
              </w:rPr>
              <w:t>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22" w:type="dxa"/>
            <w:vMerge w:val="continue"/>
          </w:tcPr>
          <w:p>
            <w:pPr>
              <w:spacing w:line="360" w:lineRule="auto"/>
              <w:ind w:firstLine="420"/>
              <w:jc w:val="center"/>
              <w:rPr>
                <w:szCs w:val="21"/>
              </w:rPr>
            </w:pPr>
          </w:p>
        </w:tc>
        <w:tc>
          <w:tcPr>
            <w:tcW w:w="1123" w:type="dxa"/>
            <w:vAlign w:val="center"/>
          </w:tcPr>
          <w:p>
            <w:pPr>
              <w:spacing w:line="360" w:lineRule="auto"/>
              <w:ind w:firstLine="0" w:firstLineChars="0"/>
              <w:rPr>
                <w:szCs w:val="21"/>
              </w:rPr>
            </w:pPr>
            <w:r>
              <w:rPr>
                <w:rFonts w:hint="eastAsia"/>
                <w:szCs w:val="21"/>
              </w:rPr>
              <w:t>带皮片</w:t>
            </w:r>
          </w:p>
        </w:tc>
        <w:tc>
          <w:tcPr>
            <w:tcW w:w="874" w:type="dxa"/>
            <w:vAlign w:val="center"/>
          </w:tcPr>
          <w:p>
            <w:pPr>
              <w:spacing w:line="360" w:lineRule="auto"/>
              <w:ind w:firstLine="0" w:firstLineChars="0"/>
              <w:rPr>
                <w:szCs w:val="21"/>
              </w:rPr>
            </w:pPr>
            <w:r>
              <w:rPr>
                <w:rFonts w:hint="eastAsia"/>
                <w:szCs w:val="21"/>
              </w:rPr>
              <w:t>去皮片</w:t>
            </w:r>
          </w:p>
        </w:tc>
        <w:tc>
          <w:tcPr>
            <w:tcW w:w="873" w:type="dxa"/>
            <w:gridSpan w:val="2"/>
            <w:vAlign w:val="center"/>
          </w:tcPr>
          <w:p>
            <w:pPr>
              <w:spacing w:line="360" w:lineRule="auto"/>
              <w:ind w:firstLine="0" w:firstLineChars="0"/>
              <w:rPr>
                <w:szCs w:val="21"/>
              </w:rPr>
            </w:pPr>
            <w:r>
              <w:rPr>
                <w:rFonts w:hint="eastAsia"/>
                <w:szCs w:val="21"/>
              </w:rPr>
              <w:t>带皮片</w:t>
            </w:r>
          </w:p>
        </w:tc>
        <w:tc>
          <w:tcPr>
            <w:tcW w:w="874" w:type="dxa"/>
            <w:vAlign w:val="center"/>
          </w:tcPr>
          <w:p>
            <w:pPr>
              <w:spacing w:line="360" w:lineRule="auto"/>
              <w:ind w:firstLine="0" w:firstLineChars="0"/>
              <w:rPr>
                <w:szCs w:val="21"/>
              </w:rPr>
            </w:pPr>
            <w:r>
              <w:rPr>
                <w:rFonts w:hint="eastAsia"/>
                <w:szCs w:val="21"/>
              </w:rPr>
              <w:t>去皮片</w:t>
            </w:r>
          </w:p>
        </w:tc>
        <w:tc>
          <w:tcPr>
            <w:tcW w:w="873" w:type="dxa"/>
            <w:vAlign w:val="center"/>
          </w:tcPr>
          <w:p>
            <w:pPr>
              <w:spacing w:line="360" w:lineRule="auto"/>
              <w:ind w:firstLine="0" w:firstLineChars="0"/>
              <w:rPr>
                <w:szCs w:val="21"/>
              </w:rPr>
            </w:pPr>
            <w:r>
              <w:rPr>
                <w:rFonts w:hint="eastAsia"/>
                <w:szCs w:val="21"/>
              </w:rPr>
              <w:t>带皮片</w:t>
            </w:r>
          </w:p>
        </w:tc>
        <w:tc>
          <w:tcPr>
            <w:tcW w:w="874" w:type="dxa"/>
            <w:gridSpan w:val="2"/>
            <w:vAlign w:val="center"/>
          </w:tcPr>
          <w:p>
            <w:pPr>
              <w:spacing w:line="360" w:lineRule="auto"/>
              <w:ind w:firstLine="0" w:firstLineChars="0"/>
              <w:rPr>
                <w:szCs w:val="21"/>
              </w:rPr>
            </w:pPr>
            <w:r>
              <w:rPr>
                <w:rFonts w:hint="eastAsia"/>
                <w:szCs w:val="21"/>
              </w:rPr>
              <w:t>去皮片</w:t>
            </w:r>
          </w:p>
        </w:tc>
        <w:tc>
          <w:tcPr>
            <w:tcW w:w="1029" w:type="dxa"/>
            <w:vAlign w:val="center"/>
          </w:tcPr>
          <w:p>
            <w:pPr>
              <w:spacing w:line="360" w:lineRule="auto"/>
              <w:ind w:firstLine="0" w:firstLineChars="0"/>
              <w:rPr>
                <w:szCs w:val="21"/>
              </w:rPr>
            </w:pPr>
            <w:r>
              <w:rPr>
                <w:rFonts w:hint="eastAsia"/>
                <w:szCs w:val="21"/>
              </w:rPr>
              <w:t>带皮片</w:t>
            </w:r>
          </w:p>
        </w:tc>
        <w:tc>
          <w:tcPr>
            <w:tcW w:w="992" w:type="dxa"/>
            <w:vAlign w:val="center"/>
          </w:tcPr>
          <w:p>
            <w:pPr>
              <w:spacing w:line="360" w:lineRule="auto"/>
              <w:ind w:firstLine="0" w:firstLineChars="0"/>
              <w:rPr>
                <w:szCs w:val="21"/>
              </w:rPr>
            </w:pPr>
            <w:r>
              <w:rPr>
                <w:rFonts w:hint="eastAsia"/>
                <w:szCs w:val="21"/>
              </w:rPr>
              <w:t>去皮片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122" w:type="dxa"/>
          </w:tcPr>
          <w:p>
            <w:pPr>
              <w:spacing w:line="360" w:lineRule="auto"/>
              <w:ind w:firstLine="420"/>
              <w:jc w:val="center"/>
              <w:rPr>
                <w:szCs w:val="21"/>
              </w:rPr>
            </w:pPr>
            <w:r>
              <w:rPr>
                <w:rFonts w:hint="eastAsia"/>
                <w:szCs w:val="21"/>
              </w:rPr>
              <w:t>水分，g/100g       ≤</w:t>
            </w:r>
          </w:p>
        </w:tc>
        <w:tc>
          <w:tcPr>
            <w:tcW w:w="1123" w:type="dxa"/>
          </w:tcPr>
          <w:p>
            <w:pPr>
              <w:spacing w:line="360" w:lineRule="auto"/>
              <w:ind w:firstLine="420"/>
              <w:jc w:val="center"/>
              <w:rPr>
                <w:szCs w:val="21"/>
              </w:rPr>
            </w:pPr>
            <w:r>
              <w:rPr>
                <w:rFonts w:hint="eastAsia"/>
                <w:szCs w:val="21"/>
              </w:rPr>
              <w:t>8</w:t>
            </w:r>
            <w:r>
              <w:rPr>
                <w:szCs w:val="21"/>
              </w:rPr>
              <w:t>3.5</w:t>
            </w:r>
          </w:p>
        </w:tc>
        <w:tc>
          <w:tcPr>
            <w:tcW w:w="874" w:type="dxa"/>
          </w:tcPr>
          <w:p>
            <w:pPr>
              <w:spacing w:line="360" w:lineRule="auto"/>
              <w:ind w:firstLine="0" w:firstLineChars="0"/>
              <w:rPr>
                <w:szCs w:val="21"/>
              </w:rPr>
            </w:pPr>
            <w:r>
              <w:rPr>
                <w:rFonts w:hint="eastAsia"/>
                <w:szCs w:val="21"/>
              </w:rPr>
              <w:t>8</w:t>
            </w:r>
            <w:r>
              <w:rPr>
                <w:szCs w:val="21"/>
              </w:rPr>
              <w:t>5.0</w:t>
            </w:r>
          </w:p>
        </w:tc>
        <w:tc>
          <w:tcPr>
            <w:tcW w:w="873" w:type="dxa"/>
            <w:gridSpan w:val="2"/>
          </w:tcPr>
          <w:p>
            <w:pPr>
              <w:spacing w:line="360" w:lineRule="auto"/>
              <w:ind w:firstLine="0" w:firstLineChars="0"/>
              <w:rPr>
                <w:szCs w:val="21"/>
              </w:rPr>
            </w:pPr>
            <w:r>
              <w:rPr>
                <w:rFonts w:hint="eastAsia"/>
                <w:szCs w:val="21"/>
              </w:rPr>
              <w:t>8</w:t>
            </w:r>
            <w:r>
              <w:rPr>
                <w:szCs w:val="21"/>
              </w:rPr>
              <w:t>5.0</w:t>
            </w:r>
          </w:p>
        </w:tc>
        <w:tc>
          <w:tcPr>
            <w:tcW w:w="874" w:type="dxa"/>
          </w:tcPr>
          <w:p>
            <w:pPr>
              <w:spacing w:line="360" w:lineRule="auto"/>
              <w:ind w:firstLine="0" w:firstLineChars="0"/>
              <w:rPr>
                <w:szCs w:val="21"/>
              </w:rPr>
            </w:pPr>
            <w:r>
              <w:rPr>
                <w:rFonts w:hint="eastAsia"/>
                <w:szCs w:val="21"/>
              </w:rPr>
              <w:t>8</w:t>
            </w:r>
            <w:r>
              <w:rPr>
                <w:szCs w:val="21"/>
              </w:rPr>
              <w:t>7.0</w:t>
            </w:r>
          </w:p>
        </w:tc>
        <w:tc>
          <w:tcPr>
            <w:tcW w:w="873" w:type="dxa"/>
          </w:tcPr>
          <w:p>
            <w:pPr>
              <w:spacing w:line="360" w:lineRule="auto"/>
              <w:ind w:firstLine="0" w:firstLineChars="0"/>
              <w:rPr>
                <w:szCs w:val="21"/>
              </w:rPr>
            </w:pPr>
            <w:r>
              <w:rPr>
                <w:rFonts w:hint="eastAsia"/>
                <w:szCs w:val="21"/>
              </w:rPr>
              <w:t>8</w:t>
            </w:r>
            <w:r>
              <w:rPr>
                <w:szCs w:val="21"/>
              </w:rPr>
              <w:t>7.0</w:t>
            </w:r>
          </w:p>
        </w:tc>
        <w:tc>
          <w:tcPr>
            <w:tcW w:w="874" w:type="dxa"/>
            <w:gridSpan w:val="2"/>
          </w:tcPr>
          <w:p>
            <w:pPr>
              <w:spacing w:line="360" w:lineRule="auto"/>
              <w:ind w:firstLine="0" w:firstLineChars="0"/>
              <w:rPr>
                <w:szCs w:val="21"/>
              </w:rPr>
            </w:pPr>
            <w:r>
              <w:rPr>
                <w:rFonts w:hint="eastAsia"/>
                <w:szCs w:val="21"/>
              </w:rPr>
              <w:t>8</w:t>
            </w:r>
            <w:r>
              <w:rPr>
                <w:szCs w:val="21"/>
              </w:rPr>
              <w:t>8.0</w:t>
            </w:r>
          </w:p>
        </w:tc>
        <w:tc>
          <w:tcPr>
            <w:tcW w:w="1029" w:type="dxa"/>
          </w:tcPr>
          <w:p>
            <w:pPr>
              <w:spacing w:line="360" w:lineRule="auto"/>
              <w:ind w:firstLine="0" w:firstLineChars="0"/>
              <w:rPr>
                <w:szCs w:val="21"/>
              </w:rPr>
            </w:pPr>
            <w:r>
              <w:rPr>
                <w:szCs w:val="21"/>
              </w:rPr>
              <w:t>88.0</w:t>
            </w:r>
          </w:p>
        </w:tc>
        <w:tc>
          <w:tcPr>
            <w:tcW w:w="992" w:type="dxa"/>
          </w:tcPr>
          <w:p>
            <w:pPr>
              <w:spacing w:line="360" w:lineRule="auto"/>
              <w:ind w:firstLine="0" w:firstLineChars="0"/>
              <w:rPr>
                <w:szCs w:val="21"/>
              </w:rPr>
            </w:pPr>
            <w:r>
              <w:rPr>
                <w:rFonts w:hint="eastAsia"/>
                <w:szCs w:val="21"/>
              </w:rPr>
              <w:t>9</w:t>
            </w:r>
            <w:r>
              <w:rPr>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122" w:type="dxa"/>
          </w:tcPr>
          <w:p>
            <w:pPr>
              <w:spacing w:line="360" w:lineRule="auto"/>
              <w:ind w:firstLine="420"/>
              <w:jc w:val="center"/>
              <w:rPr>
                <w:szCs w:val="21"/>
              </w:rPr>
            </w:pPr>
            <w:r>
              <w:rPr>
                <w:rFonts w:hint="eastAsia"/>
                <w:szCs w:val="21"/>
              </w:rPr>
              <w:t>蛋白质，g/100g     ≥</w:t>
            </w:r>
          </w:p>
        </w:tc>
        <w:tc>
          <w:tcPr>
            <w:tcW w:w="1123" w:type="dxa"/>
          </w:tcPr>
          <w:p>
            <w:pPr>
              <w:spacing w:line="360" w:lineRule="auto"/>
              <w:ind w:firstLine="420"/>
              <w:jc w:val="center"/>
              <w:rPr>
                <w:szCs w:val="21"/>
              </w:rPr>
            </w:pPr>
            <w:r>
              <w:rPr>
                <w:szCs w:val="21"/>
              </w:rPr>
              <w:t>14.5</w:t>
            </w:r>
          </w:p>
        </w:tc>
        <w:tc>
          <w:tcPr>
            <w:tcW w:w="874" w:type="dxa"/>
          </w:tcPr>
          <w:p>
            <w:pPr>
              <w:spacing w:line="360" w:lineRule="auto"/>
              <w:ind w:firstLine="0" w:firstLineChars="0"/>
              <w:rPr>
                <w:szCs w:val="21"/>
              </w:rPr>
            </w:pPr>
            <w:r>
              <w:rPr>
                <w:rFonts w:hint="eastAsia"/>
                <w:szCs w:val="21"/>
              </w:rPr>
              <w:t>1</w:t>
            </w:r>
            <w:r>
              <w:rPr>
                <w:szCs w:val="21"/>
              </w:rPr>
              <w:t>3.0</w:t>
            </w:r>
          </w:p>
        </w:tc>
        <w:tc>
          <w:tcPr>
            <w:tcW w:w="873" w:type="dxa"/>
            <w:gridSpan w:val="2"/>
          </w:tcPr>
          <w:p>
            <w:pPr>
              <w:spacing w:line="360" w:lineRule="auto"/>
              <w:ind w:firstLine="0" w:firstLineChars="0"/>
              <w:rPr>
                <w:szCs w:val="21"/>
              </w:rPr>
            </w:pPr>
            <w:r>
              <w:rPr>
                <w:szCs w:val="21"/>
              </w:rPr>
              <w:t>13.0</w:t>
            </w:r>
          </w:p>
        </w:tc>
        <w:tc>
          <w:tcPr>
            <w:tcW w:w="874" w:type="dxa"/>
          </w:tcPr>
          <w:p>
            <w:pPr>
              <w:spacing w:line="360" w:lineRule="auto"/>
              <w:ind w:firstLine="0" w:firstLineChars="0"/>
              <w:rPr>
                <w:szCs w:val="21"/>
              </w:rPr>
            </w:pPr>
            <w:r>
              <w:rPr>
                <w:rFonts w:hint="eastAsia"/>
                <w:szCs w:val="21"/>
              </w:rPr>
              <w:t>1</w:t>
            </w:r>
            <w:r>
              <w:rPr>
                <w:szCs w:val="21"/>
              </w:rPr>
              <w:t>0.0</w:t>
            </w:r>
          </w:p>
        </w:tc>
        <w:tc>
          <w:tcPr>
            <w:tcW w:w="873" w:type="dxa"/>
          </w:tcPr>
          <w:p>
            <w:pPr>
              <w:spacing w:line="360" w:lineRule="auto"/>
              <w:ind w:firstLine="0" w:firstLineChars="0"/>
              <w:rPr>
                <w:szCs w:val="21"/>
              </w:rPr>
            </w:pPr>
            <w:r>
              <w:rPr>
                <w:szCs w:val="21"/>
              </w:rPr>
              <w:t>10.5</w:t>
            </w:r>
          </w:p>
        </w:tc>
        <w:tc>
          <w:tcPr>
            <w:tcW w:w="874" w:type="dxa"/>
            <w:gridSpan w:val="2"/>
          </w:tcPr>
          <w:p>
            <w:pPr>
              <w:spacing w:line="360" w:lineRule="auto"/>
              <w:ind w:firstLine="0" w:firstLineChars="0"/>
              <w:rPr>
                <w:szCs w:val="21"/>
              </w:rPr>
            </w:pPr>
            <w:r>
              <w:rPr>
                <w:rFonts w:hint="eastAsia"/>
                <w:szCs w:val="21"/>
              </w:rPr>
              <w:t>9</w:t>
            </w:r>
            <w:r>
              <w:rPr>
                <w:szCs w:val="21"/>
              </w:rPr>
              <w:t>.5</w:t>
            </w:r>
          </w:p>
        </w:tc>
        <w:tc>
          <w:tcPr>
            <w:tcW w:w="1029" w:type="dxa"/>
          </w:tcPr>
          <w:p>
            <w:pPr>
              <w:spacing w:line="360" w:lineRule="auto"/>
              <w:ind w:firstLine="420"/>
              <w:jc w:val="center"/>
              <w:rPr>
                <w:szCs w:val="21"/>
              </w:rPr>
            </w:pPr>
            <w:r>
              <w:rPr>
                <w:szCs w:val="21"/>
              </w:rPr>
              <w:t>8.0</w:t>
            </w:r>
          </w:p>
        </w:tc>
        <w:tc>
          <w:tcPr>
            <w:tcW w:w="992" w:type="dxa"/>
          </w:tcPr>
          <w:p>
            <w:pPr>
              <w:spacing w:line="360" w:lineRule="auto"/>
              <w:ind w:firstLine="420"/>
              <w:jc w:val="center"/>
              <w:rPr>
                <w:szCs w:val="21"/>
              </w:rPr>
            </w:pPr>
            <w:r>
              <w:rPr>
                <w:rFonts w:hint="eastAsia"/>
                <w:szCs w:val="21"/>
              </w:rPr>
              <w:t>7</w:t>
            </w: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22" w:type="dxa"/>
          </w:tcPr>
          <w:p>
            <w:pPr>
              <w:spacing w:line="360" w:lineRule="auto"/>
              <w:ind w:firstLine="420"/>
              <w:jc w:val="center"/>
              <w:rPr>
                <w:szCs w:val="21"/>
              </w:rPr>
            </w:pPr>
            <w:r>
              <w:rPr>
                <w:rFonts w:hint="eastAsia"/>
                <w:szCs w:val="21"/>
              </w:rPr>
              <w:t>脂肪，g/100g       ≤</w:t>
            </w:r>
          </w:p>
        </w:tc>
        <w:tc>
          <w:tcPr>
            <w:tcW w:w="1123" w:type="dxa"/>
          </w:tcPr>
          <w:p>
            <w:pPr>
              <w:spacing w:line="360" w:lineRule="auto"/>
              <w:ind w:firstLine="420"/>
              <w:jc w:val="center"/>
              <w:rPr>
                <w:szCs w:val="21"/>
              </w:rPr>
            </w:pPr>
            <w:r>
              <w:rPr>
                <w:rFonts w:hint="eastAsia"/>
                <w:szCs w:val="21"/>
              </w:rPr>
              <w:t>2</w:t>
            </w:r>
            <w:r>
              <w:rPr>
                <w:szCs w:val="21"/>
              </w:rPr>
              <w:t>.0</w:t>
            </w:r>
          </w:p>
        </w:tc>
        <w:tc>
          <w:tcPr>
            <w:tcW w:w="874" w:type="dxa"/>
          </w:tcPr>
          <w:p>
            <w:pPr>
              <w:spacing w:line="360" w:lineRule="auto"/>
              <w:ind w:firstLine="0" w:firstLineChars="0"/>
              <w:rPr>
                <w:szCs w:val="21"/>
              </w:rPr>
            </w:pPr>
            <w:r>
              <w:rPr>
                <w:szCs w:val="21"/>
              </w:rPr>
              <w:t>1.5</w:t>
            </w:r>
          </w:p>
        </w:tc>
        <w:tc>
          <w:tcPr>
            <w:tcW w:w="873" w:type="dxa"/>
            <w:gridSpan w:val="2"/>
          </w:tcPr>
          <w:p>
            <w:pPr>
              <w:spacing w:line="360" w:lineRule="auto"/>
              <w:ind w:firstLine="0" w:firstLineChars="0"/>
              <w:rPr>
                <w:szCs w:val="21"/>
              </w:rPr>
            </w:pPr>
            <w:r>
              <w:rPr>
                <w:rFonts w:hint="eastAsia"/>
                <w:szCs w:val="21"/>
              </w:rPr>
              <w:t>2</w:t>
            </w:r>
            <w:r>
              <w:rPr>
                <w:szCs w:val="21"/>
              </w:rPr>
              <w:t>.5</w:t>
            </w:r>
          </w:p>
        </w:tc>
        <w:tc>
          <w:tcPr>
            <w:tcW w:w="874" w:type="dxa"/>
          </w:tcPr>
          <w:p>
            <w:pPr>
              <w:spacing w:line="360" w:lineRule="auto"/>
              <w:ind w:firstLine="0" w:firstLineChars="0"/>
              <w:rPr>
                <w:szCs w:val="21"/>
              </w:rPr>
            </w:pPr>
            <w:r>
              <w:rPr>
                <w:rFonts w:hint="eastAsia"/>
                <w:szCs w:val="21"/>
              </w:rPr>
              <w:t>2</w:t>
            </w:r>
            <w:r>
              <w:rPr>
                <w:szCs w:val="21"/>
              </w:rPr>
              <w:t>.0</w:t>
            </w:r>
          </w:p>
        </w:tc>
        <w:tc>
          <w:tcPr>
            <w:tcW w:w="873" w:type="dxa"/>
          </w:tcPr>
          <w:p>
            <w:pPr>
              <w:spacing w:line="360" w:lineRule="auto"/>
              <w:ind w:firstLine="0" w:firstLineChars="0"/>
              <w:rPr>
                <w:szCs w:val="21"/>
              </w:rPr>
            </w:pPr>
            <w:r>
              <w:rPr>
                <w:rFonts w:hint="eastAsia"/>
                <w:szCs w:val="21"/>
              </w:rPr>
              <w:t>2</w:t>
            </w:r>
            <w:r>
              <w:rPr>
                <w:szCs w:val="21"/>
              </w:rPr>
              <w:t>.6</w:t>
            </w:r>
          </w:p>
        </w:tc>
        <w:tc>
          <w:tcPr>
            <w:tcW w:w="874" w:type="dxa"/>
            <w:gridSpan w:val="2"/>
          </w:tcPr>
          <w:p>
            <w:pPr>
              <w:spacing w:line="360" w:lineRule="auto"/>
              <w:ind w:firstLine="0" w:firstLineChars="0"/>
              <w:rPr>
                <w:szCs w:val="21"/>
              </w:rPr>
            </w:pPr>
            <w:r>
              <w:rPr>
                <w:rFonts w:hint="eastAsia"/>
                <w:szCs w:val="21"/>
              </w:rPr>
              <w:t>2</w:t>
            </w:r>
            <w:r>
              <w:rPr>
                <w:szCs w:val="21"/>
              </w:rPr>
              <w:t>.0</w:t>
            </w:r>
          </w:p>
        </w:tc>
        <w:tc>
          <w:tcPr>
            <w:tcW w:w="1029" w:type="dxa"/>
          </w:tcPr>
          <w:p>
            <w:pPr>
              <w:spacing w:line="360" w:lineRule="auto"/>
              <w:ind w:firstLine="420"/>
              <w:jc w:val="center"/>
              <w:rPr>
                <w:szCs w:val="21"/>
              </w:rPr>
            </w:pPr>
            <w:r>
              <w:rPr>
                <w:szCs w:val="21"/>
              </w:rPr>
              <w:t>3.0</w:t>
            </w:r>
          </w:p>
        </w:tc>
        <w:tc>
          <w:tcPr>
            <w:tcW w:w="992" w:type="dxa"/>
          </w:tcPr>
          <w:p>
            <w:pPr>
              <w:spacing w:line="360" w:lineRule="auto"/>
              <w:ind w:firstLine="420"/>
              <w:jc w:val="center"/>
              <w:rPr>
                <w:szCs w:val="21"/>
              </w:rPr>
            </w:pPr>
            <w:r>
              <w:rPr>
                <w:rFonts w:hint="eastAsia"/>
                <w:szCs w:val="21"/>
              </w:rPr>
              <w:t>2</w:t>
            </w: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22" w:type="dxa"/>
          </w:tcPr>
          <w:p>
            <w:pPr>
              <w:spacing w:line="360" w:lineRule="auto"/>
              <w:ind w:firstLine="0" w:firstLineChars="0"/>
              <w:rPr>
                <w:szCs w:val="21"/>
              </w:rPr>
            </w:pPr>
            <w:r>
              <w:rPr>
                <w:rFonts w:hint="eastAsia"/>
                <w:szCs w:val="21"/>
              </w:rPr>
              <w:t>冰衣率，%         ≤</w:t>
            </w:r>
          </w:p>
        </w:tc>
        <w:tc>
          <w:tcPr>
            <w:tcW w:w="1997" w:type="dxa"/>
            <w:gridSpan w:val="2"/>
          </w:tcPr>
          <w:p>
            <w:pPr>
              <w:spacing w:line="360" w:lineRule="auto"/>
              <w:ind w:firstLine="420"/>
              <w:jc w:val="center"/>
              <w:rPr>
                <w:szCs w:val="21"/>
              </w:rPr>
            </w:pPr>
            <w:r>
              <w:rPr>
                <w:szCs w:val="21"/>
              </w:rPr>
              <w:t>10</w:t>
            </w:r>
          </w:p>
        </w:tc>
        <w:tc>
          <w:tcPr>
            <w:tcW w:w="3494" w:type="dxa"/>
            <w:gridSpan w:val="6"/>
          </w:tcPr>
          <w:p>
            <w:pPr>
              <w:spacing w:line="360" w:lineRule="auto"/>
              <w:ind w:firstLine="420"/>
              <w:jc w:val="center"/>
              <w:rPr>
                <w:szCs w:val="21"/>
              </w:rPr>
            </w:pPr>
            <w:r>
              <w:rPr>
                <w:szCs w:val="21"/>
              </w:rPr>
              <w:t>20</w:t>
            </w:r>
          </w:p>
        </w:tc>
        <w:tc>
          <w:tcPr>
            <w:tcW w:w="2021" w:type="dxa"/>
            <w:gridSpan w:val="2"/>
          </w:tcPr>
          <w:p>
            <w:pPr>
              <w:spacing w:line="360" w:lineRule="auto"/>
              <w:ind w:firstLine="420"/>
              <w:jc w:val="center"/>
              <w:rPr>
                <w:szCs w:val="21"/>
              </w:rPr>
            </w:pPr>
            <w:r>
              <w:rPr>
                <w:rFonts w:hint="eastAsia"/>
                <w:szCs w:val="21"/>
              </w:rPr>
              <w:t>3</w:t>
            </w: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22" w:type="dxa"/>
          </w:tcPr>
          <w:p>
            <w:pPr>
              <w:spacing w:line="360" w:lineRule="auto"/>
              <w:ind w:firstLine="0" w:firstLineChars="0"/>
              <w:rPr>
                <w:szCs w:val="21"/>
              </w:rPr>
            </w:pPr>
            <w:r>
              <w:rPr>
                <w:rFonts w:hint="eastAsia"/>
              </w:rPr>
              <w:t>挥发性盐基氮，mg/100g         ≤</w:t>
            </w:r>
          </w:p>
        </w:tc>
        <w:tc>
          <w:tcPr>
            <w:tcW w:w="7512" w:type="dxa"/>
            <w:gridSpan w:val="10"/>
          </w:tcPr>
          <w:p>
            <w:pPr>
              <w:spacing w:line="360" w:lineRule="auto"/>
              <w:ind w:firstLine="420"/>
              <w:jc w:val="center"/>
              <w:rPr>
                <w:szCs w:val="21"/>
              </w:rP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22" w:type="dxa"/>
          </w:tcPr>
          <w:p>
            <w:pPr>
              <w:spacing w:line="360" w:lineRule="auto"/>
              <w:ind w:firstLine="0" w:firstLineChars="0"/>
              <w:rPr>
                <w:szCs w:val="21"/>
              </w:rPr>
            </w:pPr>
            <w:r>
              <w:rPr>
                <w:rFonts w:hint="eastAsia"/>
                <w:szCs w:val="21"/>
              </w:rPr>
              <w:t>最大直径超过1</w:t>
            </w:r>
            <w:r>
              <w:rPr>
                <w:szCs w:val="21"/>
              </w:rPr>
              <w:t>.0cm</w:t>
            </w:r>
            <w:r>
              <w:rPr>
                <w:rFonts w:hint="eastAsia"/>
                <w:szCs w:val="21"/>
              </w:rPr>
              <w:t>的干耗（个/片）</w:t>
            </w:r>
          </w:p>
        </w:tc>
        <w:tc>
          <w:tcPr>
            <w:tcW w:w="2010" w:type="dxa"/>
            <w:gridSpan w:val="3"/>
          </w:tcPr>
          <w:p>
            <w:pPr>
              <w:spacing w:line="360" w:lineRule="auto"/>
              <w:ind w:firstLine="420"/>
              <w:jc w:val="center"/>
              <w:rPr>
                <w:szCs w:val="21"/>
              </w:rPr>
            </w:pPr>
            <w:r>
              <w:rPr>
                <w:rFonts w:hint="eastAsia"/>
                <w:szCs w:val="21"/>
              </w:rPr>
              <w:t>0</w:t>
            </w:r>
          </w:p>
        </w:tc>
        <w:tc>
          <w:tcPr>
            <w:tcW w:w="3470" w:type="dxa"/>
            <w:gridSpan w:val="4"/>
          </w:tcPr>
          <w:p>
            <w:pPr>
              <w:spacing w:line="360" w:lineRule="auto"/>
              <w:ind w:firstLine="420"/>
              <w:jc w:val="center"/>
              <w:rPr>
                <w:szCs w:val="21"/>
              </w:rPr>
            </w:pPr>
            <w:r>
              <w:rPr>
                <w:rFonts w:hint="eastAsia" w:hAnsi="宋体"/>
                <w:szCs w:val="21"/>
              </w:rPr>
              <w:t>≤</w:t>
            </w:r>
            <w:r>
              <w:rPr>
                <w:rFonts w:hint="eastAsia"/>
                <w:szCs w:val="21"/>
              </w:rPr>
              <w:t>1</w:t>
            </w:r>
          </w:p>
        </w:tc>
        <w:tc>
          <w:tcPr>
            <w:tcW w:w="2032" w:type="dxa"/>
            <w:gridSpan w:val="3"/>
          </w:tcPr>
          <w:p>
            <w:pPr>
              <w:spacing w:line="360" w:lineRule="auto"/>
              <w:ind w:firstLine="420"/>
              <w:jc w:val="center"/>
              <w:rPr>
                <w:szCs w:val="21"/>
              </w:rPr>
            </w:pPr>
            <w:r>
              <w:rPr>
                <w:rFonts w:hint="eastAsia" w:hAnsi="宋体"/>
                <w:szCs w:val="21"/>
              </w:rPr>
              <w:t>≤</w:t>
            </w: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22" w:type="dxa"/>
          </w:tcPr>
          <w:p>
            <w:pPr>
              <w:spacing w:line="360" w:lineRule="auto"/>
              <w:ind w:firstLine="0" w:firstLineChars="0"/>
              <w:rPr>
                <w:szCs w:val="21"/>
              </w:rPr>
            </w:pPr>
            <w:r>
              <w:rPr>
                <w:rFonts w:hint="eastAsia"/>
                <w:szCs w:val="21"/>
              </w:rPr>
              <w:t>最大直径超过0</w:t>
            </w:r>
            <w:r>
              <w:rPr>
                <w:szCs w:val="21"/>
              </w:rPr>
              <w:t>.5cm</w:t>
            </w:r>
            <w:r>
              <w:rPr>
                <w:rFonts w:hint="eastAsia"/>
                <w:szCs w:val="21"/>
              </w:rPr>
              <w:t>的淤血点（个/片）</w:t>
            </w:r>
          </w:p>
        </w:tc>
        <w:tc>
          <w:tcPr>
            <w:tcW w:w="2010" w:type="dxa"/>
            <w:gridSpan w:val="3"/>
          </w:tcPr>
          <w:p>
            <w:pPr>
              <w:spacing w:line="360" w:lineRule="auto"/>
              <w:ind w:firstLine="420"/>
              <w:jc w:val="center"/>
              <w:rPr>
                <w:szCs w:val="21"/>
              </w:rPr>
            </w:pPr>
            <w:r>
              <w:rPr>
                <w:rFonts w:hint="eastAsia"/>
                <w:szCs w:val="21"/>
              </w:rPr>
              <w:t>0</w:t>
            </w:r>
          </w:p>
        </w:tc>
        <w:tc>
          <w:tcPr>
            <w:tcW w:w="3470" w:type="dxa"/>
            <w:gridSpan w:val="4"/>
          </w:tcPr>
          <w:p>
            <w:pPr>
              <w:spacing w:line="360" w:lineRule="auto"/>
              <w:ind w:firstLine="420"/>
              <w:jc w:val="center"/>
              <w:rPr>
                <w:szCs w:val="21"/>
              </w:rPr>
            </w:pPr>
            <w:r>
              <w:rPr>
                <w:rFonts w:hint="eastAsia"/>
              </w:rPr>
              <w:t>≤1</w:t>
            </w:r>
          </w:p>
        </w:tc>
        <w:tc>
          <w:tcPr>
            <w:tcW w:w="2032" w:type="dxa"/>
            <w:gridSpan w:val="3"/>
          </w:tcPr>
          <w:p>
            <w:pPr>
              <w:spacing w:line="360" w:lineRule="auto"/>
              <w:ind w:firstLine="420"/>
              <w:jc w:val="center"/>
              <w:rPr>
                <w:szCs w:val="21"/>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22" w:type="dxa"/>
          </w:tcPr>
          <w:p>
            <w:pPr>
              <w:ind w:left="1890" w:hanging="1890" w:hangingChars="900"/>
              <w:jc w:val="left"/>
              <w:rPr>
                <w:szCs w:val="21"/>
              </w:rPr>
            </w:pPr>
            <w:r>
              <w:rPr>
                <w:rFonts w:hint="eastAsia"/>
                <w:szCs w:val="21"/>
              </w:rPr>
              <w:t>挥发性盐基m</w:t>
            </w:r>
            <w:r>
              <w:rPr>
                <w:szCs w:val="21"/>
              </w:rPr>
              <w:t>g/100g</w:t>
            </w:r>
            <w:r>
              <w:rPr>
                <w:rFonts w:hint="eastAsia"/>
                <w:szCs w:val="21"/>
              </w:rPr>
              <w:t xml:space="preserve">        ≤</w:t>
            </w:r>
          </w:p>
        </w:tc>
        <w:tc>
          <w:tcPr>
            <w:tcW w:w="7512" w:type="dxa"/>
            <w:gridSpan w:val="10"/>
            <w:vAlign w:val="center"/>
          </w:tcPr>
          <w:p>
            <w:pPr>
              <w:spacing w:line="360" w:lineRule="auto"/>
              <w:ind w:firstLine="420"/>
              <w:jc w:val="center"/>
              <w:rPr>
                <w:szCs w:val="21"/>
              </w:rPr>
            </w:pPr>
            <w:r>
              <w:rPr>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22" w:type="dxa"/>
          </w:tcPr>
          <w:p>
            <w:pPr>
              <w:spacing w:line="360" w:lineRule="auto"/>
              <w:ind w:firstLine="0" w:firstLineChars="0"/>
              <w:jc w:val="left"/>
              <w:rPr>
                <w:szCs w:val="21"/>
              </w:rPr>
            </w:pPr>
            <w:r>
              <w:rPr>
                <w:rFonts w:hint="eastAsia"/>
                <w:szCs w:val="21"/>
              </w:rPr>
              <w:t>产品中心温度*，℃  ≤</w:t>
            </w:r>
          </w:p>
        </w:tc>
        <w:tc>
          <w:tcPr>
            <w:tcW w:w="7512" w:type="dxa"/>
            <w:gridSpan w:val="10"/>
          </w:tcPr>
          <w:p>
            <w:pPr>
              <w:spacing w:line="360" w:lineRule="auto"/>
              <w:ind w:firstLine="420"/>
              <w:jc w:val="center"/>
              <w:rPr>
                <w:szCs w:val="21"/>
              </w:rPr>
            </w:pPr>
            <w:r>
              <w:rPr>
                <w:rFonts w:hint="eastAsia"/>
                <w:szCs w:val="21"/>
              </w:rPr>
              <w:t>-</w:t>
            </w:r>
            <w:r>
              <w:rPr>
                <w:szCs w:val="21"/>
              </w:rPr>
              <w:t>18</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634" w:type="dxa"/>
            <w:gridSpan w:val="11"/>
          </w:tcPr>
          <w:p>
            <w:pPr>
              <w:spacing w:line="360" w:lineRule="auto"/>
              <w:ind w:firstLine="420"/>
              <w:jc w:val="left"/>
              <w:rPr>
                <w:szCs w:val="21"/>
              </w:rPr>
            </w:pPr>
            <w:r>
              <w:rPr>
                <w:rFonts w:hint="eastAsia"/>
                <w:szCs w:val="21"/>
              </w:rPr>
              <w:t>*适用于产品出厂检验</w:t>
            </w:r>
          </w:p>
        </w:tc>
      </w:tr>
    </w:tbl>
    <w:p>
      <w:pPr>
        <w:adjustRightInd/>
        <w:snapToGrid/>
        <w:spacing w:line="360" w:lineRule="auto"/>
        <w:ind w:firstLine="0" w:firstLineChars="0"/>
        <w:jc w:val="center"/>
        <w:rPr>
          <w:rFonts w:ascii="黑体" w:hAnsi="宋体" w:eastAsia="黑体"/>
          <w:b/>
          <w:bCs/>
        </w:rPr>
      </w:pPr>
    </w:p>
    <w:p>
      <w:pPr>
        <w:pStyle w:val="3"/>
        <w:spacing w:before="156" w:after="156"/>
        <w:rPr>
          <w:sz w:val="24"/>
          <w:szCs w:val="24"/>
        </w:rPr>
      </w:pPr>
      <w:bookmarkStart w:id="44" w:name="_Toc25325"/>
      <w:bookmarkStart w:id="45" w:name="_Toc497309549"/>
      <w:r>
        <w:rPr>
          <w:rFonts w:hint="eastAsia"/>
          <w:sz w:val="24"/>
          <w:szCs w:val="24"/>
        </w:rPr>
        <w:t>3.4 污染物限量</w:t>
      </w:r>
      <w:bookmarkEnd w:id="44"/>
    </w:p>
    <w:p>
      <w:pPr>
        <w:ind w:firstLine="420"/>
      </w:pPr>
      <w:r>
        <w:rPr>
          <w:rFonts w:hint="eastAsia"/>
        </w:rPr>
        <w:t>应符合GB 2762的规定。</w:t>
      </w:r>
    </w:p>
    <w:p>
      <w:pPr>
        <w:pStyle w:val="3"/>
        <w:spacing w:before="156" w:after="156"/>
        <w:rPr>
          <w:sz w:val="24"/>
          <w:szCs w:val="24"/>
        </w:rPr>
      </w:pPr>
      <w:bookmarkStart w:id="46" w:name="_Toc9795"/>
      <w:r>
        <w:rPr>
          <w:rFonts w:hint="eastAsia"/>
          <w:sz w:val="24"/>
          <w:szCs w:val="24"/>
        </w:rPr>
        <w:t>3.5 生产加工过程</w:t>
      </w:r>
      <w:bookmarkEnd w:id="46"/>
    </w:p>
    <w:p>
      <w:pPr>
        <w:ind w:firstLine="420"/>
      </w:pPr>
      <w:r>
        <w:rPr>
          <w:rFonts w:hint="eastAsia"/>
        </w:rPr>
        <w:t>应符合GB 14881的规定。</w:t>
      </w:r>
    </w:p>
    <w:p>
      <w:pPr>
        <w:pStyle w:val="3"/>
        <w:spacing w:before="156" w:after="156"/>
        <w:rPr>
          <w:sz w:val="24"/>
          <w:szCs w:val="24"/>
        </w:rPr>
      </w:pPr>
      <w:bookmarkStart w:id="47" w:name="_Toc26303"/>
      <w:r>
        <w:rPr>
          <w:rFonts w:hint="eastAsia"/>
          <w:sz w:val="24"/>
          <w:szCs w:val="24"/>
        </w:rPr>
        <w:t>3.6 食品添加剂</w:t>
      </w:r>
      <w:bookmarkEnd w:id="47"/>
    </w:p>
    <w:p>
      <w:pPr>
        <w:spacing w:line="360" w:lineRule="auto"/>
        <w:ind w:firstLine="420"/>
        <w:rPr>
          <w:rFonts w:ascii="Times New Roman"/>
        </w:rPr>
      </w:pPr>
      <w:r>
        <w:rPr>
          <w:rFonts w:ascii="Times New Roman"/>
        </w:rPr>
        <w:t>为了确保巴沙鱼片质量，保证加工过程中保水是为了增加肉质嫩度，防止以增重为目的的其他物质的添加，规定仅可使用水分保持剂和酸度调节剂，使用量应符合GB 2760的标准。</w:t>
      </w:r>
    </w:p>
    <w:p>
      <w:pPr>
        <w:pStyle w:val="3"/>
        <w:spacing w:before="156" w:after="156"/>
        <w:rPr>
          <w:sz w:val="24"/>
          <w:szCs w:val="24"/>
        </w:rPr>
      </w:pPr>
      <w:bookmarkStart w:id="48" w:name="_Toc20862"/>
      <w:r>
        <w:rPr>
          <w:rFonts w:hint="eastAsia"/>
          <w:sz w:val="24"/>
          <w:szCs w:val="24"/>
        </w:rPr>
        <w:t>4、试验方法</w:t>
      </w:r>
      <w:bookmarkEnd w:id="48"/>
    </w:p>
    <w:p>
      <w:pPr>
        <w:pStyle w:val="3"/>
        <w:spacing w:before="156" w:after="156"/>
        <w:rPr>
          <w:sz w:val="24"/>
          <w:szCs w:val="24"/>
        </w:rPr>
      </w:pPr>
      <w:bookmarkStart w:id="49" w:name="_Toc27035"/>
      <w:r>
        <w:rPr>
          <w:rFonts w:hint="eastAsia"/>
          <w:sz w:val="24"/>
          <w:szCs w:val="24"/>
        </w:rPr>
        <w:t>4.1 感官要求/水煮实验检测</w:t>
      </w:r>
      <w:bookmarkEnd w:id="49"/>
    </w:p>
    <w:p>
      <w:pPr>
        <w:spacing w:line="360" w:lineRule="auto"/>
        <w:ind w:firstLine="420"/>
      </w:pPr>
      <w:r>
        <w:rPr>
          <w:rFonts w:hint="eastAsia"/>
        </w:rPr>
        <w:t>鉴于目前对于巴沙鱼片的感官检验没有一个可以完全借鉴使用的检测方法，我们参考了相关水产品标准中感官要求和水煮实验的检验方法、各加工企业对产品感官和水煮实验的日常鉴别检验方法、终端消费业户日常对巴沙鱼片的感官鉴别及水煮检验的检验方法，制定出速冻巴沙鱼片、块的感官要求检验和水煮实验的检验方法。</w:t>
      </w:r>
    </w:p>
    <w:p>
      <w:pPr>
        <w:pStyle w:val="3"/>
        <w:spacing w:before="156" w:after="156" w:line="360" w:lineRule="auto"/>
        <w:rPr>
          <w:sz w:val="24"/>
          <w:szCs w:val="24"/>
        </w:rPr>
      </w:pPr>
      <w:bookmarkStart w:id="50" w:name="_Toc16744"/>
      <w:r>
        <w:rPr>
          <w:rFonts w:hint="eastAsia"/>
          <w:sz w:val="24"/>
          <w:szCs w:val="24"/>
        </w:rPr>
        <w:t>4.1.1 感官要求</w:t>
      </w:r>
      <w:bookmarkEnd w:id="50"/>
    </w:p>
    <w:p>
      <w:pPr>
        <w:spacing w:line="360" w:lineRule="auto"/>
        <w:ind w:firstLine="420"/>
      </w:pPr>
      <w:r>
        <w:rPr>
          <w:rFonts w:hint="eastAsia"/>
        </w:rPr>
        <w:t>在自然光线下，将试样倒在白色搪瓷盘或不锈钢工作台上，按3.2的规定逐项进行检验：</w:t>
      </w:r>
    </w:p>
    <w:p>
      <w:pPr>
        <w:tabs>
          <w:tab w:val="left" w:pos="426"/>
        </w:tabs>
        <w:spacing w:line="360" w:lineRule="auto"/>
        <w:ind w:firstLine="0" w:firstLineChars="0"/>
        <w:rPr>
          <w:rFonts w:ascii="Times New Roman"/>
          <w:szCs w:val="21"/>
        </w:rPr>
      </w:pPr>
      <w:r>
        <w:rPr>
          <w:rFonts w:hint="eastAsia" w:ascii="Times New Roman"/>
          <w:szCs w:val="21"/>
        </w:rPr>
        <w:t>4.1.1.1 通过测定只能用小刀或其他利器除去的面积，检查冻结样品中脱水的情况。测量样品单位的总表面积，计算受影响的面积百分比。</w:t>
      </w:r>
    </w:p>
    <w:p>
      <w:pPr>
        <w:tabs>
          <w:tab w:val="left" w:pos="426"/>
        </w:tabs>
        <w:spacing w:line="360" w:lineRule="auto"/>
        <w:ind w:firstLine="0" w:firstLineChars="0"/>
        <w:rPr>
          <w:rFonts w:ascii="Times New Roman"/>
          <w:szCs w:val="21"/>
        </w:rPr>
      </w:pPr>
      <w:r>
        <w:rPr>
          <w:rFonts w:hint="eastAsia" w:ascii="Times New Roman"/>
          <w:szCs w:val="21"/>
        </w:rPr>
        <w:t>4.1.1.2 解冻并逐片检查样品有无瘀血点，用直尺测量淤血点直径。</w:t>
      </w:r>
    </w:p>
    <w:p>
      <w:pPr>
        <w:tabs>
          <w:tab w:val="left" w:pos="426"/>
        </w:tabs>
        <w:spacing w:line="360" w:lineRule="auto"/>
        <w:ind w:firstLine="0" w:firstLineChars="0"/>
        <w:rPr>
          <w:rFonts w:ascii="Times New Roman"/>
          <w:szCs w:val="21"/>
        </w:rPr>
      </w:pPr>
      <w:r>
        <w:rPr>
          <w:rFonts w:hint="eastAsia" w:ascii="Times New Roman"/>
          <w:szCs w:val="21"/>
        </w:rPr>
        <w:t>4.1.1.3 解冻并逐片检查样品有无干耗，用直尺测量干耗面直径。</w:t>
      </w:r>
    </w:p>
    <w:p>
      <w:pPr>
        <w:tabs>
          <w:tab w:val="left" w:pos="426"/>
        </w:tabs>
        <w:spacing w:line="360" w:lineRule="auto"/>
        <w:ind w:firstLine="0" w:firstLineChars="0"/>
        <w:rPr>
          <w:rFonts w:ascii="Times New Roman"/>
          <w:szCs w:val="21"/>
        </w:rPr>
      </w:pPr>
      <w:r>
        <w:rPr>
          <w:rFonts w:hint="eastAsia" w:ascii="Times New Roman"/>
          <w:szCs w:val="21"/>
        </w:rPr>
        <w:t>4.1.1.4 解冻并逐片检查样品有无正常可见外来杂质。</w:t>
      </w:r>
    </w:p>
    <w:p>
      <w:pPr>
        <w:tabs>
          <w:tab w:val="left" w:pos="426"/>
        </w:tabs>
        <w:spacing w:line="360" w:lineRule="auto"/>
        <w:ind w:firstLine="0" w:firstLineChars="0"/>
        <w:rPr>
          <w:rFonts w:ascii="Times New Roman"/>
          <w:szCs w:val="21"/>
        </w:rPr>
      </w:pPr>
      <w:r>
        <w:rPr>
          <w:rFonts w:hint="eastAsia" w:ascii="Times New Roman"/>
          <w:szCs w:val="21"/>
        </w:rPr>
        <w:t>4.1.1.5 对暴露的鱼肉表面进行鱼肉气味的检测和评价。</w:t>
      </w:r>
    </w:p>
    <w:p>
      <w:pPr>
        <w:tabs>
          <w:tab w:val="left" w:pos="426"/>
        </w:tabs>
        <w:spacing w:line="360" w:lineRule="auto"/>
        <w:ind w:firstLine="0" w:firstLineChars="0"/>
        <w:rPr>
          <w:rFonts w:ascii="Times New Roman"/>
          <w:szCs w:val="21"/>
        </w:rPr>
      </w:pPr>
      <w:r>
        <w:rPr>
          <w:rFonts w:hint="eastAsia" w:ascii="Times New Roman"/>
          <w:szCs w:val="21"/>
        </w:rPr>
        <w:t xml:space="preserve">4.1.1.6 对在解冻后未蒸煮状态下无法最终判定其气味的样品，则应从样品单位中截取可疑部分（约200 g), 并按4.1.2规定的方法进行水煮试验，确定其气味和风味。 </w:t>
      </w:r>
    </w:p>
    <w:p>
      <w:pPr>
        <w:pStyle w:val="3"/>
        <w:spacing w:before="156" w:after="156"/>
        <w:rPr>
          <w:sz w:val="24"/>
          <w:szCs w:val="24"/>
        </w:rPr>
      </w:pPr>
      <w:bookmarkStart w:id="51" w:name="_Toc7678"/>
      <w:r>
        <w:rPr>
          <w:rFonts w:hint="eastAsia"/>
          <w:sz w:val="24"/>
          <w:szCs w:val="24"/>
        </w:rPr>
        <w:t>4.1.2 水煮试验</w:t>
      </w:r>
      <w:bookmarkEnd w:id="51"/>
    </w:p>
    <w:p>
      <w:pPr>
        <w:tabs>
          <w:tab w:val="left" w:pos="426"/>
        </w:tabs>
        <w:spacing w:line="360" w:lineRule="auto"/>
        <w:ind w:firstLine="0" w:firstLineChars="0"/>
        <w:rPr>
          <w:rFonts w:ascii="Times New Roman"/>
          <w:szCs w:val="21"/>
        </w:rPr>
      </w:pPr>
      <w:r>
        <w:rPr>
          <w:rFonts w:hint="eastAsia" w:ascii="Times New Roman"/>
          <w:szCs w:val="21"/>
        </w:rPr>
        <w:t>4.1.2.1 把解冻样品放到砧板上，用不锈钢刀切片，每片厚度在0.5-1.0cm。</w:t>
      </w:r>
    </w:p>
    <w:p>
      <w:pPr>
        <w:tabs>
          <w:tab w:val="left" w:pos="426"/>
        </w:tabs>
        <w:spacing w:line="360" w:lineRule="auto"/>
        <w:ind w:firstLine="0" w:firstLineChars="0"/>
        <w:rPr>
          <w:rFonts w:ascii="Times New Roman"/>
          <w:szCs w:val="21"/>
        </w:rPr>
      </w:pPr>
      <w:r>
        <w:rPr>
          <w:rFonts w:hint="eastAsia" w:ascii="Times New Roman"/>
          <w:szCs w:val="21"/>
        </w:rPr>
        <w:t>4.1.2.2 领取1000ml高型烧杯，倒入约600ml的饮用水，放到加热器上加热至沸腾；</w:t>
      </w:r>
    </w:p>
    <w:p>
      <w:pPr>
        <w:tabs>
          <w:tab w:val="left" w:pos="426"/>
        </w:tabs>
        <w:spacing w:line="360" w:lineRule="auto"/>
        <w:ind w:firstLine="0" w:firstLineChars="0"/>
        <w:rPr>
          <w:rFonts w:ascii="Times New Roman"/>
          <w:szCs w:val="21"/>
        </w:rPr>
      </w:pPr>
      <w:r>
        <w:rPr>
          <w:rFonts w:hint="eastAsia" w:ascii="Times New Roman"/>
          <w:szCs w:val="21"/>
        </w:rPr>
        <w:t>4.1.2.3 把切好的鱼片放入沸水中，保持沸腾继续煮30-60秒，确定鱼片熟制后用漏勺捞出，平摊到到白色瓷盘中；</w:t>
      </w:r>
    </w:p>
    <w:p>
      <w:pPr>
        <w:tabs>
          <w:tab w:val="left" w:pos="426"/>
        </w:tabs>
        <w:spacing w:line="360" w:lineRule="auto"/>
        <w:ind w:firstLine="0" w:firstLineChars="0"/>
        <w:rPr>
          <w:rFonts w:ascii="Times New Roman"/>
          <w:szCs w:val="21"/>
        </w:rPr>
      </w:pPr>
      <w:r>
        <w:rPr>
          <w:rFonts w:hint="eastAsia" w:ascii="Times New Roman"/>
          <w:szCs w:val="21"/>
        </w:rPr>
        <w:t>4.1.2.4 确定鱼片的气味、风味。</w:t>
      </w:r>
    </w:p>
    <w:p>
      <w:pPr>
        <w:pStyle w:val="3"/>
        <w:spacing w:before="156" w:after="156"/>
        <w:rPr>
          <w:sz w:val="24"/>
          <w:szCs w:val="24"/>
        </w:rPr>
      </w:pPr>
      <w:bookmarkStart w:id="52" w:name="_Toc20215"/>
      <w:r>
        <w:rPr>
          <w:rFonts w:hint="eastAsia"/>
          <w:sz w:val="24"/>
          <w:szCs w:val="24"/>
        </w:rPr>
        <w:t>4.2 产品中心温度检测</w:t>
      </w:r>
      <w:bookmarkEnd w:id="52"/>
    </w:p>
    <w:p>
      <w:pPr>
        <w:spacing w:line="360" w:lineRule="auto"/>
        <w:ind w:firstLine="420"/>
      </w:pPr>
      <w:r>
        <w:rPr>
          <w:rFonts w:hint="eastAsia"/>
        </w:rPr>
        <w:t>鉴于速冻巴沙鱼片、块的片较薄，很多关于产品中心温度的检测方法不适用于速冻巴沙鱼片、块（见表4、表5），根据各速冻水产品加工企业尤其是速冻鱼片加工企业的日常的检测方法，确定产品中心温度的检测方法：</w:t>
      </w:r>
    </w:p>
    <w:p>
      <w:pPr>
        <w:spacing w:line="360" w:lineRule="auto"/>
        <w:ind w:firstLine="420"/>
      </w:pPr>
      <w:r>
        <w:rPr>
          <w:rFonts w:hint="eastAsia"/>
        </w:rPr>
        <w:t>在产品出厂检验时，将测量量程符合要求的温度计插入最小包装的中心位置，至温度计指示的温度不再下降时，读数。</w:t>
      </w:r>
    </w:p>
    <w:p>
      <w:pPr>
        <w:adjustRightInd/>
        <w:snapToGrid/>
        <w:spacing w:line="360" w:lineRule="auto"/>
        <w:ind w:firstLine="0" w:firstLineChars="0"/>
        <w:jc w:val="center"/>
        <w:rPr>
          <w:rFonts w:ascii="黑体" w:hAnsi="宋体" w:eastAsia="黑体"/>
          <w:b/>
        </w:rPr>
      </w:pPr>
      <w:r>
        <w:rPr>
          <w:rFonts w:hint="eastAsia" w:ascii="黑体" w:hAnsi="宋体" w:eastAsia="黑体"/>
          <w:b/>
        </w:rPr>
        <w:t xml:space="preserve">表4  </w:t>
      </w:r>
      <w:bookmarkStart w:id="53" w:name="_Hlk59696290"/>
      <w:r>
        <w:rPr>
          <w:rFonts w:hint="eastAsia" w:ascii="黑体" w:hAnsi="宋体" w:eastAsia="黑体"/>
          <w:b/>
        </w:rPr>
        <w:t>有速冻产品中心温度测量方法规定的标准</w:t>
      </w:r>
      <w:bookmarkEnd w:id="53"/>
      <w:r>
        <w:rPr>
          <w:rFonts w:hint="eastAsia" w:ascii="黑体" w:hAnsi="宋体" w:eastAsia="黑体"/>
          <w:b/>
        </w:rPr>
        <w:t>列表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4"/>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ind w:firstLine="0" w:firstLineChars="0"/>
              <w:jc w:val="center"/>
              <w:rPr>
                <w:rFonts w:ascii="Times New Roman"/>
                <w:szCs w:val="21"/>
              </w:rPr>
            </w:pPr>
            <w:r>
              <w:rPr>
                <w:rFonts w:ascii="Times New Roman"/>
                <w:szCs w:val="21"/>
              </w:rPr>
              <w:t>标准名称</w:t>
            </w:r>
          </w:p>
        </w:tc>
        <w:tc>
          <w:tcPr>
            <w:tcW w:w="4066" w:type="dxa"/>
            <w:vAlign w:val="center"/>
          </w:tcPr>
          <w:p>
            <w:pPr>
              <w:ind w:firstLine="420"/>
              <w:jc w:val="center"/>
              <w:rPr>
                <w:rFonts w:ascii="Times New Roman"/>
                <w:szCs w:val="21"/>
              </w:rPr>
            </w:pPr>
            <w:r>
              <w:rPr>
                <w:rFonts w:ascii="Times New Roman"/>
                <w:szCs w:val="21"/>
              </w:rPr>
              <w:t>标准代号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ind w:firstLine="0" w:firstLineChars="0"/>
              <w:jc w:val="center"/>
              <w:rPr>
                <w:rFonts w:ascii="Times New Roman"/>
                <w:szCs w:val="21"/>
              </w:rPr>
            </w:pPr>
            <w:r>
              <w:rPr>
                <w:rFonts w:ascii="Times New Roman"/>
                <w:szCs w:val="21"/>
              </w:rPr>
              <w:t>冻烤鳗</w:t>
            </w:r>
          </w:p>
        </w:tc>
        <w:tc>
          <w:tcPr>
            <w:tcW w:w="4066" w:type="dxa"/>
            <w:vAlign w:val="center"/>
          </w:tcPr>
          <w:p>
            <w:pPr>
              <w:ind w:firstLine="420"/>
              <w:jc w:val="center"/>
              <w:rPr>
                <w:rFonts w:ascii="Times New Roman"/>
                <w:szCs w:val="21"/>
              </w:rPr>
            </w:pPr>
            <w:r>
              <w:rPr>
                <w:rFonts w:ascii="Times New Roman"/>
                <w:szCs w:val="21"/>
              </w:rPr>
              <w:t>GB/T 21289-2007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ind w:firstLine="0" w:firstLineChars="0"/>
              <w:jc w:val="center"/>
              <w:rPr>
                <w:rFonts w:ascii="Times New Roman"/>
                <w:szCs w:val="21"/>
              </w:rPr>
            </w:pPr>
            <w:r>
              <w:rPr>
                <w:rFonts w:ascii="Times New Roman"/>
                <w:szCs w:val="21"/>
              </w:rPr>
              <w:t>冻扇贝</w:t>
            </w:r>
          </w:p>
        </w:tc>
        <w:tc>
          <w:tcPr>
            <w:tcW w:w="4066" w:type="dxa"/>
            <w:vAlign w:val="center"/>
          </w:tcPr>
          <w:p>
            <w:pPr>
              <w:ind w:firstLine="420"/>
              <w:jc w:val="center"/>
              <w:rPr>
                <w:rFonts w:ascii="Times New Roman"/>
                <w:szCs w:val="21"/>
              </w:rPr>
            </w:pPr>
            <w:r>
              <w:rPr>
                <w:rFonts w:ascii="Times New Roman"/>
                <w:szCs w:val="21"/>
              </w:rPr>
              <w:t>GB/T 31814-2015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ind w:firstLine="0" w:firstLineChars="0"/>
              <w:jc w:val="center"/>
              <w:rPr>
                <w:rFonts w:ascii="Times New Roman"/>
                <w:szCs w:val="21"/>
              </w:rPr>
            </w:pPr>
            <w:r>
              <w:rPr>
                <w:rFonts w:ascii="Times New Roman"/>
                <w:szCs w:val="21"/>
              </w:rPr>
              <w:t>冻虾</w:t>
            </w:r>
          </w:p>
        </w:tc>
        <w:tc>
          <w:tcPr>
            <w:tcW w:w="4066" w:type="dxa"/>
            <w:vAlign w:val="center"/>
          </w:tcPr>
          <w:p>
            <w:pPr>
              <w:ind w:firstLine="420"/>
              <w:jc w:val="center"/>
              <w:rPr>
                <w:rFonts w:ascii="Times New Roman"/>
                <w:szCs w:val="21"/>
              </w:rPr>
            </w:pPr>
            <w:r>
              <w:rPr>
                <w:rFonts w:ascii="Times New Roman"/>
                <w:szCs w:val="21"/>
              </w:rPr>
              <w:t>GB/T 30889-2014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ind w:firstLine="0" w:firstLineChars="0"/>
              <w:jc w:val="center"/>
              <w:rPr>
                <w:rFonts w:ascii="Times New Roman"/>
                <w:szCs w:val="21"/>
              </w:rPr>
            </w:pPr>
            <w:r>
              <w:rPr>
                <w:rFonts w:ascii="Times New Roman"/>
                <w:szCs w:val="21"/>
              </w:rPr>
              <w:t>冻裹面包屑鱼</w:t>
            </w:r>
          </w:p>
        </w:tc>
        <w:tc>
          <w:tcPr>
            <w:tcW w:w="4066" w:type="dxa"/>
            <w:vAlign w:val="center"/>
          </w:tcPr>
          <w:p>
            <w:pPr>
              <w:ind w:firstLine="420"/>
              <w:jc w:val="center"/>
              <w:rPr>
                <w:rFonts w:ascii="Times New Roman"/>
                <w:szCs w:val="21"/>
              </w:rPr>
            </w:pPr>
            <w:r>
              <w:rPr>
                <w:rFonts w:ascii="Times New Roman"/>
                <w:szCs w:val="21"/>
              </w:rPr>
              <w:t>GB/T 22180-2014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ind w:firstLine="0" w:firstLineChars="0"/>
              <w:jc w:val="center"/>
              <w:rPr>
                <w:rFonts w:ascii="Times New Roman"/>
                <w:szCs w:val="21"/>
              </w:rPr>
            </w:pPr>
            <w:r>
              <w:rPr>
                <w:rFonts w:ascii="Times New Roman"/>
                <w:szCs w:val="21"/>
              </w:rPr>
              <w:t>冻裹面包屑虾</w:t>
            </w:r>
          </w:p>
        </w:tc>
        <w:tc>
          <w:tcPr>
            <w:tcW w:w="4066" w:type="dxa"/>
            <w:vAlign w:val="center"/>
          </w:tcPr>
          <w:p>
            <w:pPr>
              <w:ind w:firstLine="420"/>
              <w:jc w:val="center"/>
              <w:rPr>
                <w:rFonts w:ascii="Times New Roman"/>
                <w:szCs w:val="21"/>
              </w:rPr>
            </w:pPr>
            <w:r>
              <w:rPr>
                <w:rFonts w:ascii="Times New Roman"/>
                <w:szCs w:val="21"/>
              </w:rPr>
              <w:t>GB/T 21672-2014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ind w:firstLine="0" w:firstLineChars="0"/>
              <w:jc w:val="center"/>
              <w:rPr>
                <w:rFonts w:ascii="Times New Roman"/>
                <w:szCs w:val="21"/>
              </w:rPr>
            </w:pPr>
            <w:r>
              <w:rPr>
                <w:rFonts w:ascii="Times New Roman"/>
                <w:szCs w:val="21"/>
              </w:rPr>
              <w:t>冻鳌虾</w:t>
            </w:r>
          </w:p>
        </w:tc>
        <w:tc>
          <w:tcPr>
            <w:tcW w:w="4066" w:type="dxa"/>
            <w:vAlign w:val="center"/>
          </w:tcPr>
          <w:p>
            <w:pPr>
              <w:ind w:firstLine="420"/>
              <w:jc w:val="center"/>
              <w:rPr>
                <w:rFonts w:ascii="Times New Roman"/>
                <w:szCs w:val="21"/>
              </w:rPr>
            </w:pPr>
            <w:r>
              <w:rPr>
                <w:rFonts w:ascii="Times New Roman"/>
                <w:szCs w:val="21"/>
              </w:rPr>
              <w:t>SC/T 3114-2017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ind w:firstLine="0" w:firstLineChars="0"/>
              <w:jc w:val="center"/>
              <w:rPr>
                <w:rFonts w:ascii="Times New Roman"/>
                <w:szCs w:val="21"/>
              </w:rPr>
            </w:pPr>
            <w:r>
              <w:rPr>
                <w:rFonts w:ascii="Times New Roman"/>
                <w:szCs w:val="21"/>
              </w:rPr>
              <w:t>冻鱼</w:t>
            </w:r>
          </w:p>
        </w:tc>
        <w:tc>
          <w:tcPr>
            <w:tcW w:w="4066" w:type="dxa"/>
            <w:vAlign w:val="center"/>
          </w:tcPr>
          <w:p>
            <w:pPr>
              <w:ind w:firstLine="420"/>
              <w:jc w:val="center"/>
              <w:rPr>
                <w:rFonts w:ascii="Times New Roman"/>
                <w:szCs w:val="21"/>
              </w:rPr>
            </w:pPr>
            <w:r>
              <w:rPr>
                <w:rFonts w:ascii="Times New Roman"/>
                <w:szCs w:val="21"/>
              </w:rPr>
              <w:t>GB/T 18109-2011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4" w:type="dxa"/>
            <w:vAlign w:val="center"/>
          </w:tcPr>
          <w:p>
            <w:pPr>
              <w:ind w:firstLine="0" w:firstLineChars="0"/>
              <w:jc w:val="center"/>
              <w:rPr>
                <w:rFonts w:ascii="Times New Roman"/>
                <w:szCs w:val="21"/>
              </w:rPr>
            </w:pPr>
            <w:r>
              <w:rPr>
                <w:rFonts w:ascii="Times New Roman"/>
                <w:szCs w:val="21"/>
              </w:rPr>
              <w:t>生食金枪鱼</w:t>
            </w:r>
          </w:p>
        </w:tc>
        <w:tc>
          <w:tcPr>
            <w:tcW w:w="4066" w:type="dxa"/>
            <w:vAlign w:val="center"/>
          </w:tcPr>
          <w:p>
            <w:pPr>
              <w:ind w:firstLine="420"/>
              <w:jc w:val="center"/>
              <w:rPr>
                <w:rFonts w:ascii="Times New Roman"/>
                <w:szCs w:val="21"/>
              </w:rPr>
            </w:pPr>
            <w:r>
              <w:rPr>
                <w:rFonts w:ascii="Times New Roman"/>
                <w:szCs w:val="21"/>
              </w:rPr>
              <w:t>SC/T 3117-2006</w:t>
            </w:r>
          </w:p>
        </w:tc>
      </w:tr>
    </w:tbl>
    <w:p>
      <w:pPr>
        <w:ind w:firstLine="0" w:firstLineChars="0"/>
      </w:pPr>
    </w:p>
    <w:p>
      <w:pPr>
        <w:adjustRightInd/>
        <w:snapToGrid/>
        <w:spacing w:line="360" w:lineRule="auto"/>
        <w:ind w:firstLine="0" w:firstLineChars="0"/>
        <w:jc w:val="center"/>
        <w:rPr>
          <w:rFonts w:ascii="黑体" w:hAnsi="宋体" w:eastAsia="黑体"/>
          <w:b/>
        </w:rPr>
      </w:pPr>
      <w:r>
        <w:rPr>
          <w:rFonts w:hint="eastAsia" w:ascii="黑体" w:hAnsi="宋体" w:eastAsia="黑体"/>
          <w:b/>
        </w:rPr>
        <w:t>表5 有速冻产品中心温度测量方法规定的标准的检测方法</w:t>
      </w:r>
    </w:p>
    <w:p>
      <w:pPr>
        <w:ind w:firstLine="0" w:firstLineChars="0"/>
      </w:pPr>
      <w:r>
        <w:drawing>
          <wp:inline distT="0" distB="0" distL="0" distR="0">
            <wp:extent cx="5908040" cy="3082290"/>
            <wp:effectExtent l="0" t="0" r="165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05217" cy="3082290"/>
                    </a:xfrm>
                    <a:prstGeom prst="rect">
                      <a:avLst/>
                    </a:prstGeom>
                    <a:noFill/>
                    <a:ln>
                      <a:noFill/>
                    </a:ln>
                  </pic:spPr>
                </pic:pic>
              </a:graphicData>
            </a:graphic>
          </wp:inline>
        </w:drawing>
      </w:r>
    </w:p>
    <w:p>
      <w:pPr>
        <w:pStyle w:val="3"/>
        <w:spacing w:before="156" w:after="156"/>
        <w:rPr>
          <w:sz w:val="24"/>
          <w:szCs w:val="24"/>
        </w:rPr>
      </w:pPr>
      <w:bookmarkStart w:id="54" w:name="_Toc20433"/>
      <w:r>
        <w:rPr>
          <w:rFonts w:hint="eastAsia"/>
          <w:sz w:val="24"/>
          <w:szCs w:val="24"/>
        </w:rPr>
        <w:t>4.3 净含量及冰衣的检测</w:t>
      </w:r>
      <w:bookmarkEnd w:id="54"/>
    </w:p>
    <w:p>
      <w:pPr>
        <w:spacing w:line="360" w:lineRule="auto"/>
        <w:ind w:firstLine="420"/>
      </w:pPr>
      <w:r>
        <w:rPr>
          <w:rFonts w:hint="eastAsia"/>
        </w:rPr>
        <w:t>鉴于目前没有相关的标准对速冻巴沙鱼片、块的净含量、冰衣率的检测，参照S</w:t>
      </w:r>
      <w:r>
        <w:t>C/T3017</w:t>
      </w:r>
      <w:r>
        <w:rPr>
          <w:rFonts w:hint="eastAsia"/>
        </w:rPr>
        <w:t>、J</w:t>
      </w:r>
      <w:r>
        <w:t>JF1070</w:t>
      </w:r>
      <w:r>
        <w:rPr>
          <w:rFonts w:hint="eastAsia"/>
        </w:rPr>
        <w:t>标准中的相关规定以及速冻水产品尤其速冻鱼片产品的出口日本、欧盟、美国的生产企业日常常规检测的方案，制定了统一净含量、冰衣率的检测方法：</w:t>
      </w:r>
    </w:p>
    <w:p>
      <w:pPr>
        <w:pStyle w:val="3"/>
        <w:spacing w:before="156" w:after="156"/>
        <w:rPr>
          <w:sz w:val="24"/>
          <w:szCs w:val="24"/>
        </w:rPr>
      </w:pPr>
      <w:bookmarkStart w:id="55" w:name="_Toc6693"/>
      <w:r>
        <w:rPr>
          <w:rFonts w:hint="eastAsia"/>
          <w:sz w:val="24"/>
          <w:szCs w:val="24"/>
        </w:rPr>
        <w:t>4.3.1设备</w:t>
      </w:r>
      <w:bookmarkEnd w:id="55"/>
    </w:p>
    <w:p>
      <w:pPr>
        <w:tabs>
          <w:tab w:val="left" w:pos="426"/>
        </w:tabs>
        <w:spacing w:line="360" w:lineRule="auto"/>
        <w:ind w:firstLine="0" w:firstLineChars="0"/>
        <w:rPr>
          <w:rFonts w:ascii="Times New Roman"/>
          <w:szCs w:val="21"/>
        </w:rPr>
      </w:pPr>
      <w:r>
        <w:rPr>
          <w:rFonts w:hint="eastAsia" w:ascii="Times New Roman"/>
          <w:szCs w:val="21"/>
        </w:rPr>
        <w:t>4.3.1.1 塑料筐或金属网筐：与所解冻样品的体积大小相称。</w:t>
      </w:r>
    </w:p>
    <w:p>
      <w:pPr>
        <w:tabs>
          <w:tab w:val="left" w:pos="426"/>
        </w:tabs>
        <w:spacing w:line="360" w:lineRule="auto"/>
        <w:ind w:firstLine="0" w:firstLineChars="0"/>
        <w:rPr>
          <w:rFonts w:ascii="Times New Roman"/>
          <w:szCs w:val="21"/>
        </w:rPr>
      </w:pPr>
      <w:r>
        <w:rPr>
          <w:rFonts w:hint="eastAsia" w:ascii="Times New Roman"/>
          <w:szCs w:val="21"/>
        </w:rPr>
        <w:t>4.3.1.2 金属筛：孔径为2.8mm。</w:t>
      </w:r>
    </w:p>
    <w:p>
      <w:pPr>
        <w:tabs>
          <w:tab w:val="left" w:pos="426"/>
        </w:tabs>
        <w:spacing w:line="360" w:lineRule="auto"/>
        <w:ind w:firstLine="0" w:firstLineChars="0"/>
        <w:rPr>
          <w:rFonts w:ascii="Times New Roman"/>
          <w:szCs w:val="21"/>
        </w:rPr>
      </w:pPr>
      <w:r>
        <w:rPr>
          <w:rFonts w:hint="eastAsia" w:ascii="Times New Roman"/>
          <w:szCs w:val="21"/>
        </w:rPr>
        <w:t>4.3.1.3 导管：胶管或塑料管。</w:t>
      </w:r>
    </w:p>
    <w:p>
      <w:pPr>
        <w:tabs>
          <w:tab w:val="left" w:pos="426"/>
        </w:tabs>
        <w:spacing w:line="360" w:lineRule="auto"/>
        <w:ind w:firstLine="0" w:firstLineChars="0"/>
        <w:rPr>
          <w:rFonts w:ascii="Times New Roman"/>
          <w:szCs w:val="21"/>
        </w:rPr>
      </w:pPr>
      <w:r>
        <w:rPr>
          <w:rFonts w:hint="eastAsia" w:ascii="Times New Roman"/>
          <w:szCs w:val="21"/>
        </w:rPr>
        <w:t>4.3.1.4 温度计：量程为0℃～50℃，分度值为1℃。</w:t>
      </w:r>
    </w:p>
    <w:p>
      <w:pPr>
        <w:spacing w:line="360" w:lineRule="auto"/>
        <w:ind w:firstLine="0" w:firstLineChars="0"/>
        <w:rPr>
          <w:rFonts w:ascii="Times New Roman"/>
          <w:szCs w:val="21"/>
        </w:rPr>
      </w:pPr>
      <w:r>
        <w:rPr>
          <w:rFonts w:hint="eastAsia" w:ascii="Times New Roman"/>
          <w:szCs w:val="21"/>
        </w:rPr>
        <w:t>4.3.1.5 衡器：最大称量值不能超过被称样品质量的5倍。样品净含量≥1.0kg,衡器精确度0.1g；样品</w:t>
      </w:r>
      <w:r>
        <w:rPr>
          <w:rFonts w:hint="eastAsia"/>
        </w:rPr>
        <w:t>净含</w:t>
      </w:r>
      <w:r>
        <w:rPr>
          <w:rFonts w:hint="eastAsia" w:ascii="Times New Roman"/>
          <w:szCs w:val="21"/>
        </w:rPr>
        <w:t>量＜1.0kg,衡器精确度0.01g。</w:t>
      </w:r>
    </w:p>
    <w:p>
      <w:pPr>
        <w:pStyle w:val="3"/>
        <w:spacing w:before="156" w:after="156"/>
        <w:rPr>
          <w:sz w:val="24"/>
          <w:szCs w:val="24"/>
        </w:rPr>
      </w:pPr>
      <w:bookmarkStart w:id="56" w:name="_Toc31727"/>
      <w:r>
        <w:rPr>
          <w:rFonts w:hint="eastAsia"/>
          <w:sz w:val="24"/>
          <w:szCs w:val="24"/>
        </w:rPr>
        <w:t>4.3.2步骤</w:t>
      </w:r>
      <w:bookmarkEnd w:id="56"/>
    </w:p>
    <w:p>
      <w:pPr>
        <w:spacing w:line="360" w:lineRule="auto"/>
        <w:ind w:firstLine="0" w:firstLineChars="0"/>
        <w:rPr>
          <w:rFonts w:ascii="Times New Roman"/>
        </w:rPr>
      </w:pPr>
      <w:r>
        <w:rPr>
          <w:rFonts w:ascii="Times New Roman"/>
        </w:rPr>
        <w:t>4.3.2.1 称重</w:t>
      </w:r>
    </w:p>
    <w:p>
      <w:pPr>
        <w:spacing w:line="360" w:lineRule="auto"/>
        <w:ind w:firstLine="420"/>
        <w:rPr>
          <w:rFonts w:ascii="Times New Roman"/>
        </w:rPr>
      </w:pPr>
      <w:r>
        <w:rPr>
          <w:rFonts w:ascii="Times New Roman"/>
        </w:rPr>
        <w:t>将样品从冷库或冰箱中取出后，去除包装外表的冰霜，立刻称重(m1)，然后打开包装，取出内容物(包括产品和冰霜颗粒)，室温下用干净的软布拭去包装上的水分，并称包装材料重(m2)。</w:t>
      </w:r>
    </w:p>
    <w:p>
      <w:pPr>
        <w:spacing w:line="360" w:lineRule="auto"/>
        <w:ind w:firstLine="0" w:firstLineChars="0"/>
        <w:rPr>
          <w:rFonts w:ascii="Times New Roman"/>
        </w:rPr>
      </w:pPr>
      <w:r>
        <w:rPr>
          <w:rFonts w:ascii="Times New Roman"/>
        </w:rPr>
        <w:t>4.3.2.2 净含量+冰衣量计算</w:t>
      </w:r>
    </w:p>
    <w:p>
      <w:pPr>
        <w:spacing w:line="360" w:lineRule="auto"/>
        <w:ind w:firstLine="420"/>
        <w:rPr>
          <w:rFonts w:ascii="Times New Roman"/>
        </w:rPr>
      </w:pPr>
      <w:r>
        <w:rPr>
          <w:rFonts w:ascii="Times New Roman"/>
        </w:rPr>
        <w:t>净含量+冰衣量的计算按公式(1)进行。</w:t>
      </w:r>
    </w:p>
    <w:p>
      <w:pPr>
        <w:spacing w:line="360" w:lineRule="auto"/>
        <w:ind w:firstLine="420"/>
        <w:rPr>
          <w:rFonts w:ascii="Times New Roman"/>
        </w:rPr>
      </w:pPr>
      <w:r>
        <w:rPr>
          <w:rFonts w:ascii="Times New Roman"/>
        </w:rPr>
        <w:t>m = m1- m2    ………………………………………(1)</w:t>
      </w:r>
    </w:p>
    <w:p>
      <w:pPr>
        <w:spacing w:line="360" w:lineRule="auto"/>
        <w:ind w:firstLine="0" w:firstLineChars="0"/>
        <w:rPr>
          <w:rFonts w:ascii="Times New Roman"/>
        </w:rPr>
      </w:pPr>
      <w:r>
        <w:rPr>
          <w:rFonts w:ascii="Times New Roman"/>
        </w:rPr>
        <w:t xml:space="preserve">    式中：</w:t>
      </w:r>
    </w:p>
    <w:p>
      <w:pPr>
        <w:spacing w:line="360" w:lineRule="auto"/>
        <w:ind w:firstLine="0" w:firstLineChars="0"/>
        <w:rPr>
          <w:rFonts w:ascii="Times New Roman"/>
        </w:rPr>
      </w:pPr>
      <w:r>
        <w:rPr>
          <w:rFonts w:ascii="Times New Roman"/>
        </w:rPr>
        <w:t xml:space="preserve">    m—— 样本的净含量+冰衣量，单位为克(g)；</w:t>
      </w:r>
    </w:p>
    <w:p>
      <w:pPr>
        <w:spacing w:line="360" w:lineRule="auto"/>
        <w:ind w:firstLine="0" w:firstLineChars="0"/>
        <w:rPr>
          <w:rFonts w:ascii="Times New Roman"/>
        </w:rPr>
      </w:pPr>
      <w:r>
        <w:rPr>
          <w:rFonts w:ascii="Times New Roman"/>
        </w:rPr>
        <w:t xml:space="preserve">    m1—— 样本与包装的总质量，单位为克(g)；</w:t>
      </w:r>
    </w:p>
    <w:p>
      <w:pPr>
        <w:spacing w:line="360" w:lineRule="auto"/>
        <w:ind w:firstLine="0" w:firstLineChars="0"/>
        <w:rPr>
          <w:rFonts w:ascii="Times New Roman"/>
        </w:rPr>
      </w:pPr>
      <w:r>
        <w:rPr>
          <w:rFonts w:ascii="Times New Roman"/>
        </w:rPr>
        <w:t xml:space="preserve">    m2—— 包装的质量，单位为克(g)。</w:t>
      </w:r>
    </w:p>
    <w:p>
      <w:pPr>
        <w:spacing w:line="360" w:lineRule="auto"/>
        <w:ind w:firstLine="0" w:firstLineChars="0"/>
        <w:rPr>
          <w:rFonts w:ascii="Times New Roman"/>
        </w:rPr>
      </w:pPr>
      <w:r>
        <w:rPr>
          <w:rFonts w:ascii="Times New Roman"/>
        </w:rPr>
        <w:t>4.3.2.3 解冻</w:t>
      </w:r>
    </w:p>
    <w:p>
      <w:pPr>
        <w:spacing w:line="360" w:lineRule="auto"/>
        <w:ind w:firstLine="0" w:firstLineChars="0"/>
        <w:rPr>
          <w:rFonts w:ascii="Times New Roman"/>
        </w:rPr>
      </w:pPr>
      <w:r>
        <w:rPr>
          <w:rFonts w:ascii="Times New Roman"/>
        </w:rPr>
        <w:t xml:space="preserve">    1) 解冻用水为饮用水，其质量应符合 GB 5749 中的规定；</w:t>
      </w:r>
    </w:p>
    <w:p>
      <w:pPr>
        <w:spacing w:line="360" w:lineRule="auto"/>
        <w:ind w:firstLine="0" w:firstLineChars="0"/>
        <w:rPr>
          <w:rFonts w:ascii="Times New Roman"/>
        </w:rPr>
      </w:pPr>
      <w:r>
        <w:rPr>
          <w:rFonts w:ascii="Times New Roman"/>
        </w:rPr>
        <w:t xml:space="preserve">    2) 将样品打开包装，放入塑料或金属筐中，再放入水池或其他容器中，将温度低于25℃的饮用水以导管通入容器的底部，调整水流方向为自下而上流动，至冰衣已全部除去。</w:t>
      </w:r>
    </w:p>
    <w:p>
      <w:pPr>
        <w:spacing w:line="360" w:lineRule="auto"/>
        <w:ind w:firstLine="0" w:firstLineChars="0"/>
        <w:rPr>
          <w:rFonts w:ascii="Times New Roman"/>
        </w:rPr>
      </w:pPr>
      <w:r>
        <w:rPr>
          <w:rFonts w:ascii="Times New Roman"/>
        </w:rPr>
        <w:t>4.3.2.4 沥干及称量</w:t>
      </w:r>
    </w:p>
    <w:p>
      <w:pPr>
        <w:spacing w:line="360" w:lineRule="auto"/>
        <w:ind w:firstLine="420"/>
        <w:rPr>
          <w:rFonts w:ascii="Times New Roman"/>
        </w:rPr>
      </w:pPr>
      <w:r>
        <w:rPr>
          <w:rFonts w:ascii="Times New Roman"/>
        </w:rPr>
        <w:t>1) 将解冻的产品倒入金属筛中，然后倾斜成20°角沥干2min，用秒表计时。</w:t>
      </w:r>
    </w:p>
    <w:p>
      <w:pPr>
        <w:spacing w:line="360" w:lineRule="auto"/>
        <w:ind w:firstLine="420"/>
        <w:rPr>
          <w:rFonts w:ascii="Times New Roman"/>
        </w:rPr>
      </w:pPr>
      <w:r>
        <w:rPr>
          <w:rFonts w:ascii="Times New Roman"/>
        </w:rPr>
        <w:t>2) 当样品量≤1.0kg时，在直径20cm的筛中沥水，当样品量＞1.0kg时，则分为多份，每份约1.0kg，分别置于直径20cm的筛中沥水，以利于排水。</w:t>
      </w:r>
    </w:p>
    <w:p>
      <w:pPr>
        <w:spacing w:line="360" w:lineRule="auto"/>
        <w:ind w:firstLine="420"/>
        <w:rPr>
          <w:rFonts w:ascii="Times New Roman"/>
        </w:rPr>
      </w:pPr>
      <w:r>
        <w:rPr>
          <w:rFonts w:ascii="Times New Roman"/>
        </w:rPr>
        <w:t>3) 将已沥水的产品移至已知质量的称量盘中，称其质量为m3，得到产品的净含量。</w:t>
      </w:r>
    </w:p>
    <w:p>
      <w:pPr>
        <w:tabs>
          <w:tab w:val="left" w:pos="426"/>
        </w:tabs>
        <w:spacing w:line="360" w:lineRule="auto"/>
        <w:ind w:firstLine="0" w:firstLineChars="0"/>
        <w:rPr>
          <w:rFonts w:ascii="Times New Roman"/>
          <w:szCs w:val="21"/>
        </w:rPr>
      </w:pPr>
      <w:r>
        <w:rPr>
          <w:rFonts w:ascii="Times New Roman"/>
          <w:szCs w:val="21"/>
        </w:rPr>
        <w:t>4.3.2.5 冰衣率的计算</w:t>
      </w:r>
    </w:p>
    <w:p>
      <w:pPr>
        <w:spacing w:line="360" w:lineRule="auto"/>
        <w:ind w:firstLine="420"/>
        <w:rPr>
          <w:rFonts w:ascii="Times New Roman"/>
        </w:rPr>
      </w:pPr>
      <w:r>
        <w:rPr>
          <w:rFonts w:ascii="Times New Roman"/>
        </w:rPr>
        <w:t>冰衣率的计算按公式(2)进行。</w:t>
      </w:r>
    </w:p>
    <w:p>
      <w:pPr>
        <w:spacing w:line="360" w:lineRule="auto"/>
        <w:ind w:firstLine="420"/>
        <w:rPr>
          <w:rFonts w:ascii="Times New Roman"/>
        </w:rPr>
      </w:pPr>
      <w:r>
        <w:rPr>
          <w:rFonts w:ascii="Times New Roman"/>
        </w:rPr>
        <w:t>v =（m - m3）/ m  ………………………………………(2)</w:t>
      </w:r>
    </w:p>
    <w:p>
      <w:pPr>
        <w:spacing w:line="360" w:lineRule="auto"/>
        <w:ind w:firstLine="0" w:firstLineChars="0"/>
        <w:rPr>
          <w:rFonts w:ascii="Times New Roman"/>
        </w:rPr>
      </w:pPr>
      <w:r>
        <w:rPr>
          <w:rFonts w:ascii="Times New Roman"/>
        </w:rPr>
        <w:t xml:space="preserve">    式中：</w:t>
      </w:r>
    </w:p>
    <w:p>
      <w:pPr>
        <w:spacing w:line="360" w:lineRule="auto"/>
        <w:ind w:firstLine="0" w:firstLineChars="0"/>
        <w:rPr>
          <w:rFonts w:ascii="Times New Roman"/>
        </w:rPr>
      </w:pPr>
      <w:r>
        <w:rPr>
          <w:rFonts w:ascii="Times New Roman"/>
        </w:rPr>
        <w:t xml:space="preserve">    v——样本的冰衣率，单位为（%）；</w:t>
      </w:r>
    </w:p>
    <w:p>
      <w:pPr>
        <w:spacing w:line="360" w:lineRule="auto"/>
        <w:ind w:firstLine="420"/>
        <w:rPr>
          <w:rFonts w:ascii="Times New Roman"/>
        </w:rPr>
      </w:pPr>
      <w:r>
        <w:rPr>
          <w:rFonts w:ascii="Times New Roman"/>
        </w:rPr>
        <w:t>m——样本的净含量+冰衣量，单位为克(g)；</w:t>
      </w:r>
    </w:p>
    <w:p>
      <w:pPr>
        <w:spacing w:line="360" w:lineRule="auto"/>
        <w:ind w:firstLine="420"/>
        <w:rPr>
          <w:rFonts w:ascii="Times New Roman"/>
        </w:rPr>
      </w:pPr>
      <w:r>
        <w:rPr>
          <w:rFonts w:ascii="Times New Roman"/>
        </w:rPr>
        <w:t>m3——样本的净含量，单位为克（g）。</w:t>
      </w:r>
    </w:p>
    <w:p>
      <w:pPr>
        <w:pStyle w:val="3"/>
        <w:spacing w:before="156" w:after="156"/>
        <w:rPr>
          <w:sz w:val="24"/>
          <w:szCs w:val="24"/>
        </w:rPr>
      </w:pPr>
      <w:bookmarkStart w:id="57" w:name="_Toc24046"/>
      <w:r>
        <w:rPr>
          <w:rFonts w:hint="eastAsia"/>
          <w:sz w:val="24"/>
          <w:szCs w:val="24"/>
        </w:rPr>
        <w:t>4.4 水分、蛋白质、脂肪、挥发性盐基氮、污染物限量的检验</w:t>
      </w:r>
      <w:bookmarkEnd w:id="57"/>
    </w:p>
    <w:p>
      <w:pPr>
        <w:tabs>
          <w:tab w:val="left" w:pos="426"/>
        </w:tabs>
        <w:spacing w:line="360" w:lineRule="auto"/>
        <w:ind w:firstLine="420"/>
        <w:rPr>
          <w:rFonts w:ascii="Times New Roman"/>
          <w:szCs w:val="21"/>
        </w:rPr>
      </w:pPr>
      <w:r>
        <w:rPr>
          <w:rFonts w:hint="eastAsia" w:ascii="Times New Roman"/>
          <w:szCs w:val="21"/>
        </w:rPr>
        <w:t>取去冰衣产品，分别按照G</w:t>
      </w:r>
      <w:r>
        <w:rPr>
          <w:rFonts w:ascii="Times New Roman"/>
          <w:szCs w:val="21"/>
        </w:rPr>
        <w:t>B</w:t>
      </w:r>
      <w:r>
        <w:rPr>
          <w:rFonts w:hint="eastAsia" w:ascii="Times New Roman"/>
          <w:szCs w:val="21"/>
        </w:rPr>
        <w:t xml:space="preserve"> </w:t>
      </w:r>
      <w:r>
        <w:rPr>
          <w:rFonts w:ascii="Times New Roman"/>
          <w:szCs w:val="21"/>
        </w:rPr>
        <w:t>5009.3</w:t>
      </w:r>
      <w:r>
        <w:rPr>
          <w:rFonts w:hint="eastAsia" w:ascii="Times New Roman"/>
          <w:szCs w:val="21"/>
        </w:rPr>
        <w:t>、G</w:t>
      </w:r>
      <w:r>
        <w:rPr>
          <w:rFonts w:ascii="Times New Roman"/>
          <w:szCs w:val="21"/>
        </w:rPr>
        <w:t>B</w:t>
      </w:r>
      <w:r>
        <w:rPr>
          <w:rFonts w:hint="eastAsia" w:ascii="Times New Roman"/>
          <w:szCs w:val="21"/>
        </w:rPr>
        <w:t xml:space="preserve"> 5</w:t>
      </w:r>
      <w:r>
        <w:rPr>
          <w:rFonts w:ascii="Times New Roman"/>
          <w:szCs w:val="21"/>
        </w:rPr>
        <w:t>009.5</w:t>
      </w:r>
      <w:r>
        <w:rPr>
          <w:rFonts w:hint="eastAsia" w:ascii="Times New Roman"/>
          <w:szCs w:val="21"/>
        </w:rPr>
        <w:t>、G</w:t>
      </w:r>
      <w:r>
        <w:rPr>
          <w:rFonts w:ascii="Times New Roman"/>
          <w:szCs w:val="21"/>
        </w:rPr>
        <w:t>B</w:t>
      </w:r>
      <w:r>
        <w:rPr>
          <w:rFonts w:hint="eastAsia" w:ascii="Times New Roman"/>
          <w:szCs w:val="21"/>
        </w:rPr>
        <w:t xml:space="preserve"> 5</w:t>
      </w:r>
      <w:r>
        <w:rPr>
          <w:rFonts w:ascii="Times New Roman"/>
          <w:szCs w:val="21"/>
        </w:rPr>
        <w:t>009.6</w:t>
      </w:r>
      <w:r>
        <w:rPr>
          <w:rFonts w:hint="eastAsia" w:ascii="Times New Roman"/>
          <w:szCs w:val="21"/>
        </w:rPr>
        <w:t>、G</w:t>
      </w:r>
      <w:r>
        <w:rPr>
          <w:rFonts w:ascii="Times New Roman"/>
          <w:szCs w:val="21"/>
        </w:rPr>
        <w:t>B</w:t>
      </w:r>
      <w:r>
        <w:rPr>
          <w:rFonts w:hint="eastAsia" w:ascii="Times New Roman"/>
          <w:szCs w:val="21"/>
        </w:rPr>
        <w:t xml:space="preserve"> 5009.228、G</w:t>
      </w:r>
      <w:r>
        <w:rPr>
          <w:rFonts w:ascii="Times New Roman"/>
          <w:szCs w:val="21"/>
        </w:rPr>
        <w:t>B</w:t>
      </w:r>
      <w:r>
        <w:rPr>
          <w:rFonts w:hint="eastAsia" w:ascii="Times New Roman"/>
          <w:szCs w:val="21"/>
        </w:rPr>
        <w:t xml:space="preserve"> </w:t>
      </w:r>
      <w:r>
        <w:rPr>
          <w:rFonts w:ascii="Times New Roman"/>
          <w:szCs w:val="21"/>
        </w:rPr>
        <w:t>2762</w:t>
      </w:r>
      <w:r>
        <w:rPr>
          <w:rFonts w:hint="eastAsia" w:ascii="Times New Roman"/>
          <w:szCs w:val="21"/>
        </w:rPr>
        <w:t>的规定执行。</w:t>
      </w:r>
    </w:p>
    <w:p>
      <w:pPr>
        <w:pStyle w:val="3"/>
        <w:spacing w:before="156" w:after="156"/>
        <w:rPr>
          <w:sz w:val="24"/>
          <w:szCs w:val="24"/>
        </w:rPr>
      </w:pPr>
      <w:bookmarkStart w:id="58" w:name="_Toc1230"/>
      <w:r>
        <w:rPr>
          <w:rFonts w:hint="eastAsia"/>
          <w:sz w:val="24"/>
          <w:szCs w:val="24"/>
        </w:rPr>
        <w:t>5、检验规则</w:t>
      </w:r>
      <w:bookmarkEnd w:id="58"/>
    </w:p>
    <w:p>
      <w:pPr>
        <w:tabs>
          <w:tab w:val="left" w:pos="426"/>
        </w:tabs>
        <w:spacing w:line="360" w:lineRule="auto"/>
        <w:ind w:firstLine="0" w:firstLineChars="0"/>
        <w:rPr>
          <w:rFonts w:ascii="Times New Roman"/>
          <w:szCs w:val="21"/>
        </w:rPr>
      </w:pPr>
      <w:r>
        <w:rPr>
          <w:rFonts w:hint="eastAsia" w:ascii="Times New Roman"/>
          <w:szCs w:val="21"/>
        </w:rPr>
        <w:t>5.1 组批与抽样</w:t>
      </w:r>
    </w:p>
    <w:p>
      <w:pPr>
        <w:tabs>
          <w:tab w:val="left" w:pos="426"/>
        </w:tabs>
        <w:spacing w:line="360" w:lineRule="auto"/>
        <w:ind w:firstLine="420"/>
        <w:rPr>
          <w:rFonts w:ascii="Times New Roman"/>
          <w:szCs w:val="21"/>
        </w:rPr>
      </w:pPr>
      <w:r>
        <w:rPr>
          <w:rFonts w:hint="eastAsia" w:ascii="Times New Roman"/>
          <w:szCs w:val="21"/>
        </w:rPr>
        <w:t xml:space="preserve">以同一批原料、同一生产日期、同一生产线生产的产品为一批。抽样方法应符合 </w:t>
      </w:r>
      <w:bookmarkStart w:id="59" w:name="_Hlk59713734"/>
      <w:r>
        <w:rPr>
          <w:rFonts w:hint="eastAsia" w:ascii="Times New Roman"/>
          <w:szCs w:val="21"/>
        </w:rPr>
        <w:t>SC/T 3016 的规定</w:t>
      </w:r>
      <w:bookmarkEnd w:id="59"/>
      <w:r>
        <w:rPr>
          <w:rFonts w:hint="eastAsia" w:ascii="Times New Roman"/>
          <w:szCs w:val="21"/>
        </w:rPr>
        <w:t>；</w:t>
      </w:r>
    </w:p>
    <w:p>
      <w:pPr>
        <w:tabs>
          <w:tab w:val="left" w:pos="426"/>
        </w:tabs>
        <w:spacing w:line="360" w:lineRule="auto"/>
        <w:ind w:firstLine="0" w:firstLineChars="0"/>
        <w:rPr>
          <w:rFonts w:ascii="Times New Roman"/>
          <w:szCs w:val="21"/>
        </w:rPr>
      </w:pPr>
      <w:r>
        <w:rPr>
          <w:rFonts w:hint="eastAsia" w:ascii="Times New Roman"/>
          <w:szCs w:val="21"/>
        </w:rPr>
        <w:t>5.2 出厂检验</w:t>
      </w:r>
    </w:p>
    <w:p>
      <w:pPr>
        <w:tabs>
          <w:tab w:val="left" w:pos="426"/>
        </w:tabs>
        <w:spacing w:line="360" w:lineRule="auto"/>
        <w:ind w:firstLine="420"/>
        <w:rPr>
          <w:rFonts w:ascii="Times New Roman"/>
          <w:szCs w:val="21"/>
        </w:rPr>
      </w:pPr>
      <w:r>
        <w:rPr>
          <w:rFonts w:hint="eastAsia" w:hAnsi="宋体"/>
        </w:rPr>
        <w:t>每批产品应进行出厂检验。出厂检验应由单位质量检验部门执行。检验项目为：</w:t>
      </w:r>
      <w:bookmarkStart w:id="60" w:name="_Hlk59713776"/>
      <w:r>
        <w:rPr>
          <w:rFonts w:hint="eastAsia" w:hAnsi="宋体"/>
        </w:rPr>
        <w:t>规格、感官、水分、冰衣率、产品中心温度。</w:t>
      </w:r>
      <w:bookmarkEnd w:id="60"/>
      <w:r>
        <w:rPr>
          <w:rFonts w:hint="eastAsia" w:hAnsi="宋体"/>
        </w:rPr>
        <w:t>检验合格签发合格证明，产品凭合格证明出入库或出厂</w:t>
      </w:r>
      <w:r>
        <w:rPr>
          <w:rFonts w:hint="eastAsia" w:ascii="Times New Roman"/>
          <w:szCs w:val="21"/>
        </w:rPr>
        <w:t>。</w:t>
      </w:r>
    </w:p>
    <w:p>
      <w:pPr>
        <w:tabs>
          <w:tab w:val="left" w:pos="426"/>
        </w:tabs>
        <w:spacing w:line="360" w:lineRule="auto"/>
        <w:ind w:firstLine="0" w:firstLineChars="0"/>
        <w:rPr>
          <w:rFonts w:ascii="Times New Roman"/>
          <w:szCs w:val="21"/>
        </w:rPr>
      </w:pPr>
      <w:r>
        <w:rPr>
          <w:rFonts w:hint="eastAsia" w:ascii="Times New Roman"/>
          <w:szCs w:val="21"/>
        </w:rPr>
        <w:t>5.3 型式检验</w:t>
      </w:r>
    </w:p>
    <w:p>
      <w:pPr>
        <w:tabs>
          <w:tab w:val="left" w:pos="426"/>
        </w:tabs>
        <w:spacing w:line="360" w:lineRule="auto"/>
        <w:ind w:firstLine="420"/>
        <w:rPr>
          <w:rFonts w:hAnsi="宋体"/>
        </w:rPr>
      </w:pPr>
      <w:r>
        <w:rPr>
          <w:rFonts w:hint="eastAsia" w:hAnsi="宋体"/>
        </w:rPr>
        <w:t>有下列情况之一时应进行形式检验，检验项目为本标准中规定的全部项目：</w:t>
      </w:r>
    </w:p>
    <w:p>
      <w:pPr>
        <w:numPr>
          <w:ilvl w:val="0"/>
          <w:numId w:val="10"/>
        </w:numPr>
        <w:tabs>
          <w:tab w:val="left" w:pos="426"/>
        </w:tabs>
        <w:spacing w:line="360" w:lineRule="auto"/>
        <w:ind w:firstLine="420"/>
        <w:rPr>
          <w:rFonts w:hAnsi="宋体"/>
        </w:rPr>
      </w:pPr>
      <w:r>
        <w:rPr>
          <w:rFonts w:hint="eastAsia" w:hAnsi="宋体"/>
        </w:rPr>
        <w:t>停产6个月以上，恢复生产时；</w:t>
      </w:r>
    </w:p>
    <w:p>
      <w:pPr>
        <w:tabs>
          <w:tab w:val="left" w:pos="426"/>
        </w:tabs>
        <w:spacing w:line="360" w:lineRule="auto"/>
        <w:ind w:firstLine="420"/>
        <w:rPr>
          <w:rFonts w:hAnsi="宋体"/>
        </w:rPr>
      </w:pPr>
      <w:r>
        <w:rPr>
          <w:rFonts w:hint="eastAsia" w:hAnsi="宋体"/>
        </w:rPr>
        <w:t>b) 原料产地变化或者改变生产工艺，可能影响产品质量时；</w:t>
      </w:r>
    </w:p>
    <w:p>
      <w:pPr>
        <w:tabs>
          <w:tab w:val="left" w:pos="426"/>
        </w:tabs>
        <w:spacing w:line="360" w:lineRule="auto"/>
        <w:ind w:firstLine="420"/>
        <w:rPr>
          <w:rFonts w:hAnsi="宋体"/>
        </w:rPr>
      </w:pPr>
      <w:r>
        <w:rPr>
          <w:rFonts w:hint="eastAsia" w:hAnsi="宋体"/>
        </w:rPr>
        <w:t>c) 国家行政主管机构提出进行型式检验要求时；</w:t>
      </w:r>
    </w:p>
    <w:p>
      <w:pPr>
        <w:tabs>
          <w:tab w:val="left" w:pos="426"/>
        </w:tabs>
        <w:spacing w:line="360" w:lineRule="auto"/>
        <w:ind w:firstLine="420"/>
        <w:rPr>
          <w:rFonts w:hAnsi="宋体"/>
        </w:rPr>
      </w:pPr>
      <w:r>
        <w:rPr>
          <w:rFonts w:hint="eastAsia" w:hAnsi="宋体"/>
        </w:rPr>
        <w:t>d) 出厂检验与上次型式检验有大差异时；</w:t>
      </w:r>
    </w:p>
    <w:p>
      <w:pPr>
        <w:tabs>
          <w:tab w:val="left" w:pos="426"/>
        </w:tabs>
        <w:spacing w:line="360" w:lineRule="auto"/>
        <w:ind w:firstLine="420"/>
        <w:rPr>
          <w:rFonts w:hAnsi="宋体"/>
        </w:rPr>
      </w:pPr>
      <w:r>
        <w:rPr>
          <w:rFonts w:hint="eastAsia" w:hAnsi="宋体"/>
        </w:rPr>
        <w:t>e) 正常生产时，每年至少1次的周期性检查；</w:t>
      </w:r>
    </w:p>
    <w:p>
      <w:pPr>
        <w:tabs>
          <w:tab w:val="left" w:pos="426"/>
        </w:tabs>
        <w:spacing w:line="360" w:lineRule="auto"/>
        <w:ind w:firstLine="420"/>
        <w:rPr>
          <w:rFonts w:hAnsi="宋体"/>
        </w:rPr>
      </w:pPr>
      <w:r>
        <w:rPr>
          <w:rFonts w:hint="eastAsia" w:hAnsi="宋体"/>
        </w:rPr>
        <w:t>f) 对质量有争议，需要仲裁时。</w:t>
      </w:r>
    </w:p>
    <w:p>
      <w:pPr>
        <w:tabs>
          <w:tab w:val="left" w:pos="426"/>
        </w:tabs>
        <w:spacing w:line="360" w:lineRule="auto"/>
        <w:ind w:firstLine="0" w:firstLineChars="0"/>
        <w:rPr>
          <w:rFonts w:ascii="Times New Roman"/>
          <w:szCs w:val="21"/>
        </w:rPr>
      </w:pPr>
      <w:r>
        <w:rPr>
          <w:rFonts w:hint="eastAsia" w:ascii="Times New Roman"/>
          <w:szCs w:val="21"/>
        </w:rPr>
        <w:t>5.4 判定规则</w:t>
      </w:r>
    </w:p>
    <w:p>
      <w:pPr>
        <w:tabs>
          <w:tab w:val="left" w:pos="426"/>
        </w:tabs>
        <w:spacing w:line="360" w:lineRule="auto"/>
        <w:ind w:firstLine="0" w:firstLineChars="0"/>
        <w:rPr>
          <w:rFonts w:ascii="Times New Roman"/>
          <w:szCs w:val="21"/>
        </w:rPr>
      </w:pPr>
      <w:r>
        <w:rPr>
          <w:rFonts w:hint="eastAsia" w:ascii="Times New Roman"/>
          <w:szCs w:val="21"/>
        </w:rPr>
        <w:t>5.4.1 出厂检验项目全部符合本标准要求，则判该批产品为合格品；</w:t>
      </w:r>
    </w:p>
    <w:p>
      <w:pPr>
        <w:tabs>
          <w:tab w:val="left" w:pos="426"/>
        </w:tabs>
        <w:spacing w:line="360" w:lineRule="auto"/>
        <w:ind w:firstLine="0" w:firstLineChars="0"/>
        <w:rPr>
          <w:rFonts w:hAnsi="宋体"/>
        </w:rPr>
      </w:pPr>
      <w:r>
        <w:rPr>
          <w:rFonts w:hint="eastAsia" w:ascii="Times New Roman"/>
          <w:szCs w:val="21"/>
        </w:rPr>
        <w:t>5.4.2 检验项目中若有1项指标不符合标准规定时，允许加倍抽样将此项目复检一次，按复检结果</w:t>
      </w:r>
      <w:r>
        <w:rPr>
          <w:rFonts w:hint="eastAsia" w:hAnsi="宋体"/>
        </w:rPr>
        <w:t>判定本批产品合格；所检项目中若有2项或2项以上指标不符合标准规定时，则判本批次产品不合格。</w:t>
      </w:r>
    </w:p>
    <w:p>
      <w:pPr>
        <w:pStyle w:val="3"/>
        <w:spacing w:before="156" w:after="156"/>
        <w:rPr>
          <w:sz w:val="24"/>
          <w:szCs w:val="24"/>
        </w:rPr>
      </w:pPr>
      <w:bookmarkStart w:id="61" w:name="_Toc16585"/>
      <w:r>
        <w:rPr>
          <w:rFonts w:hint="eastAsia"/>
          <w:sz w:val="24"/>
          <w:szCs w:val="24"/>
        </w:rPr>
        <w:t>6、标志、包装、运输、贮存</w:t>
      </w:r>
      <w:bookmarkEnd w:id="61"/>
    </w:p>
    <w:p>
      <w:pPr>
        <w:spacing w:line="360" w:lineRule="auto"/>
        <w:ind w:firstLine="0" w:firstLineChars="0"/>
        <w:rPr>
          <w:rFonts w:ascii="Times New Roman"/>
        </w:rPr>
      </w:pPr>
      <w:r>
        <w:rPr>
          <w:rFonts w:ascii="Times New Roman"/>
        </w:rPr>
        <w:t>6.1 标志：预包装产品标签标志应符合GB 7718、GB 28050 的规定，还应遵守以下规定：标签上应标注产品的质量等级；运输包装标志应符合GB/T 191的规定。</w:t>
      </w:r>
    </w:p>
    <w:p>
      <w:pPr>
        <w:spacing w:line="360" w:lineRule="auto"/>
        <w:ind w:firstLine="0" w:firstLineChars="0"/>
        <w:rPr>
          <w:rFonts w:ascii="Times New Roman"/>
        </w:rPr>
      </w:pPr>
      <w:r>
        <w:rPr>
          <w:rFonts w:ascii="Times New Roman"/>
        </w:rPr>
        <w:t>6.2 包装：包装纸箱应符合GB/T 6543 规定。食品包装用塑料成型品应符合GB 4806.7标准规定。包装牢固，不得与有异味物品混装。</w:t>
      </w:r>
    </w:p>
    <w:p>
      <w:pPr>
        <w:spacing w:line="360" w:lineRule="auto"/>
        <w:ind w:firstLine="0" w:firstLineChars="0"/>
        <w:rPr>
          <w:rFonts w:ascii="Times New Roman"/>
        </w:rPr>
      </w:pPr>
      <w:r>
        <w:rPr>
          <w:rFonts w:ascii="Times New Roman"/>
        </w:rPr>
        <w:t>6.3 运输：应用冷藏或保温车船运输，保持鱼片温度低于-12℃；运输工具应清洁卫生、无异味，运输过程中应防晒、虫害、有害物质污染，不得靠近或接触有腐蚀性的物质，不得与气味浓郁的物品混运。</w:t>
      </w:r>
    </w:p>
    <w:p>
      <w:pPr>
        <w:spacing w:line="360" w:lineRule="auto"/>
        <w:ind w:firstLine="0" w:firstLineChars="0"/>
        <w:rPr>
          <w:rFonts w:ascii="Times New Roman"/>
        </w:rPr>
      </w:pPr>
      <w:r>
        <w:rPr>
          <w:rFonts w:ascii="Times New Roman"/>
        </w:rPr>
        <w:t>6.4 贮存：贮藏库温度低于-18℃，库温波动应保持在±2℃内，不同规格、不同等级、批次的产品应分垛并垫架存放，与地面距离不少于10cm,与墙壁距离不少于30cm,堆放高度以纸箱受压不变形为宜；产品贮藏于清洁、卫生、无异味、有防鼠防虫设备的库内，防止虫害和有害物质污染及其他损坏。</w:t>
      </w:r>
    </w:p>
    <w:p>
      <w:pPr>
        <w:pStyle w:val="2"/>
        <w:spacing w:before="312" w:after="312"/>
        <w:rPr>
          <w:sz w:val="24"/>
          <w:szCs w:val="24"/>
        </w:rPr>
      </w:pPr>
      <w:bookmarkStart w:id="62" w:name="_Toc30069"/>
      <w:r>
        <w:rPr>
          <w:rFonts w:hint="eastAsia"/>
          <w:sz w:val="24"/>
          <w:szCs w:val="24"/>
        </w:rPr>
        <w:t>三、标准水平分析</w:t>
      </w:r>
      <w:bookmarkEnd w:id="45"/>
      <w:bookmarkEnd w:id="62"/>
    </w:p>
    <w:p>
      <w:pPr>
        <w:tabs>
          <w:tab w:val="left" w:pos="426"/>
        </w:tabs>
        <w:spacing w:line="360" w:lineRule="auto"/>
        <w:ind w:firstLine="420"/>
        <w:rPr>
          <w:rFonts w:ascii="Times New Roman"/>
          <w:szCs w:val="21"/>
        </w:rPr>
      </w:pPr>
      <w:bookmarkStart w:id="63" w:name="_Toc497309557"/>
      <w:r>
        <w:rPr>
          <w:rFonts w:ascii="Times New Roman"/>
          <w:szCs w:val="21"/>
        </w:rPr>
        <w:t>本</w:t>
      </w:r>
      <w:r>
        <w:rPr>
          <w:rFonts w:hint="eastAsia" w:ascii="Times New Roman"/>
          <w:szCs w:val="21"/>
        </w:rPr>
        <w:t>标准</w:t>
      </w:r>
      <w:r>
        <w:rPr>
          <w:rFonts w:ascii="Times New Roman"/>
          <w:szCs w:val="21"/>
        </w:rPr>
        <w:t>属首次制定，填补了我国</w:t>
      </w:r>
      <w:r>
        <w:rPr>
          <w:rFonts w:hint="eastAsia" w:ascii="Times New Roman"/>
          <w:szCs w:val="21"/>
        </w:rPr>
        <w:t>速冻巴沙鱼片、块质量标准的</w:t>
      </w:r>
      <w:r>
        <w:rPr>
          <w:rFonts w:ascii="Times New Roman"/>
          <w:szCs w:val="21"/>
        </w:rPr>
        <w:t>空白。标准指标严于</w:t>
      </w:r>
      <w:r>
        <w:rPr>
          <w:rFonts w:hint="eastAsia" w:ascii="Times New Roman"/>
          <w:szCs w:val="21"/>
        </w:rPr>
        <w:t>现有的相关类别产品标准</w:t>
      </w:r>
      <w:r>
        <w:rPr>
          <w:rFonts w:ascii="Times New Roman"/>
          <w:szCs w:val="21"/>
        </w:rPr>
        <w:t>的要求，标准总体水平达到了</w:t>
      </w:r>
      <w:r>
        <w:rPr>
          <w:rFonts w:hint="eastAsia" w:ascii="Times New Roman"/>
          <w:szCs w:val="21"/>
        </w:rPr>
        <w:t>国内先进</w:t>
      </w:r>
      <w:r>
        <w:rPr>
          <w:rFonts w:ascii="Times New Roman"/>
          <w:szCs w:val="21"/>
        </w:rPr>
        <w:t>水平</w:t>
      </w:r>
      <w:r>
        <w:rPr>
          <w:rFonts w:hint="eastAsia" w:ascii="Times New Roman"/>
          <w:szCs w:val="21"/>
        </w:rPr>
        <w:t>。</w:t>
      </w:r>
    </w:p>
    <w:p>
      <w:pPr>
        <w:pStyle w:val="2"/>
        <w:spacing w:before="312" w:after="312"/>
        <w:rPr>
          <w:sz w:val="24"/>
          <w:szCs w:val="24"/>
        </w:rPr>
      </w:pPr>
      <w:bookmarkStart w:id="64" w:name="_Toc28235"/>
      <w:r>
        <w:rPr>
          <w:rFonts w:hint="eastAsia"/>
          <w:sz w:val="24"/>
          <w:szCs w:val="24"/>
        </w:rPr>
        <w:t>四、</w:t>
      </w:r>
      <w:r>
        <w:rPr>
          <w:sz w:val="24"/>
          <w:szCs w:val="24"/>
        </w:rPr>
        <w:t>与现行相关法律、法规、规章及相关标准，特别是强制性标准的协调性</w:t>
      </w:r>
      <w:bookmarkEnd w:id="63"/>
      <w:bookmarkEnd w:id="64"/>
    </w:p>
    <w:p>
      <w:pPr>
        <w:tabs>
          <w:tab w:val="left" w:pos="426"/>
        </w:tabs>
        <w:spacing w:line="360" w:lineRule="auto"/>
        <w:ind w:firstLine="420"/>
        <w:rPr>
          <w:rFonts w:ascii="Times New Roman"/>
          <w:szCs w:val="21"/>
        </w:rPr>
      </w:pPr>
      <w:bookmarkStart w:id="65" w:name="_Toc497309558"/>
      <w:r>
        <w:rPr>
          <w:rFonts w:ascii="Times New Roman"/>
          <w:szCs w:val="21"/>
        </w:rPr>
        <w:t>目前我国</w:t>
      </w:r>
      <w:r>
        <w:rPr>
          <w:rFonts w:hint="eastAsia" w:ascii="Times New Roman"/>
          <w:szCs w:val="21"/>
        </w:rPr>
        <w:t>尚无速冻巴沙鱼片、块</w:t>
      </w:r>
      <w:r>
        <w:rPr>
          <w:rFonts w:ascii="Times New Roman"/>
          <w:szCs w:val="21"/>
        </w:rPr>
        <w:t>的国家</w:t>
      </w:r>
      <w:r>
        <w:rPr>
          <w:rFonts w:hint="eastAsia" w:ascii="Times New Roman"/>
          <w:szCs w:val="21"/>
        </w:rPr>
        <w:t>标准</w:t>
      </w:r>
      <w:r>
        <w:rPr>
          <w:rFonts w:ascii="Times New Roman"/>
          <w:szCs w:val="21"/>
        </w:rPr>
        <w:t>或行业标准，本标准是新制定</w:t>
      </w:r>
      <w:r>
        <w:rPr>
          <w:rFonts w:hint="eastAsia" w:ascii="Times New Roman"/>
          <w:szCs w:val="21"/>
        </w:rPr>
        <w:t>的行业</w:t>
      </w:r>
      <w:r>
        <w:rPr>
          <w:rFonts w:ascii="Times New Roman"/>
          <w:szCs w:val="21"/>
        </w:rPr>
        <w:t>标准</w:t>
      </w:r>
      <w:r>
        <w:rPr>
          <w:rFonts w:hint="eastAsia" w:ascii="Times New Roman"/>
          <w:szCs w:val="21"/>
        </w:rPr>
        <w:t>。</w:t>
      </w:r>
      <w:r>
        <w:rPr>
          <w:rFonts w:ascii="Times New Roman"/>
          <w:szCs w:val="21"/>
        </w:rPr>
        <w:t>本标准的制定是</w:t>
      </w:r>
      <w:r>
        <w:rPr>
          <w:rFonts w:hint="eastAsia" w:ascii="Times New Roman"/>
          <w:szCs w:val="21"/>
        </w:rPr>
        <w:t>我国速冻巴沙鱼片、块生产加工行业</w:t>
      </w:r>
      <w:r>
        <w:rPr>
          <w:rFonts w:ascii="Times New Roman"/>
          <w:szCs w:val="21"/>
        </w:rPr>
        <w:t>标准体系的完善和补充。本标准的制定与现行的相关法律、法规、规章及相关标准的关系不矛盾、不冲突。</w:t>
      </w:r>
    </w:p>
    <w:p>
      <w:pPr>
        <w:pStyle w:val="2"/>
        <w:spacing w:before="312" w:after="312"/>
        <w:rPr>
          <w:sz w:val="24"/>
          <w:szCs w:val="24"/>
        </w:rPr>
      </w:pPr>
      <w:bookmarkStart w:id="66" w:name="_Toc3368"/>
      <w:r>
        <w:rPr>
          <w:rFonts w:hint="eastAsia"/>
          <w:sz w:val="24"/>
          <w:szCs w:val="24"/>
        </w:rPr>
        <w:t>五、</w:t>
      </w:r>
      <w:r>
        <w:rPr>
          <w:sz w:val="24"/>
          <w:szCs w:val="24"/>
        </w:rPr>
        <w:t>标准中涉及的专利或知识产权说明</w:t>
      </w:r>
      <w:bookmarkEnd w:id="65"/>
      <w:bookmarkEnd w:id="66"/>
    </w:p>
    <w:p>
      <w:pPr>
        <w:ind w:firstLine="420"/>
      </w:pPr>
      <w:r>
        <w:t>本标准不涉及任何专利或知识产权。</w:t>
      </w:r>
    </w:p>
    <w:p>
      <w:pPr>
        <w:pStyle w:val="2"/>
        <w:spacing w:before="312" w:after="312"/>
        <w:rPr>
          <w:sz w:val="24"/>
          <w:szCs w:val="24"/>
        </w:rPr>
      </w:pPr>
      <w:bookmarkStart w:id="67" w:name="_Toc27298"/>
      <w:r>
        <w:rPr>
          <w:rFonts w:hint="eastAsia"/>
          <w:sz w:val="24"/>
          <w:szCs w:val="24"/>
        </w:rPr>
        <w:t>六、预期达到的社会效益、对产业发展的作用等情况</w:t>
      </w:r>
      <w:bookmarkEnd w:id="67"/>
    </w:p>
    <w:p>
      <w:pPr>
        <w:tabs>
          <w:tab w:val="left" w:pos="426"/>
        </w:tabs>
        <w:spacing w:line="360" w:lineRule="auto"/>
        <w:ind w:left="-19" w:leftChars="-9" w:firstLine="438" w:firstLineChars="209"/>
        <w:rPr>
          <w:rFonts w:ascii="Times New Roman"/>
          <w:szCs w:val="21"/>
        </w:rPr>
      </w:pPr>
      <w:r>
        <w:rPr>
          <w:rFonts w:ascii="Times New Roman"/>
          <w:szCs w:val="21"/>
        </w:rPr>
        <w:t>本标准的制定，有望改善当前巴沙鱼市场存在的一些问题，可给消费者和监管部门提供选择和监督的依据，也将为国标的进一步制定提供参考和依据。随着巴沙鱼</w:t>
      </w:r>
      <w:r>
        <w:rPr>
          <w:rFonts w:hint="eastAsia" w:ascii="Times New Roman"/>
          <w:szCs w:val="21"/>
        </w:rPr>
        <w:t>及其制品</w:t>
      </w:r>
      <w:r>
        <w:rPr>
          <w:rFonts w:ascii="Times New Roman"/>
          <w:szCs w:val="21"/>
        </w:rPr>
        <w:t>在国内市场的日渐流行，消费者对高品质速冻巴沙鱼片、块的要求也日渐强烈，本标准的制定与发布，必将净化巴沙鱼片、块市场，高品质、高标准才是国内速冻巴沙鱼片、块市场的发展方向。</w:t>
      </w:r>
    </w:p>
    <w:p>
      <w:pPr>
        <w:pStyle w:val="2"/>
        <w:spacing w:before="312" w:after="312"/>
        <w:rPr>
          <w:sz w:val="24"/>
          <w:szCs w:val="24"/>
        </w:rPr>
      </w:pPr>
      <w:bookmarkStart w:id="68" w:name="_Toc497309559"/>
      <w:bookmarkStart w:id="69" w:name="_Toc24945"/>
      <w:r>
        <w:rPr>
          <w:rFonts w:hint="eastAsia"/>
          <w:sz w:val="24"/>
          <w:szCs w:val="24"/>
        </w:rPr>
        <w:t>七、</w:t>
      </w:r>
      <w:r>
        <w:rPr>
          <w:sz w:val="24"/>
          <w:szCs w:val="24"/>
        </w:rPr>
        <w:t>重大分歧意见的处理经过和依据</w:t>
      </w:r>
      <w:bookmarkEnd w:id="68"/>
      <w:bookmarkEnd w:id="69"/>
    </w:p>
    <w:p>
      <w:pPr>
        <w:tabs>
          <w:tab w:val="left" w:pos="426"/>
        </w:tabs>
        <w:ind w:firstLine="426" w:firstLineChars="203"/>
        <w:rPr>
          <w:rFonts w:ascii="Times New Roman"/>
          <w:szCs w:val="21"/>
        </w:rPr>
      </w:pPr>
      <w:bookmarkStart w:id="70" w:name="_Toc497309560"/>
      <w:r>
        <w:rPr>
          <w:rFonts w:ascii="Times New Roman"/>
          <w:szCs w:val="21"/>
        </w:rPr>
        <w:t>无重大分歧意见。</w:t>
      </w:r>
    </w:p>
    <w:p>
      <w:pPr>
        <w:pStyle w:val="2"/>
        <w:spacing w:before="312" w:after="312"/>
        <w:rPr>
          <w:sz w:val="24"/>
          <w:szCs w:val="24"/>
        </w:rPr>
      </w:pPr>
      <w:bookmarkStart w:id="71" w:name="_Toc22267"/>
      <w:r>
        <w:rPr>
          <w:rFonts w:hint="eastAsia"/>
          <w:sz w:val="24"/>
          <w:szCs w:val="24"/>
        </w:rPr>
        <w:t>八、</w:t>
      </w:r>
      <w:r>
        <w:rPr>
          <w:sz w:val="24"/>
          <w:szCs w:val="24"/>
        </w:rPr>
        <w:t>标准作为强制性或推荐性</w:t>
      </w:r>
      <w:r>
        <w:rPr>
          <w:rFonts w:hint="eastAsia"/>
          <w:sz w:val="24"/>
          <w:szCs w:val="24"/>
        </w:rPr>
        <w:t>行业</w:t>
      </w:r>
      <w:r>
        <w:rPr>
          <w:sz w:val="24"/>
          <w:szCs w:val="24"/>
        </w:rPr>
        <w:t>标准的建议</w:t>
      </w:r>
      <w:bookmarkEnd w:id="70"/>
      <w:bookmarkEnd w:id="71"/>
    </w:p>
    <w:p>
      <w:pPr>
        <w:ind w:firstLine="426" w:firstLineChars="203"/>
      </w:pPr>
      <w:r>
        <w:t>本标准建议作为推荐性</w:t>
      </w:r>
      <w:r>
        <w:rPr>
          <w:rFonts w:hint="eastAsia"/>
        </w:rPr>
        <w:t>行业</w:t>
      </w:r>
      <w:r>
        <w:t>标准</w:t>
      </w:r>
      <w:r>
        <w:rPr>
          <w:rFonts w:hint="eastAsia"/>
        </w:rPr>
        <w:t>发布和实施</w:t>
      </w:r>
      <w:r>
        <w:t>。</w:t>
      </w:r>
    </w:p>
    <w:p>
      <w:pPr>
        <w:pStyle w:val="2"/>
        <w:spacing w:before="312" w:after="312"/>
        <w:rPr>
          <w:sz w:val="24"/>
          <w:szCs w:val="24"/>
        </w:rPr>
      </w:pPr>
      <w:bookmarkStart w:id="72" w:name="_Toc497309561"/>
      <w:bookmarkStart w:id="73" w:name="_Toc4462"/>
      <w:r>
        <w:rPr>
          <w:rFonts w:hint="eastAsia"/>
          <w:sz w:val="24"/>
          <w:szCs w:val="24"/>
        </w:rPr>
        <w:t>九、贯彻标准的要求和措施建议</w:t>
      </w:r>
      <w:bookmarkEnd w:id="72"/>
      <w:bookmarkEnd w:id="73"/>
    </w:p>
    <w:p>
      <w:pPr>
        <w:pStyle w:val="3"/>
        <w:spacing w:before="156" w:after="156"/>
      </w:pPr>
      <w:bookmarkStart w:id="74" w:name="_Toc508985119"/>
      <w:bookmarkStart w:id="75" w:name="_Toc513736029"/>
      <w:bookmarkStart w:id="76" w:name="_Toc22038"/>
      <w:r>
        <w:t xml:space="preserve">1 </w:t>
      </w:r>
      <w:r>
        <w:rPr>
          <w:rFonts w:hint="eastAsia"/>
        </w:rPr>
        <w:t>组织措施</w:t>
      </w:r>
      <w:bookmarkEnd w:id="74"/>
      <w:bookmarkEnd w:id="75"/>
      <w:bookmarkEnd w:id="76"/>
    </w:p>
    <w:p>
      <w:pPr>
        <w:tabs>
          <w:tab w:val="left" w:pos="426"/>
        </w:tabs>
        <w:spacing w:line="360" w:lineRule="auto"/>
        <w:ind w:firstLine="426" w:firstLineChars="203"/>
        <w:rPr>
          <w:rFonts w:ascii="Times New Roman"/>
          <w:szCs w:val="21"/>
        </w:rPr>
      </w:pPr>
      <w:bookmarkStart w:id="77" w:name="_Toc508985120"/>
      <w:bookmarkStart w:id="78" w:name="_Toc513736030"/>
      <w:r>
        <w:rPr>
          <w:rFonts w:ascii="Times New Roman"/>
          <w:szCs w:val="21"/>
        </w:rPr>
        <w:t>本标准发布后，</w:t>
      </w:r>
      <w:r>
        <w:rPr>
          <w:rFonts w:hint="eastAsia" w:ascii="Times New Roman"/>
          <w:szCs w:val="21"/>
        </w:rPr>
        <w:t>中国轻工业联合会</w:t>
      </w:r>
      <w:r>
        <w:rPr>
          <w:rFonts w:ascii="Times New Roman"/>
          <w:szCs w:val="21"/>
        </w:rPr>
        <w:t>应加强</w:t>
      </w:r>
      <w:r>
        <w:rPr>
          <w:rFonts w:hint="eastAsia" w:ascii="Times New Roman"/>
          <w:szCs w:val="21"/>
        </w:rPr>
        <w:t>对</w:t>
      </w:r>
      <w:r>
        <w:rPr>
          <w:rFonts w:ascii="Times New Roman"/>
          <w:szCs w:val="21"/>
        </w:rPr>
        <w:t>本标准的宣传力度，</w:t>
      </w:r>
      <w:r>
        <w:rPr>
          <w:rFonts w:hint="eastAsia" w:ascii="Times New Roman"/>
          <w:szCs w:val="21"/>
        </w:rPr>
        <w:t>介绍本标准的核心技术内容及实施的关键技术要素，促进更多的企业和科研单位了解、掌握科学的速冻巴沙鱼片、块质量要求，促进标准的顺利实施。</w:t>
      </w:r>
    </w:p>
    <w:p>
      <w:pPr>
        <w:pStyle w:val="3"/>
        <w:spacing w:before="156" w:after="156"/>
      </w:pPr>
      <w:bookmarkStart w:id="79" w:name="_Toc7305"/>
      <w:r>
        <w:rPr>
          <w:rFonts w:hint="eastAsia"/>
        </w:rPr>
        <w:t>2</w:t>
      </w:r>
      <w:r>
        <w:t xml:space="preserve"> </w:t>
      </w:r>
      <w:r>
        <w:rPr>
          <w:rFonts w:hint="eastAsia"/>
        </w:rPr>
        <w:t>技术措施</w:t>
      </w:r>
      <w:bookmarkEnd w:id="77"/>
      <w:bookmarkEnd w:id="78"/>
      <w:bookmarkEnd w:id="79"/>
    </w:p>
    <w:p>
      <w:pPr>
        <w:tabs>
          <w:tab w:val="left" w:pos="426"/>
        </w:tabs>
        <w:spacing w:line="360" w:lineRule="auto"/>
        <w:ind w:firstLine="420"/>
        <w:rPr>
          <w:rFonts w:ascii="Times New Roman"/>
          <w:szCs w:val="21"/>
        </w:rPr>
      </w:pPr>
      <w:bookmarkStart w:id="80" w:name="_Toc497309562"/>
      <w:r>
        <w:rPr>
          <w:rFonts w:ascii="Times New Roman"/>
          <w:szCs w:val="21"/>
        </w:rPr>
        <w:t>本标准</w:t>
      </w:r>
      <w:r>
        <w:rPr>
          <w:rFonts w:hint="eastAsia" w:ascii="Times New Roman"/>
          <w:szCs w:val="21"/>
        </w:rPr>
        <w:t>给出的术语和定义、产品质量要求和试验方法等，企业应按照本标准，结合企业实际生产情况，统筹考虑资源、能源、环境、质量等属性，科学确定企业产品质量的关键指标，确定正确的质量标准。</w:t>
      </w:r>
    </w:p>
    <w:p>
      <w:pPr>
        <w:pStyle w:val="2"/>
        <w:spacing w:before="312" w:after="312"/>
        <w:rPr>
          <w:sz w:val="24"/>
          <w:szCs w:val="24"/>
        </w:rPr>
      </w:pPr>
      <w:bookmarkStart w:id="81" w:name="_Toc31389"/>
      <w:r>
        <w:rPr>
          <w:rFonts w:hint="eastAsia"/>
          <w:sz w:val="24"/>
          <w:szCs w:val="24"/>
        </w:rPr>
        <w:t>十、废止现行有关标准的建议</w:t>
      </w:r>
      <w:bookmarkEnd w:id="80"/>
      <w:bookmarkEnd w:id="81"/>
    </w:p>
    <w:p>
      <w:pPr>
        <w:ind w:firstLine="420"/>
      </w:pPr>
      <w:r>
        <w:t>无。</w:t>
      </w:r>
    </w:p>
    <w:p>
      <w:pPr>
        <w:widowControl/>
        <w:ind w:firstLine="0" w:firstLineChars="0"/>
      </w:pPr>
    </w:p>
    <w:p>
      <w:pPr>
        <w:widowControl/>
        <w:ind w:left="4410" w:leftChars="2100" w:firstLine="420"/>
        <w:jc w:val="right"/>
        <w:rPr>
          <w:rFonts w:ascii="Times New Roman"/>
          <w:szCs w:val="21"/>
        </w:rPr>
      </w:pPr>
    </w:p>
    <w:p>
      <w:pPr>
        <w:widowControl/>
        <w:ind w:firstLine="0" w:firstLineChars="0"/>
        <w:rPr>
          <w:rFonts w:ascii="Times New Roman"/>
          <w:szCs w:val="21"/>
        </w:rPr>
      </w:pPr>
    </w:p>
    <w:p>
      <w:pPr>
        <w:widowControl/>
        <w:ind w:left="4410" w:leftChars="2100" w:firstLine="420"/>
        <w:jc w:val="right"/>
        <w:rPr>
          <w:rFonts w:ascii="Times New Roman"/>
          <w:szCs w:val="21"/>
        </w:rPr>
      </w:pPr>
    </w:p>
    <w:p>
      <w:pPr>
        <w:widowControl/>
        <w:ind w:left="4410" w:leftChars="2100" w:firstLine="420"/>
        <w:jc w:val="right"/>
        <w:rPr>
          <w:rFonts w:ascii="Times New Roman"/>
          <w:szCs w:val="21"/>
        </w:rPr>
      </w:pPr>
    </w:p>
    <w:p>
      <w:pPr>
        <w:widowControl/>
        <w:ind w:firstLine="0" w:firstLineChars="0"/>
        <w:outlineLvl w:val="0"/>
        <w:rPr>
          <w:b/>
        </w:rPr>
      </w:pPr>
    </w:p>
    <w:p>
      <w:pPr>
        <w:widowControl/>
        <w:ind w:firstLine="0" w:firstLineChars="0"/>
        <w:outlineLvl w:val="0"/>
        <w:rPr>
          <w:b/>
        </w:rPr>
      </w:pPr>
    </w:p>
    <w:p>
      <w:pPr>
        <w:widowControl/>
        <w:ind w:firstLine="0" w:firstLineChars="0"/>
        <w:outlineLvl w:val="0"/>
        <w:rPr>
          <w:b/>
        </w:rPr>
      </w:pPr>
    </w:p>
    <w:p>
      <w:pPr>
        <w:widowControl/>
        <w:ind w:firstLine="0" w:firstLineChars="0"/>
        <w:outlineLvl w:val="0"/>
        <w:rPr>
          <w:b/>
        </w:rPr>
      </w:pPr>
    </w:p>
    <w:p>
      <w:pPr>
        <w:widowControl/>
        <w:ind w:firstLine="0" w:firstLineChars="0"/>
        <w:outlineLvl w:val="0"/>
        <w:rPr>
          <w:b/>
        </w:rPr>
      </w:pPr>
    </w:p>
    <w:sectPr>
      <w:headerReference r:id="rId9" w:type="default"/>
      <w:footerReference r:id="rId10" w:type="default"/>
      <w:pgSz w:w="11906" w:h="16838"/>
      <w:pgMar w:top="1418" w:right="1418" w:bottom="1418"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3"/>
      <w:rPr>
        <w:rStyle w:val="39"/>
      </w:rPr>
    </w:pPr>
    <w:r>
      <w:fldChar w:fldCharType="begin"/>
    </w:r>
    <w:r>
      <w:rPr>
        <w:rStyle w:val="39"/>
      </w:rPr>
      <w:instrText xml:space="preserve">PAGE  </w:instrText>
    </w:r>
    <w:r>
      <w:fldChar w:fldCharType="separate"/>
    </w:r>
    <w:r>
      <w:rPr>
        <w:rStyle w:val="39"/>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0"/>
      <w:jc w:val="center"/>
      <w:rPr>
        <w:rStyle w:val="39"/>
      </w:rPr>
    </w:pPr>
    <w:r>
      <w:fldChar w:fldCharType="begin"/>
    </w:r>
    <w:r>
      <w:rPr>
        <w:rStyle w:val="39"/>
      </w:rPr>
      <w:instrText xml:space="preserve">PAGE  </w:instrText>
    </w:r>
    <w:r>
      <w:fldChar w:fldCharType="separate"/>
    </w:r>
    <w:r>
      <w:rPr>
        <w:rStyle w:val="39"/>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3"/>
      <w:wordWrap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CD8B1F"/>
    <w:multiLevelType w:val="singleLevel"/>
    <w:tmpl w:val="F3CD8B1F"/>
    <w:lvl w:ilvl="0" w:tentative="0">
      <w:start w:val="1"/>
      <w:numFmt w:val="lowerLetter"/>
      <w:suff w:val="space"/>
      <w:lvlText w:val="%1)"/>
      <w:lvlJc w:val="left"/>
    </w:lvl>
  </w:abstractNum>
  <w:abstractNum w:abstractNumId="1">
    <w:nsid w:val="00000007"/>
    <w:multiLevelType w:val="multilevel"/>
    <w:tmpl w:val="00000007"/>
    <w:lvl w:ilvl="0" w:tentative="0">
      <w:start w:val="1"/>
      <w:numFmt w:val="none"/>
      <w:pStyle w:val="15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none"/>
      <w:pStyle w:val="144"/>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none"/>
      <w:pStyle w:val="9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6"/>
      <w:suff w:val="nothing"/>
      <w:lvlText w:val="%1%2.%3　"/>
      <w:lvlJc w:val="left"/>
      <w:pPr>
        <w:ind w:left="0" w:firstLine="0"/>
      </w:pPr>
      <w:rPr>
        <w:rFonts w:hint="eastAsia" w:ascii="黑体" w:hAnsi="Times New Roman" w:eastAsia="黑体"/>
        <w:b w:val="0"/>
        <w:i w:val="0"/>
        <w:sz w:val="21"/>
      </w:rPr>
    </w:lvl>
    <w:lvl w:ilvl="3" w:tentative="0">
      <w:start w:val="1"/>
      <w:numFmt w:val="decimal"/>
      <w:pStyle w:val="174"/>
      <w:suff w:val="nothing"/>
      <w:lvlText w:val="%1%2.%3.%4　"/>
      <w:lvlJc w:val="left"/>
      <w:pPr>
        <w:ind w:left="0" w:firstLine="0"/>
      </w:pPr>
      <w:rPr>
        <w:rFonts w:hint="eastAsia" w:ascii="黑体" w:hAnsi="Times New Roman" w:eastAsia="黑体"/>
        <w:b w:val="0"/>
        <w:i w:val="0"/>
        <w:sz w:val="21"/>
      </w:rPr>
    </w:lvl>
    <w:lvl w:ilvl="4" w:tentative="0">
      <w:start w:val="1"/>
      <w:numFmt w:val="decimal"/>
      <w:pStyle w:val="164"/>
      <w:suff w:val="nothing"/>
      <w:lvlText w:val="%1%2.%3.%4.%5　"/>
      <w:lvlJc w:val="left"/>
      <w:pPr>
        <w:ind w:left="0" w:firstLine="0"/>
      </w:pPr>
      <w:rPr>
        <w:rFonts w:hint="eastAsia" w:ascii="黑体" w:hAnsi="Times New Roman" w:eastAsia="黑体"/>
        <w:b w:val="0"/>
        <w:i w:val="0"/>
        <w:sz w:val="21"/>
      </w:rPr>
    </w:lvl>
    <w:lvl w:ilvl="5" w:tentative="0">
      <w:start w:val="1"/>
      <w:numFmt w:val="decimal"/>
      <w:pStyle w:val="180"/>
      <w:suff w:val="nothing"/>
      <w:lvlText w:val="%1%2.%3.%4.%5.%6　"/>
      <w:lvlJc w:val="left"/>
      <w:pPr>
        <w:ind w:left="0" w:firstLine="0"/>
      </w:pPr>
      <w:rPr>
        <w:rFonts w:hint="eastAsia" w:ascii="黑体" w:hAnsi="Times New Roman" w:eastAsia="黑体"/>
        <w:b w:val="0"/>
        <w:i w:val="0"/>
        <w:sz w:val="21"/>
      </w:rPr>
    </w:lvl>
    <w:lvl w:ilvl="6" w:tentative="0">
      <w:start w:val="1"/>
      <w:numFmt w:val="decimal"/>
      <w:pStyle w:val="1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4"/>
    <w:multiLevelType w:val="multilevel"/>
    <w:tmpl w:val="00000014"/>
    <w:lvl w:ilvl="0" w:tentative="0">
      <w:start w:val="1"/>
      <w:numFmt w:val="none"/>
      <w:pStyle w:val="200"/>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22"/>
    <w:multiLevelType w:val="multilevel"/>
    <w:tmpl w:val="00000022"/>
    <w:lvl w:ilvl="0" w:tentative="0">
      <w:start w:val="1"/>
      <w:numFmt w:val="decimal"/>
      <w:pStyle w:val="19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00000025"/>
    <w:multiLevelType w:val="multilevel"/>
    <w:tmpl w:val="00000025"/>
    <w:lvl w:ilvl="0" w:tentative="0">
      <w:start w:val="1"/>
      <w:numFmt w:val="none"/>
      <w:pStyle w:val="131"/>
      <w:suff w:val="nothing"/>
      <w:lvlText w:val="%1"/>
      <w:lvlJc w:val="left"/>
      <w:pPr>
        <w:ind w:left="0" w:firstLine="0"/>
      </w:pPr>
      <w:rPr>
        <w:rFonts w:hint="default" w:ascii="Times New Roman" w:hAnsi="Times New Roman"/>
        <w:b/>
        <w:i w:val="0"/>
        <w:sz w:val="21"/>
      </w:rPr>
    </w:lvl>
    <w:lvl w:ilvl="1" w:tentative="0">
      <w:start w:val="1"/>
      <w:numFmt w:val="decimal"/>
      <w:pStyle w:val="6"/>
      <w:suff w:val="nothing"/>
      <w:lvlText w:val="%1%2　"/>
      <w:lvlJc w:val="left"/>
      <w:pPr>
        <w:ind w:left="142" w:firstLine="0"/>
      </w:pPr>
      <w:rPr>
        <w:rFonts w:hint="eastAsia" w:ascii="黑体" w:hAnsi="Times New Roman" w:eastAsia="黑体"/>
        <w:b w:val="0"/>
        <w:i w:val="0"/>
        <w:sz w:val="21"/>
      </w:rPr>
    </w:lvl>
    <w:lvl w:ilvl="2" w:tentative="0">
      <w:start w:val="1"/>
      <w:numFmt w:val="decimal"/>
      <w:pStyle w:val="5"/>
      <w:suff w:val="nothing"/>
      <w:lvlText w:val="%1%2.%3　"/>
      <w:lvlJc w:val="left"/>
      <w:pPr>
        <w:ind w:left="284" w:firstLine="0"/>
      </w:pPr>
      <w:rPr>
        <w:rFonts w:hint="eastAsia" w:ascii="黑体" w:hAnsi="Times New Roman" w:eastAsia="黑体"/>
        <w:b w:val="0"/>
        <w:i w:val="0"/>
        <w:sz w:val="21"/>
      </w:rPr>
    </w:lvl>
    <w:lvl w:ilvl="3" w:tentative="0">
      <w:start w:val="1"/>
      <w:numFmt w:val="decimal"/>
      <w:pStyle w:val="60"/>
      <w:suff w:val="nothing"/>
      <w:lvlText w:val="%1%2.%3.%4　"/>
      <w:lvlJc w:val="left"/>
      <w:pPr>
        <w:ind w:left="568" w:firstLine="0"/>
      </w:pPr>
      <w:rPr>
        <w:rFonts w:hint="eastAsia" w:ascii="黑体" w:hAnsi="Times New Roman" w:eastAsia="黑体"/>
        <w:b w:val="0"/>
        <w:i w:val="0"/>
        <w:sz w:val="21"/>
      </w:rPr>
    </w:lvl>
    <w:lvl w:ilvl="4" w:tentative="0">
      <w:start w:val="1"/>
      <w:numFmt w:val="decimal"/>
      <w:pStyle w:val="87"/>
      <w:suff w:val="nothing"/>
      <w:lvlText w:val="%1%2.%3.%4.%5　"/>
      <w:lvlJc w:val="left"/>
      <w:pPr>
        <w:ind w:left="1276" w:firstLine="0"/>
      </w:pPr>
      <w:rPr>
        <w:rFonts w:hint="eastAsia" w:ascii="黑体" w:hAnsi="Times New Roman" w:eastAsia="黑体"/>
        <w:b w:val="0"/>
        <w:i w:val="0"/>
        <w:sz w:val="21"/>
      </w:rPr>
    </w:lvl>
    <w:lvl w:ilvl="5" w:tentative="0">
      <w:start w:val="1"/>
      <w:numFmt w:val="decimal"/>
      <w:pStyle w:val="183"/>
      <w:suff w:val="nothing"/>
      <w:lvlText w:val="%1%2.%3.%4.%5.%6　"/>
      <w:lvlJc w:val="left"/>
      <w:pPr>
        <w:ind w:left="0" w:firstLine="0"/>
      </w:pPr>
      <w:rPr>
        <w:rFonts w:hint="eastAsia" w:ascii="黑体" w:hAnsi="Times New Roman" w:eastAsia="黑体"/>
        <w:b w:val="0"/>
        <w:i w:val="0"/>
        <w:color w:val="auto"/>
        <w:sz w:val="21"/>
      </w:rPr>
    </w:lvl>
    <w:lvl w:ilvl="6" w:tentative="0">
      <w:start w:val="1"/>
      <w:numFmt w:val="decimal"/>
      <w:pStyle w:val="1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7"/>
    <w:multiLevelType w:val="multilevel"/>
    <w:tmpl w:val="00000027"/>
    <w:lvl w:ilvl="0" w:tentative="0">
      <w:start w:val="1"/>
      <w:numFmt w:val="none"/>
      <w:pStyle w:val="13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17"/>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7"/>
  </w:num>
  <w:num w:numId="2">
    <w:abstractNumId w:val="3"/>
  </w:num>
  <w:num w:numId="3">
    <w:abstractNumId w:val="8"/>
  </w:num>
  <w:num w:numId="4">
    <w:abstractNumId w:val="2"/>
  </w:num>
  <w:num w:numId="5">
    <w:abstractNumId w:val="1"/>
  </w:num>
  <w:num w:numId="6">
    <w:abstractNumId w:val="4"/>
  </w:num>
  <w:num w:numId="7">
    <w:abstractNumId w:val="6"/>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51"/>
    <w:rsid w:val="00001CF3"/>
    <w:rsid w:val="0000576B"/>
    <w:rsid w:val="00007366"/>
    <w:rsid w:val="00016358"/>
    <w:rsid w:val="00021277"/>
    <w:rsid w:val="00024CF4"/>
    <w:rsid w:val="0002711B"/>
    <w:rsid w:val="000313FC"/>
    <w:rsid w:val="00033D4E"/>
    <w:rsid w:val="0004779C"/>
    <w:rsid w:val="000508CA"/>
    <w:rsid w:val="00053A02"/>
    <w:rsid w:val="00057176"/>
    <w:rsid w:val="00062CC7"/>
    <w:rsid w:val="000631A5"/>
    <w:rsid w:val="000638B8"/>
    <w:rsid w:val="00064B2C"/>
    <w:rsid w:val="00070F70"/>
    <w:rsid w:val="00073274"/>
    <w:rsid w:val="00073A1A"/>
    <w:rsid w:val="00075F7C"/>
    <w:rsid w:val="0007648B"/>
    <w:rsid w:val="00084AE9"/>
    <w:rsid w:val="00085DE1"/>
    <w:rsid w:val="00086391"/>
    <w:rsid w:val="00087840"/>
    <w:rsid w:val="00094295"/>
    <w:rsid w:val="000A2797"/>
    <w:rsid w:val="000A7BF6"/>
    <w:rsid w:val="000B39B0"/>
    <w:rsid w:val="000B3C2D"/>
    <w:rsid w:val="000B77FD"/>
    <w:rsid w:val="000C01A5"/>
    <w:rsid w:val="000C49EF"/>
    <w:rsid w:val="000D1AA1"/>
    <w:rsid w:val="000E0A42"/>
    <w:rsid w:val="000F1075"/>
    <w:rsid w:val="001000AD"/>
    <w:rsid w:val="001063EB"/>
    <w:rsid w:val="0011058F"/>
    <w:rsid w:val="0012429D"/>
    <w:rsid w:val="00136182"/>
    <w:rsid w:val="00136390"/>
    <w:rsid w:val="00141C75"/>
    <w:rsid w:val="00142047"/>
    <w:rsid w:val="00143018"/>
    <w:rsid w:val="001430DA"/>
    <w:rsid w:val="00143DD7"/>
    <w:rsid w:val="001440FE"/>
    <w:rsid w:val="001458A7"/>
    <w:rsid w:val="001619CC"/>
    <w:rsid w:val="0016590A"/>
    <w:rsid w:val="00166DCF"/>
    <w:rsid w:val="0016796C"/>
    <w:rsid w:val="001705BC"/>
    <w:rsid w:val="00170AF4"/>
    <w:rsid w:val="00193146"/>
    <w:rsid w:val="00194569"/>
    <w:rsid w:val="00194D31"/>
    <w:rsid w:val="00196131"/>
    <w:rsid w:val="001A011C"/>
    <w:rsid w:val="001A05CC"/>
    <w:rsid w:val="001A0765"/>
    <w:rsid w:val="001A4E5F"/>
    <w:rsid w:val="001B0C2E"/>
    <w:rsid w:val="001C434C"/>
    <w:rsid w:val="001C52A1"/>
    <w:rsid w:val="001C63D6"/>
    <w:rsid w:val="001C659E"/>
    <w:rsid w:val="001D1AA3"/>
    <w:rsid w:val="001D2180"/>
    <w:rsid w:val="001D45CE"/>
    <w:rsid w:val="001E1B70"/>
    <w:rsid w:val="001E6973"/>
    <w:rsid w:val="001E7DE3"/>
    <w:rsid w:val="001F11B5"/>
    <w:rsid w:val="001F150F"/>
    <w:rsid w:val="001F1EE3"/>
    <w:rsid w:val="001F745C"/>
    <w:rsid w:val="00206121"/>
    <w:rsid w:val="00215361"/>
    <w:rsid w:val="00216CA2"/>
    <w:rsid w:val="002220AA"/>
    <w:rsid w:val="0022432B"/>
    <w:rsid w:val="002264AE"/>
    <w:rsid w:val="00226601"/>
    <w:rsid w:val="00226B2D"/>
    <w:rsid w:val="00230112"/>
    <w:rsid w:val="00231C3B"/>
    <w:rsid w:val="0026400E"/>
    <w:rsid w:val="0026499C"/>
    <w:rsid w:val="00264C42"/>
    <w:rsid w:val="00266465"/>
    <w:rsid w:val="00274377"/>
    <w:rsid w:val="0027569F"/>
    <w:rsid w:val="00277A0A"/>
    <w:rsid w:val="0028752D"/>
    <w:rsid w:val="002910E4"/>
    <w:rsid w:val="0029340E"/>
    <w:rsid w:val="00294D8D"/>
    <w:rsid w:val="002A2DAC"/>
    <w:rsid w:val="002A58BF"/>
    <w:rsid w:val="002C02A9"/>
    <w:rsid w:val="002C2108"/>
    <w:rsid w:val="002C2CC4"/>
    <w:rsid w:val="002C440F"/>
    <w:rsid w:val="002D0D8B"/>
    <w:rsid w:val="002D392D"/>
    <w:rsid w:val="002E0C78"/>
    <w:rsid w:val="002F45B0"/>
    <w:rsid w:val="002F4C99"/>
    <w:rsid w:val="00301FA3"/>
    <w:rsid w:val="00302F88"/>
    <w:rsid w:val="00307FB3"/>
    <w:rsid w:val="00310686"/>
    <w:rsid w:val="0031544A"/>
    <w:rsid w:val="00321E29"/>
    <w:rsid w:val="00323F16"/>
    <w:rsid w:val="00324D85"/>
    <w:rsid w:val="00326889"/>
    <w:rsid w:val="00326FCE"/>
    <w:rsid w:val="00327C60"/>
    <w:rsid w:val="0034015D"/>
    <w:rsid w:val="003426BB"/>
    <w:rsid w:val="00344CBD"/>
    <w:rsid w:val="00350236"/>
    <w:rsid w:val="0035198A"/>
    <w:rsid w:val="00357076"/>
    <w:rsid w:val="003602C7"/>
    <w:rsid w:val="00361DC1"/>
    <w:rsid w:val="003629E9"/>
    <w:rsid w:val="00362EE4"/>
    <w:rsid w:val="00371BCD"/>
    <w:rsid w:val="003729CB"/>
    <w:rsid w:val="003762F6"/>
    <w:rsid w:val="00377092"/>
    <w:rsid w:val="00386415"/>
    <w:rsid w:val="003941B8"/>
    <w:rsid w:val="003A370B"/>
    <w:rsid w:val="003B48F2"/>
    <w:rsid w:val="003B4B2E"/>
    <w:rsid w:val="003C00B0"/>
    <w:rsid w:val="003C16FE"/>
    <w:rsid w:val="003C4368"/>
    <w:rsid w:val="003C49FC"/>
    <w:rsid w:val="003C77FF"/>
    <w:rsid w:val="003D0925"/>
    <w:rsid w:val="003D53C5"/>
    <w:rsid w:val="003F4132"/>
    <w:rsid w:val="003F468B"/>
    <w:rsid w:val="00400077"/>
    <w:rsid w:val="0040362E"/>
    <w:rsid w:val="00415246"/>
    <w:rsid w:val="004227B4"/>
    <w:rsid w:val="004313A1"/>
    <w:rsid w:val="00440F0A"/>
    <w:rsid w:val="0044660C"/>
    <w:rsid w:val="00470861"/>
    <w:rsid w:val="00474701"/>
    <w:rsid w:val="004761AB"/>
    <w:rsid w:val="004773E2"/>
    <w:rsid w:val="004809A3"/>
    <w:rsid w:val="0048631D"/>
    <w:rsid w:val="004931B4"/>
    <w:rsid w:val="004A4988"/>
    <w:rsid w:val="004B06CE"/>
    <w:rsid w:val="004B1E0C"/>
    <w:rsid w:val="004B2897"/>
    <w:rsid w:val="004B461B"/>
    <w:rsid w:val="004B4D02"/>
    <w:rsid w:val="004C1FFF"/>
    <w:rsid w:val="004C7E99"/>
    <w:rsid w:val="004D11FE"/>
    <w:rsid w:val="004D329E"/>
    <w:rsid w:val="004D402F"/>
    <w:rsid w:val="004E79D9"/>
    <w:rsid w:val="004F25E4"/>
    <w:rsid w:val="004F5F4E"/>
    <w:rsid w:val="004F705D"/>
    <w:rsid w:val="00500FAB"/>
    <w:rsid w:val="00506D9B"/>
    <w:rsid w:val="005128ED"/>
    <w:rsid w:val="005146A2"/>
    <w:rsid w:val="00515E99"/>
    <w:rsid w:val="00516D2B"/>
    <w:rsid w:val="0052033F"/>
    <w:rsid w:val="00522F05"/>
    <w:rsid w:val="00524C71"/>
    <w:rsid w:val="00531D2B"/>
    <w:rsid w:val="00533222"/>
    <w:rsid w:val="00541AF5"/>
    <w:rsid w:val="005423ED"/>
    <w:rsid w:val="005453DD"/>
    <w:rsid w:val="00545DA4"/>
    <w:rsid w:val="005525E1"/>
    <w:rsid w:val="005618F0"/>
    <w:rsid w:val="00570181"/>
    <w:rsid w:val="00581AB3"/>
    <w:rsid w:val="005C41D4"/>
    <w:rsid w:val="005C441A"/>
    <w:rsid w:val="005C585B"/>
    <w:rsid w:val="005D1E36"/>
    <w:rsid w:val="005D319E"/>
    <w:rsid w:val="005D4669"/>
    <w:rsid w:val="005F4A3F"/>
    <w:rsid w:val="00607E3B"/>
    <w:rsid w:val="00611389"/>
    <w:rsid w:val="00611E34"/>
    <w:rsid w:val="00613555"/>
    <w:rsid w:val="00615BC1"/>
    <w:rsid w:val="0061775A"/>
    <w:rsid w:val="00617E78"/>
    <w:rsid w:val="00620143"/>
    <w:rsid w:val="00622C1B"/>
    <w:rsid w:val="00623CC3"/>
    <w:rsid w:val="00624590"/>
    <w:rsid w:val="00627AAE"/>
    <w:rsid w:val="00636894"/>
    <w:rsid w:val="00637C2D"/>
    <w:rsid w:val="006609AA"/>
    <w:rsid w:val="00664953"/>
    <w:rsid w:val="00666BA9"/>
    <w:rsid w:val="006705A7"/>
    <w:rsid w:val="00674F51"/>
    <w:rsid w:val="0067757E"/>
    <w:rsid w:val="00681980"/>
    <w:rsid w:val="00681E0B"/>
    <w:rsid w:val="00694F7E"/>
    <w:rsid w:val="006A153B"/>
    <w:rsid w:val="006A2611"/>
    <w:rsid w:val="006B45A5"/>
    <w:rsid w:val="006B49DA"/>
    <w:rsid w:val="006C47EB"/>
    <w:rsid w:val="006C5CB8"/>
    <w:rsid w:val="006C78BD"/>
    <w:rsid w:val="006D0BC6"/>
    <w:rsid w:val="006D2822"/>
    <w:rsid w:val="006E047B"/>
    <w:rsid w:val="006E2F5A"/>
    <w:rsid w:val="006E6207"/>
    <w:rsid w:val="006E62D1"/>
    <w:rsid w:val="006F3473"/>
    <w:rsid w:val="006F3D06"/>
    <w:rsid w:val="006F6491"/>
    <w:rsid w:val="0070543B"/>
    <w:rsid w:val="007132A1"/>
    <w:rsid w:val="007143C2"/>
    <w:rsid w:val="007222FA"/>
    <w:rsid w:val="00722F29"/>
    <w:rsid w:val="0072412E"/>
    <w:rsid w:val="007278D7"/>
    <w:rsid w:val="0073035E"/>
    <w:rsid w:val="00736961"/>
    <w:rsid w:val="00741DB3"/>
    <w:rsid w:val="00754DAE"/>
    <w:rsid w:val="0075565F"/>
    <w:rsid w:val="00767AAA"/>
    <w:rsid w:val="00770E8A"/>
    <w:rsid w:val="00771D2C"/>
    <w:rsid w:val="0077467A"/>
    <w:rsid w:val="007804B2"/>
    <w:rsid w:val="00783FC3"/>
    <w:rsid w:val="0078420D"/>
    <w:rsid w:val="00784897"/>
    <w:rsid w:val="00784E0F"/>
    <w:rsid w:val="00786594"/>
    <w:rsid w:val="007873BE"/>
    <w:rsid w:val="007924FA"/>
    <w:rsid w:val="00792FFF"/>
    <w:rsid w:val="007A21A9"/>
    <w:rsid w:val="007A25E2"/>
    <w:rsid w:val="007A32CA"/>
    <w:rsid w:val="007A4016"/>
    <w:rsid w:val="007B4304"/>
    <w:rsid w:val="007C1DEF"/>
    <w:rsid w:val="007C2CDC"/>
    <w:rsid w:val="007C3157"/>
    <w:rsid w:val="007D24B0"/>
    <w:rsid w:val="007D4358"/>
    <w:rsid w:val="007D6B2F"/>
    <w:rsid w:val="007D7879"/>
    <w:rsid w:val="007E777B"/>
    <w:rsid w:val="007F069D"/>
    <w:rsid w:val="007F5ABB"/>
    <w:rsid w:val="008008F8"/>
    <w:rsid w:val="00803BD8"/>
    <w:rsid w:val="00805B14"/>
    <w:rsid w:val="008174A9"/>
    <w:rsid w:val="00817B87"/>
    <w:rsid w:val="00820D75"/>
    <w:rsid w:val="00826FB8"/>
    <w:rsid w:val="00830EFC"/>
    <w:rsid w:val="008324D6"/>
    <w:rsid w:val="00835244"/>
    <w:rsid w:val="00835930"/>
    <w:rsid w:val="00837D0D"/>
    <w:rsid w:val="00842B1A"/>
    <w:rsid w:val="00844C16"/>
    <w:rsid w:val="00846A3D"/>
    <w:rsid w:val="00866BB6"/>
    <w:rsid w:val="008714D5"/>
    <w:rsid w:val="00876C29"/>
    <w:rsid w:val="008809C2"/>
    <w:rsid w:val="0089076D"/>
    <w:rsid w:val="00890D9F"/>
    <w:rsid w:val="00894448"/>
    <w:rsid w:val="008968D9"/>
    <w:rsid w:val="008A3435"/>
    <w:rsid w:val="008A4131"/>
    <w:rsid w:val="008A445D"/>
    <w:rsid w:val="008B2FD8"/>
    <w:rsid w:val="008B3ABE"/>
    <w:rsid w:val="008B6583"/>
    <w:rsid w:val="008B6B6D"/>
    <w:rsid w:val="008C785F"/>
    <w:rsid w:val="008D1AFE"/>
    <w:rsid w:val="008D288D"/>
    <w:rsid w:val="008D76BC"/>
    <w:rsid w:val="008D7C2E"/>
    <w:rsid w:val="008E1097"/>
    <w:rsid w:val="008E1503"/>
    <w:rsid w:val="008E2E06"/>
    <w:rsid w:val="008E34AF"/>
    <w:rsid w:val="008E4257"/>
    <w:rsid w:val="008E7F11"/>
    <w:rsid w:val="008F2DF6"/>
    <w:rsid w:val="009070EA"/>
    <w:rsid w:val="00914269"/>
    <w:rsid w:val="0091728A"/>
    <w:rsid w:val="00923654"/>
    <w:rsid w:val="00925883"/>
    <w:rsid w:val="00925FF0"/>
    <w:rsid w:val="0092725F"/>
    <w:rsid w:val="0093332B"/>
    <w:rsid w:val="0093682F"/>
    <w:rsid w:val="00937DFC"/>
    <w:rsid w:val="009421EB"/>
    <w:rsid w:val="0094641E"/>
    <w:rsid w:val="009654A1"/>
    <w:rsid w:val="009654AC"/>
    <w:rsid w:val="009708A3"/>
    <w:rsid w:val="00971F4D"/>
    <w:rsid w:val="009729AF"/>
    <w:rsid w:val="00973097"/>
    <w:rsid w:val="00977CF4"/>
    <w:rsid w:val="0098023E"/>
    <w:rsid w:val="00983760"/>
    <w:rsid w:val="0098640A"/>
    <w:rsid w:val="00991890"/>
    <w:rsid w:val="00993A9E"/>
    <w:rsid w:val="00995FF9"/>
    <w:rsid w:val="009A6668"/>
    <w:rsid w:val="009A77F8"/>
    <w:rsid w:val="009B1C14"/>
    <w:rsid w:val="009C03CF"/>
    <w:rsid w:val="009D64B9"/>
    <w:rsid w:val="009E10F8"/>
    <w:rsid w:val="009E33FB"/>
    <w:rsid w:val="009E64DA"/>
    <w:rsid w:val="009F15E3"/>
    <w:rsid w:val="009F2044"/>
    <w:rsid w:val="009F4B3B"/>
    <w:rsid w:val="009F4D24"/>
    <w:rsid w:val="009F539A"/>
    <w:rsid w:val="00A10926"/>
    <w:rsid w:val="00A144EF"/>
    <w:rsid w:val="00A1716E"/>
    <w:rsid w:val="00A224DF"/>
    <w:rsid w:val="00A35968"/>
    <w:rsid w:val="00A4310E"/>
    <w:rsid w:val="00A43286"/>
    <w:rsid w:val="00A452D7"/>
    <w:rsid w:val="00A477A9"/>
    <w:rsid w:val="00A54859"/>
    <w:rsid w:val="00A55981"/>
    <w:rsid w:val="00A56C5F"/>
    <w:rsid w:val="00A811C9"/>
    <w:rsid w:val="00A81C85"/>
    <w:rsid w:val="00A84FD8"/>
    <w:rsid w:val="00A86983"/>
    <w:rsid w:val="00A8701C"/>
    <w:rsid w:val="00A87CEF"/>
    <w:rsid w:val="00AA4249"/>
    <w:rsid w:val="00AA7C75"/>
    <w:rsid w:val="00AB3415"/>
    <w:rsid w:val="00AC152E"/>
    <w:rsid w:val="00AC1E13"/>
    <w:rsid w:val="00AC623B"/>
    <w:rsid w:val="00AC7BAC"/>
    <w:rsid w:val="00AD119E"/>
    <w:rsid w:val="00AD4351"/>
    <w:rsid w:val="00AE595E"/>
    <w:rsid w:val="00AE6287"/>
    <w:rsid w:val="00AF2B0B"/>
    <w:rsid w:val="00AF39A8"/>
    <w:rsid w:val="00AF5686"/>
    <w:rsid w:val="00B053F8"/>
    <w:rsid w:val="00B07132"/>
    <w:rsid w:val="00B10FC2"/>
    <w:rsid w:val="00B11606"/>
    <w:rsid w:val="00B14DF9"/>
    <w:rsid w:val="00B21B21"/>
    <w:rsid w:val="00B21C2A"/>
    <w:rsid w:val="00B22104"/>
    <w:rsid w:val="00B301EC"/>
    <w:rsid w:val="00B419A8"/>
    <w:rsid w:val="00B53213"/>
    <w:rsid w:val="00B55A78"/>
    <w:rsid w:val="00B57E6F"/>
    <w:rsid w:val="00B60EBA"/>
    <w:rsid w:val="00B6321A"/>
    <w:rsid w:val="00B70342"/>
    <w:rsid w:val="00B76127"/>
    <w:rsid w:val="00B815C6"/>
    <w:rsid w:val="00B81755"/>
    <w:rsid w:val="00BA4C68"/>
    <w:rsid w:val="00BA7CFC"/>
    <w:rsid w:val="00BB3F23"/>
    <w:rsid w:val="00BB5D5E"/>
    <w:rsid w:val="00BB693E"/>
    <w:rsid w:val="00BB6DD3"/>
    <w:rsid w:val="00BC2895"/>
    <w:rsid w:val="00BD656D"/>
    <w:rsid w:val="00BF1D6F"/>
    <w:rsid w:val="00BF3708"/>
    <w:rsid w:val="00BF6C12"/>
    <w:rsid w:val="00BF7669"/>
    <w:rsid w:val="00BF79DE"/>
    <w:rsid w:val="00C018C6"/>
    <w:rsid w:val="00C0418F"/>
    <w:rsid w:val="00C123D6"/>
    <w:rsid w:val="00C22B69"/>
    <w:rsid w:val="00C25036"/>
    <w:rsid w:val="00C340C5"/>
    <w:rsid w:val="00C3418D"/>
    <w:rsid w:val="00C37224"/>
    <w:rsid w:val="00C52880"/>
    <w:rsid w:val="00C53476"/>
    <w:rsid w:val="00C60CA9"/>
    <w:rsid w:val="00C73B12"/>
    <w:rsid w:val="00C74C2D"/>
    <w:rsid w:val="00C7703D"/>
    <w:rsid w:val="00C821B0"/>
    <w:rsid w:val="00C87A51"/>
    <w:rsid w:val="00C94A3E"/>
    <w:rsid w:val="00CA1D83"/>
    <w:rsid w:val="00CA2F29"/>
    <w:rsid w:val="00CA3C96"/>
    <w:rsid w:val="00CA607C"/>
    <w:rsid w:val="00CA6772"/>
    <w:rsid w:val="00CB3512"/>
    <w:rsid w:val="00CB3B22"/>
    <w:rsid w:val="00CB43F1"/>
    <w:rsid w:val="00CC478C"/>
    <w:rsid w:val="00CC61FA"/>
    <w:rsid w:val="00CD2EC6"/>
    <w:rsid w:val="00CD587F"/>
    <w:rsid w:val="00CE076C"/>
    <w:rsid w:val="00CE0B95"/>
    <w:rsid w:val="00CE0F6A"/>
    <w:rsid w:val="00CE6DDC"/>
    <w:rsid w:val="00CE7B35"/>
    <w:rsid w:val="00CF1AA0"/>
    <w:rsid w:val="00CF1FCB"/>
    <w:rsid w:val="00CF3A1C"/>
    <w:rsid w:val="00CF6223"/>
    <w:rsid w:val="00CF72B5"/>
    <w:rsid w:val="00D14241"/>
    <w:rsid w:val="00D1518A"/>
    <w:rsid w:val="00D220D3"/>
    <w:rsid w:val="00D2271E"/>
    <w:rsid w:val="00D235DB"/>
    <w:rsid w:val="00D30322"/>
    <w:rsid w:val="00D37781"/>
    <w:rsid w:val="00D51CD5"/>
    <w:rsid w:val="00D54711"/>
    <w:rsid w:val="00D616FB"/>
    <w:rsid w:val="00D62C0C"/>
    <w:rsid w:val="00D6387D"/>
    <w:rsid w:val="00D64846"/>
    <w:rsid w:val="00D657BC"/>
    <w:rsid w:val="00D762FA"/>
    <w:rsid w:val="00D76EF1"/>
    <w:rsid w:val="00D82DAF"/>
    <w:rsid w:val="00D85336"/>
    <w:rsid w:val="00DA0E82"/>
    <w:rsid w:val="00DA7CBA"/>
    <w:rsid w:val="00DB1E80"/>
    <w:rsid w:val="00DB3F1D"/>
    <w:rsid w:val="00DB7EEF"/>
    <w:rsid w:val="00DC3122"/>
    <w:rsid w:val="00DD24D7"/>
    <w:rsid w:val="00DD390D"/>
    <w:rsid w:val="00DD3C98"/>
    <w:rsid w:val="00DD5503"/>
    <w:rsid w:val="00DD74F1"/>
    <w:rsid w:val="00DF0CF1"/>
    <w:rsid w:val="00DF22DD"/>
    <w:rsid w:val="00DF5229"/>
    <w:rsid w:val="00DF7645"/>
    <w:rsid w:val="00DF7D93"/>
    <w:rsid w:val="00E00BF3"/>
    <w:rsid w:val="00E051D0"/>
    <w:rsid w:val="00E07B10"/>
    <w:rsid w:val="00E1017F"/>
    <w:rsid w:val="00E21A1D"/>
    <w:rsid w:val="00E253A2"/>
    <w:rsid w:val="00E31774"/>
    <w:rsid w:val="00E353C9"/>
    <w:rsid w:val="00E441A7"/>
    <w:rsid w:val="00E457C0"/>
    <w:rsid w:val="00E50761"/>
    <w:rsid w:val="00E51C47"/>
    <w:rsid w:val="00E56970"/>
    <w:rsid w:val="00E56D97"/>
    <w:rsid w:val="00E614A4"/>
    <w:rsid w:val="00E62A5E"/>
    <w:rsid w:val="00E631E8"/>
    <w:rsid w:val="00E66CBB"/>
    <w:rsid w:val="00E66E66"/>
    <w:rsid w:val="00E71E7E"/>
    <w:rsid w:val="00E72679"/>
    <w:rsid w:val="00E74CC2"/>
    <w:rsid w:val="00E76E70"/>
    <w:rsid w:val="00E775AD"/>
    <w:rsid w:val="00E77B33"/>
    <w:rsid w:val="00E806B9"/>
    <w:rsid w:val="00E85AAF"/>
    <w:rsid w:val="00E91521"/>
    <w:rsid w:val="00E91A36"/>
    <w:rsid w:val="00E93F27"/>
    <w:rsid w:val="00EA1B3B"/>
    <w:rsid w:val="00EA51BB"/>
    <w:rsid w:val="00EB3C49"/>
    <w:rsid w:val="00EB6103"/>
    <w:rsid w:val="00EC182A"/>
    <w:rsid w:val="00EC6D8E"/>
    <w:rsid w:val="00ED1024"/>
    <w:rsid w:val="00ED52B3"/>
    <w:rsid w:val="00ED7E60"/>
    <w:rsid w:val="00EE3551"/>
    <w:rsid w:val="00EE4FC3"/>
    <w:rsid w:val="00EF65D2"/>
    <w:rsid w:val="00F0301D"/>
    <w:rsid w:val="00F12B38"/>
    <w:rsid w:val="00F25172"/>
    <w:rsid w:val="00F25CF2"/>
    <w:rsid w:val="00F27EAE"/>
    <w:rsid w:val="00F32B8F"/>
    <w:rsid w:val="00F34D04"/>
    <w:rsid w:val="00F35BC0"/>
    <w:rsid w:val="00F41444"/>
    <w:rsid w:val="00F44DBD"/>
    <w:rsid w:val="00F50BD2"/>
    <w:rsid w:val="00F5267C"/>
    <w:rsid w:val="00F5531A"/>
    <w:rsid w:val="00F56F7C"/>
    <w:rsid w:val="00F6284B"/>
    <w:rsid w:val="00F63B59"/>
    <w:rsid w:val="00F75C17"/>
    <w:rsid w:val="00F811CF"/>
    <w:rsid w:val="00F8340E"/>
    <w:rsid w:val="00F87A26"/>
    <w:rsid w:val="00F919DB"/>
    <w:rsid w:val="00F92A70"/>
    <w:rsid w:val="00F951BA"/>
    <w:rsid w:val="00F96002"/>
    <w:rsid w:val="00FA7CE4"/>
    <w:rsid w:val="00FB1B56"/>
    <w:rsid w:val="00FB30FA"/>
    <w:rsid w:val="00FB36C4"/>
    <w:rsid w:val="00FC0093"/>
    <w:rsid w:val="00FC13F4"/>
    <w:rsid w:val="00FC2D16"/>
    <w:rsid w:val="00FC380B"/>
    <w:rsid w:val="00FC638F"/>
    <w:rsid w:val="00FD405F"/>
    <w:rsid w:val="00FE0C16"/>
    <w:rsid w:val="00FE25A7"/>
    <w:rsid w:val="00FE5300"/>
    <w:rsid w:val="00FE7477"/>
    <w:rsid w:val="00FE7F09"/>
    <w:rsid w:val="00FF0AE9"/>
    <w:rsid w:val="059B45D3"/>
    <w:rsid w:val="06350148"/>
    <w:rsid w:val="07464485"/>
    <w:rsid w:val="085615D8"/>
    <w:rsid w:val="0B03131C"/>
    <w:rsid w:val="0B2D3FCC"/>
    <w:rsid w:val="0B4063B5"/>
    <w:rsid w:val="0C392D99"/>
    <w:rsid w:val="0FCF2CB3"/>
    <w:rsid w:val="11F80C6B"/>
    <w:rsid w:val="12583D79"/>
    <w:rsid w:val="132A41A3"/>
    <w:rsid w:val="138A7748"/>
    <w:rsid w:val="158346E7"/>
    <w:rsid w:val="163D6D36"/>
    <w:rsid w:val="168B6A64"/>
    <w:rsid w:val="17CF46F8"/>
    <w:rsid w:val="17E2686B"/>
    <w:rsid w:val="194E5ACF"/>
    <w:rsid w:val="19BE0B33"/>
    <w:rsid w:val="1A2B4953"/>
    <w:rsid w:val="1A941901"/>
    <w:rsid w:val="1B800033"/>
    <w:rsid w:val="1B8E75AE"/>
    <w:rsid w:val="1BEF3938"/>
    <w:rsid w:val="1DF117AC"/>
    <w:rsid w:val="1E75478C"/>
    <w:rsid w:val="1FB045AD"/>
    <w:rsid w:val="1FE67BD8"/>
    <w:rsid w:val="213819BC"/>
    <w:rsid w:val="21436C38"/>
    <w:rsid w:val="23B22D00"/>
    <w:rsid w:val="2538309C"/>
    <w:rsid w:val="26351230"/>
    <w:rsid w:val="267D5BBB"/>
    <w:rsid w:val="272C2D20"/>
    <w:rsid w:val="27A955B2"/>
    <w:rsid w:val="28BF7C33"/>
    <w:rsid w:val="2A30622E"/>
    <w:rsid w:val="2ACE5151"/>
    <w:rsid w:val="2BD2446D"/>
    <w:rsid w:val="2C876965"/>
    <w:rsid w:val="2CB46AD1"/>
    <w:rsid w:val="2E63657D"/>
    <w:rsid w:val="2EA10E4E"/>
    <w:rsid w:val="2EE36DFF"/>
    <w:rsid w:val="2FC72C03"/>
    <w:rsid w:val="2FF945E3"/>
    <w:rsid w:val="32085559"/>
    <w:rsid w:val="32270343"/>
    <w:rsid w:val="332D54B5"/>
    <w:rsid w:val="35F770FB"/>
    <w:rsid w:val="369515DB"/>
    <w:rsid w:val="36FC0225"/>
    <w:rsid w:val="38107D93"/>
    <w:rsid w:val="392F6450"/>
    <w:rsid w:val="3A48005D"/>
    <w:rsid w:val="3A58007A"/>
    <w:rsid w:val="3A615C97"/>
    <w:rsid w:val="3A910F02"/>
    <w:rsid w:val="3C537E4A"/>
    <w:rsid w:val="3D5D0F81"/>
    <w:rsid w:val="3D8648DF"/>
    <w:rsid w:val="3DB879E3"/>
    <w:rsid w:val="3E0E3B8C"/>
    <w:rsid w:val="3ED50E16"/>
    <w:rsid w:val="40593151"/>
    <w:rsid w:val="416B69A1"/>
    <w:rsid w:val="422B5673"/>
    <w:rsid w:val="42377B50"/>
    <w:rsid w:val="4313263E"/>
    <w:rsid w:val="45E93B52"/>
    <w:rsid w:val="46100547"/>
    <w:rsid w:val="46161D8A"/>
    <w:rsid w:val="46321B35"/>
    <w:rsid w:val="464C7F50"/>
    <w:rsid w:val="465F0278"/>
    <w:rsid w:val="4684785D"/>
    <w:rsid w:val="46BE54C6"/>
    <w:rsid w:val="46C40CDF"/>
    <w:rsid w:val="47C32DC6"/>
    <w:rsid w:val="48B2561E"/>
    <w:rsid w:val="48D9673C"/>
    <w:rsid w:val="49E96DB0"/>
    <w:rsid w:val="4A3A6A96"/>
    <w:rsid w:val="4A881ED3"/>
    <w:rsid w:val="4B485588"/>
    <w:rsid w:val="4B5A04FB"/>
    <w:rsid w:val="4C0E0CCA"/>
    <w:rsid w:val="4D963794"/>
    <w:rsid w:val="4E3306AB"/>
    <w:rsid w:val="4EFD0A05"/>
    <w:rsid w:val="503B5310"/>
    <w:rsid w:val="50AB0C4F"/>
    <w:rsid w:val="531307AF"/>
    <w:rsid w:val="53FE3368"/>
    <w:rsid w:val="541D112D"/>
    <w:rsid w:val="54705694"/>
    <w:rsid w:val="54D428D5"/>
    <w:rsid w:val="551920C4"/>
    <w:rsid w:val="5529570F"/>
    <w:rsid w:val="55697CAB"/>
    <w:rsid w:val="56AB12BF"/>
    <w:rsid w:val="58230E6E"/>
    <w:rsid w:val="582C6F4B"/>
    <w:rsid w:val="587272B6"/>
    <w:rsid w:val="59BD78AD"/>
    <w:rsid w:val="5A316D03"/>
    <w:rsid w:val="5A8D1899"/>
    <w:rsid w:val="5B9D09D1"/>
    <w:rsid w:val="5CEA61C6"/>
    <w:rsid w:val="5CF61AB3"/>
    <w:rsid w:val="5DBF7583"/>
    <w:rsid w:val="5DF24738"/>
    <w:rsid w:val="5E4E41A4"/>
    <w:rsid w:val="5E9C70B9"/>
    <w:rsid w:val="5F073B1C"/>
    <w:rsid w:val="5F0C3690"/>
    <w:rsid w:val="60352446"/>
    <w:rsid w:val="608E05F9"/>
    <w:rsid w:val="60E11F18"/>
    <w:rsid w:val="61A9615E"/>
    <w:rsid w:val="62343F4D"/>
    <w:rsid w:val="62830E22"/>
    <w:rsid w:val="6298021D"/>
    <w:rsid w:val="6306169A"/>
    <w:rsid w:val="63982585"/>
    <w:rsid w:val="641A14AB"/>
    <w:rsid w:val="647E73D4"/>
    <w:rsid w:val="64E6707B"/>
    <w:rsid w:val="65A007C7"/>
    <w:rsid w:val="65C47C3C"/>
    <w:rsid w:val="664D168F"/>
    <w:rsid w:val="670E0DE0"/>
    <w:rsid w:val="679541D4"/>
    <w:rsid w:val="67B41B42"/>
    <w:rsid w:val="687A04C1"/>
    <w:rsid w:val="6BBD0EFE"/>
    <w:rsid w:val="6EB675EE"/>
    <w:rsid w:val="6F5846B4"/>
    <w:rsid w:val="709A1A9E"/>
    <w:rsid w:val="72477C98"/>
    <w:rsid w:val="72821E65"/>
    <w:rsid w:val="72A320FB"/>
    <w:rsid w:val="73704AB2"/>
    <w:rsid w:val="740B3DF0"/>
    <w:rsid w:val="74BE0638"/>
    <w:rsid w:val="75243E99"/>
    <w:rsid w:val="769C155A"/>
    <w:rsid w:val="776215BB"/>
    <w:rsid w:val="7896640F"/>
    <w:rsid w:val="792E1586"/>
    <w:rsid w:val="7AAC0320"/>
    <w:rsid w:val="7C135DFE"/>
    <w:rsid w:val="7C53395A"/>
    <w:rsid w:val="7DBE5C8E"/>
    <w:rsid w:val="7E325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12" w:lineRule="auto"/>
      <w:ind w:firstLine="200" w:firstLineChars="200"/>
      <w:jc w:val="both"/>
    </w:pPr>
    <w:rPr>
      <w:rFonts w:ascii="宋体" w:hAnsi="Times New Roman" w:eastAsia="宋体" w:cs="Times New Roman"/>
      <w:kern w:val="2"/>
      <w:sz w:val="21"/>
      <w:szCs w:val="24"/>
      <w:lang w:val="en-US" w:eastAsia="zh-CN" w:bidi="ar-SA"/>
    </w:rPr>
  </w:style>
  <w:style w:type="paragraph" w:styleId="2">
    <w:name w:val="heading 1"/>
    <w:basedOn w:val="1"/>
    <w:next w:val="1"/>
    <w:link w:val="81"/>
    <w:qFormat/>
    <w:uiPriority w:val="9"/>
    <w:pPr>
      <w:keepNext/>
      <w:keepLines/>
      <w:spacing w:beforeLines="100" w:afterLines="100"/>
      <w:ind w:firstLine="0" w:firstLineChars="0"/>
      <w:outlineLvl w:val="0"/>
    </w:pPr>
    <w:rPr>
      <w:rFonts w:ascii="黑体" w:eastAsia="黑体"/>
      <w:bCs/>
      <w:kern w:val="44"/>
      <w:sz w:val="20"/>
      <w:szCs w:val="44"/>
    </w:rPr>
  </w:style>
  <w:style w:type="paragraph" w:styleId="3">
    <w:name w:val="heading 2"/>
    <w:basedOn w:val="1"/>
    <w:next w:val="1"/>
    <w:link w:val="55"/>
    <w:qFormat/>
    <w:uiPriority w:val="0"/>
    <w:pPr>
      <w:keepNext/>
      <w:keepLines/>
      <w:spacing w:beforeLines="50" w:afterLines="50"/>
      <w:ind w:firstLine="0" w:firstLineChars="0"/>
      <w:outlineLvl w:val="1"/>
    </w:pPr>
    <w:rPr>
      <w:rFonts w:ascii="黑体" w:hAnsi="Arial" w:eastAsia="黑体"/>
      <w:bCs/>
      <w:kern w:val="0"/>
      <w:sz w:val="20"/>
      <w:szCs w:val="32"/>
    </w:rPr>
  </w:style>
  <w:style w:type="paragraph" w:styleId="4">
    <w:name w:val="heading 3"/>
    <w:basedOn w:val="5"/>
    <w:next w:val="1"/>
    <w:link w:val="97"/>
    <w:qFormat/>
    <w:uiPriority w:val="0"/>
    <w:pPr>
      <w:numPr>
        <w:ilvl w:val="0"/>
        <w:numId w:val="0"/>
      </w:numPr>
      <w:spacing w:beforeLines="50" w:afterLines="50" w:line="240" w:lineRule="auto"/>
      <w:jc w:val="left"/>
    </w:pPr>
    <w:rPr>
      <w:color w:val="000000"/>
    </w:rPr>
  </w:style>
  <w:style w:type="paragraph" w:styleId="8">
    <w:name w:val="heading 4"/>
    <w:basedOn w:val="1"/>
    <w:next w:val="1"/>
    <w:link w:val="77"/>
    <w:qFormat/>
    <w:uiPriority w:val="0"/>
    <w:pPr>
      <w:keepNext/>
      <w:keepLines/>
      <w:spacing w:line="360" w:lineRule="auto"/>
      <w:ind w:firstLine="0" w:firstLineChars="0"/>
      <w:outlineLvl w:val="3"/>
    </w:pPr>
    <w:rPr>
      <w:rFonts w:ascii="黑体" w:hAnsi="Arial" w:eastAsia="黑体"/>
      <w:bCs/>
      <w:kern w:val="0"/>
      <w:sz w:val="20"/>
      <w:szCs w:val="28"/>
    </w:rPr>
  </w:style>
  <w:style w:type="paragraph" w:styleId="9">
    <w:name w:val="heading 5"/>
    <w:basedOn w:val="1"/>
    <w:next w:val="1"/>
    <w:link w:val="68"/>
    <w:qFormat/>
    <w:uiPriority w:val="0"/>
    <w:pPr>
      <w:keepNext/>
      <w:keepLines/>
      <w:spacing w:before="280" w:after="290" w:line="372" w:lineRule="auto"/>
      <w:outlineLvl w:val="4"/>
    </w:pPr>
    <w:rPr>
      <w:rFonts w:ascii="Times New Roman"/>
      <w:b/>
      <w:bCs/>
      <w:kern w:val="0"/>
      <w:sz w:val="28"/>
      <w:szCs w:val="28"/>
    </w:rPr>
  </w:style>
  <w:style w:type="paragraph" w:styleId="10">
    <w:name w:val="heading 6"/>
    <w:basedOn w:val="1"/>
    <w:next w:val="1"/>
    <w:link w:val="78"/>
    <w:qFormat/>
    <w:uiPriority w:val="0"/>
    <w:pPr>
      <w:keepNext/>
      <w:keepLines/>
      <w:spacing w:before="240" w:after="64" w:line="317" w:lineRule="auto"/>
      <w:outlineLvl w:val="5"/>
    </w:pPr>
    <w:rPr>
      <w:rFonts w:ascii="Arial" w:hAnsi="Arial" w:eastAsia="黑体"/>
      <w:b/>
      <w:bCs/>
      <w:kern w:val="0"/>
      <w:sz w:val="24"/>
    </w:rPr>
  </w:style>
  <w:style w:type="paragraph" w:styleId="11">
    <w:name w:val="heading 7"/>
    <w:basedOn w:val="1"/>
    <w:next w:val="1"/>
    <w:link w:val="94"/>
    <w:qFormat/>
    <w:uiPriority w:val="0"/>
    <w:pPr>
      <w:keepNext/>
      <w:keepLines/>
      <w:spacing w:before="240" w:after="64" w:line="317" w:lineRule="auto"/>
      <w:outlineLvl w:val="6"/>
    </w:pPr>
    <w:rPr>
      <w:rFonts w:ascii="Times New Roman"/>
      <w:b/>
      <w:bCs/>
      <w:kern w:val="0"/>
      <w:sz w:val="24"/>
    </w:rPr>
  </w:style>
  <w:style w:type="paragraph" w:styleId="12">
    <w:name w:val="heading 8"/>
    <w:basedOn w:val="1"/>
    <w:next w:val="1"/>
    <w:link w:val="104"/>
    <w:qFormat/>
    <w:uiPriority w:val="0"/>
    <w:pPr>
      <w:keepNext/>
      <w:keepLines/>
      <w:spacing w:before="240" w:after="64" w:line="317" w:lineRule="auto"/>
      <w:outlineLvl w:val="7"/>
    </w:pPr>
    <w:rPr>
      <w:rFonts w:ascii="Arial" w:hAnsi="Arial" w:eastAsia="黑体"/>
      <w:kern w:val="0"/>
      <w:sz w:val="24"/>
    </w:rPr>
  </w:style>
  <w:style w:type="paragraph" w:styleId="13">
    <w:name w:val="heading 9"/>
    <w:basedOn w:val="1"/>
    <w:next w:val="1"/>
    <w:link w:val="93"/>
    <w:qFormat/>
    <w:uiPriority w:val="0"/>
    <w:pPr>
      <w:keepNext/>
      <w:keepLines/>
      <w:spacing w:before="240" w:after="64" w:line="317" w:lineRule="auto"/>
      <w:outlineLvl w:val="8"/>
    </w:pPr>
    <w:rPr>
      <w:rFonts w:ascii="Arial" w:hAnsi="Arial" w:eastAsia="黑体"/>
      <w:kern w:val="0"/>
      <w:sz w:val="20"/>
      <w:szCs w:val="21"/>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customStyle="1" w:styleId="5">
    <w:name w:val="一级条标题"/>
    <w:basedOn w:val="6"/>
    <w:next w:val="7"/>
    <w:link w:val="103"/>
    <w:qFormat/>
    <w:uiPriority w:val="0"/>
    <w:pPr>
      <w:numPr>
        <w:ilvl w:val="2"/>
      </w:numPr>
      <w:spacing w:beforeLines="0" w:afterLines="0" w:line="300" w:lineRule="auto"/>
      <w:outlineLvl w:val="2"/>
    </w:pPr>
    <w:rPr>
      <w:color w:val="FF0000"/>
      <w:spacing w:val="-4"/>
      <w:sz w:val="20"/>
      <w:szCs w:val="24"/>
    </w:rPr>
  </w:style>
  <w:style w:type="paragraph" w:customStyle="1" w:styleId="6">
    <w:name w:val="章标题"/>
    <w:next w:val="7"/>
    <w:link w:val="67"/>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7">
    <w:name w:val="段"/>
    <w:link w:val="70"/>
    <w:qFormat/>
    <w:uiPriority w:val="0"/>
    <w:pPr>
      <w:autoSpaceDE w:val="0"/>
      <w:autoSpaceDN w:val="0"/>
      <w:ind w:firstLine="200" w:firstLineChars="200"/>
      <w:jc w:val="both"/>
    </w:pPr>
    <w:rPr>
      <w:rFonts w:ascii="宋体" w:hAnsi="等线" w:eastAsia="等线" w:cs="Times New Roman"/>
      <w:kern w:val="2"/>
      <w:sz w:val="21"/>
      <w:szCs w:val="22"/>
      <w:lang w:val="en-US" w:eastAsia="zh-CN" w:bidi="ar-SA"/>
    </w:rPr>
  </w:style>
  <w:style w:type="paragraph" w:styleId="14">
    <w:name w:val="Normal Indent"/>
    <w:basedOn w:val="1"/>
    <w:qFormat/>
    <w:uiPriority w:val="0"/>
    <w:pPr>
      <w:ind w:firstLine="420"/>
    </w:pPr>
    <w:rPr>
      <w:szCs w:val="20"/>
    </w:rPr>
  </w:style>
  <w:style w:type="paragraph" w:styleId="15">
    <w:name w:val="caption"/>
    <w:basedOn w:val="1"/>
    <w:next w:val="1"/>
    <w:qFormat/>
    <w:uiPriority w:val="0"/>
    <w:pPr>
      <w:spacing w:before="152" w:after="160"/>
    </w:pPr>
    <w:rPr>
      <w:rFonts w:ascii="Arial" w:hAnsi="Arial" w:eastAsia="黑体"/>
      <w:szCs w:val="20"/>
    </w:rPr>
  </w:style>
  <w:style w:type="paragraph" w:styleId="16">
    <w:name w:val="Document Map"/>
    <w:basedOn w:val="1"/>
    <w:link w:val="69"/>
    <w:qFormat/>
    <w:uiPriority w:val="0"/>
    <w:rPr>
      <w:kern w:val="0"/>
      <w:sz w:val="18"/>
      <w:szCs w:val="18"/>
    </w:rPr>
  </w:style>
  <w:style w:type="paragraph" w:styleId="17">
    <w:name w:val="annotation text"/>
    <w:basedOn w:val="1"/>
    <w:link w:val="53"/>
    <w:qFormat/>
    <w:uiPriority w:val="0"/>
    <w:pPr>
      <w:jc w:val="left"/>
    </w:pPr>
    <w:rPr>
      <w:rFonts w:ascii="Times New Roman"/>
      <w:kern w:val="0"/>
      <w:sz w:val="20"/>
    </w:rPr>
  </w:style>
  <w:style w:type="paragraph" w:styleId="18">
    <w:name w:val="Body Text"/>
    <w:basedOn w:val="1"/>
    <w:link w:val="83"/>
    <w:unhideWhenUsed/>
    <w:qFormat/>
    <w:uiPriority w:val="99"/>
    <w:pPr>
      <w:spacing w:after="120"/>
    </w:pPr>
    <w:rPr>
      <w:rFonts w:ascii="Times New Roman"/>
      <w:kern w:val="0"/>
      <w:sz w:val="20"/>
    </w:rPr>
  </w:style>
  <w:style w:type="paragraph" w:styleId="19">
    <w:name w:val="Body Text Indent"/>
    <w:basedOn w:val="1"/>
    <w:link w:val="85"/>
    <w:qFormat/>
    <w:uiPriority w:val="0"/>
    <w:pPr>
      <w:spacing w:line="360" w:lineRule="exact"/>
      <w:ind w:left="420" w:firstLine="480"/>
    </w:pPr>
    <w:rPr>
      <w:rFonts w:ascii="Times New Roman"/>
      <w:kern w:val="0"/>
      <w:sz w:val="24"/>
      <w:szCs w:val="20"/>
    </w:rPr>
  </w:style>
  <w:style w:type="paragraph" w:styleId="20">
    <w:name w:val="HTML Address"/>
    <w:basedOn w:val="1"/>
    <w:link w:val="98"/>
    <w:qFormat/>
    <w:uiPriority w:val="0"/>
    <w:rPr>
      <w:rFonts w:ascii="Times New Roman"/>
      <w:i/>
      <w:iCs/>
      <w:kern w:val="0"/>
      <w:sz w:val="20"/>
    </w:rPr>
  </w:style>
  <w:style w:type="paragraph" w:styleId="21">
    <w:name w:val="toc 3"/>
    <w:basedOn w:val="1"/>
    <w:next w:val="1"/>
    <w:qFormat/>
    <w:uiPriority w:val="39"/>
    <w:pPr>
      <w:ind w:left="840" w:leftChars="400"/>
    </w:pPr>
  </w:style>
  <w:style w:type="paragraph" w:styleId="22">
    <w:name w:val="Plain Text"/>
    <w:basedOn w:val="1"/>
    <w:link w:val="65"/>
    <w:qFormat/>
    <w:uiPriority w:val="0"/>
    <w:rPr>
      <w:rFonts w:hAnsi="Courier New"/>
      <w:kern w:val="0"/>
      <w:sz w:val="20"/>
      <w:szCs w:val="21"/>
    </w:rPr>
  </w:style>
  <w:style w:type="paragraph" w:styleId="23">
    <w:name w:val="Date"/>
    <w:basedOn w:val="1"/>
    <w:next w:val="1"/>
    <w:link w:val="102"/>
    <w:qFormat/>
    <w:uiPriority w:val="0"/>
    <w:pPr>
      <w:ind w:left="100" w:leftChars="2500"/>
    </w:pPr>
    <w:rPr>
      <w:rFonts w:ascii="Times New Roman"/>
      <w:kern w:val="0"/>
      <w:sz w:val="24"/>
      <w:szCs w:val="20"/>
    </w:rPr>
  </w:style>
  <w:style w:type="paragraph" w:styleId="24">
    <w:name w:val="Body Text Indent 2"/>
    <w:basedOn w:val="1"/>
    <w:link w:val="79"/>
    <w:qFormat/>
    <w:uiPriority w:val="0"/>
    <w:pPr>
      <w:spacing w:after="120" w:line="480" w:lineRule="auto"/>
      <w:ind w:left="420" w:leftChars="200"/>
    </w:pPr>
    <w:rPr>
      <w:rFonts w:ascii="Times New Roman"/>
      <w:kern w:val="0"/>
      <w:sz w:val="20"/>
    </w:rPr>
  </w:style>
  <w:style w:type="paragraph" w:styleId="25">
    <w:name w:val="Balloon Text"/>
    <w:basedOn w:val="1"/>
    <w:link w:val="99"/>
    <w:qFormat/>
    <w:uiPriority w:val="0"/>
    <w:rPr>
      <w:rFonts w:ascii="Times New Roman"/>
      <w:kern w:val="0"/>
      <w:sz w:val="18"/>
      <w:szCs w:val="18"/>
    </w:rPr>
  </w:style>
  <w:style w:type="paragraph" w:styleId="26">
    <w:name w:val="footer"/>
    <w:basedOn w:val="1"/>
    <w:link w:val="74"/>
    <w:unhideWhenUsed/>
    <w:qFormat/>
    <w:uiPriority w:val="0"/>
    <w:pPr>
      <w:tabs>
        <w:tab w:val="center" w:pos="4153"/>
        <w:tab w:val="right" w:pos="8306"/>
      </w:tabs>
      <w:jc w:val="left"/>
    </w:pPr>
    <w:rPr>
      <w:rFonts w:ascii="等线" w:hAnsi="等线" w:eastAsia="等线"/>
      <w:kern w:val="0"/>
      <w:sz w:val="18"/>
      <w:szCs w:val="18"/>
    </w:rPr>
  </w:style>
  <w:style w:type="paragraph" w:styleId="27">
    <w:name w:val="header"/>
    <w:basedOn w:val="1"/>
    <w:link w:val="101"/>
    <w:unhideWhenUsed/>
    <w:qFormat/>
    <w:uiPriority w:val="0"/>
    <w:pPr>
      <w:pBdr>
        <w:bottom w:val="single" w:color="auto" w:sz="6" w:space="1"/>
      </w:pBdr>
      <w:tabs>
        <w:tab w:val="center" w:pos="4153"/>
        <w:tab w:val="right" w:pos="8306"/>
      </w:tabs>
      <w:jc w:val="center"/>
    </w:pPr>
    <w:rPr>
      <w:rFonts w:ascii="等线" w:hAnsi="等线" w:eastAsia="等线"/>
      <w:kern w:val="0"/>
      <w:sz w:val="18"/>
      <w:szCs w:val="18"/>
    </w:rPr>
  </w:style>
  <w:style w:type="paragraph" w:styleId="28">
    <w:name w:val="toc 1"/>
    <w:basedOn w:val="1"/>
    <w:next w:val="1"/>
    <w:qFormat/>
    <w:uiPriority w:val="39"/>
  </w:style>
  <w:style w:type="paragraph" w:styleId="29">
    <w:name w:val="footnote text"/>
    <w:basedOn w:val="1"/>
    <w:link w:val="52"/>
    <w:qFormat/>
    <w:uiPriority w:val="0"/>
    <w:pPr>
      <w:jc w:val="left"/>
    </w:pPr>
    <w:rPr>
      <w:rFonts w:ascii="Times New Roman"/>
      <w:kern w:val="0"/>
      <w:sz w:val="18"/>
      <w:szCs w:val="18"/>
    </w:rPr>
  </w:style>
  <w:style w:type="paragraph" w:styleId="30">
    <w:name w:val="toc 2"/>
    <w:basedOn w:val="1"/>
    <w:next w:val="1"/>
    <w:qFormat/>
    <w:uiPriority w:val="39"/>
    <w:pPr>
      <w:ind w:left="420" w:leftChars="200"/>
    </w:pPr>
  </w:style>
  <w:style w:type="paragraph" w:styleId="31">
    <w:name w:val="HTML Preformatted"/>
    <w:basedOn w:val="1"/>
    <w:link w:val="95"/>
    <w:qFormat/>
    <w:uiPriority w:val="0"/>
    <w:rPr>
      <w:rFonts w:ascii="Courier New" w:hAnsi="Courier New"/>
      <w:kern w:val="0"/>
      <w:sz w:val="20"/>
      <w:szCs w:val="20"/>
    </w:rPr>
  </w:style>
  <w:style w:type="paragraph" w:styleId="32">
    <w:name w:val="Normal (Web)"/>
    <w:basedOn w:val="1"/>
    <w:unhideWhenUsed/>
    <w:qFormat/>
    <w:uiPriority w:val="99"/>
    <w:pPr>
      <w:widowControl/>
      <w:spacing w:before="100" w:beforeAutospacing="1" w:after="100" w:afterAutospacing="1"/>
      <w:jc w:val="left"/>
    </w:pPr>
    <w:rPr>
      <w:rFonts w:hAnsi="宋体" w:cs="宋体"/>
      <w:kern w:val="0"/>
    </w:rPr>
  </w:style>
  <w:style w:type="paragraph" w:styleId="33">
    <w:name w:val="Title"/>
    <w:basedOn w:val="1"/>
    <w:link w:val="58"/>
    <w:qFormat/>
    <w:uiPriority w:val="0"/>
    <w:pPr>
      <w:spacing w:before="240" w:after="60"/>
      <w:jc w:val="center"/>
      <w:outlineLvl w:val="0"/>
    </w:pPr>
    <w:rPr>
      <w:rFonts w:ascii="Arial" w:hAnsi="Arial"/>
      <w:b/>
      <w:bCs/>
      <w:kern w:val="0"/>
      <w:sz w:val="32"/>
      <w:szCs w:val="32"/>
    </w:rPr>
  </w:style>
  <w:style w:type="paragraph" w:styleId="34">
    <w:name w:val="annotation subject"/>
    <w:basedOn w:val="17"/>
    <w:next w:val="17"/>
    <w:link w:val="84"/>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0"/>
    <w:rPr>
      <w:rFonts w:ascii="Times New Roman" w:hAnsi="Times New Roman" w:eastAsia="宋体"/>
      <w:sz w:val="18"/>
    </w:rPr>
  </w:style>
  <w:style w:type="character" w:styleId="40">
    <w:name w:val="FollowedHyperlink"/>
    <w:unhideWhenUsed/>
    <w:qFormat/>
    <w:uiPriority w:val="99"/>
    <w:rPr>
      <w:color w:val="954F72"/>
      <w:u w:val="single"/>
    </w:rPr>
  </w:style>
  <w:style w:type="character" w:styleId="41">
    <w:name w:val="HTML Definition"/>
    <w:qFormat/>
    <w:uiPriority w:val="0"/>
    <w:rPr>
      <w:i/>
      <w:iCs/>
    </w:rPr>
  </w:style>
  <w:style w:type="character" w:styleId="42">
    <w:name w:val="HTML Typewriter"/>
    <w:qFormat/>
    <w:uiPriority w:val="0"/>
    <w:rPr>
      <w:rFonts w:ascii="Courier New" w:hAnsi="Courier New"/>
      <w:sz w:val="20"/>
      <w:szCs w:val="20"/>
    </w:rPr>
  </w:style>
  <w:style w:type="character" w:styleId="43">
    <w:name w:val="HTML Acronym"/>
    <w:basedOn w:val="37"/>
    <w:qFormat/>
    <w:uiPriority w:val="0"/>
  </w:style>
  <w:style w:type="character" w:styleId="44">
    <w:name w:val="HTML Variable"/>
    <w:qFormat/>
    <w:uiPriority w:val="0"/>
    <w:rPr>
      <w:i/>
      <w:iCs/>
    </w:rPr>
  </w:style>
  <w:style w:type="character" w:styleId="45">
    <w:name w:val="Hyperlink"/>
    <w:qFormat/>
    <w:uiPriority w:val="99"/>
    <w:rPr>
      <w:rFonts w:ascii="Times New Roman" w:hAnsi="Times New Roman" w:eastAsia="宋体"/>
      <w:color w:val="auto"/>
      <w:spacing w:val="0"/>
      <w:w w:val="100"/>
      <w:position w:val="0"/>
      <w:sz w:val="21"/>
      <w:u w:val="none"/>
      <w:vertAlign w:val="baseline"/>
    </w:rPr>
  </w:style>
  <w:style w:type="character" w:styleId="46">
    <w:name w:val="HTML Code"/>
    <w:qFormat/>
    <w:uiPriority w:val="0"/>
    <w:rPr>
      <w:rFonts w:ascii="Courier New" w:hAnsi="Courier New"/>
      <w:sz w:val="20"/>
      <w:szCs w:val="20"/>
    </w:rPr>
  </w:style>
  <w:style w:type="character" w:styleId="47">
    <w:name w:val="annotation reference"/>
    <w:qFormat/>
    <w:uiPriority w:val="0"/>
    <w:rPr>
      <w:sz w:val="21"/>
      <w:szCs w:val="21"/>
    </w:rPr>
  </w:style>
  <w:style w:type="character" w:styleId="48">
    <w:name w:val="HTML Cite"/>
    <w:qFormat/>
    <w:uiPriority w:val="0"/>
    <w:rPr>
      <w:i/>
      <w:iCs/>
    </w:rPr>
  </w:style>
  <w:style w:type="character" w:styleId="49">
    <w:name w:val="footnote reference"/>
    <w:qFormat/>
    <w:uiPriority w:val="0"/>
    <w:rPr>
      <w:vertAlign w:val="superscript"/>
    </w:rPr>
  </w:style>
  <w:style w:type="character" w:styleId="50">
    <w:name w:val="HTML Keyboard"/>
    <w:qFormat/>
    <w:uiPriority w:val="0"/>
    <w:rPr>
      <w:rFonts w:ascii="Courier New" w:hAnsi="Courier New"/>
      <w:sz w:val="20"/>
      <w:szCs w:val="20"/>
    </w:rPr>
  </w:style>
  <w:style w:type="character" w:styleId="51">
    <w:name w:val="HTML Sample"/>
    <w:qFormat/>
    <w:uiPriority w:val="0"/>
    <w:rPr>
      <w:rFonts w:ascii="Courier New" w:hAnsi="Courier New"/>
    </w:rPr>
  </w:style>
  <w:style w:type="character" w:customStyle="1" w:styleId="52">
    <w:name w:val="脚注文本 字符"/>
    <w:link w:val="29"/>
    <w:qFormat/>
    <w:uiPriority w:val="0"/>
    <w:rPr>
      <w:rFonts w:ascii="Times New Roman" w:hAnsi="Times New Roman" w:eastAsia="宋体" w:cs="Times New Roman"/>
      <w:sz w:val="18"/>
      <w:szCs w:val="18"/>
    </w:rPr>
  </w:style>
  <w:style w:type="character" w:customStyle="1" w:styleId="53">
    <w:name w:val="批注文字 字符1"/>
    <w:link w:val="17"/>
    <w:qFormat/>
    <w:uiPriority w:val="0"/>
    <w:rPr>
      <w:rFonts w:ascii="Times New Roman" w:hAnsi="Times New Roman" w:eastAsia="宋体" w:cs="Times New Roman"/>
      <w:szCs w:val="24"/>
    </w:rPr>
  </w:style>
  <w:style w:type="character" w:customStyle="1" w:styleId="54">
    <w:name w:val="文档结构图 字符"/>
    <w:semiHidden/>
    <w:qFormat/>
    <w:uiPriority w:val="99"/>
    <w:rPr>
      <w:rFonts w:ascii="Microsoft YaHei UI" w:hAnsi="Times New Roman" w:eastAsia="Microsoft YaHei UI" w:cs="Times New Roman"/>
      <w:sz w:val="18"/>
      <w:szCs w:val="18"/>
    </w:rPr>
  </w:style>
  <w:style w:type="character" w:customStyle="1" w:styleId="55">
    <w:name w:val="标题 2 字符"/>
    <w:link w:val="3"/>
    <w:qFormat/>
    <w:uiPriority w:val="0"/>
    <w:rPr>
      <w:rFonts w:ascii="黑体" w:hAnsi="Arial" w:eastAsia="黑体" w:cs="Times New Roman"/>
      <w:bCs/>
      <w:szCs w:val="32"/>
    </w:rPr>
  </w:style>
  <w:style w:type="character" w:customStyle="1" w:styleId="56">
    <w:name w:val="页眉 Char"/>
    <w:qFormat/>
    <w:uiPriority w:val="99"/>
    <w:rPr>
      <w:kern w:val="2"/>
      <w:sz w:val="18"/>
      <w:szCs w:val="18"/>
    </w:rPr>
  </w:style>
  <w:style w:type="character" w:customStyle="1" w:styleId="57">
    <w:name w:val="apple-converted-space"/>
    <w:basedOn w:val="37"/>
    <w:qFormat/>
    <w:uiPriority w:val="0"/>
  </w:style>
  <w:style w:type="character" w:customStyle="1" w:styleId="58">
    <w:name w:val="标题 字符"/>
    <w:link w:val="33"/>
    <w:qFormat/>
    <w:uiPriority w:val="0"/>
    <w:rPr>
      <w:rFonts w:ascii="Arial" w:hAnsi="Arial" w:eastAsia="宋体" w:cs="Arial"/>
      <w:b/>
      <w:bCs/>
      <w:sz w:val="32"/>
      <w:szCs w:val="32"/>
    </w:rPr>
  </w:style>
  <w:style w:type="character" w:customStyle="1" w:styleId="59">
    <w:name w:val="二级条标题 Char"/>
    <w:link w:val="60"/>
    <w:qFormat/>
    <w:uiPriority w:val="0"/>
    <w:rPr>
      <w:rFonts w:ascii="黑体" w:eastAsia="黑体"/>
      <w:color w:val="FF0000"/>
      <w:spacing w:val="-4"/>
      <w:szCs w:val="24"/>
    </w:rPr>
  </w:style>
  <w:style w:type="paragraph" w:customStyle="1" w:styleId="60">
    <w:name w:val="二级条标题"/>
    <w:basedOn w:val="5"/>
    <w:next w:val="7"/>
    <w:link w:val="59"/>
    <w:qFormat/>
    <w:uiPriority w:val="0"/>
    <w:pPr>
      <w:numPr>
        <w:ilvl w:val="3"/>
      </w:numPr>
      <w:outlineLvl w:val="3"/>
    </w:pPr>
    <w:rPr>
      <w:rFonts w:hAnsi="等线"/>
    </w:rPr>
  </w:style>
  <w:style w:type="character" w:customStyle="1" w:styleId="61">
    <w:name w:val="批注框文本 字符"/>
    <w:semiHidden/>
    <w:qFormat/>
    <w:uiPriority w:val="99"/>
    <w:rPr>
      <w:rFonts w:ascii="Times New Roman" w:hAnsi="Times New Roman" w:eastAsia="宋体" w:cs="Times New Roman"/>
      <w:sz w:val="18"/>
      <w:szCs w:val="18"/>
    </w:rPr>
  </w:style>
  <w:style w:type="character" w:customStyle="1" w:styleId="62">
    <w:name w:val="正文首行缩进 Char"/>
    <w:link w:val="63"/>
    <w:qFormat/>
    <w:uiPriority w:val="0"/>
    <w:rPr>
      <w:rFonts w:ascii="Times New Roman" w:hAnsi="Times New Roman" w:eastAsia="宋体" w:cs="Times New Roman"/>
      <w:szCs w:val="20"/>
    </w:rPr>
  </w:style>
  <w:style w:type="paragraph" w:customStyle="1" w:styleId="63">
    <w:name w:val="正文首行缩进1"/>
    <w:basedOn w:val="18"/>
    <w:link w:val="62"/>
    <w:qFormat/>
    <w:uiPriority w:val="0"/>
    <w:pPr>
      <w:ind w:firstLine="420"/>
    </w:pPr>
    <w:rPr>
      <w:szCs w:val="20"/>
    </w:rPr>
  </w:style>
  <w:style w:type="character" w:customStyle="1" w:styleId="64">
    <w:name w:val="正文文本缩进 2 字符"/>
    <w:semiHidden/>
    <w:qFormat/>
    <w:uiPriority w:val="99"/>
    <w:rPr>
      <w:rFonts w:ascii="Times New Roman" w:hAnsi="Times New Roman" w:eastAsia="宋体" w:cs="Times New Roman"/>
      <w:szCs w:val="24"/>
    </w:rPr>
  </w:style>
  <w:style w:type="character" w:customStyle="1" w:styleId="65">
    <w:name w:val="纯文本 字符1"/>
    <w:link w:val="22"/>
    <w:qFormat/>
    <w:uiPriority w:val="0"/>
    <w:rPr>
      <w:rFonts w:ascii="宋体" w:hAnsi="Courier New" w:eastAsia="宋体" w:cs="Times New Roman"/>
      <w:szCs w:val="21"/>
    </w:rPr>
  </w:style>
  <w:style w:type="character" w:customStyle="1" w:styleId="66">
    <w:name w:val="fontstyle01"/>
    <w:qFormat/>
    <w:uiPriority w:val="0"/>
    <w:rPr>
      <w:rFonts w:hint="eastAsia" w:ascii="宋体" w:hAnsi="宋体" w:eastAsia="宋体"/>
      <w:color w:val="000000"/>
      <w:sz w:val="24"/>
      <w:szCs w:val="24"/>
    </w:rPr>
  </w:style>
  <w:style w:type="character" w:customStyle="1" w:styleId="67">
    <w:name w:val="章标题 Char"/>
    <w:link w:val="6"/>
    <w:qFormat/>
    <w:uiPriority w:val="0"/>
    <w:rPr>
      <w:rFonts w:ascii="黑体" w:hAnsi="Times New Roman" w:eastAsia="黑体"/>
      <w:sz w:val="21"/>
      <w:lang w:val="en-US" w:eastAsia="zh-CN" w:bidi="ar-SA"/>
    </w:rPr>
  </w:style>
  <w:style w:type="character" w:customStyle="1" w:styleId="68">
    <w:name w:val="标题 5 字符"/>
    <w:link w:val="9"/>
    <w:qFormat/>
    <w:uiPriority w:val="0"/>
    <w:rPr>
      <w:rFonts w:ascii="Times New Roman" w:hAnsi="Times New Roman" w:eastAsia="宋体" w:cs="Times New Roman"/>
      <w:b/>
      <w:bCs/>
      <w:sz w:val="28"/>
      <w:szCs w:val="28"/>
    </w:rPr>
  </w:style>
  <w:style w:type="character" w:customStyle="1" w:styleId="69">
    <w:name w:val="文档结构图 字符1"/>
    <w:link w:val="16"/>
    <w:qFormat/>
    <w:uiPriority w:val="0"/>
    <w:rPr>
      <w:rFonts w:ascii="宋体" w:hAnsi="Times New Roman" w:eastAsia="宋体" w:cs="Times New Roman"/>
      <w:sz w:val="18"/>
      <w:szCs w:val="18"/>
    </w:rPr>
  </w:style>
  <w:style w:type="character" w:customStyle="1" w:styleId="70">
    <w:name w:val="段 Char"/>
    <w:link w:val="7"/>
    <w:qFormat/>
    <w:uiPriority w:val="0"/>
    <w:rPr>
      <w:rFonts w:ascii="宋体"/>
      <w:kern w:val="2"/>
      <w:sz w:val="21"/>
      <w:szCs w:val="22"/>
      <w:lang w:val="en-US" w:eastAsia="zh-CN" w:bidi="ar-SA"/>
    </w:rPr>
  </w:style>
  <w:style w:type="character" w:customStyle="1" w:styleId="71">
    <w:name w:val="fontstyle11"/>
    <w:qFormat/>
    <w:uiPriority w:val="0"/>
    <w:rPr>
      <w:rFonts w:hint="default" w:ascii="Times New Roman" w:hAnsi="Times New Roman" w:cs="Times New Roman"/>
      <w:color w:val="000000"/>
      <w:sz w:val="24"/>
      <w:szCs w:val="24"/>
    </w:rPr>
  </w:style>
  <w:style w:type="character" w:customStyle="1" w:styleId="72">
    <w:name w:val="正文文本缩进 字符"/>
    <w:semiHidden/>
    <w:qFormat/>
    <w:uiPriority w:val="99"/>
    <w:rPr>
      <w:rFonts w:ascii="Times New Roman" w:hAnsi="Times New Roman" w:eastAsia="宋体" w:cs="Times New Roman"/>
      <w:szCs w:val="24"/>
    </w:rPr>
  </w:style>
  <w:style w:type="character" w:customStyle="1" w:styleId="73">
    <w:name w:val="个人答复风格"/>
    <w:qFormat/>
    <w:uiPriority w:val="0"/>
    <w:rPr>
      <w:rFonts w:ascii="Arial" w:hAnsi="Arial" w:eastAsia="宋体" w:cs="Arial"/>
      <w:color w:val="auto"/>
      <w:sz w:val="20"/>
    </w:rPr>
  </w:style>
  <w:style w:type="character" w:customStyle="1" w:styleId="74">
    <w:name w:val="页脚 字符"/>
    <w:link w:val="26"/>
    <w:qFormat/>
    <w:uiPriority w:val="0"/>
    <w:rPr>
      <w:sz w:val="18"/>
      <w:szCs w:val="18"/>
    </w:rPr>
  </w:style>
  <w:style w:type="character" w:customStyle="1" w:styleId="75">
    <w:name w:val="表中文字"/>
    <w:qFormat/>
    <w:uiPriority w:val="0"/>
    <w:rPr>
      <w:rFonts w:ascii="宋体" w:eastAsia="宋体"/>
      <w:sz w:val="18"/>
      <w:lang w:val="en-US" w:eastAsia="zh-CN"/>
    </w:rPr>
  </w:style>
  <w:style w:type="character" w:customStyle="1" w:styleId="76">
    <w:name w:val="正文文本 Char"/>
    <w:qFormat/>
    <w:uiPriority w:val="0"/>
    <w:rPr>
      <w:kern w:val="2"/>
      <w:sz w:val="21"/>
      <w:szCs w:val="24"/>
    </w:rPr>
  </w:style>
  <w:style w:type="character" w:customStyle="1" w:styleId="77">
    <w:name w:val="标题 4 字符"/>
    <w:link w:val="8"/>
    <w:qFormat/>
    <w:uiPriority w:val="0"/>
    <w:rPr>
      <w:rFonts w:ascii="黑体" w:hAnsi="Arial" w:eastAsia="黑体" w:cs="Times New Roman"/>
      <w:bCs/>
      <w:szCs w:val="28"/>
    </w:rPr>
  </w:style>
  <w:style w:type="character" w:customStyle="1" w:styleId="78">
    <w:name w:val="标题 6 字符"/>
    <w:link w:val="10"/>
    <w:qFormat/>
    <w:uiPriority w:val="0"/>
    <w:rPr>
      <w:rFonts w:ascii="Arial" w:hAnsi="Arial" w:eastAsia="黑体" w:cs="Times New Roman"/>
      <w:b/>
      <w:bCs/>
      <w:sz w:val="24"/>
      <w:szCs w:val="24"/>
    </w:rPr>
  </w:style>
  <w:style w:type="character" w:customStyle="1" w:styleId="79">
    <w:name w:val="正文文本缩进 2 字符1"/>
    <w:link w:val="24"/>
    <w:qFormat/>
    <w:uiPriority w:val="0"/>
    <w:rPr>
      <w:rFonts w:ascii="Times New Roman" w:hAnsi="Times New Roman" w:eastAsia="宋体" w:cs="Times New Roman"/>
      <w:szCs w:val="24"/>
    </w:rPr>
  </w:style>
  <w:style w:type="character" w:customStyle="1" w:styleId="80">
    <w:name w:val="发布"/>
    <w:qFormat/>
    <w:uiPriority w:val="0"/>
    <w:rPr>
      <w:rFonts w:ascii="黑体" w:eastAsia="黑体"/>
      <w:spacing w:val="22"/>
      <w:w w:val="100"/>
      <w:position w:val="3"/>
      <w:sz w:val="28"/>
    </w:rPr>
  </w:style>
  <w:style w:type="character" w:customStyle="1" w:styleId="81">
    <w:name w:val="标题 1 字符"/>
    <w:link w:val="2"/>
    <w:qFormat/>
    <w:uiPriority w:val="9"/>
    <w:rPr>
      <w:rFonts w:ascii="黑体" w:hAnsi="Times New Roman" w:eastAsia="黑体" w:cs="Times New Roman"/>
      <w:bCs/>
      <w:kern w:val="44"/>
      <w:szCs w:val="44"/>
    </w:rPr>
  </w:style>
  <w:style w:type="character" w:customStyle="1" w:styleId="82">
    <w:name w:val="个人撰写风格"/>
    <w:qFormat/>
    <w:uiPriority w:val="0"/>
    <w:rPr>
      <w:rFonts w:ascii="Arial" w:hAnsi="Arial" w:eastAsia="宋体" w:cs="Arial"/>
      <w:color w:val="auto"/>
      <w:sz w:val="20"/>
    </w:rPr>
  </w:style>
  <w:style w:type="character" w:customStyle="1" w:styleId="83">
    <w:name w:val="正文文本 字符"/>
    <w:link w:val="18"/>
    <w:semiHidden/>
    <w:qFormat/>
    <w:uiPriority w:val="99"/>
    <w:rPr>
      <w:rFonts w:ascii="Times New Roman" w:hAnsi="Times New Roman" w:eastAsia="宋体" w:cs="Times New Roman"/>
      <w:szCs w:val="24"/>
    </w:rPr>
  </w:style>
  <w:style w:type="character" w:customStyle="1" w:styleId="84">
    <w:name w:val="批注主题 字符1"/>
    <w:link w:val="34"/>
    <w:qFormat/>
    <w:uiPriority w:val="0"/>
    <w:rPr>
      <w:rFonts w:ascii="Times New Roman" w:hAnsi="Times New Roman" w:eastAsia="宋体" w:cs="Times New Roman"/>
      <w:b/>
      <w:bCs/>
      <w:szCs w:val="24"/>
    </w:rPr>
  </w:style>
  <w:style w:type="character" w:customStyle="1" w:styleId="85">
    <w:name w:val="正文文本缩进 字符1"/>
    <w:link w:val="19"/>
    <w:qFormat/>
    <w:uiPriority w:val="0"/>
    <w:rPr>
      <w:rFonts w:ascii="Times New Roman" w:hAnsi="Times New Roman" w:eastAsia="宋体" w:cs="Times New Roman"/>
      <w:sz w:val="24"/>
      <w:szCs w:val="20"/>
    </w:rPr>
  </w:style>
  <w:style w:type="character" w:customStyle="1" w:styleId="86">
    <w:name w:val="三级条标题 Char"/>
    <w:link w:val="87"/>
    <w:qFormat/>
    <w:uiPriority w:val="0"/>
    <w:rPr>
      <w:rFonts w:ascii="黑体" w:eastAsia="黑体"/>
      <w:color w:val="FF0000"/>
      <w:spacing w:val="-4"/>
      <w:szCs w:val="24"/>
    </w:rPr>
  </w:style>
  <w:style w:type="paragraph" w:customStyle="1" w:styleId="87">
    <w:name w:val="三级条标题"/>
    <w:basedOn w:val="60"/>
    <w:next w:val="7"/>
    <w:link w:val="86"/>
    <w:qFormat/>
    <w:uiPriority w:val="0"/>
    <w:pPr>
      <w:numPr>
        <w:ilvl w:val="4"/>
      </w:numPr>
      <w:outlineLvl w:val="4"/>
    </w:pPr>
  </w:style>
  <w:style w:type="character" w:customStyle="1" w:styleId="88">
    <w:name w:val="批注主题 字符"/>
    <w:semiHidden/>
    <w:qFormat/>
    <w:uiPriority w:val="99"/>
    <w:rPr>
      <w:rFonts w:ascii="Times New Roman" w:hAnsi="Times New Roman" w:eastAsia="宋体" w:cs="Times New Roman"/>
      <w:b/>
      <w:bCs/>
      <w:szCs w:val="24"/>
    </w:rPr>
  </w:style>
  <w:style w:type="character" w:customStyle="1" w:styleId="89">
    <w:name w:val="fontstyle21"/>
    <w:qFormat/>
    <w:uiPriority w:val="0"/>
    <w:rPr>
      <w:rFonts w:hint="default" w:ascii="Times New Roman" w:hAnsi="Times New Roman" w:cs="Times New Roman"/>
      <w:color w:val="000000"/>
      <w:sz w:val="24"/>
      <w:szCs w:val="24"/>
    </w:rPr>
  </w:style>
  <w:style w:type="character" w:customStyle="1" w:styleId="90">
    <w:name w:val="split-word"/>
    <w:basedOn w:val="37"/>
    <w:qFormat/>
    <w:uiPriority w:val="0"/>
  </w:style>
  <w:style w:type="character" w:customStyle="1" w:styleId="91">
    <w:name w:val="注： Char"/>
    <w:link w:val="92"/>
    <w:qFormat/>
    <w:uiPriority w:val="0"/>
    <w:rPr>
      <w:rFonts w:ascii="宋体" w:hAnsi="Times New Roman" w:eastAsia="宋体"/>
      <w:sz w:val="18"/>
      <w:lang w:val="en-US" w:eastAsia="zh-CN" w:bidi="ar-SA"/>
    </w:rPr>
  </w:style>
  <w:style w:type="paragraph" w:customStyle="1" w:styleId="92">
    <w:name w:val="注："/>
    <w:next w:val="7"/>
    <w:link w:val="91"/>
    <w:qFormat/>
    <w:uiPriority w:val="0"/>
    <w:pPr>
      <w:widowControl w:val="0"/>
      <w:numPr>
        <w:ilvl w:val="0"/>
        <w:numId w:val="2"/>
      </w:numPr>
      <w:tabs>
        <w:tab w:val="clear" w:pos="1140"/>
      </w:tabs>
      <w:autoSpaceDE w:val="0"/>
      <w:autoSpaceDN w:val="0"/>
      <w:jc w:val="both"/>
    </w:pPr>
    <w:rPr>
      <w:rFonts w:ascii="宋体" w:hAnsi="Times New Roman" w:eastAsia="宋体" w:cs="Times New Roman"/>
      <w:sz w:val="18"/>
      <w:lang w:val="en-US" w:eastAsia="zh-CN" w:bidi="ar-SA"/>
    </w:rPr>
  </w:style>
  <w:style w:type="character" w:customStyle="1" w:styleId="93">
    <w:name w:val="标题 9 字符"/>
    <w:link w:val="13"/>
    <w:qFormat/>
    <w:uiPriority w:val="0"/>
    <w:rPr>
      <w:rFonts w:ascii="Arial" w:hAnsi="Arial" w:eastAsia="黑体" w:cs="Times New Roman"/>
      <w:szCs w:val="21"/>
    </w:rPr>
  </w:style>
  <w:style w:type="character" w:customStyle="1" w:styleId="94">
    <w:name w:val="标题 7 字符"/>
    <w:link w:val="11"/>
    <w:qFormat/>
    <w:uiPriority w:val="0"/>
    <w:rPr>
      <w:rFonts w:ascii="Times New Roman" w:hAnsi="Times New Roman" w:eastAsia="宋体" w:cs="Times New Roman"/>
      <w:b/>
      <w:bCs/>
      <w:sz w:val="24"/>
      <w:szCs w:val="24"/>
    </w:rPr>
  </w:style>
  <w:style w:type="character" w:customStyle="1" w:styleId="95">
    <w:name w:val="HTML 预设格式 字符"/>
    <w:link w:val="31"/>
    <w:qFormat/>
    <w:uiPriority w:val="0"/>
    <w:rPr>
      <w:rFonts w:ascii="Courier New" w:hAnsi="Courier New" w:eastAsia="宋体" w:cs="Courier New"/>
      <w:sz w:val="20"/>
      <w:szCs w:val="20"/>
    </w:rPr>
  </w:style>
  <w:style w:type="character" w:customStyle="1" w:styleId="96">
    <w:name w:val="页脚 Char"/>
    <w:qFormat/>
    <w:uiPriority w:val="0"/>
    <w:rPr>
      <w:kern w:val="2"/>
      <w:sz w:val="18"/>
      <w:szCs w:val="18"/>
    </w:rPr>
  </w:style>
  <w:style w:type="character" w:customStyle="1" w:styleId="97">
    <w:name w:val="标题 3 字符"/>
    <w:link w:val="4"/>
    <w:qFormat/>
    <w:uiPriority w:val="0"/>
    <w:rPr>
      <w:rFonts w:ascii="黑体" w:hAnsi="Times New Roman" w:eastAsia="黑体" w:cs="Times New Roman"/>
      <w:color w:val="000000"/>
      <w:spacing w:val="-4"/>
      <w:kern w:val="0"/>
      <w:szCs w:val="24"/>
    </w:rPr>
  </w:style>
  <w:style w:type="character" w:customStyle="1" w:styleId="98">
    <w:name w:val="HTML 地址 字符"/>
    <w:link w:val="20"/>
    <w:qFormat/>
    <w:uiPriority w:val="0"/>
    <w:rPr>
      <w:rFonts w:ascii="Times New Roman" w:hAnsi="Times New Roman" w:eastAsia="宋体" w:cs="Times New Roman"/>
      <w:i/>
      <w:iCs/>
      <w:szCs w:val="24"/>
    </w:rPr>
  </w:style>
  <w:style w:type="character" w:customStyle="1" w:styleId="99">
    <w:name w:val="批注框文本 字符1"/>
    <w:link w:val="25"/>
    <w:qFormat/>
    <w:uiPriority w:val="0"/>
    <w:rPr>
      <w:rFonts w:ascii="Times New Roman" w:hAnsi="Times New Roman" w:eastAsia="宋体" w:cs="Times New Roman"/>
      <w:sz w:val="18"/>
      <w:szCs w:val="18"/>
    </w:rPr>
  </w:style>
  <w:style w:type="character" w:customStyle="1" w:styleId="100">
    <w:name w:val="words-outer-wrap"/>
    <w:basedOn w:val="37"/>
    <w:qFormat/>
    <w:uiPriority w:val="0"/>
  </w:style>
  <w:style w:type="character" w:customStyle="1" w:styleId="101">
    <w:name w:val="页眉 字符"/>
    <w:link w:val="27"/>
    <w:uiPriority w:val="0"/>
    <w:rPr>
      <w:sz w:val="18"/>
      <w:szCs w:val="18"/>
    </w:rPr>
  </w:style>
  <w:style w:type="character" w:customStyle="1" w:styleId="102">
    <w:name w:val="日期 字符"/>
    <w:link w:val="23"/>
    <w:qFormat/>
    <w:uiPriority w:val="0"/>
    <w:rPr>
      <w:rFonts w:ascii="Times New Roman" w:hAnsi="Times New Roman" w:eastAsia="宋体" w:cs="Times New Roman"/>
      <w:sz w:val="24"/>
      <w:szCs w:val="20"/>
    </w:rPr>
  </w:style>
  <w:style w:type="character" w:customStyle="1" w:styleId="103">
    <w:name w:val="一级条标题 Char"/>
    <w:link w:val="5"/>
    <w:qFormat/>
    <w:uiPriority w:val="0"/>
    <w:rPr>
      <w:rFonts w:ascii="黑体" w:hAnsi="Times New Roman" w:eastAsia="黑体" w:cs="Times New Roman"/>
      <w:color w:val="FF0000"/>
      <w:spacing w:val="-4"/>
      <w:kern w:val="0"/>
      <w:szCs w:val="24"/>
    </w:rPr>
  </w:style>
  <w:style w:type="character" w:customStyle="1" w:styleId="104">
    <w:name w:val="标题 8 字符"/>
    <w:link w:val="12"/>
    <w:qFormat/>
    <w:uiPriority w:val="0"/>
    <w:rPr>
      <w:rFonts w:ascii="Arial" w:hAnsi="Arial" w:eastAsia="黑体" w:cs="Times New Roman"/>
      <w:sz w:val="24"/>
      <w:szCs w:val="24"/>
    </w:rPr>
  </w:style>
  <w:style w:type="character" w:customStyle="1" w:styleId="105">
    <w:name w:val="纯文本 字符"/>
    <w:semiHidden/>
    <w:qFormat/>
    <w:uiPriority w:val="99"/>
    <w:rPr>
      <w:rFonts w:ascii="等线" w:hAnsi="Courier New" w:cs="Courier New"/>
      <w:szCs w:val="24"/>
    </w:rPr>
  </w:style>
  <w:style w:type="character" w:customStyle="1" w:styleId="106">
    <w:name w:val="批注文字 字符"/>
    <w:semiHidden/>
    <w:qFormat/>
    <w:uiPriority w:val="99"/>
    <w:rPr>
      <w:rFonts w:ascii="Times New Roman" w:hAnsi="Times New Roman" w:eastAsia="宋体" w:cs="Times New Roman"/>
      <w:szCs w:val="24"/>
    </w:rPr>
  </w:style>
  <w:style w:type="paragraph" w:customStyle="1" w:styleId="107">
    <w:name w:val="目录 51"/>
    <w:basedOn w:val="108"/>
    <w:qFormat/>
    <w:uiPriority w:val="39"/>
  </w:style>
  <w:style w:type="paragraph" w:customStyle="1" w:styleId="108">
    <w:name w:val="目录 41"/>
    <w:basedOn w:val="109"/>
    <w:qFormat/>
    <w:uiPriority w:val="39"/>
  </w:style>
  <w:style w:type="paragraph" w:customStyle="1" w:styleId="109">
    <w:name w:val="目录 31"/>
    <w:basedOn w:val="110"/>
    <w:qFormat/>
    <w:uiPriority w:val="39"/>
  </w:style>
  <w:style w:type="paragraph" w:customStyle="1" w:styleId="110">
    <w:name w:val="目录 21"/>
    <w:basedOn w:val="111"/>
    <w:qFormat/>
    <w:uiPriority w:val="39"/>
  </w:style>
  <w:style w:type="paragraph" w:customStyle="1" w:styleId="111">
    <w:name w:val="目录 11"/>
    <w:qFormat/>
    <w:uiPriority w:val="39"/>
    <w:pPr>
      <w:jc w:val="both"/>
    </w:pPr>
    <w:rPr>
      <w:rFonts w:ascii="宋体" w:hAnsi="Times New Roman" w:eastAsia="宋体" w:cs="Times New Roman"/>
      <w:sz w:val="21"/>
      <w:lang w:val="en-US" w:eastAsia="zh-CN" w:bidi="ar-SA"/>
    </w:rPr>
  </w:style>
  <w:style w:type="paragraph" w:customStyle="1" w:styleId="112">
    <w:name w:val="目录 61"/>
    <w:basedOn w:val="107"/>
    <w:qFormat/>
    <w:uiPriority w:val="39"/>
  </w:style>
  <w:style w:type="paragraph" w:customStyle="1" w:styleId="113">
    <w:name w:val="目录 91"/>
    <w:basedOn w:val="114"/>
    <w:qFormat/>
    <w:uiPriority w:val="39"/>
  </w:style>
  <w:style w:type="paragraph" w:customStyle="1" w:styleId="114">
    <w:name w:val="目录 81"/>
    <w:basedOn w:val="115"/>
    <w:qFormat/>
    <w:uiPriority w:val="39"/>
  </w:style>
  <w:style w:type="paragraph" w:customStyle="1" w:styleId="115">
    <w:name w:val="目录 71"/>
    <w:basedOn w:val="112"/>
    <w:qFormat/>
    <w:uiPriority w:val="39"/>
  </w:style>
  <w:style w:type="paragraph" w:customStyle="1" w:styleId="116">
    <w:name w:val="1"/>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8">
    <w:name w:val="附录三级条标题"/>
    <w:basedOn w:val="119"/>
    <w:next w:val="7"/>
    <w:qFormat/>
    <w:uiPriority w:val="0"/>
    <w:pPr>
      <w:outlineLvl w:val="4"/>
    </w:pPr>
  </w:style>
  <w:style w:type="paragraph" w:customStyle="1" w:styleId="119">
    <w:name w:val="附录二级条标题"/>
    <w:basedOn w:val="120"/>
    <w:next w:val="7"/>
    <w:qFormat/>
    <w:uiPriority w:val="0"/>
    <w:pPr>
      <w:outlineLvl w:val="3"/>
    </w:pPr>
  </w:style>
  <w:style w:type="paragraph" w:customStyle="1" w:styleId="120">
    <w:name w:val="附录一级条标题"/>
    <w:basedOn w:val="121"/>
    <w:next w:val="7"/>
    <w:qFormat/>
    <w:uiPriority w:val="0"/>
    <w:pPr>
      <w:autoSpaceDN w:val="0"/>
      <w:spacing w:beforeLines="0" w:afterLines="0"/>
      <w:outlineLvl w:val="2"/>
    </w:pPr>
  </w:style>
  <w:style w:type="paragraph" w:customStyle="1" w:styleId="121">
    <w:name w:val="附录章标题"/>
    <w:next w:val="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22">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24">
    <w:name w:val="font8"/>
    <w:basedOn w:val="1"/>
    <w:qFormat/>
    <w:uiPriority w:val="0"/>
    <w:pPr>
      <w:widowControl/>
      <w:spacing w:before="100" w:beforeAutospacing="1" w:after="100" w:afterAutospacing="1"/>
      <w:jc w:val="left"/>
    </w:pPr>
    <w:rPr>
      <w:rFonts w:hAnsi="宋体" w:cs="宋体"/>
      <w:b/>
      <w:bCs/>
      <w:kern w:val="0"/>
    </w:rPr>
  </w:style>
  <w:style w:type="paragraph" w:customStyle="1" w:styleId="125">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26">
    <w:name w:val="font11"/>
    <w:basedOn w:val="1"/>
    <w:qFormat/>
    <w:uiPriority w:val="0"/>
    <w:pPr>
      <w:widowControl/>
      <w:spacing w:before="100" w:beforeAutospacing="1" w:after="100" w:afterAutospacing="1"/>
      <w:jc w:val="left"/>
    </w:pPr>
    <w:rPr>
      <w:rFonts w:hAnsi="宋体" w:cs="宋体"/>
      <w:b/>
      <w:bCs/>
      <w:kern w:val="0"/>
      <w:sz w:val="20"/>
      <w:szCs w:val="20"/>
    </w:rPr>
  </w:style>
  <w:style w:type="paragraph" w:customStyle="1" w:styleId="127">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2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9">
    <w:name w:val="篇"/>
    <w:basedOn w:val="1"/>
    <w:next w:val="1"/>
    <w:qFormat/>
    <w:uiPriority w:val="0"/>
    <w:pPr>
      <w:spacing w:line="360" w:lineRule="atLeast"/>
      <w:jc w:val="center"/>
      <w:textAlignment w:val="baseline"/>
    </w:pPr>
    <w:rPr>
      <w:rFonts w:eastAsia="黑体"/>
      <w:kern w:val="0"/>
      <w:szCs w:val="20"/>
    </w:rPr>
  </w:style>
  <w:style w:type="paragraph" w:customStyle="1" w:styleId="130">
    <w:name w:val="附录标识"/>
    <w:basedOn w:val="131"/>
    <w:uiPriority w:val="0"/>
    <w:pPr>
      <w:numPr>
        <w:numId w:val="0"/>
      </w:numPr>
      <w:tabs>
        <w:tab w:val="left" w:pos="6405"/>
      </w:tabs>
      <w:spacing w:after="200"/>
    </w:pPr>
    <w:rPr>
      <w:sz w:val="21"/>
    </w:rPr>
  </w:style>
  <w:style w:type="paragraph" w:customStyle="1" w:styleId="131">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3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34">
    <w:name w:val="封面标准代替信息"/>
    <w:basedOn w:val="135"/>
    <w:qFormat/>
    <w:uiPriority w:val="0"/>
    <w:pPr>
      <w:spacing w:before="57"/>
    </w:pPr>
    <w:rPr>
      <w:rFonts w:ascii="宋体"/>
      <w:sz w:val="21"/>
    </w:rPr>
  </w:style>
  <w:style w:type="paragraph" w:customStyle="1" w:styleId="135">
    <w:name w:val="封面标准号2"/>
    <w:basedOn w:val="136"/>
    <w:qFormat/>
    <w:uiPriority w:val="0"/>
    <w:pPr>
      <w:adjustRightInd w:val="0"/>
      <w:spacing w:before="357" w:line="280" w:lineRule="exact"/>
    </w:pPr>
  </w:style>
  <w:style w:type="paragraph" w:customStyle="1" w:styleId="13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附录五级条标题"/>
    <w:basedOn w:val="139"/>
    <w:next w:val="7"/>
    <w:qFormat/>
    <w:uiPriority w:val="0"/>
    <w:pPr>
      <w:outlineLvl w:val="6"/>
    </w:pPr>
  </w:style>
  <w:style w:type="paragraph" w:customStyle="1" w:styleId="139">
    <w:name w:val="附录四级条标题"/>
    <w:basedOn w:val="118"/>
    <w:next w:val="7"/>
    <w:qFormat/>
    <w:uiPriority w:val="0"/>
    <w:pPr>
      <w:outlineLvl w:val="5"/>
    </w:pPr>
  </w:style>
  <w:style w:type="paragraph" w:customStyle="1" w:styleId="140">
    <w:name w:val="c封面标准名称"/>
    <w:basedOn w:val="1"/>
    <w:qFormat/>
    <w:uiPriority w:val="0"/>
    <w:pPr>
      <w:jc w:val="center"/>
    </w:pPr>
    <w:rPr>
      <w:rFonts w:eastAsia="黑体"/>
      <w:kern w:val="0"/>
      <w:sz w:val="52"/>
      <w:szCs w:val="20"/>
    </w:rPr>
  </w:style>
  <w:style w:type="paragraph" w:customStyle="1" w:styleId="141">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2">
    <w:name w:val="标准书眉_偶数页"/>
    <w:basedOn w:val="143"/>
    <w:next w:val="1"/>
    <w:qFormat/>
    <w:uiPriority w:val="0"/>
    <w:pPr>
      <w:tabs>
        <w:tab w:val="center" w:pos="4154"/>
        <w:tab w:val="right" w:pos="8306"/>
      </w:tabs>
      <w:jc w:val="left"/>
    </w:p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示例"/>
    <w:next w:val="7"/>
    <w:qFormat/>
    <w:uiPriority w:val="0"/>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4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kern w:val="0"/>
      <w:sz w:val="20"/>
      <w:szCs w:val="20"/>
    </w:rPr>
  </w:style>
  <w:style w:type="paragraph" w:customStyle="1" w:styleId="146">
    <w:name w:val="xl79"/>
    <w:basedOn w:val="1"/>
    <w:qFormat/>
    <w:uiPriority w:val="0"/>
    <w:pPr>
      <w:widowControl/>
      <w:spacing w:before="100" w:beforeAutospacing="1" w:after="100" w:afterAutospacing="1"/>
      <w:jc w:val="center"/>
      <w:textAlignment w:val="center"/>
    </w:pPr>
    <w:rPr>
      <w:b/>
      <w:bCs/>
      <w:kern w:val="0"/>
    </w:rPr>
  </w:style>
  <w:style w:type="paragraph" w:customStyle="1" w:styleId="147">
    <w:name w:val="xl80"/>
    <w:basedOn w:val="1"/>
    <w:qFormat/>
    <w:uiPriority w:val="0"/>
    <w:pPr>
      <w:widowControl/>
      <w:spacing w:before="100" w:beforeAutospacing="1" w:after="100" w:afterAutospacing="1"/>
      <w:jc w:val="center"/>
      <w:textAlignment w:val="center"/>
    </w:pPr>
    <w:rPr>
      <w:b/>
      <w:bCs/>
      <w:kern w:val="0"/>
    </w:rPr>
  </w:style>
  <w:style w:type="paragraph" w:customStyle="1" w:styleId="148">
    <w:name w:val="font1"/>
    <w:basedOn w:val="1"/>
    <w:qFormat/>
    <w:uiPriority w:val="0"/>
    <w:pPr>
      <w:widowControl/>
      <w:spacing w:before="100" w:beforeAutospacing="1" w:after="100" w:afterAutospacing="1"/>
      <w:jc w:val="left"/>
    </w:pPr>
    <w:rPr>
      <w:rFonts w:hAnsi="宋体" w:cs="宋体"/>
      <w:kern w:val="0"/>
    </w:rPr>
  </w:style>
  <w:style w:type="paragraph" w:customStyle="1" w:styleId="149">
    <w:name w:val="图表脚注"/>
    <w:next w:val="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50">
    <w:name w:val="注×："/>
    <w:qFormat/>
    <w:uiPriority w:val="0"/>
    <w:pPr>
      <w:widowControl w:val="0"/>
      <w:numPr>
        <w:ilvl w:val="0"/>
        <w:numId w:val="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51">
    <w:name w:val="标准正文"/>
    <w:basedOn w:val="1"/>
    <w:qFormat/>
    <w:uiPriority w:val="0"/>
    <w:pPr>
      <w:spacing w:line="360" w:lineRule="atLeast"/>
      <w:ind w:firstLine="425"/>
      <w:jc w:val="left"/>
      <w:textAlignment w:val="baseline"/>
    </w:pPr>
    <w:rPr>
      <w:spacing w:val="-4"/>
      <w:kern w:val="21"/>
      <w:szCs w:val="20"/>
    </w:rPr>
  </w:style>
  <w:style w:type="paragraph" w:customStyle="1" w:styleId="152">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53">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54">
    <w:name w:val="标准书眉一"/>
    <w:qFormat/>
    <w:uiPriority w:val="0"/>
    <w:pPr>
      <w:jc w:val="both"/>
    </w:pPr>
    <w:rPr>
      <w:rFonts w:ascii="Times New Roman" w:hAnsi="Times New Roman" w:eastAsia="宋体" w:cs="Times New Roman"/>
      <w:lang w:val="en-US" w:eastAsia="zh-CN" w:bidi="ar-SA"/>
    </w:rPr>
  </w:style>
  <w:style w:type="paragraph" w:customStyle="1" w:styleId="15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font5"/>
    <w:basedOn w:val="1"/>
    <w:qFormat/>
    <w:uiPriority w:val="0"/>
    <w:pPr>
      <w:widowControl/>
      <w:spacing w:before="100" w:beforeAutospacing="1" w:after="100" w:afterAutospacing="1"/>
      <w:jc w:val="left"/>
    </w:pPr>
    <w:rPr>
      <w:rFonts w:hAnsi="宋体" w:cs="宋体"/>
      <w:kern w:val="0"/>
      <w:sz w:val="18"/>
      <w:szCs w:val="18"/>
    </w:rPr>
  </w:style>
  <w:style w:type="paragraph" w:customStyle="1" w:styleId="158">
    <w:name w:val="发布部门"/>
    <w:next w:val="7"/>
    <w:qFormat/>
    <w:uiPriority w:val="0"/>
    <w:pPr>
      <w:jc w:val="center"/>
    </w:pPr>
    <w:rPr>
      <w:rFonts w:ascii="宋体" w:hAnsi="Times New Roman" w:eastAsia="宋体" w:cs="Times New Roman"/>
      <w:b/>
      <w:spacing w:val="20"/>
      <w:w w:val="135"/>
      <w:sz w:val="36"/>
      <w:lang w:val="en-US" w:eastAsia="zh-CN" w:bidi="ar-SA"/>
    </w:rPr>
  </w:style>
  <w:style w:type="paragraph" w:customStyle="1" w:styleId="159">
    <w:name w:val="a"/>
    <w:basedOn w:val="1"/>
    <w:qFormat/>
    <w:uiPriority w:val="0"/>
    <w:pPr>
      <w:widowControl/>
      <w:spacing w:before="100" w:beforeAutospacing="1" w:after="100" w:afterAutospacing="1"/>
      <w:jc w:val="left"/>
    </w:pPr>
    <w:rPr>
      <w:rFonts w:hAnsi="宋体" w:cs="宋体"/>
      <w:kern w:val="0"/>
    </w:rPr>
  </w:style>
  <w:style w:type="paragraph" w:customStyle="1" w:styleId="160">
    <w:name w:val="五级无标题条"/>
    <w:basedOn w:val="1"/>
    <w:qFormat/>
    <w:uiPriority w:val="0"/>
    <w:pPr>
      <w:numPr>
        <w:ilvl w:val="6"/>
        <w:numId w:val="6"/>
      </w:numPr>
    </w:pPr>
  </w:style>
  <w:style w:type="paragraph" w:customStyle="1" w:styleId="16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62">
    <w:name w:val="条文脚注"/>
    <w:basedOn w:val="29"/>
    <w:qFormat/>
    <w:uiPriority w:val="0"/>
    <w:pPr>
      <w:ind w:left="780" w:leftChars="200" w:hanging="360" w:hangingChars="200"/>
      <w:jc w:val="both"/>
    </w:pPr>
  </w:style>
  <w:style w:type="paragraph" w:customStyle="1" w:styleId="16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64">
    <w:name w:val="三级无标题条"/>
    <w:basedOn w:val="1"/>
    <w:qFormat/>
    <w:uiPriority w:val="0"/>
    <w:pPr>
      <w:numPr>
        <w:ilvl w:val="4"/>
        <w:numId w:val="6"/>
      </w:numPr>
    </w:pPr>
  </w:style>
  <w:style w:type="paragraph" w:customStyle="1" w:styleId="165">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16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67">
    <w:name w:val="图表脚注说明"/>
    <w:basedOn w:val="1"/>
    <w:qFormat/>
    <w:uiPriority w:val="0"/>
    <w:rPr>
      <w:sz w:val="18"/>
      <w:szCs w:val="18"/>
    </w:rPr>
  </w:style>
  <w:style w:type="paragraph" w:customStyle="1" w:styleId="168">
    <w:name w:val="正文表标题"/>
    <w:next w:val="7"/>
    <w:qFormat/>
    <w:uiPriority w:val="0"/>
    <w:pPr>
      <w:ind w:left="3544"/>
      <w:jc w:val="center"/>
    </w:pPr>
    <w:rPr>
      <w:rFonts w:ascii="黑体" w:hAnsi="Times New Roman" w:eastAsia="黑体" w:cs="Times New Roman"/>
      <w:sz w:val="21"/>
      <w:lang w:val="en-US" w:eastAsia="zh-CN" w:bidi="ar-SA"/>
    </w:rPr>
  </w:style>
  <w:style w:type="paragraph" w:customStyle="1" w:styleId="16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70">
    <w:name w:val="附录表标题"/>
    <w:next w:val="7"/>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71">
    <w:name w:val="p0"/>
    <w:basedOn w:val="1"/>
    <w:qFormat/>
    <w:uiPriority w:val="0"/>
    <w:pPr>
      <w:widowControl/>
    </w:pPr>
    <w:rPr>
      <w:kern w:val="0"/>
      <w:szCs w:val="21"/>
    </w:rPr>
  </w:style>
  <w:style w:type="paragraph" w:customStyle="1" w:styleId="17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73">
    <w:name w:val="参考文献、索引标题"/>
    <w:basedOn w:val="131"/>
    <w:next w:val="1"/>
    <w:qFormat/>
    <w:uiPriority w:val="0"/>
    <w:pPr>
      <w:numPr>
        <w:numId w:val="0"/>
      </w:numPr>
      <w:spacing w:after="200"/>
    </w:pPr>
    <w:rPr>
      <w:sz w:val="21"/>
    </w:rPr>
  </w:style>
  <w:style w:type="paragraph" w:customStyle="1" w:styleId="174">
    <w:name w:val="二级无标题条"/>
    <w:basedOn w:val="1"/>
    <w:qFormat/>
    <w:uiPriority w:val="0"/>
    <w:pPr>
      <w:numPr>
        <w:ilvl w:val="3"/>
        <w:numId w:val="6"/>
      </w:numPr>
    </w:pPr>
  </w:style>
  <w:style w:type="paragraph" w:customStyle="1" w:styleId="175">
    <w:name w:val="无标题条"/>
    <w:next w:val="7"/>
    <w:qFormat/>
    <w:uiPriority w:val="0"/>
    <w:pPr>
      <w:jc w:val="both"/>
    </w:pPr>
    <w:rPr>
      <w:rFonts w:ascii="Times New Roman" w:hAnsi="Times New Roman" w:eastAsia="宋体" w:cs="Times New Roman"/>
      <w:sz w:val="21"/>
      <w:lang w:val="en-US" w:eastAsia="zh-CN" w:bidi="ar-SA"/>
    </w:rPr>
  </w:style>
  <w:style w:type="paragraph" w:customStyle="1" w:styleId="176">
    <w:name w:val="一级无标题条"/>
    <w:basedOn w:val="1"/>
    <w:qFormat/>
    <w:uiPriority w:val="0"/>
    <w:pPr>
      <w:numPr>
        <w:ilvl w:val="2"/>
        <w:numId w:val="6"/>
      </w:numPr>
    </w:pPr>
  </w:style>
  <w:style w:type="paragraph" w:customStyle="1" w:styleId="177">
    <w:name w:val="font7"/>
    <w:basedOn w:val="1"/>
    <w:qFormat/>
    <w:uiPriority w:val="0"/>
    <w:pPr>
      <w:widowControl/>
      <w:spacing w:before="100" w:beforeAutospacing="1" w:after="100" w:afterAutospacing="1"/>
      <w:jc w:val="left"/>
    </w:pPr>
    <w:rPr>
      <w:rFonts w:hAnsi="宋体" w:cs="宋体"/>
      <w:b/>
      <w:bCs/>
      <w:kern w:val="0"/>
    </w:rPr>
  </w:style>
  <w:style w:type="paragraph" w:customStyle="1" w:styleId="178">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7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80">
    <w:name w:val="四级无标题条"/>
    <w:basedOn w:val="1"/>
    <w:qFormat/>
    <w:uiPriority w:val="0"/>
    <w:pPr>
      <w:numPr>
        <w:ilvl w:val="5"/>
        <w:numId w:val="6"/>
      </w:numPr>
    </w:pPr>
  </w:style>
  <w:style w:type="paragraph" w:customStyle="1" w:styleId="181">
    <w:name w:val="封面正文"/>
    <w:qFormat/>
    <w:uiPriority w:val="0"/>
    <w:pPr>
      <w:jc w:val="both"/>
    </w:pPr>
    <w:rPr>
      <w:rFonts w:ascii="Times New Roman" w:hAnsi="Times New Roman" w:eastAsia="宋体" w:cs="Times New Roman"/>
      <w:lang w:val="en-US" w:eastAsia="zh-CN" w:bidi="ar-SA"/>
    </w:rPr>
  </w:style>
  <w:style w:type="paragraph" w:customStyle="1" w:styleId="182">
    <w:name w:val="五级条标题"/>
    <w:basedOn w:val="183"/>
    <w:next w:val="7"/>
    <w:qFormat/>
    <w:uiPriority w:val="0"/>
    <w:pPr>
      <w:numPr>
        <w:ilvl w:val="6"/>
      </w:numPr>
      <w:tabs>
        <w:tab w:val="left" w:pos="360"/>
      </w:tabs>
      <w:outlineLvl w:val="6"/>
    </w:pPr>
  </w:style>
  <w:style w:type="paragraph" w:customStyle="1" w:styleId="183">
    <w:name w:val="四级条标题"/>
    <w:basedOn w:val="87"/>
    <w:next w:val="7"/>
    <w:qFormat/>
    <w:uiPriority w:val="0"/>
    <w:pPr>
      <w:numPr>
        <w:ilvl w:val="5"/>
      </w:numPr>
      <w:tabs>
        <w:tab w:val="left" w:pos="360"/>
      </w:tabs>
      <w:outlineLvl w:val="5"/>
    </w:pPr>
  </w:style>
  <w:style w:type="paragraph" w:customStyle="1" w:styleId="184">
    <w:name w:val="目次、标准名称标题"/>
    <w:basedOn w:val="131"/>
    <w:next w:val="7"/>
    <w:qFormat/>
    <w:uiPriority w:val="0"/>
    <w:pPr>
      <w:numPr>
        <w:numId w:val="0"/>
      </w:numPr>
      <w:spacing w:line="460" w:lineRule="exact"/>
    </w:pPr>
  </w:style>
  <w:style w:type="paragraph" w:customStyle="1" w:styleId="185">
    <w:name w:val="样式2"/>
    <w:basedOn w:val="87"/>
    <w:qFormat/>
    <w:uiPriority w:val="0"/>
    <w:pPr>
      <w:numPr>
        <w:ilvl w:val="0"/>
        <w:numId w:val="0"/>
      </w:numPr>
      <w:spacing w:line="240" w:lineRule="auto"/>
      <w:ind w:left="454"/>
    </w:pPr>
    <w:rPr>
      <w:color w:val="auto"/>
      <w:spacing w:val="0"/>
      <w:szCs w:val="20"/>
    </w:rPr>
  </w:style>
  <w:style w:type="paragraph" w:customStyle="1" w:styleId="186">
    <w:name w:val="font10"/>
    <w:basedOn w:val="1"/>
    <w:qFormat/>
    <w:uiPriority w:val="0"/>
    <w:pPr>
      <w:widowControl/>
      <w:spacing w:before="100" w:beforeAutospacing="1" w:after="100" w:afterAutospacing="1"/>
      <w:jc w:val="left"/>
    </w:pPr>
    <w:rPr>
      <w:rFonts w:hAnsi="宋体" w:cs="宋体"/>
      <w:b/>
      <w:bCs/>
      <w:kern w:val="0"/>
    </w:rPr>
  </w:style>
  <w:style w:type="paragraph" w:customStyle="1" w:styleId="1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8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89">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9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91">
    <w:name w:val="实施日期"/>
    <w:basedOn w:val="192"/>
    <w:qFormat/>
    <w:uiPriority w:val="0"/>
    <w:pPr>
      <w:jc w:val="right"/>
    </w:pPr>
  </w:style>
  <w:style w:type="paragraph" w:customStyle="1" w:styleId="192">
    <w:name w:val="发布日期"/>
    <w:qFormat/>
    <w:uiPriority w:val="0"/>
    <w:rPr>
      <w:rFonts w:ascii="Times New Roman" w:hAnsi="Times New Roman" w:eastAsia="黑体" w:cs="Times New Roman"/>
      <w:sz w:val="28"/>
      <w:lang w:val="en-US" w:eastAsia="zh-CN" w:bidi="ar-SA"/>
    </w:rPr>
  </w:style>
  <w:style w:type="paragraph" w:customStyle="1" w:styleId="193">
    <w:name w:val="font9"/>
    <w:basedOn w:val="1"/>
    <w:qFormat/>
    <w:uiPriority w:val="0"/>
    <w:pPr>
      <w:widowControl/>
      <w:spacing w:before="100" w:beforeAutospacing="1" w:after="100" w:afterAutospacing="1"/>
      <w:jc w:val="left"/>
    </w:pPr>
    <w:rPr>
      <w:rFonts w:hAnsi="宋体" w:cs="宋体"/>
      <w:b/>
      <w:bCs/>
      <w:kern w:val="0"/>
    </w:rPr>
  </w:style>
  <w:style w:type="paragraph" w:customStyle="1" w:styleId="194">
    <w:name w:val="Char"/>
    <w:basedOn w:val="1"/>
    <w:qFormat/>
    <w:uiPriority w:val="0"/>
    <w:pPr>
      <w:widowControl/>
      <w:spacing w:after="160" w:line="240" w:lineRule="exact"/>
      <w:jc w:val="left"/>
    </w:pPr>
  </w:style>
  <w:style w:type="paragraph" w:customStyle="1" w:styleId="195">
    <w:name w:val="正文图标题"/>
    <w:next w:val="7"/>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96">
    <w:name w:val="xl78"/>
    <w:basedOn w:val="1"/>
    <w:qFormat/>
    <w:uiPriority w:val="0"/>
    <w:pPr>
      <w:widowControl/>
      <w:spacing w:before="100" w:beforeAutospacing="1" w:after="100" w:afterAutospacing="1"/>
      <w:jc w:val="center"/>
      <w:textAlignment w:val="center"/>
    </w:pPr>
    <w:rPr>
      <w:b/>
      <w:bCs/>
      <w:kern w:val="0"/>
    </w:rPr>
  </w:style>
  <w:style w:type="paragraph" w:customStyle="1" w:styleId="197">
    <w:name w:val="附录图标题"/>
    <w:next w:val="7"/>
    <w:qFormat/>
    <w:uiPriority w:val="0"/>
    <w:pPr>
      <w:jc w:val="center"/>
    </w:pPr>
    <w:rPr>
      <w:rFonts w:ascii="黑体" w:hAnsi="Times New Roman" w:eastAsia="黑体" w:cs="Times New Roman"/>
      <w:sz w:val="21"/>
      <w:lang w:val="en-US" w:eastAsia="zh-CN" w:bidi="ar-SA"/>
    </w:rPr>
  </w:style>
  <w:style w:type="paragraph" w:customStyle="1" w:styleId="198">
    <w:name w:val="其他发布部门"/>
    <w:basedOn w:val="158"/>
    <w:qFormat/>
    <w:uiPriority w:val="0"/>
    <w:pPr>
      <w:spacing w:line="0" w:lineRule="atLeast"/>
    </w:pPr>
    <w:rPr>
      <w:rFonts w:ascii="黑体" w:eastAsia="黑体"/>
      <w:b w:val="0"/>
    </w:rPr>
  </w:style>
  <w:style w:type="paragraph" w:customStyle="1" w:styleId="19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00">
    <w:name w:val="列项·"/>
    <w:qFormat/>
    <w:uiPriority w:val="0"/>
    <w:pPr>
      <w:numPr>
        <w:ilvl w:val="0"/>
        <w:numId w:val="8"/>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201">
    <w:name w:val="列出段落1"/>
    <w:basedOn w:val="1"/>
    <w:qFormat/>
    <w:uiPriority w:val="34"/>
    <w:pPr>
      <w:ind w:firstLine="420"/>
    </w:pPr>
  </w:style>
  <w:style w:type="paragraph" w:customStyle="1" w:styleId="2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kern w:val="0"/>
      <w:sz w:val="20"/>
      <w:szCs w:val="20"/>
    </w:rPr>
  </w:style>
  <w:style w:type="paragraph" w:customStyle="1" w:styleId="203">
    <w:name w:val="font6"/>
    <w:basedOn w:val="1"/>
    <w:qFormat/>
    <w:uiPriority w:val="0"/>
    <w:pPr>
      <w:widowControl/>
      <w:spacing w:before="100" w:beforeAutospacing="1" w:after="100" w:afterAutospacing="1"/>
      <w:jc w:val="left"/>
    </w:pPr>
    <w:rPr>
      <w:b/>
      <w:bCs/>
      <w:kern w:val="0"/>
      <w:sz w:val="20"/>
      <w:szCs w:val="20"/>
    </w:rPr>
  </w:style>
  <w:style w:type="paragraph" w:customStyle="1" w:styleId="20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05">
    <w:name w:val="TOC 标题1"/>
    <w:basedOn w:val="2"/>
    <w:next w:val="1"/>
    <w:qFormat/>
    <w:uiPriority w:val="39"/>
    <w:pPr>
      <w:widowControl/>
      <w:adjustRightInd/>
      <w:snapToGrid/>
      <w:spacing w:before="240" w:line="259" w:lineRule="auto"/>
      <w:jc w:val="left"/>
      <w:outlineLvl w:val="9"/>
    </w:pPr>
    <w:rPr>
      <w:rFonts w:ascii="等线 Light" w:hAnsi="等线 Light" w:eastAsia="等线 Light"/>
      <w:b/>
      <w:bCs w:val="0"/>
      <w:color w:val="2F5496"/>
      <w:kern w:val="0"/>
      <w:sz w:val="32"/>
      <w:szCs w:val="32"/>
    </w:rPr>
  </w:style>
  <w:style w:type="paragraph" w:customStyle="1" w:styleId="206">
    <w:name w:val="列项●（二级）"/>
    <w:qFormat/>
    <w:uiPriority w:val="0"/>
    <w:pPr>
      <w:tabs>
        <w:tab w:val="left" w:pos="760"/>
        <w:tab w:val="left" w:pos="840"/>
      </w:tabs>
      <w:jc w:val="both"/>
    </w:pPr>
    <w:rPr>
      <w:rFonts w:ascii="宋体" w:hAnsi="Times New Roman" w:eastAsia="宋体" w:cs="Times New Roman"/>
      <w:sz w:val="21"/>
      <w:lang w:val="en-US" w:eastAsia="zh-CN" w:bidi="ar-SA"/>
    </w:rPr>
  </w:style>
  <w:style w:type="character" w:customStyle="1" w:styleId="207">
    <w:name w:val="一级条标题 Char Char"/>
    <w:qFormat/>
    <w:uiPriority w:val="0"/>
    <w:rPr>
      <w:rFonts w:ascii="黑体" w:hAnsi="Times New Roman" w:eastAsia="黑体" w:cs="Times New Roman"/>
      <w:kern w:val="0"/>
      <w:szCs w:val="21"/>
    </w:rPr>
  </w:style>
  <w:style w:type="table" w:customStyle="1" w:styleId="208">
    <w:name w:val="网格型1"/>
    <w:basedOn w:val="3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网格型2"/>
    <w:basedOn w:val="3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网格型3"/>
    <w:basedOn w:val="3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网格型4"/>
    <w:basedOn w:val="3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网格型5"/>
    <w:basedOn w:val="3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3">
    <w:name w:val="List Paragraph"/>
    <w:basedOn w:val="1"/>
    <w:qFormat/>
    <w:uiPriority w:val="34"/>
    <w:pPr>
      <w:ind w:firstLine="420"/>
    </w:pPr>
  </w:style>
  <w:style w:type="paragraph" w:customStyle="1" w:styleId="214">
    <w:name w:val="修订1"/>
    <w:hidden/>
    <w:unhideWhenUsed/>
    <w:qFormat/>
    <w:uiPriority w:val="99"/>
    <w:rPr>
      <w:rFonts w:ascii="宋体" w:hAnsi="Times New Roman" w:eastAsia="宋体" w:cs="Times New Roman"/>
      <w:kern w:val="2"/>
      <w:sz w:val="21"/>
      <w:szCs w:val="24"/>
      <w:lang w:val="en-US" w:eastAsia="zh-CN" w:bidi="ar-SA"/>
    </w:rPr>
  </w:style>
  <w:style w:type="table" w:customStyle="1" w:styleId="215">
    <w:name w:val="网格型6"/>
    <w:basedOn w:val="3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6">
    <w:name w:val="列出段落11"/>
    <w:basedOn w:val="1"/>
    <w:qFormat/>
    <w:uiPriority w:val="0"/>
    <w:pPr>
      <w:adjustRightInd/>
      <w:snapToGrid/>
      <w:spacing w:before="100" w:beforeAutospacing="1" w:after="100" w:afterAutospacing="1" w:line="240" w:lineRule="auto"/>
      <w:ind w:left="538" w:hanging="420" w:firstLineChars="0"/>
    </w:pPr>
    <w:rPr>
      <w:rFonts w:hAnsi="宋体" w:cs="宋体" w:eastAsiaTheme="minorEastAsia"/>
      <w:szCs w:val="21"/>
    </w:rPr>
  </w:style>
  <w:style w:type="paragraph" w:customStyle="1" w:styleId="217">
    <w:name w:val="条1"/>
    <w:basedOn w:val="1"/>
    <w:next w:val="1"/>
    <w:qFormat/>
    <w:uiPriority w:val="0"/>
    <w:pPr>
      <w:numPr>
        <w:ilvl w:val="1"/>
        <w:numId w:val="9"/>
      </w:numPr>
      <w:outlineLvl w:val="1"/>
    </w:pPr>
    <w:rPr>
      <w:rFonts w:ascii="黑体" w:eastAsia="黑体"/>
      <w:kern w:val="21"/>
      <w:szCs w:val="20"/>
    </w:rPr>
  </w:style>
  <w:style w:type="table" w:customStyle="1" w:styleId="218">
    <w:name w:val="网格型7"/>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9">
    <w:name w:val="font41"/>
    <w:basedOn w:val="37"/>
    <w:qFormat/>
    <w:uiPriority w:val="0"/>
    <w:rPr>
      <w:rFonts w:hint="default" w:ascii="Times New Roman" w:hAnsi="Times New Roman" w:cs="Times New Roman"/>
      <w:color w:val="000000"/>
      <w:sz w:val="24"/>
      <w:szCs w:val="24"/>
      <w:u w:val="none"/>
    </w:rPr>
  </w:style>
  <w:style w:type="character" w:customStyle="1" w:styleId="220">
    <w:name w:val="font01"/>
    <w:basedOn w:val="37"/>
    <w:qFormat/>
    <w:uiPriority w:val="0"/>
    <w:rPr>
      <w:rFonts w:hint="eastAsia" w:ascii="宋体" w:hAnsi="宋体" w:eastAsia="宋体" w:cs="宋体"/>
      <w:color w:val="000000"/>
      <w:sz w:val="22"/>
      <w:szCs w:val="22"/>
      <w:u w:val="none"/>
    </w:rPr>
  </w:style>
  <w:style w:type="character" w:customStyle="1" w:styleId="221">
    <w:name w:val="font51"/>
    <w:basedOn w:val="37"/>
    <w:qFormat/>
    <w:uiPriority w:val="0"/>
    <w:rPr>
      <w:rFonts w:hint="default" w:ascii="Times New Roman" w:hAnsi="Times New Roman" w:cs="Times New Roman"/>
      <w:color w:val="000000"/>
      <w:sz w:val="24"/>
      <w:szCs w:val="24"/>
      <w:u w:val="none"/>
    </w:rPr>
  </w:style>
  <w:style w:type="character" w:customStyle="1" w:styleId="222">
    <w:name w:val="font61"/>
    <w:basedOn w:val="37"/>
    <w:qFormat/>
    <w:uiPriority w:val="0"/>
    <w:rPr>
      <w:rFonts w:hint="default" w:ascii="Times New Roman" w:hAnsi="Times New Roman" w:cs="Times New Roman"/>
      <w:color w:val="000000"/>
      <w:sz w:val="22"/>
      <w:szCs w:val="22"/>
      <w:u w:val="none"/>
    </w:rPr>
  </w:style>
  <w:style w:type="character" w:customStyle="1" w:styleId="223">
    <w:name w:val="font21"/>
    <w:basedOn w:val="3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CD8A2-5586-4A7C-A880-41A8D0AAAA7C}">
  <ds:schemaRefs/>
</ds:datastoreItem>
</file>

<file path=customXml/itemProps3.xml><?xml version="1.0" encoding="utf-8"?>
<ds:datastoreItem xmlns:ds="http://schemas.openxmlformats.org/officeDocument/2006/customXml" ds:itemID="{7FFA5FCE-8BE8-854F-90D5-394A716390A9}">
  <ds:schemaRefs/>
</ds:datastoreItem>
</file>

<file path=customXml/itemProps4.xml><?xml version="1.0" encoding="utf-8"?>
<ds:datastoreItem xmlns:ds="http://schemas.openxmlformats.org/officeDocument/2006/customXml" ds:itemID="{F5AC2A37-4EBD-4B57-BDE1-5D8BB6C42172}">
  <ds:schemaRefs/>
</ds:datastoreItem>
</file>

<file path=docProps/app.xml><?xml version="1.0" encoding="utf-8"?>
<Properties xmlns="http://schemas.openxmlformats.org/officeDocument/2006/extended-properties" xmlns:vt="http://schemas.openxmlformats.org/officeDocument/2006/docPropsVTypes">
  <Template>Normal</Template>
  <Pages>19</Pages>
  <Words>2461</Words>
  <Characters>14030</Characters>
  <Lines>116</Lines>
  <Paragraphs>32</Paragraphs>
  <TotalTime>48</TotalTime>
  <ScaleCrop>false</ScaleCrop>
  <LinksUpToDate>false</LinksUpToDate>
  <CharactersWithSpaces>16459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2019-12-16T11:14:00Z</dcterms:created>
  <dc:creator>xuyang6959@foxmail.com</dc:creator>
  <cp:lastModifiedBy>NIEBO</cp:lastModifiedBy>
  <cp:lastPrinted>2021-03-12T08:38:57Z</cp:lastPrinted>
  <dcterms:modified xsi:type="dcterms:W3CDTF">2021-03-12T08:40:17Z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