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jc w:val="center"/>
      </w:pPr>
      <w:bookmarkStart w:id="0" w:name="_Toc421543628"/>
      <w:bookmarkStart w:id="1" w:name="_Toc384593522"/>
      <w:r>
        <w:rPr>
          <w:rFonts w:hint="eastAsia"/>
        </w:rPr>
        <w:t>《绿色设计产品评价技术</w:t>
      </w:r>
      <w:r>
        <w:rPr>
          <w:rFonts w:hint="eastAsia"/>
          <w:b/>
          <w:bCs/>
          <w:color w:val="auto"/>
        </w:rPr>
        <w:t>规范 辣椒酱》</w:t>
      </w:r>
      <w:r>
        <w:rPr>
          <w:rFonts w:hint="eastAsia" w:ascii="宋体" w:hAnsi="宋体"/>
          <w:b/>
          <w:bCs/>
          <w:color w:val="auto"/>
        </w:rPr>
        <w:t>编</w:t>
      </w:r>
      <w:r>
        <w:rPr>
          <w:rFonts w:hint="eastAsia" w:ascii="宋体" w:hAnsi="宋体"/>
        </w:rPr>
        <w:t>制说明</w:t>
      </w:r>
      <w:r>
        <w:rPr>
          <w:rFonts w:hint="eastAsia" w:ascii="黑体" w:eastAsia="黑体"/>
        </w:rPr>
        <w:br w:type="textWrapping"/>
      </w:r>
      <w:r>
        <w:rPr>
          <w:rFonts w:hint="eastAsia"/>
          <w:sz w:val="24"/>
          <w:szCs w:val="24"/>
        </w:rPr>
        <w:t>（征求意见稿）</w:t>
      </w:r>
      <w:bookmarkEnd w:id="0"/>
      <w:bookmarkEnd w:id="1"/>
    </w:p>
    <w:p>
      <w:pPr>
        <w:snapToGrid w:val="0"/>
        <w:spacing w:line="360" w:lineRule="auto"/>
        <w:jc w:val="center"/>
        <w:rPr>
          <w:rFonts w:ascii="宋体"/>
          <w:sz w:val="24"/>
        </w:rPr>
      </w:pPr>
    </w:p>
    <w:p>
      <w:pPr>
        <w:spacing w:line="480" w:lineRule="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一、</w:t>
      </w:r>
      <w:r>
        <w:rPr>
          <w:rFonts w:asciiTheme="minorEastAsia" w:hAnsiTheme="minorEastAsia" w:eastAsiaTheme="minorEastAsia"/>
          <w:b/>
          <w:bCs/>
          <w:color w:val="auto"/>
          <w:sz w:val="24"/>
          <w:szCs w:val="24"/>
        </w:rPr>
        <w:t>工作简况</w:t>
      </w:r>
    </w:p>
    <w:p>
      <w:pPr>
        <w:spacing w:line="360" w:lineRule="auto"/>
        <w:ind w:firstLine="480" w:firstLineChars="200"/>
        <w:rPr>
          <w:rFonts w:hint="eastAsia"/>
          <w:b w:val="0"/>
          <w:bCs w:val="0"/>
          <w:color w:val="auto"/>
          <w:sz w:val="24"/>
        </w:rPr>
      </w:pPr>
      <w:r>
        <w:rPr>
          <w:rFonts w:hint="eastAsia"/>
          <w:b w:val="0"/>
          <w:bCs w:val="0"/>
          <w:color w:val="auto"/>
          <w:sz w:val="24"/>
        </w:rPr>
        <w:t>1.1 立项目的</w:t>
      </w:r>
    </w:p>
    <w:p>
      <w:pPr>
        <w:spacing w:line="360" w:lineRule="auto"/>
        <w:ind w:firstLine="480" w:firstLineChars="200"/>
        <w:rPr>
          <w:rFonts w:hint="eastAsia"/>
          <w:b w:val="0"/>
          <w:bCs w:val="0"/>
          <w:color w:val="auto"/>
          <w:sz w:val="24"/>
        </w:rPr>
      </w:pPr>
      <w:r>
        <w:rPr>
          <w:rFonts w:hint="eastAsia"/>
          <w:b w:val="0"/>
          <w:bCs w:val="0"/>
          <w:color w:val="auto"/>
          <w:sz w:val="24"/>
        </w:rPr>
        <w:t>2015年国务院印发《中国制造2025》进一步提出全面推行绿色制造，加快构建科技含量高、资源消耗低、环境污染小的产业结构和生产方式，积极打造绿色制造体系。2016年国务院办公厅发布了《国务院办公厅关于建立统一的绿色产品标准、认证、标识体系的意见》（国办发〔2016〕86号）明确提出：建立统一的绿色产品标准、认证、标识体系，</w:t>
      </w:r>
      <w:r>
        <w:rPr>
          <w:rFonts w:hint="eastAsia"/>
          <w:b w:val="0"/>
          <w:bCs w:val="0"/>
          <w:color w:val="auto"/>
          <w:sz w:val="24"/>
          <w:lang w:val="en-US" w:eastAsia="zh-CN"/>
        </w:rPr>
        <w:t>该体系</w:t>
      </w:r>
      <w:r>
        <w:rPr>
          <w:rFonts w:hint="eastAsia"/>
          <w:b w:val="0"/>
          <w:bCs w:val="0"/>
          <w:color w:val="auto"/>
          <w:sz w:val="24"/>
        </w:rPr>
        <w:t>是推动绿色低碳循环发展、培育绿色市场的必然要求，是引导产业转型升级、提升中国制造竞争力的紧迫任务，是履行国际减排承诺、提升我国参与全球治理话语权的现实需要。</w:t>
      </w:r>
    </w:p>
    <w:p>
      <w:pPr>
        <w:spacing w:line="360" w:lineRule="auto"/>
        <w:ind w:firstLine="480" w:firstLineChars="200"/>
        <w:rPr>
          <w:rFonts w:hint="eastAsia"/>
          <w:b w:val="0"/>
          <w:bCs w:val="0"/>
          <w:color w:val="auto"/>
          <w:sz w:val="24"/>
        </w:rPr>
      </w:pPr>
      <w:r>
        <w:rPr>
          <w:rFonts w:hint="eastAsia"/>
          <w:b w:val="0"/>
          <w:bCs w:val="0"/>
          <w:color w:val="auto"/>
          <w:sz w:val="24"/>
        </w:rPr>
        <w:t>当前，世界上已掀起一股“绿色浪潮”，环境问题成为世界各国关注的焦点，并列入世界议事日程。制造业将进一步改变传统制造模式，推行绿色制造技术，发展相关绿色材料、绿色能源和绿色设计数据库、知识库等基础技术，生产出保护环境、提高资源效率的绿色产品，并用法律、法规规范企业行为。随着人们环保意识的增强，推行绿色制造技术和生产绿色产品的企业，在市场竞争中的优势将逐渐显现，编制绿色设计产品评价技术规范</w:t>
      </w:r>
      <w:r>
        <w:rPr>
          <w:rFonts w:hint="eastAsia"/>
          <w:b w:val="0"/>
          <w:bCs w:val="0"/>
          <w:color w:val="auto"/>
          <w:sz w:val="24"/>
          <w:lang w:val="en-US" w:eastAsia="zh-CN"/>
        </w:rPr>
        <w:t>标准</w:t>
      </w:r>
      <w:r>
        <w:rPr>
          <w:rFonts w:hint="eastAsia"/>
          <w:b w:val="0"/>
          <w:bCs w:val="0"/>
          <w:color w:val="auto"/>
          <w:sz w:val="24"/>
        </w:rPr>
        <w:t>的工作势在必行。</w:t>
      </w:r>
    </w:p>
    <w:p>
      <w:pPr>
        <w:spacing w:line="360" w:lineRule="auto"/>
        <w:ind w:firstLine="480" w:firstLineChars="200"/>
        <w:rPr>
          <w:rFonts w:hint="eastAsia"/>
          <w:b w:val="0"/>
          <w:bCs w:val="0"/>
          <w:color w:val="auto"/>
          <w:sz w:val="24"/>
        </w:rPr>
      </w:pPr>
      <w:r>
        <w:rPr>
          <w:rFonts w:hint="eastAsia"/>
          <w:b w:val="0"/>
          <w:bCs w:val="0"/>
          <w:color w:val="auto"/>
          <w:sz w:val="24"/>
        </w:rPr>
        <w:t>为此，</w:t>
      </w:r>
      <w:r>
        <w:rPr>
          <w:rFonts w:hint="eastAsia"/>
          <w:b w:val="0"/>
          <w:bCs w:val="0"/>
          <w:color w:val="auto"/>
          <w:sz w:val="24"/>
          <w:lang w:eastAsia="zh-CN"/>
        </w:rPr>
        <w:t>《</w:t>
      </w:r>
      <w:r>
        <w:rPr>
          <w:rFonts w:hint="eastAsia"/>
          <w:b w:val="0"/>
          <w:bCs w:val="0"/>
          <w:color w:val="auto"/>
          <w:sz w:val="24"/>
        </w:rPr>
        <w:t>绿色设计产品评价技术规范</w:t>
      </w:r>
      <w:r>
        <w:rPr>
          <w:rFonts w:hint="eastAsia"/>
          <w:b w:val="0"/>
          <w:bCs w:val="0"/>
          <w:color w:val="auto"/>
          <w:sz w:val="24"/>
          <w:lang w:val="en-US" w:eastAsia="zh-CN"/>
        </w:rPr>
        <w:t xml:space="preserve"> 辣椒酱》标准项目的提出，</w:t>
      </w:r>
      <w:r>
        <w:rPr>
          <w:rFonts w:hint="eastAsia"/>
          <w:b w:val="0"/>
          <w:bCs w:val="0"/>
          <w:color w:val="auto"/>
          <w:sz w:val="24"/>
        </w:rPr>
        <w:t>将有力地推动</w:t>
      </w:r>
      <w:r>
        <w:rPr>
          <w:rFonts w:hint="eastAsia"/>
          <w:b w:val="0"/>
          <w:bCs w:val="0"/>
          <w:color w:val="auto"/>
          <w:sz w:val="24"/>
          <w:lang w:val="en-US" w:eastAsia="zh-CN"/>
        </w:rPr>
        <w:t>辣椒酱</w:t>
      </w:r>
      <w:r>
        <w:rPr>
          <w:rFonts w:hint="eastAsia"/>
          <w:b w:val="0"/>
          <w:bCs w:val="0"/>
          <w:color w:val="auto"/>
          <w:sz w:val="24"/>
        </w:rPr>
        <w:t>上下游企业的加工技术进步，提高全产业链绿色化</w:t>
      </w:r>
      <w:r>
        <w:rPr>
          <w:rFonts w:hint="eastAsia"/>
          <w:b w:val="0"/>
          <w:bCs w:val="0"/>
          <w:color w:val="auto"/>
          <w:sz w:val="24"/>
          <w:lang w:eastAsia="zh-CN"/>
        </w:rPr>
        <w:t>，</w:t>
      </w:r>
      <w:r>
        <w:rPr>
          <w:rFonts w:hint="eastAsia"/>
          <w:b w:val="0"/>
          <w:bCs w:val="0"/>
          <w:color w:val="auto"/>
          <w:sz w:val="24"/>
        </w:rPr>
        <w:t>为行业的转型升级、绿色设计提供</w:t>
      </w:r>
      <w:r>
        <w:rPr>
          <w:rFonts w:hint="eastAsia"/>
          <w:b w:val="0"/>
          <w:bCs w:val="0"/>
          <w:color w:val="auto"/>
          <w:sz w:val="24"/>
          <w:lang w:val="en-US" w:eastAsia="zh-CN"/>
        </w:rPr>
        <w:t>技术</w:t>
      </w:r>
      <w:r>
        <w:rPr>
          <w:rFonts w:hint="eastAsia"/>
          <w:b w:val="0"/>
          <w:bCs w:val="0"/>
          <w:color w:val="auto"/>
          <w:sz w:val="24"/>
        </w:rPr>
        <w:t>支撑。</w:t>
      </w:r>
      <w:bookmarkStart w:id="2" w:name="_Toc508985096"/>
      <w:bookmarkStart w:id="3" w:name="_Toc497309494"/>
      <w:bookmarkStart w:id="4" w:name="_Toc22310860"/>
      <w:bookmarkStart w:id="5" w:name="_Toc513735997"/>
    </w:p>
    <w:p>
      <w:pPr>
        <w:spacing w:line="360" w:lineRule="auto"/>
        <w:ind w:firstLine="480" w:firstLineChars="200"/>
        <w:rPr>
          <w:rFonts w:hint="eastAsia"/>
          <w:b w:val="0"/>
          <w:bCs w:val="0"/>
          <w:color w:val="auto"/>
          <w:sz w:val="24"/>
        </w:rPr>
      </w:pPr>
      <w:r>
        <w:rPr>
          <w:rFonts w:hint="eastAsia"/>
          <w:b w:val="0"/>
          <w:bCs w:val="0"/>
          <w:color w:val="auto"/>
          <w:sz w:val="24"/>
        </w:rPr>
        <w:t>1.2 任务来源</w:t>
      </w:r>
      <w:bookmarkEnd w:id="2"/>
      <w:bookmarkEnd w:id="3"/>
      <w:bookmarkEnd w:id="4"/>
      <w:bookmarkEnd w:id="5"/>
    </w:p>
    <w:p>
      <w:pPr>
        <w:spacing w:line="360" w:lineRule="auto"/>
        <w:ind w:firstLine="480" w:firstLineChars="200"/>
        <w:rPr>
          <w:rFonts w:hint="eastAsia"/>
          <w:b w:val="0"/>
          <w:bCs w:val="0"/>
          <w:color w:val="auto"/>
          <w:sz w:val="24"/>
        </w:rPr>
      </w:pPr>
      <w:r>
        <w:rPr>
          <w:rFonts w:hint="eastAsia"/>
          <w:b w:val="0"/>
          <w:bCs w:val="0"/>
          <w:color w:val="auto"/>
          <w:sz w:val="24"/>
        </w:rPr>
        <w:t>中共中央、国务院发布的《生态文明体制改革总体方案》提出建立统一的绿色产品体系。国务院发布的《国务院关于积极发挥新消费引领作用、加快培育形成新供给新动力的指导意见》，将绿色消费作为推进供给侧改革和消费升级重点领域和方向之一，并提出全面提高标准化水平，加快制定和完善重点领域及新兴业态的相关标准。2015年，习近平总书记提出了“供给侧结构性改革”重大目标，要求用改革的办法推进结构调整，矫正资源配置扭曲，扩大有效供给，提高全要素生产率，促进经济社会持续、健康发展。而大力发展绿色产品，促进消费模式转变，正是供给侧改革的关键。2016年4月6日，李克强总理在国务院常务会议上提到，坚持标准引领，建设制造强国，是结构性改革尤其是供给侧结构性改革的重要内容，有利于改善供给、扩大需求，促进产品产业迈向中高端，同时提出要打一场制造业的“攻坚战”，用先进表彰倒逼“中国制造”升级。如何利用标准化手段，提高绿色供给，引领绿色消费，推进供给侧结构性改革，成为现阶段标准化体系建设的重要任务。</w:t>
      </w:r>
    </w:p>
    <w:p>
      <w:pPr>
        <w:spacing w:line="360" w:lineRule="auto"/>
        <w:ind w:firstLine="480" w:firstLineChars="200"/>
        <w:rPr>
          <w:rFonts w:hint="eastAsia"/>
          <w:b w:val="0"/>
          <w:bCs w:val="0"/>
          <w:color w:val="auto"/>
          <w:sz w:val="24"/>
        </w:rPr>
      </w:pPr>
      <w:r>
        <w:rPr>
          <w:rFonts w:hint="eastAsia"/>
          <w:b w:val="0"/>
          <w:bCs w:val="0"/>
          <w:color w:val="auto"/>
          <w:sz w:val="24"/>
        </w:rPr>
        <w:t xml:space="preserve">《绿色设计产品评价技术规范 </w:t>
      </w:r>
      <w:r>
        <w:rPr>
          <w:rFonts w:hint="eastAsia"/>
          <w:b w:val="0"/>
          <w:bCs w:val="0"/>
          <w:color w:val="auto"/>
          <w:sz w:val="24"/>
          <w:lang w:val="en-US" w:eastAsia="zh-CN"/>
        </w:rPr>
        <w:t>辣椒酱</w:t>
      </w:r>
      <w:r>
        <w:rPr>
          <w:rFonts w:hint="eastAsia"/>
          <w:b w:val="0"/>
          <w:bCs w:val="0"/>
          <w:color w:val="auto"/>
          <w:sz w:val="24"/>
        </w:rPr>
        <w:t>》</w:t>
      </w:r>
      <w:r>
        <w:rPr>
          <w:rFonts w:hint="eastAsia"/>
          <w:b w:val="0"/>
          <w:bCs w:val="0"/>
          <w:color w:val="auto"/>
          <w:sz w:val="24"/>
          <w:lang w:val="en-US" w:eastAsia="zh-CN"/>
        </w:rPr>
        <w:t>团体</w:t>
      </w:r>
      <w:r>
        <w:rPr>
          <w:rFonts w:hint="eastAsia"/>
          <w:b w:val="0"/>
          <w:bCs w:val="0"/>
          <w:color w:val="auto"/>
          <w:sz w:val="24"/>
        </w:rPr>
        <w:t>标准</w:t>
      </w:r>
      <w:r>
        <w:rPr>
          <w:rFonts w:hint="eastAsia"/>
          <w:b w:val="0"/>
          <w:bCs w:val="0"/>
          <w:color w:val="auto"/>
          <w:sz w:val="24"/>
          <w:lang w:val="en-US" w:eastAsia="zh-CN"/>
        </w:rPr>
        <w:t>的</w:t>
      </w:r>
      <w:r>
        <w:rPr>
          <w:rFonts w:hint="eastAsia"/>
          <w:b w:val="0"/>
          <w:bCs w:val="0"/>
          <w:color w:val="auto"/>
          <w:sz w:val="24"/>
        </w:rPr>
        <w:t>制定是</w:t>
      </w:r>
      <w:r>
        <w:rPr>
          <w:rFonts w:hint="eastAsia"/>
          <w:b w:val="0"/>
          <w:bCs w:val="0"/>
          <w:color w:val="auto"/>
          <w:sz w:val="24"/>
          <w:lang w:val="en-US" w:eastAsia="zh-CN"/>
        </w:rPr>
        <w:t>依据</w:t>
      </w:r>
      <w:r>
        <w:rPr>
          <w:rFonts w:hint="eastAsia"/>
          <w:b w:val="0"/>
          <w:bCs w:val="0"/>
          <w:color w:val="auto"/>
          <w:sz w:val="24"/>
        </w:rPr>
        <w:t xml:space="preserve">中国轻工联合会【关于下达《绿色设计产品评价技术规范 </w:t>
      </w:r>
      <w:r>
        <w:rPr>
          <w:rFonts w:hint="eastAsia"/>
          <w:b w:val="0"/>
          <w:bCs w:val="0"/>
          <w:color w:val="auto"/>
          <w:sz w:val="24"/>
          <w:lang w:val="en-US" w:eastAsia="zh-CN"/>
        </w:rPr>
        <w:t>蚝油</w:t>
      </w:r>
      <w:bookmarkStart w:id="8" w:name="_GoBack"/>
      <w:bookmarkEnd w:id="8"/>
      <w:r>
        <w:rPr>
          <w:rFonts w:hint="eastAsia"/>
          <w:b w:val="0"/>
          <w:bCs w:val="0"/>
          <w:color w:val="auto"/>
          <w:sz w:val="24"/>
        </w:rPr>
        <w:t>》等3项中国轻工业联合会团体标准计划的通知】（中轻联综合[2018]325号），李锦记(新会)食品有限公司主要负责制定，项目计划号：201803</w:t>
      </w:r>
      <w:r>
        <w:rPr>
          <w:rFonts w:hint="eastAsia"/>
          <w:b w:val="0"/>
          <w:bCs w:val="0"/>
          <w:color w:val="auto"/>
          <w:sz w:val="24"/>
          <w:lang w:val="en-US" w:eastAsia="zh-CN"/>
        </w:rPr>
        <w:t>5</w:t>
      </w:r>
      <w:r>
        <w:rPr>
          <w:rFonts w:hint="eastAsia"/>
          <w:b w:val="0"/>
          <w:bCs w:val="0"/>
          <w:color w:val="auto"/>
          <w:sz w:val="24"/>
        </w:rPr>
        <w:t>。</w:t>
      </w:r>
      <w:bookmarkStart w:id="6" w:name="_Toc22310861"/>
      <w:bookmarkStart w:id="7" w:name="_Toc513736002"/>
    </w:p>
    <w:p>
      <w:pPr>
        <w:spacing w:line="360" w:lineRule="auto"/>
        <w:ind w:firstLine="480" w:firstLineChars="200"/>
        <w:rPr>
          <w:rFonts w:hint="eastAsia"/>
          <w:b w:val="0"/>
          <w:bCs w:val="0"/>
          <w:color w:val="auto"/>
          <w:sz w:val="24"/>
        </w:rPr>
      </w:pPr>
      <w:r>
        <w:rPr>
          <w:rFonts w:hint="eastAsia"/>
          <w:b w:val="0"/>
          <w:bCs w:val="0"/>
          <w:color w:val="auto"/>
          <w:sz w:val="24"/>
        </w:rPr>
        <w:t>1.3 工作过程</w:t>
      </w:r>
      <w:bookmarkEnd w:id="6"/>
      <w:bookmarkEnd w:id="7"/>
    </w:p>
    <w:p>
      <w:pPr>
        <w:spacing w:line="360" w:lineRule="auto"/>
        <w:ind w:firstLine="480" w:firstLineChars="200"/>
        <w:rPr>
          <w:rFonts w:hint="eastAsia"/>
          <w:b w:val="0"/>
          <w:bCs w:val="0"/>
          <w:color w:val="auto"/>
          <w:sz w:val="24"/>
        </w:rPr>
      </w:pPr>
      <w:r>
        <w:rPr>
          <w:rFonts w:hint="eastAsia"/>
          <w:b w:val="0"/>
          <w:bCs w:val="0"/>
          <w:color w:val="auto"/>
          <w:sz w:val="24"/>
        </w:rPr>
        <w:t xml:space="preserve">标准起草单位和参与单位，成立了专门的《绿色设计产品评价技术规范 </w:t>
      </w:r>
      <w:r>
        <w:rPr>
          <w:rFonts w:hint="eastAsia"/>
          <w:b w:val="0"/>
          <w:bCs w:val="0"/>
          <w:color w:val="auto"/>
          <w:sz w:val="24"/>
          <w:lang w:val="en-US" w:eastAsia="zh-CN"/>
        </w:rPr>
        <w:t>辣椒酱</w:t>
      </w:r>
      <w:r>
        <w:rPr>
          <w:rFonts w:hint="eastAsia"/>
          <w:b w:val="0"/>
          <w:bCs w:val="0"/>
          <w:color w:val="auto"/>
          <w:sz w:val="24"/>
        </w:rPr>
        <w:t>》编制组，其中包括领导组、技术组和专家组，并制定了工作计划。根据工作计划进度安排，标准编制组收集查阅了国内外相关政策、标准、文献，认真学习《</w:t>
      </w:r>
      <w:r>
        <w:rPr>
          <w:rFonts w:hint="eastAsia"/>
          <w:b w:val="0"/>
          <w:bCs w:val="0"/>
          <w:color w:val="auto"/>
          <w:sz w:val="24"/>
          <w:lang w:val="en-US" w:eastAsia="zh-CN"/>
        </w:rPr>
        <w:t>生态设计产品评价通则</w:t>
      </w:r>
      <w:r>
        <w:rPr>
          <w:rFonts w:hint="eastAsia"/>
          <w:b w:val="0"/>
          <w:bCs w:val="0"/>
          <w:color w:val="auto"/>
          <w:sz w:val="24"/>
        </w:rPr>
        <w:t xml:space="preserve">》。编制组对以李锦记酱油生产企业及其上下游企业的生产现状进行调研，调研方式主要有：资料调研、发放调研表、现场调研等。项目开展以来，编制组成员实地调研李锦记(新会)食品有限公司及其上下游的原料基地、物流运输公司、包材生产厂和检验检测中心等。在上述工作的基础上，经计算和修改逐步完善，形成《绿色设计产品评价技术规范 </w:t>
      </w:r>
      <w:r>
        <w:rPr>
          <w:rFonts w:hint="eastAsia"/>
          <w:b w:val="0"/>
          <w:bCs w:val="0"/>
          <w:color w:val="auto"/>
          <w:sz w:val="24"/>
          <w:lang w:val="en-US" w:eastAsia="zh-CN"/>
        </w:rPr>
        <w:t>辣椒酱</w:t>
      </w:r>
      <w:r>
        <w:rPr>
          <w:rFonts w:hint="eastAsia"/>
          <w:b w:val="0"/>
          <w:bCs w:val="0"/>
          <w:color w:val="auto"/>
          <w:sz w:val="24"/>
        </w:rPr>
        <w:t>》</w:t>
      </w:r>
      <w:r>
        <w:rPr>
          <w:rFonts w:hint="eastAsia"/>
          <w:b w:val="0"/>
          <w:bCs w:val="0"/>
          <w:color w:val="auto"/>
          <w:sz w:val="24"/>
          <w:lang w:val="en-US" w:eastAsia="zh-CN"/>
        </w:rPr>
        <w:t>团体标准</w:t>
      </w:r>
      <w:r>
        <w:rPr>
          <w:rFonts w:hint="eastAsia"/>
          <w:b w:val="0"/>
          <w:bCs w:val="0"/>
          <w:color w:val="auto"/>
          <w:sz w:val="24"/>
        </w:rPr>
        <w:t>初稿。</w:t>
      </w:r>
    </w:p>
    <w:p>
      <w:pPr>
        <w:spacing w:line="360" w:lineRule="auto"/>
        <w:ind w:firstLine="480" w:firstLineChars="200"/>
        <w:rPr>
          <w:rFonts w:hint="eastAsia"/>
          <w:b w:val="0"/>
          <w:bCs w:val="0"/>
          <w:color w:val="auto"/>
          <w:sz w:val="24"/>
        </w:rPr>
      </w:pPr>
      <w:r>
        <w:rPr>
          <w:rFonts w:hint="eastAsia"/>
          <w:b w:val="0"/>
          <w:bCs w:val="0"/>
          <w:color w:val="auto"/>
          <w:sz w:val="24"/>
        </w:rPr>
        <w:t>1.4 产业化情况、推广应用论证和预期达到的经济效果</w:t>
      </w:r>
    </w:p>
    <w:p>
      <w:pPr>
        <w:spacing w:line="360" w:lineRule="auto"/>
        <w:ind w:firstLine="480" w:firstLineChars="200"/>
        <w:rPr>
          <w:rFonts w:hint="eastAsia"/>
          <w:b w:val="0"/>
          <w:bCs w:val="0"/>
          <w:color w:val="auto"/>
          <w:sz w:val="24"/>
        </w:rPr>
      </w:pPr>
      <w:r>
        <w:rPr>
          <w:rFonts w:hint="eastAsia"/>
          <w:b w:val="0"/>
          <w:bCs w:val="0"/>
          <w:color w:val="auto"/>
          <w:sz w:val="24"/>
        </w:rPr>
        <w:t>绿色产品标准是基于全生命周期理念所形成，不但针对产品质量、生态环境、健康安全等多方面提出了综合性指标要求，也为企业的生产过程与生产技术设定了标杆。</w:t>
      </w:r>
      <w:r>
        <w:rPr>
          <w:rFonts w:hint="eastAsia"/>
          <w:b w:val="0"/>
          <w:bCs w:val="0"/>
          <w:color w:val="auto"/>
          <w:sz w:val="24"/>
          <w:lang w:eastAsia="zh-CN"/>
        </w:rPr>
        <w:t>《</w:t>
      </w:r>
      <w:r>
        <w:rPr>
          <w:rFonts w:hint="eastAsia"/>
          <w:b w:val="0"/>
          <w:bCs w:val="0"/>
          <w:color w:val="auto"/>
          <w:sz w:val="24"/>
        </w:rPr>
        <w:t xml:space="preserve">绿色设计产品评价技术规范 </w:t>
      </w:r>
      <w:r>
        <w:rPr>
          <w:rFonts w:hint="eastAsia"/>
          <w:b w:val="0"/>
          <w:bCs w:val="0"/>
          <w:color w:val="auto"/>
          <w:sz w:val="24"/>
          <w:lang w:val="en-US" w:eastAsia="zh-CN"/>
        </w:rPr>
        <w:t>辣椒酱</w:t>
      </w:r>
      <w:r>
        <w:rPr>
          <w:rFonts w:hint="eastAsia"/>
          <w:b w:val="0"/>
          <w:bCs w:val="0"/>
          <w:color w:val="auto"/>
          <w:sz w:val="24"/>
          <w:lang w:eastAsia="zh-CN"/>
        </w:rPr>
        <w:t>》</w:t>
      </w:r>
      <w:r>
        <w:rPr>
          <w:rFonts w:hint="eastAsia"/>
          <w:b w:val="0"/>
          <w:bCs w:val="0"/>
          <w:color w:val="auto"/>
          <w:sz w:val="24"/>
          <w:lang w:val="en-US" w:eastAsia="zh-CN"/>
        </w:rPr>
        <w:t>团体标准的制定</w:t>
      </w:r>
      <w:r>
        <w:rPr>
          <w:rFonts w:hint="eastAsia"/>
          <w:b w:val="0"/>
          <w:bCs w:val="0"/>
          <w:color w:val="auto"/>
          <w:sz w:val="24"/>
        </w:rPr>
        <w:t>有利于改善</w:t>
      </w:r>
      <w:r>
        <w:rPr>
          <w:rFonts w:hint="eastAsia"/>
          <w:b w:val="0"/>
          <w:bCs w:val="0"/>
          <w:color w:val="auto"/>
          <w:sz w:val="24"/>
          <w:lang w:val="en-US" w:eastAsia="zh-CN"/>
        </w:rPr>
        <w:t>辣椒酱领域</w:t>
      </w:r>
      <w:r>
        <w:rPr>
          <w:rFonts w:hint="eastAsia"/>
          <w:b w:val="0"/>
          <w:bCs w:val="0"/>
          <w:color w:val="auto"/>
          <w:sz w:val="24"/>
        </w:rPr>
        <w:t>现代化和标准化程度不高，加工工艺和设备相对滞后等问题，促进传统产业的转型升级。标准的实施将有力的推动我国</w:t>
      </w:r>
      <w:r>
        <w:rPr>
          <w:rFonts w:hint="eastAsia"/>
          <w:b w:val="0"/>
          <w:bCs w:val="0"/>
          <w:color w:val="auto"/>
          <w:sz w:val="24"/>
          <w:lang w:val="en-US" w:eastAsia="zh-CN"/>
        </w:rPr>
        <w:t>辣椒酱</w:t>
      </w:r>
      <w:r>
        <w:rPr>
          <w:rFonts w:hint="eastAsia"/>
          <w:b w:val="0"/>
          <w:bCs w:val="0"/>
          <w:color w:val="auto"/>
          <w:sz w:val="24"/>
        </w:rPr>
        <w:t>生产加工行业绿色制造技术的快速推广应用，对促进我国</w:t>
      </w:r>
      <w:r>
        <w:rPr>
          <w:rFonts w:hint="eastAsia"/>
          <w:b w:val="0"/>
          <w:bCs w:val="0"/>
          <w:color w:val="auto"/>
          <w:sz w:val="24"/>
          <w:lang w:val="en-US" w:eastAsia="zh-CN"/>
        </w:rPr>
        <w:t>辣椒酱</w:t>
      </w:r>
      <w:r>
        <w:rPr>
          <w:rFonts w:hint="eastAsia"/>
          <w:b w:val="0"/>
          <w:bCs w:val="0"/>
          <w:color w:val="auto"/>
          <w:sz w:val="24"/>
        </w:rPr>
        <w:t>加工产业的健康可持续发展具有重要作用。与此同时，借助绿色设计和绿色制造等先进理念和技术，可以有效促进我国产品质量的提升，塑造绿色品牌，推动高端</w:t>
      </w:r>
      <w:r>
        <w:rPr>
          <w:rFonts w:hint="eastAsia"/>
          <w:b w:val="0"/>
          <w:bCs w:val="0"/>
          <w:color w:val="auto"/>
          <w:sz w:val="24"/>
          <w:lang w:val="en-US" w:eastAsia="zh-CN"/>
        </w:rPr>
        <w:t>辣椒酱</w:t>
      </w:r>
      <w:r>
        <w:rPr>
          <w:rFonts w:hint="eastAsia"/>
          <w:b w:val="0"/>
          <w:bCs w:val="0"/>
          <w:color w:val="auto"/>
          <w:sz w:val="24"/>
        </w:rPr>
        <w:t>产品的供给，适应和满足日渐兴起的绿色消费趋势，提升经济效益。</w:t>
      </w:r>
    </w:p>
    <w:p>
      <w:pPr>
        <w:spacing w:line="360" w:lineRule="auto"/>
        <w:ind w:firstLine="482" w:firstLineChars="200"/>
        <w:rPr>
          <w:rFonts w:hint="eastAsia"/>
          <w:b/>
          <w:bCs/>
          <w:color w:val="auto"/>
          <w:sz w:val="24"/>
        </w:rPr>
      </w:pPr>
      <w:r>
        <w:rPr>
          <w:rFonts w:hint="eastAsia"/>
          <w:b/>
          <w:bCs/>
          <w:color w:val="auto"/>
          <w:sz w:val="24"/>
        </w:rPr>
        <w:t>二、标准编制原则</w:t>
      </w:r>
    </w:p>
    <w:p>
      <w:pPr>
        <w:spacing w:line="360" w:lineRule="auto"/>
        <w:ind w:firstLine="480" w:firstLineChars="200"/>
        <w:rPr>
          <w:rFonts w:hint="eastAsia"/>
          <w:b w:val="0"/>
          <w:bCs w:val="0"/>
          <w:color w:val="auto"/>
          <w:sz w:val="24"/>
        </w:rPr>
      </w:pPr>
      <w:r>
        <w:rPr>
          <w:rFonts w:hint="eastAsia"/>
          <w:b w:val="0"/>
          <w:bCs w:val="0"/>
          <w:color w:val="auto"/>
          <w:sz w:val="24"/>
        </w:rPr>
        <w:t>本标准的编制遵循“科学性、代表性、技术先进性、经济合理性”的原则，能源属性、环境属性与国际接轨，重点突出在品质属性上的基准值和评价依据/方法，并注重标准的可操作性。</w:t>
      </w:r>
    </w:p>
    <w:p>
      <w:pPr>
        <w:spacing w:line="360" w:lineRule="auto"/>
        <w:ind w:firstLine="480" w:firstLineChars="200"/>
        <w:rPr>
          <w:rFonts w:hint="eastAsia"/>
          <w:b w:val="0"/>
          <w:bCs w:val="0"/>
          <w:color w:val="auto"/>
          <w:sz w:val="24"/>
        </w:rPr>
      </w:pPr>
      <w:r>
        <w:rPr>
          <w:rFonts w:hint="eastAsia"/>
          <w:b w:val="0"/>
          <w:bCs w:val="0"/>
          <w:color w:val="auto"/>
          <w:sz w:val="24"/>
        </w:rPr>
        <w:t>1</w:t>
      </w:r>
      <w:r>
        <w:rPr>
          <w:rFonts w:hint="eastAsia"/>
          <w:b w:val="0"/>
          <w:bCs w:val="0"/>
          <w:color w:val="auto"/>
          <w:sz w:val="24"/>
          <w:lang w:eastAsia="zh-CN"/>
        </w:rPr>
        <w:t>、</w:t>
      </w:r>
      <w:r>
        <w:rPr>
          <w:rFonts w:hint="eastAsia"/>
          <w:b w:val="0"/>
          <w:bCs w:val="0"/>
          <w:color w:val="auto"/>
          <w:sz w:val="24"/>
        </w:rPr>
        <w:t>科学性原则</w:t>
      </w:r>
    </w:p>
    <w:p>
      <w:pPr>
        <w:spacing w:line="360" w:lineRule="auto"/>
        <w:ind w:firstLine="480" w:firstLineChars="200"/>
        <w:rPr>
          <w:rFonts w:hint="eastAsia"/>
          <w:b w:val="0"/>
          <w:bCs w:val="0"/>
          <w:color w:val="auto"/>
          <w:sz w:val="24"/>
        </w:rPr>
      </w:pPr>
      <w:r>
        <w:rPr>
          <w:rFonts w:hint="eastAsia"/>
          <w:b w:val="0"/>
          <w:bCs w:val="0"/>
          <w:color w:val="auto"/>
          <w:sz w:val="24"/>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pPr>
        <w:spacing w:line="360" w:lineRule="auto"/>
        <w:ind w:firstLine="480" w:firstLineChars="200"/>
        <w:rPr>
          <w:rFonts w:hint="eastAsia"/>
          <w:b w:val="0"/>
          <w:bCs w:val="0"/>
          <w:color w:val="auto"/>
          <w:sz w:val="24"/>
        </w:rPr>
      </w:pPr>
      <w:r>
        <w:rPr>
          <w:rFonts w:hint="eastAsia"/>
          <w:b w:val="0"/>
          <w:bCs w:val="0"/>
          <w:color w:val="auto"/>
          <w:sz w:val="24"/>
        </w:rPr>
        <w:t>2</w:t>
      </w:r>
      <w:r>
        <w:rPr>
          <w:rFonts w:hint="eastAsia"/>
          <w:b w:val="0"/>
          <w:bCs w:val="0"/>
          <w:color w:val="auto"/>
          <w:sz w:val="24"/>
          <w:lang w:eastAsia="zh-CN"/>
        </w:rPr>
        <w:t>、</w:t>
      </w:r>
      <w:r>
        <w:rPr>
          <w:rFonts w:hint="eastAsia"/>
          <w:b w:val="0"/>
          <w:bCs w:val="0"/>
          <w:color w:val="auto"/>
          <w:sz w:val="24"/>
        </w:rPr>
        <w:t>代表性原则</w:t>
      </w:r>
    </w:p>
    <w:p>
      <w:pPr>
        <w:spacing w:line="360" w:lineRule="auto"/>
        <w:ind w:firstLine="480" w:firstLineChars="200"/>
        <w:rPr>
          <w:rFonts w:hint="eastAsia"/>
          <w:b w:val="0"/>
          <w:bCs w:val="0"/>
          <w:color w:val="auto"/>
          <w:sz w:val="24"/>
        </w:rPr>
      </w:pPr>
      <w:r>
        <w:rPr>
          <w:rFonts w:hint="eastAsia"/>
          <w:b w:val="0"/>
          <w:bCs w:val="0"/>
          <w:color w:val="auto"/>
          <w:sz w:val="24"/>
        </w:rPr>
        <w:t>本标准以“绿色”为核心，从资源属性、能源属性、环境属性、</w:t>
      </w:r>
      <w:r>
        <w:rPr>
          <w:rFonts w:hint="eastAsia"/>
          <w:b w:val="0"/>
          <w:bCs w:val="0"/>
          <w:color w:val="auto"/>
          <w:sz w:val="24"/>
          <w:lang w:val="en-US" w:eastAsia="zh-CN"/>
        </w:rPr>
        <w:t>产品</w:t>
      </w:r>
      <w:r>
        <w:rPr>
          <w:rFonts w:hint="eastAsia"/>
          <w:b w:val="0"/>
          <w:bCs w:val="0"/>
          <w:color w:val="auto"/>
          <w:sz w:val="24"/>
        </w:rPr>
        <w:t>属性四个方面，选取具有代表性、针对性的指标对产品进行评价，其中包括单位产品取水量、单位产品综合能耗、单位产品废水产生量、单位产品COD产生量等产品生产过程中的主要特征指标以及涉及到食品接触产品、涉及出口欧盟产品、涉及出口美国产品的产品属性指标进行评价，既代表了消费者的购买需求，又代表了产品乃至行业的发展提升方向，对消费者、企业、市场、社会都具有积极的意义。</w:t>
      </w:r>
    </w:p>
    <w:p>
      <w:pPr>
        <w:spacing w:line="360" w:lineRule="auto"/>
        <w:ind w:firstLine="480" w:firstLineChars="200"/>
        <w:rPr>
          <w:rFonts w:hint="eastAsia"/>
          <w:b w:val="0"/>
          <w:bCs w:val="0"/>
          <w:color w:val="auto"/>
          <w:sz w:val="24"/>
        </w:rPr>
      </w:pPr>
      <w:r>
        <w:rPr>
          <w:rFonts w:hint="eastAsia"/>
          <w:b w:val="0"/>
          <w:bCs w:val="0"/>
          <w:color w:val="auto"/>
          <w:sz w:val="24"/>
        </w:rPr>
        <w:t>3</w:t>
      </w:r>
      <w:r>
        <w:rPr>
          <w:rFonts w:hint="eastAsia"/>
          <w:b w:val="0"/>
          <w:bCs w:val="0"/>
          <w:color w:val="auto"/>
          <w:sz w:val="24"/>
          <w:lang w:eastAsia="zh-CN"/>
        </w:rPr>
        <w:t>、</w:t>
      </w:r>
      <w:r>
        <w:rPr>
          <w:rFonts w:hint="eastAsia"/>
          <w:b w:val="0"/>
          <w:bCs w:val="0"/>
          <w:color w:val="auto"/>
          <w:sz w:val="24"/>
        </w:rPr>
        <w:t>技术先进性原则</w:t>
      </w:r>
    </w:p>
    <w:p>
      <w:pPr>
        <w:spacing w:line="360" w:lineRule="auto"/>
        <w:ind w:firstLine="480" w:firstLineChars="200"/>
        <w:rPr>
          <w:rFonts w:hint="eastAsia"/>
          <w:b w:val="0"/>
          <w:bCs w:val="0"/>
          <w:color w:val="auto"/>
          <w:sz w:val="24"/>
        </w:rPr>
      </w:pPr>
      <w:r>
        <w:rPr>
          <w:rFonts w:hint="eastAsia"/>
          <w:b w:val="0"/>
          <w:bCs w:val="0"/>
          <w:color w:val="auto"/>
          <w:sz w:val="24"/>
        </w:rPr>
        <w:t>在试验验证上，保证了样品的普适性和代表性。工作组在大量实测数据的基础上完成本标准中的验证工作。</w:t>
      </w:r>
    </w:p>
    <w:p>
      <w:pPr>
        <w:spacing w:line="360" w:lineRule="auto"/>
        <w:ind w:firstLine="480" w:firstLineChars="200"/>
        <w:rPr>
          <w:rFonts w:hint="eastAsia"/>
          <w:b w:val="0"/>
          <w:bCs w:val="0"/>
          <w:color w:val="auto"/>
          <w:sz w:val="24"/>
        </w:rPr>
      </w:pPr>
      <w:r>
        <w:rPr>
          <w:rFonts w:hint="eastAsia"/>
          <w:b w:val="0"/>
          <w:bCs w:val="0"/>
          <w:color w:val="auto"/>
          <w:sz w:val="24"/>
        </w:rPr>
        <w:t>4</w:t>
      </w:r>
      <w:r>
        <w:rPr>
          <w:rFonts w:hint="eastAsia"/>
          <w:b w:val="0"/>
          <w:bCs w:val="0"/>
          <w:color w:val="auto"/>
          <w:sz w:val="24"/>
          <w:lang w:eastAsia="zh-CN"/>
        </w:rPr>
        <w:t>、</w:t>
      </w:r>
      <w:r>
        <w:rPr>
          <w:rFonts w:hint="eastAsia"/>
          <w:b w:val="0"/>
          <w:bCs w:val="0"/>
          <w:color w:val="auto"/>
          <w:sz w:val="24"/>
        </w:rPr>
        <w:t>经济合理性原则</w:t>
      </w:r>
    </w:p>
    <w:p>
      <w:pPr>
        <w:spacing w:line="360" w:lineRule="auto"/>
        <w:ind w:firstLine="480" w:firstLineChars="200"/>
        <w:rPr>
          <w:rFonts w:hint="eastAsia"/>
          <w:b w:val="0"/>
          <w:bCs w:val="0"/>
          <w:color w:val="auto"/>
          <w:sz w:val="24"/>
        </w:rPr>
      </w:pPr>
      <w:r>
        <w:rPr>
          <w:rFonts w:hint="eastAsia"/>
          <w:b w:val="0"/>
          <w:bCs w:val="0"/>
          <w:color w:val="auto"/>
          <w:sz w:val="24"/>
        </w:rPr>
        <w:t>在确定本标准主要技术性能指标时，综合考虑生产企业的能力和用户的利益，寻求最大的经济效益和社会效益，同时充分体现了标准的经济合理性，使本标准的</w:t>
      </w:r>
      <w:r>
        <w:rPr>
          <w:rFonts w:hint="eastAsia"/>
          <w:b w:val="0"/>
          <w:bCs w:val="0"/>
          <w:color w:val="auto"/>
          <w:sz w:val="24"/>
          <w:lang w:val="en-US" w:eastAsia="zh-CN"/>
        </w:rPr>
        <w:t>制定</w:t>
      </w:r>
      <w:r>
        <w:rPr>
          <w:rFonts w:hint="eastAsia"/>
          <w:b w:val="0"/>
          <w:bCs w:val="0"/>
          <w:color w:val="auto"/>
          <w:sz w:val="24"/>
        </w:rPr>
        <w:t>有利于促进企业经济效益和社会效益、环境效益的统一，有利于产业的发展和产品技术应用的推广。</w:t>
      </w:r>
    </w:p>
    <w:p>
      <w:pPr>
        <w:spacing w:line="360" w:lineRule="auto"/>
        <w:ind w:firstLine="482" w:firstLineChars="200"/>
        <w:rPr>
          <w:rFonts w:hint="eastAsia"/>
          <w:b/>
          <w:bCs/>
          <w:color w:val="auto"/>
          <w:sz w:val="24"/>
        </w:rPr>
      </w:pPr>
      <w:r>
        <w:rPr>
          <w:rFonts w:hint="eastAsia"/>
          <w:b/>
          <w:bCs/>
          <w:color w:val="auto"/>
          <w:sz w:val="24"/>
        </w:rPr>
        <w:t>三、标准主要内容的确定</w:t>
      </w:r>
    </w:p>
    <w:p>
      <w:pPr>
        <w:spacing w:line="360" w:lineRule="auto"/>
        <w:ind w:firstLine="480" w:firstLineChars="200"/>
        <w:rPr>
          <w:rFonts w:hint="eastAsia"/>
          <w:b w:val="0"/>
          <w:bCs w:val="0"/>
          <w:color w:val="auto"/>
          <w:sz w:val="24"/>
        </w:rPr>
      </w:pPr>
      <w:r>
        <w:rPr>
          <w:rFonts w:hint="eastAsia"/>
          <w:b w:val="0"/>
          <w:bCs w:val="0"/>
          <w:color w:val="auto"/>
          <w:sz w:val="24"/>
        </w:rPr>
        <w:t>（一）标准主要内容和适用范围</w:t>
      </w:r>
    </w:p>
    <w:p>
      <w:pPr>
        <w:spacing w:line="360" w:lineRule="auto"/>
        <w:ind w:firstLine="480" w:firstLineChars="200"/>
        <w:rPr>
          <w:rFonts w:hint="eastAsia"/>
          <w:b w:val="0"/>
          <w:bCs w:val="0"/>
          <w:color w:val="auto"/>
          <w:sz w:val="24"/>
        </w:rPr>
      </w:pPr>
      <w:r>
        <w:rPr>
          <w:rFonts w:hint="eastAsia"/>
          <w:b w:val="0"/>
          <w:bCs w:val="0"/>
          <w:color w:val="auto"/>
          <w:sz w:val="24"/>
        </w:rPr>
        <w:t>标准编制参考</w:t>
      </w:r>
      <w:r>
        <w:rPr>
          <w:rFonts w:hint="eastAsia"/>
          <w:b w:val="0"/>
          <w:bCs w:val="0"/>
          <w:color w:val="auto"/>
          <w:sz w:val="24"/>
          <w:lang w:eastAsia="zh-CN"/>
        </w:rPr>
        <w:t>《</w:t>
      </w:r>
      <w:r>
        <w:rPr>
          <w:rFonts w:hint="eastAsia"/>
          <w:b w:val="0"/>
          <w:bCs w:val="0"/>
          <w:color w:val="auto"/>
          <w:sz w:val="24"/>
          <w:lang w:val="en-US" w:eastAsia="zh-CN"/>
        </w:rPr>
        <w:t>生态设计产品</w:t>
      </w:r>
      <w:r>
        <w:rPr>
          <w:rFonts w:hint="eastAsia"/>
          <w:b w:val="0"/>
          <w:bCs w:val="0"/>
          <w:color w:val="auto"/>
          <w:sz w:val="24"/>
        </w:rPr>
        <w:t>评价通则</w:t>
      </w:r>
      <w:r>
        <w:rPr>
          <w:rFonts w:hint="eastAsia"/>
          <w:b w:val="0"/>
          <w:bCs w:val="0"/>
          <w:color w:val="auto"/>
          <w:sz w:val="24"/>
          <w:lang w:eastAsia="zh-CN"/>
        </w:rPr>
        <w:t>》</w:t>
      </w:r>
      <w:r>
        <w:rPr>
          <w:rFonts w:hint="eastAsia"/>
          <w:b w:val="0"/>
          <w:bCs w:val="0"/>
          <w:color w:val="auto"/>
          <w:sz w:val="24"/>
        </w:rPr>
        <w:t>，以促进</w:t>
      </w:r>
      <w:r>
        <w:rPr>
          <w:rFonts w:hint="eastAsia"/>
          <w:b w:val="0"/>
          <w:bCs w:val="0"/>
          <w:color w:val="auto"/>
          <w:sz w:val="24"/>
          <w:lang w:val="en-US" w:eastAsia="zh-CN"/>
        </w:rPr>
        <w:t>辣椒酱</w:t>
      </w:r>
      <w:r>
        <w:rPr>
          <w:rFonts w:hint="eastAsia"/>
          <w:b w:val="0"/>
          <w:bCs w:val="0"/>
          <w:color w:val="auto"/>
          <w:sz w:val="24"/>
        </w:rPr>
        <w:t>行业绿色产品升级，促进清洁生产，引导</w:t>
      </w:r>
      <w:r>
        <w:rPr>
          <w:rFonts w:hint="eastAsia"/>
          <w:b w:val="0"/>
          <w:bCs w:val="0"/>
          <w:color w:val="auto"/>
          <w:sz w:val="24"/>
          <w:lang w:val="en-US" w:eastAsia="zh-CN"/>
        </w:rPr>
        <w:t>辣椒酱</w:t>
      </w:r>
      <w:r>
        <w:rPr>
          <w:rFonts w:hint="eastAsia"/>
          <w:b w:val="0"/>
          <w:bCs w:val="0"/>
          <w:color w:val="auto"/>
          <w:sz w:val="24"/>
        </w:rPr>
        <w:t>企业积极采用绿色装备和绿色生产工艺技术，减少污染物排放，提高产品性能，最终减小产品全生命周期对环境的影响，实现绿色发展。</w:t>
      </w:r>
    </w:p>
    <w:p>
      <w:pPr>
        <w:spacing w:line="360" w:lineRule="auto"/>
        <w:ind w:firstLine="480" w:firstLineChars="200"/>
        <w:rPr>
          <w:rFonts w:hint="eastAsia"/>
          <w:b w:val="0"/>
          <w:bCs w:val="0"/>
          <w:color w:val="auto"/>
          <w:sz w:val="24"/>
        </w:rPr>
      </w:pPr>
      <w:r>
        <w:rPr>
          <w:rFonts w:hint="eastAsia"/>
          <w:b w:val="0"/>
          <w:bCs w:val="0"/>
          <w:color w:val="auto"/>
          <w:sz w:val="24"/>
        </w:rPr>
        <w:t>本标准适用于绿色设计产品评价规范中规定的</w:t>
      </w:r>
      <w:r>
        <w:rPr>
          <w:rFonts w:hint="eastAsia"/>
          <w:b w:val="0"/>
          <w:bCs w:val="0"/>
          <w:color w:val="auto"/>
          <w:sz w:val="24"/>
          <w:lang w:val="en-US" w:eastAsia="zh-CN"/>
        </w:rPr>
        <w:t>辣椒酱</w:t>
      </w:r>
      <w:r>
        <w:rPr>
          <w:rFonts w:hint="eastAsia"/>
          <w:b w:val="0"/>
          <w:bCs w:val="0"/>
          <w:color w:val="auto"/>
          <w:sz w:val="24"/>
        </w:rPr>
        <w:t>。标准包括范围、规范性引用文件、术语和定义、基本要求、评价指标要求、检验方法和指标计算方法、产品生命周期评价报告编制方法、评价方法以及相关附录。评价指标从产品属性、能源属性、环境属性、资源属性四个方面细化产品的技术指标。</w:t>
      </w:r>
    </w:p>
    <w:p>
      <w:pPr>
        <w:spacing w:line="360" w:lineRule="auto"/>
        <w:ind w:firstLine="480" w:firstLineChars="200"/>
        <w:rPr>
          <w:rFonts w:hint="eastAsia"/>
          <w:b w:val="0"/>
          <w:bCs w:val="0"/>
          <w:color w:val="auto"/>
          <w:sz w:val="24"/>
        </w:rPr>
      </w:pPr>
      <w:r>
        <w:rPr>
          <w:rFonts w:hint="eastAsia"/>
          <w:b w:val="0"/>
          <w:bCs w:val="0"/>
          <w:color w:val="auto"/>
          <w:sz w:val="24"/>
        </w:rPr>
        <w:t>（二）基本要求</w:t>
      </w:r>
    </w:p>
    <w:p>
      <w:pPr>
        <w:spacing w:line="360" w:lineRule="auto"/>
        <w:ind w:firstLine="480" w:firstLineChars="200"/>
        <w:rPr>
          <w:rFonts w:hint="eastAsia"/>
          <w:b w:val="0"/>
          <w:bCs w:val="0"/>
          <w:color w:val="auto"/>
          <w:sz w:val="24"/>
        </w:rPr>
      </w:pPr>
      <w:r>
        <w:rPr>
          <w:rFonts w:hint="eastAsia"/>
          <w:b w:val="0"/>
          <w:bCs w:val="0"/>
          <w:color w:val="auto"/>
          <w:sz w:val="24"/>
        </w:rPr>
        <w:t>1、生产企业近三年无重大安全和环境污染事故。企业在生产过程中应实施清洁生产，通过清洁生产审核。</w:t>
      </w:r>
    </w:p>
    <w:p>
      <w:pPr>
        <w:spacing w:line="360" w:lineRule="auto"/>
        <w:ind w:firstLine="480" w:firstLineChars="200"/>
        <w:rPr>
          <w:rFonts w:hint="eastAsia"/>
          <w:b w:val="0"/>
          <w:bCs w:val="0"/>
          <w:color w:val="auto"/>
          <w:sz w:val="24"/>
        </w:rPr>
      </w:pPr>
      <w:r>
        <w:rPr>
          <w:rFonts w:hint="eastAsia"/>
          <w:b w:val="0"/>
          <w:bCs w:val="0"/>
          <w:color w:val="auto"/>
          <w:sz w:val="24"/>
        </w:rPr>
        <w:t>企业不应采用国家或有关部门明确淘汰或禁止的生产工艺与装备。宜采用国家鼓励的、符合国家产业和技术政策发展方向的先进技术工艺。</w:t>
      </w:r>
    </w:p>
    <w:p>
      <w:pPr>
        <w:spacing w:line="360" w:lineRule="auto"/>
        <w:ind w:firstLine="480" w:firstLineChars="200"/>
        <w:rPr>
          <w:rFonts w:hint="eastAsia"/>
          <w:b w:val="0"/>
          <w:bCs w:val="0"/>
          <w:color w:val="auto"/>
          <w:sz w:val="24"/>
        </w:rPr>
      </w:pPr>
      <w:r>
        <w:rPr>
          <w:rFonts w:hint="eastAsia"/>
          <w:b w:val="0"/>
          <w:bCs w:val="0"/>
          <w:color w:val="auto"/>
          <w:sz w:val="24"/>
        </w:rPr>
        <w:t>生产企业的污染物排放应达到国家和地方污染物排放标准的要求，严格执行节能环保相关国家标准并提供污染物排放清单。</w:t>
      </w:r>
    </w:p>
    <w:p>
      <w:pPr>
        <w:spacing w:line="360" w:lineRule="auto"/>
        <w:ind w:firstLine="480" w:firstLineChars="200"/>
        <w:rPr>
          <w:rFonts w:hint="eastAsia"/>
          <w:b w:val="0"/>
          <w:bCs w:val="0"/>
          <w:color w:val="auto"/>
          <w:sz w:val="24"/>
        </w:rPr>
      </w:pPr>
      <w:r>
        <w:rPr>
          <w:rFonts w:hint="eastAsia"/>
          <w:b w:val="0"/>
          <w:bCs w:val="0"/>
          <w:color w:val="auto"/>
          <w:sz w:val="24"/>
        </w:rPr>
        <w:t>生产企业污染物总量控制应达到国家和地方污染物排放总量控制指标。</w:t>
      </w:r>
    </w:p>
    <w:p>
      <w:pPr>
        <w:spacing w:line="360" w:lineRule="auto"/>
        <w:ind w:firstLine="480" w:firstLineChars="200"/>
        <w:rPr>
          <w:rFonts w:hint="eastAsia"/>
          <w:b w:val="0"/>
          <w:bCs w:val="0"/>
          <w:color w:val="auto"/>
          <w:sz w:val="24"/>
        </w:rPr>
      </w:pPr>
      <w:r>
        <w:rPr>
          <w:rFonts w:hint="eastAsia"/>
          <w:b w:val="0"/>
          <w:bCs w:val="0"/>
          <w:color w:val="auto"/>
          <w:sz w:val="24"/>
        </w:rPr>
        <w:t>一般固体废弃物的贮存、处置场的建设、运行和污染监管应符合GB 18599的相关规定。危险废物的贮存与污染控制及监管应按照GB 18597的相关规定执行，后续应交给持有危险废物经营许可证的单位处理。</w:t>
      </w:r>
    </w:p>
    <w:p>
      <w:pPr>
        <w:spacing w:line="360" w:lineRule="auto"/>
        <w:ind w:firstLine="480" w:firstLineChars="200"/>
        <w:rPr>
          <w:rFonts w:hint="eastAsia"/>
          <w:b w:val="0"/>
          <w:bCs w:val="0"/>
          <w:color w:val="auto"/>
          <w:sz w:val="24"/>
        </w:rPr>
      </w:pPr>
      <w:r>
        <w:rPr>
          <w:rFonts w:hint="eastAsia"/>
          <w:b w:val="0"/>
          <w:bCs w:val="0"/>
          <w:color w:val="auto"/>
          <w:sz w:val="24"/>
        </w:rPr>
        <w:t>产品质量、安全以及节能降耗和综合利用水平，应达到国家标准、行业标准的相关要求。</w:t>
      </w:r>
    </w:p>
    <w:p>
      <w:pPr>
        <w:spacing w:line="360" w:lineRule="auto"/>
        <w:ind w:firstLine="480" w:firstLineChars="200"/>
        <w:rPr>
          <w:rFonts w:hint="eastAsia"/>
          <w:b w:val="0"/>
          <w:bCs w:val="0"/>
          <w:color w:val="auto"/>
          <w:sz w:val="24"/>
        </w:rPr>
      </w:pPr>
      <w:r>
        <w:rPr>
          <w:rFonts w:hint="eastAsia"/>
          <w:b w:val="0"/>
          <w:bCs w:val="0"/>
          <w:color w:val="auto"/>
          <w:sz w:val="24"/>
        </w:rPr>
        <w:t>生产企业应按照GB/T 19001、 GB/T 24001 和 GB/T 28001 分别建立并运行质量管理体系、环境管理体系和职业健康安全管理体系；开展能耗、物耗考核并建立考核制度，或按照 GB/T 23331 建立并运行能源管理体系。</w:t>
      </w:r>
    </w:p>
    <w:p>
      <w:pPr>
        <w:spacing w:line="360" w:lineRule="auto"/>
        <w:ind w:firstLine="480" w:firstLineChars="200"/>
        <w:rPr>
          <w:rFonts w:hint="eastAsia"/>
          <w:b w:val="0"/>
          <w:bCs w:val="0"/>
          <w:color w:val="auto"/>
          <w:sz w:val="24"/>
        </w:rPr>
      </w:pPr>
      <w:r>
        <w:rPr>
          <w:rFonts w:hint="eastAsia"/>
          <w:b w:val="0"/>
          <w:bCs w:val="0"/>
          <w:color w:val="auto"/>
          <w:sz w:val="24"/>
        </w:rPr>
        <w:t>生产企业应按照 GB 17167 配备能源计量器具，并根据环保法律法规和标准要求配备污染物检测和在线监控设备(如HJ/T353 水污染源在线监测系统安装技术规范)。</w:t>
      </w:r>
    </w:p>
    <w:p>
      <w:pPr>
        <w:spacing w:line="360" w:lineRule="auto"/>
        <w:ind w:firstLine="480" w:firstLineChars="200"/>
        <w:rPr>
          <w:rFonts w:hint="eastAsia"/>
          <w:b w:val="0"/>
          <w:bCs w:val="0"/>
          <w:color w:val="auto"/>
          <w:sz w:val="24"/>
        </w:rPr>
      </w:pPr>
      <w:r>
        <w:rPr>
          <w:rFonts w:hint="eastAsia"/>
          <w:b w:val="0"/>
          <w:bCs w:val="0"/>
          <w:color w:val="auto"/>
          <w:sz w:val="24"/>
        </w:rPr>
        <w:t>（三）评价指标要求</w:t>
      </w:r>
    </w:p>
    <w:p>
      <w:pPr>
        <w:spacing w:line="360" w:lineRule="auto"/>
        <w:ind w:firstLine="480" w:firstLineChars="200"/>
        <w:rPr>
          <w:rFonts w:hint="eastAsia"/>
          <w:b w:val="0"/>
          <w:bCs w:val="0"/>
          <w:color w:val="auto"/>
          <w:sz w:val="24"/>
        </w:rPr>
      </w:pPr>
      <w:r>
        <w:rPr>
          <w:rFonts w:hint="eastAsia"/>
          <w:b w:val="0"/>
          <w:bCs w:val="0"/>
          <w:color w:val="auto"/>
          <w:sz w:val="24"/>
        </w:rPr>
        <w:t>根据GB/T 32161《生态设计产品评价通则》及有关要求，辣椒酱产品的评价指标应从产品全生命周期中对资源和能源的消耗、对生态环境和人体健康影响的角度进行选取，包括资源属性、能源属性、环境属性、产品属性指标，按照全生命周期的理念，在产品设计开发阶段系统考虑原材料选用、生产、销售、使用、回收、处理等各个环节对资源环境造成的影响，力求产品在全生命周期中最大限度降低资源消耗、尽可能少用或不用含有害物质的原材料，减少污染物产生和排放，从而达到环保的目的。评价指标设计以现执行的国家标准、行业标准为基础，结合产品和行业特点，以评价筛选生态设计产品为目的，在经过验证和征询行业专家、生产厂商意见的基础上，科学、合理地确定指标基准值。标准工作组多次召开讨论会，对指标设计形成如下意见：</w:t>
      </w:r>
    </w:p>
    <w:p>
      <w:pPr>
        <w:spacing w:line="360" w:lineRule="auto"/>
        <w:ind w:firstLine="480" w:firstLineChars="200"/>
        <w:rPr>
          <w:rFonts w:hint="eastAsia"/>
          <w:b w:val="0"/>
          <w:bCs w:val="0"/>
          <w:color w:val="auto"/>
          <w:sz w:val="24"/>
        </w:rPr>
      </w:pPr>
      <w:r>
        <w:rPr>
          <w:rFonts w:hint="eastAsia"/>
          <w:b w:val="0"/>
          <w:bCs w:val="0"/>
          <w:color w:val="auto"/>
          <w:sz w:val="24"/>
        </w:rPr>
        <w:t>1、根据GB/T 32161《生态设计产品评价通则》要求，设置资源属性、能源属性、环境属性和产品属性指标；</w:t>
      </w:r>
    </w:p>
    <w:p>
      <w:pPr>
        <w:spacing w:line="360" w:lineRule="auto"/>
        <w:ind w:firstLine="480" w:firstLineChars="200"/>
        <w:rPr>
          <w:rFonts w:hint="eastAsia"/>
          <w:b w:val="0"/>
          <w:bCs w:val="0"/>
          <w:color w:val="auto"/>
          <w:sz w:val="24"/>
        </w:rPr>
      </w:pPr>
      <w:r>
        <w:rPr>
          <w:rFonts w:hint="eastAsia"/>
          <w:b w:val="0"/>
          <w:bCs w:val="0"/>
          <w:color w:val="auto"/>
          <w:sz w:val="24"/>
        </w:rPr>
        <w:t>2、在满足国家标准及综合考虑行业情况的条件下，选取二级指标</w:t>
      </w:r>
      <w:r>
        <w:rPr>
          <w:rFonts w:hint="eastAsia"/>
          <w:b w:val="0"/>
          <w:bCs w:val="0"/>
          <w:color w:val="auto"/>
          <w:sz w:val="24"/>
          <w:lang w:val="en-US" w:eastAsia="zh-CN"/>
        </w:rPr>
        <w:t>并</w:t>
      </w:r>
      <w:r>
        <w:rPr>
          <w:rFonts w:hint="eastAsia"/>
          <w:b w:val="0"/>
          <w:bCs w:val="0"/>
          <w:color w:val="auto"/>
          <w:sz w:val="24"/>
        </w:rPr>
        <w:t>确定基准值，评价指标具有一定的先进性，体现该标准制定的意义；</w:t>
      </w:r>
    </w:p>
    <w:p>
      <w:pPr>
        <w:spacing w:line="360" w:lineRule="auto"/>
        <w:ind w:firstLine="480" w:firstLineChars="200"/>
        <w:rPr>
          <w:rFonts w:hint="eastAsia"/>
          <w:b w:val="0"/>
          <w:bCs w:val="0"/>
          <w:color w:val="auto"/>
          <w:sz w:val="24"/>
        </w:rPr>
      </w:pPr>
      <w:r>
        <w:rPr>
          <w:rFonts w:hint="eastAsia"/>
          <w:b w:val="0"/>
          <w:bCs w:val="0"/>
          <w:color w:val="auto"/>
          <w:sz w:val="24"/>
        </w:rPr>
        <w:t>3、在广泛调研同行业该类指标值的基础上，确定指标基准值，以选取当前国内20%该类产品达到该基准值要求为取值原则。</w:t>
      </w:r>
    </w:p>
    <w:p>
      <w:pPr>
        <w:spacing w:line="360" w:lineRule="auto"/>
        <w:ind w:firstLine="480" w:firstLineChars="200"/>
        <w:rPr>
          <w:rFonts w:hint="eastAsia"/>
          <w:b w:val="0"/>
          <w:bCs w:val="0"/>
          <w:color w:val="auto"/>
          <w:sz w:val="24"/>
        </w:rPr>
      </w:pPr>
      <w:r>
        <w:rPr>
          <w:rFonts w:hint="eastAsia"/>
          <w:b w:val="0"/>
          <w:bCs w:val="0"/>
          <w:color w:val="auto"/>
          <w:sz w:val="24"/>
        </w:rPr>
        <w:t>根据上述指标制定原则和依据，制定辣椒酱产品评价指标要求，见表1。</w:t>
      </w:r>
    </w:p>
    <w:p>
      <w:pPr>
        <w:spacing w:line="360" w:lineRule="auto"/>
        <w:jc w:val="center"/>
        <w:rPr>
          <w:sz w:val="24"/>
          <w:szCs w:val="24"/>
        </w:rPr>
      </w:pPr>
      <w:r>
        <w:rPr>
          <w:rFonts w:hint="eastAsia"/>
          <w:sz w:val="24"/>
        </w:rPr>
        <w:t>表1</w:t>
      </w:r>
      <w:r>
        <w:rPr>
          <w:sz w:val="24"/>
        </w:rPr>
        <w:t xml:space="preserve">  </w:t>
      </w:r>
      <w:r>
        <w:rPr>
          <w:rFonts w:hint="eastAsia"/>
          <w:sz w:val="24"/>
        </w:rPr>
        <w:t>酱油产品评价指标要求</w:t>
      </w:r>
    </w:p>
    <w:tbl>
      <w:tblPr>
        <w:tblStyle w:val="6"/>
        <w:tblW w:w="86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1532"/>
        <w:gridCol w:w="1049"/>
        <w:gridCol w:w="1480"/>
        <w:gridCol w:w="3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Align w:val="center"/>
          </w:tcPr>
          <w:p>
            <w:pPr>
              <w:widowControl/>
              <w:jc w:val="center"/>
              <w:rPr>
                <w:rFonts w:ascii="宋体" w:hAnsi="宋体" w:cs="宋体"/>
                <w:b/>
                <w:kern w:val="0"/>
              </w:rPr>
            </w:pPr>
            <w:r>
              <w:rPr>
                <w:rFonts w:hint="eastAsia" w:ascii="宋体" w:hAnsi="宋体" w:cs="宋体"/>
                <w:b/>
                <w:kern w:val="0"/>
              </w:rPr>
              <w:t>一级指标</w:t>
            </w:r>
          </w:p>
        </w:tc>
        <w:tc>
          <w:tcPr>
            <w:tcW w:w="1532" w:type="dxa"/>
            <w:vAlign w:val="center"/>
          </w:tcPr>
          <w:p>
            <w:pPr>
              <w:widowControl/>
              <w:jc w:val="center"/>
              <w:rPr>
                <w:rFonts w:ascii="宋体" w:hAnsi="宋体" w:cs="宋体"/>
                <w:b/>
                <w:kern w:val="0"/>
              </w:rPr>
            </w:pPr>
            <w:r>
              <w:rPr>
                <w:rFonts w:hint="eastAsia" w:ascii="宋体" w:hAnsi="宋体" w:cs="宋体"/>
                <w:b/>
                <w:kern w:val="0"/>
              </w:rPr>
              <w:t>二级指标</w:t>
            </w:r>
          </w:p>
        </w:tc>
        <w:tc>
          <w:tcPr>
            <w:tcW w:w="1049" w:type="dxa"/>
            <w:vAlign w:val="center"/>
          </w:tcPr>
          <w:p>
            <w:pPr>
              <w:widowControl/>
              <w:jc w:val="center"/>
              <w:rPr>
                <w:rFonts w:ascii="宋体" w:hAnsi="宋体" w:cs="宋体"/>
                <w:b/>
                <w:kern w:val="0"/>
              </w:rPr>
            </w:pPr>
            <w:r>
              <w:rPr>
                <w:rFonts w:hint="eastAsia" w:ascii="宋体" w:hAnsi="宋体" w:cs="宋体"/>
                <w:b/>
                <w:kern w:val="0"/>
              </w:rPr>
              <w:t>单位</w:t>
            </w:r>
          </w:p>
        </w:tc>
        <w:tc>
          <w:tcPr>
            <w:tcW w:w="1480" w:type="dxa"/>
            <w:vAlign w:val="center"/>
          </w:tcPr>
          <w:p>
            <w:pPr>
              <w:widowControl/>
              <w:jc w:val="center"/>
              <w:rPr>
                <w:rFonts w:ascii="宋体" w:hAnsi="宋体" w:cs="宋体"/>
                <w:b/>
                <w:kern w:val="0"/>
              </w:rPr>
            </w:pPr>
            <w:r>
              <w:rPr>
                <w:rFonts w:hint="eastAsia" w:ascii="宋体" w:hAnsi="宋体" w:cs="宋体"/>
                <w:b/>
                <w:kern w:val="0"/>
              </w:rPr>
              <w:t>基准值</w:t>
            </w:r>
          </w:p>
        </w:tc>
        <w:tc>
          <w:tcPr>
            <w:tcW w:w="3302" w:type="dxa"/>
            <w:vAlign w:val="center"/>
          </w:tcPr>
          <w:p>
            <w:pPr>
              <w:widowControl/>
              <w:jc w:val="center"/>
              <w:rPr>
                <w:rFonts w:ascii="宋体" w:hAnsi="宋体" w:cs="宋体"/>
                <w:b/>
                <w:kern w:val="0"/>
              </w:rPr>
            </w:pPr>
            <w:r>
              <w:rPr>
                <w:rFonts w:hint="eastAsia" w:ascii="宋体" w:hAnsi="宋体" w:cs="宋体"/>
                <w:b/>
                <w:kern w:val="0"/>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widowControl/>
              <w:jc w:val="center"/>
              <w:rPr>
                <w:rFonts w:ascii="宋体" w:hAnsi="宋体" w:cs="宋体"/>
                <w:kern w:val="0"/>
              </w:rPr>
            </w:pPr>
            <w:r>
              <w:rPr>
                <w:rFonts w:ascii="宋体" w:hAnsi="宋体" w:cs="宋体"/>
                <w:kern w:val="0"/>
              </w:rPr>
              <w:t>资源属性</w:t>
            </w:r>
          </w:p>
        </w:tc>
        <w:tc>
          <w:tcPr>
            <w:tcW w:w="1532" w:type="dxa"/>
            <w:vMerge w:val="restart"/>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辣椒</w:t>
            </w:r>
          </w:p>
        </w:tc>
        <w:tc>
          <w:tcPr>
            <w:tcW w:w="1049"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80" w:type="dxa"/>
          </w:tcPr>
          <w:p>
            <w:pPr>
              <w:rPr>
                <w:rFonts w:hint="eastAsia" w:ascii="宋体" w:hAnsi="宋体" w:eastAsia="宋体" w:cs="宋体"/>
                <w:sz w:val="21"/>
                <w:szCs w:val="21"/>
              </w:rPr>
            </w:pPr>
            <w:r>
              <w:rPr>
                <w:rFonts w:hint="eastAsia" w:ascii="宋体" w:hAnsi="宋体" w:eastAsia="宋体" w:cs="宋体"/>
                <w:sz w:val="21"/>
                <w:szCs w:val="21"/>
              </w:rPr>
              <w:t>新鲜辣椒经自然发酵</w:t>
            </w:r>
          </w:p>
        </w:tc>
        <w:tc>
          <w:tcPr>
            <w:tcW w:w="3302" w:type="dxa"/>
            <w:vAlign w:val="center"/>
          </w:tcPr>
          <w:p>
            <w:pPr>
              <w:widowControl/>
              <w:ind w:left="240" w:hanging="210" w:hangingChars="100"/>
              <w:rPr>
                <w:rFonts w:hint="eastAsia" w:ascii="宋体" w:hAnsi="宋体" w:eastAsia="宋体" w:cs="宋体"/>
                <w:color w:val="000000"/>
                <w:kern w:val="0"/>
                <w:sz w:val="21"/>
                <w:szCs w:val="21"/>
              </w:rPr>
            </w:pPr>
            <w:r>
              <w:rPr>
                <w:rFonts w:hint="eastAsia" w:ascii="宋体" w:hAnsi="宋体" w:eastAsia="宋体" w:cs="宋体"/>
                <w:kern w:val="0"/>
                <w:sz w:val="21"/>
                <w:szCs w:val="21"/>
              </w:rPr>
              <w:t>依据GB 2762、 GB 2763、GB 2714进行判定，并提供相关检测报告。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Merge w:val="continue"/>
            <w:vAlign w:val="center"/>
          </w:tcPr>
          <w:p>
            <w:pPr>
              <w:widowControl/>
              <w:jc w:val="center"/>
              <w:rPr>
                <w:rFonts w:hint="eastAsia" w:ascii="宋体" w:hAnsi="宋体" w:eastAsia="宋体" w:cs="宋体"/>
                <w:b/>
                <w:kern w:val="0"/>
                <w:sz w:val="21"/>
                <w:szCs w:val="21"/>
              </w:rPr>
            </w:pPr>
          </w:p>
        </w:tc>
        <w:tc>
          <w:tcPr>
            <w:tcW w:w="1049"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80" w:type="dxa"/>
          </w:tcPr>
          <w:p>
            <w:pPr>
              <w:rPr>
                <w:rFonts w:hint="eastAsia" w:ascii="宋体" w:hAnsi="宋体" w:eastAsia="宋体" w:cs="宋体"/>
                <w:sz w:val="21"/>
                <w:szCs w:val="21"/>
              </w:rPr>
            </w:pPr>
            <w:r>
              <w:rPr>
                <w:rFonts w:hint="eastAsia" w:ascii="宋体" w:hAnsi="宋体" w:eastAsia="宋体" w:cs="宋体"/>
                <w:sz w:val="21"/>
                <w:szCs w:val="21"/>
              </w:rPr>
              <w:t>农残要求</w:t>
            </w:r>
          </w:p>
        </w:tc>
        <w:tc>
          <w:tcPr>
            <w:tcW w:w="3302" w:type="dxa"/>
            <w:vAlign w:val="center"/>
          </w:tcPr>
          <w:p>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没有国标限量要求的农药，农药残留一律按≤0.01mg/kg 要求，并提供相关检测报告。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取水量</w:t>
            </w:r>
          </w:p>
        </w:tc>
        <w:tc>
          <w:tcPr>
            <w:tcW w:w="1049"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m</w:t>
            </w:r>
            <w:r>
              <w:rPr>
                <w:rFonts w:hint="eastAsia" w:ascii="宋体" w:hAnsi="宋体" w:eastAsia="宋体" w:cs="宋体"/>
                <w:sz w:val="21"/>
                <w:szCs w:val="21"/>
                <w:vertAlign w:val="superscript"/>
              </w:rPr>
              <w:t>3</w:t>
            </w:r>
            <w:r>
              <w:rPr>
                <w:rFonts w:hint="eastAsia" w:ascii="宋体" w:hAnsi="宋体" w:eastAsia="宋体" w:cs="宋体"/>
                <w:sz w:val="21"/>
                <w:szCs w:val="21"/>
              </w:rPr>
              <w:t>/t</w:t>
            </w:r>
          </w:p>
        </w:tc>
        <w:tc>
          <w:tcPr>
            <w:tcW w:w="1480"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sz w:val="21"/>
                <w:szCs w:val="21"/>
              </w:rPr>
              <w:t>≤5.50</w:t>
            </w:r>
          </w:p>
        </w:tc>
        <w:tc>
          <w:tcPr>
            <w:tcW w:w="3302" w:type="dxa"/>
            <w:vAlign w:val="center"/>
          </w:tcPr>
          <w:p>
            <w:pPr>
              <w:widowControl/>
              <w:rPr>
                <w:rFonts w:hint="eastAsia" w:ascii="宋体" w:hAnsi="宋体" w:eastAsia="宋体" w:cs="宋体"/>
                <w:kern w:val="0"/>
                <w:sz w:val="21"/>
                <w:szCs w:val="21"/>
              </w:rPr>
            </w:pPr>
            <w:r>
              <w:rPr>
                <w:rFonts w:hint="eastAsia" w:ascii="宋体" w:hAnsi="宋体" w:eastAsia="宋体" w:cs="宋体"/>
                <w:sz w:val="21"/>
                <w:szCs w:val="21"/>
              </w:rPr>
              <w:t>依据本标准附录A.2计算，并提供相关证明材料。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中水回用率</w:t>
            </w:r>
          </w:p>
        </w:tc>
        <w:tc>
          <w:tcPr>
            <w:tcW w:w="1049"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1480" w:type="dxa"/>
            <w:vAlign w:val="center"/>
          </w:tcPr>
          <w:p>
            <w:pPr>
              <w:widowControl/>
              <w:spacing w:before="100" w:beforeAutospacing="1" w:after="100" w:afterAutospacing="1" w:line="90" w:lineRule="atLeast"/>
              <w:jc w:val="center"/>
              <w:rPr>
                <w:rFonts w:hint="eastAsia" w:ascii="宋体" w:hAnsi="宋体" w:eastAsia="宋体" w:cs="宋体"/>
                <w:kern w:val="0"/>
                <w:sz w:val="21"/>
                <w:szCs w:val="21"/>
              </w:rPr>
            </w:pPr>
            <w:r>
              <w:rPr>
                <w:rFonts w:hint="eastAsia" w:ascii="宋体" w:hAnsi="宋体" w:eastAsia="宋体" w:cs="宋体"/>
                <w:sz w:val="21"/>
                <w:szCs w:val="21"/>
              </w:rPr>
              <w:t>≥15.0</w:t>
            </w:r>
          </w:p>
        </w:tc>
        <w:tc>
          <w:tcPr>
            <w:tcW w:w="3302" w:type="dxa"/>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依据本标准附录A.3计算，并提供相关证明材料。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冷却水重复利用率</w:t>
            </w:r>
          </w:p>
        </w:tc>
        <w:tc>
          <w:tcPr>
            <w:tcW w:w="1049"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sz w:val="21"/>
                <w:szCs w:val="21"/>
              </w:rPr>
              <w:t>%</w:t>
            </w:r>
          </w:p>
        </w:tc>
        <w:tc>
          <w:tcPr>
            <w:tcW w:w="1480" w:type="dxa"/>
            <w:tcBorders>
              <w:top w:val="single" w:color="auto" w:sz="4" w:space="0"/>
            </w:tcBorders>
            <w:vAlign w:val="center"/>
          </w:tcPr>
          <w:p>
            <w:pPr>
              <w:widowControl/>
              <w:spacing w:before="100" w:beforeAutospacing="1" w:after="100" w:afterAutospacing="1" w:line="90" w:lineRule="atLeast"/>
              <w:jc w:val="center"/>
              <w:rPr>
                <w:rFonts w:hint="eastAsia" w:ascii="宋体" w:hAnsi="宋体" w:eastAsia="宋体" w:cs="宋体"/>
                <w:kern w:val="0"/>
                <w:sz w:val="21"/>
                <w:szCs w:val="21"/>
              </w:rPr>
            </w:pPr>
            <w:r>
              <w:rPr>
                <w:rFonts w:hint="eastAsia" w:ascii="宋体" w:hAnsi="宋体" w:eastAsia="宋体" w:cs="宋体"/>
                <w:sz w:val="21"/>
                <w:szCs w:val="21"/>
              </w:rPr>
              <w:t>≥85.00</w:t>
            </w:r>
          </w:p>
        </w:tc>
        <w:tc>
          <w:tcPr>
            <w:tcW w:w="3302" w:type="dxa"/>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依据本标准附录A.4计算，并提供相关证明材料。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rPr>
              <w:t>产品包装综合损耗率</w:t>
            </w:r>
          </w:p>
        </w:tc>
        <w:tc>
          <w:tcPr>
            <w:tcW w:w="1049" w:type="dxa"/>
            <w:vAlign w:val="center"/>
          </w:tcPr>
          <w:p>
            <w:pPr>
              <w:widowControl/>
              <w:spacing w:before="100" w:beforeAutospacing="1" w:after="100" w:afterAutospacing="1" w:line="9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80" w:type="dxa"/>
            <w:vAlign w:val="center"/>
          </w:tcPr>
          <w:p>
            <w:pPr>
              <w:spacing w:before="100" w:beforeAutospacing="1" w:after="100" w:afterAutospacing="1" w:line="90" w:lineRule="atLeast"/>
              <w:jc w:val="center"/>
              <w:rPr>
                <w:rFonts w:hint="eastAsia" w:ascii="宋体" w:hAnsi="宋体" w:eastAsia="宋体" w:cs="宋体"/>
                <w:kern w:val="0"/>
                <w:sz w:val="21"/>
                <w:szCs w:val="21"/>
              </w:rPr>
            </w:pPr>
            <w:r>
              <w:rPr>
                <w:rFonts w:hint="eastAsia" w:ascii="宋体" w:hAnsi="宋体" w:eastAsia="宋体" w:cs="宋体"/>
                <w:sz w:val="21"/>
                <w:szCs w:val="21"/>
              </w:rPr>
              <w:t>≤0.3</w:t>
            </w:r>
          </w:p>
        </w:tc>
        <w:tc>
          <w:tcPr>
            <w:tcW w:w="3302" w:type="dxa"/>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依据本标准附录A.5计算，并提供相关证明材料。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Merge w:val="restart"/>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产品包装的可循环材料占比</w:t>
            </w:r>
          </w:p>
        </w:tc>
        <w:tc>
          <w:tcPr>
            <w:tcW w:w="1049" w:type="dxa"/>
            <w:vMerge w:val="restart"/>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80"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玻璃瓶装产品：99</w:t>
            </w:r>
          </w:p>
        </w:tc>
        <w:tc>
          <w:tcPr>
            <w:tcW w:w="3302" w:type="dxa"/>
            <w:vMerge w:val="restart"/>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依据本标准附录A.6计算，并提供相关证明材料。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ascii="宋体" w:hAnsi="宋体" w:cs="宋体"/>
                <w:kern w:val="0"/>
              </w:rPr>
            </w:pPr>
          </w:p>
        </w:tc>
        <w:tc>
          <w:tcPr>
            <w:tcW w:w="1532" w:type="dxa"/>
            <w:vMerge w:val="continue"/>
            <w:vAlign w:val="center"/>
          </w:tcPr>
          <w:p>
            <w:pPr>
              <w:widowControl/>
              <w:jc w:val="center"/>
              <w:rPr>
                <w:rFonts w:ascii="宋体" w:hAnsi="宋体" w:cs="宋体"/>
                <w:kern w:val="0"/>
              </w:rPr>
            </w:pPr>
          </w:p>
        </w:tc>
        <w:tc>
          <w:tcPr>
            <w:tcW w:w="1049" w:type="dxa"/>
            <w:vMerge w:val="continue"/>
            <w:vAlign w:val="center"/>
          </w:tcPr>
          <w:p>
            <w:pPr>
              <w:widowControl/>
              <w:jc w:val="center"/>
              <w:rPr>
                <w:rFonts w:ascii="宋体" w:hAnsi="宋体" w:cs="宋体"/>
                <w:kern w:val="0"/>
              </w:rPr>
            </w:pPr>
          </w:p>
        </w:tc>
        <w:tc>
          <w:tcPr>
            <w:tcW w:w="1480" w:type="dxa"/>
            <w:tcBorders>
              <w:bottom w:val="single" w:color="000000" w:sz="4" w:space="0"/>
            </w:tcBorders>
            <w:vAlign w:val="center"/>
          </w:tcPr>
          <w:p>
            <w:pPr>
              <w:widowControl/>
              <w:jc w:val="center"/>
              <w:rPr>
                <w:rFonts w:ascii="宋体" w:hAnsi="宋体" w:cs="宋体"/>
                <w:kern w:val="0"/>
              </w:rPr>
            </w:pPr>
            <w:r>
              <w:rPr>
                <w:rFonts w:hint="eastAsia" w:ascii="宋体" w:hAnsi="宋体" w:eastAsia="宋体" w:cs="宋体"/>
                <w:sz w:val="21"/>
                <w:szCs w:val="21"/>
              </w:rPr>
              <w:t>塑料包装容器类（PET、PE）产品：≥99</w:t>
            </w:r>
          </w:p>
        </w:tc>
        <w:tc>
          <w:tcPr>
            <w:tcW w:w="3302" w:type="dxa"/>
            <w:vMerge w:val="continue"/>
            <w:tcBorders>
              <w:bottom w:val="single" w:color="000000" w:sz="4" w:space="0"/>
            </w:tcBorders>
            <w:vAlign w:val="center"/>
          </w:tcPr>
          <w:p>
            <w:pPr>
              <w:widowControl/>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能源属性</w:t>
            </w:r>
          </w:p>
        </w:tc>
        <w:tc>
          <w:tcPr>
            <w:tcW w:w="1532"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综合能耗</w:t>
            </w:r>
          </w:p>
        </w:tc>
        <w:tc>
          <w:tcPr>
            <w:tcW w:w="1049" w:type="dxa"/>
            <w:tcBorders>
              <w:bottom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tce/t</w:t>
            </w:r>
          </w:p>
        </w:tc>
        <w:tc>
          <w:tcPr>
            <w:tcW w:w="14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≤0.055</w:t>
            </w:r>
          </w:p>
        </w:tc>
        <w:tc>
          <w:tcPr>
            <w:tcW w:w="33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依据GB/T 2589及本标准附录A.7计算，并提供相关证明材料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jc w:val="center"/>
              <w:rPr>
                <w:rFonts w:hint="eastAsia" w:ascii="宋体" w:hAnsi="宋体" w:eastAsia="宋体" w:cs="宋体"/>
                <w:kern w:val="0"/>
                <w:sz w:val="21"/>
                <w:szCs w:val="21"/>
              </w:rPr>
            </w:pPr>
          </w:p>
        </w:tc>
        <w:tc>
          <w:tcPr>
            <w:tcW w:w="1532"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可再生能源利用率</w:t>
            </w:r>
          </w:p>
        </w:tc>
        <w:tc>
          <w:tcPr>
            <w:tcW w:w="1049" w:type="dxa"/>
            <w:tcBorders>
              <w:top w:val="single" w:color="000000" w:sz="4" w:space="0"/>
              <w:right w:val="single" w:color="000000"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w:t>
            </w:r>
          </w:p>
        </w:tc>
        <w:tc>
          <w:tcPr>
            <w:tcW w:w="14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≥5.00</w:t>
            </w:r>
          </w:p>
        </w:tc>
        <w:tc>
          <w:tcPr>
            <w:tcW w:w="3302"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依据本标准附录A.8计算，并提供相关证明材料。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pStyle w:val="10"/>
              <w:spacing w:before="156" w:after="156"/>
              <w:ind w:firstLine="0" w:firstLineChars="0"/>
              <w:jc w:val="center"/>
              <w:rPr>
                <w:rFonts w:hint="eastAsia" w:ascii="宋体" w:hAnsi="宋体" w:eastAsia="宋体" w:cs="宋体"/>
                <w:sz w:val="21"/>
                <w:szCs w:val="21"/>
              </w:rPr>
            </w:pPr>
            <w:r>
              <w:rPr>
                <w:rFonts w:hint="eastAsia" w:ascii="宋体" w:hAnsi="宋体" w:eastAsia="宋体" w:cs="宋体"/>
                <w:sz w:val="21"/>
                <w:szCs w:val="21"/>
              </w:rPr>
              <w:t>环境属性</w:t>
            </w:r>
          </w:p>
        </w:tc>
        <w:tc>
          <w:tcPr>
            <w:tcW w:w="1532" w:type="dxa"/>
            <w:vAlign w:val="center"/>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废气烟尘排放量</w:t>
            </w:r>
          </w:p>
        </w:tc>
        <w:tc>
          <w:tcPr>
            <w:tcW w:w="1049" w:type="dxa"/>
            <w:vAlign w:val="center"/>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g/t</w:t>
            </w:r>
          </w:p>
        </w:tc>
        <w:tc>
          <w:tcPr>
            <w:tcW w:w="1480" w:type="dxa"/>
            <w:tcBorders>
              <w:top w:val="single" w:color="000000" w:sz="4" w:space="0"/>
            </w:tcBorders>
            <w:vAlign w:val="center"/>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sz w:val="21"/>
                <w:szCs w:val="21"/>
              </w:rPr>
              <w:t>≤15.0</w:t>
            </w:r>
          </w:p>
        </w:tc>
        <w:tc>
          <w:tcPr>
            <w:tcW w:w="3302" w:type="dxa"/>
            <w:tcBorders>
              <w:top w:val="single" w:color="000000" w:sz="4" w:space="0"/>
              <w:left w:val="nil"/>
              <w:bottom w:val="single" w:color="000000" w:sz="8" w:space="0"/>
              <w:right w:val="single" w:color="000000" w:sz="8" w:space="0"/>
            </w:tcBorders>
          </w:tcPr>
          <w:p>
            <w:pPr>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依据GB/T 16157及本标准附录A.9计算，并提供相关证明材料。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废气二氧化硫排放量</w:t>
            </w:r>
          </w:p>
        </w:tc>
        <w:tc>
          <w:tcPr>
            <w:tcW w:w="1049"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g/t</w:t>
            </w:r>
          </w:p>
        </w:tc>
        <w:tc>
          <w:tcPr>
            <w:tcW w:w="1480"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≤10.00</w:t>
            </w:r>
          </w:p>
        </w:tc>
        <w:tc>
          <w:tcPr>
            <w:tcW w:w="3302"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依据HJ 57及本标准附录A.10计算，并提供相关证明材料。。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固体废弃物</w:t>
            </w:r>
            <w:r>
              <w:rPr>
                <w:rFonts w:hint="eastAsia" w:ascii="宋体" w:hAnsi="宋体" w:eastAsia="宋体" w:cs="宋体"/>
                <w:sz w:val="21"/>
                <w:szCs w:val="21"/>
              </w:rPr>
              <w:t>（压榨污泥）</w:t>
            </w:r>
            <w:r>
              <w:rPr>
                <w:rFonts w:hint="eastAsia" w:ascii="宋体" w:hAnsi="宋体" w:eastAsia="宋体" w:cs="宋体"/>
                <w:kern w:val="0"/>
                <w:sz w:val="21"/>
                <w:szCs w:val="21"/>
              </w:rPr>
              <w:t>排放量</w:t>
            </w:r>
          </w:p>
        </w:tc>
        <w:tc>
          <w:tcPr>
            <w:tcW w:w="1049"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kg/t</w:t>
            </w:r>
          </w:p>
        </w:tc>
        <w:tc>
          <w:tcPr>
            <w:tcW w:w="1480"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≤10.0</w:t>
            </w:r>
          </w:p>
        </w:tc>
        <w:tc>
          <w:tcPr>
            <w:tcW w:w="3302"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依据本标准附录A.11计算，并提供相关证明材料。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氨氮（NH3-N）排放量</w:t>
            </w:r>
          </w:p>
        </w:tc>
        <w:tc>
          <w:tcPr>
            <w:tcW w:w="1049"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kg/t</w:t>
            </w:r>
          </w:p>
        </w:tc>
        <w:tc>
          <w:tcPr>
            <w:tcW w:w="1480"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≤0.0160</w:t>
            </w:r>
          </w:p>
        </w:tc>
        <w:tc>
          <w:tcPr>
            <w:tcW w:w="3302"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依据HJ 535及本标准附录A.12计算，并提供相关证明材料。。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vAlign w:val="center"/>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废水排放量</w:t>
            </w:r>
          </w:p>
        </w:tc>
        <w:tc>
          <w:tcPr>
            <w:tcW w:w="1049" w:type="dxa"/>
            <w:vAlign w:val="center"/>
          </w:tcPr>
          <w:p>
            <w:pPr>
              <w:widowControl/>
              <w:spacing w:before="100" w:beforeAutospacing="1" w:after="100" w:afterAutospacing="1"/>
              <w:jc w:val="left"/>
              <w:rPr>
                <w:rFonts w:hint="eastAsia" w:ascii="宋体" w:hAnsi="宋体" w:eastAsia="宋体" w:cs="宋体"/>
                <w:kern w:val="0"/>
                <w:sz w:val="21"/>
                <w:szCs w:val="21"/>
              </w:rPr>
            </w:pPr>
            <w:r>
              <w:rPr>
                <w:rFonts w:hint="eastAsia" w:ascii="宋体" w:hAnsi="宋体" w:eastAsia="宋体" w:cs="宋体"/>
                <w:kern w:val="0"/>
                <w:sz w:val="21"/>
                <w:szCs w:val="21"/>
              </w:rPr>
              <w:t>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/t</w:t>
            </w:r>
          </w:p>
        </w:tc>
        <w:tc>
          <w:tcPr>
            <w:tcW w:w="1480" w:type="dxa"/>
            <w:tcBorders>
              <w:top w:val="nil"/>
              <w:left w:val="nil"/>
              <w:bottom w:val="single" w:color="000000" w:sz="8" w:space="0"/>
              <w:right w:val="single" w:color="000000" w:sz="8" w:space="0"/>
            </w:tcBorders>
            <w:vAlign w:val="center"/>
          </w:tcPr>
          <w:p>
            <w:pPr>
              <w:widowControl/>
              <w:spacing w:before="100" w:beforeAutospacing="1" w:after="100" w:afterAutospacing="1"/>
              <w:jc w:val="left"/>
              <w:rPr>
                <w:rFonts w:hint="eastAsia" w:ascii="宋体" w:hAnsi="宋体" w:eastAsia="宋体" w:cs="宋体"/>
                <w:kern w:val="0"/>
                <w:sz w:val="21"/>
                <w:szCs w:val="21"/>
                <w:highlight w:val="yellow"/>
              </w:rPr>
            </w:pPr>
            <w:r>
              <w:rPr>
                <w:rFonts w:hint="eastAsia" w:ascii="宋体" w:hAnsi="宋体" w:eastAsia="宋体" w:cs="宋体"/>
                <w:sz w:val="21"/>
                <w:szCs w:val="21"/>
              </w:rPr>
              <w:t>≤5.00</w:t>
            </w:r>
          </w:p>
        </w:tc>
        <w:tc>
          <w:tcPr>
            <w:tcW w:w="3302" w:type="dxa"/>
            <w:tcBorders>
              <w:top w:val="nil"/>
              <w:left w:val="nil"/>
              <w:bottom w:val="single" w:color="000000" w:sz="8" w:space="0"/>
              <w:right w:val="single" w:color="000000" w:sz="8" w:space="0"/>
            </w:tcBorders>
          </w:tcPr>
          <w:p>
            <w:pPr>
              <w:spacing w:before="100" w:beforeAutospacing="1" w:after="100" w:afterAutospacing="1"/>
              <w:jc w:val="left"/>
              <w:rPr>
                <w:rFonts w:hint="eastAsia" w:ascii="宋体" w:hAnsi="宋体" w:eastAsia="宋体" w:cs="宋体"/>
                <w:sz w:val="21"/>
                <w:szCs w:val="21"/>
              </w:rPr>
            </w:pPr>
            <w:r>
              <w:rPr>
                <w:rFonts w:hint="eastAsia" w:ascii="宋体" w:hAnsi="宋体" w:eastAsia="宋体" w:cs="宋体"/>
                <w:sz w:val="21"/>
                <w:szCs w:val="21"/>
              </w:rPr>
              <w:t>依据本标准附录A.13计算，并提供相关证明材料。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CODCr排放量</w:t>
            </w:r>
          </w:p>
        </w:tc>
        <w:tc>
          <w:tcPr>
            <w:tcW w:w="1049"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kg/t</w:t>
            </w:r>
          </w:p>
        </w:tc>
        <w:tc>
          <w:tcPr>
            <w:tcW w:w="1480" w:type="dxa"/>
            <w:tcBorders>
              <w:top w:val="nil"/>
              <w:left w:val="nil"/>
              <w:bottom w:val="single" w:color="000000" w:sz="8" w:space="0"/>
              <w:right w:val="single" w:color="000000" w:sz="8" w:space="0"/>
            </w:tcBorders>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≤0.25</w:t>
            </w:r>
          </w:p>
        </w:tc>
        <w:tc>
          <w:tcPr>
            <w:tcW w:w="3302"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依据HJ 828及本标准附录A.14计算，并提供相关证明材料。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270" w:type="dxa"/>
            <w:vMerge w:val="restart"/>
            <w:vAlign w:val="center"/>
          </w:tcPr>
          <w:p>
            <w:pPr>
              <w:pStyle w:val="10"/>
              <w:spacing w:before="156" w:after="156"/>
              <w:ind w:firstLine="0" w:firstLineChars="0"/>
              <w:jc w:val="center"/>
              <w:rPr>
                <w:rFonts w:hint="eastAsia" w:ascii="宋体" w:hAnsi="宋体" w:eastAsia="宋体" w:cs="宋体"/>
                <w:sz w:val="21"/>
                <w:szCs w:val="21"/>
              </w:rPr>
            </w:pPr>
            <w:r>
              <w:rPr>
                <w:rFonts w:hint="eastAsia" w:ascii="宋体" w:hAnsi="宋体" w:eastAsia="宋体" w:cs="宋体"/>
                <w:sz w:val="21"/>
                <w:szCs w:val="21"/>
              </w:rPr>
              <w:t>品质属性</w:t>
            </w:r>
          </w:p>
        </w:tc>
        <w:tc>
          <w:tcPr>
            <w:tcW w:w="1532" w:type="dxa"/>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安全及品质指标</w:t>
            </w:r>
          </w:p>
        </w:tc>
        <w:tc>
          <w:tcPr>
            <w:tcW w:w="1049"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80" w:type="dxa"/>
            <w:tcBorders>
              <w:top w:val="single" w:color="auto" w:sz="4" w:space="0"/>
            </w:tcBorders>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全项符合GB 31644-2018</w:t>
            </w:r>
          </w:p>
        </w:tc>
        <w:tc>
          <w:tcPr>
            <w:tcW w:w="3302" w:type="dxa"/>
            <w:vAlign w:val="center"/>
          </w:tcPr>
          <w:p>
            <w:pPr>
              <w:widowControl/>
              <w:rPr>
                <w:rFonts w:hint="eastAsia" w:ascii="宋体" w:hAnsi="宋体" w:eastAsia="宋体" w:cs="宋体"/>
                <w:color w:val="FF0000"/>
                <w:kern w:val="0"/>
                <w:sz w:val="21"/>
                <w:szCs w:val="21"/>
              </w:rPr>
            </w:pPr>
            <w:r>
              <w:rPr>
                <w:rFonts w:hint="eastAsia" w:ascii="宋体" w:hAnsi="宋体" w:eastAsia="宋体" w:cs="宋体"/>
                <w:kern w:val="0"/>
                <w:sz w:val="21"/>
                <w:szCs w:val="21"/>
              </w:rPr>
              <w:t>依据GB 31644进行判定，并提供相关检测报告。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vAlign w:val="center"/>
          </w:tcPr>
          <w:p>
            <w:pPr>
              <w:widowControl/>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菌落总数</w:t>
            </w:r>
          </w:p>
        </w:tc>
        <w:tc>
          <w:tcPr>
            <w:tcW w:w="1049" w:type="dxa"/>
            <w:vAlign w:val="center"/>
          </w:tcPr>
          <w:p>
            <w:pPr>
              <w:widowControl/>
              <w:spacing w:before="100" w:beforeAutospacing="1" w:after="100" w:afterAutospacing="1" w:line="90" w:lineRule="atLeast"/>
              <w:jc w:val="left"/>
              <w:rPr>
                <w:rFonts w:hint="eastAsia" w:ascii="宋体" w:hAnsi="宋体" w:eastAsia="宋体" w:cs="宋体"/>
                <w:sz w:val="21"/>
                <w:szCs w:val="21"/>
              </w:rPr>
            </w:pPr>
            <w:r>
              <w:rPr>
                <w:rFonts w:hint="eastAsia" w:ascii="宋体" w:hAnsi="宋体" w:eastAsia="宋体" w:cs="宋体"/>
                <w:sz w:val="21"/>
                <w:szCs w:val="21"/>
              </w:rPr>
              <w:t>CFU/g</w:t>
            </w:r>
          </w:p>
        </w:tc>
        <w:tc>
          <w:tcPr>
            <w:tcW w:w="1480" w:type="dxa"/>
            <w:tcBorders>
              <w:top w:val="single" w:color="auto" w:sz="4" w:space="0"/>
            </w:tcBorders>
            <w:vAlign w:val="center"/>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sz w:val="21"/>
                <w:szCs w:val="21"/>
              </w:rPr>
              <w:t>≤5000</w:t>
            </w:r>
          </w:p>
        </w:tc>
        <w:tc>
          <w:tcPr>
            <w:tcW w:w="3302" w:type="dxa"/>
          </w:tcPr>
          <w:p>
            <w:pPr>
              <w:widowControl/>
              <w:spacing w:before="100" w:beforeAutospacing="1" w:after="100" w:afterAutospacing="1" w:line="9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依据</w:t>
            </w:r>
            <w:r>
              <w:rPr>
                <w:rFonts w:hint="eastAsia" w:ascii="宋体" w:hAnsi="宋体" w:eastAsia="宋体" w:cs="宋体"/>
                <w:sz w:val="21"/>
                <w:szCs w:val="21"/>
              </w:rPr>
              <w:t>GB 4789.2进行检测，并</w:t>
            </w:r>
            <w:r>
              <w:rPr>
                <w:rFonts w:hint="eastAsia" w:ascii="宋体" w:hAnsi="宋体" w:eastAsia="宋体" w:cs="宋体"/>
                <w:kern w:val="0"/>
                <w:sz w:val="21"/>
                <w:szCs w:val="21"/>
              </w:rPr>
              <w:t>提供相关检测报告。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0"/>
              <w:spacing w:before="156" w:after="156"/>
              <w:ind w:firstLine="0" w:firstLineChars="0"/>
              <w:jc w:val="center"/>
              <w:rPr>
                <w:rFonts w:hint="eastAsia" w:ascii="宋体" w:hAnsi="宋体" w:eastAsia="宋体" w:cs="宋体"/>
                <w:sz w:val="21"/>
                <w:szCs w:val="21"/>
              </w:rPr>
            </w:pPr>
          </w:p>
        </w:tc>
        <w:tc>
          <w:tcPr>
            <w:tcW w:w="1532" w:type="dxa"/>
          </w:tcPr>
          <w:p>
            <w:pPr>
              <w:spacing w:line="400" w:lineRule="exact"/>
              <w:rPr>
                <w:rFonts w:hint="eastAsia" w:ascii="宋体" w:hAnsi="宋体" w:eastAsia="宋体" w:cs="宋体"/>
                <w:sz w:val="21"/>
                <w:szCs w:val="21"/>
              </w:rPr>
            </w:pPr>
            <w:r>
              <w:rPr>
                <w:rFonts w:hint="eastAsia" w:ascii="宋体" w:hAnsi="宋体" w:eastAsia="宋体" w:cs="宋体"/>
                <w:sz w:val="21"/>
                <w:szCs w:val="21"/>
              </w:rPr>
              <w:t>产品食用盐含量</w:t>
            </w:r>
          </w:p>
        </w:tc>
        <w:tc>
          <w:tcPr>
            <w:tcW w:w="1049"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1480"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3302" w:type="dxa"/>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依据</w:t>
            </w:r>
            <w:r>
              <w:rPr>
                <w:rFonts w:hint="eastAsia" w:ascii="宋体" w:hAnsi="宋体" w:eastAsia="宋体" w:cs="宋体"/>
                <w:sz w:val="21"/>
                <w:szCs w:val="21"/>
              </w:rPr>
              <w:t>GB/T 5009.40进行检测，并</w:t>
            </w:r>
            <w:r>
              <w:rPr>
                <w:rFonts w:hint="eastAsia" w:ascii="宋体" w:hAnsi="宋体" w:eastAsia="宋体" w:cs="宋体"/>
                <w:kern w:val="0"/>
                <w:sz w:val="21"/>
                <w:szCs w:val="21"/>
              </w:rPr>
              <w:t>提供相关检测报告。</w:t>
            </w:r>
          </w:p>
        </w:tc>
      </w:tr>
    </w:tbl>
    <w:p>
      <w:pPr>
        <w:spacing w:line="360" w:lineRule="auto"/>
        <w:ind w:firstLine="480" w:firstLineChars="200"/>
        <w:rPr>
          <w:sz w:val="24"/>
          <w:szCs w:val="24"/>
        </w:rPr>
      </w:pPr>
    </w:p>
    <w:p>
      <w:pPr>
        <w:spacing w:line="360" w:lineRule="auto"/>
        <w:ind w:firstLine="480" w:firstLineChars="200"/>
        <w:rPr>
          <w:rFonts w:hint="eastAsia"/>
          <w:b w:val="0"/>
          <w:bCs w:val="0"/>
          <w:color w:val="auto"/>
          <w:sz w:val="24"/>
        </w:rPr>
      </w:pPr>
      <w:r>
        <w:rPr>
          <w:rFonts w:hint="eastAsia"/>
          <w:b w:val="0"/>
          <w:bCs w:val="0"/>
          <w:color w:val="auto"/>
          <w:sz w:val="24"/>
        </w:rPr>
        <w:t>（四）评价指标制定说明</w:t>
      </w:r>
    </w:p>
    <w:p>
      <w:pPr>
        <w:spacing w:line="360" w:lineRule="auto"/>
        <w:ind w:firstLine="480" w:firstLineChars="200"/>
        <w:rPr>
          <w:rFonts w:hint="eastAsia"/>
          <w:b w:val="0"/>
          <w:bCs w:val="0"/>
          <w:color w:val="auto"/>
          <w:sz w:val="24"/>
        </w:rPr>
      </w:pPr>
      <w:r>
        <w:rPr>
          <w:rFonts w:hint="eastAsia"/>
          <w:b w:val="0"/>
          <w:bCs w:val="0"/>
          <w:color w:val="auto"/>
          <w:sz w:val="24"/>
        </w:rPr>
        <w:t>调味品企业生产工艺复杂，产品种类多，企业生产过程，各类产品的用水</w:t>
      </w:r>
      <w:r>
        <w:rPr>
          <w:rFonts w:hint="eastAsia"/>
          <w:b w:val="0"/>
          <w:bCs w:val="0"/>
          <w:color w:val="auto"/>
          <w:sz w:val="24"/>
          <w:lang w:eastAsia="zh-CN"/>
        </w:rPr>
        <w:t>、</w:t>
      </w:r>
      <w:r>
        <w:rPr>
          <w:rFonts w:hint="eastAsia"/>
          <w:b w:val="0"/>
          <w:bCs w:val="0"/>
          <w:color w:val="auto"/>
          <w:sz w:val="24"/>
        </w:rPr>
        <w:t>用能有不单独核算的情况，</w:t>
      </w:r>
      <w:r>
        <w:rPr>
          <w:rFonts w:hint="eastAsia"/>
          <w:b w:val="0"/>
          <w:bCs w:val="0"/>
          <w:color w:val="auto"/>
          <w:sz w:val="24"/>
          <w:lang w:val="en-US" w:eastAsia="zh-CN"/>
        </w:rPr>
        <w:t>以及</w:t>
      </w:r>
      <w:r>
        <w:rPr>
          <w:rFonts w:hint="eastAsia"/>
          <w:b w:val="0"/>
          <w:bCs w:val="0"/>
          <w:color w:val="auto"/>
          <w:sz w:val="24"/>
        </w:rPr>
        <w:t>废水、废气、废渣的排放量等无法分开准确核算。因此，根据调味品行业特点，各指标基准值据具体情况进行设置。</w:t>
      </w:r>
    </w:p>
    <w:p>
      <w:pPr>
        <w:spacing w:line="360" w:lineRule="auto"/>
        <w:ind w:firstLine="480" w:firstLineChars="200"/>
        <w:rPr>
          <w:rFonts w:hint="eastAsia"/>
          <w:b w:val="0"/>
          <w:bCs w:val="0"/>
          <w:color w:val="auto"/>
          <w:sz w:val="24"/>
        </w:rPr>
      </w:pPr>
      <w:r>
        <w:rPr>
          <w:rFonts w:hint="eastAsia"/>
          <w:b w:val="0"/>
          <w:bCs w:val="0"/>
          <w:color w:val="auto"/>
          <w:sz w:val="24"/>
        </w:rPr>
        <w:t>1、单位产品取水量</w:t>
      </w:r>
    </w:p>
    <w:p>
      <w:pPr>
        <w:spacing w:line="360" w:lineRule="auto"/>
        <w:ind w:firstLine="480" w:firstLineChars="200"/>
        <w:rPr>
          <w:rFonts w:hint="eastAsia"/>
          <w:b w:val="0"/>
          <w:bCs w:val="0"/>
          <w:color w:val="auto"/>
          <w:sz w:val="24"/>
        </w:rPr>
      </w:pPr>
      <w:r>
        <w:rPr>
          <w:rFonts w:hint="eastAsia"/>
          <w:b w:val="0"/>
          <w:bCs w:val="0"/>
          <w:color w:val="auto"/>
          <w:sz w:val="24"/>
        </w:rPr>
        <w:t>调味品企业生产工艺复杂，产品种类多，用水量比较大，故将取水量作为本标准资源属性的指标，该指标的设置是为了鼓励企业合理控制用水量，尽量循环使用工业用水，减少工业废水排放对环境造成的影响。指标体系确定各定量评价指标的评价基准值的依据是：凡国家或行业在有关政策、规划等文件中对该项指标已有明确要求的就执行国家要求的数值；凡国家或行业对该项指标尚无明确要求的，则选用国内重点大中型调味品企业近年来清洁生产所实际达到的中上等以上水平的指标值。因此，指标体系的评价基准值代表了行业主要先进水平。</w:t>
      </w:r>
    </w:p>
    <w:p>
      <w:pPr>
        <w:spacing w:line="360" w:lineRule="auto"/>
        <w:ind w:firstLine="480" w:firstLineChars="200"/>
        <w:rPr>
          <w:rFonts w:hint="eastAsia"/>
          <w:b w:val="0"/>
          <w:bCs w:val="0"/>
          <w:color w:val="auto"/>
          <w:sz w:val="24"/>
        </w:rPr>
      </w:pPr>
      <w:r>
        <w:rPr>
          <w:rFonts w:hint="eastAsia"/>
          <w:b w:val="0"/>
          <w:bCs w:val="0"/>
          <w:color w:val="auto"/>
          <w:sz w:val="24"/>
        </w:rPr>
        <w:t>2、中水回用率</w:t>
      </w:r>
    </w:p>
    <w:p>
      <w:pPr>
        <w:spacing w:line="360" w:lineRule="auto"/>
        <w:ind w:firstLine="480" w:firstLineChars="200"/>
        <w:rPr>
          <w:rFonts w:hint="eastAsia"/>
          <w:b w:val="0"/>
          <w:bCs w:val="0"/>
          <w:color w:val="auto"/>
          <w:sz w:val="24"/>
        </w:rPr>
      </w:pPr>
      <w:r>
        <w:rPr>
          <w:rFonts w:hint="eastAsia"/>
          <w:b w:val="0"/>
          <w:bCs w:val="0"/>
          <w:color w:val="auto"/>
          <w:sz w:val="24"/>
        </w:rPr>
        <w:t>中水回用率指在一定计量时间（一般为1年）内经水处理后可回用的总水量占进入水处理系统处理后的废水排放量和中水回用水量之和的百分比，中水虽不可饮用,但水质比较清洁，主要可用于厕所冲洗、园林灌溉、道路保洁、景观、卫生清洁、污水站内加药用水、堆场降温喷洒用水等。</w:t>
      </w:r>
    </w:p>
    <w:p>
      <w:pPr>
        <w:spacing w:line="360" w:lineRule="auto"/>
        <w:ind w:firstLine="480" w:firstLineChars="200"/>
        <w:rPr>
          <w:rFonts w:hint="eastAsia"/>
          <w:b w:val="0"/>
          <w:bCs w:val="0"/>
          <w:color w:val="auto"/>
          <w:sz w:val="24"/>
        </w:rPr>
      </w:pPr>
      <w:r>
        <w:rPr>
          <w:rFonts w:hint="eastAsia"/>
          <w:b w:val="0"/>
          <w:bCs w:val="0"/>
          <w:color w:val="auto"/>
          <w:sz w:val="24"/>
        </w:rPr>
        <w:t>污水处理过程中，可采用砂滤、炭滤、超滤、反渗透等技术对达标排放的废水处理后进行回用，减少水资源的消耗。指标的设置是为了鼓励企业推行清洁生产技术，提高中水回用率。一方面为供水开辟了第二水源，可大幅度降低自来水的消耗量；另一方面在一定程度上解决了污水对水源的污染问题，从而起到保护水源、减少新鲜水量的作用。</w:t>
      </w:r>
    </w:p>
    <w:p>
      <w:pPr>
        <w:spacing w:line="360" w:lineRule="auto"/>
        <w:ind w:firstLine="480" w:firstLineChars="200"/>
        <w:rPr>
          <w:rFonts w:hint="eastAsia"/>
          <w:b w:val="0"/>
          <w:bCs w:val="0"/>
          <w:color w:val="auto"/>
          <w:sz w:val="24"/>
        </w:rPr>
      </w:pPr>
      <w:r>
        <w:rPr>
          <w:rFonts w:hint="eastAsia"/>
          <w:b w:val="0"/>
          <w:bCs w:val="0"/>
          <w:color w:val="auto"/>
          <w:sz w:val="24"/>
        </w:rPr>
        <w:t>本标准中水回用率根据调研数据情况，结合行业目前总体情况,设置具体的中水用回率基准值指标。</w:t>
      </w:r>
    </w:p>
    <w:p>
      <w:pPr>
        <w:spacing w:line="360" w:lineRule="auto"/>
        <w:ind w:firstLine="480" w:firstLineChars="200"/>
        <w:rPr>
          <w:rFonts w:hint="eastAsia"/>
          <w:b w:val="0"/>
          <w:bCs w:val="0"/>
          <w:color w:val="auto"/>
          <w:sz w:val="24"/>
        </w:rPr>
      </w:pPr>
      <w:r>
        <w:rPr>
          <w:rFonts w:hint="eastAsia"/>
          <w:b w:val="0"/>
          <w:bCs w:val="0"/>
          <w:color w:val="auto"/>
          <w:sz w:val="24"/>
        </w:rPr>
        <w:t>3、冷却水重复利用率</w:t>
      </w:r>
    </w:p>
    <w:p>
      <w:pPr>
        <w:spacing w:line="360" w:lineRule="auto"/>
        <w:ind w:firstLine="480" w:firstLineChars="200"/>
        <w:rPr>
          <w:rFonts w:hint="eastAsia"/>
          <w:b w:val="0"/>
          <w:bCs w:val="0"/>
          <w:color w:val="auto"/>
          <w:sz w:val="24"/>
        </w:rPr>
      </w:pPr>
      <w:r>
        <w:rPr>
          <w:rFonts w:hint="eastAsia"/>
          <w:b w:val="0"/>
          <w:bCs w:val="0"/>
          <w:color w:val="auto"/>
          <w:sz w:val="24"/>
        </w:rPr>
        <w:t>冷却水重复利用率指在一定计量时间（一般为9天）内经冷却系统重复水量占进入冷却水系统处理的新增自来水量和重复水量和的百分比。生产过程中往往会产生大量热量，使生产设备或产品温度升高，必须及时进行冷却，否则影响生产的正常运行、产品的质量和产量，为了节约水资源，普遍实行冷却水重复利用。</w:t>
      </w:r>
    </w:p>
    <w:p>
      <w:pPr>
        <w:spacing w:line="360" w:lineRule="auto"/>
        <w:ind w:firstLine="480" w:firstLineChars="200"/>
        <w:rPr>
          <w:rFonts w:hint="eastAsia"/>
          <w:b w:val="0"/>
          <w:bCs w:val="0"/>
          <w:color w:val="auto"/>
          <w:sz w:val="24"/>
        </w:rPr>
      </w:pPr>
      <w:r>
        <w:rPr>
          <w:rFonts w:hint="eastAsia"/>
          <w:b w:val="0"/>
          <w:bCs w:val="0"/>
          <w:color w:val="auto"/>
          <w:sz w:val="24"/>
        </w:rPr>
        <w:t>采用冷却水重复利用减少水资源的消耗。指标的设置是为了鼓励企业推行清洁生产技术，提高冷却水重复利用率，大幅度降低新鲜水的消耗量。</w:t>
      </w:r>
    </w:p>
    <w:p>
      <w:pPr>
        <w:spacing w:line="360" w:lineRule="auto"/>
        <w:ind w:firstLine="480" w:firstLineChars="200"/>
        <w:rPr>
          <w:rFonts w:hint="eastAsia"/>
          <w:b w:val="0"/>
          <w:bCs w:val="0"/>
          <w:color w:val="auto"/>
          <w:sz w:val="24"/>
        </w:rPr>
      </w:pPr>
      <w:r>
        <w:rPr>
          <w:rFonts w:hint="eastAsia"/>
          <w:b w:val="0"/>
          <w:bCs w:val="0"/>
          <w:color w:val="auto"/>
          <w:sz w:val="24"/>
        </w:rPr>
        <w:t>本标准循环水重复利用率根据调研数据情况，结合行业目前总体情况,设置具体基准值指标。</w:t>
      </w:r>
    </w:p>
    <w:p>
      <w:pPr>
        <w:spacing w:line="360" w:lineRule="auto"/>
        <w:ind w:firstLine="480" w:firstLineChars="200"/>
        <w:rPr>
          <w:rFonts w:hint="eastAsia"/>
          <w:b w:val="0"/>
          <w:bCs w:val="0"/>
          <w:color w:val="auto"/>
          <w:sz w:val="24"/>
        </w:rPr>
      </w:pPr>
      <w:r>
        <w:rPr>
          <w:rFonts w:hint="eastAsia"/>
          <w:b w:val="0"/>
          <w:bCs w:val="0"/>
          <w:color w:val="auto"/>
          <w:sz w:val="24"/>
        </w:rPr>
        <w:t>4、产品包装综合损耗率</w:t>
      </w:r>
    </w:p>
    <w:p>
      <w:pPr>
        <w:spacing w:line="360" w:lineRule="auto"/>
        <w:ind w:firstLine="480" w:firstLineChars="200"/>
        <w:rPr>
          <w:rFonts w:hint="eastAsia"/>
          <w:b w:val="0"/>
          <w:bCs w:val="0"/>
          <w:color w:val="auto"/>
          <w:sz w:val="24"/>
        </w:rPr>
      </w:pPr>
      <w:r>
        <w:rPr>
          <w:rFonts w:hint="eastAsia"/>
          <w:b w:val="0"/>
          <w:bCs w:val="0"/>
          <w:color w:val="auto"/>
          <w:sz w:val="24"/>
        </w:rPr>
        <w:t xml:space="preserve">产品包装综合损耗率是指企业在生产产品的过程中，使用包装物料产生残次和损耗的情况在包装单元内总消耗的比例。该指标反映包装材料的可利用效率以及损耗的水平。本标准产品包装综合损耗率，根据企业提供的各包装材料损耗率和包装物料重量占比，并按包装材料所占权重计算。由于产品包装的损耗受包装材料性质、设备能力和操作水平的影响，其数值来源主要来自生产实际的数据分析。产品包装综合损耗率达到≦0.3%，在行业内属于优良水平。 </w:t>
      </w:r>
    </w:p>
    <w:p>
      <w:pPr>
        <w:spacing w:line="360" w:lineRule="auto"/>
        <w:ind w:firstLine="480" w:firstLineChars="200"/>
        <w:rPr>
          <w:rFonts w:hint="eastAsia"/>
          <w:b w:val="0"/>
          <w:bCs w:val="0"/>
          <w:color w:val="auto"/>
          <w:sz w:val="24"/>
        </w:rPr>
      </w:pPr>
    </w:p>
    <w:p>
      <w:pPr>
        <w:spacing w:line="360" w:lineRule="auto"/>
        <w:ind w:firstLine="480" w:firstLineChars="200"/>
        <w:rPr>
          <w:rFonts w:hint="eastAsia"/>
          <w:b w:val="0"/>
          <w:bCs w:val="0"/>
          <w:color w:val="auto"/>
          <w:sz w:val="24"/>
        </w:rPr>
      </w:pPr>
      <w:r>
        <w:rPr>
          <w:rFonts w:hint="eastAsia"/>
          <w:b w:val="0"/>
          <w:bCs w:val="0"/>
          <w:color w:val="auto"/>
          <w:sz w:val="24"/>
        </w:rPr>
        <w:t>5、产品包装的可循环材料占比</w:t>
      </w:r>
    </w:p>
    <w:p>
      <w:pPr>
        <w:spacing w:line="360" w:lineRule="auto"/>
        <w:ind w:firstLine="480" w:firstLineChars="200"/>
        <w:rPr>
          <w:rFonts w:hint="eastAsia"/>
          <w:b w:val="0"/>
          <w:bCs w:val="0"/>
          <w:color w:val="auto"/>
          <w:sz w:val="24"/>
        </w:rPr>
      </w:pPr>
      <w:r>
        <w:rPr>
          <w:rFonts w:hint="eastAsia"/>
          <w:b w:val="0"/>
          <w:bCs w:val="0"/>
          <w:color w:val="auto"/>
          <w:sz w:val="24"/>
        </w:rPr>
        <w:t>产品包装的可循环材料占比是指企业在生产产品的过程中，根据国家、行业、地方、国际的标准，符合可循环要求的包装材料占包装单元内总包装材料的比例。此指标反映和评价的是包装材料可以被再循环使用的性能，以促进包装材料的可持续性利用。本标准产品包装的可循环材料占比，根据企业提供的各包装材料重量占比，参照GB∕T 16716.4-2018 《包装与环境 第4部分：材料循环再生 标准》确定计算。可循环材料占比的数值越高，材料可再循环的机会越大。</w:t>
      </w:r>
    </w:p>
    <w:p>
      <w:pPr>
        <w:spacing w:line="360" w:lineRule="auto"/>
        <w:ind w:firstLine="480" w:firstLineChars="200"/>
        <w:rPr>
          <w:rFonts w:hint="eastAsia"/>
          <w:b w:val="0"/>
          <w:bCs w:val="0"/>
          <w:color w:val="auto"/>
          <w:sz w:val="24"/>
        </w:rPr>
      </w:pPr>
      <w:r>
        <w:rPr>
          <w:rFonts w:hint="eastAsia"/>
          <w:b w:val="0"/>
          <w:bCs w:val="0"/>
          <w:color w:val="auto"/>
          <w:sz w:val="24"/>
        </w:rPr>
        <w:t>6、单位产品综合能耗</w:t>
      </w:r>
    </w:p>
    <w:p>
      <w:pPr>
        <w:spacing w:line="360" w:lineRule="auto"/>
        <w:ind w:firstLine="480" w:firstLineChars="200"/>
        <w:rPr>
          <w:rFonts w:hint="eastAsia"/>
          <w:b w:val="0"/>
          <w:bCs w:val="0"/>
          <w:color w:val="auto"/>
          <w:sz w:val="24"/>
        </w:rPr>
      </w:pPr>
      <w:r>
        <w:rPr>
          <w:rFonts w:hint="eastAsia"/>
          <w:b w:val="0"/>
          <w:bCs w:val="0"/>
          <w:color w:val="auto"/>
          <w:sz w:val="24"/>
        </w:rPr>
        <w:t>单位产品综合能耗是指报告期内生产某种产品所消耗的各种能源总量与该产品产量之比。在产品的全生命周期中，能源消耗主要产生在辣椒酱原料处理阶段、生产阶段，所消耗的能源为电能、蒸汽。单位产品综合能耗按GB 2589 综合能耗计算通则计算。</w:t>
      </w:r>
    </w:p>
    <w:p>
      <w:pPr>
        <w:spacing w:line="360" w:lineRule="auto"/>
        <w:ind w:firstLine="480" w:firstLineChars="200"/>
        <w:rPr>
          <w:rFonts w:hint="eastAsia"/>
          <w:b w:val="0"/>
          <w:bCs w:val="0"/>
          <w:color w:val="auto"/>
          <w:sz w:val="24"/>
        </w:rPr>
      </w:pPr>
      <w:r>
        <w:rPr>
          <w:rFonts w:hint="eastAsia"/>
          <w:b w:val="0"/>
          <w:bCs w:val="0"/>
          <w:color w:val="auto"/>
          <w:sz w:val="24"/>
        </w:rPr>
        <w:t>本标准单位产品综合能耗是根据调研数据，结合行业目前总体情况,设置具体的单位产品综合能耗基准值。</w:t>
      </w:r>
    </w:p>
    <w:p>
      <w:pPr>
        <w:spacing w:line="360" w:lineRule="auto"/>
        <w:ind w:firstLine="480" w:firstLineChars="200"/>
        <w:rPr>
          <w:rFonts w:hint="eastAsia"/>
          <w:b w:val="0"/>
          <w:bCs w:val="0"/>
          <w:color w:val="auto"/>
          <w:sz w:val="24"/>
        </w:rPr>
      </w:pPr>
      <w:r>
        <w:rPr>
          <w:rFonts w:hint="eastAsia"/>
          <w:b w:val="0"/>
          <w:bCs w:val="0"/>
          <w:color w:val="auto"/>
          <w:sz w:val="24"/>
        </w:rPr>
        <w:t>7、可再生能源利用率</w:t>
      </w:r>
    </w:p>
    <w:p>
      <w:pPr>
        <w:spacing w:line="360" w:lineRule="auto"/>
        <w:ind w:firstLine="480" w:firstLineChars="200"/>
        <w:rPr>
          <w:rFonts w:hint="eastAsia"/>
          <w:b w:val="0"/>
          <w:bCs w:val="0"/>
          <w:color w:val="auto"/>
          <w:sz w:val="24"/>
        </w:rPr>
      </w:pPr>
      <w:r>
        <w:rPr>
          <w:rFonts w:hint="eastAsia"/>
          <w:b w:val="0"/>
          <w:bCs w:val="0"/>
          <w:color w:val="auto"/>
          <w:sz w:val="24"/>
        </w:rPr>
        <w:t>可再生能源主要包括</w:t>
      </w:r>
      <w:r>
        <w:rPr>
          <w:rFonts w:hint="eastAsia"/>
          <w:b w:val="0"/>
          <w:bCs w:val="0"/>
          <w:color w:val="auto"/>
          <w:sz w:val="24"/>
        </w:rPr>
        <w:fldChar w:fldCharType="begin"/>
      </w:r>
      <w:r>
        <w:rPr>
          <w:rFonts w:hint="eastAsia"/>
          <w:b w:val="0"/>
          <w:bCs w:val="0"/>
          <w:color w:val="auto"/>
          <w:sz w:val="24"/>
        </w:rPr>
        <w:instrText xml:space="preserve"> HYPERLINK "https://baike.baidu.com/item/%E5%A4%AA%E9%98%B3%E8%83%BD/410865" \t "_blank" </w:instrText>
      </w:r>
      <w:r>
        <w:rPr>
          <w:rFonts w:hint="eastAsia"/>
          <w:b w:val="0"/>
          <w:bCs w:val="0"/>
          <w:color w:val="auto"/>
          <w:sz w:val="24"/>
        </w:rPr>
        <w:fldChar w:fldCharType="separate"/>
      </w:r>
      <w:r>
        <w:rPr>
          <w:rFonts w:hint="eastAsia"/>
          <w:b w:val="0"/>
          <w:bCs w:val="0"/>
          <w:color w:val="auto"/>
          <w:sz w:val="24"/>
        </w:rPr>
        <w:t>太阳能</w:t>
      </w:r>
      <w:r>
        <w:rPr>
          <w:rFonts w:hint="eastAsia"/>
          <w:b w:val="0"/>
          <w:bCs w:val="0"/>
          <w:color w:val="auto"/>
          <w:sz w:val="24"/>
        </w:rPr>
        <w:fldChar w:fldCharType="end"/>
      </w:r>
      <w:r>
        <w:rPr>
          <w:rFonts w:hint="eastAsia"/>
          <w:b w:val="0"/>
          <w:bCs w:val="0"/>
          <w:color w:val="auto"/>
          <w:sz w:val="24"/>
        </w:rPr>
        <w:t>、</w:t>
      </w:r>
      <w:r>
        <w:rPr>
          <w:rFonts w:hint="eastAsia"/>
          <w:b w:val="0"/>
          <w:bCs w:val="0"/>
          <w:color w:val="auto"/>
          <w:sz w:val="24"/>
        </w:rPr>
        <w:fldChar w:fldCharType="begin"/>
      </w:r>
      <w:r>
        <w:rPr>
          <w:rFonts w:hint="eastAsia"/>
          <w:b w:val="0"/>
          <w:bCs w:val="0"/>
          <w:color w:val="auto"/>
          <w:sz w:val="24"/>
        </w:rPr>
        <w:instrText xml:space="preserve"> HYPERLINK "https://baike.baidu.com/item/%E9%A3%8E%E8%83%BD/1200124" \t "_blank" </w:instrText>
      </w:r>
      <w:r>
        <w:rPr>
          <w:rFonts w:hint="eastAsia"/>
          <w:b w:val="0"/>
          <w:bCs w:val="0"/>
          <w:color w:val="auto"/>
          <w:sz w:val="24"/>
        </w:rPr>
        <w:fldChar w:fldCharType="separate"/>
      </w:r>
      <w:r>
        <w:rPr>
          <w:rFonts w:hint="eastAsia"/>
          <w:b w:val="0"/>
          <w:bCs w:val="0"/>
          <w:color w:val="auto"/>
          <w:sz w:val="24"/>
        </w:rPr>
        <w:t>风能</w:t>
      </w:r>
      <w:r>
        <w:rPr>
          <w:rFonts w:hint="eastAsia"/>
          <w:b w:val="0"/>
          <w:bCs w:val="0"/>
          <w:color w:val="auto"/>
          <w:sz w:val="24"/>
        </w:rPr>
        <w:fldChar w:fldCharType="end"/>
      </w:r>
      <w:r>
        <w:rPr>
          <w:rFonts w:hint="eastAsia"/>
          <w:b w:val="0"/>
          <w:bCs w:val="0"/>
          <w:color w:val="auto"/>
          <w:sz w:val="24"/>
        </w:rPr>
        <w:t>、</w:t>
      </w:r>
      <w:r>
        <w:rPr>
          <w:rFonts w:hint="eastAsia"/>
          <w:b w:val="0"/>
          <w:bCs w:val="0"/>
          <w:color w:val="auto"/>
          <w:sz w:val="24"/>
        </w:rPr>
        <w:fldChar w:fldCharType="begin"/>
      </w:r>
      <w:r>
        <w:rPr>
          <w:rFonts w:hint="eastAsia"/>
          <w:b w:val="0"/>
          <w:bCs w:val="0"/>
          <w:color w:val="auto"/>
          <w:sz w:val="24"/>
        </w:rPr>
        <w:instrText xml:space="preserve"> HYPERLINK "https://baike.baidu.com/item/%E7%94%9F%E7%89%A9%E8%B4%A8%E8%83%BD/745167" \t "_blank" </w:instrText>
      </w:r>
      <w:r>
        <w:rPr>
          <w:rFonts w:hint="eastAsia"/>
          <w:b w:val="0"/>
          <w:bCs w:val="0"/>
          <w:color w:val="auto"/>
          <w:sz w:val="24"/>
        </w:rPr>
        <w:fldChar w:fldCharType="separate"/>
      </w:r>
      <w:r>
        <w:rPr>
          <w:rFonts w:hint="eastAsia"/>
          <w:b w:val="0"/>
          <w:bCs w:val="0"/>
          <w:color w:val="auto"/>
          <w:sz w:val="24"/>
        </w:rPr>
        <w:t>生物质能</w:t>
      </w:r>
      <w:r>
        <w:rPr>
          <w:rFonts w:hint="eastAsia"/>
          <w:b w:val="0"/>
          <w:bCs w:val="0"/>
          <w:color w:val="auto"/>
          <w:sz w:val="24"/>
        </w:rPr>
        <w:fldChar w:fldCharType="end"/>
      </w:r>
      <w:r>
        <w:rPr>
          <w:rFonts w:hint="eastAsia"/>
          <w:b w:val="0"/>
          <w:bCs w:val="0"/>
          <w:color w:val="auto"/>
          <w:sz w:val="24"/>
        </w:rPr>
        <w:t>、</w:t>
      </w:r>
      <w:r>
        <w:rPr>
          <w:rFonts w:hint="eastAsia"/>
          <w:b w:val="0"/>
          <w:bCs w:val="0"/>
          <w:color w:val="auto"/>
          <w:sz w:val="24"/>
        </w:rPr>
        <w:fldChar w:fldCharType="begin"/>
      </w:r>
      <w:r>
        <w:rPr>
          <w:rFonts w:hint="eastAsia"/>
          <w:b w:val="0"/>
          <w:bCs w:val="0"/>
          <w:color w:val="auto"/>
          <w:sz w:val="24"/>
        </w:rPr>
        <w:instrText xml:space="preserve"> HYPERLINK "https://baike.baidu.com/item/%E5%9C%B0%E7%83%AD%E8%83%BD/1200223" \t "_blank" </w:instrText>
      </w:r>
      <w:r>
        <w:rPr>
          <w:rFonts w:hint="eastAsia"/>
          <w:b w:val="0"/>
          <w:bCs w:val="0"/>
          <w:color w:val="auto"/>
          <w:sz w:val="24"/>
        </w:rPr>
        <w:fldChar w:fldCharType="separate"/>
      </w:r>
      <w:r>
        <w:rPr>
          <w:rFonts w:hint="eastAsia"/>
          <w:b w:val="0"/>
          <w:bCs w:val="0"/>
          <w:color w:val="auto"/>
          <w:sz w:val="24"/>
        </w:rPr>
        <w:t>地热能</w:t>
      </w:r>
      <w:r>
        <w:rPr>
          <w:rFonts w:hint="eastAsia"/>
          <w:b w:val="0"/>
          <w:bCs w:val="0"/>
          <w:color w:val="auto"/>
          <w:sz w:val="24"/>
        </w:rPr>
        <w:fldChar w:fldCharType="end"/>
      </w:r>
      <w:r>
        <w:rPr>
          <w:rFonts w:hint="eastAsia"/>
          <w:b w:val="0"/>
          <w:bCs w:val="0"/>
          <w:color w:val="auto"/>
          <w:sz w:val="24"/>
        </w:rPr>
        <w:t>等。可再生能源利用率指在一定计量时间（一般为1年）内可再生能源用量占总体能源用量的百分比。</w:t>
      </w:r>
    </w:p>
    <w:p>
      <w:pPr>
        <w:spacing w:line="360" w:lineRule="auto"/>
        <w:ind w:firstLine="480" w:firstLineChars="200"/>
        <w:rPr>
          <w:rFonts w:hint="eastAsia"/>
          <w:b w:val="0"/>
          <w:bCs w:val="0"/>
          <w:color w:val="auto"/>
          <w:sz w:val="24"/>
        </w:rPr>
      </w:pPr>
      <w:r>
        <w:rPr>
          <w:rFonts w:hint="eastAsia"/>
          <w:b w:val="0"/>
          <w:bCs w:val="0"/>
          <w:color w:val="auto"/>
          <w:sz w:val="24"/>
        </w:rPr>
        <w:t>本标准可再生能源利用率是根据调研数据，结合行业目前总体情况,设置具体的可再生能源利用率基准值。</w:t>
      </w:r>
    </w:p>
    <w:p>
      <w:pPr>
        <w:spacing w:line="360" w:lineRule="auto"/>
        <w:ind w:firstLine="480" w:firstLineChars="200"/>
        <w:rPr>
          <w:rFonts w:hint="eastAsia"/>
          <w:b w:val="0"/>
          <w:bCs w:val="0"/>
          <w:color w:val="auto"/>
          <w:sz w:val="24"/>
        </w:rPr>
      </w:pPr>
      <w:r>
        <w:rPr>
          <w:rFonts w:hint="eastAsia"/>
          <w:b w:val="0"/>
          <w:bCs w:val="0"/>
          <w:color w:val="auto"/>
          <w:sz w:val="24"/>
        </w:rPr>
        <w:t>8、单位产品废气烟尘排放量</w:t>
      </w:r>
    </w:p>
    <w:p>
      <w:pPr>
        <w:spacing w:line="360" w:lineRule="auto"/>
        <w:ind w:firstLine="480" w:firstLineChars="200"/>
        <w:rPr>
          <w:rFonts w:hint="eastAsia"/>
          <w:b w:val="0"/>
          <w:bCs w:val="0"/>
          <w:color w:val="auto"/>
          <w:sz w:val="24"/>
        </w:rPr>
      </w:pPr>
      <w:r>
        <w:rPr>
          <w:rFonts w:hint="eastAsia"/>
          <w:b w:val="0"/>
          <w:bCs w:val="0"/>
          <w:color w:val="auto"/>
          <w:sz w:val="24"/>
        </w:rPr>
        <w:t>调味品行业废气主要由天然气锅炉燃烧所产生，天然气本身不含烟尘但燃烧过程中作为助燃物的空气含有烟尘，会随着天然气燃烧变成废气中烟尘。锅炉燃烧状况及大气烟尘含量等因素造成烟尘排放量变化。</w:t>
      </w:r>
    </w:p>
    <w:p>
      <w:pPr>
        <w:spacing w:line="360" w:lineRule="auto"/>
        <w:ind w:firstLine="480" w:firstLineChars="200"/>
        <w:rPr>
          <w:rFonts w:hint="eastAsia"/>
          <w:b w:val="0"/>
          <w:bCs w:val="0"/>
          <w:color w:val="auto"/>
          <w:sz w:val="24"/>
        </w:rPr>
      </w:pPr>
      <w:r>
        <w:rPr>
          <w:rFonts w:hint="eastAsia"/>
          <w:b w:val="0"/>
          <w:bCs w:val="0"/>
          <w:color w:val="auto"/>
          <w:sz w:val="24"/>
        </w:rPr>
        <w:t>本标准单位产品废气烟尘排放量是根据调研数据，结合行业目前总体情况,设置具体的单位产品废气烟尘排放量基准值。</w:t>
      </w:r>
    </w:p>
    <w:p>
      <w:pPr>
        <w:spacing w:line="360" w:lineRule="auto"/>
        <w:ind w:firstLine="480" w:firstLineChars="200"/>
        <w:rPr>
          <w:rFonts w:hint="eastAsia"/>
          <w:b w:val="0"/>
          <w:bCs w:val="0"/>
          <w:color w:val="auto"/>
          <w:sz w:val="24"/>
        </w:rPr>
      </w:pPr>
      <w:r>
        <w:rPr>
          <w:rFonts w:hint="eastAsia"/>
          <w:b w:val="0"/>
          <w:bCs w:val="0"/>
          <w:color w:val="auto"/>
          <w:sz w:val="24"/>
        </w:rPr>
        <w:t>9、单位产品废气二氧化硫排放量</w:t>
      </w:r>
    </w:p>
    <w:p>
      <w:pPr>
        <w:spacing w:line="360" w:lineRule="auto"/>
        <w:ind w:firstLine="480" w:firstLineChars="200"/>
        <w:rPr>
          <w:rFonts w:hint="eastAsia"/>
          <w:b w:val="0"/>
          <w:bCs w:val="0"/>
          <w:color w:val="auto"/>
          <w:sz w:val="24"/>
        </w:rPr>
      </w:pPr>
      <w:r>
        <w:rPr>
          <w:rFonts w:hint="eastAsia"/>
          <w:b w:val="0"/>
          <w:bCs w:val="0"/>
          <w:color w:val="auto"/>
          <w:sz w:val="24"/>
        </w:rPr>
        <w:t>调味品行业废气主要由天然气锅炉燃烧所产生，天然气本身有少量硫化氢及天然气加工过程中添加四氢噻吩作为臭味添加剂。天然气燃烧过程中产生二氧化硫。天然气成分及锅炉燃烧状况等因素造成二氧化硫排放量变化。</w:t>
      </w:r>
    </w:p>
    <w:p>
      <w:pPr>
        <w:spacing w:line="360" w:lineRule="auto"/>
        <w:ind w:firstLine="480" w:firstLineChars="200"/>
        <w:rPr>
          <w:rFonts w:hint="eastAsia"/>
          <w:b w:val="0"/>
          <w:bCs w:val="0"/>
          <w:color w:val="auto"/>
          <w:sz w:val="24"/>
        </w:rPr>
      </w:pPr>
      <w:r>
        <w:rPr>
          <w:rFonts w:hint="eastAsia"/>
          <w:b w:val="0"/>
          <w:bCs w:val="0"/>
          <w:color w:val="auto"/>
          <w:sz w:val="24"/>
        </w:rPr>
        <w:t>本标准单位产品废气二氧化硫排放量是根据调研数据，结合行业目前总体情况,设置具体的单位产品废气二氧化硫排放量基准值。</w:t>
      </w:r>
    </w:p>
    <w:p>
      <w:pPr>
        <w:spacing w:line="360" w:lineRule="auto"/>
        <w:ind w:firstLine="480" w:firstLineChars="200"/>
        <w:rPr>
          <w:rFonts w:hint="eastAsia"/>
          <w:b w:val="0"/>
          <w:bCs w:val="0"/>
          <w:color w:val="auto"/>
          <w:sz w:val="24"/>
        </w:rPr>
      </w:pPr>
      <w:r>
        <w:rPr>
          <w:rFonts w:hint="eastAsia"/>
          <w:b w:val="0"/>
          <w:bCs w:val="0"/>
          <w:color w:val="auto"/>
          <w:sz w:val="24"/>
        </w:rPr>
        <w:t>10、单位产品固体废弃物（压榨污泥）排放量</w:t>
      </w:r>
    </w:p>
    <w:p>
      <w:pPr>
        <w:spacing w:line="360" w:lineRule="auto"/>
        <w:ind w:firstLine="480" w:firstLineChars="200"/>
        <w:rPr>
          <w:rFonts w:hint="eastAsia"/>
          <w:b w:val="0"/>
          <w:bCs w:val="0"/>
          <w:color w:val="auto"/>
          <w:sz w:val="24"/>
        </w:rPr>
      </w:pPr>
      <w:r>
        <w:rPr>
          <w:rFonts w:hint="eastAsia"/>
          <w:b w:val="0"/>
          <w:bCs w:val="0"/>
          <w:color w:val="auto"/>
          <w:sz w:val="24"/>
        </w:rPr>
        <w:t>污泥是在污水处理过程中产生的半固态或固态物质，是污水处理后的产物，污泥的主要特性是含水率高，有机物含量高，容易腐化发臭，并且颗粒较细，比重较小，呈胶状液态。它是介于液体和固体之间的浓稠物。</w:t>
      </w:r>
    </w:p>
    <w:p>
      <w:pPr>
        <w:spacing w:line="360" w:lineRule="auto"/>
        <w:ind w:firstLine="480" w:firstLineChars="200"/>
        <w:rPr>
          <w:rFonts w:hint="eastAsia"/>
          <w:b w:val="0"/>
          <w:bCs w:val="0"/>
          <w:color w:val="auto"/>
          <w:sz w:val="24"/>
        </w:rPr>
      </w:pPr>
      <w:r>
        <w:rPr>
          <w:rFonts w:hint="eastAsia"/>
          <w:b w:val="0"/>
          <w:bCs w:val="0"/>
          <w:color w:val="auto"/>
          <w:sz w:val="24"/>
        </w:rPr>
        <w:t>调味品行业主要生产的产品有酱油、蚝油、虾酱、酱料用原料、其它调味品及以上产品之副产品。生产过程中使用的主要原料、辅料有：毛虾、大豆、蒜头、辣椒、红薯、糖、盐、面粉、调味液、油脂、淀粉、酱色等。废水中混有原料所夹带的泥沙、半成品和成品等不溶性物质，造成废水的悬浮物浓度比较高，随着辣椒酱产量的不断增加，辣椒酱废水处理量和处理率的提高，污泥产生量也将急速增加。</w:t>
      </w:r>
    </w:p>
    <w:p>
      <w:pPr>
        <w:spacing w:line="360" w:lineRule="auto"/>
        <w:ind w:firstLine="480" w:firstLineChars="200"/>
        <w:rPr>
          <w:rFonts w:hint="eastAsia"/>
          <w:b w:val="0"/>
          <w:bCs w:val="0"/>
          <w:color w:val="auto"/>
          <w:sz w:val="24"/>
        </w:rPr>
      </w:pPr>
      <w:r>
        <w:rPr>
          <w:rFonts w:hint="eastAsia"/>
          <w:b w:val="0"/>
          <w:bCs w:val="0"/>
          <w:color w:val="auto"/>
          <w:sz w:val="24"/>
        </w:rPr>
        <w:t>本标准单位产品固体废弃物（压榨污泥）排放量是根据调研数据，结合行业目前总体情况,设置具体的单位产品固体废弃物（压榨污泥）排放量基准值。</w:t>
      </w:r>
    </w:p>
    <w:p>
      <w:pPr>
        <w:spacing w:line="360" w:lineRule="auto"/>
        <w:ind w:firstLine="480" w:firstLineChars="200"/>
        <w:rPr>
          <w:rFonts w:hint="eastAsia"/>
          <w:b w:val="0"/>
          <w:bCs w:val="0"/>
          <w:color w:val="auto"/>
          <w:sz w:val="24"/>
        </w:rPr>
      </w:pPr>
      <w:r>
        <w:rPr>
          <w:rFonts w:hint="eastAsia"/>
          <w:b w:val="0"/>
          <w:bCs w:val="0"/>
          <w:color w:val="auto"/>
          <w:sz w:val="24"/>
        </w:rPr>
        <w:t>11、单位产品氨氮（NH3-N）排放量</w:t>
      </w:r>
    </w:p>
    <w:p>
      <w:pPr>
        <w:spacing w:line="360" w:lineRule="auto"/>
        <w:ind w:firstLine="480" w:firstLineChars="200"/>
        <w:rPr>
          <w:rFonts w:hint="eastAsia"/>
          <w:b w:val="0"/>
          <w:bCs w:val="0"/>
          <w:color w:val="auto"/>
          <w:sz w:val="24"/>
        </w:rPr>
      </w:pPr>
      <w:r>
        <w:rPr>
          <w:rFonts w:hint="eastAsia"/>
          <w:b w:val="0"/>
          <w:bCs w:val="0"/>
          <w:color w:val="auto"/>
          <w:sz w:val="24"/>
        </w:rPr>
        <w:t>氨氮（NH3-N），主要以游离氨或按盐的形式存在于水中。调味品行业污水中氨氮的来源主要为污水中含氮有机物受微生物作用的分解产物，大量氨氮废水排入水体不仅引起水体富营养化、造成水体黑臭，给水处理的难度和成本加大。</w:t>
      </w:r>
    </w:p>
    <w:p>
      <w:pPr>
        <w:spacing w:line="360" w:lineRule="auto"/>
        <w:ind w:firstLine="480" w:firstLineChars="200"/>
        <w:rPr>
          <w:rFonts w:hint="eastAsia"/>
          <w:b w:val="0"/>
          <w:bCs w:val="0"/>
          <w:color w:val="auto"/>
          <w:sz w:val="24"/>
        </w:rPr>
      </w:pPr>
      <w:r>
        <w:rPr>
          <w:rFonts w:hint="eastAsia"/>
          <w:b w:val="0"/>
          <w:bCs w:val="0"/>
          <w:color w:val="auto"/>
          <w:sz w:val="24"/>
        </w:rPr>
        <w:t>本标准单位产品氨氮（NH3-N）排放量是根据调研数据，结合行业目前总体情况,设置具体的单位产品固体废弃物（压榨污泥）排放量基准值</w:t>
      </w:r>
      <w:r>
        <w:rPr>
          <w:rFonts w:hint="eastAsia"/>
          <w:b w:val="0"/>
          <w:bCs w:val="0"/>
          <w:color w:val="auto"/>
          <w:sz w:val="24"/>
          <w:lang w:eastAsia="zh-CN"/>
        </w:rPr>
        <w:t>。</w:t>
      </w:r>
    </w:p>
    <w:p>
      <w:pPr>
        <w:spacing w:line="360" w:lineRule="auto"/>
        <w:ind w:firstLine="480" w:firstLineChars="200"/>
        <w:rPr>
          <w:rFonts w:hint="eastAsia"/>
          <w:b w:val="0"/>
          <w:bCs w:val="0"/>
          <w:color w:val="auto"/>
          <w:sz w:val="24"/>
        </w:rPr>
      </w:pPr>
      <w:r>
        <w:rPr>
          <w:rFonts w:hint="eastAsia"/>
          <w:b w:val="0"/>
          <w:bCs w:val="0"/>
          <w:color w:val="auto"/>
          <w:sz w:val="24"/>
        </w:rPr>
        <w:t>12、单位产品废水排放量</w:t>
      </w:r>
    </w:p>
    <w:p>
      <w:pPr>
        <w:spacing w:line="360" w:lineRule="auto"/>
        <w:ind w:firstLine="480" w:firstLineChars="200"/>
        <w:rPr>
          <w:rFonts w:hint="eastAsia"/>
          <w:b w:val="0"/>
          <w:bCs w:val="0"/>
          <w:color w:val="auto"/>
          <w:sz w:val="24"/>
        </w:rPr>
      </w:pPr>
      <w:r>
        <w:rPr>
          <w:rFonts w:hint="eastAsia"/>
          <w:b w:val="0"/>
          <w:bCs w:val="0"/>
          <w:color w:val="auto"/>
          <w:sz w:val="24"/>
        </w:rPr>
        <w:t>调味品行业产品种类复杂，包括生抽酱油、老抽酱油及红醋、辣椒酱、蒜蓉酱、耗油、腐乳等副产品，水质成分复杂，排放量大。辣椒酱企业废水主要来源于辣椒清洗水，辣椒酱生产过程中设备、罐体清洗水等。</w:t>
      </w:r>
    </w:p>
    <w:p>
      <w:pPr>
        <w:spacing w:line="360" w:lineRule="auto"/>
        <w:ind w:firstLine="480" w:firstLineChars="200"/>
        <w:rPr>
          <w:rFonts w:hint="eastAsia"/>
          <w:b w:val="0"/>
          <w:bCs w:val="0"/>
          <w:color w:val="auto"/>
          <w:sz w:val="24"/>
        </w:rPr>
      </w:pPr>
      <w:r>
        <w:rPr>
          <w:rFonts w:hint="eastAsia"/>
          <w:b w:val="0"/>
          <w:bCs w:val="0"/>
          <w:color w:val="auto"/>
          <w:sz w:val="24"/>
        </w:rPr>
        <w:t>本标准单位产品废水排放量是根据调研数据，结合行业目前总体情况,设置具体的单位产品废水排放量基准值。</w:t>
      </w:r>
    </w:p>
    <w:p>
      <w:pPr>
        <w:spacing w:line="360" w:lineRule="auto"/>
        <w:ind w:firstLine="480" w:firstLineChars="200"/>
        <w:rPr>
          <w:rFonts w:hint="eastAsia"/>
          <w:b w:val="0"/>
          <w:bCs w:val="0"/>
          <w:color w:val="auto"/>
          <w:sz w:val="24"/>
        </w:rPr>
      </w:pPr>
      <w:r>
        <w:rPr>
          <w:rFonts w:hint="eastAsia"/>
          <w:b w:val="0"/>
          <w:bCs w:val="0"/>
          <w:color w:val="auto"/>
          <w:sz w:val="24"/>
        </w:rPr>
        <w:t>13、单位产品CODCr排放量</w:t>
      </w:r>
    </w:p>
    <w:p>
      <w:pPr>
        <w:spacing w:line="360" w:lineRule="auto"/>
        <w:ind w:firstLine="480" w:firstLineChars="200"/>
        <w:rPr>
          <w:rFonts w:hint="eastAsia"/>
          <w:b w:val="0"/>
          <w:bCs w:val="0"/>
          <w:color w:val="auto"/>
          <w:sz w:val="24"/>
        </w:rPr>
      </w:pPr>
      <w:r>
        <w:rPr>
          <w:rFonts w:hint="eastAsia"/>
          <w:b w:val="0"/>
          <w:bCs w:val="0"/>
          <w:color w:val="auto"/>
          <w:sz w:val="24"/>
        </w:rPr>
        <w:t>调味品废水是难处理的生产废水之一，具有污染物浓度高、组分复杂及盐度、色度、固体悬浮物浓度高等特点。组成废水的污染物一般由原料残留物、发酵过程产物、微量洗涤剂、消毒剂、大量的盐分、各种微生物和微生物的分泌物、代谢产物及原料夹带的泥沙、半成品和成品等物质组成，导致废水产生的COD浓度比较高。</w:t>
      </w:r>
    </w:p>
    <w:p>
      <w:pPr>
        <w:spacing w:line="360" w:lineRule="auto"/>
        <w:ind w:firstLine="480" w:firstLineChars="200"/>
        <w:rPr>
          <w:rFonts w:hint="eastAsia"/>
          <w:b w:val="0"/>
          <w:bCs w:val="0"/>
          <w:color w:val="auto"/>
          <w:sz w:val="24"/>
        </w:rPr>
      </w:pPr>
      <w:r>
        <w:rPr>
          <w:rFonts w:hint="eastAsia"/>
          <w:b w:val="0"/>
          <w:bCs w:val="0"/>
          <w:color w:val="auto"/>
          <w:sz w:val="24"/>
        </w:rPr>
        <w:t>本标准单位产品CODCr排放量是根据调研数据，结合行业目前总体情况,设置具体的单位产品CODCr排放量基准值。</w:t>
      </w:r>
    </w:p>
    <w:p>
      <w:pPr>
        <w:spacing w:line="360" w:lineRule="auto"/>
        <w:ind w:firstLine="480" w:firstLineChars="200"/>
        <w:rPr>
          <w:rFonts w:hint="eastAsia"/>
          <w:b w:val="0"/>
          <w:bCs w:val="0"/>
          <w:color w:val="auto"/>
          <w:sz w:val="24"/>
        </w:rPr>
      </w:pPr>
      <w:r>
        <w:rPr>
          <w:rFonts w:hint="eastAsia"/>
          <w:b w:val="0"/>
          <w:bCs w:val="0"/>
          <w:color w:val="auto"/>
          <w:sz w:val="24"/>
        </w:rPr>
        <w:t>14、</w:t>
      </w:r>
      <w:r>
        <w:rPr>
          <w:rFonts w:hint="eastAsia"/>
          <w:b w:val="0"/>
          <w:bCs w:val="0"/>
          <w:color w:val="auto"/>
          <w:sz w:val="24"/>
          <w:lang w:val="en-US" w:eastAsia="zh-CN"/>
        </w:rPr>
        <w:t>产品</w:t>
      </w:r>
      <w:r>
        <w:rPr>
          <w:rFonts w:hint="eastAsia"/>
          <w:b w:val="0"/>
          <w:bCs w:val="0"/>
          <w:color w:val="auto"/>
          <w:sz w:val="24"/>
        </w:rPr>
        <w:t>属性指标</w:t>
      </w:r>
    </w:p>
    <w:p>
      <w:pPr>
        <w:spacing w:line="360" w:lineRule="auto"/>
        <w:ind w:firstLine="480" w:firstLineChars="200"/>
        <w:rPr>
          <w:rFonts w:hint="eastAsia"/>
          <w:b w:val="0"/>
          <w:bCs w:val="0"/>
          <w:color w:val="auto"/>
          <w:sz w:val="24"/>
        </w:rPr>
      </w:pPr>
      <w:r>
        <w:rPr>
          <w:rFonts w:hint="eastAsia"/>
          <w:b w:val="0"/>
          <w:bCs w:val="0"/>
          <w:color w:val="auto"/>
          <w:sz w:val="24"/>
        </w:rPr>
        <w:t>1）安全指标</w:t>
      </w:r>
    </w:p>
    <w:p>
      <w:pPr>
        <w:spacing w:line="360" w:lineRule="auto"/>
        <w:ind w:firstLine="480" w:firstLineChars="200"/>
        <w:rPr>
          <w:rFonts w:hint="eastAsia"/>
          <w:b w:val="0"/>
          <w:bCs w:val="0"/>
          <w:color w:val="auto"/>
          <w:sz w:val="24"/>
        </w:rPr>
      </w:pPr>
      <w:r>
        <w:rPr>
          <w:rFonts w:hint="eastAsia"/>
          <w:b w:val="0"/>
          <w:bCs w:val="0"/>
          <w:color w:val="auto"/>
          <w:sz w:val="24"/>
        </w:rPr>
        <w:t>绿色设计</w:t>
      </w:r>
      <w:r>
        <w:rPr>
          <w:rFonts w:hint="eastAsia"/>
          <w:b w:val="0"/>
          <w:bCs w:val="0"/>
          <w:color w:val="auto"/>
          <w:sz w:val="24"/>
          <w:lang w:val="en-US" w:eastAsia="zh-CN"/>
        </w:rPr>
        <w:t>产品</w:t>
      </w:r>
      <w:r>
        <w:rPr>
          <w:rFonts w:hint="eastAsia"/>
          <w:b w:val="0"/>
          <w:bCs w:val="0"/>
          <w:color w:val="auto"/>
          <w:sz w:val="24"/>
        </w:rPr>
        <w:t>辣椒酱应全项符合现有标准GB 31644的要求。</w:t>
      </w:r>
    </w:p>
    <w:p>
      <w:pPr>
        <w:spacing w:line="360" w:lineRule="auto"/>
        <w:ind w:firstLine="480" w:firstLineChars="200"/>
        <w:rPr>
          <w:rFonts w:hint="eastAsia"/>
          <w:b w:val="0"/>
          <w:bCs w:val="0"/>
          <w:color w:val="auto"/>
          <w:sz w:val="24"/>
        </w:rPr>
      </w:pPr>
      <w:r>
        <w:rPr>
          <w:rFonts w:hint="eastAsia"/>
          <w:b w:val="0"/>
          <w:bCs w:val="0"/>
          <w:color w:val="auto"/>
          <w:sz w:val="24"/>
        </w:rPr>
        <w:t>菌落总数</w:t>
      </w:r>
    </w:p>
    <w:p>
      <w:pPr>
        <w:spacing w:line="360" w:lineRule="auto"/>
        <w:ind w:firstLine="480" w:firstLineChars="200"/>
        <w:rPr>
          <w:rFonts w:hint="eastAsia"/>
          <w:b w:val="0"/>
          <w:bCs w:val="0"/>
          <w:color w:val="auto"/>
          <w:sz w:val="24"/>
        </w:rPr>
      </w:pPr>
      <w:r>
        <w:rPr>
          <w:rFonts w:hint="eastAsia"/>
          <w:b w:val="0"/>
          <w:bCs w:val="0"/>
          <w:color w:val="auto"/>
          <w:sz w:val="24"/>
        </w:rPr>
        <w:t>菌落总数虽不代表食品对人体健康的危害程度，是食品清洁状态的标志，反映食品的卫生质量，以及食品在生产过程中的卫生措施和管理情况。</w:t>
      </w:r>
    </w:p>
    <w:p>
      <w:pPr>
        <w:spacing w:line="360" w:lineRule="auto"/>
        <w:ind w:firstLine="480" w:firstLineChars="200"/>
        <w:rPr>
          <w:rFonts w:hint="eastAsia"/>
          <w:b w:val="0"/>
          <w:bCs w:val="0"/>
          <w:color w:val="auto"/>
          <w:sz w:val="24"/>
        </w:rPr>
      </w:pPr>
      <w:r>
        <w:rPr>
          <w:rFonts w:hint="eastAsia"/>
          <w:b w:val="0"/>
          <w:bCs w:val="0"/>
          <w:color w:val="auto"/>
          <w:sz w:val="24"/>
        </w:rPr>
        <w:t>本标准设置的菌落总数是根据调研数据，结合行业目前总体情况，指标体系的评价基准值代表了行业先进水平。</w:t>
      </w:r>
    </w:p>
    <w:p>
      <w:pPr>
        <w:spacing w:line="360" w:lineRule="auto"/>
        <w:ind w:firstLine="480" w:firstLineChars="200"/>
        <w:rPr>
          <w:rFonts w:hint="eastAsia"/>
          <w:b w:val="0"/>
          <w:bCs w:val="0"/>
          <w:color w:val="auto"/>
          <w:sz w:val="24"/>
        </w:rPr>
      </w:pPr>
      <w:r>
        <w:rPr>
          <w:rFonts w:hint="eastAsia"/>
          <w:b w:val="0"/>
          <w:bCs w:val="0"/>
          <w:color w:val="auto"/>
          <w:sz w:val="24"/>
        </w:rPr>
        <w:t>3）产品食用盐含量</w:t>
      </w:r>
    </w:p>
    <w:p>
      <w:pPr>
        <w:spacing w:line="360" w:lineRule="auto"/>
        <w:ind w:firstLine="480" w:firstLineChars="200"/>
        <w:rPr>
          <w:rFonts w:hint="eastAsia"/>
          <w:b w:val="0"/>
          <w:bCs w:val="0"/>
          <w:color w:val="auto"/>
          <w:sz w:val="24"/>
        </w:rPr>
      </w:pPr>
      <w:r>
        <w:rPr>
          <w:rFonts w:hint="eastAsia"/>
          <w:b w:val="0"/>
          <w:bCs w:val="0"/>
          <w:color w:val="auto"/>
          <w:sz w:val="24"/>
        </w:rPr>
        <w:t>国际权威医学杂志《柳叶刀》发布了一份全球饮食领域大规模调查研究报告，报告对全球195个国家的饮食潜在风险和健康隐患做了长达27年的研究。调查结果显示，我国因为饮食结构而导致的死亡率和癌症的发生率，在世界人口前20的国家中，排名第一。而导致这一情况的罪魁祸首是吃盐太多。</w:t>
      </w:r>
    </w:p>
    <w:p>
      <w:pPr>
        <w:spacing w:line="360" w:lineRule="auto"/>
        <w:ind w:firstLine="480" w:firstLineChars="200"/>
        <w:rPr>
          <w:rFonts w:hint="eastAsia"/>
          <w:b w:val="0"/>
          <w:bCs w:val="0"/>
          <w:color w:val="auto"/>
          <w:sz w:val="24"/>
        </w:rPr>
      </w:pPr>
      <w:r>
        <w:rPr>
          <w:rFonts w:hint="eastAsia"/>
          <w:b w:val="0"/>
          <w:bCs w:val="0"/>
          <w:color w:val="auto"/>
          <w:sz w:val="24"/>
        </w:rPr>
        <w:t>我国人均每日食盐摄入量，2012年为10.5克。《中国居民膳食指南》推荐，我国成年人每人每天推荐最多6克盐， 《“健康中国2030”规划纲要》提出“到2030年，全国人均每日食盐摄入量降低20%”的目标。</w:t>
      </w:r>
    </w:p>
    <w:p>
      <w:pPr>
        <w:spacing w:line="360" w:lineRule="auto"/>
        <w:ind w:firstLine="480" w:firstLineChars="200"/>
        <w:rPr>
          <w:rFonts w:hint="eastAsia"/>
          <w:b w:val="0"/>
          <w:bCs w:val="0"/>
          <w:color w:val="auto"/>
          <w:sz w:val="24"/>
        </w:rPr>
      </w:pPr>
      <w:r>
        <w:rPr>
          <w:rFonts w:hint="eastAsia"/>
          <w:b w:val="0"/>
          <w:bCs w:val="0"/>
          <w:color w:val="auto"/>
          <w:sz w:val="24"/>
        </w:rPr>
        <w:t>本标准设置食用盐上限指标，目的倡导健康饮食理念，倡导调味品减盐。</w:t>
      </w:r>
    </w:p>
    <w:p>
      <w:pPr>
        <w:spacing w:line="360" w:lineRule="auto"/>
        <w:ind w:firstLine="480" w:firstLineChars="200"/>
        <w:rPr>
          <w:rFonts w:hint="eastAsia"/>
          <w:b w:val="0"/>
          <w:bCs w:val="0"/>
          <w:color w:val="auto"/>
          <w:sz w:val="24"/>
        </w:rPr>
      </w:pPr>
      <w:r>
        <w:rPr>
          <w:rFonts w:hint="eastAsia"/>
          <w:b w:val="0"/>
          <w:bCs w:val="0"/>
          <w:color w:val="auto"/>
          <w:sz w:val="24"/>
        </w:rPr>
        <w:t>（五）主要试验（或验证）情况分析</w:t>
      </w:r>
    </w:p>
    <w:p>
      <w:pPr>
        <w:spacing w:line="360" w:lineRule="auto"/>
        <w:ind w:firstLine="480" w:firstLineChars="200"/>
        <w:rPr>
          <w:rFonts w:hint="eastAsia"/>
          <w:b w:val="0"/>
          <w:bCs w:val="0"/>
          <w:color w:val="auto"/>
          <w:sz w:val="24"/>
        </w:rPr>
      </w:pPr>
      <w:r>
        <w:rPr>
          <w:rFonts w:hint="eastAsia"/>
          <w:b w:val="0"/>
          <w:bCs w:val="0"/>
          <w:color w:val="auto"/>
          <w:sz w:val="24"/>
        </w:rPr>
        <w:t>本标准制定过程中，通过对目前正在生产的产品进行初步的调查研究，选取</w:t>
      </w:r>
      <w:r>
        <w:rPr>
          <w:rFonts w:hint="eastAsia"/>
          <w:b w:val="0"/>
          <w:bCs w:val="0"/>
          <w:color w:val="auto"/>
          <w:sz w:val="24"/>
          <w:lang w:val="en-US" w:eastAsia="zh-CN"/>
        </w:rPr>
        <w:t>1</w:t>
      </w:r>
      <w:r>
        <w:rPr>
          <w:rFonts w:hint="eastAsia"/>
          <w:b w:val="0"/>
          <w:bCs w:val="0"/>
          <w:color w:val="auto"/>
          <w:sz w:val="24"/>
        </w:rPr>
        <w:t>家企业的辣椒酱产品作为基础检测样本，对单位产品取水量、单位产品综合能耗、单位产品废水排放量、单位产品CODCr排放量等数据进行了测试和评估，验证产品水平是否达到设定的指标。</w:t>
      </w:r>
    </w:p>
    <w:p>
      <w:pPr>
        <w:spacing w:line="360" w:lineRule="auto"/>
        <w:ind w:firstLine="480" w:firstLineChars="200"/>
        <w:rPr>
          <w:rFonts w:hint="eastAsia"/>
          <w:b w:val="0"/>
          <w:bCs w:val="0"/>
          <w:color w:val="auto"/>
          <w:sz w:val="24"/>
        </w:rPr>
      </w:pPr>
      <w:r>
        <w:rPr>
          <w:rFonts w:hint="eastAsia"/>
          <w:b w:val="0"/>
          <w:bCs w:val="0"/>
          <w:color w:val="auto"/>
          <w:sz w:val="24"/>
        </w:rPr>
        <w:t>其主要试验验证情况如下：</w:t>
      </w:r>
    </w:p>
    <w:p>
      <w:pPr>
        <w:spacing w:line="360" w:lineRule="auto"/>
        <w:ind w:firstLine="480" w:firstLineChars="200"/>
        <w:rPr>
          <w:color w:val="auto"/>
          <w:sz w:val="24"/>
          <w:highlight w:val="none"/>
        </w:rPr>
      </w:pPr>
      <w:r>
        <w:rPr>
          <w:color w:val="auto"/>
          <w:sz w:val="24"/>
          <w:highlight w:val="none"/>
        </w:rPr>
        <w:t>1、</w:t>
      </w:r>
      <w:r>
        <w:rPr>
          <w:rFonts w:hint="eastAsia"/>
          <w:color w:val="auto"/>
          <w:sz w:val="24"/>
          <w:szCs w:val="24"/>
          <w:highlight w:val="none"/>
        </w:rPr>
        <w:t>单位产品取水量</w:t>
      </w:r>
      <w:r>
        <w:rPr>
          <w:color w:val="auto"/>
          <w:sz w:val="24"/>
          <w:highlight w:val="none"/>
        </w:rPr>
        <w:t>数据测试</w:t>
      </w:r>
    </w:p>
    <w:p>
      <w:pPr>
        <w:spacing w:line="360" w:lineRule="auto"/>
        <w:ind w:firstLine="480" w:firstLineChars="200"/>
        <w:rPr>
          <w:rFonts w:hAnsi="宋体"/>
          <w:color w:val="auto"/>
          <w:sz w:val="24"/>
          <w:highlight w:val="none"/>
        </w:rPr>
      </w:pPr>
      <w:r>
        <w:rPr>
          <w:rFonts w:hint="eastAsia"/>
          <w:color w:val="auto"/>
          <w:sz w:val="24"/>
          <w:szCs w:val="24"/>
          <w:highlight w:val="none"/>
        </w:rPr>
        <w:t>单位产品取水量</w:t>
      </w:r>
      <w:r>
        <w:rPr>
          <w:rFonts w:hint="eastAsia" w:hAnsi="宋体"/>
          <w:color w:val="auto"/>
          <w:sz w:val="24"/>
          <w:highlight w:val="none"/>
        </w:rPr>
        <w:t>数据测试结果如下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产品</w:t>
            </w:r>
          </w:p>
        </w:tc>
        <w:tc>
          <w:tcPr>
            <w:tcW w:w="1701"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厂家</w:t>
            </w:r>
          </w:p>
        </w:tc>
        <w:tc>
          <w:tcPr>
            <w:tcW w:w="2694"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数据统计范围</w:t>
            </w:r>
          </w:p>
        </w:tc>
        <w:tc>
          <w:tcPr>
            <w:tcW w:w="2885" w:type="dxa"/>
            <w:vAlign w:val="center"/>
          </w:tcPr>
          <w:p>
            <w:pPr>
              <w:ind w:firstLine="480"/>
              <w:jc w:val="center"/>
              <w:rPr>
                <w:rFonts w:hAnsi="宋体"/>
                <w:color w:val="auto"/>
                <w:kern w:val="0"/>
                <w:sz w:val="24"/>
                <w:highlight w:val="none"/>
              </w:rPr>
            </w:pPr>
            <w:r>
              <w:rPr>
                <w:rFonts w:hint="eastAsia"/>
                <w:color w:val="auto"/>
                <w:kern w:val="0"/>
                <w:sz w:val="24"/>
                <w:szCs w:val="24"/>
                <w:highlight w:val="none"/>
              </w:rPr>
              <w:t>单位产品取水量</w:t>
            </w:r>
            <w:r>
              <w:rPr>
                <w:color w:val="auto"/>
                <w:kern w:val="0"/>
                <w:sz w:val="20"/>
                <w:highlight w:val="none"/>
              </w:rPr>
              <w:t>m</w:t>
            </w:r>
            <w:r>
              <w:rPr>
                <w:color w:val="auto"/>
                <w:kern w:val="0"/>
                <w:sz w:val="20"/>
                <w:highlight w:val="none"/>
                <w:vertAlign w:val="superscript"/>
              </w:rPr>
              <w:t>3</w:t>
            </w:r>
            <w:r>
              <w:rPr>
                <w:color w:val="auto"/>
                <w:kern w:val="0"/>
                <w:sz w:val="20"/>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color w:val="auto"/>
                <w:kern w:val="0"/>
                <w:sz w:val="24"/>
                <w:highlight w:val="none"/>
              </w:rPr>
            </w:pPr>
            <w:r>
              <w:rPr>
                <w:rFonts w:hint="eastAsia" w:hAnsi="宋体"/>
                <w:color w:val="auto"/>
                <w:kern w:val="0"/>
                <w:sz w:val="24"/>
                <w:highlight w:val="none"/>
              </w:rPr>
              <w:t>辣椒酱</w:t>
            </w:r>
          </w:p>
        </w:tc>
        <w:tc>
          <w:tcPr>
            <w:tcW w:w="1701"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A</w:t>
            </w:r>
          </w:p>
        </w:tc>
        <w:tc>
          <w:tcPr>
            <w:tcW w:w="2694"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辣椒酱</w:t>
            </w:r>
            <w:r>
              <w:rPr>
                <w:rFonts w:hAnsi="宋体"/>
                <w:color w:val="auto"/>
                <w:kern w:val="0"/>
                <w:sz w:val="24"/>
                <w:highlight w:val="none"/>
              </w:rPr>
              <w:t>生产厂</w:t>
            </w:r>
          </w:p>
        </w:tc>
        <w:tc>
          <w:tcPr>
            <w:tcW w:w="2885"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5</w:t>
            </w:r>
            <w:r>
              <w:rPr>
                <w:rFonts w:hAnsi="宋体"/>
                <w:color w:val="auto"/>
                <w:kern w:val="0"/>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color w:val="auto"/>
                <w:kern w:val="0"/>
                <w:sz w:val="24"/>
                <w:highlight w:val="none"/>
              </w:rPr>
            </w:pPr>
          </w:p>
        </w:tc>
        <w:tc>
          <w:tcPr>
            <w:tcW w:w="1701"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B</w:t>
            </w:r>
          </w:p>
        </w:tc>
        <w:tc>
          <w:tcPr>
            <w:tcW w:w="2694" w:type="dxa"/>
            <w:vAlign w:val="center"/>
          </w:tcPr>
          <w:p>
            <w:pPr>
              <w:ind w:firstLine="480"/>
              <w:jc w:val="center"/>
              <w:rPr>
                <w:rFonts w:hAnsi="宋体"/>
                <w:color w:val="auto"/>
                <w:kern w:val="0"/>
                <w:sz w:val="24"/>
                <w:highlight w:val="none"/>
              </w:rPr>
            </w:pPr>
          </w:p>
        </w:tc>
        <w:tc>
          <w:tcPr>
            <w:tcW w:w="2885" w:type="dxa"/>
            <w:vAlign w:val="center"/>
          </w:tcPr>
          <w:p>
            <w:pPr>
              <w:ind w:firstLine="480"/>
              <w:jc w:val="center"/>
              <w:rPr>
                <w:rFonts w:hAnsi="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color w:val="auto"/>
                <w:kern w:val="0"/>
                <w:sz w:val="24"/>
                <w:highlight w:val="none"/>
              </w:rPr>
            </w:pPr>
          </w:p>
        </w:tc>
        <w:tc>
          <w:tcPr>
            <w:tcW w:w="1701"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C</w:t>
            </w:r>
          </w:p>
        </w:tc>
        <w:tc>
          <w:tcPr>
            <w:tcW w:w="2694" w:type="dxa"/>
            <w:vAlign w:val="center"/>
          </w:tcPr>
          <w:p>
            <w:pPr>
              <w:ind w:firstLine="480"/>
              <w:jc w:val="center"/>
              <w:rPr>
                <w:rFonts w:hAnsi="宋体"/>
                <w:color w:val="auto"/>
                <w:kern w:val="0"/>
                <w:sz w:val="24"/>
                <w:highlight w:val="none"/>
              </w:rPr>
            </w:pPr>
          </w:p>
        </w:tc>
        <w:tc>
          <w:tcPr>
            <w:tcW w:w="2885" w:type="dxa"/>
          </w:tcPr>
          <w:p>
            <w:pPr>
              <w:jc w:val="center"/>
              <w:rPr>
                <w:color w:val="auto"/>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color w:val="auto"/>
                <w:kern w:val="0"/>
                <w:sz w:val="24"/>
                <w:highlight w:val="none"/>
              </w:rPr>
            </w:pPr>
          </w:p>
        </w:tc>
        <w:tc>
          <w:tcPr>
            <w:tcW w:w="1701" w:type="dxa"/>
            <w:vAlign w:val="center"/>
          </w:tcPr>
          <w:p>
            <w:pPr>
              <w:ind w:firstLine="480"/>
              <w:jc w:val="center"/>
              <w:rPr>
                <w:rFonts w:hAnsi="宋体"/>
                <w:color w:val="auto"/>
                <w:kern w:val="0"/>
                <w:sz w:val="24"/>
                <w:highlight w:val="none"/>
              </w:rPr>
            </w:pPr>
            <w:r>
              <w:rPr>
                <w:rFonts w:hint="eastAsia" w:hAnsi="宋体"/>
                <w:color w:val="auto"/>
                <w:kern w:val="0"/>
                <w:sz w:val="24"/>
                <w:highlight w:val="none"/>
              </w:rPr>
              <w:t>D</w:t>
            </w:r>
          </w:p>
        </w:tc>
        <w:tc>
          <w:tcPr>
            <w:tcW w:w="2694" w:type="dxa"/>
            <w:vAlign w:val="center"/>
          </w:tcPr>
          <w:p>
            <w:pPr>
              <w:ind w:firstLine="480"/>
              <w:jc w:val="center"/>
              <w:rPr>
                <w:rFonts w:hAnsi="宋体"/>
                <w:color w:val="auto"/>
                <w:kern w:val="0"/>
                <w:sz w:val="24"/>
                <w:highlight w:val="none"/>
              </w:rPr>
            </w:pPr>
          </w:p>
        </w:tc>
        <w:tc>
          <w:tcPr>
            <w:tcW w:w="2885" w:type="dxa"/>
            <w:vAlign w:val="center"/>
          </w:tcPr>
          <w:p>
            <w:pPr>
              <w:ind w:firstLine="480"/>
              <w:jc w:val="center"/>
              <w:rPr>
                <w:rFonts w:hAnsi="宋体"/>
                <w:color w:val="auto"/>
                <w:kern w:val="0"/>
                <w:sz w:val="24"/>
                <w:highlight w:val="none"/>
              </w:rPr>
            </w:pPr>
          </w:p>
        </w:tc>
      </w:tr>
    </w:tbl>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通过验证试验，只有较好的产品或者进行生产过程控制较好的生产线或生产包装厂的</w:t>
      </w:r>
      <w:r>
        <w:rPr>
          <w:rFonts w:hint="eastAsia"/>
          <w:color w:val="auto"/>
          <w:sz w:val="24"/>
          <w:szCs w:val="24"/>
          <w:highlight w:val="none"/>
        </w:rPr>
        <w:t>单位产品取水量</w:t>
      </w:r>
      <w:r>
        <w:rPr>
          <w:rFonts w:hint="eastAsia" w:ascii="宋体" w:hAnsi="宋体"/>
          <w:color w:val="auto"/>
          <w:sz w:val="24"/>
          <w:szCs w:val="24"/>
          <w:highlight w:val="none"/>
        </w:rPr>
        <w:t>能够满足基准限值要求。</w:t>
      </w:r>
    </w:p>
    <w:p>
      <w:pPr>
        <w:spacing w:line="360" w:lineRule="auto"/>
        <w:ind w:firstLine="480" w:firstLineChars="200"/>
        <w:rPr>
          <w:color w:val="auto"/>
          <w:sz w:val="24"/>
          <w:highlight w:val="none"/>
        </w:rPr>
      </w:pPr>
      <w:r>
        <w:rPr>
          <w:color w:val="auto"/>
          <w:sz w:val="24"/>
          <w:highlight w:val="none"/>
        </w:rPr>
        <w:t>2、</w:t>
      </w:r>
      <w:r>
        <w:rPr>
          <w:rFonts w:hint="eastAsia"/>
          <w:color w:val="auto"/>
          <w:sz w:val="24"/>
          <w:szCs w:val="24"/>
          <w:highlight w:val="none"/>
        </w:rPr>
        <w:t>单位产品综合能耗</w:t>
      </w:r>
      <w:r>
        <w:rPr>
          <w:color w:val="auto"/>
          <w:sz w:val="24"/>
          <w:highlight w:val="none"/>
        </w:rPr>
        <w:t>数据测试</w:t>
      </w:r>
    </w:p>
    <w:p>
      <w:pPr>
        <w:spacing w:line="360" w:lineRule="auto"/>
        <w:ind w:firstLine="480" w:firstLineChars="200"/>
        <w:rPr>
          <w:rFonts w:hAnsi="宋体"/>
          <w:color w:val="auto"/>
          <w:sz w:val="24"/>
          <w:highlight w:val="none"/>
        </w:rPr>
      </w:pPr>
      <w:r>
        <w:rPr>
          <w:rFonts w:hint="eastAsia"/>
          <w:color w:val="auto"/>
          <w:sz w:val="24"/>
          <w:szCs w:val="24"/>
          <w:highlight w:val="none"/>
        </w:rPr>
        <w:t>单位产品综合能耗</w:t>
      </w:r>
      <w:r>
        <w:rPr>
          <w:rFonts w:hint="eastAsia" w:hAnsi="宋体"/>
          <w:color w:val="auto"/>
          <w:sz w:val="24"/>
          <w:highlight w:val="none"/>
        </w:rPr>
        <w:t>数据测试结果如下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产品</w:t>
            </w: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厂家</w:t>
            </w:r>
          </w:p>
        </w:tc>
        <w:tc>
          <w:tcPr>
            <w:tcW w:w="2694"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数据统计范围</w:t>
            </w:r>
          </w:p>
        </w:tc>
        <w:tc>
          <w:tcPr>
            <w:tcW w:w="2885" w:type="dxa"/>
            <w:vAlign w:val="center"/>
          </w:tcPr>
          <w:p>
            <w:pPr>
              <w:ind w:firstLine="480"/>
              <w:jc w:val="center"/>
              <w:rPr>
                <w:rFonts w:hAnsi="宋体"/>
                <w:color w:val="auto"/>
                <w:kern w:val="2"/>
                <w:sz w:val="24"/>
                <w:highlight w:val="none"/>
              </w:rPr>
            </w:pPr>
            <w:r>
              <w:rPr>
                <w:rFonts w:hint="eastAsia"/>
                <w:color w:val="auto"/>
                <w:kern w:val="0"/>
                <w:sz w:val="24"/>
                <w:szCs w:val="24"/>
                <w:highlight w:val="none"/>
              </w:rPr>
              <w:t>单位产品综合能耗</w:t>
            </w:r>
            <w:r>
              <w:rPr>
                <w:rFonts w:hint="eastAsia"/>
                <w:color w:val="auto"/>
                <w:kern w:val="0"/>
                <w:sz w:val="20"/>
                <w:highlight w:val="none"/>
              </w:rPr>
              <w:t>tce/t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color w:val="auto"/>
                <w:kern w:val="2"/>
                <w:sz w:val="24"/>
                <w:highlight w:val="none"/>
              </w:rPr>
            </w:pPr>
            <w:r>
              <w:rPr>
                <w:rFonts w:hint="eastAsia" w:hAnsi="宋体"/>
                <w:color w:val="auto"/>
                <w:kern w:val="0"/>
                <w:sz w:val="24"/>
                <w:highlight w:val="none"/>
              </w:rPr>
              <w:t>辣椒酱</w:t>
            </w: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A</w:t>
            </w:r>
          </w:p>
        </w:tc>
        <w:tc>
          <w:tcPr>
            <w:tcW w:w="2694" w:type="dxa"/>
            <w:vAlign w:val="center"/>
          </w:tcPr>
          <w:p>
            <w:pPr>
              <w:ind w:firstLine="480"/>
              <w:jc w:val="center"/>
              <w:rPr>
                <w:rFonts w:hAnsi="宋体"/>
                <w:color w:val="auto"/>
                <w:kern w:val="2"/>
                <w:sz w:val="24"/>
                <w:highlight w:val="none"/>
              </w:rPr>
            </w:pPr>
            <w:r>
              <w:rPr>
                <w:rFonts w:hint="eastAsia" w:hAnsi="宋体"/>
                <w:color w:val="auto"/>
                <w:kern w:val="0"/>
                <w:sz w:val="24"/>
                <w:highlight w:val="none"/>
              </w:rPr>
              <w:t>辣椒酱</w:t>
            </w:r>
            <w:r>
              <w:rPr>
                <w:rFonts w:hAnsi="宋体"/>
                <w:color w:val="auto"/>
                <w:kern w:val="0"/>
                <w:sz w:val="24"/>
                <w:highlight w:val="none"/>
              </w:rPr>
              <w:t>生产包装厂</w:t>
            </w:r>
          </w:p>
        </w:tc>
        <w:tc>
          <w:tcPr>
            <w:tcW w:w="2885" w:type="dxa"/>
            <w:vAlign w:val="center"/>
          </w:tcPr>
          <w:p>
            <w:pPr>
              <w:ind w:firstLine="480"/>
              <w:jc w:val="center"/>
              <w:rPr>
                <w:rFonts w:hAnsi="宋体"/>
                <w:color w:val="auto"/>
                <w:kern w:val="2"/>
                <w:sz w:val="24"/>
                <w:highlight w:val="none"/>
              </w:rPr>
            </w:pPr>
            <w:r>
              <w:rPr>
                <w:rFonts w:hAnsi="宋体"/>
                <w:color w:val="auto"/>
                <w:kern w:val="2"/>
                <w:sz w:val="24"/>
                <w:highlight w:val="none"/>
              </w:rPr>
              <w:t>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B</w:t>
            </w:r>
          </w:p>
        </w:tc>
        <w:tc>
          <w:tcPr>
            <w:tcW w:w="2694" w:type="dxa"/>
            <w:vAlign w:val="center"/>
          </w:tcPr>
          <w:p>
            <w:pPr>
              <w:ind w:firstLine="480"/>
              <w:jc w:val="center"/>
              <w:rPr>
                <w:rFonts w:hAnsi="宋体"/>
                <w:color w:val="auto"/>
                <w:kern w:val="2"/>
                <w:sz w:val="24"/>
                <w:highlight w:val="none"/>
              </w:rPr>
            </w:pPr>
          </w:p>
        </w:tc>
        <w:tc>
          <w:tcPr>
            <w:tcW w:w="2885" w:type="dxa"/>
            <w:vAlign w:val="center"/>
          </w:tcPr>
          <w:p>
            <w:pPr>
              <w:ind w:firstLine="480"/>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C</w:t>
            </w:r>
          </w:p>
        </w:tc>
        <w:tc>
          <w:tcPr>
            <w:tcW w:w="2694" w:type="dxa"/>
            <w:vAlign w:val="center"/>
          </w:tcPr>
          <w:p>
            <w:pPr>
              <w:ind w:firstLine="480"/>
              <w:jc w:val="center"/>
              <w:rPr>
                <w:rFonts w:hAnsi="宋体"/>
                <w:color w:val="auto"/>
                <w:kern w:val="2"/>
                <w:sz w:val="24"/>
                <w:highlight w:val="none"/>
              </w:rPr>
            </w:pPr>
          </w:p>
        </w:tc>
        <w:tc>
          <w:tcPr>
            <w:tcW w:w="2885" w:type="dxa"/>
          </w:tcPr>
          <w:p>
            <w:pPr>
              <w:jc w:val="center"/>
              <w:rPr>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D</w:t>
            </w:r>
          </w:p>
        </w:tc>
        <w:tc>
          <w:tcPr>
            <w:tcW w:w="2694" w:type="dxa"/>
            <w:vAlign w:val="center"/>
          </w:tcPr>
          <w:p>
            <w:pPr>
              <w:ind w:firstLine="480"/>
              <w:jc w:val="center"/>
              <w:rPr>
                <w:rFonts w:hAnsi="宋体"/>
                <w:color w:val="auto"/>
                <w:kern w:val="2"/>
                <w:sz w:val="24"/>
                <w:highlight w:val="none"/>
              </w:rPr>
            </w:pPr>
          </w:p>
        </w:tc>
        <w:tc>
          <w:tcPr>
            <w:tcW w:w="2885" w:type="dxa"/>
            <w:vAlign w:val="center"/>
          </w:tcPr>
          <w:p>
            <w:pPr>
              <w:ind w:firstLine="480"/>
              <w:jc w:val="center"/>
              <w:rPr>
                <w:rFonts w:hAnsi="宋体"/>
                <w:color w:val="auto"/>
                <w:kern w:val="2"/>
                <w:sz w:val="24"/>
                <w:highlight w:val="none"/>
              </w:rPr>
            </w:pPr>
          </w:p>
        </w:tc>
      </w:tr>
    </w:tbl>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通过验证试验，只有较好的产品或者进行生产过程控制较好的生产线或生产包装厂的</w:t>
      </w:r>
      <w:r>
        <w:rPr>
          <w:rFonts w:hint="eastAsia"/>
          <w:color w:val="auto"/>
          <w:sz w:val="24"/>
          <w:szCs w:val="24"/>
          <w:highlight w:val="none"/>
        </w:rPr>
        <w:t>单位产品综合能耗</w:t>
      </w:r>
      <w:r>
        <w:rPr>
          <w:rFonts w:hint="eastAsia" w:ascii="宋体" w:hAnsi="宋体"/>
          <w:color w:val="auto"/>
          <w:sz w:val="24"/>
          <w:szCs w:val="24"/>
          <w:highlight w:val="none"/>
        </w:rPr>
        <w:t>能够满足基准限值要求。</w:t>
      </w:r>
    </w:p>
    <w:p>
      <w:pPr>
        <w:spacing w:line="360" w:lineRule="auto"/>
        <w:ind w:firstLine="480" w:firstLineChars="200"/>
        <w:rPr>
          <w:color w:val="auto"/>
          <w:sz w:val="24"/>
          <w:highlight w:val="none"/>
        </w:rPr>
      </w:pPr>
      <w:r>
        <w:rPr>
          <w:color w:val="auto"/>
          <w:sz w:val="24"/>
          <w:highlight w:val="none"/>
        </w:rPr>
        <w:t>3、</w:t>
      </w:r>
      <w:r>
        <w:rPr>
          <w:rFonts w:hint="eastAsia"/>
          <w:color w:val="auto"/>
          <w:sz w:val="24"/>
          <w:szCs w:val="24"/>
          <w:highlight w:val="none"/>
        </w:rPr>
        <w:t>单位产品废水排放量</w:t>
      </w:r>
      <w:r>
        <w:rPr>
          <w:color w:val="auto"/>
          <w:sz w:val="24"/>
          <w:highlight w:val="none"/>
        </w:rPr>
        <w:t>数据测试</w:t>
      </w:r>
    </w:p>
    <w:p>
      <w:pPr>
        <w:spacing w:line="360" w:lineRule="auto"/>
        <w:ind w:firstLine="480" w:firstLineChars="200"/>
        <w:rPr>
          <w:rFonts w:hAnsi="宋体"/>
          <w:color w:val="auto"/>
          <w:sz w:val="24"/>
          <w:highlight w:val="none"/>
        </w:rPr>
      </w:pPr>
      <w:r>
        <w:rPr>
          <w:rFonts w:hint="eastAsia"/>
          <w:color w:val="auto"/>
          <w:sz w:val="24"/>
          <w:szCs w:val="24"/>
          <w:highlight w:val="none"/>
        </w:rPr>
        <w:t>单位产品废水排放量</w:t>
      </w:r>
      <w:r>
        <w:rPr>
          <w:rFonts w:hint="eastAsia" w:hAnsi="宋体"/>
          <w:color w:val="auto"/>
          <w:sz w:val="24"/>
          <w:highlight w:val="none"/>
        </w:rPr>
        <w:t>数据测试结果如下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产品</w:t>
            </w: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厂家</w:t>
            </w:r>
          </w:p>
        </w:tc>
        <w:tc>
          <w:tcPr>
            <w:tcW w:w="2694"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数据统计范围</w:t>
            </w:r>
          </w:p>
        </w:tc>
        <w:tc>
          <w:tcPr>
            <w:tcW w:w="2885" w:type="dxa"/>
            <w:vAlign w:val="center"/>
          </w:tcPr>
          <w:p>
            <w:pPr>
              <w:ind w:firstLine="480"/>
              <w:jc w:val="center"/>
              <w:rPr>
                <w:rFonts w:hAnsi="宋体"/>
                <w:color w:val="auto"/>
                <w:kern w:val="2"/>
                <w:sz w:val="24"/>
                <w:highlight w:val="none"/>
              </w:rPr>
            </w:pPr>
            <w:r>
              <w:rPr>
                <w:rFonts w:hint="eastAsia"/>
                <w:color w:val="auto"/>
                <w:kern w:val="0"/>
                <w:sz w:val="24"/>
                <w:szCs w:val="24"/>
                <w:highlight w:val="none"/>
              </w:rPr>
              <w:t>单位产品废水排放量</w:t>
            </w:r>
            <w:r>
              <w:rPr>
                <w:color w:val="auto"/>
                <w:kern w:val="0"/>
                <w:sz w:val="20"/>
                <w:highlight w:val="none"/>
              </w:rPr>
              <w:t>m</w:t>
            </w:r>
            <w:r>
              <w:rPr>
                <w:color w:val="auto"/>
                <w:kern w:val="0"/>
                <w:sz w:val="20"/>
                <w:highlight w:val="none"/>
                <w:vertAlign w:val="superscript"/>
              </w:rPr>
              <w:t>3</w:t>
            </w:r>
            <w:r>
              <w:rPr>
                <w:color w:val="auto"/>
                <w:kern w:val="0"/>
                <w:sz w:val="20"/>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color w:val="auto"/>
                <w:kern w:val="2"/>
                <w:sz w:val="24"/>
                <w:highlight w:val="none"/>
              </w:rPr>
            </w:pPr>
            <w:r>
              <w:rPr>
                <w:rFonts w:hint="eastAsia" w:hAnsi="宋体"/>
                <w:color w:val="auto"/>
                <w:kern w:val="0"/>
                <w:sz w:val="24"/>
                <w:highlight w:val="none"/>
              </w:rPr>
              <w:t>辣椒酱</w:t>
            </w: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A</w:t>
            </w:r>
          </w:p>
        </w:tc>
        <w:tc>
          <w:tcPr>
            <w:tcW w:w="2694" w:type="dxa"/>
            <w:vAlign w:val="center"/>
          </w:tcPr>
          <w:p>
            <w:pPr>
              <w:ind w:firstLine="480"/>
              <w:jc w:val="center"/>
              <w:rPr>
                <w:rFonts w:hAnsi="宋体"/>
                <w:color w:val="auto"/>
                <w:kern w:val="2"/>
                <w:sz w:val="24"/>
                <w:highlight w:val="none"/>
              </w:rPr>
            </w:pPr>
            <w:r>
              <w:rPr>
                <w:rFonts w:hint="eastAsia" w:hAnsi="宋体"/>
                <w:color w:val="auto"/>
                <w:kern w:val="0"/>
                <w:sz w:val="24"/>
                <w:highlight w:val="none"/>
              </w:rPr>
              <w:t>辣椒酱</w:t>
            </w:r>
            <w:r>
              <w:rPr>
                <w:rFonts w:hAnsi="宋体"/>
                <w:color w:val="auto"/>
                <w:kern w:val="0"/>
                <w:sz w:val="24"/>
                <w:highlight w:val="none"/>
              </w:rPr>
              <w:t>生产包装厂</w:t>
            </w:r>
          </w:p>
        </w:tc>
        <w:tc>
          <w:tcPr>
            <w:tcW w:w="2885" w:type="dxa"/>
            <w:vAlign w:val="center"/>
          </w:tcPr>
          <w:p>
            <w:pPr>
              <w:ind w:firstLine="480"/>
              <w:jc w:val="center"/>
              <w:rPr>
                <w:rFonts w:hAnsi="宋体"/>
                <w:color w:val="auto"/>
                <w:kern w:val="2"/>
                <w:sz w:val="24"/>
                <w:highlight w:val="none"/>
              </w:rPr>
            </w:pPr>
            <w:r>
              <w:rPr>
                <w:rFonts w:hAnsi="宋体"/>
                <w:color w:val="auto"/>
                <w:kern w:val="2"/>
                <w:sz w:val="24"/>
                <w:highlight w:val="none"/>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B</w:t>
            </w:r>
          </w:p>
        </w:tc>
        <w:tc>
          <w:tcPr>
            <w:tcW w:w="2694" w:type="dxa"/>
            <w:vAlign w:val="center"/>
          </w:tcPr>
          <w:p>
            <w:pPr>
              <w:ind w:firstLine="480"/>
              <w:jc w:val="center"/>
              <w:rPr>
                <w:rFonts w:hAnsi="宋体"/>
                <w:color w:val="auto"/>
                <w:kern w:val="2"/>
                <w:sz w:val="24"/>
                <w:highlight w:val="none"/>
              </w:rPr>
            </w:pPr>
          </w:p>
        </w:tc>
        <w:tc>
          <w:tcPr>
            <w:tcW w:w="2885" w:type="dxa"/>
            <w:vAlign w:val="center"/>
          </w:tcPr>
          <w:p>
            <w:pPr>
              <w:ind w:firstLine="480"/>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C</w:t>
            </w:r>
          </w:p>
        </w:tc>
        <w:tc>
          <w:tcPr>
            <w:tcW w:w="2694" w:type="dxa"/>
            <w:vAlign w:val="center"/>
          </w:tcPr>
          <w:p>
            <w:pPr>
              <w:ind w:firstLine="480"/>
              <w:jc w:val="center"/>
              <w:rPr>
                <w:rFonts w:hAnsi="宋体"/>
                <w:color w:val="auto"/>
                <w:kern w:val="2"/>
                <w:sz w:val="24"/>
                <w:highlight w:val="none"/>
              </w:rPr>
            </w:pPr>
          </w:p>
        </w:tc>
        <w:tc>
          <w:tcPr>
            <w:tcW w:w="2885" w:type="dxa"/>
          </w:tcPr>
          <w:p>
            <w:pPr>
              <w:jc w:val="center"/>
              <w:rPr>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D</w:t>
            </w:r>
          </w:p>
        </w:tc>
        <w:tc>
          <w:tcPr>
            <w:tcW w:w="2694" w:type="dxa"/>
            <w:vAlign w:val="center"/>
          </w:tcPr>
          <w:p>
            <w:pPr>
              <w:ind w:firstLine="480"/>
              <w:jc w:val="center"/>
              <w:rPr>
                <w:rFonts w:hAnsi="宋体"/>
                <w:color w:val="auto"/>
                <w:kern w:val="2"/>
                <w:sz w:val="24"/>
                <w:highlight w:val="none"/>
              </w:rPr>
            </w:pPr>
          </w:p>
        </w:tc>
        <w:tc>
          <w:tcPr>
            <w:tcW w:w="2885" w:type="dxa"/>
            <w:vAlign w:val="center"/>
          </w:tcPr>
          <w:p>
            <w:pPr>
              <w:ind w:firstLine="480"/>
              <w:jc w:val="center"/>
              <w:rPr>
                <w:rFonts w:hAnsi="宋体"/>
                <w:color w:val="auto"/>
                <w:kern w:val="2"/>
                <w:sz w:val="24"/>
                <w:highlight w:val="none"/>
              </w:rPr>
            </w:pPr>
          </w:p>
        </w:tc>
      </w:tr>
    </w:tbl>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通过验证试验，只有较好的产品或者进行生产过程控制较好的生产线或生产包装厂的</w:t>
      </w:r>
      <w:r>
        <w:rPr>
          <w:rFonts w:hint="eastAsia"/>
          <w:color w:val="auto"/>
          <w:sz w:val="24"/>
          <w:szCs w:val="24"/>
          <w:highlight w:val="none"/>
        </w:rPr>
        <w:t>单位产品废水排放量</w:t>
      </w:r>
      <w:r>
        <w:rPr>
          <w:rFonts w:hint="eastAsia" w:ascii="宋体" w:hAnsi="宋体"/>
          <w:color w:val="auto"/>
          <w:sz w:val="24"/>
          <w:szCs w:val="24"/>
          <w:highlight w:val="none"/>
        </w:rPr>
        <w:t>能够满足基准限值要求。</w:t>
      </w:r>
    </w:p>
    <w:p>
      <w:pPr>
        <w:spacing w:line="360" w:lineRule="auto"/>
        <w:ind w:firstLine="480" w:firstLineChars="200"/>
        <w:rPr>
          <w:color w:val="auto"/>
          <w:sz w:val="24"/>
          <w:highlight w:val="none"/>
        </w:rPr>
      </w:pPr>
      <w:r>
        <w:rPr>
          <w:color w:val="auto"/>
          <w:sz w:val="24"/>
          <w:highlight w:val="none"/>
        </w:rPr>
        <w:t>4、单位产品COD</w:t>
      </w:r>
      <w:r>
        <w:rPr>
          <w:color w:val="auto"/>
          <w:sz w:val="24"/>
          <w:highlight w:val="none"/>
          <w:vertAlign w:val="subscript"/>
        </w:rPr>
        <w:t>Cr</w:t>
      </w:r>
      <w:r>
        <w:rPr>
          <w:rFonts w:hint="eastAsia"/>
          <w:color w:val="auto"/>
          <w:sz w:val="24"/>
          <w:highlight w:val="none"/>
        </w:rPr>
        <w:t>排</w:t>
      </w:r>
      <w:r>
        <w:rPr>
          <w:color w:val="auto"/>
          <w:sz w:val="24"/>
          <w:highlight w:val="none"/>
        </w:rPr>
        <w:t>放量数据测试</w:t>
      </w:r>
    </w:p>
    <w:p>
      <w:pPr>
        <w:spacing w:line="360" w:lineRule="auto"/>
        <w:ind w:firstLine="480" w:firstLineChars="200"/>
        <w:rPr>
          <w:rFonts w:hAnsi="宋体"/>
          <w:color w:val="auto"/>
          <w:sz w:val="24"/>
          <w:highlight w:val="none"/>
        </w:rPr>
      </w:pPr>
      <w:r>
        <w:rPr>
          <w:rFonts w:hint="eastAsia" w:hAnsi="宋体"/>
          <w:color w:val="auto"/>
          <w:sz w:val="24"/>
          <w:highlight w:val="none"/>
        </w:rPr>
        <w:t>单位产品COD</w:t>
      </w:r>
      <w:r>
        <w:rPr>
          <w:rFonts w:hAnsi="宋体"/>
          <w:color w:val="auto"/>
          <w:sz w:val="24"/>
          <w:highlight w:val="none"/>
          <w:vertAlign w:val="subscript"/>
        </w:rPr>
        <w:t>C</w:t>
      </w:r>
      <w:r>
        <w:rPr>
          <w:rFonts w:hint="eastAsia" w:hAnsi="宋体"/>
          <w:color w:val="auto"/>
          <w:sz w:val="24"/>
          <w:highlight w:val="none"/>
          <w:vertAlign w:val="subscript"/>
        </w:rPr>
        <w:t>r</w:t>
      </w:r>
      <w:r>
        <w:rPr>
          <w:rFonts w:hint="eastAsia" w:hAnsi="宋体"/>
          <w:color w:val="auto"/>
          <w:sz w:val="24"/>
          <w:highlight w:val="none"/>
        </w:rPr>
        <w:t>排放量数据测试结果如下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产品</w:t>
            </w: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厂家</w:t>
            </w:r>
          </w:p>
        </w:tc>
        <w:tc>
          <w:tcPr>
            <w:tcW w:w="2694"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数据统计范围</w:t>
            </w:r>
          </w:p>
        </w:tc>
        <w:tc>
          <w:tcPr>
            <w:tcW w:w="2885" w:type="dxa"/>
            <w:vAlign w:val="center"/>
          </w:tcPr>
          <w:p>
            <w:pPr>
              <w:ind w:firstLine="480"/>
              <w:jc w:val="center"/>
              <w:rPr>
                <w:rFonts w:hAnsi="宋体"/>
                <w:color w:val="auto"/>
                <w:kern w:val="2"/>
                <w:sz w:val="24"/>
                <w:highlight w:val="none"/>
              </w:rPr>
            </w:pPr>
            <w:r>
              <w:rPr>
                <w:rFonts w:hint="eastAsia" w:hAnsi="宋体"/>
                <w:color w:val="auto"/>
                <w:kern w:val="0"/>
                <w:sz w:val="24"/>
                <w:highlight w:val="none"/>
              </w:rPr>
              <w:t>单位产品COD</w:t>
            </w:r>
            <w:r>
              <w:rPr>
                <w:rFonts w:hAnsi="宋体"/>
                <w:color w:val="auto"/>
                <w:kern w:val="0"/>
                <w:sz w:val="24"/>
                <w:highlight w:val="none"/>
                <w:vertAlign w:val="subscript"/>
              </w:rPr>
              <w:t>C</w:t>
            </w:r>
            <w:r>
              <w:rPr>
                <w:rFonts w:hint="eastAsia" w:hAnsi="宋体"/>
                <w:color w:val="auto"/>
                <w:kern w:val="0"/>
                <w:sz w:val="24"/>
                <w:highlight w:val="none"/>
                <w:vertAlign w:val="subscript"/>
              </w:rPr>
              <w:t>r</w:t>
            </w:r>
            <w:r>
              <w:rPr>
                <w:rFonts w:hint="eastAsia" w:hAnsi="宋体"/>
                <w:color w:val="auto"/>
                <w:kern w:val="0"/>
                <w:sz w:val="24"/>
                <w:highlight w:val="none"/>
              </w:rPr>
              <w:t>排放量</w:t>
            </w:r>
            <w:r>
              <w:rPr>
                <w:color w:val="auto"/>
                <w:kern w:val="0"/>
                <w:sz w:val="24"/>
                <w:highlight w:val="none"/>
              </w:rPr>
              <w:t>kg/t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rPr>
                <w:rFonts w:hAnsi="宋体"/>
                <w:color w:val="auto"/>
                <w:kern w:val="2"/>
                <w:sz w:val="24"/>
                <w:highlight w:val="none"/>
              </w:rPr>
            </w:pPr>
            <w:r>
              <w:rPr>
                <w:rFonts w:hint="eastAsia" w:hAnsi="宋体"/>
                <w:color w:val="auto"/>
                <w:kern w:val="0"/>
                <w:sz w:val="24"/>
                <w:highlight w:val="none"/>
              </w:rPr>
              <w:t>辣椒酱</w:t>
            </w: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A</w:t>
            </w:r>
          </w:p>
        </w:tc>
        <w:tc>
          <w:tcPr>
            <w:tcW w:w="2694" w:type="dxa"/>
            <w:vAlign w:val="center"/>
          </w:tcPr>
          <w:p>
            <w:pPr>
              <w:ind w:firstLine="480"/>
              <w:jc w:val="center"/>
              <w:rPr>
                <w:rFonts w:hAnsi="宋体"/>
                <w:color w:val="auto"/>
                <w:kern w:val="2"/>
                <w:sz w:val="24"/>
                <w:highlight w:val="none"/>
              </w:rPr>
            </w:pPr>
            <w:r>
              <w:rPr>
                <w:rFonts w:hint="eastAsia" w:hAnsi="宋体"/>
                <w:color w:val="auto"/>
                <w:kern w:val="0"/>
                <w:sz w:val="24"/>
                <w:highlight w:val="none"/>
              </w:rPr>
              <w:t>辣椒酱</w:t>
            </w:r>
            <w:r>
              <w:rPr>
                <w:rFonts w:hAnsi="宋体"/>
                <w:color w:val="auto"/>
                <w:kern w:val="0"/>
                <w:sz w:val="24"/>
                <w:highlight w:val="none"/>
              </w:rPr>
              <w:t>生产包装厂</w:t>
            </w:r>
          </w:p>
        </w:tc>
        <w:tc>
          <w:tcPr>
            <w:tcW w:w="2885" w:type="dxa"/>
            <w:vAlign w:val="center"/>
          </w:tcPr>
          <w:p>
            <w:pPr>
              <w:ind w:firstLine="480"/>
              <w:jc w:val="center"/>
              <w:rPr>
                <w:rFonts w:hAnsi="宋体"/>
                <w:color w:val="auto"/>
                <w:kern w:val="2"/>
                <w:sz w:val="24"/>
                <w:highlight w:val="none"/>
              </w:rPr>
            </w:pPr>
            <w:r>
              <w:rPr>
                <w:rFonts w:hAnsi="宋体"/>
                <w:color w:val="auto"/>
                <w:kern w:val="2"/>
                <w:sz w:val="24"/>
                <w:highlight w:val="none"/>
              </w:rPr>
              <w:t>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B</w:t>
            </w:r>
          </w:p>
        </w:tc>
        <w:tc>
          <w:tcPr>
            <w:tcW w:w="2694" w:type="dxa"/>
            <w:vAlign w:val="center"/>
          </w:tcPr>
          <w:p>
            <w:pPr>
              <w:ind w:firstLine="480"/>
              <w:jc w:val="center"/>
              <w:rPr>
                <w:rFonts w:hAnsi="宋体"/>
                <w:color w:val="auto"/>
                <w:kern w:val="2"/>
                <w:sz w:val="24"/>
                <w:highlight w:val="none"/>
              </w:rPr>
            </w:pPr>
          </w:p>
        </w:tc>
        <w:tc>
          <w:tcPr>
            <w:tcW w:w="2885" w:type="dxa"/>
            <w:vAlign w:val="center"/>
          </w:tcPr>
          <w:p>
            <w:pPr>
              <w:ind w:firstLine="480"/>
              <w:jc w:val="center"/>
              <w:rPr>
                <w:rFonts w:hAnsi="宋体"/>
                <w:color w:val="auto"/>
                <w:kern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C</w:t>
            </w:r>
          </w:p>
        </w:tc>
        <w:tc>
          <w:tcPr>
            <w:tcW w:w="2694" w:type="dxa"/>
            <w:vAlign w:val="center"/>
          </w:tcPr>
          <w:p>
            <w:pPr>
              <w:ind w:firstLine="480"/>
              <w:jc w:val="center"/>
              <w:rPr>
                <w:rFonts w:hAnsi="宋体"/>
                <w:color w:val="auto"/>
                <w:kern w:val="2"/>
                <w:sz w:val="24"/>
                <w:highlight w:val="none"/>
              </w:rPr>
            </w:pPr>
          </w:p>
        </w:tc>
        <w:tc>
          <w:tcPr>
            <w:tcW w:w="2885" w:type="dxa"/>
          </w:tcPr>
          <w:p>
            <w:pPr>
              <w:jc w:val="center"/>
              <w:rPr>
                <w:color w:val="auto"/>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ind w:firstLine="480"/>
              <w:jc w:val="center"/>
              <w:rPr>
                <w:rFonts w:hAnsi="宋体"/>
                <w:color w:val="auto"/>
                <w:kern w:val="2"/>
                <w:sz w:val="24"/>
                <w:highlight w:val="none"/>
              </w:rPr>
            </w:pPr>
          </w:p>
        </w:tc>
        <w:tc>
          <w:tcPr>
            <w:tcW w:w="1701" w:type="dxa"/>
            <w:vAlign w:val="center"/>
          </w:tcPr>
          <w:p>
            <w:pPr>
              <w:ind w:firstLine="480"/>
              <w:jc w:val="center"/>
              <w:rPr>
                <w:rFonts w:hAnsi="宋体"/>
                <w:color w:val="auto"/>
                <w:kern w:val="2"/>
                <w:sz w:val="24"/>
                <w:highlight w:val="none"/>
              </w:rPr>
            </w:pPr>
            <w:r>
              <w:rPr>
                <w:rFonts w:hint="eastAsia" w:hAnsi="宋体"/>
                <w:color w:val="auto"/>
                <w:kern w:val="2"/>
                <w:sz w:val="24"/>
                <w:highlight w:val="none"/>
              </w:rPr>
              <w:t>D</w:t>
            </w:r>
          </w:p>
        </w:tc>
        <w:tc>
          <w:tcPr>
            <w:tcW w:w="2694" w:type="dxa"/>
            <w:vAlign w:val="center"/>
          </w:tcPr>
          <w:p>
            <w:pPr>
              <w:ind w:firstLine="480"/>
              <w:jc w:val="center"/>
              <w:rPr>
                <w:rFonts w:hAnsi="宋体"/>
                <w:color w:val="auto"/>
                <w:kern w:val="2"/>
                <w:sz w:val="24"/>
                <w:highlight w:val="none"/>
              </w:rPr>
            </w:pPr>
          </w:p>
        </w:tc>
        <w:tc>
          <w:tcPr>
            <w:tcW w:w="2885" w:type="dxa"/>
            <w:vAlign w:val="center"/>
          </w:tcPr>
          <w:p>
            <w:pPr>
              <w:ind w:firstLine="480"/>
              <w:jc w:val="center"/>
              <w:rPr>
                <w:rFonts w:hAnsi="宋体"/>
                <w:color w:val="auto"/>
                <w:kern w:val="2"/>
                <w:sz w:val="24"/>
                <w:highlight w:val="none"/>
              </w:rPr>
            </w:pPr>
          </w:p>
        </w:tc>
      </w:tr>
    </w:tbl>
    <w:p>
      <w:pPr>
        <w:spacing w:line="360" w:lineRule="auto"/>
        <w:ind w:firstLine="480" w:firstLineChars="200"/>
        <w:rPr>
          <w:rFonts w:hint="eastAsia"/>
          <w:b w:val="0"/>
          <w:bCs w:val="0"/>
          <w:color w:val="auto"/>
          <w:sz w:val="24"/>
        </w:rPr>
      </w:pPr>
      <w:r>
        <w:rPr>
          <w:rFonts w:hint="eastAsia"/>
          <w:b w:val="0"/>
          <w:bCs w:val="0"/>
          <w:color w:val="auto"/>
          <w:sz w:val="24"/>
        </w:rPr>
        <w:t>通过验证试验，只有较好的产品或者进行生产过程控制较好的生产线或生产包装厂的单位产品CODCr排放量能够满足基准限值要求。</w:t>
      </w:r>
    </w:p>
    <w:p>
      <w:pPr>
        <w:spacing w:line="360" w:lineRule="auto"/>
        <w:ind w:firstLine="480" w:firstLineChars="200"/>
        <w:rPr>
          <w:rFonts w:hint="eastAsia"/>
          <w:b w:val="0"/>
          <w:bCs w:val="0"/>
          <w:color w:val="auto"/>
          <w:sz w:val="24"/>
        </w:rPr>
      </w:pPr>
      <w:r>
        <w:rPr>
          <w:rFonts w:hint="eastAsia"/>
          <w:b w:val="0"/>
          <w:bCs w:val="0"/>
          <w:color w:val="auto"/>
          <w:sz w:val="24"/>
        </w:rPr>
        <w:t>（六）辣椒酱生命周期评价报告编要求</w:t>
      </w:r>
    </w:p>
    <w:p>
      <w:pPr>
        <w:spacing w:line="360" w:lineRule="auto"/>
        <w:ind w:firstLine="480" w:firstLineChars="200"/>
        <w:rPr>
          <w:rFonts w:hint="eastAsia"/>
          <w:b w:val="0"/>
          <w:bCs w:val="0"/>
          <w:color w:val="auto"/>
          <w:sz w:val="24"/>
        </w:rPr>
      </w:pPr>
      <w:r>
        <w:rPr>
          <w:rFonts w:hint="eastAsia"/>
          <w:b w:val="0"/>
          <w:bCs w:val="0"/>
          <w:color w:val="auto"/>
          <w:sz w:val="24"/>
        </w:rPr>
        <w:t>本标准规定辣椒酱应依据GB/T 24040、GB/T 24044和GB/T 32161进行生命周期评价，并编制生命周期评价报告，并对报告内容框架进行明确规定。</w:t>
      </w:r>
    </w:p>
    <w:p>
      <w:pPr>
        <w:spacing w:line="360" w:lineRule="auto"/>
        <w:ind w:firstLine="480" w:firstLineChars="200"/>
        <w:rPr>
          <w:rFonts w:hint="eastAsia"/>
          <w:b w:val="0"/>
          <w:bCs w:val="0"/>
          <w:color w:val="auto"/>
          <w:sz w:val="24"/>
        </w:rPr>
      </w:pPr>
      <w:r>
        <w:rPr>
          <w:rFonts w:hint="eastAsia"/>
          <w:b w:val="0"/>
          <w:bCs w:val="0"/>
          <w:color w:val="auto"/>
          <w:sz w:val="24"/>
        </w:rPr>
        <w:t>（七）评价方法和流程</w:t>
      </w:r>
    </w:p>
    <w:p>
      <w:pPr>
        <w:spacing w:line="360" w:lineRule="auto"/>
        <w:ind w:firstLine="480" w:firstLineChars="200"/>
        <w:rPr>
          <w:rFonts w:hint="eastAsia"/>
          <w:b w:val="0"/>
          <w:bCs w:val="0"/>
          <w:color w:val="auto"/>
          <w:sz w:val="24"/>
        </w:rPr>
      </w:pPr>
      <w:r>
        <w:rPr>
          <w:rFonts w:hint="eastAsia"/>
          <w:b w:val="0"/>
          <w:bCs w:val="0"/>
          <w:color w:val="auto"/>
          <w:sz w:val="24"/>
        </w:rPr>
        <w:t>1、评价方法</w:t>
      </w:r>
    </w:p>
    <w:p>
      <w:pPr>
        <w:spacing w:line="360" w:lineRule="auto"/>
        <w:ind w:firstLine="480" w:firstLineChars="200"/>
        <w:rPr>
          <w:rFonts w:hint="eastAsia"/>
          <w:b w:val="0"/>
          <w:bCs w:val="0"/>
          <w:color w:val="auto"/>
          <w:sz w:val="24"/>
        </w:rPr>
      </w:pPr>
      <w:r>
        <w:rPr>
          <w:rFonts w:hint="eastAsia"/>
          <w:b w:val="0"/>
          <w:bCs w:val="0"/>
          <w:color w:val="auto"/>
          <w:sz w:val="24"/>
        </w:rPr>
        <w:t>生产企业可按照第5章开展自我评价或第三方评价，产品满足以下条件为绿色设计产品：满足4.1基本要求和4.2评价指标要求，并提供相关符合性证明文件；开展产品生命周期评价，并按第6章的要求提供产品生命周期评价报告。</w:t>
      </w:r>
    </w:p>
    <w:p>
      <w:pPr>
        <w:spacing w:line="360" w:lineRule="auto"/>
        <w:ind w:firstLine="480" w:firstLineChars="200"/>
        <w:rPr>
          <w:sz w:val="24"/>
          <w:szCs w:val="24"/>
        </w:rPr>
      </w:pPr>
      <w:r>
        <w:rPr>
          <w:sz w:val="24"/>
          <w:szCs w:val="24"/>
        </w:rPr>
        <w:t>2、评价流程</w:t>
      </w:r>
    </w:p>
    <w:p>
      <w:pPr>
        <w:spacing w:line="360" w:lineRule="auto"/>
        <w:ind w:firstLine="480" w:firstLineChars="200"/>
        <w:rPr>
          <w:color w:val="000000"/>
          <w:sz w:val="24"/>
        </w:rPr>
      </w:pPr>
      <w:r>
        <w:rPr>
          <w:color w:val="000000"/>
          <w:sz w:val="24"/>
        </w:rPr>
        <w:t>生态设计产品评价流程见图1。</w:t>
      </w:r>
    </w:p>
    <w:p>
      <w:pPr>
        <w:spacing w:line="360" w:lineRule="auto"/>
        <w:ind w:firstLine="480" w:firstLineChars="200"/>
        <w:rPr>
          <w:sz w:val="24"/>
        </w:rPr>
      </w:pPr>
      <w:r>
        <w:rPr>
          <w:sz w:val="24"/>
        </w:rPr>
        <w:pict>
          <v:group id="画布 67" o:spid="_x0000_s1026" o:spt="203" style="height:302.8pt;width:400.25pt;" coordsize="50831,38455" editas="canvas">
            <o:lock v:ext="edit"/>
            <v:shape id="画布 67" o:spid="_x0000_s1027" o:spt="75" type="#_x0000_t75" style="position:absolute;left:0;top:0;height:38455;width:50831;" filled="f" o:preferrelative="t" stroked="f" coordsize="21600,21600">
              <v:path/>
              <v:fill on="f" focussize="0,0"/>
              <v:stroke on="f" joinstyle="miter"/>
              <v:imagedata o:title=""/>
              <o:lock v:ext="edit" aspectratio="t"/>
            </v:shape>
            <v:group id="Group 38" o:spid="_x0000_s1028" o:spt="203" style="position:absolute;left:1149;top:590;height:36900;width:47834;" coordorigin="2461,8556" coordsize="7533,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v:shape id="Text Box 39" o:spid="_x0000_s1029" o:spt="202" type="#_x0000_t202" style="position:absolute;left:2674;top:8556;height:471;width:119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path/>
                <v:fill focussize="0,0"/>
                <v:stroke joinstyle="miter"/>
                <v:imagedata o:title=""/>
                <o:lock v:ext="edit"/>
                <v:textbox>
                  <w:txbxContent>
                    <w:p>
                      <w:pPr>
                        <w:jc w:val="center"/>
                      </w:pPr>
                      <w:r>
                        <w:rPr>
                          <w:rFonts w:hint="eastAsia"/>
                        </w:rPr>
                        <w:t>范围确定</w:t>
                      </w:r>
                    </w:p>
                  </w:txbxContent>
                </v:textbox>
              </v:shape>
              <v:shape id="Text Box 40" o:spid="_x0000_s1030" o:spt="202" type="#_x0000_t202" style="position:absolute;left:7972;top:8556;height:471;width:200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path/>
                <v:fill focussize="0,0"/>
                <v:stroke joinstyle="miter"/>
                <v:imagedata o:title=""/>
                <o:lock v:ext="edit"/>
                <v:textbox>
                  <w:txbxContent>
                    <w:p>
                      <w:pPr>
                        <w:jc w:val="center"/>
                      </w:pPr>
                      <w:r>
                        <w:rPr>
                          <w:rFonts w:hint="eastAsia"/>
                        </w:rPr>
                        <w:t>生命周期清单分析</w:t>
                      </w:r>
                    </w:p>
                  </w:txbxContent>
                </v:textbox>
              </v:shape>
              <v:shape id="AutoShape 41" o:spid="_x0000_s1031" o:spt="32" type="#_x0000_t32" style="position:absolute;left:3864;top:8792;height:1;width:41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path arrowok="t"/>
                <v:fill on="f" focussize="0,0"/>
                <v:stroke endarrow="block"/>
                <v:imagedata o:title=""/>
                <o:lock v:ext="edit"/>
              </v:shape>
              <v:shape id="Text Box 42" o:spid="_x0000_s1032" o:spt="202" type="#_x0000_t202" style="position:absolute;left:2674;top:9640;height:470;width:119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path/>
                <v:fill focussize="0,0"/>
                <v:stroke joinstyle="miter"/>
                <v:imagedata o:title=""/>
                <o:lock v:ext="edit"/>
                <v:textbox>
                  <w:txbxContent>
                    <w:p>
                      <w:pPr>
                        <w:jc w:val="center"/>
                      </w:pPr>
                      <w:r>
                        <w:rPr>
                          <w:rFonts w:hint="eastAsia"/>
                        </w:rPr>
                        <w:t>基本要求</w:t>
                      </w:r>
                    </w:p>
                  </w:txbxContent>
                </v:textbox>
              </v:shape>
              <v:shape id="Text Box 43" o:spid="_x0000_s1033" o:spt="202" type="#_x0000_t202" style="position:absolute;left:2461;top:11553;height:470;width:162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path/>
                <v:fill focussize="0,0"/>
                <v:stroke joinstyle="miter"/>
                <v:imagedata o:title=""/>
                <o:lock v:ext="edit"/>
                <v:textbox>
                  <w:txbxContent>
                    <w:p>
                      <w:pPr>
                        <w:jc w:val="center"/>
                      </w:pPr>
                      <w:r>
                        <w:rPr>
                          <w:rFonts w:hint="eastAsia"/>
                        </w:rPr>
                        <w:t>评价指标要求</w:t>
                      </w:r>
                    </w:p>
                  </w:txbxContent>
                </v:textbox>
              </v:shape>
              <v:shape id="AutoShape 44" o:spid="_x0000_s1034" o:spt="32" type="#_x0000_t32" style="position:absolute;left:3269;top:9027;height:613;width:1;"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path arrowok="t"/>
                <v:fill on="f" focussize="0,0"/>
                <v:stroke endarrow="block"/>
                <v:imagedata o:title=""/>
                <o:lock v:ext="edit"/>
              </v:shape>
              <v:shape id="AutoShape 45" o:spid="_x0000_s1035" o:spt="32" type="#_x0000_t32" style="position:absolute;left:3269;top:10110;height:1443;width:7;"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path arrowok="t"/>
                <v:fill on="f" focussize="0,0"/>
                <v:stroke endarrow="block"/>
                <v:imagedata o:title=""/>
                <o:lock v:ext="edit"/>
              </v:shape>
              <v:group id="Group 46" o:spid="_x0000_s1036" o:spt="203" style="position:absolute;left:5097;top:10349;height:667;width:2114;" coordorigin="4737,1012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v:shape id="Oval 47" o:spid="_x0000_s1037" o:spt="3" type="#_x0000_t3" style="position:absolute;left:4737;top:10125;height:667;width:21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path/>
                  <v:fill focussize="0,0"/>
                  <v:stroke/>
                  <v:imagedata o:title=""/>
                  <o:lock v:ext="edit"/>
                </v:shape>
                <v:shape id="Text Box 48" o:spid="_x0000_s1038" o:spt="202" type="#_x0000_t202" style="position:absolute;left:4858;top:10230;height:471;width:192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v:path/>
                  <v:fill on="f" focussize="0,0"/>
                  <v:stroke on="f" joinstyle="miter"/>
                  <v:imagedata o:title=""/>
                  <o:lock v:ext="edit"/>
                  <v:textbox>
                    <w:txbxContent>
                      <w:p>
                        <w:pPr>
                          <w:jc w:val="center"/>
                        </w:pPr>
                        <w:r>
                          <w:rPr>
                            <w:rFonts w:hint="eastAsia"/>
                          </w:rPr>
                          <w:t>非绿色设计产品</w:t>
                        </w:r>
                      </w:p>
                    </w:txbxContent>
                  </v:textbox>
                </v:shape>
              </v:group>
              <v:group id="Group 49" o:spid="_x0000_s1039" o:spt="203" style="position:absolute;left:5154;top:13700;height:667;width:2114;" coordorigin="4977,1036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v:shape id="Oval 50" o:spid="_x0000_s1040" o:spt="3" type="#_x0000_t3" style="position:absolute;left:4977;top:10365;height:667;width:21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path/>
                  <v:fill focussize="0,0"/>
                  <v:stroke/>
                  <v:imagedata o:title=""/>
                  <o:lock v:ext="edit"/>
                </v:shape>
                <v:shape id="Text Box 51" o:spid="_x0000_s1041" o:spt="202" type="#_x0000_t202" style="position:absolute;left:5098;top:10470;height:471;width:192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v:path/>
                  <v:fill on="f" focussize="0,0"/>
                  <v:stroke on="f" joinstyle="miter"/>
                  <v:imagedata o:title=""/>
                  <o:lock v:ext="edit"/>
                  <v:textbox>
                    <w:txbxContent>
                      <w:p>
                        <w:pPr>
                          <w:jc w:val="center"/>
                        </w:pPr>
                        <w:r>
                          <w:rPr>
                            <w:rFonts w:hint="eastAsia"/>
                          </w:rPr>
                          <w:t>绿色设计产品</w:t>
                        </w:r>
                      </w:p>
                    </w:txbxContent>
                  </v:textbox>
                </v:shape>
              </v:group>
              <v:shape id="Text Box 52" o:spid="_x0000_s1042" o:spt="202" type="#_x0000_t202" style="position:absolute;left:7977;top:9645;height:470;width:200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path/>
                <v:fill focussize="0,0"/>
                <v:stroke joinstyle="miter"/>
                <v:imagedata o:title=""/>
                <o:lock v:ext="edit"/>
                <v:textbox>
                  <w:txbxContent>
                    <w:p>
                      <w:pPr>
                        <w:jc w:val="center"/>
                      </w:pPr>
                      <w:r>
                        <w:rPr>
                          <w:rFonts w:hint="eastAsia"/>
                        </w:rPr>
                        <w:t>生命周期清单评价</w:t>
                      </w:r>
                    </w:p>
                    <w:p>
                      <w:pPr>
                        <w:jc w:val="center"/>
                      </w:pPr>
                    </w:p>
                  </w:txbxContent>
                </v:textbox>
              </v:shape>
              <v:shape id="Text Box 53" o:spid="_x0000_s1043" o:spt="202" type="#_x0000_t202" style="position:absolute;left:7981;top:11553;height:470;width:201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path/>
                <v:fill focussize="0,0"/>
                <v:stroke joinstyle="miter"/>
                <v:imagedata o:title=""/>
                <o:lock v:ext="edit"/>
                <v:textbox>
                  <w:txbxContent>
                    <w:p>
                      <w:pPr>
                        <w:jc w:val="center"/>
                      </w:pPr>
                      <w:r>
                        <w:rPr>
                          <w:rFonts w:hint="eastAsia"/>
                        </w:rPr>
                        <w:t>生命周期评价报告</w:t>
                      </w:r>
                    </w:p>
                    <w:p>
                      <w:pPr>
                        <w:jc w:val="center"/>
                      </w:pPr>
                    </w:p>
                  </w:txbxContent>
                </v:textbox>
              </v:shape>
              <v:shape id="AutoShape 54" o:spid="_x0000_s1044" o:spt="32" type="#_x0000_t32" style="position:absolute;left:8973;top:9027;height:618;width: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path arrowok="t"/>
                <v:fill on="f" focussize="0,0"/>
                <v:stroke endarrow="block"/>
                <v:imagedata o:title=""/>
                <o:lock v:ext="edit"/>
              </v:shape>
              <v:shape id="AutoShape 55" o:spid="_x0000_s1045" o:spt="32" type="#_x0000_t32" style="position:absolute;left:8978;top:10115;height:1438;width:1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path arrowok="t"/>
                <v:fill on="f" focussize="0,0"/>
                <v:stroke endarrow="block"/>
                <v:imagedata o:title=""/>
                <o:lock v:ext="edit"/>
              </v:shape>
              <v:shape id="AutoShape 56" o:spid="_x0000_s1046" o:spt="33" type="#_x0000_t33" style="position:absolute;left:3864;top:9875;height:572;width:1543;"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8sIAAADbAAAADwAAAGRycy9kb3ducmV2LnhtbERPPW/CMBDdK/EfrKvUrTjpAG2KgxBS&#10;oWIjMHS8xkcSGp+DbUjg1+NKlbrd0/u82XwwrbiQ841lBek4AUFcWt1wpWC/+3h+BeEDssbWMim4&#10;kod5PnqYYaZtz1u6FKESMYR9hgrqELpMSl/WZNCPbUccuYN1BkOErpLaYR/DTStfkmQiDTYcG2rs&#10;aFlT+VOcjYL14tg7efuanr7Ts8Z+NdkUJ1Tq6XFYvIMINIR/8Z/7U8f5b/D7Sz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a8sIAAADbAAAADwAAAAAAAAAAAAAA&#10;AAChAgAAZHJzL2Rvd25yZXYueG1sUEsFBgAAAAAEAAQA+QAAAJADAAAAAA==&#10;">
                <v:path arrowok="t"/>
                <v:fill on="f" focussize="0,0"/>
                <v:stroke endarrow="block"/>
                <v:imagedata o:title=""/>
                <o:lock v:ext="edit"/>
              </v:shape>
              <v:shape id="AutoShape 57" o:spid="_x0000_s1047" o:spt="33" type="#_x0000_t33" style="position:absolute;left:4090;top:10918;flip:y;height:870;width:1317;"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TnrrwAAADbAAAADwAAAGRycy9kb3ducmV2LnhtbERPy6rCMBDdC/5DGMGdplZQqUYRuaJL&#10;Xx8wNGNTbCYlidr792YhuDyc92rT2Ua8yIfasYLJOANBXDpdc6Xgdt2PFiBCRNbYOCYF/xRgs+73&#10;Vlho9+YzvS6xEimEQ4EKTIxtIWUoDVkMY9cSJ+7uvMWYoK+k9vhO4baReZbNpMWaU4PBlnaGysfl&#10;aRVsp/P9ufSHaTC70yzv8kd7r/+UGg667RJEpC7+xF/3USvI0/r0Jf0Auf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QTnrrwAAADbAAAADwAAAAAAAAAAAAAAAAChAgAA&#10;ZHJzL2Rvd25yZXYueG1sUEsFBgAAAAAEAAQA+QAAAIoDAAAAAA==&#10;">
                <v:path arrowok="t"/>
                <v:fill on="f" focussize="0,0"/>
                <v:stroke endarrow="block"/>
                <v:imagedata o:title=""/>
                <o:lock v:ext="edit"/>
              </v:shape>
              <v:shape id="AutoShape 58" o:spid="_x0000_s1048" o:spt="35" type="#_x0000_t35" style="position:absolute;left:6901;top:10447;height:1341;width:1080;rotation:1179648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2OicYAAADbAAAADwAAAGRycy9kb3ducmV2LnhtbESPQWvCQBSE7wX/w/KE3urGHKxEVwkB&#10;QSqUJhbq8Zl9JtHs25DdxrS/vlso9DjMzDfMejuaVgzUu8aygvksAkFcWt1wpeD9uHtagnAeWWNr&#10;mRR8kYPtZvKwxkTbO+c0FL4SAcIuQQW1910ipStrMuhmtiMO3sX2Bn2QfSV1j/cAN62Mo2ghDTYc&#10;FmrsKKupvBWfRsFzmp/Oh3hoXl7frn6ZDbz4Pnwo9Tgd0xUIT6P/D/+191pBPIf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9jonGAAAA2wAAAA8AAAAAAAAA&#10;AAAAAAAAoQIAAGRycy9kb3ducmV2LnhtbFBLBQYAAAAABAAEAPkAAACUAwAAAAA=&#10;" adj="7700,28977">
                <v:path arrowok="t"/>
                <v:fill on="f" focussize="0,0"/>
                <v:stroke endarrow="block"/>
                <v:imagedata o:title=""/>
                <o:lock v:ext="edit"/>
              </v:shape>
              <v:group id="Group 59" o:spid="_x0000_s1049" o:spt="203" style="position:absolute;left:5270;top:12301;height:756;width:1873;" coordorigin="5142,11821" coordsize="1873,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v:shape id="AutoShape 60" o:spid="_x0000_s1050" o:spt="110" type="#_x0000_t110" style="position:absolute;left:5142;top:11821;height:756;width:187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TcMUA&#10;AADbAAAADwAAAGRycy9kb3ducmV2LnhtbESPX2vCQBDE3wW/w7GFvtVLVWpJPUUKpT6I+A+ft7k1&#10;Cc3uhdxpop/eKxR8HGbmN8x03nGlLtT40omB10ECiiRztpTcwGH/9fIOygcUi5UTMnAlD/NZvzfF&#10;1LpWtnTZhVxFiPgUDRQh1KnWPiuI0Q9cTRK9k2sYQ5RNrm2DbYRzpYdJ8qYZS4kLBdb0WVD2uzuz&#10;gc3PeMPt6nbi1W185Or8PTmuR8Y8P3WLD1CBuvAI/7eX1sBwB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tNwxQAAANsAAAAPAAAAAAAAAAAAAAAAAJgCAABkcnMv&#10;ZG93bnJldi54bWxQSwUGAAAAAAQABAD1AAAAigMAAAAA&#10;">
                  <v:path/>
                  <v:fill focussize="0,0"/>
                  <v:stroke joinstyle="miter"/>
                  <v:imagedata o:title=""/>
                  <o:lock v:ext="edit"/>
                </v:shape>
                <v:shape id="Text Box 61" o:spid="_x0000_s1051" o:spt="202" type="#_x0000_t202" style="position:absolute;left:5476;top:11951;height:470;width:119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v:path/>
                  <v:fill on="f" focussize="0,0"/>
                  <v:stroke on="f" joinstyle="miter"/>
                  <v:imagedata o:title=""/>
                  <o:lock v:ext="edit"/>
                  <v:textbox>
                    <w:txbxContent>
                      <w:p>
                        <w:pPr>
                          <w:jc w:val="center"/>
                        </w:pPr>
                        <w:r>
                          <w:rPr>
                            <w:rFonts w:hint="eastAsia"/>
                          </w:rPr>
                          <w:t>同时满足</w:t>
                        </w:r>
                      </w:p>
                    </w:txbxContent>
                  </v:textbox>
                </v:shape>
              </v:group>
              <v:shape id="AutoShape 62" o:spid="_x0000_s1052" o:spt="33" type="#_x0000_t33" style="position:absolute;left:3945;top:11354;flip:x;height:1994;width:656;rotation:589824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GWkMMAAADbAAAADwAAAGRycy9kb3ducmV2LnhtbESPQWvCQBSE74L/YXlCb7ppoEVSVylp&#10;CwXxYCro8ZF9yQazb0N2NfHfuwXB4zAz3zCrzWhbcaXeN44VvC4SEMSl0w3XCg5/P/MlCB+QNbaO&#10;ScGNPGzW08kKM+0G3tO1CLWIEPYZKjAhdJmUvjRk0S9cRxy9yvUWQ5R9LXWPQ4TbVqZJ8i4tNhwX&#10;DHaUGyrPxcUq2LqTrNzJ5NWXOfqzv3zr4+6g1Mts/PwAEWgMz/Cj/asVpG/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hlpDDAAAA2wAAAA8AAAAAAAAAAAAA&#10;AAAAoQIAAGRycy9kb3ducmV2LnhtbFBLBQYAAAAABAAEAPkAAACRAwAAAAA=&#10;">
                <v:path arrowok="t"/>
                <v:fill on="f" focussize="0,0"/>
                <v:stroke endarrow="block"/>
                <v:imagedata o:title=""/>
                <o:lock v:ext="edit"/>
              </v:shape>
              <v:shape id="AutoShape 63" o:spid="_x0000_s1053" o:spt="33" type="#_x0000_t33" style="position:absolute;left:7738;top:11428;height:1845;width:656;rotation:589824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fKb8MAAADbAAAADwAAAGRycy9kb3ducmV2LnhtbESPUWvCMBSF3wf+h3AF32aqgyKdUUQ3&#10;VnwYrtsPuDR3TVlzU5JY6783grDHwznnO5z1drSdGMiH1rGCxTwDQVw73XKj4Of7/XkFIkRkjZ1j&#10;UnClANvN5GmNhXYX/qKhio1IEA4FKjAx9oWUoTZkMcxdT5y8X+ctxiR9I7XHS4LbTi6zLJcWW04L&#10;BnvaG6r/qrNVkL/sso/z58GWpjySrYa9fzu1Ss2m4+4VRKQx/ocf7VIrWOZw/5J+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Hym/DAAAA2wAAAA8AAAAAAAAAAAAA&#10;AAAAoQIAAGRycy9kb3ducmV2LnhtbFBLBQYAAAAABAAEAPkAAACRAwAAAAA=&#10;">
                <v:path arrowok="t"/>
                <v:fill on="f" focussize="0,0"/>
                <v:stroke endarrow="block"/>
                <v:imagedata o:title=""/>
                <o:lock v:ext="edit"/>
              </v:shape>
              <v:shape id="AutoShape 64" o:spid="_x0000_s1054" o:spt="32" type="#_x0000_t32" style="position:absolute;left:6207;top:13057;height:643;width: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path arrowok="t"/>
                <v:fill on="f" focussize="0,0"/>
                <v:stroke endarrow="block"/>
                <v:imagedata o:title=""/>
                <o:lock v:ext="edit"/>
              </v:shape>
              <v:shape id="Text Box 65" o:spid="_x0000_s1055" o:spt="202" type="#_x0000_t202" style="position:absolute;left:6092;top:13057;height:470;width:55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v:path/>
                <v:fill on="f" focussize="0,0"/>
                <v:stroke on="f" joinstyle="miter"/>
                <v:imagedata o:title=""/>
                <o:lock v:ext="edit"/>
                <v:textbox>
                  <w:txbxContent>
                    <w:p>
                      <w:pPr>
                        <w:jc w:val="center"/>
                      </w:pPr>
                      <w:r>
                        <w:rPr>
                          <w:rFonts w:hint="eastAsia"/>
                        </w:rPr>
                        <w:t>是</w:t>
                      </w:r>
                    </w:p>
                  </w:txbxContent>
                </v:textbox>
              </v:shape>
              <v:shape id="Text Box 66" o:spid="_x0000_s1056" o:spt="202" type="#_x0000_t202" style="position:absolute;left:3776;top:9493;height:414;width:1482;"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v:path/>
                <v:fill on="f" focussize="0,0"/>
                <v:stroke on="f" joinstyle="miter"/>
                <v:imagedata o:title=""/>
                <o:lock v:ext="edit"/>
                <v:textbox>
                  <w:txbxContent>
                    <w:p>
                      <w:pPr>
                        <w:spacing w:line="240" w:lineRule="atLeast"/>
                        <w:jc w:val="center"/>
                      </w:pPr>
                      <w:r>
                        <w:rPr>
                          <w:rFonts w:hint="eastAsia"/>
                        </w:rPr>
                        <w:t>未符合要求</w:t>
                      </w:r>
                    </w:p>
                  </w:txbxContent>
                </v:textbox>
              </v:shape>
              <v:shape id="Text Box 67" o:spid="_x0000_s1057" o:spt="202" type="#_x0000_t202" style="position:absolute;left:3169;top:10282;height:1069;width:59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fcMA&#10;AADbAAAADwAAAGRycy9kb3ducmV2LnhtbERPz2vCMBS+D/wfwhO8zdQp4jqjdIOB7FDQefD42ry1&#10;Zc1LTVLt/OvNQdjx4/u93g6mFRdyvrGsYDZNQBCXVjdcKTh+fz6vQPiArLG1TAr+yMN2M3paY6rt&#10;lfd0OYRKxBD2KSqoQ+hSKX1Zk0E/tR1x5H6sMxgidJXUDq8x3LTyJUmW0mDDsaHGjj5qKn8PvVGw&#10;y079uXf54vV2umV5UXzl78VSqcl4yN5ABBrCv/jh3mkF87g+fo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ifcMAAADbAAAADwAAAAAAAAAAAAAAAACYAgAAZHJzL2Rv&#10;d25yZXYueG1sUEsFBgAAAAAEAAQA9QAAAIgDAAAAAA==&#10;">
                <v:path/>
                <v:fill on="f" focussize="0,0"/>
                <v:stroke on="f" joinstyle="miter"/>
                <v:imagedata o:title=""/>
                <o:lock v:ext="edit"/>
                <v:textbox style="layout-flow:vertical-ideographic;">
                  <w:txbxContent>
                    <w:p>
                      <w:r>
                        <w:rPr>
                          <w:rFonts w:hint="eastAsia"/>
                        </w:rPr>
                        <w:t>符合要求</w:t>
                      </w:r>
                    </w:p>
                  </w:txbxContent>
                </v:textbox>
              </v:shape>
              <v:shape id="Text Box 68" o:spid="_x0000_s1058" o:spt="202" type="#_x0000_t202" style="position:absolute;left:7062;top:10194;height:1283;width:59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H5sYA&#10;AADbAAAADwAAAGRycy9kb3ducmV2LnhtbESPQWvCQBSE74X+h+UVeqsbbRGNrpIKBekhoPXg8SX7&#10;TILZt+nuRlN/fbcg9DjMzDfMcj2YVlzI+caygvEoAUFcWt1wpeDw9fEyA+EDssbWMin4IQ/r1ePD&#10;ElNtr7yjyz5UIkLYp6igDqFLpfRlTQb9yHbE0TtZZzBE6SqpHV4j3LRykiRTabDhuFBjR5uayvO+&#10;Nwq22bH/7l3+Nr8db1leFJ/5ezFV6vlpyBYgAg3hP3xvb7WC1zH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MH5sYAAADbAAAADwAAAAAAAAAAAAAAAACYAgAAZHJz&#10;L2Rvd25yZXYueG1sUEsFBgAAAAAEAAQA9QAAAIsDAAAAAA==&#10;">
                <v:path/>
                <v:fill on="f" focussize="0,0"/>
                <v:stroke on="f" joinstyle="miter"/>
                <v:imagedata o:title=""/>
                <o:lock v:ext="edit"/>
                <v:textbox style="layout-flow:vertical-ideographic;">
                  <w:txbxContent>
                    <w:p>
                      <w:r>
                        <w:rPr>
                          <w:rFonts w:hint="eastAsia"/>
                        </w:rPr>
                        <w:t>未通过审核</w:t>
                      </w:r>
                    </w:p>
                  </w:txbxContent>
                </v:textbox>
              </v:shape>
            </v:group>
            <w10:wrap type="none"/>
            <w10:anchorlock/>
          </v:group>
        </w:pict>
      </w:r>
    </w:p>
    <w:p>
      <w:pPr>
        <w:spacing w:line="360" w:lineRule="auto"/>
        <w:jc w:val="center"/>
        <w:rPr>
          <w:sz w:val="24"/>
        </w:rPr>
      </w:pPr>
      <w:r>
        <w:rPr>
          <w:rFonts w:hint="eastAsia"/>
          <w:sz w:val="24"/>
        </w:rPr>
        <w:t>图1  辣椒酱绿色设计产品评价流程</w:t>
      </w:r>
    </w:p>
    <w:p>
      <w:pPr>
        <w:spacing w:line="360" w:lineRule="auto"/>
        <w:ind w:firstLine="482" w:firstLineChars="200"/>
        <w:rPr>
          <w:rFonts w:hint="eastAsia"/>
          <w:b/>
          <w:bCs/>
          <w:color w:val="auto"/>
          <w:sz w:val="24"/>
        </w:rPr>
      </w:pPr>
      <w:r>
        <w:rPr>
          <w:rFonts w:hint="eastAsia"/>
          <w:b/>
          <w:bCs/>
          <w:color w:val="auto"/>
          <w:sz w:val="24"/>
        </w:rPr>
        <w:t>四、预期达到的社会效益、对产业发展的作用等情况</w:t>
      </w:r>
    </w:p>
    <w:p>
      <w:pPr>
        <w:spacing w:line="360" w:lineRule="auto"/>
        <w:ind w:firstLine="480" w:firstLineChars="200"/>
        <w:rPr>
          <w:rFonts w:hint="eastAsia"/>
          <w:b w:val="0"/>
          <w:bCs w:val="0"/>
          <w:color w:val="auto"/>
          <w:sz w:val="24"/>
        </w:rPr>
      </w:pPr>
      <w:r>
        <w:rPr>
          <w:rFonts w:hint="eastAsia"/>
          <w:b w:val="0"/>
          <w:bCs w:val="0"/>
          <w:color w:val="auto"/>
          <w:sz w:val="24"/>
        </w:rPr>
        <w:t>健全绿色市场体系，增加绿色产品供给，是生态文明体制改革的重要组成部分。《绿色设计产品评价技术规范 辣椒酱》是一部绿色产品评价标准，标准的研制过程坚持着眼生态文明建设总体目标，统筹考虑资源环境、产业基础等因素，兼顾资源节约、环境友好等特性，基于产品全生命周期评价，标准实施后将起到推动行业绿色低碳循环发展、培育绿色市场、提升绿色产品供给质量和效率的作用，标准的使用和采信能够使全社会共享绿色发展的成果。</w:t>
      </w:r>
    </w:p>
    <w:p>
      <w:pPr>
        <w:spacing w:line="360" w:lineRule="auto"/>
        <w:ind w:firstLine="482" w:firstLineChars="200"/>
        <w:rPr>
          <w:rFonts w:hint="eastAsia"/>
          <w:b/>
          <w:bCs/>
          <w:color w:val="auto"/>
          <w:sz w:val="24"/>
        </w:rPr>
      </w:pPr>
      <w:r>
        <w:rPr>
          <w:rFonts w:hint="eastAsia"/>
          <w:b/>
          <w:bCs/>
          <w:color w:val="auto"/>
          <w:sz w:val="24"/>
        </w:rPr>
        <w:t>五、与国际、国外同类标准水平的对比情况</w:t>
      </w:r>
    </w:p>
    <w:p>
      <w:pPr>
        <w:spacing w:line="360" w:lineRule="auto"/>
        <w:ind w:firstLine="480" w:firstLineChars="200"/>
        <w:rPr>
          <w:rFonts w:hint="eastAsia"/>
          <w:b w:val="0"/>
          <w:bCs w:val="0"/>
          <w:color w:val="auto"/>
          <w:sz w:val="24"/>
        </w:rPr>
      </w:pPr>
      <w:r>
        <w:rPr>
          <w:rFonts w:hint="eastAsia"/>
          <w:b w:val="0"/>
          <w:bCs w:val="0"/>
          <w:color w:val="auto"/>
          <w:sz w:val="24"/>
        </w:rPr>
        <w:t>目前国际、国外尚没有专门针对辣椒酱的绿色评价相关标准。本标准水平为国</w:t>
      </w:r>
      <w:r>
        <w:rPr>
          <w:rFonts w:hint="eastAsia"/>
          <w:b w:val="0"/>
          <w:bCs w:val="0"/>
          <w:color w:val="auto"/>
          <w:sz w:val="24"/>
          <w:lang w:val="en-US" w:eastAsia="zh-CN"/>
        </w:rPr>
        <w:t>内</w:t>
      </w:r>
      <w:r>
        <w:rPr>
          <w:rFonts w:hint="eastAsia"/>
          <w:b w:val="0"/>
          <w:bCs w:val="0"/>
          <w:color w:val="auto"/>
          <w:sz w:val="24"/>
        </w:rPr>
        <w:t>先进水平。</w:t>
      </w:r>
    </w:p>
    <w:p>
      <w:pPr>
        <w:spacing w:line="360" w:lineRule="auto"/>
        <w:ind w:firstLine="482" w:firstLineChars="200"/>
        <w:rPr>
          <w:rFonts w:hint="eastAsia"/>
          <w:b/>
          <w:bCs/>
          <w:color w:val="auto"/>
          <w:sz w:val="24"/>
        </w:rPr>
      </w:pPr>
      <w:r>
        <w:rPr>
          <w:rFonts w:hint="eastAsia"/>
          <w:b/>
          <w:bCs/>
          <w:color w:val="auto"/>
          <w:sz w:val="24"/>
        </w:rPr>
        <w:t>六、与国内相关标准的关系</w:t>
      </w:r>
    </w:p>
    <w:p>
      <w:pPr>
        <w:spacing w:line="360" w:lineRule="auto"/>
        <w:ind w:firstLine="480" w:firstLineChars="200"/>
        <w:rPr>
          <w:rFonts w:hint="eastAsia"/>
          <w:b w:val="0"/>
          <w:bCs w:val="0"/>
          <w:color w:val="auto"/>
          <w:sz w:val="24"/>
        </w:rPr>
      </w:pPr>
      <w:r>
        <w:rPr>
          <w:rFonts w:hint="eastAsia"/>
          <w:b w:val="0"/>
          <w:bCs w:val="0"/>
          <w:color w:val="auto"/>
          <w:sz w:val="24"/>
        </w:rPr>
        <w:t>目前国内尚没有专门针对辣椒酱的绿色评价相关标准。</w:t>
      </w:r>
    </w:p>
    <w:p>
      <w:pPr>
        <w:spacing w:line="360" w:lineRule="auto"/>
        <w:ind w:firstLine="482" w:firstLineChars="200"/>
        <w:rPr>
          <w:rFonts w:hint="eastAsia"/>
          <w:b/>
          <w:bCs/>
          <w:color w:val="auto"/>
          <w:sz w:val="24"/>
        </w:rPr>
      </w:pPr>
      <w:r>
        <w:rPr>
          <w:rFonts w:hint="eastAsia"/>
          <w:b/>
          <w:bCs/>
          <w:color w:val="auto"/>
          <w:sz w:val="24"/>
        </w:rPr>
        <w:t>七、标准性质的建议说明</w:t>
      </w:r>
    </w:p>
    <w:p>
      <w:pPr>
        <w:spacing w:line="360" w:lineRule="auto"/>
        <w:ind w:firstLine="480" w:firstLineChars="200"/>
        <w:rPr>
          <w:rFonts w:hint="eastAsia"/>
          <w:b w:val="0"/>
          <w:bCs w:val="0"/>
          <w:color w:val="auto"/>
          <w:sz w:val="24"/>
        </w:rPr>
      </w:pPr>
      <w:r>
        <w:rPr>
          <w:rFonts w:hint="eastAsia"/>
          <w:b w:val="0"/>
          <w:bCs w:val="0"/>
          <w:color w:val="auto"/>
          <w:sz w:val="24"/>
        </w:rPr>
        <w:t>本标准为指标技术水平先进的团体标准，由团体成员约定采用或者按照本团体的有关规定供社会自愿采用，作为绿色设计产品评价技术规范系列标准，可作为绿色产品评价依据。</w:t>
      </w:r>
    </w:p>
    <w:p>
      <w:pPr>
        <w:spacing w:line="360" w:lineRule="auto"/>
        <w:ind w:firstLine="482" w:firstLineChars="200"/>
        <w:rPr>
          <w:rFonts w:hint="eastAsia"/>
          <w:b/>
          <w:bCs/>
          <w:color w:val="auto"/>
          <w:sz w:val="24"/>
        </w:rPr>
      </w:pPr>
      <w:r>
        <w:rPr>
          <w:rFonts w:hint="eastAsia"/>
          <w:b/>
          <w:bCs/>
          <w:color w:val="auto"/>
          <w:sz w:val="24"/>
        </w:rPr>
        <w:t>八、重大分歧意见的处理经过和依据</w:t>
      </w:r>
    </w:p>
    <w:p>
      <w:pPr>
        <w:spacing w:line="360" w:lineRule="auto"/>
        <w:ind w:firstLine="480" w:firstLineChars="200"/>
        <w:rPr>
          <w:rFonts w:hint="eastAsia"/>
          <w:b w:val="0"/>
          <w:bCs w:val="0"/>
          <w:color w:val="auto"/>
          <w:sz w:val="24"/>
        </w:rPr>
      </w:pPr>
      <w:r>
        <w:rPr>
          <w:rFonts w:hint="eastAsia"/>
          <w:b w:val="0"/>
          <w:bCs w:val="0"/>
          <w:color w:val="auto"/>
          <w:sz w:val="24"/>
        </w:rPr>
        <w:t>本标准未产生重大分歧意见。</w:t>
      </w:r>
    </w:p>
    <w:p>
      <w:pPr>
        <w:spacing w:line="360" w:lineRule="auto"/>
        <w:ind w:firstLine="482" w:firstLineChars="200"/>
        <w:rPr>
          <w:rFonts w:hint="eastAsia"/>
          <w:b/>
          <w:bCs/>
          <w:color w:val="auto"/>
          <w:sz w:val="24"/>
        </w:rPr>
      </w:pPr>
      <w:r>
        <w:rPr>
          <w:rFonts w:hint="eastAsia"/>
          <w:b/>
          <w:bCs/>
          <w:color w:val="auto"/>
          <w:sz w:val="24"/>
        </w:rPr>
        <w:t>九、其他</w:t>
      </w:r>
    </w:p>
    <w:p>
      <w:pPr>
        <w:spacing w:line="360" w:lineRule="auto"/>
        <w:ind w:firstLine="480" w:firstLineChars="200"/>
        <w:rPr>
          <w:rFonts w:hint="eastAsia"/>
          <w:b w:val="0"/>
          <w:bCs w:val="0"/>
          <w:color w:val="auto"/>
          <w:sz w:val="24"/>
        </w:rPr>
      </w:pPr>
      <w:r>
        <w:rPr>
          <w:rFonts w:hint="eastAsia"/>
          <w:b w:val="0"/>
          <w:bCs w:val="0"/>
          <w:color w:val="auto"/>
          <w:sz w:val="24"/>
        </w:rPr>
        <w:t>目前尚未查到国内外有相关联的知识产权。</w:t>
      </w:r>
    </w:p>
    <w:p>
      <w:pPr>
        <w:spacing w:line="360" w:lineRule="auto"/>
        <w:ind w:firstLine="480" w:firstLineChars="200"/>
        <w:rPr>
          <w:rFonts w:hint="eastAsia"/>
          <w:b w:val="0"/>
          <w:bCs w:val="0"/>
          <w:color w:val="auto"/>
          <w:sz w:val="24"/>
        </w:rPr>
      </w:pPr>
    </w:p>
    <w:p>
      <w:pPr>
        <w:spacing w:line="360" w:lineRule="auto"/>
        <w:ind w:firstLine="3840" w:firstLineChars="1600"/>
        <w:rPr>
          <w:rFonts w:hint="eastAsia"/>
          <w:b w:val="0"/>
          <w:bCs w:val="0"/>
          <w:color w:val="auto"/>
          <w:sz w:val="24"/>
        </w:rPr>
      </w:pPr>
      <w:r>
        <w:rPr>
          <w:rFonts w:hint="eastAsia"/>
          <w:b w:val="0"/>
          <w:bCs w:val="0"/>
          <w:color w:val="auto"/>
          <w:sz w:val="24"/>
        </w:rPr>
        <w:t>《绿色设计产品评价技术规范 辣椒酱》</w:t>
      </w:r>
    </w:p>
    <w:p>
      <w:pPr>
        <w:spacing w:line="360" w:lineRule="auto"/>
        <w:ind w:firstLine="5040" w:firstLineChars="2100"/>
        <w:rPr>
          <w:rFonts w:hint="eastAsia"/>
          <w:b w:val="0"/>
          <w:bCs w:val="0"/>
          <w:color w:val="auto"/>
          <w:sz w:val="24"/>
        </w:rPr>
      </w:pPr>
      <w:r>
        <w:rPr>
          <w:rFonts w:hint="eastAsia"/>
          <w:b w:val="0"/>
          <w:bCs w:val="0"/>
          <w:color w:val="auto"/>
          <w:sz w:val="24"/>
        </w:rPr>
        <w:t>团体标准编制工作组</w:t>
      </w:r>
    </w:p>
    <w:p>
      <w:pPr>
        <w:spacing w:line="360" w:lineRule="auto"/>
        <w:ind w:firstLine="5520" w:firstLineChars="2300"/>
        <w:rPr>
          <w:rFonts w:hint="eastAsia"/>
          <w:b w:val="0"/>
          <w:bCs w:val="0"/>
          <w:color w:val="auto"/>
          <w:sz w:val="24"/>
        </w:rPr>
      </w:pPr>
      <w:r>
        <w:rPr>
          <w:rFonts w:hint="eastAsia"/>
          <w:b w:val="0"/>
          <w:bCs w:val="0"/>
          <w:color w:val="auto"/>
          <w:sz w:val="24"/>
        </w:rPr>
        <w:t>2020年</w:t>
      </w:r>
      <w:r>
        <w:rPr>
          <w:rFonts w:hint="eastAsia"/>
          <w:b w:val="0"/>
          <w:bCs w:val="0"/>
          <w:color w:val="auto"/>
          <w:sz w:val="24"/>
          <w:lang w:val="en-US" w:eastAsia="zh-CN"/>
        </w:rPr>
        <w:t>12</w:t>
      </w:r>
      <w:r>
        <w:rPr>
          <w:rFonts w:hint="eastAsia"/>
          <w:b w:val="0"/>
          <w:bCs w:val="0"/>
          <w:color w:val="auto"/>
          <w:sz w:val="24"/>
        </w:rPr>
        <w:t>月</w:t>
      </w:r>
    </w:p>
    <w:p>
      <w:pPr>
        <w:spacing w:line="360" w:lineRule="auto"/>
        <w:ind w:firstLine="480" w:firstLineChars="200"/>
        <w:rPr>
          <w:rFonts w:hint="eastAsia"/>
          <w:b w:val="0"/>
          <w:bCs w:val="0"/>
          <w:color w:val="auto"/>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5"/>
      <w:suff w:val="nothing"/>
      <w:lvlText w:val="%1　"/>
      <w:lvlJc w:val="left"/>
      <w:pPr>
        <w:ind w:left="1277"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6"/>
      <w:suff w:val="nothing"/>
      <w:lvlText w:val="%1.%2.%3　"/>
      <w:lvlJc w:val="left"/>
      <w:pPr>
        <w:ind w:left="1560"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18"/>
      <w:suff w:val="nothing"/>
      <w:lvlText w:val="%1.%2.%3.%4.%5　"/>
      <w:lvlJc w:val="left"/>
      <w:pPr>
        <w:ind w:left="-426" w:firstLine="0"/>
      </w:pPr>
      <w:rPr>
        <w:rFonts w:hint="eastAsia" w:ascii="黑体" w:hAnsi="Times New Roman" w:eastAsia="黑体"/>
        <w:b w:val="0"/>
        <w:i w:val="0"/>
        <w:sz w:val="21"/>
      </w:rPr>
    </w:lvl>
    <w:lvl w:ilvl="5" w:tentative="0">
      <w:start w:val="1"/>
      <w:numFmt w:val="decimal"/>
      <w:pStyle w:val="19"/>
      <w:suff w:val="nothing"/>
      <w:lvlText w:val="%1.%2.%3.%4.%5.%6　"/>
      <w:lvlJc w:val="left"/>
      <w:pPr>
        <w:ind w:left="-426" w:firstLine="0"/>
      </w:pPr>
      <w:rPr>
        <w:rFonts w:hint="eastAsia" w:ascii="黑体" w:hAnsi="Times New Roman" w:eastAsia="黑体"/>
        <w:b w:val="0"/>
        <w:i w:val="0"/>
        <w:sz w:val="21"/>
      </w:rPr>
    </w:lvl>
    <w:lvl w:ilvl="6" w:tentative="0">
      <w:start w:val="1"/>
      <w:numFmt w:val="decimal"/>
      <w:suff w:val="nothing"/>
      <w:lvlText w:val="%1%2.%3.%4.%5.%6.%7　"/>
      <w:lvlJc w:val="left"/>
      <w:pPr>
        <w:ind w:left="-426" w:firstLine="0"/>
      </w:pPr>
      <w:rPr>
        <w:rFonts w:hint="eastAsia" w:ascii="黑体" w:hAnsi="Times New Roman" w:eastAsia="黑体"/>
        <w:b w:val="0"/>
        <w:i w:val="0"/>
        <w:sz w:val="21"/>
      </w:rPr>
    </w:lvl>
    <w:lvl w:ilvl="7" w:tentative="0">
      <w:start w:val="1"/>
      <w:numFmt w:val="decimal"/>
      <w:lvlText w:val="%1.%2.%3.%4.%5.%6.%7.%8"/>
      <w:lvlJc w:val="left"/>
      <w:pPr>
        <w:tabs>
          <w:tab w:val="left" w:pos="3925"/>
        </w:tabs>
        <w:ind w:left="3543" w:hanging="1418"/>
      </w:pPr>
      <w:rPr>
        <w:rFonts w:hint="eastAsia"/>
      </w:rPr>
    </w:lvl>
    <w:lvl w:ilvl="8" w:tentative="0">
      <w:start w:val="1"/>
      <w:numFmt w:val="decimal"/>
      <w:lvlText w:val="%1.%2.%3.%4.%5.%6.%7.%8.%9"/>
      <w:lvlJc w:val="left"/>
      <w:pPr>
        <w:tabs>
          <w:tab w:val="left" w:pos="4351"/>
        </w:tabs>
        <w:ind w:left="4251"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06BC"/>
    <w:rsid w:val="00062B4B"/>
    <w:rsid w:val="00065A80"/>
    <w:rsid w:val="000764D1"/>
    <w:rsid w:val="000B6DBA"/>
    <w:rsid w:val="000C5597"/>
    <w:rsid w:val="000D1B31"/>
    <w:rsid w:val="00126ECB"/>
    <w:rsid w:val="0016396B"/>
    <w:rsid w:val="00177292"/>
    <w:rsid w:val="001775ED"/>
    <w:rsid w:val="001938E6"/>
    <w:rsid w:val="001D11F3"/>
    <w:rsid w:val="001D2D1C"/>
    <w:rsid w:val="001E5806"/>
    <w:rsid w:val="001E7C7C"/>
    <w:rsid w:val="001F61F5"/>
    <w:rsid w:val="00227044"/>
    <w:rsid w:val="00297E5E"/>
    <w:rsid w:val="002A4D36"/>
    <w:rsid w:val="002B0BA1"/>
    <w:rsid w:val="002B53D0"/>
    <w:rsid w:val="002C4FDE"/>
    <w:rsid w:val="002D538D"/>
    <w:rsid w:val="002D7C9C"/>
    <w:rsid w:val="002F5023"/>
    <w:rsid w:val="003216A6"/>
    <w:rsid w:val="00322118"/>
    <w:rsid w:val="00336F23"/>
    <w:rsid w:val="003B1FFD"/>
    <w:rsid w:val="003D4A16"/>
    <w:rsid w:val="003D6C90"/>
    <w:rsid w:val="00404C69"/>
    <w:rsid w:val="004211B8"/>
    <w:rsid w:val="0047276B"/>
    <w:rsid w:val="004817C6"/>
    <w:rsid w:val="004A586D"/>
    <w:rsid w:val="004C11CC"/>
    <w:rsid w:val="00513A6E"/>
    <w:rsid w:val="00565F4D"/>
    <w:rsid w:val="00591859"/>
    <w:rsid w:val="0059618A"/>
    <w:rsid w:val="00610865"/>
    <w:rsid w:val="00617159"/>
    <w:rsid w:val="00620AF6"/>
    <w:rsid w:val="00621BB3"/>
    <w:rsid w:val="00625CFB"/>
    <w:rsid w:val="00626F84"/>
    <w:rsid w:val="0065571A"/>
    <w:rsid w:val="0067722A"/>
    <w:rsid w:val="0069463A"/>
    <w:rsid w:val="00696366"/>
    <w:rsid w:val="006F452E"/>
    <w:rsid w:val="006F5088"/>
    <w:rsid w:val="00755E70"/>
    <w:rsid w:val="007B24A3"/>
    <w:rsid w:val="007B7416"/>
    <w:rsid w:val="007D5D13"/>
    <w:rsid w:val="007F2FC7"/>
    <w:rsid w:val="008363B4"/>
    <w:rsid w:val="0085159E"/>
    <w:rsid w:val="00854658"/>
    <w:rsid w:val="00881D0D"/>
    <w:rsid w:val="00895279"/>
    <w:rsid w:val="0090035F"/>
    <w:rsid w:val="00922922"/>
    <w:rsid w:val="00957296"/>
    <w:rsid w:val="00961ED3"/>
    <w:rsid w:val="0099375C"/>
    <w:rsid w:val="00994FD9"/>
    <w:rsid w:val="009A747D"/>
    <w:rsid w:val="009F3EBA"/>
    <w:rsid w:val="00A2109D"/>
    <w:rsid w:val="00A24340"/>
    <w:rsid w:val="00A66F65"/>
    <w:rsid w:val="00A74032"/>
    <w:rsid w:val="00A760E7"/>
    <w:rsid w:val="00A77C5E"/>
    <w:rsid w:val="00AA4205"/>
    <w:rsid w:val="00AD4C2E"/>
    <w:rsid w:val="00AE26AA"/>
    <w:rsid w:val="00AE4443"/>
    <w:rsid w:val="00BB3F43"/>
    <w:rsid w:val="00BD5327"/>
    <w:rsid w:val="00C12354"/>
    <w:rsid w:val="00C64D37"/>
    <w:rsid w:val="00C64E32"/>
    <w:rsid w:val="00CC6A4E"/>
    <w:rsid w:val="00CD3C32"/>
    <w:rsid w:val="00CD49BC"/>
    <w:rsid w:val="00D06EBE"/>
    <w:rsid w:val="00D206BC"/>
    <w:rsid w:val="00D27310"/>
    <w:rsid w:val="00D33033"/>
    <w:rsid w:val="00D421F1"/>
    <w:rsid w:val="00D64C99"/>
    <w:rsid w:val="00D718A4"/>
    <w:rsid w:val="00D82E04"/>
    <w:rsid w:val="00D90B6E"/>
    <w:rsid w:val="00D94F13"/>
    <w:rsid w:val="00DB454C"/>
    <w:rsid w:val="00DB739D"/>
    <w:rsid w:val="00DE6D42"/>
    <w:rsid w:val="00E1458F"/>
    <w:rsid w:val="00E45A42"/>
    <w:rsid w:val="00E75A79"/>
    <w:rsid w:val="00EB4B93"/>
    <w:rsid w:val="00EC7707"/>
    <w:rsid w:val="00F11B4C"/>
    <w:rsid w:val="00F63E10"/>
    <w:rsid w:val="00F9518A"/>
    <w:rsid w:val="00FA25AA"/>
    <w:rsid w:val="00FD2101"/>
    <w:rsid w:val="00FD4DE2"/>
    <w:rsid w:val="00FE5135"/>
    <w:rsid w:val="00FF07D7"/>
    <w:rsid w:val="00FF5867"/>
    <w:rsid w:val="011A0110"/>
    <w:rsid w:val="02BA6A1C"/>
    <w:rsid w:val="02E81FE3"/>
    <w:rsid w:val="03A1289B"/>
    <w:rsid w:val="041E414F"/>
    <w:rsid w:val="09F119FF"/>
    <w:rsid w:val="11D56E33"/>
    <w:rsid w:val="165D3D12"/>
    <w:rsid w:val="193507D6"/>
    <w:rsid w:val="1C396F11"/>
    <w:rsid w:val="203A4AF4"/>
    <w:rsid w:val="24EF422B"/>
    <w:rsid w:val="259E21B5"/>
    <w:rsid w:val="29F73B29"/>
    <w:rsid w:val="30254903"/>
    <w:rsid w:val="32673B35"/>
    <w:rsid w:val="326E6A14"/>
    <w:rsid w:val="33AF13E1"/>
    <w:rsid w:val="33FC0979"/>
    <w:rsid w:val="34565AC8"/>
    <w:rsid w:val="3690108B"/>
    <w:rsid w:val="39797DFC"/>
    <w:rsid w:val="3A341A8B"/>
    <w:rsid w:val="3AD1600F"/>
    <w:rsid w:val="3D3063E6"/>
    <w:rsid w:val="3F6E336C"/>
    <w:rsid w:val="54EB7C64"/>
    <w:rsid w:val="5679091D"/>
    <w:rsid w:val="577A5ECA"/>
    <w:rsid w:val="57AE6175"/>
    <w:rsid w:val="59023D2F"/>
    <w:rsid w:val="5E68599A"/>
    <w:rsid w:val="5ECE6112"/>
    <w:rsid w:val="62A832FF"/>
    <w:rsid w:val="65C21D5E"/>
    <w:rsid w:val="69146ECC"/>
    <w:rsid w:val="69EC04A1"/>
    <w:rsid w:val="6ABC06B4"/>
    <w:rsid w:val="6DBB0A94"/>
    <w:rsid w:val="74EA355E"/>
    <w:rsid w:val="75026A51"/>
    <w:rsid w:val="788F305F"/>
    <w:rsid w:val="7ACC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1"/>
        <o:r id="V:Rule2" type="connector" idref="#AutoShape 44"/>
        <o:r id="V:Rule3" type="connector" idref="#AutoShape 45"/>
        <o:r id="V:Rule4" type="connector" idref="#AutoShape 54"/>
        <o:r id="V:Rule5" type="connector" idref="#AutoShape 55"/>
        <o:r id="V:Rule6" type="connector" idref="#AutoShape 56"/>
        <o:r id="V:Rule7" type="connector" idref="#AutoShape 57"/>
        <o:r id="V:Rule8" type="connector" idref="#AutoShape 58"/>
        <o:r id="V:Rule9" type="connector" idref="#AutoShape 62"/>
        <o:r id="V:Rule10" type="connector" idref="#AutoShape 63"/>
        <o:r id="V:Rule11" type="connector" idref="#AutoShape 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semiHidden/>
    <w:unhideWhenUsed/>
    <w:qFormat/>
    <w:uiPriority w:val="9"/>
    <w:pPr>
      <w:keepNext/>
      <w:keepLines/>
      <w:spacing w:before="260" w:after="260" w:line="415" w:lineRule="auto"/>
      <w:outlineLvl w:val="2"/>
    </w:pPr>
    <w:rPr>
      <w:rFonts w:ascii="Calibri" w:hAnsi="Calibri" w:cs="宋体"/>
      <w:b/>
      <w:bCs/>
      <w:kern w:val="0"/>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2"/>
    <w:unhideWhenUsed/>
    <w:uiPriority w:val="99"/>
    <w:pPr>
      <w:tabs>
        <w:tab w:val="center" w:pos="4153"/>
        <w:tab w:val="right" w:pos="8306"/>
      </w:tabs>
      <w:snapToGrid w:val="0"/>
      <w:jc w:val="left"/>
    </w:pPr>
    <w:rPr>
      <w:sz w:val="18"/>
      <w:szCs w:val="18"/>
    </w:rPr>
  </w:style>
  <w:style w:type="paragraph" w:styleId="4">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3 Char"/>
    <w:basedOn w:val="8"/>
    <w:link w:val="2"/>
    <w:semiHidden/>
    <w:uiPriority w:val="9"/>
    <w:rPr>
      <w:rFonts w:ascii="Calibri" w:hAnsi="Calibri" w:eastAsia="宋体" w:cs="宋体"/>
      <w:b/>
      <w:bCs/>
      <w:kern w:val="0"/>
      <w:sz w:val="32"/>
      <w:szCs w:val="32"/>
    </w:rPr>
  </w:style>
  <w:style w:type="paragraph" w:customStyle="1" w:styleId="10">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0"/>
      <w:szCs w:val="21"/>
      <w:lang w:val="en-US" w:eastAsia="zh-CN" w:bidi="ar-SA"/>
    </w:rPr>
  </w:style>
  <w:style w:type="character" w:customStyle="1" w:styleId="11">
    <w:name w:val="段 Char"/>
    <w:link w:val="10"/>
    <w:qFormat/>
    <w:locked/>
    <w:uiPriority w:val="0"/>
    <w:rPr>
      <w:rFonts w:ascii="宋体" w:hAnsi="Times New Roman" w:eastAsia="宋体" w:cs="Times New Roman"/>
      <w:kern w:val="0"/>
      <w:sz w:val="20"/>
      <w:szCs w:val="21"/>
    </w:rPr>
  </w:style>
  <w:style w:type="paragraph" w:styleId="12">
    <w:name w:val="List Paragraph"/>
    <w:basedOn w:val="1"/>
    <w:link w:val="13"/>
    <w:qFormat/>
    <w:uiPriority w:val="34"/>
    <w:pPr>
      <w:ind w:firstLine="420" w:firstLineChars="200"/>
    </w:pPr>
  </w:style>
  <w:style w:type="character" w:customStyle="1" w:styleId="13">
    <w:name w:val="列出段落 Char"/>
    <w:basedOn w:val="8"/>
    <w:link w:val="12"/>
    <w:qFormat/>
    <w:locked/>
    <w:uiPriority w:val="99"/>
    <w:rPr>
      <w:rFonts w:ascii="Times New Roman" w:hAnsi="Times New Roman" w:eastAsia="宋体" w:cs="Times New Roman"/>
      <w:szCs w:val="21"/>
    </w:rPr>
  </w:style>
  <w:style w:type="paragraph" w:customStyle="1" w:styleId="14">
    <w:name w:val="一级条标题"/>
    <w:next w:val="10"/>
    <w:link w:val="20"/>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5">
    <w:name w:val="章标题"/>
    <w:next w:val="10"/>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6">
    <w:name w:val="二级条标题"/>
    <w:basedOn w:val="14"/>
    <w:next w:val="10"/>
    <w:qFormat/>
    <w:uiPriority w:val="0"/>
    <w:pPr>
      <w:numPr>
        <w:ilvl w:val="2"/>
      </w:numPr>
      <w:spacing w:before="50" w:after="50"/>
      <w:outlineLvl w:val="3"/>
    </w:pPr>
  </w:style>
  <w:style w:type="paragraph" w:customStyle="1" w:styleId="17">
    <w:name w:val="三级条标题"/>
    <w:basedOn w:val="16"/>
    <w:next w:val="10"/>
    <w:qFormat/>
    <w:uiPriority w:val="0"/>
    <w:pPr>
      <w:numPr>
        <w:ilvl w:val="3"/>
      </w:numPr>
      <w:outlineLvl w:val="4"/>
    </w:pPr>
  </w:style>
  <w:style w:type="paragraph" w:customStyle="1" w:styleId="18">
    <w:name w:val="四级条标题"/>
    <w:basedOn w:val="17"/>
    <w:next w:val="10"/>
    <w:qFormat/>
    <w:uiPriority w:val="0"/>
    <w:pPr>
      <w:numPr>
        <w:ilvl w:val="4"/>
      </w:numPr>
      <w:outlineLvl w:val="5"/>
    </w:pPr>
  </w:style>
  <w:style w:type="paragraph" w:customStyle="1" w:styleId="19">
    <w:name w:val="五级条标题"/>
    <w:basedOn w:val="18"/>
    <w:next w:val="10"/>
    <w:qFormat/>
    <w:uiPriority w:val="0"/>
    <w:pPr>
      <w:numPr>
        <w:ilvl w:val="5"/>
      </w:numPr>
      <w:outlineLvl w:val="6"/>
    </w:pPr>
  </w:style>
  <w:style w:type="character" w:customStyle="1" w:styleId="20">
    <w:name w:val="一级条标题 Char Char"/>
    <w:link w:val="14"/>
    <w:qFormat/>
    <w:uiPriority w:val="0"/>
    <w:rPr>
      <w:rFonts w:ascii="黑体" w:hAnsi="Times New Roman" w:eastAsia="黑体" w:cs="Times New Roman"/>
      <w:kern w:val="0"/>
      <w:szCs w:val="21"/>
    </w:rPr>
  </w:style>
  <w:style w:type="character" w:customStyle="1" w:styleId="21">
    <w:name w:val="页眉 Char"/>
    <w:basedOn w:val="8"/>
    <w:link w:val="4"/>
    <w:qFormat/>
    <w:uiPriority w:val="99"/>
    <w:rPr>
      <w:rFonts w:ascii="Times New Roman" w:hAnsi="Times New Roman" w:eastAsia="宋体" w:cs="Times New Roman"/>
      <w:sz w:val="18"/>
      <w:szCs w:val="18"/>
    </w:rPr>
  </w:style>
  <w:style w:type="character" w:customStyle="1" w:styleId="22">
    <w:name w:val="页脚 Char"/>
    <w:basedOn w:val="8"/>
    <w:link w:val="3"/>
    <w:qFormat/>
    <w:uiPriority w:val="99"/>
    <w:rPr>
      <w:rFonts w:ascii="Times New Roman" w:hAnsi="Times New Roman" w:eastAsia="宋体" w:cs="Times New Roman"/>
      <w:sz w:val="18"/>
      <w:szCs w:val="18"/>
    </w:rPr>
  </w:style>
  <w:style w:type="table" w:customStyle="1" w:styleId="23">
    <w:name w:val="网格型1"/>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7"/>
    <customShpInfo spid="_x0000_s1038"/>
    <customShpInfo spid="_x0000_s1036"/>
    <customShpInfo spid="_x0000_s1040"/>
    <customShpInfo spid="_x0000_s1041"/>
    <customShpInfo spid="_x0000_s1039"/>
    <customShpInfo spid="_x0000_s1042"/>
    <customShpInfo spid="_x0000_s1043"/>
    <customShpInfo spid="_x0000_s1044"/>
    <customShpInfo spid="_x0000_s1045"/>
    <customShpInfo spid="_x0000_s1046"/>
    <customShpInfo spid="_x0000_s1047"/>
    <customShpInfo spid="_x0000_s1048"/>
    <customShpInfo spid="_x0000_s1050"/>
    <customShpInfo spid="_x0000_s1051"/>
    <customShpInfo spid="_x0000_s1049"/>
    <customShpInfo spid="_x0000_s1052"/>
    <customShpInfo spid="_x0000_s1053"/>
    <customShpInfo spid="_x0000_s1054"/>
    <customShpInfo spid="_x0000_s1055"/>
    <customShpInfo spid="_x0000_s1056"/>
    <customShpInfo spid="_x0000_s1057"/>
    <customShpInfo spid="_x0000_s1058"/>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1651</Words>
  <Characters>9416</Characters>
  <Lines>78</Lines>
  <Paragraphs>22</Paragraphs>
  <TotalTime>44</TotalTime>
  <ScaleCrop>false</ScaleCrop>
  <LinksUpToDate>false</LinksUpToDate>
  <CharactersWithSpaces>11045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2020-12-08T03:25:00Z</dcterms:created>
  <dc:creator>Lu, Jian Yu</dc:creator>
  <cp:lastModifiedBy>NIEBO</cp:lastModifiedBy>
  <cp:lastPrinted>2020-12-28T02:33:00Z</cp:lastPrinted>
  <dcterms:modified xsi:type="dcterms:W3CDTF">2020-12-29T07:21:10Z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