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 w:eastAsia="宋体" w:cs="宋体"/>
          <w:bCs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2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</w:t>
      </w:r>
    </w:p>
    <w:p>
      <w:pPr>
        <w:spacing w:line="540" w:lineRule="exact"/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质量管理小组活动统计表</w:t>
      </w:r>
    </w:p>
    <w:bookmarkEnd w:id="0"/>
    <w:p>
      <w:pPr>
        <w:spacing w:line="540" w:lineRule="exact"/>
        <w:jc w:val="center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年6月至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2020</w:t>
      </w:r>
      <w:r>
        <w:rPr>
          <w:rFonts w:hint="eastAsia" w:ascii="宋体" w:hAnsi="宋体" w:eastAsia="宋体" w:cs="宋体"/>
          <w:sz w:val="28"/>
          <w:szCs w:val="28"/>
        </w:rPr>
        <w:t>年6月)</w:t>
      </w:r>
    </w:p>
    <w:p>
      <w:pPr>
        <w:spacing w:line="574" w:lineRule="exact"/>
        <w:rPr>
          <w:rFonts w:hint="default" w:ascii="宋体" w:hAnsi="宋体" w:eastAsia="宋体" w:cs="宋体"/>
          <w:bCs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推荐单位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盖章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Cs/>
          <w:sz w:val="21"/>
          <w:szCs w:val="21"/>
          <w:u w:val="single"/>
          <w:lang w:val="en-US" w:eastAsia="zh-CN"/>
        </w:rPr>
        <w:t xml:space="preserve">                </w:t>
      </w:r>
    </w:p>
    <w:tbl>
      <w:tblPr>
        <w:tblStyle w:val="2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1464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63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统计项目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单位</w:t>
            </w:r>
          </w:p>
        </w:tc>
        <w:tc>
          <w:tcPr>
            <w:tcW w:w="502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39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历年来已登记注册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小组累计数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02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39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本年度已登记注册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小组数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02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39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本年度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小组普及率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参加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小组人数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职工总数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X100%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百分数</w:t>
            </w:r>
          </w:p>
        </w:tc>
        <w:tc>
          <w:tcPr>
            <w:tcW w:w="502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39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本年度坚持活动的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小组数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</w:t>
            </w:r>
          </w:p>
        </w:tc>
        <w:tc>
          <w:tcPr>
            <w:tcW w:w="502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39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本年度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小组创可计算的经济效益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万元</w:t>
            </w:r>
          </w:p>
        </w:tc>
        <w:tc>
          <w:tcPr>
            <w:tcW w:w="502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39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本年度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小组成果率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取得成果小组数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/QC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小组注册数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X100%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百分数</w:t>
            </w:r>
          </w:p>
        </w:tc>
        <w:tc>
          <w:tcPr>
            <w:tcW w:w="502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39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本年度企业对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小组活动经费投入（培训、交流、书籍等费用）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万元</w:t>
            </w:r>
          </w:p>
        </w:tc>
        <w:tc>
          <w:tcPr>
            <w:tcW w:w="502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39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本年度企业对</w:t>
            </w:r>
            <w:r>
              <w:rPr>
                <w:rFonts w:ascii="宋体" w:hAnsi="宋体" w:eastAsia="宋体" w:cs="宋体"/>
                <w:bCs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小组活动奖励费用</w:t>
            </w:r>
          </w:p>
        </w:tc>
        <w:tc>
          <w:tcPr>
            <w:tcW w:w="859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万元</w:t>
            </w:r>
          </w:p>
        </w:tc>
        <w:tc>
          <w:tcPr>
            <w:tcW w:w="502" w:type="pct"/>
          </w:tcPr>
          <w:p>
            <w:pPr>
              <w:spacing w:line="5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000" w:type="pct"/>
            <w:gridSpan w:val="3"/>
          </w:tcPr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本年度QC小组活动主要特点与建议：</w:t>
            </w:r>
          </w:p>
          <w:p>
            <w:pPr>
              <w:spacing w:line="420" w:lineRule="exact"/>
              <w:rPr>
                <w:rFonts w:ascii="Times New Roman" w:hAnsi="Times New Roman" w:eastAsia="汉仪中宋简" w:cs="宋体"/>
                <w:color w:val="000000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ascii="Times New Roman" w:hAnsi="Times New Roman" w:eastAsia="汉仪中宋简" w:cs="宋体"/>
                <w:color w:val="000000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ascii="Times New Roman" w:hAnsi="Times New Roman" w:eastAsia="汉仪中宋简" w:cs="宋体"/>
                <w:color w:val="000000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ascii="Times New Roman" w:hAnsi="Times New Roman" w:eastAsia="汉仪中宋简" w:cs="宋体"/>
                <w:color w:val="000000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ascii="Times New Roman" w:hAnsi="Times New Roman" w:eastAsia="汉仪中宋简" w:cs="宋体"/>
                <w:color w:val="000000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ascii="Times New Roman" w:hAnsi="Times New Roman" w:eastAsia="汉仪中宋简" w:cs="宋体"/>
                <w:color w:val="000000"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r>
        <w:rPr>
          <w:rFonts w:hint="eastAsia" w:asciiTheme="minorHAnsi" w:eastAsiaTheme="minorEastAsia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填写统计表，提交纸质版原件一份（加盖公章）和Word文本格式电子版一份（无需公章）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41B44"/>
    <w:rsid w:val="35141B44"/>
    <w:rsid w:val="4F2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2020-07-29T08:24:00Z</dcterms:created>
  <dc:creator>可比可</dc:creator>
  <cp:lastModifiedBy>可比可</cp:lastModifiedBy>
  <dcterms:modified xsi:type="dcterms:W3CDTF">2020-07-29T08:26:01Z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