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heme="minorEastAsia" w:hAnsiTheme="minorEastAsia"/>
          <w:sz w:val="28"/>
          <w:szCs w:val="28"/>
        </w:rPr>
      </w:pPr>
      <w:r>
        <w:rPr>
          <w:rFonts w:asciiTheme="minorEastAsia" w:hAnsiTheme="minorEastAsia"/>
          <w:sz w:val="28"/>
          <w:szCs w:val="28"/>
        </w:rPr>
        <w:t>附件3：</w:t>
      </w:r>
    </w:p>
    <w:p>
      <w:pPr>
        <w:jc w:val="center"/>
        <w:rPr>
          <w:rFonts w:asciiTheme="minorEastAsia" w:hAnsiTheme="minorEastAsia"/>
          <w:b/>
          <w:sz w:val="32"/>
          <w:szCs w:val="32"/>
        </w:rPr>
      </w:pPr>
    </w:p>
    <w:p>
      <w:pPr>
        <w:jc w:val="center"/>
        <w:rPr>
          <w:rFonts w:asciiTheme="minorEastAsia" w:hAnsiTheme="minorEastAsia"/>
          <w:b/>
          <w:sz w:val="32"/>
          <w:szCs w:val="32"/>
        </w:rPr>
      </w:pPr>
      <w:bookmarkStart w:id="0" w:name="团体标准编制说明（参考样式）"/>
      <w:bookmarkEnd w:id="0"/>
      <w:r>
        <w:rPr>
          <w:rFonts w:hint="eastAsia" w:asciiTheme="minorEastAsia" w:hAnsiTheme="minorEastAsia"/>
          <w:b/>
          <w:sz w:val="32"/>
          <w:szCs w:val="32"/>
        </w:rPr>
        <w:t>《绿色设计产品评价技术规范 房间空调器用压缩机》</w:t>
      </w:r>
    </w:p>
    <w:p>
      <w:pPr>
        <w:jc w:val="center"/>
        <w:rPr>
          <w:rFonts w:asciiTheme="minorEastAsia" w:hAnsiTheme="minorEastAsia"/>
          <w:b/>
          <w:sz w:val="32"/>
          <w:szCs w:val="32"/>
        </w:rPr>
      </w:pPr>
      <w:r>
        <w:rPr>
          <w:rFonts w:asciiTheme="minorEastAsia" w:hAnsiTheme="minorEastAsia"/>
          <w:b/>
          <w:sz w:val="32"/>
          <w:szCs w:val="32"/>
        </w:rPr>
        <w:t>团体标准编制说明</w:t>
      </w:r>
    </w:p>
    <w:p>
      <w:pPr>
        <w:jc w:val="center"/>
        <w:rPr>
          <w:rFonts w:asciiTheme="minorEastAsia" w:hAnsiTheme="minorEastAsia"/>
          <w:b/>
          <w:sz w:val="32"/>
          <w:szCs w:val="32"/>
        </w:rPr>
      </w:pPr>
    </w:p>
    <w:p>
      <w:pPr>
        <w:spacing w:line="360" w:lineRule="auto"/>
        <w:ind w:firstLine="480" w:firstLineChars="200"/>
        <w:rPr>
          <w:rFonts w:asciiTheme="minorEastAsia" w:hAnsiTheme="minorEastAsia"/>
          <w:sz w:val="24"/>
          <w:szCs w:val="24"/>
        </w:rPr>
      </w:pPr>
    </w:p>
    <w:p>
      <w:pPr>
        <w:spacing w:line="360" w:lineRule="auto"/>
        <w:ind w:firstLine="482" w:firstLineChars="200"/>
        <w:rPr>
          <w:rFonts w:asciiTheme="minorEastAsia" w:hAnsiTheme="minorEastAsia"/>
          <w:b/>
          <w:sz w:val="24"/>
          <w:szCs w:val="24"/>
        </w:rPr>
      </w:pPr>
      <w:r>
        <w:rPr>
          <w:rFonts w:asciiTheme="minorEastAsia" w:hAnsiTheme="minorEastAsia"/>
          <w:b/>
          <w:sz w:val="24"/>
          <w:szCs w:val="24"/>
        </w:rPr>
        <w:t>一、工作简况</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1、任务来源</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本项目根据</w:t>
      </w:r>
      <w:r>
        <w:rPr>
          <w:rFonts w:hint="eastAsia" w:ascii="Times New Roman" w:hAnsi="Times New Roman" w:eastAsia="宋体" w:cs="Times New Roman"/>
          <w:sz w:val="24"/>
          <w:szCs w:val="24"/>
        </w:rPr>
        <w:t>中国轻工业联合会</w:t>
      </w:r>
      <w:r>
        <w:rPr>
          <w:rFonts w:ascii="Times New Roman" w:hAnsi="Times New Roman" w:eastAsia="宋体" w:cs="Times New Roman"/>
          <w:sz w:val="24"/>
          <w:szCs w:val="24"/>
        </w:rPr>
        <w:t>团体标准计划（</w:t>
      </w:r>
      <w:r>
        <w:rPr>
          <w:rFonts w:hint="eastAsia" w:ascii="Times New Roman" w:hAnsi="Times New Roman" w:eastAsia="宋体" w:cs="Times New Roman"/>
          <w:sz w:val="24"/>
          <w:szCs w:val="24"/>
        </w:rPr>
        <w:t>中轻联综合[</w:t>
      </w:r>
      <w:r>
        <w:rPr>
          <w:rFonts w:ascii="Times New Roman" w:hAnsi="Times New Roman" w:eastAsia="宋体" w:cs="Times New Roman"/>
          <w:sz w:val="24"/>
          <w:szCs w:val="24"/>
        </w:rPr>
        <w:t>2018] 1</w:t>
      </w:r>
      <w:r>
        <w:rPr>
          <w:rFonts w:hint="eastAsia" w:ascii="Times New Roman" w:hAnsi="Times New Roman" w:eastAsia="宋体" w:cs="Times New Roman"/>
          <w:sz w:val="24"/>
          <w:szCs w:val="24"/>
          <w:lang w:val="en-US" w:eastAsia="zh-CN"/>
        </w:rPr>
        <w:t>00</w:t>
      </w:r>
      <w:r>
        <w:rPr>
          <w:rFonts w:hint="eastAsia" w:ascii="Times New Roman" w:hAnsi="Times New Roman" w:eastAsia="宋体" w:cs="Times New Roman"/>
          <w:sz w:val="24"/>
          <w:szCs w:val="24"/>
        </w:rPr>
        <w:t>号</w:t>
      </w:r>
      <w:r>
        <w:rPr>
          <w:rFonts w:ascii="Times New Roman" w:hAnsi="Times New Roman" w:eastAsia="宋体" w:cs="Times New Roman"/>
          <w:sz w:val="24"/>
          <w:szCs w:val="24"/>
        </w:rPr>
        <w:t>）</w:t>
      </w:r>
      <w:r>
        <w:rPr>
          <w:rFonts w:hint="eastAsia" w:ascii="Times New Roman" w:hAnsi="Times New Roman" w:eastAsia="宋体" w:cs="Times New Roman"/>
          <w:sz w:val="24"/>
          <w:szCs w:val="24"/>
        </w:rPr>
        <w:t>，</w:t>
      </w:r>
      <w:r>
        <w:rPr>
          <w:rFonts w:ascii="Times New Roman" w:hAnsi="Times New Roman" w:eastAsia="宋体" w:cs="Times New Roman"/>
          <w:sz w:val="24"/>
          <w:szCs w:val="24"/>
        </w:rPr>
        <w:t>计划编号为</w:t>
      </w:r>
      <w:r>
        <w:rPr>
          <w:rFonts w:hint="eastAsia" w:ascii="Times New Roman" w:hAnsi="Times New Roman" w:eastAsia="宋体" w:cs="Times New Roman"/>
          <w:sz w:val="24"/>
          <w:szCs w:val="24"/>
          <w:highlight w:val="none"/>
          <w:lang w:val="en-US" w:eastAsia="zh-CN"/>
        </w:rPr>
        <w:t>2018006</w:t>
      </w:r>
      <w:r>
        <w:rPr>
          <w:rFonts w:ascii="Times New Roman" w:hAnsi="Times New Roman" w:eastAsia="宋体" w:cs="Times New Roman"/>
          <w:sz w:val="24"/>
          <w:szCs w:val="24"/>
        </w:rPr>
        <w:t>，项目名称为</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绿色设计产品评价技术规范 房间空调器用压缩机</w:t>
      </w:r>
      <w:r>
        <w:rPr>
          <w:rFonts w:ascii="Times New Roman" w:hAnsi="Times New Roman" w:eastAsia="宋体" w:cs="Times New Roman"/>
          <w:sz w:val="24"/>
          <w:szCs w:val="24"/>
        </w:rPr>
        <w:t>” 的任务而进行制订。</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2、主要参加单位和工作组成员及分工</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主要参加单位：</w:t>
      </w:r>
      <w:r>
        <w:rPr>
          <w:rFonts w:hint="eastAsia" w:ascii="Times New Roman" w:hAnsi="Times New Roman" w:eastAsia="宋体" w:cs="Times New Roman"/>
          <w:sz w:val="24"/>
          <w:szCs w:val="24"/>
          <w:lang w:val="en-US" w:eastAsia="zh-CN"/>
        </w:rPr>
        <w:t>西安庆安制冷设备股份有限公司</w:t>
      </w:r>
      <w:r>
        <w:rPr>
          <w:rFonts w:hint="eastAsia" w:ascii="Times New Roman" w:hAnsi="Times New Roman" w:eastAsia="宋体" w:cs="Times New Roman"/>
          <w:sz w:val="24"/>
          <w:szCs w:val="24"/>
        </w:rPr>
        <w:t>、中国家用电器研究院、</w:t>
      </w:r>
      <w:r>
        <w:rPr>
          <w:rFonts w:hint="eastAsia" w:ascii="Times New Roman" w:hAnsi="Times New Roman" w:eastAsia="宋体" w:cs="Times New Roman"/>
          <w:sz w:val="24"/>
          <w:szCs w:val="24"/>
          <w:lang w:val="en-US" w:eastAsia="zh-CN"/>
        </w:rPr>
        <w:t>珠海凌达压缩机有限公司、广东美芝制冷设备有限公司、三菱电机（广东）压缩机有限公司、大金机电设备（苏州）有限公司、南昌海立电器有限公司、浙江博阳压缩机有限公司</w:t>
      </w:r>
      <w:r>
        <w:rPr>
          <w:rFonts w:hint="eastAsia" w:ascii="Times New Roman" w:hAnsi="Times New Roman" w:eastAsia="宋体" w:cs="Times New Roman"/>
          <w:sz w:val="24"/>
          <w:szCs w:val="24"/>
        </w:rPr>
        <w:t>。</w:t>
      </w:r>
    </w:p>
    <w:p>
      <w:pPr>
        <w:spacing w:line="360" w:lineRule="auto"/>
        <w:ind w:firstLine="480" w:firstLineChars="200"/>
        <w:rPr>
          <w:rFonts w:ascii="Times New Roman" w:hAnsi="Times New Roman"/>
          <w:sz w:val="24"/>
          <w:szCs w:val="24"/>
        </w:rPr>
      </w:pPr>
      <w:r>
        <w:rPr>
          <w:rFonts w:hint="eastAsia" w:ascii="Times New Roman" w:hAnsi="Times New Roman" w:eastAsia="宋体"/>
          <w:sz w:val="24"/>
          <w:szCs w:val="24"/>
        </w:rPr>
        <w:t>工作组成员：</w:t>
      </w:r>
      <w:r>
        <w:rPr>
          <w:rFonts w:hint="eastAsia" w:ascii="Times New Roman" w:hAnsi="Times New Roman" w:eastAsia="宋体"/>
          <w:sz w:val="24"/>
          <w:szCs w:val="24"/>
          <w:lang w:val="en-US" w:eastAsia="zh-CN"/>
        </w:rPr>
        <w:t>孙民、</w:t>
      </w:r>
      <w:r>
        <w:rPr>
          <w:rFonts w:hint="eastAsia" w:ascii="Times New Roman" w:hAnsi="Times New Roman" w:eastAsia="宋体"/>
          <w:sz w:val="24"/>
          <w:szCs w:val="24"/>
          <w:highlight w:val="yellow"/>
          <w:lang w:val="en-US" w:eastAsia="zh-CN"/>
        </w:rPr>
        <w:t>（家电院）</w:t>
      </w:r>
      <w:r>
        <w:rPr>
          <w:rFonts w:hint="eastAsia" w:ascii="Times New Roman" w:hAnsi="Times New Roman" w:eastAsia="宋体"/>
          <w:sz w:val="24"/>
          <w:szCs w:val="24"/>
          <w:lang w:val="en-US" w:eastAsia="zh-CN"/>
        </w:rPr>
        <w:t>、雷卫东、杨泾涛、赵旭、刘文元、罗杰俊、刘云、沙露</w:t>
      </w:r>
      <w:r>
        <w:rPr>
          <w:rFonts w:hint="eastAsia" w:ascii="Times New Roman" w:hAnsi="Times New Roman"/>
          <w:sz w:val="24"/>
          <w:szCs w:val="24"/>
        </w:rPr>
        <w:t>。</w:t>
      </w:r>
    </w:p>
    <w:p>
      <w:pPr>
        <w:spacing w:line="360" w:lineRule="auto"/>
        <w:ind w:firstLine="480" w:firstLineChars="200"/>
        <w:jc w:val="left"/>
        <w:rPr>
          <w:rFonts w:ascii="Times New Roman" w:hAnsi="Times New Roman" w:eastAsia="宋体" w:cs="Times New Roman"/>
          <w:sz w:val="24"/>
          <w:szCs w:val="24"/>
        </w:rPr>
      </w:pPr>
      <w:r>
        <w:rPr>
          <w:rFonts w:hint="eastAsia" w:ascii="Times New Roman" w:hAnsi="Times New Roman" w:eastAsia="宋体"/>
          <w:kern w:val="0"/>
          <w:sz w:val="24"/>
        </w:rPr>
        <w:t>分工</w:t>
      </w:r>
      <w:r>
        <w:rPr>
          <w:rFonts w:hint="eastAsia" w:ascii="Times New Roman" w:hAnsi="Times New Roman" w:eastAsia="宋体" w:cs="Times New Roman"/>
          <w:kern w:val="0"/>
          <w:sz w:val="24"/>
        </w:rPr>
        <w:t>：</w:t>
      </w:r>
      <w:r>
        <w:rPr>
          <w:rFonts w:hint="eastAsia" w:ascii="Times New Roman" w:hAnsi="Times New Roman" w:eastAsia="宋体" w:cs="Times New Roman"/>
          <w:kern w:val="0"/>
          <w:sz w:val="24"/>
          <w:lang w:val="en-US" w:eastAsia="zh-CN"/>
        </w:rPr>
        <w:t>孙民</w:t>
      </w:r>
      <w:r>
        <w:rPr>
          <w:rFonts w:hint="eastAsia" w:ascii="Times New Roman" w:hAnsi="Times New Roman" w:eastAsia="宋体"/>
          <w:sz w:val="24"/>
          <w:szCs w:val="24"/>
          <w:lang w:val="en-US" w:eastAsia="zh-CN"/>
        </w:rPr>
        <w:t>、张重远</w:t>
      </w:r>
      <w:r>
        <w:rPr>
          <w:rFonts w:hint="eastAsia" w:ascii="Times New Roman" w:hAnsi="Times New Roman" w:eastAsia="宋体" w:cs="Times New Roman"/>
          <w:kern w:val="0"/>
          <w:sz w:val="24"/>
        </w:rPr>
        <w:t>负责起草标准草案、</w:t>
      </w:r>
      <w:r>
        <w:rPr>
          <w:rFonts w:ascii="Times New Roman" w:hAnsi="Times New Roman" w:eastAsia="宋体" w:cs="Times New Roman"/>
          <w:kern w:val="0"/>
          <w:sz w:val="24"/>
        </w:rPr>
        <w:t>试验验证</w:t>
      </w:r>
      <w:r>
        <w:rPr>
          <w:rFonts w:hint="eastAsia" w:ascii="Times New Roman" w:hAnsi="Times New Roman" w:eastAsia="宋体" w:cs="Times New Roman"/>
          <w:kern w:val="0"/>
          <w:sz w:val="24"/>
        </w:rPr>
        <w:t>；</w:t>
      </w:r>
      <w:r>
        <w:rPr>
          <w:rFonts w:hint="eastAsia" w:ascii="Times New Roman" w:hAnsi="Times New Roman" w:eastAsia="宋体" w:cs="Times New Roman"/>
          <w:kern w:val="0"/>
          <w:sz w:val="24"/>
          <w:highlight w:val="yellow"/>
          <w:lang w:eastAsia="zh-CN"/>
        </w:rPr>
        <w:t>（</w:t>
      </w:r>
      <w:r>
        <w:rPr>
          <w:rFonts w:hint="eastAsia" w:ascii="Times New Roman" w:hAnsi="Times New Roman" w:eastAsia="宋体" w:cs="Times New Roman"/>
          <w:kern w:val="0"/>
          <w:sz w:val="24"/>
          <w:highlight w:val="yellow"/>
          <w:lang w:val="en-US" w:eastAsia="zh-CN"/>
        </w:rPr>
        <w:t>家电院</w:t>
      </w:r>
      <w:r>
        <w:rPr>
          <w:rFonts w:hint="eastAsia" w:ascii="Times New Roman" w:hAnsi="Times New Roman" w:eastAsia="宋体" w:cs="Times New Roman"/>
          <w:kern w:val="0"/>
          <w:sz w:val="24"/>
          <w:highlight w:val="yellow"/>
          <w:lang w:eastAsia="zh-CN"/>
        </w:rPr>
        <w:t>）</w:t>
      </w:r>
      <w:r>
        <w:rPr>
          <w:rFonts w:hint="eastAsia" w:ascii="Times New Roman" w:hAnsi="Times New Roman" w:eastAsia="宋体" w:cs="Times New Roman"/>
          <w:kern w:val="0"/>
          <w:sz w:val="24"/>
        </w:rPr>
        <w:t>负责工作组组织、</w:t>
      </w:r>
      <w:r>
        <w:rPr>
          <w:rFonts w:ascii="Times New Roman" w:hAnsi="Times New Roman" w:eastAsia="宋体" w:cs="Times New Roman"/>
          <w:kern w:val="0"/>
          <w:sz w:val="24"/>
        </w:rPr>
        <w:t>协调、报批；</w:t>
      </w:r>
      <w:r>
        <w:rPr>
          <w:rFonts w:hint="eastAsia" w:ascii="Times New Roman" w:hAnsi="Times New Roman" w:eastAsia="宋体"/>
          <w:sz w:val="24"/>
          <w:szCs w:val="24"/>
          <w:lang w:val="en-US" w:eastAsia="zh-CN"/>
        </w:rPr>
        <w:t>杨泾涛、赵旭、雷卫东、刘文</w:t>
      </w:r>
      <w:bookmarkStart w:id="2" w:name="_GoBack"/>
      <w:bookmarkEnd w:id="2"/>
      <w:r>
        <w:rPr>
          <w:rFonts w:hint="eastAsia" w:ascii="Times New Roman" w:hAnsi="Times New Roman" w:eastAsia="宋体"/>
          <w:sz w:val="24"/>
          <w:szCs w:val="24"/>
          <w:lang w:val="en-US" w:eastAsia="zh-CN"/>
        </w:rPr>
        <w:t>元、罗杰俊、刘云、沙露</w:t>
      </w:r>
      <w:r>
        <w:rPr>
          <w:rFonts w:hint="eastAsia" w:ascii="Times New Roman" w:hAnsi="Times New Roman" w:eastAsia="宋体" w:cs="Times New Roman"/>
          <w:kern w:val="0"/>
          <w:sz w:val="24"/>
        </w:rPr>
        <w:t>负责国内外法规查询、试验验证</w:t>
      </w:r>
      <w:r>
        <w:rPr>
          <w:rFonts w:ascii="Times New Roman" w:hAnsi="Times New Roman" w:eastAsia="宋体" w:cs="Times New Roman"/>
          <w:kern w:val="0"/>
          <w:sz w:val="24"/>
        </w:rPr>
        <w:t>及提供</w:t>
      </w:r>
      <w:r>
        <w:rPr>
          <w:rFonts w:hint="eastAsia" w:ascii="Times New Roman" w:hAnsi="Times New Roman" w:eastAsia="宋体"/>
          <w:sz w:val="24"/>
          <w:szCs w:val="24"/>
        </w:rPr>
        <w:t>测试数据</w:t>
      </w:r>
      <w:r>
        <w:rPr>
          <w:rFonts w:hint="eastAsia" w:ascii="Times New Roman" w:hAnsi="Times New Roman" w:eastAsia="宋体" w:cs="Times New Roman"/>
          <w:sz w:val="24"/>
          <w:szCs w:val="24"/>
        </w:rPr>
        <w:t>。</w:t>
      </w:r>
    </w:p>
    <w:p>
      <w:pPr>
        <w:spacing w:line="360" w:lineRule="auto"/>
        <w:ind w:firstLine="480" w:firstLineChars="200"/>
        <w:rPr>
          <w:rFonts w:ascii="Times New Roman" w:hAnsi="Times New Roman" w:eastAsia="宋体"/>
          <w:sz w:val="24"/>
          <w:szCs w:val="24"/>
        </w:rPr>
      </w:pPr>
      <w:r>
        <w:rPr>
          <w:rFonts w:ascii="Times New Roman" w:hAnsi="Times New Roman" w:eastAsia="宋体" w:cs="Times New Roman"/>
          <w:sz w:val="24"/>
          <w:szCs w:val="24"/>
        </w:rPr>
        <w:t>3、</w:t>
      </w:r>
      <w:r>
        <w:rPr>
          <w:rFonts w:ascii="Times New Roman" w:hAnsi="Times New Roman" w:eastAsia="宋体"/>
          <w:sz w:val="24"/>
          <w:szCs w:val="24"/>
        </w:rPr>
        <w:t>主要工作过程</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w:t>
      </w:r>
      <w:r>
        <w:rPr>
          <w:rFonts w:hint="eastAsia" w:ascii="Times New Roman" w:hAnsi="Times New Roman" w:eastAsia="宋体"/>
          <w:sz w:val="24"/>
          <w:szCs w:val="24"/>
          <w:lang w:val="en-US" w:eastAsia="zh-CN"/>
        </w:rPr>
        <w:t>绿</w:t>
      </w:r>
      <w:r>
        <w:rPr>
          <w:rFonts w:hint="eastAsia" w:ascii="Times New Roman" w:hAnsi="Times New Roman" w:eastAsia="宋体" w:cs="Times New Roman"/>
          <w:sz w:val="24"/>
          <w:szCs w:val="24"/>
        </w:rPr>
        <w:t>色设计产品评价技术规范 房间空调器用压缩机</w:t>
      </w:r>
      <w:r>
        <w:rPr>
          <w:rFonts w:hint="eastAsia" w:ascii="Times New Roman" w:hAnsi="Times New Roman" w:eastAsia="宋体"/>
          <w:sz w:val="24"/>
          <w:szCs w:val="24"/>
        </w:rPr>
        <w:t>》团体标准的制定计划下达后，在</w:t>
      </w:r>
      <w:r>
        <w:rPr>
          <w:rFonts w:hint="eastAsia" w:ascii="Times New Roman" w:hAnsi="Times New Roman" w:eastAsia="宋体" w:cs="Times New Roman"/>
          <w:sz w:val="24"/>
          <w:szCs w:val="24"/>
        </w:rPr>
        <w:t>中国轻工业联合会</w:t>
      </w:r>
      <w:r>
        <w:rPr>
          <w:rFonts w:hint="eastAsia" w:ascii="Times New Roman" w:hAnsi="Times New Roman" w:eastAsia="宋体"/>
          <w:sz w:val="24"/>
          <w:szCs w:val="24"/>
        </w:rPr>
        <w:t>、</w:t>
      </w:r>
      <w:r>
        <w:rPr>
          <w:rFonts w:hint="eastAsia" w:ascii="Times New Roman" w:hAnsi="Times New Roman" w:eastAsia="宋体"/>
          <w:sz w:val="24"/>
          <w:szCs w:val="24"/>
          <w:lang w:val="en-US" w:eastAsia="zh-CN"/>
        </w:rPr>
        <w:t>西安庆安制冷设备股份有限公司</w:t>
      </w:r>
      <w:r>
        <w:rPr>
          <w:rFonts w:hint="eastAsia" w:ascii="Times New Roman" w:hAnsi="Times New Roman" w:eastAsia="宋体"/>
          <w:sz w:val="24"/>
          <w:szCs w:val="24"/>
        </w:rPr>
        <w:t>的组织协调下，该标准起草经历了如下过程：</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3.1 起草阶段</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2018年7月，由</w:t>
      </w:r>
      <w:r>
        <w:rPr>
          <w:rFonts w:hint="eastAsia" w:ascii="Times New Roman" w:hAnsi="Times New Roman" w:eastAsia="宋体"/>
          <w:sz w:val="24"/>
          <w:szCs w:val="24"/>
          <w:lang w:val="en-US" w:eastAsia="zh-CN"/>
        </w:rPr>
        <w:t>西安庆安制冷设备股份有限公司</w:t>
      </w:r>
      <w:r>
        <w:rPr>
          <w:rFonts w:hint="eastAsia" w:ascii="Times New Roman" w:hAnsi="Times New Roman" w:eastAsia="宋体"/>
          <w:sz w:val="24"/>
          <w:szCs w:val="24"/>
        </w:rPr>
        <w:t>负责组织编写标准的草案（初稿）。</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2018年8月16日，全国</w:t>
      </w:r>
      <w:r>
        <w:rPr>
          <w:rFonts w:ascii="Times New Roman" w:hAnsi="Times New Roman" w:eastAsia="宋体"/>
          <w:sz w:val="24"/>
          <w:szCs w:val="24"/>
        </w:rPr>
        <w:t>家用电器标准化技术委员会秘书处</w:t>
      </w:r>
      <w:r>
        <w:rPr>
          <w:rFonts w:hint="eastAsia" w:ascii="Times New Roman" w:hAnsi="Times New Roman" w:eastAsia="宋体"/>
          <w:sz w:val="24"/>
          <w:szCs w:val="24"/>
        </w:rPr>
        <w:t>在北京召开项标准制定工作启动会议。参加会议的有：</w:t>
      </w:r>
      <w:r>
        <w:rPr>
          <w:rFonts w:hint="eastAsia" w:ascii="Times New Roman" w:hAnsi="Times New Roman" w:eastAsia="宋体" w:cs="Times New Roman"/>
          <w:sz w:val="24"/>
          <w:szCs w:val="24"/>
          <w:lang w:val="en-US" w:eastAsia="zh-CN"/>
        </w:rPr>
        <w:t>西安庆安制冷设备股份有限公司</w:t>
      </w:r>
      <w:r>
        <w:rPr>
          <w:rFonts w:hint="eastAsia" w:ascii="Times New Roman" w:hAnsi="Times New Roman" w:eastAsia="宋体" w:cs="Times New Roman"/>
          <w:sz w:val="24"/>
          <w:szCs w:val="24"/>
        </w:rPr>
        <w:t>、中国家用电器研究院、</w:t>
      </w:r>
      <w:r>
        <w:rPr>
          <w:rFonts w:hint="eastAsia" w:ascii="Times New Roman" w:hAnsi="Times New Roman" w:eastAsia="宋体" w:cs="Times New Roman"/>
          <w:sz w:val="24"/>
          <w:szCs w:val="24"/>
          <w:lang w:val="en-US" w:eastAsia="zh-CN"/>
        </w:rPr>
        <w:t>广东美芝制冷设备有限公司、三菱电机（广东）压缩机有限公司、珠海凌达压缩机有限公司、南昌海立电器有限公司、大金机电设备（苏州）有限公司、浙江博阳压缩机有限公司</w:t>
      </w:r>
      <w:r>
        <w:rPr>
          <w:rFonts w:hint="eastAsia" w:ascii="Times New Roman" w:hAnsi="Times New Roman" w:eastAsia="宋体"/>
          <w:sz w:val="24"/>
          <w:szCs w:val="24"/>
        </w:rPr>
        <w:t>和全国家用电器标准化技术委员会秘书处的专家代表。本次</w:t>
      </w:r>
      <w:r>
        <w:rPr>
          <w:rFonts w:ascii="Times New Roman" w:hAnsi="Times New Roman" w:eastAsia="宋体"/>
          <w:sz w:val="24"/>
          <w:szCs w:val="24"/>
        </w:rPr>
        <w:t>会议</w:t>
      </w:r>
      <w:r>
        <w:rPr>
          <w:rFonts w:hint="eastAsia" w:ascii="Times New Roman" w:hAnsi="Times New Roman" w:eastAsia="宋体"/>
          <w:sz w:val="24"/>
          <w:szCs w:val="24"/>
        </w:rPr>
        <w:t>通过了标准起草工作组的组成，宣布标准制订工作正式启动。经过会议讨论</w:t>
      </w:r>
      <w:r>
        <w:rPr>
          <w:rFonts w:ascii="Times New Roman" w:hAnsi="Times New Roman" w:eastAsia="宋体"/>
          <w:sz w:val="24"/>
          <w:szCs w:val="24"/>
        </w:rPr>
        <w:t>，初步确定了本标准的基本框架、</w:t>
      </w:r>
      <w:r>
        <w:rPr>
          <w:rFonts w:hint="eastAsia" w:ascii="Times New Roman" w:hAnsi="Times New Roman" w:eastAsia="宋体"/>
          <w:sz w:val="24"/>
          <w:szCs w:val="24"/>
        </w:rPr>
        <w:t>主要技术要求和相应</w:t>
      </w:r>
      <w:r>
        <w:rPr>
          <w:rFonts w:ascii="Times New Roman" w:hAnsi="Times New Roman" w:eastAsia="宋体"/>
          <w:sz w:val="24"/>
          <w:szCs w:val="24"/>
        </w:rPr>
        <w:t>的试验方法，</w:t>
      </w:r>
      <w:r>
        <w:rPr>
          <w:rFonts w:hint="eastAsia" w:ascii="Times New Roman" w:hAnsi="Times New Roman" w:eastAsia="宋体"/>
          <w:sz w:val="24"/>
          <w:szCs w:val="24"/>
        </w:rPr>
        <w:t>收集了与会单位对标准草案（初稿）的修改意见或建议。2018年9月，</w:t>
      </w:r>
      <w:r>
        <w:rPr>
          <w:rFonts w:hint="eastAsia" w:ascii="Times New Roman" w:hAnsi="Times New Roman" w:eastAsia="宋体"/>
          <w:sz w:val="24"/>
          <w:szCs w:val="24"/>
          <w:lang w:val="en-US" w:eastAsia="zh-CN"/>
        </w:rPr>
        <w:t>西安庆安制冷设备股份有限公司</w:t>
      </w:r>
      <w:r>
        <w:rPr>
          <w:rFonts w:hint="eastAsia" w:ascii="Times New Roman" w:hAnsi="Times New Roman" w:eastAsia="宋体"/>
          <w:sz w:val="24"/>
          <w:szCs w:val="24"/>
        </w:rPr>
        <w:t>根据反馈意见，修改和完善标准内容形成第二版草案稿，并</w:t>
      </w:r>
      <w:r>
        <w:rPr>
          <w:rFonts w:ascii="Times New Roman" w:hAnsi="Times New Roman" w:eastAsia="宋体"/>
          <w:sz w:val="24"/>
          <w:szCs w:val="24"/>
        </w:rPr>
        <w:t>分发工作组成员单位，部署了</w:t>
      </w:r>
      <w:r>
        <w:rPr>
          <w:rFonts w:hint="eastAsia" w:ascii="Times New Roman" w:hAnsi="Times New Roman" w:eastAsia="宋体"/>
          <w:sz w:val="24"/>
          <w:szCs w:val="24"/>
        </w:rPr>
        <w:t>下一步工作安排。</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2018年11月22日，在北京召开该标准第二次工作组会议，参会单位包括：</w:t>
      </w:r>
      <w:r>
        <w:rPr>
          <w:rFonts w:hint="eastAsia" w:ascii="Times New Roman" w:hAnsi="Times New Roman" w:eastAsia="宋体"/>
          <w:sz w:val="24"/>
          <w:szCs w:val="24"/>
          <w:lang w:val="en-US" w:eastAsia="zh-CN"/>
        </w:rPr>
        <w:t>西安庆安制冷设备股份有限公司</w:t>
      </w:r>
      <w:r>
        <w:rPr>
          <w:rFonts w:hint="eastAsia" w:ascii="Times New Roman" w:hAnsi="Times New Roman" w:eastAsia="宋体"/>
          <w:sz w:val="24"/>
          <w:szCs w:val="24"/>
        </w:rPr>
        <w:t>和全国家用电器标准化技术委员会</w:t>
      </w:r>
      <w:r>
        <w:rPr>
          <w:rFonts w:hint="eastAsia" w:ascii="Times New Roman" w:hAnsi="Times New Roman" w:eastAsia="宋体"/>
          <w:sz w:val="24"/>
          <w:szCs w:val="24"/>
          <w:lang w:val="en-US" w:eastAsia="zh-CN"/>
        </w:rPr>
        <w:t>家用电器主要零部件分技术委员会</w:t>
      </w:r>
      <w:r>
        <w:rPr>
          <w:rFonts w:hint="eastAsia" w:ascii="Times New Roman" w:hAnsi="Times New Roman" w:eastAsia="宋体"/>
          <w:sz w:val="24"/>
          <w:szCs w:val="24"/>
        </w:rPr>
        <w:t>秘书处的专家、企业代表。会议根据第一次意见征集后收集的工作组成员反馈意见，讨论和修改了标准草案，与会专家、企业代表针对标准的资源属性、能源属性、环境属性、品质属性等内容上存在的问题及存在争议的部分进行了深入的交流与探讨，整体上梳理、确定了标准的内容，布置了</w:t>
      </w:r>
      <w:r>
        <w:rPr>
          <w:rFonts w:ascii="Times New Roman" w:hAnsi="Times New Roman" w:eastAsia="宋体"/>
          <w:sz w:val="24"/>
          <w:szCs w:val="24"/>
        </w:rPr>
        <w:t>工作</w:t>
      </w:r>
      <w:r>
        <w:rPr>
          <w:rFonts w:hint="eastAsia" w:ascii="Times New Roman" w:hAnsi="Times New Roman" w:eastAsia="宋体"/>
          <w:sz w:val="24"/>
          <w:szCs w:val="24"/>
        </w:rPr>
        <w:t>组下一步工作安排。</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会后</w:t>
      </w:r>
      <w:r>
        <w:rPr>
          <w:rFonts w:ascii="Times New Roman" w:hAnsi="Times New Roman" w:eastAsia="宋体"/>
          <w:sz w:val="24"/>
          <w:szCs w:val="24"/>
        </w:rPr>
        <w:t>，根据</w:t>
      </w:r>
      <w:r>
        <w:rPr>
          <w:rFonts w:hint="eastAsia" w:ascii="Times New Roman" w:hAnsi="Times New Roman" w:eastAsia="宋体"/>
          <w:sz w:val="24"/>
          <w:szCs w:val="24"/>
        </w:rPr>
        <w:t>会议</w:t>
      </w:r>
      <w:r>
        <w:rPr>
          <w:rFonts w:ascii="Times New Roman" w:hAnsi="Times New Roman" w:eastAsia="宋体"/>
          <w:sz w:val="24"/>
          <w:szCs w:val="24"/>
        </w:rPr>
        <w:t>讨论结果，</w:t>
      </w:r>
      <w:r>
        <w:rPr>
          <w:rFonts w:hint="eastAsia" w:ascii="Times New Roman" w:hAnsi="Times New Roman" w:eastAsia="宋体"/>
          <w:sz w:val="24"/>
          <w:szCs w:val="24"/>
          <w:lang w:val="en-US" w:eastAsia="zh-CN"/>
        </w:rPr>
        <w:t>西安庆安制冷设备股份有限公司</w:t>
      </w:r>
      <w:r>
        <w:rPr>
          <w:rFonts w:ascii="Times New Roman" w:hAnsi="Times New Roman" w:eastAsia="宋体"/>
          <w:sz w:val="24"/>
          <w:szCs w:val="24"/>
        </w:rPr>
        <w:t>对标准草案进行了整理和修改，于</w:t>
      </w:r>
      <w:r>
        <w:rPr>
          <w:rFonts w:hint="eastAsia" w:ascii="Times New Roman" w:hAnsi="Times New Roman" w:eastAsia="宋体"/>
          <w:sz w:val="24"/>
          <w:szCs w:val="24"/>
        </w:rPr>
        <w:t>2019年3月</w:t>
      </w:r>
      <w:r>
        <w:rPr>
          <w:rFonts w:ascii="Times New Roman" w:hAnsi="Times New Roman" w:eastAsia="宋体"/>
          <w:sz w:val="24"/>
          <w:szCs w:val="24"/>
        </w:rPr>
        <w:t>发送全体成员，</w:t>
      </w:r>
      <w:r>
        <w:rPr>
          <w:rFonts w:hint="eastAsia" w:ascii="Times New Roman" w:hAnsi="Times New Roman" w:eastAsia="宋体"/>
          <w:sz w:val="24"/>
          <w:szCs w:val="24"/>
        </w:rPr>
        <w:t>在工作组内再次征求意见。再工作组</w:t>
      </w:r>
      <w:r>
        <w:rPr>
          <w:rFonts w:ascii="Times New Roman" w:hAnsi="Times New Roman" w:eastAsia="宋体"/>
          <w:sz w:val="24"/>
          <w:szCs w:val="24"/>
        </w:rPr>
        <w:t>各方反馈</w:t>
      </w:r>
      <w:r>
        <w:rPr>
          <w:rFonts w:hint="eastAsia" w:ascii="Times New Roman" w:hAnsi="Times New Roman" w:eastAsia="宋体"/>
          <w:sz w:val="24"/>
          <w:szCs w:val="24"/>
        </w:rPr>
        <w:t>无</w:t>
      </w:r>
      <w:r>
        <w:rPr>
          <w:rFonts w:ascii="Times New Roman" w:hAnsi="Times New Roman" w:eastAsia="宋体"/>
          <w:sz w:val="24"/>
          <w:szCs w:val="24"/>
        </w:rPr>
        <w:t>意见</w:t>
      </w:r>
      <w:r>
        <w:rPr>
          <w:rFonts w:hint="eastAsia" w:ascii="Times New Roman" w:hAnsi="Times New Roman" w:eastAsia="宋体"/>
          <w:sz w:val="24"/>
          <w:szCs w:val="24"/>
        </w:rPr>
        <w:t>后</w:t>
      </w:r>
      <w:r>
        <w:rPr>
          <w:rFonts w:ascii="Times New Roman" w:hAnsi="Times New Roman" w:eastAsia="宋体"/>
          <w:sz w:val="24"/>
          <w:szCs w:val="24"/>
        </w:rPr>
        <w:t>，</w:t>
      </w:r>
      <w:r>
        <w:rPr>
          <w:rFonts w:hint="eastAsia" w:ascii="Times New Roman" w:hAnsi="Times New Roman" w:eastAsia="宋体"/>
          <w:sz w:val="24"/>
          <w:szCs w:val="24"/>
        </w:rPr>
        <w:t>于2019年4月1</w:t>
      </w:r>
      <w:r>
        <w:rPr>
          <w:rFonts w:hint="eastAsia" w:ascii="Times New Roman" w:hAnsi="Times New Roman" w:eastAsia="宋体"/>
          <w:sz w:val="24"/>
          <w:szCs w:val="24"/>
          <w:lang w:val="en-US" w:eastAsia="zh-CN"/>
        </w:rPr>
        <w:t>0</w:t>
      </w:r>
      <w:r>
        <w:rPr>
          <w:rFonts w:hint="eastAsia" w:ascii="Times New Roman" w:hAnsi="Times New Roman" w:eastAsia="宋体"/>
          <w:sz w:val="24"/>
          <w:szCs w:val="24"/>
        </w:rPr>
        <w:t>日形成了本标准（征求意见稿）。</w:t>
      </w:r>
    </w:p>
    <w:p>
      <w:pPr>
        <w:spacing w:line="360" w:lineRule="auto"/>
        <w:ind w:firstLine="480" w:firstLineChars="200"/>
        <w:rPr>
          <w:rFonts w:ascii="Times New Roman" w:hAnsi="Times New Roman" w:eastAsia="宋体"/>
          <w:sz w:val="24"/>
          <w:szCs w:val="24"/>
        </w:rPr>
      </w:pPr>
    </w:p>
    <w:p>
      <w:pPr>
        <w:spacing w:line="360" w:lineRule="auto"/>
        <w:ind w:firstLine="482" w:firstLineChars="200"/>
        <w:rPr>
          <w:rFonts w:asciiTheme="minorEastAsia" w:hAnsiTheme="minorEastAsia"/>
          <w:b/>
          <w:sz w:val="24"/>
          <w:szCs w:val="24"/>
        </w:rPr>
      </w:pPr>
      <w:r>
        <w:rPr>
          <w:rFonts w:asciiTheme="minorEastAsia" w:hAnsiTheme="minorEastAsia"/>
          <w:b/>
          <w:sz w:val="24"/>
          <w:szCs w:val="24"/>
        </w:rPr>
        <w:t>二、标准编制原则</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本标准的编制遵循“科学性、代表性、技术先进性、经济合理性”的原则，资源属性、环境属性与国家现行法规接轨，重点突出在能源属性、品质属性的基准值和评价依据/方法，并注重标准的可操作性。</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1.科学性原则</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标准以国家或行业有关环境、安全、卫生、健康的相关法律法规、技术政策为依据，立足绿色设计产品宗旨，借鉴市场的产品状况，对现行国家法规和标准进行分析、总结和提升，通过系统性与标准化整理、撰写、修改和反复验证，使标准更科学、准确、合理、完整地规范产品，指导企业组织</w:t>
      </w:r>
      <w:r>
        <w:rPr>
          <w:rFonts w:hint="eastAsia" w:ascii="Times New Roman" w:hAnsi="Times New Roman" w:eastAsia="宋体" w:cs="Times New Roman"/>
          <w:sz w:val="24"/>
          <w:szCs w:val="24"/>
          <w:lang w:val="en-US" w:eastAsia="zh-CN"/>
        </w:rPr>
        <w:t>设计</w:t>
      </w:r>
      <w:r>
        <w:rPr>
          <w:rFonts w:hint="eastAsia" w:ascii="Times New Roman" w:hAnsi="Times New Roman" w:eastAsia="宋体" w:cs="Times New Roman"/>
          <w:sz w:val="24"/>
          <w:szCs w:val="24"/>
        </w:rPr>
        <w:t>生产、促进行业有序发展和整体质量水平的提高。</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2.代表性原则</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本标准以“绿色”为核心，从资源属性、能源属性、环境属性、品质属性四个方面，选取具有代表性、针对性的指标对产品进行评价，其中包括</w:t>
      </w:r>
      <w:r>
        <w:rPr>
          <w:rFonts w:hint="eastAsia" w:ascii="Times New Roman" w:hAnsi="Times New Roman" w:eastAsia="宋体" w:cs="Times New Roman"/>
          <w:sz w:val="24"/>
          <w:szCs w:val="24"/>
          <w:lang w:val="en-US" w:eastAsia="zh-CN"/>
        </w:rPr>
        <w:t>对</w:t>
      </w:r>
      <w:r>
        <w:rPr>
          <w:rFonts w:hint="eastAsia" w:ascii="Times New Roman" w:hAnsi="Times New Roman" w:eastAsia="宋体" w:cs="Times New Roman"/>
          <w:sz w:val="24"/>
          <w:szCs w:val="24"/>
        </w:rPr>
        <w:t>能源利用性、</w:t>
      </w:r>
      <w:r>
        <w:rPr>
          <w:rFonts w:hint="eastAsia" w:ascii="Times New Roman" w:hAnsi="Times New Roman" w:eastAsia="宋体" w:cs="Times New Roman"/>
          <w:sz w:val="24"/>
          <w:szCs w:val="24"/>
          <w:lang w:val="en-US" w:eastAsia="zh-CN"/>
        </w:rPr>
        <w:t>用户体验、电器</w:t>
      </w:r>
      <w:r>
        <w:rPr>
          <w:rFonts w:hint="eastAsia" w:ascii="Times New Roman" w:hAnsi="Times New Roman" w:eastAsia="宋体" w:cs="Times New Roman"/>
          <w:sz w:val="24"/>
          <w:szCs w:val="24"/>
        </w:rPr>
        <w:t>安全等</w:t>
      </w:r>
      <w:r>
        <w:rPr>
          <w:rFonts w:hint="eastAsia" w:ascii="Times New Roman" w:hAnsi="Times New Roman" w:eastAsia="宋体" w:cs="Times New Roman"/>
          <w:sz w:val="24"/>
          <w:szCs w:val="24"/>
          <w:lang w:val="en-US" w:eastAsia="zh-CN"/>
        </w:rPr>
        <w:t>要求进行评价</w:t>
      </w:r>
      <w:r>
        <w:rPr>
          <w:rFonts w:hint="eastAsia" w:ascii="Times New Roman" w:hAnsi="Times New Roman" w:eastAsia="宋体" w:cs="Times New Roman"/>
          <w:sz w:val="24"/>
          <w:szCs w:val="24"/>
        </w:rPr>
        <w:t>，既代表了</w:t>
      </w:r>
      <w:r>
        <w:rPr>
          <w:rFonts w:hint="eastAsia" w:ascii="Times New Roman" w:hAnsi="Times New Roman" w:eastAsia="宋体" w:cs="Times New Roman"/>
          <w:sz w:val="24"/>
          <w:szCs w:val="24"/>
          <w:lang w:val="en-US" w:eastAsia="zh-CN"/>
        </w:rPr>
        <w:t>企业实际技术能力</w:t>
      </w:r>
      <w:r>
        <w:rPr>
          <w:rFonts w:hint="eastAsia" w:ascii="Times New Roman" w:hAnsi="Times New Roman" w:eastAsia="宋体" w:cs="Times New Roman"/>
          <w:sz w:val="24"/>
          <w:szCs w:val="24"/>
        </w:rPr>
        <w:t>，又代表了产品乃至行业的发展提升方向，对消费者、企业、市场、社会都具有积极的意义。</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3.技术先进性原则</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在技术创新上，本标准综合考虑到房间空调器用压缩机可能涉及到的方方面面，并从中选取具有代表性的评价指标，首次引入</w:t>
      </w:r>
      <w:r>
        <w:rPr>
          <w:rFonts w:hint="eastAsia" w:ascii="Times New Roman" w:hAnsi="Times New Roman" w:eastAsia="宋体" w:cs="Times New Roman"/>
          <w:sz w:val="24"/>
          <w:szCs w:val="24"/>
          <w:lang w:val="en-US" w:eastAsia="zh-CN"/>
        </w:rPr>
        <w:t>容重比指标、环保制冷剂要求，对压缩机材料节约、环保型制冷剂的使用起到推动作用</w:t>
      </w:r>
      <w:r>
        <w:rPr>
          <w:rFonts w:hint="eastAsia" w:ascii="Times New Roman" w:hAnsi="Times New Roman" w:eastAsia="宋体" w:cs="Times New Roman"/>
          <w:sz w:val="24"/>
          <w:szCs w:val="24"/>
        </w:rPr>
        <w:t>。</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在试验验证上，保证了样品的普适性和代表性。工作组在大量实测数据的基础上缜密、充分地完成本标准中的验证工作。</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4.经济合理性原则</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在确定本标准主要技术性能指标时，综合考虑生产企业的能力和用户的利益，寻求最大的经济效益和社会效益，同时充分体现了标准的经济合理性（如房间空调器用压缩机</w:t>
      </w:r>
      <w:r>
        <w:rPr>
          <w:rFonts w:hint="eastAsia" w:ascii="Times New Roman" w:hAnsi="Times New Roman" w:eastAsia="宋体" w:cs="Times New Roman"/>
          <w:sz w:val="24"/>
          <w:szCs w:val="24"/>
          <w:lang w:val="en-US" w:eastAsia="zh-CN"/>
        </w:rPr>
        <w:t>能效等级</w:t>
      </w:r>
      <w:r>
        <w:rPr>
          <w:rFonts w:hint="eastAsia" w:ascii="Times New Roman" w:hAnsi="Times New Roman" w:eastAsia="宋体" w:cs="Times New Roman"/>
          <w:sz w:val="24"/>
          <w:szCs w:val="24"/>
        </w:rPr>
        <w:t>的</w:t>
      </w:r>
      <w:r>
        <w:rPr>
          <w:rFonts w:hint="eastAsia" w:ascii="Times New Roman" w:hAnsi="Times New Roman" w:eastAsia="宋体" w:cs="Times New Roman"/>
          <w:sz w:val="24"/>
          <w:szCs w:val="24"/>
          <w:lang w:val="en-US" w:eastAsia="zh-CN"/>
        </w:rPr>
        <w:t>选取</w:t>
      </w:r>
      <w:r>
        <w:rPr>
          <w:rFonts w:hint="eastAsia" w:ascii="Times New Roman" w:hAnsi="Times New Roman" w:eastAsia="宋体" w:cs="Times New Roman"/>
          <w:sz w:val="24"/>
          <w:szCs w:val="24"/>
        </w:rPr>
        <w:t>），使本标准的制订有利于促进企业经济效益和社会效益、环境效益的统一，有利于产业的发展和产品技术应用的推广。</w:t>
      </w:r>
    </w:p>
    <w:p>
      <w:pPr>
        <w:spacing w:line="360" w:lineRule="auto"/>
        <w:ind w:firstLine="482" w:firstLineChars="200"/>
        <w:rPr>
          <w:rFonts w:asciiTheme="minorEastAsia" w:hAnsiTheme="minorEastAsia"/>
          <w:b/>
          <w:sz w:val="24"/>
          <w:szCs w:val="24"/>
        </w:rPr>
      </w:pPr>
      <w:r>
        <w:rPr>
          <w:rFonts w:asciiTheme="minorEastAsia" w:hAnsiTheme="minorEastAsia"/>
          <w:b/>
          <w:sz w:val="24"/>
          <w:szCs w:val="24"/>
        </w:rPr>
        <w:t>三、标准主要内容的确定</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1.本标准规定了绿色设计产品评价技术规范 房间空调器用压缩机的术语和定义、评价要求和评价方法。本标准适用于绿色设计产品评价技术规范 房间空调器用压缩机的绿色设计产品评价。</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2.评价要求</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目前针对家用和类似用途电器的绿色设计产品评价主要从基本要求、指标要求、生命周期评价要求三方面入手展开产品评价。本标准在遵循绿色设计产品评价技术规范的基本要求和生命周期评价要求基础上，充分考虑房间空调器用压缩机的技术特性，综合参考</w:t>
      </w:r>
      <w:r>
        <w:rPr>
          <w:rFonts w:hint="eastAsia" w:ascii="Times New Roman" w:hAnsi="Times New Roman" w:eastAsia="宋体" w:cs="Times New Roman"/>
          <w:sz w:val="24"/>
          <w:szCs w:val="24"/>
          <w:lang w:val="en-US" w:eastAsia="zh-CN"/>
        </w:rPr>
        <w:t>相关压缩机国家</w:t>
      </w:r>
      <w:r>
        <w:rPr>
          <w:rFonts w:hint="eastAsia" w:ascii="Times New Roman" w:hAnsi="Times New Roman" w:eastAsia="宋体" w:cs="Times New Roman"/>
          <w:sz w:val="24"/>
          <w:szCs w:val="24"/>
        </w:rPr>
        <w:t>标准的有关规定，制定绿色设计产品评价技术规范 房间空调器用压缩机的评价要求。</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2.1基本要求</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本标准评价要求中的基本要求包括对生产主体和产品两方面的要求</w:t>
      </w:r>
      <w:r>
        <w:rPr>
          <w:rFonts w:hint="eastAsia" w:ascii="Times New Roman" w:hAnsi="Times New Roman" w:eastAsia="宋体" w:cs="Times New Roman"/>
          <w:sz w:val="24"/>
          <w:szCs w:val="24"/>
        </w:rPr>
        <w:t>。</w:t>
      </w:r>
      <w:bookmarkStart w:id="1" w:name="_Toc504576312"/>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依据国家环境、安全相关标准，如</w:t>
      </w:r>
      <w:r>
        <w:rPr>
          <w:rFonts w:hint="eastAsia" w:ascii="Times New Roman" w:hAnsi="宋体" w:eastAsia="宋体"/>
          <w:lang w:bidi="en-US"/>
        </w:rPr>
        <w:t>GB/T 24001、GB/T 19001、</w:t>
      </w:r>
      <w:r>
        <w:rPr>
          <w:rFonts w:ascii="Times New Roman" w:hAnsi="宋体" w:eastAsia="宋体"/>
          <w:lang w:bidi="en-US"/>
        </w:rPr>
        <w:t>GB/T</w:t>
      </w:r>
      <w:r>
        <w:rPr>
          <w:rFonts w:hint="eastAsia" w:ascii="Times New Roman" w:hAnsi="宋体" w:eastAsia="宋体"/>
          <w:lang w:bidi="en-US"/>
        </w:rPr>
        <w:t xml:space="preserve"> </w:t>
      </w:r>
      <w:r>
        <w:rPr>
          <w:rFonts w:ascii="Times New Roman" w:hAnsi="宋体" w:eastAsia="宋体"/>
          <w:lang w:bidi="en-US"/>
        </w:rPr>
        <w:t>24256等</w:t>
      </w:r>
      <w:r>
        <w:rPr>
          <w:rFonts w:hint="eastAsia" w:ascii="Times New Roman" w:hAnsi="Times New Roman" w:eastAsia="宋体" w:cs="Times New Roman"/>
          <w:sz w:val="24"/>
          <w:szCs w:val="24"/>
        </w:rPr>
        <w:t>，</w:t>
      </w:r>
      <w:r>
        <w:rPr>
          <w:rFonts w:ascii="Times New Roman" w:hAnsi="Times New Roman" w:eastAsia="宋体" w:cs="Times New Roman"/>
          <w:sz w:val="24"/>
          <w:szCs w:val="24"/>
        </w:rPr>
        <w:t>生产企业应符合以下要求</w:t>
      </w:r>
      <w:r>
        <w:rPr>
          <w:rFonts w:hint="eastAsia" w:ascii="Times New Roman" w:hAnsi="Times New Roman" w:eastAsia="宋体" w:cs="Times New Roman"/>
          <w:sz w:val="24"/>
          <w:szCs w:val="24"/>
        </w:rPr>
        <w:t>：</w:t>
      </w:r>
      <w:r>
        <w:rPr>
          <w:rFonts w:ascii="Times New Roman" w:hAnsi="Times New Roman" w:eastAsia="宋体" w:cs="Times New Roman"/>
          <w:sz w:val="24"/>
          <w:szCs w:val="24"/>
        </w:rPr>
        <w:t>近三年无重大质量、安全和环境事故</w:t>
      </w:r>
      <w:bookmarkEnd w:id="1"/>
      <w:r>
        <w:rPr>
          <w:rFonts w:hint="eastAsia" w:ascii="Times New Roman" w:hAnsi="Times New Roman" w:eastAsia="宋体" w:cs="Times New Roman"/>
          <w:sz w:val="24"/>
          <w:szCs w:val="24"/>
        </w:rPr>
        <w:t>；建立、实施并持续改进环境管理体系和质量管理体系；开展绿色供应链管理，并建立绿色供应链管理绩效评价机制、程序，确定评价指标和评价方法；开展产品绿色设计工作；</w:t>
      </w:r>
      <w:r>
        <w:rPr>
          <w:rFonts w:ascii="Times New Roman" w:hAnsi="Times New Roman" w:eastAsia="宋体" w:cs="Times New Roman"/>
          <w:sz w:val="24"/>
          <w:szCs w:val="24"/>
        </w:rPr>
        <w:t>采用国家鼓励的先进技术和工艺，不得使用国家</w:t>
      </w:r>
      <w:r>
        <w:rPr>
          <w:rFonts w:hint="eastAsia" w:ascii="Times New Roman" w:hAnsi="Times New Roman" w:eastAsia="宋体" w:cs="Times New Roman"/>
          <w:sz w:val="24"/>
          <w:szCs w:val="24"/>
        </w:rPr>
        <w:t>、地方政府有</w:t>
      </w:r>
      <w:r>
        <w:rPr>
          <w:rFonts w:ascii="Times New Roman" w:hAnsi="Times New Roman" w:eastAsia="宋体" w:cs="Times New Roman"/>
          <w:sz w:val="24"/>
          <w:szCs w:val="24"/>
        </w:rPr>
        <w:t>关部门</w:t>
      </w:r>
      <w:r>
        <w:rPr>
          <w:rFonts w:hint="eastAsia" w:ascii="Times New Roman" w:hAnsi="Times New Roman" w:eastAsia="宋体" w:cs="Times New Roman"/>
          <w:sz w:val="24"/>
          <w:szCs w:val="24"/>
        </w:rPr>
        <w:t>限制、</w:t>
      </w:r>
      <w:r>
        <w:rPr>
          <w:rFonts w:ascii="Times New Roman" w:hAnsi="Times New Roman" w:eastAsia="宋体" w:cs="Times New Roman"/>
          <w:sz w:val="24"/>
          <w:szCs w:val="24"/>
        </w:rPr>
        <w:t>淘汰或禁止的技术、工艺、装备及相关</w:t>
      </w:r>
      <w:r>
        <w:rPr>
          <w:rFonts w:hint="eastAsia" w:ascii="Times New Roman" w:hAnsi="Times New Roman" w:eastAsia="宋体" w:cs="Times New Roman"/>
          <w:sz w:val="24"/>
          <w:szCs w:val="24"/>
        </w:rPr>
        <w:t>材料；污染物排放应达到国家和地方污染物排放标准的要求；严格执行节能环保相关国家标准并提供标准清单等相关要求。</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依据国家消费品、包装相关标准，如</w:t>
      </w:r>
      <w:r>
        <w:rPr>
          <w:rFonts w:ascii="Times New Roman" w:eastAsia="宋体"/>
        </w:rPr>
        <w:t>GB/T 5296.2</w:t>
      </w:r>
      <w:r>
        <w:rPr>
          <w:rFonts w:hint="eastAsia" w:ascii="Times New Roman" w:eastAsia="宋体"/>
        </w:rPr>
        <w:t>、</w:t>
      </w:r>
      <w:r>
        <w:rPr>
          <w:rFonts w:hint="eastAsia" w:ascii="Times New Roman" w:hAnsi="宋体" w:eastAsia="宋体"/>
          <w:lang w:bidi="en-US"/>
        </w:rPr>
        <w:t>GB/T</w:t>
      </w:r>
      <w:r>
        <w:rPr>
          <w:rFonts w:ascii="Times New Roman" w:hAnsi="宋体" w:eastAsia="宋体"/>
          <w:lang w:bidi="en-US"/>
        </w:rPr>
        <w:t xml:space="preserve"> </w:t>
      </w:r>
      <w:r>
        <w:rPr>
          <w:rFonts w:hint="eastAsia" w:ascii="Times New Roman" w:hAnsi="宋体" w:eastAsia="宋体"/>
          <w:lang w:bidi="en-US"/>
        </w:rPr>
        <w:t>191</w:t>
      </w:r>
      <w:r>
        <w:rPr>
          <w:rFonts w:ascii="Times New Roman" w:hAnsi="宋体" w:eastAsia="宋体"/>
        </w:rPr>
        <w:t>、</w:t>
      </w:r>
      <w:r>
        <w:rPr>
          <w:rFonts w:ascii="Times New Roman" w:eastAsia="宋体"/>
        </w:rPr>
        <w:t>GB/T 1019</w:t>
      </w:r>
      <w:r>
        <w:rPr>
          <w:rFonts w:hint="eastAsia" w:ascii="Times New Roman" w:hAnsi="宋体" w:eastAsia="宋体"/>
        </w:rPr>
        <w:t>、</w:t>
      </w:r>
      <w:r>
        <w:rPr>
          <w:rFonts w:ascii="Times New Roman" w:eastAsia="宋体"/>
        </w:rPr>
        <w:t>GB/T 31268</w:t>
      </w:r>
      <w:r>
        <w:rPr>
          <w:rFonts w:hint="eastAsia" w:ascii="Times New Roman" w:eastAsia="宋体"/>
        </w:rPr>
        <w:t>、</w:t>
      </w:r>
      <w:r>
        <w:rPr>
          <w:rFonts w:ascii="Times New Roman" w:eastAsia="宋体"/>
        </w:rPr>
        <w:t>GB/T 26572</w:t>
      </w:r>
      <w:r>
        <w:rPr>
          <w:rFonts w:hint="eastAsia" w:ascii="Times New Roman" w:eastAsia="宋体"/>
        </w:rPr>
        <w:t>、</w:t>
      </w:r>
      <w:r>
        <w:rPr>
          <w:rFonts w:ascii="Times New Roman" w:eastAsia="宋体"/>
        </w:rPr>
        <w:t>GB/T 16716.1</w:t>
      </w:r>
      <w:r>
        <w:rPr>
          <w:rFonts w:ascii="Times New Roman" w:hAnsi="宋体" w:eastAsia="宋体"/>
          <w:lang w:bidi="en-US"/>
        </w:rPr>
        <w:t>等</w:t>
      </w:r>
      <w:r>
        <w:rPr>
          <w:rFonts w:hint="eastAsia" w:ascii="Times New Roman" w:hAnsi="Times New Roman" w:eastAsia="宋体" w:cs="Times New Roman"/>
          <w:sz w:val="24"/>
          <w:szCs w:val="24"/>
        </w:rPr>
        <w:t>，</w:t>
      </w:r>
      <w:r>
        <w:rPr>
          <w:rFonts w:ascii="Times New Roman" w:hAnsi="Times New Roman" w:eastAsia="宋体" w:cs="Times New Roman"/>
          <w:sz w:val="24"/>
          <w:szCs w:val="24"/>
        </w:rPr>
        <w:t>产品应符合相应的安全标准、电磁兼容标准和产品性能标准要求</w:t>
      </w:r>
      <w:r>
        <w:rPr>
          <w:rFonts w:hint="eastAsia" w:ascii="Times New Roman" w:hAnsi="Times New Roman" w:eastAsia="宋体" w:cs="Times New Roman"/>
          <w:sz w:val="24"/>
          <w:szCs w:val="24"/>
        </w:rPr>
        <w:t>；产品</w:t>
      </w:r>
      <w:r>
        <w:rPr>
          <w:rFonts w:ascii="Times New Roman" w:hAnsi="Times New Roman" w:eastAsia="宋体" w:cs="Times New Roman"/>
          <w:sz w:val="24"/>
          <w:szCs w:val="24"/>
        </w:rPr>
        <w:t>使用说明的内容</w:t>
      </w:r>
      <w:r>
        <w:rPr>
          <w:rFonts w:hint="eastAsia" w:ascii="Times New Roman" w:hAnsi="Times New Roman" w:eastAsia="宋体" w:cs="Times New Roman"/>
          <w:sz w:val="24"/>
          <w:szCs w:val="24"/>
        </w:rPr>
        <w:t>、产品包装、</w:t>
      </w:r>
      <w:r>
        <w:rPr>
          <w:rFonts w:ascii="Times New Roman" w:hAnsi="Times New Roman" w:eastAsia="宋体" w:cs="Times New Roman"/>
          <w:sz w:val="24"/>
          <w:szCs w:val="24"/>
        </w:rPr>
        <w:t>产品中的限用物质含量等符合相关要求</w:t>
      </w:r>
      <w:r>
        <w:rPr>
          <w:rFonts w:hint="eastAsia" w:ascii="Times New Roman" w:hAnsi="Times New Roman" w:eastAsia="宋体" w:cs="Times New Roman"/>
          <w:sz w:val="24"/>
          <w:szCs w:val="24"/>
        </w:rPr>
        <w:t>。</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2.2指标要求</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（1）资源属性</w:t>
      </w:r>
    </w:p>
    <w:p>
      <w:pPr>
        <w:spacing w:line="360" w:lineRule="auto"/>
        <w:ind w:firstLine="480" w:firstLineChars="200"/>
        <w:rPr>
          <w:rFonts w:hint="eastAsia" w:ascii="Times New Roman" w:hAnsi="Times New Roman" w:eastAsia="宋体" w:cs="Times New Roman"/>
          <w:sz w:val="24"/>
          <w:szCs w:val="24"/>
        </w:rPr>
      </w:pPr>
      <w:r>
        <w:rPr>
          <w:rFonts w:ascii="Times New Roman" w:hAnsi="Times New Roman" w:eastAsia="宋体" w:cs="Times New Roman"/>
          <w:sz w:val="24"/>
          <w:szCs w:val="24"/>
        </w:rPr>
        <w:t>材料节约性主要指</w:t>
      </w:r>
      <w:r>
        <w:rPr>
          <w:rFonts w:hint="eastAsia" w:ascii="Times New Roman" w:hAnsi="Times New Roman" w:eastAsia="宋体" w:cs="Times New Roman"/>
          <w:sz w:val="24"/>
          <w:szCs w:val="24"/>
        </w:rPr>
        <w:t>包装材质为纸盒（袋）者，推荐优先使用回收纸混合模式，并满足GB/T 31268相关要求；材料可循环性主要指可回收利用标识符合</w:t>
      </w:r>
      <w:r>
        <w:rPr>
          <w:rFonts w:ascii="Times New Roman" w:hAnsi="Times New Roman" w:eastAsia="宋体" w:cs="Times New Roman"/>
          <w:sz w:val="24"/>
          <w:szCs w:val="24"/>
        </w:rPr>
        <w:t>GB/T 23384的要求</w:t>
      </w:r>
      <w:r>
        <w:rPr>
          <w:rFonts w:hint="eastAsia" w:ascii="Times New Roman" w:hAnsi="Times New Roman" w:eastAsia="宋体" w:cs="Times New Roman"/>
          <w:sz w:val="24"/>
          <w:szCs w:val="24"/>
        </w:rPr>
        <w:t>。</w:t>
      </w:r>
    </w:p>
    <w:p>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容重比指压缩机气缸工作容积和质量之比，是衡量单位压缩机质量的制冷能力的重要指标。</w:t>
      </w:r>
    </w:p>
    <w:p>
      <w:pPr>
        <w:spacing w:line="360" w:lineRule="auto"/>
        <w:ind w:firstLine="480" w:firstLineChars="200"/>
        <w:rPr>
          <w:rFonts w:hint="eastAsia" w:ascii="Times New Roman" w:hAnsi="Times New Roman" w:eastAsia="宋体" w:cs="Times New Roman"/>
          <w:sz w:val="24"/>
          <w:szCs w:val="24"/>
          <w:lang w:val="en-US" w:eastAsia="zh-CN"/>
        </w:rPr>
      </w:pPr>
    </w:p>
    <w:p>
      <w:pPr>
        <w:spacing w:line="360" w:lineRule="auto"/>
        <w:ind w:firstLine="480" w:firstLineChars="200"/>
        <w:jc w:val="center"/>
        <w:rPr>
          <w:rFonts w:hint="eastAsia" w:ascii="Times New Roman" w:hAnsi="Times New Roman" w:cs="Times New Roman"/>
          <w:sz w:val="24"/>
          <w:szCs w:val="24"/>
        </w:rPr>
      </w:pPr>
      <w:r>
        <w:rPr>
          <w:rFonts w:hint="eastAsia" w:ascii="Times New Roman" w:hAnsi="Times New Roman" w:cs="Times New Roman"/>
          <w:sz w:val="24"/>
          <w:szCs w:val="24"/>
          <w:lang w:val="en-US" w:eastAsia="zh-CN"/>
        </w:rPr>
        <w:t xml:space="preserve">表1 </w:t>
      </w:r>
      <w:r>
        <w:rPr>
          <w:rFonts w:hint="eastAsia" w:ascii="Times New Roman" w:hAnsi="Times New Roman" w:cs="Times New Roman"/>
          <w:sz w:val="24"/>
          <w:szCs w:val="24"/>
        </w:rPr>
        <w:t>房间空调器用转子式压缩机容重比限值</w:t>
      </w:r>
    </w:p>
    <w:tbl>
      <w:tblPr>
        <w:tblStyle w:val="19"/>
        <w:tblW w:w="9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1319"/>
        <w:gridCol w:w="1319"/>
        <w:gridCol w:w="1319"/>
        <w:gridCol w:w="1319"/>
        <w:gridCol w:w="1319"/>
        <w:gridCol w:w="1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9" w:type="dxa"/>
            <w:noWrap w:val="0"/>
            <w:vAlign w:val="top"/>
          </w:tcPr>
          <w:p>
            <w:pPr>
              <w:jc w:val="center"/>
              <w:rPr>
                <w:rFonts w:hint="eastAsia" w:ascii="宋体"/>
                <w:b/>
                <w:bCs/>
                <w:sz w:val="18"/>
                <w:szCs w:val="18"/>
              </w:rPr>
            </w:pPr>
            <w:r>
              <w:rPr>
                <w:rFonts w:hint="eastAsia" w:ascii="宋体"/>
                <w:b/>
                <w:bCs/>
                <w:sz w:val="18"/>
                <w:szCs w:val="18"/>
              </w:rPr>
              <w:t>气缸工作容积</w:t>
            </w:r>
          </w:p>
        </w:tc>
        <w:tc>
          <w:tcPr>
            <w:tcW w:w="1319" w:type="dxa"/>
            <w:noWrap w:val="0"/>
            <w:vAlign w:val="top"/>
          </w:tcPr>
          <w:p>
            <w:pPr>
              <w:jc w:val="center"/>
              <w:rPr>
                <w:rFonts w:hint="eastAsia" w:ascii="宋体"/>
                <w:color w:val="000000"/>
                <w:sz w:val="18"/>
                <w:szCs w:val="18"/>
              </w:rPr>
            </w:pPr>
            <w:r>
              <w:rPr>
                <w:rFonts w:hint="eastAsia" w:ascii="宋体" w:hAnsi="宋体"/>
                <w:color w:val="000000"/>
                <w:sz w:val="18"/>
                <w:szCs w:val="18"/>
              </w:rPr>
              <w:t>≤</w:t>
            </w:r>
            <w:r>
              <w:rPr>
                <w:rFonts w:hint="eastAsia" w:ascii="宋体"/>
                <w:color w:val="000000"/>
                <w:sz w:val="18"/>
                <w:szCs w:val="18"/>
              </w:rPr>
              <w:t>8.5</w:t>
            </w:r>
          </w:p>
        </w:tc>
        <w:tc>
          <w:tcPr>
            <w:tcW w:w="1319" w:type="dxa"/>
            <w:noWrap w:val="0"/>
            <w:vAlign w:val="center"/>
          </w:tcPr>
          <w:p>
            <w:pPr>
              <w:jc w:val="center"/>
              <w:rPr>
                <w:rFonts w:hint="eastAsia" w:ascii="宋体"/>
                <w:b/>
                <w:bCs/>
                <w:sz w:val="18"/>
                <w:szCs w:val="18"/>
              </w:rPr>
            </w:pPr>
            <w:r>
              <w:rPr>
                <w:rFonts w:hint="eastAsia" w:ascii="宋体"/>
                <w:color w:val="000000"/>
                <w:sz w:val="18"/>
                <w:szCs w:val="18"/>
              </w:rPr>
              <w:t>&gt;8.5~15</w:t>
            </w:r>
          </w:p>
        </w:tc>
        <w:tc>
          <w:tcPr>
            <w:tcW w:w="1319" w:type="dxa"/>
            <w:noWrap w:val="0"/>
            <w:vAlign w:val="center"/>
          </w:tcPr>
          <w:p>
            <w:pPr>
              <w:jc w:val="center"/>
              <w:rPr>
                <w:rFonts w:hint="eastAsia" w:ascii="宋体"/>
                <w:b/>
                <w:bCs/>
                <w:sz w:val="18"/>
                <w:szCs w:val="18"/>
              </w:rPr>
            </w:pPr>
            <w:r>
              <w:rPr>
                <w:rFonts w:hint="eastAsia" w:ascii="宋体"/>
                <w:color w:val="000000"/>
                <w:sz w:val="18"/>
                <w:szCs w:val="18"/>
              </w:rPr>
              <w:t>&gt;15~25</w:t>
            </w:r>
          </w:p>
        </w:tc>
        <w:tc>
          <w:tcPr>
            <w:tcW w:w="1319" w:type="dxa"/>
            <w:noWrap w:val="0"/>
            <w:vAlign w:val="center"/>
          </w:tcPr>
          <w:p>
            <w:pPr>
              <w:jc w:val="center"/>
              <w:rPr>
                <w:rFonts w:hint="eastAsia" w:ascii="宋体"/>
                <w:b/>
                <w:bCs/>
                <w:sz w:val="18"/>
                <w:szCs w:val="18"/>
              </w:rPr>
            </w:pPr>
            <w:r>
              <w:rPr>
                <w:rFonts w:hint="eastAsia" w:ascii="宋体"/>
                <w:color w:val="000000"/>
                <w:sz w:val="18"/>
                <w:szCs w:val="18"/>
              </w:rPr>
              <w:t>&gt;25~40</w:t>
            </w:r>
          </w:p>
        </w:tc>
        <w:tc>
          <w:tcPr>
            <w:tcW w:w="1319" w:type="dxa"/>
            <w:noWrap w:val="0"/>
            <w:vAlign w:val="center"/>
          </w:tcPr>
          <w:p>
            <w:pPr>
              <w:jc w:val="center"/>
              <w:rPr>
                <w:rFonts w:hint="eastAsia" w:ascii="宋体"/>
                <w:b/>
                <w:bCs/>
                <w:sz w:val="18"/>
                <w:szCs w:val="18"/>
              </w:rPr>
            </w:pPr>
            <w:r>
              <w:rPr>
                <w:rFonts w:hint="eastAsia" w:ascii="宋体"/>
                <w:color w:val="000000"/>
                <w:sz w:val="18"/>
                <w:szCs w:val="18"/>
              </w:rPr>
              <w:t>&gt;40~55</w:t>
            </w:r>
          </w:p>
        </w:tc>
        <w:tc>
          <w:tcPr>
            <w:tcW w:w="1319" w:type="dxa"/>
            <w:noWrap w:val="0"/>
            <w:vAlign w:val="center"/>
          </w:tcPr>
          <w:p>
            <w:pPr>
              <w:jc w:val="center"/>
              <w:rPr>
                <w:rFonts w:hint="eastAsia" w:ascii="宋体"/>
                <w:b/>
                <w:bCs/>
                <w:sz w:val="18"/>
                <w:szCs w:val="18"/>
              </w:rPr>
            </w:pPr>
            <w:r>
              <w:rPr>
                <w:rFonts w:hint="eastAsia" w:ascii="宋体"/>
                <w:color w:val="000000"/>
                <w:sz w:val="18"/>
                <w:szCs w:val="18"/>
              </w:rPr>
              <w:t>&gt;55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9" w:type="dxa"/>
            <w:noWrap w:val="0"/>
            <w:vAlign w:val="top"/>
          </w:tcPr>
          <w:p>
            <w:pPr>
              <w:jc w:val="center"/>
              <w:rPr>
                <w:rFonts w:hint="eastAsia" w:ascii="宋体"/>
                <w:b/>
                <w:bCs/>
                <w:sz w:val="18"/>
                <w:szCs w:val="18"/>
              </w:rPr>
            </w:pPr>
            <w:r>
              <w:rPr>
                <w:rFonts w:hint="eastAsia" w:ascii="宋体"/>
                <w:b/>
                <w:bCs/>
                <w:sz w:val="18"/>
                <w:szCs w:val="18"/>
              </w:rPr>
              <w:t>R410A</w:t>
            </w:r>
          </w:p>
        </w:tc>
        <w:tc>
          <w:tcPr>
            <w:tcW w:w="1319" w:type="dxa"/>
            <w:noWrap w:val="0"/>
            <w:vAlign w:val="top"/>
          </w:tcPr>
          <w:p>
            <w:pPr>
              <w:jc w:val="center"/>
              <w:rPr>
                <w:rFonts w:hint="eastAsia" w:ascii="宋体"/>
                <w:color w:val="auto"/>
                <w:sz w:val="18"/>
                <w:szCs w:val="18"/>
              </w:rPr>
            </w:pPr>
            <w:r>
              <w:rPr>
                <w:rFonts w:hint="eastAsia" w:ascii="宋体"/>
                <w:color w:val="auto"/>
                <w:sz w:val="18"/>
                <w:szCs w:val="18"/>
              </w:rPr>
              <w:t>≥600</w:t>
            </w:r>
          </w:p>
        </w:tc>
        <w:tc>
          <w:tcPr>
            <w:tcW w:w="1319" w:type="dxa"/>
            <w:noWrap w:val="0"/>
            <w:vAlign w:val="center"/>
          </w:tcPr>
          <w:p>
            <w:pPr>
              <w:jc w:val="center"/>
              <w:rPr>
                <w:rFonts w:hint="eastAsia" w:ascii="宋体"/>
                <w:color w:val="auto"/>
                <w:sz w:val="18"/>
                <w:szCs w:val="18"/>
              </w:rPr>
            </w:pPr>
            <w:r>
              <w:rPr>
                <w:rFonts w:hint="eastAsia" w:ascii="宋体"/>
                <w:color w:val="auto"/>
                <w:sz w:val="18"/>
                <w:szCs w:val="18"/>
              </w:rPr>
              <w:t>≥800</w:t>
            </w:r>
          </w:p>
        </w:tc>
        <w:tc>
          <w:tcPr>
            <w:tcW w:w="1319" w:type="dxa"/>
            <w:noWrap w:val="0"/>
            <w:vAlign w:val="center"/>
          </w:tcPr>
          <w:p>
            <w:pPr>
              <w:jc w:val="center"/>
              <w:rPr>
                <w:rFonts w:hint="eastAsia" w:ascii="宋体"/>
                <w:color w:val="auto"/>
                <w:sz w:val="18"/>
                <w:szCs w:val="18"/>
              </w:rPr>
            </w:pPr>
            <w:r>
              <w:rPr>
                <w:rFonts w:hint="eastAsia" w:ascii="宋体"/>
                <w:color w:val="auto"/>
                <w:sz w:val="18"/>
                <w:szCs w:val="18"/>
              </w:rPr>
              <w:t>≥1000</w:t>
            </w:r>
          </w:p>
        </w:tc>
        <w:tc>
          <w:tcPr>
            <w:tcW w:w="1319" w:type="dxa"/>
            <w:noWrap w:val="0"/>
            <w:vAlign w:val="center"/>
          </w:tcPr>
          <w:p>
            <w:pPr>
              <w:jc w:val="center"/>
              <w:rPr>
                <w:rFonts w:hint="eastAsia" w:ascii="宋体"/>
                <w:color w:val="000000"/>
                <w:sz w:val="18"/>
                <w:szCs w:val="18"/>
              </w:rPr>
            </w:pPr>
            <w:r>
              <w:rPr>
                <w:rFonts w:hint="eastAsia" w:ascii="宋体"/>
                <w:color w:val="000000"/>
                <w:sz w:val="18"/>
                <w:szCs w:val="18"/>
              </w:rPr>
              <w:t>≥1200</w:t>
            </w:r>
          </w:p>
        </w:tc>
        <w:tc>
          <w:tcPr>
            <w:tcW w:w="1319" w:type="dxa"/>
            <w:noWrap w:val="0"/>
            <w:vAlign w:val="center"/>
          </w:tcPr>
          <w:p>
            <w:pPr>
              <w:jc w:val="center"/>
              <w:rPr>
                <w:rFonts w:hint="eastAsia" w:ascii="宋体"/>
                <w:color w:val="000000"/>
                <w:sz w:val="18"/>
                <w:szCs w:val="18"/>
              </w:rPr>
            </w:pPr>
            <w:r>
              <w:rPr>
                <w:rFonts w:hint="eastAsia" w:ascii="宋体"/>
                <w:color w:val="000000"/>
                <w:sz w:val="18"/>
                <w:szCs w:val="18"/>
              </w:rPr>
              <w:t>≥1400</w:t>
            </w:r>
          </w:p>
        </w:tc>
        <w:tc>
          <w:tcPr>
            <w:tcW w:w="1319" w:type="dxa"/>
            <w:noWrap w:val="0"/>
            <w:vAlign w:val="center"/>
          </w:tcPr>
          <w:p>
            <w:pPr>
              <w:jc w:val="center"/>
              <w:rPr>
                <w:rFonts w:hint="eastAsia" w:ascii="宋体"/>
                <w:color w:val="000000"/>
                <w:sz w:val="18"/>
                <w:szCs w:val="18"/>
              </w:rPr>
            </w:pPr>
            <w:r>
              <w:rPr>
                <w:rFonts w:hint="eastAsia" w:ascii="宋体"/>
                <w:color w:val="000000"/>
                <w:sz w:val="18"/>
                <w:szCs w:val="18"/>
              </w:rPr>
              <w:t>≥1600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9" w:type="dxa"/>
            <w:noWrap w:val="0"/>
            <w:vAlign w:val="top"/>
          </w:tcPr>
          <w:p>
            <w:pPr>
              <w:jc w:val="center"/>
              <w:rPr>
                <w:rFonts w:hint="eastAsia" w:ascii="宋体"/>
                <w:b/>
                <w:bCs/>
                <w:sz w:val="18"/>
                <w:szCs w:val="18"/>
              </w:rPr>
            </w:pPr>
            <w:r>
              <w:rPr>
                <w:rFonts w:hint="eastAsia" w:ascii="宋体"/>
                <w:b/>
                <w:bCs/>
                <w:sz w:val="18"/>
                <w:szCs w:val="18"/>
              </w:rPr>
              <w:t>R32</w:t>
            </w:r>
          </w:p>
        </w:tc>
        <w:tc>
          <w:tcPr>
            <w:tcW w:w="1319" w:type="dxa"/>
            <w:noWrap w:val="0"/>
            <w:vAlign w:val="top"/>
          </w:tcPr>
          <w:p>
            <w:pPr>
              <w:jc w:val="center"/>
              <w:rPr>
                <w:rFonts w:hint="eastAsia" w:ascii="宋体"/>
                <w:color w:val="auto"/>
                <w:sz w:val="18"/>
                <w:szCs w:val="18"/>
              </w:rPr>
            </w:pPr>
            <w:r>
              <w:rPr>
                <w:rFonts w:hint="eastAsia" w:ascii="宋体"/>
                <w:color w:val="auto"/>
                <w:sz w:val="18"/>
                <w:szCs w:val="18"/>
              </w:rPr>
              <w:t>≥600</w:t>
            </w:r>
          </w:p>
        </w:tc>
        <w:tc>
          <w:tcPr>
            <w:tcW w:w="1319" w:type="dxa"/>
            <w:noWrap w:val="0"/>
            <w:vAlign w:val="center"/>
          </w:tcPr>
          <w:p>
            <w:pPr>
              <w:jc w:val="center"/>
              <w:rPr>
                <w:rFonts w:hint="eastAsia" w:ascii="宋体"/>
                <w:color w:val="auto"/>
                <w:sz w:val="18"/>
                <w:szCs w:val="18"/>
              </w:rPr>
            </w:pPr>
            <w:r>
              <w:rPr>
                <w:rFonts w:hint="eastAsia" w:ascii="宋体"/>
                <w:color w:val="auto"/>
                <w:sz w:val="18"/>
                <w:szCs w:val="18"/>
              </w:rPr>
              <w:t>≥800</w:t>
            </w:r>
          </w:p>
        </w:tc>
        <w:tc>
          <w:tcPr>
            <w:tcW w:w="1319" w:type="dxa"/>
            <w:noWrap w:val="0"/>
            <w:vAlign w:val="center"/>
          </w:tcPr>
          <w:p>
            <w:pPr>
              <w:jc w:val="center"/>
              <w:rPr>
                <w:rFonts w:hint="eastAsia" w:ascii="宋体"/>
                <w:color w:val="auto"/>
                <w:sz w:val="18"/>
                <w:szCs w:val="18"/>
              </w:rPr>
            </w:pPr>
            <w:r>
              <w:rPr>
                <w:rFonts w:hint="eastAsia" w:ascii="宋体"/>
                <w:color w:val="auto"/>
                <w:sz w:val="18"/>
                <w:szCs w:val="18"/>
              </w:rPr>
              <w:t>≥900</w:t>
            </w:r>
          </w:p>
        </w:tc>
        <w:tc>
          <w:tcPr>
            <w:tcW w:w="1319" w:type="dxa"/>
            <w:noWrap w:val="0"/>
            <w:vAlign w:val="center"/>
          </w:tcPr>
          <w:p>
            <w:pPr>
              <w:jc w:val="center"/>
              <w:rPr>
                <w:rFonts w:hint="eastAsia" w:ascii="宋体"/>
                <w:color w:val="000000"/>
                <w:sz w:val="18"/>
                <w:szCs w:val="18"/>
              </w:rPr>
            </w:pPr>
            <w:r>
              <w:rPr>
                <w:rFonts w:hint="eastAsia" w:ascii="宋体"/>
                <w:color w:val="000000"/>
                <w:sz w:val="18"/>
                <w:szCs w:val="18"/>
              </w:rPr>
              <w:t>≥1400</w:t>
            </w:r>
          </w:p>
        </w:tc>
        <w:tc>
          <w:tcPr>
            <w:tcW w:w="1319" w:type="dxa"/>
            <w:noWrap w:val="0"/>
            <w:vAlign w:val="center"/>
          </w:tcPr>
          <w:p>
            <w:pPr>
              <w:jc w:val="center"/>
              <w:rPr>
                <w:rFonts w:hint="eastAsia" w:ascii="宋体" w:eastAsia="宋体"/>
                <w:color w:val="000000"/>
                <w:sz w:val="18"/>
                <w:szCs w:val="18"/>
                <w:lang w:val="en-US" w:eastAsia="zh-CN"/>
              </w:rPr>
            </w:pPr>
            <w:r>
              <w:rPr>
                <w:rFonts w:hint="eastAsia" w:ascii="宋体"/>
                <w:color w:val="000000"/>
                <w:sz w:val="18"/>
                <w:szCs w:val="18"/>
                <w:lang w:val="en-US" w:eastAsia="zh-CN"/>
              </w:rPr>
              <w:t>-</w:t>
            </w:r>
          </w:p>
        </w:tc>
        <w:tc>
          <w:tcPr>
            <w:tcW w:w="1319" w:type="dxa"/>
            <w:noWrap w:val="0"/>
            <w:vAlign w:val="center"/>
          </w:tcPr>
          <w:p>
            <w:pPr>
              <w:jc w:val="center"/>
              <w:rPr>
                <w:rFonts w:hint="eastAsia" w:ascii="宋体" w:eastAsia="宋体"/>
                <w:color w:val="000000"/>
                <w:sz w:val="18"/>
                <w:szCs w:val="18"/>
                <w:lang w:val="en-US" w:eastAsia="zh-CN"/>
              </w:rPr>
            </w:pPr>
            <w:r>
              <w:rPr>
                <w:rFonts w:hint="eastAsia" w:ascii="宋体"/>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9" w:type="dxa"/>
            <w:noWrap w:val="0"/>
            <w:vAlign w:val="top"/>
          </w:tcPr>
          <w:p>
            <w:pPr>
              <w:jc w:val="center"/>
              <w:rPr>
                <w:rFonts w:hint="eastAsia" w:ascii="宋体"/>
                <w:b/>
                <w:bCs/>
                <w:sz w:val="18"/>
                <w:szCs w:val="18"/>
              </w:rPr>
            </w:pPr>
            <w:r>
              <w:rPr>
                <w:rFonts w:hint="eastAsia" w:ascii="宋体"/>
                <w:b/>
                <w:bCs/>
                <w:sz w:val="18"/>
                <w:szCs w:val="18"/>
              </w:rPr>
              <w:t>R290</w:t>
            </w:r>
          </w:p>
        </w:tc>
        <w:tc>
          <w:tcPr>
            <w:tcW w:w="1319" w:type="dxa"/>
            <w:noWrap w:val="0"/>
            <w:vAlign w:val="top"/>
          </w:tcPr>
          <w:p>
            <w:pPr>
              <w:jc w:val="center"/>
              <w:rPr>
                <w:rFonts w:hint="eastAsia" w:ascii="宋体" w:eastAsia="宋体"/>
                <w:color w:val="000000"/>
                <w:sz w:val="18"/>
                <w:szCs w:val="18"/>
                <w:lang w:val="en-US" w:eastAsia="zh-CN"/>
              </w:rPr>
            </w:pPr>
            <w:r>
              <w:rPr>
                <w:rFonts w:hint="eastAsia" w:ascii="宋体"/>
                <w:color w:val="000000"/>
                <w:sz w:val="18"/>
                <w:szCs w:val="18"/>
              </w:rPr>
              <w:t>≥1</w:t>
            </w:r>
            <w:r>
              <w:rPr>
                <w:rFonts w:hint="eastAsia" w:ascii="宋体"/>
                <w:color w:val="000000"/>
                <w:sz w:val="18"/>
                <w:szCs w:val="18"/>
                <w:lang w:val="en-US" w:eastAsia="zh-CN"/>
              </w:rPr>
              <w:t>0</w:t>
            </w:r>
            <w:r>
              <w:rPr>
                <w:rFonts w:hint="eastAsia" w:ascii="宋体"/>
                <w:color w:val="000000"/>
                <w:sz w:val="18"/>
                <w:szCs w:val="18"/>
              </w:rPr>
              <w:t>00</w:t>
            </w:r>
          </w:p>
        </w:tc>
        <w:tc>
          <w:tcPr>
            <w:tcW w:w="1319" w:type="dxa"/>
            <w:noWrap w:val="0"/>
            <w:vAlign w:val="center"/>
          </w:tcPr>
          <w:p>
            <w:pPr>
              <w:jc w:val="center"/>
              <w:rPr>
                <w:rFonts w:hint="eastAsia" w:ascii="宋体"/>
                <w:b/>
                <w:bCs/>
                <w:sz w:val="18"/>
                <w:szCs w:val="18"/>
              </w:rPr>
            </w:pPr>
            <w:r>
              <w:rPr>
                <w:rFonts w:hint="eastAsia" w:ascii="宋体"/>
                <w:color w:val="000000"/>
                <w:sz w:val="18"/>
                <w:szCs w:val="18"/>
              </w:rPr>
              <w:t>≥1200</w:t>
            </w:r>
          </w:p>
        </w:tc>
        <w:tc>
          <w:tcPr>
            <w:tcW w:w="1319" w:type="dxa"/>
            <w:noWrap w:val="0"/>
            <w:vAlign w:val="center"/>
          </w:tcPr>
          <w:p>
            <w:pPr>
              <w:jc w:val="center"/>
              <w:rPr>
                <w:rFonts w:hint="eastAsia" w:ascii="宋体"/>
                <w:b/>
                <w:bCs/>
                <w:sz w:val="18"/>
                <w:szCs w:val="18"/>
              </w:rPr>
            </w:pPr>
            <w:r>
              <w:rPr>
                <w:rFonts w:hint="eastAsia" w:ascii="宋体"/>
                <w:color w:val="000000"/>
                <w:sz w:val="18"/>
                <w:szCs w:val="18"/>
              </w:rPr>
              <w:t>≥1300</w:t>
            </w:r>
          </w:p>
        </w:tc>
        <w:tc>
          <w:tcPr>
            <w:tcW w:w="1319" w:type="dxa"/>
            <w:noWrap w:val="0"/>
            <w:vAlign w:val="center"/>
          </w:tcPr>
          <w:p>
            <w:pPr>
              <w:jc w:val="center"/>
              <w:rPr>
                <w:rFonts w:hint="eastAsia" w:ascii="宋体"/>
                <w:b/>
                <w:bCs/>
                <w:sz w:val="18"/>
                <w:szCs w:val="18"/>
              </w:rPr>
            </w:pPr>
            <w:r>
              <w:rPr>
                <w:rFonts w:hint="eastAsia" w:ascii="宋体"/>
                <w:color w:val="000000"/>
                <w:sz w:val="18"/>
                <w:szCs w:val="18"/>
              </w:rPr>
              <w:t>≥1400</w:t>
            </w:r>
          </w:p>
        </w:tc>
        <w:tc>
          <w:tcPr>
            <w:tcW w:w="1319" w:type="dxa"/>
            <w:noWrap w:val="0"/>
            <w:vAlign w:val="top"/>
          </w:tcPr>
          <w:p>
            <w:pPr>
              <w:jc w:val="center"/>
              <w:rPr>
                <w:rFonts w:hint="eastAsia" w:ascii="宋体" w:eastAsia="宋体"/>
                <w:b/>
                <w:bCs/>
                <w:sz w:val="18"/>
                <w:szCs w:val="18"/>
                <w:lang w:val="en-US" w:eastAsia="zh-CN"/>
              </w:rPr>
            </w:pPr>
            <w:r>
              <w:rPr>
                <w:rFonts w:hint="eastAsia" w:ascii="宋体"/>
                <w:b/>
                <w:bCs/>
                <w:sz w:val="18"/>
                <w:szCs w:val="18"/>
                <w:lang w:val="en-US" w:eastAsia="zh-CN"/>
              </w:rPr>
              <w:t>-</w:t>
            </w:r>
          </w:p>
        </w:tc>
        <w:tc>
          <w:tcPr>
            <w:tcW w:w="1319" w:type="dxa"/>
            <w:noWrap w:val="0"/>
            <w:vAlign w:val="top"/>
          </w:tcPr>
          <w:p>
            <w:pPr>
              <w:jc w:val="center"/>
              <w:rPr>
                <w:rFonts w:hint="eastAsia" w:ascii="宋体" w:eastAsia="宋体"/>
                <w:b/>
                <w:bCs/>
                <w:sz w:val="18"/>
                <w:szCs w:val="18"/>
                <w:lang w:val="en-US" w:eastAsia="zh-CN"/>
              </w:rPr>
            </w:pPr>
            <w:r>
              <w:rPr>
                <w:rFonts w:hint="eastAsia" w:ascii="宋体"/>
                <w:b/>
                <w:bCs/>
                <w:sz w:val="18"/>
                <w:szCs w:val="18"/>
                <w:lang w:val="en-US" w:eastAsia="zh-CN"/>
              </w:rPr>
              <w:t>-</w:t>
            </w:r>
          </w:p>
        </w:tc>
      </w:tr>
    </w:tbl>
    <w:p>
      <w:pPr>
        <w:rPr>
          <w:rFonts w:hint="eastAsia"/>
          <w:b/>
          <w:bCs/>
        </w:rPr>
      </w:pPr>
    </w:p>
    <w:p>
      <w:pPr>
        <w:jc w:val="center"/>
        <w:rPr>
          <w:rFonts w:hint="eastAsia" w:ascii="黑体" w:hAnsi="黑体" w:eastAsia="黑体" w:cs="黑体"/>
          <w:sz w:val="18"/>
          <w:szCs w:val="18"/>
        </w:rPr>
      </w:pPr>
      <w:r>
        <w:rPr>
          <w:rFonts w:hint="eastAsia" w:ascii="Times New Roman" w:hAnsi="Times New Roman" w:cs="Times New Roman"/>
          <w:sz w:val="24"/>
          <w:szCs w:val="24"/>
          <w:lang w:val="en-US" w:eastAsia="zh-CN"/>
        </w:rPr>
        <w:t>表2 房间</w:t>
      </w:r>
      <w:r>
        <w:rPr>
          <w:rFonts w:hint="eastAsia" w:ascii="Times New Roman" w:hAnsi="Times New Roman" w:cs="Times New Roman"/>
          <w:sz w:val="24"/>
          <w:szCs w:val="24"/>
        </w:rPr>
        <w:t>空调器用涡旋式压缩机容重比限值</w:t>
      </w:r>
    </w:p>
    <w:tbl>
      <w:tblPr>
        <w:tblStyle w:val="19"/>
        <w:tblW w:w="55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1319"/>
        <w:gridCol w:w="1319"/>
        <w:gridCol w:w="1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9" w:type="dxa"/>
            <w:noWrap w:val="0"/>
            <w:vAlign w:val="top"/>
          </w:tcPr>
          <w:p>
            <w:pPr>
              <w:jc w:val="center"/>
              <w:rPr>
                <w:rFonts w:hint="eastAsia" w:ascii="宋体"/>
                <w:b/>
                <w:bCs/>
                <w:sz w:val="18"/>
                <w:szCs w:val="18"/>
              </w:rPr>
            </w:pPr>
            <w:r>
              <w:rPr>
                <w:rFonts w:hint="eastAsia" w:ascii="宋体"/>
                <w:b/>
                <w:bCs/>
                <w:sz w:val="18"/>
                <w:szCs w:val="18"/>
              </w:rPr>
              <w:t>气缸工作容积</w:t>
            </w:r>
          </w:p>
        </w:tc>
        <w:tc>
          <w:tcPr>
            <w:tcW w:w="1319" w:type="dxa"/>
            <w:noWrap w:val="0"/>
            <w:vAlign w:val="center"/>
          </w:tcPr>
          <w:p>
            <w:pPr>
              <w:jc w:val="center"/>
              <w:rPr>
                <w:rFonts w:hint="eastAsia" w:ascii="宋体"/>
                <w:b/>
                <w:bCs/>
                <w:sz w:val="18"/>
                <w:szCs w:val="18"/>
              </w:rPr>
            </w:pPr>
            <w:r>
              <w:rPr>
                <w:rFonts w:hint="eastAsia" w:ascii="宋体"/>
                <w:color w:val="000000"/>
                <w:sz w:val="18"/>
                <w:szCs w:val="18"/>
              </w:rPr>
              <w:t>&gt;25~40</w:t>
            </w:r>
          </w:p>
        </w:tc>
        <w:tc>
          <w:tcPr>
            <w:tcW w:w="1319" w:type="dxa"/>
            <w:noWrap w:val="0"/>
            <w:vAlign w:val="center"/>
          </w:tcPr>
          <w:p>
            <w:pPr>
              <w:jc w:val="center"/>
              <w:rPr>
                <w:rFonts w:hint="eastAsia" w:ascii="宋体"/>
                <w:b/>
                <w:bCs/>
                <w:sz w:val="18"/>
                <w:szCs w:val="18"/>
              </w:rPr>
            </w:pPr>
            <w:r>
              <w:rPr>
                <w:rFonts w:hint="eastAsia" w:ascii="宋体"/>
                <w:color w:val="000000"/>
                <w:sz w:val="18"/>
                <w:szCs w:val="18"/>
              </w:rPr>
              <w:t>&gt;40~55</w:t>
            </w:r>
          </w:p>
        </w:tc>
        <w:tc>
          <w:tcPr>
            <w:tcW w:w="1319" w:type="dxa"/>
            <w:noWrap w:val="0"/>
            <w:vAlign w:val="center"/>
          </w:tcPr>
          <w:p>
            <w:pPr>
              <w:jc w:val="center"/>
              <w:rPr>
                <w:rFonts w:hint="eastAsia" w:ascii="宋体"/>
                <w:b/>
                <w:bCs/>
                <w:sz w:val="18"/>
                <w:szCs w:val="18"/>
              </w:rPr>
            </w:pPr>
            <w:r>
              <w:rPr>
                <w:rFonts w:hint="eastAsia" w:ascii="宋体"/>
                <w:color w:val="000000"/>
                <w:sz w:val="18"/>
                <w:szCs w:val="18"/>
              </w:rPr>
              <w:t>&gt;55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9" w:type="dxa"/>
            <w:noWrap w:val="0"/>
            <w:vAlign w:val="top"/>
          </w:tcPr>
          <w:p>
            <w:pPr>
              <w:jc w:val="center"/>
              <w:rPr>
                <w:rFonts w:hint="eastAsia" w:ascii="宋体"/>
                <w:b/>
                <w:bCs/>
                <w:sz w:val="18"/>
                <w:szCs w:val="18"/>
              </w:rPr>
            </w:pPr>
            <w:r>
              <w:rPr>
                <w:rFonts w:hint="eastAsia" w:ascii="宋体"/>
                <w:b/>
                <w:bCs/>
                <w:sz w:val="18"/>
                <w:szCs w:val="18"/>
              </w:rPr>
              <w:t>R410A</w:t>
            </w:r>
          </w:p>
        </w:tc>
        <w:tc>
          <w:tcPr>
            <w:tcW w:w="1319" w:type="dxa"/>
            <w:noWrap w:val="0"/>
            <w:vAlign w:val="center"/>
          </w:tcPr>
          <w:p>
            <w:pPr>
              <w:jc w:val="center"/>
              <w:rPr>
                <w:rFonts w:hint="eastAsia" w:ascii="宋体"/>
                <w:b/>
                <w:bCs/>
                <w:sz w:val="18"/>
                <w:szCs w:val="18"/>
              </w:rPr>
            </w:pPr>
            <w:r>
              <w:rPr>
                <w:rFonts w:hint="eastAsia" w:ascii="宋体"/>
                <w:color w:val="000000"/>
                <w:sz w:val="18"/>
                <w:szCs w:val="18"/>
              </w:rPr>
              <w:t>≥1100</w:t>
            </w:r>
          </w:p>
        </w:tc>
        <w:tc>
          <w:tcPr>
            <w:tcW w:w="1319" w:type="dxa"/>
            <w:noWrap w:val="0"/>
            <w:vAlign w:val="center"/>
          </w:tcPr>
          <w:p>
            <w:pPr>
              <w:jc w:val="center"/>
              <w:rPr>
                <w:rFonts w:hint="eastAsia" w:ascii="宋体"/>
                <w:b/>
                <w:bCs/>
                <w:sz w:val="18"/>
                <w:szCs w:val="18"/>
              </w:rPr>
            </w:pPr>
            <w:r>
              <w:rPr>
                <w:rFonts w:hint="eastAsia" w:ascii="宋体"/>
                <w:color w:val="000000"/>
                <w:sz w:val="18"/>
                <w:szCs w:val="18"/>
              </w:rPr>
              <w:t>≥1500</w:t>
            </w:r>
          </w:p>
        </w:tc>
        <w:tc>
          <w:tcPr>
            <w:tcW w:w="1319" w:type="dxa"/>
            <w:noWrap w:val="0"/>
            <w:vAlign w:val="center"/>
          </w:tcPr>
          <w:p>
            <w:pPr>
              <w:jc w:val="center"/>
              <w:rPr>
                <w:rFonts w:hint="eastAsia" w:ascii="宋体"/>
                <w:b/>
                <w:bCs/>
                <w:sz w:val="18"/>
                <w:szCs w:val="18"/>
              </w:rPr>
            </w:pPr>
            <w:r>
              <w:rPr>
                <w:rFonts w:hint="eastAsia" w:ascii="宋体"/>
                <w:color w:val="000000"/>
                <w:sz w:val="18"/>
                <w:szCs w:val="18"/>
              </w:rPr>
              <w:t>≥1800</w:t>
            </w:r>
          </w:p>
        </w:tc>
      </w:tr>
    </w:tbl>
    <w:p>
      <w:pPr>
        <w:spacing w:line="360" w:lineRule="auto"/>
        <w:ind w:firstLine="480" w:firstLineChars="200"/>
        <w:rPr>
          <w:rFonts w:hint="default" w:ascii="Times New Roman" w:hAnsi="Times New Roman" w:eastAsia="宋体" w:cs="Times New Roman"/>
          <w:sz w:val="24"/>
          <w:szCs w:val="24"/>
          <w:lang w:val="en-US" w:eastAsia="zh-CN"/>
        </w:rPr>
      </w:pP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（2）能源属性</w:t>
      </w: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能效等级是衡量压缩机能源利用性指标，满足GB 35971规定的二级能效以上水平，测试方法按照GB/T 15765进行。</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（3）环境属性</w:t>
      </w: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①</w:t>
      </w:r>
      <w:r>
        <w:rPr>
          <w:rFonts w:hint="eastAsia" w:ascii="Times New Roman" w:hAnsi="Times New Roman" w:eastAsia="宋体" w:cs="Times New Roman"/>
          <w:sz w:val="24"/>
          <w:szCs w:val="24"/>
          <w:lang w:val="en-US" w:eastAsia="zh-CN"/>
        </w:rPr>
        <w:t>用户体验</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标准中对有害物质含量的规定</w:t>
      </w:r>
      <w:r>
        <w:rPr>
          <w:rFonts w:hint="eastAsia" w:ascii="Times New Roman" w:hAnsi="Times New Roman" w:eastAsia="宋体" w:cs="Times New Roman"/>
          <w:sz w:val="24"/>
          <w:szCs w:val="24"/>
        </w:rPr>
        <w:t>参考</w:t>
      </w:r>
      <w:r>
        <w:rPr>
          <w:rFonts w:ascii="Times New Roman" w:hAnsi="Times New Roman" w:eastAsia="宋体" w:cs="Times New Roman"/>
          <w:sz w:val="24"/>
          <w:szCs w:val="24"/>
        </w:rPr>
        <w:t>GB/T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26572</w:t>
      </w:r>
      <w:r>
        <w:rPr>
          <w:rFonts w:hint="eastAsia" w:ascii="Times New Roman" w:hAnsi="Times New Roman" w:eastAsia="宋体" w:cs="Times New Roman"/>
          <w:sz w:val="24"/>
          <w:szCs w:val="24"/>
        </w:rPr>
        <w:t>，试验方法参考</w:t>
      </w:r>
      <w:r>
        <w:rPr>
          <w:rFonts w:ascii="Times New Roman" w:hAnsi="Times New Roman" w:eastAsia="宋体" w:cs="Times New Roman"/>
          <w:sz w:val="24"/>
          <w:szCs w:val="24"/>
        </w:rPr>
        <w:t>GB/T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26572</w:t>
      </w:r>
      <w:r>
        <w:rPr>
          <w:rFonts w:hint="eastAsia" w:ascii="Times New Roman" w:hAnsi="Times New Roman" w:eastAsia="宋体" w:cs="Times New Roman"/>
          <w:sz w:val="24"/>
          <w:szCs w:val="24"/>
        </w:rPr>
        <w:t>、</w:t>
      </w:r>
      <w:r>
        <w:rPr>
          <w:rFonts w:ascii="Times New Roman" w:hAnsi="Times New Roman" w:eastAsia="宋体" w:cs="Times New Roman"/>
          <w:sz w:val="24"/>
          <w:szCs w:val="24"/>
        </w:rPr>
        <w:t>相关检测标准</w:t>
      </w:r>
      <w:r>
        <w:rPr>
          <w:rFonts w:hint="eastAsia" w:ascii="Times New Roman" w:hAnsi="Times New Roman" w:eastAsia="宋体" w:cs="Times New Roman"/>
          <w:sz w:val="24"/>
          <w:szCs w:val="24"/>
        </w:rPr>
        <w:t>。</w:t>
      </w:r>
      <w:r>
        <w:rPr>
          <w:rFonts w:ascii="Times New Roman" w:hAnsi="Times New Roman" w:eastAsia="宋体" w:cs="Times New Roman"/>
          <w:sz w:val="24"/>
          <w:szCs w:val="24"/>
        </w:rPr>
        <w:t>具体内容如表</w:t>
      </w:r>
      <w:r>
        <w:rPr>
          <w:rFonts w:hint="eastAsia" w:ascii="Times New Roman" w:hAnsi="Times New Roman" w:eastAsia="宋体" w:cs="Times New Roman"/>
          <w:sz w:val="24"/>
          <w:szCs w:val="24"/>
        </w:rPr>
        <w:t>5所示。</w:t>
      </w:r>
    </w:p>
    <w:p>
      <w:pPr>
        <w:spacing w:line="360" w:lineRule="auto"/>
        <w:ind w:firstLine="480" w:firstLineChars="200"/>
        <w:jc w:val="center"/>
        <w:rPr>
          <w:rFonts w:ascii="Times New Roman" w:hAnsi="Times New Roman" w:cs="Times New Roman"/>
          <w:sz w:val="24"/>
          <w:szCs w:val="24"/>
        </w:rPr>
      </w:pPr>
      <w:r>
        <w:rPr>
          <w:rFonts w:ascii="Times New Roman" w:hAnsi="Times New Roman" w:cs="Times New Roman"/>
          <w:sz w:val="24"/>
          <w:szCs w:val="24"/>
        </w:rPr>
        <w:t>表</w:t>
      </w:r>
      <w:r>
        <w:rPr>
          <w:rFonts w:hint="eastAsia" w:ascii="Times New Roman" w:hAnsi="Times New Roman" w:cs="Times New Roman"/>
          <w:sz w:val="24"/>
          <w:szCs w:val="24"/>
          <w:lang w:val="en-US" w:eastAsia="zh-CN"/>
        </w:rPr>
        <w:t>3</w:t>
      </w:r>
      <w:r>
        <w:rPr>
          <w:rFonts w:hint="eastAsia" w:ascii="Times New Roman" w:hAnsi="Times New Roman" w:cs="Times New Roman"/>
          <w:sz w:val="24"/>
          <w:szCs w:val="24"/>
        </w:rPr>
        <w:t xml:space="preserve"> 有害物质含量要求及依据</w:t>
      </w:r>
    </w:p>
    <w:tbl>
      <w:tblPr>
        <w:tblStyle w:val="19"/>
        <w:tblW w:w="96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3"/>
        <w:gridCol w:w="2910"/>
        <w:gridCol w:w="1801"/>
        <w:gridCol w:w="1941"/>
        <w:gridCol w:w="17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1" w:hRule="atLeast"/>
        </w:trPr>
        <w:tc>
          <w:tcPr>
            <w:tcW w:w="4123" w:type="dxa"/>
            <w:gridSpan w:val="2"/>
            <w:tcBorders>
              <w:left w:val="single" w:color="auto" w:sz="4" w:space="0"/>
              <w:bottom w:val="single" w:color="auto" w:sz="4" w:space="0"/>
            </w:tcBorders>
          </w:tcPr>
          <w:p>
            <w:pPr>
              <w:tabs>
                <w:tab w:val="center" w:pos="4201"/>
                <w:tab w:val="right" w:leader="dot" w:pos="9298"/>
              </w:tabs>
              <w:autoSpaceDE w:val="0"/>
              <w:autoSpaceDN w:val="0"/>
              <w:snapToGrid w:val="0"/>
              <w:spacing w:line="360" w:lineRule="auto"/>
              <w:jc w:val="center"/>
              <w:rPr>
                <w:sz w:val="24"/>
                <w:szCs w:val="24"/>
              </w:rPr>
            </w:pPr>
            <w:r>
              <w:rPr>
                <w:rFonts w:hint="eastAsia"/>
                <w:sz w:val="24"/>
                <w:szCs w:val="24"/>
              </w:rPr>
              <w:t>指标项目</w:t>
            </w:r>
          </w:p>
        </w:tc>
        <w:tc>
          <w:tcPr>
            <w:tcW w:w="1801" w:type="dxa"/>
            <w:vAlign w:val="center"/>
          </w:tcPr>
          <w:p>
            <w:pPr>
              <w:snapToGrid w:val="0"/>
              <w:spacing w:line="360" w:lineRule="auto"/>
              <w:jc w:val="center"/>
              <w:rPr>
                <w:sz w:val="24"/>
                <w:szCs w:val="24"/>
              </w:rPr>
            </w:pPr>
            <w:r>
              <w:rPr>
                <w:rFonts w:hint="eastAsia"/>
                <w:sz w:val="24"/>
                <w:szCs w:val="24"/>
              </w:rPr>
              <w:t>单位</w:t>
            </w:r>
          </w:p>
        </w:tc>
        <w:tc>
          <w:tcPr>
            <w:tcW w:w="1941" w:type="dxa"/>
            <w:tcBorders>
              <w:bottom w:val="single" w:color="auto" w:sz="4" w:space="0"/>
            </w:tcBorders>
            <w:vAlign w:val="center"/>
          </w:tcPr>
          <w:p>
            <w:pPr>
              <w:tabs>
                <w:tab w:val="center" w:pos="4201"/>
                <w:tab w:val="right" w:leader="dot" w:pos="9298"/>
              </w:tabs>
              <w:autoSpaceDE w:val="0"/>
              <w:autoSpaceDN w:val="0"/>
              <w:snapToGrid w:val="0"/>
              <w:spacing w:line="360" w:lineRule="auto"/>
              <w:jc w:val="center"/>
              <w:rPr>
                <w:rFonts w:ascii="Times New Roman" w:hAnsi="Times New Roman"/>
                <w:sz w:val="24"/>
                <w:szCs w:val="24"/>
              </w:rPr>
            </w:pPr>
            <w:r>
              <w:rPr>
                <w:rFonts w:ascii="Times New Roman" w:hAnsi="Times New Roman"/>
                <w:sz w:val="24"/>
                <w:szCs w:val="24"/>
              </w:rPr>
              <w:t>要求</w:t>
            </w:r>
          </w:p>
        </w:tc>
        <w:tc>
          <w:tcPr>
            <w:tcW w:w="1764" w:type="dxa"/>
            <w:vAlign w:val="center"/>
          </w:tcPr>
          <w:p>
            <w:pPr>
              <w:tabs>
                <w:tab w:val="center" w:pos="4201"/>
                <w:tab w:val="right" w:leader="dot" w:pos="9298"/>
              </w:tabs>
              <w:autoSpaceDE w:val="0"/>
              <w:autoSpaceDN w:val="0"/>
              <w:snapToGrid w:val="0"/>
              <w:spacing w:line="360" w:lineRule="auto"/>
              <w:jc w:val="center"/>
              <w:rPr>
                <w:sz w:val="24"/>
                <w:szCs w:val="24"/>
              </w:rPr>
            </w:pPr>
            <w:r>
              <w:rPr>
                <w:rFonts w:hint="eastAsia"/>
                <w:sz w:val="24"/>
                <w:szCs w:val="24"/>
              </w:rPr>
              <w:t>评价依据/方法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1" w:hRule="atLeast"/>
        </w:trPr>
        <w:tc>
          <w:tcPr>
            <w:tcW w:w="1213" w:type="dxa"/>
            <w:vMerge w:val="restart"/>
            <w:tcBorders>
              <w:left w:val="single" w:color="auto" w:sz="4" w:space="0"/>
            </w:tcBorders>
            <w:vAlign w:val="center"/>
          </w:tcPr>
          <w:p>
            <w:pPr>
              <w:tabs>
                <w:tab w:val="center" w:pos="4201"/>
                <w:tab w:val="right" w:leader="dot" w:pos="9298"/>
              </w:tabs>
              <w:autoSpaceDE w:val="0"/>
              <w:autoSpaceDN w:val="0"/>
              <w:snapToGrid w:val="0"/>
              <w:spacing w:line="360" w:lineRule="auto"/>
              <w:ind w:left="-82" w:leftChars="-39" w:right="-69" w:rightChars="-33"/>
              <w:jc w:val="center"/>
              <w:rPr>
                <w:rFonts w:asciiTheme="minorEastAsia" w:hAnsiTheme="minorEastAsia"/>
                <w:sz w:val="24"/>
                <w:szCs w:val="24"/>
              </w:rPr>
            </w:pPr>
            <w:r>
              <w:rPr>
                <w:rFonts w:asciiTheme="minorEastAsia" w:hAnsiTheme="minorEastAsia"/>
                <w:sz w:val="24"/>
                <w:szCs w:val="24"/>
              </w:rPr>
              <w:t>有</w:t>
            </w:r>
          </w:p>
          <w:p>
            <w:pPr>
              <w:tabs>
                <w:tab w:val="center" w:pos="4201"/>
                <w:tab w:val="right" w:leader="dot" w:pos="9298"/>
              </w:tabs>
              <w:autoSpaceDE w:val="0"/>
              <w:autoSpaceDN w:val="0"/>
              <w:snapToGrid w:val="0"/>
              <w:spacing w:line="360" w:lineRule="auto"/>
              <w:ind w:left="-82" w:leftChars="-39" w:right="-69" w:rightChars="-33"/>
              <w:jc w:val="center"/>
              <w:rPr>
                <w:rFonts w:asciiTheme="minorEastAsia" w:hAnsiTheme="minorEastAsia"/>
                <w:sz w:val="24"/>
                <w:szCs w:val="24"/>
              </w:rPr>
            </w:pPr>
            <w:r>
              <w:rPr>
                <w:rFonts w:asciiTheme="minorEastAsia" w:hAnsiTheme="minorEastAsia"/>
                <w:sz w:val="24"/>
                <w:szCs w:val="24"/>
              </w:rPr>
              <w:t>害</w:t>
            </w:r>
          </w:p>
          <w:p>
            <w:pPr>
              <w:tabs>
                <w:tab w:val="center" w:pos="4201"/>
                <w:tab w:val="right" w:leader="dot" w:pos="9298"/>
              </w:tabs>
              <w:autoSpaceDE w:val="0"/>
              <w:autoSpaceDN w:val="0"/>
              <w:snapToGrid w:val="0"/>
              <w:spacing w:line="360" w:lineRule="auto"/>
              <w:ind w:left="-82" w:leftChars="-39" w:right="-69" w:rightChars="-33"/>
              <w:jc w:val="center"/>
              <w:rPr>
                <w:rFonts w:asciiTheme="minorEastAsia" w:hAnsiTheme="minorEastAsia"/>
                <w:sz w:val="24"/>
                <w:szCs w:val="24"/>
              </w:rPr>
            </w:pPr>
            <w:r>
              <w:rPr>
                <w:rFonts w:asciiTheme="minorEastAsia" w:hAnsiTheme="minorEastAsia"/>
                <w:sz w:val="24"/>
                <w:szCs w:val="24"/>
              </w:rPr>
              <w:t>物</w:t>
            </w:r>
          </w:p>
          <w:p>
            <w:pPr>
              <w:tabs>
                <w:tab w:val="center" w:pos="4201"/>
                <w:tab w:val="right" w:leader="dot" w:pos="9298"/>
              </w:tabs>
              <w:autoSpaceDE w:val="0"/>
              <w:autoSpaceDN w:val="0"/>
              <w:snapToGrid w:val="0"/>
              <w:spacing w:line="360" w:lineRule="auto"/>
              <w:ind w:left="-82" w:leftChars="-39" w:right="-69" w:rightChars="-33"/>
              <w:jc w:val="center"/>
              <w:rPr>
                <w:rFonts w:asciiTheme="minorEastAsia" w:hAnsiTheme="minorEastAsia"/>
                <w:sz w:val="24"/>
                <w:szCs w:val="24"/>
              </w:rPr>
            </w:pPr>
            <w:r>
              <w:rPr>
                <w:rFonts w:asciiTheme="minorEastAsia" w:hAnsiTheme="minorEastAsia"/>
                <w:sz w:val="24"/>
                <w:szCs w:val="24"/>
              </w:rPr>
              <w:t>质</w:t>
            </w:r>
          </w:p>
          <w:p>
            <w:pPr>
              <w:tabs>
                <w:tab w:val="center" w:pos="4201"/>
                <w:tab w:val="right" w:leader="dot" w:pos="9298"/>
              </w:tabs>
              <w:autoSpaceDE w:val="0"/>
              <w:autoSpaceDN w:val="0"/>
              <w:snapToGrid w:val="0"/>
              <w:spacing w:line="360" w:lineRule="auto"/>
              <w:ind w:left="-82" w:leftChars="-39" w:right="-69" w:rightChars="-33"/>
              <w:jc w:val="center"/>
              <w:rPr>
                <w:rFonts w:asciiTheme="minorEastAsia" w:hAnsiTheme="minorEastAsia"/>
                <w:sz w:val="24"/>
                <w:szCs w:val="24"/>
              </w:rPr>
            </w:pPr>
            <w:r>
              <w:rPr>
                <w:rFonts w:asciiTheme="minorEastAsia" w:hAnsiTheme="minorEastAsia"/>
                <w:sz w:val="24"/>
                <w:szCs w:val="24"/>
              </w:rPr>
              <w:t>含</w:t>
            </w:r>
          </w:p>
          <w:p>
            <w:pPr>
              <w:tabs>
                <w:tab w:val="center" w:pos="4201"/>
                <w:tab w:val="right" w:leader="dot" w:pos="9298"/>
              </w:tabs>
              <w:autoSpaceDE w:val="0"/>
              <w:autoSpaceDN w:val="0"/>
              <w:snapToGrid w:val="0"/>
              <w:spacing w:line="360" w:lineRule="auto"/>
              <w:ind w:left="-82" w:leftChars="-39" w:right="-69" w:rightChars="-33"/>
              <w:jc w:val="center"/>
              <w:rPr>
                <w:sz w:val="24"/>
                <w:szCs w:val="24"/>
              </w:rPr>
            </w:pPr>
            <w:r>
              <w:rPr>
                <w:rFonts w:asciiTheme="minorEastAsia" w:hAnsiTheme="minorEastAsia"/>
                <w:sz w:val="24"/>
                <w:szCs w:val="24"/>
              </w:rPr>
              <w:t>量</w:t>
            </w:r>
          </w:p>
        </w:tc>
        <w:tc>
          <w:tcPr>
            <w:tcW w:w="2910" w:type="dxa"/>
            <w:tcBorders>
              <w:left w:val="single" w:color="auto" w:sz="4" w:space="0"/>
              <w:bottom w:val="single" w:color="auto" w:sz="4" w:space="0"/>
            </w:tcBorders>
            <w:vAlign w:val="center"/>
          </w:tcPr>
          <w:p>
            <w:pPr>
              <w:tabs>
                <w:tab w:val="center" w:pos="4201"/>
                <w:tab w:val="right" w:leader="dot" w:pos="9298"/>
              </w:tabs>
              <w:autoSpaceDE w:val="0"/>
              <w:autoSpaceDN w:val="0"/>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铅</w:t>
            </w:r>
          </w:p>
        </w:tc>
        <w:tc>
          <w:tcPr>
            <w:tcW w:w="1801" w:type="dxa"/>
            <w:vMerge w:val="restart"/>
            <w:vAlign w:val="center"/>
          </w:tcPr>
          <w:p>
            <w:pPr>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%（质量分数）</w:t>
            </w:r>
          </w:p>
        </w:tc>
        <w:tc>
          <w:tcPr>
            <w:tcW w:w="1941" w:type="dxa"/>
            <w:tcBorders>
              <w:bottom w:val="single" w:color="auto" w:sz="4" w:space="0"/>
            </w:tcBorders>
            <w:vAlign w:val="center"/>
          </w:tcPr>
          <w:p>
            <w:pPr>
              <w:tabs>
                <w:tab w:val="center" w:pos="4201"/>
                <w:tab w:val="right" w:leader="dot" w:pos="9298"/>
              </w:tabs>
              <w:autoSpaceDE w:val="0"/>
              <w:autoSpaceDN w:val="0"/>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sz w:val="24"/>
                <w:szCs w:val="24"/>
              </w:rPr>
              <w:t>≤</w:t>
            </w:r>
            <w:r>
              <w:rPr>
                <w:rFonts w:ascii="Times New Roman" w:hAnsi="Times New Roman" w:eastAsia="宋体" w:cs="Times New Roman"/>
                <w:sz w:val="24"/>
                <w:szCs w:val="24"/>
              </w:rPr>
              <w:t>0.</w:t>
            </w:r>
            <w:r>
              <w:rPr>
                <w:rFonts w:hint="eastAsia" w:ascii="Times New Roman" w:hAnsi="Times New Roman" w:eastAsia="宋体" w:cs="Times New Roman"/>
                <w:sz w:val="24"/>
                <w:szCs w:val="24"/>
              </w:rPr>
              <w:t>1</w:t>
            </w:r>
          </w:p>
        </w:tc>
        <w:tc>
          <w:tcPr>
            <w:tcW w:w="1764" w:type="dxa"/>
            <w:vMerge w:val="restart"/>
            <w:vAlign w:val="center"/>
          </w:tcPr>
          <w:p>
            <w:pPr>
              <w:tabs>
                <w:tab w:val="center" w:pos="4201"/>
                <w:tab w:val="right" w:leader="dot" w:pos="9298"/>
              </w:tabs>
              <w:autoSpaceDE w:val="0"/>
              <w:autoSpaceDN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GB/T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26572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1" w:hRule="atLeast"/>
        </w:trPr>
        <w:tc>
          <w:tcPr>
            <w:tcW w:w="1213" w:type="dxa"/>
            <w:vMerge w:val="continue"/>
            <w:tcBorders>
              <w:left w:val="single" w:color="auto" w:sz="4" w:space="0"/>
            </w:tcBorders>
          </w:tcPr>
          <w:p>
            <w:pPr>
              <w:tabs>
                <w:tab w:val="center" w:pos="4201"/>
                <w:tab w:val="right" w:leader="dot" w:pos="9298"/>
              </w:tabs>
              <w:autoSpaceDE w:val="0"/>
              <w:autoSpaceDN w:val="0"/>
              <w:snapToGrid w:val="0"/>
              <w:spacing w:line="360" w:lineRule="auto"/>
              <w:ind w:left="-82" w:leftChars="-39" w:right="-69" w:rightChars="-33"/>
              <w:jc w:val="center"/>
              <w:rPr>
                <w:sz w:val="24"/>
                <w:szCs w:val="24"/>
              </w:rPr>
            </w:pPr>
          </w:p>
        </w:tc>
        <w:tc>
          <w:tcPr>
            <w:tcW w:w="2910" w:type="dxa"/>
            <w:tcBorders>
              <w:left w:val="single" w:color="auto" w:sz="4" w:space="0"/>
              <w:bottom w:val="single" w:color="auto" w:sz="4" w:space="0"/>
            </w:tcBorders>
            <w:vAlign w:val="center"/>
          </w:tcPr>
          <w:p>
            <w:pPr>
              <w:tabs>
                <w:tab w:val="center" w:pos="4201"/>
                <w:tab w:val="right" w:leader="dot" w:pos="9298"/>
              </w:tabs>
              <w:autoSpaceDE w:val="0"/>
              <w:autoSpaceDN w:val="0"/>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汞</w:t>
            </w:r>
          </w:p>
        </w:tc>
        <w:tc>
          <w:tcPr>
            <w:tcW w:w="1801" w:type="dxa"/>
            <w:vMerge w:val="continue"/>
            <w:vAlign w:val="center"/>
          </w:tcPr>
          <w:p>
            <w:pPr>
              <w:snapToGrid w:val="0"/>
              <w:spacing w:line="360" w:lineRule="auto"/>
              <w:jc w:val="center"/>
              <w:rPr>
                <w:rFonts w:ascii="Times New Roman" w:hAnsi="Times New Roman" w:eastAsia="宋体" w:cs="Times New Roman"/>
                <w:sz w:val="24"/>
                <w:szCs w:val="24"/>
              </w:rPr>
            </w:pPr>
          </w:p>
        </w:tc>
        <w:tc>
          <w:tcPr>
            <w:tcW w:w="1941" w:type="dxa"/>
            <w:tcBorders>
              <w:bottom w:val="single" w:color="auto" w:sz="4" w:space="0"/>
            </w:tcBorders>
            <w:vAlign w:val="center"/>
          </w:tcPr>
          <w:p>
            <w:pPr>
              <w:tabs>
                <w:tab w:val="center" w:pos="4201"/>
                <w:tab w:val="right" w:leader="dot" w:pos="9298"/>
              </w:tabs>
              <w:autoSpaceDE w:val="0"/>
              <w:autoSpaceDN w:val="0"/>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sz w:val="24"/>
                <w:szCs w:val="24"/>
              </w:rPr>
              <w:t>≤</w:t>
            </w:r>
            <w:r>
              <w:rPr>
                <w:rFonts w:ascii="Times New Roman" w:hAnsi="Times New Roman" w:eastAsia="宋体" w:cs="Times New Roman"/>
                <w:sz w:val="24"/>
                <w:szCs w:val="24"/>
              </w:rPr>
              <w:t>0.</w:t>
            </w:r>
            <w:r>
              <w:rPr>
                <w:rFonts w:hint="eastAsia" w:ascii="Times New Roman" w:hAnsi="Times New Roman" w:eastAsia="宋体" w:cs="Times New Roman"/>
                <w:sz w:val="24"/>
                <w:szCs w:val="24"/>
              </w:rPr>
              <w:t>1</w:t>
            </w:r>
          </w:p>
        </w:tc>
        <w:tc>
          <w:tcPr>
            <w:tcW w:w="1764" w:type="dxa"/>
            <w:vMerge w:val="continue"/>
            <w:vAlign w:val="center"/>
          </w:tcPr>
          <w:p>
            <w:pPr>
              <w:tabs>
                <w:tab w:val="center" w:pos="4201"/>
                <w:tab w:val="right" w:leader="dot" w:pos="9298"/>
              </w:tabs>
              <w:autoSpaceDE w:val="0"/>
              <w:autoSpaceDN w:val="0"/>
              <w:snapToGrid w:val="0"/>
              <w:spacing w:line="360" w:lineRule="auto"/>
              <w:jc w:val="cente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1" w:hRule="atLeast"/>
        </w:trPr>
        <w:tc>
          <w:tcPr>
            <w:tcW w:w="1213" w:type="dxa"/>
            <w:vMerge w:val="continue"/>
            <w:tcBorders>
              <w:left w:val="single" w:color="auto" w:sz="4" w:space="0"/>
            </w:tcBorders>
          </w:tcPr>
          <w:p>
            <w:pPr>
              <w:tabs>
                <w:tab w:val="center" w:pos="4201"/>
                <w:tab w:val="right" w:leader="dot" w:pos="9298"/>
              </w:tabs>
              <w:autoSpaceDE w:val="0"/>
              <w:autoSpaceDN w:val="0"/>
              <w:snapToGrid w:val="0"/>
              <w:spacing w:line="360" w:lineRule="auto"/>
              <w:ind w:left="-82" w:leftChars="-39" w:right="-69" w:rightChars="-33"/>
              <w:jc w:val="center"/>
              <w:rPr>
                <w:sz w:val="24"/>
                <w:szCs w:val="24"/>
              </w:rPr>
            </w:pPr>
          </w:p>
        </w:tc>
        <w:tc>
          <w:tcPr>
            <w:tcW w:w="2910" w:type="dxa"/>
            <w:tcBorders>
              <w:left w:val="single" w:color="auto" w:sz="4" w:space="0"/>
              <w:bottom w:val="single" w:color="auto" w:sz="4" w:space="0"/>
            </w:tcBorders>
            <w:vAlign w:val="center"/>
          </w:tcPr>
          <w:p>
            <w:pPr>
              <w:tabs>
                <w:tab w:val="center" w:pos="4201"/>
                <w:tab w:val="right" w:leader="dot" w:pos="9298"/>
              </w:tabs>
              <w:autoSpaceDE w:val="0"/>
              <w:autoSpaceDN w:val="0"/>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镉</w:t>
            </w:r>
          </w:p>
        </w:tc>
        <w:tc>
          <w:tcPr>
            <w:tcW w:w="1801" w:type="dxa"/>
            <w:vMerge w:val="continue"/>
            <w:vAlign w:val="center"/>
          </w:tcPr>
          <w:p>
            <w:pPr>
              <w:snapToGrid w:val="0"/>
              <w:spacing w:line="360" w:lineRule="auto"/>
              <w:jc w:val="center"/>
              <w:rPr>
                <w:rFonts w:ascii="Times New Roman" w:hAnsi="Times New Roman" w:eastAsia="宋体" w:cs="Times New Roman"/>
                <w:sz w:val="24"/>
                <w:szCs w:val="24"/>
              </w:rPr>
            </w:pPr>
          </w:p>
        </w:tc>
        <w:tc>
          <w:tcPr>
            <w:tcW w:w="1941" w:type="dxa"/>
            <w:tcBorders>
              <w:bottom w:val="single" w:color="auto" w:sz="4" w:space="0"/>
            </w:tcBorders>
            <w:vAlign w:val="center"/>
          </w:tcPr>
          <w:p>
            <w:pPr>
              <w:tabs>
                <w:tab w:val="center" w:pos="4201"/>
                <w:tab w:val="right" w:leader="dot" w:pos="9298"/>
              </w:tabs>
              <w:autoSpaceDE w:val="0"/>
              <w:autoSpaceDN w:val="0"/>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sz w:val="24"/>
                <w:szCs w:val="24"/>
              </w:rPr>
              <w:t>≤</w:t>
            </w:r>
            <w:r>
              <w:rPr>
                <w:rFonts w:ascii="Times New Roman" w:hAnsi="Times New Roman" w:eastAsia="宋体" w:cs="Times New Roman"/>
                <w:sz w:val="24"/>
                <w:szCs w:val="24"/>
              </w:rPr>
              <w:t>0.</w:t>
            </w:r>
            <w:r>
              <w:rPr>
                <w:rFonts w:hint="eastAsia" w:ascii="Times New Roman" w:hAnsi="Times New Roman" w:eastAsia="宋体" w:cs="Times New Roman"/>
                <w:sz w:val="24"/>
                <w:szCs w:val="24"/>
              </w:rPr>
              <w:t>01</w:t>
            </w:r>
          </w:p>
        </w:tc>
        <w:tc>
          <w:tcPr>
            <w:tcW w:w="1764" w:type="dxa"/>
            <w:vMerge w:val="continue"/>
            <w:vAlign w:val="center"/>
          </w:tcPr>
          <w:p>
            <w:pPr>
              <w:tabs>
                <w:tab w:val="center" w:pos="4201"/>
                <w:tab w:val="right" w:leader="dot" w:pos="9298"/>
              </w:tabs>
              <w:autoSpaceDE w:val="0"/>
              <w:autoSpaceDN w:val="0"/>
              <w:snapToGrid w:val="0"/>
              <w:spacing w:line="360" w:lineRule="auto"/>
              <w:jc w:val="cente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1" w:hRule="atLeast"/>
        </w:trPr>
        <w:tc>
          <w:tcPr>
            <w:tcW w:w="1213" w:type="dxa"/>
            <w:vMerge w:val="continue"/>
            <w:tcBorders>
              <w:left w:val="single" w:color="auto" w:sz="4" w:space="0"/>
            </w:tcBorders>
          </w:tcPr>
          <w:p>
            <w:pPr>
              <w:tabs>
                <w:tab w:val="center" w:pos="4201"/>
                <w:tab w:val="right" w:leader="dot" w:pos="9298"/>
              </w:tabs>
              <w:autoSpaceDE w:val="0"/>
              <w:autoSpaceDN w:val="0"/>
              <w:snapToGrid w:val="0"/>
              <w:spacing w:line="360" w:lineRule="auto"/>
              <w:ind w:left="-82" w:leftChars="-39" w:right="-69" w:rightChars="-33"/>
              <w:jc w:val="center"/>
              <w:rPr>
                <w:sz w:val="24"/>
                <w:szCs w:val="24"/>
              </w:rPr>
            </w:pPr>
          </w:p>
        </w:tc>
        <w:tc>
          <w:tcPr>
            <w:tcW w:w="2910" w:type="dxa"/>
            <w:tcBorders>
              <w:left w:val="single" w:color="auto" w:sz="4" w:space="0"/>
              <w:bottom w:val="single" w:color="auto" w:sz="4" w:space="0"/>
            </w:tcBorders>
            <w:vAlign w:val="center"/>
          </w:tcPr>
          <w:p>
            <w:pPr>
              <w:tabs>
                <w:tab w:val="center" w:pos="4201"/>
                <w:tab w:val="right" w:leader="dot" w:pos="9298"/>
              </w:tabs>
              <w:autoSpaceDE w:val="0"/>
              <w:autoSpaceDN w:val="0"/>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六价铬</w:t>
            </w:r>
          </w:p>
        </w:tc>
        <w:tc>
          <w:tcPr>
            <w:tcW w:w="1801" w:type="dxa"/>
            <w:vMerge w:val="continue"/>
            <w:vAlign w:val="center"/>
          </w:tcPr>
          <w:p>
            <w:pPr>
              <w:snapToGrid w:val="0"/>
              <w:spacing w:line="360" w:lineRule="auto"/>
              <w:jc w:val="center"/>
              <w:rPr>
                <w:rFonts w:ascii="Times New Roman" w:hAnsi="Times New Roman" w:eastAsia="宋体" w:cs="Times New Roman"/>
                <w:sz w:val="24"/>
                <w:szCs w:val="24"/>
              </w:rPr>
            </w:pPr>
          </w:p>
        </w:tc>
        <w:tc>
          <w:tcPr>
            <w:tcW w:w="1941" w:type="dxa"/>
            <w:tcBorders>
              <w:bottom w:val="single" w:color="auto" w:sz="4" w:space="0"/>
            </w:tcBorders>
            <w:vAlign w:val="center"/>
          </w:tcPr>
          <w:p>
            <w:pPr>
              <w:tabs>
                <w:tab w:val="center" w:pos="4201"/>
                <w:tab w:val="right" w:leader="dot" w:pos="9298"/>
              </w:tabs>
              <w:autoSpaceDE w:val="0"/>
              <w:autoSpaceDN w:val="0"/>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sz w:val="24"/>
                <w:szCs w:val="24"/>
              </w:rPr>
              <w:t>≤</w:t>
            </w:r>
            <w:r>
              <w:rPr>
                <w:rFonts w:ascii="Times New Roman" w:hAnsi="Times New Roman" w:eastAsia="宋体" w:cs="Times New Roman"/>
                <w:sz w:val="24"/>
                <w:szCs w:val="24"/>
              </w:rPr>
              <w:t>0.</w:t>
            </w:r>
            <w:r>
              <w:rPr>
                <w:rFonts w:hint="eastAsia" w:ascii="Times New Roman" w:hAnsi="Times New Roman" w:eastAsia="宋体" w:cs="Times New Roman"/>
                <w:sz w:val="24"/>
                <w:szCs w:val="24"/>
              </w:rPr>
              <w:t>1</w:t>
            </w:r>
          </w:p>
        </w:tc>
        <w:tc>
          <w:tcPr>
            <w:tcW w:w="1764" w:type="dxa"/>
            <w:vMerge w:val="continue"/>
            <w:vAlign w:val="center"/>
          </w:tcPr>
          <w:p>
            <w:pPr>
              <w:tabs>
                <w:tab w:val="center" w:pos="4201"/>
                <w:tab w:val="right" w:leader="dot" w:pos="9298"/>
              </w:tabs>
              <w:autoSpaceDE w:val="0"/>
              <w:autoSpaceDN w:val="0"/>
              <w:snapToGrid w:val="0"/>
              <w:spacing w:line="360" w:lineRule="auto"/>
              <w:jc w:val="cente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 w:hRule="atLeast"/>
        </w:trPr>
        <w:tc>
          <w:tcPr>
            <w:tcW w:w="1213" w:type="dxa"/>
            <w:vMerge w:val="continue"/>
            <w:tcBorders>
              <w:left w:val="single" w:color="auto" w:sz="4" w:space="0"/>
            </w:tcBorders>
          </w:tcPr>
          <w:p>
            <w:pPr>
              <w:tabs>
                <w:tab w:val="center" w:pos="4201"/>
                <w:tab w:val="right" w:leader="dot" w:pos="9298"/>
              </w:tabs>
              <w:autoSpaceDE w:val="0"/>
              <w:autoSpaceDN w:val="0"/>
              <w:snapToGrid w:val="0"/>
              <w:spacing w:line="360" w:lineRule="auto"/>
              <w:ind w:left="-82" w:leftChars="-39" w:right="-69" w:rightChars="-33"/>
              <w:jc w:val="center"/>
              <w:rPr>
                <w:sz w:val="24"/>
                <w:szCs w:val="24"/>
              </w:rPr>
            </w:pPr>
          </w:p>
        </w:tc>
        <w:tc>
          <w:tcPr>
            <w:tcW w:w="2910" w:type="dxa"/>
            <w:tcBorders>
              <w:top w:val="single" w:color="auto" w:sz="4" w:space="0"/>
              <w:left w:val="single" w:color="auto" w:sz="4" w:space="0"/>
              <w:bottom w:val="single" w:color="auto" w:sz="4" w:space="0"/>
            </w:tcBorders>
            <w:vAlign w:val="center"/>
          </w:tcPr>
          <w:p>
            <w:pPr>
              <w:tabs>
                <w:tab w:val="center" w:pos="4201"/>
                <w:tab w:val="right" w:leader="dot" w:pos="9298"/>
              </w:tabs>
              <w:autoSpaceDE w:val="0"/>
              <w:autoSpaceDN w:val="0"/>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多溴化联苯</w:t>
            </w:r>
          </w:p>
        </w:tc>
        <w:tc>
          <w:tcPr>
            <w:tcW w:w="1801" w:type="dxa"/>
            <w:vMerge w:val="continue"/>
            <w:vAlign w:val="center"/>
          </w:tcPr>
          <w:p>
            <w:pPr>
              <w:snapToGrid w:val="0"/>
              <w:spacing w:line="360" w:lineRule="auto"/>
              <w:jc w:val="center"/>
              <w:rPr>
                <w:rFonts w:ascii="Times New Roman" w:hAnsi="Times New Roman" w:eastAsia="宋体" w:cs="Times New Roman"/>
                <w:sz w:val="24"/>
                <w:szCs w:val="24"/>
              </w:rPr>
            </w:pPr>
          </w:p>
        </w:tc>
        <w:tc>
          <w:tcPr>
            <w:tcW w:w="1941" w:type="dxa"/>
            <w:tcBorders>
              <w:top w:val="single" w:color="auto" w:sz="4" w:space="0"/>
              <w:bottom w:val="single" w:color="auto" w:sz="4" w:space="0"/>
            </w:tcBorders>
            <w:vAlign w:val="center"/>
          </w:tcPr>
          <w:p>
            <w:pPr>
              <w:tabs>
                <w:tab w:val="center" w:pos="4201"/>
                <w:tab w:val="right" w:leader="dot" w:pos="9298"/>
              </w:tabs>
              <w:autoSpaceDE w:val="0"/>
              <w:autoSpaceDN w:val="0"/>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sz w:val="24"/>
                <w:szCs w:val="24"/>
              </w:rPr>
              <w:t>≤</w:t>
            </w:r>
            <w:r>
              <w:rPr>
                <w:rFonts w:ascii="Times New Roman" w:hAnsi="Times New Roman" w:eastAsia="宋体" w:cs="Times New Roman"/>
                <w:sz w:val="24"/>
                <w:szCs w:val="24"/>
              </w:rPr>
              <w:t>0.</w:t>
            </w:r>
            <w:r>
              <w:rPr>
                <w:rFonts w:hint="eastAsia" w:ascii="Times New Roman" w:hAnsi="Times New Roman" w:eastAsia="宋体" w:cs="Times New Roman"/>
                <w:sz w:val="24"/>
                <w:szCs w:val="24"/>
              </w:rPr>
              <w:t>1</w:t>
            </w:r>
          </w:p>
        </w:tc>
        <w:tc>
          <w:tcPr>
            <w:tcW w:w="1764" w:type="dxa"/>
            <w:vMerge w:val="continue"/>
            <w:vAlign w:val="center"/>
          </w:tcPr>
          <w:p>
            <w:pPr>
              <w:tabs>
                <w:tab w:val="center" w:pos="4201"/>
                <w:tab w:val="right" w:leader="dot" w:pos="9298"/>
              </w:tabs>
              <w:autoSpaceDE w:val="0"/>
              <w:autoSpaceDN w:val="0"/>
              <w:snapToGrid w:val="0"/>
              <w:spacing w:line="360" w:lineRule="auto"/>
              <w:jc w:val="cente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 w:hRule="atLeast"/>
        </w:trPr>
        <w:tc>
          <w:tcPr>
            <w:tcW w:w="1213" w:type="dxa"/>
            <w:vMerge w:val="continue"/>
            <w:tcBorders>
              <w:left w:val="single" w:color="auto" w:sz="4" w:space="0"/>
            </w:tcBorders>
          </w:tcPr>
          <w:p>
            <w:pPr>
              <w:tabs>
                <w:tab w:val="center" w:pos="4201"/>
                <w:tab w:val="right" w:leader="dot" w:pos="9298"/>
              </w:tabs>
              <w:autoSpaceDE w:val="0"/>
              <w:autoSpaceDN w:val="0"/>
              <w:snapToGrid w:val="0"/>
              <w:spacing w:line="360" w:lineRule="auto"/>
              <w:ind w:left="-82" w:leftChars="-39" w:right="-69" w:rightChars="-33"/>
              <w:jc w:val="center"/>
              <w:rPr>
                <w:sz w:val="24"/>
                <w:szCs w:val="24"/>
              </w:rPr>
            </w:pPr>
          </w:p>
        </w:tc>
        <w:tc>
          <w:tcPr>
            <w:tcW w:w="2910" w:type="dxa"/>
            <w:tcBorders>
              <w:top w:val="single" w:color="auto" w:sz="4" w:space="0"/>
              <w:left w:val="single" w:color="auto" w:sz="4" w:space="0"/>
              <w:bottom w:val="single" w:color="auto" w:sz="4" w:space="0"/>
            </w:tcBorders>
            <w:vAlign w:val="center"/>
          </w:tcPr>
          <w:p>
            <w:pPr>
              <w:tabs>
                <w:tab w:val="center" w:pos="4201"/>
                <w:tab w:val="right" w:leader="dot" w:pos="9298"/>
              </w:tabs>
              <w:autoSpaceDE w:val="0"/>
              <w:autoSpaceDN w:val="0"/>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多溴联苯醚</w:t>
            </w:r>
          </w:p>
        </w:tc>
        <w:tc>
          <w:tcPr>
            <w:tcW w:w="1801" w:type="dxa"/>
            <w:vMerge w:val="continue"/>
            <w:vAlign w:val="center"/>
          </w:tcPr>
          <w:p>
            <w:pPr>
              <w:snapToGrid w:val="0"/>
              <w:spacing w:line="360" w:lineRule="auto"/>
              <w:jc w:val="center"/>
              <w:rPr>
                <w:rFonts w:ascii="Times New Roman" w:hAnsi="Times New Roman" w:eastAsia="宋体" w:cs="Times New Roman"/>
                <w:sz w:val="24"/>
                <w:szCs w:val="24"/>
              </w:rPr>
            </w:pPr>
          </w:p>
        </w:tc>
        <w:tc>
          <w:tcPr>
            <w:tcW w:w="1941" w:type="dxa"/>
            <w:tcBorders>
              <w:top w:val="single" w:color="auto" w:sz="4" w:space="0"/>
              <w:bottom w:val="single" w:color="auto" w:sz="4" w:space="0"/>
            </w:tcBorders>
            <w:vAlign w:val="center"/>
          </w:tcPr>
          <w:p>
            <w:pPr>
              <w:tabs>
                <w:tab w:val="center" w:pos="4201"/>
                <w:tab w:val="right" w:leader="dot" w:pos="9298"/>
              </w:tabs>
              <w:autoSpaceDE w:val="0"/>
              <w:autoSpaceDN w:val="0"/>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sz w:val="24"/>
                <w:szCs w:val="24"/>
              </w:rPr>
              <w:t>≤</w:t>
            </w:r>
            <w:r>
              <w:rPr>
                <w:rFonts w:ascii="Times New Roman" w:hAnsi="Times New Roman" w:eastAsia="宋体" w:cs="Times New Roman"/>
                <w:sz w:val="24"/>
                <w:szCs w:val="24"/>
              </w:rPr>
              <w:t>0.</w:t>
            </w:r>
            <w:r>
              <w:rPr>
                <w:rFonts w:hint="eastAsia" w:ascii="Times New Roman" w:hAnsi="Times New Roman" w:eastAsia="宋体" w:cs="Times New Roman"/>
                <w:sz w:val="24"/>
                <w:szCs w:val="24"/>
              </w:rPr>
              <w:t>1</w:t>
            </w:r>
          </w:p>
        </w:tc>
        <w:tc>
          <w:tcPr>
            <w:tcW w:w="1764" w:type="dxa"/>
            <w:vMerge w:val="continue"/>
            <w:vAlign w:val="center"/>
          </w:tcPr>
          <w:p>
            <w:pPr>
              <w:tabs>
                <w:tab w:val="center" w:pos="4201"/>
                <w:tab w:val="right" w:leader="dot" w:pos="9298"/>
              </w:tabs>
              <w:autoSpaceDE w:val="0"/>
              <w:autoSpaceDN w:val="0"/>
              <w:snapToGrid w:val="0"/>
              <w:spacing w:line="360" w:lineRule="auto"/>
              <w:jc w:val="cente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 w:hRule="atLeast"/>
        </w:trPr>
        <w:tc>
          <w:tcPr>
            <w:tcW w:w="1213" w:type="dxa"/>
            <w:vMerge w:val="continue"/>
            <w:tcBorders>
              <w:left w:val="single" w:color="auto" w:sz="4" w:space="0"/>
            </w:tcBorders>
          </w:tcPr>
          <w:p>
            <w:pPr>
              <w:tabs>
                <w:tab w:val="center" w:pos="4201"/>
                <w:tab w:val="right" w:leader="dot" w:pos="9298"/>
              </w:tabs>
              <w:autoSpaceDE w:val="0"/>
              <w:autoSpaceDN w:val="0"/>
              <w:snapToGrid w:val="0"/>
              <w:spacing w:line="360" w:lineRule="auto"/>
              <w:ind w:left="-82" w:leftChars="-39" w:right="-69" w:rightChars="-33"/>
              <w:jc w:val="center"/>
              <w:rPr>
                <w:sz w:val="24"/>
                <w:szCs w:val="24"/>
              </w:rPr>
            </w:pPr>
          </w:p>
        </w:tc>
        <w:tc>
          <w:tcPr>
            <w:tcW w:w="2910" w:type="dxa"/>
            <w:tcBorders>
              <w:top w:val="single" w:color="auto" w:sz="4" w:space="0"/>
              <w:left w:val="single" w:color="auto" w:sz="4" w:space="0"/>
              <w:bottom w:val="single" w:color="auto" w:sz="4" w:space="0"/>
            </w:tcBorders>
            <w:vAlign w:val="center"/>
          </w:tcPr>
          <w:p>
            <w:pPr>
              <w:tabs>
                <w:tab w:val="center" w:pos="4201"/>
                <w:tab w:val="right" w:leader="dot" w:pos="9298"/>
              </w:tabs>
              <w:autoSpaceDE w:val="0"/>
              <w:autoSpaceDN w:val="0"/>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邻苯二甲酸二乙基己酯</w:t>
            </w:r>
          </w:p>
        </w:tc>
        <w:tc>
          <w:tcPr>
            <w:tcW w:w="1801" w:type="dxa"/>
            <w:vMerge w:val="continue"/>
            <w:vAlign w:val="center"/>
          </w:tcPr>
          <w:p>
            <w:pPr>
              <w:snapToGrid w:val="0"/>
              <w:spacing w:line="360" w:lineRule="auto"/>
              <w:jc w:val="center"/>
              <w:rPr>
                <w:rFonts w:ascii="Times New Roman" w:hAnsi="Times New Roman" w:eastAsia="宋体" w:cs="Times New Roman"/>
                <w:sz w:val="24"/>
                <w:szCs w:val="24"/>
              </w:rPr>
            </w:pPr>
          </w:p>
        </w:tc>
        <w:tc>
          <w:tcPr>
            <w:tcW w:w="1941" w:type="dxa"/>
            <w:tcBorders>
              <w:top w:val="single" w:color="auto" w:sz="4" w:space="0"/>
              <w:bottom w:val="single" w:color="auto" w:sz="4" w:space="0"/>
            </w:tcBorders>
            <w:vAlign w:val="center"/>
          </w:tcPr>
          <w:p>
            <w:pPr>
              <w:tabs>
                <w:tab w:val="center" w:pos="4201"/>
                <w:tab w:val="right" w:leader="dot" w:pos="9298"/>
              </w:tabs>
              <w:autoSpaceDE w:val="0"/>
              <w:autoSpaceDN w:val="0"/>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sz w:val="24"/>
                <w:szCs w:val="24"/>
              </w:rPr>
              <w:t>≤</w:t>
            </w:r>
            <w:r>
              <w:rPr>
                <w:rFonts w:ascii="Times New Roman" w:hAnsi="Times New Roman" w:eastAsia="宋体" w:cs="Times New Roman"/>
                <w:sz w:val="24"/>
                <w:szCs w:val="24"/>
              </w:rPr>
              <w:t>0.</w:t>
            </w:r>
            <w:r>
              <w:rPr>
                <w:rFonts w:hint="eastAsia" w:ascii="Times New Roman" w:hAnsi="Times New Roman" w:eastAsia="宋体" w:cs="Times New Roman"/>
                <w:sz w:val="24"/>
                <w:szCs w:val="24"/>
              </w:rPr>
              <w:t>1</w:t>
            </w:r>
          </w:p>
        </w:tc>
        <w:tc>
          <w:tcPr>
            <w:tcW w:w="1764" w:type="dxa"/>
            <w:vMerge w:val="restart"/>
            <w:vAlign w:val="center"/>
          </w:tcPr>
          <w:p>
            <w:pPr>
              <w:tabs>
                <w:tab w:val="center" w:pos="4201"/>
                <w:tab w:val="right" w:leader="dot" w:pos="9298"/>
              </w:tabs>
              <w:autoSpaceDE w:val="0"/>
              <w:autoSpaceDN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附录</w:t>
            </w:r>
            <w:r>
              <w:rPr>
                <w:rFonts w:hint="eastAsia" w:ascii="Times New Roman" w:hAnsi="Times New Roman" w:eastAsia="宋体" w:cs="Times New Roman"/>
                <w:sz w:val="24"/>
                <w:szCs w:val="24"/>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 w:hRule="atLeast"/>
        </w:trPr>
        <w:tc>
          <w:tcPr>
            <w:tcW w:w="1213" w:type="dxa"/>
            <w:vMerge w:val="continue"/>
            <w:tcBorders>
              <w:left w:val="single" w:color="auto" w:sz="4" w:space="0"/>
            </w:tcBorders>
          </w:tcPr>
          <w:p>
            <w:pPr>
              <w:tabs>
                <w:tab w:val="center" w:pos="4201"/>
                <w:tab w:val="right" w:leader="dot" w:pos="9298"/>
              </w:tabs>
              <w:autoSpaceDE w:val="0"/>
              <w:autoSpaceDN w:val="0"/>
              <w:snapToGrid w:val="0"/>
              <w:spacing w:line="360" w:lineRule="auto"/>
              <w:ind w:left="-82" w:leftChars="-39" w:right="-69" w:rightChars="-33"/>
              <w:jc w:val="center"/>
              <w:rPr>
                <w:sz w:val="24"/>
                <w:szCs w:val="24"/>
              </w:rPr>
            </w:pPr>
          </w:p>
        </w:tc>
        <w:tc>
          <w:tcPr>
            <w:tcW w:w="2910" w:type="dxa"/>
            <w:tcBorders>
              <w:top w:val="single" w:color="auto" w:sz="4" w:space="0"/>
              <w:left w:val="single" w:color="auto" w:sz="4" w:space="0"/>
              <w:bottom w:val="single" w:color="auto" w:sz="4" w:space="0"/>
            </w:tcBorders>
            <w:vAlign w:val="center"/>
          </w:tcPr>
          <w:p>
            <w:pPr>
              <w:tabs>
                <w:tab w:val="center" w:pos="4201"/>
                <w:tab w:val="right" w:leader="dot" w:pos="9298"/>
              </w:tabs>
              <w:autoSpaceDE w:val="0"/>
              <w:autoSpaceDN w:val="0"/>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邻苯二甲酸丁苄酯</w:t>
            </w:r>
          </w:p>
        </w:tc>
        <w:tc>
          <w:tcPr>
            <w:tcW w:w="1801" w:type="dxa"/>
            <w:vMerge w:val="continue"/>
            <w:vAlign w:val="center"/>
          </w:tcPr>
          <w:p>
            <w:pPr>
              <w:snapToGrid w:val="0"/>
              <w:spacing w:line="360" w:lineRule="auto"/>
              <w:jc w:val="center"/>
              <w:rPr>
                <w:rFonts w:ascii="Times New Roman" w:hAnsi="Times New Roman" w:eastAsia="宋体" w:cs="Times New Roman"/>
                <w:sz w:val="24"/>
                <w:szCs w:val="24"/>
              </w:rPr>
            </w:pPr>
          </w:p>
        </w:tc>
        <w:tc>
          <w:tcPr>
            <w:tcW w:w="1941" w:type="dxa"/>
            <w:tcBorders>
              <w:top w:val="single" w:color="auto" w:sz="4" w:space="0"/>
              <w:bottom w:val="single" w:color="auto" w:sz="4" w:space="0"/>
            </w:tcBorders>
            <w:vAlign w:val="center"/>
          </w:tcPr>
          <w:p>
            <w:pPr>
              <w:tabs>
                <w:tab w:val="center" w:pos="4201"/>
                <w:tab w:val="right" w:leader="dot" w:pos="9298"/>
              </w:tabs>
              <w:autoSpaceDE w:val="0"/>
              <w:autoSpaceDN w:val="0"/>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sz w:val="24"/>
                <w:szCs w:val="24"/>
              </w:rPr>
              <w:t>≤</w:t>
            </w:r>
            <w:r>
              <w:rPr>
                <w:rFonts w:ascii="Times New Roman" w:hAnsi="Times New Roman" w:eastAsia="宋体" w:cs="Times New Roman"/>
                <w:sz w:val="24"/>
                <w:szCs w:val="24"/>
              </w:rPr>
              <w:t>0.</w:t>
            </w:r>
            <w:r>
              <w:rPr>
                <w:rFonts w:hint="eastAsia" w:ascii="Times New Roman" w:hAnsi="Times New Roman" w:eastAsia="宋体" w:cs="Times New Roman"/>
                <w:sz w:val="24"/>
                <w:szCs w:val="24"/>
              </w:rPr>
              <w:t>1</w:t>
            </w:r>
          </w:p>
        </w:tc>
        <w:tc>
          <w:tcPr>
            <w:tcW w:w="1764" w:type="dxa"/>
            <w:vMerge w:val="continue"/>
            <w:vAlign w:val="center"/>
          </w:tcPr>
          <w:p>
            <w:pPr>
              <w:tabs>
                <w:tab w:val="center" w:pos="4201"/>
                <w:tab w:val="right" w:leader="dot" w:pos="9298"/>
              </w:tabs>
              <w:autoSpaceDE w:val="0"/>
              <w:autoSpaceDN w:val="0"/>
              <w:snapToGrid w:val="0"/>
              <w:spacing w:line="360" w:lineRule="auto"/>
              <w:ind w:left="-82" w:leftChars="-39" w:right="-69" w:rightChars="-33"/>
              <w:jc w:val="center"/>
              <w:rPr>
                <w:rFonts w:ascii="Calibri" w:hAnsi="Calibri"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7" w:hRule="atLeast"/>
        </w:trPr>
        <w:tc>
          <w:tcPr>
            <w:tcW w:w="1213" w:type="dxa"/>
            <w:vMerge w:val="continue"/>
            <w:tcBorders>
              <w:left w:val="single" w:color="auto" w:sz="4" w:space="0"/>
            </w:tcBorders>
          </w:tcPr>
          <w:p>
            <w:pPr>
              <w:tabs>
                <w:tab w:val="center" w:pos="4201"/>
                <w:tab w:val="right" w:leader="dot" w:pos="9298"/>
              </w:tabs>
              <w:autoSpaceDE w:val="0"/>
              <w:autoSpaceDN w:val="0"/>
              <w:snapToGrid w:val="0"/>
              <w:spacing w:line="360" w:lineRule="auto"/>
              <w:ind w:left="-82" w:leftChars="-39" w:right="-69" w:rightChars="-33"/>
              <w:jc w:val="center"/>
              <w:rPr>
                <w:sz w:val="24"/>
                <w:szCs w:val="24"/>
              </w:rPr>
            </w:pPr>
          </w:p>
        </w:tc>
        <w:tc>
          <w:tcPr>
            <w:tcW w:w="2910" w:type="dxa"/>
            <w:tcBorders>
              <w:top w:val="single" w:color="auto" w:sz="4" w:space="0"/>
              <w:left w:val="single" w:color="auto" w:sz="4" w:space="0"/>
              <w:bottom w:val="single" w:color="auto" w:sz="4" w:space="0"/>
            </w:tcBorders>
            <w:vAlign w:val="center"/>
          </w:tcPr>
          <w:p>
            <w:pPr>
              <w:tabs>
                <w:tab w:val="center" w:pos="4201"/>
                <w:tab w:val="right" w:leader="dot" w:pos="9298"/>
              </w:tabs>
              <w:autoSpaceDE w:val="0"/>
              <w:autoSpaceDN w:val="0"/>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邻苯二甲酸二丁酯</w:t>
            </w:r>
          </w:p>
        </w:tc>
        <w:tc>
          <w:tcPr>
            <w:tcW w:w="1801" w:type="dxa"/>
            <w:vMerge w:val="continue"/>
            <w:vAlign w:val="center"/>
          </w:tcPr>
          <w:p>
            <w:pPr>
              <w:snapToGrid w:val="0"/>
              <w:spacing w:line="360" w:lineRule="auto"/>
              <w:jc w:val="center"/>
              <w:rPr>
                <w:rFonts w:ascii="Times New Roman" w:hAnsi="Times New Roman" w:eastAsia="宋体" w:cs="Times New Roman"/>
                <w:sz w:val="24"/>
                <w:szCs w:val="24"/>
              </w:rPr>
            </w:pPr>
          </w:p>
        </w:tc>
        <w:tc>
          <w:tcPr>
            <w:tcW w:w="1941" w:type="dxa"/>
            <w:tcBorders>
              <w:top w:val="single" w:color="auto" w:sz="4" w:space="0"/>
              <w:bottom w:val="single" w:color="auto" w:sz="4" w:space="0"/>
            </w:tcBorders>
            <w:vAlign w:val="center"/>
          </w:tcPr>
          <w:p>
            <w:pPr>
              <w:tabs>
                <w:tab w:val="center" w:pos="4201"/>
                <w:tab w:val="right" w:leader="dot" w:pos="9298"/>
              </w:tabs>
              <w:autoSpaceDE w:val="0"/>
              <w:autoSpaceDN w:val="0"/>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sz w:val="24"/>
                <w:szCs w:val="24"/>
              </w:rPr>
              <w:t>≤</w:t>
            </w:r>
            <w:r>
              <w:rPr>
                <w:rFonts w:ascii="Times New Roman" w:hAnsi="Times New Roman" w:eastAsia="宋体" w:cs="Times New Roman"/>
                <w:sz w:val="24"/>
                <w:szCs w:val="24"/>
              </w:rPr>
              <w:t>0.</w:t>
            </w:r>
            <w:r>
              <w:rPr>
                <w:rFonts w:hint="eastAsia" w:ascii="Times New Roman" w:hAnsi="Times New Roman" w:eastAsia="宋体" w:cs="Times New Roman"/>
                <w:sz w:val="24"/>
                <w:szCs w:val="24"/>
              </w:rPr>
              <w:t>1</w:t>
            </w:r>
          </w:p>
        </w:tc>
        <w:tc>
          <w:tcPr>
            <w:tcW w:w="1764" w:type="dxa"/>
            <w:vMerge w:val="continue"/>
            <w:vAlign w:val="center"/>
          </w:tcPr>
          <w:p>
            <w:pPr>
              <w:tabs>
                <w:tab w:val="center" w:pos="4201"/>
                <w:tab w:val="right" w:leader="dot" w:pos="9298"/>
              </w:tabs>
              <w:autoSpaceDE w:val="0"/>
              <w:autoSpaceDN w:val="0"/>
              <w:snapToGrid w:val="0"/>
              <w:spacing w:line="360" w:lineRule="auto"/>
              <w:ind w:left="-82" w:leftChars="-39" w:right="-69" w:rightChars="-33"/>
              <w:jc w:val="center"/>
              <w:rPr>
                <w:rFonts w:ascii="Calibri" w:hAnsi="Calibri"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7" w:hRule="atLeast"/>
        </w:trPr>
        <w:tc>
          <w:tcPr>
            <w:tcW w:w="1213" w:type="dxa"/>
            <w:vMerge w:val="continue"/>
            <w:tcBorders>
              <w:left w:val="single" w:color="auto" w:sz="4" w:space="0"/>
            </w:tcBorders>
          </w:tcPr>
          <w:p>
            <w:pPr>
              <w:tabs>
                <w:tab w:val="center" w:pos="4201"/>
                <w:tab w:val="right" w:leader="dot" w:pos="9298"/>
              </w:tabs>
              <w:autoSpaceDE w:val="0"/>
              <w:autoSpaceDN w:val="0"/>
              <w:snapToGrid w:val="0"/>
              <w:spacing w:line="360" w:lineRule="auto"/>
              <w:ind w:left="-82" w:leftChars="-39" w:right="-69" w:rightChars="-33"/>
              <w:jc w:val="center"/>
              <w:rPr>
                <w:sz w:val="24"/>
                <w:szCs w:val="24"/>
              </w:rPr>
            </w:pPr>
          </w:p>
        </w:tc>
        <w:tc>
          <w:tcPr>
            <w:tcW w:w="2910" w:type="dxa"/>
            <w:tcBorders>
              <w:top w:val="single" w:color="auto" w:sz="4" w:space="0"/>
              <w:left w:val="single" w:color="auto" w:sz="4" w:space="0"/>
            </w:tcBorders>
            <w:vAlign w:val="center"/>
          </w:tcPr>
          <w:p>
            <w:pPr>
              <w:tabs>
                <w:tab w:val="center" w:pos="4201"/>
                <w:tab w:val="right" w:leader="dot" w:pos="9298"/>
              </w:tabs>
              <w:autoSpaceDE w:val="0"/>
              <w:autoSpaceDN w:val="0"/>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邻苯二甲酸二异丁酯</w:t>
            </w:r>
          </w:p>
        </w:tc>
        <w:tc>
          <w:tcPr>
            <w:tcW w:w="1801" w:type="dxa"/>
            <w:vMerge w:val="continue"/>
            <w:vAlign w:val="center"/>
          </w:tcPr>
          <w:p>
            <w:pPr>
              <w:snapToGrid w:val="0"/>
              <w:spacing w:line="360" w:lineRule="auto"/>
              <w:jc w:val="center"/>
              <w:rPr>
                <w:rFonts w:ascii="Times New Roman" w:hAnsi="Times New Roman" w:eastAsia="宋体" w:cs="Times New Roman"/>
                <w:sz w:val="24"/>
                <w:szCs w:val="24"/>
              </w:rPr>
            </w:pPr>
          </w:p>
        </w:tc>
        <w:tc>
          <w:tcPr>
            <w:tcW w:w="1941" w:type="dxa"/>
            <w:tcBorders>
              <w:top w:val="single" w:color="auto" w:sz="4" w:space="0"/>
            </w:tcBorders>
            <w:vAlign w:val="center"/>
          </w:tcPr>
          <w:p>
            <w:pPr>
              <w:tabs>
                <w:tab w:val="center" w:pos="4201"/>
                <w:tab w:val="right" w:leader="dot" w:pos="9298"/>
              </w:tabs>
              <w:autoSpaceDE w:val="0"/>
              <w:autoSpaceDN w:val="0"/>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sz w:val="24"/>
                <w:szCs w:val="24"/>
              </w:rPr>
              <w:t>≤</w:t>
            </w:r>
            <w:r>
              <w:rPr>
                <w:rFonts w:ascii="Times New Roman" w:hAnsi="Times New Roman" w:eastAsia="宋体" w:cs="Times New Roman"/>
                <w:sz w:val="24"/>
                <w:szCs w:val="24"/>
              </w:rPr>
              <w:t>0.</w:t>
            </w:r>
            <w:r>
              <w:rPr>
                <w:rFonts w:hint="eastAsia" w:ascii="Times New Roman" w:hAnsi="Times New Roman" w:eastAsia="宋体" w:cs="Times New Roman"/>
                <w:sz w:val="24"/>
                <w:szCs w:val="24"/>
              </w:rPr>
              <w:t>1</w:t>
            </w:r>
          </w:p>
        </w:tc>
        <w:tc>
          <w:tcPr>
            <w:tcW w:w="1764" w:type="dxa"/>
            <w:vMerge w:val="continue"/>
            <w:vAlign w:val="center"/>
          </w:tcPr>
          <w:p>
            <w:pPr>
              <w:tabs>
                <w:tab w:val="center" w:pos="4201"/>
                <w:tab w:val="right" w:leader="dot" w:pos="9298"/>
              </w:tabs>
              <w:autoSpaceDE w:val="0"/>
              <w:autoSpaceDN w:val="0"/>
              <w:snapToGrid w:val="0"/>
              <w:spacing w:line="360" w:lineRule="auto"/>
              <w:ind w:left="-82" w:leftChars="-39" w:right="-69" w:rightChars="-33"/>
              <w:jc w:val="center"/>
              <w:rPr>
                <w:rFonts w:ascii="Calibri" w:hAnsi="Calibri" w:eastAsia="宋体" w:cs="Times New Roman"/>
                <w:sz w:val="24"/>
                <w:szCs w:val="24"/>
              </w:rPr>
            </w:pPr>
          </w:p>
        </w:tc>
      </w:tr>
    </w:tbl>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default" w:eastAsia="宋体" w:asciiTheme="minorEastAsia" w:hAnsiTheme="minorEastAsia" w:cstheme="minorEastAsia"/>
          <w:sz w:val="24"/>
          <w:szCs w:val="24"/>
          <w:lang w:val="en-US" w:eastAsia="zh-CN"/>
        </w:rPr>
      </w:pPr>
      <w:r>
        <w:rPr>
          <w:rFonts w:hint="eastAsia" w:ascii="宋体" w:hAnsi="宋体" w:eastAsia="宋体" w:cs="宋体"/>
          <w:sz w:val="24"/>
          <w:szCs w:val="24"/>
        </w:rPr>
        <w:t>②</w:t>
      </w:r>
      <w:r>
        <w:rPr>
          <w:rFonts w:hint="eastAsia" w:ascii="宋体" w:hAnsi="宋体" w:eastAsia="宋体" w:cs="宋体"/>
          <w:sz w:val="24"/>
          <w:szCs w:val="24"/>
          <w:lang w:val="en-US" w:eastAsia="zh-CN"/>
        </w:rPr>
        <w:t xml:space="preserve"> 制冷剂</w:t>
      </w:r>
    </w:p>
    <w:p>
      <w:pPr>
        <w:spacing w:line="360" w:lineRule="auto"/>
        <w:ind w:firstLine="480" w:firstLineChars="200"/>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本标准对压缩机设计使用的制冷剂进行了限定，规定应采用环保制冷剂：ODP=0且GWP≦2100。</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（4）品质属性</w:t>
      </w: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①</w:t>
      </w:r>
      <w:r>
        <w:rPr>
          <w:rFonts w:hint="eastAsia" w:ascii="Times New Roman" w:hAnsi="Times New Roman" w:eastAsia="宋体" w:cs="Times New Roman"/>
          <w:sz w:val="24"/>
          <w:szCs w:val="24"/>
          <w:lang w:val="en-US" w:eastAsia="zh-CN"/>
        </w:rPr>
        <w:t>用户体验</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本标准对压缩机的噪声和振动做出了规定，测试方法按照GB/T 15765规定的要求进行</w:t>
      </w:r>
      <w:r>
        <w:rPr>
          <w:rFonts w:hint="eastAsia" w:ascii="Times New Roman" w:hAnsi="Times New Roman" w:eastAsia="宋体" w:cs="Times New Roman"/>
          <w:sz w:val="24"/>
          <w:szCs w:val="24"/>
        </w:rPr>
        <w:t>。</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②电器安全性</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压缩机</w:t>
      </w:r>
      <w:r>
        <w:rPr>
          <w:rFonts w:hint="eastAsia" w:ascii="Times New Roman" w:hAnsi="Times New Roman" w:eastAsia="宋体" w:cs="Times New Roman"/>
          <w:sz w:val="24"/>
          <w:szCs w:val="24"/>
        </w:rPr>
        <w:t>的电气安全性除应符合</w:t>
      </w:r>
      <w:r>
        <w:rPr>
          <w:rFonts w:ascii="Times New Roman" w:hAnsi="Times New Roman" w:eastAsia="宋体" w:cs="Times New Roman"/>
          <w:sz w:val="24"/>
          <w:szCs w:val="24"/>
        </w:rPr>
        <w:t>GB 4706.1</w:t>
      </w:r>
      <w:r>
        <w:rPr>
          <w:rFonts w:hint="eastAsia" w:ascii="Times New Roman" w:hAnsi="Times New Roman" w:eastAsia="宋体" w:cs="Times New Roman"/>
          <w:sz w:val="24"/>
          <w:szCs w:val="24"/>
          <w:lang w:val="en-US" w:eastAsia="zh-CN"/>
        </w:rPr>
        <w:t>7</w:t>
      </w:r>
      <w:r>
        <w:rPr>
          <w:rFonts w:ascii="Times New Roman" w:hAnsi="Times New Roman" w:eastAsia="宋体" w:cs="Times New Roman"/>
          <w:sz w:val="24"/>
          <w:szCs w:val="24"/>
        </w:rPr>
        <w:t>标准中规定的要求外</w:t>
      </w:r>
      <w:r>
        <w:rPr>
          <w:rFonts w:hint="eastAsia" w:ascii="Times New Roman" w:hAnsi="Times New Roman" w:eastAsia="宋体" w:cs="Times New Roman"/>
          <w:sz w:val="24"/>
          <w:szCs w:val="24"/>
        </w:rPr>
        <w:t>。</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2.3生命周期评价要求</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本标准规定</w:t>
      </w:r>
      <w:r>
        <w:rPr>
          <w:rFonts w:hint="eastAsia" w:ascii="Times New Roman" w:hAnsi="Times New Roman" w:eastAsia="宋体" w:cs="Times New Roman"/>
          <w:sz w:val="24"/>
          <w:szCs w:val="24"/>
          <w:lang w:val="en-US" w:eastAsia="zh-CN"/>
        </w:rPr>
        <w:t>房间空调器压缩机</w:t>
      </w:r>
      <w:r>
        <w:rPr>
          <w:rFonts w:hint="eastAsia" w:ascii="Times New Roman" w:hAnsi="Times New Roman" w:eastAsia="宋体" w:cs="Times New Roman"/>
          <w:sz w:val="24"/>
          <w:szCs w:val="24"/>
        </w:rPr>
        <w:t>应依据GB/T 24040、GB/T 24044和GB/T 32161进行生命周期评价，并编制生命周期评价报告，并对报告内容框架进行明确规定。</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 主要试验（或验证）情况分析</w:t>
      </w:r>
    </w:p>
    <w:p>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本标准制定过程中，通过对目前正在生产、销售中的</w:t>
      </w:r>
      <w:r>
        <w:rPr>
          <w:rFonts w:hint="eastAsia" w:ascii="Times New Roman" w:hAnsi="Times New Roman" w:eastAsia="宋体" w:cs="Times New Roman"/>
          <w:sz w:val="24"/>
          <w:szCs w:val="24"/>
          <w:lang w:val="en-US" w:eastAsia="zh-CN"/>
        </w:rPr>
        <w:t>压缩机</w:t>
      </w:r>
      <w:r>
        <w:rPr>
          <w:rFonts w:hint="eastAsia" w:ascii="Times New Roman" w:hAnsi="Times New Roman" w:eastAsia="宋体" w:cs="Times New Roman"/>
          <w:sz w:val="24"/>
          <w:szCs w:val="24"/>
        </w:rPr>
        <w:t>产品进行初步的调查研究，选取其中数十款产品作为基础检测样本，对</w:t>
      </w:r>
      <w:r>
        <w:rPr>
          <w:rFonts w:hint="eastAsia" w:ascii="Times New Roman" w:hAnsi="Times New Roman" w:eastAsia="宋体" w:cs="Times New Roman"/>
          <w:sz w:val="24"/>
          <w:szCs w:val="24"/>
          <w:lang w:val="en-US" w:eastAsia="zh-CN"/>
        </w:rPr>
        <w:t>容重比</w:t>
      </w:r>
      <w:r>
        <w:rPr>
          <w:rFonts w:hint="eastAsia" w:ascii="Times New Roman" w:hAnsi="Times New Roman" w:eastAsia="宋体" w:cs="Times New Roman"/>
          <w:sz w:val="24"/>
          <w:szCs w:val="24"/>
        </w:rPr>
        <w:t>、噪声、材料安全等情况进行了测试和评估。一方面，选取的检测样本来源于不同厂家、品牌、型号，对于目前的</w:t>
      </w:r>
      <w:r>
        <w:rPr>
          <w:rFonts w:hint="eastAsia" w:ascii="Times New Roman" w:hAnsi="Times New Roman" w:eastAsia="宋体" w:cs="Times New Roman"/>
          <w:sz w:val="24"/>
          <w:szCs w:val="24"/>
          <w:lang w:val="en-US" w:eastAsia="zh-CN"/>
        </w:rPr>
        <w:t>压缩</w:t>
      </w:r>
      <w:r>
        <w:rPr>
          <w:rFonts w:hint="eastAsia" w:ascii="Times New Roman" w:hAnsi="Times New Roman" w:eastAsia="宋体" w:cs="Times New Roman"/>
          <w:sz w:val="24"/>
          <w:szCs w:val="24"/>
        </w:rPr>
        <w:t>机产品具有代表性和研究价值，可真实反映</w:t>
      </w:r>
      <w:r>
        <w:rPr>
          <w:rFonts w:hint="eastAsia" w:ascii="Times New Roman" w:hAnsi="Times New Roman" w:eastAsia="宋体" w:cs="Times New Roman"/>
          <w:sz w:val="24"/>
          <w:szCs w:val="24"/>
          <w:lang w:val="en-US" w:eastAsia="zh-CN"/>
        </w:rPr>
        <w:t>压缩</w:t>
      </w:r>
      <w:r>
        <w:rPr>
          <w:rFonts w:hint="eastAsia" w:ascii="Times New Roman" w:hAnsi="Times New Roman" w:eastAsia="宋体" w:cs="Times New Roman"/>
          <w:sz w:val="24"/>
          <w:szCs w:val="24"/>
        </w:rPr>
        <w:t>机的整体情况。另一方面，本标准的制定立足于绿色设计产品评价，指标要求高于行业平均水平，通过量化的试验数据可显示出符合要求的绿色设计产品的突出优势。试验数据（节选）见表。</w:t>
      </w: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容重比</w:t>
      </w:r>
      <w:r>
        <w:rPr>
          <w:rFonts w:hint="eastAsia" w:ascii="Times New Roman" w:hAnsi="Times New Roman" w:eastAsia="宋体" w:cs="Times New Roman"/>
          <w:sz w:val="24"/>
          <w:szCs w:val="24"/>
        </w:rPr>
        <w:t>指标的确定是根据国内各压缩机厂家成型产品及研发产品的实际水平而定。根据工质和结构型式不同分别进行确定。</w:t>
      </w:r>
      <w:r>
        <w:rPr>
          <w:rFonts w:hint="eastAsia" w:ascii="Times New Roman" w:hAnsi="Times New Roman" w:eastAsia="宋体" w:cs="Times New Roman"/>
          <w:sz w:val="24"/>
          <w:szCs w:val="24"/>
          <w:lang w:val="en-US" w:eastAsia="zh-CN"/>
        </w:rPr>
        <w:t>容重比数据采集</w:t>
      </w:r>
      <w:r>
        <w:rPr>
          <w:rFonts w:hint="eastAsia" w:ascii="Times New Roman" w:hAnsi="Times New Roman" w:eastAsia="宋体" w:cs="Times New Roman"/>
          <w:sz w:val="24"/>
          <w:szCs w:val="24"/>
        </w:rPr>
        <w:t>工作由各起草单位根据其产品进行验证。</w:t>
      </w:r>
      <w:r>
        <w:rPr>
          <w:rFonts w:hint="eastAsia" w:ascii="Times New Roman" w:hAnsi="Times New Roman" w:eastAsia="宋体" w:cs="Times New Roman"/>
          <w:sz w:val="24"/>
          <w:szCs w:val="24"/>
          <w:lang w:val="en-US" w:eastAsia="zh-CN"/>
        </w:rPr>
        <w:t>西安庆安制冷设备股份有限公司</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广东美芝制冷设备有限公司、三菱电机（广东）压缩机有限公司、珠海凌达压缩机有限公司、南昌海立电器有限公司、大金机电设备（苏州）有限公司、浙江博阳压缩机有限公司</w:t>
      </w:r>
      <w:r>
        <w:rPr>
          <w:rFonts w:hint="eastAsia" w:ascii="Times New Roman" w:hAnsi="Times New Roman" w:eastAsia="宋体" w:cs="Times New Roman"/>
          <w:sz w:val="24"/>
          <w:szCs w:val="24"/>
        </w:rPr>
        <w:t>对转子式压缩机性能系数进行试验和验证。</w:t>
      </w:r>
      <w:r>
        <w:rPr>
          <w:rFonts w:hint="eastAsia" w:ascii="Times New Roman" w:hAnsi="Times New Roman" w:eastAsia="宋体" w:cs="Times New Roman"/>
          <w:sz w:val="24"/>
          <w:szCs w:val="24"/>
          <w:lang w:val="en-US" w:eastAsia="zh-CN"/>
        </w:rPr>
        <w:t>三菱电机（广东）压缩机有限公司、大金机电设备（苏州）有限公司、大金机电设备（西安）有限公司</w:t>
      </w:r>
      <w:r>
        <w:rPr>
          <w:rFonts w:hint="eastAsia" w:ascii="Times New Roman" w:hAnsi="Times New Roman" w:eastAsia="宋体" w:cs="Times New Roman"/>
          <w:sz w:val="24"/>
          <w:szCs w:val="24"/>
        </w:rPr>
        <w:t>对涡旋式压缩机</w:t>
      </w:r>
      <w:r>
        <w:rPr>
          <w:rFonts w:hint="eastAsia" w:ascii="Times New Roman" w:hAnsi="Times New Roman" w:eastAsia="宋体" w:cs="Times New Roman"/>
          <w:sz w:val="24"/>
          <w:szCs w:val="24"/>
          <w:lang w:val="en-US" w:eastAsia="zh-CN"/>
        </w:rPr>
        <w:t>容重比</w:t>
      </w:r>
      <w:r>
        <w:rPr>
          <w:rFonts w:hint="eastAsia" w:ascii="Times New Roman" w:hAnsi="Times New Roman" w:eastAsia="宋体" w:cs="Times New Roman"/>
          <w:sz w:val="24"/>
          <w:szCs w:val="24"/>
        </w:rPr>
        <w:t>进行验证。</w:t>
      </w:r>
      <w:r>
        <w:rPr>
          <w:rFonts w:hint="eastAsia" w:ascii="Times New Roman" w:hAnsi="Times New Roman" w:eastAsia="宋体" w:cs="Times New Roman"/>
          <w:sz w:val="24"/>
          <w:szCs w:val="24"/>
          <w:lang w:val="en-US" w:eastAsia="zh-CN"/>
        </w:rPr>
        <w:t>以下是部分试验数据：</w:t>
      </w:r>
    </w:p>
    <w:p>
      <w:pPr>
        <w:spacing w:line="360" w:lineRule="auto"/>
        <w:ind w:firstLine="480" w:firstLineChars="200"/>
        <w:jc w:val="center"/>
        <w:rPr>
          <w:rFonts w:ascii="Times New Roman" w:hAnsi="Times New Roman" w:cs="Times New Roman"/>
          <w:sz w:val="24"/>
          <w:szCs w:val="24"/>
        </w:rPr>
      </w:pPr>
      <w:r>
        <w:rPr>
          <w:rFonts w:ascii="Times New Roman" w:hAnsi="Times New Roman" w:cs="Times New Roman"/>
          <w:sz w:val="24"/>
          <w:szCs w:val="24"/>
        </w:rPr>
        <w:t>表</w:t>
      </w:r>
      <w:r>
        <w:rPr>
          <w:rFonts w:hint="eastAsia" w:ascii="Times New Roman" w:hAnsi="Times New Roman" w:cs="Times New Roman"/>
          <w:sz w:val="24"/>
          <w:szCs w:val="24"/>
          <w:lang w:val="en-US" w:eastAsia="zh-CN"/>
        </w:rPr>
        <w:t>4</w:t>
      </w:r>
      <w:r>
        <w:rPr>
          <w:rFonts w:ascii="Times New Roman" w:hAnsi="Times New Roman" w:cs="Times New Roman"/>
          <w:sz w:val="24"/>
          <w:szCs w:val="24"/>
        </w:rPr>
        <w:t xml:space="preserve"> </w:t>
      </w:r>
      <w:r>
        <w:rPr>
          <w:rFonts w:hint="eastAsia" w:ascii="Times New Roman" w:hAnsi="Times New Roman" w:cs="Times New Roman"/>
          <w:sz w:val="24"/>
          <w:szCs w:val="24"/>
          <w:lang w:val="en-US" w:eastAsia="zh-CN"/>
        </w:rPr>
        <w:t>房间空调器用转子式压缩机容重比试验数据</w:t>
      </w:r>
    </w:p>
    <w:tbl>
      <w:tblPr>
        <w:tblStyle w:val="19"/>
        <w:tblW w:w="9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1319"/>
        <w:gridCol w:w="1319"/>
        <w:gridCol w:w="1319"/>
        <w:gridCol w:w="1319"/>
        <w:gridCol w:w="1319"/>
        <w:gridCol w:w="1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9" w:type="dxa"/>
            <w:noWrap w:val="0"/>
            <w:vAlign w:val="top"/>
          </w:tcPr>
          <w:p>
            <w:pPr>
              <w:jc w:val="center"/>
              <w:rPr>
                <w:rFonts w:hint="eastAsia" w:ascii="宋体"/>
                <w:b/>
                <w:bCs/>
                <w:sz w:val="18"/>
                <w:szCs w:val="18"/>
              </w:rPr>
            </w:pPr>
            <w:r>
              <w:rPr>
                <w:rFonts w:hint="eastAsia" w:ascii="宋体"/>
                <w:b/>
                <w:bCs/>
                <w:sz w:val="18"/>
                <w:szCs w:val="18"/>
              </w:rPr>
              <w:t>气缸工作容积</w:t>
            </w:r>
          </w:p>
        </w:tc>
        <w:tc>
          <w:tcPr>
            <w:tcW w:w="1319" w:type="dxa"/>
            <w:noWrap w:val="0"/>
            <w:vAlign w:val="top"/>
          </w:tcPr>
          <w:p>
            <w:pPr>
              <w:jc w:val="center"/>
              <w:rPr>
                <w:rFonts w:hint="eastAsia" w:ascii="宋体"/>
                <w:color w:val="000000"/>
                <w:sz w:val="18"/>
                <w:szCs w:val="18"/>
              </w:rPr>
            </w:pPr>
            <w:r>
              <w:rPr>
                <w:rFonts w:hint="eastAsia" w:ascii="宋体" w:hAnsi="宋体"/>
                <w:color w:val="000000"/>
                <w:sz w:val="18"/>
                <w:szCs w:val="18"/>
              </w:rPr>
              <w:t>≤</w:t>
            </w:r>
            <w:r>
              <w:rPr>
                <w:rFonts w:hint="eastAsia" w:ascii="宋体"/>
                <w:color w:val="000000"/>
                <w:sz w:val="18"/>
                <w:szCs w:val="18"/>
              </w:rPr>
              <w:t>8.5</w:t>
            </w:r>
          </w:p>
        </w:tc>
        <w:tc>
          <w:tcPr>
            <w:tcW w:w="1319" w:type="dxa"/>
            <w:noWrap w:val="0"/>
            <w:vAlign w:val="center"/>
          </w:tcPr>
          <w:p>
            <w:pPr>
              <w:jc w:val="center"/>
              <w:rPr>
                <w:rFonts w:hint="eastAsia" w:ascii="宋体"/>
                <w:b/>
                <w:bCs/>
                <w:sz w:val="18"/>
                <w:szCs w:val="18"/>
              </w:rPr>
            </w:pPr>
            <w:r>
              <w:rPr>
                <w:rFonts w:hint="eastAsia" w:ascii="宋体"/>
                <w:color w:val="000000"/>
                <w:sz w:val="18"/>
                <w:szCs w:val="18"/>
              </w:rPr>
              <w:t>&gt;8.5~15</w:t>
            </w:r>
          </w:p>
        </w:tc>
        <w:tc>
          <w:tcPr>
            <w:tcW w:w="1319" w:type="dxa"/>
            <w:noWrap w:val="0"/>
            <w:vAlign w:val="center"/>
          </w:tcPr>
          <w:p>
            <w:pPr>
              <w:jc w:val="center"/>
              <w:rPr>
                <w:rFonts w:hint="eastAsia" w:ascii="宋体"/>
                <w:b/>
                <w:bCs/>
                <w:sz w:val="18"/>
                <w:szCs w:val="18"/>
              </w:rPr>
            </w:pPr>
            <w:r>
              <w:rPr>
                <w:rFonts w:hint="eastAsia" w:ascii="宋体"/>
                <w:color w:val="000000"/>
                <w:sz w:val="18"/>
                <w:szCs w:val="18"/>
              </w:rPr>
              <w:t>&gt;15~25</w:t>
            </w:r>
          </w:p>
        </w:tc>
        <w:tc>
          <w:tcPr>
            <w:tcW w:w="1319" w:type="dxa"/>
            <w:noWrap w:val="0"/>
            <w:vAlign w:val="center"/>
          </w:tcPr>
          <w:p>
            <w:pPr>
              <w:jc w:val="center"/>
              <w:rPr>
                <w:rFonts w:hint="eastAsia" w:ascii="宋体"/>
                <w:b/>
                <w:bCs/>
                <w:sz w:val="18"/>
                <w:szCs w:val="18"/>
              </w:rPr>
            </w:pPr>
            <w:r>
              <w:rPr>
                <w:rFonts w:hint="eastAsia" w:ascii="宋体"/>
                <w:color w:val="000000"/>
                <w:sz w:val="18"/>
                <w:szCs w:val="18"/>
              </w:rPr>
              <w:t>&gt;25~40</w:t>
            </w:r>
          </w:p>
        </w:tc>
        <w:tc>
          <w:tcPr>
            <w:tcW w:w="1319" w:type="dxa"/>
            <w:noWrap w:val="0"/>
            <w:vAlign w:val="center"/>
          </w:tcPr>
          <w:p>
            <w:pPr>
              <w:jc w:val="center"/>
              <w:rPr>
                <w:rFonts w:hint="eastAsia" w:ascii="宋体"/>
                <w:b/>
                <w:bCs/>
                <w:sz w:val="18"/>
                <w:szCs w:val="18"/>
              </w:rPr>
            </w:pPr>
            <w:r>
              <w:rPr>
                <w:rFonts w:hint="eastAsia" w:ascii="宋体"/>
                <w:color w:val="000000"/>
                <w:sz w:val="18"/>
                <w:szCs w:val="18"/>
              </w:rPr>
              <w:t>&gt;40~55</w:t>
            </w:r>
          </w:p>
        </w:tc>
        <w:tc>
          <w:tcPr>
            <w:tcW w:w="1319" w:type="dxa"/>
            <w:noWrap w:val="0"/>
            <w:vAlign w:val="center"/>
          </w:tcPr>
          <w:p>
            <w:pPr>
              <w:jc w:val="center"/>
              <w:rPr>
                <w:rFonts w:hint="eastAsia" w:ascii="宋体"/>
                <w:b/>
                <w:bCs/>
                <w:sz w:val="18"/>
                <w:szCs w:val="18"/>
              </w:rPr>
            </w:pPr>
            <w:r>
              <w:rPr>
                <w:rFonts w:hint="eastAsia" w:ascii="宋体"/>
                <w:color w:val="000000"/>
                <w:sz w:val="18"/>
                <w:szCs w:val="18"/>
              </w:rPr>
              <w:t>&gt;55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9" w:type="dxa"/>
            <w:vMerge w:val="restart"/>
            <w:noWrap w:val="0"/>
            <w:vAlign w:val="top"/>
          </w:tcPr>
          <w:p>
            <w:pPr>
              <w:jc w:val="center"/>
              <w:rPr>
                <w:rFonts w:hint="eastAsia" w:ascii="宋体"/>
                <w:b/>
                <w:bCs/>
                <w:sz w:val="18"/>
                <w:szCs w:val="18"/>
              </w:rPr>
            </w:pPr>
            <w:r>
              <w:rPr>
                <w:rFonts w:hint="eastAsia" w:ascii="宋体"/>
                <w:b/>
                <w:bCs/>
                <w:sz w:val="18"/>
                <w:szCs w:val="18"/>
              </w:rPr>
              <w:t>R410A</w:t>
            </w:r>
          </w:p>
        </w:tc>
        <w:tc>
          <w:tcPr>
            <w:tcW w:w="1319" w:type="dxa"/>
            <w:noWrap w:val="0"/>
            <w:vAlign w:val="top"/>
          </w:tcPr>
          <w:p>
            <w:pPr>
              <w:jc w:val="center"/>
              <w:rPr>
                <w:rFonts w:hint="default" w:ascii="宋体" w:hAnsi="宋体" w:eastAsiaTheme="minorEastAsia"/>
                <w:color w:val="000000"/>
                <w:sz w:val="18"/>
                <w:szCs w:val="18"/>
                <w:lang w:val="en-US" w:eastAsia="zh-CN"/>
              </w:rPr>
            </w:pPr>
            <w:r>
              <w:rPr>
                <w:rFonts w:hint="eastAsia" w:ascii="宋体" w:hAnsi="宋体"/>
                <w:color w:val="000000"/>
                <w:sz w:val="18"/>
                <w:szCs w:val="18"/>
                <w:lang w:val="en-US" w:eastAsia="zh-CN"/>
              </w:rPr>
              <w:t>600</w:t>
            </w:r>
          </w:p>
        </w:tc>
        <w:tc>
          <w:tcPr>
            <w:tcW w:w="1319" w:type="dxa"/>
            <w:noWrap w:val="0"/>
            <w:vAlign w:val="center"/>
          </w:tcPr>
          <w:p>
            <w:pPr>
              <w:jc w:val="center"/>
              <w:rPr>
                <w:rFonts w:hint="default" w:ascii="宋体" w:eastAsiaTheme="minorEastAsia"/>
                <w:color w:val="000000"/>
                <w:sz w:val="18"/>
                <w:szCs w:val="18"/>
                <w:lang w:val="en-US" w:eastAsia="zh-CN"/>
              </w:rPr>
            </w:pPr>
            <w:r>
              <w:rPr>
                <w:rFonts w:hint="eastAsia" w:ascii="宋体"/>
                <w:color w:val="000000"/>
                <w:sz w:val="18"/>
                <w:szCs w:val="18"/>
                <w:lang w:val="en-US" w:eastAsia="zh-CN"/>
              </w:rPr>
              <w:t>850</w:t>
            </w:r>
          </w:p>
        </w:tc>
        <w:tc>
          <w:tcPr>
            <w:tcW w:w="1319" w:type="dxa"/>
            <w:noWrap w:val="0"/>
            <w:vAlign w:val="center"/>
          </w:tcPr>
          <w:p>
            <w:pPr>
              <w:jc w:val="center"/>
              <w:rPr>
                <w:rFonts w:hint="default" w:ascii="宋体" w:eastAsiaTheme="minorEastAsia"/>
                <w:color w:val="000000"/>
                <w:sz w:val="18"/>
                <w:szCs w:val="18"/>
                <w:lang w:val="en-US" w:eastAsia="zh-CN"/>
              </w:rPr>
            </w:pPr>
            <w:r>
              <w:rPr>
                <w:rFonts w:hint="eastAsia" w:ascii="宋体"/>
                <w:color w:val="000000"/>
                <w:sz w:val="18"/>
                <w:szCs w:val="18"/>
                <w:lang w:val="en-US" w:eastAsia="zh-CN"/>
              </w:rPr>
              <w:t>1020</w:t>
            </w:r>
          </w:p>
        </w:tc>
        <w:tc>
          <w:tcPr>
            <w:tcW w:w="1319" w:type="dxa"/>
            <w:noWrap w:val="0"/>
            <w:vAlign w:val="center"/>
          </w:tcPr>
          <w:p>
            <w:pPr>
              <w:jc w:val="center"/>
              <w:rPr>
                <w:rFonts w:hint="default" w:ascii="宋体" w:eastAsiaTheme="minorEastAsia"/>
                <w:color w:val="000000"/>
                <w:sz w:val="18"/>
                <w:szCs w:val="18"/>
                <w:lang w:val="en-US" w:eastAsia="zh-CN"/>
              </w:rPr>
            </w:pPr>
            <w:r>
              <w:rPr>
                <w:rFonts w:hint="eastAsia" w:ascii="宋体"/>
                <w:color w:val="000000"/>
                <w:sz w:val="18"/>
                <w:szCs w:val="18"/>
                <w:lang w:val="en-US" w:eastAsia="zh-CN"/>
              </w:rPr>
              <w:t>1913</w:t>
            </w:r>
          </w:p>
        </w:tc>
        <w:tc>
          <w:tcPr>
            <w:tcW w:w="1319" w:type="dxa"/>
            <w:noWrap w:val="0"/>
            <w:vAlign w:val="center"/>
          </w:tcPr>
          <w:p>
            <w:pPr>
              <w:jc w:val="center"/>
              <w:rPr>
                <w:rFonts w:hint="default" w:ascii="宋体" w:eastAsiaTheme="minorEastAsia"/>
                <w:color w:val="000000"/>
                <w:sz w:val="18"/>
                <w:szCs w:val="18"/>
                <w:lang w:val="en-US" w:eastAsia="zh-CN"/>
              </w:rPr>
            </w:pPr>
            <w:r>
              <w:rPr>
                <w:rFonts w:hint="eastAsia" w:ascii="宋体"/>
                <w:color w:val="000000"/>
                <w:sz w:val="18"/>
                <w:szCs w:val="18"/>
                <w:lang w:val="en-US" w:eastAsia="zh-CN"/>
              </w:rPr>
              <w:t>2170</w:t>
            </w:r>
          </w:p>
        </w:tc>
        <w:tc>
          <w:tcPr>
            <w:tcW w:w="1319" w:type="dxa"/>
            <w:noWrap w:val="0"/>
            <w:vAlign w:val="center"/>
          </w:tcPr>
          <w:p>
            <w:pPr>
              <w:jc w:val="center"/>
              <w:rPr>
                <w:rFonts w:hint="default" w:ascii="宋体" w:eastAsiaTheme="minorEastAsia"/>
                <w:color w:val="000000"/>
                <w:sz w:val="18"/>
                <w:szCs w:val="18"/>
                <w:lang w:val="en-US" w:eastAsia="zh-CN"/>
              </w:rPr>
            </w:pPr>
            <w:r>
              <w:rPr>
                <w:rFonts w:hint="eastAsia" w:ascii="宋体"/>
                <w:color w:val="000000"/>
                <w:sz w:val="18"/>
                <w:szCs w:val="18"/>
                <w:lang w:val="en-US" w:eastAsia="zh-CN"/>
              </w:rPr>
              <w:t>2598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9" w:type="dxa"/>
            <w:vMerge w:val="continue"/>
            <w:noWrap w:val="0"/>
            <w:vAlign w:val="top"/>
          </w:tcPr>
          <w:p>
            <w:pPr>
              <w:jc w:val="center"/>
              <w:rPr>
                <w:rFonts w:hint="eastAsia" w:ascii="宋体"/>
                <w:b/>
                <w:bCs/>
                <w:sz w:val="18"/>
                <w:szCs w:val="18"/>
              </w:rPr>
            </w:pPr>
          </w:p>
        </w:tc>
        <w:tc>
          <w:tcPr>
            <w:tcW w:w="1319" w:type="dxa"/>
            <w:noWrap w:val="0"/>
            <w:vAlign w:val="top"/>
          </w:tcPr>
          <w:p>
            <w:pPr>
              <w:jc w:val="center"/>
              <w:rPr>
                <w:rFonts w:hint="default" w:ascii="宋体" w:eastAsiaTheme="minorEastAsia"/>
                <w:color w:val="auto"/>
                <w:sz w:val="18"/>
                <w:szCs w:val="18"/>
                <w:lang w:val="en-US" w:eastAsia="zh-CN"/>
              </w:rPr>
            </w:pPr>
            <w:r>
              <w:rPr>
                <w:rFonts w:hint="eastAsia" w:ascii="宋体"/>
                <w:color w:val="auto"/>
                <w:sz w:val="18"/>
                <w:szCs w:val="18"/>
                <w:lang w:val="en-US" w:eastAsia="zh-CN"/>
              </w:rPr>
              <w:t>500</w:t>
            </w:r>
          </w:p>
        </w:tc>
        <w:tc>
          <w:tcPr>
            <w:tcW w:w="1319" w:type="dxa"/>
            <w:noWrap w:val="0"/>
            <w:vAlign w:val="center"/>
          </w:tcPr>
          <w:p>
            <w:pPr>
              <w:jc w:val="center"/>
              <w:rPr>
                <w:rFonts w:hint="default" w:ascii="宋体" w:eastAsiaTheme="minorEastAsia"/>
                <w:color w:val="auto"/>
                <w:sz w:val="18"/>
                <w:szCs w:val="18"/>
                <w:lang w:val="en-US" w:eastAsia="zh-CN"/>
              </w:rPr>
            </w:pPr>
            <w:r>
              <w:rPr>
                <w:rFonts w:hint="eastAsia" w:ascii="宋体"/>
                <w:color w:val="auto"/>
                <w:sz w:val="18"/>
                <w:szCs w:val="18"/>
                <w:lang w:val="en-US" w:eastAsia="zh-CN"/>
              </w:rPr>
              <w:t>840</w:t>
            </w:r>
          </w:p>
        </w:tc>
        <w:tc>
          <w:tcPr>
            <w:tcW w:w="1319" w:type="dxa"/>
            <w:noWrap w:val="0"/>
            <w:vAlign w:val="center"/>
          </w:tcPr>
          <w:p>
            <w:pPr>
              <w:jc w:val="center"/>
              <w:rPr>
                <w:rFonts w:hint="default" w:ascii="宋体" w:eastAsiaTheme="minorEastAsia"/>
                <w:color w:val="auto"/>
                <w:sz w:val="18"/>
                <w:szCs w:val="18"/>
                <w:lang w:val="en-US" w:eastAsia="zh-CN"/>
              </w:rPr>
            </w:pPr>
            <w:r>
              <w:rPr>
                <w:rFonts w:hint="eastAsia" w:ascii="宋体"/>
                <w:color w:val="auto"/>
                <w:sz w:val="18"/>
                <w:szCs w:val="18"/>
                <w:lang w:val="en-US" w:eastAsia="zh-CN"/>
              </w:rPr>
              <w:t>960</w:t>
            </w:r>
          </w:p>
        </w:tc>
        <w:tc>
          <w:tcPr>
            <w:tcW w:w="1319" w:type="dxa"/>
            <w:noWrap w:val="0"/>
            <w:vAlign w:val="center"/>
          </w:tcPr>
          <w:p>
            <w:pPr>
              <w:jc w:val="center"/>
              <w:rPr>
                <w:rFonts w:hint="default" w:ascii="宋体" w:eastAsiaTheme="minorEastAsia"/>
                <w:color w:val="000000"/>
                <w:sz w:val="18"/>
                <w:szCs w:val="18"/>
                <w:lang w:val="en-US" w:eastAsia="zh-CN"/>
              </w:rPr>
            </w:pPr>
            <w:r>
              <w:rPr>
                <w:rFonts w:hint="eastAsia" w:ascii="宋体"/>
                <w:color w:val="000000"/>
                <w:sz w:val="18"/>
                <w:szCs w:val="18"/>
                <w:lang w:val="en-US" w:eastAsia="zh-CN"/>
              </w:rPr>
              <w:t>1987</w:t>
            </w:r>
          </w:p>
        </w:tc>
        <w:tc>
          <w:tcPr>
            <w:tcW w:w="1319" w:type="dxa"/>
            <w:noWrap w:val="0"/>
            <w:vAlign w:val="center"/>
          </w:tcPr>
          <w:p>
            <w:pPr>
              <w:jc w:val="center"/>
              <w:rPr>
                <w:rFonts w:hint="default" w:ascii="宋体" w:eastAsiaTheme="minorEastAsia"/>
                <w:color w:val="000000"/>
                <w:sz w:val="18"/>
                <w:szCs w:val="18"/>
                <w:lang w:val="en-US" w:eastAsia="zh-CN"/>
              </w:rPr>
            </w:pPr>
            <w:r>
              <w:rPr>
                <w:rFonts w:hint="eastAsia" w:ascii="宋体"/>
                <w:color w:val="000000"/>
                <w:sz w:val="18"/>
                <w:szCs w:val="18"/>
                <w:lang w:val="en-US" w:eastAsia="zh-CN"/>
              </w:rPr>
              <w:t>2170</w:t>
            </w:r>
          </w:p>
        </w:tc>
        <w:tc>
          <w:tcPr>
            <w:tcW w:w="1319" w:type="dxa"/>
            <w:noWrap w:val="0"/>
            <w:vAlign w:val="center"/>
          </w:tcPr>
          <w:p>
            <w:pPr>
              <w:jc w:val="center"/>
              <w:rPr>
                <w:rFonts w:hint="default" w:ascii="宋体" w:eastAsiaTheme="minorEastAsia"/>
                <w:color w:val="000000"/>
                <w:sz w:val="18"/>
                <w:szCs w:val="18"/>
                <w:lang w:val="en-US" w:eastAsia="zh-CN"/>
              </w:rPr>
            </w:pPr>
            <w:r>
              <w:rPr>
                <w:rFonts w:hint="eastAsia" w:ascii="宋体"/>
                <w:color w:val="000000"/>
                <w:sz w:val="18"/>
                <w:szCs w:val="18"/>
                <w:lang w:val="en-US" w:eastAsia="zh-CN"/>
              </w:rPr>
              <w:t>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9" w:type="dxa"/>
            <w:vMerge w:val="continue"/>
            <w:noWrap w:val="0"/>
            <w:vAlign w:val="top"/>
          </w:tcPr>
          <w:p>
            <w:pPr>
              <w:jc w:val="center"/>
              <w:rPr>
                <w:rFonts w:hint="eastAsia" w:ascii="宋体"/>
                <w:b/>
                <w:bCs/>
                <w:sz w:val="18"/>
                <w:szCs w:val="18"/>
              </w:rPr>
            </w:pPr>
          </w:p>
        </w:tc>
        <w:tc>
          <w:tcPr>
            <w:tcW w:w="1319" w:type="dxa"/>
            <w:noWrap w:val="0"/>
            <w:vAlign w:val="top"/>
          </w:tcPr>
          <w:p>
            <w:pPr>
              <w:jc w:val="center"/>
              <w:rPr>
                <w:rFonts w:hint="default" w:ascii="宋体" w:eastAsiaTheme="minorEastAsia"/>
                <w:color w:val="auto"/>
                <w:sz w:val="18"/>
                <w:szCs w:val="18"/>
                <w:lang w:val="en-US" w:eastAsia="zh-CN"/>
              </w:rPr>
            </w:pPr>
            <w:r>
              <w:rPr>
                <w:rFonts w:hint="eastAsia" w:ascii="宋体"/>
                <w:color w:val="auto"/>
                <w:sz w:val="18"/>
                <w:szCs w:val="18"/>
                <w:lang w:val="en-US" w:eastAsia="zh-CN"/>
              </w:rPr>
              <w:t>900</w:t>
            </w:r>
          </w:p>
        </w:tc>
        <w:tc>
          <w:tcPr>
            <w:tcW w:w="1319" w:type="dxa"/>
            <w:noWrap w:val="0"/>
            <w:vAlign w:val="center"/>
          </w:tcPr>
          <w:p>
            <w:pPr>
              <w:jc w:val="center"/>
              <w:rPr>
                <w:rFonts w:hint="default" w:ascii="宋体" w:eastAsiaTheme="minorEastAsia"/>
                <w:color w:val="auto"/>
                <w:sz w:val="18"/>
                <w:szCs w:val="18"/>
                <w:lang w:val="en-US" w:eastAsia="zh-CN"/>
              </w:rPr>
            </w:pPr>
            <w:r>
              <w:rPr>
                <w:rFonts w:hint="eastAsia" w:ascii="宋体"/>
                <w:color w:val="auto"/>
                <w:sz w:val="18"/>
                <w:szCs w:val="18"/>
                <w:lang w:val="en-US" w:eastAsia="zh-CN"/>
              </w:rPr>
              <w:t>800</w:t>
            </w:r>
          </w:p>
        </w:tc>
        <w:tc>
          <w:tcPr>
            <w:tcW w:w="1319" w:type="dxa"/>
            <w:noWrap w:val="0"/>
            <w:vAlign w:val="center"/>
          </w:tcPr>
          <w:p>
            <w:pPr>
              <w:jc w:val="center"/>
              <w:rPr>
                <w:rFonts w:hint="default" w:ascii="宋体" w:eastAsiaTheme="minorEastAsia"/>
                <w:color w:val="auto"/>
                <w:sz w:val="18"/>
                <w:szCs w:val="18"/>
                <w:lang w:val="en-US" w:eastAsia="zh-CN"/>
              </w:rPr>
            </w:pPr>
            <w:r>
              <w:rPr>
                <w:rFonts w:hint="eastAsia" w:ascii="宋体"/>
                <w:color w:val="auto"/>
                <w:sz w:val="18"/>
                <w:szCs w:val="18"/>
                <w:lang w:val="en-US" w:eastAsia="zh-CN"/>
              </w:rPr>
              <w:t>970</w:t>
            </w:r>
          </w:p>
        </w:tc>
        <w:tc>
          <w:tcPr>
            <w:tcW w:w="1319" w:type="dxa"/>
            <w:noWrap w:val="0"/>
            <w:vAlign w:val="center"/>
          </w:tcPr>
          <w:p>
            <w:pPr>
              <w:jc w:val="center"/>
              <w:rPr>
                <w:rFonts w:hint="default" w:ascii="宋体" w:eastAsiaTheme="minorEastAsia"/>
                <w:color w:val="000000"/>
                <w:sz w:val="18"/>
                <w:szCs w:val="18"/>
                <w:lang w:val="en-US" w:eastAsia="zh-CN"/>
              </w:rPr>
            </w:pPr>
            <w:r>
              <w:rPr>
                <w:rFonts w:hint="eastAsia" w:ascii="宋体"/>
                <w:color w:val="000000"/>
                <w:sz w:val="18"/>
                <w:szCs w:val="18"/>
                <w:lang w:val="en-US" w:eastAsia="zh-CN"/>
              </w:rPr>
              <w:t>1445</w:t>
            </w:r>
          </w:p>
        </w:tc>
        <w:tc>
          <w:tcPr>
            <w:tcW w:w="1319" w:type="dxa"/>
            <w:noWrap w:val="0"/>
            <w:vAlign w:val="center"/>
          </w:tcPr>
          <w:p>
            <w:pPr>
              <w:jc w:val="center"/>
              <w:rPr>
                <w:rFonts w:hint="default" w:ascii="宋体" w:eastAsiaTheme="minorEastAsia"/>
                <w:color w:val="000000"/>
                <w:sz w:val="18"/>
                <w:szCs w:val="18"/>
                <w:lang w:val="en-US" w:eastAsia="zh-CN"/>
              </w:rPr>
            </w:pPr>
            <w:r>
              <w:rPr>
                <w:rFonts w:hint="eastAsia" w:ascii="宋体"/>
                <w:color w:val="000000"/>
                <w:sz w:val="18"/>
                <w:szCs w:val="18"/>
                <w:lang w:val="en-US" w:eastAsia="zh-CN"/>
              </w:rPr>
              <w:t>1400</w:t>
            </w:r>
          </w:p>
        </w:tc>
        <w:tc>
          <w:tcPr>
            <w:tcW w:w="1319" w:type="dxa"/>
            <w:noWrap w:val="0"/>
            <w:vAlign w:val="center"/>
          </w:tcPr>
          <w:p>
            <w:pPr>
              <w:jc w:val="center"/>
              <w:rPr>
                <w:rFonts w:hint="eastAsia" w:asci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9" w:type="dxa"/>
            <w:vMerge w:val="continue"/>
            <w:noWrap w:val="0"/>
            <w:vAlign w:val="top"/>
          </w:tcPr>
          <w:p>
            <w:pPr>
              <w:jc w:val="center"/>
              <w:rPr>
                <w:rFonts w:hint="eastAsia" w:ascii="宋体"/>
                <w:b/>
                <w:bCs/>
                <w:sz w:val="18"/>
                <w:szCs w:val="18"/>
              </w:rPr>
            </w:pPr>
          </w:p>
        </w:tc>
        <w:tc>
          <w:tcPr>
            <w:tcW w:w="1319" w:type="dxa"/>
            <w:noWrap w:val="0"/>
            <w:vAlign w:val="top"/>
          </w:tcPr>
          <w:p>
            <w:pPr>
              <w:jc w:val="center"/>
              <w:rPr>
                <w:rFonts w:hint="default" w:ascii="宋体" w:eastAsiaTheme="minorEastAsia"/>
                <w:color w:val="auto"/>
                <w:sz w:val="18"/>
                <w:szCs w:val="18"/>
                <w:lang w:val="en-US" w:eastAsia="zh-CN"/>
              </w:rPr>
            </w:pPr>
            <w:r>
              <w:rPr>
                <w:rFonts w:hint="eastAsia" w:ascii="宋体"/>
                <w:color w:val="auto"/>
                <w:sz w:val="18"/>
                <w:szCs w:val="18"/>
                <w:lang w:val="en-US" w:eastAsia="zh-CN"/>
              </w:rPr>
              <w:t>600</w:t>
            </w:r>
          </w:p>
        </w:tc>
        <w:tc>
          <w:tcPr>
            <w:tcW w:w="1319" w:type="dxa"/>
            <w:noWrap w:val="0"/>
            <w:vAlign w:val="center"/>
          </w:tcPr>
          <w:p>
            <w:pPr>
              <w:jc w:val="center"/>
              <w:rPr>
                <w:rFonts w:hint="default" w:ascii="宋体" w:eastAsiaTheme="minorEastAsia"/>
                <w:color w:val="auto"/>
                <w:sz w:val="18"/>
                <w:szCs w:val="18"/>
                <w:lang w:val="en-US" w:eastAsia="zh-CN"/>
              </w:rPr>
            </w:pPr>
            <w:r>
              <w:rPr>
                <w:rFonts w:hint="eastAsia" w:ascii="宋体"/>
                <w:color w:val="auto"/>
                <w:sz w:val="18"/>
                <w:szCs w:val="18"/>
                <w:lang w:val="en-US" w:eastAsia="zh-CN"/>
              </w:rPr>
              <w:t>1122</w:t>
            </w:r>
          </w:p>
        </w:tc>
        <w:tc>
          <w:tcPr>
            <w:tcW w:w="1319" w:type="dxa"/>
            <w:noWrap w:val="0"/>
            <w:vAlign w:val="center"/>
          </w:tcPr>
          <w:p>
            <w:pPr>
              <w:jc w:val="center"/>
              <w:rPr>
                <w:rFonts w:hint="default" w:ascii="宋体" w:eastAsiaTheme="minorEastAsia"/>
                <w:color w:val="auto"/>
                <w:sz w:val="18"/>
                <w:szCs w:val="18"/>
                <w:lang w:val="en-US" w:eastAsia="zh-CN"/>
              </w:rPr>
            </w:pPr>
            <w:r>
              <w:rPr>
                <w:rFonts w:hint="eastAsia" w:ascii="宋体"/>
                <w:color w:val="auto"/>
                <w:sz w:val="18"/>
                <w:szCs w:val="18"/>
                <w:lang w:val="en-US" w:eastAsia="zh-CN"/>
              </w:rPr>
              <w:t>1220</w:t>
            </w:r>
          </w:p>
        </w:tc>
        <w:tc>
          <w:tcPr>
            <w:tcW w:w="1319" w:type="dxa"/>
            <w:noWrap w:val="0"/>
            <w:vAlign w:val="center"/>
          </w:tcPr>
          <w:p>
            <w:pPr>
              <w:jc w:val="center"/>
              <w:rPr>
                <w:rFonts w:hint="default" w:ascii="宋体" w:eastAsiaTheme="minorEastAsia"/>
                <w:color w:val="000000"/>
                <w:sz w:val="18"/>
                <w:szCs w:val="18"/>
                <w:lang w:val="en-US" w:eastAsia="zh-CN"/>
              </w:rPr>
            </w:pPr>
            <w:r>
              <w:rPr>
                <w:rFonts w:hint="eastAsia" w:ascii="宋体"/>
                <w:color w:val="000000"/>
                <w:sz w:val="18"/>
                <w:szCs w:val="18"/>
                <w:lang w:val="en-US" w:eastAsia="zh-CN"/>
              </w:rPr>
              <w:t>1200</w:t>
            </w:r>
          </w:p>
        </w:tc>
        <w:tc>
          <w:tcPr>
            <w:tcW w:w="1319" w:type="dxa"/>
            <w:noWrap w:val="0"/>
            <w:vAlign w:val="center"/>
          </w:tcPr>
          <w:p>
            <w:pPr>
              <w:jc w:val="center"/>
              <w:rPr>
                <w:rFonts w:hint="default" w:ascii="宋体" w:eastAsiaTheme="minorEastAsia"/>
                <w:color w:val="000000"/>
                <w:sz w:val="18"/>
                <w:szCs w:val="18"/>
                <w:lang w:val="en-US" w:eastAsia="zh-CN"/>
              </w:rPr>
            </w:pPr>
            <w:r>
              <w:rPr>
                <w:rFonts w:hint="eastAsia" w:ascii="宋体"/>
                <w:color w:val="000000"/>
                <w:sz w:val="18"/>
                <w:szCs w:val="18"/>
                <w:lang w:val="en-US" w:eastAsia="zh-CN"/>
              </w:rPr>
              <w:t>1450</w:t>
            </w:r>
          </w:p>
        </w:tc>
        <w:tc>
          <w:tcPr>
            <w:tcW w:w="1319" w:type="dxa"/>
            <w:noWrap w:val="0"/>
            <w:vAlign w:val="center"/>
          </w:tcPr>
          <w:p>
            <w:pPr>
              <w:jc w:val="center"/>
              <w:rPr>
                <w:rFonts w:hint="eastAsia" w:asci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9" w:type="dxa"/>
            <w:vMerge w:val="continue"/>
            <w:noWrap w:val="0"/>
            <w:vAlign w:val="top"/>
          </w:tcPr>
          <w:p>
            <w:pPr>
              <w:jc w:val="center"/>
              <w:rPr>
                <w:rFonts w:hint="eastAsia" w:ascii="宋体"/>
                <w:b/>
                <w:bCs/>
                <w:sz w:val="18"/>
                <w:szCs w:val="18"/>
              </w:rPr>
            </w:pPr>
          </w:p>
        </w:tc>
        <w:tc>
          <w:tcPr>
            <w:tcW w:w="1319" w:type="dxa"/>
            <w:noWrap w:val="0"/>
            <w:vAlign w:val="top"/>
          </w:tcPr>
          <w:p>
            <w:pPr>
              <w:jc w:val="center"/>
              <w:rPr>
                <w:rFonts w:hint="default" w:ascii="宋体" w:eastAsiaTheme="minorEastAsia"/>
                <w:color w:val="auto"/>
                <w:sz w:val="18"/>
                <w:szCs w:val="18"/>
                <w:lang w:val="en-US" w:eastAsia="zh-CN"/>
              </w:rPr>
            </w:pPr>
            <w:r>
              <w:rPr>
                <w:rFonts w:hint="eastAsia" w:ascii="宋体"/>
                <w:color w:val="auto"/>
                <w:sz w:val="18"/>
                <w:szCs w:val="18"/>
                <w:lang w:val="en-US" w:eastAsia="zh-CN"/>
              </w:rPr>
              <w:t>650</w:t>
            </w:r>
          </w:p>
        </w:tc>
        <w:tc>
          <w:tcPr>
            <w:tcW w:w="1319" w:type="dxa"/>
            <w:noWrap w:val="0"/>
            <w:vAlign w:val="center"/>
          </w:tcPr>
          <w:p>
            <w:pPr>
              <w:jc w:val="center"/>
              <w:rPr>
                <w:rFonts w:hint="default" w:ascii="宋体" w:eastAsiaTheme="minorEastAsia"/>
                <w:color w:val="auto"/>
                <w:sz w:val="18"/>
                <w:szCs w:val="18"/>
                <w:lang w:val="en-US" w:eastAsia="zh-CN"/>
              </w:rPr>
            </w:pPr>
            <w:r>
              <w:rPr>
                <w:rFonts w:hint="eastAsia" w:ascii="宋体"/>
                <w:color w:val="auto"/>
                <w:sz w:val="18"/>
                <w:szCs w:val="18"/>
                <w:lang w:val="en-US" w:eastAsia="zh-CN"/>
              </w:rPr>
              <w:t>1340</w:t>
            </w:r>
          </w:p>
        </w:tc>
        <w:tc>
          <w:tcPr>
            <w:tcW w:w="1319" w:type="dxa"/>
            <w:noWrap w:val="0"/>
            <w:vAlign w:val="center"/>
          </w:tcPr>
          <w:p>
            <w:pPr>
              <w:jc w:val="center"/>
              <w:rPr>
                <w:rFonts w:hint="default" w:ascii="宋体"/>
                <w:color w:val="auto"/>
                <w:sz w:val="18"/>
                <w:szCs w:val="18"/>
                <w:lang w:val="en-US" w:eastAsia="zh-CN"/>
              </w:rPr>
            </w:pPr>
            <w:r>
              <w:rPr>
                <w:rFonts w:hint="eastAsia" w:ascii="宋体"/>
                <w:color w:val="auto"/>
                <w:sz w:val="18"/>
                <w:szCs w:val="18"/>
                <w:lang w:val="en-US" w:eastAsia="zh-CN"/>
              </w:rPr>
              <w:t>1210</w:t>
            </w:r>
          </w:p>
        </w:tc>
        <w:tc>
          <w:tcPr>
            <w:tcW w:w="1319" w:type="dxa"/>
            <w:noWrap w:val="0"/>
            <w:vAlign w:val="center"/>
          </w:tcPr>
          <w:p>
            <w:pPr>
              <w:jc w:val="center"/>
              <w:rPr>
                <w:rFonts w:hint="default" w:ascii="宋体" w:eastAsiaTheme="minorEastAsia"/>
                <w:color w:val="000000"/>
                <w:sz w:val="18"/>
                <w:szCs w:val="18"/>
                <w:lang w:val="en-US" w:eastAsia="zh-CN"/>
              </w:rPr>
            </w:pPr>
            <w:r>
              <w:rPr>
                <w:rFonts w:hint="eastAsia" w:ascii="宋体"/>
                <w:color w:val="000000"/>
                <w:sz w:val="18"/>
                <w:szCs w:val="18"/>
                <w:lang w:val="en-US" w:eastAsia="zh-CN"/>
              </w:rPr>
              <w:t>1150</w:t>
            </w:r>
          </w:p>
        </w:tc>
        <w:tc>
          <w:tcPr>
            <w:tcW w:w="1319" w:type="dxa"/>
            <w:noWrap w:val="0"/>
            <w:vAlign w:val="center"/>
          </w:tcPr>
          <w:p>
            <w:pPr>
              <w:jc w:val="center"/>
              <w:rPr>
                <w:rFonts w:hint="eastAsia" w:ascii="宋体"/>
                <w:color w:val="000000"/>
                <w:sz w:val="18"/>
                <w:szCs w:val="18"/>
              </w:rPr>
            </w:pPr>
          </w:p>
        </w:tc>
        <w:tc>
          <w:tcPr>
            <w:tcW w:w="1319" w:type="dxa"/>
            <w:noWrap w:val="0"/>
            <w:vAlign w:val="center"/>
          </w:tcPr>
          <w:p>
            <w:pPr>
              <w:jc w:val="center"/>
              <w:rPr>
                <w:rFonts w:hint="eastAsia" w:asci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9" w:type="dxa"/>
            <w:vMerge w:val="restart"/>
            <w:noWrap w:val="0"/>
            <w:vAlign w:val="top"/>
          </w:tcPr>
          <w:p>
            <w:pPr>
              <w:jc w:val="center"/>
              <w:rPr>
                <w:rFonts w:hint="eastAsia" w:ascii="宋体"/>
                <w:b/>
                <w:bCs/>
                <w:sz w:val="18"/>
                <w:szCs w:val="18"/>
              </w:rPr>
            </w:pPr>
            <w:r>
              <w:rPr>
                <w:rFonts w:hint="eastAsia" w:ascii="宋体"/>
                <w:b/>
                <w:bCs/>
                <w:sz w:val="18"/>
                <w:szCs w:val="18"/>
              </w:rPr>
              <w:t>R32</w:t>
            </w:r>
          </w:p>
        </w:tc>
        <w:tc>
          <w:tcPr>
            <w:tcW w:w="1319" w:type="dxa"/>
            <w:noWrap w:val="0"/>
            <w:vAlign w:val="top"/>
          </w:tcPr>
          <w:p>
            <w:pPr>
              <w:jc w:val="center"/>
              <w:rPr>
                <w:rFonts w:hint="default" w:ascii="宋体" w:eastAsiaTheme="minorEastAsia"/>
                <w:color w:val="auto"/>
                <w:sz w:val="18"/>
                <w:szCs w:val="18"/>
                <w:lang w:val="en-US" w:eastAsia="zh-CN"/>
              </w:rPr>
            </w:pPr>
            <w:r>
              <w:rPr>
                <w:rFonts w:hint="eastAsia" w:ascii="宋体"/>
                <w:color w:val="auto"/>
                <w:sz w:val="18"/>
                <w:szCs w:val="18"/>
                <w:lang w:val="en-US" w:eastAsia="zh-CN"/>
              </w:rPr>
              <w:t>580</w:t>
            </w:r>
          </w:p>
        </w:tc>
        <w:tc>
          <w:tcPr>
            <w:tcW w:w="1319" w:type="dxa"/>
            <w:noWrap w:val="0"/>
            <w:vAlign w:val="center"/>
          </w:tcPr>
          <w:p>
            <w:pPr>
              <w:jc w:val="center"/>
              <w:rPr>
                <w:rFonts w:hint="default" w:ascii="宋体" w:eastAsiaTheme="minorEastAsia"/>
                <w:color w:val="auto"/>
                <w:sz w:val="18"/>
                <w:szCs w:val="18"/>
                <w:lang w:val="en-US" w:eastAsia="zh-CN"/>
              </w:rPr>
            </w:pPr>
            <w:r>
              <w:rPr>
                <w:rFonts w:hint="eastAsia" w:ascii="宋体"/>
                <w:color w:val="auto"/>
                <w:sz w:val="18"/>
                <w:szCs w:val="18"/>
                <w:lang w:val="en-US" w:eastAsia="zh-CN"/>
              </w:rPr>
              <w:t>1530</w:t>
            </w:r>
          </w:p>
        </w:tc>
        <w:tc>
          <w:tcPr>
            <w:tcW w:w="1319" w:type="dxa"/>
            <w:noWrap w:val="0"/>
            <w:vAlign w:val="center"/>
          </w:tcPr>
          <w:p>
            <w:pPr>
              <w:jc w:val="center"/>
              <w:rPr>
                <w:rFonts w:hint="default" w:ascii="宋体" w:eastAsiaTheme="minorEastAsia"/>
                <w:color w:val="auto"/>
                <w:sz w:val="18"/>
                <w:szCs w:val="18"/>
                <w:lang w:val="en-US" w:eastAsia="zh-CN"/>
              </w:rPr>
            </w:pPr>
            <w:r>
              <w:rPr>
                <w:rFonts w:hint="eastAsia" w:ascii="宋体"/>
                <w:color w:val="auto"/>
                <w:sz w:val="18"/>
                <w:szCs w:val="18"/>
                <w:lang w:val="en-US" w:eastAsia="zh-CN"/>
              </w:rPr>
              <w:t>2222</w:t>
            </w:r>
          </w:p>
        </w:tc>
        <w:tc>
          <w:tcPr>
            <w:tcW w:w="1319" w:type="dxa"/>
            <w:noWrap w:val="0"/>
            <w:vAlign w:val="center"/>
          </w:tcPr>
          <w:p>
            <w:pPr>
              <w:jc w:val="center"/>
              <w:rPr>
                <w:rFonts w:hint="default" w:ascii="宋体" w:eastAsiaTheme="minorEastAsia"/>
                <w:color w:val="000000"/>
                <w:sz w:val="18"/>
                <w:szCs w:val="18"/>
                <w:lang w:val="en-US" w:eastAsia="zh-CN"/>
              </w:rPr>
            </w:pPr>
            <w:r>
              <w:rPr>
                <w:rFonts w:hint="eastAsia" w:ascii="宋体"/>
                <w:color w:val="000000"/>
                <w:sz w:val="18"/>
                <w:szCs w:val="18"/>
                <w:lang w:val="en-US" w:eastAsia="zh-CN"/>
              </w:rPr>
              <w:t>1400</w:t>
            </w:r>
          </w:p>
        </w:tc>
        <w:tc>
          <w:tcPr>
            <w:tcW w:w="1319" w:type="dxa"/>
            <w:noWrap w:val="0"/>
            <w:vAlign w:val="center"/>
          </w:tcPr>
          <w:p>
            <w:pPr>
              <w:jc w:val="center"/>
              <w:rPr>
                <w:rFonts w:hint="eastAsia" w:ascii="宋体" w:eastAsia="宋体"/>
                <w:color w:val="000000"/>
                <w:sz w:val="18"/>
                <w:szCs w:val="18"/>
                <w:lang w:val="en-US" w:eastAsia="zh-CN"/>
              </w:rPr>
            </w:pPr>
          </w:p>
        </w:tc>
        <w:tc>
          <w:tcPr>
            <w:tcW w:w="1319" w:type="dxa"/>
            <w:noWrap w:val="0"/>
            <w:vAlign w:val="center"/>
          </w:tcPr>
          <w:p>
            <w:pPr>
              <w:jc w:val="center"/>
              <w:rPr>
                <w:rFonts w:hint="eastAsia" w:ascii="宋体" w:eastAsia="宋体"/>
                <w:color w:val="00000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9" w:type="dxa"/>
            <w:vMerge w:val="continue"/>
            <w:noWrap w:val="0"/>
            <w:vAlign w:val="top"/>
          </w:tcPr>
          <w:p>
            <w:pPr>
              <w:jc w:val="center"/>
              <w:rPr>
                <w:rFonts w:hint="eastAsia" w:ascii="宋体"/>
                <w:b/>
                <w:bCs/>
                <w:sz w:val="18"/>
                <w:szCs w:val="18"/>
              </w:rPr>
            </w:pPr>
          </w:p>
        </w:tc>
        <w:tc>
          <w:tcPr>
            <w:tcW w:w="1319" w:type="dxa"/>
            <w:noWrap w:val="0"/>
            <w:vAlign w:val="top"/>
          </w:tcPr>
          <w:p>
            <w:pPr>
              <w:jc w:val="center"/>
              <w:rPr>
                <w:rFonts w:hint="eastAsia" w:ascii="宋体"/>
                <w:color w:val="auto"/>
                <w:sz w:val="18"/>
                <w:szCs w:val="18"/>
                <w:lang w:val="en-US" w:eastAsia="zh-CN"/>
              </w:rPr>
            </w:pPr>
            <w:r>
              <w:rPr>
                <w:rFonts w:hint="eastAsia" w:ascii="宋体"/>
                <w:color w:val="auto"/>
                <w:sz w:val="18"/>
                <w:szCs w:val="18"/>
                <w:lang w:val="en-US" w:eastAsia="zh-CN"/>
              </w:rPr>
              <w:t>550</w:t>
            </w:r>
          </w:p>
        </w:tc>
        <w:tc>
          <w:tcPr>
            <w:tcW w:w="1319" w:type="dxa"/>
            <w:noWrap w:val="0"/>
            <w:vAlign w:val="center"/>
          </w:tcPr>
          <w:p>
            <w:pPr>
              <w:jc w:val="center"/>
              <w:rPr>
                <w:rFonts w:hint="eastAsia" w:ascii="宋体"/>
                <w:color w:val="auto"/>
                <w:sz w:val="18"/>
                <w:szCs w:val="18"/>
                <w:lang w:val="en-US" w:eastAsia="zh-CN"/>
              </w:rPr>
            </w:pPr>
            <w:r>
              <w:rPr>
                <w:rFonts w:hint="eastAsia" w:ascii="宋体"/>
                <w:color w:val="auto"/>
                <w:sz w:val="18"/>
                <w:szCs w:val="18"/>
                <w:lang w:val="en-US" w:eastAsia="zh-CN"/>
              </w:rPr>
              <w:t>1730</w:t>
            </w:r>
          </w:p>
        </w:tc>
        <w:tc>
          <w:tcPr>
            <w:tcW w:w="1319" w:type="dxa"/>
            <w:noWrap w:val="0"/>
            <w:vAlign w:val="center"/>
          </w:tcPr>
          <w:p>
            <w:pPr>
              <w:jc w:val="center"/>
              <w:rPr>
                <w:rFonts w:hint="default" w:ascii="宋体" w:eastAsiaTheme="minorEastAsia"/>
                <w:color w:val="auto"/>
                <w:sz w:val="18"/>
                <w:szCs w:val="18"/>
                <w:lang w:val="en-US" w:eastAsia="zh-CN"/>
              </w:rPr>
            </w:pPr>
            <w:r>
              <w:rPr>
                <w:rFonts w:hint="eastAsia" w:ascii="宋体"/>
                <w:color w:val="auto"/>
                <w:sz w:val="18"/>
                <w:szCs w:val="18"/>
                <w:lang w:val="en-US" w:eastAsia="zh-CN"/>
              </w:rPr>
              <w:t>1200</w:t>
            </w:r>
          </w:p>
        </w:tc>
        <w:tc>
          <w:tcPr>
            <w:tcW w:w="1319" w:type="dxa"/>
            <w:noWrap w:val="0"/>
            <w:vAlign w:val="center"/>
          </w:tcPr>
          <w:p>
            <w:pPr>
              <w:jc w:val="center"/>
              <w:rPr>
                <w:rFonts w:hint="default" w:ascii="宋体" w:eastAsiaTheme="minorEastAsia"/>
                <w:color w:val="000000"/>
                <w:sz w:val="18"/>
                <w:szCs w:val="18"/>
                <w:lang w:val="en-US" w:eastAsia="zh-CN"/>
              </w:rPr>
            </w:pPr>
            <w:r>
              <w:rPr>
                <w:rFonts w:hint="eastAsia" w:ascii="宋体"/>
                <w:color w:val="000000"/>
                <w:sz w:val="18"/>
                <w:szCs w:val="18"/>
                <w:lang w:val="en-US" w:eastAsia="zh-CN"/>
              </w:rPr>
              <w:t>1100</w:t>
            </w:r>
          </w:p>
        </w:tc>
        <w:tc>
          <w:tcPr>
            <w:tcW w:w="1319" w:type="dxa"/>
            <w:noWrap w:val="0"/>
            <w:vAlign w:val="center"/>
          </w:tcPr>
          <w:p>
            <w:pPr>
              <w:jc w:val="center"/>
              <w:rPr>
                <w:rFonts w:hint="eastAsia" w:ascii="宋体" w:eastAsia="宋体"/>
                <w:color w:val="000000"/>
                <w:sz w:val="18"/>
                <w:szCs w:val="18"/>
                <w:lang w:val="en-US" w:eastAsia="zh-CN"/>
              </w:rPr>
            </w:pPr>
          </w:p>
        </w:tc>
        <w:tc>
          <w:tcPr>
            <w:tcW w:w="1319" w:type="dxa"/>
            <w:noWrap w:val="0"/>
            <w:vAlign w:val="center"/>
          </w:tcPr>
          <w:p>
            <w:pPr>
              <w:jc w:val="center"/>
              <w:rPr>
                <w:rFonts w:hint="eastAsia" w:ascii="宋体" w:eastAsia="宋体"/>
                <w:color w:val="00000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9" w:type="dxa"/>
            <w:vMerge w:val="continue"/>
            <w:noWrap w:val="0"/>
            <w:vAlign w:val="top"/>
          </w:tcPr>
          <w:p>
            <w:pPr>
              <w:jc w:val="center"/>
              <w:rPr>
                <w:rFonts w:hint="eastAsia" w:ascii="宋体"/>
                <w:b/>
                <w:bCs/>
                <w:sz w:val="18"/>
                <w:szCs w:val="18"/>
              </w:rPr>
            </w:pPr>
          </w:p>
        </w:tc>
        <w:tc>
          <w:tcPr>
            <w:tcW w:w="1319" w:type="dxa"/>
            <w:noWrap w:val="0"/>
            <w:vAlign w:val="top"/>
          </w:tcPr>
          <w:p>
            <w:pPr>
              <w:jc w:val="center"/>
              <w:rPr>
                <w:rFonts w:hint="eastAsia" w:ascii="宋体"/>
                <w:color w:val="auto"/>
                <w:sz w:val="18"/>
                <w:szCs w:val="18"/>
                <w:lang w:val="en-US" w:eastAsia="zh-CN"/>
              </w:rPr>
            </w:pPr>
            <w:r>
              <w:rPr>
                <w:rFonts w:hint="eastAsia" w:ascii="宋体"/>
                <w:color w:val="auto"/>
                <w:sz w:val="18"/>
                <w:szCs w:val="18"/>
                <w:lang w:val="en-US" w:eastAsia="zh-CN"/>
              </w:rPr>
              <w:t>550</w:t>
            </w:r>
          </w:p>
        </w:tc>
        <w:tc>
          <w:tcPr>
            <w:tcW w:w="1319" w:type="dxa"/>
            <w:noWrap w:val="0"/>
            <w:vAlign w:val="center"/>
          </w:tcPr>
          <w:p>
            <w:pPr>
              <w:jc w:val="center"/>
              <w:rPr>
                <w:rFonts w:hint="eastAsia" w:ascii="宋体"/>
                <w:color w:val="auto"/>
                <w:sz w:val="18"/>
                <w:szCs w:val="18"/>
                <w:lang w:val="en-US" w:eastAsia="zh-CN"/>
              </w:rPr>
            </w:pPr>
            <w:r>
              <w:rPr>
                <w:rFonts w:hint="eastAsia" w:ascii="宋体"/>
                <w:color w:val="auto"/>
                <w:sz w:val="18"/>
                <w:szCs w:val="18"/>
                <w:lang w:val="en-US" w:eastAsia="zh-CN"/>
              </w:rPr>
              <w:t>1410</w:t>
            </w:r>
          </w:p>
        </w:tc>
        <w:tc>
          <w:tcPr>
            <w:tcW w:w="1319" w:type="dxa"/>
            <w:noWrap w:val="0"/>
            <w:vAlign w:val="center"/>
          </w:tcPr>
          <w:p>
            <w:pPr>
              <w:jc w:val="center"/>
              <w:rPr>
                <w:rFonts w:hint="default" w:ascii="宋体" w:eastAsiaTheme="minorEastAsia"/>
                <w:color w:val="auto"/>
                <w:sz w:val="18"/>
                <w:szCs w:val="18"/>
                <w:lang w:val="en-US" w:eastAsia="zh-CN"/>
              </w:rPr>
            </w:pPr>
            <w:r>
              <w:rPr>
                <w:rFonts w:hint="eastAsia" w:ascii="宋体"/>
                <w:color w:val="auto"/>
                <w:sz w:val="18"/>
                <w:szCs w:val="18"/>
                <w:lang w:val="en-US" w:eastAsia="zh-CN"/>
              </w:rPr>
              <w:t>900</w:t>
            </w:r>
          </w:p>
        </w:tc>
        <w:tc>
          <w:tcPr>
            <w:tcW w:w="1319" w:type="dxa"/>
            <w:noWrap w:val="0"/>
            <w:vAlign w:val="center"/>
          </w:tcPr>
          <w:p>
            <w:pPr>
              <w:jc w:val="center"/>
              <w:rPr>
                <w:rFonts w:hint="eastAsia" w:ascii="宋体"/>
                <w:color w:val="000000"/>
                <w:sz w:val="18"/>
                <w:szCs w:val="18"/>
              </w:rPr>
            </w:pPr>
          </w:p>
        </w:tc>
        <w:tc>
          <w:tcPr>
            <w:tcW w:w="1319" w:type="dxa"/>
            <w:noWrap w:val="0"/>
            <w:vAlign w:val="center"/>
          </w:tcPr>
          <w:p>
            <w:pPr>
              <w:jc w:val="center"/>
              <w:rPr>
                <w:rFonts w:hint="eastAsia" w:ascii="宋体" w:eastAsia="宋体"/>
                <w:color w:val="000000"/>
                <w:sz w:val="18"/>
                <w:szCs w:val="18"/>
                <w:lang w:val="en-US" w:eastAsia="zh-CN"/>
              </w:rPr>
            </w:pPr>
          </w:p>
        </w:tc>
        <w:tc>
          <w:tcPr>
            <w:tcW w:w="1319" w:type="dxa"/>
            <w:noWrap w:val="0"/>
            <w:vAlign w:val="center"/>
          </w:tcPr>
          <w:p>
            <w:pPr>
              <w:jc w:val="center"/>
              <w:rPr>
                <w:rFonts w:hint="eastAsia" w:ascii="宋体" w:eastAsia="宋体"/>
                <w:color w:val="00000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9" w:type="dxa"/>
            <w:vMerge w:val="continue"/>
            <w:noWrap w:val="0"/>
            <w:vAlign w:val="top"/>
          </w:tcPr>
          <w:p>
            <w:pPr>
              <w:jc w:val="center"/>
              <w:rPr>
                <w:rFonts w:hint="eastAsia" w:ascii="宋体"/>
                <w:b/>
                <w:bCs/>
                <w:sz w:val="18"/>
                <w:szCs w:val="18"/>
              </w:rPr>
            </w:pPr>
          </w:p>
        </w:tc>
        <w:tc>
          <w:tcPr>
            <w:tcW w:w="1319" w:type="dxa"/>
            <w:noWrap w:val="0"/>
            <w:vAlign w:val="top"/>
          </w:tcPr>
          <w:p>
            <w:pPr>
              <w:jc w:val="center"/>
              <w:rPr>
                <w:rFonts w:hint="default" w:ascii="宋体" w:eastAsiaTheme="minorEastAsia"/>
                <w:color w:val="auto"/>
                <w:sz w:val="18"/>
                <w:szCs w:val="18"/>
                <w:lang w:val="en-US" w:eastAsia="zh-CN"/>
              </w:rPr>
            </w:pPr>
            <w:r>
              <w:rPr>
                <w:rFonts w:hint="eastAsia" w:ascii="宋体"/>
                <w:color w:val="auto"/>
                <w:sz w:val="18"/>
                <w:szCs w:val="18"/>
                <w:lang w:val="en-US" w:eastAsia="zh-CN"/>
              </w:rPr>
              <w:t>550</w:t>
            </w:r>
          </w:p>
        </w:tc>
        <w:tc>
          <w:tcPr>
            <w:tcW w:w="1319" w:type="dxa"/>
            <w:noWrap w:val="0"/>
            <w:vAlign w:val="center"/>
          </w:tcPr>
          <w:p>
            <w:pPr>
              <w:jc w:val="center"/>
              <w:rPr>
                <w:rFonts w:hint="default" w:ascii="宋体" w:eastAsiaTheme="minorEastAsia"/>
                <w:color w:val="auto"/>
                <w:sz w:val="18"/>
                <w:szCs w:val="18"/>
                <w:lang w:val="en-US" w:eastAsia="zh-CN"/>
              </w:rPr>
            </w:pPr>
            <w:r>
              <w:rPr>
                <w:rFonts w:hint="eastAsia" w:ascii="宋体"/>
                <w:color w:val="auto"/>
                <w:sz w:val="18"/>
                <w:szCs w:val="18"/>
                <w:lang w:val="en-US" w:eastAsia="zh-CN"/>
              </w:rPr>
              <w:t>1000</w:t>
            </w:r>
          </w:p>
        </w:tc>
        <w:tc>
          <w:tcPr>
            <w:tcW w:w="1319" w:type="dxa"/>
            <w:noWrap w:val="0"/>
            <w:vAlign w:val="center"/>
          </w:tcPr>
          <w:p>
            <w:pPr>
              <w:jc w:val="center"/>
              <w:rPr>
                <w:rFonts w:hint="eastAsia" w:ascii="宋体"/>
                <w:color w:val="auto"/>
                <w:sz w:val="18"/>
                <w:szCs w:val="18"/>
              </w:rPr>
            </w:pPr>
          </w:p>
        </w:tc>
        <w:tc>
          <w:tcPr>
            <w:tcW w:w="1319" w:type="dxa"/>
            <w:noWrap w:val="0"/>
            <w:vAlign w:val="center"/>
          </w:tcPr>
          <w:p>
            <w:pPr>
              <w:jc w:val="center"/>
              <w:rPr>
                <w:rFonts w:hint="eastAsia" w:ascii="宋体"/>
                <w:color w:val="000000"/>
                <w:sz w:val="18"/>
                <w:szCs w:val="18"/>
              </w:rPr>
            </w:pPr>
          </w:p>
        </w:tc>
        <w:tc>
          <w:tcPr>
            <w:tcW w:w="1319" w:type="dxa"/>
            <w:noWrap w:val="0"/>
            <w:vAlign w:val="center"/>
          </w:tcPr>
          <w:p>
            <w:pPr>
              <w:jc w:val="center"/>
              <w:rPr>
                <w:rFonts w:hint="eastAsia" w:ascii="宋体" w:eastAsia="宋体"/>
                <w:color w:val="000000"/>
                <w:sz w:val="18"/>
                <w:szCs w:val="18"/>
                <w:lang w:val="en-US" w:eastAsia="zh-CN"/>
              </w:rPr>
            </w:pPr>
          </w:p>
        </w:tc>
        <w:tc>
          <w:tcPr>
            <w:tcW w:w="1319" w:type="dxa"/>
            <w:noWrap w:val="0"/>
            <w:vAlign w:val="center"/>
          </w:tcPr>
          <w:p>
            <w:pPr>
              <w:jc w:val="center"/>
              <w:rPr>
                <w:rFonts w:hint="eastAsia" w:ascii="宋体" w:eastAsia="宋体"/>
                <w:color w:val="00000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9" w:type="dxa"/>
            <w:vMerge w:val="continue"/>
            <w:noWrap w:val="0"/>
            <w:vAlign w:val="top"/>
          </w:tcPr>
          <w:p>
            <w:pPr>
              <w:jc w:val="center"/>
              <w:rPr>
                <w:rFonts w:hint="eastAsia" w:ascii="宋体"/>
                <w:b/>
                <w:bCs/>
                <w:sz w:val="18"/>
                <w:szCs w:val="18"/>
              </w:rPr>
            </w:pPr>
          </w:p>
        </w:tc>
        <w:tc>
          <w:tcPr>
            <w:tcW w:w="1319" w:type="dxa"/>
            <w:noWrap w:val="0"/>
            <w:vAlign w:val="top"/>
          </w:tcPr>
          <w:p>
            <w:pPr>
              <w:jc w:val="center"/>
              <w:rPr>
                <w:rFonts w:hint="default" w:ascii="宋体" w:eastAsiaTheme="minorEastAsia"/>
                <w:color w:val="auto"/>
                <w:sz w:val="18"/>
                <w:szCs w:val="18"/>
                <w:lang w:val="en-US" w:eastAsia="zh-CN"/>
              </w:rPr>
            </w:pPr>
            <w:r>
              <w:rPr>
                <w:rFonts w:hint="eastAsia" w:ascii="宋体"/>
                <w:color w:val="auto"/>
                <w:sz w:val="18"/>
                <w:szCs w:val="18"/>
                <w:lang w:val="en-US" w:eastAsia="zh-CN"/>
              </w:rPr>
              <w:t>890</w:t>
            </w:r>
          </w:p>
        </w:tc>
        <w:tc>
          <w:tcPr>
            <w:tcW w:w="1319" w:type="dxa"/>
            <w:noWrap w:val="0"/>
            <w:vAlign w:val="center"/>
          </w:tcPr>
          <w:p>
            <w:pPr>
              <w:jc w:val="center"/>
              <w:rPr>
                <w:rFonts w:hint="default" w:ascii="宋体" w:eastAsiaTheme="minorEastAsia"/>
                <w:color w:val="auto"/>
                <w:sz w:val="18"/>
                <w:szCs w:val="18"/>
                <w:lang w:val="en-US" w:eastAsia="zh-CN"/>
              </w:rPr>
            </w:pPr>
            <w:r>
              <w:rPr>
                <w:rFonts w:hint="eastAsia" w:ascii="宋体"/>
                <w:color w:val="auto"/>
                <w:sz w:val="18"/>
                <w:szCs w:val="18"/>
                <w:lang w:val="en-US" w:eastAsia="zh-CN"/>
              </w:rPr>
              <w:t>800</w:t>
            </w:r>
          </w:p>
        </w:tc>
        <w:tc>
          <w:tcPr>
            <w:tcW w:w="1319" w:type="dxa"/>
            <w:noWrap w:val="0"/>
            <w:vAlign w:val="center"/>
          </w:tcPr>
          <w:p>
            <w:pPr>
              <w:jc w:val="center"/>
              <w:rPr>
                <w:rFonts w:hint="eastAsia" w:ascii="宋体"/>
                <w:color w:val="auto"/>
                <w:sz w:val="18"/>
                <w:szCs w:val="18"/>
              </w:rPr>
            </w:pPr>
          </w:p>
        </w:tc>
        <w:tc>
          <w:tcPr>
            <w:tcW w:w="1319" w:type="dxa"/>
            <w:noWrap w:val="0"/>
            <w:vAlign w:val="center"/>
          </w:tcPr>
          <w:p>
            <w:pPr>
              <w:jc w:val="center"/>
              <w:rPr>
                <w:rFonts w:hint="eastAsia" w:ascii="宋体"/>
                <w:color w:val="000000"/>
                <w:sz w:val="18"/>
                <w:szCs w:val="18"/>
              </w:rPr>
            </w:pPr>
          </w:p>
        </w:tc>
        <w:tc>
          <w:tcPr>
            <w:tcW w:w="1319" w:type="dxa"/>
            <w:noWrap w:val="0"/>
            <w:vAlign w:val="center"/>
          </w:tcPr>
          <w:p>
            <w:pPr>
              <w:jc w:val="center"/>
              <w:rPr>
                <w:rFonts w:hint="eastAsia" w:ascii="宋体" w:eastAsia="宋体"/>
                <w:color w:val="000000"/>
                <w:sz w:val="18"/>
                <w:szCs w:val="18"/>
                <w:lang w:val="en-US" w:eastAsia="zh-CN"/>
              </w:rPr>
            </w:pPr>
          </w:p>
        </w:tc>
        <w:tc>
          <w:tcPr>
            <w:tcW w:w="1319" w:type="dxa"/>
            <w:noWrap w:val="0"/>
            <w:vAlign w:val="center"/>
          </w:tcPr>
          <w:p>
            <w:pPr>
              <w:jc w:val="center"/>
              <w:rPr>
                <w:rFonts w:hint="eastAsia" w:ascii="宋体" w:eastAsia="宋体"/>
                <w:color w:val="00000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09" w:type="dxa"/>
            <w:vMerge w:val="continue"/>
            <w:noWrap w:val="0"/>
            <w:vAlign w:val="top"/>
          </w:tcPr>
          <w:p>
            <w:pPr>
              <w:jc w:val="center"/>
              <w:rPr>
                <w:rFonts w:hint="eastAsia" w:ascii="宋体"/>
                <w:b/>
                <w:bCs/>
                <w:sz w:val="18"/>
                <w:szCs w:val="18"/>
              </w:rPr>
            </w:pPr>
          </w:p>
        </w:tc>
        <w:tc>
          <w:tcPr>
            <w:tcW w:w="1319" w:type="dxa"/>
            <w:noWrap w:val="0"/>
            <w:vAlign w:val="top"/>
          </w:tcPr>
          <w:p>
            <w:pPr>
              <w:jc w:val="center"/>
              <w:rPr>
                <w:rFonts w:hint="default" w:ascii="宋体" w:eastAsiaTheme="minorEastAsia"/>
                <w:color w:val="auto"/>
                <w:sz w:val="18"/>
                <w:szCs w:val="18"/>
                <w:lang w:val="en-US" w:eastAsia="zh-CN"/>
              </w:rPr>
            </w:pPr>
            <w:r>
              <w:rPr>
                <w:rFonts w:hint="eastAsia" w:ascii="宋体"/>
                <w:color w:val="auto"/>
                <w:sz w:val="18"/>
                <w:szCs w:val="18"/>
                <w:lang w:val="en-US" w:eastAsia="zh-CN"/>
              </w:rPr>
              <w:t>950</w:t>
            </w:r>
          </w:p>
        </w:tc>
        <w:tc>
          <w:tcPr>
            <w:tcW w:w="1319" w:type="dxa"/>
            <w:noWrap w:val="0"/>
            <w:vAlign w:val="center"/>
          </w:tcPr>
          <w:p>
            <w:pPr>
              <w:jc w:val="center"/>
              <w:rPr>
                <w:rFonts w:hint="default" w:ascii="宋体" w:eastAsiaTheme="minorEastAsia"/>
                <w:color w:val="auto"/>
                <w:sz w:val="18"/>
                <w:szCs w:val="18"/>
                <w:lang w:val="en-US" w:eastAsia="zh-CN"/>
              </w:rPr>
            </w:pPr>
          </w:p>
        </w:tc>
        <w:tc>
          <w:tcPr>
            <w:tcW w:w="1319" w:type="dxa"/>
            <w:noWrap w:val="0"/>
            <w:vAlign w:val="center"/>
          </w:tcPr>
          <w:p>
            <w:pPr>
              <w:jc w:val="center"/>
              <w:rPr>
                <w:rFonts w:hint="eastAsia" w:ascii="宋体"/>
                <w:color w:val="auto"/>
                <w:sz w:val="18"/>
                <w:szCs w:val="18"/>
              </w:rPr>
            </w:pPr>
          </w:p>
        </w:tc>
        <w:tc>
          <w:tcPr>
            <w:tcW w:w="1319" w:type="dxa"/>
            <w:noWrap w:val="0"/>
            <w:vAlign w:val="center"/>
          </w:tcPr>
          <w:p>
            <w:pPr>
              <w:jc w:val="center"/>
              <w:rPr>
                <w:rFonts w:hint="eastAsia" w:ascii="宋体"/>
                <w:color w:val="000000"/>
                <w:sz w:val="18"/>
                <w:szCs w:val="18"/>
              </w:rPr>
            </w:pPr>
          </w:p>
        </w:tc>
        <w:tc>
          <w:tcPr>
            <w:tcW w:w="1319" w:type="dxa"/>
            <w:noWrap w:val="0"/>
            <w:vAlign w:val="center"/>
          </w:tcPr>
          <w:p>
            <w:pPr>
              <w:jc w:val="center"/>
              <w:rPr>
                <w:rFonts w:hint="eastAsia" w:ascii="宋体" w:eastAsia="宋体"/>
                <w:color w:val="000000"/>
                <w:sz w:val="18"/>
                <w:szCs w:val="18"/>
                <w:lang w:val="en-US" w:eastAsia="zh-CN"/>
              </w:rPr>
            </w:pPr>
          </w:p>
        </w:tc>
        <w:tc>
          <w:tcPr>
            <w:tcW w:w="1319" w:type="dxa"/>
            <w:noWrap w:val="0"/>
            <w:vAlign w:val="center"/>
          </w:tcPr>
          <w:p>
            <w:pPr>
              <w:jc w:val="center"/>
              <w:rPr>
                <w:rFonts w:hint="eastAsia" w:ascii="宋体" w:eastAsia="宋体"/>
                <w:color w:val="00000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9" w:type="dxa"/>
            <w:vMerge w:val="continue"/>
            <w:noWrap w:val="0"/>
            <w:vAlign w:val="top"/>
          </w:tcPr>
          <w:p>
            <w:pPr>
              <w:jc w:val="center"/>
              <w:rPr>
                <w:rFonts w:hint="eastAsia" w:ascii="宋体"/>
                <w:b/>
                <w:bCs/>
                <w:sz w:val="18"/>
                <w:szCs w:val="18"/>
              </w:rPr>
            </w:pPr>
          </w:p>
        </w:tc>
        <w:tc>
          <w:tcPr>
            <w:tcW w:w="1319" w:type="dxa"/>
            <w:noWrap w:val="0"/>
            <w:vAlign w:val="top"/>
          </w:tcPr>
          <w:p>
            <w:pPr>
              <w:jc w:val="center"/>
              <w:rPr>
                <w:rFonts w:hint="default" w:ascii="宋体" w:eastAsiaTheme="minorEastAsia"/>
                <w:color w:val="auto"/>
                <w:sz w:val="18"/>
                <w:szCs w:val="18"/>
                <w:lang w:val="en-US" w:eastAsia="zh-CN"/>
              </w:rPr>
            </w:pPr>
            <w:r>
              <w:rPr>
                <w:rFonts w:hint="eastAsia" w:ascii="宋体"/>
                <w:color w:val="auto"/>
                <w:sz w:val="18"/>
                <w:szCs w:val="18"/>
                <w:lang w:val="en-US" w:eastAsia="zh-CN"/>
              </w:rPr>
              <w:t>650</w:t>
            </w:r>
          </w:p>
        </w:tc>
        <w:tc>
          <w:tcPr>
            <w:tcW w:w="1319" w:type="dxa"/>
            <w:noWrap w:val="0"/>
            <w:vAlign w:val="center"/>
          </w:tcPr>
          <w:p>
            <w:pPr>
              <w:jc w:val="center"/>
              <w:rPr>
                <w:rFonts w:hint="default" w:ascii="宋体" w:eastAsiaTheme="minorEastAsia"/>
                <w:color w:val="auto"/>
                <w:sz w:val="18"/>
                <w:szCs w:val="18"/>
                <w:lang w:val="en-US" w:eastAsia="zh-CN"/>
              </w:rPr>
            </w:pPr>
          </w:p>
        </w:tc>
        <w:tc>
          <w:tcPr>
            <w:tcW w:w="1319" w:type="dxa"/>
            <w:noWrap w:val="0"/>
            <w:vAlign w:val="center"/>
          </w:tcPr>
          <w:p>
            <w:pPr>
              <w:jc w:val="center"/>
              <w:rPr>
                <w:rFonts w:hint="eastAsia" w:ascii="宋体"/>
                <w:color w:val="auto"/>
                <w:sz w:val="18"/>
                <w:szCs w:val="18"/>
              </w:rPr>
            </w:pPr>
          </w:p>
        </w:tc>
        <w:tc>
          <w:tcPr>
            <w:tcW w:w="1319" w:type="dxa"/>
            <w:noWrap w:val="0"/>
            <w:vAlign w:val="center"/>
          </w:tcPr>
          <w:p>
            <w:pPr>
              <w:jc w:val="center"/>
              <w:rPr>
                <w:rFonts w:hint="eastAsia" w:ascii="宋体"/>
                <w:color w:val="000000"/>
                <w:sz w:val="18"/>
                <w:szCs w:val="18"/>
              </w:rPr>
            </w:pPr>
          </w:p>
        </w:tc>
        <w:tc>
          <w:tcPr>
            <w:tcW w:w="1319" w:type="dxa"/>
            <w:noWrap w:val="0"/>
            <w:vAlign w:val="center"/>
          </w:tcPr>
          <w:p>
            <w:pPr>
              <w:jc w:val="center"/>
              <w:rPr>
                <w:rFonts w:hint="eastAsia" w:ascii="宋体" w:eastAsia="宋体"/>
                <w:color w:val="000000"/>
                <w:sz w:val="18"/>
                <w:szCs w:val="18"/>
                <w:lang w:val="en-US" w:eastAsia="zh-CN"/>
              </w:rPr>
            </w:pPr>
          </w:p>
        </w:tc>
        <w:tc>
          <w:tcPr>
            <w:tcW w:w="1319" w:type="dxa"/>
            <w:noWrap w:val="0"/>
            <w:vAlign w:val="center"/>
          </w:tcPr>
          <w:p>
            <w:pPr>
              <w:jc w:val="center"/>
              <w:rPr>
                <w:rFonts w:hint="eastAsia" w:ascii="宋体" w:eastAsia="宋体"/>
                <w:color w:val="000000"/>
                <w:sz w:val="18"/>
                <w:szCs w:val="18"/>
                <w:lang w:val="en-US" w:eastAsia="zh-CN"/>
              </w:rPr>
            </w:pPr>
          </w:p>
        </w:tc>
      </w:tr>
    </w:tbl>
    <w:p>
      <w:pPr>
        <w:spacing w:line="360" w:lineRule="auto"/>
        <w:ind w:firstLine="420" w:firstLineChars="200"/>
        <w:jc w:val="center"/>
      </w:pPr>
    </w:p>
    <w:p>
      <w:pPr>
        <w:spacing w:line="360" w:lineRule="auto"/>
        <w:ind w:firstLine="480" w:firstLineChars="200"/>
        <w:jc w:val="center"/>
        <w:rPr>
          <w:rFonts w:hint="eastAsia" w:ascii="Times New Roman" w:hAnsi="Times New Roman" w:cs="Times New Roman"/>
          <w:sz w:val="24"/>
          <w:szCs w:val="24"/>
          <w:lang w:val="en-US" w:eastAsia="zh-CN"/>
        </w:rPr>
      </w:pPr>
    </w:p>
    <w:p>
      <w:pPr>
        <w:spacing w:line="360" w:lineRule="auto"/>
        <w:ind w:firstLine="480" w:firstLineChars="200"/>
        <w:jc w:val="center"/>
        <w:rPr>
          <w:rFonts w:hint="eastAsia" w:ascii="Times New Roman" w:hAnsi="Times New Roman" w:cs="Times New Roman"/>
          <w:sz w:val="24"/>
          <w:szCs w:val="24"/>
          <w:lang w:val="en-US" w:eastAsia="zh-CN"/>
        </w:rPr>
      </w:pPr>
    </w:p>
    <w:p>
      <w:pPr>
        <w:spacing w:line="360" w:lineRule="auto"/>
        <w:ind w:firstLine="480" w:firstLineChars="200"/>
        <w:jc w:val="center"/>
        <w:rPr>
          <w:rFonts w:hint="eastAsia" w:ascii="Times New Roman" w:hAnsi="Times New Roman" w:cs="Times New Roman"/>
          <w:sz w:val="24"/>
          <w:szCs w:val="24"/>
        </w:rPr>
      </w:pPr>
      <w:r>
        <w:rPr>
          <w:rFonts w:hint="eastAsia" w:ascii="Times New Roman" w:hAnsi="Times New Roman" w:cs="Times New Roman"/>
          <w:sz w:val="24"/>
          <w:szCs w:val="24"/>
          <w:lang w:val="en-US" w:eastAsia="zh-CN"/>
        </w:rPr>
        <w:t xml:space="preserve">表5 </w:t>
      </w:r>
      <w:r>
        <w:rPr>
          <w:rFonts w:hint="eastAsia" w:ascii="Times New Roman" w:hAnsi="Times New Roman" w:cs="Times New Roman"/>
          <w:sz w:val="24"/>
          <w:szCs w:val="24"/>
        </w:rPr>
        <w:t>涡旋式压缩机容重比</w:t>
      </w:r>
      <w:r>
        <w:rPr>
          <w:rFonts w:hint="eastAsia" w:ascii="Times New Roman" w:hAnsi="Times New Roman" w:cs="Times New Roman"/>
          <w:sz w:val="24"/>
          <w:szCs w:val="24"/>
          <w:lang w:val="en-US" w:eastAsia="zh-CN"/>
        </w:rPr>
        <w:t>试验数据</w:t>
      </w:r>
    </w:p>
    <w:tbl>
      <w:tblPr>
        <w:tblStyle w:val="19"/>
        <w:tblW w:w="55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1319"/>
        <w:gridCol w:w="1319"/>
        <w:gridCol w:w="1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9" w:type="dxa"/>
            <w:noWrap w:val="0"/>
            <w:vAlign w:val="top"/>
          </w:tcPr>
          <w:p>
            <w:pPr>
              <w:jc w:val="center"/>
              <w:rPr>
                <w:rFonts w:hint="eastAsia" w:ascii="宋体"/>
                <w:b/>
                <w:bCs/>
                <w:sz w:val="18"/>
                <w:szCs w:val="18"/>
              </w:rPr>
            </w:pPr>
            <w:r>
              <w:rPr>
                <w:rFonts w:hint="eastAsia" w:ascii="宋体"/>
                <w:b/>
                <w:bCs/>
                <w:sz w:val="18"/>
                <w:szCs w:val="18"/>
              </w:rPr>
              <w:t>气缸工作容积</w:t>
            </w:r>
          </w:p>
        </w:tc>
        <w:tc>
          <w:tcPr>
            <w:tcW w:w="1319" w:type="dxa"/>
            <w:noWrap w:val="0"/>
            <w:vAlign w:val="center"/>
          </w:tcPr>
          <w:p>
            <w:pPr>
              <w:jc w:val="center"/>
              <w:rPr>
                <w:rFonts w:hint="eastAsia" w:ascii="宋体"/>
                <w:b/>
                <w:bCs/>
                <w:sz w:val="18"/>
                <w:szCs w:val="18"/>
              </w:rPr>
            </w:pPr>
            <w:r>
              <w:rPr>
                <w:rFonts w:hint="eastAsia" w:ascii="宋体"/>
                <w:color w:val="000000"/>
                <w:sz w:val="18"/>
                <w:szCs w:val="18"/>
              </w:rPr>
              <w:t>&gt;25~40</w:t>
            </w:r>
          </w:p>
        </w:tc>
        <w:tc>
          <w:tcPr>
            <w:tcW w:w="1319" w:type="dxa"/>
            <w:noWrap w:val="0"/>
            <w:vAlign w:val="center"/>
          </w:tcPr>
          <w:p>
            <w:pPr>
              <w:jc w:val="center"/>
              <w:rPr>
                <w:rFonts w:hint="eastAsia" w:ascii="宋体"/>
                <w:b/>
                <w:bCs/>
                <w:sz w:val="18"/>
                <w:szCs w:val="18"/>
              </w:rPr>
            </w:pPr>
            <w:r>
              <w:rPr>
                <w:rFonts w:hint="eastAsia" w:ascii="宋体"/>
                <w:color w:val="000000"/>
                <w:sz w:val="18"/>
                <w:szCs w:val="18"/>
              </w:rPr>
              <w:t>&gt;40~55</w:t>
            </w:r>
          </w:p>
        </w:tc>
        <w:tc>
          <w:tcPr>
            <w:tcW w:w="1319" w:type="dxa"/>
            <w:noWrap w:val="0"/>
            <w:vAlign w:val="center"/>
          </w:tcPr>
          <w:p>
            <w:pPr>
              <w:jc w:val="center"/>
              <w:rPr>
                <w:rFonts w:hint="eastAsia" w:ascii="宋体"/>
                <w:b/>
                <w:bCs/>
                <w:sz w:val="18"/>
                <w:szCs w:val="18"/>
              </w:rPr>
            </w:pPr>
            <w:r>
              <w:rPr>
                <w:rFonts w:hint="eastAsia" w:ascii="宋体"/>
                <w:color w:val="000000"/>
                <w:sz w:val="18"/>
                <w:szCs w:val="18"/>
              </w:rPr>
              <w:t>&gt;55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9" w:type="dxa"/>
            <w:vMerge w:val="restart"/>
            <w:noWrap w:val="0"/>
            <w:vAlign w:val="top"/>
          </w:tcPr>
          <w:p>
            <w:pPr>
              <w:jc w:val="center"/>
              <w:rPr>
                <w:rFonts w:hint="eastAsia" w:ascii="宋体"/>
                <w:b/>
                <w:bCs/>
                <w:sz w:val="18"/>
                <w:szCs w:val="18"/>
              </w:rPr>
            </w:pPr>
            <w:r>
              <w:rPr>
                <w:rFonts w:hint="eastAsia" w:ascii="宋体"/>
                <w:b/>
                <w:bCs/>
                <w:sz w:val="18"/>
                <w:szCs w:val="18"/>
              </w:rPr>
              <w:t>R410A</w:t>
            </w:r>
          </w:p>
        </w:tc>
        <w:tc>
          <w:tcPr>
            <w:tcW w:w="1319" w:type="dxa"/>
            <w:noWrap w:val="0"/>
            <w:vAlign w:val="center"/>
          </w:tcPr>
          <w:p>
            <w:pPr>
              <w:jc w:val="center"/>
              <w:rPr>
                <w:rFonts w:hint="default" w:ascii="宋体" w:eastAsiaTheme="minorEastAsia"/>
                <w:b/>
                <w:bCs/>
                <w:sz w:val="18"/>
                <w:szCs w:val="18"/>
                <w:lang w:val="en-US" w:eastAsia="zh-CN"/>
              </w:rPr>
            </w:pPr>
            <w:r>
              <w:rPr>
                <w:rFonts w:hint="eastAsia" w:ascii="宋体"/>
                <w:b/>
                <w:bCs/>
                <w:sz w:val="18"/>
                <w:szCs w:val="18"/>
                <w:lang w:val="en-US" w:eastAsia="zh-CN"/>
              </w:rPr>
              <w:t>1000</w:t>
            </w:r>
          </w:p>
        </w:tc>
        <w:tc>
          <w:tcPr>
            <w:tcW w:w="1319" w:type="dxa"/>
            <w:noWrap w:val="0"/>
            <w:vAlign w:val="center"/>
          </w:tcPr>
          <w:p>
            <w:pPr>
              <w:jc w:val="center"/>
              <w:rPr>
                <w:rFonts w:hint="default" w:ascii="宋体" w:eastAsiaTheme="minorEastAsia"/>
                <w:b/>
                <w:bCs/>
                <w:sz w:val="18"/>
                <w:szCs w:val="18"/>
                <w:lang w:val="en-US" w:eastAsia="zh-CN"/>
              </w:rPr>
            </w:pPr>
            <w:r>
              <w:rPr>
                <w:rFonts w:hint="eastAsia" w:ascii="宋体"/>
                <w:b/>
                <w:bCs/>
                <w:sz w:val="18"/>
                <w:szCs w:val="18"/>
                <w:lang w:val="en-US" w:eastAsia="zh-CN"/>
              </w:rPr>
              <w:t>1500</w:t>
            </w:r>
          </w:p>
        </w:tc>
        <w:tc>
          <w:tcPr>
            <w:tcW w:w="1319" w:type="dxa"/>
            <w:noWrap w:val="0"/>
            <w:vAlign w:val="center"/>
          </w:tcPr>
          <w:p>
            <w:pPr>
              <w:jc w:val="center"/>
              <w:rPr>
                <w:rFonts w:hint="default" w:ascii="宋体" w:eastAsiaTheme="minorEastAsia"/>
                <w:b/>
                <w:bCs/>
                <w:sz w:val="18"/>
                <w:szCs w:val="18"/>
                <w:lang w:val="en-US" w:eastAsia="zh-CN"/>
              </w:rPr>
            </w:pPr>
            <w:r>
              <w:rPr>
                <w:rFonts w:hint="eastAsia" w:ascii="宋体"/>
                <w:b/>
                <w:bCs/>
                <w:sz w:val="18"/>
                <w:szCs w:val="18"/>
                <w:lang w:val="en-US" w:eastAsia="zh-CN"/>
              </w:rPr>
              <w:t>1490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9" w:type="dxa"/>
            <w:vMerge w:val="continue"/>
            <w:noWrap w:val="0"/>
            <w:vAlign w:val="top"/>
          </w:tcPr>
          <w:p>
            <w:pPr>
              <w:jc w:val="center"/>
              <w:rPr>
                <w:rFonts w:hint="eastAsia" w:ascii="宋体"/>
                <w:b/>
                <w:bCs/>
                <w:sz w:val="18"/>
                <w:szCs w:val="18"/>
              </w:rPr>
            </w:pPr>
          </w:p>
        </w:tc>
        <w:tc>
          <w:tcPr>
            <w:tcW w:w="1319" w:type="dxa"/>
            <w:noWrap w:val="0"/>
            <w:vAlign w:val="center"/>
          </w:tcPr>
          <w:p>
            <w:pPr>
              <w:jc w:val="center"/>
              <w:rPr>
                <w:rFonts w:hint="default" w:ascii="宋体" w:eastAsiaTheme="minorEastAsia"/>
                <w:b/>
                <w:bCs/>
                <w:sz w:val="18"/>
                <w:szCs w:val="18"/>
                <w:lang w:val="en-US" w:eastAsia="zh-CN"/>
              </w:rPr>
            </w:pPr>
            <w:r>
              <w:rPr>
                <w:rFonts w:hint="eastAsia" w:ascii="宋体"/>
                <w:b/>
                <w:bCs/>
                <w:sz w:val="18"/>
                <w:szCs w:val="18"/>
                <w:lang w:val="en-US" w:eastAsia="zh-CN"/>
              </w:rPr>
              <w:t>780</w:t>
            </w:r>
          </w:p>
        </w:tc>
        <w:tc>
          <w:tcPr>
            <w:tcW w:w="1319" w:type="dxa"/>
            <w:noWrap w:val="0"/>
            <w:vAlign w:val="center"/>
          </w:tcPr>
          <w:p>
            <w:pPr>
              <w:jc w:val="center"/>
              <w:rPr>
                <w:rFonts w:hint="default" w:ascii="宋体" w:eastAsiaTheme="minorEastAsia"/>
                <w:b/>
                <w:bCs/>
                <w:sz w:val="18"/>
                <w:szCs w:val="18"/>
                <w:lang w:val="en-US" w:eastAsia="zh-CN"/>
              </w:rPr>
            </w:pPr>
            <w:r>
              <w:rPr>
                <w:rFonts w:hint="eastAsia" w:ascii="宋体"/>
                <w:b/>
                <w:bCs/>
                <w:sz w:val="18"/>
                <w:szCs w:val="18"/>
                <w:lang w:val="en-US" w:eastAsia="zh-CN"/>
              </w:rPr>
              <w:t>1250</w:t>
            </w:r>
          </w:p>
        </w:tc>
        <w:tc>
          <w:tcPr>
            <w:tcW w:w="1319" w:type="dxa"/>
            <w:noWrap w:val="0"/>
            <w:vAlign w:val="center"/>
          </w:tcPr>
          <w:p>
            <w:pPr>
              <w:jc w:val="center"/>
              <w:rPr>
                <w:rFonts w:hint="default" w:ascii="宋体" w:eastAsiaTheme="minorEastAsia"/>
                <w:b/>
                <w:bCs/>
                <w:sz w:val="18"/>
                <w:szCs w:val="18"/>
                <w:lang w:val="en-US" w:eastAsia="zh-CN"/>
              </w:rPr>
            </w:pPr>
            <w:r>
              <w:rPr>
                <w:rFonts w:hint="eastAsia" w:ascii="宋体"/>
                <w:b/>
                <w:bCs/>
                <w:sz w:val="18"/>
                <w:szCs w:val="18"/>
                <w:lang w:val="en-US" w:eastAsia="zh-CN"/>
              </w:rPr>
              <w:t>1570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9" w:type="dxa"/>
            <w:vMerge w:val="continue"/>
            <w:noWrap w:val="0"/>
            <w:vAlign w:val="top"/>
          </w:tcPr>
          <w:p>
            <w:pPr>
              <w:jc w:val="center"/>
              <w:rPr>
                <w:rFonts w:hint="eastAsia" w:ascii="宋体"/>
                <w:b/>
                <w:bCs/>
                <w:sz w:val="18"/>
                <w:szCs w:val="18"/>
              </w:rPr>
            </w:pPr>
          </w:p>
        </w:tc>
        <w:tc>
          <w:tcPr>
            <w:tcW w:w="1319" w:type="dxa"/>
            <w:noWrap w:val="0"/>
            <w:vAlign w:val="center"/>
          </w:tcPr>
          <w:p>
            <w:pPr>
              <w:jc w:val="center"/>
              <w:rPr>
                <w:rFonts w:hint="default" w:ascii="宋体" w:eastAsiaTheme="minorEastAsia"/>
                <w:b/>
                <w:bCs/>
                <w:sz w:val="18"/>
                <w:szCs w:val="18"/>
                <w:lang w:val="en-US" w:eastAsia="zh-CN"/>
              </w:rPr>
            </w:pPr>
            <w:r>
              <w:rPr>
                <w:rFonts w:hint="eastAsia" w:ascii="宋体"/>
                <w:b/>
                <w:bCs/>
                <w:sz w:val="18"/>
                <w:szCs w:val="18"/>
                <w:lang w:val="en-US" w:eastAsia="zh-CN"/>
              </w:rPr>
              <w:t>810</w:t>
            </w:r>
          </w:p>
        </w:tc>
        <w:tc>
          <w:tcPr>
            <w:tcW w:w="1319" w:type="dxa"/>
            <w:noWrap w:val="0"/>
            <w:vAlign w:val="center"/>
          </w:tcPr>
          <w:p>
            <w:pPr>
              <w:jc w:val="center"/>
              <w:rPr>
                <w:rFonts w:hint="default" w:ascii="宋体" w:eastAsiaTheme="minorEastAsia"/>
                <w:b/>
                <w:bCs/>
                <w:sz w:val="18"/>
                <w:szCs w:val="18"/>
                <w:lang w:val="en-US" w:eastAsia="zh-CN"/>
              </w:rPr>
            </w:pPr>
            <w:r>
              <w:rPr>
                <w:rFonts w:hint="eastAsia" w:ascii="宋体"/>
                <w:b/>
                <w:bCs/>
                <w:sz w:val="18"/>
                <w:szCs w:val="18"/>
                <w:lang w:val="en-US" w:eastAsia="zh-CN"/>
              </w:rPr>
              <w:t>1410</w:t>
            </w:r>
          </w:p>
        </w:tc>
        <w:tc>
          <w:tcPr>
            <w:tcW w:w="1319" w:type="dxa"/>
            <w:noWrap w:val="0"/>
            <w:vAlign w:val="center"/>
          </w:tcPr>
          <w:p>
            <w:pPr>
              <w:jc w:val="center"/>
              <w:rPr>
                <w:rFonts w:hint="default" w:ascii="宋体" w:eastAsiaTheme="minorEastAsia"/>
                <w:b/>
                <w:bCs/>
                <w:sz w:val="18"/>
                <w:szCs w:val="18"/>
                <w:lang w:val="en-US" w:eastAsia="zh-CN"/>
              </w:rPr>
            </w:pPr>
            <w:r>
              <w:rPr>
                <w:rFonts w:hint="eastAsia" w:ascii="宋体"/>
                <w:b/>
                <w:bCs/>
                <w:sz w:val="18"/>
                <w:szCs w:val="18"/>
                <w:lang w:val="en-US" w:eastAsia="zh-CN"/>
              </w:rPr>
              <w:t>1570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9" w:type="dxa"/>
            <w:vMerge w:val="continue"/>
            <w:noWrap w:val="0"/>
            <w:vAlign w:val="top"/>
          </w:tcPr>
          <w:p>
            <w:pPr>
              <w:jc w:val="center"/>
              <w:rPr>
                <w:rFonts w:hint="eastAsia" w:ascii="宋体"/>
                <w:b/>
                <w:bCs/>
                <w:sz w:val="18"/>
                <w:szCs w:val="18"/>
              </w:rPr>
            </w:pPr>
          </w:p>
        </w:tc>
        <w:tc>
          <w:tcPr>
            <w:tcW w:w="1319" w:type="dxa"/>
            <w:noWrap w:val="0"/>
            <w:vAlign w:val="center"/>
          </w:tcPr>
          <w:p>
            <w:pPr>
              <w:jc w:val="center"/>
              <w:rPr>
                <w:rFonts w:hint="default" w:ascii="宋体" w:eastAsiaTheme="minorEastAsia"/>
                <w:b/>
                <w:bCs/>
                <w:sz w:val="18"/>
                <w:szCs w:val="18"/>
                <w:lang w:val="en-US" w:eastAsia="zh-CN"/>
              </w:rPr>
            </w:pPr>
            <w:r>
              <w:rPr>
                <w:rFonts w:hint="eastAsia" w:ascii="宋体"/>
                <w:b/>
                <w:bCs/>
                <w:sz w:val="18"/>
                <w:szCs w:val="18"/>
                <w:lang w:val="en-US" w:eastAsia="zh-CN"/>
              </w:rPr>
              <w:t>900</w:t>
            </w:r>
          </w:p>
        </w:tc>
        <w:tc>
          <w:tcPr>
            <w:tcW w:w="1319" w:type="dxa"/>
            <w:noWrap w:val="0"/>
            <w:vAlign w:val="center"/>
          </w:tcPr>
          <w:p>
            <w:pPr>
              <w:jc w:val="center"/>
              <w:rPr>
                <w:rFonts w:hint="default" w:ascii="宋体"/>
                <w:b/>
                <w:bCs/>
                <w:sz w:val="18"/>
                <w:szCs w:val="18"/>
                <w:lang w:val="en-US" w:eastAsia="zh-CN"/>
              </w:rPr>
            </w:pPr>
            <w:r>
              <w:rPr>
                <w:rFonts w:hint="eastAsia" w:ascii="宋体"/>
                <w:b/>
                <w:bCs/>
                <w:sz w:val="18"/>
                <w:szCs w:val="18"/>
                <w:lang w:val="en-US" w:eastAsia="zh-CN"/>
              </w:rPr>
              <w:t>1240</w:t>
            </w:r>
          </w:p>
        </w:tc>
        <w:tc>
          <w:tcPr>
            <w:tcW w:w="1319" w:type="dxa"/>
            <w:noWrap w:val="0"/>
            <w:vAlign w:val="center"/>
          </w:tcPr>
          <w:p>
            <w:pPr>
              <w:jc w:val="center"/>
              <w:rPr>
                <w:rFonts w:hint="default" w:ascii="宋体" w:eastAsiaTheme="minorEastAsia"/>
                <w:b/>
                <w:bCs/>
                <w:sz w:val="18"/>
                <w:szCs w:val="18"/>
                <w:lang w:val="en-US" w:eastAsia="zh-CN"/>
              </w:rPr>
            </w:pPr>
            <w:r>
              <w:rPr>
                <w:rFonts w:hint="eastAsia" w:ascii="宋体"/>
                <w:b/>
                <w:bCs/>
                <w:sz w:val="18"/>
                <w:szCs w:val="18"/>
                <w:lang w:val="en-US" w:eastAsia="zh-CN"/>
              </w:rPr>
              <w:t>2131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9" w:type="dxa"/>
            <w:vMerge w:val="continue"/>
            <w:noWrap w:val="0"/>
            <w:vAlign w:val="top"/>
          </w:tcPr>
          <w:p>
            <w:pPr>
              <w:jc w:val="center"/>
              <w:rPr>
                <w:rFonts w:hint="eastAsia" w:ascii="宋体"/>
                <w:b/>
                <w:bCs/>
                <w:sz w:val="18"/>
                <w:szCs w:val="18"/>
              </w:rPr>
            </w:pPr>
          </w:p>
        </w:tc>
        <w:tc>
          <w:tcPr>
            <w:tcW w:w="1319" w:type="dxa"/>
            <w:noWrap w:val="0"/>
            <w:vAlign w:val="center"/>
          </w:tcPr>
          <w:p>
            <w:pPr>
              <w:jc w:val="center"/>
              <w:rPr>
                <w:rFonts w:hint="default" w:ascii="宋体" w:eastAsiaTheme="minorEastAsia"/>
                <w:b/>
                <w:bCs/>
                <w:sz w:val="18"/>
                <w:szCs w:val="18"/>
                <w:lang w:val="en-US" w:eastAsia="zh-CN"/>
              </w:rPr>
            </w:pPr>
            <w:r>
              <w:rPr>
                <w:rFonts w:hint="eastAsia" w:ascii="宋体"/>
                <w:b/>
                <w:bCs/>
                <w:sz w:val="18"/>
                <w:szCs w:val="18"/>
                <w:lang w:val="en-US" w:eastAsia="zh-CN"/>
              </w:rPr>
              <w:t>1020</w:t>
            </w:r>
          </w:p>
        </w:tc>
        <w:tc>
          <w:tcPr>
            <w:tcW w:w="1319" w:type="dxa"/>
            <w:noWrap w:val="0"/>
            <w:vAlign w:val="center"/>
          </w:tcPr>
          <w:p>
            <w:pPr>
              <w:jc w:val="center"/>
              <w:rPr>
                <w:rFonts w:hint="default" w:ascii="宋体"/>
                <w:b/>
                <w:bCs/>
                <w:sz w:val="18"/>
                <w:szCs w:val="18"/>
                <w:lang w:val="en-US" w:eastAsia="zh-CN"/>
              </w:rPr>
            </w:pPr>
            <w:r>
              <w:rPr>
                <w:rFonts w:hint="eastAsia" w:ascii="宋体"/>
                <w:b/>
                <w:bCs/>
                <w:sz w:val="18"/>
                <w:szCs w:val="18"/>
                <w:lang w:val="en-US" w:eastAsia="zh-CN"/>
              </w:rPr>
              <w:t>1260</w:t>
            </w:r>
          </w:p>
        </w:tc>
        <w:tc>
          <w:tcPr>
            <w:tcW w:w="1319" w:type="dxa"/>
            <w:noWrap w:val="0"/>
            <w:vAlign w:val="center"/>
          </w:tcPr>
          <w:p>
            <w:pPr>
              <w:jc w:val="center"/>
              <w:rPr>
                <w:rFonts w:hint="default" w:ascii="宋体" w:eastAsiaTheme="minorEastAsia"/>
                <w:b/>
                <w:bCs/>
                <w:sz w:val="18"/>
                <w:szCs w:val="18"/>
                <w:lang w:val="en-US" w:eastAsia="zh-CN"/>
              </w:rPr>
            </w:pPr>
            <w:r>
              <w:rPr>
                <w:rFonts w:hint="eastAsia" w:ascii="宋体"/>
                <w:b/>
                <w:bCs/>
                <w:sz w:val="18"/>
                <w:szCs w:val="18"/>
                <w:lang w:val="en-US" w:eastAsia="zh-CN"/>
              </w:rPr>
              <w:t>2131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9" w:type="dxa"/>
            <w:vMerge w:val="continue"/>
            <w:noWrap w:val="0"/>
            <w:vAlign w:val="top"/>
          </w:tcPr>
          <w:p>
            <w:pPr>
              <w:jc w:val="center"/>
              <w:rPr>
                <w:rFonts w:hint="eastAsia" w:ascii="宋体"/>
                <w:b/>
                <w:bCs/>
                <w:sz w:val="18"/>
                <w:szCs w:val="18"/>
              </w:rPr>
            </w:pPr>
          </w:p>
        </w:tc>
        <w:tc>
          <w:tcPr>
            <w:tcW w:w="1319" w:type="dxa"/>
            <w:noWrap w:val="0"/>
            <w:vAlign w:val="center"/>
          </w:tcPr>
          <w:p>
            <w:pPr>
              <w:jc w:val="center"/>
              <w:rPr>
                <w:rFonts w:hint="eastAsia" w:ascii="宋体"/>
                <w:b/>
                <w:bCs/>
                <w:sz w:val="18"/>
                <w:szCs w:val="18"/>
                <w:lang w:val="en-US" w:eastAsia="zh-CN"/>
              </w:rPr>
            </w:pPr>
          </w:p>
        </w:tc>
        <w:tc>
          <w:tcPr>
            <w:tcW w:w="1319" w:type="dxa"/>
            <w:noWrap w:val="0"/>
            <w:vAlign w:val="center"/>
          </w:tcPr>
          <w:p>
            <w:pPr>
              <w:jc w:val="center"/>
              <w:rPr>
                <w:rFonts w:hint="default" w:ascii="宋体"/>
                <w:b/>
                <w:bCs/>
                <w:sz w:val="18"/>
                <w:szCs w:val="18"/>
                <w:lang w:val="en-US" w:eastAsia="zh-CN"/>
              </w:rPr>
            </w:pPr>
            <w:r>
              <w:rPr>
                <w:rFonts w:hint="eastAsia" w:ascii="宋体"/>
                <w:b/>
                <w:bCs/>
                <w:sz w:val="18"/>
                <w:szCs w:val="18"/>
                <w:lang w:val="en-US" w:eastAsia="zh-CN"/>
              </w:rPr>
              <w:t>1875</w:t>
            </w:r>
          </w:p>
        </w:tc>
        <w:tc>
          <w:tcPr>
            <w:tcW w:w="1319" w:type="dxa"/>
            <w:noWrap w:val="0"/>
            <w:vAlign w:val="center"/>
          </w:tcPr>
          <w:p>
            <w:pPr>
              <w:jc w:val="center"/>
              <w:rPr>
                <w:rFonts w:hint="default" w:ascii="宋体" w:eastAsiaTheme="minorEastAsia"/>
                <w:b/>
                <w:bCs/>
                <w:sz w:val="18"/>
                <w:szCs w:val="18"/>
                <w:lang w:val="en-US" w:eastAsia="zh-CN"/>
              </w:rPr>
            </w:pPr>
            <w:r>
              <w:rPr>
                <w:rFonts w:hint="eastAsia" w:ascii="宋体"/>
                <w:b/>
                <w:bCs/>
                <w:sz w:val="18"/>
                <w:szCs w:val="18"/>
                <w:lang w:val="en-US" w:eastAsia="zh-CN"/>
              </w:rPr>
              <w:t>2247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9" w:type="dxa"/>
            <w:vMerge w:val="continue"/>
            <w:noWrap w:val="0"/>
            <w:vAlign w:val="top"/>
          </w:tcPr>
          <w:p>
            <w:pPr>
              <w:jc w:val="center"/>
              <w:rPr>
                <w:rFonts w:hint="eastAsia" w:ascii="宋体"/>
                <w:b/>
                <w:bCs/>
                <w:sz w:val="18"/>
                <w:szCs w:val="18"/>
              </w:rPr>
            </w:pPr>
          </w:p>
        </w:tc>
        <w:tc>
          <w:tcPr>
            <w:tcW w:w="1319" w:type="dxa"/>
            <w:noWrap w:val="0"/>
            <w:vAlign w:val="center"/>
          </w:tcPr>
          <w:p>
            <w:pPr>
              <w:jc w:val="center"/>
              <w:rPr>
                <w:rFonts w:hint="eastAsia" w:ascii="宋体"/>
                <w:b/>
                <w:bCs/>
                <w:sz w:val="18"/>
                <w:szCs w:val="18"/>
                <w:lang w:val="en-US" w:eastAsia="zh-CN"/>
              </w:rPr>
            </w:pPr>
          </w:p>
        </w:tc>
        <w:tc>
          <w:tcPr>
            <w:tcW w:w="1319" w:type="dxa"/>
            <w:noWrap w:val="0"/>
            <w:vAlign w:val="center"/>
          </w:tcPr>
          <w:p>
            <w:pPr>
              <w:jc w:val="center"/>
              <w:rPr>
                <w:rFonts w:hint="eastAsia" w:ascii="宋体"/>
                <w:b/>
                <w:bCs/>
                <w:sz w:val="18"/>
                <w:szCs w:val="18"/>
                <w:lang w:val="en-US" w:eastAsia="zh-CN"/>
              </w:rPr>
            </w:pPr>
          </w:p>
        </w:tc>
        <w:tc>
          <w:tcPr>
            <w:tcW w:w="1319" w:type="dxa"/>
            <w:noWrap w:val="0"/>
            <w:vAlign w:val="center"/>
          </w:tcPr>
          <w:p>
            <w:pPr>
              <w:jc w:val="center"/>
              <w:rPr>
                <w:rFonts w:hint="default" w:ascii="宋体" w:eastAsiaTheme="minorEastAsia"/>
                <w:b/>
                <w:bCs/>
                <w:sz w:val="18"/>
                <w:szCs w:val="18"/>
                <w:lang w:val="en-US" w:eastAsia="zh-CN"/>
              </w:rPr>
            </w:pPr>
            <w:r>
              <w:rPr>
                <w:rFonts w:hint="eastAsia" w:ascii="宋体"/>
                <w:b/>
                <w:bCs/>
                <w:sz w:val="18"/>
                <w:szCs w:val="18"/>
                <w:lang w:val="en-US" w:eastAsia="zh-CN"/>
              </w:rPr>
              <w:t>1902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9" w:type="dxa"/>
            <w:vMerge w:val="continue"/>
            <w:noWrap w:val="0"/>
            <w:vAlign w:val="top"/>
          </w:tcPr>
          <w:p>
            <w:pPr>
              <w:jc w:val="center"/>
              <w:rPr>
                <w:rFonts w:hint="eastAsia" w:ascii="宋体"/>
                <w:b/>
                <w:bCs/>
                <w:sz w:val="18"/>
                <w:szCs w:val="18"/>
              </w:rPr>
            </w:pPr>
          </w:p>
        </w:tc>
        <w:tc>
          <w:tcPr>
            <w:tcW w:w="1319" w:type="dxa"/>
            <w:noWrap w:val="0"/>
            <w:vAlign w:val="center"/>
          </w:tcPr>
          <w:p>
            <w:pPr>
              <w:jc w:val="center"/>
              <w:rPr>
                <w:rFonts w:hint="eastAsia" w:ascii="宋体"/>
                <w:b/>
                <w:bCs/>
                <w:sz w:val="18"/>
                <w:szCs w:val="18"/>
                <w:lang w:val="en-US" w:eastAsia="zh-CN"/>
              </w:rPr>
            </w:pPr>
          </w:p>
        </w:tc>
        <w:tc>
          <w:tcPr>
            <w:tcW w:w="1319" w:type="dxa"/>
            <w:noWrap w:val="0"/>
            <w:vAlign w:val="center"/>
          </w:tcPr>
          <w:p>
            <w:pPr>
              <w:jc w:val="center"/>
              <w:rPr>
                <w:rFonts w:hint="eastAsia" w:ascii="宋体"/>
                <w:b/>
                <w:bCs/>
                <w:sz w:val="18"/>
                <w:szCs w:val="18"/>
                <w:lang w:val="en-US" w:eastAsia="zh-CN"/>
              </w:rPr>
            </w:pPr>
          </w:p>
        </w:tc>
        <w:tc>
          <w:tcPr>
            <w:tcW w:w="1319" w:type="dxa"/>
            <w:noWrap w:val="0"/>
            <w:vAlign w:val="center"/>
          </w:tcPr>
          <w:p>
            <w:pPr>
              <w:jc w:val="center"/>
              <w:rPr>
                <w:rFonts w:hint="default" w:ascii="宋体"/>
                <w:b/>
                <w:bCs/>
                <w:sz w:val="18"/>
                <w:szCs w:val="18"/>
                <w:lang w:val="en-US" w:eastAsia="zh-CN"/>
              </w:rPr>
            </w:pPr>
            <w:r>
              <w:rPr>
                <w:rFonts w:hint="eastAsia" w:ascii="宋体"/>
                <w:b/>
                <w:bCs/>
                <w:sz w:val="18"/>
                <w:szCs w:val="18"/>
                <w:lang w:val="en-US" w:eastAsia="zh-CN"/>
              </w:rPr>
              <w:t>2049</w:t>
            </w:r>
          </w:p>
        </w:tc>
      </w:tr>
    </w:tbl>
    <w:p>
      <w:pPr>
        <w:spacing w:line="360" w:lineRule="auto"/>
        <w:ind w:firstLine="420" w:firstLineChars="200"/>
        <w:jc w:val="center"/>
      </w:pPr>
    </w:p>
    <w:p>
      <w:pPr>
        <w:spacing w:line="360" w:lineRule="auto"/>
        <w:ind w:firstLine="480" w:firstLineChars="200"/>
        <w:rPr>
          <w:rFonts w:asciiTheme="minorEastAsia" w:hAnsiTheme="minorEastAsia"/>
          <w:sz w:val="24"/>
          <w:szCs w:val="24"/>
        </w:rPr>
      </w:pPr>
    </w:p>
    <w:p>
      <w:pPr>
        <w:spacing w:line="360" w:lineRule="auto"/>
        <w:ind w:firstLine="482" w:firstLineChars="200"/>
        <w:rPr>
          <w:rFonts w:asciiTheme="minorEastAsia" w:hAnsiTheme="minorEastAsia"/>
          <w:b/>
          <w:sz w:val="24"/>
          <w:szCs w:val="24"/>
        </w:rPr>
      </w:pPr>
      <w:r>
        <w:rPr>
          <w:rFonts w:asciiTheme="minorEastAsia" w:hAnsiTheme="minorEastAsia"/>
          <w:b/>
          <w:sz w:val="24"/>
          <w:szCs w:val="24"/>
        </w:rPr>
        <w:t>四、与国际、国外同类标准水平的对比情况</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目前国际、国外</w:t>
      </w:r>
      <w:r>
        <w:rPr>
          <w:rFonts w:hint="eastAsia" w:ascii="Times New Roman" w:hAnsi="Times New Roman" w:eastAsia="宋体" w:cs="Times New Roman"/>
          <w:sz w:val="24"/>
          <w:szCs w:val="24"/>
          <w:lang w:val="en-US" w:eastAsia="zh-CN"/>
        </w:rPr>
        <w:t>尚</w:t>
      </w:r>
      <w:r>
        <w:rPr>
          <w:rFonts w:hint="eastAsia" w:ascii="Times New Roman" w:hAnsi="Times New Roman" w:eastAsia="宋体" w:cs="Times New Roman"/>
          <w:sz w:val="24"/>
          <w:szCs w:val="24"/>
        </w:rPr>
        <w:t>没有专门针对</w:t>
      </w:r>
      <w:r>
        <w:rPr>
          <w:rFonts w:hint="eastAsia" w:ascii="Times New Roman" w:hAnsi="Times New Roman" w:eastAsia="宋体" w:cs="Times New Roman"/>
          <w:sz w:val="24"/>
          <w:szCs w:val="24"/>
          <w:lang w:val="en-US" w:eastAsia="zh-CN"/>
        </w:rPr>
        <w:t>压缩</w:t>
      </w:r>
      <w:r>
        <w:rPr>
          <w:rFonts w:hint="eastAsia" w:ascii="Times New Roman" w:hAnsi="Times New Roman" w:eastAsia="宋体" w:cs="Times New Roman"/>
          <w:sz w:val="24"/>
          <w:szCs w:val="24"/>
        </w:rPr>
        <w:t>机绿色评价的相关标准。</w:t>
      </w:r>
      <w:r>
        <w:rPr>
          <w:rFonts w:ascii="Times New Roman" w:hAnsi="Times New Roman" w:eastAsia="宋体" w:cs="Times New Roman"/>
          <w:sz w:val="24"/>
          <w:szCs w:val="24"/>
        </w:rPr>
        <w:t>本标准水平为国际先进水平。</w:t>
      </w:r>
    </w:p>
    <w:p>
      <w:pPr>
        <w:spacing w:line="360" w:lineRule="auto"/>
        <w:ind w:firstLine="482" w:firstLineChars="200"/>
        <w:rPr>
          <w:rFonts w:asciiTheme="minorEastAsia" w:hAnsiTheme="minorEastAsia"/>
          <w:b/>
          <w:sz w:val="24"/>
          <w:szCs w:val="24"/>
        </w:rPr>
      </w:pPr>
      <w:r>
        <w:rPr>
          <w:rFonts w:asciiTheme="minorEastAsia" w:hAnsiTheme="minorEastAsia"/>
          <w:b/>
          <w:sz w:val="24"/>
          <w:szCs w:val="24"/>
        </w:rPr>
        <w:t>五、与国内相关标准的关系</w:t>
      </w:r>
    </w:p>
    <w:p>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目前国内</w:t>
      </w:r>
      <w:r>
        <w:rPr>
          <w:rFonts w:hint="eastAsia" w:ascii="Times New Roman" w:hAnsi="Times New Roman" w:eastAsia="宋体" w:cs="Times New Roman"/>
          <w:sz w:val="24"/>
          <w:szCs w:val="24"/>
          <w:lang w:val="en-US" w:eastAsia="zh-CN"/>
        </w:rPr>
        <w:t>空调用压缩</w:t>
      </w:r>
      <w:r>
        <w:rPr>
          <w:rFonts w:hint="eastAsia" w:ascii="Times New Roman" w:hAnsi="Times New Roman" w:eastAsia="宋体" w:cs="Times New Roman"/>
          <w:sz w:val="24"/>
          <w:szCs w:val="24"/>
        </w:rPr>
        <w:t>机现行标准主要涉及安全和性能标准，其中安全采用的GB 4706.1</w:t>
      </w:r>
      <w:r>
        <w:rPr>
          <w:rFonts w:hint="eastAsia" w:ascii="Times New Roman" w:hAnsi="Times New Roman" w:eastAsia="宋体" w:cs="Times New Roman"/>
          <w:sz w:val="24"/>
          <w:szCs w:val="24"/>
          <w:lang w:val="en-US" w:eastAsia="zh-CN"/>
        </w:rPr>
        <w:t>7</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能效标准采用GB 35971-2018；压缩</w:t>
      </w:r>
      <w:r>
        <w:rPr>
          <w:rFonts w:hint="eastAsia" w:ascii="Times New Roman" w:hAnsi="Times New Roman" w:eastAsia="宋体" w:cs="Times New Roman"/>
          <w:sz w:val="24"/>
          <w:szCs w:val="24"/>
        </w:rPr>
        <w:t xml:space="preserve">机性能标准依据GB/T </w:t>
      </w:r>
      <w:r>
        <w:rPr>
          <w:rFonts w:hint="eastAsia" w:ascii="Times New Roman" w:hAnsi="Times New Roman" w:eastAsia="宋体" w:cs="Times New Roman"/>
          <w:sz w:val="24"/>
          <w:szCs w:val="24"/>
          <w:lang w:val="en-US" w:eastAsia="zh-CN"/>
        </w:rPr>
        <w:t>15765</w:t>
      </w:r>
      <w:r>
        <w:rPr>
          <w:rFonts w:hint="eastAsia" w:ascii="Times New Roman" w:hAnsi="Times New Roman" w:eastAsia="宋体" w:cs="Times New Roman"/>
          <w:sz w:val="24"/>
          <w:szCs w:val="24"/>
        </w:rPr>
        <w:t>-20</w:t>
      </w:r>
      <w:r>
        <w:rPr>
          <w:rFonts w:hint="eastAsia" w:ascii="Times New Roman" w:hAnsi="Times New Roman" w:eastAsia="宋体" w:cs="Times New Roman"/>
          <w:sz w:val="24"/>
          <w:szCs w:val="24"/>
          <w:lang w:val="en-US" w:eastAsia="zh-CN"/>
        </w:rPr>
        <w:t>14</w:t>
      </w:r>
      <w:r>
        <w:rPr>
          <w:rFonts w:hint="eastAsia" w:ascii="Times New Roman" w:hAnsi="Times New Roman" w:eastAsia="宋体" w:cs="Times New Roman"/>
          <w:sz w:val="24"/>
          <w:szCs w:val="24"/>
        </w:rPr>
        <w:t>，该标准正在申请修订立项中。本标准在制定过程中，将与现行相关国家和行业标准内容不产生矛盾，同时将进一步完善和丰富冷热饮水机产品标准体系。</w:t>
      </w:r>
    </w:p>
    <w:p>
      <w:pPr>
        <w:spacing w:line="360" w:lineRule="auto"/>
        <w:ind w:firstLine="482" w:firstLineChars="200"/>
        <w:rPr>
          <w:rFonts w:asciiTheme="minorEastAsia" w:hAnsiTheme="minorEastAsia"/>
          <w:b/>
          <w:sz w:val="24"/>
          <w:szCs w:val="24"/>
        </w:rPr>
      </w:pPr>
      <w:r>
        <w:rPr>
          <w:rFonts w:asciiTheme="minorEastAsia" w:hAnsiTheme="minorEastAsia"/>
          <w:b/>
          <w:sz w:val="24"/>
          <w:szCs w:val="24"/>
        </w:rPr>
        <w:t>六、重大分歧意见的处理经过和依据</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无。</w:t>
      </w:r>
    </w:p>
    <w:p>
      <w:pPr>
        <w:spacing w:line="360" w:lineRule="auto"/>
        <w:ind w:firstLine="482" w:firstLineChars="200"/>
        <w:rPr>
          <w:rFonts w:asciiTheme="minorEastAsia" w:hAnsiTheme="minorEastAsia"/>
          <w:b/>
          <w:sz w:val="24"/>
          <w:szCs w:val="24"/>
        </w:rPr>
      </w:pPr>
      <w:r>
        <w:rPr>
          <w:rFonts w:asciiTheme="minorEastAsia" w:hAnsiTheme="minorEastAsia"/>
          <w:b/>
          <w:sz w:val="24"/>
          <w:szCs w:val="24"/>
        </w:rPr>
        <w:t>七、其他</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目前尚未查到国内外有相关联的知识产权。</w:t>
      </w:r>
    </w:p>
    <w:p>
      <w:pPr>
        <w:spacing w:line="360" w:lineRule="auto"/>
        <w:ind w:firstLine="480" w:firstLineChars="200"/>
        <w:rPr>
          <w:rFonts w:asciiTheme="minorEastAsia" w:hAnsiTheme="minorEastAsia"/>
          <w:b/>
          <w:sz w:val="32"/>
          <w:szCs w:val="32"/>
        </w:rPr>
      </w:pPr>
      <w:r>
        <w:rPr>
          <w:rFonts w:ascii="Times New Roman" w:hAnsi="Times New Roman" w:eastAsia="宋体" w:cs="Times New Roman"/>
          <w:sz w:val="24"/>
          <w:szCs w:val="24"/>
        </w:rPr>
        <w:t>建议自本标准实施后，引导企业积极采标，并</w:t>
      </w:r>
      <w:r>
        <w:rPr>
          <w:rFonts w:hint="eastAsia" w:ascii="Times New Roman" w:hAnsi="Times New Roman" w:eastAsia="宋体" w:cs="Times New Roman"/>
          <w:sz w:val="24"/>
          <w:szCs w:val="24"/>
        </w:rPr>
        <w:t>推荐</w:t>
      </w:r>
      <w:r>
        <w:rPr>
          <w:rFonts w:ascii="Times New Roman" w:hAnsi="Times New Roman" w:eastAsia="宋体" w:cs="Times New Roman"/>
          <w:sz w:val="24"/>
          <w:szCs w:val="24"/>
        </w:rPr>
        <w:t>相关部门开展市场监管。</w:t>
      </w:r>
    </w:p>
    <w:sectPr>
      <w:pgSz w:w="11907" w:h="16840"/>
      <w:pgMar w:top="1134" w:right="1134" w:bottom="1134" w:left="1134"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NotTrackFormatting/>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77"/>
    <w:rsid w:val="00005149"/>
    <w:rsid w:val="00006FC4"/>
    <w:rsid w:val="000075A3"/>
    <w:rsid w:val="000104AD"/>
    <w:rsid w:val="00013194"/>
    <w:rsid w:val="00016B4D"/>
    <w:rsid w:val="000202A0"/>
    <w:rsid w:val="00023BFE"/>
    <w:rsid w:val="000335B6"/>
    <w:rsid w:val="0003365A"/>
    <w:rsid w:val="00034D2F"/>
    <w:rsid w:val="00037A27"/>
    <w:rsid w:val="00042DE7"/>
    <w:rsid w:val="000436B5"/>
    <w:rsid w:val="00045B55"/>
    <w:rsid w:val="00050B74"/>
    <w:rsid w:val="00053C20"/>
    <w:rsid w:val="00057764"/>
    <w:rsid w:val="00057D08"/>
    <w:rsid w:val="000656B8"/>
    <w:rsid w:val="00072DDF"/>
    <w:rsid w:val="00076A64"/>
    <w:rsid w:val="000810B0"/>
    <w:rsid w:val="000857EF"/>
    <w:rsid w:val="00085A7E"/>
    <w:rsid w:val="00087DF6"/>
    <w:rsid w:val="00090964"/>
    <w:rsid w:val="00091926"/>
    <w:rsid w:val="00095C85"/>
    <w:rsid w:val="000A3B64"/>
    <w:rsid w:val="000B0679"/>
    <w:rsid w:val="000B644F"/>
    <w:rsid w:val="000C232B"/>
    <w:rsid w:val="000C7ECB"/>
    <w:rsid w:val="000D4A35"/>
    <w:rsid w:val="000D76AC"/>
    <w:rsid w:val="000E051A"/>
    <w:rsid w:val="000E346E"/>
    <w:rsid w:val="000E7805"/>
    <w:rsid w:val="000F1BDF"/>
    <w:rsid w:val="000F45AA"/>
    <w:rsid w:val="000F58E0"/>
    <w:rsid w:val="00102388"/>
    <w:rsid w:val="001042F4"/>
    <w:rsid w:val="00107B40"/>
    <w:rsid w:val="00115A08"/>
    <w:rsid w:val="00131CE1"/>
    <w:rsid w:val="00134646"/>
    <w:rsid w:val="00137D86"/>
    <w:rsid w:val="00137F65"/>
    <w:rsid w:val="00140646"/>
    <w:rsid w:val="00143C84"/>
    <w:rsid w:val="0014424F"/>
    <w:rsid w:val="00146019"/>
    <w:rsid w:val="00146DD2"/>
    <w:rsid w:val="00150624"/>
    <w:rsid w:val="0015279E"/>
    <w:rsid w:val="001547C3"/>
    <w:rsid w:val="00155B1E"/>
    <w:rsid w:val="00160D25"/>
    <w:rsid w:val="00164453"/>
    <w:rsid w:val="0016533D"/>
    <w:rsid w:val="00171656"/>
    <w:rsid w:val="00176A79"/>
    <w:rsid w:val="00177B9B"/>
    <w:rsid w:val="00180103"/>
    <w:rsid w:val="00197872"/>
    <w:rsid w:val="00197CDF"/>
    <w:rsid w:val="001A0FE5"/>
    <w:rsid w:val="001A704C"/>
    <w:rsid w:val="001B2016"/>
    <w:rsid w:val="001C5769"/>
    <w:rsid w:val="001C5FFA"/>
    <w:rsid w:val="001D4E97"/>
    <w:rsid w:val="001D73C3"/>
    <w:rsid w:val="001E1BF9"/>
    <w:rsid w:val="001E4693"/>
    <w:rsid w:val="001E5579"/>
    <w:rsid w:val="001E6EE3"/>
    <w:rsid w:val="001F05C6"/>
    <w:rsid w:val="001F430C"/>
    <w:rsid w:val="001F4EB5"/>
    <w:rsid w:val="001F667C"/>
    <w:rsid w:val="001F6FFE"/>
    <w:rsid w:val="002007FD"/>
    <w:rsid w:val="00205EE2"/>
    <w:rsid w:val="00210FAA"/>
    <w:rsid w:val="00211406"/>
    <w:rsid w:val="002141D1"/>
    <w:rsid w:val="002165C9"/>
    <w:rsid w:val="00216D49"/>
    <w:rsid w:val="00217973"/>
    <w:rsid w:val="0022137C"/>
    <w:rsid w:val="002304F0"/>
    <w:rsid w:val="002328B8"/>
    <w:rsid w:val="00240549"/>
    <w:rsid w:val="00247586"/>
    <w:rsid w:val="00251135"/>
    <w:rsid w:val="0025271C"/>
    <w:rsid w:val="00253090"/>
    <w:rsid w:val="00257CEB"/>
    <w:rsid w:val="00270AC7"/>
    <w:rsid w:val="002715F8"/>
    <w:rsid w:val="0027588D"/>
    <w:rsid w:val="0027606D"/>
    <w:rsid w:val="00294B73"/>
    <w:rsid w:val="002A3464"/>
    <w:rsid w:val="002B56CB"/>
    <w:rsid w:val="002B6379"/>
    <w:rsid w:val="002B7949"/>
    <w:rsid w:val="002C16B7"/>
    <w:rsid w:val="002C4D75"/>
    <w:rsid w:val="002D2EE2"/>
    <w:rsid w:val="002D4013"/>
    <w:rsid w:val="002D5FEE"/>
    <w:rsid w:val="002E7205"/>
    <w:rsid w:val="002F5C94"/>
    <w:rsid w:val="00300010"/>
    <w:rsid w:val="003041F8"/>
    <w:rsid w:val="00305FF3"/>
    <w:rsid w:val="003146AC"/>
    <w:rsid w:val="00315B5F"/>
    <w:rsid w:val="00316859"/>
    <w:rsid w:val="003220ED"/>
    <w:rsid w:val="003231C5"/>
    <w:rsid w:val="00325F78"/>
    <w:rsid w:val="003468E4"/>
    <w:rsid w:val="00355480"/>
    <w:rsid w:val="00363636"/>
    <w:rsid w:val="00364E72"/>
    <w:rsid w:val="00370878"/>
    <w:rsid w:val="00375EBB"/>
    <w:rsid w:val="00376519"/>
    <w:rsid w:val="0038325A"/>
    <w:rsid w:val="00387A47"/>
    <w:rsid w:val="00387E7B"/>
    <w:rsid w:val="00396BC5"/>
    <w:rsid w:val="003C3042"/>
    <w:rsid w:val="003C45FA"/>
    <w:rsid w:val="003E2847"/>
    <w:rsid w:val="003E33A9"/>
    <w:rsid w:val="003E3AC1"/>
    <w:rsid w:val="003E40F7"/>
    <w:rsid w:val="003F49B4"/>
    <w:rsid w:val="00402BA8"/>
    <w:rsid w:val="0040311C"/>
    <w:rsid w:val="004111A3"/>
    <w:rsid w:val="00416D2F"/>
    <w:rsid w:val="00422E17"/>
    <w:rsid w:val="00423C56"/>
    <w:rsid w:val="00433D38"/>
    <w:rsid w:val="00434F44"/>
    <w:rsid w:val="00436091"/>
    <w:rsid w:val="00437F78"/>
    <w:rsid w:val="004411A6"/>
    <w:rsid w:val="00443073"/>
    <w:rsid w:val="00456288"/>
    <w:rsid w:val="00457DAD"/>
    <w:rsid w:val="0046028A"/>
    <w:rsid w:val="00461566"/>
    <w:rsid w:val="00471106"/>
    <w:rsid w:val="0047214D"/>
    <w:rsid w:val="0048358C"/>
    <w:rsid w:val="00486CBC"/>
    <w:rsid w:val="004971FE"/>
    <w:rsid w:val="004A274B"/>
    <w:rsid w:val="004A5AC0"/>
    <w:rsid w:val="004B00DB"/>
    <w:rsid w:val="004B28EC"/>
    <w:rsid w:val="004C1C36"/>
    <w:rsid w:val="004E2C58"/>
    <w:rsid w:val="004E2EF8"/>
    <w:rsid w:val="004E4656"/>
    <w:rsid w:val="004E53BF"/>
    <w:rsid w:val="004E5CDC"/>
    <w:rsid w:val="004F0E2D"/>
    <w:rsid w:val="00500D0A"/>
    <w:rsid w:val="00505985"/>
    <w:rsid w:val="00512776"/>
    <w:rsid w:val="00515D33"/>
    <w:rsid w:val="00520959"/>
    <w:rsid w:val="00522F64"/>
    <w:rsid w:val="0052332D"/>
    <w:rsid w:val="005252C1"/>
    <w:rsid w:val="00533581"/>
    <w:rsid w:val="005419E7"/>
    <w:rsid w:val="00546260"/>
    <w:rsid w:val="005466CF"/>
    <w:rsid w:val="00553778"/>
    <w:rsid w:val="00555B6B"/>
    <w:rsid w:val="00563C2E"/>
    <w:rsid w:val="005649AA"/>
    <w:rsid w:val="005702D3"/>
    <w:rsid w:val="00575008"/>
    <w:rsid w:val="00587F82"/>
    <w:rsid w:val="00590397"/>
    <w:rsid w:val="00596471"/>
    <w:rsid w:val="005A24D6"/>
    <w:rsid w:val="005A3433"/>
    <w:rsid w:val="005A3A3E"/>
    <w:rsid w:val="005A4DB5"/>
    <w:rsid w:val="005A69E7"/>
    <w:rsid w:val="005B1858"/>
    <w:rsid w:val="005B26EE"/>
    <w:rsid w:val="005B5AB0"/>
    <w:rsid w:val="005C4989"/>
    <w:rsid w:val="005D136F"/>
    <w:rsid w:val="005E0BC7"/>
    <w:rsid w:val="005E620B"/>
    <w:rsid w:val="005F3807"/>
    <w:rsid w:val="005F5FB7"/>
    <w:rsid w:val="005F61C2"/>
    <w:rsid w:val="006109DC"/>
    <w:rsid w:val="00613CD6"/>
    <w:rsid w:val="006158A7"/>
    <w:rsid w:val="00620EDE"/>
    <w:rsid w:val="006221B5"/>
    <w:rsid w:val="00622249"/>
    <w:rsid w:val="006264D4"/>
    <w:rsid w:val="00626CA3"/>
    <w:rsid w:val="0063478A"/>
    <w:rsid w:val="006375E6"/>
    <w:rsid w:val="00641FA4"/>
    <w:rsid w:val="0065378B"/>
    <w:rsid w:val="006552F1"/>
    <w:rsid w:val="00660547"/>
    <w:rsid w:val="0066308E"/>
    <w:rsid w:val="00667274"/>
    <w:rsid w:val="00670129"/>
    <w:rsid w:val="006718BF"/>
    <w:rsid w:val="00671A7C"/>
    <w:rsid w:val="00673BC1"/>
    <w:rsid w:val="00675B77"/>
    <w:rsid w:val="00681F55"/>
    <w:rsid w:val="00686025"/>
    <w:rsid w:val="00692300"/>
    <w:rsid w:val="006932CE"/>
    <w:rsid w:val="006A079C"/>
    <w:rsid w:val="006A4766"/>
    <w:rsid w:val="006A6DF9"/>
    <w:rsid w:val="006B5A93"/>
    <w:rsid w:val="006D0CA7"/>
    <w:rsid w:val="006D0F71"/>
    <w:rsid w:val="006E1F2E"/>
    <w:rsid w:val="006F21C3"/>
    <w:rsid w:val="006F377A"/>
    <w:rsid w:val="006F5C9B"/>
    <w:rsid w:val="00701255"/>
    <w:rsid w:val="007068F8"/>
    <w:rsid w:val="00707C69"/>
    <w:rsid w:val="00711192"/>
    <w:rsid w:val="007164C7"/>
    <w:rsid w:val="007168EE"/>
    <w:rsid w:val="00716F53"/>
    <w:rsid w:val="00721168"/>
    <w:rsid w:val="00721B5B"/>
    <w:rsid w:val="00721D43"/>
    <w:rsid w:val="00725DB3"/>
    <w:rsid w:val="00732701"/>
    <w:rsid w:val="007365C8"/>
    <w:rsid w:val="00744F5E"/>
    <w:rsid w:val="00745165"/>
    <w:rsid w:val="00745FFF"/>
    <w:rsid w:val="00747377"/>
    <w:rsid w:val="00754534"/>
    <w:rsid w:val="0075511A"/>
    <w:rsid w:val="00756722"/>
    <w:rsid w:val="007604B5"/>
    <w:rsid w:val="0077125D"/>
    <w:rsid w:val="00777950"/>
    <w:rsid w:val="0078056D"/>
    <w:rsid w:val="00781C11"/>
    <w:rsid w:val="007824A0"/>
    <w:rsid w:val="0079316F"/>
    <w:rsid w:val="00793BC1"/>
    <w:rsid w:val="00796AFD"/>
    <w:rsid w:val="007B4850"/>
    <w:rsid w:val="007C286B"/>
    <w:rsid w:val="007C3358"/>
    <w:rsid w:val="007C38B0"/>
    <w:rsid w:val="007C441A"/>
    <w:rsid w:val="007C7ADA"/>
    <w:rsid w:val="007E09EA"/>
    <w:rsid w:val="007F31D0"/>
    <w:rsid w:val="00800095"/>
    <w:rsid w:val="008010A7"/>
    <w:rsid w:val="008026DB"/>
    <w:rsid w:val="00814F8E"/>
    <w:rsid w:val="00823F20"/>
    <w:rsid w:val="008302AA"/>
    <w:rsid w:val="00830471"/>
    <w:rsid w:val="008322FB"/>
    <w:rsid w:val="0083338D"/>
    <w:rsid w:val="00833639"/>
    <w:rsid w:val="00833735"/>
    <w:rsid w:val="00836D2E"/>
    <w:rsid w:val="00840FD9"/>
    <w:rsid w:val="00845AB4"/>
    <w:rsid w:val="00845D2E"/>
    <w:rsid w:val="00847CF7"/>
    <w:rsid w:val="00853799"/>
    <w:rsid w:val="00856624"/>
    <w:rsid w:val="008568B6"/>
    <w:rsid w:val="008661A5"/>
    <w:rsid w:val="00872CB7"/>
    <w:rsid w:val="00873204"/>
    <w:rsid w:val="00874A02"/>
    <w:rsid w:val="00877169"/>
    <w:rsid w:val="00880303"/>
    <w:rsid w:val="0088057D"/>
    <w:rsid w:val="008832A2"/>
    <w:rsid w:val="00887481"/>
    <w:rsid w:val="0089229C"/>
    <w:rsid w:val="00895259"/>
    <w:rsid w:val="008A3EAC"/>
    <w:rsid w:val="008B14D5"/>
    <w:rsid w:val="008B2D94"/>
    <w:rsid w:val="008C5AF6"/>
    <w:rsid w:val="008D0510"/>
    <w:rsid w:val="008D2C8B"/>
    <w:rsid w:val="008E607F"/>
    <w:rsid w:val="008E6F78"/>
    <w:rsid w:val="008E7477"/>
    <w:rsid w:val="008F0B35"/>
    <w:rsid w:val="008F115E"/>
    <w:rsid w:val="008F64A1"/>
    <w:rsid w:val="00900A89"/>
    <w:rsid w:val="00901860"/>
    <w:rsid w:val="009029B6"/>
    <w:rsid w:val="009054D3"/>
    <w:rsid w:val="00911826"/>
    <w:rsid w:val="009120F6"/>
    <w:rsid w:val="009219E2"/>
    <w:rsid w:val="009244A5"/>
    <w:rsid w:val="009309BD"/>
    <w:rsid w:val="00935D85"/>
    <w:rsid w:val="0094085E"/>
    <w:rsid w:val="00941FAC"/>
    <w:rsid w:val="00955C1B"/>
    <w:rsid w:val="00967713"/>
    <w:rsid w:val="00974927"/>
    <w:rsid w:val="00975C77"/>
    <w:rsid w:val="009846D8"/>
    <w:rsid w:val="0099370B"/>
    <w:rsid w:val="00996D0E"/>
    <w:rsid w:val="00997BCD"/>
    <w:rsid w:val="00997FAD"/>
    <w:rsid w:val="009A13E5"/>
    <w:rsid w:val="009A3194"/>
    <w:rsid w:val="009A449A"/>
    <w:rsid w:val="009B7626"/>
    <w:rsid w:val="009C1BE7"/>
    <w:rsid w:val="009C4B2D"/>
    <w:rsid w:val="009E0CB5"/>
    <w:rsid w:val="009E5075"/>
    <w:rsid w:val="009E65C1"/>
    <w:rsid w:val="009F156A"/>
    <w:rsid w:val="009F50D2"/>
    <w:rsid w:val="00A05763"/>
    <w:rsid w:val="00A149CE"/>
    <w:rsid w:val="00A15C06"/>
    <w:rsid w:val="00A21A05"/>
    <w:rsid w:val="00A276CC"/>
    <w:rsid w:val="00A52294"/>
    <w:rsid w:val="00A53DAE"/>
    <w:rsid w:val="00A55952"/>
    <w:rsid w:val="00A56900"/>
    <w:rsid w:val="00A665A0"/>
    <w:rsid w:val="00A76587"/>
    <w:rsid w:val="00A86497"/>
    <w:rsid w:val="00A96C7F"/>
    <w:rsid w:val="00AA361A"/>
    <w:rsid w:val="00AB682E"/>
    <w:rsid w:val="00AC413B"/>
    <w:rsid w:val="00AD3A75"/>
    <w:rsid w:val="00AD6AF3"/>
    <w:rsid w:val="00AE7AA8"/>
    <w:rsid w:val="00AF3D35"/>
    <w:rsid w:val="00AF5B15"/>
    <w:rsid w:val="00B00875"/>
    <w:rsid w:val="00B01E0C"/>
    <w:rsid w:val="00B0422A"/>
    <w:rsid w:val="00B05B83"/>
    <w:rsid w:val="00B1756F"/>
    <w:rsid w:val="00B20C2B"/>
    <w:rsid w:val="00B20F94"/>
    <w:rsid w:val="00B2604D"/>
    <w:rsid w:val="00B27D9B"/>
    <w:rsid w:val="00B33B00"/>
    <w:rsid w:val="00B36498"/>
    <w:rsid w:val="00B40BB6"/>
    <w:rsid w:val="00B52516"/>
    <w:rsid w:val="00B53A0D"/>
    <w:rsid w:val="00B7114F"/>
    <w:rsid w:val="00B73758"/>
    <w:rsid w:val="00B77B18"/>
    <w:rsid w:val="00B83D2F"/>
    <w:rsid w:val="00B925B5"/>
    <w:rsid w:val="00BA1394"/>
    <w:rsid w:val="00BA1DD5"/>
    <w:rsid w:val="00BA332D"/>
    <w:rsid w:val="00BA6438"/>
    <w:rsid w:val="00BB1534"/>
    <w:rsid w:val="00BB1928"/>
    <w:rsid w:val="00BD07E7"/>
    <w:rsid w:val="00BD55F1"/>
    <w:rsid w:val="00BD58B1"/>
    <w:rsid w:val="00BE4B93"/>
    <w:rsid w:val="00BE7FA6"/>
    <w:rsid w:val="00BF0E95"/>
    <w:rsid w:val="00BF51E4"/>
    <w:rsid w:val="00C01183"/>
    <w:rsid w:val="00C05867"/>
    <w:rsid w:val="00C05E02"/>
    <w:rsid w:val="00C134D9"/>
    <w:rsid w:val="00C14847"/>
    <w:rsid w:val="00C14E6E"/>
    <w:rsid w:val="00C153A2"/>
    <w:rsid w:val="00C176C3"/>
    <w:rsid w:val="00C2026A"/>
    <w:rsid w:val="00C23025"/>
    <w:rsid w:val="00C27DCA"/>
    <w:rsid w:val="00C334F5"/>
    <w:rsid w:val="00C352A7"/>
    <w:rsid w:val="00C35A90"/>
    <w:rsid w:val="00C37C1F"/>
    <w:rsid w:val="00C40EDF"/>
    <w:rsid w:val="00C41600"/>
    <w:rsid w:val="00C429C4"/>
    <w:rsid w:val="00C45872"/>
    <w:rsid w:val="00C45D24"/>
    <w:rsid w:val="00C51B66"/>
    <w:rsid w:val="00C534E1"/>
    <w:rsid w:val="00C57C74"/>
    <w:rsid w:val="00C61E1A"/>
    <w:rsid w:val="00C63FEC"/>
    <w:rsid w:val="00C645CB"/>
    <w:rsid w:val="00C649B3"/>
    <w:rsid w:val="00C663C5"/>
    <w:rsid w:val="00C746F2"/>
    <w:rsid w:val="00C77EDB"/>
    <w:rsid w:val="00C817C4"/>
    <w:rsid w:val="00C83716"/>
    <w:rsid w:val="00C87716"/>
    <w:rsid w:val="00C9585D"/>
    <w:rsid w:val="00CA522E"/>
    <w:rsid w:val="00CA52B9"/>
    <w:rsid w:val="00CB06AC"/>
    <w:rsid w:val="00CB5A42"/>
    <w:rsid w:val="00CB7140"/>
    <w:rsid w:val="00CC3512"/>
    <w:rsid w:val="00CC5043"/>
    <w:rsid w:val="00CC5E09"/>
    <w:rsid w:val="00CD06E2"/>
    <w:rsid w:val="00CD29C9"/>
    <w:rsid w:val="00CD469C"/>
    <w:rsid w:val="00CD67C6"/>
    <w:rsid w:val="00CE008F"/>
    <w:rsid w:val="00CE6EDE"/>
    <w:rsid w:val="00CF1990"/>
    <w:rsid w:val="00CF5B3A"/>
    <w:rsid w:val="00CF720D"/>
    <w:rsid w:val="00D07D54"/>
    <w:rsid w:val="00D1058F"/>
    <w:rsid w:val="00D13F3F"/>
    <w:rsid w:val="00D14557"/>
    <w:rsid w:val="00D21A66"/>
    <w:rsid w:val="00D25A4A"/>
    <w:rsid w:val="00D33007"/>
    <w:rsid w:val="00D330A8"/>
    <w:rsid w:val="00D34077"/>
    <w:rsid w:val="00D35E3F"/>
    <w:rsid w:val="00D424BA"/>
    <w:rsid w:val="00D43B91"/>
    <w:rsid w:val="00D525CD"/>
    <w:rsid w:val="00D54CB9"/>
    <w:rsid w:val="00D55678"/>
    <w:rsid w:val="00D65215"/>
    <w:rsid w:val="00D668FA"/>
    <w:rsid w:val="00D73E29"/>
    <w:rsid w:val="00D76196"/>
    <w:rsid w:val="00D769BE"/>
    <w:rsid w:val="00D77760"/>
    <w:rsid w:val="00D80101"/>
    <w:rsid w:val="00D83CDE"/>
    <w:rsid w:val="00D84ED4"/>
    <w:rsid w:val="00D86218"/>
    <w:rsid w:val="00D9010B"/>
    <w:rsid w:val="00D91D72"/>
    <w:rsid w:val="00DA1AB4"/>
    <w:rsid w:val="00DA7755"/>
    <w:rsid w:val="00DB1874"/>
    <w:rsid w:val="00DB4D2B"/>
    <w:rsid w:val="00DC7B18"/>
    <w:rsid w:val="00DD4A4F"/>
    <w:rsid w:val="00DF1285"/>
    <w:rsid w:val="00DF1C7D"/>
    <w:rsid w:val="00DF7E81"/>
    <w:rsid w:val="00E004C5"/>
    <w:rsid w:val="00E05EEE"/>
    <w:rsid w:val="00E127AE"/>
    <w:rsid w:val="00E1313C"/>
    <w:rsid w:val="00E24260"/>
    <w:rsid w:val="00E256E8"/>
    <w:rsid w:val="00E25FC6"/>
    <w:rsid w:val="00E26D14"/>
    <w:rsid w:val="00E277C8"/>
    <w:rsid w:val="00E35BDF"/>
    <w:rsid w:val="00E42447"/>
    <w:rsid w:val="00E4329C"/>
    <w:rsid w:val="00E44CB3"/>
    <w:rsid w:val="00E46A3B"/>
    <w:rsid w:val="00E55A2D"/>
    <w:rsid w:val="00E57E24"/>
    <w:rsid w:val="00E62DAF"/>
    <w:rsid w:val="00E641F0"/>
    <w:rsid w:val="00E725F1"/>
    <w:rsid w:val="00E775A3"/>
    <w:rsid w:val="00E83099"/>
    <w:rsid w:val="00E835C9"/>
    <w:rsid w:val="00E86534"/>
    <w:rsid w:val="00E873A9"/>
    <w:rsid w:val="00E9037A"/>
    <w:rsid w:val="00E906FF"/>
    <w:rsid w:val="00E93BB7"/>
    <w:rsid w:val="00E94463"/>
    <w:rsid w:val="00EA2C83"/>
    <w:rsid w:val="00EA7061"/>
    <w:rsid w:val="00EB4FC3"/>
    <w:rsid w:val="00EB754A"/>
    <w:rsid w:val="00EC0A80"/>
    <w:rsid w:val="00EC2197"/>
    <w:rsid w:val="00ED36DB"/>
    <w:rsid w:val="00ED3B74"/>
    <w:rsid w:val="00ED4174"/>
    <w:rsid w:val="00EE11F4"/>
    <w:rsid w:val="00EE6566"/>
    <w:rsid w:val="00EE6AA7"/>
    <w:rsid w:val="00EF384A"/>
    <w:rsid w:val="00F06B68"/>
    <w:rsid w:val="00F12A6E"/>
    <w:rsid w:val="00F25739"/>
    <w:rsid w:val="00F25B4B"/>
    <w:rsid w:val="00F30D89"/>
    <w:rsid w:val="00F3328E"/>
    <w:rsid w:val="00F34B37"/>
    <w:rsid w:val="00F361ED"/>
    <w:rsid w:val="00F3622B"/>
    <w:rsid w:val="00F41FA7"/>
    <w:rsid w:val="00F51C51"/>
    <w:rsid w:val="00F521D9"/>
    <w:rsid w:val="00F52D7B"/>
    <w:rsid w:val="00F54718"/>
    <w:rsid w:val="00F71716"/>
    <w:rsid w:val="00F809CB"/>
    <w:rsid w:val="00F82955"/>
    <w:rsid w:val="00F84BE6"/>
    <w:rsid w:val="00F864E8"/>
    <w:rsid w:val="00FA1E43"/>
    <w:rsid w:val="00FA2E92"/>
    <w:rsid w:val="00FA3B22"/>
    <w:rsid w:val="00FA4B0A"/>
    <w:rsid w:val="00FB21B2"/>
    <w:rsid w:val="00FB2E01"/>
    <w:rsid w:val="00FB75A6"/>
    <w:rsid w:val="00FC5C70"/>
    <w:rsid w:val="00FC69F7"/>
    <w:rsid w:val="00FD21DB"/>
    <w:rsid w:val="00FD3DE9"/>
    <w:rsid w:val="00FD75F0"/>
    <w:rsid w:val="00FE0172"/>
    <w:rsid w:val="00FE2C83"/>
    <w:rsid w:val="00FE2FDF"/>
    <w:rsid w:val="00FF3FF1"/>
    <w:rsid w:val="12024109"/>
    <w:rsid w:val="163473FB"/>
    <w:rsid w:val="17505560"/>
    <w:rsid w:val="1B4C0638"/>
    <w:rsid w:val="1D54130B"/>
    <w:rsid w:val="2D1519E7"/>
    <w:rsid w:val="36BE1A23"/>
    <w:rsid w:val="39BA210D"/>
    <w:rsid w:val="3C190364"/>
    <w:rsid w:val="3DDD10D6"/>
    <w:rsid w:val="53157E5C"/>
    <w:rsid w:val="545C0956"/>
    <w:rsid w:val="686A553D"/>
    <w:rsid w:val="6BC919F6"/>
    <w:rsid w:val="7E986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31"/>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32"/>
    <w:unhideWhenUsed/>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link w:val="36"/>
    <w:uiPriority w:val="0"/>
    <w:rPr>
      <w:rFonts w:ascii="宋体" w:hAnsi="宋体" w:eastAsia="宋体"/>
      <w:sz w:val="18"/>
      <w:szCs w:val="18"/>
    </w:rPr>
  </w:style>
  <w:style w:type="paragraph" w:styleId="6">
    <w:name w:val="toa heading"/>
    <w:basedOn w:val="1"/>
    <w:next w:val="1"/>
    <w:semiHidden/>
    <w:qFormat/>
    <w:uiPriority w:val="0"/>
    <w:rPr>
      <w:rFonts w:ascii="Times New Roman" w:hAnsi="Times New Roman" w:eastAsia="宋体" w:cs="Times New Roman"/>
      <w:b/>
      <w:szCs w:val="24"/>
    </w:rPr>
  </w:style>
  <w:style w:type="paragraph" w:styleId="7">
    <w:name w:val="annotation text"/>
    <w:basedOn w:val="1"/>
    <w:link w:val="33"/>
    <w:qFormat/>
    <w:uiPriority w:val="0"/>
    <w:pPr>
      <w:jc w:val="left"/>
    </w:pPr>
    <w:rPr>
      <w:szCs w:val="24"/>
    </w:rPr>
  </w:style>
  <w:style w:type="paragraph" w:styleId="8">
    <w:name w:val="Body Text"/>
    <w:basedOn w:val="1"/>
    <w:link w:val="41"/>
    <w:qFormat/>
    <w:uiPriority w:val="0"/>
    <w:pPr>
      <w:spacing w:after="120"/>
    </w:pPr>
    <w:rPr>
      <w:rFonts w:ascii="Times New Roman" w:hAnsi="Times New Roman" w:eastAsia="宋体" w:cs="Times New Roman"/>
      <w:szCs w:val="24"/>
    </w:rPr>
  </w:style>
  <w:style w:type="paragraph" w:styleId="9">
    <w:name w:val="Body Text Indent"/>
    <w:basedOn w:val="1"/>
    <w:link w:val="44"/>
    <w:semiHidden/>
    <w:unhideWhenUsed/>
    <w:qFormat/>
    <w:uiPriority w:val="99"/>
    <w:pPr>
      <w:spacing w:after="120"/>
      <w:ind w:left="420" w:leftChars="200"/>
    </w:pPr>
  </w:style>
  <w:style w:type="paragraph" w:styleId="10">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rPr>
  </w:style>
  <w:style w:type="paragraph" w:styleId="11">
    <w:name w:val="Date"/>
    <w:basedOn w:val="1"/>
    <w:next w:val="1"/>
    <w:link w:val="43"/>
    <w:qFormat/>
    <w:uiPriority w:val="0"/>
    <w:rPr>
      <w:rFonts w:ascii="Times New Roman" w:hAnsi="Times New Roman" w:eastAsia="宋体" w:cs="Times New Roman"/>
      <w:szCs w:val="20"/>
    </w:rPr>
  </w:style>
  <w:style w:type="paragraph" w:styleId="12">
    <w:name w:val="Balloon Text"/>
    <w:basedOn w:val="1"/>
    <w:link w:val="30"/>
    <w:semiHidden/>
    <w:unhideWhenUsed/>
    <w:qFormat/>
    <w:uiPriority w:val="0"/>
    <w:rPr>
      <w:sz w:val="18"/>
      <w:szCs w:val="18"/>
    </w:rPr>
  </w:style>
  <w:style w:type="paragraph" w:styleId="13">
    <w:name w:val="footer"/>
    <w:basedOn w:val="1"/>
    <w:link w:val="27"/>
    <w:unhideWhenUsed/>
    <w:qFormat/>
    <w:uiPriority w:val="99"/>
    <w:pPr>
      <w:tabs>
        <w:tab w:val="center" w:pos="4153"/>
        <w:tab w:val="right" w:pos="8306"/>
      </w:tabs>
      <w:snapToGrid w:val="0"/>
      <w:jc w:val="left"/>
    </w:pPr>
    <w:rPr>
      <w:sz w:val="18"/>
      <w:szCs w:val="18"/>
    </w:rPr>
  </w:style>
  <w:style w:type="paragraph" w:styleId="14">
    <w:name w:val="header"/>
    <w:basedOn w:val="1"/>
    <w:link w:val="26"/>
    <w:unhideWhenUsed/>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widowControl/>
      <w:spacing w:after="100" w:line="276" w:lineRule="auto"/>
      <w:jc w:val="left"/>
    </w:pPr>
    <w:rPr>
      <w:rFonts w:ascii="Calibri" w:hAnsi="Calibri" w:eastAsia="宋体" w:cs="Times New Roman"/>
      <w:kern w:val="0"/>
      <w:sz w:val="22"/>
    </w:rPr>
  </w:style>
  <w:style w:type="paragraph" w:styleId="16">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rPr>
  </w:style>
  <w:style w:type="paragraph" w:styleId="17">
    <w:name w:val="Title"/>
    <w:basedOn w:val="1"/>
    <w:link w:val="35"/>
    <w:qFormat/>
    <w:uiPriority w:val="0"/>
    <w:pPr>
      <w:spacing w:before="240" w:after="60"/>
      <w:jc w:val="center"/>
      <w:outlineLvl w:val="0"/>
    </w:pPr>
    <w:rPr>
      <w:rFonts w:ascii="Arial" w:hAnsi="Arial" w:eastAsia="宋体" w:cs="Arial"/>
      <w:b/>
      <w:bCs/>
      <w:sz w:val="32"/>
      <w:szCs w:val="32"/>
    </w:rPr>
  </w:style>
  <w:style w:type="paragraph" w:styleId="18">
    <w:name w:val="annotation subject"/>
    <w:basedOn w:val="7"/>
    <w:next w:val="7"/>
    <w:link w:val="38"/>
    <w:qFormat/>
    <w:uiPriority w:val="0"/>
    <w:rPr>
      <w:b/>
      <w:bCs/>
    </w:rPr>
  </w:style>
  <w:style w:type="table" w:styleId="20">
    <w:name w:val="Table Grid"/>
    <w:basedOn w:val="1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2">
    <w:name w:val="Strong"/>
    <w:basedOn w:val="21"/>
    <w:qFormat/>
    <w:uiPriority w:val="0"/>
    <w:rPr>
      <w:b/>
      <w:bCs/>
    </w:rPr>
  </w:style>
  <w:style w:type="character" w:styleId="23">
    <w:name w:val="page number"/>
    <w:basedOn w:val="21"/>
    <w:qFormat/>
    <w:uiPriority w:val="0"/>
  </w:style>
  <w:style w:type="character" w:styleId="24">
    <w:name w:val="FollowedHyperlink"/>
    <w:basedOn w:val="21"/>
    <w:qFormat/>
    <w:uiPriority w:val="0"/>
    <w:rPr>
      <w:color w:val="800080"/>
      <w:u w:val="single"/>
    </w:rPr>
  </w:style>
  <w:style w:type="character" w:styleId="25">
    <w:name w:val="Hyperlink"/>
    <w:basedOn w:val="21"/>
    <w:qFormat/>
    <w:uiPriority w:val="99"/>
    <w:rPr>
      <w:color w:val="0000FF"/>
      <w:u w:val="single"/>
    </w:rPr>
  </w:style>
  <w:style w:type="character" w:customStyle="1" w:styleId="26">
    <w:name w:val="页眉 Char"/>
    <w:basedOn w:val="21"/>
    <w:link w:val="14"/>
    <w:semiHidden/>
    <w:qFormat/>
    <w:uiPriority w:val="99"/>
    <w:rPr>
      <w:sz w:val="18"/>
      <w:szCs w:val="18"/>
    </w:rPr>
  </w:style>
  <w:style w:type="character" w:customStyle="1" w:styleId="27">
    <w:name w:val="页脚 Char"/>
    <w:basedOn w:val="21"/>
    <w:link w:val="13"/>
    <w:qFormat/>
    <w:uiPriority w:val="99"/>
    <w:rPr>
      <w:sz w:val="18"/>
      <w:szCs w:val="18"/>
    </w:rPr>
  </w:style>
  <w:style w:type="paragraph" w:styleId="28">
    <w:name w:val="List Paragraph"/>
    <w:basedOn w:val="1"/>
    <w:qFormat/>
    <w:uiPriority w:val="34"/>
    <w:pPr>
      <w:ind w:firstLine="420" w:firstLineChars="200"/>
    </w:pPr>
  </w:style>
  <w:style w:type="character" w:customStyle="1" w:styleId="29">
    <w:name w:val="标题 1 Char"/>
    <w:basedOn w:val="21"/>
    <w:link w:val="2"/>
    <w:qFormat/>
    <w:uiPriority w:val="9"/>
    <w:rPr>
      <w:rFonts w:ascii="宋体" w:hAnsi="宋体" w:eastAsia="宋体" w:cs="宋体"/>
      <w:b/>
      <w:bCs/>
      <w:kern w:val="36"/>
      <w:sz w:val="48"/>
      <w:szCs w:val="48"/>
    </w:rPr>
  </w:style>
  <w:style w:type="character" w:customStyle="1" w:styleId="30">
    <w:name w:val="批注框文本 Char"/>
    <w:basedOn w:val="21"/>
    <w:link w:val="12"/>
    <w:semiHidden/>
    <w:qFormat/>
    <w:uiPriority w:val="99"/>
    <w:rPr>
      <w:sz w:val="18"/>
      <w:szCs w:val="18"/>
    </w:rPr>
  </w:style>
  <w:style w:type="character" w:customStyle="1" w:styleId="31">
    <w:name w:val="标题 2 Char"/>
    <w:basedOn w:val="21"/>
    <w:link w:val="3"/>
    <w:qFormat/>
    <w:uiPriority w:val="0"/>
    <w:rPr>
      <w:rFonts w:ascii="Arial" w:hAnsi="Arial" w:eastAsia="黑体" w:cs="Times New Roman"/>
      <w:b/>
      <w:bCs/>
      <w:sz w:val="32"/>
      <w:szCs w:val="32"/>
    </w:rPr>
  </w:style>
  <w:style w:type="character" w:customStyle="1" w:styleId="32">
    <w:name w:val="标题 3 Char"/>
    <w:basedOn w:val="21"/>
    <w:link w:val="4"/>
    <w:qFormat/>
    <w:uiPriority w:val="0"/>
    <w:rPr>
      <w:rFonts w:ascii="Times New Roman" w:hAnsi="Times New Roman" w:eastAsia="宋体" w:cs="Times New Roman"/>
      <w:b/>
      <w:bCs/>
      <w:sz w:val="32"/>
      <w:szCs w:val="32"/>
    </w:rPr>
  </w:style>
  <w:style w:type="character" w:customStyle="1" w:styleId="33">
    <w:name w:val="批注文字 Char"/>
    <w:basedOn w:val="21"/>
    <w:link w:val="7"/>
    <w:qFormat/>
    <w:locked/>
    <w:uiPriority w:val="0"/>
    <w:rPr>
      <w:szCs w:val="24"/>
    </w:rPr>
  </w:style>
  <w:style w:type="character" w:customStyle="1" w:styleId="34">
    <w:name w:val="批注文字 Char1"/>
    <w:basedOn w:val="21"/>
    <w:semiHidden/>
    <w:qFormat/>
    <w:uiPriority w:val="99"/>
  </w:style>
  <w:style w:type="character" w:customStyle="1" w:styleId="35">
    <w:name w:val="标题 Char"/>
    <w:basedOn w:val="21"/>
    <w:link w:val="17"/>
    <w:qFormat/>
    <w:uiPriority w:val="0"/>
    <w:rPr>
      <w:rFonts w:ascii="Arial" w:hAnsi="Arial" w:eastAsia="宋体" w:cs="Arial"/>
      <w:b/>
      <w:bCs/>
      <w:sz w:val="32"/>
      <w:szCs w:val="32"/>
    </w:rPr>
  </w:style>
  <w:style w:type="character" w:customStyle="1" w:styleId="36">
    <w:name w:val="文档结构图 Char"/>
    <w:basedOn w:val="21"/>
    <w:link w:val="5"/>
    <w:qFormat/>
    <w:locked/>
    <w:uiPriority w:val="0"/>
    <w:rPr>
      <w:rFonts w:ascii="宋体" w:hAnsi="宋体" w:eastAsia="宋体"/>
      <w:sz w:val="18"/>
      <w:szCs w:val="18"/>
    </w:rPr>
  </w:style>
  <w:style w:type="character" w:customStyle="1" w:styleId="37">
    <w:name w:val="文档结构图 Char1"/>
    <w:basedOn w:val="21"/>
    <w:semiHidden/>
    <w:qFormat/>
    <w:uiPriority w:val="99"/>
    <w:rPr>
      <w:rFonts w:ascii="宋体" w:eastAsia="宋体"/>
      <w:sz w:val="18"/>
      <w:szCs w:val="18"/>
    </w:rPr>
  </w:style>
  <w:style w:type="character" w:customStyle="1" w:styleId="38">
    <w:name w:val="批注主题 Char"/>
    <w:basedOn w:val="33"/>
    <w:link w:val="18"/>
    <w:qFormat/>
    <w:locked/>
    <w:uiPriority w:val="0"/>
    <w:rPr>
      <w:b/>
      <w:bCs/>
      <w:szCs w:val="24"/>
    </w:rPr>
  </w:style>
  <w:style w:type="character" w:customStyle="1" w:styleId="39">
    <w:name w:val="批注主题 Char1"/>
    <w:basedOn w:val="34"/>
    <w:semiHidden/>
    <w:qFormat/>
    <w:uiPriority w:val="99"/>
    <w:rPr>
      <w:b/>
      <w:bCs/>
    </w:rPr>
  </w:style>
  <w:style w:type="paragraph" w:customStyle="1" w:styleId="40">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41">
    <w:name w:val="正文文本 Char"/>
    <w:basedOn w:val="21"/>
    <w:link w:val="8"/>
    <w:qFormat/>
    <w:uiPriority w:val="0"/>
    <w:rPr>
      <w:rFonts w:ascii="Times New Roman" w:hAnsi="Times New Roman" w:eastAsia="宋体" w:cs="Times New Roman"/>
      <w:szCs w:val="24"/>
    </w:rPr>
  </w:style>
  <w:style w:type="paragraph" w:customStyle="1" w:styleId="42">
    <w:name w:val="TOC Heading"/>
    <w:basedOn w:val="2"/>
    <w:next w:val="1"/>
    <w:semiHidden/>
    <w:unhideWhenUsed/>
    <w:qFormat/>
    <w:uiPriority w:val="39"/>
    <w:pPr>
      <w:keepNext/>
      <w:keepLines/>
      <w:spacing w:before="480" w:beforeAutospacing="0" w:after="0" w:afterAutospacing="0" w:line="276" w:lineRule="auto"/>
      <w:outlineLvl w:val="9"/>
    </w:pPr>
    <w:rPr>
      <w:rFonts w:ascii="Cambria" w:hAnsi="Cambria" w:cs="Times New Roman"/>
      <w:color w:val="365F91"/>
      <w:kern w:val="0"/>
      <w:sz w:val="28"/>
      <w:szCs w:val="28"/>
    </w:rPr>
  </w:style>
  <w:style w:type="character" w:customStyle="1" w:styleId="43">
    <w:name w:val="日期 Char"/>
    <w:basedOn w:val="21"/>
    <w:link w:val="11"/>
    <w:qFormat/>
    <w:uiPriority w:val="0"/>
    <w:rPr>
      <w:rFonts w:ascii="Times New Roman" w:hAnsi="Times New Roman" w:eastAsia="宋体" w:cs="Times New Roman"/>
      <w:szCs w:val="20"/>
    </w:rPr>
  </w:style>
  <w:style w:type="character" w:customStyle="1" w:styleId="44">
    <w:name w:val="正文文本缩进 Char"/>
    <w:basedOn w:val="21"/>
    <w:link w:val="9"/>
    <w:semiHidden/>
    <w:qFormat/>
    <w:uiPriority w:val="99"/>
  </w:style>
  <w:style w:type="paragraph" w:customStyle="1" w:styleId="45">
    <w:name w:val="段"/>
    <w:link w:val="46"/>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0"/>
      <w:sz w:val="20"/>
      <w:szCs w:val="20"/>
      <w:lang w:val="en-US" w:eastAsia="zh-CN" w:bidi="ar-SA"/>
    </w:rPr>
  </w:style>
  <w:style w:type="character" w:customStyle="1" w:styleId="46">
    <w:name w:val="段 Char"/>
    <w:link w:val="45"/>
    <w:qFormat/>
    <w:uiPriority w:val="0"/>
    <w:rPr>
      <w:rFonts w:ascii="宋体" w:hAnsi="Calibri" w:eastAsia="宋体" w:cs="Times New Roman"/>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98B36C-2E90-4842-BE99-5206E38429E0}">
  <ds:schemaRefs/>
</ds:datastoreItem>
</file>

<file path=docProps/app.xml><?xml version="1.0" encoding="utf-8"?>
<Properties xmlns="http://schemas.openxmlformats.org/officeDocument/2006/extended-properties" xmlns:vt="http://schemas.openxmlformats.org/officeDocument/2006/docPropsVTypes">
  <Template>Normal.dotm</Template>
  <Company>SkyUN.Org</Company>
  <Pages>9</Pages>
  <Words>1023</Words>
  <Characters>5832</Characters>
  <Lines>48</Lines>
  <Paragraphs>13</Paragraphs>
  <TotalTime>0</TotalTime>
  <ScaleCrop>false</ScaleCrop>
  <LinksUpToDate>false</LinksUpToDate>
  <CharactersWithSpaces>6842</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2019-05-14T06:01:00Z</dcterms:created>
  <dc:creator>SkyUN.Org</dc:creator>
  <cp:lastModifiedBy>良机</cp:lastModifiedBy>
  <cp:lastPrinted>2017-06-07T05:15:00Z</cp:lastPrinted>
  <dcterms:modified xsi:type="dcterms:W3CDTF">2019-05-20T10:21:27Z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