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24B0D">
      <w:pPr>
        <w:pStyle w:val="70"/>
        <w:framePr w:w="0" w:hRule="auto" w:wrap="auto" w:vAnchor="margin" w:hAnchor="text" w:xAlign="left" w:yAlign="inline"/>
        <w:spacing w:line="700" w:lineRule="exact"/>
        <w:rPr>
          <w:rFonts w:hint="eastAsia" w:hAnsi="Times New Roman" w:cs="Times New Roman"/>
          <w:b/>
          <w:color w:val="000000"/>
          <w:sz w:val="32"/>
          <w:lang w:val="en-US" w:eastAsia="zh-CN"/>
        </w:rPr>
      </w:pPr>
      <w:r>
        <w:rPr>
          <w:rFonts w:hint="eastAsia"/>
          <w:b/>
          <w:color w:val="000000"/>
          <w:sz w:val="32"/>
          <w:lang w:val="en-US" w:eastAsia="zh-CN"/>
        </w:rPr>
        <w:t>中国轻工业联合会</w:t>
      </w:r>
      <w:r>
        <w:rPr>
          <w:rFonts w:hint="eastAsia" w:hAnsi="Times New Roman" w:cs="Times New Roman"/>
          <w:b/>
          <w:color w:val="000000"/>
          <w:sz w:val="32"/>
          <w:lang w:val="en-US" w:eastAsia="zh-CN"/>
        </w:rPr>
        <w:t>团体标准</w:t>
      </w:r>
    </w:p>
    <w:p w14:paraId="180EF576">
      <w:pPr>
        <w:pStyle w:val="70"/>
        <w:framePr w:w="0" w:hRule="auto" w:wrap="auto" w:vAnchor="margin" w:hAnchor="text" w:xAlign="left" w:yAlign="inline"/>
        <w:spacing w:line="700" w:lineRule="exact"/>
        <w:rPr>
          <w:rFonts w:hint="eastAsia" w:hAnsi="Times New Roman" w:cs="Times New Roman"/>
          <w:b/>
          <w:color w:val="000000"/>
          <w:sz w:val="32"/>
          <w:lang w:val="en-US" w:eastAsia="zh-CN"/>
        </w:rPr>
      </w:pPr>
      <w:r>
        <w:rPr>
          <w:rFonts w:hint="eastAsia" w:hAnsi="Times New Roman" w:cs="Times New Roman"/>
          <w:b/>
          <w:color w:val="000000"/>
          <w:sz w:val="32"/>
          <w:lang w:val="en-US" w:eastAsia="zh-CN"/>
        </w:rPr>
        <w:t>《五粮浓香型白酒核心产区产品质量评价规范》</w:t>
      </w:r>
    </w:p>
    <w:p w14:paraId="7E09FE4F">
      <w:pPr>
        <w:pStyle w:val="70"/>
        <w:framePr w:w="0" w:hRule="auto" w:wrap="auto" w:vAnchor="margin" w:hAnchor="text" w:xAlign="left" w:yAlign="inline"/>
        <w:spacing w:line="700" w:lineRule="exact"/>
        <w:rPr>
          <w:rFonts w:hint="eastAsia" w:hAnsi="Times New Roman" w:cs="Times New Roman"/>
          <w:b/>
          <w:color w:val="000000"/>
          <w:sz w:val="32"/>
          <w:lang w:val="en-US" w:eastAsia="zh-CN"/>
        </w:rPr>
      </w:pPr>
      <w:r>
        <w:rPr>
          <w:rFonts w:hint="eastAsia" w:hAnsi="Times New Roman" w:cs="Times New Roman"/>
          <w:b/>
          <w:color w:val="000000"/>
          <w:sz w:val="32"/>
          <w:lang w:val="en-US" w:eastAsia="zh-CN"/>
        </w:rPr>
        <w:t>编制</w:t>
      </w:r>
      <w:r>
        <w:rPr>
          <w:rFonts w:hint="eastAsia" w:cs="Times New Roman"/>
          <w:b/>
          <w:color w:val="000000"/>
          <w:sz w:val="32"/>
          <w:lang w:val="en-US" w:eastAsia="zh-CN"/>
        </w:rPr>
        <w:t>情况</w:t>
      </w:r>
      <w:r>
        <w:rPr>
          <w:rFonts w:hint="eastAsia" w:hAnsi="Times New Roman" w:cs="Times New Roman"/>
          <w:b/>
          <w:color w:val="000000"/>
          <w:sz w:val="32"/>
          <w:lang w:val="en-US" w:eastAsia="zh-CN"/>
        </w:rPr>
        <w:t>说明</w:t>
      </w:r>
    </w:p>
    <w:p w14:paraId="26864C67"/>
    <w:p w14:paraId="33AB7680">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textAlignment w:val="auto"/>
        <w:outlineLvl w:val="0"/>
        <w:rPr>
          <w:rFonts w:hint="eastAsia" w:ascii="宋体" w:hAnsi="宋体" w:eastAsia="宋体" w:cs="宋体"/>
          <w:b/>
          <w:kern w:val="0"/>
          <w:sz w:val="24"/>
          <w:szCs w:val="24"/>
          <w:lang w:eastAsia="zh-CN"/>
        </w:rPr>
      </w:pPr>
      <w:bookmarkStart w:id="0" w:name="_Toc132710489"/>
      <w:r>
        <w:rPr>
          <w:rFonts w:hint="eastAsia" w:ascii="宋体" w:hAnsi="宋体" w:eastAsia="宋体" w:cs="宋体"/>
          <w:b/>
          <w:kern w:val="0"/>
          <w:sz w:val="24"/>
          <w:szCs w:val="24"/>
        </w:rPr>
        <w:t>1</w:t>
      </w:r>
      <w:bookmarkEnd w:id="0"/>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标准主要制定</w:t>
      </w:r>
      <w:r>
        <w:rPr>
          <w:rFonts w:hint="eastAsia" w:ascii="宋体" w:hAnsi="宋体" w:eastAsia="宋体" w:cs="宋体"/>
          <w:b/>
          <w:kern w:val="0"/>
          <w:sz w:val="24"/>
          <w:szCs w:val="24"/>
          <w:lang w:val="en-US" w:eastAsia="zh-CN"/>
        </w:rPr>
        <w:t>原则</w:t>
      </w:r>
    </w:p>
    <w:p w14:paraId="7F7D6A9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五粮浓香型白酒作为中国白酒的重要品类，其产品质量评价规范的编制至关重要。编制本标准时，需遵循以下原则： </w:t>
      </w:r>
    </w:p>
    <w:p w14:paraId="164C85F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首先，要确保标准的科学性与适用性。本标准应基于五粮浓香型白酒独特的生产工艺和品质特点，结合最新的科研成果和行业需求，科学合理地设定各项技术指标。同时，本标准需具有广泛的适用性，能够指导实际生产，确保产品质量。 </w:t>
      </w:r>
    </w:p>
    <w:p w14:paraId="30ED8B0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其次，要体现地方特色与地理标志保护。五粮浓香型白酒的核心产区具有独特的气候、土壤和水资源条件，这些自然因素对产品品质有着重要影响。本标准应充分体现这些地方特色，并加强对地理标志产品的保护，维护产区品牌形象。 </w:t>
      </w:r>
    </w:p>
    <w:p w14:paraId="10E6A68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此外，本标准编制还需注重全面性与准确性。应涵盖从原料采购、酿造工艺到成品检验的各个环节，确保产品质量评价的全面性和准确性。同时，随着行业发展和技术进步，本标准需不断修订和完善，以适应市场需求和产业发展趋势。</w:t>
      </w:r>
    </w:p>
    <w:p w14:paraId="6AD4FC71">
      <w:pPr>
        <w:pStyle w:val="11"/>
        <w:spacing w:line="440" w:lineRule="exact"/>
        <w:ind w:firstLine="480" w:firstLineChars="200"/>
        <w:outlineLvl w:val="0"/>
        <w:rPr>
          <w:rFonts w:hint="eastAsia" w:ascii="Times New Roman" w:eastAsia="宋体"/>
          <w:b/>
          <w:kern w:val="0"/>
          <w:sz w:val="24"/>
          <w:szCs w:val="24"/>
        </w:rPr>
      </w:pPr>
      <w:r>
        <w:rPr>
          <w:rFonts w:hint="eastAsia" w:ascii="宋体" w:hAnsi="宋体" w:eastAsia="宋体" w:cs="宋体"/>
          <w:kern w:val="0"/>
          <w:sz w:val="24"/>
          <w:szCs w:val="24"/>
          <w:lang w:val="en-US" w:eastAsia="zh-CN"/>
        </w:rPr>
        <w:t>综上所述，本标准的编制应坚持科学性、适用性、地方特色、地理标志保护、全面性和准确性等原则，以推动五粮浓香型白酒产业的持续健康发展。</w:t>
      </w:r>
    </w:p>
    <w:p w14:paraId="6F0B920B">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textAlignment w:val="auto"/>
        <w:outlineLvl w:val="0"/>
        <w:rPr>
          <w:rFonts w:hint="eastAsia" w:ascii="宋体" w:hAnsi="宋体" w:eastAsia="宋体" w:cs="宋体"/>
          <w:b/>
          <w:bCs w:val="0"/>
          <w:kern w:val="0"/>
          <w:sz w:val="24"/>
          <w:szCs w:val="24"/>
        </w:rPr>
      </w:pPr>
      <w:bookmarkStart w:id="1" w:name="_Toc132710490"/>
      <w:r>
        <w:rPr>
          <w:rFonts w:hint="eastAsia" w:ascii="宋体" w:hAnsi="宋体" w:eastAsia="宋体" w:cs="宋体"/>
          <w:b/>
          <w:bCs w:val="0"/>
          <w:kern w:val="0"/>
          <w:sz w:val="24"/>
          <w:szCs w:val="24"/>
          <w:lang w:val="en-US" w:eastAsia="zh-CN"/>
        </w:rPr>
        <w:t>2</w:t>
      </w:r>
      <w:bookmarkEnd w:id="1"/>
      <w:r>
        <w:rPr>
          <w:rFonts w:hint="eastAsia" w:ascii="宋体" w:hAnsi="宋体" w:eastAsia="宋体" w:cs="宋体"/>
          <w:b/>
          <w:bCs w:val="0"/>
          <w:kern w:val="0"/>
          <w:sz w:val="24"/>
          <w:szCs w:val="24"/>
          <w:lang w:val="en-US" w:eastAsia="zh-CN"/>
        </w:rPr>
        <w:t>.</w:t>
      </w:r>
      <w:r>
        <w:rPr>
          <w:rFonts w:hint="eastAsia" w:ascii="宋体" w:hAnsi="宋体" w:eastAsia="宋体" w:cs="宋体"/>
          <w:b/>
          <w:bCs w:val="0"/>
          <w:kern w:val="0"/>
          <w:sz w:val="24"/>
          <w:szCs w:val="24"/>
        </w:rPr>
        <w:t>参考的文件</w:t>
      </w:r>
    </w:p>
    <w:p w14:paraId="3D243CD5">
      <w:pPr>
        <w:pStyle w:val="11"/>
        <w:spacing w:line="440" w:lineRule="exact"/>
        <w:ind w:firstLine="480" w:firstLineChars="200"/>
        <w:outlineLvl w:val="0"/>
        <w:rPr>
          <w:rFonts w:hint="eastAsia" w:ascii="宋体" w:hAnsi="宋体" w:cs="宋体"/>
          <w:kern w:val="0"/>
          <w:sz w:val="24"/>
          <w:lang w:val="en-US" w:eastAsia="zh-CN"/>
        </w:rPr>
      </w:pPr>
      <w:r>
        <w:rPr>
          <w:rFonts w:hint="eastAsia" w:ascii="宋体" w:hAnsi="宋体" w:cs="宋体"/>
          <w:kern w:val="0"/>
          <w:sz w:val="24"/>
          <w:lang w:val="en-US" w:eastAsia="zh-CN"/>
        </w:rPr>
        <w:t>本标准规范性引用了下列文件（31个）：</w:t>
      </w:r>
    </w:p>
    <w:p w14:paraId="2BC0141A">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GB 1351  小麦</w:t>
      </w:r>
    </w:p>
    <w:p w14:paraId="72E35E8B">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GB/T 1354  大米</w:t>
      </w:r>
    </w:p>
    <w:p w14:paraId="51491F7F">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GB 1353  玉米</w:t>
      </w:r>
    </w:p>
    <w:p w14:paraId="4B633F98">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1886.190  食品安全国家标准  食品添加剂  乙酸乙酯</w:t>
      </w:r>
    </w:p>
    <w:p w14:paraId="337E1D15">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 2589</w:t>
      </w:r>
      <w:r>
        <w:rPr>
          <w:rFonts w:hint="eastAsia" w:ascii="宋体" w:hAnsi="宋体" w:eastAsia="宋体" w:cs="宋体"/>
          <w:kern w:val="0"/>
          <w:sz w:val="24"/>
          <w:lang w:val="en-US" w:eastAsia="zh-CN"/>
        </w:rPr>
        <w:t xml:space="preserve">  综合能耗计算通则</w:t>
      </w:r>
    </w:p>
    <w:p w14:paraId="6192D7B0">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 2757</w:t>
      </w:r>
      <w:r>
        <w:rPr>
          <w:rFonts w:hint="eastAsia" w:ascii="宋体" w:hAnsi="宋体" w:eastAsia="宋体" w:cs="宋体"/>
          <w:kern w:val="0"/>
          <w:sz w:val="24"/>
          <w:lang w:val="en-US" w:eastAsia="zh-CN"/>
        </w:rPr>
        <w:t xml:space="preserve">  食品安全国家标准  蒸馏酒及其配制酒</w:t>
      </w:r>
    </w:p>
    <w:p w14:paraId="5D5CDD9C">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4806.1  食品安全国家标准  食品接触材料及制品通用安全要求</w:t>
      </w:r>
    </w:p>
    <w:p w14:paraId="629AC7B3">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4806.4  食品安全国家标准  陶瓷制品</w:t>
      </w:r>
    </w:p>
    <w:p w14:paraId="596473BA">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4806.5  食品安全国家标准  玻瓶制品</w:t>
      </w:r>
    </w:p>
    <w:p w14:paraId="79DF980A">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4806.6  食品安全国家标准  食品接触用塑料树脂</w:t>
      </w:r>
    </w:p>
    <w:p w14:paraId="3801D58B">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4806.7  食品安全国家标准  食品接触用塑料材料及制品</w:t>
      </w:r>
    </w:p>
    <w:p w14:paraId="36C6062C">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GB 4806.9  食品安全国家标准  食品接触用金属材料及其制品</w:t>
      </w:r>
    </w:p>
    <w:p w14:paraId="2190ECCC">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GB 5009.225  食品安全国家标准  酒和食用酒精中乙醇浓度的测定</w:t>
      </w:r>
    </w:p>
    <w:p w14:paraId="3AA84A99">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5749  生活饮用水卫生标准</w:t>
      </w:r>
    </w:p>
    <w:p w14:paraId="7A971104">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6682</w:t>
      </w:r>
      <w:r>
        <w:rPr>
          <w:rFonts w:hint="eastAsia" w:ascii="宋体" w:hAnsi="宋体" w:eastAsia="宋体" w:cs="宋体"/>
          <w:kern w:val="0"/>
          <w:sz w:val="24"/>
          <w:lang w:val="en-US" w:eastAsia="zh-CN"/>
        </w:rPr>
        <w:t xml:space="preserve">  分析实验室用水规格和试验方法</w:t>
      </w:r>
    </w:p>
    <w:p w14:paraId="3A12B80B">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GB/T 7488  水质  五日生化需氧量（BOD5）的测定  稀释与接种法</w:t>
      </w:r>
    </w:p>
    <w:p w14:paraId="49926FA8">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GB/T 8231  高粱</w:t>
      </w:r>
    </w:p>
    <w:p w14:paraId="112F8912">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8951  食品安全国家标准  蒸馏酒及其配制酒生产卫生规范</w:t>
      </w:r>
    </w:p>
    <w:p w14:paraId="64274CB1">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10346</w:t>
      </w:r>
      <w:r>
        <w:rPr>
          <w:rFonts w:hint="eastAsia" w:ascii="宋体" w:hAnsi="宋体" w:eastAsia="宋体" w:cs="宋体"/>
          <w:kern w:val="0"/>
          <w:sz w:val="24"/>
          <w:lang w:val="en-US" w:eastAsia="zh-CN"/>
        </w:rPr>
        <w:t xml:space="preserve">  白酒检验规则和标志、包装、运输、贮存</w:t>
      </w:r>
    </w:p>
    <w:p w14:paraId="3C944960">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GB/T 11914  水质  化学需氧量的测定  重铬酸盐法</w:t>
      </w:r>
    </w:p>
    <w:p w14:paraId="304B700E">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GB 14881  食品安全国家标准  食品生产通用卫生规范</w:t>
      </w:r>
    </w:p>
    <w:p w14:paraId="49228E72">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GB/T 15109</w:t>
      </w:r>
      <w:r>
        <w:rPr>
          <w:rFonts w:hint="eastAsia" w:ascii="宋体" w:hAnsi="宋体" w:eastAsia="宋体" w:cs="宋体"/>
          <w:kern w:val="0"/>
          <w:sz w:val="24"/>
          <w:lang w:val="en-US" w:eastAsia="zh-CN"/>
        </w:rPr>
        <w:t xml:space="preserve">  白酒工业术语</w:t>
      </w:r>
    </w:p>
    <w:p w14:paraId="2A5632E1">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17167</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用能单位能源计量器具配备和管理通则</w:t>
      </w:r>
    </w:p>
    <w:p w14:paraId="3D63618A">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18916.15</w:t>
      </w:r>
      <w:r>
        <w:rPr>
          <w:rFonts w:hint="eastAsia" w:ascii="宋体" w:hAnsi="宋体" w:eastAsia="宋体" w:cs="宋体"/>
          <w:kern w:val="0"/>
          <w:sz w:val="24"/>
          <w:lang w:val="en-US" w:eastAsia="zh-CN"/>
        </w:rPr>
        <w:t xml:space="preserve">  工业用水定额  第15部分：白酒</w:t>
      </w:r>
    </w:p>
    <w:p w14:paraId="5AC6B7C7">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19001</w:t>
      </w:r>
      <w:r>
        <w:rPr>
          <w:rFonts w:hint="eastAsia" w:ascii="宋体" w:hAnsi="宋体" w:eastAsia="宋体" w:cs="宋体"/>
          <w:kern w:val="0"/>
          <w:sz w:val="24"/>
          <w:lang w:val="en-US" w:eastAsia="zh-CN"/>
        </w:rPr>
        <w:t xml:space="preserve">  质量管理体系  要求</w:t>
      </w:r>
    </w:p>
    <w:p w14:paraId="692C053B">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23331</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能源管理体系</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要求及使用指南</w:t>
      </w:r>
    </w:p>
    <w:p w14:paraId="5B59343C">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 xml:space="preserve">GB/T 23544 </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白酒企业良好生产规范</w:t>
      </w:r>
    </w:p>
    <w:p w14:paraId="5F4B3D41">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24001</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环境管理体系</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要求及使用指南</w:t>
      </w:r>
    </w:p>
    <w:p w14:paraId="1FD733C6">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33000</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企业安全生产标准化基本规范</w:t>
      </w:r>
    </w:p>
    <w:p w14:paraId="557AEEB0">
      <w:pPr>
        <w:numPr>
          <w:ilvl w:val="0"/>
          <w:numId w:val="3"/>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45001</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职业健康安全管理体系</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要求及使用指南</w:t>
      </w:r>
    </w:p>
    <w:p w14:paraId="33282A3E">
      <w:pPr>
        <w:numPr>
          <w:ilvl w:val="0"/>
          <w:numId w:val="3"/>
        </w:numPr>
        <w:spacing w:line="440" w:lineRule="exact"/>
        <w:ind w:left="425" w:leftChars="0" w:hanging="425" w:firstLineChars="0"/>
        <w:rPr>
          <w:rFonts w:hint="eastAsia" w:ascii="宋体" w:hAnsi="宋体" w:eastAsia="宋体" w:cs="宋体"/>
          <w:kern w:val="0"/>
          <w:sz w:val="24"/>
          <w:lang w:val="en-US" w:eastAsia="zh-CN"/>
        </w:rPr>
      </w:pPr>
      <w:r>
        <w:rPr>
          <w:rFonts w:hint="default" w:ascii="宋体" w:hAnsi="宋体" w:eastAsia="宋体" w:cs="宋体"/>
          <w:kern w:val="0"/>
          <w:sz w:val="24"/>
          <w:lang w:val="en-US" w:eastAsia="zh-CN"/>
        </w:rPr>
        <w:t>QB/T 4259</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浓香大曲</w:t>
      </w:r>
    </w:p>
    <w:p w14:paraId="72594164">
      <w:pPr>
        <w:spacing w:line="44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起草过程及文本中参考了如下文件（6个）：</w:t>
      </w:r>
    </w:p>
    <w:p w14:paraId="20818947">
      <w:pPr>
        <w:numPr>
          <w:ilvl w:val="0"/>
          <w:numId w:val="4"/>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18916.15-2024 工业用水定额 第15部分：白酒</w:t>
      </w:r>
    </w:p>
    <w:p w14:paraId="319063E4">
      <w:pPr>
        <w:numPr>
          <w:ilvl w:val="0"/>
          <w:numId w:val="4"/>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GB/T 22211-2008地理标志产品 五粮液酒</w:t>
      </w:r>
    </w:p>
    <w:p w14:paraId="64BABD68">
      <w:pPr>
        <w:numPr>
          <w:ilvl w:val="0"/>
          <w:numId w:val="4"/>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HJ/T 402</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2007</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清洁生产标准 </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白酒制造业</w:t>
      </w:r>
    </w:p>
    <w:p w14:paraId="30BBA90C">
      <w:pPr>
        <w:numPr>
          <w:ilvl w:val="0"/>
          <w:numId w:val="4"/>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T/5115YBAPS 026</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2021</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宜宾浓香型白酒  原酒</w:t>
      </w:r>
    </w:p>
    <w:p w14:paraId="6FACA9F6">
      <w:pPr>
        <w:numPr>
          <w:ilvl w:val="0"/>
          <w:numId w:val="4"/>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《危险化学品安全管理条例》</w:t>
      </w:r>
      <w:r>
        <w:rPr>
          <w:rFonts w:hint="eastAsia" w:ascii="宋体" w:hAnsi="宋体" w:eastAsia="宋体" w:cs="宋体"/>
          <w:kern w:val="0"/>
          <w:sz w:val="24"/>
          <w:lang w:val="en-US" w:eastAsia="zh-CN"/>
        </w:rPr>
        <w:t>（国务院）</w:t>
      </w:r>
    </w:p>
    <w:p w14:paraId="72B68292">
      <w:pPr>
        <w:numPr>
          <w:ilvl w:val="0"/>
          <w:numId w:val="4"/>
        </w:numPr>
        <w:spacing w:line="440" w:lineRule="exact"/>
        <w:ind w:left="425" w:leftChars="0" w:hanging="425" w:firstLineChars="0"/>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《企业环境信息依法披露管理办法》</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生态环境部</w:t>
      </w:r>
      <w:r>
        <w:rPr>
          <w:rFonts w:hint="eastAsia" w:ascii="宋体" w:hAnsi="宋体" w:eastAsia="宋体" w:cs="宋体"/>
          <w:kern w:val="0"/>
          <w:sz w:val="24"/>
          <w:lang w:val="en-US" w:eastAsia="zh-CN"/>
        </w:rPr>
        <w:t>）</w:t>
      </w:r>
    </w:p>
    <w:p w14:paraId="11ED4587">
      <w:pPr>
        <w:numPr>
          <w:numId w:val="0"/>
        </w:numPr>
        <w:spacing w:line="440" w:lineRule="exact"/>
        <w:ind w:leftChars="0"/>
        <w:rPr>
          <w:rFonts w:hint="eastAsia" w:ascii="宋体" w:hAnsi="宋体" w:eastAsia="宋体" w:cs="宋体"/>
          <w:kern w:val="0"/>
          <w:sz w:val="24"/>
          <w:lang w:val="en-US" w:eastAsia="zh-CN"/>
        </w:rPr>
      </w:pPr>
    </w:p>
    <w:p w14:paraId="17802634">
      <w:pPr>
        <w:numPr>
          <w:numId w:val="0"/>
        </w:numPr>
        <w:spacing w:line="440" w:lineRule="exact"/>
        <w:ind w:leftChars="0"/>
        <w:rPr>
          <w:rFonts w:hint="eastAsia" w:ascii="宋体" w:hAnsi="宋体" w:eastAsia="宋体" w:cs="宋体"/>
          <w:kern w:val="0"/>
          <w:sz w:val="24"/>
          <w:lang w:val="en-US" w:eastAsia="zh-CN"/>
        </w:rPr>
      </w:pPr>
    </w:p>
    <w:p w14:paraId="223A3EEC">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textAlignment w:val="auto"/>
        <w:outlineLvl w:val="0"/>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3.主要内容的说明</w:t>
      </w:r>
    </w:p>
    <w:p w14:paraId="4E02712B">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textAlignment w:val="auto"/>
        <w:outlineLvl w:val="0"/>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3.1  术语和定义</w:t>
      </w:r>
    </w:p>
    <w:p w14:paraId="16B4BF67">
      <w:pPr>
        <w:keepNext w:val="0"/>
        <w:keepLines w:val="0"/>
        <w:pageBreakBefore w:val="0"/>
        <w:widowControl/>
        <w:numPr>
          <w:ilvl w:val="0"/>
          <w:numId w:val="5"/>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GB/T 15109</w:t>
      </w:r>
      <w:r>
        <w:rPr>
          <w:rFonts w:hint="eastAsia" w:ascii="宋体" w:hAnsi="宋体" w:eastAsia="宋体" w:cs="宋体"/>
          <w:kern w:val="0"/>
          <w:sz w:val="24"/>
          <w:szCs w:val="24"/>
          <w:lang w:val="en-US" w:eastAsia="zh-CN"/>
        </w:rPr>
        <w:t>《白酒工业术语》是白酒工业的基础标准，适用于本标准。</w:t>
      </w:r>
    </w:p>
    <w:p w14:paraId="371E7CA5">
      <w:pPr>
        <w:keepNext w:val="0"/>
        <w:keepLines w:val="0"/>
        <w:pageBreakBefore w:val="0"/>
        <w:widowControl/>
        <w:numPr>
          <w:ilvl w:val="0"/>
          <w:numId w:val="5"/>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“五粮浓香型白酒核心产区”定义，根据“关于授予四川省宜宾市‘中国（宜宾）白酒之都’暨‘中国五粮浓香白酒核心产区·宜宾’”称号的通知（中轻联综合〔2023〕311号）”界定。</w:t>
      </w:r>
    </w:p>
    <w:p w14:paraId="01581972">
      <w:pPr>
        <w:keepNext w:val="0"/>
        <w:keepLines w:val="0"/>
        <w:pageBreakBefore w:val="0"/>
        <w:widowControl/>
        <w:numPr>
          <w:ilvl w:val="0"/>
          <w:numId w:val="5"/>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附录A给出的五粮浓香型白酒核心产区（四川省宜宾市行政区域）地域范围，参考了宜宾市自然资源和规划局官网公开文件——宜宾市行政区划图（审图号：川S（2021）12001号）。</w:t>
      </w:r>
      <w:bookmarkStart w:id="2" w:name="_Toc102024238"/>
      <w:bookmarkEnd w:id="2"/>
      <w:bookmarkStart w:id="3" w:name="_Toc54403347"/>
      <w:bookmarkStart w:id="4" w:name="_Toc102024239"/>
      <w:bookmarkStart w:id="5" w:name="_Toc53493853"/>
      <w:bookmarkStart w:id="6" w:name="_Toc54178674"/>
      <w:bookmarkStart w:id="7" w:name="_Toc53644702"/>
      <w:bookmarkStart w:id="8" w:name="_Toc53972042"/>
      <w:bookmarkStart w:id="9" w:name="_Toc53644535"/>
      <w:bookmarkStart w:id="10" w:name="_Toc457840708"/>
      <w:bookmarkStart w:id="11" w:name="_Toc54424276"/>
    </w:p>
    <w:bookmarkEnd w:id="3"/>
    <w:bookmarkEnd w:id="4"/>
    <w:bookmarkEnd w:id="5"/>
    <w:bookmarkEnd w:id="6"/>
    <w:bookmarkEnd w:id="7"/>
    <w:bookmarkEnd w:id="8"/>
    <w:bookmarkEnd w:id="9"/>
    <w:bookmarkEnd w:id="10"/>
    <w:bookmarkEnd w:id="11"/>
    <w:p w14:paraId="6046D570">
      <w:pPr>
        <w:keepNext w:val="0"/>
        <w:keepLines w:val="0"/>
        <w:pageBreakBefore w:val="0"/>
        <w:widowControl/>
        <w:numPr>
          <w:ilvl w:val="0"/>
          <w:numId w:val="5"/>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“五粮浓香型白酒”的定义，结合</w:t>
      </w:r>
      <w:r>
        <w:rPr>
          <w:rFonts w:hint="default" w:ascii="宋体" w:hAnsi="宋体" w:eastAsia="宋体" w:cs="宋体"/>
          <w:kern w:val="0"/>
          <w:sz w:val="24"/>
          <w:szCs w:val="24"/>
          <w:lang w:val="en-US" w:eastAsia="zh-CN"/>
        </w:rPr>
        <w:t>GB/T 22211-2008</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地理标志产品 五粮液酒</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五粮液酒</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T/5115YBAPS 026</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2021</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宜宾浓香型白酒  原酒</w:t>
      </w:r>
      <w:r>
        <w:rPr>
          <w:rFonts w:hint="eastAsia" w:ascii="宋体" w:hAnsi="宋体" w:eastAsia="宋体" w:cs="宋体"/>
          <w:kern w:val="0"/>
          <w:sz w:val="24"/>
          <w:szCs w:val="24"/>
          <w:lang w:val="en-US" w:eastAsia="zh-CN"/>
        </w:rPr>
        <w:t>》“宜宾浓香型白酒原酒”的定义，即：在核心产区内，以高粱、大米、糯米、小麦、玉米五种粮食和水为原料，稻壳为辅料，按照浓香型白酒传统固态发酵法酿造工艺生产、运用组合筛选而成的具有本品独有风格特征的浓香型白酒。</w:t>
      </w:r>
    </w:p>
    <w:p w14:paraId="6728E16D">
      <w:pPr>
        <w:keepNext w:val="0"/>
        <w:keepLines w:val="0"/>
        <w:pageBreakBefore w:val="0"/>
        <w:widowControl/>
        <w:numPr>
          <w:ilvl w:val="0"/>
          <w:numId w:val="5"/>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“原酒”定义来源</w:t>
      </w:r>
      <w:r>
        <w:rPr>
          <w:rFonts w:hint="default" w:ascii="宋体" w:hAnsi="宋体" w:eastAsia="宋体" w:cs="宋体"/>
          <w:kern w:val="0"/>
          <w:sz w:val="24"/>
          <w:szCs w:val="24"/>
          <w:lang w:val="en-US" w:eastAsia="zh-CN"/>
        </w:rPr>
        <w:t>GB/T 15109</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2021</w:t>
      </w:r>
      <w:r>
        <w:rPr>
          <w:rFonts w:hint="eastAsia" w:ascii="宋体" w:hAnsi="宋体" w:eastAsia="宋体" w:cs="宋体"/>
          <w:kern w:val="0"/>
          <w:sz w:val="24"/>
          <w:szCs w:val="24"/>
          <w:lang w:val="en-US" w:eastAsia="zh-CN"/>
        </w:rPr>
        <w:t>《白酒工业术语》“基酒”的定义，有修改，即：经发酵蒸馏而得到的未经勾调的五粮浓香型白酒。</w:t>
      </w:r>
    </w:p>
    <w:p w14:paraId="0B1D415F">
      <w:pPr>
        <w:keepNext w:val="0"/>
        <w:keepLines w:val="0"/>
        <w:pageBreakBefore w:val="0"/>
        <w:widowControl/>
        <w:numPr>
          <w:ilvl w:val="0"/>
          <w:numId w:val="5"/>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eastAsia"/>
          <w:lang w:val="en-US" w:eastAsia="zh-CN"/>
        </w:rPr>
      </w:pPr>
      <w:r>
        <w:rPr>
          <w:rFonts w:hint="eastAsia" w:ascii="宋体" w:hAnsi="宋体" w:eastAsia="宋体" w:cs="宋体"/>
          <w:kern w:val="0"/>
          <w:sz w:val="24"/>
          <w:szCs w:val="24"/>
          <w:lang w:val="en-US" w:eastAsia="zh-CN"/>
        </w:rPr>
        <w:t>“原酒真实性”来源</w:t>
      </w:r>
      <w:r>
        <w:rPr>
          <w:rFonts w:hint="default" w:ascii="宋体" w:hAnsi="宋体" w:eastAsia="宋体" w:cs="宋体"/>
          <w:kern w:val="0"/>
          <w:sz w:val="24"/>
          <w:szCs w:val="24"/>
          <w:lang w:val="en-US" w:eastAsia="zh-CN"/>
        </w:rPr>
        <w:t>T/5115YBAPS 026</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2021</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宜宾浓香型白酒  原酒</w:t>
      </w:r>
      <w:r>
        <w:rPr>
          <w:rFonts w:hint="eastAsia" w:ascii="宋体" w:hAnsi="宋体" w:eastAsia="宋体" w:cs="宋体"/>
          <w:kern w:val="0"/>
          <w:sz w:val="24"/>
          <w:szCs w:val="24"/>
          <w:lang w:val="en-US" w:eastAsia="zh-CN"/>
        </w:rPr>
        <w:t>》“原酒真实性”的定义，即：原酒符合所声称的工艺和要求。</w:t>
      </w:r>
    </w:p>
    <w:p w14:paraId="5E00170F">
      <w:pPr>
        <w:pStyle w:val="3"/>
        <w:spacing w:before="120" w:after="0" w:line="360" w:lineRule="auto"/>
        <w:rPr>
          <w:rFonts w:hint="eastAsia" w:ascii="宋体" w:hAnsi="宋体" w:eastAsia="宋体" w:cs="宋体"/>
          <w:kern w:val="0"/>
          <w:sz w:val="24"/>
          <w:lang w:val="en-US" w:eastAsia="zh-CN"/>
        </w:rPr>
      </w:pPr>
      <w:r>
        <w:rPr>
          <w:rFonts w:hint="eastAsia" w:ascii="宋体" w:hAnsi="宋体" w:cs="宋体"/>
          <w:kern w:val="0"/>
          <w:sz w:val="24"/>
          <w:lang w:val="en-US" w:eastAsia="zh-CN"/>
        </w:rPr>
        <w:t>3</w:t>
      </w:r>
      <w:r>
        <w:rPr>
          <w:rFonts w:hint="eastAsia" w:ascii="宋体" w:hAnsi="宋体" w:eastAsia="宋体" w:cs="宋体"/>
          <w:kern w:val="0"/>
          <w:sz w:val="24"/>
          <w:lang w:val="en-US" w:eastAsia="zh-CN"/>
        </w:rPr>
        <w:t>.2  评价要求</w:t>
      </w:r>
    </w:p>
    <w:p w14:paraId="073DABFD">
      <w:pPr>
        <w:pStyle w:val="56"/>
        <w:widowControl w:val="0"/>
        <w:spacing w:before="156" w:beforeLines="50" w:after="156" w:afterLines="50"/>
        <w:ind w:left="0" w:leftChars="0" w:firstLine="0" w:firstLineChars="0"/>
        <w:outlineLvl w:val="2"/>
        <w:rPr>
          <w:rFonts w:hint="eastAsia" w:ascii="宋体" w:hAnsi="宋体" w:eastAsia="宋体" w:cs="宋体"/>
          <w:b/>
          <w:bCs/>
          <w:kern w:val="0"/>
          <w:sz w:val="24"/>
          <w:szCs w:val="32"/>
          <w:lang w:val="en-US" w:eastAsia="zh-CN" w:bidi="ar-SA"/>
        </w:rPr>
      </w:pPr>
      <w:bookmarkStart w:id="12" w:name="_Toc53493882"/>
      <w:r>
        <w:rPr>
          <w:rFonts w:hint="eastAsia" w:ascii="宋体" w:hAnsi="宋体" w:eastAsia="宋体" w:cs="宋体"/>
          <w:b/>
          <w:bCs/>
          <w:kern w:val="0"/>
          <w:sz w:val="24"/>
          <w:szCs w:val="32"/>
          <w:lang w:val="en-US" w:eastAsia="zh-CN" w:bidi="ar-SA"/>
        </w:rPr>
        <w:t>3.2.1  生产企业要求</w:t>
      </w:r>
    </w:p>
    <w:p w14:paraId="4BF8D23A">
      <w:pPr>
        <w:keepNext w:val="0"/>
        <w:keepLines w:val="0"/>
        <w:pageBreakBefore w:val="0"/>
        <w:widowControl/>
        <w:numPr>
          <w:ilvl w:val="0"/>
          <w:numId w:val="6"/>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基本条件参考中国轻工业联合会团体标准T/CNLIC 0149－</w:t>
      </w:r>
      <w:r>
        <w:rPr>
          <w:rFonts w:hint="default" w:ascii="宋体" w:hAnsi="宋体" w:eastAsia="宋体" w:cs="宋体"/>
          <w:kern w:val="0"/>
          <w:sz w:val="24"/>
          <w:szCs w:val="24"/>
          <w:lang w:val="en-US" w:eastAsia="zh-CN"/>
        </w:rPr>
        <w:t>20</w:t>
      </w:r>
      <w:r>
        <w:rPr>
          <w:rFonts w:hint="eastAsia" w:ascii="宋体" w:hAnsi="宋体" w:eastAsia="宋体" w:cs="宋体"/>
          <w:kern w:val="0"/>
          <w:sz w:val="24"/>
          <w:szCs w:val="24"/>
          <w:lang w:val="en-US" w:eastAsia="zh-CN"/>
        </w:rPr>
        <w:t>24《生态酿酒评价规范  白酒企业》4.1基本条件，即：</w:t>
      </w:r>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3"/>
      </w:tblGrid>
      <w:tr w14:paraId="783F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tcPr>
          <w:p w14:paraId="668EC38D">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企业应建在水源充足，无危及生产安全卫生</w:t>
            </w:r>
            <w:r>
              <w:rPr>
                <w:rFonts w:hint="eastAsia" w:ascii="宋体" w:hAnsi="宋体" w:eastAsia="宋体" w:cs="宋体"/>
                <w:kern w:val="0"/>
                <w:sz w:val="24"/>
                <w:szCs w:val="24"/>
                <w:lang w:val="en-US" w:eastAsia="zh-CN"/>
              </w:rPr>
              <w:t>风险</w:t>
            </w:r>
            <w:r>
              <w:rPr>
                <w:rFonts w:hint="default" w:ascii="宋体" w:hAnsi="宋体" w:eastAsia="宋体" w:cs="宋体"/>
                <w:kern w:val="0"/>
                <w:sz w:val="24"/>
                <w:szCs w:val="24"/>
                <w:lang w:val="en-US" w:eastAsia="zh-CN"/>
              </w:rPr>
              <w:t xml:space="preserve">的地区，区域内应保持清洁、植被丰富，有利于酿酒微生物的生长和繁殖。    </w:t>
            </w:r>
          </w:p>
          <w:p w14:paraId="22E0E951">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w:t>
            </w:r>
            <w:r>
              <w:rPr>
                <w:rFonts w:hint="eastAsia" w:ascii="宋体" w:hAnsi="宋体" w:eastAsia="宋体" w:cs="宋体"/>
                <w:kern w:val="0"/>
                <w:sz w:val="24"/>
                <w:szCs w:val="24"/>
                <w:lang w:val="en-US" w:eastAsia="zh-CN"/>
              </w:rPr>
              <w:t>应</w:t>
            </w:r>
            <w:r>
              <w:rPr>
                <w:rFonts w:hint="default" w:ascii="宋体" w:hAnsi="宋体" w:eastAsia="宋体" w:cs="宋体"/>
                <w:kern w:val="0"/>
                <w:sz w:val="24"/>
                <w:szCs w:val="24"/>
                <w:lang w:val="en-US" w:eastAsia="zh-CN"/>
              </w:rPr>
              <w:t>拥有</w:t>
            </w:r>
            <w:r>
              <w:rPr>
                <w:rFonts w:hint="eastAsia" w:ascii="宋体" w:hAnsi="宋体" w:eastAsia="宋体" w:cs="宋体"/>
                <w:kern w:val="0"/>
                <w:sz w:val="24"/>
                <w:szCs w:val="24"/>
                <w:lang w:val="en-US" w:eastAsia="zh-CN"/>
              </w:rPr>
              <w:t>浓香型白酒传统固态发酵法</w:t>
            </w:r>
            <w:r>
              <w:rPr>
                <w:rFonts w:hint="default" w:ascii="宋体" w:hAnsi="宋体" w:eastAsia="宋体" w:cs="宋体"/>
                <w:kern w:val="0"/>
                <w:sz w:val="24"/>
                <w:szCs w:val="24"/>
                <w:lang w:val="en-US" w:eastAsia="zh-CN"/>
              </w:rPr>
              <w:t>白酒生产全流程能力，应有制曲、酿造、蒸馏、陈酿、包装、贮存及废弃物处理/处置或规范暂储等完善的设备设施。</w:t>
            </w:r>
          </w:p>
          <w:p w14:paraId="2F133B87">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eastAsia" w:ascii="宋体" w:hAnsi="宋体" w:eastAsia="宋体" w:cs="宋体"/>
                <w:kern w:val="0"/>
                <w:sz w:val="24"/>
                <w:szCs w:val="24"/>
                <w:vertAlign w:val="baseline"/>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企业近三年未发生行政执法单位处罚的环境污染事件</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近三年无重大安全责任事故。</w:t>
            </w:r>
          </w:p>
        </w:tc>
      </w:tr>
    </w:tbl>
    <w:p w14:paraId="6DE1CEB8">
      <w:pPr>
        <w:keepNext w:val="0"/>
        <w:keepLines w:val="0"/>
        <w:pageBreakBefore w:val="0"/>
        <w:widowControl/>
        <w:numPr>
          <w:ilvl w:val="0"/>
          <w:numId w:val="6"/>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宋体" w:hAnsi="宋体" w:eastAsia="宋体" w:cs="宋体"/>
          <w:kern w:val="0"/>
          <w:sz w:val="24"/>
          <w:szCs w:val="24"/>
          <w:lang w:val="en-US" w:eastAsia="zh-CN"/>
        </w:rPr>
      </w:pPr>
      <w:r>
        <w:rPr>
          <w:rFonts w:ascii="Times New Roman"/>
          <w:szCs w:val="21"/>
        </w:rPr>
        <w:t xml:space="preserve"> </w:t>
      </w:r>
      <w:r>
        <w:rPr>
          <w:rFonts w:hint="eastAsia" w:ascii="宋体" w:hAnsi="宋体" w:eastAsia="宋体" w:cs="宋体"/>
          <w:kern w:val="0"/>
          <w:sz w:val="24"/>
          <w:szCs w:val="24"/>
          <w:lang w:val="en-US" w:eastAsia="zh-CN"/>
        </w:rPr>
        <w:t>基本要求参考中国轻工业联合会团体标准T/CNLIC 0149－</w:t>
      </w:r>
      <w:r>
        <w:rPr>
          <w:rFonts w:hint="default" w:ascii="宋体" w:hAnsi="宋体" w:eastAsia="宋体" w:cs="宋体"/>
          <w:kern w:val="0"/>
          <w:sz w:val="24"/>
          <w:szCs w:val="24"/>
          <w:lang w:val="en-US" w:eastAsia="zh-CN"/>
        </w:rPr>
        <w:t>20</w:t>
      </w:r>
      <w:r>
        <w:rPr>
          <w:rFonts w:hint="eastAsia" w:ascii="宋体" w:hAnsi="宋体" w:eastAsia="宋体" w:cs="宋体"/>
          <w:kern w:val="0"/>
          <w:sz w:val="24"/>
          <w:szCs w:val="24"/>
          <w:lang w:val="en-US" w:eastAsia="zh-CN"/>
        </w:rPr>
        <w:t>24《生态酿酒评价规范  白酒企业》4.1基本要求的4.2.1，以及中国轻工业联合会团体标准“绿色设计产品评价技术规范”“基本要求”</w:t>
      </w:r>
      <w:r>
        <w:rPr>
          <w:rFonts w:hint="eastAsia" w:ascii="宋体" w:hAnsi="宋体" w:cs="宋体"/>
          <w:kern w:val="0"/>
          <w:sz w:val="24"/>
          <w:szCs w:val="24"/>
          <w:lang w:val="en-US" w:eastAsia="zh-CN"/>
        </w:rPr>
        <w:t>中</w:t>
      </w:r>
      <w:r>
        <w:rPr>
          <w:rFonts w:hint="eastAsia" w:ascii="宋体" w:hAnsi="宋体" w:eastAsia="宋体" w:cs="宋体"/>
          <w:kern w:val="0"/>
          <w:sz w:val="24"/>
          <w:szCs w:val="24"/>
          <w:lang w:val="en-US" w:eastAsia="zh-CN"/>
        </w:rPr>
        <w:t>的通用内容，即：</w:t>
      </w:r>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2"/>
      </w:tblGrid>
      <w:tr w14:paraId="4497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2" w:type="dxa"/>
          </w:tcPr>
          <w:p w14:paraId="2BE631E0">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企业生产条件应符合GB 14881、GB 8951要求，生产过程应符合GB/T 23544的要求。</w:t>
            </w:r>
          </w:p>
          <w:p w14:paraId="391D3AFF">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企业污染物排放和固体废物处理处置状况，应符合相关环境保护法律法规，达到国家和地方污染物排放总量控制指标及排污许可证可排放量要求</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近三年无重大安全事故、质量事故和环境污染事件。</w:t>
            </w:r>
          </w:p>
          <w:p w14:paraId="3142F1FB">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企业宜采用国家鼓励的、符合国家产业和技术政策发展方向的先进技术和工艺。不应采用国家或有关部门明确淘汰或禁止的技术、生产工艺、装备及相关物质。</w:t>
            </w:r>
          </w:p>
          <w:p w14:paraId="3805F418">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生产企业应按照GB/T 24001、GB/T 23331、GB/T 19001和GB/T 45001分别建立并有效运行环境管理体系、能源管理体系、质量管理体系和职业健康安全管理体系。</w:t>
            </w:r>
          </w:p>
          <w:p w14:paraId="0AD73BBF">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企业安全生产标准化水平应符合GB/T</w:t>
            </w:r>
            <w:r>
              <w:rPr>
                <w:rFonts w:hint="eastAsia" w:ascii="宋体" w:hAnsi="宋体" w:eastAsia="宋体" w:cs="宋体"/>
                <w:kern w:val="0"/>
                <w:sz w:val="24"/>
                <w:szCs w:val="24"/>
                <w:lang w:val="en-US" w:eastAsia="zh-CN"/>
              </w:rPr>
              <w:t xml:space="preserve"> </w:t>
            </w:r>
            <w:r>
              <w:rPr>
                <w:rFonts w:hint="default" w:ascii="宋体" w:hAnsi="宋体" w:eastAsia="宋体" w:cs="宋体"/>
                <w:kern w:val="0"/>
                <w:sz w:val="24"/>
                <w:szCs w:val="24"/>
                <w:lang w:val="en-US" w:eastAsia="zh-CN"/>
              </w:rPr>
              <w:t>33000中的三级要求。</w:t>
            </w:r>
          </w:p>
          <w:p w14:paraId="2FCB3ABD">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企业应按照《危险化学品安全管理条例》建立并执行危险化学品安全管理制度。</w:t>
            </w:r>
          </w:p>
          <w:p w14:paraId="614106E6">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企业应按照GB/T 17167配备能源计量器具，并根据环保法律和标准要求配备污染物检测和在线监控设备。</w:t>
            </w:r>
          </w:p>
          <w:p w14:paraId="3345A98F">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eastAsia" w:ascii="Times New Roman" w:hAnsi="Times New Roman" w:eastAsia="宋体" w:cs="Times New Roman"/>
                <w:szCs w:val="21"/>
                <w:vertAlign w:val="baseline"/>
                <w:lang w:val="en-US" w:eastAsia="zh-CN"/>
              </w:rPr>
            </w:pPr>
            <w:r>
              <w:rPr>
                <w:rFonts w:hint="eastAsia" w:ascii="宋体" w:hAnsi="宋体" w:eastAsia="宋体" w:cs="宋体"/>
                <w:kern w:val="0"/>
                <w:sz w:val="24"/>
                <w:szCs w:val="24"/>
                <w:lang w:val="en-US" w:eastAsia="zh-CN"/>
              </w:rPr>
              <w:t>生产</w:t>
            </w:r>
            <w:r>
              <w:rPr>
                <w:rFonts w:hint="default" w:ascii="宋体" w:hAnsi="宋体" w:eastAsia="宋体" w:cs="宋体"/>
                <w:kern w:val="0"/>
                <w:sz w:val="24"/>
                <w:szCs w:val="24"/>
                <w:lang w:val="en-US" w:eastAsia="zh-CN"/>
              </w:rPr>
              <w:t>企业应按照《企业环境信息依法披露管理办法》公开环境信息。</w:t>
            </w:r>
          </w:p>
        </w:tc>
      </w:tr>
    </w:tbl>
    <w:p w14:paraId="1EEE9138">
      <w:pPr>
        <w:pStyle w:val="56"/>
        <w:widowControl w:val="0"/>
        <w:spacing w:before="156" w:beforeLines="50" w:after="156" w:afterLines="50"/>
        <w:ind w:left="0" w:leftChars="0" w:firstLine="0" w:firstLineChars="0"/>
        <w:outlineLvl w:val="2"/>
        <w:rPr>
          <w:rFonts w:hint="eastAsia" w:ascii="宋体" w:hAnsi="宋体" w:eastAsia="宋体" w:cs="宋体"/>
          <w:b/>
          <w:bCs/>
          <w:kern w:val="0"/>
          <w:sz w:val="24"/>
          <w:szCs w:val="32"/>
          <w:lang w:val="en-US" w:eastAsia="zh-CN" w:bidi="ar-SA"/>
        </w:rPr>
      </w:pPr>
      <w:r>
        <w:rPr>
          <w:rFonts w:hint="eastAsia" w:ascii="宋体" w:hAnsi="宋体" w:eastAsia="宋体" w:cs="宋体"/>
          <w:b/>
          <w:bCs/>
          <w:kern w:val="0"/>
          <w:sz w:val="24"/>
          <w:szCs w:val="32"/>
          <w:lang w:val="en-US" w:eastAsia="zh-CN" w:bidi="ar-SA"/>
        </w:rPr>
        <w:t>3.2.2  评价指标要求</w:t>
      </w:r>
    </w:p>
    <w:p w14:paraId="5BB15B88">
      <w:pPr>
        <w:keepNext w:val="0"/>
        <w:keepLines w:val="0"/>
        <w:pageBreakBefore w:val="0"/>
        <w:widowControl/>
        <w:numPr>
          <w:ilvl w:val="0"/>
          <w:numId w:val="7"/>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评价指标分类参照中国轻工业联合会团体标准“绿色设计产品评价技术规范”“评价指标要求”</w:t>
      </w:r>
      <w:r>
        <w:rPr>
          <w:rFonts w:hint="eastAsia" w:ascii="宋体" w:hAnsi="宋体" w:cs="宋体"/>
          <w:kern w:val="0"/>
          <w:sz w:val="24"/>
          <w:szCs w:val="24"/>
          <w:lang w:val="en-US" w:eastAsia="zh-CN"/>
        </w:rPr>
        <w:t>中</w:t>
      </w:r>
      <w:r>
        <w:rPr>
          <w:rFonts w:hint="eastAsia" w:ascii="宋体" w:hAnsi="宋体" w:eastAsia="宋体" w:cs="宋体"/>
          <w:kern w:val="0"/>
          <w:sz w:val="24"/>
          <w:szCs w:val="24"/>
          <w:lang w:val="en-US" w:eastAsia="zh-CN"/>
        </w:rPr>
        <w:t>的</w:t>
      </w:r>
      <w:r>
        <w:rPr>
          <w:rFonts w:hint="eastAsia" w:ascii="宋体" w:hAnsi="宋体" w:cs="宋体"/>
          <w:kern w:val="0"/>
          <w:sz w:val="24"/>
          <w:szCs w:val="24"/>
          <w:lang w:val="en-US" w:eastAsia="zh-CN"/>
        </w:rPr>
        <w:t>指标构成</w:t>
      </w:r>
      <w:r>
        <w:rPr>
          <w:rFonts w:hint="eastAsia" w:ascii="宋体" w:hAnsi="宋体" w:eastAsia="宋体" w:cs="宋体"/>
          <w:kern w:val="0"/>
          <w:sz w:val="24"/>
          <w:szCs w:val="24"/>
          <w:lang w:val="en-US" w:eastAsia="zh-CN"/>
        </w:rPr>
        <w:t>，将</w:t>
      </w:r>
      <w:r>
        <w:rPr>
          <w:rFonts w:hint="default" w:ascii="宋体" w:hAnsi="宋体" w:eastAsia="宋体" w:cs="宋体"/>
          <w:kern w:val="0"/>
          <w:sz w:val="24"/>
          <w:szCs w:val="24"/>
          <w:lang w:val="en-US" w:eastAsia="zh-CN"/>
        </w:rPr>
        <w:t>五粮浓香型白酒质量评价指标体系</w:t>
      </w:r>
      <w:r>
        <w:rPr>
          <w:rFonts w:hint="eastAsia" w:ascii="宋体" w:hAnsi="宋体" w:eastAsia="宋体" w:cs="宋体"/>
          <w:kern w:val="0"/>
          <w:sz w:val="24"/>
          <w:szCs w:val="24"/>
          <w:lang w:val="en-US" w:eastAsia="zh-CN"/>
        </w:rPr>
        <w:t>分为一级指标</w:t>
      </w:r>
      <w:r>
        <w:rPr>
          <w:rFonts w:hint="eastAsia" w:ascii="宋体" w:hAnsi="宋体" w:cs="宋体"/>
          <w:kern w:val="0"/>
          <w:sz w:val="24"/>
          <w:szCs w:val="24"/>
          <w:lang w:val="en-US" w:eastAsia="zh-CN"/>
        </w:rPr>
        <w:t>和</w:t>
      </w:r>
      <w:r>
        <w:rPr>
          <w:rFonts w:hint="eastAsia" w:ascii="宋体" w:hAnsi="宋体" w:eastAsia="宋体" w:cs="宋体"/>
          <w:kern w:val="0"/>
          <w:sz w:val="24"/>
          <w:szCs w:val="24"/>
          <w:lang w:val="en-US" w:eastAsia="zh-CN"/>
        </w:rPr>
        <w:t>二级指标，即：</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5"/>
      </w:tblGrid>
      <w:tr w14:paraId="617B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5" w:type="dxa"/>
          </w:tcPr>
          <w:p w14:paraId="6C05459A">
            <w:pPr>
              <w:keepNext w:val="0"/>
              <w:keepLines w:val="0"/>
              <w:pageBreakBefore w:val="0"/>
              <w:widowControl/>
              <w:numPr>
                <w:ilvl w:val="0"/>
                <w:numId w:val="0"/>
              </w:numPr>
              <w:tabs>
                <w:tab w:val="left" w:pos="360"/>
                <w:tab w:val="center" w:pos="420"/>
                <w:tab w:val="right" w:leader="dot" w:pos="9298"/>
              </w:tabs>
              <w:kinsoku/>
              <w:wordWrap/>
              <w:overflowPunct/>
              <w:topLinePunct w:val="0"/>
              <w:autoSpaceDE w:val="0"/>
              <w:autoSpaceDN w:val="0"/>
              <w:bidi w:val="0"/>
              <w:adjustRightInd/>
              <w:snapToGrid/>
              <w:spacing w:line="420" w:lineRule="exact"/>
              <w:ind w:left="0" w:leftChars="0" w:firstLine="464" w:firstLineChars="200"/>
              <w:textAlignment w:val="auto"/>
              <w:rPr>
                <w:rFonts w:hint="default" w:ascii="宋体" w:hAnsi="宋体" w:eastAsia="宋体" w:cs="宋体"/>
                <w:kern w:val="0"/>
                <w:sz w:val="24"/>
                <w:szCs w:val="24"/>
                <w:vertAlign w:val="baseline"/>
                <w:lang w:val="en-US" w:eastAsia="zh-CN"/>
              </w:rPr>
            </w:pPr>
            <w:r>
              <w:rPr>
                <w:rFonts w:hint="default" w:ascii="宋体" w:hAnsi="宋体" w:eastAsia="宋体" w:cs="宋体"/>
                <w:spacing w:val="-4"/>
                <w:kern w:val="0"/>
                <w:sz w:val="24"/>
                <w:szCs w:val="24"/>
                <w:lang w:val="en-US" w:eastAsia="zh-CN"/>
              </w:rPr>
              <w:t>五粮浓香型白酒质量评价指标体系</w:t>
            </w:r>
            <w:r>
              <w:rPr>
                <w:rFonts w:hint="eastAsia" w:ascii="宋体" w:hAnsi="宋体" w:eastAsia="宋体" w:cs="宋体"/>
                <w:spacing w:val="-4"/>
                <w:kern w:val="0"/>
                <w:sz w:val="24"/>
                <w:szCs w:val="24"/>
                <w:lang w:val="en-US" w:eastAsia="zh-CN"/>
              </w:rPr>
              <w:t>分为一级指标和二级指标。其中，</w:t>
            </w:r>
            <w:r>
              <w:rPr>
                <w:rFonts w:hint="default" w:ascii="宋体" w:hAnsi="宋体" w:eastAsia="宋体" w:cs="宋体"/>
                <w:spacing w:val="-4"/>
                <w:kern w:val="0"/>
                <w:sz w:val="24"/>
                <w:szCs w:val="24"/>
                <w:lang w:val="en-US" w:eastAsia="zh-CN"/>
              </w:rPr>
              <w:t>一级指标包括能源属性、资源属性、环境属性和品质属性四类指标。二级指标是四类一级指标中具体评价项目，包括了指标名称、</w:t>
            </w:r>
            <w:r>
              <w:rPr>
                <w:rFonts w:hint="eastAsia" w:ascii="宋体" w:hAnsi="宋体" w:eastAsia="宋体" w:cs="宋体"/>
                <w:spacing w:val="-4"/>
                <w:kern w:val="0"/>
                <w:sz w:val="24"/>
                <w:szCs w:val="24"/>
                <w:lang w:val="en-US" w:eastAsia="zh-CN"/>
              </w:rPr>
              <w:t>单位、</w:t>
            </w:r>
            <w:r>
              <w:rPr>
                <w:rFonts w:hint="default" w:ascii="宋体" w:hAnsi="宋体" w:eastAsia="宋体" w:cs="宋体"/>
                <w:spacing w:val="-4"/>
                <w:kern w:val="0"/>
                <w:sz w:val="24"/>
                <w:szCs w:val="24"/>
                <w:lang w:val="en-US" w:eastAsia="zh-CN"/>
              </w:rPr>
              <w:t>基准值和判定依据等信息。</w:t>
            </w:r>
          </w:p>
        </w:tc>
      </w:tr>
    </w:tbl>
    <w:p w14:paraId="77A2E5F7">
      <w:pPr>
        <w:keepNext w:val="0"/>
        <w:keepLines w:val="0"/>
        <w:pageBreakBefore w:val="0"/>
        <w:widowControl/>
        <w:numPr>
          <w:ilvl w:val="0"/>
          <w:numId w:val="7"/>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Times New Roman" w:hAnsi="Times New Roman" w:eastAsia="黑体" w:cs="Times New Roman"/>
          <w:kern w:val="0"/>
          <w:szCs w:val="20"/>
        </w:rPr>
      </w:pPr>
      <w:r>
        <w:rPr>
          <w:rFonts w:hint="default" w:ascii="宋体" w:hAnsi="宋体" w:eastAsia="宋体" w:cs="宋体"/>
          <w:kern w:val="0"/>
          <w:sz w:val="24"/>
          <w:szCs w:val="24"/>
          <w:lang w:val="en-US" w:eastAsia="zh-CN"/>
        </w:rPr>
        <w:t>能源属性指标</w:t>
      </w:r>
      <w:r>
        <w:rPr>
          <w:rFonts w:hint="eastAsia" w:ascii="宋体" w:hAnsi="宋体" w:eastAsia="宋体" w:cs="宋体"/>
          <w:kern w:val="0"/>
          <w:sz w:val="24"/>
          <w:szCs w:val="24"/>
          <w:lang w:val="en-US" w:eastAsia="zh-CN"/>
        </w:rPr>
        <w:t>（单位产品综合能耗）参考</w:t>
      </w:r>
      <w:r>
        <w:rPr>
          <w:rFonts w:hint="default" w:ascii="宋体" w:hAnsi="宋体" w:eastAsia="宋体" w:cs="宋体"/>
          <w:kern w:val="0"/>
          <w:sz w:val="24"/>
          <w:lang w:val="en-US" w:eastAsia="zh-CN"/>
        </w:rPr>
        <w:t>HJ/T 402</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2007</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清洁生产标准 白酒制造业</w:t>
      </w:r>
      <w:r>
        <w:rPr>
          <w:rFonts w:hint="eastAsia" w:ascii="宋体" w:hAnsi="宋体" w:eastAsia="宋体" w:cs="宋体"/>
          <w:kern w:val="0"/>
          <w:sz w:val="24"/>
          <w:lang w:val="en-US" w:eastAsia="zh-CN"/>
        </w:rPr>
        <w:t>》表1对应的一级指标及计算公式（</w:t>
      </w:r>
      <w:r>
        <w:rPr>
          <w:rFonts w:hint="default" w:ascii="宋体" w:hAnsi="宋体" w:eastAsia="宋体" w:cs="宋体"/>
          <w:kern w:val="0"/>
          <w:sz w:val="24"/>
          <w:lang w:val="en-US" w:eastAsia="zh-CN"/>
        </w:rPr>
        <w:t>HJ/T 402</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2007</w:t>
      </w:r>
      <w:r>
        <w:rPr>
          <w:rFonts w:hint="eastAsia" w:ascii="宋体" w:hAnsi="宋体" w:eastAsia="宋体" w:cs="宋体"/>
          <w:kern w:val="0"/>
          <w:sz w:val="24"/>
          <w:lang w:val="en-US" w:eastAsia="zh-CN"/>
        </w:rPr>
        <w:t>共分三级</w:t>
      </w:r>
      <w:r>
        <w:rPr>
          <w:rFonts w:hint="eastAsia" w:ascii="宋体" w:hAnsi="宋体" w:cs="宋体"/>
          <w:kern w:val="0"/>
          <w:sz w:val="24"/>
          <w:lang w:val="en-US" w:eastAsia="zh-CN"/>
        </w:rPr>
        <w:t>，其中一级≤1300kg</w:t>
      </w:r>
      <w:r>
        <w:rPr>
          <w:rFonts w:hint="default" w:ascii="宋体" w:hAnsi="宋体" w:cs="宋体"/>
          <w:kern w:val="0"/>
          <w:sz w:val="24"/>
          <w:lang w:val="en-US" w:eastAsia="zh-CN"/>
        </w:rPr>
        <w:t>ce/</w:t>
      </w:r>
      <w:r>
        <w:rPr>
          <w:rFonts w:hint="eastAsia" w:ascii="宋体" w:hAnsi="宋体" w:cs="宋体"/>
          <w:kern w:val="0"/>
          <w:sz w:val="24"/>
          <w:lang w:val="en-US" w:eastAsia="zh-CN"/>
        </w:rPr>
        <w:t>kL，二级≤1500kg</w:t>
      </w:r>
      <w:r>
        <w:rPr>
          <w:rFonts w:hint="default" w:ascii="宋体" w:hAnsi="宋体" w:cs="宋体"/>
          <w:kern w:val="0"/>
          <w:sz w:val="24"/>
          <w:lang w:val="en-US" w:eastAsia="zh-CN"/>
        </w:rPr>
        <w:t>ce/</w:t>
      </w:r>
      <w:r>
        <w:rPr>
          <w:rFonts w:hint="eastAsia" w:ascii="宋体" w:hAnsi="宋体" w:cs="宋体"/>
          <w:kern w:val="0"/>
          <w:sz w:val="24"/>
          <w:lang w:val="en-US" w:eastAsia="zh-CN"/>
        </w:rPr>
        <w:t>kL，三级≤2000kg</w:t>
      </w:r>
      <w:r>
        <w:rPr>
          <w:rFonts w:hint="default" w:ascii="宋体" w:hAnsi="宋体" w:cs="宋体"/>
          <w:kern w:val="0"/>
          <w:sz w:val="24"/>
          <w:lang w:val="en-US" w:eastAsia="zh-CN"/>
        </w:rPr>
        <w:t>ce/</w:t>
      </w:r>
      <w:r>
        <w:rPr>
          <w:rFonts w:hint="eastAsia" w:ascii="宋体" w:hAnsi="宋体" w:cs="宋体"/>
          <w:kern w:val="0"/>
          <w:sz w:val="24"/>
          <w:lang w:val="en-US" w:eastAsia="zh-CN"/>
        </w:rPr>
        <w:t>kL</w:t>
      </w:r>
      <w:r>
        <w:rPr>
          <w:rFonts w:hint="eastAsia" w:ascii="宋体" w:hAnsi="宋体" w:eastAsia="宋体" w:cs="宋体"/>
          <w:kern w:val="0"/>
          <w:sz w:val="24"/>
          <w:lang w:val="en-US" w:eastAsia="zh-CN"/>
        </w:rPr>
        <w:t>），即：</w:t>
      </w:r>
    </w:p>
    <w:tbl>
      <w:tblPr>
        <w:tblStyle w:val="29"/>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2"/>
        <w:gridCol w:w="2127"/>
        <w:gridCol w:w="916"/>
        <w:gridCol w:w="1536"/>
        <w:gridCol w:w="2058"/>
      </w:tblGrid>
      <w:tr w14:paraId="00B4D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8" w:space="0"/>
              <w:bottom w:val="single" w:color="auto" w:sz="8" w:space="0"/>
            </w:tcBorders>
            <w:noWrap w:val="0"/>
            <w:vAlign w:val="center"/>
          </w:tcPr>
          <w:p w14:paraId="252E72A5">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992" w:type="dxa"/>
            <w:tcBorders>
              <w:top w:val="single" w:color="auto" w:sz="8" w:space="0"/>
              <w:bottom w:val="single" w:color="auto" w:sz="8" w:space="0"/>
            </w:tcBorders>
            <w:noWrap w:val="0"/>
            <w:vAlign w:val="center"/>
          </w:tcPr>
          <w:p w14:paraId="77340BF0">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一级指标</w:t>
            </w:r>
          </w:p>
        </w:tc>
        <w:tc>
          <w:tcPr>
            <w:tcW w:w="2127" w:type="dxa"/>
            <w:tcBorders>
              <w:top w:val="single" w:color="auto" w:sz="8" w:space="0"/>
              <w:bottom w:val="single" w:color="auto" w:sz="8" w:space="0"/>
            </w:tcBorders>
            <w:noWrap w:val="0"/>
            <w:vAlign w:val="center"/>
          </w:tcPr>
          <w:p w14:paraId="5AC8F5F2">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二级指标</w:t>
            </w:r>
          </w:p>
        </w:tc>
        <w:tc>
          <w:tcPr>
            <w:tcW w:w="916" w:type="dxa"/>
            <w:tcBorders>
              <w:top w:val="single" w:color="auto" w:sz="8" w:space="0"/>
              <w:bottom w:val="single" w:color="auto" w:sz="8" w:space="0"/>
            </w:tcBorders>
            <w:noWrap w:val="0"/>
            <w:vAlign w:val="center"/>
          </w:tcPr>
          <w:p w14:paraId="1EA460DC">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w:t>
            </w:r>
          </w:p>
        </w:tc>
        <w:tc>
          <w:tcPr>
            <w:tcW w:w="1536" w:type="dxa"/>
            <w:tcBorders>
              <w:top w:val="single" w:color="auto" w:sz="8" w:space="0"/>
              <w:bottom w:val="single" w:color="auto" w:sz="8" w:space="0"/>
            </w:tcBorders>
            <w:noWrap w:val="0"/>
            <w:vAlign w:val="center"/>
          </w:tcPr>
          <w:p w14:paraId="080B5885">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基准值</w:t>
            </w:r>
          </w:p>
        </w:tc>
        <w:tc>
          <w:tcPr>
            <w:tcW w:w="2058" w:type="dxa"/>
            <w:tcBorders>
              <w:top w:val="single" w:color="auto" w:sz="8" w:space="0"/>
              <w:bottom w:val="single" w:color="auto" w:sz="8" w:space="0"/>
            </w:tcBorders>
            <w:noWrap w:val="0"/>
            <w:vAlign w:val="center"/>
          </w:tcPr>
          <w:p w14:paraId="4E6528EF">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判定依据</w:t>
            </w:r>
          </w:p>
        </w:tc>
      </w:tr>
      <w:tr w14:paraId="6C49A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8" w:space="0"/>
              <w:bottom w:val="single" w:color="auto" w:sz="8" w:space="0"/>
            </w:tcBorders>
            <w:noWrap w:val="0"/>
            <w:vAlign w:val="center"/>
          </w:tcPr>
          <w:p w14:paraId="22FB3AE8">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992" w:type="dxa"/>
            <w:tcBorders>
              <w:top w:val="single" w:color="auto" w:sz="8" w:space="0"/>
              <w:bottom w:val="single" w:color="auto" w:sz="8" w:space="0"/>
            </w:tcBorders>
            <w:noWrap w:val="0"/>
            <w:vAlign w:val="center"/>
          </w:tcPr>
          <w:p w14:paraId="02E53C60">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能源属性</w:t>
            </w:r>
          </w:p>
        </w:tc>
        <w:tc>
          <w:tcPr>
            <w:tcW w:w="2127" w:type="dxa"/>
            <w:tcBorders>
              <w:top w:val="single" w:color="auto" w:sz="8" w:space="0"/>
              <w:bottom w:val="single" w:color="auto" w:sz="8" w:space="0"/>
            </w:tcBorders>
            <w:noWrap w:val="0"/>
            <w:vAlign w:val="center"/>
          </w:tcPr>
          <w:p w14:paraId="2E4EDD13">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单位产品综合能耗</w:t>
            </w:r>
          </w:p>
        </w:tc>
        <w:tc>
          <w:tcPr>
            <w:tcW w:w="916" w:type="dxa"/>
            <w:tcBorders>
              <w:top w:val="single" w:color="auto" w:sz="8" w:space="0"/>
              <w:bottom w:val="single" w:color="auto" w:sz="8" w:space="0"/>
            </w:tcBorders>
            <w:noWrap w:val="0"/>
            <w:vAlign w:val="center"/>
          </w:tcPr>
          <w:p w14:paraId="4A1274DB">
            <w:pPr>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kg</w:t>
            </w:r>
            <w:r>
              <w:rPr>
                <w:rFonts w:hint="default" w:ascii="Times New Roman" w:hAnsi="Times New Roman" w:cs="Times New Roman"/>
                <w:color w:val="000000"/>
                <w:kern w:val="0"/>
                <w:sz w:val="18"/>
                <w:szCs w:val="18"/>
              </w:rPr>
              <w:t>ce/</w:t>
            </w:r>
            <w:r>
              <w:rPr>
                <w:rFonts w:hint="eastAsia" w:ascii="Times New Roman" w:hAnsi="Times New Roman" w:cs="Times New Roman"/>
                <w:color w:val="000000"/>
                <w:kern w:val="0"/>
                <w:sz w:val="18"/>
                <w:szCs w:val="18"/>
                <w:lang w:val="en-US" w:eastAsia="zh-CN"/>
              </w:rPr>
              <w:t>kL</w:t>
            </w:r>
          </w:p>
        </w:tc>
        <w:tc>
          <w:tcPr>
            <w:tcW w:w="1536" w:type="dxa"/>
            <w:tcBorders>
              <w:top w:val="single" w:color="auto" w:sz="8" w:space="0"/>
              <w:bottom w:val="single" w:color="auto" w:sz="8" w:space="0"/>
            </w:tcBorders>
            <w:noWrap w:val="0"/>
            <w:vAlign w:val="center"/>
          </w:tcPr>
          <w:p w14:paraId="71A55974">
            <w:pPr>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≤1300</w:t>
            </w:r>
          </w:p>
        </w:tc>
        <w:tc>
          <w:tcPr>
            <w:tcW w:w="2058" w:type="dxa"/>
            <w:tcBorders>
              <w:top w:val="single" w:color="auto" w:sz="8" w:space="0"/>
              <w:bottom w:val="single" w:color="auto" w:sz="8" w:space="0"/>
            </w:tcBorders>
            <w:noWrap w:val="0"/>
            <w:vAlign w:val="center"/>
          </w:tcPr>
          <w:p w14:paraId="51CE2E41">
            <w:pPr>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eastAsia="宋体" w:cs="Times New Roman"/>
                <w:color w:val="000000"/>
                <w:kern w:val="0"/>
                <w:sz w:val="18"/>
                <w:szCs w:val="18"/>
                <w:lang w:val="en-US" w:eastAsia="zh-CN"/>
              </w:rPr>
              <w:t>附录</w:t>
            </w:r>
            <w:r>
              <w:rPr>
                <w:rFonts w:hint="eastAsia" w:ascii="Times New Roman" w:hAnsi="Times New Roman" w:eastAsia="宋体" w:cs="Times New Roman"/>
                <w:color w:val="000000"/>
                <w:kern w:val="0"/>
                <w:sz w:val="18"/>
                <w:szCs w:val="18"/>
                <w:lang w:val="en-US" w:eastAsia="zh-CN"/>
              </w:rPr>
              <w:t>B中B.1</w:t>
            </w:r>
            <w:r>
              <w:rPr>
                <w:rFonts w:hint="default" w:ascii="Times New Roman" w:hAnsi="Times New Roman" w:eastAsia="宋体" w:cs="Times New Roman"/>
                <w:color w:val="000000"/>
                <w:kern w:val="0"/>
                <w:sz w:val="18"/>
                <w:szCs w:val="18"/>
                <w:lang w:val="en-US" w:eastAsia="zh-CN"/>
              </w:rPr>
              <w:t>计算，并提供证明材料</w:t>
            </w:r>
          </w:p>
        </w:tc>
      </w:tr>
    </w:tbl>
    <w:p w14:paraId="1DDCB8F5">
      <w:pPr>
        <w:keepNext w:val="0"/>
        <w:keepLines w:val="0"/>
        <w:pageBreakBefore w:val="0"/>
        <w:widowControl/>
        <w:numPr>
          <w:ilvl w:val="0"/>
          <w:numId w:val="7"/>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Times New Roman" w:hAnsi="Times New Roman" w:cs="Times New Roman"/>
          <w:szCs w:val="21"/>
        </w:rPr>
      </w:pPr>
      <w:r>
        <w:rPr>
          <w:rFonts w:hint="eastAsia" w:ascii="宋体" w:hAnsi="宋体" w:eastAsia="宋体" w:cs="宋体"/>
          <w:kern w:val="0"/>
          <w:sz w:val="24"/>
          <w:szCs w:val="24"/>
          <w:lang w:val="en-US" w:eastAsia="zh-CN"/>
        </w:rPr>
        <w:t>资源属性指标：</w:t>
      </w:r>
    </w:p>
    <w:p w14:paraId="7B223E65">
      <w:pPr>
        <w:keepNext w:val="0"/>
        <w:keepLines w:val="0"/>
        <w:pageBreakBefore w:val="0"/>
        <w:widowControl/>
        <w:numPr>
          <w:ilvl w:val="0"/>
          <w:numId w:val="8"/>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单位产品取水量</w:t>
      </w:r>
      <w:r>
        <w:rPr>
          <w:rFonts w:hint="eastAsia" w:ascii="宋体" w:hAnsi="宋体" w:eastAsia="宋体" w:cs="宋体"/>
          <w:kern w:val="0"/>
          <w:sz w:val="24"/>
          <w:szCs w:val="24"/>
          <w:lang w:val="en-US" w:eastAsia="zh-CN"/>
        </w:rPr>
        <w:t>参考</w:t>
      </w:r>
      <w:r>
        <w:rPr>
          <w:rFonts w:hint="default" w:ascii="宋体" w:hAnsi="宋体" w:eastAsia="宋体" w:cs="宋体"/>
          <w:kern w:val="0"/>
          <w:sz w:val="24"/>
          <w:szCs w:val="24"/>
          <w:lang w:val="en-US" w:eastAsia="zh-CN"/>
        </w:rPr>
        <w:t>GB/T 18916.15-2024</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工业用水定额 第15部分：白酒</w:t>
      </w:r>
      <w:r>
        <w:rPr>
          <w:rFonts w:hint="eastAsia" w:ascii="宋体" w:hAnsi="宋体" w:eastAsia="宋体" w:cs="宋体"/>
          <w:kern w:val="0"/>
          <w:sz w:val="24"/>
          <w:szCs w:val="24"/>
          <w:lang w:val="en-US" w:eastAsia="zh-CN"/>
        </w:rPr>
        <w:t>》表1对应的先进值及计算公式（</w:t>
      </w:r>
      <w:r>
        <w:rPr>
          <w:rFonts w:hint="default" w:ascii="宋体" w:hAnsi="宋体" w:eastAsia="宋体" w:cs="宋体"/>
          <w:kern w:val="0"/>
          <w:sz w:val="24"/>
          <w:szCs w:val="24"/>
          <w:lang w:val="en-US" w:eastAsia="zh-CN"/>
        </w:rPr>
        <w:t>GB/T 18916.15-2024</w:t>
      </w:r>
      <w:r>
        <w:rPr>
          <w:rFonts w:hint="eastAsia" w:ascii="宋体" w:hAnsi="宋体" w:eastAsia="宋体" w:cs="宋体"/>
          <w:kern w:val="0"/>
          <w:sz w:val="24"/>
          <w:szCs w:val="24"/>
          <w:lang w:val="en-US" w:eastAsia="zh-CN"/>
        </w:rPr>
        <w:t>共分</w:t>
      </w:r>
      <w:r>
        <w:rPr>
          <w:rFonts w:hint="eastAsia" w:ascii="宋体" w:hAnsi="宋体" w:cs="宋体"/>
          <w:kern w:val="0"/>
          <w:sz w:val="24"/>
          <w:szCs w:val="24"/>
          <w:lang w:val="en-US" w:eastAsia="zh-CN"/>
        </w:rPr>
        <w:t>两</w:t>
      </w:r>
      <w:r>
        <w:rPr>
          <w:rFonts w:hint="eastAsia" w:ascii="宋体" w:hAnsi="宋体" w:eastAsia="宋体" w:cs="宋体"/>
          <w:kern w:val="0"/>
          <w:sz w:val="24"/>
          <w:szCs w:val="24"/>
          <w:lang w:val="en-US" w:eastAsia="zh-CN"/>
        </w:rPr>
        <w:t>级</w:t>
      </w:r>
      <w:r>
        <w:rPr>
          <w:rFonts w:hint="eastAsia" w:ascii="宋体" w:hAnsi="宋体" w:cs="宋体"/>
          <w:kern w:val="0"/>
          <w:sz w:val="24"/>
          <w:szCs w:val="24"/>
          <w:lang w:val="en-US" w:eastAsia="zh-CN"/>
        </w:rPr>
        <w:t>，其中先进值：原酒≤26.0</w:t>
      </w:r>
      <w:r>
        <w:rPr>
          <w:rFonts w:hint="eastAsia" w:ascii="Times New Roman" w:hAnsi="Times New Roman" w:cs="Times New Roman"/>
          <w:color w:val="000000"/>
          <w:kern w:val="0"/>
          <w:sz w:val="24"/>
          <w:szCs w:val="24"/>
          <w:lang w:val="en-US" w:eastAsia="zh-CN"/>
        </w:rPr>
        <w:t>m</w:t>
      </w:r>
      <w:r>
        <w:rPr>
          <w:rFonts w:hint="eastAsia" w:ascii="Times New Roman" w:hAnsi="Times New Roman" w:cs="Times New Roman"/>
          <w:color w:val="000000"/>
          <w:kern w:val="0"/>
          <w:sz w:val="24"/>
          <w:szCs w:val="24"/>
          <w:vertAlign w:val="superscript"/>
          <w:lang w:val="en-US" w:eastAsia="zh-CN"/>
        </w:rPr>
        <w:t>3</w:t>
      </w:r>
      <w:r>
        <w:rPr>
          <w:rFonts w:hint="default"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val="en-US" w:eastAsia="zh-CN"/>
        </w:rPr>
        <w:t>kL</w:t>
      </w:r>
      <w:r>
        <w:rPr>
          <w:rFonts w:hint="eastAsia" w:ascii="宋体" w:hAnsi="宋体" w:cs="宋体"/>
          <w:kern w:val="0"/>
          <w:sz w:val="24"/>
          <w:szCs w:val="24"/>
          <w:lang w:val="en-US" w:eastAsia="zh-CN"/>
        </w:rPr>
        <w:t>，成品酒≤5.0</w:t>
      </w:r>
      <w:r>
        <w:rPr>
          <w:rFonts w:hint="eastAsia" w:ascii="Times New Roman" w:hAnsi="Times New Roman" w:cs="Times New Roman"/>
          <w:color w:val="000000"/>
          <w:kern w:val="0"/>
          <w:sz w:val="24"/>
          <w:szCs w:val="24"/>
          <w:lang w:val="en-US" w:eastAsia="zh-CN"/>
        </w:rPr>
        <w:t>m</w:t>
      </w:r>
      <w:r>
        <w:rPr>
          <w:rFonts w:hint="eastAsia" w:ascii="Times New Roman" w:hAnsi="Times New Roman" w:cs="Times New Roman"/>
          <w:color w:val="000000"/>
          <w:kern w:val="0"/>
          <w:sz w:val="24"/>
          <w:szCs w:val="24"/>
          <w:vertAlign w:val="superscript"/>
          <w:lang w:val="en-US" w:eastAsia="zh-CN"/>
        </w:rPr>
        <w:t>3</w:t>
      </w:r>
      <w:r>
        <w:rPr>
          <w:rFonts w:hint="default"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val="en-US" w:eastAsia="zh-CN"/>
        </w:rPr>
        <w:t>kL</w:t>
      </w:r>
      <w:r>
        <w:rPr>
          <w:rFonts w:hint="eastAsia" w:cs="Times New Roman"/>
          <w:color w:val="000000"/>
          <w:kern w:val="0"/>
          <w:sz w:val="24"/>
          <w:szCs w:val="24"/>
          <w:lang w:val="en-US" w:eastAsia="zh-CN"/>
        </w:rPr>
        <w:t>；通用值：</w:t>
      </w:r>
      <w:r>
        <w:rPr>
          <w:rFonts w:hint="eastAsia" w:ascii="宋体" w:hAnsi="宋体" w:cs="宋体"/>
          <w:kern w:val="0"/>
          <w:sz w:val="24"/>
          <w:szCs w:val="24"/>
          <w:lang w:val="en-US" w:eastAsia="zh-CN"/>
        </w:rPr>
        <w:t>原酒≤43.0</w:t>
      </w:r>
      <w:r>
        <w:rPr>
          <w:rFonts w:hint="eastAsia" w:ascii="Times New Roman" w:hAnsi="Times New Roman" w:cs="Times New Roman"/>
          <w:color w:val="000000"/>
          <w:kern w:val="0"/>
          <w:sz w:val="24"/>
          <w:szCs w:val="24"/>
          <w:lang w:val="en-US" w:eastAsia="zh-CN"/>
        </w:rPr>
        <w:t>m</w:t>
      </w:r>
      <w:r>
        <w:rPr>
          <w:rFonts w:hint="eastAsia" w:ascii="Times New Roman" w:hAnsi="Times New Roman" w:cs="Times New Roman"/>
          <w:color w:val="000000"/>
          <w:kern w:val="0"/>
          <w:sz w:val="24"/>
          <w:szCs w:val="24"/>
          <w:vertAlign w:val="superscript"/>
          <w:lang w:val="en-US" w:eastAsia="zh-CN"/>
        </w:rPr>
        <w:t>3</w:t>
      </w:r>
      <w:r>
        <w:rPr>
          <w:rFonts w:hint="default"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val="en-US" w:eastAsia="zh-CN"/>
        </w:rPr>
        <w:t>kL</w:t>
      </w:r>
      <w:r>
        <w:rPr>
          <w:rFonts w:hint="eastAsia" w:ascii="宋体" w:hAnsi="宋体" w:cs="宋体"/>
          <w:kern w:val="0"/>
          <w:sz w:val="24"/>
          <w:szCs w:val="24"/>
          <w:lang w:val="en-US" w:eastAsia="zh-CN"/>
        </w:rPr>
        <w:t>，成品酒≤6.0</w:t>
      </w:r>
      <w:r>
        <w:rPr>
          <w:rFonts w:hint="eastAsia" w:ascii="Times New Roman" w:hAnsi="Times New Roman" w:cs="Times New Roman"/>
          <w:color w:val="000000"/>
          <w:kern w:val="0"/>
          <w:sz w:val="24"/>
          <w:szCs w:val="24"/>
          <w:lang w:val="en-US" w:eastAsia="zh-CN"/>
        </w:rPr>
        <w:t>m</w:t>
      </w:r>
      <w:r>
        <w:rPr>
          <w:rFonts w:hint="eastAsia" w:ascii="Times New Roman" w:hAnsi="Times New Roman" w:cs="Times New Roman"/>
          <w:color w:val="000000"/>
          <w:kern w:val="0"/>
          <w:sz w:val="24"/>
          <w:szCs w:val="24"/>
          <w:vertAlign w:val="superscript"/>
          <w:lang w:val="en-US" w:eastAsia="zh-CN"/>
        </w:rPr>
        <w:t>3</w:t>
      </w:r>
      <w:r>
        <w:rPr>
          <w:rFonts w:hint="default" w:ascii="Times New Roman" w:hAnsi="Times New Roman" w:cs="Times New Roman"/>
          <w:color w:val="000000"/>
          <w:kern w:val="0"/>
          <w:sz w:val="24"/>
          <w:szCs w:val="24"/>
        </w:rPr>
        <w:t>/</w:t>
      </w:r>
      <w:r>
        <w:rPr>
          <w:rFonts w:hint="eastAsia" w:ascii="Times New Roman" w:hAnsi="Times New Roman" w:cs="Times New Roman"/>
          <w:color w:val="000000"/>
          <w:kern w:val="0"/>
          <w:sz w:val="24"/>
          <w:szCs w:val="24"/>
          <w:lang w:val="en-US" w:eastAsia="zh-CN"/>
        </w:rPr>
        <w:t>kL</w:t>
      </w:r>
      <w:r>
        <w:rPr>
          <w:rFonts w:hint="eastAsia" w:ascii="宋体" w:hAnsi="宋体" w:eastAsia="宋体" w:cs="宋体"/>
          <w:kern w:val="0"/>
          <w:sz w:val="24"/>
          <w:szCs w:val="24"/>
          <w:lang w:val="en-US" w:eastAsia="zh-CN"/>
        </w:rPr>
        <w:t>）。</w:t>
      </w:r>
    </w:p>
    <w:p w14:paraId="20B7B6BB">
      <w:pPr>
        <w:keepNext w:val="0"/>
        <w:keepLines w:val="0"/>
        <w:pageBreakBefore w:val="0"/>
        <w:widowControl/>
        <w:numPr>
          <w:ilvl w:val="0"/>
          <w:numId w:val="8"/>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冷却水循环利用率参考</w:t>
      </w:r>
      <w:r>
        <w:rPr>
          <w:rFonts w:hint="default" w:ascii="宋体" w:hAnsi="宋体" w:eastAsia="宋体" w:cs="宋体"/>
          <w:kern w:val="0"/>
          <w:sz w:val="24"/>
          <w:szCs w:val="24"/>
          <w:lang w:val="en-US" w:eastAsia="zh-CN"/>
        </w:rPr>
        <w:t>HJ/T 402</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2007</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清洁生产标准 白酒制造业</w:t>
      </w:r>
      <w:r>
        <w:rPr>
          <w:rFonts w:hint="eastAsia" w:ascii="宋体" w:hAnsi="宋体" w:eastAsia="宋体" w:cs="宋体"/>
          <w:kern w:val="0"/>
          <w:sz w:val="24"/>
          <w:szCs w:val="24"/>
          <w:lang w:val="en-US" w:eastAsia="zh-CN"/>
        </w:rPr>
        <w:t>》表1对应的一级指标及计算公式</w:t>
      </w:r>
      <w:r>
        <w:rPr>
          <w:rFonts w:hint="eastAsia" w:ascii="宋体" w:hAnsi="宋体" w:cs="宋体"/>
          <w:kern w:val="0"/>
          <w:sz w:val="24"/>
          <w:szCs w:val="24"/>
          <w:lang w:val="en-US" w:eastAsia="zh-CN"/>
        </w:rPr>
        <w:t>（</w:t>
      </w:r>
      <w:r>
        <w:rPr>
          <w:rFonts w:hint="default" w:ascii="宋体" w:hAnsi="宋体" w:eastAsia="宋体" w:cs="宋体"/>
          <w:kern w:val="0"/>
          <w:sz w:val="24"/>
          <w:lang w:val="en-US" w:eastAsia="zh-CN"/>
        </w:rPr>
        <w:t>HJ/T 402</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2007</w:t>
      </w:r>
      <w:r>
        <w:rPr>
          <w:rFonts w:hint="eastAsia" w:ascii="宋体" w:hAnsi="宋体" w:eastAsia="宋体" w:cs="宋体"/>
          <w:kern w:val="0"/>
          <w:sz w:val="24"/>
          <w:lang w:val="en-US" w:eastAsia="zh-CN"/>
        </w:rPr>
        <w:t>共分三级</w:t>
      </w:r>
      <w:r>
        <w:rPr>
          <w:rFonts w:hint="eastAsia" w:ascii="宋体" w:hAnsi="宋体" w:cs="宋体"/>
          <w:kern w:val="0"/>
          <w:sz w:val="24"/>
          <w:lang w:val="en-US" w:eastAsia="zh-CN"/>
        </w:rPr>
        <w:t>，其中一级≥90%，二级≥80%，三级≥70%</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t>
      </w:r>
    </w:p>
    <w:p w14:paraId="1BB99FE4">
      <w:pPr>
        <w:keepNext w:val="0"/>
        <w:keepLines w:val="0"/>
        <w:pageBreakBefore w:val="0"/>
        <w:widowControl/>
        <w:numPr>
          <w:ilvl w:val="0"/>
          <w:numId w:val="0"/>
        </w:numPr>
        <w:tabs>
          <w:tab w:val="center" w:pos="420"/>
          <w:tab w:val="right" w:leader="dot" w:pos="9298"/>
        </w:tabs>
        <w:kinsoku/>
        <w:wordWrap/>
        <w:overflowPunct/>
        <w:topLinePunct w:val="0"/>
        <w:autoSpaceDE w:val="0"/>
        <w:autoSpaceDN w:val="0"/>
        <w:bidi w:val="0"/>
        <w:adjustRightInd/>
        <w:snapToGrid/>
        <w:spacing w:line="420" w:lineRule="exact"/>
        <w:ind w:leftChars="0" w:firstLine="480" w:firstLineChars="200"/>
        <w:textAlignment w:val="auto"/>
        <w:rPr>
          <w:rFonts w:hint="default" w:ascii="Times New Roman" w:hAnsi="Times New Roman" w:cs="Times New Roman"/>
          <w:szCs w:val="21"/>
        </w:rPr>
      </w:pPr>
      <w:r>
        <w:rPr>
          <w:rFonts w:hint="eastAsia" w:ascii="宋体" w:hAnsi="宋体" w:eastAsia="宋体" w:cs="宋体"/>
          <w:kern w:val="0"/>
          <w:sz w:val="24"/>
          <w:lang w:val="en-US" w:eastAsia="zh-CN"/>
        </w:rPr>
        <w:t>即：</w:t>
      </w:r>
    </w:p>
    <w:tbl>
      <w:tblPr>
        <w:tblStyle w:val="29"/>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21"/>
        <w:gridCol w:w="2132"/>
        <w:gridCol w:w="911"/>
        <w:gridCol w:w="1511"/>
        <w:gridCol w:w="2068"/>
      </w:tblGrid>
      <w:tr w14:paraId="12ED3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9" w:type="dxa"/>
            <w:tcBorders>
              <w:top w:val="single" w:color="auto" w:sz="8" w:space="0"/>
              <w:bottom w:val="single" w:color="auto" w:sz="8" w:space="0"/>
            </w:tcBorders>
            <w:noWrap w:val="0"/>
            <w:vAlign w:val="center"/>
          </w:tcPr>
          <w:p w14:paraId="42E2813B">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1021" w:type="dxa"/>
            <w:tcBorders>
              <w:top w:val="single" w:color="auto" w:sz="8" w:space="0"/>
              <w:bottom w:val="single" w:color="auto" w:sz="8" w:space="0"/>
            </w:tcBorders>
            <w:noWrap w:val="0"/>
            <w:vAlign w:val="center"/>
          </w:tcPr>
          <w:p w14:paraId="57FA1192">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一级指标</w:t>
            </w:r>
          </w:p>
        </w:tc>
        <w:tc>
          <w:tcPr>
            <w:tcW w:w="2132" w:type="dxa"/>
            <w:tcBorders>
              <w:top w:val="single" w:color="auto" w:sz="8" w:space="0"/>
              <w:bottom w:val="single" w:color="auto" w:sz="8" w:space="0"/>
            </w:tcBorders>
            <w:noWrap w:val="0"/>
            <w:vAlign w:val="center"/>
          </w:tcPr>
          <w:p w14:paraId="63AEE66D">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二级指标</w:t>
            </w:r>
          </w:p>
        </w:tc>
        <w:tc>
          <w:tcPr>
            <w:tcW w:w="911" w:type="dxa"/>
            <w:tcBorders>
              <w:top w:val="single" w:color="auto" w:sz="8" w:space="0"/>
              <w:bottom w:val="single" w:color="auto" w:sz="8" w:space="0"/>
            </w:tcBorders>
            <w:noWrap w:val="0"/>
            <w:vAlign w:val="center"/>
          </w:tcPr>
          <w:p w14:paraId="27EBB259">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w:t>
            </w:r>
          </w:p>
        </w:tc>
        <w:tc>
          <w:tcPr>
            <w:tcW w:w="1511" w:type="dxa"/>
            <w:tcBorders>
              <w:top w:val="single" w:color="auto" w:sz="8" w:space="0"/>
              <w:bottom w:val="single" w:color="auto" w:sz="8" w:space="0"/>
            </w:tcBorders>
            <w:noWrap w:val="0"/>
            <w:vAlign w:val="center"/>
          </w:tcPr>
          <w:p w14:paraId="09B76B46">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基准值</w:t>
            </w:r>
          </w:p>
        </w:tc>
        <w:tc>
          <w:tcPr>
            <w:tcW w:w="2068" w:type="dxa"/>
            <w:tcBorders>
              <w:top w:val="single" w:color="auto" w:sz="8" w:space="0"/>
              <w:bottom w:val="single" w:color="auto" w:sz="8" w:space="0"/>
            </w:tcBorders>
            <w:noWrap w:val="0"/>
            <w:vAlign w:val="center"/>
          </w:tcPr>
          <w:p w14:paraId="4219EED5">
            <w:pPr>
              <w:pageBreakBefore w:val="0"/>
              <w:widowControl/>
              <w:kinsoku/>
              <w:wordWrap/>
              <w:overflowPunct/>
              <w:topLinePunct w:val="0"/>
              <w:bidi w:val="0"/>
              <w:adjustRightInd/>
              <w:snapToGrid/>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判定依据</w:t>
            </w:r>
          </w:p>
        </w:tc>
      </w:tr>
      <w:tr w14:paraId="4CD52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89" w:type="dxa"/>
            <w:tcBorders>
              <w:top w:val="single" w:color="auto" w:sz="8" w:space="0"/>
              <w:bottom w:val="single" w:color="auto" w:sz="4" w:space="0"/>
            </w:tcBorders>
            <w:noWrap w:val="0"/>
            <w:vAlign w:val="center"/>
          </w:tcPr>
          <w:p w14:paraId="40DE00D9">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1021" w:type="dxa"/>
            <w:vMerge w:val="restart"/>
            <w:tcBorders>
              <w:top w:val="single" w:color="auto" w:sz="8" w:space="0"/>
            </w:tcBorders>
            <w:noWrap w:val="0"/>
            <w:vAlign w:val="center"/>
          </w:tcPr>
          <w:p w14:paraId="7E28C23C">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资源属性</w:t>
            </w:r>
          </w:p>
        </w:tc>
        <w:tc>
          <w:tcPr>
            <w:tcW w:w="2132" w:type="dxa"/>
            <w:tcBorders>
              <w:top w:val="single" w:color="auto" w:sz="8" w:space="0"/>
              <w:bottom w:val="single" w:color="auto" w:sz="4" w:space="0"/>
            </w:tcBorders>
            <w:noWrap w:val="0"/>
            <w:vAlign w:val="center"/>
          </w:tcPr>
          <w:p w14:paraId="4851E3AD">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单位产品取水量</w:t>
            </w:r>
          </w:p>
        </w:tc>
        <w:tc>
          <w:tcPr>
            <w:tcW w:w="911" w:type="dxa"/>
            <w:tcBorders>
              <w:top w:val="single" w:color="auto" w:sz="8" w:space="0"/>
              <w:bottom w:val="single" w:color="auto" w:sz="4" w:space="0"/>
            </w:tcBorders>
            <w:noWrap w:val="0"/>
            <w:vAlign w:val="center"/>
          </w:tcPr>
          <w:p w14:paraId="5A251D89">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m</w:t>
            </w:r>
            <w:r>
              <w:rPr>
                <w:rFonts w:hint="eastAsia" w:ascii="Times New Roman" w:hAnsi="Times New Roman" w:cs="Times New Roman"/>
                <w:color w:val="000000"/>
                <w:kern w:val="0"/>
                <w:sz w:val="18"/>
                <w:szCs w:val="18"/>
                <w:vertAlign w:val="superscript"/>
                <w:lang w:val="en-US" w:eastAsia="zh-CN"/>
              </w:rPr>
              <w:t>3</w:t>
            </w:r>
            <w:r>
              <w:rPr>
                <w:rFonts w:hint="default" w:ascii="Times New Roman" w:hAnsi="Times New Roman" w:cs="Times New Roman"/>
                <w:color w:val="000000"/>
                <w:kern w:val="0"/>
                <w:sz w:val="18"/>
                <w:szCs w:val="18"/>
              </w:rPr>
              <w:t>/</w:t>
            </w:r>
            <w:r>
              <w:rPr>
                <w:rFonts w:hint="eastAsia" w:ascii="Times New Roman" w:hAnsi="Times New Roman" w:cs="Times New Roman"/>
                <w:color w:val="000000"/>
                <w:kern w:val="0"/>
                <w:sz w:val="18"/>
                <w:szCs w:val="18"/>
                <w:lang w:val="en-US" w:eastAsia="zh-CN"/>
              </w:rPr>
              <w:t>kL</w:t>
            </w:r>
          </w:p>
        </w:tc>
        <w:tc>
          <w:tcPr>
            <w:tcW w:w="1511" w:type="dxa"/>
            <w:tcBorders>
              <w:top w:val="single" w:color="auto" w:sz="8" w:space="0"/>
              <w:bottom w:val="single" w:color="auto" w:sz="4" w:space="0"/>
            </w:tcBorders>
            <w:noWrap w:val="0"/>
            <w:vAlign w:val="center"/>
          </w:tcPr>
          <w:p w14:paraId="52E4AD41">
            <w:pPr>
              <w:pageBreakBefore w:val="0"/>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原酒：≤26.0</w:t>
            </w:r>
          </w:p>
          <w:p w14:paraId="647E28B9">
            <w:pPr>
              <w:pageBreakBefore w:val="0"/>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成品酒：≤5.0</w:t>
            </w:r>
          </w:p>
        </w:tc>
        <w:tc>
          <w:tcPr>
            <w:tcW w:w="2068" w:type="dxa"/>
            <w:tcBorders>
              <w:top w:val="single" w:color="auto" w:sz="8" w:space="0"/>
              <w:bottom w:val="single" w:color="auto" w:sz="4" w:space="0"/>
            </w:tcBorders>
            <w:noWrap w:val="0"/>
            <w:vAlign w:val="center"/>
          </w:tcPr>
          <w:p w14:paraId="79672BB0">
            <w:pPr>
              <w:pageBreakBefore w:val="0"/>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color w:val="000000"/>
                <w:kern w:val="0"/>
                <w:sz w:val="18"/>
                <w:szCs w:val="18"/>
                <w:lang w:val="en-US" w:eastAsia="zh-CN"/>
              </w:rPr>
              <w:t>按</w:t>
            </w:r>
            <w:r>
              <w:rPr>
                <w:rFonts w:hint="eastAsia" w:ascii="Times New Roman" w:hAnsi="Times New Roman" w:eastAsia="宋体" w:cs="Times New Roman"/>
                <w:color w:val="000000"/>
                <w:kern w:val="0"/>
                <w:sz w:val="18"/>
                <w:szCs w:val="18"/>
                <w:lang w:val="en-US" w:eastAsia="zh-CN"/>
              </w:rPr>
              <w:t>照</w:t>
            </w:r>
            <w:r>
              <w:rPr>
                <w:rFonts w:hint="default" w:ascii="Times New Roman" w:hAnsi="Times New Roman" w:eastAsia="宋体" w:cs="Times New Roman"/>
                <w:color w:val="000000"/>
                <w:kern w:val="0"/>
                <w:sz w:val="18"/>
                <w:szCs w:val="18"/>
                <w:lang w:val="en-US" w:eastAsia="zh-CN"/>
              </w:rPr>
              <w:t>GB/T 18916.15</w:t>
            </w:r>
          </w:p>
          <w:p w14:paraId="03839729">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eastAsia="宋体" w:cs="Times New Roman"/>
                <w:color w:val="000000"/>
                <w:kern w:val="0"/>
                <w:sz w:val="18"/>
                <w:szCs w:val="18"/>
                <w:lang w:val="en-US" w:eastAsia="zh-CN"/>
              </w:rPr>
              <w:t>计算，并提供证明材</w:t>
            </w:r>
            <w:r>
              <w:rPr>
                <w:rFonts w:hint="default" w:ascii="Times New Roman" w:hAnsi="Times New Roman" w:cs="Times New Roman"/>
                <w:color w:val="000000"/>
                <w:kern w:val="0"/>
                <w:sz w:val="18"/>
                <w:szCs w:val="18"/>
              </w:rPr>
              <w:t>料</w:t>
            </w:r>
          </w:p>
        </w:tc>
      </w:tr>
      <w:tr w14:paraId="74611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689" w:type="dxa"/>
            <w:tcBorders>
              <w:top w:val="single" w:color="auto" w:sz="4" w:space="0"/>
            </w:tcBorders>
            <w:noWrap w:val="0"/>
            <w:vAlign w:val="center"/>
          </w:tcPr>
          <w:p w14:paraId="731EE64F">
            <w:pPr>
              <w:pageBreakBefore w:val="0"/>
              <w:widowControl/>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w:t>
            </w:r>
          </w:p>
        </w:tc>
        <w:tc>
          <w:tcPr>
            <w:tcW w:w="1021" w:type="dxa"/>
            <w:vMerge w:val="continue"/>
            <w:noWrap w:val="0"/>
            <w:vAlign w:val="center"/>
          </w:tcPr>
          <w:p w14:paraId="1A767F43">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2132" w:type="dxa"/>
            <w:tcBorders>
              <w:top w:val="single" w:color="auto" w:sz="4" w:space="0"/>
            </w:tcBorders>
            <w:noWrap w:val="0"/>
            <w:vAlign w:val="center"/>
          </w:tcPr>
          <w:p w14:paraId="062A6C75">
            <w:pPr>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冷却水循环利用率</w:t>
            </w:r>
          </w:p>
        </w:tc>
        <w:tc>
          <w:tcPr>
            <w:tcW w:w="911" w:type="dxa"/>
            <w:tcBorders>
              <w:top w:val="single" w:color="auto" w:sz="4" w:space="0"/>
            </w:tcBorders>
            <w:noWrap w:val="0"/>
            <w:vAlign w:val="center"/>
          </w:tcPr>
          <w:p w14:paraId="2CBC5150">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w:t>
            </w:r>
          </w:p>
        </w:tc>
        <w:tc>
          <w:tcPr>
            <w:tcW w:w="1511" w:type="dxa"/>
            <w:tcBorders>
              <w:top w:val="single" w:color="auto" w:sz="4" w:space="0"/>
            </w:tcBorders>
            <w:noWrap w:val="0"/>
            <w:vAlign w:val="center"/>
          </w:tcPr>
          <w:p w14:paraId="311E69B7">
            <w:pPr>
              <w:pageBreakBefore w:val="0"/>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eastAsia="宋体" w:cs="Times New Roman"/>
                <w:color w:val="000000"/>
                <w:kern w:val="0"/>
                <w:sz w:val="18"/>
                <w:szCs w:val="18"/>
                <w:lang w:val="en-US" w:eastAsia="zh-CN"/>
              </w:rPr>
              <w:t>≥90</w:t>
            </w:r>
          </w:p>
        </w:tc>
        <w:tc>
          <w:tcPr>
            <w:tcW w:w="2068" w:type="dxa"/>
            <w:tcBorders>
              <w:top w:val="single" w:color="auto" w:sz="4" w:space="0"/>
            </w:tcBorders>
            <w:noWrap w:val="0"/>
            <w:vAlign w:val="center"/>
          </w:tcPr>
          <w:p w14:paraId="4FA5E6B1">
            <w:pPr>
              <w:pageBreakBefore w:val="0"/>
              <w:kinsoku/>
              <w:wordWrap/>
              <w:overflowPunct/>
              <w:topLinePunct w:val="0"/>
              <w:bidi w:val="0"/>
              <w:adjustRightInd/>
              <w:snapToGrid/>
              <w:spacing w:line="240" w:lineRule="auto"/>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cs="Times New Roman"/>
                <w:color w:val="000000"/>
                <w:kern w:val="0"/>
                <w:sz w:val="18"/>
                <w:szCs w:val="18"/>
              </w:rPr>
              <w:t>附录</w:t>
            </w:r>
            <w:r>
              <w:rPr>
                <w:rFonts w:hint="eastAsia" w:ascii="Times New Roman" w:hAnsi="Times New Roman" w:cs="Times New Roman"/>
                <w:color w:val="000000"/>
                <w:kern w:val="0"/>
                <w:sz w:val="18"/>
                <w:szCs w:val="18"/>
                <w:lang w:val="en-US" w:eastAsia="zh-CN"/>
              </w:rPr>
              <w:t>B中B</w:t>
            </w:r>
            <w:r>
              <w:rPr>
                <w:rFonts w:hint="default" w:ascii="Times New Roman" w:hAnsi="Times New Roman" w:cs="Times New Roman"/>
                <w:color w:val="000000"/>
                <w:kern w:val="0"/>
                <w:sz w:val="18"/>
                <w:szCs w:val="18"/>
              </w:rPr>
              <w:t>.</w:t>
            </w:r>
            <w:r>
              <w:rPr>
                <w:rFonts w:hint="eastAsia" w:ascii="Times New Roman" w:hAnsi="Times New Roman" w:cs="Times New Roman"/>
                <w:color w:val="000000"/>
                <w:kern w:val="0"/>
                <w:sz w:val="18"/>
                <w:szCs w:val="18"/>
                <w:lang w:val="en-US" w:eastAsia="zh-CN"/>
              </w:rPr>
              <w:t>1</w:t>
            </w:r>
            <w:r>
              <w:rPr>
                <w:rFonts w:hint="default" w:ascii="Times New Roman" w:hAnsi="Times New Roman" w:cs="Times New Roman"/>
                <w:color w:val="000000"/>
                <w:kern w:val="0"/>
                <w:sz w:val="18"/>
                <w:szCs w:val="18"/>
              </w:rPr>
              <w:t>计算，并提供证明材料</w:t>
            </w:r>
          </w:p>
        </w:tc>
      </w:tr>
    </w:tbl>
    <w:p w14:paraId="0C17D2C1">
      <w:pPr>
        <w:keepNext w:val="0"/>
        <w:keepLines w:val="0"/>
        <w:pageBreakBefore w:val="0"/>
        <w:widowControl/>
        <w:numPr>
          <w:ilvl w:val="0"/>
          <w:numId w:val="7"/>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环境属性指标</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单位产品废水产生量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单位产品化学需氧量</w:t>
      </w:r>
      <w:r>
        <w:rPr>
          <w:rFonts w:hint="eastAsia" w:ascii="宋体" w:hAnsi="宋体" w:eastAsia="宋体" w:cs="宋体"/>
          <w:kern w:val="0"/>
          <w:sz w:val="24"/>
          <w:szCs w:val="24"/>
          <w:lang w:val="en-US" w:eastAsia="zh-CN"/>
        </w:rPr>
        <w:t>（COD）</w:t>
      </w:r>
      <w:r>
        <w:rPr>
          <w:rFonts w:hint="default" w:ascii="宋体" w:hAnsi="宋体" w:eastAsia="宋体" w:cs="宋体"/>
          <w:kern w:val="0"/>
          <w:sz w:val="24"/>
          <w:szCs w:val="24"/>
          <w:lang w:val="en-US" w:eastAsia="zh-CN"/>
        </w:rPr>
        <w:t>产生量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单位产品</w:t>
      </w:r>
      <w:r>
        <w:rPr>
          <w:rFonts w:hint="eastAsia" w:ascii="宋体" w:hAnsi="宋体" w:eastAsia="宋体" w:cs="宋体"/>
          <w:kern w:val="0"/>
          <w:sz w:val="24"/>
          <w:szCs w:val="24"/>
          <w:lang w:val="en-US" w:eastAsia="zh-CN"/>
        </w:rPr>
        <w:t>生化需氧量（BOD）</w:t>
      </w:r>
      <w:r>
        <w:rPr>
          <w:rFonts w:hint="default" w:ascii="宋体" w:hAnsi="宋体" w:eastAsia="宋体" w:cs="宋体"/>
          <w:kern w:val="0"/>
          <w:sz w:val="24"/>
          <w:szCs w:val="24"/>
          <w:lang w:val="en-US" w:eastAsia="zh-CN"/>
        </w:rPr>
        <w:t>产生量</w:t>
      </w:r>
      <w:r>
        <w:rPr>
          <w:rFonts w:hint="eastAsia" w:ascii="宋体" w:hAnsi="宋体" w:eastAsia="宋体" w:cs="宋体"/>
          <w:kern w:val="0"/>
          <w:sz w:val="24"/>
          <w:szCs w:val="24"/>
          <w:lang w:val="en-US" w:eastAsia="zh-CN"/>
        </w:rPr>
        <w:t>、固态酒糟]参考</w:t>
      </w:r>
      <w:r>
        <w:rPr>
          <w:rFonts w:hint="default" w:ascii="宋体" w:hAnsi="宋体" w:eastAsia="宋体" w:cs="宋体"/>
          <w:kern w:val="0"/>
          <w:sz w:val="24"/>
          <w:szCs w:val="24"/>
          <w:lang w:val="en-US" w:eastAsia="zh-CN"/>
        </w:rPr>
        <w:t>HJ/T 402</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2007</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清洁生产标准 白酒制造业</w:t>
      </w:r>
      <w:r>
        <w:rPr>
          <w:rFonts w:hint="eastAsia" w:ascii="宋体" w:hAnsi="宋体" w:eastAsia="宋体" w:cs="宋体"/>
          <w:kern w:val="0"/>
          <w:sz w:val="24"/>
          <w:szCs w:val="24"/>
          <w:lang w:val="en-US" w:eastAsia="zh-CN"/>
        </w:rPr>
        <w:t>》表1对应的一级指标及计算公式</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HJ/T 402－2007</w:t>
      </w:r>
      <w:r>
        <w:rPr>
          <w:rFonts w:hint="eastAsia" w:ascii="宋体" w:hAnsi="宋体" w:eastAsia="宋体" w:cs="宋体"/>
          <w:color w:val="000000"/>
          <w:kern w:val="0"/>
          <w:sz w:val="24"/>
          <w:szCs w:val="24"/>
        </w:rPr>
        <w:t>单位产品废水产生量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一级≤20</w:t>
      </w:r>
      <w:r>
        <w:rPr>
          <w:rFonts w:hint="eastAsia" w:ascii="宋体" w:hAnsi="宋体" w:eastAsia="宋体" w:cs="宋体"/>
          <w:color w:val="000000"/>
          <w:kern w:val="0"/>
          <w:sz w:val="24"/>
          <w:szCs w:val="24"/>
        </w:rPr>
        <w:t>m³/</w:t>
      </w:r>
      <w:r>
        <w:rPr>
          <w:rFonts w:hint="eastAsia" w:ascii="宋体" w:hAnsi="宋体" w:eastAsia="宋体" w:cs="宋体"/>
          <w:color w:val="000000"/>
          <w:kern w:val="0"/>
          <w:sz w:val="24"/>
          <w:szCs w:val="24"/>
          <w:lang w:val="en-US" w:eastAsia="zh-CN"/>
        </w:rPr>
        <w:t>kL，二级≤20</w:t>
      </w:r>
      <w:r>
        <w:rPr>
          <w:rFonts w:hint="eastAsia" w:ascii="宋体" w:hAnsi="宋体" w:eastAsia="宋体" w:cs="宋体"/>
          <w:color w:val="000000"/>
          <w:kern w:val="0"/>
          <w:sz w:val="24"/>
          <w:szCs w:val="24"/>
        </w:rPr>
        <w:t>m³/</w:t>
      </w:r>
      <w:r>
        <w:rPr>
          <w:rFonts w:hint="eastAsia" w:ascii="宋体" w:hAnsi="宋体" w:eastAsia="宋体" w:cs="宋体"/>
          <w:color w:val="000000"/>
          <w:kern w:val="0"/>
          <w:sz w:val="24"/>
          <w:szCs w:val="24"/>
          <w:lang w:val="en-US" w:eastAsia="zh-CN"/>
        </w:rPr>
        <w:t>kL，三级≤20</w:t>
      </w:r>
      <w:r>
        <w:rPr>
          <w:rFonts w:hint="eastAsia" w:ascii="宋体" w:hAnsi="宋体" w:eastAsia="宋体" w:cs="宋体"/>
          <w:color w:val="000000"/>
          <w:kern w:val="0"/>
          <w:sz w:val="24"/>
          <w:szCs w:val="24"/>
        </w:rPr>
        <w:t>m³/</w:t>
      </w:r>
      <w:r>
        <w:rPr>
          <w:rFonts w:hint="eastAsia" w:ascii="宋体" w:hAnsi="宋体" w:eastAsia="宋体" w:cs="宋体"/>
          <w:color w:val="000000"/>
          <w:kern w:val="0"/>
          <w:sz w:val="24"/>
          <w:szCs w:val="24"/>
          <w:lang w:val="en-US" w:eastAsia="zh-CN"/>
        </w:rPr>
        <w:t>kL；</w:t>
      </w:r>
      <w:r>
        <w:rPr>
          <w:rFonts w:hint="eastAsia" w:ascii="宋体" w:hAnsi="宋体" w:eastAsia="宋体" w:cs="宋体"/>
          <w:color w:val="000000"/>
          <w:kern w:val="0"/>
          <w:sz w:val="24"/>
          <w:szCs w:val="24"/>
        </w:rPr>
        <w:t>单位产品化学需氧量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COD</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产生量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一级≤100</w:t>
      </w:r>
      <w:r>
        <w:rPr>
          <w:rFonts w:hint="eastAsia" w:ascii="宋体" w:hAnsi="宋体" w:eastAsia="宋体" w:cs="宋体"/>
          <w:color w:val="000000"/>
          <w:kern w:val="0"/>
          <w:sz w:val="24"/>
          <w:szCs w:val="24"/>
        </w:rPr>
        <w:t>kg/</w:t>
      </w:r>
      <w:r>
        <w:rPr>
          <w:rFonts w:hint="eastAsia" w:ascii="宋体" w:hAnsi="宋体" w:eastAsia="宋体" w:cs="宋体"/>
          <w:color w:val="000000"/>
          <w:kern w:val="0"/>
          <w:sz w:val="24"/>
          <w:szCs w:val="24"/>
          <w:lang w:val="en-US" w:eastAsia="zh-CN"/>
        </w:rPr>
        <w:t>kL，二级≤120</w:t>
      </w:r>
      <w:r>
        <w:rPr>
          <w:rFonts w:hint="eastAsia" w:ascii="宋体" w:hAnsi="宋体" w:eastAsia="宋体" w:cs="宋体"/>
          <w:color w:val="000000"/>
          <w:kern w:val="0"/>
          <w:sz w:val="24"/>
          <w:szCs w:val="24"/>
        </w:rPr>
        <w:t>kg/</w:t>
      </w:r>
      <w:r>
        <w:rPr>
          <w:rFonts w:hint="eastAsia" w:ascii="宋体" w:hAnsi="宋体" w:eastAsia="宋体" w:cs="宋体"/>
          <w:color w:val="000000"/>
          <w:kern w:val="0"/>
          <w:sz w:val="24"/>
          <w:szCs w:val="24"/>
          <w:lang w:val="en-US" w:eastAsia="zh-CN"/>
        </w:rPr>
        <w:t>kL，三级≤150</w:t>
      </w:r>
      <w:r>
        <w:rPr>
          <w:rFonts w:hint="eastAsia" w:ascii="宋体" w:hAnsi="宋体" w:eastAsia="宋体" w:cs="宋体"/>
          <w:color w:val="000000"/>
          <w:kern w:val="0"/>
          <w:sz w:val="24"/>
          <w:szCs w:val="24"/>
        </w:rPr>
        <w:t>kg/</w:t>
      </w:r>
      <w:r>
        <w:rPr>
          <w:rFonts w:hint="eastAsia" w:ascii="宋体" w:hAnsi="宋体" w:eastAsia="宋体" w:cs="宋体"/>
          <w:color w:val="000000"/>
          <w:kern w:val="0"/>
          <w:sz w:val="24"/>
          <w:szCs w:val="24"/>
          <w:lang w:val="en-US" w:eastAsia="zh-CN"/>
        </w:rPr>
        <w:t>kL；</w:t>
      </w:r>
      <w:r>
        <w:rPr>
          <w:rFonts w:hint="eastAsia" w:ascii="宋体" w:hAnsi="宋体" w:eastAsia="宋体" w:cs="宋体"/>
          <w:color w:val="000000"/>
          <w:kern w:val="0"/>
          <w:sz w:val="24"/>
          <w:szCs w:val="24"/>
        </w:rPr>
        <w:t>单位产品</w:t>
      </w:r>
      <w:r>
        <w:rPr>
          <w:rFonts w:hint="eastAsia" w:ascii="宋体" w:hAnsi="宋体" w:eastAsia="宋体" w:cs="宋体"/>
          <w:color w:val="000000"/>
          <w:kern w:val="0"/>
          <w:sz w:val="24"/>
          <w:szCs w:val="24"/>
          <w:lang w:val="en-US" w:eastAsia="zh-CN"/>
        </w:rPr>
        <w:t>生化需氧量（BOD）</w:t>
      </w:r>
      <w:r>
        <w:rPr>
          <w:rFonts w:hint="eastAsia" w:ascii="宋体" w:hAnsi="宋体" w:eastAsia="宋体" w:cs="宋体"/>
          <w:color w:val="000000"/>
          <w:kern w:val="0"/>
          <w:sz w:val="24"/>
          <w:szCs w:val="24"/>
        </w:rPr>
        <w:t>产生量</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一级≤55</w:t>
      </w:r>
      <w:r>
        <w:rPr>
          <w:rFonts w:hint="eastAsia" w:ascii="宋体" w:hAnsi="宋体" w:eastAsia="宋体" w:cs="宋体"/>
          <w:color w:val="000000"/>
          <w:kern w:val="0"/>
          <w:sz w:val="24"/>
          <w:szCs w:val="24"/>
        </w:rPr>
        <w:t>kg/</w:t>
      </w:r>
      <w:r>
        <w:rPr>
          <w:rFonts w:hint="eastAsia" w:ascii="宋体" w:hAnsi="宋体" w:eastAsia="宋体" w:cs="宋体"/>
          <w:color w:val="000000"/>
          <w:kern w:val="0"/>
          <w:sz w:val="24"/>
          <w:szCs w:val="24"/>
          <w:lang w:val="en-US" w:eastAsia="zh-CN"/>
        </w:rPr>
        <w:t>kL，二级≤65</w:t>
      </w:r>
      <w:r>
        <w:rPr>
          <w:rFonts w:hint="eastAsia" w:ascii="宋体" w:hAnsi="宋体" w:eastAsia="宋体" w:cs="宋体"/>
          <w:color w:val="000000"/>
          <w:kern w:val="0"/>
          <w:sz w:val="24"/>
          <w:szCs w:val="24"/>
        </w:rPr>
        <w:t>kg/</w:t>
      </w:r>
      <w:r>
        <w:rPr>
          <w:rFonts w:hint="eastAsia" w:ascii="宋体" w:hAnsi="宋体" w:eastAsia="宋体" w:cs="宋体"/>
          <w:color w:val="000000"/>
          <w:kern w:val="0"/>
          <w:sz w:val="24"/>
          <w:szCs w:val="24"/>
          <w:lang w:val="en-US" w:eastAsia="zh-CN"/>
        </w:rPr>
        <w:t>kL，三级≤80</w:t>
      </w:r>
      <w:r>
        <w:rPr>
          <w:rFonts w:hint="eastAsia" w:ascii="宋体" w:hAnsi="宋体" w:eastAsia="宋体" w:cs="宋体"/>
          <w:color w:val="000000"/>
          <w:kern w:val="0"/>
          <w:sz w:val="24"/>
          <w:szCs w:val="24"/>
        </w:rPr>
        <w:t>kg/</w:t>
      </w:r>
      <w:r>
        <w:rPr>
          <w:rFonts w:hint="eastAsia" w:ascii="宋体" w:hAnsi="宋体" w:eastAsia="宋体" w:cs="宋体"/>
          <w:color w:val="000000"/>
          <w:kern w:val="0"/>
          <w:sz w:val="24"/>
          <w:szCs w:val="24"/>
          <w:lang w:val="en-US" w:eastAsia="zh-CN"/>
        </w:rPr>
        <w:t>kL</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lang w:val="en-US" w:eastAsia="zh-CN"/>
        </w:rPr>
        <w:t>，即：</w:t>
      </w:r>
    </w:p>
    <w:p w14:paraId="77F33EBB">
      <w:pPr>
        <w:keepNext w:val="0"/>
        <w:keepLines w:val="0"/>
        <w:pageBreakBefore w:val="0"/>
        <w:widowControl/>
        <w:numPr>
          <w:ilvl w:val="0"/>
          <w:numId w:val="0"/>
        </w:numPr>
        <w:tabs>
          <w:tab w:val="center" w:pos="420"/>
          <w:tab w:val="right" w:leader="dot" w:pos="9298"/>
        </w:tabs>
        <w:kinsoku/>
        <w:wordWrap/>
        <w:overflowPunct/>
        <w:topLinePunct w:val="0"/>
        <w:autoSpaceDE w:val="0"/>
        <w:autoSpaceDN w:val="0"/>
        <w:bidi w:val="0"/>
        <w:adjustRightInd/>
        <w:snapToGrid/>
        <w:spacing w:line="420" w:lineRule="exact"/>
        <w:ind w:leftChars="0"/>
        <w:textAlignment w:val="auto"/>
        <w:rPr>
          <w:rFonts w:hint="default" w:ascii="Times New Roman" w:hAnsi="Times New Roman" w:cs="Times New Roman"/>
          <w:szCs w:val="21"/>
          <w:lang w:eastAsia="zh-CN"/>
        </w:rPr>
      </w:pPr>
    </w:p>
    <w:tbl>
      <w:tblPr>
        <w:tblStyle w:val="29"/>
        <w:tblW w:w="0" w:type="auto"/>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64"/>
        <w:gridCol w:w="2097"/>
        <w:gridCol w:w="900"/>
        <w:gridCol w:w="1500"/>
        <w:gridCol w:w="2068"/>
      </w:tblGrid>
      <w:tr w14:paraId="3BD643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8" w:space="0"/>
              <w:bottom w:val="single" w:color="auto" w:sz="8" w:space="0"/>
            </w:tcBorders>
            <w:noWrap w:val="0"/>
            <w:vAlign w:val="center"/>
          </w:tcPr>
          <w:p w14:paraId="707D32CD">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1064" w:type="dxa"/>
            <w:tcBorders>
              <w:top w:val="single" w:color="auto" w:sz="8" w:space="0"/>
              <w:bottom w:val="single" w:color="auto" w:sz="8" w:space="0"/>
            </w:tcBorders>
            <w:noWrap w:val="0"/>
            <w:vAlign w:val="center"/>
          </w:tcPr>
          <w:p w14:paraId="0E63D81A">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一级指标</w:t>
            </w:r>
          </w:p>
        </w:tc>
        <w:tc>
          <w:tcPr>
            <w:tcW w:w="2097" w:type="dxa"/>
            <w:tcBorders>
              <w:top w:val="single" w:color="auto" w:sz="8" w:space="0"/>
              <w:bottom w:val="single" w:color="auto" w:sz="8" w:space="0"/>
            </w:tcBorders>
            <w:noWrap w:val="0"/>
            <w:vAlign w:val="center"/>
          </w:tcPr>
          <w:p w14:paraId="58E88A4E">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二级指标</w:t>
            </w:r>
          </w:p>
        </w:tc>
        <w:tc>
          <w:tcPr>
            <w:tcW w:w="900" w:type="dxa"/>
            <w:tcBorders>
              <w:top w:val="single" w:color="auto" w:sz="8" w:space="0"/>
              <w:bottom w:val="single" w:color="auto" w:sz="8" w:space="0"/>
            </w:tcBorders>
            <w:noWrap w:val="0"/>
            <w:vAlign w:val="center"/>
          </w:tcPr>
          <w:p w14:paraId="451487B1">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w:t>
            </w:r>
          </w:p>
        </w:tc>
        <w:tc>
          <w:tcPr>
            <w:tcW w:w="1500" w:type="dxa"/>
            <w:tcBorders>
              <w:top w:val="single" w:color="auto" w:sz="8" w:space="0"/>
              <w:bottom w:val="single" w:color="auto" w:sz="8" w:space="0"/>
            </w:tcBorders>
            <w:noWrap w:val="0"/>
            <w:vAlign w:val="center"/>
          </w:tcPr>
          <w:p w14:paraId="3F928C85">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基准值</w:t>
            </w:r>
          </w:p>
        </w:tc>
        <w:tc>
          <w:tcPr>
            <w:tcW w:w="2068" w:type="dxa"/>
            <w:tcBorders>
              <w:top w:val="single" w:color="auto" w:sz="8" w:space="0"/>
              <w:bottom w:val="single" w:color="auto" w:sz="8" w:space="0"/>
            </w:tcBorders>
            <w:noWrap w:val="0"/>
            <w:vAlign w:val="center"/>
          </w:tcPr>
          <w:p w14:paraId="6CB3331F">
            <w:pPr>
              <w:pageBreakBefore w:val="0"/>
              <w:widowControl/>
              <w:kinsoku/>
              <w:wordWrap/>
              <w:overflowPunct/>
              <w:topLinePunct w:val="0"/>
              <w:bidi w:val="0"/>
              <w:adjustRightInd/>
              <w:snapToGrid/>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判定依据</w:t>
            </w:r>
          </w:p>
        </w:tc>
      </w:tr>
      <w:tr w14:paraId="43AA2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tcBorders>
              <w:top w:val="single" w:color="auto" w:sz="8" w:space="0"/>
            </w:tcBorders>
            <w:noWrap w:val="0"/>
            <w:vAlign w:val="center"/>
          </w:tcPr>
          <w:p w14:paraId="7D467B64">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1064" w:type="dxa"/>
            <w:vMerge w:val="restart"/>
            <w:tcBorders>
              <w:top w:val="single" w:color="auto" w:sz="8" w:space="0"/>
            </w:tcBorders>
            <w:noWrap w:val="0"/>
            <w:vAlign w:val="center"/>
          </w:tcPr>
          <w:p w14:paraId="6AB5FFBB">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环境属性</w:t>
            </w:r>
          </w:p>
        </w:tc>
        <w:tc>
          <w:tcPr>
            <w:tcW w:w="2097" w:type="dxa"/>
            <w:tcBorders>
              <w:top w:val="single" w:color="auto" w:sz="8" w:space="0"/>
            </w:tcBorders>
            <w:noWrap w:val="0"/>
            <w:vAlign w:val="center"/>
          </w:tcPr>
          <w:p w14:paraId="262C71BF">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单位产品废水产生量</w:t>
            </w:r>
          </w:p>
        </w:tc>
        <w:tc>
          <w:tcPr>
            <w:tcW w:w="900" w:type="dxa"/>
            <w:tcBorders>
              <w:top w:val="single" w:color="auto" w:sz="8" w:space="0"/>
            </w:tcBorders>
            <w:noWrap w:val="0"/>
            <w:vAlign w:val="center"/>
          </w:tcPr>
          <w:p w14:paraId="27D667DF">
            <w:pPr>
              <w:pageBreakBefore w:val="0"/>
              <w:widowControl/>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cs="Times New Roman"/>
                <w:color w:val="000000"/>
                <w:kern w:val="0"/>
                <w:sz w:val="18"/>
                <w:szCs w:val="18"/>
              </w:rPr>
              <w:t>m³/</w:t>
            </w:r>
            <w:r>
              <w:rPr>
                <w:rFonts w:hint="eastAsia" w:ascii="Times New Roman" w:hAnsi="Times New Roman" w:cs="Times New Roman"/>
                <w:color w:val="000000"/>
                <w:kern w:val="0"/>
                <w:sz w:val="18"/>
                <w:szCs w:val="18"/>
                <w:lang w:val="en-US" w:eastAsia="zh-CN"/>
              </w:rPr>
              <w:t>kL</w:t>
            </w:r>
          </w:p>
        </w:tc>
        <w:tc>
          <w:tcPr>
            <w:tcW w:w="1500" w:type="dxa"/>
            <w:tcBorders>
              <w:top w:val="single" w:color="auto" w:sz="8" w:space="0"/>
            </w:tcBorders>
            <w:noWrap w:val="0"/>
            <w:vAlign w:val="center"/>
          </w:tcPr>
          <w:p w14:paraId="68DF8761">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≤20</w:t>
            </w:r>
          </w:p>
        </w:tc>
        <w:tc>
          <w:tcPr>
            <w:tcW w:w="2068" w:type="dxa"/>
            <w:tcBorders>
              <w:top w:val="single" w:color="auto" w:sz="8" w:space="0"/>
            </w:tcBorders>
            <w:noWrap w:val="0"/>
            <w:vAlign w:val="center"/>
          </w:tcPr>
          <w:p w14:paraId="4F921B27">
            <w:pPr>
              <w:pageBreakBefore w:val="0"/>
              <w:kinsoku/>
              <w:wordWrap/>
              <w:overflowPunct/>
              <w:topLinePunct w:val="0"/>
              <w:bidi w:val="0"/>
              <w:adjustRightInd/>
              <w:snapToGrid/>
              <w:spacing w:line="240" w:lineRule="auto"/>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cs="Times New Roman"/>
                <w:color w:val="000000"/>
                <w:kern w:val="0"/>
                <w:sz w:val="18"/>
                <w:szCs w:val="18"/>
              </w:rPr>
              <w:t>附录</w:t>
            </w:r>
            <w:r>
              <w:rPr>
                <w:rFonts w:hint="eastAsia" w:ascii="Times New Roman" w:hAnsi="Times New Roman" w:cs="Times New Roman"/>
                <w:color w:val="000000"/>
                <w:kern w:val="0"/>
                <w:sz w:val="18"/>
                <w:szCs w:val="18"/>
                <w:lang w:val="en-US" w:eastAsia="zh-CN"/>
              </w:rPr>
              <w:t>B中B</w:t>
            </w:r>
            <w:r>
              <w:rPr>
                <w:rFonts w:hint="default" w:ascii="Times New Roman" w:hAnsi="Times New Roman" w:cs="Times New Roman"/>
                <w:color w:val="000000"/>
                <w:kern w:val="0"/>
                <w:sz w:val="18"/>
                <w:szCs w:val="18"/>
              </w:rPr>
              <w:t>.</w:t>
            </w:r>
            <w:r>
              <w:rPr>
                <w:rFonts w:hint="eastAsia" w:ascii="Times New Roman" w:hAnsi="Times New Roman" w:cs="Times New Roman"/>
                <w:color w:val="000000"/>
                <w:kern w:val="0"/>
                <w:sz w:val="18"/>
                <w:szCs w:val="18"/>
                <w:lang w:val="en-US" w:eastAsia="zh-CN"/>
              </w:rPr>
              <w:t>2</w:t>
            </w:r>
            <w:r>
              <w:rPr>
                <w:rFonts w:hint="default" w:ascii="Times New Roman" w:hAnsi="Times New Roman" w:cs="Times New Roman"/>
                <w:color w:val="000000"/>
                <w:kern w:val="0"/>
                <w:sz w:val="18"/>
                <w:szCs w:val="18"/>
              </w:rPr>
              <w:t>计算，并提供证明材料</w:t>
            </w:r>
          </w:p>
        </w:tc>
      </w:tr>
      <w:tr w14:paraId="356E84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14:paraId="60092055">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1064" w:type="dxa"/>
            <w:vMerge w:val="continue"/>
            <w:noWrap w:val="0"/>
            <w:vAlign w:val="center"/>
          </w:tcPr>
          <w:p w14:paraId="78462C15">
            <w:pPr>
              <w:pageBreakBefore w:val="0"/>
              <w:kinsoku/>
              <w:wordWrap/>
              <w:overflowPunct/>
              <w:topLinePunct w:val="0"/>
              <w:bidi w:val="0"/>
              <w:adjustRightInd/>
              <w:snapToGrid/>
              <w:spacing w:line="240" w:lineRule="auto"/>
              <w:jc w:val="left"/>
              <w:rPr>
                <w:rFonts w:hint="default" w:ascii="Times New Roman" w:hAnsi="Times New Roman" w:cs="Times New Roman"/>
                <w:color w:val="000000"/>
                <w:kern w:val="0"/>
                <w:sz w:val="18"/>
                <w:szCs w:val="18"/>
              </w:rPr>
            </w:pPr>
          </w:p>
        </w:tc>
        <w:tc>
          <w:tcPr>
            <w:tcW w:w="2097" w:type="dxa"/>
            <w:noWrap w:val="0"/>
            <w:vAlign w:val="center"/>
          </w:tcPr>
          <w:p w14:paraId="4768093A">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单位产品化学需氧量</w:t>
            </w:r>
            <w:r>
              <w:rPr>
                <w:rFonts w:hint="eastAsia" w:ascii="Times New Roman" w:hAnsi="Times New Roman" w:cs="Times New Roman"/>
                <w:color w:val="000000"/>
                <w:kern w:val="0"/>
                <w:sz w:val="18"/>
                <w:szCs w:val="18"/>
                <w:lang w:eastAsia="zh-CN"/>
              </w:rPr>
              <w:t>（</w:t>
            </w:r>
            <w:r>
              <w:rPr>
                <w:rFonts w:hint="eastAsia" w:ascii="Times New Roman" w:hAnsi="Times New Roman" w:cs="Times New Roman"/>
                <w:color w:val="000000"/>
                <w:kern w:val="0"/>
                <w:sz w:val="18"/>
                <w:szCs w:val="18"/>
                <w:lang w:val="en-US" w:eastAsia="zh-CN"/>
              </w:rPr>
              <w:t>COD</w:t>
            </w:r>
            <w:r>
              <w:rPr>
                <w:rFonts w:hint="eastAsia" w:ascii="Times New Roman" w:hAnsi="Times New Roman" w:cs="Times New Roman"/>
                <w:color w:val="000000"/>
                <w:kern w:val="0"/>
                <w:sz w:val="18"/>
                <w:szCs w:val="18"/>
                <w:lang w:eastAsia="zh-CN"/>
              </w:rPr>
              <w:t>）</w:t>
            </w:r>
            <w:r>
              <w:rPr>
                <w:rFonts w:hint="default" w:ascii="Times New Roman" w:hAnsi="Times New Roman" w:cs="Times New Roman"/>
                <w:color w:val="000000"/>
                <w:kern w:val="0"/>
                <w:sz w:val="18"/>
                <w:szCs w:val="18"/>
              </w:rPr>
              <w:t>产生量</w:t>
            </w:r>
          </w:p>
        </w:tc>
        <w:tc>
          <w:tcPr>
            <w:tcW w:w="900" w:type="dxa"/>
            <w:noWrap w:val="0"/>
            <w:vAlign w:val="center"/>
          </w:tcPr>
          <w:p w14:paraId="625E388E">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kg/</w:t>
            </w:r>
            <w:r>
              <w:rPr>
                <w:rFonts w:hint="eastAsia" w:ascii="Times New Roman" w:hAnsi="Times New Roman" w:cs="Times New Roman"/>
                <w:color w:val="000000"/>
                <w:kern w:val="0"/>
                <w:sz w:val="18"/>
                <w:szCs w:val="18"/>
                <w:lang w:val="en-US" w:eastAsia="zh-CN"/>
              </w:rPr>
              <w:t>kL</w:t>
            </w:r>
          </w:p>
        </w:tc>
        <w:tc>
          <w:tcPr>
            <w:tcW w:w="1500" w:type="dxa"/>
            <w:noWrap w:val="0"/>
            <w:vAlign w:val="center"/>
          </w:tcPr>
          <w:p w14:paraId="2665EFED">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≤100</w:t>
            </w:r>
          </w:p>
        </w:tc>
        <w:tc>
          <w:tcPr>
            <w:tcW w:w="2068" w:type="dxa"/>
            <w:noWrap w:val="0"/>
            <w:vAlign w:val="center"/>
          </w:tcPr>
          <w:p w14:paraId="44108FC1">
            <w:pPr>
              <w:pageBreakBefore w:val="0"/>
              <w:kinsoku/>
              <w:wordWrap/>
              <w:overflowPunct/>
              <w:topLinePunct w:val="0"/>
              <w:bidi w:val="0"/>
              <w:adjustRightInd/>
              <w:snapToGrid/>
              <w:spacing w:line="240" w:lineRule="auto"/>
              <w:jc w:val="left"/>
              <w:rPr>
                <w:rFonts w:hint="default" w:ascii="Times New Roman" w:hAnsi="Times New Roman" w:cs="Times New Roman"/>
                <w:sz w:val="18"/>
                <w:szCs w:val="18"/>
              </w:rPr>
            </w:pPr>
            <w:r>
              <w:rPr>
                <w:rFonts w:hint="default" w:ascii="Times New Roman" w:hAnsi="Times New Roman" w:cs="Times New Roman"/>
                <w:color w:val="000000"/>
                <w:kern w:val="0"/>
                <w:sz w:val="18"/>
                <w:szCs w:val="18"/>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cs="Times New Roman"/>
                <w:color w:val="000000"/>
                <w:kern w:val="0"/>
                <w:sz w:val="18"/>
                <w:szCs w:val="18"/>
              </w:rPr>
              <w:t>附录</w:t>
            </w:r>
            <w:r>
              <w:rPr>
                <w:rFonts w:hint="eastAsia" w:ascii="Times New Roman" w:hAnsi="Times New Roman" w:cs="Times New Roman"/>
                <w:color w:val="000000"/>
                <w:kern w:val="0"/>
                <w:sz w:val="18"/>
                <w:szCs w:val="18"/>
                <w:lang w:val="en-US" w:eastAsia="zh-CN"/>
              </w:rPr>
              <w:t>B中B</w:t>
            </w:r>
            <w:r>
              <w:rPr>
                <w:rFonts w:hint="default" w:ascii="Times New Roman" w:hAnsi="Times New Roman" w:cs="Times New Roman"/>
                <w:color w:val="000000"/>
                <w:kern w:val="0"/>
                <w:sz w:val="18"/>
                <w:szCs w:val="18"/>
              </w:rPr>
              <w:t>.</w:t>
            </w:r>
            <w:r>
              <w:rPr>
                <w:rFonts w:hint="eastAsia" w:ascii="Times New Roman" w:hAnsi="Times New Roman" w:cs="Times New Roman"/>
                <w:color w:val="000000"/>
                <w:kern w:val="0"/>
                <w:sz w:val="18"/>
                <w:szCs w:val="18"/>
                <w:lang w:val="en-US" w:eastAsia="zh-CN"/>
              </w:rPr>
              <w:t>3</w:t>
            </w:r>
            <w:r>
              <w:rPr>
                <w:rFonts w:hint="default" w:ascii="Times New Roman" w:hAnsi="Times New Roman" w:cs="Times New Roman"/>
                <w:color w:val="000000"/>
                <w:kern w:val="0"/>
                <w:sz w:val="18"/>
                <w:szCs w:val="18"/>
              </w:rPr>
              <w:t>计算，并提供证明材料</w:t>
            </w:r>
          </w:p>
        </w:tc>
      </w:tr>
      <w:tr w14:paraId="427C4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14:paraId="272DE662">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1064" w:type="dxa"/>
            <w:vMerge w:val="continue"/>
            <w:noWrap w:val="0"/>
            <w:vAlign w:val="center"/>
          </w:tcPr>
          <w:p w14:paraId="6AFB51F6">
            <w:pPr>
              <w:pageBreakBefore w:val="0"/>
              <w:kinsoku/>
              <w:wordWrap/>
              <w:overflowPunct/>
              <w:topLinePunct w:val="0"/>
              <w:bidi w:val="0"/>
              <w:adjustRightInd/>
              <w:snapToGrid/>
              <w:spacing w:line="240" w:lineRule="auto"/>
              <w:jc w:val="left"/>
              <w:rPr>
                <w:rFonts w:hint="default" w:ascii="Times New Roman" w:hAnsi="Times New Roman" w:cs="Times New Roman"/>
                <w:color w:val="000000"/>
                <w:kern w:val="0"/>
                <w:sz w:val="18"/>
                <w:szCs w:val="18"/>
              </w:rPr>
            </w:pPr>
          </w:p>
        </w:tc>
        <w:tc>
          <w:tcPr>
            <w:tcW w:w="2097" w:type="dxa"/>
            <w:noWrap w:val="0"/>
            <w:vAlign w:val="center"/>
          </w:tcPr>
          <w:p w14:paraId="1EC1399F">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单位产品</w:t>
            </w:r>
            <w:r>
              <w:rPr>
                <w:rFonts w:hint="eastAsia" w:ascii="Times New Roman" w:hAnsi="Times New Roman" w:cs="Times New Roman"/>
                <w:color w:val="000000"/>
                <w:kern w:val="0"/>
                <w:sz w:val="18"/>
                <w:szCs w:val="18"/>
                <w:lang w:val="en-US" w:eastAsia="zh-CN"/>
              </w:rPr>
              <w:t>生化需氧量（BOD）</w:t>
            </w:r>
            <w:r>
              <w:rPr>
                <w:rFonts w:hint="default" w:ascii="Times New Roman" w:hAnsi="Times New Roman" w:cs="Times New Roman"/>
                <w:color w:val="000000"/>
                <w:kern w:val="0"/>
                <w:sz w:val="18"/>
                <w:szCs w:val="18"/>
              </w:rPr>
              <w:t>产生量</w:t>
            </w:r>
          </w:p>
        </w:tc>
        <w:tc>
          <w:tcPr>
            <w:tcW w:w="900" w:type="dxa"/>
            <w:noWrap w:val="0"/>
            <w:vAlign w:val="center"/>
          </w:tcPr>
          <w:p w14:paraId="392D4694">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kg/</w:t>
            </w:r>
            <w:r>
              <w:rPr>
                <w:rFonts w:hint="eastAsia" w:ascii="Times New Roman" w:hAnsi="Times New Roman" w:cs="Times New Roman"/>
                <w:color w:val="000000"/>
                <w:kern w:val="0"/>
                <w:sz w:val="18"/>
                <w:szCs w:val="18"/>
                <w:lang w:val="en-US" w:eastAsia="zh-CN"/>
              </w:rPr>
              <w:t>kL</w:t>
            </w:r>
          </w:p>
        </w:tc>
        <w:tc>
          <w:tcPr>
            <w:tcW w:w="1500" w:type="dxa"/>
            <w:noWrap w:val="0"/>
            <w:vAlign w:val="center"/>
          </w:tcPr>
          <w:p w14:paraId="69D51468">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rPr>
            </w:pPr>
            <w:r>
              <w:rPr>
                <w:rFonts w:hint="eastAsia" w:ascii="Times New Roman" w:hAnsi="Times New Roman" w:eastAsia="宋体" w:cs="Times New Roman"/>
                <w:color w:val="000000"/>
                <w:kern w:val="0"/>
                <w:sz w:val="18"/>
                <w:szCs w:val="18"/>
                <w:lang w:val="en-US" w:eastAsia="zh-CN"/>
              </w:rPr>
              <w:t>≤55</w:t>
            </w:r>
          </w:p>
        </w:tc>
        <w:tc>
          <w:tcPr>
            <w:tcW w:w="2068" w:type="dxa"/>
            <w:noWrap w:val="0"/>
            <w:vAlign w:val="center"/>
          </w:tcPr>
          <w:p w14:paraId="663C46E3">
            <w:pPr>
              <w:pageBreakBefore w:val="0"/>
              <w:kinsoku/>
              <w:wordWrap/>
              <w:overflowPunct/>
              <w:topLinePunct w:val="0"/>
              <w:bidi w:val="0"/>
              <w:adjustRightInd/>
              <w:snapToGrid/>
              <w:spacing w:line="240" w:lineRule="auto"/>
              <w:jc w:val="left"/>
              <w:rPr>
                <w:rFonts w:hint="default" w:ascii="Times New Roman" w:hAnsi="Times New Roman" w:cs="Times New Roman"/>
                <w:sz w:val="18"/>
                <w:szCs w:val="18"/>
              </w:rPr>
            </w:pPr>
            <w:r>
              <w:rPr>
                <w:rFonts w:hint="default" w:ascii="Times New Roman" w:hAnsi="Times New Roman" w:cs="Times New Roman"/>
                <w:color w:val="000000"/>
                <w:kern w:val="0"/>
                <w:sz w:val="18"/>
                <w:szCs w:val="18"/>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cs="Times New Roman"/>
                <w:color w:val="000000"/>
                <w:kern w:val="0"/>
                <w:sz w:val="18"/>
                <w:szCs w:val="18"/>
              </w:rPr>
              <w:t>附录</w:t>
            </w:r>
            <w:r>
              <w:rPr>
                <w:rFonts w:hint="eastAsia" w:ascii="Times New Roman" w:hAnsi="Times New Roman" w:cs="Times New Roman"/>
                <w:color w:val="000000"/>
                <w:kern w:val="0"/>
                <w:sz w:val="18"/>
                <w:szCs w:val="18"/>
                <w:lang w:val="en-US" w:eastAsia="zh-CN"/>
              </w:rPr>
              <w:t>B中B</w:t>
            </w:r>
            <w:r>
              <w:rPr>
                <w:rFonts w:hint="default" w:ascii="Times New Roman" w:hAnsi="Times New Roman" w:cs="Times New Roman"/>
                <w:color w:val="000000"/>
                <w:kern w:val="0"/>
                <w:sz w:val="18"/>
                <w:szCs w:val="18"/>
              </w:rPr>
              <w:t>.</w:t>
            </w:r>
            <w:r>
              <w:rPr>
                <w:rFonts w:hint="eastAsia" w:ascii="Times New Roman" w:hAnsi="Times New Roman" w:cs="Times New Roman"/>
                <w:color w:val="000000"/>
                <w:kern w:val="0"/>
                <w:sz w:val="18"/>
                <w:szCs w:val="18"/>
                <w:lang w:val="en-US" w:eastAsia="zh-CN"/>
              </w:rPr>
              <w:t>4</w:t>
            </w:r>
            <w:r>
              <w:rPr>
                <w:rFonts w:hint="default" w:ascii="Times New Roman" w:hAnsi="Times New Roman" w:cs="Times New Roman"/>
                <w:color w:val="000000"/>
                <w:kern w:val="0"/>
                <w:sz w:val="18"/>
                <w:szCs w:val="18"/>
              </w:rPr>
              <w:t>计算，并提供证明材料</w:t>
            </w:r>
          </w:p>
        </w:tc>
      </w:tr>
      <w:tr w14:paraId="78EF2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14:paraId="30222DE2">
            <w:pPr>
              <w:pageBreakBefore w:val="0"/>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w:t>
            </w:r>
          </w:p>
        </w:tc>
        <w:tc>
          <w:tcPr>
            <w:tcW w:w="1064" w:type="dxa"/>
            <w:vMerge w:val="continue"/>
            <w:noWrap w:val="0"/>
            <w:vAlign w:val="center"/>
          </w:tcPr>
          <w:p w14:paraId="52D156D5">
            <w:pPr>
              <w:pageBreakBefore w:val="0"/>
              <w:kinsoku/>
              <w:wordWrap/>
              <w:overflowPunct/>
              <w:topLinePunct w:val="0"/>
              <w:bidi w:val="0"/>
              <w:adjustRightInd/>
              <w:snapToGrid/>
              <w:spacing w:line="240" w:lineRule="auto"/>
              <w:jc w:val="left"/>
              <w:rPr>
                <w:rFonts w:hint="default" w:ascii="Times New Roman" w:hAnsi="Times New Roman" w:cs="Times New Roman"/>
                <w:color w:val="000000"/>
                <w:kern w:val="0"/>
                <w:sz w:val="18"/>
                <w:szCs w:val="18"/>
              </w:rPr>
            </w:pPr>
          </w:p>
        </w:tc>
        <w:tc>
          <w:tcPr>
            <w:tcW w:w="2097" w:type="dxa"/>
            <w:noWrap w:val="0"/>
            <w:vAlign w:val="center"/>
          </w:tcPr>
          <w:p w14:paraId="7217FCA8">
            <w:pPr>
              <w:pageBreakBefore w:val="0"/>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固态酒糟</w:t>
            </w:r>
          </w:p>
        </w:tc>
        <w:tc>
          <w:tcPr>
            <w:tcW w:w="900" w:type="dxa"/>
            <w:noWrap w:val="0"/>
            <w:vAlign w:val="center"/>
          </w:tcPr>
          <w:p w14:paraId="32930619">
            <w:pPr>
              <w:pageBreakBefore w:val="0"/>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eastAsia="zh-CN"/>
              </w:rPr>
            </w:pPr>
            <w:r>
              <w:rPr>
                <w:rFonts w:hint="eastAsia" w:ascii="Times New Roman" w:hAnsi="Times New Roman" w:cs="Times New Roman"/>
                <w:color w:val="000000"/>
                <w:kern w:val="0"/>
                <w:sz w:val="18"/>
                <w:szCs w:val="18"/>
                <w:lang w:eastAsia="zh-CN"/>
              </w:rPr>
              <w:t>—</w:t>
            </w:r>
          </w:p>
        </w:tc>
        <w:tc>
          <w:tcPr>
            <w:tcW w:w="1500" w:type="dxa"/>
            <w:noWrap w:val="0"/>
            <w:vAlign w:val="center"/>
          </w:tcPr>
          <w:p w14:paraId="16EDC515">
            <w:pPr>
              <w:pageBreakBefore w:val="0"/>
              <w:kinsoku/>
              <w:wordWrap/>
              <w:overflowPunct/>
              <w:topLinePunct w:val="0"/>
              <w:bidi w:val="0"/>
              <w:adjustRightInd/>
              <w:snapToGrid/>
              <w:spacing w:line="240" w:lineRule="auto"/>
              <w:jc w:val="center"/>
              <w:rPr>
                <w:rFonts w:hint="default" w:ascii="Times New Roman" w:hAnsi="Times New Roman" w:eastAsia="宋体" w:cs="Times New Roman"/>
                <w:color w:val="000000"/>
                <w:kern w:val="0"/>
                <w:sz w:val="18"/>
                <w:szCs w:val="18"/>
                <w:lang w:val="en-US" w:eastAsia="zh-CN"/>
              </w:rPr>
            </w:pPr>
            <w:r>
              <w:rPr>
                <w:rFonts w:hint="eastAsia" w:ascii="宋体" w:hAnsi="宋体" w:eastAsia="宋体" w:cs="宋体"/>
                <w:sz w:val="18"/>
                <w:szCs w:val="18"/>
                <w:lang w:val="en-US" w:eastAsia="zh-CN"/>
              </w:rPr>
              <w:t>生产</w:t>
            </w:r>
            <w:r>
              <w:rPr>
                <w:rFonts w:hint="eastAsia" w:ascii="Times New Roman" w:hAnsi="Times New Roman" w:eastAsia="宋体" w:cs="Times New Roman"/>
                <w:color w:val="000000"/>
                <w:kern w:val="0"/>
                <w:sz w:val="18"/>
                <w:szCs w:val="18"/>
                <w:lang w:val="en-US" w:eastAsia="zh-CN"/>
              </w:rPr>
              <w:t>企业资源化加工处理（加工成饲料或更高附加值的产品）</w:t>
            </w:r>
          </w:p>
        </w:tc>
        <w:tc>
          <w:tcPr>
            <w:tcW w:w="2068" w:type="dxa"/>
            <w:noWrap w:val="0"/>
            <w:vAlign w:val="center"/>
          </w:tcPr>
          <w:p w14:paraId="4D526C04">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提供证明材料</w:t>
            </w:r>
          </w:p>
        </w:tc>
      </w:tr>
    </w:tbl>
    <w:p w14:paraId="1DAAFEF7">
      <w:pPr>
        <w:keepNext w:val="0"/>
        <w:keepLines w:val="0"/>
        <w:pageBreakBefore w:val="0"/>
        <w:widowControl/>
        <w:numPr>
          <w:ilvl w:val="0"/>
          <w:numId w:val="7"/>
        </w:numPr>
        <w:tabs>
          <w:tab w:val="center" w:pos="420"/>
          <w:tab w:val="right" w:leader="dot" w:pos="9298"/>
        </w:tabs>
        <w:kinsoku/>
        <w:wordWrap/>
        <w:overflowPunct/>
        <w:topLinePunct w:val="0"/>
        <w:autoSpaceDE w:val="0"/>
        <w:autoSpaceDN w:val="0"/>
        <w:bidi w:val="0"/>
        <w:adjustRightInd/>
        <w:snapToGrid/>
        <w:spacing w:line="420" w:lineRule="exact"/>
        <w:ind w:left="425" w:leftChars="0" w:hanging="425" w:firstLineChars="0"/>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品质属性指标</w:t>
      </w:r>
    </w:p>
    <w:p w14:paraId="414C8160">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原料参考</w:t>
      </w:r>
      <w:r>
        <w:rPr>
          <w:rFonts w:hint="default" w:ascii="宋体" w:hAnsi="宋体" w:eastAsia="宋体" w:cs="宋体"/>
          <w:kern w:val="0"/>
          <w:sz w:val="24"/>
          <w:lang w:val="en-US" w:eastAsia="zh-CN"/>
        </w:rPr>
        <w:t>GB/T 22211-2008</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地理标志产品 五粮液酒</w:t>
      </w:r>
      <w:r>
        <w:rPr>
          <w:rFonts w:hint="eastAsia" w:ascii="宋体" w:hAnsi="宋体" w:eastAsia="宋体" w:cs="宋体"/>
          <w:kern w:val="0"/>
          <w:sz w:val="24"/>
          <w:lang w:val="en-US" w:eastAsia="zh-CN"/>
        </w:rPr>
        <w:t>》5.1原料要求</w:t>
      </w:r>
      <w:r>
        <w:rPr>
          <w:rFonts w:hint="eastAsia" w:ascii="宋体" w:hAnsi="宋体" w:cs="宋体"/>
          <w:kern w:val="0"/>
          <w:sz w:val="24"/>
          <w:lang w:val="en-US" w:eastAsia="zh-CN"/>
        </w:rPr>
        <w:t>（其中水源有修改，由“酿造用水取自宜宾‘安乐泉’水”改为“酿造用水应取自宜宾宜宾市行政区域范围内的地下水、山泉水和江河饮用水”）</w:t>
      </w:r>
      <w:r>
        <w:rPr>
          <w:rFonts w:hint="eastAsia" w:ascii="宋体" w:hAnsi="宋体" w:eastAsia="宋体" w:cs="宋体"/>
          <w:kern w:val="0"/>
          <w:sz w:val="24"/>
          <w:lang w:val="en-US" w:eastAsia="zh-CN"/>
        </w:rPr>
        <w:t>。</w:t>
      </w:r>
    </w:p>
    <w:p w14:paraId="612F8F68">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用曲执行</w:t>
      </w:r>
      <w:r>
        <w:rPr>
          <w:rFonts w:hint="default" w:ascii="宋体" w:hAnsi="宋体" w:eastAsia="宋体" w:cs="宋体"/>
          <w:kern w:val="0"/>
          <w:sz w:val="24"/>
          <w:lang w:val="en-US" w:eastAsia="zh-CN"/>
        </w:rPr>
        <w:t>QB/T 4259</w:t>
      </w:r>
      <w:r>
        <w:rPr>
          <w:rFonts w:hint="eastAsia" w:ascii="宋体" w:hAnsi="宋体" w:eastAsia="宋体" w:cs="宋体"/>
          <w:kern w:val="0"/>
          <w:sz w:val="24"/>
          <w:lang w:val="en-US" w:eastAsia="zh-CN"/>
        </w:rPr>
        <w:t xml:space="preserve">  </w:t>
      </w:r>
      <w:r>
        <w:rPr>
          <w:rFonts w:hint="default" w:ascii="宋体" w:hAnsi="宋体" w:eastAsia="宋体" w:cs="宋体"/>
          <w:kern w:val="0"/>
          <w:sz w:val="24"/>
          <w:lang w:val="en-US" w:eastAsia="zh-CN"/>
        </w:rPr>
        <w:t>浓香大曲</w:t>
      </w:r>
      <w:r>
        <w:rPr>
          <w:rFonts w:hint="eastAsia" w:ascii="宋体" w:hAnsi="宋体" w:eastAsia="宋体" w:cs="宋体"/>
          <w:kern w:val="0"/>
          <w:sz w:val="24"/>
          <w:lang w:val="en-US" w:eastAsia="zh-CN"/>
        </w:rPr>
        <w:t>。</w:t>
      </w:r>
    </w:p>
    <w:p w14:paraId="5B2FAA85">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64" w:firstLineChars="200"/>
        <w:textAlignment w:val="auto"/>
        <w:rPr>
          <w:rFonts w:hint="eastAsia" w:ascii="宋体" w:hAnsi="宋体" w:eastAsia="宋体" w:cs="宋体"/>
          <w:spacing w:val="-4"/>
          <w:kern w:val="0"/>
          <w:sz w:val="24"/>
          <w:lang w:val="en-US" w:eastAsia="zh-CN"/>
        </w:rPr>
      </w:pPr>
      <w:r>
        <w:rPr>
          <w:rFonts w:hint="eastAsia" w:ascii="宋体" w:hAnsi="宋体" w:eastAsia="宋体" w:cs="宋体"/>
          <w:spacing w:val="-4"/>
          <w:kern w:val="0"/>
          <w:sz w:val="24"/>
          <w:lang w:val="en-US" w:eastAsia="zh-CN"/>
        </w:rPr>
        <w:t>工艺参考</w:t>
      </w:r>
      <w:r>
        <w:rPr>
          <w:rFonts w:hint="default" w:ascii="宋体" w:hAnsi="宋体" w:eastAsia="宋体" w:cs="宋体"/>
          <w:spacing w:val="-4"/>
          <w:kern w:val="0"/>
          <w:sz w:val="24"/>
          <w:lang w:val="en-US" w:eastAsia="zh-CN"/>
        </w:rPr>
        <w:t>GB/T 22211-2008</w:t>
      </w:r>
      <w:r>
        <w:rPr>
          <w:rFonts w:hint="eastAsia" w:ascii="宋体" w:hAnsi="宋体" w:eastAsia="宋体" w:cs="宋体"/>
          <w:spacing w:val="-4"/>
          <w:kern w:val="0"/>
          <w:sz w:val="24"/>
          <w:lang w:val="en-US" w:eastAsia="zh-CN"/>
        </w:rPr>
        <w:t>《</w:t>
      </w:r>
      <w:r>
        <w:rPr>
          <w:rFonts w:hint="default" w:ascii="宋体" w:hAnsi="宋体" w:eastAsia="宋体" w:cs="宋体"/>
          <w:spacing w:val="-4"/>
          <w:kern w:val="0"/>
          <w:sz w:val="24"/>
          <w:lang w:val="en-US" w:eastAsia="zh-CN"/>
        </w:rPr>
        <w:t>地理标志产品 五粮液酒</w:t>
      </w:r>
      <w:r>
        <w:rPr>
          <w:rFonts w:hint="eastAsia" w:ascii="宋体" w:hAnsi="宋体" w:eastAsia="宋体" w:cs="宋体"/>
          <w:spacing w:val="-4"/>
          <w:kern w:val="0"/>
          <w:sz w:val="24"/>
          <w:lang w:val="en-US" w:eastAsia="zh-CN"/>
        </w:rPr>
        <w:t>》5.3生产工艺要求</w:t>
      </w:r>
      <w:r>
        <w:rPr>
          <w:rFonts w:hint="eastAsia" w:ascii="宋体" w:hAnsi="宋体" w:cs="宋体"/>
          <w:spacing w:val="-4"/>
          <w:kern w:val="0"/>
          <w:sz w:val="24"/>
          <w:lang w:val="en-US" w:eastAsia="zh-CN"/>
        </w:rPr>
        <w:t>）</w:t>
      </w:r>
      <w:r>
        <w:rPr>
          <w:rFonts w:hint="eastAsia" w:ascii="宋体" w:hAnsi="宋体" w:eastAsia="宋体" w:cs="宋体"/>
          <w:spacing w:val="-4"/>
          <w:kern w:val="0"/>
          <w:sz w:val="24"/>
          <w:lang w:val="en-US" w:eastAsia="zh-CN"/>
        </w:rPr>
        <w:t>。</w:t>
      </w:r>
    </w:p>
    <w:p w14:paraId="1C64F1FC">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感官质量参考</w:t>
      </w:r>
      <w:r>
        <w:rPr>
          <w:rFonts w:hint="default" w:ascii="宋体" w:hAnsi="宋体" w:eastAsia="宋体" w:cs="宋体"/>
          <w:kern w:val="0"/>
          <w:sz w:val="24"/>
          <w:lang w:val="en-US" w:eastAsia="zh-CN"/>
        </w:rPr>
        <w:t>T/5115YBAPS 026</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2021</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宜宾浓香型白酒  原酒</w:t>
      </w:r>
      <w:r>
        <w:rPr>
          <w:rFonts w:hint="eastAsia" w:ascii="宋体" w:hAnsi="宋体" w:eastAsia="宋体" w:cs="宋体"/>
          <w:kern w:val="0"/>
          <w:sz w:val="24"/>
          <w:lang w:val="en-US" w:eastAsia="zh-CN"/>
        </w:rPr>
        <w:t>》附录A</w:t>
      </w:r>
      <w:r>
        <w:rPr>
          <w:rFonts w:hint="default" w:ascii="宋体" w:hAnsi="宋体" w:eastAsia="宋体" w:cs="宋体"/>
          <w:kern w:val="0"/>
          <w:sz w:val="24"/>
          <w:lang w:val="en-US" w:eastAsia="zh-CN"/>
        </w:rPr>
        <w:t>宜宾浓香型白酒原酒感官质量评价指南</w:t>
      </w:r>
      <w:r>
        <w:rPr>
          <w:rFonts w:hint="eastAsia" w:ascii="宋体" w:hAnsi="宋体" w:eastAsia="宋体" w:cs="宋体"/>
          <w:kern w:val="0"/>
          <w:sz w:val="24"/>
          <w:lang w:val="en-US" w:eastAsia="zh-CN"/>
        </w:rPr>
        <w:t>。</w:t>
      </w:r>
    </w:p>
    <w:p w14:paraId="663B2887">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理化指标参考</w:t>
      </w:r>
      <w:r>
        <w:rPr>
          <w:rFonts w:hint="default" w:ascii="宋体" w:hAnsi="宋体" w:eastAsia="宋体" w:cs="宋体"/>
          <w:kern w:val="0"/>
          <w:sz w:val="24"/>
          <w:lang w:val="en-US" w:eastAsia="zh-CN"/>
        </w:rPr>
        <w:t>T/5115YBAPS 026</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2021</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宜宾浓香型白酒  原酒</w:t>
      </w:r>
      <w:r>
        <w:rPr>
          <w:rFonts w:hint="eastAsia" w:ascii="宋体" w:hAnsi="宋体" w:eastAsia="宋体" w:cs="宋体"/>
          <w:kern w:val="0"/>
          <w:sz w:val="24"/>
          <w:lang w:val="en-US" w:eastAsia="zh-CN"/>
        </w:rPr>
        <w:t>》4.5真实性要求</w:t>
      </w:r>
      <w:r>
        <w:rPr>
          <w:rFonts w:hint="eastAsia"/>
          <w:spacing w:val="7"/>
          <w:sz w:val="20"/>
          <w:szCs w:val="20"/>
          <w:lang w:val="en-US" w:eastAsia="zh-CN"/>
        </w:rPr>
        <w:t>及相应方法。</w:t>
      </w:r>
    </w:p>
    <w:p w14:paraId="680E166C">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原酒真实性参考</w:t>
      </w:r>
      <w:r>
        <w:rPr>
          <w:rFonts w:hint="default" w:ascii="宋体" w:hAnsi="宋体" w:eastAsia="宋体" w:cs="宋体"/>
          <w:kern w:val="0"/>
          <w:sz w:val="24"/>
          <w:lang w:val="en-US" w:eastAsia="zh-CN"/>
        </w:rPr>
        <w:t>T/5115YBAPS 026</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2021</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宜宾浓香型白酒  原酒</w:t>
      </w:r>
      <w:r>
        <w:rPr>
          <w:rFonts w:hint="eastAsia" w:ascii="宋体" w:hAnsi="宋体" w:eastAsia="宋体" w:cs="宋体"/>
          <w:kern w:val="0"/>
          <w:sz w:val="24"/>
          <w:lang w:val="en-US" w:eastAsia="zh-CN"/>
        </w:rPr>
        <w:t>》表1</w:t>
      </w:r>
      <w:r>
        <w:rPr>
          <w:rFonts w:hint="default" w:ascii="宋体" w:hAnsi="宋体" w:eastAsia="宋体" w:cs="宋体"/>
          <w:kern w:val="0"/>
          <w:sz w:val="24"/>
          <w:lang w:val="en-US" w:eastAsia="zh-CN"/>
        </w:rPr>
        <w:t>宜宾浓香型白酒原酒理化指标</w:t>
      </w:r>
      <w:r>
        <w:rPr>
          <w:rFonts w:hint="eastAsia" w:ascii="宋体" w:hAnsi="宋体" w:eastAsia="宋体" w:cs="宋体"/>
          <w:kern w:val="0"/>
          <w:sz w:val="24"/>
          <w:lang w:val="en-US" w:eastAsia="zh-CN"/>
        </w:rPr>
        <w:t>、附录B</w:t>
      </w:r>
      <w:r>
        <w:rPr>
          <w:rFonts w:hint="default" w:ascii="宋体" w:hAnsi="宋体" w:eastAsia="宋体" w:cs="宋体"/>
          <w:kern w:val="0"/>
          <w:sz w:val="24"/>
          <w:lang w:val="en-US" w:eastAsia="zh-CN"/>
        </w:rPr>
        <w:t>宜宾浓香型白酒原酒真实性数据库构建指南</w:t>
      </w:r>
      <w:r>
        <w:rPr>
          <w:rFonts w:hint="eastAsia" w:ascii="宋体" w:hAnsi="宋体" w:eastAsia="宋体" w:cs="宋体"/>
          <w:kern w:val="0"/>
          <w:sz w:val="24"/>
          <w:lang w:val="en-US" w:eastAsia="zh-CN"/>
        </w:rPr>
        <w:t>，以及附录C</w:t>
      </w:r>
      <w:r>
        <w:rPr>
          <w:rFonts w:hint="default" w:ascii="宋体" w:hAnsi="宋体" w:eastAsia="宋体" w:cs="宋体"/>
          <w:kern w:val="0"/>
          <w:sz w:val="24"/>
          <w:lang w:val="en-US" w:eastAsia="zh-CN"/>
        </w:rPr>
        <w:t>宜宾浓香型白酒原酒中挥发性组分的测定方法 气相色谱法</w:t>
      </w:r>
      <w:r>
        <w:rPr>
          <w:rFonts w:hint="eastAsia" w:ascii="宋体" w:hAnsi="宋体" w:eastAsia="宋体" w:cs="宋体"/>
          <w:kern w:val="0"/>
          <w:sz w:val="24"/>
          <w:lang w:val="en-US" w:eastAsia="zh-CN"/>
        </w:rPr>
        <w:t>。</w:t>
      </w:r>
    </w:p>
    <w:p w14:paraId="61EC1596">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食品安全参考</w:t>
      </w:r>
      <w:r>
        <w:rPr>
          <w:rFonts w:hint="default" w:ascii="宋体" w:hAnsi="宋体" w:eastAsia="宋体" w:cs="宋体"/>
          <w:kern w:val="0"/>
          <w:sz w:val="24"/>
          <w:lang w:val="en-US" w:eastAsia="zh-CN"/>
        </w:rPr>
        <w:t>T/5115YBAPS 026</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2021</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宜宾浓香型白酒  原酒</w:t>
      </w:r>
      <w:r>
        <w:rPr>
          <w:rFonts w:hint="eastAsia" w:ascii="宋体" w:hAnsi="宋体" w:eastAsia="宋体" w:cs="宋体"/>
          <w:kern w:val="0"/>
          <w:sz w:val="24"/>
          <w:lang w:val="en-US" w:eastAsia="zh-CN"/>
        </w:rPr>
        <w:t>》4.6食品安全要求。</w:t>
      </w:r>
    </w:p>
    <w:p w14:paraId="662D714D">
      <w:pPr>
        <w:keepNext w:val="0"/>
        <w:keepLines w:val="0"/>
        <w:pageBreakBefore w:val="0"/>
        <w:widowControl/>
        <w:numPr>
          <w:ilvl w:val="0"/>
          <w:numId w:val="9"/>
        </w:numPr>
        <w:tabs>
          <w:tab w:val="center" w:pos="420"/>
          <w:tab w:val="right" w:leader="dot" w:pos="9298"/>
        </w:tabs>
        <w:kinsoku/>
        <w:wordWrap/>
        <w:overflowPunct/>
        <w:topLinePunct w:val="0"/>
        <w:autoSpaceDE w:val="0"/>
        <w:autoSpaceDN w:val="0"/>
        <w:bidi w:val="0"/>
        <w:adjustRightInd/>
        <w:snapToGrid/>
        <w:spacing w:line="420" w:lineRule="exact"/>
        <w:ind w:left="0" w:leftChars="0"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标志、包装、运输和贮存参考</w:t>
      </w:r>
      <w:r>
        <w:rPr>
          <w:rFonts w:hint="default" w:ascii="宋体" w:hAnsi="宋体" w:eastAsia="宋体" w:cs="宋体"/>
          <w:kern w:val="0"/>
          <w:sz w:val="24"/>
          <w:lang w:val="en-US" w:eastAsia="zh-CN"/>
        </w:rPr>
        <w:t>T/5115YBAPS 026</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2021</w:t>
      </w:r>
      <w:r>
        <w:rPr>
          <w:rFonts w:hint="eastAsia" w:ascii="宋体" w:hAnsi="宋体" w:eastAsia="宋体" w:cs="宋体"/>
          <w:kern w:val="0"/>
          <w:sz w:val="24"/>
          <w:lang w:val="en-US" w:eastAsia="zh-CN"/>
        </w:rPr>
        <w:t>《</w:t>
      </w:r>
      <w:r>
        <w:rPr>
          <w:rFonts w:hint="default" w:ascii="宋体" w:hAnsi="宋体" w:eastAsia="宋体" w:cs="宋体"/>
          <w:kern w:val="0"/>
          <w:sz w:val="24"/>
          <w:lang w:val="en-US" w:eastAsia="zh-CN"/>
        </w:rPr>
        <w:t>宜宾浓香型白酒  原酒</w:t>
      </w:r>
      <w:r>
        <w:rPr>
          <w:rFonts w:hint="eastAsia" w:ascii="宋体" w:hAnsi="宋体" w:eastAsia="宋体" w:cs="宋体"/>
          <w:kern w:val="0"/>
          <w:sz w:val="24"/>
          <w:lang w:val="en-US" w:eastAsia="zh-CN"/>
        </w:rPr>
        <w:t>》7.1标志，并按照</w:t>
      </w:r>
      <w:r>
        <w:rPr>
          <w:rFonts w:hint="default" w:ascii="宋体" w:hAnsi="宋体" w:eastAsia="宋体" w:cs="宋体"/>
          <w:kern w:val="0"/>
          <w:sz w:val="24"/>
          <w:lang w:val="en-US" w:eastAsia="zh-CN"/>
        </w:rPr>
        <w:t>GB/T 10346</w:t>
      </w:r>
      <w:r>
        <w:rPr>
          <w:rFonts w:hint="eastAsia" w:ascii="宋体" w:hAnsi="宋体" w:eastAsia="宋体" w:cs="宋体"/>
          <w:kern w:val="0"/>
          <w:sz w:val="24"/>
          <w:lang w:val="en-US" w:eastAsia="zh-CN"/>
        </w:rPr>
        <w:t>《白酒检验规则和标志、包装、运输、贮存》执行。</w:t>
      </w:r>
    </w:p>
    <w:p w14:paraId="2B9737A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kern w:val="0"/>
          <w:szCs w:val="20"/>
          <w:lang w:eastAsia="zh-CN"/>
        </w:rPr>
      </w:pPr>
      <w:r>
        <w:rPr>
          <w:rFonts w:hint="eastAsia" w:ascii="黑体" w:hAnsi="黑体" w:eastAsia="黑体" w:cs="黑体"/>
          <w:kern w:val="0"/>
          <w:szCs w:val="20"/>
        </w:rPr>
        <w:t>品质属性</w:t>
      </w:r>
      <w:r>
        <w:rPr>
          <w:rFonts w:hint="eastAsia" w:ascii="黑体" w:hAnsi="黑体" w:eastAsia="黑体" w:cs="黑体"/>
          <w:kern w:val="0"/>
          <w:szCs w:val="20"/>
          <w:lang w:eastAsia="zh-CN"/>
        </w:rPr>
        <w:t>指标</w:t>
      </w:r>
    </w:p>
    <w:tbl>
      <w:tblPr>
        <w:tblStyle w:val="29"/>
        <w:tblW w:w="8501" w:type="dxa"/>
        <w:tblInd w:w="11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1"/>
        <w:gridCol w:w="710"/>
        <w:gridCol w:w="1856"/>
        <w:gridCol w:w="815"/>
        <w:gridCol w:w="3211"/>
        <w:gridCol w:w="1498"/>
      </w:tblGrid>
      <w:tr w14:paraId="2C1AF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8" w:space="0"/>
              <w:bottom w:val="single" w:color="auto" w:sz="8" w:space="0"/>
            </w:tcBorders>
            <w:noWrap w:val="0"/>
            <w:vAlign w:val="center"/>
          </w:tcPr>
          <w:p w14:paraId="1B71EABD">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序号</w:t>
            </w:r>
          </w:p>
        </w:tc>
        <w:tc>
          <w:tcPr>
            <w:tcW w:w="710" w:type="dxa"/>
            <w:tcBorders>
              <w:top w:val="single" w:color="auto" w:sz="8" w:space="0"/>
              <w:bottom w:val="single" w:color="auto" w:sz="8" w:space="0"/>
            </w:tcBorders>
            <w:noWrap w:val="0"/>
            <w:vAlign w:val="center"/>
          </w:tcPr>
          <w:p w14:paraId="0F7CC535">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一级指标</w:t>
            </w:r>
          </w:p>
        </w:tc>
        <w:tc>
          <w:tcPr>
            <w:tcW w:w="1856" w:type="dxa"/>
            <w:tcBorders>
              <w:top w:val="single" w:color="auto" w:sz="8" w:space="0"/>
              <w:bottom w:val="single" w:color="auto" w:sz="8" w:space="0"/>
            </w:tcBorders>
            <w:noWrap w:val="0"/>
            <w:vAlign w:val="center"/>
          </w:tcPr>
          <w:p w14:paraId="2D4FA4E1">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二级指标</w:t>
            </w:r>
          </w:p>
        </w:tc>
        <w:tc>
          <w:tcPr>
            <w:tcW w:w="815" w:type="dxa"/>
            <w:tcBorders>
              <w:top w:val="single" w:color="auto" w:sz="8" w:space="0"/>
              <w:bottom w:val="single" w:color="auto" w:sz="8" w:space="0"/>
            </w:tcBorders>
            <w:noWrap w:val="0"/>
            <w:vAlign w:val="center"/>
          </w:tcPr>
          <w:p w14:paraId="271D03AA">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单位</w:t>
            </w:r>
          </w:p>
        </w:tc>
        <w:tc>
          <w:tcPr>
            <w:tcW w:w="3211" w:type="dxa"/>
            <w:tcBorders>
              <w:top w:val="single" w:color="auto" w:sz="8" w:space="0"/>
              <w:bottom w:val="single" w:color="auto" w:sz="8" w:space="0"/>
            </w:tcBorders>
            <w:noWrap w:val="0"/>
            <w:vAlign w:val="center"/>
          </w:tcPr>
          <w:p w14:paraId="744C080A">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基准值</w:t>
            </w:r>
          </w:p>
        </w:tc>
        <w:tc>
          <w:tcPr>
            <w:tcW w:w="1498" w:type="dxa"/>
            <w:tcBorders>
              <w:top w:val="single" w:color="auto" w:sz="8" w:space="0"/>
              <w:bottom w:val="single" w:color="auto" w:sz="8" w:space="0"/>
            </w:tcBorders>
            <w:noWrap w:val="0"/>
            <w:vAlign w:val="center"/>
          </w:tcPr>
          <w:p w14:paraId="54EE46E1">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判定依据</w:t>
            </w:r>
          </w:p>
        </w:tc>
      </w:tr>
      <w:tr w14:paraId="33583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8" w:space="0"/>
              <w:bottom w:val="single" w:color="auto" w:sz="4" w:space="0"/>
            </w:tcBorders>
            <w:noWrap w:val="0"/>
            <w:vAlign w:val="center"/>
          </w:tcPr>
          <w:p w14:paraId="546D1492">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710" w:type="dxa"/>
            <w:vMerge w:val="restart"/>
            <w:tcBorders>
              <w:top w:val="single" w:color="auto" w:sz="8" w:space="0"/>
              <w:bottom w:val="single" w:color="auto" w:sz="8" w:space="0"/>
            </w:tcBorders>
            <w:noWrap w:val="0"/>
            <w:vAlign w:val="center"/>
          </w:tcPr>
          <w:p w14:paraId="13D64E2D">
            <w:pPr>
              <w:pageBreakBefore w:val="0"/>
              <w:kinsoku/>
              <w:wordWrap/>
              <w:overflowPunct/>
              <w:topLinePunct w:val="0"/>
              <w:bidi w:val="0"/>
              <w:adjustRightInd/>
              <w:snapToGrid/>
              <w:spacing w:line="240" w:lineRule="auto"/>
              <w:jc w:val="left"/>
              <w:rPr>
                <w:rFonts w:hint="default" w:ascii="Times New Roman" w:hAnsi="Times New Roman" w:cs="Times New Roman"/>
                <w:color w:val="000000"/>
                <w:kern w:val="0"/>
                <w:sz w:val="18"/>
                <w:szCs w:val="18"/>
              </w:rPr>
            </w:pPr>
          </w:p>
          <w:p w14:paraId="2554F963">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品质</w:t>
            </w:r>
          </w:p>
          <w:p w14:paraId="77CC72A6">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属性</w:t>
            </w:r>
          </w:p>
        </w:tc>
        <w:tc>
          <w:tcPr>
            <w:tcW w:w="1856" w:type="dxa"/>
            <w:tcBorders>
              <w:top w:val="single" w:color="auto" w:sz="8" w:space="0"/>
              <w:bottom w:val="single" w:color="auto" w:sz="4" w:space="0"/>
            </w:tcBorders>
            <w:noWrap w:val="0"/>
            <w:vAlign w:val="center"/>
          </w:tcPr>
          <w:p w14:paraId="14F13C9D">
            <w:pPr>
              <w:pageBreakBefore w:val="0"/>
              <w:widowControl/>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eastAsia="zh-CN"/>
              </w:rPr>
            </w:pPr>
            <w:r>
              <w:rPr>
                <w:rFonts w:hint="eastAsia" w:ascii="Times New Roman" w:hAnsi="Times New Roman" w:cs="Times New Roman"/>
                <w:color w:val="000000"/>
                <w:kern w:val="0"/>
                <w:sz w:val="18"/>
                <w:szCs w:val="18"/>
                <w:lang w:val="en-US" w:eastAsia="zh-CN"/>
              </w:rPr>
              <w:t>原料</w:t>
            </w:r>
          </w:p>
        </w:tc>
        <w:tc>
          <w:tcPr>
            <w:tcW w:w="815" w:type="dxa"/>
            <w:tcBorders>
              <w:top w:val="single" w:color="auto" w:sz="8" w:space="0"/>
              <w:bottom w:val="single" w:color="auto" w:sz="4" w:space="0"/>
            </w:tcBorders>
            <w:noWrap w:val="0"/>
            <w:vAlign w:val="center"/>
          </w:tcPr>
          <w:p w14:paraId="2588985D">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w:t>
            </w:r>
          </w:p>
        </w:tc>
        <w:tc>
          <w:tcPr>
            <w:tcW w:w="3211" w:type="dxa"/>
            <w:tcBorders>
              <w:top w:val="single" w:color="auto" w:sz="8" w:space="0"/>
              <w:bottom w:val="single" w:color="auto" w:sz="4" w:space="0"/>
            </w:tcBorders>
            <w:noWrap w:val="0"/>
            <w:vAlign w:val="center"/>
          </w:tcPr>
          <w:p w14:paraId="1D7498B0">
            <w:pPr>
              <w:ind w:left="0" w:leftChars="0" w:firstLine="180" w:firstLineChars="100"/>
              <w:rPr>
                <w:rFonts w:hint="default" w:ascii="黑体" w:hAnsi="黑体" w:eastAsia="黑体" w:cs="黑体"/>
                <w:sz w:val="18"/>
                <w:szCs w:val="18"/>
                <w:lang w:val="en-US" w:eastAsia="zh-CN"/>
              </w:rPr>
            </w:pPr>
            <w:r>
              <w:rPr>
                <w:rFonts w:hint="eastAsia" w:ascii="Times New Roman" w:hAnsi="Times New Roman" w:eastAsia="宋体" w:cs="Times New Roman"/>
                <w:sz w:val="18"/>
                <w:szCs w:val="18"/>
                <w:lang w:val="en-US" w:eastAsia="zh-CN"/>
              </w:rPr>
              <w:t>酿造用水应取自宜宾宜宾市行政区域范围内的地下水、山泉水和江河饮用水，水质应符合GB 5749的规定。勾兑加浆用水应优于酿造用水</w:t>
            </w:r>
          </w:p>
          <w:p w14:paraId="56F4AEF0">
            <w:pPr>
              <w:ind w:left="0" w:leftChars="0" w:firstLine="180" w:firstLineChars="100"/>
              <w:rPr>
                <w:rFonts w:hint="default" w:ascii="黑体" w:hAnsi="黑体" w:eastAsia="黑体" w:cs="黑体"/>
                <w:sz w:val="18"/>
                <w:szCs w:val="18"/>
                <w:lang w:val="en-US" w:eastAsia="zh-CN"/>
              </w:rPr>
            </w:pPr>
            <w:r>
              <w:rPr>
                <w:rFonts w:hint="eastAsia" w:ascii="Times New Roman" w:hAnsi="Times New Roman" w:eastAsia="宋体" w:cs="Times New Roman"/>
                <w:sz w:val="18"/>
                <w:szCs w:val="18"/>
                <w:lang w:val="en-US" w:eastAsia="zh-CN"/>
              </w:rPr>
              <w:t>应采用</w:t>
            </w:r>
            <w:r>
              <w:rPr>
                <w:rFonts w:hint="eastAsia" w:hAnsi="宋体"/>
                <w:sz w:val="18"/>
                <w:szCs w:val="18"/>
                <w:lang w:val="en-US" w:eastAsia="zh-CN"/>
              </w:rPr>
              <w:t>核心产区</w:t>
            </w:r>
            <w:r>
              <w:rPr>
                <w:rFonts w:hint="eastAsia" w:ascii="Times New Roman" w:hAnsi="Times New Roman" w:eastAsia="宋体" w:cs="Times New Roman"/>
                <w:sz w:val="18"/>
                <w:szCs w:val="18"/>
                <w:lang w:val="en-US" w:eastAsia="zh-CN"/>
              </w:rPr>
              <w:t>产、符合GB/T 8231规定的</w:t>
            </w:r>
            <w:r>
              <w:rPr>
                <w:rFonts w:hint="eastAsia" w:cs="Times New Roman"/>
                <w:sz w:val="18"/>
                <w:szCs w:val="18"/>
                <w:lang w:val="en-US" w:eastAsia="zh-CN"/>
              </w:rPr>
              <w:t>糯</w:t>
            </w:r>
            <w:r>
              <w:rPr>
                <w:rFonts w:hint="eastAsia" w:ascii="Times New Roman" w:hAnsi="Times New Roman" w:eastAsia="宋体" w:cs="Times New Roman"/>
                <w:sz w:val="18"/>
                <w:szCs w:val="18"/>
                <w:lang w:val="en-US" w:eastAsia="zh-CN"/>
              </w:rPr>
              <w:t>高粱</w:t>
            </w:r>
          </w:p>
          <w:p w14:paraId="412AC14A">
            <w:pPr>
              <w:ind w:left="0" w:leftChars="0" w:firstLine="180" w:firstLineChars="100"/>
              <w:rPr>
                <w:rFonts w:hint="eastAsia" w:ascii="Times New Roman" w:hAnsi="Times New Roman" w:eastAsia="宋体" w:cs="Times New Roman"/>
                <w:sz w:val="18"/>
                <w:szCs w:val="18"/>
                <w:lang w:val="en-US" w:eastAsia="zh-CN"/>
              </w:rPr>
            </w:pPr>
            <w:r>
              <w:rPr>
                <w:rFonts w:hint="eastAsia" w:ascii="宋体" w:hAnsi="宋体" w:eastAsia="宋体" w:cs="宋体"/>
                <w:sz w:val="18"/>
                <w:szCs w:val="18"/>
                <w:lang w:val="en-US" w:eastAsia="zh-CN"/>
              </w:rPr>
              <w:t>应</w:t>
            </w:r>
            <w:r>
              <w:rPr>
                <w:rFonts w:hint="eastAsia" w:ascii="Times New Roman" w:hAnsi="Times New Roman" w:eastAsia="宋体" w:cs="Times New Roman"/>
                <w:sz w:val="18"/>
                <w:szCs w:val="18"/>
                <w:lang w:val="en-US" w:eastAsia="zh-CN"/>
              </w:rPr>
              <w:t>采用符合</w:t>
            </w:r>
            <w:r>
              <w:rPr>
                <w:rFonts w:hint="eastAsia" w:ascii="Times New Roman" w:hAnsi="Times New Roman" w:cs="Times New Roman"/>
                <w:sz w:val="18"/>
                <w:szCs w:val="18"/>
                <w:lang w:val="en-US" w:eastAsia="zh-CN"/>
              </w:rPr>
              <w:t>GB/T 1354</w:t>
            </w:r>
            <w:r>
              <w:rPr>
                <w:rFonts w:hint="eastAsia" w:ascii="Times New Roman" w:hAnsi="Times New Roman" w:eastAsia="宋体" w:cs="Times New Roman"/>
                <w:sz w:val="18"/>
                <w:szCs w:val="18"/>
                <w:lang w:val="en-US" w:eastAsia="zh-CN"/>
              </w:rPr>
              <w:t>规定的大米</w:t>
            </w:r>
          </w:p>
          <w:p w14:paraId="654A0C1C">
            <w:pPr>
              <w:ind w:left="0" w:leftChars="0" w:firstLine="180" w:firstLineChars="100"/>
              <w:rPr>
                <w:rFonts w:hint="default" w:ascii="黑体" w:hAnsi="黑体" w:eastAsia="黑体" w:cs="黑体"/>
                <w:sz w:val="18"/>
                <w:szCs w:val="18"/>
                <w:lang w:val="en-US" w:eastAsia="zh-CN"/>
              </w:rPr>
            </w:pPr>
            <w:r>
              <w:rPr>
                <w:rFonts w:hint="eastAsia" w:ascii="宋体" w:hAnsi="宋体" w:eastAsia="宋体" w:cs="宋体"/>
                <w:sz w:val="18"/>
                <w:szCs w:val="18"/>
                <w:lang w:val="en-US" w:eastAsia="zh-CN"/>
              </w:rPr>
              <w:t>应</w:t>
            </w:r>
            <w:r>
              <w:rPr>
                <w:rFonts w:hint="eastAsia" w:ascii="Times New Roman" w:hAnsi="Times New Roman" w:eastAsia="宋体" w:cs="Times New Roman"/>
                <w:sz w:val="18"/>
                <w:szCs w:val="18"/>
                <w:lang w:val="en-US" w:eastAsia="zh-CN"/>
              </w:rPr>
              <w:t>采用符合</w:t>
            </w:r>
            <w:r>
              <w:rPr>
                <w:rFonts w:hint="eastAsia" w:ascii="Times New Roman" w:hAnsi="Times New Roman" w:cs="Times New Roman"/>
                <w:sz w:val="18"/>
                <w:szCs w:val="18"/>
                <w:lang w:val="en-US" w:eastAsia="zh-CN"/>
              </w:rPr>
              <w:t>GB/T 1354</w:t>
            </w:r>
            <w:r>
              <w:rPr>
                <w:rFonts w:hint="eastAsia" w:ascii="Times New Roman" w:hAnsi="Times New Roman" w:eastAsia="宋体" w:cs="Times New Roman"/>
                <w:sz w:val="18"/>
                <w:szCs w:val="18"/>
                <w:lang w:val="en-US" w:eastAsia="zh-CN"/>
              </w:rPr>
              <w:t>规定的糯米</w:t>
            </w:r>
          </w:p>
          <w:p w14:paraId="712D34C7">
            <w:pPr>
              <w:ind w:left="0" w:leftChars="0" w:firstLine="180" w:firstLineChars="100"/>
              <w:rPr>
                <w:rFonts w:hint="default" w:ascii="黑体" w:hAnsi="黑体" w:eastAsia="黑体" w:cs="黑体"/>
                <w:sz w:val="18"/>
                <w:szCs w:val="18"/>
                <w:lang w:val="en-US" w:eastAsia="zh-CN"/>
              </w:rPr>
            </w:pPr>
            <w:r>
              <w:rPr>
                <w:rFonts w:hint="eastAsia" w:ascii="宋体" w:hAnsi="宋体" w:eastAsia="宋体" w:cs="宋体"/>
                <w:sz w:val="18"/>
                <w:szCs w:val="18"/>
                <w:lang w:val="en-US" w:eastAsia="zh-CN"/>
              </w:rPr>
              <w:t>应</w:t>
            </w:r>
            <w:r>
              <w:rPr>
                <w:rFonts w:hint="eastAsia" w:ascii="Times New Roman" w:hAnsi="Times New Roman" w:eastAsia="宋体" w:cs="Times New Roman"/>
                <w:sz w:val="18"/>
                <w:szCs w:val="18"/>
                <w:lang w:val="en-US" w:eastAsia="zh-CN"/>
              </w:rPr>
              <w:t>采用符合</w:t>
            </w:r>
            <w:r>
              <w:rPr>
                <w:rFonts w:hint="eastAsia" w:ascii="Times New Roman" w:hAnsi="Times New Roman" w:cs="Times New Roman"/>
                <w:sz w:val="18"/>
                <w:szCs w:val="18"/>
                <w:lang w:val="en-US" w:eastAsia="zh-CN"/>
              </w:rPr>
              <w:t>GB 1351</w:t>
            </w:r>
            <w:r>
              <w:rPr>
                <w:rFonts w:hint="eastAsia" w:ascii="Times New Roman" w:hAnsi="Times New Roman" w:eastAsia="宋体" w:cs="Times New Roman"/>
                <w:sz w:val="18"/>
                <w:szCs w:val="18"/>
                <w:lang w:val="en-US" w:eastAsia="zh-CN"/>
              </w:rPr>
              <w:t>规定的小麦</w:t>
            </w:r>
          </w:p>
          <w:p w14:paraId="594C4294">
            <w:pPr>
              <w:pageBreakBefore w:val="0"/>
              <w:widowControl/>
              <w:kinsoku/>
              <w:wordWrap/>
              <w:overflowPunct/>
              <w:topLinePunct w:val="0"/>
              <w:bidi w:val="0"/>
              <w:adjustRightInd/>
              <w:snapToGrid/>
              <w:spacing w:line="240" w:lineRule="auto"/>
              <w:ind w:firstLine="180" w:firstLineChars="100"/>
              <w:jc w:val="both"/>
              <w:rPr>
                <w:rFonts w:hint="default" w:ascii="Times New Roman" w:hAnsi="Times New Roman" w:cs="Times New Roman"/>
                <w:color w:val="000000"/>
                <w:kern w:val="0"/>
                <w:sz w:val="18"/>
                <w:szCs w:val="18"/>
              </w:rPr>
            </w:pPr>
            <w:r>
              <w:rPr>
                <w:rFonts w:hint="eastAsia" w:ascii="宋体" w:hAnsi="宋体" w:eastAsia="宋体" w:cs="宋体"/>
                <w:sz w:val="18"/>
                <w:szCs w:val="18"/>
                <w:lang w:val="en-US" w:eastAsia="zh-CN"/>
              </w:rPr>
              <w:t>应</w:t>
            </w:r>
            <w:r>
              <w:rPr>
                <w:rFonts w:hint="eastAsia" w:ascii="Times New Roman" w:hAnsi="Times New Roman" w:eastAsia="宋体" w:cs="Times New Roman"/>
                <w:sz w:val="18"/>
                <w:szCs w:val="18"/>
                <w:lang w:val="en-US" w:eastAsia="zh-CN"/>
              </w:rPr>
              <w:t>采用符合</w:t>
            </w:r>
            <w:r>
              <w:rPr>
                <w:rFonts w:hint="eastAsia" w:ascii="Times New Roman" w:hAnsi="Times New Roman" w:cs="Times New Roman"/>
                <w:sz w:val="18"/>
                <w:szCs w:val="18"/>
                <w:lang w:val="en-US" w:eastAsia="zh-CN"/>
              </w:rPr>
              <w:t>GB 1353</w:t>
            </w:r>
            <w:r>
              <w:rPr>
                <w:rFonts w:hint="eastAsia" w:ascii="Times New Roman" w:hAnsi="Times New Roman" w:eastAsia="宋体" w:cs="Times New Roman"/>
                <w:sz w:val="18"/>
                <w:szCs w:val="18"/>
                <w:lang w:val="en-US" w:eastAsia="zh-CN"/>
              </w:rPr>
              <w:t>规定的玉米</w:t>
            </w:r>
          </w:p>
        </w:tc>
        <w:tc>
          <w:tcPr>
            <w:tcW w:w="1498" w:type="dxa"/>
            <w:tcBorders>
              <w:top w:val="single" w:color="auto" w:sz="8" w:space="0"/>
              <w:bottom w:val="single" w:color="auto" w:sz="4" w:space="0"/>
            </w:tcBorders>
            <w:noWrap w:val="0"/>
            <w:vAlign w:val="center"/>
          </w:tcPr>
          <w:p w14:paraId="23E4FC8E">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查验执行标准</w:t>
            </w:r>
          </w:p>
        </w:tc>
      </w:tr>
      <w:tr w14:paraId="431B3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bottom w:val="single" w:color="auto" w:sz="4" w:space="0"/>
            </w:tcBorders>
            <w:noWrap w:val="0"/>
            <w:vAlign w:val="center"/>
          </w:tcPr>
          <w:p w14:paraId="594EBE98">
            <w:pPr>
              <w:pageBreakBefore w:val="0"/>
              <w:widowControl/>
              <w:kinsoku/>
              <w:wordWrap/>
              <w:overflowPunct/>
              <w:topLinePunct w:val="0"/>
              <w:bidi w:val="0"/>
              <w:adjustRightInd/>
              <w:snapToGrid/>
              <w:spacing w:line="240" w:lineRule="auto"/>
              <w:jc w:val="center"/>
              <w:rPr>
                <w:rFonts w:hint="eastAsia" w:ascii="Times New Roman" w:hAnsi="Times New Roman" w:eastAsia="宋体"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w:t>
            </w:r>
          </w:p>
        </w:tc>
        <w:tc>
          <w:tcPr>
            <w:tcW w:w="710" w:type="dxa"/>
            <w:vMerge w:val="continue"/>
            <w:tcBorders>
              <w:top w:val="single" w:color="auto" w:sz="8" w:space="0"/>
              <w:bottom w:val="single" w:color="auto" w:sz="8" w:space="0"/>
            </w:tcBorders>
            <w:noWrap w:val="0"/>
            <w:vAlign w:val="center"/>
          </w:tcPr>
          <w:p w14:paraId="67548460">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bottom w:val="single" w:color="auto" w:sz="4" w:space="0"/>
            </w:tcBorders>
            <w:noWrap w:val="0"/>
            <w:vAlign w:val="center"/>
          </w:tcPr>
          <w:p w14:paraId="5AD98656">
            <w:pPr>
              <w:pageBreakBefore w:val="0"/>
              <w:widowControl/>
              <w:kinsoku/>
              <w:wordWrap/>
              <w:overflowPunct/>
              <w:topLinePunct w:val="0"/>
              <w:bidi w:val="0"/>
              <w:adjustRightInd/>
              <w:snapToGrid/>
              <w:spacing w:line="240" w:lineRule="auto"/>
              <w:jc w:val="center"/>
              <w:rPr>
                <w:rFonts w:hint="eastAsia" w:ascii="Times New Roman" w:hAnsi="Times New Roman" w:cs="Times New Roman"/>
                <w:color w:val="000000"/>
                <w:kern w:val="0"/>
                <w:sz w:val="18"/>
                <w:szCs w:val="18"/>
                <w:lang w:val="en-US" w:eastAsia="zh-CN"/>
              </w:rPr>
            </w:pPr>
            <w:r>
              <w:rPr>
                <w:rFonts w:hint="eastAsia" w:ascii="黑体" w:hAnsi="黑体" w:cs="黑体"/>
                <w:bCs/>
                <w:sz w:val="18"/>
                <w:szCs w:val="18"/>
                <w:lang w:val="en-US" w:eastAsia="zh-CN"/>
              </w:rPr>
              <w:t>用曲</w:t>
            </w:r>
          </w:p>
        </w:tc>
        <w:tc>
          <w:tcPr>
            <w:tcW w:w="815" w:type="dxa"/>
            <w:tcBorders>
              <w:top w:val="single" w:color="auto" w:sz="4" w:space="0"/>
              <w:bottom w:val="single" w:color="auto" w:sz="4" w:space="0"/>
            </w:tcBorders>
            <w:noWrap w:val="0"/>
            <w:vAlign w:val="center"/>
          </w:tcPr>
          <w:p w14:paraId="2C47FF9F">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w:t>
            </w:r>
          </w:p>
        </w:tc>
        <w:tc>
          <w:tcPr>
            <w:tcW w:w="3211" w:type="dxa"/>
            <w:tcBorders>
              <w:top w:val="single" w:color="auto" w:sz="4" w:space="0"/>
              <w:bottom w:val="single" w:color="auto" w:sz="4" w:space="0"/>
            </w:tcBorders>
            <w:noWrap w:val="0"/>
            <w:vAlign w:val="center"/>
          </w:tcPr>
          <w:p w14:paraId="6DBA70E1">
            <w:pPr>
              <w:pageBreakBefore w:val="0"/>
              <w:widowControl/>
              <w:kinsoku/>
              <w:wordWrap/>
              <w:overflowPunct/>
              <w:topLinePunct w:val="0"/>
              <w:bidi w:val="0"/>
              <w:adjustRightInd/>
              <w:snapToGrid/>
              <w:spacing w:line="240" w:lineRule="auto"/>
              <w:ind w:firstLine="180" w:firstLineChars="100"/>
              <w:jc w:val="both"/>
              <w:rPr>
                <w:rFonts w:hint="eastAsia" w:ascii="宋体" w:hAnsi="宋体" w:eastAsia="宋体" w:cs="宋体"/>
                <w:sz w:val="18"/>
                <w:szCs w:val="18"/>
                <w:lang w:val="en-US" w:eastAsia="zh-CN"/>
              </w:rPr>
            </w:pPr>
            <w:r>
              <w:rPr>
                <w:rFonts w:hint="eastAsia" w:hAnsi="宋体"/>
                <w:sz w:val="18"/>
                <w:szCs w:val="18"/>
                <w:lang w:val="en-US" w:eastAsia="zh-CN"/>
              </w:rPr>
              <w:t>应采用符合</w:t>
            </w:r>
            <w:r>
              <w:rPr>
                <w:rFonts w:hint="default" w:ascii="Times New Roman" w:hAnsi="Times New Roman" w:cs="Times New Roman"/>
                <w:sz w:val="18"/>
                <w:szCs w:val="18"/>
              </w:rPr>
              <w:t>QB/T 4259</w:t>
            </w:r>
            <w:r>
              <w:rPr>
                <w:rFonts w:hint="eastAsia" w:hAnsi="宋体"/>
                <w:sz w:val="18"/>
                <w:szCs w:val="18"/>
                <w:lang w:val="en-US" w:eastAsia="zh-CN"/>
              </w:rPr>
              <w:t>规定的浓香大曲</w:t>
            </w:r>
          </w:p>
        </w:tc>
        <w:tc>
          <w:tcPr>
            <w:tcW w:w="1498" w:type="dxa"/>
            <w:tcBorders>
              <w:top w:val="single" w:color="auto" w:sz="4" w:space="0"/>
              <w:bottom w:val="single" w:color="auto" w:sz="4" w:space="0"/>
            </w:tcBorders>
            <w:noWrap w:val="0"/>
            <w:vAlign w:val="center"/>
          </w:tcPr>
          <w:p w14:paraId="59DAA195">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查验执行标准</w:t>
            </w:r>
          </w:p>
        </w:tc>
      </w:tr>
      <w:tr w14:paraId="4722C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bottom w:val="single" w:color="auto" w:sz="4" w:space="0"/>
            </w:tcBorders>
            <w:noWrap w:val="0"/>
            <w:vAlign w:val="center"/>
          </w:tcPr>
          <w:p w14:paraId="00597E24">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w:t>
            </w:r>
          </w:p>
        </w:tc>
        <w:tc>
          <w:tcPr>
            <w:tcW w:w="710" w:type="dxa"/>
            <w:vMerge w:val="continue"/>
            <w:tcBorders>
              <w:top w:val="single" w:color="auto" w:sz="8" w:space="0"/>
              <w:bottom w:val="single" w:color="auto" w:sz="8" w:space="0"/>
            </w:tcBorders>
            <w:noWrap w:val="0"/>
            <w:vAlign w:val="center"/>
          </w:tcPr>
          <w:p w14:paraId="176D081D">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bottom w:val="single" w:color="auto" w:sz="4" w:space="0"/>
            </w:tcBorders>
            <w:noWrap w:val="0"/>
            <w:vAlign w:val="center"/>
          </w:tcPr>
          <w:p w14:paraId="7322E086">
            <w:pPr>
              <w:pageBreakBefore w:val="0"/>
              <w:widowControl/>
              <w:kinsoku/>
              <w:wordWrap/>
              <w:overflowPunct/>
              <w:topLinePunct w:val="0"/>
              <w:bidi w:val="0"/>
              <w:adjustRightInd/>
              <w:snapToGrid/>
              <w:spacing w:line="240" w:lineRule="auto"/>
              <w:jc w:val="center"/>
              <w:rPr>
                <w:rFonts w:hint="eastAsia" w:ascii="黑体" w:hAnsi="黑体" w:cs="黑体"/>
                <w:bCs/>
                <w:sz w:val="18"/>
                <w:szCs w:val="18"/>
                <w:lang w:val="en-US" w:eastAsia="zh-CN"/>
              </w:rPr>
            </w:pPr>
            <w:r>
              <w:rPr>
                <w:rFonts w:hint="eastAsia" w:ascii="黑体" w:hAnsi="黑体" w:cs="黑体"/>
                <w:bCs/>
                <w:sz w:val="18"/>
                <w:szCs w:val="18"/>
                <w:lang w:val="en-US" w:eastAsia="zh-CN"/>
              </w:rPr>
              <w:t>工艺</w:t>
            </w:r>
          </w:p>
        </w:tc>
        <w:tc>
          <w:tcPr>
            <w:tcW w:w="815" w:type="dxa"/>
            <w:tcBorders>
              <w:top w:val="single" w:color="auto" w:sz="4" w:space="0"/>
              <w:bottom w:val="single" w:color="auto" w:sz="4" w:space="0"/>
            </w:tcBorders>
            <w:noWrap w:val="0"/>
            <w:vAlign w:val="center"/>
          </w:tcPr>
          <w:p w14:paraId="7FA54295">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w:t>
            </w:r>
          </w:p>
        </w:tc>
        <w:tc>
          <w:tcPr>
            <w:tcW w:w="3211" w:type="dxa"/>
            <w:tcBorders>
              <w:top w:val="single" w:color="auto" w:sz="4" w:space="0"/>
              <w:bottom w:val="single" w:color="auto" w:sz="4" w:space="0"/>
            </w:tcBorders>
            <w:noWrap w:val="0"/>
            <w:vAlign w:val="center"/>
          </w:tcPr>
          <w:p w14:paraId="69E6F7CF">
            <w:pPr>
              <w:pageBreakBefore w:val="0"/>
              <w:widowControl/>
              <w:kinsoku/>
              <w:wordWrap/>
              <w:overflowPunct/>
              <w:topLinePunct w:val="0"/>
              <w:bidi w:val="0"/>
              <w:adjustRightInd/>
              <w:snapToGrid/>
              <w:spacing w:line="240" w:lineRule="auto"/>
              <w:ind w:firstLine="180" w:firstLineChars="100"/>
              <w:jc w:val="both"/>
              <w:rPr>
                <w:rFonts w:hint="eastAsia" w:hAnsi="宋体"/>
                <w:sz w:val="18"/>
                <w:szCs w:val="18"/>
                <w:lang w:val="en-US" w:eastAsia="zh-CN"/>
              </w:rPr>
            </w:pPr>
            <w:r>
              <w:rPr>
                <w:rFonts w:hint="default" w:ascii="Times New Roman" w:hAnsi="Times New Roman" w:cs="Times New Roman"/>
                <w:sz w:val="18"/>
                <w:szCs w:val="18"/>
                <w:lang w:val="en-US" w:eastAsia="zh-CN"/>
              </w:rPr>
              <w:t>按祖传配方配混5种粮食，粉碎后与一定比例的陈年老母糟（糟醅）配料，以包包曲为糖化发酵剂，在窖池中发酵周期在70 d以上，双轮底发酵时间在140 d以上，采用跑窖循环、续糟发酵、分层起糟、分层蒸馏、量质摘酒、按质并坛的传统工艺，经分级入库、陶坛长期陈酿、筛选组合而成。从原料投入到产品出厂不少于5 a，调味酒酒龄不少于15 a</w:t>
            </w:r>
          </w:p>
        </w:tc>
        <w:tc>
          <w:tcPr>
            <w:tcW w:w="1498" w:type="dxa"/>
            <w:tcBorders>
              <w:top w:val="single" w:color="auto" w:sz="4" w:space="0"/>
              <w:bottom w:val="single" w:color="auto" w:sz="4" w:space="0"/>
            </w:tcBorders>
            <w:noWrap w:val="0"/>
            <w:vAlign w:val="center"/>
          </w:tcPr>
          <w:p w14:paraId="6F38B2F8">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提供证明材料</w:t>
            </w:r>
          </w:p>
        </w:tc>
      </w:tr>
      <w:tr w14:paraId="44A9B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bottom w:val="single" w:color="auto" w:sz="4" w:space="0"/>
            </w:tcBorders>
            <w:noWrap w:val="0"/>
            <w:vAlign w:val="center"/>
          </w:tcPr>
          <w:p w14:paraId="53237147">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4</w:t>
            </w:r>
          </w:p>
        </w:tc>
        <w:tc>
          <w:tcPr>
            <w:tcW w:w="710" w:type="dxa"/>
            <w:vMerge w:val="continue"/>
            <w:tcBorders>
              <w:top w:val="single" w:color="auto" w:sz="8" w:space="0"/>
              <w:bottom w:val="single" w:color="auto" w:sz="8" w:space="0"/>
            </w:tcBorders>
            <w:noWrap w:val="0"/>
            <w:vAlign w:val="center"/>
          </w:tcPr>
          <w:p w14:paraId="4C5B93A7">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bottom w:val="single" w:color="auto" w:sz="4" w:space="0"/>
            </w:tcBorders>
            <w:noWrap w:val="0"/>
            <w:vAlign w:val="center"/>
          </w:tcPr>
          <w:p w14:paraId="16731604">
            <w:pPr>
              <w:pageBreakBefore w:val="0"/>
              <w:widowControl/>
              <w:kinsoku/>
              <w:wordWrap/>
              <w:overflowPunct/>
              <w:topLinePunct w:val="0"/>
              <w:bidi w:val="0"/>
              <w:adjustRightInd/>
              <w:snapToGrid/>
              <w:spacing w:line="240" w:lineRule="auto"/>
              <w:jc w:val="center"/>
              <w:rPr>
                <w:rFonts w:hint="eastAsia" w:ascii="黑体" w:hAnsi="黑体" w:cs="黑体"/>
                <w:bCs/>
                <w:sz w:val="18"/>
                <w:szCs w:val="18"/>
                <w:lang w:val="en-US" w:eastAsia="zh-CN"/>
              </w:rPr>
            </w:pPr>
            <w:r>
              <w:rPr>
                <w:rFonts w:hint="eastAsia" w:ascii="黑体" w:hAnsi="黑体" w:cs="黑体"/>
                <w:bCs/>
                <w:sz w:val="18"/>
                <w:szCs w:val="18"/>
                <w:lang w:val="en-US" w:eastAsia="zh-CN"/>
              </w:rPr>
              <w:t>感官质量</w:t>
            </w:r>
          </w:p>
        </w:tc>
        <w:tc>
          <w:tcPr>
            <w:tcW w:w="815" w:type="dxa"/>
            <w:tcBorders>
              <w:top w:val="single" w:color="auto" w:sz="4" w:space="0"/>
              <w:bottom w:val="single" w:color="auto" w:sz="4" w:space="0"/>
            </w:tcBorders>
            <w:noWrap w:val="0"/>
            <w:vAlign w:val="center"/>
          </w:tcPr>
          <w:p w14:paraId="25B5C133">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w:t>
            </w:r>
          </w:p>
        </w:tc>
        <w:tc>
          <w:tcPr>
            <w:tcW w:w="3211" w:type="dxa"/>
            <w:tcBorders>
              <w:top w:val="single" w:color="auto" w:sz="4" w:space="0"/>
              <w:bottom w:val="single" w:color="auto" w:sz="4" w:space="0"/>
            </w:tcBorders>
            <w:noWrap w:val="0"/>
            <w:vAlign w:val="center"/>
          </w:tcPr>
          <w:p w14:paraId="4F7DB83B">
            <w:pPr>
              <w:pageBreakBefore w:val="0"/>
              <w:widowControl/>
              <w:kinsoku/>
              <w:wordWrap/>
              <w:overflowPunct/>
              <w:topLinePunct w:val="0"/>
              <w:bidi w:val="0"/>
              <w:adjustRightInd/>
              <w:snapToGrid/>
              <w:spacing w:line="240" w:lineRule="auto"/>
              <w:ind w:firstLine="180" w:firstLineChars="100"/>
              <w:jc w:val="both"/>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应符合表5的规定</w:t>
            </w:r>
          </w:p>
        </w:tc>
        <w:tc>
          <w:tcPr>
            <w:tcW w:w="1498" w:type="dxa"/>
            <w:tcBorders>
              <w:top w:val="single" w:color="auto" w:sz="4" w:space="0"/>
              <w:bottom w:val="single" w:color="auto" w:sz="4" w:space="0"/>
            </w:tcBorders>
            <w:noWrap w:val="0"/>
            <w:vAlign w:val="center"/>
          </w:tcPr>
          <w:p w14:paraId="4961ECB9">
            <w:pPr>
              <w:pageBreakBefore w:val="0"/>
              <w:kinsoku/>
              <w:wordWrap/>
              <w:overflowPunct/>
              <w:topLinePunct w:val="0"/>
              <w:bidi w:val="0"/>
              <w:adjustRightInd/>
              <w:snapToGrid/>
              <w:spacing w:line="240" w:lineRule="auto"/>
              <w:ind w:firstLine="180" w:firstLineChars="100"/>
              <w:jc w:val="left"/>
              <w:rPr>
                <w:rFonts w:hint="default" w:ascii="Times New Roman" w:hAnsi="Times New Roman" w:cs="Times New Roman"/>
                <w:color w:val="000000"/>
                <w:kern w:val="0"/>
                <w:sz w:val="18"/>
                <w:szCs w:val="18"/>
              </w:rPr>
            </w:pPr>
            <w:r>
              <w:rPr>
                <w:rFonts w:hint="eastAsia" w:ascii="Times New Roman" w:hAnsi="Times New Roman" w:eastAsia="宋体" w:cs="Times New Roman"/>
                <w:sz w:val="18"/>
                <w:szCs w:val="18"/>
                <w:lang w:val="en-US" w:eastAsia="zh-CN"/>
              </w:rPr>
              <w:t>按照附录C的方法进行评价</w:t>
            </w:r>
          </w:p>
        </w:tc>
      </w:tr>
      <w:tr w14:paraId="71D21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bottom w:val="single" w:color="auto" w:sz="4" w:space="0"/>
            </w:tcBorders>
            <w:noWrap w:val="0"/>
            <w:vAlign w:val="center"/>
          </w:tcPr>
          <w:p w14:paraId="1C196A2E">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5</w:t>
            </w:r>
          </w:p>
        </w:tc>
        <w:tc>
          <w:tcPr>
            <w:tcW w:w="710" w:type="dxa"/>
            <w:vMerge w:val="continue"/>
            <w:tcBorders>
              <w:top w:val="single" w:color="auto" w:sz="8" w:space="0"/>
              <w:bottom w:val="single" w:color="auto" w:sz="8" w:space="0"/>
            </w:tcBorders>
            <w:noWrap w:val="0"/>
            <w:vAlign w:val="center"/>
          </w:tcPr>
          <w:p w14:paraId="3ECCC278">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bottom w:val="single" w:color="auto" w:sz="4" w:space="0"/>
            </w:tcBorders>
            <w:noWrap w:val="0"/>
            <w:vAlign w:val="center"/>
          </w:tcPr>
          <w:p w14:paraId="5DE12B78">
            <w:pPr>
              <w:pageBreakBefore w:val="0"/>
              <w:widowControl/>
              <w:kinsoku/>
              <w:wordWrap/>
              <w:overflowPunct/>
              <w:topLinePunct w:val="0"/>
              <w:bidi w:val="0"/>
              <w:adjustRightInd/>
              <w:snapToGrid/>
              <w:spacing w:line="240" w:lineRule="auto"/>
              <w:jc w:val="center"/>
              <w:rPr>
                <w:rFonts w:hint="default" w:ascii="黑体" w:hAnsi="黑体" w:cs="黑体"/>
                <w:bCs/>
                <w:sz w:val="18"/>
                <w:szCs w:val="18"/>
                <w:lang w:val="en-US" w:eastAsia="zh-CN"/>
              </w:rPr>
            </w:pPr>
            <w:r>
              <w:rPr>
                <w:rFonts w:hint="eastAsia" w:ascii="黑体" w:hAnsi="黑体" w:cs="黑体"/>
                <w:bCs/>
                <w:sz w:val="18"/>
                <w:szCs w:val="18"/>
                <w:lang w:val="en-US" w:eastAsia="zh-CN"/>
              </w:rPr>
              <w:t>理化指标</w:t>
            </w:r>
          </w:p>
        </w:tc>
        <w:tc>
          <w:tcPr>
            <w:tcW w:w="815" w:type="dxa"/>
            <w:tcBorders>
              <w:top w:val="single" w:color="auto" w:sz="4" w:space="0"/>
              <w:bottom w:val="single" w:color="auto" w:sz="4" w:space="0"/>
            </w:tcBorders>
            <w:noWrap w:val="0"/>
            <w:vAlign w:val="center"/>
          </w:tcPr>
          <w:p w14:paraId="03D900BB">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w:t>
            </w:r>
          </w:p>
        </w:tc>
        <w:tc>
          <w:tcPr>
            <w:tcW w:w="3211" w:type="dxa"/>
            <w:tcBorders>
              <w:top w:val="single" w:color="auto" w:sz="4" w:space="0"/>
              <w:bottom w:val="single" w:color="auto" w:sz="4" w:space="0"/>
            </w:tcBorders>
            <w:noWrap w:val="0"/>
            <w:vAlign w:val="center"/>
          </w:tcPr>
          <w:p w14:paraId="5FF73FDC">
            <w:pPr>
              <w:pageBreakBefore w:val="0"/>
              <w:widowControl/>
              <w:kinsoku/>
              <w:wordWrap/>
              <w:overflowPunct/>
              <w:topLinePunct w:val="0"/>
              <w:bidi w:val="0"/>
              <w:adjustRightInd/>
              <w:snapToGrid/>
              <w:spacing w:line="240" w:lineRule="auto"/>
              <w:ind w:firstLine="180" w:firstLineChars="100"/>
              <w:jc w:val="both"/>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应符合表6的规定</w:t>
            </w:r>
          </w:p>
        </w:tc>
        <w:tc>
          <w:tcPr>
            <w:tcW w:w="1498" w:type="dxa"/>
            <w:tcBorders>
              <w:top w:val="single" w:color="auto" w:sz="4" w:space="0"/>
              <w:bottom w:val="single" w:color="auto" w:sz="4" w:space="0"/>
            </w:tcBorders>
            <w:noWrap w:val="0"/>
            <w:vAlign w:val="center"/>
          </w:tcPr>
          <w:p w14:paraId="2206DE6E">
            <w:pPr>
              <w:pageBreakBefore w:val="0"/>
              <w:kinsoku/>
              <w:wordWrap/>
              <w:overflowPunct/>
              <w:topLinePunct w:val="0"/>
              <w:bidi w:val="0"/>
              <w:adjustRightInd/>
              <w:snapToGrid/>
              <w:spacing w:line="240" w:lineRule="auto"/>
              <w:ind w:firstLine="180" w:firstLineChars="100"/>
              <w:jc w:val="lef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酒精度、</w:t>
            </w:r>
            <w:r>
              <w:rPr>
                <w:rFonts w:hint="default" w:ascii="Times New Roman" w:hAnsi="Times New Roman" w:eastAsia="宋体" w:cs="Times New Roman"/>
                <w:sz w:val="18"/>
                <w:szCs w:val="18"/>
                <w:lang w:val="en-US" w:eastAsia="zh-CN"/>
              </w:rPr>
              <w:t>酸酯总量</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己酸</w:t>
            </w:r>
            <w:r>
              <w:rPr>
                <w:rFonts w:hint="eastAsia" w:ascii="Times New Roman" w:hAnsi="Times New Roman" w:eastAsia="宋体" w:cs="Times New Roman"/>
                <w:sz w:val="18"/>
                <w:szCs w:val="18"/>
                <w:lang w:val="en-US" w:eastAsia="zh-CN"/>
              </w:rPr>
              <w:t>、</w:t>
            </w:r>
            <w:r>
              <w:rPr>
                <w:rFonts w:hint="default" w:ascii="Times New Roman" w:hAnsi="Times New Roman" w:eastAsia="宋体" w:cs="Times New Roman"/>
                <w:sz w:val="18"/>
                <w:szCs w:val="18"/>
                <w:lang w:val="en-US" w:eastAsia="zh-CN"/>
              </w:rPr>
              <w:t>己酸乙酯</w:t>
            </w:r>
            <w:r>
              <w:rPr>
                <w:rFonts w:hint="eastAsia" w:ascii="Times New Roman" w:hAnsi="Times New Roman" w:eastAsia="宋体" w:cs="Times New Roman"/>
                <w:sz w:val="18"/>
                <w:szCs w:val="18"/>
                <w:lang w:val="en-US" w:eastAsia="zh-CN"/>
              </w:rPr>
              <w:t>、固形物按照GB/T 10781.1的方法进行测定，乙酸乙酯按照GB 1886.190的方法进行测定</w:t>
            </w:r>
          </w:p>
        </w:tc>
      </w:tr>
      <w:tr w14:paraId="1EAF0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bottom w:val="single" w:color="auto" w:sz="4" w:space="0"/>
            </w:tcBorders>
            <w:noWrap w:val="0"/>
            <w:vAlign w:val="center"/>
          </w:tcPr>
          <w:p w14:paraId="571541EC">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6</w:t>
            </w:r>
          </w:p>
        </w:tc>
        <w:tc>
          <w:tcPr>
            <w:tcW w:w="710" w:type="dxa"/>
            <w:vMerge w:val="continue"/>
            <w:tcBorders>
              <w:top w:val="single" w:color="auto" w:sz="8" w:space="0"/>
              <w:bottom w:val="single" w:color="auto" w:sz="8" w:space="0"/>
            </w:tcBorders>
            <w:noWrap w:val="0"/>
            <w:vAlign w:val="center"/>
          </w:tcPr>
          <w:p w14:paraId="59799CDA">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bottom w:val="single" w:color="auto" w:sz="4" w:space="0"/>
            </w:tcBorders>
            <w:noWrap w:val="0"/>
            <w:vAlign w:val="center"/>
          </w:tcPr>
          <w:p w14:paraId="202BE11D">
            <w:pPr>
              <w:pageBreakBefore w:val="0"/>
              <w:widowControl/>
              <w:kinsoku/>
              <w:wordWrap/>
              <w:overflowPunct/>
              <w:topLinePunct w:val="0"/>
              <w:bidi w:val="0"/>
              <w:adjustRightInd/>
              <w:snapToGrid/>
              <w:spacing w:line="240" w:lineRule="auto"/>
              <w:jc w:val="center"/>
              <w:rPr>
                <w:rFonts w:hint="default" w:ascii="黑体" w:hAnsi="黑体" w:cs="黑体"/>
                <w:bCs/>
                <w:sz w:val="18"/>
                <w:szCs w:val="18"/>
                <w:lang w:val="en-US" w:eastAsia="zh-CN"/>
              </w:rPr>
            </w:pPr>
            <w:r>
              <w:rPr>
                <w:rFonts w:hint="eastAsia" w:ascii="黑体" w:hAnsi="黑体" w:cs="黑体"/>
                <w:bCs/>
                <w:sz w:val="18"/>
                <w:szCs w:val="18"/>
                <w:lang w:val="en-US" w:eastAsia="zh-CN"/>
              </w:rPr>
              <w:t>原酒真实性</w:t>
            </w:r>
          </w:p>
        </w:tc>
        <w:tc>
          <w:tcPr>
            <w:tcW w:w="815" w:type="dxa"/>
            <w:tcBorders>
              <w:top w:val="single" w:color="auto" w:sz="4" w:space="0"/>
              <w:bottom w:val="single" w:color="auto" w:sz="4" w:space="0"/>
            </w:tcBorders>
            <w:noWrap w:val="0"/>
            <w:vAlign w:val="center"/>
          </w:tcPr>
          <w:p w14:paraId="0F9425EC">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3211" w:type="dxa"/>
            <w:tcBorders>
              <w:top w:val="single" w:color="auto" w:sz="4" w:space="0"/>
              <w:bottom w:val="single" w:color="auto" w:sz="4" w:space="0"/>
            </w:tcBorders>
            <w:noWrap w:val="0"/>
            <w:vAlign w:val="center"/>
          </w:tcPr>
          <w:p w14:paraId="4B749EA6">
            <w:pPr>
              <w:pageBreakBefore w:val="0"/>
              <w:widowControl/>
              <w:kinsoku/>
              <w:wordWrap/>
              <w:overflowPunct/>
              <w:topLinePunct w:val="0"/>
              <w:bidi w:val="0"/>
              <w:adjustRightInd/>
              <w:snapToGrid/>
              <w:spacing w:line="240" w:lineRule="auto"/>
              <w:ind w:firstLine="180" w:firstLineChars="10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原酒应具有真实性</w:t>
            </w:r>
          </w:p>
          <w:p w14:paraId="109B60A8">
            <w:pPr>
              <w:pageBreakBefore w:val="0"/>
              <w:widowControl/>
              <w:kinsoku/>
              <w:wordWrap/>
              <w:overflowPunct/>
              <w:topLinePunct w:val="0"/>
              <w:bidi w:val="0"/>
              <w:adjustRightInd/>
              <w:snapToGrid/>
              <w:spacing w:line="240" w:lineRule="auto"/>
              <w:ind w:firstLine="180" w:firstLineChars="100"/>
              <w:jc w:val="both"/>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原酒</w:t>
            </w:r>
            <w:r>
              <w:rPr>
                <w:rFonts w:hint="eastAsia" w:ascii="Times New Roman" w:hAnsi="Times New Roman" w:eastAsia="宋体" w:cs="Times New Roman"/>
                <w:sz w:val="18"/>
                <w:szCs w:val="18"/>
                <w:lang w:val="en-US" w:eastAsia="zh-CN"/>
              </w:rPr>
              <w:t>不应</w:t>
            </w:r>
            <w:r>
              <w:rPr>
                <w:rFonts w:hint="default" w:ascii="Times New Roman" w:hAnsi="Times New Roman" w:eastAsia="宋体" w:cs="Times New Roman"/>
                <w:sz w:val="18"/>
                <w:szCs w:val="18"/>
                <w:lang w:val="en-US" w:eastAsia="zh-CN"/>
              </w:rPr>
              <w:t>添加外源乙醇或外源呈香呈味物质</w:t>
            </w:r>
          </w:p>
        </w:tc>
        <w:tc>
          <w:tcPr>
            <w:tcW w:w="1498" w:type="dxa"/>
            <w:tcBorders>
              <w:top w:val="single" w:color="auto" w:sz="4" w:space="0"/>
              <w:bottom w:val="single" w:color="auto" w:sz="4" w:space="0"/>
            </w:tcBorders>
            <w:noWrap w:val="0"/>
            <w:vAlign w:val="center"/>
          </w:tcPr>
          <w:p w14:paraId="7C79808D">
            <w:pPr>
              <w:pageBreakBefore w:val="0"/>
              <w:kinsoku/>
              <w:wordWrap/>
              <w:overflowPunct/>
              <w:topLinePunct w:val="0"/>
              <w:bidi w:val="0"/>
              <w:adjustRightInd/>
              <w:snapToGrid/>
              <w:spacing w:line="240" w:lineRule="auto"/>
              <w:ind w:firstLine="180" w:firstLineChars="100"/>
              <w:jc w:val="left"/>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采用气相色谱或气质联用仪测定</w:t>
            </w:r>
            <w:r>
              <w:rPr>
                <w:rFonts w:hint="eastAsia" w:ascii="Times New Roman" w:hAnsi="Times New Roman" w:eastAsia="宋体" w:cs="Times New Roman"/>
                <w:sz w:val="18"/>
                <w:szCs w:val="18"/>
                <w:lang w:val="en-US" w:eastAsia="zh-CN"/>
              </w:rPr>
              <w:t>原酒</w:t>
            </w:r>
            <w:r>
              <w:rPr>
                <w:rFonts w:hint="default" w:ascii="Times New Roman" w:hAnsi="Times New Roman" w:eastAsia="宋体" w:cs="Times New Roman"/>
                <w:sz w:val="18"/>
                <w:szCs w:val="18"/>
                <w:lang w:val="en-US" w:eastAsia="zh-CN"/>
              </w:rPr>
              <w:t>挥发性风味组分指纹图谱</w:t>
            </w:r>
            <w:r>
              <w:rPr>
                <w:rFonts w:hint="eastAsia" w:ascii="Times New Roman" w:hAnsi="Times New Roman" w:eastAsia="宋体" w:cs="Times New Roman"/>
                <w:sz w:val="18"/>
                <w:szCs w:val="18"/>
                <w:lang w:val="en-US" w:eastAsia="zh-CN"/>
              </w:rPr>
              <w:t>（见附录C）</w:t>
            </w:r>
            <w:r>
              <w:rPr>
                <w:rFonts w:hint="default" w:ascii="Times New Roman" w:hAnsi="Times New Roman" w:eastAsia="宋体" w:cs="Times New Roman"/>
                <w:sz w:val="18"/>
                <w:szCs w:val="18"/>
                <w:lang w:val="en-US" w:eastAsia="zh-CN"/>
              </w:rPr>
              <w:t>，建立原酒挥发性风味组分数据库</w:t>
            </w:r>
            <w:r>
              <w:rPr>
                <w:rFonts w:hint="eastAsia" w:ascii="Times New Roman" w:hAnsi="Times New Roman" w:eastAsia="宋体" w:cs="Times New Roman"/>
                <w:sz w:val="18"/>
                <w:szCs w:val="18"/>
                <w:lang w:val="en-US" w:eastAsia="zh-CN"/>
              </w:rPr>
              <w:t>（见附录 D）</w:t>
            </w:r>
            <w:r>
              <w:rPr>
                <w:rFonts w:hint="default" w:ascii="Times New Roman" w:hAnsi="Times New Roman" w:eastAsia="宋体" w:cs="Times New Roman"/>
                <w:sz w:val="18"/>
                <w:szCs w:val="18"/>
                <w:lang w:val="en-US" w:eastAsia="zh-CN"/>
              </w:rPr>
              <w:t>，</w:t>
            </w:r>
            <w:r>
              <w:rPr>
                <w:rFonts w:hint="eastAsia" w:ascii="Times New Roman" w:hAnsi="Times New Roman" w:eastAsia="宋体" w:cs="Times New Roman"/>
                <w:sz w:val="18"/>
                <w:szCs w:val="18"/>
                <w:lang w:val="en-US" w:eastAsia="zh-CN"/>
              </w:rPr>
              <w:t>通过原酒</w:t>
            </w:r>
            <w:r>
              <w:rPr>
                <w:rFonts w:hint="default" w:ascii="Times New Roman" w:hAnsi="Times New Roman" w:eastAsia="宋体" w:cs="Times New Roman"/>
                <w:sz w:val="18"/>
                <w:szCs w:val="18"/>
                <w:lang w:val="en-US" w:eastAsia="zh-CN"/>
              </w:rPr>
              <w:t>挥发性</w:t>
            </w:r>
            <w:r>
              <w:rPr>
                <w:rFonts w:hint="eastAsia" w:ascii="Times New Roman" w:hAnsi="Times New Roman" w:eastAsia="宋体" w:cs="Times New Roman"/>
                <w:sz w:val="18"/>
                <w:szCs w:val="18"/>
                <w:lang w:val="en-US" w:eastAsia="zh-CN"/>
              </w:rPr>
              <w:t>风味组分数据库和专家质量评价，综合判断原酒真实性以及是否含有外源添加</w:t>
            </w:r>
            <w:r>
              <w:rPr>
                <w:rFonts w:hint="default" w:ascii="Times New Roman" w:hAnsi="Times New Roman" w:eastAsia="宋体" w:cs="Times New Roman"/>
                <w:sz w:val="18"/>
                <w:szCs w:val="18"/>
                <w:lang w:val="en-US" w:eastAsia="zh-CN"/>
              </w:rPr>
              <w:t>外源乙醇或外源呈香呈味物质</w:t>
            </w:r>
          </w:p>
        </w:tc>
      </w:tr>
      <w:tr w14:paraId="05825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bottom w:val="single" w:color="auto" w:sz="4" w:space="0"/>
            </w:tcBorders>
            <w:noWrap w:val="0"/>
            <w:vAlign w:val="center"/>
          </w:tcPr>
          <w:p w14:paraId="07FB6DFF">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7</w:t>
            </w:r>
          </w:p>
        </w:tc>
        <w:tc>
          <w:tcPr>
            <w:tcW w:w="710" w:type="dxa"/>
            <w:vMerge w:val="continue"/>
            <w:tcBorders>
              <w:top w:val="single" w:color="auto" w:sz="8" w:space="0"/>
              <w:bottom w:val="single" w:color="auto" w:sz="8" w:space="0"/>
            </w:tcBorders>
            <w:noWrap w:val="0"/>
            <w:vAlign w:val="center"/>
          </w:tcPr>
          <w:p w14:paraId="4C308F29">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bottom w:val="single" w:color="auto" w:sz="4" w:space="0"/>
            </w:tcBorders>
            <w:noWrap w:val="0"/>
            <w:vAlign w:val="center"/>
          </w:tcPr>
          <w:p w14:paraId="46B05805">
            <w:pPr>
              <w:pageBreakBefore w:val="0"/>
              <w:widowControl/>
              <w:kinsoku/>
              <w:wordWrap/>
              <w:overflowPunct/>
              <w:topLinePunct w:val="0"/>
              <w:bidi w:val="0"/>
              <w:adjustRightInd/>
              <w:snapToGrid/>
              <w:spacing w:line="240" w:lineRule="auto"/>
              <w:jc w:val="center"/>
              <w:rPr>
                <w:rFonts w:hint="default" w:ascii="黑体" w:hAnsi="黑体" w:cs="黑体"/>
                <w:bCs/>
                <w:sz w:val="18"/>
                <w:szCs w:val="18"/>
                <w:lang w:val="en-US" w:eastAsia="zh-CN"/>
              </w:rPr>
            </w:pPr>
            <w:r>
              <w:rPr>
                <w:rFonts w:hint="eastAsia" w:ascii="黑体" w:hAnsi="黑体" w:cs="黑体"/>
                <w:bCs/>
                <w:sz w:val="18"/>
                <w:szCs w:val="18"/>
                <w:lang w:val="en-US" w:eastAsia="zh-CN"/>
              </w:rPr>
              <w:t>食品安全</w:t>
            </w:r>
          </w:p>
        </w:tc>
        <w:tc>
          <w:tcPr>
            <w:tcW w:w="815" w:type="dxa"/>
            <w:tcBorders>
              <w:top w:val="single" w:color="auto" w:sz="4" w:space="0"/>
              <w:bottom w:val="single" w:color="auto" w:sz="4" w:space="0"/>
            </w:tcBorders>
            <w:noWrap w:val="0"/>
            <w:vAlign w:val="center"/>
          </w:tcPr>
          <w:p w14:paraId="6217C35D">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3211" w:type="dxa"/>
            <w:tcBorders>
              <w:top w:val="single" w:color="auto" w:sz="4" w:space="0"/>
              <w:bottom w:val="single" w:color="auto" w:sz="4" w:space="0"/>
            </w:tcBorders>
            <w:noWrap w:val="0"/>
            <w:vAlign w:val="center"/>
          </w:tcPr>
          <w:p w14:paraId="33EC2029">
            <w:pPr>
              <w:pageBreakBefore w:val="0"/>
              <w:widowControl/>
              <w:kinsoku/>
              <w:wordWrap/>
              <w:overflowPunct/>
              <w:topLinePunct w:val="0"/>
              <w:bidi w:val="0"/>
              <w:adjustRightInd/>
              <w:snapToGrid/>
              <w:spacing w:line="240" w:lineRule="auto"/>
              <w:ind w:firstLine="180" w:firstLineChars="100"/>
              <w:jc w:val="both"/>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食品安全</w:t>
            </w:r>
            <w:r>
              <w:rPr>
                <w:rFonts w:hint="default" w:ascii="Times New Roman" w:hAnsi="Times New Roman" w:eastAsia="宋体" w:cs="Times New Roman"/>
                <w:sz w:val="18"/>
                <w:szCs w:val="18"/>
                <w:lang w:val="en-US" w:eastAsia="zh-CN"/>
              </w:rPr>
              <w:t>应符合GB 2757</w:t>
            </w:r>
            <w:r>
              <w:rPr>
                <w:rFonts w:hint="eastAsia" w:ascii="Times New Roman" w:hAnsi="Times New Roman" w:eastAsia="宋体" w:cs="Times New Roman"/>
                <w:sz w:val="18"/>
                <w:szCs w:val="18"/>
                <w:lang w:val="en-US" w:eastAsia="zh-CN"/>
              </w:rPr>
              <w:t>的</w:t>
            </w:r>
            <w:r>
              <w:rPr>
                <w:rFonts w:hint="default" w:ascii="Times New Roman" w:hAnsi="Times New Roman" w:eastAsia="宋体" w:cs="Times New Roman"/>
                <w:sz w:val="18"/>
                <w:szCs w:val="18"/>
                <w:lang w:val="en-US" w:eastAsia="zh-CN"/>
              </w:rPr>
              <w:t>规定</w:t>
            </w:r>
          </w:p>
          <w:p w14:paraId="64605C3B">
            <w:pPr>
              <w:pageBreakBefore w:val="0"/>
              <w:widowControl/>
              <w:kinsoku/>
              <w:wordWrap/>
              <w:overflowPunct/>
              <w:topLinePunct w:val="0"/>
              <w:bidi w:val="0"/>
              <w:adjustRightInd/>
              <w:snapToGrid/>
              <w:spacing w:line="240" w:lineRule="auto"/>
              <w:ind w:firstLine="180" w:firstLineChars="10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食品安全风险监测指标应符合表</w:t>
            </w:r>
            <w:r>
              <w:rPr>
                <w:rFonts w:hint="eastAsia"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lang w:val="en-US" w:eastAsia="zh-CN"/>
              </w:rPr>
              <w:t>的规定</w:t>
            </w:r>
          </w:p>
        </w:tc>
        <w:tc>
          <w:tcPr>
            <w:tcW w:w="1498" w:type="dxa"/>
            <w:tcBorders>
              <w:top w:val="single" w:color="auto" w:sz="4" w:space="0"/>
              <w:bottom w:val="single" w:color="auto" w:sz="4" w:space="0"/>
            </w:tcBorders>
            <w:noWrap w:val="0"/>
            <w:vAlign w:val="center"/>
          </w:tcPr>
          <w:p w14:paraId="150CEF51">
            <w:pPr>
              <w:pageBreakBefore w:val="0"/>
              <w:kinsoku/>
              <w:wordWrap/>
              <w:overflowPunct/>
              <w:topLinePunct w:val="0"/>
              <w:bidi w:val="0"/>
              <w:adjustRightInd/>
              <w:snapToGrid/>
              <w:spacing w:line="240" w:lineRule="auto"/>
              <w:ind w:firstLine="180" w:firstLineChars="100"/>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eastAsia="宋体" w:cs="Times New Roman"/>
                <w:sz w:val="18"/>
                <w:szCs w:val="18"/>
                <w:lang w:val="en-US" w:eastAsia="zh-CN"/>
              </w:rPr>
              <w:t>GB 2757</w:t>
            </w:r>
            <w:r>
              <w:rPr>
                <w:rFonts w:hint="eastAsia" w:ascii="Times New Roman" w:hAnsi="Times New Roman" w:eastAsia="宋体" w:cs="Times New Roman"/>
                <w:sz w:val="18"/>
                <w:szCs w:val="18"/>
                <w:lang w:val="en-US" w:eastAsia="zh-CN"/>
              </w:rPr>
              <w:t>执行</w:t>
            </w:r>
          </w:p>
        </w:tc>
      </w:tr>
      <w:tr w14:paraId="7A699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dxa"/>
            <w:tcBorders>
              <w:top w:val="single" w:color="auto" w:sz="4" w:space="0"/>
            </w:tcBorders>
            <w:noWrap w:val="0"/>
            <w:vAlign w:val="center"/>
          </w:tcPr>
          <w:p w14:paraId="2E5A7FA8">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8</w:t>
            </w:r>
          </w:p>
        </w:tc>
        <w:tc>
          <w:tcPr>
            <w:tcW w:w="710" w:type="dxa"/>
            <w:vMerge w:val="continue"/>
            <w:tcBorders>
              <w:top w:val="single" w:color="auto" w:sz="8" w:space="0"/>
              <w:bottom w:val="single" w:color="auto" w:sz="8" w:space="0"/>
            </w:tcBorders>
            <w:noWrap w:val="0"/>
            <w:vAlign w:val="center"/>
          </w:tcPr>
          <w:p w14:paraId="33344C5B">
            <w:pPr>
              <w:pageBreakBefore w:val="0"/>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1856" w:type="dxa"/>
            <w:tcBorders>
              <w:top w:val="single" w:color="auto" w:sz="4" w:space="0"/>
            </w:tcBorders>
            <w:noWrap w:val="0"/>
            <w:vAlign w:val="center"/>
          </w:tcPr>
          <w:p w14:paraId="2CAA8E07">
            <w:pPr>
              <w:pageBreakBefore w:val="0"/>
              <w:widowControl/>
              <w:kinsoku/>
              <w:wordWrap/>
              <w:overflowPunct/>
              <w:topLinePunct w:val="0"/>
              <w:bidi w:val="0"/>
              <w:adjustRightInd/>
              <w:snapToGrid/>
              <w:spacing w:line="240" w:lineRule="auto"/>
              <w:jc w:val="center"/>
              <w:rPr>
                <w:rFonts w:hint="default" w:ascii="黑体" w:hAnsi="黑体" w:cs="黑体"/>
                <w:bCs/>
                <w:sz w:val="18"/>
                <w:szCs w:val="18"/>
                <w:lang w:val="en-US" w:eastAsia="zh-CN"/>
              </w:rPr>
            </w:pPr>
            <w:r>
              <w:rPr>
                <w:rFonts w:hint="eastAsia" w:ascii="黑体" w:hAnsi="黑体" w:cs="黑体"/>
                <w:bCs/>
                <w:sz w:val="18"/>
                <w:szCs w:val="18"/>
                <w:lang w:val="en-US" w:eastAsia="zh-CN"/>
              </w:rPr>
              <w:t>标志、包装、运输和贮存</w:t>
            </w:r>
          </w:p>
        </w:tc>
        <w:tc>
          <w:tcPr>
            <w:tcW w:w="815" w:type="dxa"/>
            <w:tcBorders>
              <w:top w:val="single" w:color="auto" w:sz="4" w:space="0"/>
            </w:tcBorders>
            <w:noWrap w:val="0"/>
            <w:vAlign w:val="center"/>
          </w:tcPr>
          <w:p w14:paraId="7D8E8B27">
            <w:pPr>
              <w:pageBreakBefore w:val="0"/>
              <w:widowControl/>
              <w:kinsoku/>
              <w:wordWrap/>
              <w:overflowPunct/>
              <w:topLinePunct w:val="0"/>
              <w:bidi w:val="0"/>
              <w:adjustRightInd/>
              <w:snapToGrid/>
              <w:spacing w:line="240" w:lineRule="auto"/>
              <w:jc w:val="center"/>
              <w:rPr>
                <w:rFonts w:hint="default" w:ascii="Times New Roman" w:hAnsi="Times New Roman" w:cs="Times New Roman"/>
                <w:color w:val="000000"/>
                <w:kern w:val="0"/>
                <w:sz w:val="18"/>
                <w:szCs w:val="18"/>
              </w:rPr>
            </w:pPr>
          </w:p>
        </w:tc>
        <w:tc>
          <w:tcPr>
            <w:tcW w:w="3211" w:type="dxa"/>
            <w:tcBorders>
              <w:top w:val="single" w:color="auto" w:sz="4" w:space="0"/>
            </w:tcBorders>
            <w:noWrap w:val="0"/>
            <w:vAlign w:val="center"/>
          </w:tcPr>
          <w:p w14:paraId="0091613B">
            <w:pPr>
              <w:pageBreakBefore w:val="0"/>
              <w:widowControl/>
              <w:kinsoku/>
              <w:wordWrap/>
              <w:overflowPunct/>
              <w:topLinePunct w:val="0"/>
              <w:bidi w:val="0"/>
              <w:adjustRightInd/>
              <w:snapToGrid/>
              <w:spacing w:line="240" w:lineRule="auto"/>
              <w:ind w:firstLine="180" w:firstLineChars="100"/>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pacing w:val="0"/>
                <w:sz w:val="18"/>
                <w:szCs w:val="18"/>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eastAsia="宋体" w:cs="Times New Roman"/>
                <w:spacing w:val="0"/>
                <w:sz w:val="18"/>
                <w:szCs w:val="18"/>
              </w:rPr>
              <w:t>GB/T 10346执行</w:t>
            </w:r>
            <w:r>
              <w:rPr>
                <w:rFonts w:hint="eastAsia" w:ascii="Times New Roman" w:hAnsi="Times New Roman" w:eastAsia="宋体" w:cs="Times New Roman"/>
                <w:spacing w:val="0"/>
                <w:sz w:val="18"/>
                <w:szCs w:val="18"/>
                <w:lang w:eastAsia="zh-CN"/>
              </w:rPr>
              <w:t>，</w:t>
            </w:r>
            <w:r>
              <w:rPr>
                <w:rFonts w:hint="default" w:ascii="Times New Roman" w:hAnsi="Times New Roman" w:eastAsia="宋体" w:cs="Times New Roman"/>
                <w:spacing w:val="0"/>
                <w:sz w:val="18"/>
                <w:szCs w:val="18"/>
              </w:rPr>
              <w:t>酒精度实测值与标签标示值允许差为</w:t>
            </w:r>
            <w:r>
              <w:rPr>
                <w:rFonts w:hint="eastAsia" w:ascii="宋体" w:hAnsi="宋体" w:eastAsia="宋体" w:cs="宋体"/>
                <w:spacing w:val="0"/>
                <w:sz w:val="18"/>
                <w:szCs w:val="18"/>
              </w:rPr>
              <w:t>±</w:t>
            </w:r>
            <w:r>
              <w:rPr>
                <w:rFonts w:hint="default" w:ascii="Times New Roman" w:hAnsi="Times New Roman" w:eastAsia="宋体" w:cs="Times New Roman"/>
                <w:spacing w:val="0"/>
                <w:sz w:val="18"/>
                <w:szCs w:val="18"/>
              </w:rPr>
              <w:t>1.0%vol</w:t>
            </w:r>
          </w:p>
        </w:tc>
        <w:tc>
          <w:tcPr>
            <w:tcW w:w="1498" w:type="dxa"/>
            <w:tcBorders>
              <w:top w:val="single" w:color="auto" w:sz="4" w:space="0"/>
            </w:tcBorders>
            <w:noWrap w:val="0"/>
            <w:vAlign w:val="center"/>
          </w:tcPr>
          <w:p w14:paraId="367B703A">
            <w:pPr>
              <w:pageBreakBefore w:val="0"/>
              <w:kinsoku/>
              <w:wordWrap/>
              <w:overflowPunct/>
              <w:topLinePunct w:val="0"/>
              <w:bidi w:val="0"/>
              <w:adjustRightInd/>
              <w:snapToGrid/>
              <w:spacing w:line="240" w:lineRule="auto"/>
              <w:jc w:val="left"/>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pacing w:val="0"/>
                <w:sz w:val="18"/>
                <w:szCs w:val="18"/>
              </w:rPr>
              <w:t>按</w:t>
            </w:r>
            <w:r>
              <w:rPr>
                <w:rFonts w:hint="eastAsia" w:ascii="Times New Roman" w:hAnsi="Times New Roman" w:eastAsia="宋体" w:cs="Times New Roman"/>
                <w:spacing w:val="0"/>
                <w:sz w:val="18"/>
                <w:szCs w:val="18"/>
                <w:lang w:val="en-US" w:eastAsia="zh-CN"/>
              </w:rPr>
              <w:t>照</w:t>
            </w:r>
            <w:r>
              <w:rPr>
                <w:rFonts w:hint="default" w:ascii="Times New Roman" w:hAnsi="Times New Roman" w:eastAsia="宋体" w:cs="Times New Roman"/>
                <w:spacing w:val="0"/>
                <w:sz w:val="18"/>
                <w:szCs w:val="18"/>
              </w:rPr>
              <w:t>GB/T 10346执行</w:t>
            </w:r>
          </w:p>
        </w:tc>
      </w:tr>
    </w:tbl>
    <w:p w14:paraId="16E51CFC">
      <w:pPr>
        <w:pStyle w:val="21"/>
        <w:keepNext w:val="0"/>
        <w:keepLines w:val="0"/>
        <w:pageBreakBefore w:val="0"/>
        <w:widowControl/>
        <w:kinsoku/>
        <w:wordWrap/>
        <w:overflowPunct/>
        <w:topLinePunct w:val="0"/>
        <w:autoSpaceDE w:val="0"/>
        <w:autoSpaceDN w:val="0"/>
        <w:bidi w:val="0"/>
        <w:adjustRightInd/>
        <w:snapToGrid/>
        <w:spacing w:before="313" w:beforeLines="100" w:after="157" w:afterLines="50"/>
        <w:ind w:left="0" w:leftChars="0" w:firstLine="0" w:firstLineChars="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感官质量</w:t>
      </w:r>
    </w:p>
    <w:p w14:paraId="57F4B8B8">
      <w:pPr>
        <w:spacing w:line="170" w:lineRule="exact"/>
      </w:pPr>
    </w:p>
    <w:tbl>
      <w:tblPr>
        <w:tblStyle w:val="152"/>
        <w:tblW w:w="8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845"/>
        <w:gridCol w:w="1845"/>
        <w:gridCol w:w="1845"/>
        <w:gridCol w:w="1847"/>
      </w:tblGrid>
      <w:tr w14:paraId="4E55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Merge w:val="restart"/>
            <w:tcBorders>
              <w:top w:val="single" w:color="auto" w:sz="8" w:space="0"/>
              <w:left w:val="single" w:color="auto" w:sz="8" w:space="0"/>
              <w:bottom w:val="nil"/>
            </w:tcBorders>
            <w:noWrap w:val="0"/>
            <w:vAlign w:val="center"/>
          </w:tcPr>
          <w:p w14:paraId="6D03888C">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5"/>
                <w:sz w:val="18"/>
                <w:szCs w:val="18"/>
              </w:rPr>
              <w:t>项</w:t>
            </w:r>
            <w:r>
              <w:rPr>
                <w:rFonts w:hint="default" w:ascii="Times New Roman" w:hAnsi="Times New Roman" w:cs="Times New Roman"/>
                <w:spacing w:val="40"/>
                <w:sz w:val="18"/>
                <w:szCs w:val="18"/>
              </w:rPr>
              <w:t xml:space="preserve"> </w:t>
            </w:r>
            <w:r>
              <w:rPr>
                <w:rFonts w:hint="default" w:ascii="Times New Roman" w:hAnsi="Times New Roman" w:cs="Times New Roman"/>
                <w:spacing w:val="-5"/>
                <w:sz w:val="18"/>
                <w:szCs w:val="18"/>
              </w:rPr>
              <w:t>目</w:t>
            </w:r>
          </w:p>
        </w:tc>
        <w:tc>
          <w:tcPr>
            <w:tcW w:w="7382" w:type="dxa"/>
            <w:gridSpan w:val="4"/>
            <w:tcBorders>
              <w:top w:val="single" w:color="auto" w:sz="8" w:space="0"/>
              <w:right w:val="single" w:color="auto" w:sz="8" w:space="0"/>
            </w:tcBorders>
            <w:noWrap w:val="0"/>
            <w:vAlign w:val="top"/>
          </w:tcPr>
          <w:p w14:paraId="39023ED6">
            <w:pPr>
              <w:pStyle w:val="153"/>
              <w:keepNext w:val="0"/>
              <w:keepLines w:val="0"/>
              <w:pageBreakBefore w:val="0"/>
              <w:widowControl w:val="0"/>
              <w:kinsoku/>
              <w:wordWrap/>
              <w:overflowPunct/>
              <w:topLinePunct w:val="0"/>
              <w:autoSpaceDE/>
              <w:autoSpaceDN/>
              <w:bidi w:val="0"/>
              <w:adjustRightInd/>
              <w:snapToGrid/>
              <w:spacing w:line="240" w:lineRule="auto"/>
              <w:ind w:left="3534"/>
              <w:textAlignment w:val="auto"/>
              <w:rPr>
                <w:rFonts w:hint="default" w:ascii="Times New Roman" w:hAnsi="Times New Roman" w:cs="Times New Roman"/>
                <w:sz w:val="18"/>
                <w:szCs w:val="18"/>
              </w:rPr>
            </w:pPr>
            <w:r>
              <w:rPr>
                <w:rFonts w:hint="default" w:ascii="Times New Roman" w:hAnsi="Times New Roman" w:cs="Times New Roman"/>
                <w:spacing w:val="-4"/>
                <w:sz w:val="18"/>
                <w:szCs w:val="18"/>
              </w:rPr>
              <w:t>要</w:t>
            </w:r>
            <w:r>
              <w:rPr>
                <w:rFonts w:hint="default" w:ascii="Times New Roman" w:hAnsi="Times New Roman" w:cs="Times New Roman"/>
                <w:spacing w:val="8"/>
                <w:sz w:val="18"/>
                <w:szCs w:val="18"/>
              </w:rPr>
              <w:t xml:space="preserve">   </w:t>
            </w:r>
            <w:r>
              <w:rPr>
                <w:rFonts w:hint="default" w:ascii="Times New Roman" w:hAnsi="Times New Roman" w:cs="Times New Roman"/>
                <w:spacing w:val="-4"/>
                <w:sz w:val="18"/>
                <w:szCs w:val="18"/>
              </w:rPr>
              <w:t>求</w:t>
            </w:r>
          </w:p>
        </w:tc>
      </w:tr>
      <w:tr w14:paraId="5B1D7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vMerge w:val="continue"/>
            <w:tcBorders>
              <w:top w:val="nil"/>
              <w:left w:val="single" w:color="auto" w:sz="8" w:space="0"/>
              <w:bottom w:val="single" w:color="auto" w:sz="8" w:space="0"/>
            </w:tcBorders>
            <w:noWrap w:val="0"/>
            <w:vAlign w:val="center"/>
          </w:tcPr>
          <w:p w14:paraId="146F5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845" w:type="dxa"/>
            <w:tcBorders>
              <w:bottom w:val="single" w:color="auto" w:sz="8" w:space="0"/>
            </w:tcBorders>
            <w:noWrap w:val="0"/>
            <w:vAlign w:val="top"/>
          </w:tcPr>
          <w:p w14:paraId="161BC104">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5"/>
                <w:sz w:val="18"/>
                <w:szCs w:val="18"/>
              </w:rPr>
              <w:t>调味</w:t>
            </w:r>
          </w:p>
        </w:tc>
        <w:tc>
          <w:tcPr>
            <w:tcW w:w="1845" w:type="dxa"/>
            <w:tcBorders>
              <w:bottom w:val="single" w:color="auto" w:sz="8" w:space="0"/>
            </w:tcBorders>
            <w:noWrap w:val="0"/>
            <w:vAlign w:val="top"/>
          </w:tcPr>
          <w:p w14:paraId="260F9D34">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4"/>
                <w:sz w:val="18"/>
                <w:szCs w:val="18"/>
              </w:rPr>
              <w:t>特级</w:t>
            </w:r>
          </w:p>
        </w:tc>
        <w:tc>
          <w:tcPr>
            <w:tcW w:w="1845" w:type="dxa"/>
            <w:tcBorders>
              <w:bottom w:val="single" w:color="auto" w:sz="8" w:space="0"/>
            </w:tcBorders>
            <w:noWrap w:val="0"/>
            <w:vAlign w:val="top"/>
          </w:tcPr>
          <w:p w14:paraId="3972C808">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4"/>
                <w:sz w:val="18"/>
                <w:szCs w:val="18"/>
              </w:rPr>
              <w:t>优级</w:t>
            </w:r>
          </w:p>
        </w:tc>
        <w:tc>
          <w:tcPr>
            <w:tcW w:w="1847" w:type="dxa"/>
            <w:tcBorders>
              <w:bottom w:val="single" w:color="auto" w:sz="8" w:space="0"/>
              <w:right w:val="single" w:color="auto" w:sz="8" w:space="0"/>
            </w:tcBorders>
            <w:noWrap w:val="0"/>
            <w:vAlign w:val="top"/>
          </w:tcPr>
          <w:p w14:paraId="402A4045">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5"/>
                <w:sz w:val="18"/>
                <w:szCs w:val="18"/>
              </w:rPr>
              <w:t>一级</w:t>
            </w:r>
          </w:p>
        </w:tc>
      </w:tr>
      <w:tr w14:paraId="5E68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tcBorders>
              <w:top w:val="single" w:color="auto" w:sz="8" w:space="0"/>
              <w:left w:val="single" w:color="auto" w:sz="8" w:space="0"/>
            </w:tcBorders>
            <w:noWrap w:val="0"/>
            <w:vAlign w:val="center"/>
          </w:tcPr>
          <w:p w14:paraId="48753A1C">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2"/>
                <w:sz w:val="18"/>
                <w:szCs w:val="18"/>
              </w:rPr>
              <w:t>色泽和外观</w:t>
            </w:r>
          </w:p>
        </w:tc>
        <w:tc>
          <w:tcPr>
            <w:tcW w:w="7382" w:type="dxa"/>
            <w:gridSpan w:val="4"/>
            <w:tcBorders>
              <w:top w:val="single" w:color="auto" w:sz="8" w:space="0"/>
              <w:right w:val="single" w:color="auto" w:sz="8" w:space="0"/>
            </w:tcBorders>
            <w:noWrap w:val="0"/>
            <w:vAlign w:val="center"/>
          </w:tcPr>
          <w:p w14:paraId="483ECFC8">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无色，微黄。酒龄越长，微黄的程度越深。澄清透明，无油面，无沉淀，无混浊，无悬浮物</w:t>
            </w:r>
          </w:p>
        </w:tc>
      </w:tr>
      <w:tr w14:paraId="2CDF9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tcBorders>
              <w:left w:val="single" w:color="auto" w:sz="8" w:space="0"/>
            </w:tcBorders>
            <w:noWrap w:val="0"/>
            <w:vAlign w:val="center"/>
          </w:tcPr>
          <w:p w14:paraId="76CF4417">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5"/>
                <w:sz w:val="18"/>
                <w:szCs w:val="18"/>
              </w:rPr>
              <w:t>香</w:t>
            </w:r>
            <w:r>
              <w:rPr>
                <w:rFonts w:hint="default" w:ascii="Times New Roman" w:hAnsi="Times New Roman" w:cs="Times New Roman"/>
                <w:spacing w:val="7"/>
                <w:sz w:val="18"/>
                <w:szCs w:val="18"/>
              </w:rPr>
              <w:t xml:space="preserve"> </w:t>
            </w:r>
            <w:r>
              <w:rPr>
                <w:rFonts w:hint="default" w:ascii="Times New Roman" w:hAnsi="Times New Roman" w:cs="Times New Roman"/>
                <w:spacing w:val="-5"/>
                <w:sz w:val="18"/>
                <w:szCs w:val="18"/>
              </w:rPr>
              <w:t>气</w:t>
            </w:r>
          </w:p>
        </w:tc>
        <w:tc>
          <w:tcPr>
            <w:tcW w:w="1845" w:type="dxa"/>
            <w:noWrap w:val="0"/>
            <w:vAlign w:val="top"/>
          </w:tcPr>
          <w:p w14:paraId="24A1B92D">
            <w:pPr>
              <w:pStyle w:val="153"/>
              <w:keepNext w:val="0"/>
              <w:keepLines w:val="0"/>
              <w:pageBreakBefore w:val="0"/>
              <w:widowControl w:val="0"/>
              <w:kinsoku/>
              <w:wordWrap/>
              <w:overflowPunct/>
              <w:topLinePunct w:val="0"/>
              <w:autoSpaceDE/>
              <w:autoSpaceDN/>
              <w:bidi w:val="0"/>
              <w:adjustRightInd/>
              <w:snapToGrid/>
              <w:spacing w:line="240" w:lineRule="auto"/>
              <w:ind w:left="112" w:right="110" w:firstLine="180"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窖香馥郁，香气自然幽雅，多粮浓香复合感典型</w:t>
            </w:r>
          </w:p>
        </w:tc>
        <w:tc>
          <w:tcPr>
            <w:tcW w:w="1845" w:type="dxa"/>
            <w:noWrap w:val="0"/>
            <w:vAlign w:val="top"/>
          </w:tcPr>
          <w:p w14:paraId="4F5923E2">
            <w:pPr>
              <w:pStyle w:val="153"/>
              <w:keepNext w:val="0"/>
              <w:keepLines w:val="0"/>
              <w:pageBreakBefore w:val="0"/>
              <w:widowControl w:val="0"/>
              <w:kinsoku/>
              <w:wordWrap/>
              <w:overflowPunct/>
              <w:topLinePunct w:val="0"/>
              <w:autoSpaceDE/>
              <w:autoSpaceDN/>
              <w:bidi w:val="0"/>
              <w:adjustRightInd/>
              <w:snapToGrid/>
              <w:spacing w:line="240" w:lineRule="auto"/>
              <w:ind w:left="112" w:right="109" w:firstLine="180"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窖香馥郁</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香气自然舒适，多粮浓香复合感典型</w:t>
            </w:r>
          </w:p>
        </w:tc>
        <w:tc>
          <w:tcPr>
            <w:tcW w:w="1845" w:type="dxa"/>
            <w:noWrap w:val="0"/>
            <w:vAlign w:val="center"/>
          </w:tcPr>
          <w:p w14:paraId="2A86BA68">
            <w:pPr>
              <w:pStyle w:val="153"/>
              <w:keepNext w:val="0"/>
              <w:keepLines w:val="0"/>
              <w:pageBreakBefore w:val="0"/>
              <w:widowControl w:val="0"/>
              <w:kinsoku/>
              <w:wordWrap/>
              <w:overflowPunct/>
              <w:topLinePunct w:val="0"/>
              <w:autoSpaceDE/>
              <w:autoSpaceDN/>
              <w:bidi w:val="0"/>
              <w:adjustRightInd/>
              <w:snapToGrid/>
              <w:spacing w:line="240" w:lineRule="auto"/>
              <w:ind w:right="151" w:firstLine="172"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4"/>
                <w:sz w:val="18"/>
                <w:szCs w:val="18"/>
              </w:rPr>
              <w:t>窖香浓郁</w:t>
            </w:r>
            <w:r>
              <w:rPr>
                <w:rFonts w:hint="eastAsia" w:ascii="Times New Roman" w:hAnsi="Times New Roman" w:cs="Times New Roman"/>
                <w:spacing w:val="-4"/>
                <w:sz w:val="18"/>
                <w:szCs w:val="18"/>
                <w:lang w:eastAsia="zh-CN"/>
              </w:rPr>
              <w:t>，</w:t>
            </w:r>
            <w:r>
              <w:rPr>
                <w:rFonts w:hint="default" w:ascii="Times New Roman" w:hAnsi="Times New Roman" w:cs="Times New Roman"/>
                <w:spacing w:val="-4"/>
                <w:sz w:val="18"/>
                <w:szCs w:val="18"/>
              </w:rPr>
              <w:t>香气自然，多粮浓香复合感好</w:t>
            </w:r>
          </w:p>
        </w:tc>
        <w:tc>
          <w:tcPr>
            <w:tcW w:w="1847" w:type="dxa"/>
            <w:tcBorders>
              <w:right w:val="single" w:color="auto" w:sz="8" w:space="0"/>
            </w:tcBorders>
            <w:noWrap w:val="0"/>
            <w:vAlign w:val="top"/>
          </w:tcPr>
          <w:p w14:paraId="7906F1C4">
            <w:pPr>
              <w:pStyle w:val="153"/>
              <w:keepNext w:val="0"/>
              <w:keepLines w:val="0"/>
              <w:pageBreakBefore w:val="0"/>
              <w:widowControl w:val="0"/>
              <w:kinsoku/>
              <w:wordWrap/>
              <w:overflowPunct/>
              <w:topLinePunct w:val="0"/>
              <w:autoSpaceDE/>
              <w:autoSpaceDN/>
              <w:bidi w:val="0"/>
              <w:adjustRightInd/>
              <w:snapToGrid/>
              <w:spacing w:line="240" w:lineRule="auto"/>
              <w:ind w:right="108" w:firstLine="180"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窖香较浓郁</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香气 自然，多粮浓香复合感较好</w:t>
            </w:r>
          </w:p>
        </w:tc>
      </w:tr>
      <w:tr w14:paraId="592DD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 w:hRule="atLeast"/>
        </w:trPr>
        <w:tc>
          <w:tcPr>
            <w:tcW w:w="921" w:type="dxa"/>
            <w:tcBorders>
              <w:left w:val="single" w:color="auto" w:sz="8" w:space="0"/>
            </w:tcBorders>
            <w:noWrap w:val="0"/>
            <w:vAlign w:val="center"/>
          </w:tcPr>
          <w:p w14:paraId="2725FBE8">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18"/>
                <w:sz w:val="18"/>
                <w:szCs w:val="18"/>
              </w:rPr>
              <w:t>口</w:t>
            </w:r>
            <w:r>
              <w:rPr>
                <w:rFonts w:hint="default" w:ascii="Times New Roman" w:hAnsi="Times New Roman" w:cs="Times New Roman"/>
                <w:spacing w:val="13"/>
                <w:sz w:val="18"/>
                <w:szCs w:val="18"/>
              </w:rPr>
              <w:t xml:space="preserve"> </w:t>
            </w:r>
            <w:r>
              <w:rPr>
                <w:rFonts w:hint="default" w:ascii="Times New Roman" w:hAnsi="Times New Roman" w:cs="Times New Roman"/>
                <w:spacing w:val="-18"/>
                <w:sz w:val="18"/>
                <w:szCs w:val="18"/>
              </w:rPr>
              <w:t>味</w:t>
            </w:r>
          </w:p>
        </w:tc>
        <w:tc>
          <w:tcPr>
            <w:tcW w:w="1845" w:type="dxa"/>
            <w:noWrap w:val="0"/>
            <w:vAlign w:val="top"/>
          </w:tcPr>
          <w:p w14:paraId="4A68F8BD">
            <w:pPr>
              <w:pStyle w:val="153"/>
              <w:keepNext w:val="0"/>
              <w:keepLines w:val="0"/>
              <w:pageBreakBefore w:val="0"/>
              <w:widowControl w:val="0"/>
              <w:kinsoku/>
              <w:wordWrap/>
              <w:overflowPunct/>
              <w:topLinePunct w:val="0"/>
              <w:autoSpaceDE/>
              <w:autoSpaceDN/>
              <w:bidi w:val="0"/>
              <w:adjustRightInd/>
              <w:snapToGrid/>
              <w:spacing w:line="240" w:lineRule="auto"/>
              <w:ind w:left="111" w:right="110" w:firstLine="180"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绵甜醇厚，或酒体丰满，或丰满细腻，后味、回味悠长。具有特殊口味，可用作调味酒</w:t>
            </w:r>
          </w:p>
        </w:tc>
        <w:tc>
          <w:tcPr>
            <w:tcW w:w="1845" w:type="dxa"/>
            <w:noWrap w:val="0"/>
            <w:vAlign w:val="top"/>
          </w:tcPr>
          <w:p w14:paraId="18047A65">
            <w:pPr>
              <w:pStyle w:val="153"/>
              <w:keepNext w:val="0"/>
              <w:keepLines w:val="0"/>
              <w:pageBreakBefore w:val="0"/>
              <w:widowControl w:val="0"/>
              <w:kinsoku/>
              <w:wordWrap/>
              <w:overflowPunct/>
              <w:topLinePunct w:val="0"/>
              <w:autoSpaceDE/>
              <w:autoSpaceDN/>
              <w:bidi w:val="0"/>
              <w:adjustRightInd/>
              <w:snapToGrid/>
              <w:spacing w:line="240" w:lineRule="auto"/>
              <w:ind w:left="113" w:right="109" w:firstLine="180"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具有与产品类型相符的口味特点。绵甜醇厚，或酒体丰满，或丰满细腻，后味、回味悠长</w:t>
            </w:r>
          </w:p>
        </w:tc>
        <w:tc>
          <w:tcPr>
            <w:tcW w:w="1845" w:type="dxa"/>
            <w:noWrap w:val="0"/>
            <w:vAlign w:val="top"/>
          </w:tcPr>
          <w:p w14:paraId="40F3C5BC">
            <w:pPr>
              <w:pStyle w:val="153"/>
              <w:keepNext w:val="0"/>
              <w:keepLines w:val="0"/>
              <w:pageBreakBefore w:val="0"/>
              <w:widowControl w:val="0"/>
              <w:kinsoku/>
              <w:wordWrap/>
              <w:overflowPunct/>
              <w:topLinePunct w:val="0"/>
              <w:autoSpaceDE/>
              <w:autoSpaceDN/>
              <w:bidi w:val="0"/>
              <w:adjustRightInd/>
              <w:snapToGrid/>
              <w:spacing w:line="240" w:lineRule="auto"/>
              <w:ind w:left="115" w:right="47" w:firstLine="180" w:firstLineChars="100"/>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具有与产品类型相符的口味特点。较绵甜醇厚，或较酒体丰满， 或较丰满细腻，后味、 回味较长</w:t>
            </w:r>
          </w:p>
        </w:tc>
        <w:tc>
          <w:tcPr>
            <w:tcW w:w="1847" w:type="dxa"/>
            <w:tcBorders>
              <w:right w:val="single" w:color="auto" w:sz="8" w:space="0"/>
            </w:tcBorders>
            <w:noWrap w:val="0"/>
            <w:vAlign w:val="center"/>
          </w:tcPr>
          <w:p w14:paraId="7C7D045E">
            <w:pPr>
              <w:pStyle w:val="153"/>
              <w:keepNext w:val="0"/>
              <w:keepLines w:val="0"/>
              <w:pageBreakBefore w:val="0"/>
              <w:widowControl w:val="0"/>
              <w:kinsoku/>
              <w:wordWrap/>
              <w:overflowPunct/>
              <w:topLinePunct w:val="0"/>
              <w:autoSpaceDE/>
              <w:autoSpaceDN/>
              <w:bidi w:val="0"/>
              <w:adjustRightInd/>
              <w:snapToGrid/>
              <w:spacing w:line="240" w:lineRule="auto"/>
              <w:ind w:left="114" w:right="71" w:firstLine="187" w:firstLineChars="109"/>
              <w:jc w:val="both"/>
              <w:textAlignment w:val="auto"/>
              <w:rPr>
                <w:rFonts w:hint="default" w:ascii="Times New Roman" w:hAnsi="Times New Roman" w:cs="Times New Roman"/>
                <w:spacing w:val="0"/>
                <w:sz w:val="18"/>
                <w:szCs w:val="18"/>
              </w:rPr>
            </w:pPr>
            <w:r>
              <w:rPr>
                <w:rFonts w:hint="default" w:ascii="Times New Roman" w:hAnsi="Times New Roman" w:cs="Times New Roman"/>
                <w:spacing w:val="-4"/>
                <w:sz w:val="18"/>
                <w:szCs w:val="18"/>
              </w:rPr>
              <w:t>尚绵甜醇厚，或 酒体尚丰满，或尚丰满细腻，后味、回味稍长</w:t>
            </w:r>
          </w:p>
        </w:tc>
      </w:tr>
      <w:tr w14:paraId="30C07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tcBorders>
              <w:left w:val="single" w:color="auto" w:sz="8" w:space="0"/>
            </w:tcBorders>
            <w:noWrap w:val="0"/>
            <w:vAlign w:val="center"/>
          </w:tcPr>
          <w:p w14:paraId="7B0809C2">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4"/>
                <w:sz w:val="18"/>
                <w:szCs w:val="18"/>
              </w:rPr>
              <w:t>风</w:t>
            </w:r>
            <w:r>
              <w:rPr>
                <w:rFonts w:hint="default" w:ascii="Times New Roman" w:hAnsi="Times New Roman" w:cs="Times New Roman"/>
                <w:spacing w:val="5"/>
                <w:sz w:val="18"/>
                <w:szCs w:val="18"/>
              </w:rPr>
              <w:t xml:space="preserve"> </w:t>
            </w:r>
            <w:r>
              <w:rPr>
                <w:rFonts w:hint="default" w:ascii="Times New Roman" w:hAnsi="Times New Roman" w:cs="Times New Roman"/>
                <w:spacing w:val="-4"/>
                <w:sz w:val="18"/>
                <w:szCs w:val="18"/>
              </w:rPr>
              <w:t>格</w:t>
            </w:r>
          </w:p>
        </w:tc>
        <w:tc>
          <w:tcPr>
            <w:tcW w:w="1845" w:type="dxa"/>
            <w:noWrap w:val="0"/>
            <w:vAlign w:val="top"/>
          </w:tcPr>
          <w:p w14:paraId="49CCEF42">
            <w:pPr>
              <w:pStyle w:val="153"/>
              <w:keepNext w:val="0"/>
              <w:keepLines w:val="0"/>
              <w:pageBreakBefore w:val="0"/>
              <w:widowControl w:val="0"/>
              <w:kinsoku/>
              <w:wordWrap/>
              <w:overflowPunct/>
              <w:topLinePunct w:val="0"/>
              <w:autoSpaceDE/>
              <w:autoSpaceDN/>
              <w:bidi w:val="0"/>
              <w:adjustRightInd/>
              <w:snapToGrid/>
              <w:spacing w:line="240" w:lineRule="auto"/>
              <w:ind w:right="110" w:firstLine="180" w:firstLineChars="100"/>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多粮浓香型风格突出、典型</w:t>
            </w:r>
          </w:p>
        </w:tc>
        <w:tc>
          <w:tcPr>
            <w:tcW w:w="1845" w:type="dxa"/>
            <w:noWrap w:val="0"/>
            <w:vAlign w:val="top"/>
          </w:tcPr>
          <w:p w14:paraId="4B55BDCE">
            <w:pPr>
              <w:pStyle w:val="153"/>
              <w:keepNext w:val="0"/>
              <w:keepLines w:val="0"/>
              <w:pageBreakBefore w:val="0"/>
              <w:widowControl w:val="0"/>
              <w:kinsoku/>
              <w:wordWrap/>
              <w:overflowPunct/>
              <w:topLinePunct w:val="0"/>
              <w:autoSpaceDE/>
              <w:autoSpaceDN/>
              <w:bidi w:val="0"/>
              <w:adjustRightInd/>
              <w:snapToGrid/>
              <w:spacing w:line="240" w:lineRule="auto"/>
              <w:ind w:right="109" w:firstLine="180" w:firstLineChars="100"/>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多粮浓香型风格突出、典型</w:t>
            </w:r>
          </w:p>
        </w:tc>
        <w:tc>
          <w:tcPr>
            <w:tcW w:w="1845" w:type="dxa"/>
            <w:noWrap w:val="0"/>
            <w:vAlign w:val="center"/>
          </w:tcPr>
          <w:p w14:paraId="0ED1EE47">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多粮浓香型风格典型</w:t>
            </w:r>
          </w:p>
        </w:tc>
        <w:tc>
          <w:tcPr>
            <w:tcW w:w="1847" w:type="dxa"/>
            <w:tcBorders>
              <w:right w:val="single" w:color="auto" w:sz="8" w:space="0"/>
            </w:tcBorders>
            <w:noWrap w:val="0"/>
            <w:vAlign w:val="center"/>
          </w:tcPr>
          <w:p w14:paraId="4BD7C631">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多粮浓香型风格明显</w:t>
            </w:r>
          </w:p>
        </w:tc>
      </w:tr>
      <w:tr w14:paraId="503B4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1" w:type="dxa"/>
            <w:tcBorders>
              <w:left w:val="single" w:color="auto" w:sz="8" w:space="0"/>
              <w:bottom w:val="single" w:color="auto" w:sz="8" w:space="0"/>
            </w:tcBorders>
            <w:noWrap w:val="0"/>
            <w:vAlign w:val="top"/>
          </w:tcPr>
          <w:p w14:paraId="7A24C5BF">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pacing w:val="-1"/>
                <w:sz w:val="18"/>
                <w:szCs w:val="18"/>
              </w:rPr>
              <w:t>评分范围（</w:t>
            </w:r>
            <w:r>
              <w:rPr>
                <w:rFonts w:hint="default" w:ascii="Times New Roman" w:hAnsi="Times New Roman" w:eastAsia="Times New Roman" w:cs="Times New Roman"/>
                <w:i/>
                <w:iCs/>
                <w:spacing w:val="-1"/>
                <w:sz w:val="18"/>
                <w:szCs w:val="18"/>
              </w:rPr>
              <w:t>F</w:t>
            </w:r>
            <w:r>
              <w:rPr>
                <w:rFonts w:hint="default" w:ascii="Times New Roman" w:hAnsi="Times New Roman" w:cs="Times New Roman"/>
                <w:spacing w:val="-1"/>
                <w:sz w:val="18"/>
                <w:szCs w:val="18"/>
              </w:rPr>
              <w:t>）</w:t>
            </w:r>
          </w:p>
        </w:tc>
        <w:tc>
          <w:tcPr>
            <w:tcW w:w="1845" w:type="dxa"/>
            <w:tcBorders>
              <w:bottom w:val="single" w:color="auto" w:sz="8" w:space="0"/>
            </w:tcBorders>
            <w:noWrap w:val="0"/>
            <w:vAlign w:val="top"/>
          </w:tcPr>
          <w:p w14:paraId="4B2D2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sz w:val="18"/>
                <w:szCs w:val="18"/>
              </w:rPr>
            </w:pPr>
            <w:r>
              <w:rPr>
                <w:rFonts w:hint="eastAsia" w:ascii="宋体" w:hAnsi="宋体" w:eastAsia="宋体" w:cs="宋体"/>
                <w:spacing w:val="-1"/>
                <w:sz w:val="18"/>
                <w:szCs w:val="18"/>
              </w:rPr>
              <w:t>≥</w:t>
            </w:r>
            <w:r>
              <w:rPr>
                <w:rFonts w:hint="default" w:ascii="Times New Roman" w:hAnsi="Times New Roman" w:eastAsia="Times New Roman" w:cs="Times New Roman"/>
                <w:spacing w:val="-1"/>
                <w:sz w:val="18"/>
                <w:szCs w:val="18"/>
              </w:rPr>
              <w:t>95.0</w:t>
            </w:r>
          </w:p>
        </w:tc>
        <w:tc>
          <w:tcPr>
            <w:tcW w:w="1845" w:type="dxa"/>
            <w:tcBorders>
              <w:bottom w:val="single" w:color="auto" w:sz="8" w:space="0"/>
            </w:tcBorders>
            <w:noWrap w:val="0"/>
            <w:vAlign w:val="top"/>
          </w:tcPr>
          <w:p w14:paraId="4D32845B">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2"/>
                <w:sz w:val="18"/>
                <w:szCs w:val="18"/>
              </w:rPr>
              <w:t>93.0</w:t>
            </w:r>
            <w:r>
              <w:rPr>
                <w:rFonts w:ascii="宋体" w:hAnsi="宋体" w:eastAsia="宋体" w:cs="宋体"/>
                <w:spacing w:val="-1"/>
                <w:sz w:val="21"/>
                <w:szCs w:val="21"/>
              </w:rPr>
              <w:t>～</w:t>
            </w:r>
            <w:r>
              <w:rPr>
                <w:rFonts w:hint="default" w:ascii="Times New Roman" w:hAnsi="Times New Roman" w:cs="Times New Roman"/>
                <w:spacing w:val="-2"/>
                <w:sz w:val="18"/>
                <w:szCs w:val="18"/>
              </w:rPr>
              <w:t>＜</w:t>
            </w:r>
            <w:r>
              <w:rPr>
                <w:rFonts w:hint="default" w:ascii="Times New Roman" w:hAnsi="Times New Roman" w:eastAsia="Times New Roman" w:cs="Times New Roman"/>
                <w:spacing w:val="-2"/>
                <w:sz w:val="18"/>
                <w:szCs w:val="18"/>
              </w:rPr>
              <w:t>95.0</w:t>
            </w:r>
          </w:p>
        </w:tc>
        <w:tc>
          <w:tcPr>
            <w:tcW w:w="1845" w:type="dxa"/>
            <w:tcBorders>
              <w:bottom w:val="single" w:color="auto" w:sz="8" w:space="0"/>
            </w:tcBorders>
            <w:noWrap w:val="0"/>
            <w:vAlign w:val="top"/>
          </w:tcPr>
          <w:p w14:paraId="47F402E7">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2"/>
                <w:sz w:val="18"/>
                <w:szCs w:val="18"/>
              </w:rPr>
              <w:t>90.0</w:t>
            </w:r>
            <w:r>
              <w:rPr>
                <w:rFonts w:ascii="宋体" w:hAnsi="宋体" w:eastAsia="宋体" w:cs="宋体"/>
                <w:spacing w:val="-1"/>
                <w:sz w:val="21"/>
                <w:szCs w:val="21"/>
              </w:rPr>
              <w:t>～</w:t>
            </w:r>
            <w:r>
              <w:rPr>
                <w:rFonts w:hint="default" w:ascii="Times New Roman" w:hAnsi="Times New Roman" w:cs="Times New Roman"/>
                <w:spacing w:val="-2"/>
                <w:sz w:val="18"/>
                <w:szCs w:val="18"/>
              </w:rPr>
              <w:t>＜</w:t>
            </w:r>
            <w:r>
              <w:rPr>
                <w:rFonts w:hint="default" w:ascii="Times New Roman" w:hAnsi="Times New Roman" w:eastAsia="Times New Roman" w:cs="Times New Roman"/>
                <w:spacing w:val="-2"/>
                <w:sz w:val="18"/>
                <w:szCs w:val="18"/>
              </w:rPr>
              <w:t>93.0</w:t>
            </w:r>
          </w:p>
        </w:tc>
        <w:tc>
          <w:tcPr>
            <w:tcW w:w="1847" w:type="dxa"/>
            <w:tcBorders>
              <w:bottom w:val="single" w:color="auto" w:sz="8" w:space="0"/>
              <w:right w:val="single" w:color="auto" w:sz="8" w:space="0"/>
            </w:tcBorders>
            <w:noWrap w:val="0"/>
            <w:vAlign w:val="top"/>
          </w:tcPr>
          <w:p w14:paraId="7AB9ECDC">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Times New Roman" w:cs="Times New Roman"/>
                <w:sz w:val="18"/>
                <w:szCs w:val="18"/>
              </w:rPr>
            </w:pPr>
            <w:r>
              <w:rPr>
                <w:rFonts w:hint="default" w:ascii="Times New Roman" w:hAnsi="Times New Roman" w:eastAsia="Times New Roman" w:cs="Times New Roman"/>
                <w:spacing w:val="-2"/>
                <w:sz w:val="18"/>
                <w:szCs w:val="18"/>
              </w:rPr>
              <w:t>85.0</w:t>
            </w:r>
            <w:r>
              <w:rPr>
                <w:rFonts w:ascii="宋体" w:hAnsi="宋体" w:eastAsia="宋体" w:cs="宋体"/>
                <w:spacing w:val="-1"/>
                <w:sz w:val="21"/>
                <w:szCs w:val="21"/>
              </w:rPr>
              <w:t>～</w:t>
            </w:r>
            <w:r>
              <w:rPr>
                <w:rFonts w:hint="default" w:ascii="Times New Roman" w:hAnsi="Times New Roman" w:cs="Times New Roman"/>
                <w:spacing w:val="-2"/>
                <w:sz w:val="18"/>
                <w:szCs w:val="18"/>
              </w:rPr>
              <w:t>＜</w:t>
            </w:r>
            <w:r>
              <w:rPr>
                <w:rFonts w:hint="default" w:ascii="Times New Roman" w:hAnsi="Times New Roman" w:eastAsia="Times New Roman" w:cs="Times New Roman"/>
                <w:spacing w:val="-2"/>
                <w:sz w:val="18"/>
                <w:szCs w:val="18"/>
              </w:rPr>
              <w:t>90.0</w:t>
            </w:r>
          </w:p>
        </w:tc>
      </w:tr>
    </w:tbl>
    <w:p w14:paraId="529E56EC">
      <w:pPr>
        <w:pStyle w:val="21"/>
        <w:keepNext w:val="0"/>
        <w:keepLines w:val="0"/>
        <w:pageBreakBefore w:val="0"/>
        <w:widowControl/>
        <w:kinsoku/>
        <w:wordWrap/>
        <w:overflowPunct/>
        <w:topLinePunct w:val="0"/>
        <w:autoSpaceDE w:val="0"/>
        <w:autoSpaceDN w:val="0"/>
        <w:bidi w:val="0"/>
        <w:adjustRightInd/>
        <w:snapToGrid/>
        <w:spacing w:before="313" w:beforeLines="100" w:after="157" w:afterLines="50"/>
        <w:ind w:left="0" w:leftChars="0" w:firstLine="0" w:firstLineChars="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理化指标</w:t>
      </w:r>
    </w:p>
    <w:p w14:paraId="2680163F">
      <w:pPr>
        <w:spacing w:line="168" w:lineRule="exact"/>
      </w:pPr>
    </w:p>
    <w:tbl>
      <w:tblPr>
        <w:tblStyle w:val="152"/>
        <w:tblW w:w="8293" w:type="dxa"/>
        <w:tblInd w:w="2" w:type="dxa"/>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Layout w:type="fixed"/>
        <w:tblCellMar>
          <w:top w:w="0" w:type="dxa"/>
          <w:left w:w="0" w:type="dxa"/>
          <w:bottom w:w="0" w:type="dxa"/>
          <w:right w:w="0" w:type="dxa"/>
        </w:tblCellMar>
      </w:tblPr>
      <w:tblGrid>
        <w:gridCol w:w="4146"/>
        <w:gridCol w:w="4147"/>
      </w:tblGrid>
      <w:tr w14:paraId="23CF45C2">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tcBorders>
              <w:bottom w:val="single" w:color="auto" w:sz="8" w:space="0"/>
            </w:tcBorders>
            <w:noWrap w:val="0"/>
            <w:vAlign w:val="top"/>
          </w:tcPr>
          <w:p w14:paraId="68DB41C7">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项目</w:t>
            </w:r>
          </w:p>
        </w:tc>
        <w:tc>
          <w:tcPr>
            <w:tcW w:w="4147" w:type="dxa"/>
            <w:tcBorders>
              <w:bottom w:val="single" w:color="auto" w:sz="8" w:space="0"/>
            </w:tcBorders>
            <w:noWrap w:val="0"/>
            <w:vAlign w:val="top"/>
          </w:tcPr>
          <w:p w14:paraId="09C0576C">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指标</w:t>
            </w:r>
          </w:p>
        </w:tc>
      </w:tr>
      <w:tr w14:paraId="54376543">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tcBorders>
              <w:top w:val="single" w:color="auto" w:sz="8" w:space="0"/>
            </w:tcBorders>
            <w:noWrap w:val="0"/>
            <w:vAlign w:val="top"/>
          </w:tcPr>
          <w:p w14:paraId="603EFA78">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酒精度</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20℃</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体积分数</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w:t>
            </w:r>
          </w:p>
        </w:tc>
        <w:tc>
          <w:tcPr>
            <w:tcW w:w="4147" w:type="dxa"/>
            <w:tcBorders>
              <w:top w:val="single" w:color="auto" w:sz="8" w:space="0"/>
            </w:tcBorders>
            <w:noWrap w:val="0"/>
            <w:vAlign w:val="top"/>
          </w:tcPr>
          <w:p w14:paraId="60D698F5">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eastAsia" w:ascii="宋体" w:hAnsi="宋体" w:eastAsia="宋体" w:cs="宋体"/>
                <w:spacing w:val="0"/>
                <w:sz w:val="18"/>
                <w:szCs w:val="18"/>
              </w:rPr>
              <w:t>≥</w:t>
            </w:r>
            <w:r>
              <w:rPr>
                <w:rFonts w:hint="default" w:ascii="Times New Roman" w:hAnsi="Times New Roman" w:cs="Times New Roman"/>
                <w:spacing w:val="0"/>
                <w:sz w:val="18"/>
                <w:szCs w:val="18"/>
              </w:rPr>
              <w:t>60.0</w:t>
            </w:r>
          </w:p>
        </w:tc>
      </w:tr>
      <w:tr w14:paraId="08CEA3DE">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noWrap w:val="0"/>
            <w:vAlign w:val="top"/>
          </w:tcPr>
          <w:p w14:paraId="5E79689C">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酸酯总量/</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mmol/L</w:t>
            </w:r>
            <w:r>
              <w:rPr>
                <w:rFonts w:hint="eastAsia" w:ascii="Times New Roman" w:hAnsi="Times New Roman" w:cs="Times New Roman"/>
                <w:spacing w:val="0"/>
                <w:sz w:val="18"/>
                <w:szCs w:val="18"/>
                <w:lang w:eastAsia="zh-CN"/>
              </w:rPr>
              <w:t>）</w:t>
            </w:r>
          </w:p>
        </w:tc>
        <w:tc>
          <w:tcPr>
            <w:tcW w:w="4147" w:type="dxa"/>
            <w:noWrap w:val="0"/>
            <w:vAlign w:val="top"/>
          </w:tcPr>
          <w:p w14:paraId="64B4FACB">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eastAsia" w:ascii="宋体" w:hAnsi="宋体" w:eastAsia="宋体" w:cs="宋体"/>
                <w:spacing w:val="0"/>
                <w:sz w:val="18"/>
                <w:szCs w:val="18"/>
              </w:rPr>
              <w:t>≥</w:t>
            </w:r>
            <w:r>
              <w:rPr>
                <w:rFonts w:hint="default" w:ascii="Times New Roman" w:hAnsi="Times New Roman" w:cs="Times New Roman"/>
                <w:spacing w:val="0"/>
                <w:sz w:val="18"/>
                <w:szCs w:val="18"/>
              </w:rPr>
              <w:t>40.0</w:t>
            </w:r>
          </w:p>
        </w:tc>
      </w:tr>
      <w:tr w14:paraId="1DB84B64">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noWrap w:val="0"/>
            <w:vAlign w:val="top"/>
          </w:tcPr>
          <w:p w14:paraId="57E63B0B">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己酸+己酸乙酯/</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g/L</w:t>
            </w:r>
            <w:r>
              <w:rPr>
                <w:rFonts w:hint="eastAsia" w:ascii="Times New Roman" w:hAnsi="Times New Roman" w:cs="Times New Roman"/>
                <w:spacing w:val="0"/>
                <w:sz w:val="18"/>
                <w:szCs w:val="18"/>
                <w:lang w:eastAsia="zh-CN"/>
              </w:rPr>
              <w:t>）</w:t>
            </w:r>
          </w:p>
        </w:tc>
        <w:tc>
          <w:tcPr>
            <w:tcW w:w="4147" w:type="dxa"/>
            <w:noWrap w:val="0"/>
            <w:vAlign w:val="top"/>
          </w:tcPr>
          <w:p w14:paraId="2AFBF416">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eastAsia" w:ascii="宋体" w:hAnsi="宋体" w:eastAsia="宋体" w:cs="宋体"/>
                <w:spacing w:val="0"/>
                <w:sz w:val="18"/>
                <w:szCs w:val="18"/>
              </w:rPr>
              <w:t>≥</w:t>
            </w:r>
            <w:r>
              <w:rPr>
                <w:rFonts w:hint="default" w:ascii="Times New Roman" w:hAnsi="Times New Roman" w:cs="Times New Roman"/>
                <w:spacing w:val="0"/>
                <w:sz w:val="18"/>
                <w:szCs w:val="18"/>
              </w:rPr>
              <w:t>1.20</w:t>
            </w:r>
          </w:p>
        </w:tc>
      </w:tr>
      <w:tr w14:paraId="0D446902">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noWrap w:val="0"/>
            <w:vAlign w:val="top"/>
          </w:tcPr>
          <w:p w14:paraId="0A5E40B4">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固形物/</w:t>
            </w:r>
            <w:r>
              <w:rPr>
                <w:rFonts w:hint="eastAsia" w:ascii="Times New Roman" w:hAnsi="Times New Roman" w:cs="Times New Roman"/>
                <w:spacing w:val="0"/>
                <w:sz w:val="18"/>
                <w:szCs w:val="18"/>
                <w:lang w:eastAsia="zh-CN"/>
              </w:rPr>
              <w:t>（</w:t>
            </w:r>
            <w:r>
              <w:rPr>
                <w:rFonts w:hint="default" w:ascii="Times New Roman" w:hAnsi="Times New Roman" w:cs="Times New Roman"/>
                <w:spacing w:val="0"/>
                <w:sz w:val="18"/>
                <w:szCs w:val="18"/>
              </w:rPr>
              <w:t>g/L</w:t>
            </w:r>
            <w:r>
              <w:rPr>
                <w:rFonts w:hint="eastAsia" w:ascii="Times New Roman" w:hAnsi="Times New Roman" w:cs="Times New Roman"/>
                <w:spacing w:val="0"/>
                <w:sz w:val="18"/>
                <w:szCs w:val="18"/>
                <w:lang w:eastAsia="zh-CN"/>
              </w:rPr>
              <w:t>）</w:t>
            </w:r>
          </w:p>
        </w:tc>
        <w:tc>
          <w:tcPr>
            <w:tcW w:w="4147" w:type="dxa"/>
            <w:noWrap w:val="0"/>
            <w:vAlign w:val="top"/>
          </w:tcPr>
          <w:p w14:paraId="60B42135">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eastAsia" w:ascii="宋体" w:hAnsi="宋体" w:eastAsia="宋体" w:cs="宋体"/>
                <w:spacing w:val="0"/>
                <w:sz w:val="18"/>
                <w:szCs w:val="18"/>
              </w:rPr>
              <w:t>≤</w:t>
            </w:r>
            <w:r>
              <w:rPr>
                <w:rFonts w:hint="default" w:ascii="Times New Roman" w:hAnsi="Times New Roman" w:cs="Times New Roman"/>
                <w:spacing w:val="0"/>
                <w:sz w:val="18"/>
                <w:szCs w:val="18"/>
              </w:rPr>
              <w:t>0.40</w:t>
            </w:r>
          </w:p>
        </w:tc>
      </w:tr>
      <w:tr w14:paraId="699B4DD9">
        <w:tblPrEx>
          <w:tblBorders>
            <w:top w:val="single" w:color="auto" w:sz="8" w:space="0"/>
            <w:left w:val="single" w:color="auto" w:sz="8" w:space="0"/>
            <w:bottom w:val="single" w:color="auto" w:sz="8" w:space="0"/>
            <w:right w:val="single" w:color="auto" w:sz="8"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noWrap w:val="0"/>
            <w:vAlign w:val="top"/>
          </w:tcPr>
          <w:p w14:paraId="2FB52F0D">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default" w:ascii="Times New Roman" w:hAnsi="Times New Roman" w:cs="Times New Roman"/>
                <w:spacing w:val="0"/>
                <w:sz w:val="18"/>
                <w:szCs w:val="18"/>
              </w:rPr>
              <w:t>乙酸乙酯：己酸乙酯</w:t>
            </w:r>
          </w:p>
        </w:tc>
        <w:tc>
          <w:tcPr>
            <w:tcW w:w="4147" w:type="dxa"/>
            <w:noWrap w:val="0"/>
            <w:vAlign w:val="top"/>
          </w:tcPr>
          <w:p w14:paraId="67618E44">
            <w:pPr>
              <w:pStyle w:val="153"/>
              <w:keepNext w:val="0"/>
              <w:keepLines w:val="0"/>
              <w:pageBreakBefore w:val="0"/>
              <w:widowControl w:val="0"/>
              <w:kinsoku/>
              <w:wordWrap/>
              <w:overflowPunct/>
              <w:topLinePunct w:val="0"/>
              <w:autoSpaceDE/>
              <w:autoSpaceDN/>
              <w:bidi w:val="0"/>
              <w:adjustRightInd/>
              <w:snapToGrid/>
              <w:spacing w:line="240" w:lineRule="auto"/>
              <w:ind w:right="110"/>
              <w:jc w:val="center"/>
              <w:textAlignment w:val="auto"/>
              <w:rPr>
                <w:rFonts w:hint="default" w:ascii="Times New Roman" w:hAnsi="Times New Roman" w:cs="Times New Roman"/>
                <w:spacing w:val="0"/>
                <w:sz w:val="18"/>
                <w:szCs w:val="18"/>
              </w:rPr>
            </w:pPr>
            <w:r>
              <w:rPr>
                <w:rFonts w:hint="eastAsia" w:cs="宋体"/>
                <w:spacing w:val="0"/>
                <w:sz w:val="18"/>
                <w:szCs w:val="18"/>
                <w:lang w:val="en-US" w:eastAsia="zh-CN"/>
              </w:rPr>
              <w:t>＜</w:t>
            </w:r>
            <w:r>
              <w:rPr>
                <w:rFonts w:hint="default" w:ascii="Times New Roman" w:hAnsi="Times New Roman" w:cs="Times New Roman"/>
                <w:spacing w:val="0"/>
                <w:sz w:val="18"/>
                <w:szCs w:val="18"/>
              </w:rPr>
              <w:t>1</w:t>
            </w:r>
          </w:p>
        </w:tc>
      </w:tr>
    </w:tbl>
    <w:p w14:paraId="6BA9D939">
      <w:pPr>
        <w:pStyle w:val="21"/>
        <w:keepNext w:val="0"/>
        <w:keepLines w:val="0"/>
        <w:pageBreakBefore w:val="0"/>
        <w:widowControl/>
        <w:kinsoku/>
        <w:wordWrap/>
        <w:overflowPunct/>
        <w:topLinePunct w:val="0"/>
        <w:autoSpaceDE w:val="0"/>
        <w:autoSpaceDN w:val="0"/>
        <w:bidi w:val="0"/>
        <w:adjustRightInd/>
        <w:snapToGrid/>
        <w:spacing w:before="313" w:beforeLines="100" w:after="157" w:afterLines="50"/>
        <w:ind w:left="0" w:leftChars="0" w:firstLine="0" w:firstLineChars="0"/>
        <w:jc w:val="center"/>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食品安全风险监测指标</w:t>
      </w:r>
    </w:p>
    <w:p w14:paraId="06AF673E">
      <w:pPr>
        <w:pStyle w:val="21"/>
        <w:keepNext w:val="0"/>
        <w:keepLines w:val="0"/>
        <w:pageBreakBefore w:val="0"/>
        <w:widowControl/>
        <w:kinsoku/>
        <w:wordWrap/>
        <w:overflowPunct/>
        <w:topLinePunct w:val="0"/>
        <w:autoSpaceDE w:val="0"/>
        <w:autoSpaceDN w:val="0"/>
        <w:bidi w:val="0"/>
        <w:adjustRightInd/>
        <w:snapToGrid/>
        <w:ind w:left="0" w:leftChars="0" w:firstLine="0" w:firstLineChars="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单位为毫克每千克</w:t>
      </w:r>
    </w:p>
    <w:tbl>
      <w:tblPr>
        <w:tblStyle w:val="152"/>
        <w:tblW w:w="8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6"/>
        <w:gridCol w:w="4147"/>
      </w:tblGrid>
      <w:tr w14:paraId="1CD1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tcBorders>
              <w:top w:val="single" w:color="auto" w:sz="8" w:space="0"/>
              <w:left w:val="single" w:color="auto" w:sz="8" w:space="0"/>
              <w:bottom w:val="single" w:color="auto" w:sz="8" w:space="0"/>
            </w:tcBorders>
            <w:noWrap w:val="0"/>
            <w:vAlign w:val="center"/>
          </w:tcPr>
          <w:p w14:paraId="2EA00B70">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spacing w:val="0"/>
                <w:sz w:val="18"/>
              </w:rPr>
            </w:pPr>
            <w:r>
              <w:rPr>
                <w:spacing w:val="0"/>
                <w:sz w:val="18"/>
              </w:rPr>
              <w:t>项目</w:t>
            </w:r>
          </w:p>
        </w:tc>
        <w:tc>
          <w:tcPr>
            <w:tcW w:w="4147" w:type="dxa"/>
            <w:tcBorders>
              <w:top w:val="single" w:color="auto" w:sz="8" w:space="0"/>
              <w:bottom w:val="single" w:color="auto" w:sz="8" w:space="0"/>
              <w:right w:val="single" w:color="auto" w:sz="8" w:space="0"/>
            </w:tcBorders>
            <w:noWrap w:val="0"/>
            <w:vAlign w:val="center"/>
          </w:tcPr>
          <w:p w14:paraId="65713B1C">
            <w:pPr>
              <w:pStyle w:val="15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pacing w:val="0"/>
                <w:sz w:val="18"/>
                <w:lang w:val="en-US" w:eastAsia="zh-CN"/>
              </w:rPr>
            </w:pPr>
            <w:r>
              <w:rPr>
                <w:rFonts w:hint="eastAsia"/>
                <w:spacing w:val="0"/>
                <w:sz w:val="18"/>
                <w:lang w:val="en-US" w:eastAsia="zh-CN"/>
              </w:rPr>
              <w:t>指标</w:t>
            </w:r>
          </w:p>
        </w:tc>
      </w:tr>
      <w:tr w14:paraId="7687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tcBorders>
              <w:top w:val="single" w:color="auto" w:sz="8" w:space="0"/>
              <w:left w:val="single" w:color="auto" w:sz="8" w:space="0"/>
            </w:tcBorders>
            <w:noWrap w:val="0"/>
            <w:vAlign w:val="center"/>
          </w:tcPr>
          <w:p w14:paraId="669E4C81">
            <w:pPr>
              <w:pStyle w:val="153"/>
              <w:keepNext w:val="0"/>
              <w:keepLines w:val="0"/>
              <w:pageBreakBefore w:val="0"/>
              <w:widowControl w:val="0"/>
              <w:kinsoku/>
              <w:wordWrap/>
              <w:overflowPunct/>
              <w:topLinePunct w:val="0"/>
              <w:autoSpaceDE/>
              <w:autoSpaceDN/>
              <w:bidi w:val="0"/>
              <w:adjustRightInd/>
              <w:snapToGrid/>
              <w:spacing w:line="240" w:lineRule="auto"/>
              <w:ind w:left="117"/>
              <w:jc w:val="center"/>
              <w:textAlignment w:val="auto"/>
              <w:rPr>
                <w:rFonts w:hint="default" w:ascii="Times New Roman" w:hAnsi="Times New Roman" w:cs="Times New Roman"/>
                <w:spacing w:val="0"/>
                <w:sz w:val="18"/>
              </w:rPr>
            </w:pPr>
            <w:r>
              <w:rPr>
                <w:rFonts w:hint="default" w:ascii="Times New Roman" w:hAnsi="Times New Roman" w:cs="Times New Roman"/>
                <w:spacing w:val="0"/>
                <w:position w:val="2"/>
                <w:sz w:val="18"/>
              </w:rPr>
              <w:t>邻苯二甲酸二（</w:t>
            </w:r>
            <w:r>
              <w:rPr>
                <w:rFonts w:hint="default" w:ascii="Times New Roman" w:hAnsi="Times New Roman" w:eastAsia="Times New Roman" w:cs="Times New Roman"/>
                <w:spacing w:val="0"/>
                <w:position w:val="2"/>
                <w:sz w:val="18"/>
              </w:rPr>
              <w:t>2</w:t>
            </w:r>
            <w:r>
              <w:rPr>
                <w:rFonts w:hint="eastAsia" w:ascii="宋体" w:hAnsi="宋体" w:eastAsia="宋体" w:cs="宋体"/>
                <w:spacing w:val="0"/>
                <w:position w:val="2"/>
                <w:sz w:val="18"/>
              </w:rPr>
              <w:t>-</w:t>
            </w:r>
            <w:r>
              <w:rPr>
                <w:rFonts w:hint="default" w:ascii="Times New Roman" w:hAnsi="Times New Roman" w:cs="Times New Roman"/>
                <w:spacing w:val="0"/>
                <w:position w:val="2"/>
                <w:sz w:val="18"/>
              </w:rPr>
              <w:t>乙基己）酯（</w:t>
            </w:r>
            <w:r>
              <w:rPr>
                <w:rFonts w:hint="default" w:ascii="Times New Roman" w:hAnsi="Times New Roman" w:eastAsia="Times New Roman" w:cs="Times New Roman"/>
                <w:spacing w:val="0"/>
                <w:position w:val="2"/>
                <w:sz w:val="18"/>
              </w:rPr>
              <w:t>DEHP</w:t>
            </w:r>
            <w:r>
              <w:rPr>
                <w:rFonts w:hint="default" w:ascii="Times New Roman" w:hAnsi="Times New Roman" w:cs="Times New Roman"/>
                <w:spacing w:val="0"/>
                <w:position w:val="2"/>
                <w:sz w:val="18"/>
              </w:rPr>
              <w:t>）</w:t>
            </w:r>
          </w:p>
        </w:tc>
        <w:tc>
          <w:tcPr>
            <w:tcW w:w="4147" w:type="dxa"/>
            <w:tcBorders>
              <w:top w:val="single" w:color="auto" w:sz="8" w:space="0"/>
              <w:right w:val="single" w:color="auto" w:sz="8" w:space="0"/>
            </w:tcBorders>
            <w:noWrap w:val="0"/>
            <w:vAlign w:val="center"/>
          </w:tcPr>
          <w:p w14:paraId="26B659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0"/>
                <w:sz w:val="18"/>
                <w:szCs w:val="18"/>
              </w:rPr>
            </w:pPr>
            <w:r>
              <w:rPr>
                <w:rFonts w:hint="eastAsia" w:ascii="宋体" w:hAnsi="宋体" w:eastAsia="宋体" w:cs="宋体"/>
                <w:spacing w:val="0"/>
                <w:position w:val="2"/>
                <w:sz w:val="18"/>
              </w:rPr>
              <w:t>≤</w:t>
            </w:r>
            <w:r>
              <w:rPr>
                <w:rFonts w:ascii="Times New Roman" w:hAnsi="Times New Roman" w:eastAsia="Times New Roman" w:cs="Times New Roman"/>
                <w:spacing w:val="0"/>
                <w:sz w:val="18"/>
                <w:szCs w:val="18"/>
              </w:rPr>
              <w:t>5.0</w:t>
            </w:r>
          </w:p>
        </w:tc>
      </w:tr>
      <w:tr w14:paraId="743D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tcBorders>
              <w:left w:val="single" w:color="auto" w:sz="8" w:space="0"/>
            </w:tcBorders>
            <w:noWrap w:val="0"/>
            <w:vAlign w:val="center"/>
          </w:tcPr>
          <w:p w14:paraId="4A5C336C">
            <w:pPr>
              <w:pStyle w:val="153"/>
              <w:keepNext w:val="0"/>
              <w:keepLines w:val="0"/>
              <w:pageBreakBefore w:val="0"/>
              <w:widowControl w:val="0"/>
              <w:kinsoku/>
              <w:wordWrap/>
              <w:overflowPunct/>
              <w:topLinePunct w:val="0"/>
              <w:autoSpaceDE/>
              <w:autoSpaceDN/>
              <w:bidi w:val="0"/>
              <w:adjustRightInd/>
              <w:snapToGrid/>
              <w:spacing w:line="240" w:lineRule="auto"/>
              <w:ind w:left="117"/>
              <w:jc w:val="center"/>
              <w:textAlignment w:val="auto"/>
              <w:rPr>
                <w:rFonts w:hint="default" w:ascii="Times New Roman" w:hAnsi="Times New Roman" w:cs="Times New Roman"/>
                <w:spacing w:val="0"/>
                <w:sz w:val="18"/>
              </w:rPr>
            </w:pPr>
            <w:r>
              <w:rPr>
                <w:rFonts w:hint="default" w:ascii="Times New Roman" w:hAnsi="Times New Roman" w:cs="Times New Roman"/>
                <w:spacing w:val="0"/>
                <w:position w:val="2"/>
                <w:sz w:val="18"/>
              </w:rPr>
              <w:t>邻苯二甲酸二丁酯（</w:t>
            </w:r>
            <w:r>
              <w:rPr>
                <w:rFonts w:hint="default" w:ascii="Times New Roman" w:hAnsi="Times New Roman" w:eastAsia="Times New Roman" w:cs="Times New Roman"/>
                <w:spacing w:val="0"/>
                <w:position w:val="2"/>
                <w:sz w:val="18"/>
              </w:rPr>
              <w:t>DBP</w:t>
            </w:r>
            <w:r>
              <w:rPr>
                <w:rFonts w:hint="default" w:ascii="Times New Roman" w:hAnsi="Times New Roman" w:cs="Times New Roman"/>
                <w:spacing w:val="0"/>
                <w:position w:val="2"/>
                <w:sz w:val="18"/>
              </w:rPr>
              <w:t>）</w:t>
            </w:r>
          </w:p>
        </w:tc>
        <w:tc>
          <w:tcPr>
            <w:tcW w:w="4147" w:type="dxa"/>
            <w:tcBorders>
              <w:right w:val="single" w:color="auto" w:sz="8" w:space="0"/>
            </w:tcBorders>
            <w:noWrap w:val="0"/>
            <w:vAlign w:val="center"/>
          </w:tcPr>
          <w:p w14:paraId="76968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0"/>
                <w:sz w:val="18"/>
                <w:szCs w:val="18"/>
              </w:rPr>
            </w:pPr>
            <w:r>
              <w:rPr>
                <w:rFonts w:hint="eastAsia" w:ascii="宋体" w:hAnsi="宋体" w:eastAsia="宋体" w:cs="宋体"/>
                <w:spacing w:val="0"/>
                <w:position w:val="2"/>
                <w:sz w:val="18"/>
              </w:rPr>
              <w:t>≤</w:t>
            </w:r>
            <w:r>
              <w:rPr>
                <w:rFonts w:ascii="Times New Roman" w:hAnsi="Times New Roman" w:eastAsia="Times New Roman" w:cs="Times New Roman"/>
                <w:spacing w:val="0"/>
                <w:sz w:val="18"/>
                <w:szCs w:val="18"/>
              </w:rPr>
              <w:t>1.0</w:t>
            </w:r>
          </w:p>
        </w:tc>
      </w:tr>
      <w:tr w14:paraId="0A0F8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146" w:type="dxa"/>
            <w:tcBorders>
              <w:left w:val="single" w:color="auto" w:sz="8" w:space="0"/>
              <w:bottom w:val="single" w:color="auto" w:sz="8" w:space="0"/>
            </w:tcBorders>
            <w:noWrap w:val="0"/>
            <w:vAlign w:val="center"/>
          </w:tcPr>
          <w:p w14:paraId="4BEFD460">
            <w:pPr>
              <w:pStyle w:val="153"/>
              <w:keepNext w:val="0"/>
              <w:keepLines w:val="0"/>
              <w:pageBreakBefore w:val="0"/>
              <w:widowControl w:val="0"/>
              <w:kinsoku/>
              <w:wordWrap/>
              <w:overflowPunct/>
              <w:topLinePunct w:val="0"/>
              <w:autoSpaceDE/>
              <w:autoSpaceDN/>
              <w:bidi w:val="0"/>
              <w:adjustRightInd/>
              <w:snapToGrid/>
              <w:spacing w:line="240" w:lineRule="auto"/>
              <w:ind w:left="117"/>
              <w:jc w:val="center"/>
              <w:textAlignment w:val="auto"/>
              <w:rPr>
                <w:rFonts w:hint="default" w:ascii="Times New Roman" w:hAnsi="Times New Roman" w:cs="Times New Roman"/>
                <w:spacing w:val="0"/>
                <w:sz w:val="18"/>
              </w:rPr>
            </w:pPr>
            <w:r>
              <w:rPr>
                <w:rFonts w:hint="default" w:ascii="Times New Roman" w:hAnsi="Times New Roman" w:cs="Times New Roman"/>
                <w:spacing w:val="0"/>
                <w:sz w:val="18"/>
              </w:rPr>
              <w:t>邻苯二甲酸二异壬酯（DIN</w:t>
            </w:r>
            <w:r>
              <w:rPr>
                <w:rFonts w:hint="default" w:ascii="Times New Roman" w:hAnsi="Times New Roman" w:eastAsia="Times New Roman" w:cs="Times New Roman"/>
                <w:spacing w:val="0"/>
                <w:sz w:val="18"/>
              </w:rPr>
              <w:t>P</w:t>
            </w:r>
            <w:r>
              <w:rPr>
                <w:rFonts w:hint="default" w:ascii="Times New Roman" w:hAnsi="Times New Roman" w:cs="Times New Roman"/>
                <w:spacing w:val="0"/>
                <w:sz w:val="18"/>
              </w:rPr>
              <w:t>）</w:t>
            </w:r>
          </w:p>
        </w:tc>
        <w:tc>
          <w:tcPr>
            <w:tcW w:w="4147" w:type="dxa"/>
            <w:tcBorders>
              <w:bottom w:val="single" w:color="auto" w:sz="8" w:space="0"/>
              <w:right w:val="single" w:color="auto" w:sz="8" w:space="0"/>
            </w:tcBorders>
            <w:noWrap w:val="0"/>
            <w:vAlign w:val="center"/>
          </w:tcPr>
          <w:p w14:paraId="7C0BDD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0"/>
                <w:sz w:val="18"/>
                <w:szCs w:val="18"/>
              </w:rPr>
            </w:pPr>
            <w:r>
              <w:rPr>
                <w:rFonts w:hint="eastAsia" w:ascii="宋体" w:hAnsi="宋体" w:eastAsia="宋体" w:cs="宋体"/>
                <w:spacing w:val="0"/>
                <w:position w:val="2"/>
                <w:sz w:val="18"/>
              </w:rPr>
              <w:t>≤</w:t>
            </w:r>
            <w:r>
              <w:rPr>
                <w:rFonts w:ascii="Times New Roman" w:hAnsi="Times New Roman" w:eastAsia="Times New Roman" w:cs="Times New Roman"/>
                <w:spacing w:val="0"/>
                <w:sz w:val="18"/>
                <w:szCs w:val="18"/>
              </w:rPr>
              <w:t>9.0</w:t>
            </w:r>
          </w:p>
        </w:tc>
      </w:tr>
      <w:bookmarkEnd w:id="12"/>
    </w:tbl>
    <w:p w14:paraId="40F1414B">
      <w:pPr>
        <w:pStyle w:val="3"/>
        <w:spacing w:before="120" w:after="0" w:line="360" w:lineRule="auto"/>
        <w:rPr>
          <w:rFonts w:hint="eastAsia" w:ascii="宋体" w:hAnsi="宋体" w:eastAsia="宋体" w:cs="宋体"/>
          <w:kern w:val="0"/>
          <w:sz w:val="24"/>
          <w:lang w:val="en-US" w:eastAsia="zh-CN"/>
        </w:rPr>
      </w:pPr>
      <w:r>
        <w:rPr>
          <w:rFonts w:hint="eastAsia" w:ascii="宋体" w:hAnsi="宋体" w:cs="宋体"/>
          <w:kern w:val="0"/>
          <w:sz w:val="24"/>
          <w:lang w:val="en-US" w:eastAsia="zh-CN"/>
        </w:rPr>
        <w:t>3</w:t>
      </w:r>
      <w:r>
        <w:rPr>
          <w:rFonts w:hint="eastAsia" w:ascii="宋体" w:hAnsi="宋体" w:eastAsia="宋体" w:cs="宋体"/>
          <w:kern w:val="0"/>
          <w:sz w:val="24"/>
          <w:lang w:val="en-US" w:eastAsia="zh-CN"/>
        </w:rPr>
        <w:t>.3  评价方法</w:t>
      </w:r>
    </w:p>
    <w:p w14:paraId="76DC110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评价方法参照中国轻工业联合会团体标准“绿色设计产品评价技术规范”“评价方法”</w:t>
      </w:r>
      <w:r>
        <w:rPr>
          <w:rFonts w:hint="eastAsia" w:ascii="宋体" w:hAnsi="宋体" w:cs="宋体"/>
          <w:kern w:val="0"/>
          <w:sz w:val="24"/>
          <w:szCs w:val="24"/>
          <w:lang w:val="en-US" w:eastAsia="zh-CN"/>
        </w:rPr>
        <w:t>中</w:t>
      </w:r>
      <w:r>
        <w:rPr>
          <w:rFonts w:hint="eastAsia" w:ascii="宋体" w:hAnsi="宋体" w:eastAsia="宋体" w:cs="宋体"/>
          <w:kern w:val="0"/>
          <w:sz w:val="24"/>
          <w:szCs w:val="24"/>
          <w:lang w:val="en-US" w:eastAsia="zh-CN"/>
        </w:rPr>
        <w:t>的通用内容，即：</w:t>
      </w:r>
    </w:p>
    <w:tbl>
      <w:tblPr>
        <w:tblStyle w:val="30"/>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2"/>
      </w:tblGrid>
      <w:tr w14:paraId="2353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2" w:type="dxa"/>
          </w:tcPr>
          <w:p w14:paraId="728AA1F7">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同时满足以下要求的</w:t>
            </w:r>
            <w:r>
              <w:rPr>
                <w:rFonts w:hint="eastAsia" w:ascii="宋体" w:hAnsi="宋体" w:eastAsia="宋体" w:cs="宋体"/>
                <w:kern w:val="0"/>
                <w:sz w:val="24"/>
                <w:szCs w:val="24"/>
                <w:lang w:val="en-US" w:eastAsia="zh-CN"/>
              </w:rPr>
              <w:t>五粮浓香型白酒</w:t>
            </w:r>
            <w:r>
              <w:rPr>
                <w:rFonts w:hint="default" w:ascii="宋体" w:hAnsi="宋体" w:eastAsia="宋体" w:cs="宋体"/>
                <w:kern w:val="0"/>
                <w:sz w:val="24"/>
                <w:szCs w:val="24"/>
                <w:lang w:val="en-US" w:eastAsia="zh-CN"/>
              </w:rPr>
              <w:t>，可判定为</w:t>
            </w:r>
            <w:r>
              <w:rPr>
                <w:rFonts w:hint="eastAsia" w:ascii="宋体" w:hAnsi="宋体" w:eastAsia="宋体" w:cs="宋体"/>
                <w:kern w:val="0"/>
                <w:sz w:val="24"/>
                <w:szCs w:val="24"/>
                <w:lang w:val="en-US" w:eastAsia="zh-CN"/>
              </w:rPr>
              <w:t>五粮浓香型白酒核心产区产品</w:t>
            </w:r>
            <w:r>
              <w:rPr>
                <w:rFonts w:hint="default" w:ascii="宋体" w:hAnsi="宋体" w:eastAsia="宋体" w:cs="宋体"/>
                <w:kern w:val="0"/>
                <w:sz w:val="24"/>
                <w:szCs w:val="24"/>
                <w:lang w:val="en-US" w:eastAsia="zh-CN"/>
              </w:rPr>
              <w:t>：</w:t>
            </w:r>
          </w:p>
          <w:p w14:paraId="62BC9DB6">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left="410" w:leftChars="0"/>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——满足</w:t>
            </w: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.1的要求；</w:t>
            </w:r>
          </w:p>
          <w:p w14:paraId="67BEFE13">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left="410" w:leftChars="0"/>
              <w:textAlignment w:val="auto"/>
              <w:rPr>
                <w:rFonts w:hint="eastAsia"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——满足</w:t>
            </w: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.2的要求</w:t>
            </w:r>
            <w:r>
              <w:rPr>
                <w:rFonts w:hint="eastAsia" w:ascii="宋体" w:hAnsi="宋体" w:eastAsia="宋体" w:cs="宋体"/>
                <w:kern w:val="0"/>
                <w:sz w:val="24"/>
                <w:szCs w:val="24"/>
                <w:lang w:val="en-US" w:eastAsia="zh-CN"/>
              </w:rPr>
              <w:t>。</w:t>
            </w:r>
          </w:p>
          <w:p w14:paraId="175F1CC5">
            <w:pPr>
              <w:keepNext w:val="0"/>
              <w:keepLines w:val="0"/>
              <w:pageBreakBefore w:val="0"/>
              <w:widowControl/>
              <w:numPr>
                <w:numId w:val="0"/>
              </w:numPr>
              <w:tabs>
                <w:tab w:val="left" w:pos="360"/>
                <w:tab w:val="center" w:pos="4201"/>
                <w:tab w:val="right" w:leader="dot" w:pos="9298"/>
              </w:tabs>
              <w:kinsoku/>
              <w:wordWrap/>
              <w:overflowPunct/>
              <w:topLinePunct w:val="0"/>
              <w:autoSpaceDE w:val="0"/>
              <w:autoSpaceDN w:val="0"/>
              <w:bidi w:val="0"/>
              <w:adjustRightInd/>
              <w:snapToGrid/>
              <w:spacing w:line="420" w:lineRule="exact"/>
              <w:ind w:firstLine="480" w:firstLineChars="200"/>
              <w:textAlignment w:val="auto"/>
              <w:rPr>
                <w:rFonts w:hint="default" w:ascii="宋体" w:hAnsi="宋体" w:eastAsia="宋体" w:cs="宋体"/>
                <w:kern w:val="0"/>
                <w:sz w:val="24"/>
                <w:szCs w:val="24"/>
                <w:vertAlign w:val="baseline"/>
                <w:lang w:val="en-US" w:eastAsia="zh-CN"/>
              </w:rPr>
            </w:pPr>
            <w:r>
              <w:rPr>
                <w:rFonts w:hint="default" w:ascii="宋体" w:hAnsi="宋体" w:eastAsia="宋体" w:cs="宋体"/>
                <w:kern w:val="0"/>
                <w:sz w:val="24"/>
                <w:szCs w:val="24"/>
                <w:lang w:val="en-US" w:eastAsia="zh-CN"/>
              </w:rPr>
              <w:t>判定为</w:t>
            </w:r>
            <w:r>
              <w:rPr>
                <w:rFonts w:hint="eastAsia" w:ascii="宋体" w:hAnsi="宋体" w:eastAsia="宋体" w:cs="宋体"/>
                <w:kern w:val="0"/>
                <w:sz w:val="24"/>
                <w:szCs w:val="24"/>
                <w:lang w:val="en-US" w:eastAsia="zh-CN"/>
              </w:rPr>
              <w:t>五粮浓香型白酒核心产区产品</w:t>
            </w:r>
            <w:r>
              <w:rPr>
                <w:rFonts w:hint="default" w:ascii="宋体" w:hAnsi="宋体" w:eastAsia="宋体" w:cs="宋体"/>
                <w:kern w:val="0"/>
                <w:sz w:val="24"/>
                <w:szCs w:val="24"/>
                <w:lang w:val="en-US" w:eastAsia="zh-CN"/>
              </w:rPr>
              <w:t>的可按照</w:t>
            </w:r>
            <w:r>
              <w:rPr>
                <w:rFonts w:hint="eastAsia" w:ascii="宋体" w:hAnsi="宋体" w:eastAsia="宋体" w:cs="宋体"/>
                <w:kern w:val="0"/>
                <w:sz w:val="24"/>
                <w:szCs w:val="24"/>
                <w:lang w:val="en-US" w:eastAsia="zh-CN"/>
              </w:rPr>
              <w:t>相关规定粘</w:t>
            </w:r>
            <w:r>
              <w:rPr>
                <w:rFonts w:hint="default" w:ascii="宋体" w:hAnsi="宋体" w:eastAsia="宋体" w:cs="宋体"/>
                <w:kern w:val="0"/>
                <w:sz w:val="24"/>
                <w:szCs w:val="24"/>
                <w:lang w:val="en-US" w:eastAsia="zh-CN"/>
              </w:rPr>
              <w:t>贴标识，可以各种形式进行相关信息自我声明，声明内容应包括但不限于</w:t>
            </w: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.1和</w:t>
            </w:r>
            <w:r>
              <w:rPr>
                <w:rFonts w:hint="eastAsia" w:ascii="宋体" w:hAnsi="宋体" w:eastAsia="宋体" w:cs="宋体"/>
                <w:kern w:val="0"/>
                <w:sz w:val="24"/>
                <w:szCs w:val="24"/>
                <w:lang w:val="en-US" w:eastAsia="zh-CN"/>
              </w:rPr>
              <w:t>5</w:t>
            </w:r>
            <w:r>
              <w:rPr>
                <w:rFonts w:hint="default" w:ascii="宋体" w:hAnsi="宋体" w:eastAsia="宋体" w:cs="宋体"/>
                <w:kern w:val="0"/>
                <w:sz w:val="24"/>
                <w:szCs w:val="24"/>
                <w:lang w:val="en-US" w:eastAsia="zh-CN"/>
              </w:rPr>
              <w:t>.2的要求，但</w:t>
            </w:r>
            <w:r>
              <w:rPr>
                <w:rFonts w:hint="eastAsia" w:ascii="宋体" w:hAnsi="宋体" w:eastAsia="宋体" w:cs="宋体"/>
                <w:kern w:val="0"/>
                <w:sz w:val="24"/>
                <w:szCs w:val="24"/>
                <w:lang w:val="en-US" w:eastAsia="zh-CN"/>
              </w:rPr>
              <w:t>应</w:t>
            </w:r>
            <w:r>
              <w:rPr>
                <w:rFonts w:hint="default" w:ascii="宋体" w:hAnsi="宋体" w:eastAsia="宋体" w:cs="宋体"/>
                <w:kern w:val="0"/>
                <w:sz w:val="24"/>
                <w:szCs w:val="24"/>
                <w:lang w:val="en-US" w:eastAsia="zh-CN"/>
              </w:rPr>
              <w:t>提供相关的符合有关要求的验证说明材料。</w:t>
            </w:r>
          </w:p>
        </w:tc>
      </w:tr>
    </w:tbl>
    <w:p w14:paraId="470B598C">
      <w:pPr>
        <w:pStyle w:val="3"/>
        <w:spacing w:before="120" w:after="0" w:line="360" w:lineRule="auto"/>
        <w:rPr>
          <w:rFonts w:hint="default" w:ascii="宋体" w:hAnsi="宋体" w:eastAsia="宋体" w:cs="宋体"/>
          <w:kern w:val="0"/>
          <w:sz w:val="24"/>
          <w:lang w:val="en-US" w:eastAsia="zh-CN"/>
        </w:rPr>
      </w:pPr>
      <w:r>
        <w:rPr>
          <w:rFonts w:hint="eastAsia" w:ascii="宋体" w:hAnsi="宋体" w:cs="宋体"/>
          <w:kern w:val="0"/>
          <w:sz w:val="24"/>
          <w:lang w:val="en-US" w:eastAsia="zh-CN"/>
        </w:rPr>
        <w:t>4.</w:t>
      </w:r>
      <w:r>
        <w:rPr>
          <w:rFonts w:hint="default" w:ascii="宋体" w:hAnsi="宋体" w:eastAsia="宋体" w:cs="宋体"/>
          <w:kern w:val="0"/>
          <w:sz w:val="24"/>
          <w:lang w:val="en-US" w:eastAsia="zh-CN"/>
        </w:rPr>
        <w:t xml:space="preserve">预期达到的社会效益、对产业发展的作用等情况 </w:t>
      </w:r>
    </w:p>
    <w:p w14:paraId="39AAF43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宜宾有着4000多年的酿酒史，是多粮浓香型白酒的发源地。近年来，宜宾市深入实施“产区发展、产业集群、三产融合、创新驱动、绿色低碳”五大战略，打造以五粮液等品牌为引领的五粮浓香白酒核心产区，不断丰富产品体系，巩固提升浓香型白酒原产地优势，加快打造世界级优质白酒产业集群。</w:t>
      </w:r>
    </w:p>
    <w:p w14:paraId="142C666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目前，宜宾市已形成了以五粮液集团为龙头，48户规模以上白酒企业、280户酿酒企业、131户产业链配套企业组成的一二三产业融合发展的全产业链。2023年1至10月，宜宾48户规上白酒企业营业收入、利润同比均实现两位数增长；预计全年营业收入将突破1800亿元，利润突破400亿元。</w:t>
      </w:r>
    </w:p>
    <w:p w14:paraId="158F790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本标准的制定，旨在通过系统的指标体系，对五粮浓香型白酒核心产区的五粮浓香型白酒的卓越品质给出科学评价。这一标准的实施，预期将带来显著的社会效益和产业发展作用。 </w:t>
      </w:r>
    </w:p>
    <w:p w14:paraId="46F3CEC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在社会效益方面，本标准将提升消费者对五粮浓香型白酒的信任度和满意度，进一步巩固其市场地位。同时，通过严格的质量把控，保障消费者的健康权益，树立五粮浓香型白酒行业的良好形象。此外，规范的实施还将促进五粮浓香型白酒核心产区内的经济繁荣，带动相关产业链的发展，为地方经济注入新的活力。 </w:t>
      </w:r>
    </w:p>
    <w:p w14:paraId="4A7FAF9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在产业发展方面，本标准将推动五粮浓香型白酒产业的标准化、科学化发展。通过完善品质评价标准体系，提升整体生产水平，有助于形成更加健康、有序的市场竞争环境。同时，本标准还将促进五粮浓香型白酒产业的科技创新和人才培养，为产业的持续、高质量发展提供有力支撑。 </w:t>
      </w:r>
    </w:p>
    <w:p w14:paraId="3FBECD7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420" w:lineRule="exact"/>
        <w:ind w:firstLine="410"/>
        <w:textAlignment w:val="auto"/>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rPr>
        <w:t>综上所述，本标准的实施，不仅将带来显著的社会效益，还将对五粮浓香型白酒产业的持续、健康发展产生深远影响。</w:t>
      </w:r>
      <w:bookmarkStart w:id="13" w:name="_GoBack"/>
      <w:bookmarkEnd w:id="13"/>
    </w:p>
    <w:sectPr>
      <w:headerReference r:id="rId3" w:type="default"/>
      <w:footerReference r:id="rId4" w:type="default"/>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99D1">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0A503">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A0A503">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30575F65">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098A">
    <w:pPr>
      <w:spacing w:before="54" w:line="141" w:lineRule="exact"/>
      <w:ind w:right="5"/>
      <w:jc w:val="right"/>
      <w:rPr>
        <w:rFonts w:ascii="黑体" w:hAnsi="黑体" w:eastAsia="黑体" w:cs="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C766D"/>
    <w:multiLevelType w:val="singleLevel"/>
    <w:tmpl w:val="912C766D"/>
    <w:lvl w:ilvl="0" w:tentative="0">
      <w:start w:val="1"/>
      <w:numFmt w:val="decimal"/>
      <w:lvlText w:val="(%1)"/>
      <w:lvlJc w:val="left"/>
      <w:pPr>
        <w:ind w:left="425" w:hanging="425"/>
      </w:pPr>
      <w:rPr>
        <w:rFonts w:hint="default"/>
      </w:rPr>
    </w:lvl>
  </w:abstractNum>
  <w:abstractNum w:abstractNumId="1">
    <w:nsid w:val="AF4EBAE2"/>
    <w:multiLevelType w:val="singleLevel"/>
    <w:tmpl w:val="AF4EBAE2"/>
    <w:lvl w:ilvl="0" w:tentative="0">
      <w:start w:val="1"/>
      <w:numFmt w:val="decimal"/>
      <w:lvlText w:val="(%1)"/>
      <w:lvlJc w:val="left"/>
      <w:pPr>
        <w:ind w:left="425" w:hanging="425"/>
      </w:pPr>
      <w:rPr>
        <w:rFonts w:hint="default"/>
      </w:rPr>
    </w:lvl>
  </w:abstractNum>
  <w:abstractNum w:abstractNumId="2">
    <w:nsid w:val="D311E2C0"/>
    <w:multiLevelType w:val="singleLevel"/>
    <w:tmpl w:val="D311E2C0"/>
    <w:lvl w:ilvl="0" w:tentative="0">
      <w:start w:val="1"/>
      <w:numFmt w:val="decimal"/>
      <w:lvlText w:val="(%1)"/>
      <w:lvlJc w:val="left"/>
      <w:pPr>
        <w:ind w:left="425" w:hanging="425"/>
      </w:pPr>
      <w:rPr>
        <w:rFonts w:hint="default"/>
      </w:rPr>
    </w:lvl>
  </w:abstractNum>
  <w:abstractNum w:abstractNumId="3">
    <w:nsid w:val="D721882F"/>
    <w:multiLevelType w:val="singleLevel"/>
    <w:tmpl w:val="D721882F"/>
    <w:lvl w:ilvl="0" w:tentative="0">
      <w:start w:val="1"/>
      <w:numFmt w:val="decimalEnclosedCircleChinese"/>
      <w:suff w:val="nothing"/>
      <w:lvlText w:val="%1　"/>
      <w:lvlJc w:val="left"/>
      <w:pPr>
        <w:ind w:left="0" w:firstLine="400"/>
      </w:pPr>
      <w:rPr>
        <w:rFonts w:hint="eastAsia"/>
      </w:rPr>
    </w:lvl>
  </w:abstractNum>
  <w:abstractNum w:abstractNumId="4">
    <w:nsid w:val="E2F96B92"/>
    <w:multiLevelType w:val="singleLevel"/>
    <w:tmpl w:val="E2F96B92"/>
    <w:lvl w:ilvl="0" w:tentative="0">
      <w:start w:val="1"/>
      <w:numFmt w:val="decimal"/>
      <w:lvlText w:val="(%1)"/>
      <w:lvlJc w:val="left"/>
      <w:pPr>
        <w:ind w:left="425" w:hanging="425"/>
      </w:pPr>
      <w:rPr>
        <w:rFonts w:hint="default"/>
      </w:rPr>
    </w:lvl>
  </w:abstractNum>
  <w:abstractNum w:abstractNumId="5">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7"/>
      <w:lvlText w:val="（%2）"/>
      <w:lvlJc w:val="left"/>
      <w:pPr>
        <w:ind w:left="284" w:firstLine="0"/>
      </w:pPr>
      <w:rPr>
        <w:rFonts w:hint="eastAsia"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lvlText w:val="（%3）"/>
      <w:lvlJc w:val="left"/>
      <w:pPr>
        <w:ind w:left="426"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540CC456"/>
    <w:multiLevelType w:val="singleLevel"/>
    <w:tmpl w:val="540CC456"/>
    <w:lvl w:ilvl="0" w:tentative="0">
      <w:start w:val="1"/>
      <w:numFmt w:val="decimal"/>
      <w:lvlText w:val="(%1)"/>
      <w:lvlJc w:val="left"/>
      <w:pPr>
        <w:ind w:left="425" w:hanging="425"/>
      </w:pPr>
      <w:rPr>
        <w:rFonts w:hint="default"/>
      </w:rPr>
    </w:lvl>
  </w:abstractNum>
  <w:abstractNum w:abstractNumId="8">
    <w:nsid w:val="6AAB715B"/>
    <w:multiLevelType w:val="singleLevel"/>
    <w:tmpl w:val="6AAB715B"/>
    <w:lvl w:ilvl="0" w:tentative="0">
      <w:start w:val="1"/>
      <w:numFmt w:val="decimalEnclosedCircleChinese"/>
      <w:suff w:val="nothing"/>
      <w:lvlText w:val="%1　"/>
      <w:lvlJc w:val="left"/>
      <w:pPr>
        <w:ind w:left="0" w:firstLine="400"/>
      </w:pPr>
      <w:rPr>
        <w:rFonts w:hint="eastAsia"/>
      </w:rPr>
    </w:lvl>
  </w:abstractNum>
  <w:num w:numId="1">
    <w:abstractNumId w:val="5"/>
  </w:num>
  <w:num w:numId="2">
    <w:abstractNumId w:val="6"/>
  </w:num>
  <w:num w:numId="3">
    <w:abstractNumId w:val="2"/>
  </w:num>
  <w:num w:numId="4">
    <w:abstractNumId w:val="1"/>
  </w:num>
  <w:num w:numId="5">
    <w:abstractNumId w:val="4"/>
  </w:num>
  <w:num w:numId="6">
    <w:abstractNumId w:val="7"/>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RjNDI0ZmJkZGIzNmJjYWIxZWEyNjRkYzg1YzMifQ=="/>
  </w:docVars>
  <w:rsids>
    <w:rsidRoot w:val="00AC030E"/>
    <w:rsid w:val="0000141E"/>
    <w:rsid w:val="0000351C"/>
    <w:rsid w:val="00007488"/>
    <w:rsid w:val="00010CFA"/>
    <w:rsid w:val="00010ED8"/>
    <w:rsid w:val="00011B3A"/>
    <w:rsid w:val="000248D9"/>
    <w:rsid w:val="00030B31"/>
    <w:rsid w:val="00046049"/>
    <w:rsid w:val="00056CB9"/>
    <w:rsid w:val="00060E39"/>
    <w:rsid w:val="000729A7"/>
    <w:rsid w:val="000741C6"/>
    <w:rsid w:val="00077DE8"/>
    <w:rsid w:val="000847B1"/>
    <w:rsid w:val="00092F44"/>
    <w:rsid w:val="00096A76"/>
    <w:rsid w:val="000A7F2D"/>
    <w:rsid w:val="000C4E42"/>
    <w:rsid w:val="000D0B36"/>
    <w:rsid w:val="000D6AF4"/>
    <w:rsid w:val="000F7089"/>
    <w:rsid w:val="001073BC"/>
    <w:rsid w:val="001165E4"/>
    <w:rsid w:val="0012386C"/>
    <w:rsid w:val="0012492D"/>
    <w:rsid w:val="00126BFD"/>
    <w:rsid w:val="00133064"/>
    <w:rsid w:val="00136D3A"/>
    <w:rsid w:val="00143204"/>
    <w:rsid w:val="00146417"/>
    <w:rsid w:val="00161176"/>
    <w:rsid w:val="0016243C"/>
    <w:rsid w:val="001671B6"/>
    <w:rsid w:val="0017706D"/>
    <w:rsid w:val="0018757C"/>
    <w:rsid w:val="0019165A"/>
    <w:rsid w:val="00192FE7"/>
    <w:rsid w:val="00196C4D"/>
    <w:rsid w:val="001A0CF7"/>
    <w:rsid w:val="001A4C4D"/>
    <w:rsid w:val="001B4F9E"/>
    <w:rsid w:val="001C13F3"/>
    <w:rsid w:val="001C7910"/>
    <w:rsid w:val="001D7A40"/>
    <w:rsid w:val="001E7222"/>
    <w:rsid w:val="001F656A"/>
    <w:rsid w:val="001F7BDF"/>
    <w:rsid w:val="002012E8"/>
    <w:rsid w:val="00210B24"/>
    <w:rsid w:val="0021214E"/>
    <w:rsid w:val="00217539"/>
    <w:rsid w:val="002353E9"/>
    <w:rsid w:val="002416F9"/>
    <w:rsid w:val="002438BF"/>
    <w:rsid w:val="00244F69"/>
    <w:rsid w:val="00245D22"/>
    <w:rsid w:val="0024728A"/>
    <w:rsid w:val="00261FC7"/>
    <w:rsid w:val="0026436B"/>
    <w:rsid w:val="00264881"/>
    <w:rsid w:val="00265247"/>
    <w:rsid w:val="00270C21"/>
    <w:rsid w:val="0027637C"/>
    <w:rsid w:val="00280C36"/>
    <w:rsid w:val="00287846"/>
    <w:rsid w:val="0029487D"/>
    <w:rsid w:val="002A3C2E"/>
    <w:rsid w:val="002B01D4"/>
    <w:rsid w:val="002C02AC"/>
    <w:rsid w:val="002D3F2C"/>
    <w:rsid w:val="002D742B"/>
    <w:rsid w:val="002E1062"/>
    <w:rsid w:val="002E1E38"/>
    <w:rsid w:val="002E3344"/>
    <w:rsid w:val="002E3C70"/>
    <w:rsid w:val="002E7C30"/>
    <w:rsid w:val="002F15F6"/>
    <w:rsid w:val="002F47F5"/>
    <w:rsid w:val="00327BC6"/>
    <w:rsid w:val="00333F80"/>
    <w:rsid w:val="00336678"/>
    <w:rsid w:val="00345CF7"/>
    <w:rsid w:val="00360129"/>
    <w:rsid w:val="00364AB3"/>
    <w:rsid w:val="00377295"/>
    <w:rsid w:val="00383721"/>
    <w:rsid w:val="003A511C"/>
    <w:rsid w:val="003B440F"/>
    <w:rsid w:val="003B4785"/>
    <w:rsid w:val="003C55E8"/>
    <w:rsid w:val="003D083B"/>
    <w:rsid w:val="003D1C44"/>
    <w:rsid w:val="003E25E4"/>
    <w:rsid w:val="003E34BC"/>
    <w:rsid w:val="003F51DA"/>
    <w:rsid w:val="004012A3"/>
    <w:rsid w:val="0040171B"/>
    <w:rsid w:val="004144E7"/>
    <w:rsid w:val="004165DD"/>
    <w:rsid w:val="00417B1E"/>
    <w:rsid w:val="00423C24"/>
    <w:rsid w:val="0042779A"/>
    <w:rsid w:val="004325A3"/>
    <w:rsid w:val="00437D3F"/>
    <w:rsid w:val="00454FFB"/>
    <w:rsid w:val="00457843"/>
    <w:rsid w:val="0046775D"/>
    <w:rsid w:val="004A53DF"/>
    <w:rsid w:val="004B108E"/>
    <w:rsid w:val="004B3041"/>
    <w:rsid w:val="004B7235"/>
    <w:rsid w:val="004C6440"/>
    <w:rsid w:val="004C72E3"/>
    <w:rsid w:val="004C7AD9"/>
    <w:rsid w:val="004E0312"/>
    <w:rsid w:val="004E3903"/>
    <w:rsid w:val="004E5A32"/>
    <w:rsid w:val="004E725E"/>
    <w:rsid w:val="004F3D88"/>
    <w:rsid w:val="004F5636"/>
    <w:rsid w:val="00506D70"/>
    <w:rsid w:val="00507B64"/>
    <w:rsid w:val="00510B25"/>
    <w:rsid w:val="00513FDA"/>
    <w:rsid w:val="0051526D"/>
    <w:rsid w:val="00515313"/>
    <w:rsid w:val="0051568C"/>
    <w:rsid w:val="0051594F"/>
    <w:rsid w:val="005166B3"/>
    <w:rsid w:val="0051786E"/>
    <w:rsid w:val="005250CE"/>
    <w:rsid w:val="005348F7"/>
    <w:rsid w:val="00540E33"/>
    <w:rsid w:val="00554DBC"/>
    <w:rsid w:val="00562BB2"/>
    <w:rsid w:val="00574E60"/>
    <w:rsid w:val="00586CC4"/>
    <w:rsid w:val="00593649"/>
    <w:rsid w:val="00594D4F"/>
    <w:rsid w:val="005A098D"/>
    <w:rsid w:val="005A4972"/>
    <w:rsid w:val="005B7FAE"/>
    <w:rsid w:val="005C225C"/>
    <w:rsid w:val="005D0284"/>
    <w:rsid w:val="005E2115"/>
    <w:rsid w:val="005F5FDB"/>
    <w:rsid w:val="005F73DE"/>
    <w:rsid w:val="005F7C6B"/>
    <w:rsid w:val="006218AD"/>
    <w:rsid w:val="00623EEF"/>
    <w:rsid w:val="00632231"/>
    <w:rsid w:val="006327B5"/>
    <w:rsid w:val="0063291B"/>
    <w:rsid w:val="006379E7"/>
    <w:rsid w:val="0064593F"/>
    <w:rsid w:val="006463B4"/>
    <w:rsid w:val="00667EEB"/>
    <w:rsid w:val="00673C0F"/>
    <w:rsid w:val="0067526A"/>
    <w:rsid w:val="00677210"/>
    <w:rsid w:val="006801AD"/>
    <w:rsid w:val="0068105F"/>
    <w:rsid w:val="006814AA"/>
    <w:rsid w:val="00690635"/>
    <w:rsid w:val="006914D5"/>
    <w:rsid w:val="00692248"/>
    <w:rsid w:val="006A5257"/>
    <w:rsid w:val="006A6CC5"/>
    <w:rsid w:val="006A7230"/>
    <w:rsid w:val="006B1303"/>
    <w:rsid w:val="006B4046"/>
    <w:rsid w:val="006C51B1"/>
    <w:rsid w:val="006C6748"/>
    <w:rsid w:val="006D0E6C"/>
    <w:rsid w:val="006D2713"/>
    <w:rsid w:val="00703C19"/>
    <w:rsid w:val="00704983"/>
    <w:rsid w:val="00710091"/>
    <w:rsid w:val="0071141E"/>
    <w:rsid w:val="007212A8"/>
    <w:rsid w:val="007239D1"/>
    <w:rsid w:val="0073229E"/>
    <w:rsid w:val="00742A92"/>
    <w:rsid w:val="00754C99"/>
    <w:rsid w:val="00756D17"/>
    <w:rsid w:val="00780A01"/>
    <w:rsid w:val="00785004"/>
    <w:rsid w:val="0079228C"/>
    <w:rsid w:val="007954E7"/>
    <w:rsid w:val="007A1C9A"/>
    <w:rsid w:val="007A2E0C"/>
    <w:rsid w:val="007B0C88"/>
    <w:rsid w:val="007B4794"/>
    <w:rsid w:val="007F4442"/>
    <w:rsid w:val="00801911"/>
    <w:rsid w:val="00812DA9"/>
    <w:rsid w:val="00815E94"/>
    <w:rsid w:val="0082084C"/>
    <w:rsid w:val="008225D5"/>
    <w:rsid w:val="00823B8E"/>
    <w:rsid w:val="0082525E"/>
    <w:rsid w:val="00827C1E"/>
    <w:rsid w:val="00830EF1"/>
    <w:rsid w:val="00836279"/>
    <w:rsid w:val="00841FA2"/>
    <w:rsid w:val="00844F57"/>
    <w:rsid w:val="00847318"/>
    <w:rsid w:val="00855CF1"/>
    <w:rsid w:val="00856AFA"/>
    <w:rsid w:val="00860EC1"/>
    <w:rsid w:val="008615B2"/>
    <w:rsid w:val="00863D4E"/>
    <w:rsid w:val="008671C8"/>
    <w:rsid w:val="008676DA"/>
    <w:rsid w:val="00892795"/>
    <w:rsid w:val="008957C8"/>
    <w:rsid w:val="008A7518"/>
    <w:rsid w:val="008D1690"/>
    <w:rsid w:val="008D3CDB"/>
    <w:rsid w:val="008E1156"/>
    <w:rsid w:val="008E5F7A"/>
    <w:rsid w:val="0091418A"/>
    <w:rsid w:val="009334DE"/>
    <w:rsid w:val="00940DAE"/>
    <w:rsid w:val="00941ACF"/>
    <w:rsid w:val="00960FCE"/>
    <w:rsid w:val="00966D27"/>
    <w:rsid w:val="00975675"/>
    <w:rsid w:val="00987F6A"/>
    <w:rsid w:val="0099748A"/>
    <w:rsid w:val="009A36B5"/>
    <w:rsid w:val="009B011E"/>
    <w:rsid w:val="009C6899"/>
    <w:rsid w:val="009C7060"/>
    <w:rsid w:val="009C7AAC"/>
    <w:rsid w:val="009E72A7"/>
    <w:rsid w:val="009F1DA6"/>
    <w:rsid w:val="009F2E7C"/>
    <w:rsid w:val="009F666F"/>
    <w:rsid w:val="00A05E67"/>
    <w:rsid w:val="00A06023"/>
    <w:rsid w:val="00A13A98"/>
    <w:rsid w:val="00A20586"/>
    <w:rsid w:val="00A2189A"/>
    <w:rsid w:val="00A23DDD"/>
    <w:rsid w:val="00A276EA"/>
    <w:rsid w:val="00A370D9"/>
    <w:rsid w:val="00A40823"/>
    <w:rsid w:val="00A41D4E"/>
    <w:rsid w:val="00A47871"/>
    <w:rsid w:val="00A60839"/>
    <w:rsid w:val="00A60B00"/>
    <w:rsid w:val="00A645EE"/>
    <w:rsid w:val="00A73EC3"/>
    <w:rsid w:val="00A864B1"/>
    <w:rsid w:val="00A93129"/>
    <w:rsid w:val="00A97959"/>
    <w:rsid w:val="00AA3521"/>
    <w:rsid w:val="00AB15C6"/>
    <w:rsid w:val="00AC030E"/>
    <w:rsid w:val="00AC6BC4"/>
    <w:rsid w:val="00AE1723"/>
    <w:rsid w:val="00AE409B"/>
    <w:rsid w:val="00AE4373"/>
    <w:rsid w:val="00AF152D"/>
    <w:rsid w:val="00AF78B0"/>
    <w:rsid w:val="00B031B2"/>
    <w:rsid w:val="00B14D94"/>
    <w:rsid w:val="00B26FA3"/>
    <w:rsid w:val="00B30445"/>
    <w:rsid w:val="00B3384D"/>
    <w:rsid w:val="00B3718B"/>
    <w:rsid w:val="00B40D9F"/>
    <w:rsid w:val="00B443B8"/>
    <w:rsid w:val="00B5509D"/>
    <w:rsid w:val="00B63A23"/>
    <w:rsid w:val="00B758DA"/>
    <w:rsid w:val="00B82F07"/>
    <w:rsid w:val="00B83B02"/>
    <w:rsid w:val="00B872B5"/>
    <w:rsid w:val="00B9103C"/>
    <w:rsid w:val="00B92711"/>
    <w:rsid w:val="00B950D3"/>
    <w:rsid w:val="00B977FD"/>
    <w:rsid w:val="00BA03FF"/>
    <w:rsid w:val="00BA2425"/>
    <w:rsid w:val="00BA2652"/>
    <w:rsid w:val="00BA59AA"/>
    <w:rsid w:val="00BA7793"/>
    <w:rsid w:val="00BB3889"/>
    <w:rsid w:val="00BC6F1E"/>
    <w:rsid w:val="00BD0A93"/>
    <w:rsid w:val="00BD7F00"/>
    <w:rsid w:val="00BE277E"/>
    <w:rsid w:val="00BE3978"/>
    <w:rsid w:val="00BE64BF"/>
    <w:rsid w:val="00C31317"/>
    <w:rsid w:val="00C32294"/>
    <w:rsid w:val="00C35374"/>
    <w:rsid w:val="00C50B40"/>
    <w:rsid w:val="00C5144E"/>
    <w:rsid w:val="00C53427"/>
    <w:rsid w:val="00C60019"/>
    <w:rsid w:val="00C60B7B"/>
    <w:rsid w:val="00C60E44"/>
    <w:rsid w:val="00C61D14"/>
    <w:rsid w:val="00C6601B"/>
    <w:rsid w:val="00C66ADB"/>
    <w:rsid w:val="00C720F0"/>
    <w:rsid w:val="00C857E4"/>
    <w:rsid w:val="00C867BB"/>
    <w:rsid w:val="00C92A4C"/>
    <w:rsid w:val="00C94CD0"/>
    <w:rsid w:val="00CA5E23"/>
    <w:rsid w:val="00CC3600"/>
    <w:rsid w:val="00CD0220"/>
    <w:rsid w:val="00CD6B18"/>
    <w:rsid w:val="00CF1C39"/>
    <w:rsid w:val="00CF3E2B"/>
    <w:rsid w:val="00D10C04"/>
    <w:rsid w:val="00D17BBC"/>
    <w:rsid w:val="00D21E4B"/>
    <w:rsid w:val="00D25955"/>
    <w:rsid w:val="00D318FF"/>
    <w:rsid w:val="00D42E2E"/>
    <w:rsid w:val="00D47C0B"/>
    <w:rsid w:val="00D62912"/>
    <w:rsid w:val="00D711DF"/>
    <w:rsid w:val="00D715C6"/>
    <w:rsid w:val="00D87084"/>
    <w:rsid w:val="00D933CF"/>
    <w:rsid w:val="00D96EA3"/>
    <w:rsid w:val="00DB62CF"/>
    <w:rsid w:val="00DB6C9B"/>
    <w:rsid w:val="00DC04C3"/>
    <w:rsid w:val="00DC059C"/>
    <w:rsid w:val="00DC1B12"/>
    <w:rsid w:val="00DF0A88"/>
    <w:rsid w:val="00DF7567"/>
    <w:rsid w:val="00E04663"/>
    <w:rsid w:val="00E239E5"/>
    <w:rsid w:val="00E23BDE"/>
    <w:rsid w:val="00E26DF1"/>
    <w:rsid w:val="00E36CDB"/>
    <w:rsid w:val="00E37898"/>
    <w:rsid w:val="00E40020"/>
    <w:rsid w:val="00E416CD"/>
    <w:rsid w:val="00E43409"/>
    <w:rsid w:val="00E5402C"/>
    <w:rsid w:val="00E63C14"/>
    <w:rsid w:val="00E63C25"/>
    <w:rsid w:val="00E736D6"/>
    <w:rsid w:val="00E85878"/>
    <w:rsid w:val="00E95E9C"/>
    <w:rsid w:val="00EA09D1"/>
    <w:rsid w:val="00EA0AF7"/>
    <w:rsid w:val="00EA24E8"/>
    <w:rsid w:val="00EA5218"/>
    <w:rsid w:val="00EC1F61"/>
    <w:rsid w:val="00ED0A97"/>
    <w:rsid w:val="00ED3CD0"/>
    <w:rsid w:val="00ED7278"/>
    <w:rsid w:val="00EE260B"/>
    <w:rsid w:val="00EE6CD5"/>
    <w:rsid w:val="00EF7271"/>
    <w:rsid w:val="00EF7A07"/>
    <w:rsid w:val="00F04670"/>
    <w:rsid w:val="00F1167F"/>
    <w:rsid w:val="00F1305F"/>
    <w:rsid w:val="00F243C6"/>
    <w:rsid w:val="00F372B9"/>
    <w:rsid w:val="00F50469"/>
    <w:rsid w:val="00F61459"/>
    <w:rsid w:val="00F70AFD"/>
    <w:rsid w:val="00F81115"/>
    <w:rsid w:val="00F820B7"/>
    <w:rsid w:val="00F86419"/>
    <w:rsid w:val="00F964F3"/>
    <w:rsid w:val="00FA335A"/>
    <w:rsid w:val="00FB27B3"/>
    <w:rsid w:val="00FB65A2"/>
    <w:rsid w:val="00FC4CB1"/>
    <w:rsid w:val="00FE02A3"/>
    <w:rsid w:val="00FF012A"/>
    <w:rsid w:val="00FF322F"/>
    <w:rsid w:val="0F9528C9"/>
    <w:rsid w:val="19EA7915"/>
    <w:rsid w:val="1BE50F7B"/>
    <w:rsid w:val="1FF26C41"/>
    <w:rsid w:val="23C27E13"/>
    <w:rsid w:val="26B75F6B"/>
    <w:rsid w:val="2C253500"/>
    <w:rsid w:val="33F50FF1"/>
    <w:rsid w:val="34621989"/>
    <w:rsid w:val="43592785"/>
    <w:rsid w:val="45726666"/>
    <w:rsid w:val="45A8769B"/>
    <w:rsid w:val="482F76EB"/>
    <w:rsid w:val="492D3AD4"/>
    <w:rsid w:val="4BD82F14"/>
    <w:rsid w:val="4BF54135"/>
    <w:rsid w:val="4C66389B"/>
    <w:rsid w:val="4CAF6FD3"/>
    <w:rsid w:val="4DCA6648"/>
    <w:rsid w:val="56010E2D"/>
    <w:rsid w:val="62661004"/>
    <w:rsid w:val="6B7B48AF"/>
    <w:rsid w:val="756E5C8B"/>
    <w:rsid w:val="7E39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1"/>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42"/>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43"/>
    <w:unhideWhenUsed/>
    <w:qFormat/>
    <w:uiPriority w:val="0"/>
    <w:pPr>
      <w:keepNext/>
      <w:keepLines/>
      <w:spacing w:before="280" w:after="290" w:line="376" w:lineRule="auto"/>
      <w:outlineLvl w:val="3"/>
    </w:pPr>
    <w:rPr>
      <w:rFonts w:ascii="Cambria" w:hAnsi="Cambria"/>
      <w:b/>
      <w:bCs/>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autoRedefine/>
    <w:qFormat/>
    <w:uiPriority w:val="0"/>
    <w:pPr>
      <w:ind w:left="1050" w:hanging="210"/>
      <w:jc w:val="left"/>
    </w:pPr>
    <w:rPr>
      <w:rFonts w:ascii="Calibri" w:hAnsi="Calibri"/>
      <w:sz w:val="20"/>
      <w:szCs w:val="20"/>
    </w:rPr>
  </w:style>
  <w:style w:type="paragraph" w:styleId="9">
    <w:name w:val="index 6"/>
    <w:basedOn w:val="1"/>
    <w:next w:val="1"/>
    <w:autoRedefine/>
    <w:qFormat/>
    <w:uiPriority w:val="0"/>
    <w:pPr>
      <w:ind w:left="1260" w:hanging="210"/>
      <w:jc w:val="left"/>
    </w:pPr>
    <w:rPr>
      <w:rFonts w:ascii="Calibri" w:hAnsi="Calibri"/>
      <w:sz w:val="20"/>
      <w:szCs w:val="20"/>
    </w:rPr>
  </w:style>
  <w:style w:type="paragraph" w:styleId="10">
    <w:name w:val="Body Text"/>
    <w:basedOn w:val="1"/>
    <w:qFormat/>
    <w:uiPriority w:val="1"/>
    <w:rPr>
      <w:rFonts w:ascii="宋体" w:hAnsi="宋体" w:eastAsia="宋体" w:cs="宋体"/>
      <w:sz w:val="21"/>
      <w:szCs w:val="21"/>
    </w:rPr>
  </w:style>
  <w:style w:type="paragraph" w:styleId="11">
    <w:name w:val="Body Text Indent"/>
    <w:basedOn w:val="1"/>
    <w:autoRedefine/>
    <w:qFormat/>
    <w:uiPriority w:val="0"/>
    <w:pPr>
      <w:ind w:firstLine="570"/>
    </w:pPr>
    <w:rPr>
      <w:rFonts w:ascii="仿宋_GB2312" w:eastAsia="仿宋_GB2312"/>
      <w:sz w:val="28"/>
      <w:szCs w:val="20"/>
    </w:r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index 3"/>
    <w:basedOn w:val="1"/>
    <w:next w:val="1"/>
    <w:autoRedefine/>
    <w:qFormat/>
    <w:uiPriority w:val="0"/>
    <w:pPr>
      <w:ind w:left="630" w:hanging="210"/>
      <w:jc w:val="left"/>
    </w:pPr>
    <w:rPr>
      <w:rFonts w:ascii="Calibri" w:hAnsi="Calibri"/>
      <w:sz w:val="20"/>
      <w:szCs w:val="20"/>
    </w:rPr>
  </w:style>
  <w:style w:type="paragraph" w:styleId="14">
    <w:name w:val="Date"/>
    <w:basedOn w:val="1"/>
    <w:next w:val="1"/>
    <w:autoRedefine/>
    <w:qFormat/>
    <w:uiPriority w:val="0"/>
    <w:pPr>
      <w:ind w:left="100" w:leftChars="2500"/>
    </w:pPr>
  </w:style>
  <w:style w:type="paragraph" w:styleId="15">
    <w:name w:val="Balloon Text"/>
    <w:basedOn w:val="1"/>
    <w:link w:val="146"/>
    <w:autoRedefine/>
    <w:qFormat/>
    <w:uiPriority w:val="0"/>
    <w:rPr>
      <w:sz w:val="18"/>
      <w:szCs w:val="18"/>
    </w:rPr>
  </w:style>
  <w:style w:type="paragraph" w:styleId="16">
    <w:name w:val="footer"/>
    <w:basedOn w:val="1"/>
    <w:link w:val="41"/>
    <w:autoRedefine/>
    <w:qFormat/>
    <w:uiPriority w:val="99"/>
    <w:pPr>
      <w:snapToGrid w:val="0"/>
      <w:ind w:right="210" w:rightChars="100"/>
      <w:jc w:val="right"/>
    </w:pPr>
    <w:rPr>
      <w:sz w:val="18"/>
      <w:szCs w:val="18"/>
    </w:rPr>
  </w:style>
  <w:style w:type="paragraph" w:styleId="17">
    <w:name w:val="header"/>
    <w:basedOn w:val="1"/>
    <w:link w:val="44"/>
    <w:autoRedefine/>
    <w:qFormat/>
    <w:uiPriority w:val="0"/>
    <w:pPr>
      <w:snapToGrid w:val="0"/>
      <w:jc w:val="left"/>
    </w:pPr>
    <w:rPr>
      <w:sz w:val="18"/>
      <w:szCs w:val="18"/>
    </w:rPr>
  </w:style>
  <w:style w:type="paragraph" w:styleId="18">
    <w:name w:val="toc 1"/>
    <w:basedOn w:val="1"/>
    <w:autoRedefine/>
    <w:qFormat/>
    <w:uiPriority w:val="39"/>
  </w:style>
  <w:style w:type="paragraph" w:styleId="19">
    <w:name w:val="index heading"/>
    <w:basedOn w:val="1"/>
    <w:next w:val="20"/>
    <w:autoRedefine/>
    <w:qFormat/>
    <w:uiPriority w:val="0"/>
    <w:pPr>
      <w:spacing w:before="120" w:after="120"/>
      <w:jc w:val="center"/>
    </w:pPr>
    <w:rPr>
      <w:rFonts w:ascii="Calibri" w:hAnsi="Calibri"/>
      <w:b/>
      <w:bCs/>
      <w:iCs/>
      <w:szCs w:val="20"/>
    </w:rPr>
  </w:style>
  <w:style w:type="paragraph" w:styleId="20">
    <w:name w:val="index 1"/>
    <w:basedOn w:val="1"/>
    <w:next w:val="21"/>
    <w:autoRedefine/>
    <w:qFormat/>
    <w:uiPriority w:val="0"/>
    <w:pPr>
      <w:tabs>
        <w:tab w:val="right" w:leader="dot" w:pos="9299"/>
      </w:tabs>
      <w:jc w:val="left"/>
    </w:pPr>
    <w:rPr>
      <w:rFonts w:ascii="宋体"/>
      <w:szCs w:val="21"/>
    </w:rPr>
  </w:style>
  <w:style w:type="paragraph" w:customStyle="1" w:styleId="21">
    <w:name w:val="段"/>
    <w:link w:val="46"/>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autoRedefine/>
    <w:qFormat/>
    <w:uiPriority w:val="0"/>
    <w:pPr>
      <w:tabs>
        <w:tab w:val="left" w:pos="0"/>
      </w:tabs>
      <w:snapToGrid w:val="0"/>
      <w:ind w:left="720" w:hanging="357"/>
      <w:jc w:val="left"/>
    </w:pPr>
    <w:rPr>
      <w:rFonts w:ascii="宋体"/>
      <w:sz w:val="18"/>
      <w:szCs w:val="18"/>
    </w:rPr>
  </w:style>
  <w:style w:type="paragraph" w:styleId="23">
    <w:name w:val="index 7"/>
    <w:basedOn w:val="1"/>
    <w:next w:val="1"/>
    <w:autoRedefine/>
    <w:qFormat/>
    <w:uiPriority w:val="0"/>
    <w:pPr>
      <w:ind w:left="1470" w:hanging="210"/>
      <w:jc w:val="left"/>
    </w:pPr>
    <w:rPr>
      <w:rFonts w:ascii="Calibri" w:hAnsi="Calibri"/>
      <w:sz w:val="20"/>
      <w:szCs w:val="20"/>
    </w:rPr>
  </w:style>
  <w:style w:type="paragraph" w:styleId="24">
    <w:name w:val="index 9"/>
    <w:basedOn w:val="1"/>
    <w:next w:val="1"/>
    <w:autoRedefine/>
    <w:qFormat/>
    <w:uiPriority w:val="0"/>
    <w:pPr>
      <w:ind w:left="1890" w:hanging="210"/>
      <w:jc w:val="left"/>
    </w:pPr>
    <w:rPr>
      <w:rFonts w:ascii="Calibri" w:hAnsi="Calibri"/>
      <w:sz w:val="20"/>
      <w:szCs w:val="20"/>
    </w:rPr>
  </w:style>
  <w:style w:type="paragraph" w:styleId="25">
    <w:name w:val="toc 2"/>
    <w:basedOn w:val="1"/>
    <w:next w:val="1"/>
    <w:autoRedefine/>
    <w:qFormat/>
    <w:uiPriority w:val="39"/>
    <w:pPr>
      <w:ind w:left="420" w:leftChars="200"/>
    </w:pPr>
  </w:style>
  <w:style w:type="paragraph" w:styleId="26">
    <w:name w:val="HTML Preformatted"/>
    <w:basedOn w:val="1"/>
    <w:autoRedefine/>
    <w:qFormat/>
    <w:uiPriority w:val="0"/>
    <w:pPr>
      <w:tabs>
        <w:tab w:val="left" w:pos="360"/>
      </w:tabs>
    </w:pPr>
    <w:rPr>
      <w:rFonts w:ascii="Courier New" w:hAnsi="Courier New" w:cs="Courier New"/>
      <w:sz w:val="20"/>
      <w:szCs w:val="20"/>
    </w:rPr>
  </w:style>
  <w:style w:type="paragraph" w:styleId="2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8">
    <w:name w:val="index 2"/>
    <w:basedOn w:val="1"/>
    <w:next w:val="1"/>
    <w:qFormat/>
    <w:uiPriority w:val="0"/>
    <w:pPr>
      <w:ind w:left="420" w:hanging="210"/>
      <w:jc w:val="left"/>
    </w:pPr>
    <w:rPr>
      <w:rFonts w:ascii="Calibri" w:hAnsi="Calibri"/>
      <w:sz w:val="20"/>
      <w:szCs w:val="20"/>
    </w:rPr>
  </w:style>
  <w:style w:type="table" w:styleId="30">
    <w:name w:val="Table Grid"/>
    <w:basedOn w:val="29"/>
    <w:autoRedefine/>
    <w:qFormat/>
    <w:uiPriority w:val="59"/>
    <w:pPr>
      <w:numPr>
        <w:numId w:val="1"/>
      </w:numPr>
      <w:tabs>
        <w:tab w:val="left" w:pos="360"/>
      </w:tabs>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autoRedefine/>
    <w:qFormat/>
    <w:uiPriority w:val="22"/>
    <w:rPr>
      <w:b/>
      <w:bCs/>
    </w:rPr>
  </w:style>
  <w:style w:type="character" w:styleId="33">
    <w:name w:val="page number"/>
    <w:autoRedefine/>
    <w:qFormat/>
    <w:uiPriority w:val="0"/>
    <w:rPr>
      <w:rFonts w:ascii="Times New Roman" w:hAnsi="Times New Roman" w:eastAsia="宋体"/>
      <w:sz w:val="18"/>
    </w:rPr>
  </w:style>
  <w:style w:type="character" w:styleId="34">
    <w:name w:val="FollowedHyperlink"/>
    <w:basedOn w:val="31"/>
    <w:uiPriority w:val="0"/>
    <w:rPr>
      <w:color w:val="337AB7"/>
      <w:u w:val="none"/>
    </w:rPr>
  </w:style>
  <w:style w:type="character" w:styleId="35">
    <w:name w:val="HTML Definition"/>
    <w:basedOn w:val="31"/>
    <w:qFormat/>
    <w:uiPriority w:val="0"/>
    <w:rPr>
      <w:i/>
      <w:iCs/>
    </w:rPr>
  </w:style>
  <w:style w:type="character" w:styleId="36">
    <w:name w:val="Hyperlink"/>
    <w:autoRedefine/>
    <w:qFormat/>
    <w:uiPriority w:val="99"/>
    <w:rPr>
      <w:color w:val="0000FF"/>
      <w:spacing w:val="0"/>
      <w:w w:val="100"/>
      <w:szCs w:val="21"/>
      <w:u w:val="single"/>
      <w:lang w:val="en-US" w:eastAsia="zh-CN"/>
    </w:rPr>
  </w:style>
  <w:style w:type="character" w:styleId="37">
    <w:name w:val="HTML Code"/>
    <w:basedOn w:val="31"/>
    <w:qFormat/>
    <w:uiPriority w:val="0"/>
    <w:rPr>
      <w:rFonts w:hint="default" w:ascii="Consolas" w:hAnsi="Consolas" w:eastAsia="Consolas" w:cs="Consolas"/>
      <w:color w:val="C7254E"/>
      <w:sz w:val="21"/>
      <w:szCs w:val="21"/>
      <w:shd w:val="clear" w:fill="F9F2F4"/>
    </w:rPr>
  </w:style>
  <w:style w:type="character" w:styleId="38">
    <w:name w:val="HTML Keyboard"/>
    <w:basedOn w:val="31"/>
    <w:qFormat/>
    <w:uiPriority w:val="0"/>
    <w:rPr>
      <w:rFonts w:ascii="Consolas" w:hAnsi="Consolas" w:eastAsia="Consolas" w:cs="Consolas"/>
      <w:color w:val="FFFFFF"/>
      <w:sz w:val="21"/>
      <w:szCs w:val="21"/>
      <w:shd w:val="clear" w:fill="333333"/>
    </w:rPr>
  </w:style>
  <w:style w:type="character" w:styleId="39">
    <w:name w:val="HTML Sample"/>
    <w:basedOn w:val="31"/>
    <w:qFormat/>
    <w:uiPriority w:val="0"/>
    <w:rPr>
      <w:rFonts w:hint="default" w:ascii="Consolas" w:hAnsi="Consolas" w:eastAsia="Consolas" w:cs="Consolas"/>
      <w:sz w:val="21"/>
      <w:szCs w:val="21"/>
    </w:rPr>
  </w:style>
  <w:style w:type="character" w:customStyle="1" w:styleId="40">
    <w:name w:val="已访问的超链接1"/>
    <w:autoRedefine/>
    <w:qFormat/>
    <w:uiPriority w:val="0"/>
    <w:rPr>
      <w:color w:val="800080"/>
      <w:u w:val="single"/>
    </w:rPr>
  </w:style>
  <w:style w:type="character" w:customStyle="1" w:styleId="41">
    <w:name w:val="页脚 Char"/>
    <w:link w:val="16"/>
    <w:autoRedefine/>
    <w:qFormat/>
    <w:uiPriority w:val="99"/>
    <w:rPr>
      <w:rFonts w:eastAsia="宋体"/>
      <w:kern w:val="2"/>
      <w:sz w:val="18"/>
      <w:szCs w:val="18"/>
      <w:lang w:val="en-US" w:eastAsia="zh-CN" w:bidi="ar-SA"/>
    </w:rPr>
  </w:style>
  <w:style w:type="character" w:customStyle="1" w:styleId="42">
    <w:name w:val="首示例 Char"/>
    <w:link w:val="43"/>
    <w:autoRedefine/>
    <w:qFormat/>
    <w:uiPriority w:val="0"/>
    <w:rPr>
      <w:rFonts w:ascii="宋体" w:hAnsi="宋体"/>
      <w:kern w:val="2"/>
      <w:sz w:val="18"/>
      <w:szCs w:val="18"/>
    </w:rPr>
  </w:style>
  <w:style w:type="paragraph" w:customStyle="1" w:styleId="43">
    <w:name w:val="首示例"/>
    <w:next w:val="21"/>
    <w:link w:val="42"/>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44">
    <w:name w:val="页眉 Char"/>
    <w:link w:val="17"/>
    <w:autoRedefine/>
    <w:qFormat/>
    <w:uiPriority w:val="0"/>
    <w:rPr>
      <w:kern w:val="2"/>
      <w:sz w:val="18"/>
      <w:szCs w:val="18"/>
    </w:rPr>
  </w:style>
  <w:style w:type="character" w:customStyle="1" w:styleId="45">
    <w:name w:val="发布"/>
    <w:autoRedefine/>
    <w:qFormat/>
    <w:uiPriority w:val="0"/>
    <w:rPr>
      <w:rFonts w:ascii="黑体" w:eastAsia="黑体"/>
      <w:spacing w:val="85"/>
      <w:w w:val="100"/>
      <w:position w:val="3"/>
      <w:sz w:val="28"/>
      <w:szCs w:val="28"/>
    </w:rPr>
  </w:style>
  <w:style w:type="character" w:customStyle="1" w:styleId="46">
    <w:name w:val="段 Char"/>
    <w:link w:val="21"/>
    <w:autoRedefine/>
    <w:qFormat/>
    <w:uiPriority w:val="0"/>
    <w:rPr>
      <w:rFonts w:ascii="宋体"/>
      <w:sz w:val="21"/>
      <w:lang w:val="en-US" w:eastAsia="zh-CN" w:bidi="ar-SA"/>
    </w:rPr>
  </w:style>
  <w:style w:type="character" w:customStyle="1" w:styleId="47">
    <w:name w:val="附录公式 Char"/>
    <w:basedOn w:val="46"/>
    <w:link w:val="48"/>
    <w:autoRedefine/>
    <w:qFormat/>
    <w:uiPriority w:val="0"/>
    <w:rPr>
      <w:rFonts w:ascii="宋体"/>
      <w:sz w:val="21"/>
      <w:lang w:val="en-US" w:eastAsia="zh-CN" w:bidi="ar-SA"/>
    </w:rPr>
  </w:style>
  <w:style w:type="paragraph" w:customStyle="1" w:styleId="48">
    <w:name w:val="附录公式"/>
    <w:basedOn w:val="21"/>
    <w:next w:val="21"/>
    <w:link w:val="47"/>
    <w:autoRedefine/>
    <w:qFormat/>
    <w:uiPriority w:val="0"/>
  </w:style>
  <w:style w:type="paragraph" w:customStyle="1" w:styleId="49">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0">
    <w:name w:val="参考文献、索引标题"/>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1">
    <w:name w:val="章标题"/>
    <w:next w:val="21"/>
    <w:autoRedefine/>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2">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53">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4">
    <w:name w:val="附录公式编号制表符"/>
    <w:basedOn w:val="1"/>
    <w:next w:val="21"/>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55">
    <w:name w:val="二级无"/>
    <w:basedOn w:val="56"/>
    <w:autoRedefine/>
    <w:qFormat/>
    <w:uiPriority w:val="0"/>
    <w:pPr>
      <w:spacing w:before="0" w:beforeLines="0" w:after="0" w:afterLines="0"/>
      <w:ind w:left="0"/>
    </w:pPr>
    <w:rPr>
      <w:rFonts w:ascii="宋体" w:eastAsia="宋体"/>
    </w:rPr>
  </w:style>
  <w:style w:type="paragraph" w:customStyle="1" w:styleId="56">
    <w:name w:val="二级条标题"/>
    <w:basedOn w:val="57"/>
    <w:next w:val="21"/>
    <w:autoRedefine/>
    <w:qFormat/>
    <w:uiPriority w:val="0"/>
    <w:pPr>
      <w:numPr>
        <w:ilvl w:val="0"/>
        <w:numId w:val="0"/>
      </w:numPr>
      <w:spacing w:before="50" w:after="50"/>
      <w:ind w:left="426"/>
      <w:outlineLvl w:val="3"/>
    </w:pPr>
  </w:style>
  <w:style w:type="paragraph" w:customStyle="1" w:styleId="57">
    <w:name w:val="一级条标题"/>
    <w:next w:val="21"/>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8">
    <w:name w:val="编号列项（三级）"/>
    <w:autoRedefine/>
    <w:qFormat/>
    <w:uiPriority w:val="0"/>
    <w:rPr>
      <w:rFonts w:ascii="宋体" w:hAnsi="Times New Roman" w:eastAsia="宋体" w:cs="Times New Roman"/>
      <w:sz w:val="21"/>
      <w:lang w:val="en-US" w:eastAsia="zh-CN" w:bidi="ar-SA"/>
    </w:rPr>
  </w:style>
  <w:style w:type="paragraph" w:customStyle="1" w:styleId="59">
    <w:name w:val="条文脚注"/>
    <w:basedOn w:val="22"/>
    <w:autoRedefine/>
    <w:qFormat/>
    <w:uiPriority w:val="0"/>
    <w:pPr>
      <w:ind w:left="0" w:firstLine="0"/>
      <w:jc w:val="both"/>
    </w:pPr>
  </w:style>
  <w:style w:type="paragraph" w:customStyle="1" w:styleId="60">
    <w:name w:val="附录标题"/>
    <w:basedOn w:val="21"/>
    <w:next w:val="21"/>
    <w:autoRedefine/>
    <w:qFormat/>
    <w:uiPriority w:val="0"/>
    <w:pPr>
      <w:ind w:firstLine="0" w:firstLineChars="0"/>
      <w:jc w:val="center"/>
    </w:pPr>
    <w:rPr>
      <w:rFonts w:ascii="黑体" w:eastAsia="黑体"/>
    </w:rPr>
  </w:style>
  <w:style w:type="paragraph" w:customStyle="1" w:styleId="61">
    <w:name w:val="目次、标准名称标题"/>
    <w:basedOn w:val="1"/>
    <w:next w:val="21"/>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正文公式编号制表符"/>
    <w:basedOn w:val="21"/>
    <w:next w:val="21"/>
    <w:autoRedefine/>
    <w:qFormat/>
    <w:uiPriority w:val="0"/>
    <w:pPr>
      <w:ind w:firstLine="0" w:firstLineChars="0"/>
    </w:pPr>
  </w:style>
  <w:style w:type="paragraph" w:customStyle="1" w:styleId="63">
    <w:name w:val="附录四级条标题"/>
    <w:basedOn w:val="64"/>
    <w:next w:val="21"/>
    <w:autoRedefine/>
    <w:qFormat/>
    <w:uiPriority w:val="0"/>
    <w:pPr>
      <w:tabs>
        <w:tab w:val="left" w:pos="360"/>
      </w:tabs>
      <w:outlineLvl w:val="5"/>
    </w:pPr>
  </w:style>
  <w:style w:type="paragraph" w:customStyle="1" w:styleId="64">
    <w:name w:val="附录三级条标题"/>
    <w:basedOn w:val="65"/>
    <w:next w:val="21"/>
    <w:autoRedefine/>
    <w:qFormat/>
    <w:uiPriority w:val="0"/>
    <w:pPr>
      <w:tabs>
        <w:tab w:val="left" w:pos="360"/>
      </w:tabs>
      <w:outlineLvl w:val="4"/>
    </w:pPr>
  </w:style>
  <w:style w:type="paragraph" w:customStyle="1" w:styleId="65">
    <w:name w:val="附录二级条标题"/>
    <w:basedOn w:val="1"/>
    <w:next w:val="21"/>
    <w:autoRedefine/>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66">
    <w:name w:val="三级无"/>
    <w:basedOn w:val="67"/>
    <w:autoRedefine/>
    <w:qFormat/>
    <w:uiPriority w:val="0"/>
    <w:pPr>
      <w:spacing w:before="0" w:beforeLines="0" w:after="0" w:afterLines="0"/>
    </w:pPr>
    <w:rPr>
      <w:rFonts w:ascii="宋体" w:eastAsia="宋体"/>
    </w:rPr>
  </w:style>
  <w:style w:type="paragraph" w:customStyle="1" w:styleId="67">
    <w:name w:val="三级条标题"/>
    <w:basedOn w:val="56"/>
    <w:next w:val="21"/>
    <w:autoRedefine/>
    <w:qFormat/>
    <w:uiPriority w:val="0"/>
    <w:pPr>
      <w:ind w:left="0"/>
      <w:outlineLvl w:val="4"/>
    </w:pPr>
  </w:style>
  <w:style w:type="paragraph" w:customStyle="1" w:styleId="68">
    <w:name w:val="封面一致性程度标识"/>
    <w:basedOn w:val="69"/>
    <w:autoRedefine/>
    <w:qFormat/>
    <w:uiPriority w:val="0"/>
    <w:pPr>
      <w:spacing w:before="440"/>
    </w:pPr>
    <w:rPr>
      <w:rFonts w:ascii="宋体" w:eastAsia="宋体"/>
    </w:rPr>
  </w:style>
  <w:style w:type="paragraph" w:customStyle="1" w:styleId="69">
    <w:name w:val="封面标准英文名称"/>
    <w:basedOn w:val="70"/>
    <w:autoRedefine/>
    <w:qFormat/>
    <w:uiPriority w:val="0"/>
    <w:pPr>
      <w:spacing w:before="370" w:line="400" w:lineRule="exact"/>
    </w:pPr>
    <w:rPr>
      <w:rFonts w:ascii="Times New Roman"/>
      <w:sz w:val="28"/>
      <w:szCs w:val="28"/>
    </w:rPr>
  </w:style>
  <w:style w:type="paragraph" w:customStyle="1" w:styleId="70">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1">
    <w:name w:val="示例×："/>
    <w:basedOn w:val="51"/>
    <w:autoRedefine/>
    <w:qFormat/>
    <w:uiPriority w:val="0"/>
    <w:pPr>
      <w:spacing w:before="0" w:beforeLines="0" w:after="0" w:afterLines="0"/>
      <w:ind w:firstLine="363"/>
      <w:outlineLvl w:val="9"/>
    </w:pPr>
    <w:rPr>
      <w:rFonts w:ascii="宋体" w:eastAsia="宋体"/>
      <w:sz w:val="18"/>
      <w:szCs w:val="18"/>
    </w:rPr>
  </w:style>
  <w:style w:type="paragraph" w:customStyle="1" w:styleId="72">
    <w:name w:val="封面一致性程度标识2"/>
    <w:basedOn w:val="68"/>
    <w:autoRedefine/>
    <w:qFormat/>
    <w:uiPriority w:val="0"/>
    <w:pPr>
      <w:framePr w:y="4469"/>
    </w:pPr>
  </w:style>
  <w:style w:type="paragraph" w:customStyle="1" w:styleId="73">
    <w:name w:val="附录五级无"/>
    <w:basedOn w:val="74"/>
    <w:autoRedefine/>
    <w:qFormat/>
    <w:uiPriority w:val="0"/>
    <w:pPr>
      <w:tabs>
        <w:tab w:val="left" w:pos="360"/>
      </w:tabs>
      <w:spacing w:before="0" w:beforeLines="0" w:after="0" w:afterLines="0"/>
    </w:pPr>
    <w:rPr>
      <w:rFonts w:ascii="宋体" w:eastAsia="宋体"/>
      <w:szCs w:val="21"/>
    </w:rPr>
  </w:style>
  <w:style w:type="paragraph" w:customStyle="1" w:styleId="74">
    <w:name w:val="附录五级条标题"/>
    <w:basedOn w:val="63"/>
    <w:next w:val="21"/>
    <w:autoRedefine/>
    <w:qFormat/>
    <w:uiPriority w:val="0"/>
    <w:pPr>
      <w:outlineLvl w:val="6"/>
    </w:pPr>
  </w:style>
  <w:style w:type="paragraph" w:customStyle="1" w:styleId="75">
    <w:name w:val="四级条标题"/>
    <w:basedOn w:val="67"/>
    <w:next w:val="21"/>
    <w:autoRedefine/>
    <w:qFormat/>
    <w:uiPriority w:val="0"/>
    <w:pPr>
      <w:outlineLvl w:val="5"/>
    </w:pPr>
  </w:style>
  <w:style w:type="paragraph" w:customStyle="1" w:styleId="76">
    <w:name w:val="注："/>
    <w:next w:val="21"/>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7">
    <w:name w:val="附录四级无"/>
    <w:basedOn w:val="63"/>
    <w:autoRedefine/>
    <w:qFormat/>
    <w:uiPriority w:val="0"/>
    <w:pPr>
      <w:tabs>
        <w:tab w:val="clear" w:pos="360"/>
      </w:tabs>
      <w:spacing w:before="0" w:beforeLines="0" w:after="0" w:afterLines="0"/>
    </w:pPr>
    <w:rPr>
      <w:rFonts w:ascii="宋体" w:eastAsia="宋体"/>
      <w:szCs w:val="21"/>
    </w:rPr>
  </w:style>
  <w:style w:type="paragraph" w:customStyle="1" w:styleId="78">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9">
    <w:name w:val="其他发布部门"/>
    <w:basedOn w:val="80"/>
    <w:autoRedefine/>
    <w:qFormat/>
    <w:uiPriority w:val="0"/>
    <w:pPr>
      <w:framePr w:y="15310"/>
      <w:spacing w:line="0" w:lineRule="atLeast"/>
    </w:pPr>
    <w:rPr>
      <w:rFonts w:ascii="黑体" w:eastAsia="黑体"/>
      <w:b w:val="0"/>
    </w:rPr>
  </w:style>
  <w:style w:type="paragraph" w:customStyle="1" w:styleId="80">
    <w:name w:val="发布部门"/>
    <w:next w:val="2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列项◆（三级）"/>
    <w:basedOn w:val="1"/>
    <w:autoRedefine/>
    <w:qFormat/>
    <w:uiPriority w:val="0"/>
    <w:pPr>
      <w:tabs>
        <w:tab w:val="left" w:pos="1678"/>
      </w:tabs>
      <w:ind w:left="1678" w:hanging="414"/>
    </w:pPr>
    <w:rPr>
      <w:rFonts w:ascii="宋体"/>
      <w:szCs w:val="21"/>
    </w:rPr>
  </w:style>
  <w:style w:type="paragraph" w:customStyle="1" w:styleId="82">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正文图标题"/>
    <w:next w:val="21"/>
    <w:autoRedefine/>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85">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6">
    <w:name w:val="附录章标题"/>
    <w:next w:val="21"/>
    <w:autoRedefine/>
    <w:qFormat/>
    <w:uiPriority w:val="0"/>
    <w:p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注：（正文）"/>
    <w:basedOn w:val="76"/>
    <w:next w:val="21"/>
    <w:autoRedefine/>
    <w:qFormat/>
    <w:uiPriority w:val="0"/>
  </w:style>
  <w:style w:type="paragraph" w:customStyle="1" w:styleId="89">
    <w:name w:val="附录图标号"/>
    <w:basedOn w:val="1"/>
    <w:autoRedefine/>
    <w:qFormat/>
    <w:uiPriority w:val="0"/>
    <w:pPr>
      <w:keepNext/>
      <w:pageBreakBefore/>
      <w:widowControl/>
      <w:spacing w:line="14" w:lineRule="exact"/>
      <w:ind w:firstLine="363"/>
      <w:jc w:val="center"/>
      <w:outlineLvl w:val="0"/>
    </w:pPr>
    <w:rPr>
      <w:color w:val="FFFFFF"/>
    </w:rPr>
  </w:style>
  <w:style w:type="paragraph" w:customStyle="1" w:styleId="9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91">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92">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styleId="94">
    <w:name w:val="List Paragraph"/>
    <w:basedOn w:val="1"/>
    <w:autoRedefine/>
    <w:qFormat/>
    <w:uiPriority w:val="34"/>
    <w:pPr>
      <w:ind w:firstLine="420" w:firstLineChars="200"/>
    </w:pPr>
    <w:rPr>
      <w:rFonts w:ascii="Calibri" w:hAnsi="Calibri"/>
      <w:szCs w:val="22"/>
    </w:rPr>
  </w:style>
  <w:style w:type="paragraph" w:customStyle="1" w:styleId="95">
    <w:name w:val="附录一级无"/>
    <w:basedOn w:val="96"/>
    <w:autoRedefine/>
    <w:qFormat/>
    <w:uiPriority w:val="0"/>
    <w:pPr>
      <w:tabs>
        <w:tab w:val="left" w:pos="360"/>
      </w:tabs>
      <w:spacing w:before="0" w:beforeLines="0" w:after="0" w:afterLines="0"/>
    </w:pPr>
    <w:rPr>
      <w:rFonts w:ascii="宋体" w:eastAsia="宋体"/>
      <w:szCs w:val="21"/>
    </w:rPr>
  </w:style>
  <w:style w:type="paragraph" w:customStyle="1" w:styleId="96">
    <w:name w:val="附录一级条标题"/>
    <w:basedOn w:val="86"/>
    <w:next w:val="21"/>
    <w:autoRedefine/>
    <w:qFormat/>
    <w:uiPriority w:val="0"/>
    <w:pPr>
      <w:autoSpaceDN w:val="0"/>
      <w:spacing w:before="50" w:beforeLines="50" w:after="50" w:afterLines="50"/>
      <w:outlineLvl w:val="2"/>
    </w:pPr>
  </w:style>
  <w:style w:type="paragraph" w:customStyle="1" w:styleId="97">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8">
    <w:name w:val="标准书眉一"/>
    <w:autoRedefine/>
    <w:qFormat/>
    <w:uiPriority w:val="0"/>
    <w:pPr>
      <w:jc w:val="both"/>
    </w:pPr>
    <w:rPr>
      <w:rFonts w:ascii="Times New Roman" w:hAnsi="Times New Roman" w:eastAsia="宋体" w:cs="Times New Roman"/>
      <w:lang w:val="en-US" w:eastAsia="zh-CN" w:bidi="ar-SA"/>
    </w:rPr>
  </w:style>
  <w:style w:type="paragraph" w:customStyle="1" w:styleId="99">
    <w:name w:val="封面标准英文名称2"/>
    <w:basedOn w:val="69"/>
    <w:qFormat/>
    <w:uiPriority w:val="0"/>
    <w:pPr>
      <w:framePr w:y="4469"/>
    </w:pPr>
  </w:style>
  <w:style w:type="paragraph" w:customStyle="1" w:styleId="100">
    <w:name w:val="标准书眉_偶数页"/>
    <w:basedOn w:val="85"/>
    <w:next w:val="1"/>
    <w:autoRedefine/>
    <w:qFormat/>
    <w:uiPriority w:val="0"/>
    <w:pPr>
      <w:jc w:val="left"/>
    </w:pPr>
  </w:style>
  <w:style w:type="paragraph" w:customStyle="1" w:styleId="101">
    <w:name w:val="图表脚注说明"/>
    <w:basedOn w:val="1"/>
    <w:autoRedefine/>
    <w:qFormat/>
    <w:uiPriority w:val="0"/>
    <w:pPr>
      <w:ind w:left="544" w:hanging="181"/>
    </w:pPr>
    <w:rPr>
      <w:rFonts w:ascii="宋体"/>
      <w:sz w:val="18"/>
      <w:szCs w:val="18"/>
    </w:rPr>
  </w:style>
  <w:style w:type="paragraph" w:customStyle="1" w:styleId="10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3">
    <w:name w:val="终结线"/>
    <w:basedOn w:val="1"/>
    <w:autoRedefine/>
    <w:qFormat/>
    <w:uiPriority w:val="0"/>
    <w:pPr>
      <w:framePr w:hSpace="181" w:vSpace="181" w:wrap="around" w:vAnchor="text" w:hAnchor="margin" w:xAlign="center" w:y="285"/>
    </w:pPr>
  </w:style>
  <w:style w:type="paragraph" w:customStyle="1" w:styleId="104">
    <w:name w:val="注×：（正文）"/>
    <w:autoRedefine/>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5">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6">
    <w:name w:val="附录数字编号列项（二级）"/>
    <w:autoRedefine/>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7">
    <w:name w:val="数字编号列项（二级）"/>
    <w:autoRedefine/>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8">
    <w:name w:val="列项——（一级）"/>
    <w:autoRedefine/>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09">
    <w:name w:val="列项●（二级）"/>
    <w:autoRedefine/>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10">
    <w:name w:val="封面标准文稿类别"/>
    <w:basedOn w:val="68"/>
    <w:autoRedefine/>
    <w:qFormat/>
    <w:uiPriority w:val="0"/>
    <w:pPr>
      <w:spacing w:after="160" w:line="240" w:lineRule="auto"/>
    </w:pPr>
    <w:rPr>
      <w:sz w:val="24"/>
    </w:rPr>
  </w:style>
  <w:style w:type="paragraph" w:customStyle="1" w:styleId="111">
    <w:name w:val="其他实施日期"/>
    <w:basedOn w:val="112"/>
    <w:autoRedefine/>
    <w:qFormat/>
    <w:uiPriority w:val="0"/>
  </w:style>
  <w:style w:type="paragraph" w:customStyle="1" w:styleId="112">
    <w:name w:val="实施日期"/>
    <w:basedOn w:val="93"/>
    <w:autoRedefine/>
    <w:qFormat/>
    <w:uiPriority w:val="0"/>
    <w:pPr>
      <w:framePr w:vAnchor="page" w:hAnchor="text"/>
      <w:jc w:val="right"/>
    </w:pPr>
  </w:style>
  <w:style w:type="paragraph" w:customStyle="1" w:styleId="113">
    <w:name w:val="五级条标题"/>
    <w:basedOn w:val="75"/>
    <w:next w:val="21"/>
    <w:autoRedefine/>
    <w:qFormat/>
    <w:uiPriority w:val="0"/>
    <w:pPr>
      <w:numPr>
        <w:ilvl w:val="5"/>
      </w:numPr>
      <w:outlineLvl w:val="6"/>
    </w:p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参考文献"/>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6">
    <w:name w:val="字母编号列项（一级）"/>
    <w:autoRedefine/>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117">
    <w:name w:val="示例"/>
    <w:next w:val="90"/>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8">
    <w:name w:val="封面标准文稿编辑信息"/>
    <w:basedOn w:val="110"/>
    <w:autoRedefine/>
    <w:qFormat/>
    <w:uiPriority w:val="0"/>
    <w:pPr>
      <w:spacing w:before="180" w:line="180" w:lineRule="exact"/>
    </w:pPr>
    <w:rPr>
      <w:sz w:val="21"/>
    </w:rPr>
  </w:style>
  <w:style w:type="paragraph" w:customStyle="1" w:styleId="119">
    <w:name w:val="封面正文"/>
    <w:autoRedefine/>
    <w:qFormat/>
    <w:uiPriority w:val="0"/>
    <w:pPr>
      <w:jc w:val="both"/>
    </w:pPr>
    <w:rPr>
      <w:rFonts w:ascii="Times New Roman" w:hAnsi="Times New Roman" w:eastAsia="宋体" w:cs="Times New Roman"/>
      <w:lang w:val="en-US" w:eastAsia="zh-CN" w:bidi="ar-SA"/>
    </w:rPr>
  </w:style>
  <w:style w:type="paragraph" w:customStyle="1" w:styleId="120">
    <w:name w:val="前言、引言标题"/>
    <w:next w:val="2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附录标识"/>
    <w:basedOn w:val="1"/>
    <w:next w:val="21"/>
    <w:autoRedefine/>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2">
    <w:name w:val="图标脚注说明"/>
    <w:basedOn w:val="21"/>
    <w:autoRedefine/>
    <w:qFormat/>
    <w:uiPriority w:val="0"/>
    <w:pPr>
      <w:ind w:left="840" w:hanging="420" w:firstLineChars="0"/>
    </w:pPr>
    <w:rPr>
      <w:sz w:val="18"/>
      <w:szCs w:val="18"/>
    </w:rPr>
  </w:style>
  <w:style w:type="paragraph" w:customStyle="1" w:styleId="123">
    <w:name w:val="附录表标号"/>
    <w:basedOn w:val="1"/>
    <w:next w:val="21"/>
    <w:autoRedefine/>
    <w:qFormat/>
    <w:uiPriority w:val="0"/>
    <w:pPr>
      <w:spacing w:line="14" w:lineRule="exact"/>
      <w:ind w:left="811" w:hanging="448"/>
      <w:jc w:val="center"/>
      <w:outlineLvl w:val="0"/>
    </w:pPr>
    <w:rPr>
      <w:color w:val="FFFFFF"/>
    </w:rPr>
  </w:style>
  <w:style w:type="paragraph" w:customStyle="1" w:styleId="124">
    <w:name w:val="图的脚注"/>
    <w:next w:val="2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附录表标题"/>
    <w:basedOn w:val="1"/>
    <w:next w:val="21"/>
    <w:autoRedefine/>
    <w:qFormat/>
    <w:uiPriority w:val="0"/>
    <w:pPr>
      <w:tabs>
        <w:tab w:val="left" w:pos="180"/>
      </w:tabs>
      <w:spacing w:before="50" w:beforeLines="50" w:after="50" w:afterLines="50"/>
      <w:jc w:val="center"/>
    </w:pPr>
    <w:rPr>
      <w:rFonts w:ascii="黑体" w:eastAsia="黑体"/>
      <w:szCs w:val="21"/>
    </w:rPr>
  </w:style>
  <w:style w:type="paragraph" w:customStyle="1" w:styleId="126">
    <w:name w:val="附录二级无"/>
    <w:basedOn w:val="65"/>
    <w:autoRedefine/>
    <w:qFormat/>
    <w:uiPriority w:val="0"/>
    <w:pPr>
      <w:tabs>
        <w:tab w:val="clear" w:pos="360"/>
      </w:tabs>
      <w:spacing w:before="0" w:beforeLines="0" w:after="0" w:afterLines="0"/>
    </w:pPr>
    <w:rPr>
      <w:rFonts w:ascii="宋体" w:eastAsia="宋体"/>
      <w:szCs w:val="21"/>
    </w:rPr>
  </w:style>
  <w:style w:type="paragraph" w:customStyle="1" w:styleId="127">
    <w:name w:val="五级无"/>
    <w:basedOn w:val="113"/>
    <w:autoRedefine/>
    <w:qFormat/>
    <w:uiPriority w:val="0"/>
    <w:pPr>
      <w:spacing w:before="0" w:beforeLines="0" w:after="0" w:afterLines="0"/>
    </w:pPr>
    <w:rPr>
      <w:rFonts w:ascii="宋体" w:eastAsia="宋体"/>
    </w:rPr>
  </w:style>
  <w:style w:type="paragraph" w:customStyle="1" w:styleId="128">
    <w:name w:val="附录三级无"/>
    <w:basedOn w:val="64"/>
    <w:autoRedefine/>
    <w:qFormat/>
    <w:uiPriority w:val="0"/>
    <w:pPr>
      <w:tabs>
        <w:tab w:val="clear" w:pos="360"/>
      </w:tabs>
      <w:spacing w:before="0" w:beforeLines="0" w:after="0" w:afterLines="0"/>
    </w:pPr>
    <w:rPr>
      <w:rFonts w:ascii="宋体" w:eastAsia="宋体"/>
      <w:szCs w:val="21"/>
    </w:rPr>
  </w:style>
  <w:style w:type="paragraph" w:customStyle="1" w:styleId="129">
    <w:name w:val="附录图标题"/>
    <w:basedOn w:val="1"/>
    <w:next w:val="21"/>
    <w:autoRedefine/>
    <w:qFormat/>
    <w:uiPriority w:val="0"/>
    <w:pPr>
      <w:tabs>
        <w:tab w:val="left" w:pos="363"/>
      </w:tabs>
      <w:spacing w:before="50" w:beforeLines="50" w:after="50" w:afterLines="50"/>
      <w:jc w:val="center"/>
    </w:pPr>
    <w:rPr>
      <w:rFonts w:ascii="黑体" w:eastAsia="黑体"/>
      <w:szCs w:val="21"/>
    </w:rPr>
  </w:style>
  <w:style w:type="paragraph" w:customStyle="1" w:styleId="130">
    <w:name w:val="列出段落1"/>
    <w:basedOn w:val="1"/>
    <w:autoRedefine/>
    <w:qFormat/>
    <w:uiPriority w:val="0"/>
    <w:pPr>
      <w:ind w:firstLine="420" w:firstLineChars="200"/>
    </w:pPr>
    <w:rPr>
      <w:rFonts w:ascii="Calibri" w:hAnsi="Calibri"/>
      <w:szCs w:val="22"/>
    </w:rPr>
  </w:style>
  <w:style w:type="paragraph" w:customStyle="1" w:styleId="131">
    <w:name w:val="附录字母编号列项（一级）"/>
    <w:autoRedefine/>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32">
    <w:name w:val="其他标准标志"/>
    <w:basedOn w:val="102"/>
    <w:autoRedefine/>
    <w:qFormat/>
    <w:uiPriority w:val="0"/>
    <w:pPr>
      <w:framePr w:w="6101" w:vAnchor="page" w:hAnchor="page" w:x="4673" w:y="942"/>
    </w:pPr>
    <w:rPr>
      <w:w w:val="130"/>
    </w:rPr>
  </w:style>
  <w:style w:type="paragraph" w:customStyle="1" w:styleId="133">
    <w:name w:val="示例后文字"/>
    <w:basedOn w:val="21"/>
    <w:next w:val="21"/>
    <w:autoRedefine/>
    <w:qFormat/>
    <w:uiPriority w:val="0"/>
    <w:pPr>
      <w:ind w:firstLine="360"/>
    </w:pPr>
    <w:rPr>
      <w:sz w:val="18"/>
    </w:rPr>
  </w:style>
  <w:style w:type="paragraph" w:customStyle="1" w:styleId="134">
    <w:name w:val="四级无"/>
    <w:basedOn w:val="75"/>
    <w:autoRedefine/>
    <w:qFormat/>
    <w:uiPriority w:val="0"/>
    <w:pPr>
      <w:spacing w:before="0" w:beforeLines="0" w:after="0" w:afterLines="0"/>
    </w:pPr>
    <w:rPr>
      <w:rFonts w:ascii="宋体" w:eastAsia="宋体"/>
    </w:rPr>
  </w:style>
  <w:style w:type="paragraph" w:customStyle="1" w:styleId="135">
    <w:name w:val="一级无"/>
    <w:basedOn w:val="57"/>
    <w:autoRedefine/>
    <w:qFormat/>
    <w:uiPriority w:val="0"/>
    <w:pPr>
      <w:spacing w:before="0" w:beforeLines="0" w:after="0" w:afterLines="0"/>
    </w:pPr>
    <w:rPr>
      <w:rFonts w:ascii="宋体" w:eastAsia="宋体"/>
    </w:rPr>
  </w:style>
  <w:style w:type="paragraph" w:customStyle="1" w:styleId="136">
    <w:name w:val="正文表标题"/>
    <w:next w:val="21"/>
    <w:autoRedefine/>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7">
    <w:name w:val="其他发布日期"/>
    <w:basedOn w:val="93"/>
    <w:autoRedefine/>
    <w:qFormat/>
    <w:uiPriority w:val="0"/>
    <w:pPr>
      <w:framePr w:vAnchor="page" w:hAnchor="text" w:x="1419"/>
    </w:pPr>
  </w:style>
  <w:style w:type="paragraph" w:customStyle="1" w:styleId="138">
    <w:name w:val="封面标准名称2"/>
    <w:basedOn w:val="70"/>
    <w:autoRedefine/>
    <w:qFormat/>
    <w:uiPriority w:val="0"/>
    <w:pPr>
      <w:framePr w:y="4469"/>
      <w:spacing w:before="630" w:beforeLines="630"/>
    </w:pPr>
  </w:style>
  <w:style w:type="paragraph" w:customStyle="1" w:styleId="139">
    <w:name w:val="封面标准文稿类别2"/>
    <w:basedOn w:val="110"/>
    <w:autoRedefine/>
    <w:qFormat/>
    <w:uiPriority w:val="0"/>
    <w:pPr>
      <w:framePr w:y="4469"/>
    </w:pPr>
  </w:style>
  <w:style w:type="paragraph" w:customStyle="1" w:styleId="140">
    <w:name w:val="封面标准文稿编辑信息2"/>
    <w:basedOn w:val="118"/>
    <w:autoRedefine/>
    <w:qFormat/>
    <w:uiPriority w:val="0"/>
    <w:pPr>
      <w:framePr w:y="4469"/>
    </w:pPr>
  </w:style>
  <w:style w:type="character" w:customStyle="1" w:styleId="141">
    <w:name w:val="标题 2 Char"/>
    <w:link w:val="3"/>
    <w:autoRedefine/>
    <w:qFormat/>
    <w:uiPriority w:val="0"/>
    <w:rPr>
      <w:rFonts w:ascii="Cambria" w:hAnsi="Cambria" w:eastAsia="宋体" w:cs="Times New Roman"/>
      <w:b/>
      <w:bCs/>
      <w:kern w:val="2"/>
      <w:sz w:val="32"/>
      <w:szCs w:val="32"/>
    </w:rPr>
  </w:style>
  <w:style w:type="character" w:customStyle="1" w:styleId="142">
    <w:name w:val="标题 3 Char"/>
    <w:link w:val="4"/>
    <w:autoRedefine/>
    <w:qFormat/>
    <w:uiPriority w:val="0"/>
    <w:rPr>
      <w:b/>
      <w:bCs/>
      <w:kern w:val="2"/>
      <w:sz w:val="32"/>
      <w:szCs w:val="32"/>
    </w:rPr>
  </w:style>
  <w:style w:type="character" w:customStyle="1" w:styleId="143">
    <w:name w:val="标题 4 Char"/>
    <w:link w:val="5"/>
    <w:autoRedefine/>
    <w:qFormat/>
    <w:uiPriority w:val="0"/>
    <w:rPr>
      <w:rFonts w:ascii="Cambria" w:hAnsi="Cambria" w:eastAsia="宋体" w:cs="Times New Roman"/>
      <w:b/>
      <w:bCs/>
      <w:kern w:val="2"/>
      <w:sz w:val="28"/>
      <w:szCs w:val="28"/>
    </w:rPr>
  </w:style>
  <w:style w:type="character" w:customStyle="1" w:styleId="144">
    <w:name w:val="标题 1 Char"/>
    <w:basedOn w:val="31"/>
    <w:link w:val="2"/>
    <w:autoRedefine/>
    <w:qFormat/>
    <w:uiPriority w:val="0"/>
    <w:rPr>
      <w:b/>
      <w:bCs/>
      <w:kern w:val="44"/>
      <w:sz w:val="44"/>
      <w:szCs w:val="44"/>
    </w:rPr>
  </w:style>
  <w:style w:type="paragraph" w:customStyle="1" w:styleId="14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6">
    <w:name w:val="批注框文本 Char"/>
    <w:basedOn w:val="31"/>
    <w:link w:val="15"/>
    <w:autoRedefine/>
    <w:qFormat/>
    <w:uiPriority w:val="0"/>
    <w:rPr>
      <w:kern w:val="2"/>
      <w:sz w:val="18"/>
      <w:szCs w:val="18"/>
    </w:rPr>
  </w:style>
  <w:style w:type="table" w:customStyle="1" w:styleId="147">
    <w:name w:val="网格型1"/>
    <w:basedOn w:val="2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网格型2"/>
    <w:basedOn w:val="2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0">
    <w:name w:val="标准文件_段"/>
    <w:link w:val="15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51">
    <w:name w:val="标准文件_段 Char"/>
    <w:link w:val="150"/>
    <w:autoRedefine/>
    <w:qFormat/>
    <w:uiPriority w:val="0"/>
    <w:rPr>
      <w:rFonts w:ascii="宋体"/>
      <w:sz w:val="21"/>
    </w:rPr>
  </w:style>
  <w:style w:type="table" w:customStyle="1" w:styleId="152">
    <w:name w:val="Table Normal"/>
    <w:semiHidden/>
    <w:unhideWhenUsed/>
    <w:qFormat/>
    <w:uiPriority w:val="0"/>
    <w:tblPr>
      <w:tblCellMar>
        <w:top w:w="0" w:type="dxa"/>
        <w:left w:w="0" w:type="dxa"/>
        <w:bottom w:w="0" w:type="dxa"/>
        <w:right w:w="0" w:type="dxa"/>
      </w:tblCellMar>
    </w:tblPr>
  </w:style>
  <w:style w:type="paragraph" w:customStyle="1" w:styleId="153">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36301-17E5-4AE0-A15D-2E7AE6C31450}">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6289</Words>
  <Characters>7277</Characters>
  <Lines>57</Lines>
  <Paragraphs>16</Paragraphs>
  <TotalTime>11</TotalTime>
  <ScaleCrop>false</ScaleCrop>
  <LinksUpToDate>false</LinksUpToDate>
  <CharactersWithSpaces>7566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2024-01-02T07:15:00Z</dcterms:created>
  <dc:creator>user</dc:creator>
  <cp:lastModifiedBy>文档</cp:lastModifiedBy>
  <cp:lastPrinted>2023-06-05T03:32:00Z</cp:lastPrinted>
  <dcterms:modified xsi:type="dcterms:W3CDTF">2024-11-07T03:40:56Z</dcterms:modified>
  <dc:title>《聚氨酯合成革  节能环保技术要求》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36FCCD3393FC45D99DCBD97427780C3D_12</vt:lpwstr>
  </property>
</Properties>
</file>