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A6370">
      <w:pPr>
        <w:snapToGrid w:val="0"/>
        <w:spacing w:before="312" w:beforeLines="100" w:after="312" w:afterLines="100" w:line="360" w:lineRule="auto"/>
        <w:jc w:val="center"/>
        <w:rPr>
          <w:rFonts w:hint="eastAsia" w:ascii="宋体" w:hAnsi="宋体"/>
          <w:b/>
          <w:bCs/>
          <w:color w:val="auto"/>
          <w:sz w:val="30"/>
          <w:szCs w:val="30"/>
        </w:rPr>
      </w:pPr>
      <w:r>
        <w:rPr>
          <w:rFonts w:hint="eastAsia" w:ascii="宋体" w:hAnsi="宋体"/>
          <w:b/>
          <w:bCs/>
          <w:color w:val="auto"/>
          <w:sz w:val="30"/>
          <w:szCs w:val="30"/>
        </w:rPr>
        <w:t xml:space="preserve">《产品碳足迹 产品种类规则 </w:t>
      </w:r>
      <w:r>
        <w:rPr>
          <w:rFonts w:hint="eastAsia" w:ascii="宋体" w:hAnsi="宋体"/>
          <w:b/>
          <w:bCs/>
          <w:color w:val="auto"/>
          <w:sz w:val="30"/>
          <w:szCs w:val="30"/>
          <w:lang w:val="en-US" w:eastAsia="zh-CN"/>
        </w:rPr>
        <w:t>光源</w:t>
      </w:r>
      <w:r>
        <w:rPr>
          <w:rFonts w:hint="eastAsia" w:ascii="宋体" w:hAnsi="宋体"/>
          <w:b/>
          <w:bCs/>
          <w:color w:val="auto"/>
          <w:sz w:val="30"/>
          <w:szCs w:val="30"/>
        </w:rPr>
        <w:t>》</w:t>
      </w:r>
    </w:p>
    <w:p w14:paraId="528868DD">
      <w:pPr>
        <w:snapToGrid w:val="0"/>
        <w:spacing w:before="312" w:beforeLines="100" w:after="312" w:afterLines="100" w:line="360" w:lineRule="auto"/>
        <w:jc w:val="center"/>
        <w:rPr>
          <w:rFonts w:ascii="宋体" w:hAnsi="宋体"/>
          <w:b/>
          <w:bCs/>
          <w:color w:val="auto"/>
          <w:sz w:val="30"/>
          <w:szCs w:val="30"/>
        </w:rPr>
      </w:pPr>
      <w:r>
        <w:rPr>
          <w:rFonts w:hint="eastAsia" w:ascii="宋体" w:hAnsi="宋体"/>
          <w:b/>
          <w:bCs/>
          <w:color w:val="auto"/>
          <w:sz w:val="30"/>
          <w:szCs w:val="30"/>
        </w:rPr>
        <w:t>编制说明（</w:t>
      </w:r>
      <w:r>
        <w:rPr>
          <w:rFonts w:hint="eastAsia" w:ascii="宋体" w:hAnsi="宋体"/>
          <w:b/>
          <w:bCs/>
          <w:color w:val="auto"/>
          <w:sz w:val="30"/>
          <w:szCs w:val="30"/>
        </w:rPr>
        <w:t>征求意见稿</w:t>
      </w:r>
      <w:r>
        <w:rPr>
          <w:rFonts w:hint="eastAsia" w:ascii="宋体" w:hAnsi="宋体"/>
          <w:b/>
          <w:bCs/>
          <w:color w:val="auto"/>
          <w:sz w:val="30"/>
          <w:szCs w:val="30"/>
        </w:rPr>
        <w:t>）</w:t>
      </w:r>
    </w:p>
    <w:p w14:paraId="7D2EA9C4">
      <w:pPr>
        <w:numPr>
          <w:ilvl w:val="0"/>
          <w:numId w:val="1"/>
        </w:numPr>
        <w:snapToGrid w:val="0"/>
        <w:spacing w:before="156" w:beforeLines="50" w:after="156" w:afterLines="50" w:line="360" w:lineRule="auto"/>
        <w:rPr>
          <w:rFonts w:ascii="宋体" w:hAnsi="宋体"/>
          <w:b/>
          <w:bCs/>
          <w:sz w:val="24"/>
        </w:rPr>
      </w:pPr>
      <w:r>
        <w:rPr>
          <w:rFonts w:hint="eastAsia" w:ascii="宋体" w:hAnsi="宋体"/>
          <w:b/>
          <w:bCs/>
          <w:sz w:val="24"/>
        </w:rPr>
        <w:t>工作简况</w:t>
      </w:r>
    </w:p>
    <w:p w14:paraId="034CB3D9">
      <w:pPr>
        <w:numPr>
          <w:ilvl w:val="0"/>
          <w:numId w:val="2"/>
        </w:numPr>
        <w:adjustRightInd w:val="0"/>
        <w:snapToGrid w:val="0"/>
        <w:spacing w:before="156" w:beforeLines="50" w:line="360" w:lineRule="auto"/>
        <w:ind w:left="294" w:firstLine="546"/>
        <w:jc w:val="left"/>
        <w:rPr>
          <w:rFonts w:ascii="宋体" w:hAnsi="宋体"/>
          <w:b/>
          <w:bCs/>
          <w:spacing w:val="16"/>
          <w:sz w:val="24"/>
        </w:rPr>
      </w:pPr>
      <w:r>
        <w:rPr>
          <w:rFonts w:hint="eastAsia" w:ascii="宋体" w:hAnsi="宋体"/>
          <w:b/>
          <w:bCs/>
          <w:spacing w:val="16"/>
          <w:sz w:val="24"/>
        </w:rPr>
        <w:t>任务来源</w:t>
      </w:r>
    </w:p>
    <w:p w14:paraId="016C9F6A">
      <w:pPr>
        <w:adjustRightInd w:val="0"/>
        <w:snapToGrid w:val="0"/>
        <w:spacing w:line="360" w:lineRule="auto"/>
        <w:ind w:firstLine="480" w:firstLineChars="200"/>
        <w:rPr>
          <w:rFonts w:ascii="宋体" w:hAnsi="宋体"/>
          <w:sz w:val="24"/>
        </w:rPr>
      </w:pPr>
      <w:r>
        <w:rPr>
          <w:rFonts w:ascii="宋体" w:hAnsi="宋体"/>
          <w:sz w:val="24"/>
        </w:rPr>
        <w:t>本</w:t>
      </w:r>
      <w:r>
        <w:rPr>
          <w:rFonts w:hint="eastAsia" w:ascii="宋体" w:hAnsi="宋体"/>
          <w:sz w:val="24"/>
        </w:rPr>
        <w:t>项目</w:t>
      </w:r>
      <w:r>
        <w:rPr>
          <w:rFonts w:ascii="宋体" w:hAnsi="宋体"/>
          <w:sz w:val="24"/>
        </w:rPr>
        <w:t>根据</w:t>
      </w:r>
      <w:r>
        <w:rPr>
          <w:rFonts w:hint="eastAsia" w:ascii="宋体" w:hAnsi="宋体"/>
          <w:sz w:val="24"/>
          <w:lang w:val="en-US" w:eastAsia="zh-CN"/>
        </w:rPr>
        <w:t>中轻联标准[2024]121号文件</w:t>
      </w:r>
      <w:r>
        <w:rPr>
          <w:rFonts w:ascii="宋体" w:hAnsi="宋体"/>
          <w:sz w:val="24"/>
        </w:rPr>
        <w:t>立项，计划</w:t>
      </w:r>
      <w:r>
        <w:rPr>
          <w:rFonts w:ascii="宋体" w:hAnsi="宋体"/>
          <w:color w:val="auto"/>
          <w:sz w:val="24"/>
        </w:rPr>
        <w:t>编号为</w:t>
      </w:r>
      <w:r>
        <w:rPr>
          <w:rFonts w:hint="eastAsia" w:ascii="宋体" w:hAnsi="宋体"/>
          <w:color w:val="auto"/>
          <w:sz w:val="24"/>
          <w:lang w:val="en-US" w:eastAsia="zh-CN"/>
        </w:rPr>
        <w:t>2024034</w:t>
      </w:r>
      <w:r>
        <w:rPr>
          <w:rFonts w:hint="eastAsia" w:ascii="宋体" w:hAnsi="宋体"/>
          <w:color w:val="auto"/>
          <w:sz w:val="24"/>
        </w:rPr>
        <w:t>，</w:t>
      </w:r>
      <w:r>
        <w:rPr>
          <w:rFonts w:hint="eastAsia" w:ascii="宋体" w:hAnsi="宋体"/>
          <w:sz w:val="24"/>
        </w:rPr>
        <w:t>项目名</w:t>
      </w:r>
      <w:bookmarkStart w:id="0" w:name="_Hlk76542024"/>
      <w:r>
        <w:rPr>
          <w:rFonts w:hint="eastAsia" w:ascii="宋体" w:hAnsi="宋体"/>
          <w:sz w:val="24"/>
        </w:rPr>
        <w:t>称《产品碳足迹 产品种类规则</w:t>
      </w:r>
      <w:r>
        <w:rPr>
          <w:rFonts w:hint="eastAsia" w:ascii="宋体" w:hAnsi="宋体"/>
          <w:sz w:val="24"/>
          <w:lang w:val="en-US" w:eastAsia="zh-CN"/>
        </w:rPr>
        <w:t xml:space="preserve"> 光源</w:t>
      </w:r>
      <w:r>
        <w:rPr>
          <w:rFonts w:hint="eastAsia" w:ascii="宋体" w:hAnsi="宋体"/>
          <w:sz w:val="24"/>
        </w:rPr>
        <w:t>》。</w:t>
      </w:r>
    </w:p>
    <w:p w14:paraId="646C1EA5">
      <w:pPr>
        <w:adjustRightInd w:val="0"/>
        <w:snapToGrid w:val="0"/>
        <w:spacing w:line="360" w:lineRule="auto"/>
        <w:ind w:firstLine="480" w:firstLineChars="200"/>
        <w:rPr>
          <w:rFonts w:ascii="宋体" w:hAnsi="宋体"/>
          <w:sz w:val="24"/>
        </w:rPr>
      </w:pPr>
      <w:bookmarkStart w:id="1" w:name="_Hlk76377848"/>
      <w:r>
        <w:rPr>
          <w:rFonts w:ascii="宋体" w:hAnsi="宋体"/>
          <w:sz w:val="24"/>
        </w:rPr>
        <w:t>本标准由</w:t>
      </w:r>
      <w:r>
        <w:rPr>
          <w:rFonts w:hint="eastAsia" w:ascii="宋体" w:hAnsi="宋体"/>
          <w:color w:val="FF0000"/>
          <w:sz w:val="24"/>
          <w:lang w:val="en-US" w:eastAsia="zh-CN"/>
        </w:rPr>
        <w:t>XXX</w:t>
      </w:r>
      <w:r>
        <w:rPr>
          <w:rFonts w:ascii="宋体" w:hAnsi="宋体"/>
          <w:sz w:val="24"/>
        </w:rPr>
        <w:t>提出。</w:t>
      </w:r>
    </w:p>
    <w:p w14:paraId="3A50C5D1">
      <w:pPr>
        <w:adjustRightInd w:val="0"/>
        <w:snapToGrid w:val="0"/>
        <w:spacing w:line="360" w:lineRule="auto"/>
        <w:ind w:firstLine="480" w:firstLineChars="200"/>
        <w:rPr>
          <w:rFonts w:ascii="宋体" w:hAnsi="宋体"/>
          <w:sz w:val="24"/>
        </w:rPr>
      </w:pPr>
      <w:r>
        <w:rPr>
          <w:rFonts w:ascii="宋体" w:hAnsi="宋体"/>
          <w:sz w:val="24"/>
        </w:rPr>
        <w:t>本标准由</w:t>
      </w:r>
      <w:r>
        <w:rPr>
          <w:rFonts w:hint="eastAsia" w:ascii="宋体" w:hAnsi="宋体"/>
          <w:sz w:val="24"/>
          <w:lang w:val="en-US" w:eastAsia="zh-CN"/>
        </w:rPr>
        <w:t>中国轻工业联合会、中国照明电器协会共同</w:t>
      </w:r>
      <w:r>
        <w:rPr>
          <w:rFonts w:ascii="宋体" w:hAnsi="宋体"/>
          <w:sz w:val="24"/>
        </w:rPr>
        <w:t>归口。</w:t>
      </w:r>
    </w:p>
    <w:bookmarkEnd w:id="0"/>
    <w:bookmarkEnd w:id="1"/>
    <w:p w14:paraId="23B01B7B">
      <w:pPr>
        <w:adjustRightInd w:val="0"/>
        <w:snapToGrid w:val="0"/>
        <w:spacing w:line="360" w:lineRule="auto"/>
        <w:ind w:firstLine="480" w:firstLineChars="200"/>
        <w:rPr>
          <w:rFonts w:ascii="宋体" w:hAnsi="宋体"/>
          <w:color w:val="auto"/>
          <w:sz w:val="24"/>
        </w:rPr>
      </w:pPr>
      <w:r>
        <w:rPr>
          <w:rFonts w:hint="eastAsia" w:ascii="宋体" w:hAnsi="宋体"/>
          <w:sz w:val="24"/>
        </w:rPr>
        <w:t>本标</w:t>
      </w:r>
      <w:r>
        <w:rPr>
          <w:rFonts w:hint="eastAsia" w:ascii="宋体" w:hAnsi="宋体"/>
          <w:color w:val="auto"/>
          <w:sz w:val="24"/>
        </w:rPr>
        <w:t>准由</w:t>
      </w:r>
      <w:r>
        <w:rPr>
          <w:rFonts w:hint="eastAsia" w:ascii="宋体" w:hAnsi="宋体"/>
          <w:color w:val="auto"/>
          <w:sz w:val="24"/>
          <w:lang w:val="en-US" w:eastAsia="zh-CN"/>
        </w:rPr>
        <w:t>国家电光源质量监督检验中心（北京）</w:t>
      </w:r>
      <w:r>
        <w:rPr>
          <w:rFonts w:hint="eastAsia" w:ascii="宋体" w:hAnsi="宋体"/>
          <w:color w:val="auto"/>
          <w:sz w:val="24"/>
        </w:rPr>
        <w:t>为牵头单位的标准起草组起草。</w:t>
      </w:r>
    </w:p>
    <w:p w14:paraId="3B65C25E">
      <w:pPr>
        <w:numPr>
          <w:ilvl w:val="0"/>
          <w:numId w:val="2"/>
        </w:numPr>
        <w:adjustRightInd w:val="0"/>
        <w:snapToGrid w:val="0"/>
        <w:spacing w:before="156" w:beforeLines="50" w:line="360" w:lineRule="auto"/>
        <w:ind w:left="294" w:firstLine="546"/>
        <w:jc w:val="left"/>
        <w:rPr>
          <w:rFonts w:ascii="宋体" w:hAnsi="宋体"/>
          <w:b/>
          <w:bCs/>
          <w:spacing w:val="16"/>
          <w:sz w:val="24"/>
        </w:rPr>
      </w:pPr>
      <w:r>
        <w:rPr>
          <w:rFonts w:hint="eastAsia" w:ascii="宋体" w:hAnsi="宋体"/>
          <w:b/>
          <w:bCs/>
          <w:spacing w:val="16"/>
          <w:sz w:val="24"/>
        </w:rPr>
        <w:t>制定背景</w:t>
      </w:r>
    </w:p>
    <w:p w14:paraId="0B9304EE">
      <w:pPr>
        <w:adjustRightInd w:val="0"/>
        <w:snapToGrid w:val="0"/>
        <w:spacing w:line="360" w:lineRule="auto"/>
        <w:ind w:firstLine="480" w:firstLineChars="200"/>
        <w:rPr>
          <w:rFonts w:ascii="宋体" w:hAnsi="宋体"/>
          <w:sz w:val="24"/>
        </w:rPr>
      </w:pPr>
      <w:r>
        <w:rPr>
          <w:rFonts w:hint="eastAsia" w:ascii="宋体" w:hAnsi="宋体"/>
          <w:sz w:val="24"/>
          <w:lang w:val="en-US" w:eastAsia="zh-CN"/>
        </w:rPr>
        <w:t>《关于建立碳足迹管理体系的实施方案》中提出，要加快构建碳足迹管理体系，发布重点产品碳足迹核算规则标准。按照团体标准先行先试，研制重点产品碳足迹核算规则标准。为积极响应号召，提升重点产品碳足迹管理水平，有效发挥标准对产业的规范和引领作用，助力企业辨识产品生命周期中主要温室气体排放过程，制定有效减排方案，实现绿色低碳转型。</w:t>
      </w:r>
      <w:r>
        <w:rPr>
          <w:rFonts w:ascii="宋体" w:hAnsi="宋体"/>
          <w:sz w:val="24"/>
          <w:lang w:val="en-US" w:eastAsia="zh-CN"/>
        </w:rPr>
        <w:t>根据工信部节能司双碳专班要求，以及轻工领域产品碳足迹核算规则团体标准制定工作的部署，</w:t>
      </w:r>
      <w:r>
        <w:rPr>
          <w:rFonts w:hint="eastAsia" w:ascii="宋体" w:hAnsi="宋体"/>
          <w:sz w:val="24"/>
          <w:lang w:val="en-US" w:eastAsia="zh-CN"/>
        </w:rPr>
        <w:t>国家电光源质量监督检验中心（北京）牵头</w:t>
      </w:r>
      <w:r>
        <w:rPr>
          <w:rFonts w:ascii="宋体" w:hAnsi="宋体"/>
          <w:sz w:val="24"/>
          <w:lang w:val="en-US" w:eastAsia="zh-CN"/>
        </w:rPr>
        <w:t xml:space="preserve">制定《产品碳足迹 产品种类规则 </w:t>
      </w:r>
      <w:r>
        <w:rPr>
          <w:rFonts w:hint="eastAsia" w:ascii="宋体" w:hAnsi="宋体"/>
          <w:sz w:val="24"/>
          <w:lang w:val="en-US" w:eastAsia="zh-CN"/>
        </w:rPr>
        <w:t>光源</w:t>
      </w:r>
      <w:r>
        <w:rPr>
          <w:rFonts w:ascii="宋体" w:hAnsi="宋体"/>
          <w:sz w:val="24"/>
          <w:lang w:val="en-US" w:eastAsia="zh-CN"/>
        </w:rPr>
        <w:t>》碳足迹核算产品种类规则团体标准</w:t>
      </w:r>
      <w:r>
        <w:rPr>
          <w:rFonts w:hint="eastAsia" w:ascii="宋体" w:hAnsi="宋体"/>
          <w:sz w:val="24"/>
          <w:lang w:val="en-US" w:eastAsia="zh-CN"/>
        </w:rPr>
        <w:t>。</w:t>
      </w:r>
    </w:p>
    <w:p w14:paraId="0DBE6C8E">
      <w:pPr>
        <w:numPr>
          <w:ilvl w:val="0"/>
          <w:numId w:val="2"/>
        </w:numPr>
        <w:adjustRightInd w:val="0"/>
        <w:snapToGrid w:val="0"/>
        <w:spacing w:before="156" w:beforeLines="50" w:line="360" w:lineRule="auto"/>
        <w:ind w:left="294" w:firstLine="546"/>
        <w:jc w:val="left"/>
        <w:rPr>
          <w:rFonts w:ascii="宋体" w:hAnsi="宋体"/>
          <w:b/>
          <w:bCs/>
          <w:spacing w:val="16"/>
          <w:sz w:val="24"/>
        </w:rPr>
      </w:pPr>
      <w:r>
        <w:rPr>
          <w:rFonts w:hint="eastAsia" w:ascii="宋体" w:hAnsi="宋体"/>
          <w:b/>
          <w:bCs/>
          <w:spacing w:val="16"/>
          <w:sz w:val="24"/>
        </w:rPr>
        <w:t>起草过程</w:t>
      </w:r>
    </w:p>
    <w:p w14:paraId="1E777B57">
      <w:pPr>
        <w:tabs>
          <w:tab w:val="left" w:pos="5954"/>
        </w:tabs>
        <w:spacing w:before="50" w:after="50" w:line="360" w:lineRule="auto"/>
        <w:ind w:firstLine="482" w:firstLineChars="200"/>
        <w:rPr>
          <w:rFonts w:hint="eastAsia" w:ascii="宋体" w:hAnsi="宋体"/>
          <w:sz w:val="24"/>
        </w:rPr>
      </w:pPr>
      <w:r>
        <w:rPr>
          <w:rFonts w:hint="eastAsia" w:ascii="宋体" w:hAnsi="宋体"/>
          <w:b/>
          <w:sz w:val="24"/>
        </w:rPr>
        <w:t>筹备和立项阶段：</w:t>
      </w:r>
      <w:r>
        <w:rPr>
          <w:rFonts w:hint="eastAsia" w:ascii="宋体" w:hAnsi="宋体"/>
          <w:sz w:val="24"/>
        </w:rPr>
        <w:t>筹备立项工作组于20</w:t>
      </w:r>
      <w:r>
        <w:rPr>
          <w:rFonts w:hint="eastAsia" w:ascii="宋体" w:hAnsi="宋体"/>
          <w:sz w:val="24"/>
          <w:lang w:val="en-US" w:eastAsia="zh-CN"/>
        </w:rPr>
        <w:t>24</w:t>
      </w:r>
      <w:r>
        <w:rPr>
          <w:rFonts w:hint="eastAsia" w:ascii="宋体" w:hAnsi="宋体"/>
          <w:sz w:val="24"/>
        </w:rPr>
        <w:t>年</w:t>
      </w:r>
      <w:r>
        <w:rPr>
          <w:rFonts w:hint="eastAsia" w:ascii="宋体" w:hAnsi="宋体"/>
          <w:sz w:val="24"/>
          <w:lang w:val="en-US" w:eastAsia="zh-CN"/>
        </w:rPr>
        <w:t>3</w:t>
      </w:r>
      <w:r>
        <w:rPr>
          <w:rFonts w:hint="eastAsia" w:ascii="宋体" w:hAnsi="宋体"/>
          <w:sz w:val="24"/>
        </w:rPr>
        <w:t>月</w:t>
      </w:r>
      <w:r>
        <w:rPr>
          <w:rFonts w:hint="eastAsia" w:ascii="宋体" w:hAnsi="宋体"/>
          <w:sz w:val="24"/>
        </w:rPr>
        <w:t>正式成立，立项准备工作于20</w:t>
      </w:r>
      <w:r>
        <w:rPr>
          <w:rFonts w:hint="eastAsia" w:ascii="宋体" w:hAnsi="宋体"/>
          <w:sz w:val="24"/>
          <w:lang w:val="en-US" w:eastAsia="zh-CN"/>
        </w:rPr>
        <w:t>24</w:t>
      </w:r>
      <w:r>
        <w:rPr>
          <w:rFonts w:hint="eastAsia" w:ascii="宋体" w:hAnsi="宋体"/>
          <w:sz w:val="24"/>
        </w:rPr>
        <w:t>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20</w:t>
      </w:r>
      <w:r>
        <w:rPr>
          <w:rFonts w:hint="eastAsia" w:ascii="宋体" w:hAnsi="宋体"/>
          <w:sz w:val="24"/>
        </w:rPr>
        <w:t>日</w:t>
      </w:r>
      <w:r>
        <w:rPr>
          <w:rFonts w:hint="eastAsia" w:ascii="宋体" w:hAnsi="宋体"/>
          <w:sz w:val="24"/>
        </w:rPr>
        <w:t>启动。</w:t>
      </w:r>
      <w:r>
        <w:rPr>
          <w:rFonts w:hint="eastAsia" w:ascii="宋体" w:hAnsi="宋体"/>
          <w:sz w:val="24"/>
          <w:lang w:val="en-US" w:eastAsia="zh-CN"/>
        </w:rPr>
        <w:t>国家电光源质量监督检验中心（北京）</w:t>
      </w:r>
      <w:r>
        <w:rPr>
          <w:rFonts w:hint="eastAsia" w:ascii="宋体" w:hAnsi="宋体"/>
          <w:sz w:val="24"/>
        </w:rPr>
        <w:t>于20</w:t>
      </w:r>
      <w:r>
        <w:rPr>
          <w:rFonts w:hint="eastAsia" w:ascii="宋体" w:hAnsi="宋体"/>
          <w:sz w:val="24"/>
          <w:lang w:val="en-US" w:eastAsia="zh-CN"/>
        </w:rPr>
        <w:t>24</w:t>
      </w:r>
      <w:r>
        <w:rPr>
          <w:rFonts w:hint="eastAsia" w:ascii="宋体" w:hAnsi="宋体"/>
          <w:sz w:val="24"/>
        </w:rPr>
        <w:t>年</w:t>
      </w:r>
      <w:r>
        <w:rPr>
          <w:rFonts w:hint="eastAsia" w:ascii="宋体" w:hAnsi="宋体"/>
          <w:sz w:val="24"/>
          <w:lang w:val="en-US" w:eastAsia="zh-CN"/>
        </w:rPr>
        <w:t>4</w:t>
      </w:r>
      <w:r>
        <w:rPr>
          <w:rFonts w:hint="eastAsia" w:ascii="宋体" w:hAnsi="宋体"/>
          <w:sz w:val="24"/>
        </w:rPr>
        <w:t>月</w:t>
      </w:r>
      <w:r>
        <w:rPr>
          <w:rFonts w:hint="eastAsia" w:ascii="宋体" w:hAnsi="宋体"/>
          <w:sz w:val="24"/>
          <w:lang w:val="en-US" w:eastAsia="zh-CN"/>
        </w:rPr>
        <w:t>19</w:t>
      </w:r>
      <w:r>
        <w:rPr>
          <w:rFonts w:hint="eastAsia" w:ascii="宋体" w:hAnsi="宋体"/>
          <w:sz w:val="24"/>
        </w:rPr>
        <w:t>日</w:t>
      </w:r>
      <w:r>
        <w:rPr>
          <w:rFonts w:hint="eastAsia" w:ascii="宋体" w:hAnsi="宋体"/>
          <w:sz w:val="24"/>
        </w:rPr>
        <w:t>提交立项申报文件。</w:t>
      </w:r>
    </w:p>
    <w:p w14:paraId="15B70D9E">
      <w:pPr>
        <w:spacing w:before="50" w:after="50" w:line="360" w:lineRule="auto"/>
        <w:ind w:firstLine="482" w:firstLineChars="200"/>
        <w:rPr>
          <w:rFonts w:ascii="宋体" w:hAnsi="宋体"/>
          <w:color w:val="00B0F0"/>
          <w:sz w:val="24"/>
        </w:rPr>
      </w:pPr>
      <w:r>
        <w:rPr>
          <w:rFonts w:hint="eastAsia" w:ascii="宋体" w:hAnsi="宋体"/>
          <w:b/>
          <w:sz w:val="24"/>
        </w:rPr>
        <w:t>起草阶段：</w:t>
      </w:r>
    </w:p>
    <w:p w14:paraId="143B7975">
      <w:pPr>
        <w:spacing w:before="50" w:after="50" w:line="360" w:lineRule="auto"/>
        <w:ind w:firstLine="480" w:firstLineChars="200"/>
        <w:rPr>
          <w:rFonts w:hint="default" w:ascii="宋体" w:hAnsi="宋体"/>
          <w:color w:val="FF0000"/>
          <w:sz w:val="24"/>
          <w:lang w:val="en-US"/>
        </w:rPr>
      </w:pPr>
      <w:r>
        <w:rPr>
          <w:rFonts w:hint="eastAsia" w:ascii="宋体" w:hAnsi="宋体"/>
          <w:sz w:val="24"/>
          <w:lang w:val="en-US" w:eastAsia="zh-CN"/>
        </w:rPr>
        <w:t>2024年9月，起草组正式成立，并于2024年10月9日通过线上会议召集家起草单位和领域内技术专家对标准草案进行研讨。会上，起草组就标准的内容进行逐条讨论，其中包括标准的范围、通则、功能单位、系统边界。通过讨论形成了第1版征求意见稿，并于10月18日发送至起草组进行初步的组内意见征求。</w:t>
      </w:r>
    </w:p>
    <w:p w14:paraId="43BD6318">
      <w:pPr>
        <w:spacing w:before="50" w:after="50" w:line="360" w:lineRule="auto"/>
        <w:ind w:firstLine="480" w:firstLineChars="200"/>
        <w:rPr>
          <w:rFonts w:hint="eastAsia" w:ascii="宋体" w:hAnsi="宋体"/>
          <w:sz w:val="24"/>
          <w:lang w:val="en-US" w:eastAsia="zh-CN"/>
        </w:rPr>
      </w:pPr>
      <w:r>
        <w:rPr>
          <w:rFonts w:hint="eastAsia" w:ascii="宋体" w:hAnsi="宋体"/>
          <w:sz w:val="24"/>
          <w:lang w:val="en-US" w:eastAsia="zh-CN"/>
        </w:rPr>
        <w:t>2024年10月20日，起草组在中山召开了第2次会议，并邀请了多名领域内技术专家。起草组向会议详细介绍了《产品碳足迹 产品种类规则 光源》征求意见稿的编写情况，并对部分不确定的技术内容交由会议讨论，其中包括数据、生命周期清单、碳足迹计算等部分。起草组认真听取并记录了与会专家的意见，于会后整理标准文本，2024年并于10月28日完成第2版征求意见稿，并发给起草组专家进行内部征求意见。本次征求意见仅采纳编辑性意见，并于2024年11月4日完成最终版本征求意见稿并于11月5日提交至中国照明电器协会。</w:t>
      </w:r>
    </w:p>
    <w:p w14:paraId="717A45F9">
      <w:pPr>
        <w:spacing w:before="50" w:after="50" w:line="360" w:lineRule="auto"/>
        <w:ind w:firstLine="482" w:firstLineChars="200"/>
        <w:rPr>
          <w:rFonts w:ascii="宋体" w:hAnsi="宋体"/>
          <w:color w:val="FF0000"/>
          <w:sz w:val="24"/>
        </w:rPr>
      </w:pPr>
      <w:r>
        <w:rPr>
          <w:rFonts w:hint="eastAsia" w:ascii="宋体" w:hAnsi="宋体"/>
          <w:b/>
          <w:sz w:val="24"/>
        </w:rPr>
        <w:t>征求意见阶段：</w:t>
      </w:r>
    </w:p>
    <w:p w14:paraId="63A23281">
      <w:pPr>
        <w:spacing w:before="50" w:after="50" w:line="360" w:lineRule="auto"/>
        <w:ind w:firstLine="480" w:firstLineChars="200"/>
        <w:rPr>
          <w:rFonts w:ascii="宋体" w:hAnsi="宋体"/>
          <w:color w:val="FF0000"/>
          <w:sz w:val="24"/>
        </w:rPr>
      </w:pPr>
      <w:r>
        <w:rPr>
          <w:rFonts w:hint="eastAsia" w:ascii="宋体" w:hAnsi="宋体"/>
          <w:color w:val="FF0000"/>
          <w:sz w:val="24"/>
          <w:lang w:val="en-US" w:eastAsia="zh-CN"/>
        </w:rPr>
        <w:t>XXX</w:t>
      </w:r>
      <w:r>
        <w:rPr>
          <w:rFonts w:hint="eastAsia" w:ascii="宋体" w:hAnsi="宋体"/>
          <w:color w:val="FF0000"/>
          <w:sz w:val="24"/>
        </w:rPr>
        <w:t>于20</w:t>
      </w:r>
      <w:r>
        <w:rPr>
          <w:rFonts w:hint="eastAsia" w:ascii="宋体" w:hAnsi="宋体"/>
          <w:color w:val="FF0000"/>
          <w:sz w:val="24"/>
          <w:lang w:val="en-US" w:eastAsia="zh-CN"/>
        </w:rPr>
        <w:t>24</w:t>
      </w:r>
      <w:r>
        <w:rPr>
          <w:rFonts w:hint="eastAsia" w:ascii="宋体" w:hAnsi="宋体"/>
          <w:color w:val="FF0000"/>
          <w:sz w:val="24"/>
        </w:rPr>
        <w:t>年</w:t>
      </w:r>
      <w:r>
        <w:rPr>
          <w:rFonts w:ascii="宋体" w:hAnsi="宋体"/>
          <w:color w:val="FF0000"/>
          <w:sz w:val="24"/>
        </w:rPr>
        <w:t>XX</w:t>
      </w:r>
      <w:r>
        <w:rPr>
          <w:rFonts w:hint="eastAsia" w:ascii="宋体" w:hAnsi="宋体"/>
          <w:color w:val="FF0000"/>
          <w:sz w:val="24"/>
        </w:rPr>
        <w:t>月</w:t>
      </w:r>
      <w:r>
        <w:rPr>
          <w:rFonts w:hint="eastAsia" w:ascii="宋体" w:hAnsi="宋体"/>
          <w:color w:val="auto"/>
          <w:sz w:val="24"/>
        </w:rPr>
        <w:t>就《</w:t>
      </w:r>
      <w:r>
        <w:rPr>
          <w:rFonts w:ascii="宋体" w:hAnsi="宋体"/>
          <w:color w:val="auto"/>
          <w:sz w:val="24"/>
          <w:lang w:val="en-US" w:eastAsia="zh-CN"/>
        </w:rPr>
        <w:t xml:space="preserve">产品碳足迹 产品种类规则 </w:t>
      </w:r>
      <w:r>
        <w:rPr>
          <w:rFonts w:hint="eastAsia" w:ascii="宋体" w:hAnsi="宋体"/>
          <w:color w:val="auto"/>
          <w:sz w:val="24"/>
          <w:lang w:val="en-US" w:eastAsia="zh-CN"/>
        </w:rPr>
        <w:t>光源</w:t>
      </w:r>
      <w:r>
        <w:rPr>
          <w:rFonts w:hint="eastAsia" w:ascii="宋体" w:hAnsi="宋体"/>
          <w:color w:val="auto"/>
          <w:sz w:val="24"/>
        </w:rPr>
        <w:t>》征求意见初稿向相关单位进行初步意见征求，征求意见稿向多家照明相关企业及生产商、高等院校、相关检测机构以及照明相关的社会团体征求意见，并且在国家标准委官网公开征求意见，征求意见范围具有广泛性和代表性</w:t>
      </w:r>
      <w:r>
        <w:rPr>
          <w:rFonts w:hint="eastAsia" w:ascii="宋体" w:hAnsi="宋体"/>
          <w:color w:val="000000" w:themeColor="text1"/>
          <w:sz w:val="24"/>
          <w14:textFill>
            <w14:solidFill>
              <w14:schemeClr w14:val="tx1"/>
            </w14:solidFill>
          </w14:textFill>
        </w:rPr>
        <w:t>。</w:t>
      </w:r>
    </w:p>
    <w:p w14:paraId="5C476ADA">
      <w:pPr>
        <w:spacing w:before="50" w:after="50" w:line="360" w:lineRule="auto"/>
        <w:ind w:firstLine="482" w:firstLineChars="200"/>
        <w:rPr>
          <w:rFonts w:ascii="宋体" w:hAnsi="宋体"/>
          <w:b/>
          <w:sz w:val="24"/>
        </w:rPr>
      </w:pPr>
      <w:r>
        <w:rPr>
          <w:rFonts w:hint="eastAsia" w:ascii="宋体" w:hAnsi="宋体"/>
          <w:b/>
          <w:sz w:val="24"/>
        </w:rPr>
        <w:t>审查阶段：</w:t>
      </w:r>
    </w:p>
    <w:p w14:paraId="682498A5">
      <w:pPr>
        <w:spacing w:before="50" w:after="50" w:line="360" w:lineRule="auto"/>
        <w:ind w:firstLine="482" w:firstLineChars="200"/>
        <w:rPr>
          <w:rFonts w:ascii="宋体" w:hAnsi="宋体"/>
          <w:b/>
          <w:sz w:val="24"/>
        </w:rPr>
      </w:pPr>
      <w:r>
        <w:rPr>
          <w:rFonts w:hint="eastAsia" w:ascii="宋体" w:hAnsi="宋体"/>
          <w:b/>
          <w:sz w:val="24"/>
        </w:rPr>
        <w:t>报批阶段：</w:t>
      </w:r>
    </w:p>
    <w:p w14:paraId="090FA6BD">
      <w:pPr>
        <w:numPr>
          <w:ilvl w:val="0"/>
          <w:numId w:val="1"/>
        </w:numPr>
        <w:snapToGrid w:val="0"/>
        <w:spacing w:before="156" w:beforeLines="50" w:after="156" w:afterLines="50" w:line="360" w:lineRule="auto"/>
        <w:rPr>
          <w:rFonts w:ascii="宋体" w:hAnsi="宋体"/>
          <w:b/>
          <w:bCs/>
          <w:sz w:val="24"/>
        </w:rPr>
      </w:pPr>
      <w:r>
        <w:rPr>
          <w:rFonts w:hint="eastAsia" w:ascii="宋体" w:hAnsi="宋体"/>
          <w:b/>
          <w:bCs/>
          <w:sz w:val="24"/>
        </w:rPr>
        <w:t>标准编制原则和确定标准主要内容的说明</w:t>
      </w:r>
    </w:p>
    <w:p w14:paraId="41FB4C75">
      <w:pPr>
        <w:numPr>
          <w:ilvl w:val="0"/>
          <w:numId w:val="3"/>
        </w:numPr>
        <w:adjustRightInd w:val="0"/>
        <w:snapToGrid w:val="0"/>
        <w:spacing w:line="360" w:lineRule="auto"/>
        <w:ind w:left="0" w:firstLine="546" w:firstLineChars="200"/>
        <w:jc w:val="left"/>
        <w:rPr>
          <w:rFonts w:ascii="宋体" w:hAnsi="宋体"/>
          <w:b/>
          <w:bCs/>
          <w:spacing w:val="16"/>
          <w:sz w:val="24"/>
        </w:rPr>
      </w:pPr>
      <w:r>
        <w:rPr>
          <w:rFonts w:hint="eastAsia" w:ascii="宋体" w:hAnsi="宋体"/>
          <w:b/>
          <w:bCs/>
          <w:spacing w:val="16"/>
          <w:sz w:val="24"/>
        </w:rPr>
        <w:t>标准编制原则</w:t>
      </w:r>
    </w:p>
    <w:p w14:paraId="6549AA4F">
      <w:pPr>
        <w:spacing w:before="50" w:after="50" w:line="360" w:lineRule="auto"/>
        <w:ind w:firstLine="480" w:firstLineChars="200"/>
        <w:rPr>
          <w:rFonts w:ascii="宋体" w:hAnsi="宋体" w:cs="宋体"/>
          <w:sz w:val="24"/>
        </w:rPr>
      </w:pPr>
      <w:r>
        <w:rPr>
          <w:rFonts w:hint="eastAsia" w:ascii="宋体" w:hAnsi="宋体" w:cs="宋体"/>
          <w:sz w:val="24"/>
        </w:rPr>
        <w:t>本标准的编写符合GB/T 1.1—2020《标准化工作导则 第1部分:标准化文件的结构和起草规则》，标准立项符合协同开展国际国内标准制修订工作的国家标准化工作导向。</w:t>
      </w:r>
    </w:p>
    <w:p w14:paraId="2A0CD6D1">
      <w:pPr>
        <w:snapToGrid w:val="0"/>
        <w:spacing w:before="50" w:after="50" w:line="360" w:lineRule="auto"/>
        <w:ind w:firstLine="504" w:firstLineChars="200"/>
        <w:rPr>
          <w:rFonts w:ascii="宋体" w:hAnsi="宋体" w:cs="宋体"/>
          <w:spacing w:val="6"/>
          <w:sz w:val="24"/>
        </w:rPr>
      </w:pPr>
      <w:r>
        <w:rPr>
          <w:rFonts w:hint="eastAsia" w:ascii="宋体" w:hAnsi="宋体" w:cs="宋体"/>
          <w:spacing w:val="6"/>
          <w:sz w:val="24"/>
        </w:rPr>
        <w:t>本标准的制定符合产业发展的原则、本着先进性、科学性、合理性和可操作性的原则，以及标准的目标性、统一性、协调性、适用性、一致性和规范。</w:t>
      </w:r>
    </w:p>
    <w:p w14:paraId="63D573E6">
      <w:pPr>
        <w:numPr>
          <w:ilvl w:val="0"/>
          <w:numId w:val="3"/>
        </w:numPr>
        <w:adjustRightInd w:val="0"/>
        <w:snapToGrid w:val="0"/>
        <w:spacing w:line="360" w:lineRule="auto"/>
        <w:ind w:left="0" w:firstLine="546" w:firstLineChars="200"/>
        <w:jc w:val="left"/>
        <w:rPr>
          <w:rFonts w:ascii="宋体" w:hAnsi="宋体"/>
          <w:bCs/>
          <w:color w:val="FF0000"/>
          <w:spacing w:val="16"/>
          <w:sz w:val="24"/>
        </w:rPr>
      </w:pPr>
      <w:r>
        <w:rPr>
          <w:rFonts w:hint="eastAsia" w:ascii="宋体" w:hAnsi="宋体"/>
          <w:b/>
          <w:bCs/>
          <w:spacing w:val="16"/>
          <w:sz w:val="24"/>
        </w:rPr>
        <w:t>主要技术内容说明</w:t>
      </w:r>
    </w:p>
    <w:p w14:paraId="5A41F873">
      <w:pPr>
        <w:numPr>
          <w:ilvl w:val="0"/>
          <w:numId w:val="4"/>
        </w:numPr>
        <w:adjustRightInd w:val="0"/>
        <w:snapToGrid w:val="0"/>
        <w:spacing w:line="360" w:lineRule="auto"/>
        <w:rPr>
          <w:rFonts w:ascii="宋体" w:hAnsi="宋体"/>
          <w:color w:val="auto"/>
          <w:sz w:val="24"/>
        </w:rPr>
      </w:pPr>
      <w:r>
        <w:rPr>
          <w:rFonts w:hint="eastAsia" w:ascii="宋体" w:hAnsi="宋体"/>
          <w:color w:val="auto"/>
          <w:sz w:val="24"/>
        </w:rPr>
        <w:t>本标准的主要技术内容：</w:t>
      </w:r>
    </w:p>
    <w:p w14:paraId="23F782F2">
      <w:pPr>
        <w:snapToGrid w:val="0"/>
        <w:spacing w:before="50" w:after="50" w:line="360" w:lineRule="auto"/>
        <w:ind w:firstLine="504" w:firstLineChars="200"/>
        <w:rPr>
          <w:rFonts w:hint="eastAsia" w:ascii="宋体" w:hAnsi="宋体" w:cs="宋体"/>
          <w:spacing w:val="6"/>
          <w:sz w:val="24"/>
        </w:rPr>
      </w:pPr>
      <w:r>
        <w:rPr>
          <w:rFonts w:hint="eastAsia" w:ascii="宋体" w:hAnsi="宋体" w:cs="宋体"/>
          <w:spacing w:val="6"/>
          <w:sz w:val="24"/>
        </w:rPr>
        <w:t>本文件规定了基于生命周期评价从产品层面上对光源的温室气体排放进行量化和信息交流的特定要求，其中包括产品的系统边界、数据、生命周期清单、碳足迹计算等。</w:t>
      </w:r>
    </w:p>
    <w:p w14:paraId="696738CE">
      <w:pPr>
        <w:snapToGrid w:val="0"/>
        <w:spacing w:before="50" w:after="50" w:line="360" w:lineRule="auto"/>
        <w:ind w:firstLine="504" w:firstLineChars="200"/>
        <w:rPr>
          <w:rFonts w:hint="eastAsia" w:ascii="宋体" w:hAnsi="宋体" w:cs="宋体"/>
          <w:spacing w:val="6"/>
          <w:sz w:val="24"/>
        </w:rPr>
      </w:pPr>
      <w:r>
        <w:rPr>
          <w:rFonts w:hint="eastAsia" w:ascii="宋体" w:hAnsi="宋体" w:cs="宋体"/>
          <w:spacing w:val="6"/>
          <w:sz w:val="24"/>
        </w:rPr>
        <w:t>本文件适用于普通照明用产品范围内各种光源，非普通照明用途光源可参考本文件。</w:t>
      </w:r>
    </w:p>
    <w:p w14:paraId="4189C0D6">
      <w:pPr>
        <w:numPr>
          <w:ilvl w:val="0"/>
          <w:numId w:val="4"/>
        </w:numPr>
        <w:adjustRightInd w:val="0"/>
        <w:snapToGrid w:val="0"/>
        <w:spacing w:line="360" w:lineRule="auto"/>
        <w:rPr>
          <w:rFonts w:hint="eastAsia" w:ascii="宋体" w:hAnsi="宋体"/>
          <w:color w:val="auto"/>
          <w:sz w:val="24"/>
          <w:lang w:eastAsia="zh-CN"/>
        </w:rPr>
      </w:pPr>
      <w:r>
        <w:rPr>
          <w:rFonts w:hint="eastAsia" w:ascii="宋体" w:hAnsi="宋体"/>
          <w:color w:val="auto"/>
          <w:sz w:val="24"/>
        </w:rPr>
        <w:t>本标准的主要任务是</w:t>
      </w:r>
      <w:r>
        <w:rPr>
          <w:rFonts w:hint="eastAsia" w:ascii="宋体" w:hAnsi="宋体"/>
          <w:color w:val="auto"/>
          <w:sz w:val="24"/>
          <w:lang w:eastAsia="zh-CN"/>
        </w:rPr>
        <w:t>：</w:t>
      </w:r>
    </w:p>
    <w:p w14:paraId="3868FC35">
      <w:pPr>
        <w:snapToGrid w:val="0"/>
        <w:spacing w:before="50" w:after="50" w:line="360" w:lineRule="auto"/>
        <w:ind w:firstLine="504" w:firstLineChars="200"/>
        <w:rPr>
          <w:rFonts w:hint="eastAsia" w:ascii="宋体" w:hAnsi="宋体" w:cs="宋体"/>
          <w:spacing w:val="6"/>
          <w:sz w:val="24"/>
        </w:rPr>
      </w:pPr>
      <w:r>
        <w:rPr>
          <w:rFonts w:hint="eastAsia" w:ascii="宋体" w:hAnsi="宋体" w:cs="宋体"/>
          <w:spacing w:val="6"/>
          <w:sz w:val="24"/>
        </w:rPr>
        <w:t>确立一套标准化的指导原则，确保在生命周期评估（Life Cycle Assessment, LCA）评估中充分解决与特定产品类别相关的问题，并构建一个公正、透明的竞争平台，以便在类似产品的生命周期评估结果或环境产品声明</w:t>
      </w:r>
      <w:r>
        <w:rPr>
          <w:rFonts w:hint="eastAsia" w:ascii="宋体" w:hAnsi="宋体" w:cs="宋体"/>
          <w:spacing w:val="6"/>
          <w:sz w:val="24"/>
          <w:lang w:val="en-US" w:eastAsia="zh-CN"/>
        </w:rPr>
        <w:t>或碳足迹核算</w:t>
      </w:r>
      <w:r>
        <w:rPr>
          <w:rFonts w:hint="eastAsia" w:ascii="宋体" w:hAnsi="宋体" w:cs="宋体"/>
          <w:spacing w:val="6"/>
          <w:sz w:val="24"/>
        </w:rPr>
        <w:t>时，确保数据的可比性和透明度。</w:t>
      </w:r>
    </w:p>
    <w:p w14:paraId="63DB582B">
      <w:pPr>
        <w:numPr>
          <w:ilvl w:val="0"/>
          <w:numId w:val="1"/>
        </w:numPr>
        <w:snapToGrid w:val="0"/>
        <w:spacing w:before="156" w:beforeLines="50" w:after="156" w:afterLines="50" w:line="360" w:lineRule="auto"/>
        <w:rPr>
          <w:rFonts w:ascii="宋体" w:hAnsi="宋体"/>
          <w:b/>
          <w:bCs/>
          <w:sz w:val="24"/>
        </w:rPr>
      </w:pPr>
      <w:r>
        <w:rPr>
          <w:rFonts w:hint="eastAsia" w:ascii="宋体" w:hAnsi="宋体"/>
          <w:b/>
          <w:bCs/>
          <w:sz w:val="24"/>
        </w:rPr>
        <w:t>主要试验（或验证）情况说明</w:t>
      </w:r>
    </w:p>
    <w:p w14:paraId="25FA10D0">
      <w:pPr>
        <w:snapToGrid w:val="0"/>
        <w:spacing w:before="50" w:after="50" w:line="360" w:lineRule="auto"/>
        <w:ind w:firstLine="504" w:firstLineChars="200"/>
        <w:rPr>
          <w:rFonts w:hint="eastAsia" w:ascii="宋体" w:hAnsi="宋体" w:cs="宋体"/>
          <w:spacing w:val="6"/>
          <w:sz w:val="24"/>
        </w:rPr>
      </w:pPr>
      <w:bookmarkStart w:id="2" w:name="_Hlk68601624"/>
      <w:r>
        <w:rPr>
          <w:rFonts w:hint="eastAsia" w:ascii="宋体" w:hAnsi="宋体" w:cs="宋体"/>
          <w:spacing w:val="6"/>
          <w:sz w:val="24"/>
          <w:lang w:val="en-US" w:eastAsia="zh-CN"/>
        </w:rPr>
        <w:t>本标准不涉及试验及测试比对。</w:t>
      </w:r>
    </w:p>
    <w:bookmarkEnd w:id="2"/>
    <w:p w14:paraId="741A5877">
      <w:pPr>
        <w:numPr>
          <w:ilvl w:val="0"/>
          <w:numId w:val="1"/>
        </w:numPr>
        <w:snapToGrid w:val="0"/>
        <w:spacing w:before="156" w:beforeLines="50" w:after="156" w:afterLines="50" w:line="360" w:lineRule="auto"/>
        <w:rPr>
          <w:rFonts w:ascii="宋体" w:hAnsi="宋体"/>
          <w:b/>
          <w:bCs/>
          <w:sz w:val="24"/>
        </w:rPr>
      </w:pPr>
      <w:r>
        <w:rPr>
          <w:rFonts w:hint="eastAsia" w:ascii="宋体" w:hAnsi="宋体"/>
          <w:b/>
          <w:bCs/>
          <w:sz w:val="24"/>
        </w:rPr>
        <w:t>预期达到的社会效益、对产业发展的作用等情况（产业化情况、推广应用论证和预期达到的经济效果？）</w:t>
      </w:r>
    </w:p>
    <w:p w14:paraId="70730D9B">
      <w:pPr>
        <w:snapToGrid w:val="0"/>
        <w:spacing w:before="156" w:beforeLines="50" w:after="156" w:afterLines="50" w:line="360" w:lineRule="auto"/>
        <w:ind w:firstLine="480" w:firstLineChars="200"/>
        <w:rPr>
          <w:rFonts w:ascii="宋体" w:hAnsi="宋体"/>
          <w:color w:val="auto"/>
          <w:sz w:val="24"/>
        </w:rPr>
      </w:pPr>
      <w:r>
        <w:rPr>
          <w:rFonts w:hint="eastAsia" w:ascii="宋体" w:hAnsi="宋体"/>
          <w:color w:val="auto"/>
          <w:sz w:val="24"/>
        </w:rPr>
        <w:t>从生命周期评估（LCA）和环境产品声明（EPD）方面考虑，产品特定规则旨在确保LCA和EPD的一致性和可比性，同时考虑到不同产品在其生命周期内的特点和环境影响。在不同的生态系统中制定的不同规则可能会导致照明产品的特定规则不同，或者产品类别规则中的细节不足，这将导致世界各地不同环保部门同样产品的环境产品声明有差异。为了缩小该差异，IEC将制定一个或多个（系列）国际标准，以确保只有一套照明专用</w:t>
      </w:r>
      <w:r>
        <w:rPr>
          <w:rFonts w:hint="eastAsia" w:ascii="宋体" w:hAnsi="宋体"/>
          <w:color w:val="auto"/>
          <w:sz w:val="24"/>
          <w:lang w:val="en-US" w:eastAsia="zh-CN"/>
        </w:rPr>
        <w:t>PCR</w:t>
      </w:r>
      <w:r>
        <w:rPr>
          <w:rFonts w:hint="eastAsia" w:ascii="宋体" w:hAnsi="宋体"/>
          <w:color w:val="auto"/>
          <w:sz w:val="24"/>
        </w:rPr>
        <w:t>的存在和可用性。通过遵循产品特定规则，为碳足迹评估提供必要的指导和规范，企业可以确保其LCA和EPD结果的准确性和可靠性，从而为消费者、采购方和政策制定者等利益相关者做出决策提供有用和可比的环境信息。这将有助于推动可持续生产和消费，支持双碳目标的实现，并促进全球范围内的环境保护和可持续发展。</w:t>
      </w:r>
    </w:p>
    <w:p w14:paraId="1BE2B188">
      <w:pPr>
        <w:numPr>
          <w:ilvl w:val="0"/>
          <w:numId w:val="1"/>
        </w:numPr>
        <w:snapToGrid w:val="0"/>
        <w:spacing w:before="156" w:beforeLines="50" w:after="156" w:afterLines="50" w:line="360" w:lineRule="auto"/>
        <w:rPr>
          <w:rFonts w:ascii="宋体" w:hAnsi="宋体"/>
          <w:b/>
          <w:bCs/>
          <w:sz w:val="24"/>
        </w:rPr>
      </w:pPr>
      <w:r>
        <w:rPr>
          <w:rFonts w:hint="eastAsia" w:ascii="宋体" w:hAnsi="宋体"/>
          <w:b/>
          <w:bCs/>
          <w:sz w:val="24"/>
        </w:rPr>
        <w:t>与国际、国外同类标准技术内容的对比情况，或者与测试的国外样品、样机的有关数据对比情况</w:t>
      </w:r>
    </w:p>
    <w:p w14:paraId="6224D87D">
      <w:pPr>
        <w:snapToGrid w:val="0"/>
        <w:spacing w:before="156" w:beforeLines="50" w:after="156" w:afterLines="50"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本标准不涉及采标及引用国际标准情况。</w:t>
      </w:r>
    </w:p>
    <w:p w14:paraId="3260AD16">
      <w:pPr>
        <w:numPr>
          <w:ilvl w:val="0"/>
          <w:numId w:val="1"/>
        </w:numPr>
        <w:snapToGrid w:val="0"/>
        <w:spacing w:before="156" w:beforeLines="50" w:after="156" w:afterLines="50" w:line="360" w:lineRule="auto"/>
        <w:rPr>
          <w:rFonts w:ascii="宋体" w:hAnsi="宋体"/>
          <w:b/>
          <w:bCs/>
          <w:color w:val="auto"/>
          <w:sz w:val="24"/>
        </w:rPr>
      </w:pPr>
      <w:r>
        <w:rPr>
          <w:rFonts w:hint="eastAsia" w:ascii="宋体" w:hAnsi="宋体"/>
          <w:b/>
          <w:bCs/>
          <w:sz w:val="24"/>
        </w:rPr>
        <w:t>以国际标准为基础的起草情况，以及是否合规引用或者采用国际国外标</w:t>
      </w:r>
      <w:r>
        <w:rPr>
          <w:rFonts w:hint="eastAsia" w:ascii="宋体" w:hAnsi="宋体"/>
          <w:b/>
          <w:bCs/>
          <w:color w:val="auto"/>
          <w:sz w:val="24"/>
        </w:rPr>
        <w:t>准，并说明未采用国际标准的原因</w:t>
      </w:r>
    </w:p>
    <w:p w14:paraId="73CB870E">
      <w:pPr>
        <w:snapToGrid w:val="0"/>
        <w:spacing w:before="156" w:beforeLines="50" w:after="156" w:afterLines="50" w:line="360" w:lineRule="auto"/>
        <w:ind w:firstLine="480" w:firstLineChars="200"/>
        <w:rPr>
          <w:rFonts w:hint="eastAsia" w:ascii="宋体" w:hAnsi="宋体" w:eastAsia="宋体"/>
          <w:color w:val="auto"/>
          <w:sz w:val="24"/>
          <w:lang w:eastAsia="zh-CN"/>
        </w:rPr>
      </w:pPr>
      <w:r>
        <w:rPr>
          <w:rFonts w:hint="eastAsia" w:ascii="宋体" w:hAnsi="宋体"/>
          <w:color w:val="auto"/>
          <w:sz w:val="24"/>
          <w:lang w:val="en-US" w:eastAsia="zh-CN"/>
        </w:rPr>
        <w:t>本标准不涉及采标及引用国际标准情况</w:t>
      </w:r>
      <w:r>
        <w:rPr>
          <w:rFonts w:hint="eastAsia" w:ascii="宋体" w:hAnsi="宋体"/>
          <w:color w:val="auto"/>
          <w:sz w:val="24"/>
          <w:lang w:eastAsia="zh-CN"/>
        </w:rPr>
        <w:t>。</w:t>
      </w:r>
    </w:p>
    <w:p w14:paraId="70FB0A88">
      <w:pPr>
        <w:numPr>
          <w:ilvl w:val="0"/>
          <w:numId w:val="1"/>
        </w:numPr>
        <w:snapToGrid w:val="0"/>
        <w:spacing w:before="156" w:beforeLines="50" w:after="156" w:afterLines="50" w:line="360" w:lineRule="auto"/>
        <w:rPr>
          <w:rFonts w:ascii="宋体" w:hAnsi="宋体"/>
          <w:b/>
          <w:bCs/>
          <w:sz w:val="24"/>
        </w:rPr>
      </w:pPr>
      <w:r>
        <w:rPr>
          <w:rFonts w:hint="eastAsia" w:ascii="宋体" w:hAnsi="宋体"/>
          <w:b/>
          <w:bCs/>
          <w:sz w:val="24"/>
        </w:rPr>
        <w:t>与有关现行法律、法规和其他强制性标准的关系</w:t>
      </w:r>
    </w:p>
    <w:p w14:paraId="51FDBE97">
      <w:pPr>
        <w:adjustRightInd w:val="0"/>
        <w:snapToGrid w:val="0"/>
        <w:spacing w:line="360" w:lineRule="auto"/>
        <w:ind w:firstLine="480" w:firstLineChars="200"/>
        <w:jc w:val="left"/>
        <w:rPr>
          <w:rFonts w:ascii="宋体" w:hAnsi="宋体"/>
          <w:sz w:val="24"/>
        </w:rPr>
      </w:pPr>
      <w:r>
        <w:rPr>
          <w:rFonts w:hint="eastAsia" w:ascii="宋体" w:hAnsi="宋体"/>
          <w:bCs/>
          <w:sz w:val="24"/>
        </w:rPr>
        <w:t>本标准符合我国现行《标准化法》和《质量法》等法律法规要求，与现行法</w:t>
      </w:r>
      <w:r>
        <w:rPr>
          <w:rFonts w:hint="eastAsia" w:ascii="宋体" w:hAnsi="宋体"/>
          <w:sz w:val="24"/>
        </w:rPr>
        <w:t>律法规无冲突和违背情况。本标准产品的技术要求没有知识产权问题。</w:t>
      </w:r>
    </w:p>
    <w:p w14:paraId="18FEFD30">
      <w:pPr>
        <w:adjustRightInd w:val="0"/>
        <w:snapToGrid w:val="0"/>
        <w:spacing w:line="360" w:lineRule="auto"/>
        <w:ind w:firstLine="480" w:firstLineChars="200"/>
        <w:jc w:val="left"/>
        <w:rPr>
          <w:rFonts w:ascii="宋体" w:hAnsi="宋体"/>
          <w:sz w:val="24"/>
        </w:rPr>
      </w:pPr>
      <w:r>
        <w:rPr>
          <w:rFonts w:hint="eastAsia" w:ascii="宋体" w:hAnsi="宋体"/>
          <w:sz w:val="24"/>
        </w:rPr>
        <w:t>本专业领域标准体系框图如图。</w:t>
      </w:r>
    </w:p>
    <w:p w14:paraId="758ED158">
      <w:pPr>
        <w:snapToGrid w:val="0"/>
        <w:spacing w:before="156" w:beforeLines="50" w:after="156" w:afterLines="50" w:line="360" w:lineRule="auto"/>
        <w:jc w:val="center"/>
        <w:rPr>
          <w:rFonts w:ascii="宋体" w:hAnsi="宋体"/>
          <w:bCs/>
          <w:sz w:val="24"/>
        </w:rPr>
      </w:pPr>
      <w:r>
        <w:rPr>
          <w:rFonts w:ascii="宋体" w:hAnsi="宋体"/>
          <w:sz w:val="24"/>
        </w:rPr>
        <w:drawing>
          <wp:inline distT="0" distB="0" distL="0" distR="0">
            <wp:extent cx="4797425" cy="3453130"/>
            <wp:effectExtent l="0" t="0" r="3175" b="0"/>
            <wp:docPr id="1" name="图片 1" descr="cbac9948cf42d23bf879fdd9176d4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bac9948cf42d23bf879fdd9176d45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797425" cy="3453130"/>
                    </a:xfrm>
                    <a:prstGeom prst="rect">
                      <a:avLst/>
                    </a:prstGeom>
                    <a:noFill/>
                    <a:ln>
                      <a:noFill/>
                    </a:ln>
                    <a:effectLst/>
                  </pic:spPr>
                </pic:pic>
              </a:graphicData>
            </a:graphic>
          </wp:inline>
        </w:drawing>
      </w:r>
    </w:p>
    <w:p w14:paraId="2E227492">
      <w:pPr>
        <w:snapToGrid w:val="0"/>
        <w:spacing w:before="156" w:beforeLines="50" w:line="360" w:lineRule="auto"/>
        <w:ind w:firstLine="480" w:firstLineChars="200"/>
        <w:rPr>
          <w:rFonts w:hint="eastAsia" w:ascii="宋体" w:hAnsi="宋体"/>
          <w:bCs/>
          <w:sz w:val="24"/>
        </w:rPr>
      </w:pPr>
      <w:r>
        <w:rPr>
          <w:rFonts w:hint="eastAsia" w:ascii="宋体" w:hAnsi="宋体"/>
          <w:bCs/>
          <w:sz w:val="24"/>
        </w:rPr>
        <w:t>本标准属于照明电器标准体系“</w:t>
      </w:r>
      <w:r>
        <w:rPr>
          <w:rFonts w:hint="eastAsia" w:ascii="宋体" w:hAnsi="宋体"/>
          <w:bCs/>
          <w:sz w:val="24"/>
          <w:lang w:val="en-US" w:eastAsia="zh-CN"/>
        </w:rPr>
        <w:t>照明电器</w:t>
      </w:r>
      <w:r>
        <w:rPr>
          <w:rFonts w:hint="eastAsia" w:ascii="宋体" w:hAnsi="宋体"/>
          <w:bCs/>
          <w:sz w:val="24"/>
        </w:rPr>
        <w:t>”类，“</w:t>
      </w:r>
      <w:r>
        <w:rPr>
          <w:rFonts w:hint="eastAsia" w:ascii="宋体" w:hAnsi="宋体"/>
          <w:bCs/>
          <w:sz w:val="24"/>
          <w:lang w:val="en-US" w:eastAsia="zh-CN"/>
        </w:rPr>
        <w:t>其他</w:t>
      </w:r>
      <w:r>
        <w:rPr>
          <w:rFonts w:hint="eastAsia" w:ascii="宋体" w:hAnsi="宋体"/>
          <w:bCs/>
          <w:sz w:val="24"/>
        </w:rPr>
        <w:t>”系列。</w:t>
      </w:r>
    </w:p>
    <w:p w14:paraId="7D8E9367">
      <w:pPr>
        <w:snapToGrid w:val="0"/>
        <w:spacing w:before="156" w:beforeLines="50" w:line="360" w:lineRule="auto"/>
        <w:ind w:firstLine="480" w:firstLineChars="200"/>
        <w:rPr>
          <w:rFonts w:hint="eastAsia" w:ascii="宋体" w:hAnsi="宋体"/>
          <w:bCs/>
          <w:sz w:val="24"/>
        </w:rPr>
      </w:pPr>
      <w:r>
        <w:rPr>
          <w:rFonts w:hint="eastAsia" w:ascii="宋体" w:hAnsi="宋体"/>
          <w:bCs/>
          <w:sz w:val="24"/>
        </w:rPr>
        <w:t xml:space="preserve">配套的标准有《产品碳足迹 产品种类规则 </w:t>
      </w:r>
      <w:r>
        <w:rPr>
          <w:rFonts w:hint="eastAsia" w:ascii="宋体" w:hAnsi="宋体"/>
          <w:bCs/>
          <w:sz w:val="24"/>
          <w:lang w:val="en-US" w:eastAsia="zh-CN"/>
        </w:rPr>
        <w:t>光源控制装置</w:t>
      </w:r>
      <w:bookmarkStart w:id="3" w:name="_GoBack"/>
      <w:bookmarkEnd w:id="3"/>
      <w:r>
        <w:rPr>
          <w:rFonts w:hint="eastAsia" w:ascii="宋体" w:hAnsi="宋体"/>
          <w:bCs/>
          <w:sz w:val="24"/>
        </w:rPr>
        <w:t xml:space="preserve">》、《产品碳足迹 产品种类规则 </w:t>
      </w:r>
      <w:r>
        <w:rPr>
          <w:rFonts w:hint="eastAsia" w:ascii="宋体" w:hAnsi="宋体"/>
          <w:bCs/>
          <w:sz w:val="24"/>
          <w:lang w:val="en-US" w:eastAsia="zh-CN"/>
        </w:rPr>
        <w:t>灯具</w:t>
      </w:r>
      <w:r>
        <w:rPr>
          <w:rFonts w:hint="eastAsia" w:ascii="宋体" w:hAnsi="宋体"/>
          <w:bCs/>
          <w:sz w:val="24"/>
        </w:rPr>
        <w:t>》。</w:t>
      </w:r>
    </w:p>
    <w:p w14:paraId="65BD2669">
      <w:pPr>
        <w:numPr>
          <w:ilvl w:val="0"/>
          <w:numId w:val="1"/>
        </w:numPr>
        <w:snapToGrid w:val="0"/>
        <w:spacing w:before="156" w:beforeLines="50" w:after="156" w:afterLines="50" w:line="360" w:lineRule="auto"/>
        <w:rPr>
          <w:rFonts w:ascii="宋体" w:hAnsi="宋体"/>
          <w:b/>
          <w:bCs/>
          <w:sz w:val="24"/>
        </w:rPr>
      </w:pPr>
      <w:r>
        <w:rPr>
          <w:rFonts w:hint="eastAsia" w:ascii="宋体" w:hAnsi="宋体"/>
          <w:b/>
          <w:bCs/>
          <w:sz w:val="24"/>
        </w:rPr>
        <w:t>重大意见分歧及其处理情况</w:t>
      </w:r>
    </w:p>
    <w:p w14:paraId="3BD5789C">
      <w:pPr>
        <w:adjustRightInd w:val="0"/>
        <w:snapToGrid w:val="0"/>
        <w:spacing w:line="360" w:lineRule="auto"/>
        <w:ind w:firstLine="504" w:firstLineChars="200"/>
        <w:jc w:val="left"/>
        <w:rPr>
          <w:rFonts w:ascii="宋体" w:hAnsi="宋体"/>
          <w:color w:val="auto"/>
          <w:spacing w:val="6"/>
          <w:sz w:val="24"/>
        </w:rPr>
      </w:pPr>
      <w:r>
        <w:rPr>
          <w:rFonts w:hint="eastAsia" w:ascii="宋体" w:hAnsi="宋体"/>
          <w:color w:val="auto"/>
          <w:spacing w:val="6"/>
          <w:sz w:val="24"/>
        </w:rPr>
        <w:t>本标准制定过程中无重大意见分歧。</w:t>
      </w:r>
    </w:p>
    <w:p w14:paraId="7CBAAAA2">
      <w:pPr>
        <w:numPr>
          <w:ilvl w:val="0"/>
          <w:numId w:val="1"/>
        </w:numPr>
        <w:snapToGrid w:val="0"/>
        <w:spacing w:before="156" w:beforeLines="50" w:after="156" w:afterLines="50" w:line="360" w:lineRule="auto"/>
        <w:rPr>
          <w:rFonts w:ascii="宋体" w:hAnsi="宋体"/>
          <w:b/>
          <w:bCs/>
          <w:sz w:val="24"/>
        </w:rPr>
      </w:pPr>
      <w:r>
        <w:rPr>
          <w:rFonts w:hint="eastAsia" w:ascii="宋体" w:hAnsi="宋体"/>
          <w:b/>
          <w:bCs/>
          <w:sz w:val="24"/>
        </w:rPr>
        <w:t>涉及专利的有关说明</w:t>
      </w:r>
    </w:p>
    <w:p w14:paraId="169C8152">
      <w:pPr>
        <w:snapToGrid w:val="0"/>
        <w:spacing w:before="156" w:beforeLines="50" w:after="156" w:afterLines="50" w:line="360" w:lineRule="auto"/>
        <w:ind w:firstLine="480" w:firstLineChars="200"/>
        <w:rPr>
          <w:rFonts w:ascii="宋体" w:hAnsi="宋体"/>
          <w:bCs/>
          <w:color w:val="auto"/>
          <w:sz w:val="24"/>
        </w:rPr>
      </w:pPr>
      <w:r>
        <w:rPr>
          <w:rFonts w:hint="eastAsia" w:ascii="宋体" w:hAnsi="宋体"/>
          <w:bCs/>
          <w:color w:val="auto"/>
          <w:sz w:val="24"/>
        </w:rPr>
        <w:t>本标准不涉及专利情况。</w:t>
      </w:r>
    </w:p>
    <w:p w14:paraId="4EA4C440">
      <w:pPr>
        <w:numPr>
          <w:ilvl w:val="0"/>
          <w:numId w:val="1"/>
        </w:numPr>
        <w:snapToGrid w:val="0"/>
        <w:spacing w:before="156" w:beforeLines="50" w:after="156" w:afterLines="50" w:line="360" w:lineRule="auto"/>
        <w:rPr>
          <w:rFonts w:ascii="宋体" w:hAnsi="宋体"/>
          <w:b/>
          <w:bCs/>
          <w:sz w:val="24"/>
        </w:rPr>
      </w:pPr>
      <w:r>
        <w:rPr>
          <w:rFonts w:hint="eastAsia" w:ascii="宋体" w:hAnsi="宋体"/>
          <w:b/>
          <w:bCs/>
          <w:sz w:val="24"/>
        </w:rPr>
        <w:t>实施国家标准的要求，以及组织措施、技术措施过渡期和实施日期的建议等措施建议</w:t>
      </w:r>
    </w:p>
    <w:p w14:paraId="02C31E70">
      <w:pPr>
        <w:snapToGrid w:val="0"/>
        <w:spacing w:before="156" w:beforeLines="50" w:after="156" w:afterLines="50" w:line="360" w:lineRule="auto"/>
        <w:ind w:firstLine="480" w:firstLineChars="200"/>
        <w:rPr>
          <w:rFonts w:hint="eastAsia" w:ascii="宋体" w:hAnsi="宋体"/>
          <w:bCs/>
          <w:sz w:val="24"/>
        </w:rPr>
      </w:pPr>
      <w:r>
        <w:rPr>
          <w:rFonts w:hint="eastAsia" w:ascii="宋体" w:hAnsi="宋体"/>
          <w:bCs/>
          <w:sz w:val="24"/>
        </w:rPr>
        <w:t>标准颁布后，</w:t>
      </w:r>
      <w:r>
        <w:rPr>
          <w:rFonts w:hint="eastAsia" w:ascii="宋体" w:hAnsi="宋体"/>
          <w:bCs/>
          <w:sz w:val="24"/>
        </w:rPr>
        <w:t>建议本文件批准发布</w:t>
      </w:r>
      <w:r>
        <w:rPr>
          <w:rFonts w:hint="eastAsia" w:ascii="宋体" w:hAnsi="宋体"/>
          <w:bCs/>
          <w:sz w:val="24"/>
          <w:lang w:val="en-US" w:eastAsia="zh-CN"/>
        </w:rPr>
        <w:t>即</w:t>
      </w:r>
      <w:r>
        <w:rPr>
          <w:rFonts w:hint="eastAsia" w:ascii="宋体" w:hAnsi="宋体"/>
          <w:bCs/>
          <w:sz w:val="24"/>
        </w:rPr>
        <w:t>实施。</w:t>
      </w:r>
    </w:p>
    <w:p w14:paraId="77C90973">
      <w:pPr>
        <w:numPr>
          <w:ilvl w:val="0"/>
          <w:numId w:val="1"/>
        </w:numPr>
        <w:snapToGrid w:val="0"/>
        <w:spacing w:before="156" w:beforeLines="50" w:after="156" w:afterLines="50" w:line="360" w:lineRule="auto"/>
        <w:rPr>
          <w:rFonts w:ascii="宋体" w:hAnsi="宋体"/>
          <w:b/>
          <w:bCs/>
          <w:sz w:val="24"/>
        </w:rPr>
      </w:pPr>
      <w:r>
        <w:rPr>
          <w:rFonts w:hint="eastAsia" w:ascii="宋体" w:hAnsi="宋体"/>
          <w:b/>
          <w:bCs/>
          <w:sz w:val="24"/>
        </w:rPr>
        <w:t>其他应予说明的事项</w:t>
      </w:r>
    </w:p>
    <w:p w14:paraId="08C99949">
      <w:pPr>
        <w:snapToGrid w:val="0"/>
        <w:spacing w:before="156" w:beforeLines="50" w:after="156" w:afterLines="50" w:line="360" w:lineRule="auto"/>
        <w:ind w:firstLine="480" w:firstLineChars="200"/>
        <w:rPr>
          <w:rFonts w:hint="eastAsia" w:ascii="宋体" w:hAnsi="宋体"/>
          <w:bCs/>
          <w:sz w:val="24"/>
          <w:lang w:eastAsia="zh-CN"/>
        </w:rPr>
      </w:pPr>
      <w:r>
        <w:rPr>
          <w:rFonts w:hint="eastAsia" w:ascii="宋体" w:hAnsi="宋体"/>
          <w:bCs/>
          <w:sz w:val="24"/>
          <w:lang w:val="en-US" w:eastAsia="zh-CN"/>
        </w:rPr>
        <w:t>无</w:t>
      </w:r>
    </w:p>
    <w:sectPr>
      <w:footerReference r:id="rId3" w:type="default"/>
      <w:pgSz w:w="11906" w:h="16838"/>
      <w:pgMar w:top="1440" w:right="1800" w:bottom="1440" w:left="1800"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F598E">
    <w:pPr>
      <w:pStyle w:val="2"/>
      <w:jc w:val="right"/>
    </w:pPr>
    <w:r>
      <w:fldChar w:fldCharType="begin"/>
    </w:r>
    <w:r>
      <w:instrText xml:space="preserve"> PAGE   \* MERGEFORMAT </w:instrText>
    </w:r>
    <w:r>
      <w:fldChar w:fldCharType="separate"/>
    </w:r>
    <w:r>
      <w:rPr>
        <w:lang w:val="zh-CN"/>
      </w:rPr>
      <w:t>3</w:t>
    </w:r>
    <w:r>
      <w:rPr>
        <w:lang w:val="zh-CN"/>
      </w:rPr>
      <w:fldChar w:fldCharType="end"/>
    </w:r>
  </w:p>
  <w:p w14:paraId="2C6E58C0">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562F75"/>
    <w:multiLevelType w:val="singleLevel"/>
    <w:tmpl w:val="0D562F75"/>
    <w:lvl w:ilvl="0" w:tentative="0">
      <w:start w:val="1"/>
      <w:numFmt w:val="decimal"/>
      <w:lvlText w:val="(%1)"/>
      <w:lvlJc w:val="left"/>
      <w:pPr>
        <w:tabs>
          <w:tab w:val="left" w:pos="420"/>
        </w:tabs>
        <w:ind w:left="845" w:hanging="425"/>
      </w:pPr>
      <w:rPr>
        <w:rFonts w:hint="default"/>
      </w:rPr>
    </w:lvl>
  </w:abstractNum>
  <w:abstractNum w:abstractNumId="1">
    <w:nsid w:val="27522DC3"/>
    <w:multiLevelType w:val="multilevel"/>
    <w:tmpl w:val="27522DC3"/>
    <w:lvl w:ilvl="0" w:tentative="0">
      <w:start w:val="1"/>
      <w:numFmt w:val="chineseCountingThousand"/>
      <w:lvlText w:val="(%1)"/>
      <w:lvlJc w:val="left"/>
      <w:pPr>
        <w:ind w:left="953" w:hanging="420"/>
      </w:pPr>
      <w:rPr>
        <w:b/>
        <w:color w:val="auto"/>
      </w:rPr>
    </w:lvl>
    <w:lvl w:ilvl="1" w:tentative="0">
      <w:start w:val="1"/>
      <w:numFmt w:val="lowerLetter"/>
      <w:lvlText w:val="%2)"/>
      <w:lvlJc w:val="left"/>
      <w:pPr>
        <w:ind w:left="1373" w:hanging="420"/>
      </w:pPr>
    </w:lvl>
    <w:lvl w:ilvl="2" w:tentative="0">
      <w:start w:val="1"/>
      <w:numFmt w:val="lowerRoman"/>
      <w:lvlText w:val="%3."/>
      <w:lvlJc w:val="right"/>
      <w:pPr>
        <w:ind w:left="1793" w:hanging="420"/>
      </w:pPr>
    </w:lvl>
    <w:lvl w:ilvl="3" w:tentative="0">
      <w:start w:val="1"/>
      <w:numFmt w:val="decimal"/>
      <w:lvlText w:val="%4."/>
      <w:lvlJc w:val="left"/>
      <w:pPr>
        <w:ind w:left="2213" w:hanging="420"/>
      </w:pPr>
    </w:lvl>
    <w:lvl w:ilvl="4" w:tentative="0">
      <w:start w:val="1"/>
      <w:numFmt w:val="lowerLetter"/>
      <w:lvlText w:val="%5)"/>
      <w:lvlJc w:val="left"/>
      <w:pPr>
        <w:ind w:left="2633" w:hanging="420"/>
      </w:pPr>
    </w:lvl>
    <w:lvl w:ilvl="5" w:tentative="0">
      <w:start w:val="1"/>
      <w:numFmt w:val="lowerRoman"/>
      <w:lvlText w:val="%6."/>
      <w:lvlJc w:val="right"/>
      <w:pPr>
        <w:ind w:left="3053" w:hanging="420"/>
      </w:pPr>
    </w:lvl>
    <w:lvl w:ilvl="6" w:tentative="0">
      <w:start w:val="1"/>
      <w:numFmt w:val="decimal"/>
      <w:lvlText w:val="%7."/>
      <w:lvlJc w:val="left"/>
      <w:pPr>
        <w:ind w:left="3473" w:hanging="420"/>
      </w:pPr>
    </w:lvl>
    <w:lvl w:ilvl="7" w:tentative="0">
      <w:start w:val="1"/>
      <w:numFmt w:val="lowerLetter"/>
      <w:lvlText w:val="%8)"/>
      <w:lvlJc w:val="left"/>
      <w:pPr>
        <w:ind w:left="3893" w:hanging="420"/>
      </w:pPr>
    </w:lvl>
    <w:lvl w:ilvl="8" w:tentative="0">
      <w:start w:val="1"/>
      <w:numFmt w:val="lowerRoman"/>
      <w:lvlText w:val="%9."/>
      <w:lvlJc w:val="right"/>
      <w:pPr>
        <w:ind w:left="4313" w:hanging="420"/>
      </w:pPr>
    </w:lvl>
  </w:abstractNum>
  <w:abstractNum w:abstractNumId="2">
    <w:nsid w:val="42ED3AEA"/>
    <w:multiLevelType w:val="multilevel"/>
    <w:tmpl w:val="42ED3AEA"/>
    <w:lvl w:ilvl="0" w:tentative="0">
      <w:start w:val="1"/>
      <w:numFmt w:val="chineseCountingThousand"/>
      <w:lvlText w:val="%1、"/>
      <w:lvlJc w:val="left"/>
      <w:pPr>
        <w:ind w:left="420" w:hanging="420"/>
      </w:pPr>
    </w:lvl>
    <w:lvl w:ilvl="1" w:tentative="0">
      <w:start w:val="1"/>
      <w:numFmt w:val="decimal"/>
      <w:lvlText w:val="%2、"/>
      <w:lvlJc w:val="left"/>
      <w:pPr>
        <w:ind w:left="1140" w:hanging="720"/>
      </w:pPr>
      <w:rPr>
        <w:rFonts w:hint="default"/>
        <w:b/>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57C37CB"/>
    <w:multiLevelType w:val="multilevel"/>
    <w:tmpl w:val="557C37CB"/>
    <w:lvl w:ilvl="0" w:tentative="0">
      <w:start w:val="1"/>
      <w:numFmt w:val="chineseCountingThousand"/>
      <w:lvlText w:val="(%1)"/>
      <w:lvlJc w:val="left"/>
      <w:pPr>
        <w:ind w:left="1247" w:hanging="420"/>
      </w:pPr>
    </w:lvl>
    <w:lvl w:ilvl="1" w:tentative="0">
      <w:start w:val="1"/>
      <w:numFmt w:val="lowerLetter"/>
      <w:lvlText w:val="%2)"/>
      <w:lvlJc w:val="left"/>
      <w:pPr>
        <w:ind w:left="1373" w:hanging="420"/>
      </w:pPr>
    </w:lvl>
    <w:lvl w:ilvl="2" w:tentative="0">
      <w:start w:val="1"/>
      <w:numFmt w:val="lowerRoman"/>
      <w:lvlText w:val="%3."/>
      <w:lvlJc w:val="right"/>
      <w:pPr>
        <w:ind w:left="1793" w:hanging="420"/>
      </w:pPr>
    </w:lvl>
    <w:lvl w:ilvl="3" w:tentative="0">
      <w:start w:val="1"/>
      <w:numFmt w:val="decimal"/>
      <w:lvlText w:val="%4."/>
      <w:lvlJc w:val="left"/>
      <w:pPr>
        <w:ind w:left="2213" w:hanging="420"/>
      </w:pPr>
    </w:lvl>
    <w:lvl w:ilvl="4" w:tentative="0">
      <w:start w:val="1"/>
      <w:numFmt w:val="lowerLetter"/>
      <w:lvlText w:val="%5)"/>
      <w:lvlJc w:val="left"/>
      <w:pPr>
        <w:ind w:left="2633" w:hanging="420"/>
      </w:pPr>
    </w:lvl>
    <w:lvl w:ilvl="5" w:tentative="0">
      <w:start w:val="1"/>
      <w:numFmt w:val="lowerRoman"/>
      <w:lvlText w:val="%6."/>
      <w:lvlJc w:val="right"/>
      <w:pPr>
        <w:ind w:left="3053" w:hanging="420"/>
      </w:pPr>
    </w:lvl>
    <w:lvl w:ilvl="6" w:tentative="0">
      <w:start w:val="1"/>
      <w:numFmt w:val="decimal"/>
      <w:lvlText w:val="%7."/>
      <w:lvlJc w:val="left"/>
      <w:pPr>
        <w:ind w:left="3473" w:hanging="420"/>
      </w:pPr>
    </w:lvl>
    <w:lvl w:ilvl="7" w:tentative="0">
      <w:start w:val="1"/>
      <w:numFmt w:val="lowerLetter"/>
      <w:lvlText w:val="%8)"/>
      <w:lvlJc w:val="left"/>
      <w:pPr>
        <w:ind w:left="3893" w:hanging="420"/>
      </w:pPr>
    </w:lvl>
    <w:lvl w:ilvl="8" w:tentative="0">
      <w:start w:val="1"/>
      <w:numFmt w:val="lowerRoman"/>
      <w:lvlText w:val="%9."/>
      <w:lvlJc w:val="right"/>
      <w:pPr>
        <w:ind w:left="4313"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ZjZWVkMjc0MTZhYjk4OTlhNzU0NzM3OWJhZTY4OGMifQ=="/>
  </w:docVars>
  <w:rsids>
    <w:rsidRoot w:val="00466B5A"/>
    <w:rsid w:val="00065B5C"/>
    <w:rsid w:val="001B1EC6"/>
    <w:rsid w:val="00216F1C"/>
    <w:rsid w:val="00256A24"/>
    <w:rsid w:val="002A1BA6"/>
    <w:rsid w:val="002B729D"/>
    <w:rsid w:val="003311F6"/>
    <w:rsid w:val="00456D86"/>
    <w:rsid w:val="00466B5A"/>
    <w:rsid w:val="004B7262"/>
    <w:rsid w:val="004C52AB"/>
    <w:rsid w:val="00526208"/>
    <w:rsid w:val="00547156"/>
    <w:rsid w:val="00566D48"/>
    <w:rsid w:val="00655D48"/>
    <w:rsid w:val="007003A3"/>
    <w:rsid w:val="007A2158"/>
    <w:rsid w:val="007B48EE"/>
    <w:rsid w:val="00824937"/>
    <w:rsid w:val="008F3BE0"/>
    <w:rsid w:val="00904188"/>
    <w:rsid w:val="00912351"/>
    <w:rsid w:val="00A72CA9"/>
    <w:rsid w:val="00B12B03"/>
    <w:rsid w:val="00C20A40"/>
    <w:rsid w:val="00C41ECE"/>
    <w:rsid w:val="00E30188"/>
    <w:rsid w:val="00F71E97"/>
    <w:rsid w:val="00F84B55"/>
    <w:rsid w:val="18FC5D28"/>
    <w:rsid w:val="1DF04F51"/>
    <w:rsid w:val="32B55A55"/>
    <w:rsid w:val="4CAE1A3B"/>
    <w:rsid w:val="63FD7627"/>
    <w:rsid w:val="66513DED"/>
    <w:rsid w:val="6BE446D9"/>
    <w:rsid w:val="79020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 w:type="paragraph" w:customStyle="1" w:styleId="9">
    <w:name w:val="段"/>
    <w:qFormat/>
    <w:uiPriority w:val="0"/>
    <w:pPr>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2621</Words>
  <Characters>2902</Characters>
  <Lines>21</Lines>
  <Paragraphs>6</Paragraphs>
  <TotalTime>0</TotalTime>
  <ScaleCrop>false</ScaleCrop>
  <LinksUpToDate>false</LinksUpToDate>
  <CharactersWithSpaces>2948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2022-11-03T03:50:00Z</dcterms:created>
  <dc:creator>杨 建林</dc:creator>
  <cp:lastModifiedBy>54175</cp:lastModifiedBy>
  <dcterms:modified xsi:type="dcterms:W3CDTF">2024-11-05T05:54:58Z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3B3CAE4504E54419964AD0A718B084AC_13</vt:lpwstr>
  </property>
</Properties>
</file>