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9FE4F">
      <w:pPr>
        <w:jc w:val="center"/>
        <w:rPr>
          <w:b/>
          <w:color w:val="000000"/>
          <w:sz w:val="32"/>
        </w:rPr>
      </w:pPr>
      <w:r>
        <w:rPr>
          <w:rFonts w:hint="eastAsia"/>
          <w:b/>
          <w:color w:val="000000"/>
          <w:sz w:val="32"/>
          <w:lang w:val="en-US" w:eastAsia="zh-CN"/>
        </w:rPr>
        <w:t>中国轻工业联合会</w:t>
      </w:r>
      <w:r>
        <w:rPr>
          <w:b/>
          <w:color w:val="000000"/>
          <w:sz w:val="32"/>
        </w:rPr>
        <w:t>团体标准《</w:t>
      </w:r>
      <w:r>
        <w:rPr>
          <w:rFonts w:hint="eastAsia"/>
          <w:b/>
          <w:color w:val="000000"/>
          <w:sz w:val="32"/>
          <w:lang w:val="en-US" w:eastAsia="zh-CN"/>
        </w:rPr>
        <w:t>密玉</w:t>
      </w:r>
      <w:r>
        <w:rPr>
          <w:b/>
          <w:sz w:val="32"/>
        </w:rPr>
        <w:t>》</w:t>
      </w:r>
      <w:r>
        <w:rPr>
          <w:b/>
          <w:color w:val="000000"/>
          <w:sz w:val="32"/>
        </w:rPr>
        <w:t>编制说明</w:t>
      </w:r>
    </w:p>
    <w:p w14:paraId="145D6D1F">
      <w:pPr>
        <w:widowControl/>
        <w:spacing w:line="440" w:lineRule="exact"/>
        <w:jc w:val="center"/>
        <w:rPr>
          <w:rFonts w:hint="eastAsia" w:ascii="宋体" w:hAnsi="宋体" w:eastAsia="宋体" w:cs="宋体"/>
          <w:kern w:val="0"/>
          <w:sz w:val="24"/>
          <w:lang w:eastAsia="zh-CN"/>
        </w:rPr>
      </w:pP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讨论稿</w:t>
      </w:r>
      <w:r>
        <w:rPr>
          <w:rFonts w:hint="eastAsia" w:ascii="宋体" w:hAnsi="宋体" w:eastAsia="宋体" w:cs="宋体"/>
          <w:kern w:val="0"/>
          <w:sz w:val="24"/>
          <w:lang w:eastAsia="zh-CN"/>
        </w:rPr>
        <w:t>）</w:t>
      </w:r>
    </w:p>
    <w:p w14:paraId="26864C67"/>
    <w:p w14:paraId="33AB7680">
      <w:pPr>
        <w:pStyle w:val="11"/>
        <w:spacing w:line="440" w:lineRule="exact"/>
        <w:ind w:firstLine="0"/>
        <w:outlineLvl w:val="0"/>
        <w:rPr>
          <w:rFonts w:ascii="Times New Roman" w:eastAsia="宋体"/>
          <w:b/>
          <w:kern w:val="0"/>
          <w:sz w:val="24"/>
          <w:szCs w:val="24"/>
        </w:rPr>
      </w:pPr>
      <w:bookmarkStart w:id="0" w:name="_Toc132710489"/>
      <w:r>
        <w:rPr>
          <w:rFonts w:ascii="Times New Roman" w:eastAsia="宋体"/>
          <w:b/>
          <w:kern w:val="0"/>
          <w:sz w:val="24"/>
          <w:szCs w:val="24"/>
        </w:rPr>
        <w:t xml:space="preserve">1 </w:t>
      </w:r>
      <w:r>
        <w:rPr>
          <w:rFonts w:hint="eastAsia" w:ascii="Times New Roman" w:eastAsia="宋体"/>
          <w:b/>
          <w:kern w:val="0"/>
          <w:sz w:val="24"/>
          <w:szCs w:val="24"/>
        </w:rPr>
        <w:t>工作简况</w:t>
      </w:r>
      <w:bookmarkEnd w:id="0"/>
    </w:p>
    <w:p w14:paraId="6F0B920B">
      <w:pPr>
        <w:pStyle w:val="3"/>
        <w:spacing w:before="120" w:after="0" w:line="360" w:lineRule="auto"/>
        <w:rPr>
          <w:rFonts w:ascii="Times New Roman" w:hAnsi="Times New Roman"/>
          <w:color w:val="000000"/>
          <w:kern w:val="0"/>
          <w:sz w:val="24"/>
          <w:szCs w:val="24"/>
        </w:rPr>
      </w:pPr>
      <w:bookmarkStart w:id="1" w:name="_Toc132710490"/>
      <w:r>
        <w:rPr>
          <w:rFonts w:ascii="Times New Roman" w:hAnsi="Times New Roman"/>
          <w:color w:val="000000"/>
          <w:kern w:val="0"/>
          <w:sz w:val="24"/>
          <w:szCs w:val="24"/>
        </w:rPr>
        <w:t>1.1任务来源</w:t>
      </w:r>
      <w:bookmarkEnd w:id="1"/>
    </w:p>
    <w:p w14:paraId="361296A6">
      <w:pPr>
        <w:widowControl/>
        <w:spacing w:line="440" w:lineRule="exact"/>
        <w:ind w:firstLine="480" w:firstLineChars="200"/>
        <w:jc w:val="left"/>
        <w:rPr>
          <w:rFonts w:hint="eastAsia" w:ascii="宋体" w:hAnsi="宋体" w:eastAsia="宋体" w:cs="宋体"/>
          <w:kern w:val="0"/>
          <w:sz w:val="24"/>
        </w:rPr>
      </w:pPr>
      <w:r>
        <w:rPr>
          <w:rFonts w:hint="eastAsia" w:ascii="宋体" w:hAnsi="宋体" w:cs="宋体"/>
          <w:kern w:val="0"/>
          <w:sz w:val="24"/>
          <w:lang w:val="en-US" w:eastAsia="zh-CN"/>
        </w:rPr>
        <w:t>本项目</w:t>
      </w:r>
      <w:r>
        <w:rPr>
          <w:rFonts w:hint="eastAsia" w:ascii="宋体" w:hAnsi="宋体" w:eastAsia="宋体" w:cs="宋体"/>
          <w:kern w:val="0"/>
          <w:sz w:val="24"/>
        </w:rPr>
        <w:t>根据中国轻工业联合会文件《关于下达&lt;</w:t>
      </w:r>
      <w:r>
        <w:rPr>
          <w:rFonts w:hint="eastAsia" w:ascii="宋体" w:hAnsi="宋体" w:eastAsia="宋体" w:cs="宋体"/>
          <w:kern w:val="0"/>
          <w:sz w:val="24"/>
          <w:lang w:val="en-US" w:eastAsia="zh-CN"/>
        </w:rPr>
        <w:t>智能淋浴器（花洒）</w:t>
      </w:r>
      <w:r>
        <w:rPr>
          <w:rFonts w:hint="eastAsia" w:ascii="宋体" w:hAnsi="宋体" w:eastAsia="宋体" w:cs="宋体"/>
          <w:kern w:val="0"/>
          <w:sz w:val="24"/>
        </w:rPr>
        <w:t>&gt;等1</w:t>
      </w:r>
      <w:r>
        <w:rPr>
          <w:rFonts w:hint="eastAsia" w:ascii="宋体" w:hAnsi="宋体" w:eastAsia="宋体" w:cs="宋体"/>
          <w:kern w:val="0"/>
          <w:sz w:val="24"/>
          <w:lang w:val="en-US" w:eastAsia="zh-CN"/>
        </w:rPr>
        <w:t>5</w:t>
      </w:r>
      <w:r>
        <w:rPr>
          <w:rFonts w:hint="eastAsia" w:ascii="宋体" w:hAnsi="宋体" w:eastAsia="宋体" w:cs="宋体"/>
          <w:kern w:val="0"/>
          <w:sz w:val="24"/>
        </w:rPr>
        <w:t>项中国轻工业联合会团体标准计划的通知》（中轻联标准〔202</w:t>
      </w:r>
      <w:r>
        <w:rPr>
          <w:rFonts w:hint="eastAsia" w:ascii="宋体" w:hAnsi="宋体" w:eastAsia="宋体" w:cs="宋体"/>
          <w:kern w:val="0"/>
          <w:sz w:val="24"/>
          <w:lang w:val="en-US" w:eastAsia="zh-CN"/>
        </w:rPr>
        <w:t>3</w:t>
      </w:r>
      <w:r>
        <w:rPr>
          <w:rFonts w:hint="eastAsia" w:ascii="宋体" w:hAnsi="宋体" w:eastAsia="宋体" w:cs="宋体"/>
          <w:kern w:val="0"/>
          <w:sz w:val="24"/>
        </w:rPr>
        <w:t>〕13</w:t>
      </w:r>
      <w:r>
        <w:rPr>
          <w:rFonts w:hint="eastAsia" w:ascii="宋体" w:hAnsi="宋体" w:eastAsia="宋体" w:cs="宋体"/>
          <w:kern w:val="0"/>
          <w:sz w:val="24"/>
          <w:lang w:val="en-US" w:eastAsia="zh-CN"/>
        </w:rPr>
        <w:t>7</w:t>
      </w:r>
      <w:r>
        <w:rPr>
          <w:rFonts w:hint="eastAsia" w:ascii="宋体" w:hAnsi="宋体" w:eastAsia="宋体" w:cs="宋体"/>
          <w:kern w:val="0"/>
          <w:sz w:val="24"/>
        </w:rPr>
        <w:t>号）</w:t>
      </w:r>
      <w:r>
        <w:rPr>
          <w:rFonts w:hint="eastAsia" w:ascii="宋体" w:hAnsi="宋体" w:eastAsia="宋体" w:cs="宋体"/>
          <w:kern w:val="0"/>
          <w:sz w:val="24"/>
        </w:rPr>
        <w:t>，项目名称“</w:t>
      </w:r>
      <w:r>
        <w:rPr>
          <w:rFonts w:hint="eastAsia" w:ascii="宋体" w:hAnsi="宋体" w:eastAsia="宋体" w:cs="宋体"/>
          <w:kern w:val="0"/>
          <w:sz w:val="24"/>
          <w:lang w:val="en-US" w:eastAsia="zh-CN"/>
        </w:rPr>
        <w:t>密玉</w:t>
      </w:r>
      <w:r>
        <w:rPr>
          <w:rFonts w:hint="eastAsia" w:ascii="宋体" w:hAnsi="宋体" w:eastAsia="宋体" w:cs="宋体"/>
          <w:kern w:val="0"/>
          <w:sz w:val="24"/>
        </w:rPr>
        <w:t>”，计划号</w:t>
      </w:r>
      <w:r>
        <w:rPr>
          <w:rFonts w:hint="eastAsia" w:ascii="宋体" w:hAnsi="宋体" w:cs="宋体"/>
          <w:kern w:val="0"/>
          <w:sz w:val="24"/>
          <w:lang w:eastAsia="zh-CN"/>
        </w:rPr>
        <w:t>：</w:t>
      </w:r>
      <w:r>
        <w:rPr>
          <w:rFonts w:hint="eastAsia" w:ascii="宋体" w:hAnsi="宋体" w:eastAsia="宋体" w:cs="宋体"/>
          <w:kern w:val="0"/>
          <w:sz w:val="24"/>
        </w:rPr>
        <w:t>202</w:t>
      </w:r>
      <w:r>
        <w:rPr>
          <w:rFonts w:hint="eastAsia" w:ascii="宋体" w:hAnsi="宋体" w:eastAsia="宋体" w:cs="宋体"/>
          <w:kern w:val="0"/>
          <w:sz w:val="24"/>
          <w:lang w:val="en-US" w:eastAsia="zh-CN"/>
        </w:rPr>
        <w:t>3</w:t>
      </w:r>
      <w:r>
        <w:rPr>
          <w:rFonts w:hint="eastAsia" w:ascii="宋体" w:hAnsi="宋体" w:eastAsia="宋体" w:cs="宋体"/>
          <w:kern w:val="0"/>
          <w:sz w:val="24"/>
        </w:rPr>
        <w:t>0</w:t>
      </w:r>
      <w:r>
        <w:rPr>
          <w:rFonts w:hint="eastAsia" w:ascii="宋体" w:hAnsi="宋体" w:eastAsia="宋体" w:cs="宋体"/>
          <w:kern w:val="0"/>
          <w:sz w:val="24"/>
          <w:lang w:val="en-US" w:eastAsia="zh-CN"/>
        </w:rPr>
        <w:t>2</w:t>
      </w:r>
      <w:r>
        <w:rPr>
          <w:rFonts w:hint="eastAsia" w:ascii="宋体" w:hAnsi="宋体" w:eastAsia="宋体" w:cs="宋体"/>
          <w:kern w:val="0"/>
          <w:sz w:val="24"/>
        </w:rPr>
        <w:t>3</w:t>
      </w:r>
      <w:r>
        <w:rPr>
          <w:rFonts w:hint="eastAsia" w:ascii="宋体" w:hAnsi="宋体" w:cs="宋体"/>
          <w:kern w:val="0"/>
          <w:sz w:val="24"/>
          <w:lang w:eastAsia="zh-CN"/>
        </w:rPr>
        <w:t>，</w:t>
      </w:r>
      <w:r>
        <w:rPr>
          <w:rFonts w:hint="eastAsia" w:ascii="宋体" w:hAnsi="宋体" w:cs="宋体"/>
          <w:kern w:val="0"/>
          <w:sz w:val="24"/>
          <w:lang w:val="en-US" w:eastAsia="zh-CN"/>
        </w:rPr>
        <w:t>进行制定</w:t>
      </w:r>
      <w:r>
        <w:rPr>
          <w:rFonts w:hint="eastAsia" w:ascii="宋体" w:hAnsi="宋体" w:eastAsia="宋体" w:cs="宋体"/>
          <w:kern w:val="0"/>
          <w:sz w:val="24"/>
        </w:rPr>
        <w:t>。</w:t>
      </w:r>
      <w:r>
        <w:rPr>
          <w:rFonts w:hint="eastAsia" w:ascii="宋体" w:hAnsi="宋体" w:eastAsia="宋体" w:cs="宋体"/>
          <w:kern w:val="0"/>
          <w:sz w:val="24"/>
          <w:lang w:eastAsia="zh-CN"/>
        </w:rPr>
        <w:t>本</w:t>
      </w:r>
      <w:r>
        <w:rPr>
          <w:rFonts w:hint="eastAsia" w:ascii="宋体" w:hAnsi="宋体" w:cs="宋体"/>
          <w:kern w:val="0"/>
          <w:sz w:val="24"/>
          <w:lang w:val="en-US" w:eastAsia="zh-CN"/>
        </w:rPr>
        <w:t>项目</w:t>
      </w:r>
      <w:r>
        <w:rPr>
          <w:rFonts w:hint="eastAsia" w:ascii="宋体" w:hAnsi="宋体" w:eastAsia="宋体" w:cs="宋体"/>
          <w:kern w:val="0"/>
          <w:sz w:val="24"/>
        </w:rPr>
        <w:t>由中国轻工业联合会提出并归口，由</w:t>
      </w:r>
      <w:r>
        <w:rPr>
          <w:rFonts w:hint="eastAsia" w:ascii="宋体" w:hAnsi="宋体" w:eastAsia="宋体" w:cs="宋体"/>
          <w:kern w:val="0"/>
          <w:sz w:val="24"/>
          <w:lang w:val="en-US" w:eastAsia="zh-CN"/>
        </w:rPr>
        <w:t>中国轻工珠宝首饰中心</w:t>
      </w:r>
      <w:r>
        <w:rPr>
          <w:rFonts w:hint="eastAsia" w:ascii="宋体" w:hAnsi="宋体" w:eastAsia="宋体" w:cs="宋体"/>
          <w:kern w:val="0"/>
          <w:sz w:val="24"/>
        </w:rPr>
        <w:t>负责</w:t>
      </w:r>
      <w:r>
        <w:rPr>
          <w:rFonts w:hint="eastAsia" w:ascii="宋体" w:hAnsi="宋体" w:eastAsia="宋体" w:cs="宋体"/>
          <w:kern w:val="0"/>
          <w:sz w:val="24"/>
          <w:lang w:val="en-US" w:eastAsia="zh-CN"/>
        </w:rPr>
        <w:t>起草</w:t>
      </w:r>
      <w:r>
        <w:rPr>
          <w:rFonts w:hint="eastAsia" w:ascii="宋体" w:hAnsi="宋体" w:eastAsia="宋体" w:cs="宋体"/>
          <w:kern w:val="0"/>
          <w:sz w:val="24"/>
        </w:rPr>
        <w:t xml:space="preserve">。 </w:t>
      </w:r>
    </w:p>
    <w:p w14:paraId="3221C9B5">
      <w:pPr>
        <w:pStyle w:val="3"/>
        <w:spacing w:before="120" w:after="0" w:line="360" w:lineRule="auto"/>
        <w:rPr>
          <w:rFonts w:hint="eastAsia" w:ascii="宋体" w:hAnsi="宋体" w:eastAsia="宋体" w:cs="宋体"/>
          <w:color w:val="000000"/>
          <w:kern w:val="0"/>
          <w:sz w:val="24"/>
          <w:szCs w:val="24"/>
        </w:rPr>
      </w:pPr>
      <w:bookmarkStart w:id="2" w:name="_Toc132710491"/>
      <w:r>
        <w:rPr>
          <w:rFonts w:hint="eastAsia" w:ascii="宋体" w:hAnsi="宋体" w:eastAsia="宋体" w:cs="宋体"/>
          <w:color w:val="000000"/>
          <w:kern w:val="0"/>
          <w:sz w:val="24"/>
          <w:szCs w:val="24"/>
        </w:rPr>
        <w:t>1.2主要工作过程</w:t>
      </w:r>
      <w:bookmarkEnd w:id="2"/>
    </w:p>
    <w:p w14:paraId="3DBEF44E">
      <w:pPr>
        <w:spacing w:line="440" w:lineRule="exact"/>
        <w:ind w:firstLine="480" w:firstLineChars="200"/>
        <w:rPr>
          <w:rFonts w:hint="eastAsia" w:ascii="宋体" w:hAnsi="宋体" w:eastAsia="宋体" w:cs="宋体"/>
          <w:kern w:val="0"/>
          <w:sz w:val="24"/>
        </w:rPr>
      </w:pPr>
      <w:r>
        <w:rPr>
          <w:rFonts w:hint="eastAsia" w:ascii="宋体" w:hAnsi="宋体" w:eastAsia="宋体" w:cs="宋体"/>
          <w:kern w:val="0"/>
          <w:sz w:val="24"/>
        </w:rPr>
        <w:t>（1）起草阶段</w:t>
      </w:r>
    </w:p>
    <w:p w14:paraId="1C374F3A">
      <w:pPr>
        <w:spacing w:line="440" w:lineRule="exact"/>
        <w:ind w:firstLine="480" w:firstLineChars="200"/>
        <w:rPr>
          <w:rFonts w:hint="eastAsia" w:ascii="宋体" w:hAnsi="宋体" w:cs="宋体"/>
          <w:kern w:val="0"/>
          <w:sz w:val="24"/>
          <w:lang w:val="en-US" w:eastAsia="zh-CN"/>
        </w:rPr>
      </w:pPr>
      <w:r>
        <w:rPr>
          <w:rFonts w:hint="eastAsia" w:ascii="宋体" w:hAnsi="宋体" w:eastAsia="宋体" w:cs="宋体"/>
          <w:kern w:val="0"/>
          <w:sz w:val="24"/>
        </w:rPr>
        <w:t>202</w:t>
      </w:r>
      <w:r>
        <w:rPr>
          <w:rFonts w:hint="eastAsia" w:ascii="宋体" w:hAnsi="宋体" w:cs="宋体"/>
          <w:kern w:val="0"/>
          <w:sz w:val="24"/>
          <w:lang w:val="en-US" w:eastAsia="zh-CN"/>
        </w:rPr>
        <w:t>3</w:t>
      </w:r>
      <w:r>
        <w:rPr>
          <w:rFonts w:hint="eastAsia" w:ascii="宋体" w:hAnsi="宋体" w:eastAsia="宋体" w:cs="宋体"/>
          <w:kern w:val="0"/>
          <w:sz w:val="24"/>
        </w:rPr>
        <w:t>年</w:t>
      </w:r>
      <w:r>
        <w:rPr>
          <w:rFonts w:hint="eastAsia" w:ascii="宋体" w:hAnsi="宋体" w:cs="宋体"/>
          <w:kern w:val="0"/>
          <w:sz w:val="24"/>
          <w:lang w:val="en-US" w:eastAsia="zh-CN"/>
        </w:rPr>
        <w:t>7</w:t>
      </w:r>
      <w:r>
        <w:rPr>
          <w:rFonts w:hint="eastAsia" w:ascii="宋体" w:hAnsi="宋体" w:eastAsia="宋体" w:cs="宋体"/>
          <w:kern w:val="0"/>
          <w:sz w:val="24"/>
        </w:rPr>
        <w:t>月</w:t>
      </w:r>
      <w:r>
        <w:rPr>
          <w:rFonts w:hint="eastAsia" w:ascii="宋体" w:hAnsi="宋体" w:cs="宋体"/>
          <w:kern w:val="0"/>
          <w:sz w:val="24"/>
          <w:lang w:val="en-US" w:eastAsia="zh-CN"/>
        </w:rPr>
        <w:t>2日</w:t>
      </w:r>
      <w:r>
        <w:rPr>
          <w:rFonts w:hint="eastAsia" w:ascii="宋体" w:hAnsi="宋体" w:eastAsia="宋体" w:cs="宋体"/>
          <w:kern w:val="0"/>
          <w:sz w:val="24"/>
        </w:rPr>
        <w:t>，</w:t>
      </w:r>
      <w:r>
        <w:rPr>
          <w:rFonts w:hint="eastAsia" w:ascii="宋体" w:hAnsi="宋体" w:eastAsia="宋体" w:cs="宋体"/>
          <w:kern w:val="0"/>
          <w:sz w:val="24"/>
          <w:highlight w:val="none"/>
        </w:rPr>
        <w:t>中国轻工业联合会</w:t>
      </w:r>
      <w:r>
        <w:rPr>
          <w:rFonts w:hint="eastAsia" w:ascii="宋体" w:hAnsi="宋体" w:cs="宋体"/>
          <w:kern w:val="0"/>
          <w:sz w:val="24"/>
          <w:highlight w:val="none"/>
          <w:lang w:val="en-US" w:eastAsia="zh-CN"/>
        </w:rPr>
        <w:t>在</w:t>
      </w:r>
      <w:r>
        <w:rPr>
          <w:rFonts w:hint="eastAsia" w:ascii="宋体" w:hAnsi="宋体" w:cs="宋体"/>
          <w:kern w:val="0"/>
          <w:sz w:val="24"/>
          <w:lang w:val="en-US" w:eastAsia="zh-CN"/>
        </w:rPr>
        <w:t>河南省新密市组织召开了标准制定启动会，来自</w:t>
      </w:r>
      <w:r>
        <w:rPr>
          <w:rFonts w:hint="eastAsia" w:ascii="宋体" w:hAnsi="宋体" w:eastAsia="宋体" w:cs="宋体"/>
          <w:kern w:val="0"/>
          <w:sz w:val="24"/>
          <w:highlight w:val="none"/>
        </w:rPr>
        <w:t>中国轻工业联合会</w:t>
      </w:r>
      <w:r>
        <w:rPr>
          <w:rFonts w:hint="eastAsia" w:ascii="宋体" w:hAnsi="宋体" w:cs="宋体"/>
          <w:kern w:val="0"/>
          <w:sz w:val="24"/>
          <w:highlight w:val="none"/>
          <w:lang w:eastAsia="zh-CN"/>
        </w:rPr>
        <w:t>、</w:t>
      </w:r>
      <w:r>
        <w:rPr>
          <w:rFonts w:hint="eastAsia" w:ascii="宋体" w:hAnsi="宋体" w:cs="宋体"/>
          <w:kern w:val="0"/>
          <w:sz w:val="24"/>
          <w:highlight w:val="none"/>
          <w:lang w:val="en-US" w:eastAsia="zh-CN"/>
        </w:rPr>
        <w:t>中国轻工珠宝首饰中心、中国轻工业质量认证中心、轻工业标准化研究所、中国地质大学（武汉）珠宝学院、</w:t>
      </w:r>
      <w:r>
        <w:rPr>
          <w:rFonts w:hint="eastAsia" w:ascii="宋体" w:hAnsi="宋体" w:cs="宋体"/>
          <w:kern w:val="0"/>
          <w:sz w:val="24"/>
          <w:lang w:val="en-US" w:eastAsia="zh-CN"/>
        </w:rPr>
        <w:t>新密市及新密市科工信局、新密市珠宝玉石首饰行业协会等单位领导、嘉宾，以及多位中国工艺美术大师出席会议。会议</w:t>
      </w:r>
      <w:r>
        <w:rPr>
          <w:rFonts w:hint="eastAsia" w:ascii="宋体" w:hAnsi="宋体" w:eastAsia="宋体" w:cs="宋体"/>
          <w:kern w:val="0"/>
          <w:sz w:val="24"/>
        </w:rPr>
        <w:t>成立</w:t>
      </w:r>
      <w:r>
        <w:rPr>
          <w:rFonts w:hint="eastAsia" w:ascii="宋体" w:hAnsi="宋体" w:cs="宋体"/>
          <w:kern w:val="0"/>
          <w:sz w:val="24"/>
          <w:lang w:val="en-US" w:eastAsia="zh-CN"/>
        </w:rPr>
        <w:t>了</w:t>
      </w:r>
      <w:r>
        <w:rPr>
          <w:rFonts w:hint="eastAsia" w:ascii="宋体" w:hAnsi="宋体" w:eastAsia="宋体" w:cs="宋体"/>
          <w:kern w:val="0"/>
          <w:sz w:val="24"/>
        </w:rPr>
        <w:t>标准</w:t>
      </w:r>
      <w:r>
        <w:rPr>
          <w:rFonts w:hint="eastAsia" w:ascii="宋体" w:hAnsi="宋体" w:cs="宋体"/>
          <w:kern w:val="0"/>
          <w:sz w:val="24"/>
          <w:lang w:val="en-US" w:eastAsia="zh-CN"/>
        </w:rPr>
        <w:t>起草</w:t>
      </w:r>
      <w:r>
        <w:rPr>
          <w:rFonts w:hint="eastAsia" w:ascii="宋体" w:hAnsi="宋体" w:eastAsia="宋体" w:cs="宋体"/>
          <w:kern w:val="0"/>
          <w:sz w:val="24"/>
        </w:rPr>
        <w:t>工作组</w:t>
      </w:r>
      <w:r>
        <w:rPr>
          <w:rFonts w:hint="eastAsia" w:ascii="宋体" w:hAnsi="宋体" w:cs="宋体"/>
          <w:kern w:val="0"/>
          <w:sz w:val="24"/>
          <w:lang w:eastAsia="zh-CN"/>
        </w:rPr>
        <w:t>，</w:t>
      </w:r>
      <w:r>
        <w:rPr>
          <w:rFonts w:hint="eastAsia" w:ascii="宋体" w:hAnsi="宋体" w:cs="宋体"/>
          <w:kern w:val="0"/>
          <w:sz w:val="24"/>
          <w:lang w:val="en-US" w:eastAsia="zh-CN"/>
        </w:rPr>
        <w:t>讨论了标准研究方向，明确了任务分工。</w:t>
      </w:r>
    </w:p>
    <w:p w14:paraId="3B228E92">
      <w:pPr>
        <w:spacing w:line="440" w:lineRule="exact"/>
        <w:ind w:firstLine="480" w:firstLineChars="200"/>
        <w:rPr>
          <w:rFonts w:hint="eastAsia" w:ascii="宋体" w:hAnsi="宋体" w:cs="宋体"/>
          <w:kern w:val="0"/>
          <w:sz w:val="24"/>
          <w:lang w:val="en-US" w:eastAsia="zh-CN"/>
        </w:rPr>
      </w:pPr>
      <w:r>
        <w:rPr>
          <w:rFonts w:hint="eastAsia" w:ascii="宋体" w:hAnsi="宋体" w:cs="宋体"/>
          <w:kern w:val="0"/>
          <w:sz w:val="24"/>
          <w:lang w:val="en-US" w:eastAsia="zh-CN"/>
        </w:rPr>
        <w:t>202</w:t>
      </w:r>
      <w:r>
        <w:rPr>
          <w:rFonts w:hint="eastAsia" w:ascii="宋体" w:hAnsi="宋体" w:cs="宋体"/>
          <w:kern w:val="0"/>
          <w:sz w:val="24"/>
          <w:lang w:val="en-US" w:eastAsia="zh-CN"/>
        </w:rPr>
        <w:t>3年</w:t>
      </w:r>
      <w:r>
        <w:rPr>
          <w:rFonts w:hint="eastAsia" w:ascii="宋体" w:hAnsi="宋体" w:cs="宋体"/>
          <w:kern w:val="0"/>
          <w:sz w:val="24"/>
          <w:lang w:val="en-US" w:eastAsia="zh-CN"/>
        </w:rPr>
        <w:t>7月-2024年8月，标准</w:t>
      </w:r>
      <w:r>
        <w:rPr>
          <w:rFonts w:hint="eastAsia" w:ascii="宋体" w:hAnsi="宋体" w:cs="宋体"/>
          <w:kern w:val="0"/>
          <w:sz w:val="24"/>
          <w:lang w:val="en-US" w:eastAsia="zh-CN"/>
        </w:rPr>
        <w:t>起草工作组</w:t>
      </w:r>
      <w:r>
        <w:rPr>
          <w:rFonts w:hint="eastAsia" w:ascii="宋体" w:hAnsi="宋体" w:cs="宋体"/>
          <w:kern w:val="0"/>
          <w:sz w:val="24"/>
          <w:lang w:val="en-US" w:eastAsia="zh-CN"/>
        </w:rPr>
        <w:t>搜集了相关文件（河南省地方标准DB 41/T 972－2014《密玉》</w:t>
      </w:r>
      <w:r>
        <w:rPr>
          <w:rFonts w:hint="eastAsia" w:ascii="宋体" w:hAnsi="宋体" w:cs="宋体"/>
          <w:kern w:val="0"/>
          <w:sz w:val="24"/>
          <w:lang w:val="en-US" w:eastAsia="zh-CN"/>
        </w:rPr>
        <w:t>），进行了大量的试验验证工作，</w:t>
      </w:r>
      <w:r>
        <w:rPr>
          <w:rFonts w:hint="eastAsia" w:ascii="宋体" w:hAnsi="宋体" w:cs="宋体"/>
          <w:kern w:val="0"/>
          <w:sz w:val="24"/>
          <w:lang w:val="en-US" w:eastAsia="zh-CN"/>
        </w:rPr>
        <w:t>形成了密玉及其相似玉石微量元素特征、密玉红外光谱-拉曼光谱特征等研究成果（附后）。</w:t>
      </w:r>
    </w:p>
    <w:p w14:paraId="0BD3D913">
      <w:pPr>
        <w:spacing w:line="440" w:lineRule="exact"/>
        <w:ind w:firstLine="480" w:firstLineChars="200"/>
        <w:rPr>
          <w:rFonts w:hint="default" w:ascii="宋体" w:hAnsi="宋体" w:cs="宋体"/>
          <w:kern w:val="0"/>
          <w:sz w:val="24"/>
          <w:lang w:val="en-US" w:eastAsia="zh-CN"/>
        </w:rPr>
      </w:pPr>
      <w:r>
        <w:rPr>
          <w:rFonts w:hint="eastAsia" w:ascii="宋体" w:hAnsi="宋体" w:cs="宋体"/>
          <w:kern w:val="0"/>
          <w:sz w:val="24"/>
          <w:lang w:val="en-US" w:eastAsia="zh-CN"/>
        </w:rPr>
        <w:t>标准起草工作组按照</w:t>
      </w:r>
      <w:r>
        <w:rPr>
          <w:rFonts w:hint="eastAsia" w:ascii="宋体" w:hAnsi="宋体" w:eastAsia="宋体" w:cs="宋体"/>
          <w:kern w:val="0"/>
          <w:sz w:val="24"/>
          <w:highlight w:val="none"/>
        </w:rPr>
        <w:t>中国轻工业联合会</w:t>
      </w:r>
      <w:r>
        <w:rPr>
          <w:rFonts w:hint="eastAsia" w:ascii="宋体" w:hAnsi="宋体" w:cs="宋体"/>
          <w:kern w:val="0"/>
          <w:sz w:val="24"/>
          <w:highlight w:val="none"/>
          <w:lang w:val="en-US" w:eastAsia="zh-CN"/>
        </w:rPr>
        <w:t>团体标准格式要求，</w:t>
      </w:r>
      <w:r>
        <w:rPr>
          <w:rFonts w:hint="eastAsia" w:ascii="宋体" w:hAnsi="宋体" w:cs="宋体"/>
          <w:kern w:val="0"/>
          <w:sz w:val="24"/>
          <w:lang w:val="en-US" w:eastAsia="zh-CN"/>
        </w:rPr>
        <w:t>参照相关文件确定标准主要结构和基本内容，结合验证数据，进一步完善形成了标准讨论稿。</w:t>
      </w:r>
    </w:p>
    <w:p w14:paraId="7178C4D8">
      <w:pPr>
        <w:spacing w:line="44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（2）征求意见阶段</w:t>
      </w:r>
    </w:p>
    <w:p w14:paraId="04B07BB6">
      <w:pPr>
        <w:spacing w:line="44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（3）审查阶段</w:t>
      </w:r>
    </w:p>
    <w:p w14:paraId="71CAC8EF">
      <w:pPr>
        <w:spacing w:line="44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（4）报批阶段</w:t>
      </w:r>
    </w:p>
    <w:p w14:paraId="2BA3E4AE">
      <w:pPr>
        <w:pStyle w:val="3"/>
        <w:spacing w:before="120" w:after="0" w:line="360" w:lineRule="auto"/>
        <w:rPr>
          <w:rFonts w:hint="eastAsia" w:ascii="宋体" w:hAnsi="宋体" w:eastAsia="宋体" w:cs="宋体"/>
          <w:color w:val="000000"/>
          <w:kern w:val="0"/>
          <w:sz w:val="24"/>
          <w:szCs w:val="24"/>
        </w:rPr>
      </w:pPr>
      <w:bookmarkStart w:id="3" w:name="_Toc132710492"/>
      <w:r>
        <w:rPr>
          <w:rFonts w:hint="eastAsia" w:ascii="宋体" w:hAnsi="宋体" w:eastAsia="宋体" w:cs="宋体"/>
          <w:color w:val="000000"/>
          <w:kern w:val="0"/>
          <w:sz w:val="24"/>
          <w:szCs w:val="24"/>
        </w:rPr>
        <w:t>1.3主要参加单位和工作组成员及其所做的工作等</w:t>
      </w:r>
      <w:bookmarkEnd w:id="3"/>
    </w:p>
    <w:p w14:paraId="678A2258">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420" w:lineRule="exact"/>
        <w:ind w:firstLine="410"/>
        <w:textAlignment w:val="auto"/>
        <w:rPr>
          <w:rFonts w:hint="eastAsia" w:ascii="宋体" w:hAnsi="宋体" w:eastAsia="宋体" w:cs="宋体"/>
          <w:sz w:val="24"/>
          <w:szCs w:val="24"/>
          <w:lang w:eastAsia="zh-CN"/>
        </w:rPr>
      </w:pPr>
      <w:r>
        <w:rPr>
          <w:rFonts w:hint="eastAsia" w:ascii="宋体" w:hAnsi="宋体" w:cs="宋体"/>
          <w:kern w:val="0"/>
          <w:sz w:val="24"/>
          <w:szCs w:val="24"/>
          <w:lang w:val="en-US" w:eastAsia="zh-CN"/>
        </w:rPr>
        <w:t>本标准主要参加单位：</w:t>
      </w:r>
      <w:r>
        <w:rPr>
          <w:rFonts w:hint="eastAsia" w:ascii="宋体" w:hAnsi="宋体" w:eastAsia="宋体" w:cs="宋体"/>
          <w:sz w:val="24"/>
          <w:szCs w:val="24"/>
          <w:lang w:eastAsia="zh-CN"/>
        </w:rPr>
        <w:t>。</w:t>
      </w:r>
    </w:p>
    <w:p w14:paraId="61919F44">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420" w:lineRule="exact"/>
        <w:ind w:firstLine="410"/>
        <w:textAlignment w:val="auto"/>
        <w:rPr>
          <w:rFonts w:hint="eastAsia" w:ascii="宋体" w:hAnsi="宋体" w:eastAsia="宋体" w:cs="宋体"/>
          <w:sz w:val="24"/>
          <w:szCs w:val="24"/>
        </w:rPr>
      </w:pPr>
      <w:r>
        <w:rPr>
          <w:rFonts w:hint="eastAsia" w:ascii="宋体" w:hAnsi="宋体" w:eastAsia="宋体" w:cs="宋体"/>
          <w:sz w:val="24"/>
          <w:szCs w:val="24"/>
        </w:rPr>
        <w:t>本标准主要起草人：。</w:t>
      </w:r>
    </w:p>
    <w:p w14:paraId="296637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所做的工作：。</w:t>
      </w:r>
    </w:p>
    <w:p w14:paraId="2A0E572E">
      <w:pPr>
        <w:pStyle w:val="11"/>
        <w:spacing w:line="440" w:lineRule="exact"/>
        <w:ind w:firstLine="0"/>
        <w:outlineLvl w:val="0"/>
        <w:rPr>
          <w:rFonts w:ascii="Times New Roman" w:eastAsia="宋体"/>
          <w:b/>
          <w:kern w:val="0"/>
          <w:sz w:val="24"/>
          <w:szCs w:val="24"/>
        </w:rPr>
      </w:pPr>
      <w:bookmarkStart w:id="4" w:name="_Toc132710493"/>
      <w:r>
        <w:rPr>
          <w:rFonts w:ascii="Times New Roman" w:eastAsia="宋体"/>
          <w:b/>
          <w:kern w:val="0"/>
          <w:sz w:val="24"/>
          <w:szCs w:val="24"/>
        </w:rPr>
        <w:t>2</w:t>
      </w:r>
      <w:r>
        <w:rPr>
          <w:rFonts w:hint="eastAsia" w:ascii="Times New Roman" w:eastAsia="宋体"/>
          <w:b/>
          <w:kern w:val="0"/>
          <w:sz w:val="24"/>
          <w:szCs w:val="24"/>
        </w:rPr>
        <w:t xml:space="preserve"> 标准编制原则、确定标准主要内容的依据</w:t>
      </w:r>
      <w:bookmarkEnd w:id="4"/>
    </w:p>
    <w:p w14:paraId="1F797C7E">
      <w:pPr>
        <w:autoSpaceDE w:val="0"/>
        <w:autoSpaceDN w:val="0"/>
        <w:adjustRightInd w:val="0"/>
        <w:spacing w:line="440" w:lineRule="exact"/>
        <w:ind w:firstLine="480" w:firstLineChars="200"/>
        <w:jc w:val="left"/>
        <w:rPr>
          <w:rFonts w:hint="eastAsia"/>
          <w:kern w:val="0"/>
          <w:sz w:val="24"/>
        </w:rPr>
      </w:pPr>
      <w:bookmarkStart w:id="5" w:name="_Toc132710494"/>
      <w:r>
        <w:rPr>
          <w:rFonts w:hint="eastAsia"/>
          <w:kern w:val="0"/>
          <w:sz w:val="24"/>
          <w:lang w:val="en-US" w:eastAsia="zh-CN"/>
        </w:rPr>
        <w:t>本</w:t>
      </w:r>
      <w:r>
        <w:rPr>
          <w:rFonts w:hint="eastAsia"/>
          <w:kern w:val="0"/>
          <w:sz w:val="24"/>
        </w:rPr>
        <w:t>标准的编制遵循以下原则：</w:t>
      </w:r>
    </w:p>
    <w:p w14:paraId="134558FF">
      <w:pPr>
        <w:autoSpaceDE w:val="0"/>
        <w:autoSpaceDN w:val="0"/>
        <w:adjustRightInd w:val="0"/>
        <w:spacing w:line="440" w:lineRule="exact"/>
        <w:ind w:firstLine="480" w:firstLineChars="200"/>
        <w:jc w:val="left"/>
        <w:rPr>
          <w:rFonts w:hint="eastAsia"/>
          <w:kern w:val="0"/>
          <w:sz w:val="24"/>
        </w:rPr>
      </w:pPr>
      <w:r>
        <w:rPr>
          <w:rFonts w:hint="eastAsia"/>
          <w:kern w:val="0"/>
          <w:sz w:val="24"/>
          <w:lang w:eastAsia="zh-CN"/>
        </w:rPr>
        <w:t>（</w:t>
      </w:r>
      <w:r>
        <w:rPr>
          <w:rFonts w:hint="eastAsia"/>
          <w:kern w:val="0"/>
          <w:sz w:val="24"/>
          <w:lang w:val="en-US" w:eastAsia="zh-CN"/>
        </w:rPr>
        <w:t>1</w:t>
      </w:r>
      <w:r>
        <w:rPr>
          <w:rFonts w:hint="eastAsia"/>
          <w:kern w:val="0"/>
          <w:sz w:val="24"/>
          <w:lang w:eastAsia="zh-CN"/>
        </w:rPr>
        <w:t>）</w:t>
      </w:r>
      <w:r>
        <w:rPr>
          <w:rFonts w:hint="eastAsia"/>
          <w:kern w:val="0"/>
          <w:sz w:val="24"/>
        </w:rPr>
        <w:t>确保标准的先进性与适用性，旨在促进密玉产业的技术进步与产品质量提升。</w:t>
      </w:r>
    </w:p>
    <w:p w14:paraId="7601CA92">
      <w:pPr>
        <w:autoSpaceDE w:val="0"/>
        <w:autoSpaceDN w:val="0"/>
        <w:adjustRightInd w:val="0"/>
        <w:spacing w:line="440" w:lineRule="exact"/>
        <w:ind w:firstLine="480" w:firstLineChars="200"/>
        <w:jc w:val="left"/>
        <w:rPr>
          <w:rFonts w:hint="eastAsia"/>
          <w:kern w:val="0"/>
          <w:sz w:val="24"/>
        </w:rPr>
      </w:pPr>
      <w:r>
        <w:rPr>
          <w:rFonts w:hint="eastAsia"/>
          <w:kern w:val="0"/>
          <w:sz w:val="24"/>
          <w:lang w:eastAsia="zh-CN"/>
        </w:rPr>
        <w:t>（</w:t>
      </w:r>
      <w:r>
        <w:rPr>
          <w:rFonts w:hint="eastAsia"/>
          <w:kern w:val="0"/>
          <w:sz w:val="24"/>
          <w:lang w:val="en-US" w:eastAsia="zh-CN"/>
        </w:rPr>
        <w:t>2</w:t>
      </w:r>
      <w:r>
        <w:rPr>
          <w:rFonts w:hint="eastAsia"/>
          <w:kern w:val="0"/>
          <w:sz w:val="24"/>
          <w:lang w:eastAsia="zh-CN"/>
        </w:rPr>
        <w:t>）</w:t>
      </w:r>
      <w:r>
        <w:rPr>
          <w:rFonts w:hint="eastAsia"/>
          <w:kern w:val="0"/>
          <w:sz w:val="24"/>
        </w:rPr>
        <w:t>遵循开放、公平、透明的原则，广泛吸纳利益相关方参与，确保标准制定的广泛代表性和公正性。</w:t>
      </w:r>
    </w:p>
    <w:p w14:paraId="341013BA">
      <w:pPr>
        <w:autoSpaceDE w:val="0"/>
        <w:autoSpaceDN w:val="0"/>
        <w:adjustRightInd w:val="0"/>
        <w:spacing w:line="440" w:lineRule="exact"/>
        <w:ind w:firstLine="480" w:firstLineChars="200"/>
        <w:jc w:val="left"/>
        <w:rPr>
          <w:rFonts w:hint="eastAsia"/>
          <w:kern w:val="0"/>
          <w:sz w:val="24"/>
        </w:rPr>
      </w:pPr>
      <w:r>
        <w:rPr>
          <w:rFonts w:hint="eastAsia"/>
          <w:kern w:val="0"/>
          <w:sz w:val="24"/>
          <w:lang w:eastAsia="zh-CN"/>
        </w:rPr>
        <w:t>（</w:t>
      </w:r>
      <w:r>
        <w:rPr>
          <w:rFonts w:hint="eastAsia"/>
          <w:kern w:val="0"/>
          <w:sz w:val="24"/>
          <w:lang w:val="en-US" w:eastAsia="zh-CN"/>
        </w:rPr>
        <w:t>3</w:t>
      </w:r>
      <w:r>
        <w:rPr>
          <w:rFonts w:hint="eastAsia"/>
          <w:kern w:val="0"/>
          <w:sz w:val="24"/>
          <w:lang w:eastAsia="zh-CN"/>
        </w:rPr>
        <w:t>）</w:t>
      </w:r>
      <w:r>
        <w:rPr>
          <w:rFonts w:hint="eastAsia"/>
          <w:kern w:val="0"/>
          <w:sz w:val="24"/>
        </w:rPr>
        <w:t>制定标准时，严格依据法律法规和强制性标准，确保标准内容合法合规。</w:t>
      </w:r>
    </w:p>
    <w:p w14:paraId="17FDC916">
      <w:pPr>
        <w:numPr>
          <w:numId w:val="0"/>
        </w:numPr>
        <w:autoSpaceDE w:val="0"/>
        <w:autoSpaceDN w:val="0"/>
        <w:adjustRightInd w:val="0"/>
        <w:spacing w:line="440" w:lineRule="exact"/>
        <w:ind w:firstLine="480" w:firstLineChars="200"/>
        <w:jc w:val="left"/>
        <w:rPr>
          <w:rFonts w:hint="eastAsia"/>
          <w:kern w:val="0"/>
          <w:sz w:val="24"/>
        </w:rPr>
      </w:pPr>
      <w:r>
        <w:rPr>
          <w:rFonts w:hint="eastAsia"/>
          <w:kern w:val="0"/>
          <w:sz w:val="24"/>
          <w:lang w:eastAsia="zh-CN"/>
        </w:rPr>
        <w:t>（</w:t>
      </w:r>
      <w:r>
        <w:rPr>
          <w:rFonts w:hint="eastAsia"/>
          <w:kern w:val="0"/>
          <w:sz w:val="24"/>
          <w:lang w:val="en-US" w:eastAsia="zh-CN"/>
        </w:rPr>
        <w:t>4</w:t>
      </w:r>
      <w:r>
        <w:rPr>
          <w:rFonts w:hint="eastAsia"/>
          <w:kern w:val="0"/>
          <w:sz w:val="24"/>
          <w:lang w:eastAsia="zh-CN"/>
        </w:rPr>
        <w:t>）</w:t>
      </w:r>
      <w:r>
        <w:rPr>
          <w:rFonts w:hint="eastAsia"/>
          <w:kern w:val="0"/>
          <w:sz w:val="24"/>
        </w:rPr>
        <w:t>团体标准应</w:t>
      </w:r>
      <w:r>
        <w:rPr>
          <w:rFonts w:hint="eastAsia"/>
          <w:kern w:val="0"/>
          <w:sz w:val="24"/>
          <w:lang w:val="en-US" w:eastAsia="zh-CN"/>
        </w:rPr>
        <w:t>优于现有地方标准，</w:t>
      </w:r>
      <w:r>
        <w:rPr>
          <w:rFonts w:hint="eastAsia"/>
          <w:kern w:val="0"/>
          <w:sz w:val="24"/>
        </w:rPr>
        <w:t>以提升密玉产品和服务的市场竞争力，推动产业持续升级</w:t>
      </w:r>
      <w:r>
        <w:rPr>
          <w:rFonts w:hint="eastAsia"/>
          <w:kern w:val="0"/>
          <w:sz w:val="24"/>
          <w:lang w:eastAsia="zh-CN"/>
        </w:rPr>
        <w:t>，</w:t>
      </w:r>
      <w:r>
        <w:rPr>
          <w:rFonts w:hint="eastAsia"/>
          <w:kern w:val="0"/>
          <w:sz w:val="24"/>
        </w:rPr>
        <w:t>引领密玉产业</w:t>
      </w:r>
      <w:r>
        <w:rPr>
          <w:rFonts w:hint="eastAsia"/>
          <w:kern w:val="0"/>
          <w:sz w:val="24"/>
          <w:lang w:val="en-US" w:eastAsia="zh-CN"/>
        </w:rPr>
        <w:t>高质量</w:t>
      </w:r>
      <w:r>
        <w:rPr>
          <w:rFonts w:hint="eastAsia"/>
          <w:kern w:val="0"/>
          <w:sz w:val="24"/>
        </w:rPr>
        <w:t>发展。</w:t>
      </w:r>
    </w:p>
    <w:p w14:paraId="3B41E410">
      <w:pPr>
        <w:numPr>
          <w:numId w:val="0"/>
        </w:numPr>
        <w:autoSpaceDE w:val="0"/>
        <w:autoSpaceDN w:val="0"/>
        <w:adjustRightInd w:val="0"/>
        <w:spacing w:line="440" w:lineRule="exact"/>
        <w:ind w:firstLine="480" w:firstLineChars="200"/>
        <w:jc w:val="left"/>
        <w:rPr>
          <w:rFonts w:hint="eastAsia"/>
          <w:kern w:val="0"/>
          <w:sz w:val="24"/>
        </w:rPr>
      </w:pPr>
      <w:r>
        <w:rPr>
          <w:rFonts w:hint="eastAsia"/>
          <w:kern w:val="0"/>
          <w:sz w:val="24"/>
        </w:rPr>
        <w:t>综上所述，</w:t>
      </w:r>
      <w:r>
        <w:rPr>
          <w:rFonts w:hint="eastAsia"/>
          <w:kern w:val="0"/>
          <w:sz w:val="24"/>
          <w:lang w:val="en-US" w:eastAsia="zh-CN"/>
        </w:rPr>
        <w:t>本</w:t>
      </w:r>
      <w:r>
        <w:rPr>
          <w:rFonts w:hint="eastAsia"/>
          <w:kern w:val="0"/>
          <w:sz w:val="24"/>
        </w:rPr>
        <w:t>标准的编制原则旨在保障标准的科学性、先进性和适用性，促进密玉产业的繁荣与发展。</w:t>
      </w:r>
    </w:p>
    <w:p w14:paraId="4A973648">
      <w:pPr>
        <w:pStyle w:val="11"/>
        <w:spacing w:line="440" w:lineRule="exact"/>
        <w:ind w:firstLine="0"/>
        <w:outlineLvl w:val="0"/>
        <w:rPr>
          <w:rFonts w:hint="eastAsia" w:ascii="Times New Roman" w:eastAsia="宋体"/>
          <w:b/>
          <w:kern w:val="0"/>
          <w:sz w:val="24"/>
          <w:szCs w:val="24"/>
          <w:lang w:val="en-US" w:eastAsia="zh-CN"/>
        </w:rPr>
      </w:pPr>
      <w:r>
        <w:rPr>
          <w:rFonts w:ascii="Times New Roman" w:eastAsia="宋体"/>
          <w:b/>
          <w:kern w:val="0"/>
          <w:sz w:val="24"/>
          <w:szCs w:val="24"/>
        </w:rPr>
        <w:t xml:space="preserve">3 </w:t>
      </w:r>
      <w:r>
        <w:rPr>
          <w:rFonts w:hint="eastAsia" w:ascii="Times New Roman" w:eastAsia="宋体"/>
          <w:b/>
          <w:kern w:val="0"/>
          <w:sz w:val="24"/>
          <w:szCs w:val="24"/>
        </w:rPr>
        <w:t>相关标准</w:t>
      </w:r>
      <w:r>
        <w:rPr>
          <w:rFonts w:hint="eastAsia" w:ascii="Times New Roman" w:eastAsia="宋体"/>
          <w:b/>
          <w:kern w:val="0"/>
          <w:sz w:val="24"/>
          <w:szCs w:val="24"/>
          <w:lang w:val="en-US" w:eastAsia="zh-CN"/>
        </w:rPr>
        <w:t>对比</w:t>
      </w:r>
      <w:r>
        <w:rPr>
          <w:rFonts w:hint="eastAsia" w:ascii="Times New Roman" w:eastAsia="宋体"/>
          <w:b/>
          <w:kern w:val="0"/>
          <w:sz w:val="24"/>
          <w:szCs w:val="24"/>
        </w:rPr>
        <w:t>研究</w:t>
      </w:r>
      <w:bookmarkEnd w:id="5"/>
      <w:r>
        <w:rPr>
          <w:rFonts w:hint="eastAsia" w:ascii="Times New Roman" w:eastAsia="宋体"/>
          <w:b/>
          <w:kern w:val="0"/>
          <w:sz w:val="24"/>
          <w:szCs w:val="24"/>
          <w:lang w:val="en-US" w:eastAsia="zh-CN"/>
        </w:rPr>
        <w:t>分析</w:t>
      </w:r>
    </w:p>
    <w:p w14:paraId="18AA934F">
      <w:pPr>
        <w:autoSpaceDE w:val="0"/>
        <w:autoSpaceDN w:val="0"/>
        <w:adjustRightInd w:val="0"/>
        <w:spacing w:after="156" w:afterLines="50" w:line="440" w:lineRule="exact"/>
        <w:ind w:firstLine="480" w:firstLineChars="200"/>
        <w:jc w:val="left"/>
        <w:rPr>
          <w:rFonts w:hint="default" w:eastAsia="宋体"/>
          <w:kern w:val="0"/>
          <w:sz w:val="24"/>
          <w:lang w:val="en-US" w:eastAsia="zh-CN"/>
        </w:rPr>
      </w:pPr>
      <w:bookmarkStart w:id="6" w:name="OLE_LINK1"/>
      <w:r>
        <w:rPr>
          <w:rFonts w:hint="eastAsia"/>
          <w:kern w:val="0"/>
          <w:sz w:val="24"/>
          <w:lang w:val="en-US" w:eastAsia="zh-CN"/>
        </w:rPr>
        <w:t>本标准与</w:t>
      </w:r>
      <w:r>
        <w:rPr>
          <w:rFonts w:hint="eastAsia" w:ascii="宋体" w:hAnsi="宋体" w:cs="宋体"/>
          <w:kern w:val="0"/>
          <w:sz w:val="24"/>
          <w:lang w:val="en-US" w:eastAsia="zh-CN"/>
        </w:rPr>
        <w:t>河南省地方标准DB 41/T 972－2014《密玉》的对比分析如下所示</w:t>
      </w:r>
      <w:r>
        <w:rPr>
          <w:rFonts w:hint="eastAsia"/>
          <w:kern w:val="0"/>
          <w:sz w:val="24"/>
        </w:rPr>
        <w:t>。</w:t>
      </w:r>
    </w:p>
    <w:tbl>
      <w:tblPr>
        <w:tblStyle w:val="3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47"/>
        <w:gridCol w:w="997"/>
        <w:gridCol w:w="2536"/>
        <w:gridCol w:w="2537"/>
        <w:gridCol w:w="1992"/>
      </w:tblGrid>
      <w:tr w14:paraId="7A93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443F050B">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kern w:val="0"/>
                <w:sz w:val="18"/>
                <w:szCs w:val="18"/>
                <w:vertAlign w:val="baseline"/>
                <w:lang w:val="en-US" w:eastAsia="zh-CN"/>
              </w:rPr>
              <w:t>序号</w:t>
            </w:r>
          </w:p>
        </w:tc>
        <w:tc>
          <w:tcPr>
            <w:tcW w:w="997" w:type="dxa"/>
          </w:tcPr>
          <w:p w14:paraId="2CD8C382">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kern w:val="0"/>
                <w:sz w:val="18"/>
                <w:szCs w:val="18"/>
                <w:vertAlign w:val="baseline"/>
                <w:lang w:val="en-US" w:eastAsia="zh-CN"/>
              </w:rPr>
              <w:t>项目</w:t>
            </w:r>
          </w:p>
        </w:tc>
        <w:tc>
          <w:tcPr>
            <w:tcW w:w="2536" w:type="dxa"/>
          </w:tcPr>
          <w:p w14:paraId="7E42E355">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本标准</w:t>
            </w:r>
          </w:p>
        </w:tc>
        <w:tc>
          <w:tcPr>
            <w:tcW w:w="2537" w:type="dxa"/>
          </w:tcPr>
          <w:p w14:paraId="00EA9B4B">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地方标准</w:t>
            </w:r>
          </w:p>
        </w:tc>
        <w:tc>
          <w:tcPr>
            <w:tcW w:w="1992" w:type="dxa"/>
          </w:tcPr>
          <w:p w14:paraId="3D1671D1">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分析</w:t>
            </w:r>
          </w:p>
        </w:tc>
      </w:tr>
      <w:tr w14:paraId="3D28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149DF706">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eastAsia="宋体"/>
                <w:kern w:val="0"/>
                <w:sz w:val="18"/>
                <w:szCs w:val="18"/>
                <w:vertAlign w:val="baseline"/>
                <w:lang w:val="en-US" w:eastAsia="zh-CN"/>
              </w:rPr>
            </w:pPr>
          </w:p>
        </w:tc>
        <w:tc>
          <w:tcPr>
            <w:tcW w:w="997" w:type="dxa"/>
          </w:tcPr>
          <w:p w14:paraId="278F8B21">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kern w:val="0"/>
                <w:sz w:val="18"/>
                <w:szCs w:val="18"/>
                <w:vertAlign w:val="baseline"/>
                <w:lang w:val="en-US" w:eastAsia="zh-CN"/>
              </w:rPr>
              <w:t>化学组成</w:t>
            </w:r>
          </w:p>
        </w:tc>
        <w:tc>
          <w:tcPr>
            <w:tcW w:w="2536" w:type="dxa"/>
          </w:tcPr>
          <w:p w14:paraId="26C0FD85">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18"/>
                <w:szCs w:val="18"/>
                <w:vertAlign w:val="baseline"/>
              </w:rPr>
            </w:pPr>
            <w:r>
              <w:rPr>
                <w:rFonts w:hint="eastAsia" w:ascii="宋体" w:hAnsi="宋体" w:eastAsia="宋体" w:cs="宋体"/>
                <w:spacing w:val="-2"/>
                <w:sz w:val="18"/>
                <w:szCs w:val="18"/>
              </w:rPr>
              <w:t>石英（SiO</w:t>
            </w:r>
            <w:r>
              <w:rPr>
                <w:rFonts w:hint="eastAsia" w:ascii="宋体" w:hAnsi="宋体" w:eastAsia="宋体" w:cs="宋体"/>
                <w:spacing w:val="-2"/>
                <w:position w:val="-1"/>
                <w:sz w:val="18"/>
                <w:szCs w:val="18"/>
              </w:rPr>
              <w:t xml:space="preserve">2 </w:t>
            </w:r>
            <w:r>
              <w:rPr>
                <w:rFonts w:hint="eastAsia" w:ascii="宋体" w:hAnsi="宋体" w:eastAsia="宋体" w:cs="宋体"/>
                <w:spacing w:val="-2"/>
                <w:sz w:val="18"/>
                <w:szCs w:val="18"/>
              </w:rPr>
              <w:t>）含量大于97%，含氧化铝（Al</w:t>
            </w:r>
            <w:r>
              <w:rPr>
                <w:rFonts w:hint="eastAsia" w:ascii="宋体" w:hAnsi="宋体" w:eastAsia="宋体" w:cs="宋体"/>
                <w:spacing w:val="-2"/>
                <w:position w:val="-1"/>
                <w:sz w:val="18"/>
                <w:szCs w:val="18"/>
              </w:rPr>
              <w:t>2</w:t>
            </w:r>
            <w:r>
              <w:rPr>
                <w:rFonts w:hint="eastAsia" w:ascii="宋体" w:hAnsi="宋体" w:eastAsia="宋体" w:cs="宋体"/>
                <w:spacing w:val="-2"/>
                <w:sz w:val="18"/>
                <w:szCs w:val="18"/>
              </w:rPr>
              <w:t>O</w:t>
            </w:r>
            <w:r>
              <w:rPr>
                <w:rFonts w:hint="eastAsia" w:ascii="宋体" w:hAnsi="宋体" w:eastAsia="宋体" w:cs="宋体"/>
                <w:spacing w:val="-3"/>
                <w:position w:val="-1"/>
                <w:sz w:val="18"/>
                <w:szCs w:val="18"/>
              </w:rPr>
              <w:t xml:space="preserve">3 </w:t>
            </w:r>
            <w:r>
              <w:rPr>
                <w:rFonts w:hint="eastAsia" w:ascii="宋体" w:hAnsi="宋体" w:eastAsia="宋体" w:cs="宋体"/>
                <w:spacing w:val="-3"/>
                <w:sz w:val="18"/>
                <w:szCs w:val="18"/>
              </w:rPr>
              <w:t>）、氧化铁（Fe</w:t>
            </w:r>
            <w:r>
              <w:rPr>
                <w:rFonts w:hint="eastAsia" w:ascii="宋体" w:hAnsi="宋体" w:eastAsia="宋体" w:cs="宋体"/>
                <w:spacing w:val="-3"/>
                <w:position w:val="-1"/>
                <w:sz w:val="18"/>
                <w:szCs w:val="18"/>
              </w:rPr>
              <w:t>2</w:t>
            </w:r>
            <w:r>
              <w:rPr>
                <w:rFonts w:hint="eastAsia" w:ascii="宋体" w:hAnsi="宋体" w:eastAsia="宋体" w:cs="宋体"/>
                <w:spacing w:val="-3"/>
                <w:sz w:val="18"/>
                <w:szCs w:val="18"/>
              </w:rPr>
              <w:t>O</w:t>
            </w:r>
            <w:r>
              <w:rPr>
                <w:rFonts w:hint="eastAsia" w:ascii="宋体" w:hAnsi="宋体" w:eastAsia="宋体" w:cs="宋体"/>
                <w:spacing w:val="-3"/>
                <w:position w:val="-1"/>
                <w:sz w:val="18"/>
                <w:szCs w:val="18"/>
              </w:rPr>
              <w:t xml:space="preserve">3 </w:t>
            </w:r>
            <w:r>
              <w:rPr>
                <w:rFonts w:hint="eastAsia" w:ascii="宋体" w:hAnsi="宋体" w:eastAsia="宋体" w:cs="宋体"/>
                <w:spacing w:val="-3"/>
                <w:sz w:val="18"/>
                <w:szCs w:val="18"/>
              </w:rPr>
              <w:t>）、氧化钙（CaO）、氧化钾</w:t>
            </w:r>
            <w:r>
              <w:rPr>
                <w:rFonts w:hint="eastAsia" w:ascii="宋体" w:hAnsi="宋体" w:eastAsia="宋体" w:cs="宋体"/>
                <w:sz w:val="18"/>
                <w:szCs w:val="18"/>
              </w:rPr>
              <w:t xml:space="preserve"> </w:t>
            </w:r>
            <w:r>
              <w:rPr>
                <w:rFonts w:hint="eastAsia" w:ascii="宋体" w:hAnsi="宋体" w:eastAsia="宋体" w:cs="宋体"/>
                <w:spacing w:val="1"/>
                <w:sz w:val="18"/>
                <w:szCs w:val="18"/>
              </w:rPr>
              <w:t>（K</w:t>
            </w:r>
            <w:r>
              <w:rPr>
                <w:rFonts w:hint="eastAsia" w:ascii="宋体" w:hAnsi="宋体" w:eastAsia="宋体" w:cs="宋体"/>
                <w:spacing w:val="1"/>
                <w:position w:val="-1"/>
                <w:sz w:val="18"/>
                <w:szCs w:val="18"/>
              </w:rPr>
              <w:t>2</w:t>
            </w:r>
            <w:r>
              <w:rPr>
                <w:rFonts w:hint="eastAsia" w:ascii="宋体" w:hAnsi="宋体" w:eastAsia="宋体" w:cs="宋体"/>
                <w:spacing w:val="1"/>
                <w:sz w:val="18"/>
                <w:szCs w:val="18"/>
              </w:rPr>
              <w:t>O）、氧化钠（</w:t>
            </w:r>
            <w:r>
              <w:rPr>
                <w:rFonts w:hint="eastAsia" w:ascii="宋体" w:hAnsi="宋体" w:eastAsia="宋体" w:cs="宋体"/>
                <w:sz w:val="18"/>
                <w:szCs w:val="18"/>
              </w:rPr>
              <w:t>Na</w:t>
            </w:r>
            <w:r>
              <w:rPr>
                <w:rFonts w:hint="eastAsia" w:ascii="宋体" w:hAnsi="宋体" w:eastAsia="宋体" w:cs="宋体"/>
                <w:spacing w:val="1"/>
                <w:position w:val="-1"/>
                <w:sz w:val="18"/>
                <w:szCs w:val="18"/>
              </w:rPr>
              <w:t>2</w:t>
            </w:r>
            <w:r>
              <w:rPr>
                <w:rFonts w:hint="eastAsia" w:ascii="宋体" w:hAnsi="宋体" w:eastAsia="宋体" w:cs="宋体"/>
                <w:spacing w:val="1"/>
                <w:sz w:val="18"/>
                <w:szCs w:val="18"/>
              </w:rPr>
              <w:t>O）、二氧化钛（</w:t>
            </w:r>
            <w:r>
              <w:rPr>
                <w:rFonts w:hint="eastAsia" w:ascii="宋体" w:hAnsi="宋体" w:eastAsia="宋体" w:cs="宋体"/>
                <w:sz w:val="18"/>
                <w:szCs w:val="18"/>
              </w:rPr>
              <w:t>TiO</w:t>
            </w:r>
            <w:r>
              <w:rPr>
                <w:rFonts w:hint="eastAsia" w:ascii="宋体" w:hAnsi="宋体" w:eastAsia="宋体" w:cs="宋体"/>
                <w:spacing w:val="1"/>
                <w:position w:val="-1"/>
                <w:sz w:val="18"/>
                <w:szCs w:val="18"/>
              </w:rPr>
              <w:t xml:space="preserve">2 </w:t>
            </w:r>
            <w:r>
              <w:rPr>
                <w:rFonts w:hint="eastAsia" w:ascii="宋体" w:hAnsi="宋体" w:eastAsia="宋体" w:cs="宋体"/>
                <w:spacing w:val="1"/>
                <w:sz w:val="18"/>
                <w:szCs w:val="18"/>
              </w:rPr>
              <w:t>）</w:t>
            </w:r>
            <w:r>
              <w:rPr>
                <w:rFonts w:hint="eastAsia" w:ascii="宋体" w:hAnsi="宋体" w:eastAsia="宋体" w:cs="宋体"/>
                <w:spacing w:val="1"/>
                <w:sz w:val="18"/>
                <w:szCs w:val="18"/>
                <w:lang w:val="en-US" w:eastAsia="zh-CN"/>
              </w:rPr>
              <w:t>,</w:t>
            </w:r>
            <w:r>
              <w:rPr>
                <w:rFonts w:hint="eastAsia" w:ascii="宋体" w:hAnsi="宋体" w:eastAsia="宋体" w:cs="宋体"/>
                <w:spacing w:val="1"/>
                <w:sz w:val="18"/>
                <w:szCs w:val="18"/>
              </w:rPr>
              <w:t>及钴（</w:t>
            </w:r>
            <w:r>
              <w:rPr>
                <w:rFonts w:hint="eastAsia" w:ascii="宋体" w:hAnsi="宋体" w:eastAsia="宋体" w:cs="宋体"/>
                <w:sz w:val="18"/>
                <w:szCs w:val="18"/>
              </w:rPr>
              <w:t>Co</w:t>
            </w:r>
            <w:r>
              <w:rPr>
                <w:rFonts w:hint="eastAsia" w:ascii="宋体" w:hAnsi="宋体" w:eastAsia="宋体" w:cs="宋体"/>
                <w:spacing w:val="1"/>
                <w:sz w:val="18"/>
                <w:szCs w:val="18"/>
              </w:rPr>
              <w:t>）、镍（</w:t>
            </w:r>
            <w:r>
              <w:rPr>
                <w:rFonts w:hint="eastAsia" w:ascii="宋体" w:hAnsi="宋体" w:eastAsia="宋体" w:cs="宋体"/>
                <w:sz w:val="18"/>
                <w:szCs w:val="18"/>
              </w:rPr>
              <w:t>Ni</w:t>
            </w:r>
            <w:r>
              <w:rPr>
                <w:rFonts w:hint="eastAsia" w:ascii="宋体" w:hAnsi="宋体" w:eastAsia="宋体" w:cs="宋体"/>
                <w:spacing w:val="1"/>
                <w:sz w:val="18"/>
                <w:szCs w:val="18"/>
              </w:rPr>
              <w:t>）、锶（</w:t>
            </w:r>
            <w:r>
              <w:rPr>
                <w:rFonts w:hint="eastAsia" w:ascii="宋体" w:hAnsi="宋体" w:eastAsia="宋体" w:cs="宋体"/>
                <w:sz w:val="18"/>
                <w:szCs w:val="18"/>
              </w:rPr>
              <w:t>Sr</w:t>
            </w:r>
            <w:r>
              <w:rPr>
                <w:rFonts w:hint="eastAsia" w:ascii="宋体" w:hAnsi="宋体" w:eastAsia="宋体" w:cs="宋体"/>
                <w:spacing w:val="1"/>
                <w:sz w:val="18"/>
                <w:szCs w:val="18"/>
              </w:rPr>
              <w:t>）、钒（V）、铬</w:t>
            </w:r>
            <w:r>
              <w:rPr>
                <w:rFonts w:hint="eastAsia" w:ascii="宋体" w:hAnsi="宋体" w:eastAsia="宋体" w:cs="宋体"/>
                <w:spacing w:val="-3"/>
                <w:sz w:val="18"/>
                <w:szCs w:val="18"/>
              </w:rPr>
              <w:t>（Cr）等微量元素；稀土元素总量∑REE在0.04</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pacing w:val="-3"/>
                <w:sz w:val="18"/>
                <w:szCs w:val="18"/>
              </w:rPr>
              <w:t>～8</w:t>
            </w:r>
            <w:r>
              <w:rPr>
                <w:rFonts w:hint="eastAsia" w:ascii="宋体" w:hAnsi="宋体" w:eastAsia="宋体" w:cs="宋体"/>
                <w:spacing w:val="-4"/>
                <w:sz w:val="18"/>
                <w:szCs w:val="18"/>
              </w:rPr>
              <w:t>.03</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pacing w:val="-4"/>
                <w:sz w:val="18"/>
                <w:szCs w:val="18"/>
              </w:rPr>
              <w:t>，其中轻稀土LREE含量在0～1.14</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z w:val="18"/>
                <w:szCs w:val="18"/>
              </w:rPr>
              <w:t>，中稀土MREE含量在0～1.54</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z w:val="18"/>
                <w:szCs w:val="18"/>
              </w:rPr>
              <w:t>，重稀土HREE含量在0.03</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pacing w:val="-1"/>
                <w:sz w:val="18"/>
                <w:szCs w:val="18"/>
              </w:rPr>
              <w:t>～1.88</w:t>
            </w:r>
            <w:r>
              <w:rPr>
                <w:rFonts w:hint="eastAsia" w:ascii="宋体" w:hAnsi="宋体" w:eastAsia="宋体" w:cs="宋体"/>
                <w:spacing w:val="-3"/>
                <w:sz w:val="18"/>
                <w:szCs w:val="18"/>
                <w:lang w:val="en-US" w:eastAsia="zh-CN"/>
              </w:rPr>
              <w:t>×10</w:t>
            </w:r>
            <w:r>
              <w:rPr>
                <w:rFonts w:hint="eastAsia" w:ascii="宋体" w:hAnsi="宋体" w:eastAsia="宋体" w:cs="宋体"/>
                <w:spacing w:val="-3"/>
                <w:sz w:val="18"/>
                <w:szCs w:val="18"/>
                <w:vertAlign w:val="superscript"/>
                <w:lang w:val="en-US" w:eastAsia="zh-CN"/>
              </w:rPr>
              <w:t>-6</w:t>
            </w:r>
            <w:r>
              <w:rPr>
                <w:rFonts w:hint="eastAsia" w:ascii="宋体" w:hAnsi="宋体" w:eastAsia="宋体" w:cs="宋体"/>
                <w:spacing w:val="-1"/>
                <w:sz w:val="18"/>
                <w:szCs w:val="18"/>
              </w:rPr>
              <w:t>；</w:t>
            </w:r>
            <w:r>
              <w:rPr>
                <w:rFonts w:hint="eastAsia" w:ascii="宋体" w:hAnsi="宋体" w:eastAsia="宋体" w:cs="宋体"/>
                <w:spacing w:val="-74"/>
                <w:sz w:val="18"/>
                <w:szCs w:val="18"/>
              </w:rPr>
              <w:t xml:space="preserve"> </w:t>
            </w:r>
            <w:r>
              <w:rPr>
                <w:rFonts w:hint="eastAsia" w:ascii="宋体" w:hAnsi="宋体" w:eastAsia="宋体" w:cs="宋体"/>
                <w:spacing w:val="-1"/>
                <w:sz w:val="18"/>
                <w:szCs w:val="18"/>
              </w:rPr>
              <w:t>∑LREE/∑</w:t>
            </w:r>
            <w:r>
              <w:rPr>
                <w:rFonts w:hint="eastAsia" w:ascii="宋体" w:hAnsi="宋体" w:eastAsia="宋体" w:cs="宋体"/>
                <w:sz w:val="18"/>
                <w:szCs w:val="18"/>
              </w:rPr>
              <w:t>HREE的比值在0.02～4.34</w:t>
            </w:r>
          </w:p>
        </w:tc>
        <w:tc>
          <w:tcPr>
            <w:tcW w:w="2537" w:type="dxa"/>
          </w:tcPr>
          <w:p w14:paraId="26A6B405">
            <w:pPr>
              <w:pStyle w:val="10"/>
              <w:keepNext w:val="0"/>
              <w:keepLines w:val="0"/>
              <w:pageBreakBefore w:val="0"/>
              <w:widowControl w:val="0"/>
              <w:tabs>
                <w:tab w:val="left" w:pos="1480"/>
              </w:tabs>
              <w:kinsoku/>
              <w:wordWrap/>
              <w:overflowPunct/>
              <w:topLinePunct w:val="0"/>
              <w:bidi w:val="0"/>
              <w:snapToGrid/>
              <w:spacing w:line="240" w:lineRule="auto"/>
              <w:ind w:right="9" w:rightChars="0"/>
              <w:textAlignment w:val="auto"/>
              <w:rPr>
                <w:rFonts w:hint="eastAsia" w:ascii="宋体" w:hAnsi="宋体" w:eastAsia="宋体" w:cs="宋体"/>
                <w:kern w:val="0"/>
                <w:sz w:val="18"/>
                <w:szCs w:val="18"/>
                <w:vertAlign w:val="baseline"/>
              </w:rPr>
            </w:pPr>
            <w:r>
              <w:rPr>
                <w:rFonts w:hint="eastAsia" w:ascii="宋体" w:hAnsi="宋体" w:eastAsia="宋体" w:cs="宋体"/>
                <w:position w:val="1"/>
                <w:sz w:val="18"/>
                <w:szCs w:val="18"/>
              </w:rPr>
              <w:t>SiO</w:t>
            </w:r>
            <w:r>
              <w:rPr>
                <w:rFonts w:hint="eastAsia" w:ascii="宋体" w:hAnsi="宋体" w:eastAsia="宋体" w:cs="宋体"/>
                <w:sz w:val="18"/>
                <w:szCs w:val="18"/>
              </w:rPr>
              <w:t xml:space="preserve">2 </w:t>
            </w:r>
            <w:r>
              <w:rPr>
                <w:rFonts w:hint="eastAsia" w:ascii="宋体" w:hAnsi="宋体" w:eastAsia="宋体" w:cs="宋体"/>
                <w:spacing w:val="-14"/>
                <w:position w:val="1"/>
                <w:sz w:val="18"/>
                <w:szCs w:val="18"/>
              </w:rPr>
              <w:t xml:space="preserve">大于 </w:t>
            </w:r>
            <w:bookmarkStart w:id="7" w:name="材料性质"/>
            <w:bookmarkEnd w:id="7"/>
            <w:r>
              <w:rPr>
                <w:rFonts w:hint="eastAsia" w:ascii="宋体" w:hAnsi="宋体" w:eastAsia="宋体" w:cs="宋体"/>
                <w:position w:val="1"/>
                <w:sz w:val="18"/>
                <w:szCs w:val="18"/>
              </w:rPr>
              <w:t>97%，</w:t>
            </w:r>
            <w:r>
              <w:rPr>
                <w:rFonts w:hint="eastAsia" w:ascii="宋体" w:hAnsi="宋体" w:eastAsia="宋体" w:cs="宋体"/>
                <w:spacing w:val="-22"/>
                <w:position w:val="1"/>
                <w:sz w:val="18"/>
                <w:szCs w:val="18"/>
              </w:rPr>
              <w:t xml:space="preserve">含 </w:t>
            </w:r>
            <w:r>
              <w:rPr>
                <w:rFonts w:hint="eastAsia" w:ascii="宋体" w:hAnsi="宋体" w:eastAsia="宋体" w:cs="宋体"/>
                <w:position w:val="1"/>
                <w:sz w:val="18"/>
                <w:szCs w:val="18"/>
              </w:rPr>
              <w:t>Al</w:t>
            </w:r>
            <w:r>
              <w:rPr>
                <w:rFonts w:hint="eastAsia" w:ascii="宋体" w:hAnsi="宋体" w:eastAsia="宋体" w:cs="宋体"/>
                <w:sz w:val="18"/>
                <w:szCs w:val="18"/>
              </w:rPr>
              <w:t>2</w:t>
            </w:r>
            <w:r>
              <w:rPr>
                <w:rFonts w:hint="eastAsia" w:ascii="宋体" w:hAnsi="宋体" w:eastAsia="宋体" w:cs="宋体"/>
                <w:position w:val="1"/>
                <w:sz w:val="18"/>
                <w:szCs w:val="18"/>
              </w:rPr>
              <w:t>O</w:t>
            </w:r>
            <w:r>
              <w:rPr>
                <w:rFonts w:hint="eastAsia" w:ascii="宋体" w:hAnsi="宋体" w:eastAsia="宋体" w:cs="宋体"/>
                <w:sz w:val="18"/>
                <w:szCs w:val="18"/>
              </w:rPr>
              <w:t>3</w:t>
            </w:r>
            <w:r>
              <w:rPr>
                <w:rFonts w:hint="eastAsia" w:ascii="宋体" w:hAnsi="宋体" w:eastAsia="宋体" w:cs="宋体"/>
                <w:position w:val="1"/>
                <w:sz w:val="18"/>
                <w:szCs w:val="18"/>
              </w:rPr>
              <w:t>、Fe</w:t>
            </w:r>
            <w:r>
              <w:rPr>
                <w:rFonts w:hint="eastAsia" w:ascii="宋体" w:hAnsi="宋体" w:eastAsia="宋体" w:cs="宋体"/>
                <w:sz w:val="18"/>
                <w:szCs w:val="18"/>
              </w:rPr>
              <w:t>2</w:t>
            </w:r>
            <w:r>
              <w:rPr>
                <w:rFonts w:hint="eastAsia" w:ascii="宋体" w:hAnsi="宋体" w:eastAsia="宋体" w:cs="宋体"/>
                <w:position w:val="1"/>
                <w:sz w:val="18"/>
                <w:szCs w:val="18"/>
              </w:rPr>
              <w:t>O</w:t>
            </w:r>
            <w:r>
              <w:rPr>
                <w:rFonts w:hint="eastAsia" w:ascii="宋体" w:hAnsi="宋体" w:eastAsia="宋体" w:cs="宋体"/>
                <w:sz w:val="18"/>
                <w:szCs w:val="18"/>
              </w:rPr>
              <w:t>3</w:t>
            </w:r>
            <w:r>
              <w:rPr>
                <w:rFonts w:hint="eastAsia" w:ascii="宋体" w:hAnsi="宋体" w:eastAsia="宋体" w:cs="宋体"/>
                <w:position w:val="1"/>
                <w:sz w:val="18"/>
                <w:szCs w:val="18"/>
              </w:rPr>
              <w:t>、CaO、K</w:t>
            </w:r>
            <w:r>
              <w:rPr>
                <w:rFonts w:hint="eastAsia" w:ascii="宋体" w:hAnsi="宋体" w:eastAsia="宋体" w:cs="宋体"/>
                <w:sz w:val="18"/>
                <w:szCs w:val="18"/>
              </w:rPr>
              <w:t>2</w:t>
            </w:r>
            <w:r>
              <w:rPr>
                <w:rFonts w:hint="eastAsia" w:ascii="宋体" w:hAnsi="宋体" w:eastAsia="宋体" w:cs="宋体"/>
                <w:position w:val="1"/>
                <w:sz w:val="18"/>
                <w:szCs w:val="18"/>
              </w:rPr>
              <w:t>O、Na</w:t>
            </w:r>
            <w:r>
              <w:rPr>
                <w:rFonts w:hint="eastAsia" w:ascii="宋体" w:hAnsi="宋体" w:eastAsia="宋体" w:cs="宋体"/>
                <w:sz w:val="18"/>
                <w:szCs w:val="18"/>
              </w:rPr>
              <w:t>2</w:t>
            </w:r>
            <w:r>
              <w:rPr>
                <w:rFonts w:hint="eastAsia" w:ascii="宋体" w:hAnsi="宋体" w:eastAsia="宋体" w:cs="宋体"/>
                <w:position w:val="1"/>
                <w:sz w:val="18"/>
                <w:szCs w:val="18"/>
              </w:rPr>
              <w:t>O、TiO</w:t>
            </w:r>
            <w:r>
              <w:rPr>
                <w:rFonts w:hint="eastAsia" w:ascii="宋体" w:hAnsi="宋体" w:eastAsia="宋体" w:cs="宋体"/>
                <w:sz w:val="18"/>
                <w:szCs w:val="18"/>
              </w:rPr>
              <w:t xml:space="preserve">2 </w:t>
            </w:r>
            <w:r>
              <w:rPr>
                <w:rFonts w:hint="eastAsia" w:ascii="宋体" w:hAnsi="宋体" w:eastAsia="宋体" w:cs="宋体"/>
                <w:spacing w:val="-22"/>
                <w:position w:val="1"/>
                <w:sz w:val="18"/>
                <w:szCs w:val="18"/>
              </w:rPr>
              <w:t xml:space="preserve">及 </w:t>
            </w:r>
            <w:r>
              <w:rPr>
                <w:rFonts w:hint="eastAsia" w:ascii="宋体" w:hAnsi="宋体" w:eastAsia="宋体" w:cs="宋体"/>
                <w:position w:val="1"/>
                <w:sz w:val="18"/>
                <w:szCs w:val="18"/>
              </w:rPr>
              <w:t>Co</w:t>
            </w:r>
            <w:r>
              <w:rPr>
                <w:rFonts w:hint="eastAsia" w:ascii="宋体" w:hAnsi="宋体" w:eastAsia="宋体" w:cs="宋体"/>
                <w:spacing w:val="-4"/>
                <w:position w:val="1"/>
                <w:sz w:val="18"/>
                <w:szCs w:val="18"/>
              </w:rPr>
              <w:t>、</w:t>
            </w:r>
            <w:r>
              <w:rPr>
                <w:rFonts w:hint="eastAsia" w:ascii="宋体" w:hAnsi="宋体" w:eastAsia="宋体" w:cs="宋体"/>
                <w:position w:val="1"/>
                <w:sz w:val="18"/>
                <w:szCs w:val="18"/>
              </w:rPr>
              <w:t>Ni</w:t>
            </w:r>
            <w:r>
              <w:rPr>
                <w:rFonts w:hint="eastAsia" w:ascii="宋体" w:hAnsi="宋体" w:eastAsia="宋体" w:cs="宋体"/>
                <w:spacing w:val="-4"/>
                <w:position w:val="1"/>
                <w:sz w:val="18"/>
                <w:szCs w:val="18"/>
              </w:rPr>
              <w:t>、</w:t>
            </w:r>
            <w:r>
              <w:rPr>
                <w:rFonts w:hint="eastAsia" w:ascii="宋体" w:hAnsi="宋体" w:eastAsia="宋体" w:cs="宋体"/>
                <w:position w:val="1"/>
                <w:sz w:val="18"/>
                <w:szCs w:val="18"/>
              </w:rPr>
              <w:t>Sr</w:t>
            </w:r>
            <w:r>
              <w:rPr>
                <w:rFonts w:hint="eastAsia" w:ascii="宋体" w:hAnsi="宋体" w:eastAsia="宋体" w:cs="宋体"/>
                <w:spacing w:val="-3"/>
                <w:position w:val="1"/>
                <w:sz w:val="18"/>
                <w:szCs w:val="18"/>
              </w:rPr>
              <w:t>、</w:t>
            </w:r>
            <w:r>
              <w:rPr>
                <w:rFonts w:hint="eastAsia" w:ascii="宋体" w:hAnsi="宋体" w:eastAsia="宋体" w:cs="宋体"/>
                <w:position w:val="1"/>
                <w:sz w:val="18"/>
                <w:szCs w:val="18"/>
              </w:rPr>
              <w:t>V</w:t>
            </w:r>
            <w:r>
              <w:rPr>
                <w:rFonts w:hint="eastAsia" w:ascii="宋体" w:hAnsi="宋体" w:eastAsia="宋体" w:cs="宋体"/>
                <w:spacing w:val="-4"/>
                <w:position w:val="1"/>
                <w:sz w:val="18"/>
                <w:szCs w:val="18"/>
              </w:rPr>
              <w:t>、</w:t>
            </w:r>
            <w:r>
              <w:rPr>
                <w:rFonts w:hint="eastAsia" w:ascii="宋体" w:hAnsi="宋体" w:eastAsia="宋体" w:cs="宋体"/>
                <w:position w:val="1"/>
                <w:sz w:val="18"/>
                <w:szCs w:val="18"/>
              </w:rPr>
              <w:t>Cr</w:t>
            </w:r>
            <w:r>
              <w:rPr>
                <w:rFonts w:hint="eastAsia" w:ascii="宋体" w:hAnsi="宋体" w:eastAsia="宋体" w:cs="宋体"/>
                <w:spacing w:val="-14"/>
                <w:position w:val="1"/>
                <w:sz w:val="18"/>
                <w:szCs w:val="18"/>
              </w:rPr>
              <w:t xml:space="preserve"> 等微</w:t>
            </w:r>
            <w:r>
              <w:rPr>
                <w:rFonts w:hint="eastAsia" w:ascii="宋体" w:hAnsi="宋体" w:eastAsia="宋体" w:cs="宋体"/>
                <w:spacing w:val="-14"/>
                <w:sz w:val="18"/>
                <w:szCs w:val="18"/>
              </w:rPr>
              <w:t>量元素</w:t>
            </w:r>
          </w:p>
        </w:tc>
        <w:tc>
          <w:tcPr>
            <w:tcW w:w="1992" w:type="dxa"/>
          </w:tcPr>
          <w:p w14:paraId="51111479">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黑体"/>
                <w:kern w:val="0"/>
                <w:sz w:val="18"/>
                <w:szCs w:val="18"/>
                <w:vertAlign w:val="baseline"/>
                <w:lang w:val="en-US" w:eastAsia="zh-CN"/>
              </w:rPr>
            </w:pPr>
            <w:r>
              <w:rPr>
                <w:rFonts w:hint="eastAsia"/>
                <w:kern w:val="0"/>
                <w:sz w:val="18"/>
                <w:szCs w:val="18"/>
                <w:vertAlign w:val="baseline"/>
                <w:lang w:val="en-US" w:eastAsia="zh-CN"/>
              </w:rPr>
              <w:t>本</w:t>
            </w:r>
            <w:r>
              <w:rPr>
                <w:rFonts w:hint="eastAsia"/>
                <w:kern w:val="0"/>
                <w:sz w:val="18"/>
                <w:szCs w:val="18"/>
                <w:vertAlign w:val="baseline"/>
                <w:lang w:val="en-US" w:eastAsia="zh-CN"/>
              </w:rPr>
              <w:t>标准在化学组成中增加了密玉稀土元素特征内容</w:t>
            </w:r>
          </w:p>
        </w:tc>
      </w:tr>
      <w:tr w14:paraId="1133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2BEAFBB2">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eastAsia="宋体"/>
                <w:kern w:val="0"/>
                <w:sz w:val="18"/>
                <w:szCs w:val="18"/>
                <w:vertAlign w:val="baseline"/>
                <w:lang w:val="en-US" w:eastAsia="zh-CN"/>
              </w:rPr>
            </w:pPr>
          </w:p>
        </w:tc>
        <w:tc>
          <w:tcPr>
            <w:tcW w:w="997" w:type="dxa"/>
          </w:tcPr>
          <w:p w14:paraId="2F944923">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红外光谱</w:t>
            </w:r>
          </w:p>
        </w:tc>
        <w:tc>
          <w:tcPr>
            <w:tcW w:w="2536" w:type="dxa"/>
          </w:tcPr>
          <w:p w14:paraId="5C6FB358">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18"/>
                <w:szCs w:val="18"/>
                <w:vertAlign w:val="baseline"/>
              </w:rPr>
            </w:pPr>
            <w:r>
              <w:rPr>
                <w:rFonts w:hint="eastAsia" w:ascii="宋体" w:hAnsi="宋体" w:eastAsia="宋体" w:cs="宋体"/>
                <w:spacing w:val="-2"/>
                <w:sz w:val="18"/>
                <w:szCs w:val="18"/>
              </w:rPr>
              <w:t>中红外区具有石英质玉石的典型光谱特征。其中，492 cm</w:t>
            </w:r>
            <w:r>
              <w:rPr>
                <w:rFonts w:hint="eastAsia" w:ascii="宋体" w:hAnsi="宋体" w:eastAsia="宋体" w:cs="宋体"/>
                <w:spacing w:val="-2"/>
                <w:position w:val="5"/>
                <w:sz w:val="18"/>
                <w:szCs w:val="18"/>
              </w:rPr>
              <w:t>-1</w:t>
            </w:r>
            <w:r>
              <w:rPr>
                <w:rFonts w:hint="eastAsia" w:ascii="宋体" w:hAnsi="宋体" w:eastAsia="宋体" w:cs="宋体"/>
                <w:spacing w:val="-2"/>
                <w:sz w:val="18"/>
                <w:szCs w:val="18"/>
              </w:rPr>
              <w:t xml:space="preserve">、542 </w:t>
            </w:r>
            <w:r>
              <w:rPr>
                <w:rFonts w:hint="eastAsia" w:ascii="宋体" w:hAnsi="宋体" w:eastAsia="宋体" w:cs="宋体"/>
                <w:spacing w:val="-3"/>
                <w:sz w:val="18"/>
                <w:szCs w:val="18"/>
              </w:rPr>
              <w:t>cm</w:t>
            </w:r>
            <w:r>
              <w:rPr>
                <w:rFonts w:hint="eastAsia" w:ascii="宋体" w:hAnsi="宋体" w:eastAsia="宋体" w:cs="宋体"/>
                <w:spacing w:val="-3"/>
                <w:position w:val="5"/>
                <w:sz w:val="18"/>
                <w:szCs w:val="18"/>
              </w:rPr>
              <w:t>-1</w:t>
            </w:r>
            <w:r>
              <w:rPr>
                <w:rFonts w:hint="eastAsia" w:ascii="宋体" w:hAnsi="宋体" w:eastAsia="宋体" w:cs="宋体"/>
                <w:spacing w:val="-3"/>
                <w:sz w:val="18"/>
                <w:szCs w:val="18"/>
              </w:rPr>
              <w:t>为Si-O的对称弯曲振动峰，</w:t>
            </w:r>
            <w:r>
              <w:rPr>
                <w:rFonts w:hint="eastAsia" w:ascii="宋体" w:hAnsi="宋体" w:eastAsia="宋体" w:cs="宋体"/>
                <w:spacing w:val="-1"/>
                <w:sz w:val="18"/>
                <w:szCs w:val="18"/>
              </w:rPr>
              <w:t>800 cm</w:t>
            </w:r>
            <w:r>
              <w:rPr>
                <w:rFonts w:hint="eastAsia" w:ascii="宋体" w:hAnsi="宋体" w:eastAsia="宋体" w:cs="宋体"/>
                <w:spacing w:val="-1"/>
                <w:position w:val="5"/>
                <w:sz w:val="18"/>
                <w:szCs w:val="18"/>
              </w:rPr>
              <w:t>-1</w:t>
            </w:r>
            <w:r>
              <w:rPr>
                <w:rFonts w:hint="eastAsia" w:ascii="宋体" w:hAnsi="宋体" w:eastAsia="宋体" w:cs="宋体"/>
                <w:spacing w:val="-1"/>
                <w:sz w:val="18"/>
                <w:szCs w:val="18"/>
              </w:rPr>
              <w:t>左右双峰为Si-O-Si的对称伸缩振动峰，1111 cm</w:t>
            </w:r>
            <w:r>
              <w:rPr>
                <w:rFonts w:hint="eastAsia" w:ascii="宋体" w:hAnsi="宋体" w:eastAsia="宋体" w:cs="宋体"/>
                <w:spacing w:val="-1"/>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1"/>
                <w:sz w:val="18"/>
                <w:szCs w:val="18"/>
              </w:rPr>
              <w:t>、1</w:t>
            </w:r>
            <w:r>
              <w:rPr>
                <w:rFonts w:hint="eastAsia" w:ascii="宋体" w:hAnsi="宋体" w:eastAsia="宋体" w:cs="宋体"/>
                <w:spacing w:val="27"/>
                <w:sz w:val="18"/>
                <w:szCs w:val="18"/>
              </w:rPr>
              <w:t xml:space="preserve"> </w:t>
            </w:r>
            <w:r>
              <w:rPr>
                <w:rFonts w:hint="eastAsia" w:ascii="宋体" w:hAnsi="宋体" w:eastAsia="宋体" w:cs="宋体"/>
                <w:spacing w:val="-1"/>
                <w:sz w:val="18"/>
                <w:szCs w:val="18"/>
              </w:rPr>
              <w:t xml:space="preserve">178 </w:t>
            </w:r>
            <w:r>
              <w:rPr>
                <w:rFonts w:hint="eastAsia" w:ascii="宋体" w:hAnsi="宋体" w:eastAsia="宋体" w:cs="宋体"/>
                <w:spacing w:val="-2"/>
                <w:sz w:val="18"/>
                <w:szCs w:val="18"/>
              </w:rPr>
              <w:t>nm为Si-O-Si的非对称伸缩振动峰。</w:t>
            </w:r>
            <w:r>
              <w:rPr>
                <w:rFonts w:hint="eastAsia" w:ascii="宋体" w:hAnsi="宋体" w:eastAsia="宋体" w:cs="宋体"/>
                <w:sz w:val="18"/>
                <w:szCs w:val="18"/>
              </w:rPr>
              <w:t xml:space="preserve"> </w:t>
            </w:r>
            <w:r>
              <w:rPr>
                <w:rFonts w:hint="eastAsia" w:ascii="宋体" w:hAnsi="宋体" w:eastAsia="宋体" w:cs="宋体"/>
                <w:spacing w:val="-1"/>
                <w:sz w:val="18"/>
                <w:szCs w:val="18"/>
              </w:rPr>
              <w:t>密玉的经典红外光谱见附录A中A.1</w:t>
            </w:r>
          </w:p>
        </w:tc>
        <w:tc>
          <w:tcPr>
            <w:tcW w:w="2537" w:type="dxa"/>
          </w:tcPr>
          <w:p w14:paraId="3898F4F3">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18"/>
                <w:szCs w:val="18"/>
                <w:vertAlign w:val="baseline"/>
                <w:lang w:eastAsia="zh-CN"/>
              </w:rPr>
            </w:pPr>
            <w:r>
              <w:rPr>
                <w:rFonts w:hint="eastAsia" w:ascii="宋体" w:hAnsi="宋体" w:eastAsia="宋体" w:cs="宋体"/>
                <w:spacing w:val="-3"/>
                <w:sz w:val="18"/>
                <w:szCs w:val="18"/>
              </w:rPr>
              <w:t>具有石英矿物的典型光谱特征（附录A）</w:t>
            </w:r>
          </w:p>
        </w:tc>
        <w:tc>
          <w:tcPr>
            <w:tcW w:w="1992" w:type="dxa"/>
          </w:tcPr>
          <w:p w14:paraId="0E8BB2ED">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kern w:val="0"/>
                <w:sz w:val="18"/>
                <w:szCs w:val="18"/>
                <w:vertAlign w:val="baseline"/>
                <w:lang w:val="en-US" w:eastAsia="zh-CN"/>
              </w:rPr>
            </w:pPr>
            <w:r>
              <w:rPr>
                <w:rFonts w:hint="eastAsia"/>
                <w:kern w:val="0"/>
                <w:sz w:val="18"/>
                <w:szCs w:val="18"/>
                <w:vertAlign w:val="baseline"/>
                <w:lang w:val="en-US" w:eastAsia="zh-CN"/>
              </w:rPr>
              <w:t>本标准相较地方标准在红外光谱特征中补充了内容，同时本标准相较地方标准附录A只有一张典型红外光谱图，增加深绿密玉、中绿密玉、浅绿密玉、深红密玉、浅红密玉、白密玉、黑密玉、黄密玉等八张红外光谱图，便于不同颜色密玉甄别</w:t>
            </w:r>
          </w:p>
        </w:tc>
      </w:tr>
      <w:tr w14:paraId="66B6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7BD818E8">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kern w:val="0"/>
                <w:sz w:val="18"/>
                <w:szCs w:val="18"/>
                <w:vertAlign w:val="baseline"/>
              </w:rPr>
            </w:pPr>
          </w:p>
        </w:tc>
        <w:tc>
          <w:tcPr>
            <w:tcW w:w="997" w:type="dxa"/>
          </w:tcPr>
          <w:p w14:paraId="4CC1BF47">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kern w:val="0"/>
                <w:sz w:val="18"/>
                <w:szCs w:val="18"/>
                <w:vertAlign w:val="baseline"/>
                <w:lang w:val="en-US" w:eastAsia="zh-CN"/>
              </w:rPr>
              <w:t>拉曼光谱</w:t>
            </w:r>
          </w:p>
        </w:tc>
        <w:tc>
          <w:tcPr>
            <w:tcW w:w="2536" w:type="dxa"/>
          </w:tcPr>
          <w:p w14:paraId="06CE284A">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18"/>
                <w:szCs w:val="18"/>
                <w:vertAlign w:val="baseline"/>
              </w:rPr>
            </w:pPr>
            <w:r>
              <w:rPr>
                <w:rFonts w:hint="eastAsia" w:ascii="宋体" w:hAnsi="宋体" w:eastAsia="宋体" w:cs="宋体"/>
                <w:spacing w:val="-2"/>
                <w:sz w:val="18"/>
                <w:szCs w:val="18"/>
              </w:rPr>
              <w:t>可见特征的石英拉曼位移208 cm</w:t>
            </w:r>
            <w:r>
              <w:rPr>
                <w:rFonts w:hint="eastAsia" w:ascii="宋体" w:hAnsi="宋体" w:eastAsia="宋体" w:cs="宋体"/>
                <w:spacing w:val="-2"/>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2"/>
                <w:sz w:val="18"/>
                <w:szCs w:val="18"/>
              </w:rPr>
              <w:t>、266 cm</w:t>
            </w:r>
            <w:r>
              <w:rPr>
                <w:rFonts w:hint="eastAsia" w:ascii="宋体" w:hAnsi="宋体" w:eastAsia="宋体" w:cs="宋体"/>
                <w:spacing w:val="-2"/>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2"/>
                <w:sz w:val="18"/>
                <w:szCs w:val="18"/>
              </w:rPr>
              <w:t>、357 cm</w:t>
            </w:r>
            <w:r>
              <w:rPr>
                <w:rFonts w:hint="eastAsia" w:ascii="宋体" w:hAnsi="宋体" w:eastAsia="宋体" w:cs="宋体"/>
                <w:spacing w:val="-2"/>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2"/>
                <w:sz w:val="18"/>
                <w:szCs w:val="18"/>
              </w:rPr>
              <w:t>、404 cm</w:t>
            </w:r>
            <w:r>
              <w:rPr>
                <w:rFonts w:hint="eastAsia" w:ascii="宋体" w:hAnsi="宋体" w:eastAsia="宋体" w:cs="宋体"/>
                <w:spacing w:val="-2"/>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2"/>
                <w:sz w:val="18"/>
                <w:szCs w:val="18"/>
              </w:rPr>
              <w:t>、46</w:t>
            </w:r>
            <w:r>
              <w:rPr>
                <w:rFonts w:hint="eastAsia" w:ascii="宋体" w:hAnsi="宋体" w:eastAsia="宋体" w:cs="宋体"/>
                <w:spacing w:val="-3"/>
                <w:sz w:val="18"/>
                <w:szCs w:val="18"/>
              </w:rPr>
              <w:t>5</w:t>
            </w:r>
            <w:r>
              <w:rPr>
                <w:rFonts w:hint="eastAsia" w:ascii="宋体" w:hAnsi="宋体" w:eastAsia="宋体" w:cs="宋体"/>
                <w:spacing w:val="10"/>
                <w:sz w:val="18"/>
                <w:szCs w:val="18"/>
              </w:rPr>
              <w:t xml:space="preserve"> </w:t>
            </w:r>
            <w:r>
              <w:rPr>
                <w:rFonts w:hint="eastAsia" w:ascii="宋体" w:hAnsi="宋体" w:eastAsia="宋体" w:cs="宋体"/>
                <w:spacing w:val="-3"/>
                <w:sz w:val="18"/>
                <w:szCs w:val="18"/>
              </w:rPr>
              <w:t>cm</w:t>
            </w:r>
            <w:r>
              <w:rPr>
                <w:rFonts w:hint="eastAsia" w:ascii="宋体" w:hAnsi="宋体" w:eastAsia="宋体" w:cs="宋体"/>
                <w:spacing w:val="-3"/>
                <w:position w:val="5"/>
                <w:sz w:val="18"/>
                <w:szCs w:val="18"/>
              </w:rPr>
              <w:t xml:space="preserve">-1 </w:t>
            </w:r>
            <w:r>
              <w:rPr>
                <w:rFonts w:hint="eastAsia" w:ascii="宋体" w:hAnsi="宋体" w:eastAsia="宋体" w:cs="宋体"/>
                <w:spacing w:val="-3"/>
                <w:sz w:val="18"/>
                <w:szCs w:val="18"/>
              </w:rPr>
              <w:t>。其中，208 cm</w:t>
            </w:r>
            <w:r>
              <w:rPr>
                <w:rFonts w:hint="eastAsia" w:ascii="宋体" w:hAnsi="宋体" w:eastAsia="宋体" w:cs="宋体"/>
                <w:spacing w:val="-3"/>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3"/>
                <w:sz w:val="18"/>
                <w:szCs w:val="18"/>
              </w:rPr>
              <w:t>、</w:t>
            </w:r>
            <w:r>
              <w:rPr>
                <w:rFonts w:hint="eastAsia" w:ascii="宋体" w:hAnsi="宋体" w:eastAsia="宋体" w:cs="宋体"/>
                <w:sz w:val="18"/>
                <w:szCs w:val="18"/>
              </w:rPr>
              <w:t xml:space="preserve"> </w:t>
            </w:r>
            <w:r>
              <w:rPr>
                <w:rFonts w:hint="eastAsia" w:ascii="宋体" w:hAnsi="宋体" w:eastAsia="宋体" w:cs="宋体"/>
                <w:spacing w:val="-1"/>
                <w:sz w:val="18"/>
                <w:szCs w:val="18"/>
              </w:rPr>
              <w:t>266 cm</w:t>
            </w:r>
            <w:r>
              <w:rPr>
                <w:rFonts w:hint="eastAsia" w:ascii="宋体" w:hAnsi="宋体" w:eastAsia="宋体" w:cs="宋体"/>
                <w:spacing w:val="-1"/>
                <w:position w:val="5"/>
                <w:sz w:val="18"/>
                <w:szCs w:val="18"/>
              </w:rPr>
              <w:t>-1</w:t>
            </w:r>
            <w:r>
              <w:rPr>
                <w:rFonts w:hint="eastAsia" w:ascii="宋体" w:hAnsi="宋体" w:eastAsia="宋体" w:cs="宋体"/>
                <w:spacing w:val="-1"/>
                <w:sz w:val="18"/>
                <w:szCs w:val="18"/>
              </w:rPr>
              <w:t>、357 cm</w:t>
            </w:r>
            <w:r>
              <w:rPr>
                <w:rFonts w:hint="eastAsia" w:ascii="宋体" w:hAnsi="宋体" w:eastAsia="宋体" w:cs="宋体"/>
                <w:spacing w:val="-1"/>
                <w:position w:val="5"/>
                <w:sz w:val="18"/>
                <w:szCs w:val="18"/>
              </w:rPr>
              <w:t>-1</w:t>
            </w:r>
            <w:r>
              <w:rPr>
                <w:rFonts w:hint="eastAsia" w:ascii="宋体" w:hAnsi="宋体" w:eastAsia="宋体" w:cs="宋体"/>
                <w:spacing w:val="-1"/>
                <w:sz w:val="18"/>
                <w:szCs w:val="18"/>
              </w:rPr>
              <w:t>处的拉曼位移与[SiO</w:t>
            </w:r>
            <w:r>
              <w:rPr>
                <w:rFonts w:hint="eastAsia" w:ascii="宋体" w:hAnsi="宋体" w:eastAsia="宋体" w:cs="宋体"/>
                <w:spacing w:val="-1"/>
                <w:position w:val="-2"/>
                <w:sz w:val="18"/>
                <w:szCs w:val="18"/>
              </w:rPr>
              <w:t>4</w:t>
            </w:r>
            <w:r>
              <w:rPr>
                <w:rFonts w:hint="eastAsia" w:ascii="宋体" w:hAnsi="宋体" w:eastAsia="宋体" w:cs="宋体"/>
                <w:spacing w:val="-1"/>
                <w:sz w:val="18"/>
                <w:szCs w:val="18"/>
              </w:rPr>
              <w:t>]的旋转振动</w:t>
            </w:r>
            <w:r>
              <w:rPr>
                <w:rFonts w:hint="eastAsia" w:ascii="宋体" w:hAnsi="宋体" w:eastAsia="宋体" w:cs="宋体"/>
                <w:spacing w:val="-2"/>
                <w:sz w:val="18"/>
                <w:szCs w:val="18"/>
              </w:rPr>
              <w:t>或平移振动有关；696 cm</w:t>
            </w:r>
            <w:r>
              <w:rPr>
                <w:rFonts w:hint="eastAsia" w:ascii="宋体" w:hAnsi="宋体" w:eastAsia="宋体" w:cs="宋体"/>
                <w:spacing w:val="-2"/>
                <w:position w:val="5"/>
                <w:sz w:val="18"/>
                <w:szCs w:val="18"/>
              </w:rPr>
              <w:t>-1</w:t>
            </w:r>
            <w:r>
              <w:rPr>
                <w:rFonts w:hint="eastAsia" w:ascii="宋体" w:hAnsi="宋体" w:eastAsia="宋体" w:cs="宋体"/>
                <w:spacing w:val="-2"/>
                <w:sz w:val="18"/>
                <w:szCs w:val="18"/>
              </w:rPr>
              <w:t>、795 cm</w:t>
            </w:r>
            <w:r>
              <w:rPr>
                <w:rFonts w:hint="eastAsia" w:ascii="宋体" w:hAnsi="宋体" w:eastAsia="宋体" w:cs="宋体"/>
                <w:spacing w:val="-2"/>
                <w:position w:val="5"/>
                <w:sz w:val="18"/>
                <w:szCs w:val="18"/>
              </w:rPr>
              <w:t>-1</w:t>
            </w:r>
            <w:r>
              <w:rPr>
                <w:rFonts w:hint="eastAsia" w:ascii="宋体" w:hAnsi="宋体" w:eastAsia="宋体" w:cs="宋体"/>
                <w:spacing w:val="-2"/>
                <w:sz w:val="18"/>
                <w:szCs w:val="18"/>
              </w:rPr>
              <w:t>处的拉曼位移为Si-O-Si的对称伸缩振动峰，1 062 cm</w:t>
            </w:r>
            <w:r>
              <w:rPr>
                <w:rFonts w:hint="eastAsia" w:ascii="宋体" w:hAnsi="宋体" w:eastAsia="宋体" w:cs="宋体"/>
                <w:spacing w:val="-2"/>
                <w:position w:val="5"/>
                <w:sz w:val="18"/>
                <w:szCs w:val="18"/>
              </w:rPr>
              <w:t>-1</w:t>
            </w:r>
            <w:r>
              <w:rPr>
                <w:rFonts w:hint="eastAsia" w:ascii="宋体" w:hAnsi="宋体" w:eastAsia="宋体" w:cs="宋体"/>
                <w:spacing w:val="-12"/>
                <w:position w:val="5"/>
                <w:sz w:val="18"/>
                <w:szCs w:val="18"/>
              </w:rPr>
              <w:t xml:space="preserve"> </w:t>
            </w:r>
            <w:r>
              <w:rPr>
                <w:rFonts w:hint="eastAsia" w:ascii="宋体" w:hAnsi="宋体" w:eastAsia="宋体" w:cs="宋体"/>
                <w:spacing w:val="-2"/>
                <w:sz w:val="18"/>
                <w:szCs w:val="18"/>
              </w:rPr>
              <w:t>、1</w:t>
            </w:r>
            <w:r>
              <w:rPr>
                <w:rFonts w:hint="eastAsia" w:ascii="宋体" w:hAnsi="宋体" w:eastAsia="宋体" w:cs="宋体"/>
                <w:spacing w:val="27"/>
                <w:w w:val="101"/>
                <w:sz w:val="18"/>
                <w:szCs w:val="18"/>
              </w:rPr>
              <w:t xml:space="preserve"> </w:t>
            </w:r>
            <w:r>
              <w:rPr>
                <w:rFonts w:hint="eastAsia" w:ascii="宋体" w:hAnsi="宋体" w:eastAsia="宋体" w:cs="宋体"/>
                <w:spacing w:val="-2"/>
                <w:sz w:val="18"/>
                <w:szCs w:val="18"/>
              </w:rPr>
              <w:t>156 cm</w:t>
            </w:r>
            <w:r>
              <w:rPr>
                <w:rFonts w:hint="eastAsia" w:ascii="宋体" w:hAnsi="宋体" w:eastAsia="宋体" w:cs="宋体"/>
                <w:spacing w:val="-2"/>
                <w:position w:val="5"/>
                <w:sz w:val="18"/>
                <w:szCs w:val="18"/>
              </w:rPr>
              <w:t>-1</w:t>
            </w:r>
            <w:r>
              <w:rPr>
                <w:rFonts w:hint="eastAsia" w:ascii="宋体" w:hAnsi="宋体" w:eastAsia="宋体" w:cs="宋体"/>
                <w:spacing w:val="-2"/>
                <w:sz w:val="18"/>
                <w:szCs w:val="18"/>
              </w:rPr>
              <w:t>左右</w:t>
            </w:r>
            <w:r>
              <w:rPr>
                <w:rFonts w:hint="eastAsia" w:ascii="宋体" w:hAnsi="宋体" w:eastAsia="宋体" w:cs="宋体"/>
                <w:spacing w:val="-3"/>
                <w:sz w:val="18"/>
                <w:szCs w:val="18"/>
              </w:rPr>
              <w:t>为Si-O-Si的非对称伸缩振动峰。密玉的经</w:t>
            </w:r>
            <w:bookmarkStart w:id="8" w:name="bookmark12"/>
            <w:bookmarkEnd w:id="8"/>
            <w:r>
              <w:rPr>
                <w:rFonts w:hint="eastAsia" w:ascii="宋体" w:hAnsi="宋体" w:eastAsia="宋体" w:cs="宋体"/>
                <w:spacing w:val="-1"/>
                <w:sz w:val="18"/>
                <w:szCs w:val="18"/>
              </w:rPr>
              <w:t>典拉曼光谱见附录A中A.2</w:t>
            </w:r>
          </w:p>
        </w:tc>
        <w:tc>
          <w:tcPr>
            <w:tcW w:w="2537" w:type="dxa"/>
          </w:tcPr>
          <w:p w14:paraId="3DE3F272">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kern w:val="0"/>
                <w:sz w:val="18"/>
                <w:szCs w:val="18"/>
                <w:vertAlign w:val="baseline"/>
                <w:lang w:eastAsia="zh-CN"/>
              </w:rPr>
            </w:pPr>
            <w:r>
              <w:rPr>
                <w:rFonts w:hint="eastAsia" w:ascii="宋体" w:hAnsi="宋体" w:cs="宋体"/>
                <w:kern w:val="0"/>
                <w:sz w:val="18"/>
                <w:szCs w:val="18"/>
                <w:vertAlign w:val="baseline"/>
                <w:lang w:eastAsia="zh-CN"/>
              </w:rPr>
              <w:t>—</w:t>
            </w:r>
          </w:p>
        </w:tc>
        <w:tc>
          <w:tcPr>
            <w:tcW w:w="1992" w:type="dxa"/>
          </w:tcPr>
          <w:p w14:paraId="3105C5BB">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lang w:val="en-US" w:eastAsia="zh-CN"/>
              </w:rPr>
            </w:pPr>
            <w:r>
              <w:rPr>
                <w:rFonts w:hint="eastAsia"/>
                <w:kern w:val="0"/>
                <w:sz w:val="18"/>
                <w:szCs w:val="18"/>
                <w:vertAlign w:val="baseline"/>
                <w:lang w:val="en-US" w:eastAsia="zh-CN"/>
              </w:rPr>
              <w:t>本标准首次在特征中增加了密玉</w:t>
            </w:r>
            <w:r>
              <w:rPr>
                <w:rFonts w:hint="eastAsia"/>
                <w:kern w:val="0"/>
                <w:sz w:val="18"/>
                <w:szCs w:val="18"/>
                <w:vertAlign w:val="baseline"/>
                <w:lang w:val="en-US" w:eastAsia="zh-CN"/>
              </w:rPr>
              <w:t>拉曼光谱内容，进一步完善了密玉特征内容，为开展密玉鉴定提供了更多依据</w:t>
            </w:r>
          </w:p>
        </w:tc>
      </w:tr>
      <w:tr w14:paraId="028F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2" w:hRule="atLeast"/>
        </w:trPr>
        <w:tc>
          <w:tcPr>
            <w:tcW w:w="747" w:type="dxa"/>
          </w:tcPr>
          <w:p w14:paraId="455AB4D2">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kern w:val="0"/>
                <w:sz w:val="18"/>
                <w:szCs w:val="18"/>
                <w:vertAlign w:val="baseline"/>
              </w:rPr>
            </w:pPr>
          </w:p>
        </w:tc>
        <w:tc>
          <w:tcPr>
            <w:tcW w:w="997" w:type="dxa"/>
          </w:tcPr>
          <w:p w14:paraId="28F460D0">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鉴定项目</w:t>
            </w:r>
          </w:p>
        </w:tc>
        <w:tc>
          <w:tcPr>
            <w:tcW w:w="2536" w:type="dxa"/>
          </w:tcPr>
          <w:p w14:paraId="5F9312CD">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spacing w:val="-3"/>
                <w:sz w:val="18"/>
                <w:szCs w:val="18"/>
              </w:rPr>
            </w:pPr>
            <w:r>
              <w:rPr>
                <w:rFonts w:hint="eastAsia" w:ascii="宋体" w:hAnsi="宋体" w:eastAsia="宋体" w:cs="宋体"/>
                <w:spacing w:val="-3"/>
                <w:sz w:val="18"/>
                <w:szCs w:val="18"/>
              </w:rPr>
              <w:t>鉴定项目及选择原则依据GB/T 16553－2017中4.2执行</w:t>
            </w:r>
          </w:p>
        </w:tc>
        <w:tc>
          <w:tcPr>
            <w:tcW w:w="2537" w:type="dxa"/>
          </w:tcPr>
          <w:p w14:paraId="629C5996">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spacing w:val="-3"/>
                <w:sz w:val="18"/>
                <w:szCs w:val="18"/>
              </w:rPr>
            </w:pPr>
            <w:r>
              <w:rPr>
                <w:rFonts w:hint="eastAsia" w:ascii="宋体" w:hAnsi="宋体" w:eastAsia="宋体" w:cs="宋体"/>
                <w:spacing w:val="-3"/>
                <w:sz w:val="18"/>
                <w:szCs w:val="18"/>
              </w:rPr>
              <w:t>选择项目按GB/T 16553—2010 中4.3执行</w:t>
            </w:r>
          </w:p>
        </w:tc>
        <w:tc>
          <w:tcPr>
            <w:tcW w:w="1992" w:type="dxa"/>
          </w:tcPr>
          <w:p w14:paraId="4A150D42">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ascii="宋体" w:hAnsi="宋体" w:cs="宋体"/>
                <w:spacing w:val="-3"/>
                <w:sz w:val="18"/>
                <w:szCs w:val="18"/>
                <w:lang w:val="en-US" w:eastAsia="zh-CN"/>
              </w:rPr>
              <w:t>本标准使用现行有效的</w:t>
            </w:r>
            <w:r>
              <w:rPr>
                <w:rFonts w:hint="eastAsia" w:ascii="宋体" w:hAnsi="宋体" w:eastAsia="宋体" w:cs="宋体"/>
                <w:spacing w:val="-3"/>
                <w:sz w:val="18"/>
                <w:szCs w:val="18"/>
              </w:rPr>
              <w:t>GB/T 16553</w:t>
            </w:r>
            <w:r>
              <w:rPr>
                <w:rFonts w:hint="eastAsia" w:ascii="宋体" w:hAnsi="宋体" w:cs="宋体"/>
                <w:spacing w:val="-3"/>
                <w:sz w:val="18"/>
                <w:szCs w:val="18"/>
                <w:lang w:val="en-US" w:eastAsia="zh-CN"/>
              </w:rPr>
              <w:t>-2017，代替</w:t>
            </w:r>
            <w:r>
              <w:rPr>
                <w:rFonts w:hint="eastAsia" w:ascii="宋体" w:hAnsi="宋体" w:eastAsia="宋体" w:cs="宋体"/>
                <w:spacing w:val="-3"/>
                <w:sz w:val="18"/>
                <w:szCs w:val="18"/>
              </w:rPr>
              <w:t>GB/T 16553—2010</w:t>
            </w:r>
          </w:p>
        </w:tc>
      </w:tr>
      <w:tr w14:paraId="3C52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5858888C">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kern w:val="0"/>
                <w:sz w:val="18"/>
                <w:szCs w:val="18"/>
                <w:vertAlign w:val="baseline"/>
              </w:rPr>
            </w:pPr>
          </w:p>
        </w:tc>
        <w:tc>
          <w:tcPr>
            <w:tcW w:w="997" w:type="dxa"/>
          </w:tcPr>
          <w:p w14:paraId="348703CE">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鉴定方法</w:t>
            </w:r>
          </w:p>
        </w:tc>
        <w:tc>
          <w:tcPr>
            <w:tcW w:w="2536" w:type="dxa"/>
          </w:tcPr>
          <w:p w14:paraId="3C5778F1">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spacing w:val="-3"/>
                <w:sz w:val="18"/>
                <w:szCs w:val="18"/>
              </w:rPr>
            </w:pPr>
            <w:r>
              <w:rPr>
                <w:rFonts w:hint="eastAsia" w:ascii="宋体" w:hAnsi="宋体" w:eastAsia="宋体" w:cs="宋体"/>
                <w:spacing w:val="-3"/>
                <w:sz w:val="18"/>
                <w:szCs w:val="18"/>
              </w:rPr>
              <w:t>鉴定方法依据GB/T 16553－2017中4.1执行</w:t>
            </w:r>
          </w:p>
        </w:tc>
        <w:tc>
          <w:tcPr>
            <w:tcW w:w="2537" w:type="dxa"/>
          </w:tcPr>
          <w:p w14:paraId="13D12CEA">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spacing w:val="-3"/>
                <w:sz w:val="18"/>
                <w:szCs w:val="18"/>
              </w:rPr>
            </w:pPr>
            <w:r>
              <w:rPr>
                <w:rFonts w:hint="eastAsia" w:ascii="宋体" w:hAnsi="宋体" w:eastAsia="宋体" w:cs="宋体"/>
                <w:spacing w:val="-3"/>
                <w:sz w:val="18"/>
                <w:szCs w:val="18"/>
              </w:rPr>
              <w:t>GB/T 16553—2010中4.1、4.2 执行</w:t>
            </w:r>
          </w:p>
        </w:tc>
        <w:tc>
          <w:tcPr>
            <w:tcW w:w="1992" w:type="dxa"/>
          </w:tcPr>
          <w:p w14:paraId="423CB9AF">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rPr>
            </w:pPr>
            <w:r>
              <w:rPr>
                <w:rFonts w:hint="eastAsia" w:ascii="宋体" w:hAnsi="宋体" w:cs="宋体"/>
                <w:spacing w:val="-3"/>
                <w:sz w:val="18"/>
                <w:szCs w:val="18"/>
                <w:lang w:val="en-US" w:eastAsia="zh-CN"/>
              </w:rPr>
              <w:t>本标准使用现行有效的</w:t>
            </w:r>
            <w:r>
              <w:rPr>
                <w:rFonts w:hint="eastAsia" w:ascii="宋体" w:hAnsi="宋体" w:eastAsia="宋体" w:cs="宋体"/>
                <w:spacing w:val="-3"/>
                <w:sz w:val="18"/>
                <w:szCs w:val="18"/>
              </w:rPr>
              <w:t>GB/T 16553</w:t>
            </w:r>
            <w:r>
              <w:rPr>
                <w:rFonts w:hint="eastAsia" w:ascii="宋体" w:hAnsi="宋体" w:cs="宋体"/>
                <w:spacing w:val="-3"/>
                <w:sz w:val="18"/>
                <w:szCs w:val="18"/>
                <w:lang w:val="en-US" w:eastAsia="zh-CN"/>
              </w:rPr>
              <w:t>-2017，代替</w:t>
            </w:r>
            <w:r>
              <w:rPr>
                <w:rFonts w:hint="eastAsia" w:ascii="宋体" w:hAnsi="宋体" w:eastAsia="宋体" w:cs="宋体"/>
                <w:spacing w:val="-3"/>
                <w:sz w:val="18"/>
                <w:szCs w:val="18"/>
              </w:rPr>
              <w:t>GB/T 16553—2010</w:t>
            </w:r>
            <w:r>
              <w:rPr>
                <w:rFonts w:hint="eastAsia" w:ascii="宋体" w:hAnsi="宋体" w:cs="宋体"/>
                <w:spacing w:val="-3"/>
                <w:sz w:val="18"/>
                <w:szCs w:val="18"/>
                <w:lang w:val="en-US" w:eastAsia="zh-CN"/>
              </w:rPr>
              <w:t>版</w:t>
            </w:r>
          </w:p>
        </w:tc>
      </w:tr>
      <w:tr w14:paraId="196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11" w:hRule="atLeast"/>
        </w:trPr>
        <w:tc>
          <w:tcPr>
            <w:tcW w:w="747" w:type="dxa"/>
          </w:tcPr>
          <w:p w14:paraId="16D94F85">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kern w:val="0"/>
                <w:sz w:val="18"/>
                <w:szCs w:val="18"/>
                <w:vertAlign w:val="baseline"/>
              </w:rPr>
            </w:pPr>
          </w:p>
        </w:tc>
        <w:tc>
          <w:tcPr>
            <w:tcW w:w="997" w:type="dxa"/>
          </w:tcPr>
          <w:p w14:paraId="38E42383">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lang w:val="en-US" w:eastAsia="zh-CN"/>
              </w:rPr>
            </w:pPr>
            <w:r>
              <w:rPr>
                <w:rFonts w:hint="eastAsia"/>
                <w:kern w:val="0"/>
                <w:sz w:val="18"/>
                <w:szCs w:val="18"/>
                <w:vertAlign w:val="baseline"/>
                <w:lang w:val="en-US" w:eastAsia="zh-CN"/>
              </w:rPr>
              <w:t>相似玉石品种鉴定</w:t>
            </w:r>
          </w:p>
        </w:tc>
        <w:tc>
          <w:tcPr>
            <w:tcW w:w="2536" w:type="dxa"/>
          </w:tcPr>
          <w:p w14:paraId="4EDCC544">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lang w:val="en-US" w:eastAsia="zh-CN"/>
              </w:rPr>
            </w:pPr>
            <w:r>
              <w:rPr>
                <w:rFonts w:hint="eastAsia"/>
                <w:kern w:val="0"/>
                <w:sz w:val="18"/>
                <w:szCs w:val="18"/>
                <w:vertAlign w:val="baseline"/>
                <w:lang w:val="en-US" w:eastAsia="zh-CN"/>
              </w:rPr>
              <w:t>参照附录B进行鉴定</w:t>
            </w:r>
          </w:p>
        </w:tc>
        <w:tc>
          <w:tcPr>
            <w:tcW w:w="2537" w:type="dxa"/>
          </w:tcPr>
          <w:p w14:paraId="7EBAD497">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lang w:val="en-US" w:eastAsia="zh-CN"/>
              </w:rPr>
            </w:pPr>
            <w:r>
              <w:rPr>
                <w:rFonts w:hint="eastAsia"/>
                <w:kern w:val="0"/>
                <w:sz w:val="18"/>
                <w:szCs w:val="18"/>
                <w:vertAlign w:val="baseline"/>
                <w:lang w:val="en-US" w:eastAsia="zh-CN"/>
              </w:rPr>
              <w:t>—</w:t>
            </w:r>
          </w:p>
        </w:tc>
        <w:tc>
          <w:tcPr>
            <w:tcW w:w="1992" w:type="dxa"/>
          </w:tcPr>
          <w:p w14:paraId="179819CA">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lang w:val="en-US" w:eastAsia="zh-CN"/>
              </w:rPr>
            </w:pPr>
            <w:r>
              <w:rPr>
                <w:rFonts w:hint="eastAsia"/>
                <w:kern w:val="0"/>
                <w:sz w:val="18"/>
                <w:szCs w:val="18"/>
                <w:vertAlign w:val="baseline"/>
                <w:lang w:val="en-US" w:eastAsia="zh-CN"/>
              </w:rPr>
              <w:t>附录B的密玉及其相似玉石微量元素特征内容，为后续开展密玉及相似玉石品种鉴定，真伪密玉鉴别，提供技术参考</w:t>
            </w:r>
          </w:p>
        </w:tc>
      </w:tr>
      <w:tr w14:paraId="5596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7" w:type="dxa"/>
          </w:tcPr>
          <w:p w14:paraId="64FA28FB">
            <w:pPr>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425" w:leftChars="0" w:hanging="425" w:firstLineChars="0"/>
              <w:jc w:val="center"/>
              <w:textAlignment w:val="auto"/>
              <w:rPr>
                <w:rFonts w:hint="eastAsia"/>
                <w:kern w:val="0"/>
                <w:sz w:val="18"/>
                <w:szCs w:val="18"/>
                <w:vertAlign w:val="baseline"/>
              </w:rPr>
            </w:pPr>
          </w:p>
        </w:tc>
        <w:tc>
          <w:tcPr>
            <w:tcW w:w="997" w:type="dxa"/>
          </w:tcPr>
          <w:p w14:paraId="75847CA9">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eastAsia="宋体"/>
                <w:kern w:val="0"/>
                <w:sz w:val="18"/>
                <w:szCs w:val="18"/>
                <w:vertAlign w:val="baseline"/>
                <w:lang w:val="en-US" w:eastAsia="zh-CN"/>
              </w:rPr>
            </w:pPr>
            <w:r>
              <w:rPr>
                <w:rFonts w:hint="eastAsia"/>
                <w:kern w:val="0"/>
                <w:sz w:val="18"/>
                <w:szCs w:val="18"/>
                <w:vertAlign w:val="baseline"/>
                <w:lang w:val="en-US" w:eastAsia="zh-CN"/>
              </w:rPr>
              <w:t>分类</w:t>
            </w:r>
          </w:p>
        </w:tc>
        <w:tc>
          <w:tcPr>
            <w:tcW w:w="2536" w:type="dxa"/>
          </w:tcPr>
          <w:p w14:paraId="24778A00">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绿密玉、白密玉、红密玉、黄密玉、黑密玉、多色密玉</w:t>
            </w:r>
          </w:p>
        </w:tc>
        <w:tc>
          <w:tcPr>
            <w:tcW w:w="2537" w:type="dxa"/>
          </w:tcPr>
          <w:p w14:paraId="77854D65">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kern w:val="0"/>
                <w:sz w:val="18"/>
                <w:szCs w:val="18"/>
                <w:vertAlign w:val="baseline"/>
              </w:rPr>
            </w:pPr>
            <w:r>
              <w:rPr>
                <w:rFonts w:hint="eastAsia"/>
                <w:kern w:val="0"/>
                <w:sz w:val="18"/>
                <w:szCs w:val="18"/>
                <w:vertAlign w:val="baseline"/>
                <w:lang w:val="en-US" w:eastAsia="zh-CN"/>
              </w:rPr>
              <w:t>绿密玉、白密玉、红密玉、黄密玉、紫密玉、青密玉、黑密玉、多色密玉</w:t>
            </w:r>
          </w:p>
        </w:tc>
        <w:tc>
          <w:tcPr>
            <w:tcW w:w="1992" w:type="dxa"/>
          </w:tcPr>
          <w:p w14:paraId="101DD80A">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eastAsia="宋体"/>
                <w:kern w:val="0"/>
                <w:sz w:val="18"/>
                <w:szCs w:val="18"/>
                <w:vertAlign w:val="baseline"/>
                <w:lang w:val="en-US" w:eastAsia="zh-CN"/>
              </w:rPr>
            </w:pPr>
            <w:r>
              <w:rPr>
                <w:rFonts w:hint="eastAsia"/>
                <w:kern w:val="0"/>
                <w:sz w:val="18"/>
                <w:szCs w:val="18"/>
                <w:vertAlign w:val="baseline"/>
                <w:lang w:val="en-US" w:eastAsia="zh-CN"/>
              </w:rPr>
              <w:t>基于已有的验证研究</w:t>
            </w:r>
          </w:p>
        </w:tc>
      </w:tr>
      <w:bookmarkEnd w:id="6"/>
    </w:tbl>
    <w:p w14:paraId="7CFF2238">
      <w:pPr>
        <w:pStyle w:val="11"/>
        <w:spacing w:line="440" w:lineRule="exact"/>
        <w:ind w:firstLine="0"/>
        <w:outlineLvl w:val="0"/>
        <w:rPr>
          <w:rFonts w:ascii="Times New Roman"/>
          <w:b/>
          <w:kern w:val="0"/>
          <w:sz w:val="24"/>
          <w:szCs w:val="24"/>
        </w:rPr>
      </w:pPr>
      <w:bookmarkStart w:id="9" w:name="_Toc132710495"/>
      <w:r>
        <w:rPr>
          <w:rFonts w:hint="eastAsia" w:ascii="Times New Roman" w:eastAsia="宋体"/>
          <w:b/>
          <w:kern w:val="0"/>
          <w:sz w:val="24"/>
          <w:szCs w:val="24"/>
        </w:rPr>
        <w:t>4</w:t>
      </w:r>
      <w:r>
        <w:rPr>
          <w:rFonts w:ascii="Times New Roman" w:eastAsia="宋体"/>
          <w:b/>
          <w:kern w:val="0"/>
          <w:sz w:val="24"/>
          <w:szCs w:val="24"/>
        </w:rPr>
        <w:t xml:space="preserve"> 标准的主要内容及说明</w:t>
      </w:r>
      <w:bookmarkEnd w:id="9"/>
    </w:p>
    <w:p w14:paraId="5401AEB0">
      <w:pPr>
        <w:pStyle w:val="3"/>
        <w:spacing w:before="120" w:after="0" w:line="360" w:lineRule="auto"/>
        <w:rPr>
          <w:rFonts w:hint="default" w:ascii="Times New Roman" w:hAnsi="Times New Roman" w:eastAsia="宋体"/>
          <w:color w:val="000000"/>
          <w:kern w:val="0"/>
          <w:sz w:val="24"/>
          <w:szCs w:val="24"/>
          <w:lang w:val="en-US" w:eastAsia="zh-CN"/>
        </w:rPr>
      </w:pPr>
      <w:bookmarkStart w:id="10" w:name="_Toc132710496"/>
      <w:r>
        <w:rPr>
          <w:rFonts w:hint="eastAsia" w:ascii="Times New Roman" w:hAnsi="Times New Roman"/>
          <w:color w:val="000000"/>
          <w:kern w:val="0"/>
          <w:sz w:val="24"/>
          <w:szCs w:val="24"/>
        </w:rPr>
        <w:t>4.1</w:t>
      </w:r>
      <w:r>
        <w:rPr>
          <w:rFonts w:hint="eastAsia" w:ascii="Times New Roman" w:hAnsi="Times New Roman"/>
          <w:color w:val="000000"/>
          <w:kern w:val="0"/>
          <w:sz w:val="24"/>
          <w:szCs w:val="24"/>
          <w:lang w:val="en-US" w:eastAsia="zh-CN"/>
        </w:rPr>
        <w:t>术语和定义</w:t>
      </w:r>
    </w:p>
    <w:p w14:paraId="03038DFF">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本标准参照DB 41/T 972－2014《密玉》第3章术语和定义，界定了密玉、石斑（点） 、绺、裂、筋、质地的术语和定义。</w:t>
      </w:r>
    </w:p>
    <w:p w14:paraId="7C75F5D1">
      <w:pPr>
        <w:spacing w:line="440" w:lineRule="exact"/>
        <w:ind w:firstLine="480"/>
        <w:rPr>
          <w:rFonts w:hint="default" w:ascii="宋体" w:hAnsi="宋体" w:cs="宋体"/>
          <w:kern w:val="0"/>
          <w:sz w:val="24"/>
          <w:lang w:val="en-US" w:eastAsia="zh-CN"/>
        </w:rPr>
      </w:pPr>
      <w:r>
        <w:rPr>
          <w:rFonts w:hint="eastAsia" w:ascii="宋体" w:hAnsi="宋体" w:cs="宋体"/>
          <w:kern w:val="0"/>
          <w:sz w:val="24"/>
          <w:lang w:val="en-US" w:eastAsia="zh-CN"/>
        </w:rPr>
        <w:t>相较地方标准，本标准按照GB/T 1.1－2020《标准化工作导则  第 1 部分：标准化文件的结构和起草规则》的要求，补充了术语的英文，详见文本。</w:t>
      </w:r>
    </w:p>
    <w:p w14:paraId="5B7F35A3">
      <w:pPr>
        <w:pStyle w:val="3"/>
        <w:spacing w:before="120" w:after="0" w:line="360" w:lineRule="auto"/>
        <w:rPr>
          <w:rFonts w:hint="eastAsia" w:ascii="Times New Roman" w:hAnsi="Times New Roman" w:eastAsia="宋体"/>
          <w:color w:val="000000"/>
          <w:kern w:val="0"/>
          <w:sz w:val="24"/>
          <w:szCs w:val="24"/>
          <w:lang w:eastAsia="zh-CN"/>
        </w:rPr>
      </w:pPr>
      <w:r>
        <w:rPr>
          <w:rFonts w:hint="eastAsia" w:ascii="Times New Roman" w:hAnsi="Times New Roman"/>
          <w:color w:val="000000"/>
          <w:kern w:val="0"/>
          <w:sz w:val="24"/>
          <w:szCs w:val="24"/>
        </w:rPr>
        <w:t>4.1</w:t>
      </w:r>
      <w:bookmarkEnd w:id="10"/>
      <w:r>
        <w:rPr>
          <w:rFonts w:hint="eastAsia" w:ascii="Times New Roman" w:hAnsi="Times New Roman"/>
          <w:color w:val="000000"/>
          <w:kern w:val="0"/>
          <w:sz w:val="24"/>
          <w:szCs w:val="24"/>
          <w:lang w:val="en-US" w:eastAsia="zh-CN"/>
        </w:rPr>
        <w:t>特征</w:t>
      </w:r>
    </w:p>
    <w:p w14:paraId="752E961E">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本标准参照DB 41/T 972－2014《密玉》第4章特征，给出了密玉的矿物组成、化学组成、结晶状态、颜色、光泽、光性特征、硬度、密度、荧光观察、放大检查、查尔斯滤色镜、红外光谱和拉曼光谱的特征内容。</w:t>
      </w:r>
    </w:p>
    <w:p w14:paraId="05240B0F">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相较地方标准，本标准增加了密玉稀土元素特征内容。同时，相较地方标准本标准在红外光谱特征中补充了内容，增加了拉曼光谱内容，进一步补充完善了密玉特征内容，为开展密玉鉴别，提供技术参考。</w:t>
      </w:r>
    </w:p>
    <w:p w14:paraId="3A1EC3B4">
      <w:pPr>
        <w:pStyle w:val="3"/>
        <w:spacing w:before="120" w:after="0" w:line="360" w:lineRule="auto"/>
        <w:rPr>
          <w:rFonts w:hint="eastAsia" w:ascii="Times New Roman" w:hAnsi="Times New Roman" w:eastAsia="宋体"/>
          <w:color w:val="000000"/>
          <w:kern w:val="0"/>
          <w:sz w:val="24"/>
          <w:szCs w:val="24"/>
          <w:lang w:eastAsia="zh-CN"/>
        </w:rPr>
      </w:pPr>
      <w:bookmarkStart w:id="11" w:name="_Toc132710497"/>
      <w:r>
        <w:rPr>
          <w:rFonts w:hint="eastAsia" w:ascii="Times New Roman" w:hAnsi="Times New Roman"/>
          <w:color w:val="000000"/>
          <w:kern w:val="0"/>
          <w:sz w:val="24"/>
          <w:szCs w:val="24"/>
        </w:rPr>
        <w:t xml:space="preserve">4.2 </w:t>
      </w:r>
      <w:bookmarkEnd w:id="11"/>
      <w:r>
        <w:rPr>
          <w:rFonts w:hint="eastAsia" w:ascii="Times New Roman" w:hAnsi="Times New Roman"/>
          <w:color w:val="000000"/>
          <w:kern w:val="0"/>
          <w:sz w:val="24"/>
          <w:szCs w:val="24"/>
          <w:lang w:val="en-US" w:eastAsia="zh-CN"/>
        </w:rPr>
        <w:t>鉴定</w:t>
      </w:r>
    </w:p>
    <w:p w14:paraId="7D6A0DEE">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本标准参照DB 41/T 972－2014《密玉》第5章鉴定，规定了鉴定项目、相似玉石品种鉴定和鉴定证书的内容，描述了鉴定方法。</w:t>
      </w:r>
    </w:p>
    <w:p w14:paraId="42E22F54">
      <w:pPr>
        <w:spacing w:line="440" w:lineRule="exact"/>
        <w:ind w:firstLine="480"/>
        <w:rPr>
          <w:rFonts w:hint="default" w:ascii="宋体" w:hAnsi="宋体" w:cs="宋体"/>
          <w:kern w:val="0"/>
          <w:sz w:val="24"/>
          <w:lang w:val="en-US" w:eastAsia="zh-CN"/>
        </w:rPr>
      </w:pPr>
      <w:r>
        <w:rPr>
          <w:rFonts w:hint="eastAsia" w:ascii="宋体" w:hAnsi="宋体" w:cs="宋体"/>
          <w:kern w:val="0"/>
          <w:sz w:val="24"/>
          <w:lang w:val="en-US" w:eastAsia="zh-CN"/>
        </w:rPr>
        <w:t>相较地方标准，本标准增加了相似玉石品种鉴定（附录B的密玉及其相似玉石微量元素特征内容），为后续开展密玉及相似玉石品种鉴定，真伪密玉鉴别，提供技术参考</w:t>
      </w:r>
      <w:r>
        <w:rPr>
          <w:rFonts w:hint="eastAsia" w:ascii="宋体" w:hAnsi="宋体" w:cs="宋体"/>
          <w:kern w:val="0"/>
          <w:sz w:val="24"/>
          <w:lang w:val="en-US" w:eastAsia="zh-CN"/>
        </w:rPr>
        <w:t>。同时在鉴定项目和鉴定方法上使用现行有效的GB/T 16553-2017《珠宝玉石  鉴定》，代替已废止的GB/T 16553—2010《珠宝玉石  鉴定》。</w:t>
      </w:r>
    </w:p>
    <w:p w14:paraId="1DC7F4AD">
      <w:pPr>
        <w:pStyle w:val="3"/>
        <w:spacing w:before="120" w:after="0" w:line="360" w:lineRule="auto"/>
        <w:rPr>
          <w:rFonts w:hint="eastAsia" w:ascii="Times New Roman" w:hAnsi="Times New Roman"/>
          <w:color w:val="000000"/>
          <w:kern w:val="0"/>
          <w:sz w:val="24"/>
          <w:szCs w:val="24"/>
          <w:lang w:val="en-US" w:eastAsia="zh-CN"/>
        </w:rPr>
      </w:pPr>
      <w:bookmarkStart w:id="12" w:name="_Toc132710498"/>
      <w:r>
        <w:rPr>
          <w:rFonts w:hint="eastAsia" w:ascii="Times New Roman" w:hAnsi="Times New Roman"/>
          <w:color w:val="000000"/>
          <w:kern w:val="0"/>
          <w:sz w:val="24"/>
          <w:szCs w:val="24"/>
        </w:rPr>
        <w:t xml:space="preserve">4.3 </w:t>
      </w:r>
      <w:bookmarkEnd w:id="12"/>
      <w:r>
        <w:rPr>
          <w:rFonts w:hint="eastAsia" w:ascii="Times New Roman" w:hAnsi="Times New Roman"/>
          <w:color w:val="000000"/>
          <w:kern w:val="0"/>
          <w:sz w:val="24"/>
          <w:szCs w:val="24"/>
          <w:lang w:val="en-US" w:eastAsia="zh-CN"/>
        </w:rPr>
        <w:t>分类与命名</w:t>
      </w:r>
    </w:p>
    <w:p w14:paraId="43576F58">
      <w:pPr>
        <w:spacing w:line="440" w:lineRule="exact"/>
        <w:ind w:firstLine="480"/>
        <w:rPr>
          <w:rFonts w:hint="default" w:ascii="宋体" w:hAnsi="宋体" w:cs="宋体"/>
          <w:kern w:val="0"/>
          <w:sz w:val="24"/>
          <w:lang w:val="en-US" w:eastAsia="zh-CN"/>
        </w:rPr>
      </w:pPr>
      <w:r>
        <w:rPr>
          <w:rFonts w:hint="eastAsia" w:ascii="宋体" w:hAnsi="宋体" w:cs="宋体"/>
          <w:kern w:val="0"/>
          <w:sz w:val="24"/>
          <w:lang w:val="en-US" w:eastAsia="zh-CN"/>
        </w:rPr>
        <w:t>本标准参照DB 41/T 972－2014《密玉》第6章命名与分类，确立了密玉的分类原则，规定了具体的分类及命名方式。</w:t>
      </w:r>
    </w:p>
    <w:p w14:paraId="0CB785FA">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其中，依据已有的验证研究，依据颜色，将密玉分为：</w:t>
      </w:r>
    </w:p>
    <w:p w14:paraId="04E57C41">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——绿密玉：以绿色为主色调的密玉，依颜色饱和度不同，分为深绿密玉、中绿密玉、浅绿密玉3个品种。</w:t>
      </w:r>
    </w:p>
    <w:p w14:paraId="059B6DA7">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——白密玉：以白色为主色调的密玉。</w:t>
      </w:r>
    </w:p>
    <w:p w14:paraId="5CF1F345">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——红密玉：以红色为主色调的密玉，依颜色饱和度不同，分为深红密玉、浅红密玉2个品种。</w:t>
      </w:r>
    </w:p>
    <w:p w14:paraId="33A41CA0">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——黄密玉：以黄色为主色调的密玉。</w:t>
      </w:r>
    </w:p>
    <w:p w14:paraId="2984BB36">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——黑密玉：以黑色为主色调的密玉。</w:t>
      </w:r>
    </w:p>
    <w:p w14:paraId="49197EC5">
      <w:pPr>
        <w:spacing w:line="440" w:lineRule="exact"/>
        <w:ind w:firstLine="480"/>
        <w:rPr>
          <w:rFonts w:hint="eastAsia" w:ascii="宋体" w:hAnsi="宋体" w:cs="宋体"/>
          <w:kern w:val="0"/>
          <w:sz w:val="24"/>
          <w:lang w:val="en-US" w:eastAsia="zh-CN"/>
        </w:rPr>
      </w:pPr>
      <w:r>
        <w:rPr>
          <w:rFonts w:hint="eastAsia" w:ascii="宋体" w:hAnsi="宋体" w:cs="宋体"/>
          <w:kern w:val="0"/>
          <w:sz w:val="24"/>
          <w:lang w:val="en-US" w:eastAsia="zh-CN"/>
        </w:rPr>
        <w:t xml:space="preserve">密玉名称按照附录C中的名称命名。同时有两种或以上颜色分布，称为多色密玉，备注单个品种,如多色密玉（红密玉、白密玉） </w:t>
      </w:r>
      <w:bookmarkStart w:id="13" w:name="bookmark16"/>
      <w:bookmarkEnd w:id="13"/>
      <w:r>
        <w:rPr>
          <w:rFonts w:hint="eastAsia" w:ascii="宋体" w:hAnsi="宋体" w:cs="宋体"/>
          <w:kern w:val="0"/>
          <w:sz w:val="24"/>
          <w:lang w:val="en-US" w:eastAsia="zh-CN"/>
        </w:rPr>
        <w:t>,表明该件密玉产品有红密玉和白密玉两个品种。</w:t>
      </w:r>
    </w:p>
    <w:p w14:paraId="20AA7F44">
      <w:pPr>
        <w:spacing w:line="440" w:lineRule="exact"/>
        <w:jc w:val="center"/>
        <w:rPr>
          <w:rFonts w:hint="default" w:ascii="宋体" w:hAnsi="宋体" w:cs="宋体"/>
          <w:kern w:val="0"/>
          <w:sz w:val="24"/>
          <w:lang w:val="en-US" w:eastAsia="zh-CN"/>
        </w:rPr>
      </w:pPr>
      <w:r>
        <w:rPr>
          <w:rFonts w:hint="eastAsia" w:ascii="宋体" w:hAnsi="宋体" w:cs="宋体"/>
          <w:kern w:val="0"/>
          <w:sz w:val="24"/>
          <w:lang w:val="en-US" w:eastAsia="zh-CN"/>
        </w:rPr>
        <w:t>附录C中表C.1  密玉分类与命名</w:t>
      </w:r>
    </w:p>
    <w:p w14:paraId="4A46E1CC">
      <w:pPr>
        <w:rPr>
          <w:rFonts w:hint="default"/>
          <w:lang w:val="en-US" w:eastAsia="zh-CN"/>
        </w:rPr>
      </w:pPr>
    </w:p>
    <w:tbl>
      <w:tblPr>
        <w:tblStyle w:val="147"/>
        <w:tblW w:w="85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3"/>
        <w:gridCol w:w="1068"/>
        <w:gridCol w:w="3013"/>
        <w:gridCol w:w="3582"/>
      </w:tblGrid>
      <w:tr w14:paraId="59F6F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893" w:type="dxa"/>
            <w:tcBorders>
              <w:top w:val="single" w:color="000000" w:sz="8" w:space="0"/>
              <w:left w:val="single" w:color="000000" w:sz="8" w:space="0"/>
              <w:bottom w:val="single" w:color="000000" w:sz="8" w:space="0"/>
            </w:tcBorders>
            <w:vAlign w:val="center"/>
          </w:tcPr>
          <w:p w14:paraId="5F067037">
            <w:pPr>
              <w:pStyle w:val="148"/>
              <w:spacing w:before="64" w:line="220" w:lineRule="auto"/>
              <w:ind w:left="277"/>
              <w:jc w:val="left"/>
              <w:rPr>
                <w:sz w:val="18"/>
                <w:szCs w:val="18"/>
              </w:rPr>
            </w:pPr>
            <w:r>
              <w:rPr>
                <w:spacing w:val="-2"/>
                <w:sz w:val="18"/>
                <w:szCs w:val="18"/>
              </w:rPr>
              <w:t>类别</w:t>
            </w:r>
          </w:p>
        </w:tc>
        <w:tc>
          <w:tcPr>
            <w:tcW w:w="1068" w:type="dxa"/>
            <w:tcBorders>
              <w:top w:val="single" w:color="000000" w:sz="8" w:space="0"/>
              <w:bottom w:val="single" w:color="000000" w:sz="8" w:space="0"/>
            </w:tcBorders>
            <w:vAlign w:val="center"/>
          </w:tcPr>
          <w:p w14:paraId="78C486D5">
            <w:pPr>
              <w:pStyle w:val="148"/>
              <w:spacing w:before="65" w:line="220" w:lineRule="auto"/>
              <w:ind w:left="383"/>
              <w:jc w:val="left"/>
              <w:rPr>
                <w:sz w:val="18"/>
                <w:szCs w:val="18"/>
              </w:rPr>
            </w:pPr>
            <w:r>
              <w:rPr>
                <w:spacing w:val="-6"/>
                <w:sz w:val="18"/>
                <w:szCs w:val="18"/>
              </w:rPr>
              <w:t>品种</w:t>
            </w:r>
          </w:p>
        </w:tc>
        <w:tc>
          <w:tcPr>
            <w:tcW w:w="3013" w:type="dxa"/>
            <w:tcBorders>
              <w:top w:val="single" w:color="000000" w:sz="8" w:space="0"/>
              <w:bottom w:val="single" w:color="000000" w:sz="8" w:space="0"/>
            </w:tcBorders>
            <w:vAlign w:val="center"/>
          </w:tcPr>
          <w:p w14:paraId="02372526">
            <w:pPr>
              <w:pStyle w:val="148"/>
              <w:spacing w:before="64" w:line="220" w:lineRule="auto"/>
              <w:jc w:val="center"/>
              <w:rPr>
                <w:sz w:val="18"/>
                <w:szCs w:val="18"/>
              </w:rPr>
            </w:pPr>
            <w:r>
              <w:rPr>
                <w:spacing w:val="-2"/>
                <w:sz w:val="18"/>
                <w:szCs w:val="18"/>
              </w:rPr>
              <w:t>颜色特征</w:t>
            </w:r>
          </w:p>
        </w:tc>
        <w:tc>
          <w:tcPr>
            <w:tcW w:w="3582" w:type="dxa"/>
            <w:tcBorders>
              <w:top w:val="single" w:color="000000" w:sz="8" w:space="0"/>
              <w:bottom w:val="single" w:color="000000" w:sz="8" w:space="0"/>
              <w:right w:val="single" w:color="000000" w:sz="8" w:space="0"/>
            </w:tcBorders>
            <w:vAlign w:val="center"/>
          </w:tcPr>
          <w:p w14:paraId="66398DF4">
            <w:pPr>
              <w:pStyle w:val="148"/>
              <w:spacing w:before="64" w:line="220" w:lineRule="auto"/>
              <w:jc w:val="center"/>
              <w:rPr>
                <w:sz w:val="18"/>
                <w:szCs w:val="18"/>
              </w:rPr>
            </w:pPr>
            <w:r>
              <w:rPr>
                <w:spacing w:val="-2"/>
                <w:sz w:val="18"/>
                <w:szCs w:val="18"/>
              </w:rPr>
              <w:t>质地特征</w:t>
            </w:r>
          </w:p>
        </w:tc>
      </w:tr>
      <w:tr w14:paraId="595DD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893" w:type="dxa"/>
            <w:vMerge w:val="restart"/>
            <w:tcBorders>
              <w:top w:val="single" w:color="000000" w:sz="8" w:space="0"/>
              <w:left w:val="single" w:color="000000" w:sz="8" w:space="0"/>
              <w:bottom w:val="nil"/>
            </w:tcBorders>
            <w:vAlign w:val="center"/>
          </w:tcPr>
          <w:p w14:paraId="3B6542BB">
            <w:pPr>
              <w:spacing w:line="465" w:lineRule="auto"/>
              <w:jc w:val="left"/>
              <w:rPr>
                <w:rFonts w:ascii="Arial"/>
                <w:sz w:val="18"/>
                <w:szCs w:val="18"/>
              </w:rPr>
            </w:pPr>
          </w:p>
          <w:p w14:paraId="1369ECA2">
            <w:pPr>
              <w:pStyle w:val="148"/>
              <w:spacing w:before="59" w:line="221" w:lineRule="auto"/>
              <w:ind w:left="128"/>
              <w:jc w:val="left"/>
              <w:rPr>
                <w:sz w:val="18"/>
                <w:szCs w:val="18"/>
              </w:rPr>
            </w:pPr>
            <w:r>
              <w:rPr>
                <w:spacing w:val="-2"/>
                <w:sz w:val="18"/>
                <w:szCs w:val="18"/>
              </w:rPr>
              <w:t>绿密玉</w:t>
            </w:r>
          </w:p>
        </w:tc>
        <w:tc>
          <w:tcPr>
            <w:tcW w:w="1068" w:type="dxa"/>
            <w:tcBorders>
              <w:top w:val="single" w:color="000000" w:sz="8" w:space="0"/>
            </w:tcBorders>
            <w:vAlign w:val="center"/>
          </w:tcPr>
          <w:p w14:paraId="0A01413B">
            <w:pPr>
              <w:pStyle w:val="148"/>
              <w:spacing w:before="57" w:line="221" w:lineRule="auto"/>
              <w:ind w:left="239"/>
              <w:jc w:val="left"/>
              <w:rPr>
                <w:sz w:val="18"/>
                <w:szCs w:val="18"/>
              </w:rPr>
            </w:pPr>
            <w:r>
              <w:rPr>
                <w:spacing w:val="-2"/>
                <w:sz w:val="18"/>
                <w:szCs w:val="18"/>
              </w:rPr>
              <w:t>深绿密玉</w:t>
            </w:r>
          </w:p>
        </w:tc>
        <w:tc>
          <w:tcPr>
            <w:tcW w:w="3013" w:type="dxa"/>
            <w:tcBorders>
              <w:top w:val="single" w:color="000000" w:sz="8" w:space="0"/>
            </w:tcBorders>
            <w:vAlign w:val="center"/>
          </w:tcPr>
          <w:p w14:paraId="73DF7DA6">
            <w:pPr>
              <w:pStyle w:val="148"/>
              <w:spacing w:before="56" w:line="220" w:lineRule="auto"/>
              <w:ind w:left="312"/>
              <w:jc w:val="left"/>
              <w:rPr>
                <w:sz w:val="18"/>
                <w:szCs w:val="18"/>
              </w:rPr>
            </w:pPr>
            <w:r>
              <w:rPr>
                <w:spacing w:val="-1"/>
                <w:sz w:val="18"/>
                <w:szCs w:val="18"/>
              </w:rPr>
              <w:t>绿色，略带黄色调，颜色较均匀</w:t>
            </w:r>
          </w:p>
        </w:tc>
        <w:tc>
          <w:tcPr>
            <w:tcW w:w="3582" w:type="dxa"/>
            <w:tcBorders>
              <w:top w:val="single" w:color="000000" w:sz="8" w:space="0"/>
              <w:right w:val="single" w:color="000000" w:sz="8" w:space="0"/>
            </w:tcBorders>
            <w:vAlign w:val="center"/>
          </w:tcPr>
          <w:p w14:paraId="08294F7E">
            <w:pPr>
              <w:pStyle w:val="148"/>
              <w:spacing w:before="56" w:line="220" w:lineRule="auto"/>
              <w:jc w:val="left"/>
              <w:rPr>
                <w:sz w:val="18"/>
                <w:szCs w:val="18"/>
              </w:rPr>
            </w:pPr>
            <w:r>
              <w:rPr>
                <w:spacing w:val="-1"/>
                <w:sz w:val="18"/>
                <w:szCs w:val="18"/>
              </w:rPr>
              <w:t>微透明，肉眼可见微量杂质，质地细腻，光洁</w:t>
            </w:r>
          </w:p>
        </w:tc>
      </w:tr>
      <w:tr w14:paraId="60F3C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93" w:type="dxa"/>
            <w:vMerge w:val="continue"/>
            <w:tcBorders>
              <w:top w:val="nil"/>
              <w:left w:val="single" w:color="000000" w:sz="8" w:space="0"/>
              <w:bottom w:val="nil"/>
            </w:tcBorders>
            <w:vAlign w:val="center"/>
          </w:tcPr>
          <w:p w14:paraId="7A5BB501">
            <w:pPr>
              <w:jc w:val="left"/>
              <w:rPr>
                <w:rFonts w:ascii="Arial"/>
                <w:sz w:val="18"/>
                <w:szCs w:val="18"/>
              </w:rPr>
            </w:pPr>
          </w:p>
        </w:tc>
        <w:tc>
          <w:tcPr>
            <w:tcW w:w="1068" w:type="dxa"/>
            <w:vAlign w:val="center"/>
          </w:tcPr>
          <w:p w14:paraId="0EAADD68">
            <w:pPr>
              <w:pStyle w:val="148"/>
              <w:spacing w:before="64" w:line="220" w:lineRule="auto"/>
              <w:ind w:left="255"/>
              <w:jc w:val="left"/>
              <w:rPr>
                <w:sz w:val="18"/>
                <w:szCs w:val="18"/>
              </w:rPr>
            </w:pPr>
            <w:r>
              <w:rPr>
                <w:spacing w:val="-5"/>
                <w:sz w:val="18"/>
                <w:szCs w:val="18"/>
              </w:rPr>
              <w:t>中绿密玉</w:t>
            </w:r>
          </w:p>
        </w:tc>
        <w:tc>
          <w:tcPr>
            <w:tcW w:w="3013" w:type="dxa"/>
            <w:vAlign w:val="center"/>
          </w:tcPr>
          <w:p w14:paraId="15D4EF35">
            <w:pPr>
              <w:pStyle w:val="148"/>
              <w:spacing w:before="64" w:line="220" w:lineRule="auto"/>
              <w:ind w:left="400"/>
              <w:jc w:val="left"/>
              <w:rPr>
                <w:sz w:val="18"/>
                <w:szCs w:val="18"/>
              </w:rPr>
            </w:pPr>
            <w:r>
              <w:rPr>
                <w:spacing w:val="-1"/>
                <w:sz w:val="18"/>
                <w:szCs w:val="18"/>
              </w:rPr>
              <w:t>艳绿、翠绿，色泽纯正、均匀</w:t>
            </w:r>
          </w:p>
        </w:tc>
        <w:tc>
          <w:tcPr>
            <w:tcW w:w="3582" w:type="dxa"/>
            <w:tcBorders>
              <w:right w:val="single" w:color="000000" w:sz="8" w:space="0"/>
            </w:tcBorders>
            <w:vAlign w:val="center"/>
          </w:tcPr>
          <w:p w14:paraId="17EC5A6D">
            <w:pPr>
              <w:pStyle w:val="148"/>
              <w:spacing w:before="63" w:line="220" w:lineRule="auto"/>
              <w:jc w:val="left"/>
              <w:rPr>
                <w:sz w:val="18"/>
                <w:szCs w:val="18"/>
              </w:rPr>
            </w:pPr>
            <w:r>
              <w:rPr>
                <w:spacing w:val="-1"/>
                <w:sz w:val="18"/>
                <w:szCs w:val="18"/>
              </w:rPr>
              <w:t>微透明，放大检查可见微量杂质，质地细腻，光洁</w:t>
            </w:r>
          </w:p>
        </w:tc>
      </w:tr>
      <w:tr w14:paraId="7037D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893" w:type="dxa"/>
            <w:vMerge w:val="continue"/>
            <w:tcBorders>
              <w:top w:val="nil"/>
              <w:left w:val="single" w:color="000000" w:sz="8" w:space="0"/>
            </w:tcBorders>
            <w:vAlign w:val="center"/>
          </w:tcPr>
          <w:p w14:paraId="05A21241">
            <w:pPr>
              <w:jc w:val="left"/>
              <w:rPr>
                <w:rFonts w:ascii="Arial"/>
                <w:sz w:val="18"/>
                <w:szCs w:val="18"/>
              </w:rPr>
            </w:pPr>
          </w:p>
        </w:tc>
        <w:tc>
          <w:tcPr>
            <w:tcW w:w="1068" w:type="dxa"/>
            <w:vAlign w:val="center"/>
          </w:tcPr>
          <w:p w14:paraId="5E040BB6">
            <w:pPr>
              <w:pStyle w:val="148"/>
              <w:spacing w:before="226" w:line="221" w:lineRule="auto"/>
              <w:ind w:left="241"/>
              <w:jc w:val="left"/>
              <w:rPr>
                <w:sz w:val="18"/>
                <w:szCs w:val="18"/>
              </w:rPr>
            </w:pPr>
            <w:r>
              <w:rPr>
                <w:spacing w:val="-2"/>
                <w:sz w:val="18"/>
                <w:szCs w:val="18"/>
              </w:rPr>
              <w:t>浅绿密玉</w:t>
            </w:r>
          </w:p>
        </w:tc>
        <w:tc>
          <w:tcPr>
            <w:tcW w:w="3013" w:type="dxa"/>
            <w:vAlign w:val="center"/>
          </w:tcPr>
          <w:p w14:paraId="67B04F4D">
            <w:pPr>
              <w:pStyle w:val="148"/>
              <w:spacing w:before="226" w:line="219" w:lineRule="auto"/>
              <w:jc w:val="left"/>
              <w:rPr>
                <w:sz w:val="18"/>
                <w:szCs w:val="18"/>
              </w:rPr>
            </w:pPr>
            <w:r>
              <w:rPr>
                <w:spacing w:val="-12"/>
                <w:sz w:val="18"/>
                <w:szCs w:val="18"/>
              </w:rPr>
              <w:t>浅绿色，深浅不等的绿色条纹分布明显</w:t>
            </w:r>
          </w:p>
        </w:tc>
        <w:tc>
          <w:tcPr>
            <w:tcW w:w="3582" w:type="dxa"/>
            <w:tcBorders>
              <w:right w:val="single" w:color="000000" w:sz="8" w:space="0"/>
            </w:tcBorders>
            <w:vAlign w:val="center"/>
          </w:tcPr>
          <w:p w14:paraId="16C63315">
            <w:pPr>
              <w:pStyle w:val="148"/>
              <w:spacing w:before="66" w:line="277" w:lineRule="auto"/>
              <w:jc w:val="left"/>
              <w:rPr>
                <w:sz w:val="18"/>
                <w:szCs w:val="18"/>
              </w:rPr>
            </w:pPr>
            <w:r>
              <w:rPr>
                <w:spacing w:val="-1"/>
                <w:sz w:val="18"/>
                <w:szCs w:val="18"/>
              </w:rPr>
              <w:t>微透明，肉眼可见明显的暗色及白色斑点或斑块状</w:t>
            </w:r>
            <w:r>
              <w:rPr>
                <w:spacing w:val="13"/>
                <w:sz w:val="18"/>
                <w:szCs w:val="18"/>
              </w:rPr>
              <w:t xml:space="preserve"> </w:t>
            </w:r>
            <w:r>
              <w:rPr>
                <w:spacing w:val="-3"/>
                <w:sz w:val="18"/>
                <w:szCs w:val="18"/>
              </w:rPr>
              <w:t>杂质</w:t>
            </w:r>
          </w:p>
        </w:tc>
      </w:tr>
      <w:tr w14:paraId="6766A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893" w:type="dxa"/>
            <w:vMerge w:val="restart"/>
            <w:tcBorders>
              <w:left w:val="single" w:color="000000" w:sz="8" w:space="0"/>
              <w:bottom w:val="nil"/>
            </w:tcBorders>
            <w:vAlign w:val="center"/>
          </w:tcPr>
          <w:p w14:paraId="2B99EC20">
            <w:pPr>
              <w:pStyle w:val="148"/>
              <w:spacing w:before="239" w:line="224" w:lineRule="auto"/>
              <w:ind w:left="131"/>
              <w:jc w:val="left"/>
              <w:rPr>
                <w:sz w:val="18"/>
                <w:szCs w:val="18"/>
              </w:rPr>
            </w:pPr>
            <w:r>
              <w:rPr>
                <w:spacing w:val="-3"/>
                <w:sz w:val="18"/>
                <w:szCs w:val="18"/>
              </w:rPr>
              <w:t>红密玉</w:t>
            </w:r>
          </w:p>
        </w:tc>
        <w:tc>
          <w:tcPr>
            <w:tcW w:w="1068" w:type="dxa"/>
            <w:vAlign w:val="center"/>
          </w:tcPr>
          <w:p w14:paraId="69609646">
            <w:pPr>
              <w:pStyle w:val="148"/>
              <w:spacing w:before="69" w:line="222" w:lineRule="auto"/>
              <w:ind w:left="239"/>
              <w:jc w:val="left"/>
              <w:rPr>
                <w:sz w:val="18"/>
                <w:szCs w:val="18"/>
              </w:rPr>
            </w:pPr>
            <w:r>
              <w:rPr>
                <w:spacing w:val="-2"/>
                <w:sz w:val="18"/>
                <w:szCs w:val="18"/>
              </w:rPr>
              <w:t>深红密玉</w:t>
            </w:r>
          </w:p>
        </w:tc>
        <w:tc>
          <w:tcPr>
            <w:tcW w:w="3013" w:type="dxa"/>
            <w:vAlign w:val="center"/>
          </w:tcPr>
          <w:p w14:paraId="3EC29FC2">
            <w:pPr>
              <w:pStyle w:val="148"/>
              <w:spacing w:before="68" w:line="220" w:lineRule="auto"/>
              <w:ind w:left="1301"/>
              <w:jc w:val="left"/>
              <w:rPr>
                <w:sz w:val="18"/>
                <w:szCs w:val="18"/>
              </w:rPr>
            </w:pPr>
            <w:r>
              <w:rPr>
                <w:spacing w:val="-2"/>
                <w:sz w:val="18"/>
                <w:szCs w:val="18"/>
              </w:rPr>
              <w:t>褐红色</w:t>
            </w:r>
          </w:p>
        </w:tc>
        <w:tc>
          <w:tcPr>
            <w:tcW w:w="3582" w:type="dxa"/>
            <w:tcBorders>
              <w:right w:val="single" w:color="000000" w:sz="8" w:space="0"/>
            </w:tcBorders>
            <w:vAlign w:val="center"/>
          </w:tcPr>
          <w:p w14:paraId="523D9F5B">
            <w:pPr>
              <w:pStyle w:val="148"/>
              <w:spacing w:before="68" w:line="220" w:lineRule="auto"/>
              <w:jc w:val="left"/>
              <w:rPr>
                <w:sz w:val="18"/>
                <w:szCs w:val="18"/>
              </w:rPr>
            </w:pPr>
            <w:r>
              <w:rPr>
                <w:spacing w:val="-1"/>
                <w:sz w:val="18"/>
                <w:szCs w:val="18"/>
              </w:rPr>
              <w:t>微透明，暗色及白色斑点或斑块杂质明显</w:t>
            </w:r>
          </w:p>
        </w:tc>
      </w:tr>
      <w:tr w14:paraId="1898F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93" w:type="dxa"/>
            <w:vMerge w:val="continue"/>
            <w:tcBorders>
              <w:top w:val="nil"/>
              <w:left w:val="single" w:color="000000" w:sz="8" w:space="0"/>
            </w:tcBorders>
            <w:vAlign w:val="center"/>
          </w:tcPr>
          <w:p w14:paraId="14C06516">
            <w:pPr>
              <w:jc w:val="left"/>
              <w:rPr>
                <w:rFonts w:ascii="Arial"/>
                <w:sz w:val="18"/>
                <w:szCs w:val="18"/>
              </w:rPr>
            </w:pPr>
          </w:p>
        </w:tc>
        <w:tc>
          <w:tcPr>
            <w:tcW w:w="1068" w:type="dxa"/>
            <w:vAlign w:val="center"/>
          </w:tcPr>
          <w:p w14:paraId="5F32FEE8">
            <w:pPr>
              <w:pStyle w:val="148"/>
              <w:spacing w:before="71" w:line="221" w:lineRule="auto"/>
              <w:ind w:left="241"/>
              <w:jc w:val="left"/>
              <w:rPr>
                <w:sz w:val="18"/>
                <w:szCs w:val="18"/>
              </w:rPr>
            </w:pPr>
            <w:r>
              <w:rPr>
                <w:spacing w:val="-2"/>
                <w:sz w:val="18"/>
                <w:szCs w:val="18"/>
              </w:rPr>
              <w:t>浅红密玉</w:t>
            </w:r>
          </w:p>
        </w:tc>
        <w:tc>
          <w:tcPr>
            <w:tcW w:w="3013" w:type="dxa"/>
            <w:vAlign w:val="center"/>
          </w:tcPr>
          <w:p w14:paraId="53D7568C">
            <w:pPr>
              <w:pStyle w:val="148"/>
              <w:spacing w:before="70" w:line="220" w:lineRule="auto"/>
              <w:ind w:left="1213"/>
              <w:jc w:val="left"/>
              <w:rPr>
                <w:sz w:val="18"/>
                <w:szCs w:val="18"/>
              </w:rPr>
            </w:pPr>
            <w:r>
              <w:rPr>
                <w:spacing w:val="-2"/>
                <w:sz w:val="18"/>
                <w:szCs w:val="18"/>
              </w:rPr>
              <w:t>浅藕粉色</w:t>
            </w:r>
          </w:p>
        </w:tc>
        <w:tc>
          <w:tcPr>
            <w:tcW w:w="3582" w:type="dxa"/>
            <w:tcBorders>
              <w:right w:val="single" w:color="000000" w:sz="8" w:space="0"/>
            </w:tcBorders>
            <w:vAlign w:val="center"/>
          </w:tcPr>
          <w:p w14:paraId="501AB3DC">
            <w:pPr>
              <w:pStyle w:val="148"/>
              <w:spacing w:before="70" w:line="220" w:lineRule="auto"/>
              <w:jc w:val="left"/>
              <w:rPr>
                <w:sz w:val="18"/>
                <w:szCs w:val="18"/>
              </w:rPr>
            </w:pPr>
            <w:r>
              <w:rPr>
                <w:spacing w:val="-1"/>
                <w:sz w:val="18"/>
                <w:szCs w:val="18"/>
              </w:rPr>
              <w:t>微透明，暗色及白色斑点或斑块杂质明显</w:t>
            </w:r>
          </w:p>
        </w:tc>
      </w:tr>
      <w:tr w14:paraId="2A03F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893" w:type="dxa"/>
            <w:tcBorders>
              <w:left w:val="single" w:color="000000" w:sz="8" w:space="0"/>
            </w:tcBorders>
            <w:vAlign w:val="center"/>
          </w:tcPr>
          <w:p w14:paraId="16050F14">
            <w:pPr>
              <w:pStyle w:val="148"/>
              <w:spacing w:before="223" w:line="222" w:lineRule="auto"/>
              <w:ind w:left="153"/>
              <w:jc w:val="left"/>
              <w:rPr>
                <w:sz w:val="18"/>
                <w:szCs w:val="18"/>
              </w:rPr>
            </w:pPr>
            <w:r>
              <w:rPr>
                <w:spacing w:val="-8"/>
                <w:sz w:val="18"/>
                <w:szCs w:val="18"/>
              </w:rPr>
              <w:t>白密玉</w:t>
            </w:r>
          </w:p>
        </w:tc>
        <w:tc>
          <w:tcPr>
            <w:tcW w:w="1068" w:type="dxa"/>
            <w:vAlign w:val="center"/>
          </w:tcPr>
          <w:p w14:paraId="6A5091A2">
            <w:pPr>
              <w:pStyle w:val="148"/>
              <w:spacing w:before="223" w:line="222" w:lineRule="auto"/>
              <w:ind w:left="355"/>
              <w:jc w:val="left"/>
              <w:rPr>
                <w:sz w:val="18"/>
                <w:szCs w:val="18"/>
              </w:rPr>
            </w:pPr>
            <w:r>
              <w:rPr>
                <w:spacing w:val="-8"/>
                <w:sz w:val="18"/>
                <w:szCs w:val="18"/>
              </w:rPr>
              <w:t>白密玉</w:t>
            </w:r>
          </w:p>
        </w:tc>
        <w:tc>
          <w:tcPr>
            <w:tcW w:w="3013" w:type="dxa"/>
            <w:vAlign w:val="center"/>
          </w:tcPr>
          <w:p w14:paraId="27CD7BE5">
            <w:pPr>
              <w:pStyle w:val="148"/>
              <w:spacing w:before="222" w:line="220" w:lineRule="auto"/>
              <w:ind w:left="942"/>
              <w:jc w:val="left"/>
              <w:rPr>
                <w:sz w:val="18"/>
                <w:szCs w:val="18"/>
              </w:rPr>
            </w:pPr>
            <w:r>
              <w:rPr>
                <w:spacing w:val="-2"/>
                <w:sz w:val="18"/>
                <w:szCs w:val="18"/>
              </w:rPr>
              <w:t>灰黄色调的白色</w:t>
            </w:r>
          </w:p>
        </w:tc>
        <w:tc>
          <w:tcPr>
            <w:tcW w:w="3582" w:type="dxa"/>
            <w:tcBorders>
              <w:right w:val="single" w:color="000000" w:sz="8" w:space="0"/>
            </w:tcBorders>
            <w:vAlign w:val="center"/>
          </w:tcPr>
          <w:p w14:paraId="0DF179BA">
            <w:pPr>
              <w:pStyle w:val="148"/>
              <w:spacing w:before="72" w:line="274" w:lineRule="auto"/>
              <w:jc w:val="left"/>
              <w:rPr>
                <w:sz w:val="18"/>
                <w:szCs w:val="18"/>
              </w:rPr>
            </w:pPr>
            <w:r>
              <w:rPr>
                <w:spacing w:val="-1"/>
                <w:sz w:val="18"/>
                <w:szCs w:val="18"/>
              </w:rPr>
              <w:t>微透明，肉眼可见明显的暗色及白色斑点或斑块状</w:t>
            </w:r>
            <w:r>
              <w:rPr>
                <w:spacing w:val="13"/>
                <w:sz w:val="18"/>
                <w:szCs w:val="18"/>
              </w:rPr>
              <w:t xml:space="preserve"> </w:t>
            </w:r>
            <w:r>
              <w:rPr>
                <w:spacing w:val="-3"/>
                <w:sz w:val="18"/>
                <w:szCs w:val="18"/>
              </w:rPr>
              <w:t>杂质</w:t>
            </w:r>
          </w:p>
        </w:tc>
      </w:tr>
      <w:tr w14:paraId="26E0B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93" w:type="dxa"/>
            <w:tcBorders>
              <w:left w:val="single" w:color="000000" w:sz="8" w:space="0"/>
            </w:tcBorders>
            <w:vAlign w:val="center"/>
          </w:tcPr>
          <w:p w14:paraId="10A3906E">
            <w:pPr>
              <w:pStyle w:val="148"/>
              <w:spacing w:before="76" w:line="224" w:lineRule="auto"/>
              <w:ind w:left="131"/>
              <w:jc w:val="left"/>
              <w:rPr>
                <w:sz w:val="18"/>
                <w:szCs w:val="18"/>
              </w:rPr>
            </w:pPr>
            <w:r>
              <w:rPr>
                <w:spacing w:val="-3"/>
                <w:sz w:val="18"/>
                <w:szCs w:val="18"/>
              </w:rPr>
              <w:t>黑密玉</w:t>
            </w:r>
          </w:p>
        </w:tc>
        <w:tc>
          <w:tcPr>
            <w:tcW w:w="1068" w:type="dxa"/>
            <w:vAlign w:val="center"/>
          </w:tcPr>
          <w:p w14:paraId="7E80A062">
            <w:pPr>
              <w:pStyle w:val="148"/>
              <w:spacing w:before="76" w:line="224" w:lineRule="auto"/>
              <w:ind w:left="333"/>
              <w:jc w:val="left"/>
              <w:rPr>
                <w:sz w:val="18"/>
                <w:szCs w:val="18"/>
              </w:rPr>
            </w:pPr>
            <w:r>
              <w:rPr>
                <w:spacing w:val="-3"/>
                <w:sz w:val="18"/>
                <w:szCs w:val="18"/>
              </w:rPr>
              <w:t>黑密玉</w:t>
            </w:r>
          </w:p>
        </w:tc>
        <w:tc>
          <w:tcPr>
            <w:tcW w:w="3013" w:type="dxa"/>
            <w:vAlign w:val="center"/>
          </w:tcPr>
          <w:p w14:paraId="4A360444">
            <w:pPr>
              <w:pStyle w:val="148"/>
              <w:spacing w:before="75" w:line="225" w:lineRule="auto"/>
              <w:ind w:left="1305"/>
              <w:jc w:val="left"/>
              <w:rPr>
                <w:sz w:val="18"/>
                <w:szCs w:val="18"/>
              </w:rPr>
            </w:pPr>
            <w:r>
              <w:rPr>
                <w:spacing w:val="-3"/>
                <w:sz w:val="18"/>
                <w:szCs w:val="18"/>
              </w:rPr>
              <w:t>墨黑色</w:t>
            </w:r>
          </w:p>
        </w:tc>
        <w:tc>
          <w:tcPr>
            <w:tcW w:w="3582" w:type="dxa"/>
            <w:tcBorders>
              <w:right w:val="single" w:color="000000" w:sz="8" w:space="0"/>
            </w:tcBorders>
            <w:vAlign w:val="center"/>
          </w:tcPr>
          <w:p w14:paraId="2EDF63A8">
            <w:pPr>
              <w:pStyle w:val="148"/>
              <w:spacing w:before="75" w:line="220" w:lineRule="auto"/>
              <w:jc w:val="left"/>
              <w:rPr>
                <w:sz w:val="18"/>
                <w:szCs w:val="18"/>
              </w:rPr>
            </w:pPr>
            <w:r>
              <w:rPr>
                <w:spacing w:val="-1"/>
                <w:sz w:val="18"/>
                <w:szCs w:val="18"/>
              </w:rPr>
              <w:t>不透明，质地细腻光洁</w:t>
            </w:r>
          </w:p>
        </w:tc>
      </w:tr>
      <w:tr w14:paraId="417A3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893" w:type="dxa"/>
            <w:tcBorders>
              <w:left w:val="single" w:color="000000" w:sz="8" w:space="0"/>
              <w:bottom w:val="single" w:color="000000" w:sz="8" w:space="0"/>
            </w:tcBorders>
            <w:vAlign w:val="center"/>
          </w:tcPr>
          <w:p w14:paraId="79B05F94">
            <w:pPr>
              <w:pStyle w:val="148"/>
              <w:spacing w:before="77" w:line="220" w:lineRule="auto"/>
              <w:ind w:left="126"/>
              <w:jc w:val="left"/>
              <w:rPr>
                <w:sz w:val="18"/>
                <w:szCs w:val="18"/>
              </w:rPr>
            </w:pPr>
            <w:r>
              <w:rPr>
                <w:spacing w:val="-2"/>
                <w:sz w:val="18"/>
                <w:szCs w:val="18"/>
              </w:rPr>
              <w:t>黄密玉</w:t>
            </w:r>
          </w:p>
        </w:tc>
        <w:tc>
          <w:tcPr>
            <w:tcW w:w="1068" w:type="dxa"/>
            <w:tcBorders>
              <w:bottom w:val="single" w:color="000000" w:sz="8" w:space="0"/>
            </w:tcBorders>
            <w:vAlign w:val="center"/>
          </w:tcPr>
          <w:p w14:paraId="474C2536">
            <w:pPr>
              <w:pStyle w:val="148"/>
              <w:spacing w:before="77" w:line="220" w:lineRule="auto"/>
              <w:ind w:left="328"/>
              <w:jc w:val="left"/>
              <w:rPr>
                <w:sz w:val="18"/>
                <w:szCs w:val="18"/>
              </w:rPr>
            </w:pPr>
            <w:r>
              <w:rPr>
                <w:spacing w:val="-2"/>
                <w:sz w:val="18"/>
                <w:szCs w:val="18"/>
              </w:rPr>
              <w:t>黄密玉</w:t>
            </w:r>
          </w:p>
        </w:tc>
        <w:tc>
          <w:tcPr>
            <w:tcW w:w="3013" w:type="dxa"/>
            <w:tcBorders>
              <w:bottom w:val="single" w:color="000000" w:sz="8" w:space="0"/>
            </w:tcBorders>
            <w:vAlign w:val="center"/>
          </w:tcPr>
          <w:p w14:paraId="4CA3EEF9">
            <w:pPr>
              <w:pStyle w:val="148"/>
              <w:spacing w:before="77" w:line="220" w:lineRule="auto"/>
              <w:ind w:left="1302"/>
              <w:jc w:val="left"/>
              <w:rPr>
                <w:sz w:val="18"/>
                <w:szCs w:val="18"/>
              </w:rPr>
            </w:pPr>
            <w:r>
              <w:rPr>
                <w:spacing w:val="-2"/>
                <w:sz w:val="18"/>
                <w:szCs w:val="18"/>
              </w:rPr>
              <w:t>姜黄色</w:t>
            </w:r>
          </w:p>
        </w:tc>
        <w:tc>
          <w:tcPr>
            <w:tcW w:w="3582" w:type="dxa"/>
            <w:tcBorders>
              <w:bottom w:val="single" w:color="000000" w:sz="8" w:space="0"/>
              <w:right w:val="single" w:color="000000" w:sz="8" w:space="0"/>
            </w:tcBorders>
            <w:vAlign w:val="center"/>
          </w:tcPr>
          <w:p w14:paraId="3478724F">
            <w:pPr>
              <w:pStyle w:val="148"/>
              <w:spacing w:before="77" w:line="220" w:lineRule="auto"/>
              <w:jc w:val="left"/>
              <w:rPr>
                <w:sz w:val="18"/>
                <w:szCs w:val="18"/>
              </w:rPr>
            </w:pPr>
            <w:r>
              <w:rPr>
                <w:spacing w:val="-1"/>
                <w:sz w:val="18"/>
                <w:szCs w:val="18"/>
              </w:rPr>
              <w:t>微透明，肉眼可见微量杂质和石英颗粒</w:t>
            </w:r>
          </w:p>
        </w:tc>
      </w:tr>
    </w:tbl>
    <w:p w14:paraId="1A2AB2A0">
      <w:pPr>
        <w:rPr>
          <w:rFonts w:hint="default"/>
          <w:lang w:val="en-US" w:eastAsia="zh-CN"/>
        </w:rPr>
      </w:pPr>
    </w:p>
    <w:p w14:paraId="7D010FF3">
      <w:pPr>
        <w:pStyle w:val="3"/>
        <w:spacing w:before="120" w:after="0" w:line="360" w:lineRule="auto"/>
        <w:rPr>
          <w:rFonts w:hint="eastAsia" w:ascii="Times New Roman" w:hAnsi="Times New Roman"/>
          <w:color w:val="000000"/>
          <w:kern w:val="0"/>
          <w:sz w:val="24"/>
          <w:szCs w:val="24"/>
          <w:lang w:val="en-US" w:eastAsia="zh-CN"/>
        </w:rPr>
      </w:pPr>
      <w:bookmarkStart w:id="14" w:name="_Toc132710505"/>
      <w:r>
        <w:rPr>
          <w:rFonts w:hint="eastAsia" w:ascii="Times New Roman" w:hAnsi="Times New Roman"/>
          <w:color w:val="000000"/>
          <w:kern w:val="0"/>
          <w:sz w:val="24"/>
          <w:szCs w:val="24"/>
          <w:lang w:val="en-US" w:eastAsia="zh-CN"/>
        </w:rPr>
        <w:t>4.4  分类实物标准样品</w:t>
      </w:r>
    </w:p>
    <w:p w14:paraId="3F068B51">
      <w:pPr>
        <w:spacing w:line="440" w:lineRule="exact"/>
        <w:ind w:left="0" w:leftChars="0" w:firstLine="480" w:firstLineChars="200"/>
        <w:rPr>
          <w:rFonts w:hint="eastAsia"/>
          <w:color w:val="000000"/>
          <w:sz w:val="24"/>
          <w:lang w:val="en-US" w:eastAsia="zh-CN"/>
        </w:rPr>
      </w:pPr>
      <w:r>
        <w:rPr>
          <w:rFonts w:hint="eastAsia"/>
          <w:color w:val="000000"/>
          <w:sz w:val="24"/>
          <w:lang w:val="en-US" w:eastAsia="zh-CN"/>
        </w:rPr>
        <w:t>本标准参照DB 41/T 972－2014《密玉》第7章分类实物标准样品，规定密玉分类实物标准样品应在进行密玉分类时与文字部分对照使用，应符合附录 D 的规定。</w:t>
      </w:r>
    </w:p>
    <w:p w14:paraId="2FEC9877">
      <w:pPr>
        <w:pStyle w:val="10"/>
        <w:spacing w:line="298" w:lineRule="auto"/>
      </w:pPr>
    </w:p>
    <w:p w14:paraId="6C2777F0">
      <w:pPr>
        <w:spacing w:before="1" w:line="4080" w:lineRule="exact"/>
        <w:ind w:firstLine="1723"/>
      </w:pPr>
      <w:r>
        <w:rPr>
          <w:position w:val="-81"/>
        </w:rPr>
        <w:drawing>
          <wp:inline distT="0" distB="0" distL="0" distR="0">
            <wp:extent cx="3453765" cy="2590800"/>
            <wp:effectExtent l="0" t="0" r="13335"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
                    <a:stretch>
                      <a:fillRect/>
                    </a:stretch>
                  </pic:blipFill>
                  <pic:spPr>
                    <a:xfrm>
                      <a:off x="0" y="0"/>
                      <a:ext cx="3454399" cy="2590800"/>
                    </a:xfrm>
                    <a:prstGeom prst="rect">
                      <a:avLst/>
                    </a:prstGeom>
                  </pic:spPr>
                </pic:pic>
              </a:graphicData>
            </a:graphic>
          </wp:inline>
        </w:drawing>
      </w:r>
    </w:p>
    <w:p w14:paraId="1F767B7E">
      <w:pPr>
        <w:pStyle w:val="10"/>
        <w:spacing w:line="269" w:lineRule="auto"/>
      </w:pPr>
    </w:p>
    <w:p w14:paraId="0656B373">
      <w:pPr>
        <w:spacing w:before="68" w:line="221" w:lineRule="auto"/>
        <w:jc w:val="center"/>
        <w:rPr>
          <w:rFonts w:hint="eastAsia"/>
          <w:color w:val="000000"/>
          <w:sz w:val="24"/>
          <w:lang w:val="en-US" w:eastAsia="zh-CN"/>
        </w:rPr>
      </w:pPr>
      <w:r>
        <w:rPr>
          <w:rFonts w:hint="eastAsia"/>
          <w:color w:val="000000"/>
          <w:sz w:val="24"/>
          <w:lang w:val="en-US" w:eastAsia="zh-CN"/>
        </w:rPr>
        <w:t>附录 D图 D.1 深绿密玉</w:t>
      </w:r>
    </w:p>
    <w:p w14:paraId="7CFC3F2D">
      <w:pPr>
        <w:pStyle w:val="10"/>
        <w:spacing w:line="288" w:lineRule="auto"/>
      </w:pPr>
    </w:p>
    <w:p w14:paraId="7C17BF0C">
      <w:pPr>
        <w:spacing w:before="1" w:line="4170" w:lineRule="exact"/>
        <w:ind w:firstLine="1663"/>
      </w:pPr>
      <w:r>
        <w:rPr>
          <w:position w:val="-83"/>
        </w:rPr>
        <w:drawing>
          <wp:inline distT="0" distB="0" distL="0" distR="0">
            <wp:extent cx="3529965" cy="2647315"/>
            <wp:effectExtent l="0" t="0" r="13335" b="635"/>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
                    <a:stretch>
                      <a:fillRect/>
                    </a:stretch>
                  </pic:blipFill>
                  <pic:spPr>
                    <a:xfrm>
                      <a:off x="0" y="0"/>
                      <a:ext cx="3530587" cy="2647934"/>
                    </a:xfrm>
                    <a:prstGeom prst="rect">
                      <a:avLst/>
                    </a:prstGeom>
                  </pic:spPr>
                </pic:pic>
              </a:graphicData>
            </a:graphic>
          </wp:inline>
        </w:drawing>
      </w:r>
    </w:p>
    <w:p w14:paraId="2DB98D2B">
      <w:pPr>
        <w:spacing w:before="68" w:line="221" w:lineRule="auto"/>
        <w:jc w:val="center"/>
        <w:rPr>
          <w:rFonts w:hint="eastAsia"/>
          <w:color w:val="000000"/>
          <w:sz w:val="24"/>
          <w:lang w:val="en-US" w:eastAsia="zh-CN"/>
        </w:rPr>
      </w:pPr>
      <w:r>
        <w:rPr>
          <w:rFonts w:hint="eastAsia"/>
          <w:color w:val="000000"/>
          <w:sz w:val="24"/>
          <w:lang w:val="en-US" w:eastAsia="zh-CN"/>
        </w:rPr>
        <w:t>附录 D图 D.2 中绿密玉</w:t>
      </w:r>
    </w:p>
    <w:p w14:paraId="0807D650">
      <w:pPr>
        <w:spacing w:line="221" w:lineRule="auto"/>
        <w:rPr>
          <w:rFonts w:ascii="黑体" w:hAnsi="黑体" w:eastAsia="黑体" w:cs="黑体"/>
          <w:sz w:val="21"/>
          <w:szCs w:val="21"/>
        </w:rPr>
        <w:sectPr>
          <w:headerReference r:id="rId3" w:type="default"/>
          <w:footerReference r:id="rId4" w:type="default"/>
          <w:type w:val="continuous"/>
          <w:pgSz w:w="11910" w:h="16840"/>
          <w:pgMar w:top="1632" w:right="1140" w:bottom="1044" w:left="1786" w:header="1427" w:footer="867" w:gutter="0"/>
          <w:pgNumType w:fmt="decimal"/>
          <w:cols w:space="720" w:num="1"/>
        </w:sectPr>
      </w:pPr>
    </w:p>
    <w:p w14:paraId="022D3CF5">
      <w:pPr>
        <w:spacing w:before="237" w:line="4250" w:lineRule="exact"/>
        <w:ind w:firstLine="1696"/>
      </w:pPr>
      <w:r>
        <w:rPr>
          <w:position w:val="-85"/>
        </w:rPr>
        <w:drawing>
          <wp:inline distT="0" distB="0" distL="0" distR="0">
            <wp:extent cx="3599815" cy="2698750"/>
            <wp:effectExtent l="0" t="0" r="635" b="635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
                    <a:stretch>
                      <a:fillRect/>
                    </a:stretch>
                  </pic:blipFill>
                  <pic:spPr>
                    <a:xfrm>
                      <a:off x="0" y="0"/>
                      <a:ext cx="3600449" cy="2698750"/>
                    </a:xfrm>
                    <a:prstGeom prst="rect">
                      <a:avLst/>
                    </a:prstGeom>
                  </pic:spPr>
                </pic:pic>
              </a:graphicData>
            </a:graphic>
          </wp:inline>
        </w:drawing>
      </w:r>
    </w:p>
    <w:p w14:paraId="1FE81C63">
      <w:pPr>
        <w:spacing w:before="68" w:line="221" w:lineRule="auto"/>
        <w:jc w:val="center"/>
        <w:rPr>
          <w:rFonts w:hint="eastAsia"/>
          <w:color w:val="000000"/>
          <w:sz w:val="24"/>
          <w:lang w:val="en-US" w:eastAsia="zh-CN"/>
        </w:rPr>
      </w:pPr>
      <w:r>
        <w:rPr>
          <w:rFonts w:hint="eastAsia"/>
          <w:color w:val="000000"/>
          <w:sz w:val="24"/>
          <w:lang w:val="en-US" w:eastAsia="zh-CN"/>
        </w:rPr>
        <w:t>附录 D图 D.3 浅绿密玉</w:t>
      </w:r>
    </w:p>
    <w:p w14:paraId="60C72DFC">
      <w:pPr>
        <w:pStyle w:val="10"/>
        <w:spacing w:line="338" w:lineRule="auto"/>
      </w:pPr>
    </w:p>
    <w:p w14:paraId="47F15B3E">
      <w:pPr>
        <w:spacing w:line="4270" w:lineRule="exact"/>
        <w:ind w:firstLine="1686"/>
      </w:pPr>
      <w:r>
        <w:rPr>
          <w:position w:val="-85"/>
        </w:rPr>
        <w:drawing>
          <wp:inline distT="0" distB="0" distL="0" distR="0">
            <wp:extent cx="3612515" cy="2711450"/>
            <wp:effectExtent l="0" t="0" r="6985" b="1270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
                    <a:stretch>
                      <a:fillRect/>
                    </a:stretch>
                  </pic:blipFill>
                  <pic:spPr>
                    <a:xfrm>
                      <a:off x="0" y="0"/>
                      <a:ext cx="3613149" cy="2711450"/>
                    </a:xfrm>
                    <a:prstGeom prst="rect">
                      <a:avLst/>
                    </a:prstGeom>
                  </pic:spPr>
                </pic:pic>
              </a:graphicData>
            </a:graphic>
          </wp:inline>
        </w:drawing>
      </w:r>
    </w:p>
    <w:p w14:paraId="3AC1284B">
      <w:pPr>
        <w:pStyle w:val="10"/>
        <w:spacing w:line="338" w:lineRule="auto"/>
      </w:pPr>
    </w:p>
    <w:p w14:paraId="7BD5C32A">
      <w:pPr>
        <w:spacing w:before="68" w:line="221" w:lineRule="auto"/>
        <w:jc w:val="center"/>
        <w:rPr>
          <w:rFonts w:hint="eastAsia"/>
          <w:color w:val="000000"/>
          <w:sz w:val="24"/>
          <w:lang w:val="en-US" w:eastAsia="zh-CN"/>
        </w:rPr>
      </w:pPr>
      <w:r>
        <w:rPr>
          <w:rFonts w:hint="eastAsia"/>
          <w:color w:val="000000"/>
          <w:sz w:val="24"/>
          <w:lang w:val="en-US" w:eastAsia="zh-CN"/>
        </w:rPr>
        <w:t>附录 D图 D.4 深红密玉</w:t>
      </w:r>
    </w:p>
    <w:p w14:paraId="2627A22D">
      <w:pPr>
        <w:spacing w:line="221" w:lineRule="auto"/>
        <w:rPr>
          <w:rFonts w:ascii="黑体" w:hAnsi="黑体" w:eastAsia="黑体" w:cs="黑体"/>
          <w:sz w:val="21"/>
          <w:szCs w:val="21"/>
        </w:rPr>
        <w:sectPr>
          <w:headerReference r:id="rId5" w:type="default"/>
          <w:footerReference r:id="rId6" w:type="default"/>
          <w:pgSz w:w="11910" w:h="16840"/>
          <w:pgMar w:top="1752" w:right="1786" w:bottom="1151" w:left="1133" w:header="1547" w:footer="991" w:gutter="0"/>
          <w:pgNumType w:fmt="decimal"/>
          <w:cols w:space="720" w:num="1"/>
        </w:sectPr>
      </w:pPr>
    </w:p>
    <w:p w14:paraId="6AB4EE5F">
      <w:pPr>
        <w:spacing w:before="127" w:line="4230" w:lineRule="exact"/>
        <w:ind w:firstLine="1623"/>
      </w:pPr>
      <w:r>
        <w:rPr>
          <w:position w:val="-84"/>
        </w:rPr>
        <w:drawing>
          <wp:inline distT="0" distB="0" distL="0" distR="0">
            <wp:extent cx="3580765" cy="2685415"/>
            <wp:effectExtent l="0" t="0" r="635" b="63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6"/>
                    <a:stretch>
                      <a:fillRect/>
                    </a:stretch>
                  </pic:blipFill>
                  <pic:spPr>
                    <a:xfrm>
                      <a:off x="0" y="0"/>
                      <a:ext cx="3581399" cy="2686049"/>
                    </a:xfrm>
                    <a:prstGeom prst="rect">
                      <a:avLst/>
                    </a:prstGeom>
                  </pic:spPr>
                </pic:pic>
              </a:graphicData>
            </a:graphic>
          </wp:inline>
        </w:drawing>
      </w:r>
    </w:p>
    <w:p w14:paraId="5044A40A">
      <w:pPr>
        <w:spacing w:before="68" w:line="221" w:lineRule="auto"/>
        <w:jc w:val="center"/>
        <w:rPr>
          <w:rFonts w:hint="eastAsia"/>
          <w:color w:val="000000"/>
          <w:sz w:val="24"/>
          <w:lang w:val="en-US" w:eastAsia="zh-CN"/>
        </w:rPr>
      </w:pPr>
      <w:r>
        <w:rPr>
          <w:rFonts w:hint="eastAsia"/>
          <w:color w:val="000000"/>
          <w:sz w:val="24"/>
          <w:lang w:val="en-US" w:eastAsia="zh-CN"/>
        </w:rPr>
        <w:t>附录 D图 D.5 浅红密玉</w:t>
      </w:r>
    </w:p>
    <w:p w14:paraId="7F02ABDF">
      <w:pPr>
        <w:pStyle w:val="10"/>
        <w:spacing w:line="397" w:lineRule="auto"/>
      </w:pPr>
    </w:p>
    <w:p w14:paraId="554F3170">
      <w:pPr>
        <w:spacing w:line="4210" w:lineRule="exact"/>
        <w:ind w:firstLine="1633"/>
      </w:pPr>
      <w:r>
        <w:rPr>
          <w:position w:val="-84"/>
        </w:rPr>
        <w:drawing>
          <wp:inline distT="0" distB="0" distL="0" distR="0">
            <wp:extent cx="3568065" cy="2672715"/>
            <wp:effectExtent l="0" t="0" r="13335" b="1333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7"/>
                    <a:stretch>
                      <a:fillRect/>
                    </a:stretch>
                  </pic:blipFill>
                  <pic:spPr>
                    <a:xfrm>
                      <a:off x="0" y="0"/>
                      <a:ext cx="3568699" cy="2673349"/>
                    </a:xfrm>
                    <a:prstGeom prst="rect">
                      <a:avLst/>
                    </a:prstGeom>
                  </pic:spPr>
                </pic:pic>
              </a:graphicData>
            </a:graphic>
          </wp:inline>
        </w:drawing>
      </w:r>
    </w:p>
    <w:p w14:paraId="445A5C83">
      <w:pPr>
        <w:pStyle w:val="10"/>
        <w:spacing w:line="368" w:lineRule="auto"/>
      </w:pPr>
    </w:p>
    <w:p w14:paraId="55C228BD">
      <w:pPr>
        <w:spacing w:before="68" w:line="221" w:lineRule="auto"/>
        <w:jc w:val="center"/>
        <w:rPr>
          <w:rFonts w:hint="eastAsia"/>
          <w:color w:val="000000"/>
          <w:sz w:val="24"/>
          <w:lang w:val="en-US" w:eastAsia="zh-CN"/>
        </w:rPr>
      </w:pPr>
      <w:r>
        <w:rPr>
          <w:rFonts w:hint="eastAsia"/>
          <w:color w:val="000000"/>
          <w:sz w:val="24"/>
          <w:lang w:val="en-US" w:eastAsia="zh-CN"/>
        </w:rPr>
        <w:t>附录 D图 D.6 白密玉</w:t>
      </w:r>
    </w:p>
    <w:p w14:paraId="08B25A92">
      <w:pPr>
        <w:spacing w:line="221" w:lineRule="auto"/>
        <w:rPr>
          <w:rFonts w:ascii="黑体" w:hAnsi="黑体" w:eastAsia="黑体" w:cs="黑体"/>
          <w:sz w:val="21"/>
          <w:szCs w:val="21"/>
        </w:rPr>
        <w:sectPr>
          <w:headerReference r:id="rId7" w:type="default"/>
          <w:footerReference r:id="rId8" w:type="default"/>
          <w:pgSz w:w="11910" w:h="16840"/>
          <w:pgMar w:top="1632" w:right="1140" w:bottom="1044" w:left="1786" w:header="1427" w:footer="867" w:gutter="0"/>
          <w:pgNumType w:fmt="decimal"/>
          <w:cols w:space="720" w:num="1"/>
        </w:sectPr>
      </w:pPr>
    </w:p>
    <w:p w14:paraId="45D27846">
      <w:pPr>
        <w:pStyle w:val="10"/>
        <w:spacing w:line="305" w:lineRule="auto"/>
      </w:pPr>
    </w:p>
    <w:p w14:paraId="3F24A887">
      <w:pPr>
        <w:spacing w:line="4120" w:lineRule="exact"/>
        <w:ind w:firstLine="1786"/>
      </w:pPr>
      <w:r>
        <w:rPr>
          <w:position w:val="-82"/>
        </w:rPr>
        <w:drawing>
          <wp:inline distT="0" distB="0" distL="0" distR="0">
            <wp:extent cx="3485515" cy="2616200"/>
            <wp:effectExtent l="0" t="0" r="635" b="1270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8"/>
                    <a:stretch>
                      <a:fillRect/>
                    </a:stretch>
                  </pic:blipFill>
                  <pic:spPr>
                    <a:xfrm>
                      <a:off x="0" y="0"/>
                      <a:ext cx="3486149" cy="2616200"/>
                    </a:xfrm>
                    <a:prstGeom prst="rect">
                      <a:avLst/>
                    </a:prstGeom>
                  </pic:spPr>
                </pic:pic>
              </a:graphicData>
            </a:graphic>
          </wp:inline>
        </w:drawing>
      </w:r>
    </w:p>
    <w:p w14:paraId="1E345587">
      <w:pPr>
        <w:pStyle w:val="10"/>
        <w:spacing w:line="408" w:lineRule="auto"/>
      </w:pPr>
    </w:p>
    <w:p w14:paraId="58A71CC9">
      <w:pPr>
        <w:spacing w:before="68" w:line="221" w:lineRule="auto"/>
        <w:jc w:val="center"/>
        <w:rPr>
          <w:rFonts w:hint="eastAsia"/>
          <w:color w:val="000000"/>
          <w:sz w:val="24"/>
          <w:lang w:val="en-US" w:eastAsia="zh-CN"/>
        </w:rPr>
      </w:pPr>
      <w:r>
        <w:rPr>
          <w:rFonts w:hint="eastAsia"/>
          <w:color w:val="000000"/>
          <w:sz w:val="24"/>
          <w:lang w:val="en-US" w:eastAsia="zh-CN"/>
        </w:rPr>
        <w:t>附录 D图 D.7 黑密玉</w:t>
      </w:r>
    </w:p>
    <w:p w14:paraId="73F89FC5">
      <w:pPr>
        <w:pStyle w:val="10"/>
        <w:spacing w:line="356" w:lineRule="auto"/>
      </w:pPr>
    </w:p>
    <w:p w14:paraId="7F953EA1">
      <w:pPr>
        <w:spacing w:line="4300" w:lineRule="exact"/>
        <w:ind w:firstLine="1666"/>
      </w:pPr>
      <w:r>
        <w:rPr>
          <w:position w:val="-86"/>
        </w:rPr>
        <w:drawing>
          <wp:inline distT="0" distB="0" distL="0" distR="0">
            <wp:extent cx="3637915" cy="2730500"/>
            <wp:effectExtent l="0" t="0" r="635" b="1270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
                    <a:stretch>
                      <a:fillRect/>
                    </a:stretch>
                  </pic:blipFill>
                  <pic:spPr>
                    <a:xfrm>
                      <a:off x="0" y="0"/>
                      <a:ext cx="3638549" cy="2730500"/>
                    </a:xfrm>
                    <a:prstGeom prst="rect">
                      <a:avLst/>
                    </a:prstGeom>
                  </pic:spPr>
                </pic:pic>
              </a:graphicData>
            </a:graphic>
          </wp:inline>
        </w:drawing>
      </w:r>
    </w:p>
    <w:p w14:paraId="3855917B">
      <w:pPr>
        <w:pStyle w:val="10"/>
        <w:spacing w:line="319" w:lineRule="auto"/>
      </w:pPr>
    </w:p>
    <w:p w14:paraId="03817F2F">
      <w:pPr>
        <w:pStyle w:val="10"/>
        <w:spacing w:line="356" w:lineRule="auto"/>
        <w:jc w:val="center"/>
        <w:rPr>
          <w:rFonts w:hint="eastAsia"/>
          <w:lang w:val="en-US" w:eastAsia="zh-CN"/>
        </w:rPr>
      </w:pPr>
      <w:r>
        <w:rPr>
          <w:rFonts w:hint="eastAsia"/>
          <w:lang w:val="en-US" w:eastAsia="zh-CN"/>
        </w:rPr>
        <w:t>附录 D</w:t>
      </w:r>
      <w:r>
        <w:t>图D.8 黄密玉</w:t>
      </w:r>
    </w:p>
    <w:p w14:paraId="46BF158A">
      <w:pPr>
        <w:pStyle w:val="3"/>
        <w:spacing w:before="120" w:after="0" w:line="360" w:lineRule="auto"/>
        <w:rPr>
          <w:rFonts w:hint="eastAsia" w:ascii="Times New Roman" w:hAnsi="Times New Roman"/>
          <w:color w:val="000000"/>
          <w:kern w:val="0"/>
          <w:sz w:val="24"/>
          <w:szCs w:val="24"/>
          <w:lang w:val="en-US" w:eastAsia="zh-CN"/>
        </w:rPr>
      </w:pPr>
      <w:bookmarkStart w:id="15" w:name="bookmark17"/>
      <w:bookmarkEnd w:id="15"/>
      <w:bookmarkStart w:id="16" w:name="bookmark18"/>
      <w:bookmarkEnd w:id="16"/>
      <w:r>
        <w:rPr>
          <w:rFonts w:hint="eastAsia" w:ascii="Times New Roman" w:hAnsi="Times New Roman"/>
          <w:color w:val="000000"/>
          <w:kern w:val="0"/>
          <w:sz w:val="24"/>
          <w:szCs w:val="24"/>
          <w:lang w:val="en-US" w:eastAsia="zh-CN"/>
        </w:rPr>
        <w:t>4.5  分级</w:t>
      </w:r>
    </w:p>
    <w:p w14:paraId="417D5230">
      <w:pPr>
        <w:spacing w:line="440" w:lineRule="exact"/>
        <w:ind w:left="0" w:leftChars="0" w:firstLine="480" w:firstLineChars="200"/>
        <w:rPr>
          <w:rFonts w:hint="eastAsia"/>
          <w:color w:val="000000"/>
          <w:sz w:val="24"/>
          <w:lang w:val="en-US" w:eastAsia="zh-CN"/>
        </w:rPr>
      </w:pPr>
      <w:r>
        <w:rPr>
          <w:rFonts w:hint="eastAsia"/>
          <w:color w:val="000000"/>
          <w:sz w:val="24"/>
          <w:lang w:val="en-US" w:eastAsia="zh-CN"/>
        </w:rPr>
        <w:t>本标准参照DB 41/T 972－2014《密玉》第8章分级，规定以密玉的颜色、质地、瑕疵、绺裂程度进行质量等级划分，分为特级、一级、二级和三级，应</w:t>
      </w:r>
    </w:p>
    <w:p w14:paraId="12400449">
      <w:pPr>
        <w:spacing w:line="440" w:lineRule="exact"/>
        <w:rPr>
          <w:rFonts w:hint="eastAsia"/>
          <w:color w:val="000000"/>
          <w:sz w:val="24"/>
          <w:lang w:val="en-US" w:eastAsia="zh-CN"/>
        </w:rPr>
      </w:pPr>
      <w:bookmarkStart w:id="17" w:name="bookmark20"/>
      <w:bookmarkEnd w:id="17"/>
      <w:r>
        <w:rPr>
          <w:rFonts w:hint="eastAsia"/>
          <w:color w:val="000000"/>
          <w:sz w:val="24"/>
          <w:lang w:val="en-US" w:eastAsia="zh-CN"/>
        </w:rPr>
        <w:t>符合附录 E 的规定。</w:t>
      </w:r>
    </w:p>
    <w:p w14:paraId="2C620EDE">
      <w:pPr>
        <w:pStyle w:val="10"/>
        <w:spacing w:line="310" w:lineRule="auto"/>
      </w:pPr>
    </w:p>
    <w:p w14:paraId="0CDAAA44">
      <w:pPr>
        <w:spacing w:before="180" w:line="221" w:lineRule="auto"/>
        <w:ind w:left="3331"/>
        <w:rPr>
          <w:rFonts w:ascii="黑体" w:hAnsi="黑体" w:eastAsia="黑体" w:cs="黑体"/>
          <w:spacing w:val="-1"/>
          <w:sz w:val="21"/>
          <w:szCs w:val="21"/>
        </w:rPr>
      </w:pPr>
    </w:p>
    <w:p w14:paraId="7704666D">
      <w:pPr>
        <w:spacing w:line="440" w:lineRule="exact"/>
        <w:jc w:val="center"/>
        <w:rPr>
          <w:rFonts w:hint="eastAsia" w:ascii="宋体" w:hAnsi="宋体" w:cs="宋体"/>
          <w:kern w:val="0"/>
          <w:sz w:val="24"/>
          <w:lang w:val="en-US" w:eastAsia="zh-CN"/>
        </w:rPr>
      </w:pPr>
      <w:r>
        <w:rPr>
          <w:rFonts w:hint="eastAsia"/>
          <w:color w:val="000000"/>
          <w:sz w:val="24"/>
          <w:lang w:val="en-US" w:eastAsia="zh-CN"/>
        </w:rPr>
        <w:t xml:space="preserve">附录 E </w:t>
      </w:r>
      <w:r>
        <w:rPr>
          <w:rFonts w:hint="eastAsia" w:ascii="宋体" w:hAnsi="宋体" w:cs="宋体"/>
          <w:kern w:val="0"/>
          <w:sz w:val="24"/>
          <w:lang w:val="en-US" w:eastAsia="zh-CN"/>
        </w:rPr>
        <w:t>表E.1  密玉原料分级技术要求</w:t>
      </w:r>
    </w:p>
    <w:p w14:paraId="1BD38E5B">
      <w:pPr>
        <w:spacing w:line="129" w:lineRule="exact"/>
      </w:pPr>
    </w:p>
    <w:tbl>
      <w:tblPr>
        <w:tblStyle w:val="147"/>
        <w:tblW w:w="906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908"/>
        <w:gridCol w:w="1766"/>
        <w:gridCol w:w="1995"/>
        <w:gridCol w:w="2365"/>
        <w:gridCol w:w="1282"/>
      </w:tblGrid>
      <w:tr w14:paraId="591C3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53" w:type="dxa"/>
            <w:tcBorders>
              <w:top w:val="single" w:color="000000" w:sz="8" w:space="0"/>
              <w:left w:val="single" w:color="000000" w:sz="8" w:space="0"/>
              <w:bottom w:val="single" w:color="000000" w:sz="8" w:space="0"/>
            </w:tcBorders>
            <w:vAlign w:val="top"/>
          </w:tcPr>
          <w:p w14:paraId="23CE1977">
            <w:pPr>
              <w:pStyle w:val="148"/>
              <w:spacing w:before="64" w:line="220" w:lineRule="auto"/>
              <w:ind w:left="218"/>
            </w:pPr>
            <w:r>
              <w:rPr>
                <w:spacing w:val="-3"/>
              </w:rPr>
              <w:t>等级</w:t>
            </w:r>
          </w:p>
        </w:tc>
        <w:tc>
          <w:tcPr>
            <w:tcW w:w="908" w:type="dxa"/>
            <w:tcBorders>
              <w:top w:val="single" w:color="000000" w:sz="8" w:space="0"/>
              <w:bottom w:val="single" w:color="000000" w:sz="8" w:space="0"/>
            </w:tcBorders>
            <w:vAlign w:val="top"/>
          </w:tcPr>
          <w:p w14:paraId="7FE51408">
            <w:pPr>
              <w:pStyle w:val="148"/>
              <w:spacing w:before="65" w:line="220" w:lineRule="auto"/>
              <w:ind w:left="303"/>
            </w:pPr>
            <w:r>
              <w:rPr>
                <w:spacing w:val="-11"/>
              </w:rPr>
              <w:t>品种</w:t>
            </w:r>
          </w:p>
        </w:tc>
        <w:tc>
          <w:tcPr>
            <w:tcW w:w="1766" w:type="dxa"/>
            <w:tcBorders>
              <w:top w:val="single" w:color="000000" w:sz="8" w:space="0"/>
              <w:bottom w:val="single" w:color="000000" w:sz="8" w:space="0"/>
            </w:tcBorders>
            <w:vAlign w:val="top"/>
          </w:tcPr>
          <w:p w14:paraId="51C9F0F4">
            <w:pPr>
              <w:pStyle w:val="148"/>
              <w:spacing w:before="65" w:line="221" w:lineRule="auto"/>
              <w:ind w:left="720"/>
            </w:pPr>
            <w:r>
              <w:rPr>
                <w:spacing w:val="-2"/>
              </w:rPr>
              <w:t>颜色</w:t>
            </w:r>
          </w:p>
        </w:tc>
        <w:tc>
          <w:tcPr>
            <w:tcW w:w="1995" w:type="dxa"/>
            <w:tcBorders>
              <w:top w:val="single" w:color="000000" w:sz="8" w:space="0"/>
              <w:bottom w:val="single" w:color="000000" w:sz="8" w:space="0"/>
            </w:tcBorders>
            <w:vAlign w:val="top"/>
          </w:tcPr>
          <w:p w14:paraId="78043921">
            <w:pPr>
              <w:pStyle w:val="148"/>
              <w:spacing w:before="65" w:line="220" w:lineRule="auto"/>
              <w:ind w:left="835"/>
            </w:pPr>
            <w:r>
              <w:rPr>
                <w:spacing w:val="-2"/>
              </w:rPr>
              <w:t>质地</w:t>
            </w:r>
          </w:p>
        </w:tc>
        <w:tc>
          <w:tcPr>
            <w:tcW w:w="2365" w:type="dxa"/>
            <w:tcBorders>
              <w:top w:val="single" w:color="000000" w:sz="8" w:space="0"/>
              <w:bottom w:val="single" w:color="000000" w:sz="8" w:space="0"/>
            </w:tcBorders>
            <w:vAlign w:val="top"/>
          </w:tcPr>
          <w:p w14:paraId="3A2520F3">
            <w:pPr>
              <w:pStyle w:val="148"/>
              <w:spacing w:before="64" w:line="220" w:lineRule="auto"/>
              <w:ind w:left="1019"/>
            </w:pPr>
            <w:r>
              <w:rPr>
                <w:spacing w:val="-2"/>
              </w:rPr>
              <w:t>瑕疵</w:t>
            </w:r>
          </w:p>
        </w:tc>
        <w:tc>
          <w:tcPr>
            <w:tcW w:w="1282" w:type="dxa"/>
            <w:tcBorders>
              <w:top w:val="single" w:color="000000" w:sz="8" w:space="0"/>
              <w:bottom w:val="single" w:color="000000" w:sz="8" w:space="0"/>
              <w:right w:val="single" w:color="000000" w:sz="8" w:space="0"/>
            </w:tcBorders>
            <w:vAlign w:val="top"/>
          </w:tcPr>
          <w:p w14:paraId="2BC5B94C">
            <w:pPr>
              <w:pStyle w:val="148"/>
              <w:spacing w:before="65" w:line="220" w:lineRule="auto"/>
              <w:ind w:left="486"/>
            </w:pPr>
            <w:r>
              <w:rPr>
                <w:spacing w:val="-3"/>
              </w:rPr>
              <w:t>绺裂</w:t>
            </w:r>
          </w:p>
        </w:tc>
      </w:tr>
      <w:tr w14:paraId="4DE0A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53" w:type="dxa"/>
            <w:tcBorders>
              <w:top w:val="single" w:color="000000" w:sz="8" w:space="0"/>
              <w:left w:val="single" w:color="000000" w:sz="8" w:space="0"/>
            </w:tcBorders>
            <w:vAlign w:val="top"/>
          </w:tcPr>
          <w:p w14:paraId="68FD13E3">
            <w:pPr>
              <w:spacing w:line="306" w:lineRule="auto"/>
              <w:rPr>
                <w:rFonts w:ascii="Arial"/>
                <w:sz w:val="21"/>
              </w:rPr>
            </w:pPr>
          </w:p>
          <w:p w14:paraId="641DA705">
            <w:pPr>
              <w:pStyle w:val="148"/>
              <w:spacing w:before="59" w:line="220" w:lineRule="auto"/>
              <w:ind w:left="217"/>
            </w:pPr>
            <w:r>
              <w:rPr>
                <w:spacing w:val="-2"/>
              </w:rPr>
              <w:t>特级</w:t>
            </w:r>
          </w:p>
        </w:tc>
        <w:tc>
          <w:tcPr>
            <w:tcW w:w="908" w:type="dxa"/>
            <w:tcBorders>
              <w:top w:val="single" w:color="000000" w:sz="8" w:space="0"/>
            </w:tcBorders>
            <w:vAlign w:val="top"/>
          </w:tcPr>
          <w:p w14:paraId="5C3568F1">
            <w:pPr>
              <w:spacing w:line="307" w:lineRule="auto"/>
              <w:rPr>
                <w:rFonts w:ascii="Arial"/>
                <w:sz w:val="21"/>
              </w:rPr>
            </w:pPr>
          </w:p>
          <w:p w14:paraId="0879E532">
            <w:pPr>
              <w:pStyle w:val="148"/>
              <w:spacing w:before="58" w:line="220" w:lineRule="auto"/>
              <w:ind w:left="216"/>
            </w:pPr>
            <w:r>
              <w:rPr>
                <w:spacing w:val="-6"/>
              </w:rPr>
              <w:t>中绿色</w:t>
            </w:r>
          </w:p>
        </w:tc>
        <w:tc>
          <w:tcPr>
            <w:tcW w:w="1766" w:type="dxa"/>
            <w:tcBorders>
              <w:top w:val="single" w:color="000000" w:sz="8" w:space="0"/>
            </w:tcBorders>
            <w:vAlign w:val="top"/>
          </w:tcPr>
          <w:p w14:paraId="28D197EF">
            <w:pPr>
              <w:pStyle w:val="148"/>
              <w:spacing w:before="206" w:line="305" w:lineRule="auto"/>
              <w:ind w:left="362" w:right="272" w:hanging="92"/>
            </w:pPr>
            <w:r>
              <w:rPr>
                <w:spacing w:val="-7"/>
              </w:rPr>
              <w:t>颜色明亮均匀，</w:t>
            </w:r>
            <w:r>
              <w:rPr>
                <w:spacing w:val="1"/>
              </w:rPr>
              <w:t xml:space="preserve"> </w:t>
            </w:r>
            <w:r>
              <w:rPr>
                <w:spacing w:val="-2"/>
              </w:rPr>
              <w:t>无色带或色斑</w:t>
            </w:r>
          </w:p>
        </w:tc>
        <w:tc>
          <w:tcPr>
            <w:tcW w:w="1995" w:type="dxa"/>
            <w:tcBorders>
              <w:top w:val="single" w:color="000000" w:sz="8" w:space="0"/>
            </w:tcBorders>
            <w:vAlign w:val="top"/>
          </w:tcPr>
          <w:p w14:paraId="52F261E1">
            <w:pPr>
              <w:pStyle w:val="148"/>
              <w:spacing w:before="56" w:line="220" w:lineRule="auto"/>
              <w:ind w:left="145"/>
            </w:pPr>
            <w:r>
              <w:rPr>
                <w:spacing w:val="-5"/>
              </w:rPr>
              <w:t>微透明，质地细腻、致</w:t>
            </w:r>
          </w:p>
          <w:p w14:paraId="74640591">
            <w:pPr>
              <w:pStyle w:val="148"/>
              <w:spacing w:before="95" w:line="220" w:lineRule="auto"/>
              <w:ind w:left="185"/>
            </w:pPr>
            <w:r>
              <w:rPr>
                <w:spacing w:val="-2"/>
              </w:rPr>
              <w:t>密，</w:t>
            </w:r>
            <w:r>
              <w:rPr>
                <w:rFonts w:ascii="Times New Roman" w:hAnsi="Times New Roman" w:eastAsia="Times New Roman" w:cs="Times New Roman"/>
                <w:spacing w:val="-2"/>
              </w:rPr>
              <w:t>10</w:t>
            </w:r>
            <w:r>
              <w:rPr>
                <w:rFonts w:ascii="Times New Roman" w:hAnsi="Times New Roman" w:eastAsia="Times New Roman" w:cs="Times New Roman"/>
                <w:spacing w:val="17"/>
                <w:w w:val="101"/>
              </w:rPr>
              <w:t xml:space="preserve"> </w:t>
            </w:r>
            <w:r>
              <w:rPr>
                <w:spacing w:val="-2"/>
              </w:rPr>
              <w:t>倍放大检查难</w:t>
            </w:r>
          </w:p>
          <w:p w14:paraId="4FF8F3B1">
            <w:pPr>
              <w:pStyle w:val="148"/>
              <w:spacing w:before="95" w:line="220" w:lineRule="auto"/>
              <w:ind w:left="567"/>
            </w:pPr>
            <w:r>
              <w:rPr>
                <w:spacing w:val="-2"/>
              </w:rPr>
              <w:t>见矿物颗粒</w:t>
            </w:r>
          </w:p>
        </w:tc>
        <w:tc>
          <w:tcPr>
            <w:tcW w:w="2365" w:type="dxa"/>
            <w:tcBorders>
              <w:top w:val="single" w:color="000000" w:sz="8" w:space="0"/>
            </w:tcBorders>
            <w:vAlign w:val="top"/>
          </w:tcPr>
          <w:p w14:paraId="27D76B1E">
            <w:pPr>
              <w:pStyle w:val="148"/>
              <w:spacing w:before="56" w:line="305" w:lineRule="auto"/>
              <w:ind w:left="325" w:right="172" w:hanging="116"/>
            </w:pPr>
            <w:r>
              <w:rPr>
                <w:spacing w:val="-1"/>
              </w:rPr>
              <w:t>放大检查可见微量暗色或</w:t>
            </w:r>
            <w:r>
              <w:rPr>
                <w:spacing w:val="2"/>
              </w:rPr>
              <w:t xml:space="preserve"> </w:t>
            </w:r>
            <w:r>
              <w:rPr>
                <w:spacing w:val="-7"/>
              </w:rPr>
              <w:t>白色矿物包体等斑点，</w:t>
            </w:r>
          </w:p>
          <w:p w14:paraId="13F77D0F">
            <w:pPr>
              <w:pStyle w:val="148"/>
              <w:spacing w:before="25" w:line="220" w:lineRule="auto"/>
              <w:ind w:left="481"/>
            </w:pPr>
            <w:r>
              <w:rPr>
                <w:spacing w:val="-1"/>
              </w:rPr>
              <w:t>无红、黑筋及水线</w:t>
            </w:r>
          </w:p>
        </w:tc>
        <w:tc>
          <w:tcPr>
            <w:tcW w:w="1282" w:type="dxa"/>
            <w:tcBorders>
              <w:top w:val="single" w:color="000000" w:sz="8" w:space="0"/>
              <w:right w:val="single" w:color="000000" w:sz="8" w:space="0"/>
            </w:tcBorders>
            <w:vAlign w:val="top"/>
          </w:tcPr>
          <w:p w14:paraId="6759F488">
            <w:pPr>
              <w:spacing w:line="307" w:lineRule="auto"/>
              <w:rPr>
                <w:rFonts w:ascii="Arial"/>
                <w:sz w:val="21"/>
              </w:rPr>
            </w:pPr>
          </w:p>
          <w:p w14:paraId="020F7041">
            <w:pPr>
              <w:pStyle w:val="148"/>
              <w:spacing w:before="58" w:line="220" w:lineRule="auto"/>
              <w:ind w:left="396"/>
            </w:pPr>
            <w:r>
              <w:rPr>
                <w:spacing w:val="-2"/>
              </w:rPr>
              <w:t>无绺裂</w:t>
            </w:r>
          </w:p>
        </w:tc>
      </w:tr>
      <w:tr w14:paraId="6F6EB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53" w:type="dxa"/>
            <w:tcBorders>
              <w:left w:val="single" w:color="000000" w:sz="8" w:space="0"/>
            </w:tcBorders>
            <w:vAlign w:val="top"/>
          </w:tcPr>
          <w:p w14:paraId="69B80261">
            <w:pPr>
              <w:spacing w:line="315" w:lineRule="auto"/>
              <w:rPr>
                <w:rFonts w:ascii="Arial"/>
                <w:sz w:val="21"/>
              </w:rPr>
            </w:pPr>
          </w:p>
          <w:p w14:paraId="79ACFB4A">
            <w:pPr>
              <w:pStyle w:val="148"/>
              <w:spacing w:before="59" w:line="222" w:lineRule="auto"/>
              <w:ind w:left="219"/>
            </w:pPr>
            <w:r>
              <w:rPr>
                <w:spacing w:val="-5"/>
              </w:rPr>
              <w:t>一级</w:t>
            </w:r>
          </w:p>
        </w:tc>
        <w:tc>
          <w:tcPr>
            <w:tcW w:w="908" w:type="dxa"/>
            <w:vAlign w:val="top"/>
          </w:tcPr>
          <w:p w14:paraId="3401D5D1">
            <w:pPr>
              <w:pStyle w:val="148"/>
              <w:spacing w:before="226" w:line="307" w:lineRule="auto"/>
              <w:ind w:left="293" w:right="165" w:hanging="94"/>
            </w:pPr>
            <w:r>
              <w:rPr>
                <w:spacing w:val="-3"/>
              </w:rPr>
              <w:t>深绿色</w:t>
            </w:r>
            <w:r>
              <w:t xml:space="preserve"> </w:t>
            </w:r>
            <w:r>
              <w:rPr>
                <w:spacing w:val="-3"/>
              </w:rPr>
              <w:t>黑色</w:t>
            </w:r>
          </w:p>
        </w:tc>
        <w:tc>
          <w:tcPr>
            <w:tcW w:w="1766" w:type="dxa"/>
            <w:vAlign w:val="top"/>
          </w:tcPr>
          <w:p w14:paraId="6C1804D8">
            <w:pPr>
              <w:pStyle w:val="148"/>
              <w:spacing w:before="226" w:line="220" w:lineRule="auto"/>
              <w:ind w:left="270"/>
            </w:pPr>
            <w:r>
              <w:rPr>
                <w:spacing w:val="-6"/>
              </w:rPr>
              <w:t>颜色整体均匀，</w:t>
            </w:r>
          </w:p>
          <w:p w14:paraId="303492D6">
            <w:pPr>
              <w:pStyle w:val="148"/>
              <w:spacing w:before="95" w:line="219" w:lineRule="auto"/>
              <w:ind w:left="181"/>
            </w:pPr>
            <w:r>
              <w:rPr>
                <w:spacing w:val="-1"/>
              </w:rPr>
              <w:t>偶见无色带或色斑</w:t>
            </w:r>
          </w:p>
        </w:tc>
        <w:tc>
          <w:tcPr>
            <w:tcW w:w="1995" w:type="dxa"/>
            <w:vAlign w:val="top"/>
          </w:tcPr>
          <w:p w14:paraId="0C624AB1">
            <w:pPr>
              <w:pStyle w:val="148"/>
              <w:spacing w:before="65" w:line="220" w:lineRule="auto"/>
              <w:ind w:left="145"/>
            </w:pPr>
            <w:r>
              <w:rPr>
                <w:spacing w:val="-5"/>
              </w:rPr>
              <w:t>微透明，不透明，质地</w:t>
            </w:r>
          </w:p>
          <w:p w14:paraId="44E84547">
            <w:pPr>
              <w:pStyle w:val="148"/>
              <w:spacing w:before="95" w:line="220" w:lineRule="auto"/>
              <w:ind w:left="184"/>
            </w:pPr>
            <w:r>
              <w:rPr>
                <w:spacing w:val="-2"/>
              </w:rPr>
              <w:t>较细腻，</w:t>
            </w:r>
            <w:r>
              <w:rPr>
                <w:rFonts w:ascii="Times New Roman" w:hAnsi="Times New Roman" w:eastAsia="Times New Roman" w:cs="Times New Roman"/>
                <w:spacing w:val="-2"/>
              </w:rPr>
              <w:t>10</w:t>
            </w:r>
            <w:r>
              <w:rPr>
                <w:rFonts w:ascii="Times New Roman" w:hAnsi="Times New Roman" w:eastAsia="Times New Roman" w:cs="Times New Roman"/>
                <w:spacing w:val="18"/>
                <w:w w:val="101"/>
              </w:rPr>
              <w:t xml:space="preserve"> </w:t>
            </w:r>
            <w:r>
              <w:rPr>
                <w:spacing w:val="-2"/>
              </w:rPr>
              <w:t>倍放大检</w:t>
            </w:r>
          </w:p>
          <w:p w14:paraId="0F538BCD">
            <w:pPr>
              <w:pStyle w:val="148"/>
              <w:spacing w:before="105" w:line="220" w:lineRule="auto"/>
              <w:ind w:left="387"/>
            </w:pPr>
            <w:r>
              <w:rPr>
                <w:spacing w:val="-2"/>
              </w:rPr>
              <w:t>查可见矿物颗粒</w:t>
            </w:r>
          </w:p>
        </w:tc>
        <w:tc>
          <w:tcPr>
            <w:tcW w:w="2365" w:type="dxa"/>
            <w:vAlign w:val="top"/>
          </w:tcPr>
          <w:p w14:paraId="145AB41C">
            <w:pPr>
              <w:pStyle w:val="148"/>
              <w:spacing w:before="65" w:line="294" w:lineRule="auto"/>
              <w:ind w:left="139" w:right="99" w:firstLine="88"/>
              <w:jc w:val="both"/>
            </w:pPr>
            <w:r>
              <w:rPr>
                <w:spacing w:val="-3"/>
              </w:rPr>
              <w:t>肉眼可见少量暗色或白色</w:t>
            </w:r>
            <w:r>
              <w:rPr>
                <w:spacing w:val="3"/>
              </w:rPr>
              <w:t xml:space="preserve">  </w:t>
            </w:r>
            <w:r>
              <w:rPr>
                <w:spacing w:val="-4"/>
              </w:rPr>
              <w:t>矿物包体等杂质（斑点或斑</w:t>
            </w:r>
            <w:r>
              <w:rPr>
                <w:spacing w:val="2"/>
              </w:rPr>
              <w:t xml:space="preserve"> </w:t>
            </w:r>
            <w:r>
              <w:rPr>
                <w:spacing w:val="5"/>
              </w:rPr>
              <w:t>块状）和红、黑筋及水线</w:t>
            </w:r>
          </w:p>
        </w:tc>
        <w:tc>
          <w:tcPr>
            <w:tcW w:w="1282" w:type="dxa"/>
            <w:tcBorders>
              <w:right w:val="single" w:color="000000" w:sz="8" w:space="0"/>
            </w:tcBorders>
            <w:vAlign w:val="top"/>
          </w:tcPr>
          <w:p w14:paraId="1FA2B7C5">
            <w:pPr>
              <w:spacing w:line="316" w:lineRule="auto"/>
              <w:rPr>
                <w:rFonts w:ascii="Arial"/>
                <w:sz w:val="21"/>
              </w:rPr>
            </w:pPr>
          </w:p>
          <w:p w14:paraId="497331DA">
            <w:pPr>
              <w:pStyle w:val="148"/>
              <w:spacing w:before="58" w:line="220" w:lineRule="auto"/>
              <w:ind w:left="395"/>
            </w:pPr>
            <w:r>
              <w:rPr>
                <w:spacing w:val="-2"/>
              </w:rPr>
              <w:t>少量绺</w:t>
            </w:r>
          </w:p>
        </w:tc>
      </w:tr>
      <w:tr w14:paraId="60238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753" w:type="dxa"/>
            <w:tcBorders>
              <w:left w:val="single" w:color="000000" w:sz="8" w:space="0"/>
            </w:tcBorders>
            <w:vAlign w:val="top"/>
          </w:tcPr>
          <w:p w14:paraId="7094D914">
            <w:pPr>
              <w:spacing w:line="320" w:lineRule="auto"/>
              <w:rPr>
                <w:rFonts w:ascii="Arial"/>
                <w:sz w:val="21"/>
              </w:rPr>
            </w:pPr>
          </w:p>
          <w:p w14:paraId="54A2C0D1">
            <w:pPr>
              <w:pStyle w:val="148"/>
              <w:spacing w:before="59" w:line="222" w:lineRule="auto"/>
              <w:ind w:left="219"/>
            </w:pPr>
            <w:r>
              <w:rPr>
                <w:spacing w:val="-3"/>
              </w:rPr>
              <w:t>二级</w:t>
            </w:r>
          </w:p>
        </w:tc>
        <w:tc>
          <w:tcPr>
            <w:tcW w:w="908" w:type="dxa"/>
            <w:vAlign w:val="top"/>
          </w:tcPr>
          <w:p w14:paraId="03374202">
            <w:pPr>
              <w:pStyle w:val="148"/>
              <w:spacing w:before="70" w:line="289" w:lineRule="auto"/>
              <w:ind w:left="199" w:right="165" w:firstLine="90"/>
              <w:jc w:val="both"/>
            </w:pPr>
            <w:r>
              <w:rPr>
                <w:spacing w:val="-4"/>
              </w:rPr>
              <w:t>豆绿</w:t>
            </w:r>
            <w:r>
              <w:t xml:space="preserve">  </w:t>
            </w:r>
            <w:r>
              <w:rPr>
                <w:spacing w:val="-3"/>
              </w:rPr>
              <w:t>深红色</w:t>
            </w:r>
            <w:r>
              <w:t xml:space="preserve"> </w:t>
            </w:r>
            <w:r>
              <w:rPr>
                <w:spacing w:val="41"/>
              </w:rPr>
              <w:t>黄色</w:t>
            </w:r>
          </w:p>
        </w:tc>
        <w:tc>
          <w:tcPr>
            <w:tcW w:w="1766" w:type="dxa"/>
            <w:vAlign w:val="top"/>
          </w:tcPr>
          <w:p w14:paraId="47280BB1">
            <w:pPr>
              <w:pStyle w:val="148"/>
              <w:spacing w:before="221" w:line="315" w:lineRule="auto"/>
              <w:ind w:left="272" w:right="182" w:hanging="92"/>
            </w:pPr>
            <w:r>
              <w:rPr>
                <w:spacing w:val="-6"/>
              </w:rPr>
              <w:t>颜色整体较均匀，</w:t>
            </w:r>
            <w:r>
              <w:t xml:space="preserve"> </w:t>
            </w:r>
            <w:r>
              <w:rPr>
                <w:spacing w:val="-2"/>
              </w:rPr>
              <w:t>可见色带或色斑</w:t>
            </w:r>
          </w:p>
        </w:tc>
        <w:tc>
          <w:tcPr>
            <w:tcW w:w="1995" w:type="dxa"/>
            <w:vAlign w:val="top"/>
          </w:tcPr>
          <w:p w14:paraId="3EB90840">
            <w:pPr>
              <w:pStyle w:val="148"/>
              <w:spacing w:before="221" w:line="315" w:lineRule="auto"/>
              <w:ind w:left="145" w:right="97" w:firstLine="59"/>
            </w:pPr>
            <w:r>
              <w:rPr>
                <w:spacing w:val="-1"/>
              </w:rPr>
              <w:t>微透明，局部结构粗</w:t>
            </w:r>
            <w:r>
              <w:t xml:space="preserve">  </w:t>
            </w:r>
            <w:r>
              <w:rPr>
                <w:spacing w:val="-6"/>
              </w:rPr>
              <w:t>糙，肉眼可见晶体颗粒</w:t>
            </w:r>
          </w:p>
        </w:tc>
        <w:tc>
          <w:tcPr>
            <w:tcW w:w="2365" w:type="dxa"/>
            <w:vAlign w:val="top"/>
          </w:tcPr>
          <w:p w14:paraId="5634AB4C">
            <w:pPr>
              <w:pStyle w:val="148"/>
              <w:spacing w:before="70" w:line="220" w:lineRule="auto"/>
              <w:ind w:left="217"/>
            </w:pPr>
            <w:r>
              <w:rPr>
                <w:spacing w:val="-2"/>
              </w:rPr>
              <w:t>暗色或白色矿物包体等杂</w:t>
            </w:r>
          </w:p>
          <w:p w14:paraId="104806E9">
            <w:pPr>
              <w:pStyle w:val="148"/>
              <w:spacing w:before="95" w:line="220" w:lineRule="auto"/>
              <w:ind w:left="140"/>
            </w:pPr>
            <w:r>
              <w:rPr>
                <w:spacing w:val="-13"/>
              </w:rPr>
              <w:t>质（斑点或斑块状）较明显，</w:t>
            </w:r>
          </w:p>
          <w:p w14:paraId="357E3848">
            <w:pPr>
              <w:pStyle w:val="148"/>
              <w:spacing w:before="95" w:line="220" w:lineRule="auto"/>
              <w:ind w:left="391"/>
            </w:pPr>
            <w:r>
              <w:rPr>
                <w:spacing w:val="-1"/>
              </w:rPr>
              <w:t>可见红、黑筋及水线</w:t>
            </w:r>
          </w:p>
        </w:tc>
        <w:tc>
          <w:tcPr>
            <w:tcW w:w="1282" w:type="dxa"/>
            <w:tcBorders>
              <w:right w:val="single" w:color="000000" w:sz="8" w:space="0"/>
            </w:tcBorders>
            <w:vAlign w:val="top"/>
          </w:tcPr>
          <w:p w14:paraId="36D4B697">
            <w:pPr>
              <w:pStyle w:val="148"/>
              <w:spacing w:before="221" w:line="315" w:lineRule="auto"/>
              <w:ind w:left="307" w:right="99" w:hanging="152"/>
            </w:pPr>
            <w:r>
              <w:rPr>
                <w:spacing w:val="-12"/>
              </w:rPr>
              <w:t>少量绺裂，不</w:t>
            </w:r>
            <w:r>
              <w:rPr>
                <w:spacing w:val="3"/>
              </w:rPr>
              <w:t xml:space="preserve"> </w:t>
            </w:r>
            <w:r>
              <w:rPr>
                <w:spacing w:val="-2"/>
              </w:rPr>
              <w:t>具贯通性</w:t>
            </w:r>
          </w:p>
        </w:tc>
      </w:tr>
      <w:tr w14:paraId="31D5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753" w:type="dxa"/>
            <w:tcBorders>
              <w:left w:val="single" w:color="000000" w:sz="8" w:space="0"/>
              <w:bottom w:val="single" w:color="000000" w:sz="8" w:space="0"/>
            </w:tcBorders>
            <w:vAlign w:val="top"/>
          </w:tcPr>
          <w:p w14:paraId="63B8E113">
            <w:pPr>
              <w:spacing w:line="334" w:lineRule="auto"/>
              <w:rPr>
                <w:rFonts w:ascii="Arial"/>
                <w:sz w:val="21"/>
              </w:rPr>
            </w:pPr>
          </w:p>
          <w:p w14:paraId="4EDBFF77">
            <w:pPr>
              <w:pStyle w:val="148"/>
              <w:spacing w:before="59" w:line="222" w:lineRule="auto"/>
              <w:ind w:left="217"/>
            </w:pPr>
            <w:r>
              <w:rPr>
                <w:spacing w:val="-2"/>
              </w:rPr>
              <w:t>三级</w:t>
            </w:r>
          </w:p>
        </w:tc>
        <w:tc>
          <w:tcPr>
            <w:tcW w:w="908" w:type="dxa"/>
            <w:tcBorders>
              <w:bottom w:val="single" w:color="000000" w:sz="8" w:space="0"/>
            </w:tcBorders>
            <w:vAlign w:val="top"/>
          </w:tcPr>
          <w:p w14:paraId="51829F14">
            <w:pPr>
              <w:pStyle w:val="148"/>
              <w:spacing w:before="235" w:line="305" w:lineRule="auto"/>
              <w:ind w:left="201" w:right="165"/>
            </w:pPr>
            <w:r>
              <w:rPr>
                <w:spacing w:val="-4"/>
              </w:rPr>
              <w:t>淡绿色</w:t>
            </w:r>
            <w:r>
              <w:t xml:space="preserve"> </w:t>
            </w:r>
            <w:r>
              <w:rPr>
                <w:spacing w:val="-4"/>
              </w:rPr>
              <w:t>浅红色</w:t>
            </w:r>
          </w:p>
        </w:tc>
        <w:tc>
          <w:tcPr>
            <w:tcW w:w="1766" w:type="dxa"/>
            <w:tcBorders>
              <w:bottom w:val="single" w:color="000000" w:sz="8" w:space="0"/>
            </w:tcBorders>
            <w:vAlign w:val="top"/>
          </w:tcPr>
          <w:p w14:paraId="4404237E">
            <w:pPr>
              <w:pStyle w:val="148"/>
              <w:spacing w:before="75" w:line="315" w:lineRule="auto"/>
              <w:ind w:left="361" w:right="182" w:hanging="181"/>
            </w:pPr>
            <w:r>
              <w:rPr>
                <w:spacing w:val="-6"/>
              </w:rPr>
              <w:t>颜色浅淡或灰暗，</w:t>
            </w:r>
            <w:r>
              <w:t xml:space="preserve"> </w:t>
            </w:r>
            <w:r>
              <w:rPr>
                <w:spacing w:val="-7"/>
              </w:rPr>
              <w:t>整体较均匀，</w:t>
            </w:r>
          </w:p>
          <w:p w14:paraId="78563E4E">
            <w:pPr>
              <w:pStyle w:val="148"/>
              <w:spacing w:before="14" w:line="220" w:lineRule="auto"/>
              <w:ind w:left="273"/>
            </w:pPr>
            <w:r>
              <w:rPr>
                <w:spacing w:val="-2"/>
              </w:rPr>
              <w:t>色带或色斑明显</w:t>
            </w:r>
          </w:p>
        </w:tc>
        <w:tc>
          <w:tcPr>
            <w:tcW w:w="1995" w:type="dxa"/>
            <w:tcBorders>
              <w:bottom w:val="single" w:color="000000" w:sz="8" w:space="0"/>
            </w:tcBorders>
            <w:vAlign w:val="top"/>
          </w:tcPr>
          <w:p w14:paraId="58F2C3AC">
            <w:pPr>
              <w:pStyle w:val="148"/>
              <w:spacing w:before="234" w:line="305" w:lineRule="auto"/>
              <w:ind w:left="203" w:right="87" w:hanging="59"/>
            </w:pPr>
            <w:r>
              <w:rPr>
                <w:spacing w:val="-5"/>
              </w:rPr>
              <w:t>微透明，不透明，结构</w:t>
            </w:r>
            <w:r>
              <w:rPr>
                <w:spacing w:val="1"/>
              </w:rPr>
              <w:t xml:space="preserve"> </w:t>
            </w:r>
            <w:r>
              <w:rPr>
                <w:spacing w:val="-1"/>
              </w:rPr>
              <w:t>粗糙，晶体颗粒明显</w:t>
            </w:r>
          </w:p>
        </w:tc>
        <w:tc>
          <w:tcPr>
            <w:tcW w:w="2365" w:type="dxa"/>
            <w:tcBorders>
              <w:bottom w:val="single" w:color="000000" w:sz="8" w:space="0"/>
            </w:tcBorders>
            <w:vAlign w:val="top"/>
          </w:tcPr>
          <w:p w14:paraId="59212E96">
            <w:pPr>
              <w:pStyle w:val="148"/>
              <w:spacing w:before="75" w:line="315" w:lineRule="auto"/>
              <w:ind w:left="140" w:right="102" w:firstLine="77"/>
            </w:pPr>
            <w:r>
              <w:rPr>
                <w:spacing w:val="-2"/>
              </w:rPr>
              <w:t>暗色或白色矿物包体等杂</w:t>
            </w:r>
            <w:r>
              <w:rPr>
                <w:spacing w:val="6"/>
              </w:rPr>
              <w:t xml:space="preserve"> </w:t>
            </w:r>
            <w:r>
              <w:rPr>
                <w:spacing w:val="-4"/>
              </w:rPr>
              <w:t>质（斑点或斑块状）较多，</w:t>
            </w:r>
          </w:p>
          <w:p w14:paraId="566EF00F">
            <w:pPr>
              <w:pStyle w:val="148"/>
              <w:spacing w:before="15" w:line="220" w:lineRule="auto"/>
              <w:ind w:left="662"/>
            </w:pPr>
            <w:r>
              <w:rPr>
                <w:spacing w:val="-2"/>
              </w:rPr>
              <w:t>筋及水线明显</w:t>
            </w:r>
          </w:p>
        </w:tc>
        <w:tc>
          <w:tcPr>
            <w:tcW w:w="1282" w:type="dxa"/>
            <w:tcBorders>
              <w:bottom w:val="single" w:color="000000" w:sz="8" w:space="0"/>
              <w:right w:val="single" w:color="000000" w:sz="8" w:space="0"/>
            </w:tcBorders>
            <w:vAlign w:val="top"/>
          </w:tcPr>
          <w:p w14:paraId="39DD99CC">
            <w:pPr>
              <w:pStyle w:val="148"/>
              <w:spacing w:before="235" w:line="305" w:lineRule="auto"/>
              <w:ind w:left="217" w:right="99" w:hanging="61"/>
            </w:pPr>
            <w:r>
              <w:rPr>
                <w:spacing w:val="-12"/>
              </w:rPr>
              <w:t>绺裂较多，但</w:t>
            </w:r>
            <w:r>
              <w:rPr>
                <w:spacing w:val="2"/>
              </w:rPr>
              <w:t xml:space="preserve"> </w:t>
            </w:r>
            <w:r>
              <w:rPr>
                <w:spacing w:val="-2"/>
              </w:rPr>
              <w:t>不影响制作</w:t>
            </w:r>
          </w:p>
        </w:tc>
      </w:tr>
    </w:tbl>
    <w:p w14:paraId="15BD8C9B">
      <w:pPr>
        <w:pStyle w:val="3"/>
        <w:spacing w:before="120" w:after="0" w:line="360" w:lineRule="auto"/>
        <w:rPr>
          <w:rFonts w:hint="eastAsia" w:ascii="Times New Roman" w:hAnsi="Times New Roman"/>
          <w:color w:val="000000"/>
          <w:kern w:val="0"/>
          <w:sz w:val="24"/>
          <w:szCs w:val="24"/>
          <w:lang w:val="en-US" w:eastAsia="zh-CN"/>
        </w:rPr>
      </w:pPr>
      <w:bookmarkStart w:id="18" w:name="bookmark19"/>
      <w:bookmarkEnd w:id="18"/>
      <w:r>
        <w:rPr>
          <w:rFonts w:hint="eastAsia" w:ascii="Times New Roman" w:hAnsi="Times New Roman"/>
          <w:color w:val="000000"/>
          <w:kern w:val="0"/>
          <w:sz w:val="24"/>
          <w:szCs w:val="24"/>
          <w:lang w:val="en-US" w:eastAsia="zh-CN"/>
        </w:rPr>
        <w:t>4.6  产品加工</w:t>
      </w:r>
    </w:p>
    <w:p w14:paraId="401956C7">
      <w:pPr>
        <w:spacing w:line="440" w:lineRule="exact"/>
        <w:ind w:left="0" w:leftChars="0" w:firstLine="480" w:firstLineChars="200"/>
        <w:rPr>
          <w:rFonts w:hint="eastAsia"/>
          <w:color w:val="000000"/>
          <w:sz w:val="24"/>
          <w:lang w:val="en-US" w:eastAsia="zh-CN"/>
        </w:rPr>
      </w:pPr>
      <w:r>
        <w:rPr>
          <w:rFonts w:hint="eastAsia"/>
          <w:color w:val="000000"/>
          <w:sz w:val="24"/>
          <w:lang w:val="en-US" w:eastAsia="zh-CN"/>
        </w:rPr>
        <w:t>本标准参照DB 41/T 972－2014《密玉》第9章加工，规定密玉雕刻产品工艺要求应符合表 1 的规定。</w:t>
      </w:r>
    </w:p>
    <w:p w14:paraId="07CAEDDA">
      <w:pPr>
        <w:spacing w:line="440" w:lineRule="exact"/>
        <w:jc w:val="center"/>
        <w:rPr>
          <w:rFonts w:hint="eastAsia" w:ascii="宋体" w:hAnsi="宋体" w:cs="宋体"/>
          <w:kern w:val="0"/>
          <w:sz w:val="24"/>
          <w:lang w:val="en-US" w:eastAsia="zh-CN"/>
        </w:rPr>
      </w:pPr>
      <w:r>
        <w:rPr>
          <w:rFonts w:hint="eastAsia" w:ascii="宋体" w:hAnsi="宋体" w:cs="宋体"/>
          <w:kern w:val="0"/>
          <w:sz w:val="24"/>
          <w:lang w:val="en-US" w:eastAsia="zh-CN"/>
        </w:rPr>
        <w:t>表 1 密玉产品加工要求</w:t>
      </w:r>
    </w:p>
    <w:p w14:paraId="741F6267">
      <w:pPr>
        <w:spacing w:line="130" w:lineRule="exact"/>
      </w:pPr>
    </w:p>
    <w:tbl>
      <w:tblPr>
        <w:tblStyle w:val="147"/>
        <w:tblW w:w="8350"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36"/>
        <w:gridCol w:w="5914"/>
      </w:tblGrid>
      <w:tr w14:paraId="052F7C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2436" w:type="dxa"/>
            <w:tcBorders>
              <w:top w:val="single" w:color="auto" w:sz="4" w:space="0"/>
              <w:left w:val="single" w:color="auto" w:sz="4" w:space="0"/>
              <w:bottom w:val="single" w:color="auto" w:sz="4" w:space="0"/>
              <w:right w:val="single" w:color="auto" w:sz="4" w:space="0"/>
            </w:tcBorders>
            <w:vAlign w:val="top"/>
          </w:tcPr>
          <w:p w14:paraId="72904019">
            <w:pPr>
              <w:pStyle w:val="148"/>
              <w:spacing w:before="234" w:line="305" w:lineRule="auto"/>
              <w:ind w:left="203" w:right="87" w:hanging="59"/>
              <w:jc w:val="center"/>
              <w:rPr>
                <w:spacing w:val="-5"/>
              </w:rPr>
            </w:pPr>
            <w:r>
              <w:rPr>
                <w:spacing w:val="-5"/>
              </w:rPr>
              <w:t>名  称</w:t>
            </w:r>
          </w:p>
        </w:tc>
        <w:tc>
          <w:tcPr>
            <w:tcW w:w="5914" w:type="dxa"/>
            <w:tcBorders>
              <w:top w:val="single" w:color="auto" w:sz="4" w:space="0"/>
              <w:left w:val="single" w:color="auto" w:sz="4" w:space="0"/>
              <w:bottom w:val="single" w:color="auto" w:sz="4" w:space="0"/>
              <w:right w:val="single" w:color="auto" w:sz="4" w:space="0"/>
            </w:tcBorders>
            <w:vAlign w:val="top"/>
          </w:tcPr>
          <w:p w14:paraId="66EC728D">
            <w:pPr>
              <w:pStyle w:val="148"/>
              <w:spacing w:before="234" w:line="305" w:lineRule="auto"/>
              <w:ind w:left="203" w:right="87" w:hanging="59"/>
              <w:jc w:val="center"/>
              <w:rPr>
                <w:spacing w:val="-5"/>
              </w:rPr>
            </w:pPr>
            <w:r>
              <w:rPr>
                <w:spacing w:val="-5"/>
              </w:rPr>
              <w:t>要       求</w:t>
            </w:r>
          </w:p>
        </w:tc>
      </w:tr>
      <w:tr w14:paraId="412C99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2436" w:type="dxa"/>
            <w:tcBorders>
              <w:top w:val="single" w:color="auto" w:sz="4" w:space="0"/>
              <w:left w:val="single" w:color="auto" w:sz="4" w:space="0"/>
              <w:bottom w:val="single" w:color="auto" w:sz="4" w:space="0"/>
              <w:right w:val="single" w:color="auto" w:sz="4" w:space="0"/>
            </w:tcBorders>
            <w:vAlign w:val="top"/>
          </w:tcPr>
          <w:p w14:paraId="16CFFF12">
            <w:pPr>
              <w:pStyle w:val="148"/>
              <w:spacing w:before="234" w:line="305" w:lineRule="auto"/>
              <w:ind w:left="203" w:right="87" w:hanging="59"/>
              <w:jc w:val="center"/>
              <w:rPr>
                <w:spacing w:val="-5"/>
              </w:rPr>
            </w:pPr>
            <w:r>
              <w:rPr>
                <w:spacing w:val="-5"/>
              </w:rPr>
              <w:t>材料应用</w:t>
            </w:r>
          </w:p>
        </w:tc>
        <w:tc>
          <w:tcPr>
            <w:tcW w:w="5914" w:type="dxa"/>
            <w:tcBorders>
              <w:top w:val="single" w:color="auto" w:sz="4" w:space="0"/>
              <w:left w:val="single" w:color="auto" w:sz="4" w:space="0"/>
              <w:bottom w:val="single" w:color="auto" w:sz="4" w:space="0"/>
              <w:right w:val="single" w:color="auto" w:sz="4" w:space="0"/>
            </w:tcBorders>
            <w:vAlign w:val="top"/>
          </w:tcPr>
          <w:p w14:paraId="1D42F9B3">
            <w:pPr>
              <w:pStyle w:val="148"/>
              <w:spacing w:before="234" w:line="305" w:lineRule="auto"/>
              <w:ind w:left="203" w:right="87" w:hanging="59"/>
              <w:jc w:val="center"/>
              <w:rPr>
                <w:spacing w:val="-5"/>
              </w:rPr>
            </w:pPr>
            <w:r>
              <w:rPr>
                <w:spacing w:val="-5"/>
              </w:rPr>
              <w:t>因材施艺，挖脏去绺，形、色利用巧妙，内、外部特征处理得当</w:t>
            </w:r>
          </w:p>
        </w:tc>
      </w:tr>
      <w:tr w14:paraId="75FA04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8" w:hRule="atLeast"/>
        </w:trPr>
        <w:tc>
          <w:tcPr>
            <w:tcW w:w="2436" w:type="dxa"/>
            <w:tcBorders>
              <w:top w:val="single" w:color="auto" w:sz="4" w:space="0"/>
              <w:left w:val="single" w:color="auto" w:sz="4" w:space="0"/>
              <w:bottom w:val="single" w:color="auto" w:sz="4" w:space="0"/>
              <w:right w:val="single" w:color="auto" w:sz="4" w:space="0"/>
            </w:tcBorders>
            <w:vAlign w:val="top"/>
          </w:tcPr>
          <w:p w14:paraId="0111D7CB">
            <w:pPr>
              <w:pStyle w:val="148"/>
              <w:spacing w:before="234" w:line="305" w:lineRule="auto"/>
              <w:ind w:left="203" w:right="87" w:hanging="59"/>
              <w:jc w:val="center"/>
              <w:rPr>
                <w:spacing w:val="-5"/>
              </w:rPr>
            </w:pPr>
            <w:r>
              <w:rPr>
                <w:spacing w:val="-5"/>
              </w:rPr>
              <w:t>设计创意</w:t>
            </w:r>
          </w:p>
        </w:tc>
        <w:tc>
          <w:tcPr>
            <w:tcW w:w="5914" w:type="dxa"/>
            <w:tcBorders>
              <w:top w:val="single" w:color="auto" w:sz="4" w:space="0"/>
              <w:left w:val="single" w:color="auto" w:sz="4" w:space="0"/>
              <w:bottom w:val="single" w:color="auto" w:sz="4" w:space="0"/>
              <w:right w:val="single" w:color="auto" w:sz="4" w:space="0"/>
            </w:tcBorders>
            <w:vAlign w:val="top"/>
          </w:tcPr>
          <w:p w14:paraId="5889CAFE">
            <w:pPr>
              <w:pStyle w:val="148"/>
              <w:spacing w:before="234" w:line="305" w:lineRule="auto"/>
              <w:ind w:left="203" w:right="87" w:hanging="59"/>
              <w:jc w:val="center"/>
              <w:rPr>
                <w:spacing w:val="-5"/>
              </w:rPr>
            </w:pPr>
            <w:r>
              <w:rPr>
                <w:spacing w:val="-5"/>
              </w:rPr>
              <w:t>寓意美好，主题鲜明，构图合理，比例协调，结构准确</w:t>
            </w:r>
          </w:p>
        </w:tc>
      </w:tr>
      <w:tr w14:paraId="56AB9AB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2436" w:type="dxa"/>
            <w:tcBorders>
              <w:top w:val="single" w:color="auto" w:sz="4" w:space="0"/>
              <w:left w:val="single" w:color="auto" w:sz="4" w:space="0"/>
              <w:bottom w:val="single" w:color="auto" w:sz="4" w:space="0"/>
              <w:right w:val="single" w:color="auto" w:sz="4" w:space="0"/>
            </w:tcBorders>
            <w:vAlign w:val="top"/>
          </w:tcPr>
          <w:p w14:paraId="769B56B3">
            <w:pPr>
              <w:pStyle w:val="148"/>
              <w:spacing w:before="234" w:line="305" w:lineRule="auto"/>
              <w:ind w:left="203" w:right="87" w:hanging="59"/>
              <w:jc w:val="center"/>
              <w:rPr>
                <w:spacing w:val="-5"/>
              </w:rPr>
            </w:pPr>
            <w:r>
              <w:rPr>
                <w:spacing w:val="-5"/>
              </w:rPr>
              <w:t>雕刻技艺</w:t>
            </w:r>
          </w:p>
        </w:tc>
        <w:tc>
          <w:tcPr>
            <w:tcW w:w="5914" w:type="dxa"/>
            <w:tcBorders>
              <w:top w:val="single" w:color="auto" w:sz="4" w:space="0"/>
              <w:left w:val="single" w:color="auto" w:sz="4" w:space="0"/>
              <w:bottom w:val="single" w:color="auto" w:sz="4" w:space="0"/>
              <w:right w:val="single" w:color="auto" w:sz="4" w:space="0"/>
            </w:tcBorders>
            <w:vAlign w:val="top"/>
          </w:tcPr>
          <w:p w14:paraId="5B37C9BB">
            <w:pPr>
              <w:pStyle w:val="148"/>
              <w:spacing w:before="234" w:line="305" w:lineRule="auto"/>
              <w:ind w:left="203" w:right="87" w:hanging="59"/>
              <w:jc w:val="center"/>
              <w:rPr>
                <w:spacing w:val="-5"/>
              </w:rPr>
            </w:pPr>
            <w:r>
              <w:rPr>
                <w:spacing w:val="-5"/>
              </w:rPr>
              <w:t>细致精湛，层次分明，线条流畅，表面平顺，细部处理完美</w:t>
            </w:r>
          </w:p>
        </w:tc>
      </w:tr>
      <w:tr w14:paraId="6D63D3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8" w:hRule="atLeast"/>
        </w:trPr>
        <w:tc>
          <w:tcPr>
            <w:tcW w:w="2436" w:type="dxa"/>
            <w:tcBorders>
              <w:top w:val="single" w:color="auto" w:sz="4" w:space="0"/>
              <w:left w:val="single" w:color="auto" w:sz="4" w:space="0"/>
              <w:bottom w:val="single" w:color="auto" w:sz="4" w:space="0"/>
              <w:right w:val="single" w:color="auto" w:sz="4" w:space="0"/>
            </w:tcBorders>
            <w:vAlign w:val="top"/>
          </w:tcPr>
          <w:p w14:paraId="56AEBA62">
            <w:pPr>
              <w:pStyle w:val="148"/>
              <w:spacing w:before="234" w:line="305" w:lineRule="auto"/>
              <w:ind w:left="203" w:right="87" w:hanging="59"/>
              <w:jc w:val="center"/>
              <w:rPr>
                <w:spacing w:val="-5"/>
              </w:rPr>
            </w:pPr>
            <w:r>
              <w:rPr>
                <w:spacing w:val="-5"/>
              </w:rPr>
              <w:t>抛光工艺</w:t>
            </w:r>
          </w:p>
        </w:tc>
        <w:tc>
          <w:tcPr>
            <w:tcW w:w="5914" w:type="dxa"/>
            <w:tcBorders>
              <w:top w:val="single" w:color="auto" w:sz="4" w:space="0"/>
              <w:left w:val="single" w:color="auto" w:sz="4" w:space="0"/>
              <w:bottom w:val="single" w:color="auto" w:sz="4" w:space="0"/>
              <w:right w:val="single" w:color="auto" w:sz="4" w:space="0"/>
            </w:tcBorders>
            <w:vAlign w:val="top"/>
          </w:tcPr>
          <w:p w14:paraId="6A0BC5C7">
            <w:pPr>
              <w:pStyle w:val="148"/>
              <w:spacing w:before="234" w:line="305" w:lineRule="auto"/>
              <w:ind w:left="203" w:right="87" w:hanging="59"/>
              <w:jc w:val="center"/>
              <w:rPr>
                <w:spacing w:val="-5"/>
              </w:rPr>
            </w:pPr>
            <w:r>
              <w:rPr>
                <w:spacing w:val="-5"/>
              </w:rPr>
              <w:t>确保作品完整，光、亮、润、美</w:t>
            </w:r>
          </w:p>
        </w:tc>
      </w:tr>
    </w:tbl>
    <w:p w14:paraId="054E84EE">
      <w:pPr>
        <w:pStyle w:val="11"/>
        <w:spacing w:line="440" w:lineRule="exact"/>
        <w:ind w:firstLine="0"/>
        <w:outlineLvl w:val="0"/>
        <w:rPr>
          <w:rFonts w:hint="eastAsia" w:ascii="Times New Roman" w:eastAsia="宋体"/>
          <w:b/>
          <w:kern w:val="0"/>
          <w:sz w:val="24"/>
          <w:szCs w:val="24"/>
        </w:rPr>
      </w:pPr>
    </w:p>
    <w:p w14:paraId="2F6DAC4D">
      <w:pPr>
        <w:pStyle w:val="11"/>
        <w:spacing w:line="440" w:lineRule="exact"/>
        <w:ind w:firstLine="0"/>
        <w:outlineLvl w:val="0"/>
        <w:rPr>
          <w:rFonts w:ascii="Times New Roman" w:eastAsia="宋体"/>
          <w:b/>
          <w:kern w:val="0"/>
          <w:sz w:val="24"/>
          <w:szCs w:val="24"/>
        </w:rPr>
      </w:pPr>
      <w:r>
        <w:rPr>
          <w:rFonts w:hint="eastAsia" w:ascii="Times New Roman" w:eastAsia="宋体"/>
          <w:b/>
          <w:kern w:val="0"/>
          <w:sz w:val="24"/>
          <w:szCs w:val="24"/>
        </w:rPr>
        <w:t>5主要验证情况分析</w:t>
      </w:r>
      <w:bookmarkEnd w:id="14"/>
    </w:p>
    <w:p w14:paraId="70BB5822">
      <w:pPr>
        <w:spacing w:line="440" w:lineRule="exact"/>
        <w:ind w:firstLine="480"/>
        <w:rPr>
          <w:color w:val="000000"/>
          <w:sz w:val="24"/>
        </w:rPr>
      </w:pPr>
      <w:r>
        <w:rPr>
          <w:rFonts w:hint="eastAsia"/>
          <w:color w:val="000000"/>
          <w:sz w:val="24"/>
          <w:lang w:val="en-US" w:eastAsia="zh-CN"/>
        </w:rPr>
        <w:t>见附件</w:t>
      </w:r>
      <w:r>
        <w:rPr>
          <w:rFonts w:hint="eastAsia"/>
          <w:color w:val="000000"/>
          <w:sz w:val="24"/>
        </w:rPr>
        <w:t>。</w:t>
      </w:r>
    </w:p>
    <w:p w14:paraId="5545C0BD">
      <w:pPr>
        <w:pStyle w:val="11"/>
        <w:spacing w:line="440" w:lineRule="exact"/>
        <w:ind w:firstLine="0"/>
        <w:outlineLvl w:val="0"/>
        <w:rPr>
          <w:rFonts w:ascii="Times New Roman" w:eastAsia="宋体"/>
          <w:b/>
          <w:kern w:val="0"/>
          <w:sz w:val="24"/>
          <w:szCs w:val="24"/>
        </w:rPr>
      </w:pPr>
      <w:bookmarkStart w:id="19" w:name="_Toc132710506"/>
      <w:r>
        <w:rPr>
          <w:rFonts w:ascii="Times New Roman" w:eastAsia="宋体"/>
          <w:b/>
          <w:kern w:val="0"/>
          <w:sz w:val="24"/>
          <w:szCs w:val="24"/>
        </w:rPr>
        <w:t>6</w:t>
      </w:r>
      <w:r>
        <w:rPr>
          <w:rFonts w:hint="eastAsia" w:ascii="Times New Roman" w:eastAsia="宋体"/>
          <w:b/>
          <w:kern w:val="0"/>
          <w:sz w:val="24"/>
          <w:szCs w:val="24"/>
        </w:rPr>
        <w:t>标准中</w:t>
      </w:r>
      <w:r>
        <w:rPr>
          <w:rFonts w:ascii="Times New Roman" w:eastAsia="宋体"/>
          <w:b/>
          <w:kern w:val="0"/>
          <w:sz w:val="24"/>
          <w:szCs w:val="24"/>
        </w:rPr>
        <w:t>涉及专利</w:t>
      </w:r>
      <w:r>
        <w:rPr>
          <w:rFonts w:hint="eastAsia" w:ascii="Times New Roman" w:eastAsia="宋体"/>
          <w:b/>
          <w:kern w:val="0"/>
          <w:sz w:val="24"/>
          <w:szCs w:val="24"/>
        </w:rPr>
        <w:t>的</w:t>
      </w:r>
      <w:r>
        <w:rPr>
          <w:rFonts w:ascii="Times New Roman" w:eastAsia="宋体"/>
          <w:b/>
          <w:kern w:val="0"/>
          <w:sz w:val="24"/>
          <w:szCs w:val="24"/>
        </w:rPr>
        <w:t>情况</w:t>
      </w:r>
      <w:bookmarkEnd w:id="19"/>
    </w:p>
    <w:p w14:paraId="264BE809">
      <w:pPr>
        <w:spacing w:line="440" w:lineRule="exact"/>
        <w:ind w:firstLine="480"/>
        <w:rPr>
          <w:rFonts w:hint="eastAsia"/>
          <w:color w:val="000000"/>
          <w:sz w:val="24"/>
        </w:rPr>
      </w:pPr>
      <w:r>
        <w:rPr>
          <w:color w:val="000000"/>
          <w:sz w:val="24"/>
        </w:rPr>
        <w:t>本标准不涉及专利</w:t>
      </w:r>
      <w:r>
        <w:rPr>
          <w:rFonts w:hint="eastAsia"/>
          <w:color w:val="000000"/>
          <w:sz w:val="24"/>
        </w:rPr>
        <w:t>问题。</w:t>
      </w:r>
    </w:p>
    <w:p w14:paraId="5F46FEC6">
      <w:pPr>
        <w:spacing w:line="440" w:lineRule="exact"/>
        <w:ind w:firstLine="480"/>
        <w:rPr>
          <w:rFonts w:hint="eastAsia"/>
          <w:color w:val="000000"/>
          <w:sz w:val="24"/>
        </w:rPr>
      </w:pPr>
    </w:p>
    <w:p w14:paraId="701235A0">
      <w:pPr>
        <w:pStyle w:val="11"/>
        <w:spacing w:line="440" w:lineRule="exact"/>
        <w:ind w:firstLine="0"/>
        <w:outlineLvl w:val="0"/>
        <w:rPr>
          <w:rFonts w:hAnsi="仿宋_GB2312" w:cs="仿宋_GB2312"/>
          <w:bCs/>
        </w:rPr>
      </w:pPr>
      <w:bookmarkStart w:id="20" w:name="_Toc132710507"/>
      <w:r>
        <w:rPr>
          <w:rFonts w:hint="eastAsia" w:ascii="Times New Roman" w:eastAsia="宋体"/>
          <w:b/>
          <w:kern w:val="0"/>
          <w:sz w:val="24"/>
          <w:szCs w:val="24"/>
        </w:rPr>
        <w:t>7预期达到的社会效益、对产业发展的作用等情况</w:t>
      </w:r>
      <w:bookmarkEnd w:id="20"/>
    </w:p>
    <w:p w14:paraId="0E2EACAB">
      <w:pPr>
        <w:spacing w:line="440" w:lineRule="exact"/>
        <w:ind w:left="0" w:leftChars="0" w:firstLine="480" w:firstLineChars="200"/>
        <w:rPr>
          <w:color w:val="000000"/>
          <w:sz w:val="24"/>
        </w:rPr>
      </w:pPr>
      <w:r>
        <w:rPr>
          <w:color w:val="000000"/>
          <w:sz w:val="24"/>
        </w:rPr>
        <w:t>密玉，被誉为“河南翠”。据权威探明，</w:t>
      </w:r>
      <w:r>
        <w:rPr>
          <w:rFonts w:hint="eastAsia"/>
          <w:color w:val="000000"/>
          <w:sz w:val="24"/>
          <w:lang w:val="en-US" w:eastAsia="zh-CN"/>
        </w:rPr>
        <w:t>其</w:t>
      </w:r>
      <w:r>
        <w:rPr>
          <w:color w:val="000000"/>
          <w:sz w:val="24"/>
        </w:rPr>
        <w:t>可采储量高达6310万吨。密玉不仅储量丰富，而且品质卓越，质地坚硬，纹络细腻，色泽鲜艳透明，极少杂质，堪称玉中精品。作为河南省新密市的特色矿产资源，密玉</w:t>
      </w:r>
      <w:r>
        <w:rPr>
          <w:rFonts w:hint="eastAsia"/>
          <w:color w:val="000000"/>
          <w:sz w:val="24"/>
          <w:lang w:val="en-US" w:eastAsia="zh-CN"/>
        </w:rPr>
        <w:t>以</w:t>
      </w:r>
      <w:r>
        <w:rPr>
          <w:color w:val="000000"/>
          <w:sz w:val="24"/>
        </w:rPr>
        <w:t>其独特的石英岩质特性与丰富的色彩，在珠宝玉石市场中占据了重要地位。</w:t>
      </w:r>
    </w:p>
    <w:p w14:paraId="09874CA2">
      <w:pPr>
        <w:spacing w:line="440" w:lineRule="exact"/>
        <w:ind w:left="0" w:leftChars="0" w:firstLine="480" w:firstLineChars="200"/>
        <w:rPr>
          <w:color w:val="000000"/>
          <w:sz w:val="24"/>
        </w:rPr>
      </w:pPr>
      <w:r>
        <w:rPr>
          <w:color w:val="000000"/>
          <w:sz w:val="24"/>
        </w:rPr>
        <w:t xml:space="preserve">《密玉》团体标准的制定与实施，不仅规范了密玉市场的秩序，更在预期社会效益与产业发展方面展现出显著作用。 </w:t>
      </w:r>
    </w:p>
    <w:p w14:paraId="3AED646D">
      <w:pPr>
        <w:spacing w:line="440" w:lineRule="exact"/>
        <w:ind w:left="0" w:leftChars="0" w:firstLine="480" w:firstLineChars="200"/>
        <w:rPr>
          <w:color w:val="000000"/>
          <w:sz w:val="24"/>
        </w:rPr>
      </w:pPr>
      <w:r>
        <w:rPr>
          <w:rFonts w:hint="eastAsia"/>
          <w:color w:val="000000"/>
          <w:sz w:val="24"/>
          <w:lang w:val="en-US" w:eastAsia="zh-CN"/>
        </w:rPr>
        <w:t>（1）</w:t>
      </w:r>
      <w:r>
        <w:rPr>
          <w:color w:val="000000"/>
          <w:sz w:val="24"/>
        </w:rPr>
        <w:t xml:space="preserve">预期达到的社会效益 </w:t>
      </w:r>
    </w:p>
    <w:p w14:paraId="24937354">
      <w:pPr>
        <w:widowControl/>
        <w:spacing w:line="440" w:lineRule="exact"/>
        <w:ind w:firstLine="480" w:firstLineChars="200"/>
        <w:rPr>
          <w:color w:val="000000"/>
          <w:sz w:val="24"/>
        </w:rPr>
      </w:pPr>
      <w:r>
        <w:rPr>
          <w:color w:val="000000"/>
          <w:sz w:val="24"/>
        </w:rPr>
        <w:t>1</w:t>
      </w:r>
      <w:r>
        <w:rPr>
          <w:rFonts w:hint="eastAsia"/>
          <w:color w:val="000000"/>
          <w:sz w:val="24"/>
          <w:lang w:eastAsia="zh-CN"/>
        </w:rPr>
        <w:t>）</w:t>
      </w:r>
      <w:r>
        <w:rPr>
          <w:color w:val="000000"/>
          <w:sz w:val="24"/>
        </w:rPr>
        <w:t>提升消费者信任度：团体标准的出台，为密玉产品提供了统一的质量评价体系。消费者在购买密玉产品时，可以依据标准判断其品质，减少因信息不对称带来的消费风险，从而增强对市场的信任感。这种信任度的提升，有利于构建健康、有序的珠宝玉石市场环境。</w:t>
      </w:r>
    </w:p>
    <w:p w14:paraId="28AC733E">
      <w:pPr>
        <w:widowControl/>
        <w:spacing w:line="440" w:lineRule="exact"/>
        <w:ind w:firstLine="480" w:firstLineChars="200"/>
        <w:rPr>
          <w:rFonts w:hint="eastAsia"/>
          <w:color w:val="000000"/>
          <w:sz w:val="24"/>
        </w:rPr>
      </w:pPr>
      <w:r>
        <w:rPr>
          <w:color w:val="000000"/>
          <w:sz w:val="24"/>
        </w:rPr>
        <w:t>2</w:t>
      </w:r>
      <w:r>
        <w:rPr>
          <w:rFonts w:hint="eastAsia"/>
          <w:color w:val="000000"/>
          <w:sz w:val="24"/>
          <w:lang w:eastAsia="zh-CN"/>
        </w:rPr>
        <w:t>）</w:t>
      </w:r>
      <w:r>
        <w:rPr>
          <w:color w:val="000000"/>
          <w:sz w:val="24"/>
        </w:rPr>
        <w:t>促进文化传承与保护：密玉作为地方特色资源，其背后蕴含着丰富的文化内涵和历史价值。团体标准的制定，不仅是对密玉物理特性的规范，更是对其文化属性的保护和传承。通过标准的推广，可以引导消费者关注密玉的文化价值，促进文化遗产的传承与发展。</w:t>
      </w:r>
    </w:p>
    <w:p w14:paraId="44792163">
      <w:pPr>
        <w:widowControl/>
        <w:spacing w:line="440" w:lineRule="exact"/>
        <w:ind w:firstLine="480" w:firstLineChars="200"/>
        <w:rPr>
          <w:color w:val="000000"/>
          <w:sz w:val="24"/>
        </w:rPr>
      </w:pPr>
      <w:r>
        <w:rPr>
          <w:rFonts w:hint="eastAsia"/>
          <w:color w:val="000000"/>
          <w:sz w:val="24"/>
          <w:lang w:val="en-US" w:eastAsia="zh-CN"/>
        </w:rPr>
        <w:t>3）</w:t>
      </w:r>
      <w:r>
        <w:rPr>
          <w:color w:val="000000"/>
          <w:sz w:val="24"/>
        </w:rPr>
        <w:t>增强行业自律：团体标准虽然不是强制性标准，但其在行业内的广泛认同和采用，实际上形成了一种自律机制。企业为了提升品牌形象和市场竞争力，会主动遵循团体标准，加强内部管理，提高产品质量。这种自律行为的普及，有助于整个行业的健康发展。</w:t>
      </w:r>
    </w:p>
    <w:p w14:paraId="31B21C15">
      <w:pPr>
        <w:widowControl/>
        <w:spacing w:line="440" w:lineRule="exact"/>
        <w:ind w:firstLine="480" w:firstLineChars="200"/>
        <w:rPr>
          <w:color w:val="000000"/>
          <w:sz w:val="24"/>
        </w:rPr>
      </w:pPr>
      <w:r>
        <w:rPr>
          <w:color w:val="000000"/>
          <w:sz w:val="24"/>
        </w:rPr>
        <w:t>4</w:t>
      </w:r>
      <w:r>
        <w:rPr>
          <w:rFonts w:hint="eastAsia"/>
          <w:color w:val="000000"/>
          <w:sz w:val="24"/>
          <w:lang w:eastAsia="zh-CN"/>
        </w:rPr>
        <w:t>）</w:t>
      </w:r>
      <w:r>
        <w:rPr>
          <w:color w:val="000000"/>
          <w:sz w:val="24"/>
        </w:rPr>
        <w:t>推动科技创新：团体标准的制定过程中，往往涉及对新技术、新工艺的研究与应用。密玉团体标准的实施，将激励企业加大研发投入，探索更加高效、环保的开采和加工技术，推动行业科技进步，提高生产效率。</w:t>
      </w:r>
    </w:p>
    <w:p w14:paraId="1661353B">
      <w:pPr>
        <w:widowControl/>
        <w:spacing w:line="440" w:lineRule="exact"/>
        <w:ind w:firstLine="480" w:firstLineChars="200"/>
        <w:rPr>
          <w:color w:val="000000"/>
          <w:sz w:val="24"/>
        </w:rPr>
      </w:pPr>
      <w:r>
        <w:rPr>
          <w:rFonts w:hint="eastAsia"/>
          <w:color w:val="000000"/>
          <w:sz w:val="24"/>
          <w:lang w:val="en-US" w:eastAsia="zh-CN"/>
        </w:rPr>
        <w:t>（2）</w:t>
      </w:r>
      <w:r>
        <w:rPr>
          <w:color w:val="000000"/>
          <w:sz w:val="24"/>
        </w:rPr>
        <w:t xml:space="preserve">对产业发展的作用 </w:t>
      </w:r>
    </w:p>
    <w:p w14:paraId="7BDEF94E">
      <w:pPr>
        <w:widowControl/>
        <w:spacing w:line="440" w:lineRule="exact"/>
        <w:ind w:firstLine="480" w:firstLineChars="200"/>
        <w:rPr>
          <w:color w:val="000000"/>
          <w:sz w:val="24"/>
        </w:rPr>
      </w:pPr>
      <w:r>
        <w:rPr>
          <w:color w:val="000000"/>
          <w:sz w:val="24"/>
        </w:rPr>
        <w:t>1</w:t>
      </w:r>
      <w:r>
        <w:rPr>
          <w:rFonts w:hint="eastAsia"/>
          <w:color w:val="000000"/>
          <w:sz w:val="24"/>
          <w:lang w:eastAsia="zh-CN"/>
        </w:rPr>
        <w:t>）</w:t>
      </w:r>
      <w:r>
        <w:rPr>
          <w:color w:val="000000"/>
          <w:sz w:val="24"/>
        </w:rPr>
        <w:t xml:space="preserve">规范市场秩序：在没有统一标准的情况下，密玉市场容易出现以次充好、假冒伪劣等不正当竞争行为。团体标准的出台，为市场提供了明确的质量评判标准，有助于打击违法行为，维护市场秩序，保护合法经营者的权益。 </w:t>
      </w:r>
    </w:p>
    <w:p w14:paraId="680787BD">
      <w:pPr>
        <w:widowControl/>
        <w:spacing w:line="440" w:lineRule="exact"/>
        <w:ind w:firstLine="480" w:firstLineChars="200"/>
        <w:rPr>
          <w:color w:val="000000"/>
          <w:sz w:val="24"/>
        </w:rPr>
      </w:pPr>
      <w:r>
        <w:rPr>
          <w:color w:val="000000"/>
          <w:sz w:val="24"/>
        </w:rPr>
        <w:t>2</w:t>
      </w:r>
      <w:r>
        <w:rPr>
          <w:rFonts w:hint="eastAsia"/>
          <w:color w:val="000000"/>
          <w:sz w:val="24"/>
          <w:lang w:eastAsia="zh-CN"/>
        </w:rPr>
        <w:t>）</w:t>
      </w:r>
      <w:r>
        <w:rPr>
          <w:color w:val="000000"/>
          <w:sz w:val="24"/>
        </w:rPr>
        <w:t xml:space="preserve">提升产业竞争力：团体标准通常融合了行业内先进的技术和管理经验，其制定和实施能够推动整个产业的技术进步和管理创新。密玉团体标准的实施，将促使企业提升产品质量和品牌影响力，增强市场竞争力，从而推动整个产业的快速发展。 </w:t>
      </w:r>
    </w:p>
    <w:p w14:paraId="79C4380E">
      <w:pPr>
        <w:widowControl/>
        <w:spacing w:line="440" w:lineRule="exact"/>
        <w:ind w:firstLine="480" w:firstLineChars="200"/>
        <w:rPr>
          <w:color w:val="000000"/>
          <w:sz w:val="24"/>
        </w:rPr>
      </w:pPr>
      <w:r>
        <w:rPr>
          <w:color w:val="000000"/>
          <w:sz w:val="24"/>
        </w:rPr>
        <w:t>3</w:t>
      </w:r>
      <w:r>
        <w:rPr>
          <w:rFonts w:hint="eastAsia"/>
          <w:color w:val="000000"/>
          <w:sz w:val="24"/>
          <w:lang w:eastAsia="zh-CN"/>
        </w:rPr>
        <w:t>）</w:t>
      </w:r>
      <w:r>
        <w:rPr>
          <w:color w:val="000000"/>
          <w:sz w:val="24"/>
        </w:rPr>
        <w:t>促进产业升级：随着消费者需求的不断升级和市场竞争的加剧，产业升级成为必然选择。密玉团体标准的制定，为产业升级提供了技术支持和标准保障。企业可以依据标准调整产品结构，开发新产品，满足市场多元化需求，推动产业向高端化、品牌化方向发展。</w:t>
      </w:r>
    </w:p>
    <w:p w14:paraId="4575C572">
      <w:pPr>
        <w:widowControl/>
        <w:spacing w:line="440" w:lineRule="exact"/>
        <w:ind w:firstLine="480" w:firstLineChars="200"/>
        <w:rPr>
          <w:color w:val="000000"/>
          <w:sz w:val="24"/>
        </w:rPr>
      </w:pPr>
      <w:r>
        <w:rPr>
          <w:color w:val="000000"/>
          <w:sz w:val="24"/>
        </w:rPr>
        <w:t>4</w:t>
      </w:r>
      <w:r>
        <w:rPr>
          <w:rFonts w:hint="eastAsia"/>
          <w:color w:val="000000"/>
          <w:sz w:val="24"/>
          <w:lang w:eastAsia="zh-CN"/>
        </w:rPr>
        <w:t>）</w:t>
      </w:r>
      <w:r>
        <w:rPr>
          <w:color w:val="000000"/>
          <w:sz w:val="24"/>
        </w:rPr>
        <w:t xml:space="preserve">加强国际合作与交流：团体标准作为国际标准化工作的重要补充渠道，有助于提升我国密玉产业的国际影响力。通过与国际标准接轨，我国密玉产品可以更加便捷地进入国际市场，参与国际竞争。同时，国际交流与合作也将为我国密玉产业带来新的发展机遇和合作空间。 </w:t>
      </w:r>
    </w:p>
    <w:p w14:paraId="3BCD2497">
      <w:pPr>
        <w:widowControl/>
        <w:spacing w:line="440" w:lineRule="exact"/>
        <w:ind w:firstLine="480" w:firstLineChars="200"/>
        <w:rPr>
          <w:rFonts w:hint="eastAsia"/>
          <w:color w:val="000000"/>
          <w:sz w:val="24"/>
        </w:rPr>
      </w:pPr>
      <w:r>
        <w:rPr>
          <w:color w:val="000000"/>
          <w:sz w:val="24"/>
        </w:rPr>
        <w:t>综上所述，密玉团体标准的制定与实施，不仅有助于提升消费者信任度、促进文化传承与保护、增强行业自律和推动科技创新等社会效益的实现，更对规范市场秩序、提升产业竞争力、促进产业升级和加强国际合作与交流等产业发展方面发挥着重要作用。未来，随着团体标准的不断完善和推广，密玉产业将迎来更加广阔的发展前景。</w:t>
      </w:r>
    </w:p>
    <w:p w14:paraId="31C13690">
      <w:pPr>
        <w:pStyle w:val="11"/>
        <w:spacing w:line="440" w:lineRule="exact"/>
        <w:ind w:firstLine="0"/>
        <w:outlineLvl w:val="0"/>
        <w:rPr>
          <w:rFonts w:ascii="Times New Roman" w:eastAsia="宋体"/>
          <w:b/>
          <w:kern w:val="0"/>
          <w:sz w:val="24"/>
          <w:szCs w:val="24"/>
        </w:rPr>
      </w:pPr>
      <w:bookmarkStart w:id="21" w:name="_Toc132710508"/>
      <w:r>
        <w:rPr>
          <w:rFonts w:hint="eastAsia" w:ascii="Times New Roman" w:eastAsia="宋体"/>
          <w:b/>
          <w:kern w:val="0"/>
          <w:sz w:val="24"/>
          <w:szCs w:val="24"/>
        </w:rPr>
        <w:t>8采用国际标准和国外先进标准情况，与国际、国外同类标准水平的对比情况，国内外关键指标对比分析或与测试的国外样品、样机的相关数据对比情况</w:t>
      </w:r>
      <w:bookmarkEnd w:id="21"/>
    </w:p>
    <w:p w14:paraId="62ED242A">
      <w:pPr>
        <w:widowControl/>
        <w:spacing w:line="440" w:lineRule="exact"/>
        <w:ind w:firstLine="480" w:firstLineChars="200"/>
        <w:rPr>
          <w:color w:val="000000"/>
          <w:sz w:val="24"/>
        </w:rPr>
      </w:pPr>
      <w:r>
        <w:rPr>
          <w:rFonts w:hint="eastAsia"/>
          <w:color w:val="000000"/>
          <w:sz w:val="24"/>
          <w:lang w:val="en-US" w:eastAsia="zh-CN"/>
        </w:rPr>
        <w:t>本标准在制定过程中</w:t>
      </w:r>
      <w:r>
        <w:rPr>
          <w:color w:val="000000"/>
          <w:sz w:val="24"/>
        </w:rPr>
        <w:t>未发现</w:t>
      </w:r>
      <w:r>
        <w:rPr>
          <w:rFonts w:hint="eastAsia"/>
          <w:color w:val="000000"/>
          <w:sz w:val="24"/>
          <w:lang w:val="en-US" w:eastAsia="zh-CN"/>
        </w:rPr>
        <w:t>相关的</w:t>
      </w:r>
      <w:r>
        <w:rPr>
          <w:color w:val="000000"/>
          <w:sz w:val="24"/>
        </w:rPr>
        <w:t>国际标准和国外先进标准，因此</w:t>
      </w:r>
      <w:r>
        <w:rPr>
          <w:rFonts w:hint="eastAsia"/>
          <w:color w:val="000000"/>
          <w:sz w:val="24"/>
          <w:lang w:val="en-US" w:eastAsia="zh-CN"/>
        </w:rPr>
        <w:t>未采标。密玉是我国特有玉石，不涉及国外样品测试比对问题</w:t>
      </w:r>
      <w:r>
        <w:rPr>
          <w:color w:val="000000"/>
          <w:sz w:val="24"/>
        </w:rPr>
        <w:t>。</w:t>
      </w:r>
    </w:p>
    <w:p w14:paraId="23AF6E05">
      <w:pPr>
        <w:pStyle w:val="11"/>
        <w:spacing w:line="440" w:lineRule="exact"/>
        <w:ind w:firstLine="0"/>
        <w:outlineLvl w:val="0"/>
        <w:rPr>
          <w:rFonts w:ascii="Times New Roman" w:eastAsia="宋体"/>
          <w:b/>
          <w:kern w:val="0"/>
          <w:sz w:val="24"/>
          <w:szCs w:val="24"/>
        </w:rPr>
      </w:pPr>
      <w:bookmarkStart w:id="22" w:name="_Toc132710509"/>
      <w:r>
        <w:rPr>
          <w:rFonts w:hint="eastAsia" w:ascii="Times New Roman" w:eastAsia="宋体"/>
          <w:b/>
          <w:kern w:val="0"/>
          <w:sz w:val="24"/>
          <w:szCs w:val="24"/>
        </w:rPr>
        <w:t>9在标准体系中的位置，与现行相关法律、法规、规章及相关标准，特别是强制性标准的协调性</w:t>
      </w:r>
      <w:bookmarkEnd w:id="22"/>
    </w:p>
    <w:p w14:paraId="4E4E2FD1">
      <w:pPr>
        <w:widowControl/>
        <w:spacing w:line="440" w:lineRule="exact"/>
        <w:ind w:firstLine="480" w:firstLineChars="200"/>
        <w:rPr>
          <w:color w:val="000000"/>
          <w:sz w:val="24"/>
        </w:rPr>
      </w:pPr>
      <w:r>
        <w:rPr>
          <w:color w:val="000000"/>
          <w:sz w:val="24"/>
        </w:rPr>
        <w:t>本标准与相关法律、法规、规章和强制性标准无抵触。</w:t>
      </w:r>
    </w:p>
    <w:p w14:paraId="1585BB2E">
      <w:pPr>
        <w:pStyle w:val="11"/>
        <w:spacing w:line="440" w:lineRule="exact"/>
        <w:ind w:firstLine="0"/>
        <w:outlineLvl w:val="0"/>
        <w:rPr>
          <w:rFonts w:ascii="Times New Roman" w:eastAsia="宋体"/>
          <w:b/>
          <w:color w:val="000000"/>
          <w:sz w:val="24"/>
          <w:szCs w:val="24"/>
        </w:rPr>
      </w:pPr>
      <w:bookmarkStart w:id="23" w:name="_Toc132710510"/>
      <w:r>
        <w:rPr>
          <w:rFonts w:hint="eastAsia" w:ascii="Times New Roman" w:eastAsia="宋体"/>
          <w:b/>
          <w:color w:val="000000"/>
          <w:sz w:val="24"/>
          <w:szCs w:val="24"/>
        </w:rPr>
        <w:t>10</w:t>
      </w:r>
      <w:r>
        <w:rPr>
          <w:rFonts w:ascii="Times New Roman" w:eastAsia="宋体"/>
          <w:b/>
          <w:color w:val="000000"/>
          <w:sz w:val="24"/>
          <w:szCs w:val="24"/>
        </w:rPr>
        <w:t>重大分歧意见的处理经过和依据</w:t>
      </w:r>
      <w:bookmarkEnd w:id="23"/>
    </w:p>
    <w:p w14:paraId="740386EF">
      <w:pPr>
        <w:widowControl/>
        <w:spacing w:line="440" w:lineRule="exact"/>
        <w:ind w:firstLine="480" w:firstLineChars="200"/>
        <w:rPr>
          <w:color w:val="000000"/>
          <w:sz w:val="24"/>
        </w:rPr>
      </w:pPr>
      <w:r>
        <w:rPr>
          <w:color w:val="000000"/>
          <w:sz w:val="24"/>
        </w:rPr>
        <w:t>本标准制定过程中无重大分歧意见。</w:t>
      </w:r>
    </w:p>
    <w:p w14:paraId="0B8A7662">
      <w:pPr>
        <w:pStyle w:val="11"/>
        <w:spacing w:line="440" w:lineRule="exact"/>
        <w:ind w:firstLine="0"/>
        <w:outlineLvl w:val="0"/>
        <w:rPr>
          <w:rFonts w:ascii="Times New Roman" w:eastAsia="宋体"/>
          <w:b/>
          <w:color w:val="000000"/>
          <w:sz w:val="24"/>
          <w:szCs w:val="24"/>
        </w:rPr>
      </w:pPr>
      <w:bookmarkStart w:id="24" w:name="_Toc132710511"/>
      <w:r>
        <w:rPr>
          <w:rFonts w:hint="eastAsia" w:ascii="Times New Roman" w:eastAsia="宋体"/>
          <w:b/>
          <w:color w:val="000000"/>
          <w:sz w:val="24"/>
          <w:szCs w:val="24"/>
        </w:rPr>
        <w:t>11</w:t>
      </w:r>
      <w:r>
        <w:rPr>
          <w:rFonts w:ascii="Times New Roman" w:eastAsia="宋体"/>
          <w:b/>
          <w:color w:val="000000"/>
          <w:sz w:val="24"/>
          <w:szCs w:val="24"/>
        </w:rPr>
        <w:t xml:space="preserve"> 贯彻标准的要求和措施建议</w:t>
      </w:r>
      <w:bookmarkEnd w:id="24"/>
    </w:p>
    <w:p w14:paraId="5C6D68BC">
      <w:pPr>
        <w:widowControl/>
        <w:spacing w:line="440" w:lineRule="exact"/>
        <w:ind w:firstLine="480" w:firstLineChars="200"/>
        <w:rPr>
          <w:color w:val="000000"/>
          <w:sz w:val="24"/>
        </w:rPr>
      </w:pPr>
      <w:r>
        <w:rPr>
          <w:color w:val="000000"/>
          <w:sz w:val="24"/>
        </w:rPr>
        <w:t>建议本标准</w:t>
      </w:r>
      <w:r>
        <w:rPr>
          <w:rFonts w:hint="eastAsia"/>
          <w:color w:val="000000"/>
          <w:sz w:val="24"/>
          <w:lang w:val="en-US" w:eastAsia="zh-CN"/>
        </w:rPr>
        <w:t>批准</w:t>
      </w:r>
      <w:r>
        <w:rPr>
          <w:color w:val="000000"/>
          <w:sz w:val="24"/>
        </w:rPr>
        <w:t>发布</w:t>
      </w:r>
      <w:r>
        <w:rPr>
          <w:rFonts w:hint="eastAsia"/>
          <w:color w:val="000000"/>
          <w:sz w:val="24"/>
          <w:lang w:val="en-US" w:eastAsia="zh-CN"/>
        </w:rPr>
        <w:t>即</w:t>
      </w:r>
      <w:r>
        <w:rPr>
          <w:color w:val="000000"/>
          <w:sz w:val="24"/>
        </w:rPr>
        <w:t>实施。</w:t>
      </w:r>
    </w:p>
    <w:p w14:paraId="5D333D90">
      <w:pPr>
        <w:pStyle w:val="11"/>
        <w:spacing w:line="440" w:lineRule="exact"/>
        <w:ind w:firstLine="0"/>
        <w:outlineLvl w:val="0"/>
        <w:rPr>
          <w:rFonts w:ascii="Times New Roman" w:eastAsia="宋体"/>
          <w:b/>
          <w:color w:val="000000"/>
          <w:sz w:val="24"/>
          <w:szCs w:val="24"/>
        </w:rPr>
      </w:pPr>
      <w:bookmarkStart w:id="25" w:name="_Toc132710512"/>
      <w:r>
        <w:rPr>
          <w:rFonts w:hint="eastAsia" w:ascii="Times New Roman" w:eastAsia="宋体"/>
          <w:b/>
          <w:color w:val="000000"/>
          <w:sz w:val="24"/>
          <w:szCs w:val="24"/>
        </w:rPr>
        <w:t>12 废止现行相关标准的建议</w:t>
      </w:r>
      <w:bookmarkEnd w:id="25"/>
    </w:p>
    <w:p w14:paraId="1F9D3393">
      <w:pPr>
        <w:widowControl/>
        <w:spacing w:line="440" w:lineRule="exact"/>
        <w:ind w:firstLine="480" w:firstLineChars="200"/>
        <w:rPr>
          <w:color w:val="000000"/>
          <w:sz w:val="24"/>
        </w:rPr>
      </w:pPr>
      <w:r>
        <w:rPr>
          <w:rFonts w:hint="eastAsia"/>
          <w:color w:val="000000"/>
          <w:sz w:val="24"/>
        </w:rPr>
        <w:t>无。</w:t>
      </w:r>
    </w:p>
    <w:p w14:paraId="31A3AF23">
      <w:pPr>
        <w:pStyle w:val="11"/>
        <w:spacing w:line="440" w:lineRule="exact"/>
        <w:ind w:firstLine="0"/>
        <w:outlineLvl w:val="0"/>
        <w:rPr>
          <w:rFonts w:ascii="Times New Roman" w:eastAsia="宋体"/>
          <w:b/>
          <w:color w:val="000000"/>
          <w:sz w:val="24"/>
          <w:szCs w:val="24"/>
        </w:rPr>
      </w:pPr>
      <w:bookmarkStart w:id="26" w:name="_Toc132710513"/>
      <w:r>
        <w:rPr>
          <w:rFonts w:hint="eastAsia" w:ascii="Times New Roman" w:eastAsia="宋体"/>
          <w:b/>
          <w:color w:val="000000"/>
          <w:sz w:val="24"/>
          <w:szCs w:val="24"/>
        </w:rPr>
        <w:t>13 其他应予说明的事项</w:t>
      </w:r>
      <w:bookmarkEnd w:id="26"/>
    </w:p>
    <w:p w14:paraId="3497FE80">
      <w:pPr>
        <w:widowControl/>
        <w:spacing w:line="440" w:lineRule="exact"/>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无</w:t>
      </w:r>
      <w:r>
        <w:rPr>
          <w:rFonts w:hint="eastAsia" w:ascii="宋体" w:hAnsi="宋体" w:eastAsia="宋体" w:cs="宋体"/>
          <w:color w:val="000000"/>
          <w:sz w:val="24"/>
          <w:szCs w:val="24"/>
        </w:rPr>
        <w:t>。</w:t>
      </w:r>
    </w:p>
    <w:p w14:paraId="31CE7615">
      <w:pPr>
        <w:widowControl/>
        <w:spacing w:line="440" w:lineRule="exact"/>
        <w:ind w:firstLine="480" w:firstLineChars="200"/>
        <w:rPr>
          <w:rFonts w:hint="eastAsia" w:ascii="宋体" w:hAnsi="宋体" w:eastAsia="宋体" w:cs="宋体"/>
          <w:color w:val="000000"/>
          <w:sz w:val="24"/>
          <w:szCs w:val="24"/>
        </w:rPr>
      </w:pPr>
    </w:p>
    <w:p w14:paraId="77859BAF">
      <w:pPr>
        <w:widowControl/>
        <w:spacing w:line="440" w:lineRule="exact"/>
        <w:ind w:firstLine="480" w:firstLineChars="200"/>
        <w:rPr>
          <w:rFonts w:hint="eastAsia" w:ascii="宋体" w:hAnsi="宋体" w:eastAsia="宋体" w:cs="宋体"/>
          <w:color w:val="000000"/>
          <w:sz w:val="24"/>
          <w:szCs w:val="24"/>
        </w:rPr>
      </w:pPr>
    </w:p>
    <w:p w14:paraId="47513F7C">
      <w:pPr>
        <w:widowControl/>
        <w:spacing w:line="440" w:lineRule="exact"/>
        <w:ind w:firstLine="480" w:firstLineChars="200"/>
        <w:rPr>
          <w:rFonts w:hint="eastAsia" w:ascii="宋体" w:hAnsi="宋体" w:eastAsia="宋体" w:cs="宋体"/>
          <w:color w:val="000000"/>
          <w:sz w:val="24"/>
          <w:szCs w:val="24"/>
        </w:rPr>
      </w:pPr>
    </w:p>
    <w:p w14:paraId="37A0CCA5">
      <w:pPr>
        <w:widowControl/>
        <w:spacing w:line="440" w:lineRule="exact"/>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附件一：</w:t>
      </w:r>
    </w:p>
    <w:p w14:paraId="2FDD410E">
      <w:pPr>
        <w:widowControl/>
        <w:spacing w:line="440" w:lineRule="exact"/>
        <w:jc w:val="center"/>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密玉及其相似玉石微量元素特征</w:t>
      </w:r>
    </w:p>
    <w:p w14:paraId="12A5DBFE">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密玉</w:t>
      </w:r>
    </w:p>
    <w:p w14:paraId="7FF55AD6">
      <w:pPr>
        <w:spacing w:line="360" w:lineRule="auto"/>
        <w:jc w:val="center"/>
        <w:rPr>
          <w:rFonts w:ascii="宋体" w:hAnsi="宋体" w:eastAsia="宋体"/>
        </w:rPr>
      </w:pPr>
      <w:r>
        <w:rPr>
          <w:rFonts w:hint="eastAsia" w:ascii="宋体" w:hAnsi="宋体" w:eastAsia="宋体"/>
          <w14:ligatures w14:val="standardContextual"/>
        </w:rPr>
        <w:drawing>
          <wp:inline distT="0" distB="0" distL="0" distR="0">
            <wp:extent cx="5165090" cy="3354705"/>
            <wp:effectExtent l="0" t="0" r="0" b="0"/>
            <wp:docPr id="11694622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2272"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99298" cy="3377101"/>
                    </a:xfrm>
                    <a:prstGeom prst="rect">
                      <a:avLst/>
                    </a:prstGeom>
                  </pic:spPr>
                </pic:pic>
              </a:graphicData>
            </a:graphic>
          </wp:inline>
        </w:drawing>
      </w:r>
    </w:p>
    <w:p w14:paraId="02AAD375">
      <w:pPr>
        <w:spacing w:line="360" w:lineRule="auto"/>
        <w:jc w:val="center"/>
        <w:rPr>
          <w:rFonts w:ascii="宋体" w:hAnsi="宋体" w:eastAsia="宋体"/>
        </w:rPr>
      </w:pPr>
      <w:r>
        <w:rPr>
          <w:rFonts w:hint="eastAsia" w:ascii="宋体" w:hAnsi="宋体" w:eastAsia="宋体"/>
        </w:rPr>
        <w:t>图1</w:t>
      </w:r>
      <w:r>
        <w:rPr>
          <w:rFonts w:ascii="宋体" w:hAnsi="宋体" w:eastAsia="宋体"/>
        </w:rPr>
        <w:t>.</w:t>
      </w:r>
      <w:r>
        <w:rPr>
          <w:rFonts w:hint="eastAsia" w:ascii="宋体" w:hAnsi="宋体" w:eastAsia="宋体"/>
        </w:rPr>
        <w:t>密玉微量元素蛛网图</w:t>
      </w:r>
    </w:p>
    <w:p w14:paraId="2C4FE429">
      <w:pPr>
        <w:spacing w:line="360" w:lineRule="auto"/>
        <w:jc w:val="center"/>
        <w:rPr>
          <w:rFonts w:ascii="宋体" w:hAnsi="宋体" w:eastAsia="宋体"/>
        </w:rPr>
      </w:pPr>
      <w:r>
        <w:rPr>
          <w:rFonts w:hint="eastAsia" w:ascii="宋体" w:hAnsi="宋体" w:eastAsia="宋体"/>
          <w14:ligatures w14:val="standardContextual"/>
        </w:rPr>
        <w:drawing>
          <wp:inline distT="0" distB="0" distL="0" distR="0">
            <wp:extent cx="5151120" cy="3188970"/>
            <wp:effectExtent l="0" t="0" r="0" b="11430"/>
            <wp:docPr id="5329740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74061" name="图片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60931" cy="3195602"/>
                    </a:xfrm>
                    <a:prstGeom prst="rect">
                      <a:avLst/>
                    </a:prstGeom>
                  </pic:spPr>
                </pic:pic>
              </a:graphicData>
            </a:graphic>
          </wp:inline>
        </w:drawing>
      </w:r>
    </w:p>
    <w:p w14:paraId="0FF0C33A">
      <w:pPr>
        <w:spacing w:line="360" w:lineRule="auto"/>
        <w:jc w:val="center"/>
        <w:rPr>
          <w:rFonts w:ascii="宋体" w:hAnsi="宋体" w:eastAsia="宋体"/>
        </w:rPr>
      </w:pPr>
      <w:r>
        <w:rPr>
          <w:rFonts w:hint="eastAsia" w:ascii="宋体" w:hAnsi="宋体" w:eastAsia="宋体"/>
        </w:rPr>
        <w:t>图</w:t>
      </w:r>
      <w:r>
        <w:rPr>
          <w:rFonts w:ascii="宋体" w:hAnsi="宋体" w:eastAsia="宋体"/>
        </w:rPr>
        <w:t>2.</w:t>
      </w:r>
      <w:r>
        <w:rPr>
          <w:rFonts w:hint="eastAsia" w:ascii="宋体" w:hAnsi="宋体" w:eastAsia="宋体"/>
        </w:rPr>
        <w:t>密玉稀土配分模式图</w:t>
      </w:r>
    </w:p>
    <w:p w14:paraId="5490708D">
      <w:pPr>
        <w:spacing w:line="360" w:lineRule="auto"/>
        <w:rPr>
          <w:rFonts w:ascii="宋体" w:hAnsi="宋体" w:eastAsia="宋体"/>
        </w:rPr>
      </w:pPr>
    </w:p>
    <w:p w14:paraId="1B2CE7C1">
      <w:pPr>
        <w:spacing w:line="360" w:lineRule="auto"/>
        <w:rPr>
          <w:rFonts w:ascii="宋体" w:hAnsi="宋体" w:eastAsia="宋体"/>
        </w:rPr>
      </w:pPr>
    </w:p>
    <w:p w14:paraId="341F347A">
      <w:pPr>
        <w:spacing w:line="360" w:lineRule="auto"/>
        <w:rPr>
          <w:rFonts w:ascii="宋体" w:hAnsi="宋体" w:eastAsia="宋体"/>
          <w:sz w:val="24"/>
        </w:rPr>
      </w:pPr>
      <w:r>
        <w:rPr>
          <w:rFonts w:hint="eastAsia" w:ascii="宋体" w:hAnsi="宋体" w:eastAsia="宋体"/>
          <w:sz w:val="24"/>
        </w:rPr>
        <w:t>密玉微量元素特征：</w:t>
      </w:r>
    </w:p>
    <w:p w14:paraId="1B3A4D23">
      <w:pPr>
        <w:spacing w:line="360" w:lineRule="auto"/>
        <w:ind w:firstLine="480" w:firstLineChars="200"/>
        <w:rPr>
          <w:rFonts w:ascii="宋体" w:hAnsi="宋体" w:eastAsia="宋体"/>
          <w:sz w:val="24"/>
        </w:rPr>
      </w:pPr>
      <w:r>
        <w:rPr>
          <w:rFonts w:hint="eastAsia" w:ascii="宋体" w:hAnsi="宋体" w:eastAsia="宋体"/>
          <w:sz w:val="24"/>
        </w:rPr>
        <w:t>样品分为8种颜色，不同颜色成因含有的副矿物有所差异，微量元素蛛网图显示同种元素变化范围较大，不同颜色之间也没有明显界限。可能由于样品主要成分为SiO</w:t>
      </w:r>
      <w:r>
        <w:rPr>
          <w:rFonts w:ascii="宋体" w:hAnsi="宋体" w:eastAsia="宋体"/>
          <w:sz w:val="24"/>
          <w:vertAlign w:val="subscript"/>
        </w:rPr>
        <w:t>2</w:t>
      </w:r>
      <w:r>
        <w:rPr>
          <w:rFonts w:hint="eastAsia" w:ascii="宋体" w:hAnsi="宋体" w:eastAsia="宋体"/>
          <w:sz w:val="24"/>
        </w:rPr>
        <w:t>，其他微量元素含量较低，微量元素受测试点位和仪器调教等因素影响，未能显示出明显的规律和相关性。</w:t>
      </w:r>
    </w:p>
    <w:p w14:paraId="47DCB7DB">
      <w:pPr>
        <w:spacing w:line="360" w:lineRule="auto"/>
        <w:ind w:firstLine="480" w:firstLineChars="200"/>
        <w:rPr>
          <w:rFonts w:hint="eastAsia" w:ascii="宋体" w:hAnsi="宋体" w:eastAsia="宋体"/>
          <w:sz w:val="24"/>
        </w:rPr>
      </w:pPr>
      <w:r>
        <w:rPr>
          <w:rFonts w:hint="eastAsia" w:ascii="宋体" w:hAnsi="宋体" w:eastAsia="宋体"/>
          <w:sz w:val="24"/>
        </w:rPr>
        <w:t>密玉稀土元素整体含量较低，部分元素低于检出限未能获得数值，数据经原始地幔标准化后，密玉样品稀土总量∑REE范围在0</w:t>
      </w:r>
      <w:r>
        <w:rPr>
          <w:rFonts w:ascii="宋体" w:hAnsi="宋体" w:eastAsia="宋体"/>
          <w:sz w:val="24"/>
        </w:rPr>
        <w:t>.04-8.03</w:t>
      </w:r>
      <w:r>
        <w:rPr>
          <w:rFonts w:hint="eastAsia" w:ascii="宋体" w:hAnsi="宋体" w:eastAsia="宋体"/>
          <w:sz w:val="24"/>
        </w:rPr>
        <w:t>ppm之间，其中轻稀土LREE含量在0</w:t>
      </w:r>
      <w:r>
        <w:rPr>
          <w:rFonts w:ascii="宋体" w:hAnsi="宋体" w:eastAsia="宋体"/>
          <w:sz w:val="24"/>
        </w:rPr>
        <w:t>-1.14</w:t>
      </w:r>
      <w:r>
        <w:rPr>
          <w:rFonts w:hint="eastAsia" w:ascii="宋体" w:hAnsi="宋体" w:eastAsia="宋体"/>
          <w:sz w:val="24"/>
        </w:rPr>
        <w:t>ppm左右，中稀土MREE含量在0</w:t>
      </w:r>
      <w:r>
        <w:rPr>
          <w:rFonts w:ascii="宋体" w:hAnsi="宋体" w:eastAsia="宋体"/>
          <w:sz w:val="24"/>
        </w:rPr>
        <w:t>-1.54</w:t>
      </w:r>
      <w:r>
        <w:rPr>
          <w:rFonts w:hint="eastAsia" w:ascii="宋体" w:hAnsi="宋体" w:eastAsia="宋体"/>
          <w:sz w:val="24"/>
        </w:rPr>
        <w:t>ppm左右，重稀土HREE含量在0</w:t>
      </w:r>
      <w:r>
        <w:rPr>
          <w:rFonts w:ascii="宋体" w:hAnsi="宋体" w:eastAsia="宋体"/>
          <w:sz w:val="24"/>
        </w:rPr>
        <w:t>.03-1.88</w:t>
      </w:r>
      <w:r>
        <w:rPr>
          <w:rFonts w:hint="eastAsia" w:ascii="宋体" w:hAnsi="宋体" w:eastAsia="宋体"/>
          <w:sz w:val="24"/>
        </w:rPr>
        <w:t>ppm左右（数值为0不排除低于检出限，说明含量很低）。轻重稀土分异不明显，∑LREE</w:t>
      </w:r>
      <w:r>
        <w:rPr>
          <w:rFonts w:ascii="宋体" w:hAnsi="宋体" w:eastAsia="宋体"/>
          <w:sz w:val="24"/>
        </w:rPr>
        <w:t>/</w:t>
      </w:r>
      <w:r>
        <w:rPr>
          <w:rFonts w:hint="eastAsia" w:ascii="宋体" w:hAnsi="宋体" w:eastAsia="宋体"/>
          <w:sz w:val="24"/>
        </w:rPr>
        <w:t>∑HREE的比值在0</w:t>
      </w:r>
      <w:r>
        <w:rPr>
          <w:rFonts w:ascii="宋体" w:hAnsi="宋体" w:eastAsia="宋体"/>
          <w:sz w:val="24"/>
        </w:rPr>
        <w:t>.02-4.34</w:t>
      </w:r>
      <w:r>
        <w:rPr>
          <w:rFonts w:hint="eastAsia" w:ascii="宋体" w:hAnsi="宋体" w:eastAsia="宋体"/>
          <w:sz w:val="24"/>
        </w:rPr>
        <w:t>之间变化。</w:t>
      </w:r>
    </w:p>
    <w:p w14:paraId="148EC45C">
      <w:pPr>
        <w:spacing w:line="360" w:lineRule="auto"/>
        <w:rPr>
          <w:rFonts w:ascii="宋体" w:hAnsi="宋体" w:eastAsia="宋体"/>
          <w:sz w:val="24"/>
          <w:szCs w:val="32"/>
        </w:rPr>
      </w:pPr>
    </w:p>
    <w:p w14:paraId="20C35F4D">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佘太翠</w:t>
      </w:r>
    </w:p>
    <w:p w14:paraId="022BD8CE">
      <w:pPr>
        <w:spacing w:line="360" w:lineRule="auto"/>
        <w:jc w:val="center"/>
        <w:rPr>
          <w:rFonts w:ascii="宋体" w:hAnsi="宋体" w:eastAsia="宋体"/>
        </w:rPr>
      </w:pPr>
      <w:r>
        <w:rPr>
          <w:rFonts w:ascii="宋体" w:hAnsi="宋体" w:eastAsia="宋体"/>
          <w14:ligatures w14:val="standardContextual"/>
        </w:rPr>
        <w:drawing>
          <wp:inline distT="0" distB="0" distL="0" distR="0">
            <wp:extent cx="5549265" cy="3340735"/>
            <wp:effectExtent l="0" t="0" r="0" b="12700"/>
            <wp:docPr id="12683418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41805" name="图片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71552" cy="3353931"/>
                    </a:xfrm>
                    <a:prstGeom prst="rect">
                      <a:avLst/>
                    </a:prstGeom>
                  </pic:spPr>
                </pic:pic>
              </a:graphicData>
            </a:graphic>
          </wp:inline>
        </w:drawing>
      </w:r>
    </w:p>
    <w:p w14:paraId="6729036B">
      <w:pPr>
        <w:spacing w:line="360" w:lineRule="auto"/>
        <w:jc w:val="center"/>
        <w:rPr>
          <w:rFonts w:ascii="宋体" w:hAnsi="宋体" w:eastAsia="宋体"/>
        </w:rPr>
      </w:pPr>
      <w:r>
        <w:rPr>
          <w:rFonts w:hint="eastAsia" w:ascii="宋体" w:hAnsi="宋体" w:eastAsia="宋体"/>
        </w:rPr>
        <w:t>图</w:t>
      </w:r>
      <w:r>
        <w:rPr>
          <w:rFonts w:ascii="宋体" w:hAnsi="宋体" w:eastAsia="宋体"/>
        </w:rPr>
        <w:t>3.</w:t>
      </w:r>
      <w:r>
        <w:rPr>
          <w:rFonts w:hint="eastAsia" w:ascii="宋体" w:hAnsi="宋体" w:eastAsia="宋体"/>
        </w:rPr>
        <w:t>佘太翠微量元素蛛网图</w:t>
      </w:r>
    </w:p>
    <w:p w14:paraId="2B74FCA3">
      <w:pPr>
        <w:spacing w:line="360" w:lineRule="auto"/>
        <w:rPr>
          <w:rFonts w:ascii="宋体" w:hAnsi="宋体" w:eastAsia="宋体"/>
        </w:rPr>
      </w:pPr>
    </w:p>
    <w:p w14:paraId="7DFE94CD">
      <w:pPr>
        <w:spacing w:line="360" w:lineRule="auto"/>
        <w:rPr>
          <w:rFonts w:hint="eastAsia" w:ascii="宋体" w:hAnsi="宋体" w:eastAsia="宋体"/>
        </w:rPr>
      </w:pPr>
    </w:p>
    <w:p w14:paraId="2A9F807F">
      <w:pPr>
        <w:spacing w:line="360" w:lineRule="auto"/>
        <w:jc w:val="left"/>
        <w:rPr>
          <w:rFonts w:ascii="宋体" w:hAnsi="宋体" w:eastAsia="宋体"/>
        </w:rPr>
      </w:pPr>
      <w:r>
        <w:rPr>
          <w:rFonts w:ascii="宋体" w:hAnsi="宋体" w:eastAsia="宋体"/>
          <w14:ligatures w14:val="standardContextual"/>
        </w:rPr>
        <w:drawing>
          <wp:inline distT="0" distB="0" distL="0" distR="0">
            <wp:extent cx="5311775" cy="3289935"/>
            <wp:effectExtent l="0" t="0" r="0" b="0"/>
            <wp:docPr id="9980084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08431" name="图片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36503" cy="3305599"/>
                    </a:xfrm>
                    <a:prstGeom prst="rect">
                      <a:avLst/>
                    </a:prstGeom>
                  </pic:spPr>
                </pic:pic>
              </a:graphicData>
            </a:graphic>
          </wp:inline>
        </w:drawing>
      </w:r>
    </w:p>
    <w:p w14:paraId="44116413">
      <w:pPr>
        <w:spacing w:line="360" w:lineRule="auto"/>
        <w:jc w:val="center"/>
        <w:rPr>
          <w:rFonts w:ascii="宋体" w:hAnsi="宋体" w:eastAsia="宋体"/>
        </w:rPr>
      </w:pPr>
      <w:r>
        <w:rPr>
          <w:rFonts w:hint="eastAsia" w:ascii="宋体" w:hAnsi="宋体" w:eastAsia="宋体"/>
        </w:rPr>
        <w:t>图</w:t>
      </w:r>
      <w:r>
        <w:rPr>
          <w:rFonts w:ascii="宋体" w:hAnsi="宋体" w:eastAsia="宋体"/>
        </w:rPr>
        <w:t>4.</w:t>
      </w:r>
      <w:r>
        <w:rPr>
          <w:rFonts w:hint="eastAsia" w:ascii="宋体" w:hAnsi="宋体" w:eastAsia="宋体"/>
        </w:rPr>
        <w:t>佘太翠稀土配分模式图</w:t>
      </w:r>
    </w:p>
    <w:p w14:paraId="5EFD8CE6">
      <w:pPr>
        <w:spacing w:line="360" w:lineRule="auto"/>
        <w:rPr>
          <w:rFonts w:ascii="宋体" w:hAnsi="宋体" w:eastAsia="宋体"/>
          <w:sz w:val="24"/>
        </w:rPr>
      </w:pPr>
      <w:r>
        <w:rPr>
          <w:rFonts w:hint="eastAsia" w:ascii="宋体" w:hAnsi="宋体" w:eastAsia="宋体"/>
          <w:sz w:val="24"/>
        </w:rPr>
        <w:t>佘太翠微量元素特征：</w:t>
      </w:r>
    </w:p>
    <w:p w14:paraId="4013467F">
      <w:pPr>
        <w:spacing w:line="360" w:lineRule="auto"/>
        <w:ind w:firstLine="480" w:firstLineChars="200"/>
        <w:rPr>
          <w:rFonts w:ascii="宋体" w:hAnsi="宋体" w:eastAsia="宋体"/>
          <w:sz w:val="24"/>
        </w:rPr>
      </w:pPr>
      <w:r>
        <w:rPr>
          <w:rFonts w:hint="eastAsia" w:ascii="宋体" w:hAnsi="宋体" w:eastAsia="宋体"/>
          <w:sz w:val="24"/>
        </w:rPr>
        <w:t>样品分为</w:t>
      </w:r>
      <w:r>
        <w:rPr>
          <w:rFonts w:ascii="宋体" w:hAnsi="宋体" w:eastAsia="宋体"/>
          <w:sz w:val="24"/>
        </w:rPr>
        <w:t>2</w:t>
      </w:r>
      <w:r>
        <w:rPr>
          <w:rFonts w:hint="eastAsia" w:ascii="宋体" w:hAnsi="宋体" w:eastAsia="宋体"/>
          <w:sz w:val="24"/>
        </w:rPr>
        <w:t>种颜色，绿色和红色各两件，共4件样品。不同颜色微量元素蛛网图较为均一，Sr、Y、Zr、Hf含量较低，轻稀土富集。</w:t>
      </w:r>
    </w:p>
    <w:p w14:paraId="3E84420A">
      <w:pPr>
        <w:spacing w:line="360" w:lineRule="auto"/>
        <w:ind w:firstLine="480" w:firstLineChars="200"/>
        <w:rPr>
          <w:rFonts w:hint="eastAsia" w:ascii="宋体" w:hAnsi="宋体" w:eastAsia="宋体"/>
          <w:sz w:val="24"/>
        </w:rPr>
      </w:pPr>
      <w:r>
        <w:rPr>
          <w:rFonts w:hint="eastAsia" w:ascii="宋体" w:hAnsi="宋体" w:eastAsia="宋体"/>
          <w:sz w:val="24"/>
        </w:rPr>
        <w:t>佘太翠稀土元素整体含量较低，部分元素低于检出限未能获得数值，数据经原始地幔标准化后，佘太翠稀土配分模式图显示右倾特征，轻稀土富集，重稀土亏损。佘太翠样品稀土总量∑REE范围在0</w:t>
      </w:r>
      <w:r>
        <w:rPr>
          <w:rFonts w:ascii="宋体" w:hAnsi="宋体" w:eastAsia="宋体"/>
          <w:sz w:val="24"/>
        </w:rPr>
        <w:t>.8-2.15</w:t>
      </w:r>
      <w:r>
        <w:rPr>
          <w:rFonts w:hint="eastAsia" w:ascii="宋体" w:hAnsi="宋体" w:eastAsia="宋体"/>
          <w:sz w:val="24"/>
        </w:rPr>
        <w:t>ppm之间，其中轻稀土LREE含量在0</w:t>
      </w:r>
      <w:r>
        <w:rPr>
          <w:rFonts w:ascii="宋体" w:hAnsi="宋体" w:eastAsia="宋体"/>
          <w:sz w:val="24"/>
        </w:rPr>
        <w:t>-1.73</w:t>
      </w:r>
      <w:r>
        <w:rPr>
          <w:rFonts w:hint="eastAsia" w:ascii="宋体" w:hAnsi="宋体" w:eastAsia="宋体"/>
          <w:sz w:val="24"/>
        </w:rPr>
        <w:t>ppm左右，中稀土MREE含量在0</w:t>
      </w:r>
      <w:r>
        <w:rPr>
          <w:rFonts w:ascii="宋体" w:hAnsi="宋体" w:eastAsia="宋体"/>
          <w:sz w:val="24"/>
        </w:rPr>
        <w:t>.01-0.34</w:t>
      </w:r>
      <w:r>
        <w:rPr>
          <w:rFonts w:hint="eastAsia" w:ascii="宋体" w:hAnsi="宋体" w:eastAsia="宋体"/>
          <w:sz w:val="24"/>
        </w:rPr>
        <w:t>ppm左右，重稀土HREE含量在0</w:t>
      </w:r>
      <w:r>
        <w:rPr>
          <w:rFonts w:ascii="宋体" w:hAnsi="宋体" w:eastAsia="宋体"/>
          <w:sz w:val="24"/>
        </w:rPr>
        <w:t>.07-0.20</w:t>
      </w:r>
      <w:r>
        <w:rPr>
          <w:rFonts w:hint="eastAsia" w:ascii="宋体" w:hAnsi="宋体" w:eastAsia="宋体"/>
          <w:sz w:val="24"/>
        </w:rPr>
        <w:t>ppm左右（数值为0不排除低于检出限，说明含量很低）。轻重稀土之间的比值∑LREE</w:t>
      </w:r>
      <w:r>
        <w:rPr>
          <w:rFonts w:ascii="宋体" w:hAnsi="宋体" w:eastAsia="宋体"/>
          <w:sz w:val="24"/>
        </w:rPr>
        <w:t>/</w:t>
      </w:r>
      <w:r>
        <w:rPr>
          <w:rFonts w:hint="eastAsia" w:ascii="宋体" w:hAnsi="宋体" w:eastAsia="宋体"/>
          <w:sz w:val="24"/>
        </w:rPr>
        <w:t>∑HREE在0</w:t>
      </w:r>
      <w:r>
        <w:rPr>
          <w:rFonts w:ascii="宋体" w:hAnsi="宋体" w:eastAsia="宋体"/>
          <w:sz w:val="24"/>
        </w:rPr>
        <w:t>.04-43.82</w:t>
      </w:r>
      <w:r>
        <w:rPr>
          <w:rFonts w:hint="eastAsia" w:ascii="宋体" w:hAnsi="宋体" w:eastAsia="宋体"/>
          <w:sz w:val="24"/>
        </w:rPr>
        <w:t>之间变化，绿色佘太翠轻重稀土分异比红色佘太翠更明显。</w:t>
      </w:r>
    </w:p>
    <w:p w14:paraId="25684B60">
      <w:pPr>
        <w:spacing w:line="360" w:lineRule="auto"/>
        <w:ind w:firstLine="480" w:firstLineChars="200"/>
        <w:rPr>
          <w:rFonts w:hint="eastAsia" w:ascii="宋体" w:hAnsi="宋体" w:eastAsia="宋体"/>
          <w:sz w:val="24"/>
        </w:rPr>
      </w:pPr>
    </w:p>
    <w:p w14:paraId="1F003167">
      <w:pPr>
        <w:spacing w:line="360" w:lineRule="auto"/>
        <w:ind w:firstLine="480" w:firstLineChars="200"/>
        <w:rPr>
          <w:rFonts w:hint="eastAsia" w:ascii="宋体" w:hAnsi="宋体" w:eastAsia="宋体"/>
          <w:sz w:val="24"/>
        </w:rPr>
      </w:pPr>
    </w:p>
    <w:p w14:paraId="73DC6E72">
      <w:pPr>
        <w:spacing w:line="360" w:lineRule="auto"/>
        <w:ind w:firstLine="480" w:firstLineChars="200"/>
        <w:rPr>
          <w:rFonts w:hint="eastAsia" w:ascii="宋体" w:hAnsi="宋体" w:eastAsia="宋体"/>
          <w:sz w:val="24"/>
        </w:rPr>
      </w:pPr>
    </w:p>
    <w:p w14:paraId="21AF68AF">
      <w:pPr>
        <w:spacing w:line="360" w:lineRule="auto"/>
        <w:ind w:firstLine="480" w:firstLineChars="200"/>
        <w:rPr>
          <w:rFonts w:hint="eastAsia" w:ascii="宋体" w:hAnsi="宋体" w:eastAsia="宋体"/>
          <w:sz w:val="24"/>
        </w:rPr>
      </w:pPr>
    </w:p>
    <w:p w14:paraId="11E6D09F">
      <w:pPr>
        <w:spacing w:line="360" w:lineRule="auto"/>
        <w:ind w:firstLine="480" w:firstLineChars="200"/>
        <w:rPr>
          <w:rFonts w:hint="eastAsia" w:ascii="宋体" w:hAnsi="宋体" w:eastAsia="宋体"/>
          <w:sz w:val="24"/>
        </w:rPr>
      </w:pPr>
    </w:p>
    <w:p w14:paraId="628DE57E">
      <w:pPr>
        <w:spacing w:line="360" w:lineRule="auto"/>
        <w:ind w:firstLine="480" w:firstLineChars="200"/>
        <w:rPr>
          <w:rFonts w:hint="eastAsia" w:ascii="宋体" w:hAnsi="宋体" w:eastAsia="宋体"/>
          <w:sz w:val="24"/>
        </w:rPr>
      </w:pPr>
    </w:p>
    <w:p w14:paraId="778C438A">
      <w:pPr>
        <w:spacing w:line="360" w:lineRule="auto"/>
        <w:ind w:firstLine="480" w:firstLineChars="200"/>
        <w:rPr>
          <w:rFonts w:hint="eastAsia" w:ascii="宋体" w:hAnsi="宋体" w:eastAsia="宋体"/>
          <w:sz w:val="24"/>
        </w:rPr>
      </w:pPr>
    </w:p>
    <w:p w14:paraId="0647BDFD">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贵翠</w:t>
      </w:r>
    </w:p>
    <w:p w14:paraId="095046C4">
      <w:pPr>
        <w:spacing w:line="360" w:lineRule="auto"/>
        <w:rPr>
          <w:rFonts w:ascii="宋体" w:hAnsi="宋体" w:eastAsia="宋体"/>
        </w:rPr>
      </w:pPr>
      <w:r>
        <w:rPr>
          <w:rFonts w:ascii="宋体" w:hAnsi="宋体" w:eastAsia="宋体"/>
          <w14:ligatures w14:val="standardContextual"/>
        </w:rPr>
        <w:drawing>
          <wp:inline distT="0" distB="0" distL="0" distR="0">
            <wp:extent cx="5274310" cy="3258185"/>
            <wp:effectExtent l="0" t="0" r="0" b="18415"/>
            <wp:docPr id="4245967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96766" name="图片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258185"/>
                    </a:xfrm>
                    <a:prstGeom prst="rect">
                      <a:avLst/>
                    </a:prstGeom>
                  </pic:spPr>
                </pic:pic>
              </a:graphicData>
            </a:graphic>
          </wp:inline>
        </w:drawing>
      </w:r>
    </w:p>
    <w:p w14:paraId="67B774FD">
      <w:pPr>
        <w:spacing w:line="360" w:lineRule="auto"/>
        <w:jc w:val="center"/>
        <w:rPr>
          <w:rFonts w:ascii="宋体" w:hAnsi="宋体" w:eastAsia="宋体"/>
        </w:rPr>
      </w:pPr>
      <w:r>
        <w:rPr>
          <w:rFonts w:hint="eastAsia" w:ascii="宋体" w:hAnsi="宋体" w:eastAsia="宋体"/>
        </w:rPr>
        <w:t>图</w:t>
      </w:r>
      <w:r>
        <w:rPr>
          <w:rFonts w:ascii="宋体" w:hAnsi="宋体" w:eastAsia="宋体"/>
        </w:rPr>
        <w:t>5.</w:t>
      </w:r>
      <w:r>
        <w:rPr>
          <w:rFonts w:hint="eastAsia" w:ascii="宋体" w:hAnsi="宋体" w:eastAsia="宋体"/>
        </w:rPr>
        <w:t>贵翠微量元素蛛网图</w:t>
      </w:r>
    </w:p>
    <w:p w14:paraId="6E33CF5D">
      <w:pPr>
        <w:spacing w:line="360" w:lineRule="auto"/>
        <w:rPr>
          <w:rFonts w:hint="eastAsia" w:ascii="宋体" w:hAnsi="宋体" w:eastAsia="宋体"/>
        </w:rPr>
      </w:pPr>
    </w:p>
    <w:p w14:paraId="54A72130">
      <w:pPr>
        <w:spacing w:line="360" w:lineRule="auto"/>
        <w:rPr>
          <w:rFonts w:ascii="宋体" w:hAnsi="宋体" w:eastAsia="宋体"/>
        </w:rPr>
      </w:pPr>
      <w:r>
        <w:rPr>
          <w:rFonts w:ascii="宋体" w:hAnsi="宋体" w:eastAsia="宋体"/>
          <w14:ligatures w14:val="standardContextual"/>
        </w:rPr>
        <w:drawing>
          <wp:inline distT="0" distB="0" distL="0" distR="0">
            <wp:extent cx="5274310" cy="3312795"/>
            <wp:effectExtent l="0" t="0" r="0" b="1905"/>
            <wp:docPr id="1327686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8686" name="图片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3312795"/>
                    </a:xfrm>
                    <a:prstGeom prst="rect">
                      <a:avLst/>
                    </a:prstGeom>
                  </pic:spPr>
                </pic:pic>
              </a:graphicData>
            </a:graphic>
          </wp:inline>
        </w:drawing>
      </w:r>
    </w:p>
    <w:p w14:paraId="2AB118C3">
      <w:pPr>
        <w:spacing w:line="360" w:lineRule="auto"/>
        <w:jc w:val="center"/>
        <w:rPr>
          <w:rFonts w:ascii="宋体" w:hAnsi="宋体" w:eastAsia="宋体"/>
        </w:rPr>
      </w:pPr>
      <w:r>
        <w:rPr>
          <w:rFonts w:hint="eastAsia" w:ascii="宋体" w:hAnsi="宋体" w:eastAsia="宋体"/>
        </w:rPr>
        <w:t>图</w:t>
      </w:r>
      <w:r>
        <w:rPr>
          <w:rFonts w:ascii="宋体" w:hAnsi="宋体" w:eastAsia="宋体"/>
        </w:rPr>
        <w:t>6.</w:t>
      </w:r>
      <w:r>
        <w:rPr>
          <w:rFonts w:hint="eastAsia" w:ascii="宋体" w:hAnsi="宋体" w:eastAsia="宋体"/>
        </w:rPr>
        <w:t>贵翠稀土配分模式图</w:t>
      </w:r>
    </w:p>
    <w:p w14:paraId="670FC103">
      <w:pPr>
        <w:spacing w:line="360" w:lineRule="auto"/>
        <w:rPr>
          <w:rFonts w:ascii="宋体" w:hAnsi="宋体" w:eastAsia="宋体"/>
        </w:rPr>
      </w:pPr>
    </w:p>
    <w:p w14:paraId="7D54B4E5">
      <w:pPr>
        <w:spacing w:line="360" w:lineRule="auto"/>
        <w:rPr>
          <w:rFonts w:ascii="宋体" w:hAnsi="宋体" w:eastAsia="宋体"/>
        </w:rPr>
      </w:pPr>
    </w:p>
    <w:p w14:paraId="1AAFDACB">
      <w:pPr>
        <w:spacing w:line="360" w:lineRule="auto"/>
        <w:rPr>
          <w:rFonts w:ascii="宋体" w:hAnsi="宋体" w:eastAsia="宋体"/>
        </w:rPr>
      </w:pPr>
    </w:p>
    <w:p w14:paraId="1692F621">
      <w:pPr>
        <w:spacing w:line="360" w:lineRule="auto"/>
        <w:rPr>
          <w:rFonts w:ascii="宋体" w:hAnsi="宋体" w:eastAsia="宋体"/>
          <w:sz w:val="24"/>
        </w:rPr>
      </w:pPr>
      <w:r>
        <w:rPr>
          <w:rFonts w:hint="eastAsia" w:ascii="宋体" w:hAnsi="宋体" w:eastAsia="宋体"/>
          <w:sz w:val="24"/>
        </w:rPr>
        <w:t>贵翠微量元素特征：</w:t>
      </w:r>
    </w:p>
    <w:p w14:paraId="381C78ED">
      <w:pPr>
        <w:spacing w:line="360" w:lineRule="auto"/>
        <w:ind w:firstLine="480" w:firstLineChars="200"/>
        <w:rPr>
          <w:rFonts w:ascii="宋体" w:hAnsi="宋体" w:eastAsia="宋体"/>
          <w:sz w:val="24"/>
        </w:rPr>
      </w:pPr>
      <w:r>
        <w:rPr>
          <w:rFonts w:hint="eastAsia" w:ascii="宋体" w:hAnsi="宋体" w:eastAsia="宋体"/>
          <w:sz w:val="24"/>
        </w:rPr>
        <w:t>贵翠样品共4件，测试结果显示贵翠微量元素含量很低，大多低于检出限。Sr含量较高，轻稀土亏损。</w:t>
      </w:r>
    </w:p>
    <w:p w14:paraId="53992BCC">
      <w:pPr>
        <w:spacing w:line="360" w:lineRule="auto"/>
        <w:ind w:firstLine="480" w:firstLineChars="200"/>
        <w:rPr>
          <w:rFonts w:hint="eastAsia" w:ascii="宋体" w:hAnsi="宋体" w:eastAsia="宋体"/>
          <w:sz w:val="24"/>
        </w:rPr>
      </w:pPr>
      <w:r>
        <w:rPr>
          <w:rFonts w:hint="eastAsia" w:ascii="宋体" w:hAnsi="宋体" w:eastAsia="宋体"/>
          <w:sz w:val="24"/>
        </w:rPr>
        <w:t>贵翠稀土元素整体含量较低，大部分元素低于检出限未能获得数值，数据经原始地幔标准化后，样品稀土总量∑REE范围在0</w:t>
      </w:r>
      <w:r>
        <w:rPr>
          <w:rFonts w:ascii="宋体" w:hAnsi="宋体" w:eastAsia="宋体"/>
          <w:sz w:val="24"/>
        </w:rPr>
        <w:t>.25-0.28</w:t>
      </w:r>
      <w:r>
        <w:rPr>
          <w:rFonts w:hint="eastAsia" w:ascii="宋体" w:hAnsi="宋体" w:eastAsia="宋体"/>
          <w:sz w:val="24"/>
        </w:rPr>
        <w:t>ppm之间，其中轻稀土LREE含量在</w:t>
      </w:r>
      <w:r>
        <w:rPr>
          <w:rFonts w:ascii="宋体" w:hAnsi="宋体" w:eastAsia="宋体"/>
          <w:sz w:val="24"/>
        </w:rPr>
        <w:t>0.01-0.02</w:t>
      </w:r>
      <w:r>
        <w:rPr>
          <w:rFonts w:hint="eastAsia" w:ascii="宋体" w:hAnsi="宋体" w:eastAsia="宋体"/>
          <w:sz w:val="24"/>
        </w:rPr>
        <w:t>ppm左右，中稀土MREE含量在0</w:t>
      </w:r>
      <w:r>
        <w:rPr>
          <w:rFonts w:ascii="宋体" w:hAnsi="宋体" w:eastAsia="宋体"/>
          <w:sz w:val="24"/>
        </w:rPr>
        <w:t>.03-0.18</w:t>
      </w:r>
      <w:r>
        <w:rPr>
          <w:rFonts w:hint="eastAsia" w:ascii="宋体" w:hAnsi="宋体" w:eastAsia="宋体"/>
          <w:sz w:val="24"/>
        </w:rPr>
        <w:t>ppm左右，重稀土HREE含量在0</w:t>
      </w:r>
      <w:r>
        <w:rPr>
          <w:rFonts w:ascii="宋体" w:hAnsi="宋体" w:eastAsia="宋体"/>
          <w:sz w:val="24"/>
        </w:rPr>
        <w:t>.08-0.21</w:t>
      </w:r>
      <w:r>
        <w:rPr>
          <w:rFonts w:hint="eastAsia" w:ascii="宋体" w:hAnsi="宋体" w:eastAsia="宋体"/>
          <w:sz w:val="24"/>
        </w:rPr>
        <w:t>ppm左右（数值为0不排除低于检出限，说明含量很低）。轻重稀土分异不明显，∑LREE</w:t>
      </w:r>
      <w:r>
        <w:rPr>
          <w:rFonts w:ascii="宋体" w:hAnsi="宋体" w:eastAsia="宋体"/>
          <w:sz w:val="24"/>
        </w:rPr>
        <w:t>/</w:t>
      </w:r>
      <w:r>
        <w:rPr>
          <w:rFonts w:hint="eastAsia" w:ascii="宋体" w:hAnsi="宋体" w:eastAsia="宋体"/>
          <w:sz w:val="24"/>
        </w:rPr>
        <w:t>∑HREE比值在0</w:t>
      </w:r>
      <w:r>
        <w:rPr>
          <w:rFonts w:ascii="宋体" w:hAnsi="宋体" w:eastAsia="宋体"/>
          <w:sz w:val="24"/>
        </w:rPr>
        <w:t>.04-2.39</w:t>
      </w:r>
      <w:r>
        <w:rPr>
          <w:rFonts w:hint="eastAsia" w:ascii="宋体" w:hAnsi="宋体" w:eastAsia="宋体"/>
          <w:sz w:val="24"/>
        </w:rPr>
        <w:t>之间变化。</w:t>
      </w:r>
    </w:p>
    <w:p w14:paraId="61832666">
      <w:pPr>
        <w:spacing w:line="360" w:lineRule="auto"/>
        <w:rPr>
          <w:rFonts w:hint="eastAsia" w:ascii="宋体" w:hAnsi="宋体" w:eastAsia="宋体"/>
          <w:sz w:val="24"/>
          <w:szCs w:val="32"/>
        </w:rPr>
      </w:pPr>
    </w:p>
    <w:p w14:paraId="4478423A">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云南黄龙玉</w:t>
      </w:r>
    </w:p>
    <w:p w14:paraId="54918908">
      <w:pPr>
        <w:spacing w:line="360" w:lineRule="auto"/>
        <w:rPr>
          <w:rFonts w:ascii="宋体" w:hAnsi="宋体" w:eastAsia="宋体"/>
        </w:rPr>
      </w:pPr>
      <w:r>
        <w:rPr>
          <w:rFonts w:ascii="宋体" w:hAnsi="宋体" w:eastAsia="宋体"/>
          <w14:ligatures w14:val="standardContextual"/>
        </w:rPr>
        <w:drawing>
          <wp:inline distT="0" distB="0" distL="0" distR="0">
            <wp:extent cx="5274310" cy="3183255"/>
            <wp:effectExtent l="0" t="0" r="0" b="17145"/>
            <wp:docPr id="17124180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18022" name="图片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183255"/>
                    </a:xfrm>
                    <a:prstGeom prst="rect">
                      <a:avLst/>
                    </a:prstGeom>
                  </pic:spPr>
                </pic:pic>
              </a:graphicData>
            </a:graphic>
          </wp:inline>
        </w:drawing>
      </w:r>
    </w:p>
    <w:p w14:paraId="132DACCE">
      <w:pPr>
        <w:spacing w:line="360" w:lineRule="auto"/>
        <w:jc w:val="center"/>
        <w:rPr>
          <w:rFonts w:hint="eastAsia" w:ascii="宋体" w:hAnsi="宋体" w:eastAsia="宋体"/>
        </w:rPr>
      </w:pPr>
      <w:r>
        <w:rPr>
          <w:rFonts w:hint="eastAsia" w:ascii="宋体" w:hAnsi="宋体" w:eastAsia="宋体"/>
        </w:rPr>
        <w:t>图</w:t>
      </w:r>
      <w:r>
        <w:rPr>
          <w:rFonts w:ascii="宋体" w:hAnsi="宋体" w:eastAsia="宋体"/>
        </w:rPr>
        <w:t>7.</w:t>
      </w:r>
      <w:r>
        <w:rPr>
          <w:rFonts w:hint="eastAsia" w:ascii="宋体" w:hAnsi="宋体" w:eastAsia="宋体"/>
        </w:rPr>
        <w:t>云南黄龙玉微量元素蛛网图</w:t>
      </w:r>
    </w:p>
    <w:p w14:paraId="5A4B174D">
      <w:pPr>
        <w:spacing w:line="360" w:lineRule="auto"/>
        <w:rPr>
          <w:rFonts w:ascii="宋体" w:hAnsi="宋体" w:eastAsia="宋体"/>
        </w:rPr>
      </w:pPr>
    </w:p>
    <w:p w14:paraId="0DC9D538">
      <w:pPr>
        <w:spacing w:line="360" w:lineRule="auto"/>
        <w:rPr>
          <w:rFonts w:ascii="宋体" w:hAnsi="宋体" w:eastAsia="宋体"/>
        </w:rPr>
      </w:pPr>
    </w:p>
    <w:p w14:paraId="13057C92">
      <w:pPr>
        <w:spacing w:line="360" w:lineRule="auto"/>
        <w:rPr>
          <w:rFonts w:ascii="宋体" w:hAnsi="宋体" w:eastAsia="宋体"/>
        </w:rPr>
      </w:pPr>
      <w:r>
        <w:rPr>
          <w:rFonts w:ascii="宋体" w:hAnsi="宋体" w:eastAsia="宋体"/>
          <w14:ligatures w14:val="standardContextual"/>
        </w:rPr>
        <w:drawing>
          <wp:inline distT="0" distB="0" distL="0" distR="0">
            <wp:extent cx="5274310" cy="3286760"/>
            <wp:effectExtent l="0" t="0" r="0" b="8890"/>
            <wp:docPr id="7787020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2069" name="图片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3286760"/>
                    </a:xfrm>
                    <a:prstGeom prst="rect">
                      <a:avLst/>
                    </a:prstGeom>
                  </pic:spPr>
                </pic:pic>
              </a:graphicData>
            </a:graphic>
          </wp:inline>
        </w:drawing>
      </w:r>
    </w:p>
    <w:p w14:paraId="54889B7E">
      <w:pPr>
        <w:spacing w:line="360" w:lineRule="auto"/>
        <w:jc w:val="center"/>
        <w:rPr>
          <w:rFonts w:ascii="宋体" w:hAnsi="宋体" w:eastAsia="宋体"/>
        </w:rPr>
      </w:pPr>
      <w:r>
        <w:rPr>
          <w:rFonts w:hint="eastAsia" w:ascii="宋体" w:hAnsi="宋体" w:eastAsia="宋体"/>
        </w:rPr>
        <w:t>图</w:t>
      </w:r>
      <w:r>
        <w:rPr>
          <w:rFonts w:ascii="宋体" w:hAnsi="宋体" w:eastAsia="宋体"/>
        </w:rPr>
        <w:t>8.</w:t>
      </w:r>
      <w:r>
        <w:rPr>
          <w:rFonts w:hint="eastAsia" w:ascii="宋体" w:hAnsi="宋体" w:eastAsia="宋体"/>
        </w:rPr>
        <w:t>云南黄龙玉稀土配分模式图</w:t>
      </w:r>
    </w:p>
    <w:p w14:paraId="17C2224B">
      <w:pPr>
        <w:spacing w:line="360" w:lineRule="auto"/>
        <w:rPr>
          <w:rFonts w:ascii="宋体" w:hAnsi="宋体" w:eastAsia="宋体"/>
        </w:rPr>
      </w:pPr>
    </w:p>
    <w:p w14:paraId="5AB9B06B">
      <w:pPr>
        <w:spacing w:line="360" w:lineRule="auto"/>
        <w:rPr>
          <w:rFonts w:ascii="宋体" w:hAnsi="宋体" w:eastAsia="宋体"/>
          <w:sz w:val="24"/>
        </w:rPr>
      </w:pPr>
      <w:r>
        <w:rPr>
          <w:rFonts w:hint="eastAsia" w:ascii="宋体" w:hAnsi="宋体" w:eastAsia="宋体"/>
          <w:sz w:val="24"/>
        </w:rPr>
        <w:t>云南黄龙玉微量元素特征：</w:t>
      </w:r>
    </w:p>
    <w:p w14:paraId="20B1DE67">
      <w:pPr>
        <w:spacing w:line="360" w:lineRule="auto"/>
        <w:ind w:firstLine="480" w:firstLineChars="200"/>
        <w:rPr>
          <w:rFonts w:ascii="宋体" w:hAnsi="宋体" w:eastAsia="宋体"/>
          <w:sz w:val="24"/>
        </w:rPr>
      </w:pPr>
      <w:r>
        <w:rPr>
          <w:rFonts w:hint="eastAsia" w:ascii="宋体" w:hAnsi="宋体" w:eastAsia="宋体"/>
          <w:sz w:val="24"/>
        </w:rPr>
        <w:t>共获得</w:t>
      </w:r>
      <w:r>
        <w:rPr>
          <w:rFonts w:ascii="宋体" w:hAnsi="宋体" w:eastAsia="宋体"/>
          <w:sz w:val="24"/>
        </w:rPr>
        <w:t>3</w:t>
      </w:r>
      <w:r>
        <w:rPr>
          <w:rFonts w:hint="eastAsia" w:ascii="宋体" w:hAnsi="宋体" w:eastAsia="宋体"/>
          <w:sz w:val="24"/>
        </w:rPr>
        <w:t>件样品，测试结果显示云南黄龙玉微量元素含量较低，大多低于检出限。Rb含量较高，其他微量元素均变化较大。</w:t>
      </w:r>
    </w:p>
    <w:p w14:paraId="62ADCD9D">
      <w:pPr>
        <w:spacing w:line="360" w:lineRule="auto"/>
        <w:ind w:firstLine="480" w:firstLineChars="200"/>
        <w:rPr>
          <w:rFonts w:hint="eastAsia" w:ascii="宋体" w:hAnsi="宋体" w:eastAsia="宋体"/>
          <w:sz w:val="24"/>
        </w:rPr>
      </w:pPr>
      <w:r>
        <w:rPr>
          <w:rFonts w:hint="eastAsia" w:ascii="宋体" w:hAnsi="宋体" w:eastAsia="宋体"/>
          <w:sz w:val="24"/>
        </w:rPr>
        <w:t>云南黄龙玉稀土元素整体含量较低，大部分元素低于检出限未能获得数值，数据经原始地幔标准化后，样品稀土总量∑REE范围在0</w:t>
      </w:r>
      <w:r>
        <w:rPr>
          <w:rFonts w:ascii="宋体" w:hAnsi="宋体" w:eastAsia="宋体"/>
          <w:sz w:val="24"/>
        </w:rPr>
        <w:t>.37-0.60</w:t>
      </w:r>
      <w:r>
        <w:rPr>
          <w:rFonts w:hint="eastAsia" w:ascii="宋体" w:hAnsi="宋体" w:eastAsia="宋体"/>
          <w:sz w:val="24"/>
        </w:rPr>
        <w:t>ppm之间，其中轻稀土LREE含量在</w:t>
      </w:r>
      <w:r>
        <w:rPr>
          <w:rFonts w:ascii="宋体" w:hAnsi="宋体" w:eastAsia="宋体"/>
          <w:sz w:val="24"/>
        </w:rPr>
        <w:t>0.05-0.25</w:t>
      </w:r>
      <w:r>
        <w:rPr>
          <w:rFonts w:hint="eastAsia" w:ascii="宋体" w:hAnsi="宋体" w:eastAsia="宋体"/>
          <w:sz w:val="24"/>
        </w:rPr>
        <w:t>ppm左右，中稀土MREE含量在0</w:t>
      </w:r>
      <w:r>
        <w:rPr>
          <w:rFonts w:ascii="宋体" w:hAnsi="宋体" w:eastAsia="宋体"/>
          <w:sz w:val="24"/>
        </w:rPr>
        <w:t>-0.30</w:t>
      </w:r>
      <w:r>
        <w:rPr>
          <w:rFonts w:hint="eastAsia" w:ascii="宋体" w:hAnsi="宋体" w:eastAsia="宋体"/>
          <w:sz w:val="24"/>
        </w:rPr>
        <w:t>ppm左右，重稀土HREE含量在0</w:t>
      </w:r>
      <w:r>
        <w:rPr>
          <w:rFonts w:ascii="宋体" w:hAnsi="宋体" w:eastAsia="宋体"/>
          <w:sz w:val="24"/>
        </w:rPr>
        <w:t>.05-0.32</w:t>
      </w:r>
      <w:r>
        <w:rPr>
          <w:rFonts w:hint="eastAsia" w:ascii="宋体" w:hAnsi="宋体" w:eastAsia="宋体"/>
          <w:sz w:val="24"/>
        </w:rPr>
        <w:t>ppm左右（数值为0不排除低于检出限，说明含量很低）。轻重稀土分异不明显，∑LREE</w:t>
      </w:r>
      <w:r>
        <w:rPr>
          <w:rFonts w:ascii="宋体" w:hAnsi="宋体" w:eastAsia="宋体"/>
          <w:sz w:val="24"/>
        </w:rPr>
        <w:t>/</w:t>
      </w:r>
      <w:r>
        <w:rPr>
          <w:rFonts w:hint="eastAsia" w:ascii="宋体" w:hAnsi="宋体" w:eastAsia="宋体"/>
          <w:sz w:val="24"/>
        </w:rPr>
        <w:t>∑HREE比值在0</w:t>
      </w:r>
      <w:r>
        <w:rPr>
          <w:rFonts w:ascii="宋体" w:hAnsi="宋体" w:eastAsia="宋体"/>
          <w:sz w:val="24"/>
        </w:rPr>
        <w:t>.15-4.71</w:t>
      </w:r>
      <w:r>
        <w:rPr>
          <w:rFonts w:hint="eastAsia" w:ascii="宋体" w:hAnsi="宋体" w:eastAsia="宋体"/>
          <w:sz w:val="24"/>
        </w:rPr>
        <w:t>之间变化。</w:t>
      </w:r>
    </w:p>
    <w:p w14:paraId="0DAA51D8">
      <w:pPr>
        <w:spacing w:line="360" w:lineRule="auto"/>
        <w:rPr>
          <w:rFonts w:ascii="宋体" w:hAnsi="宋体" w:eastAsia="宋体"/>
        </w:rPr>
      </w:pPr>
    </w:p>
    <w:p w14:paraId="1CC768CA">
      <w:pPr>
        <w:spacing w:line="360" w:lineRule="auto"/>
        <w:rPr>
          <w:rFonts w:ascii="宋体" w:hAnsi="宋体" w:eastAsia="宋体"/>
        </w:rPr>
      </w:pPr>
    </w:p>
    <w:p w14:paraId="44BE74E7">
      <w:pPr>
        <w:spacing w:line="360" w:lineRule="auto"/>
        <w:rPr>
          <w:rFonts w:ascii="宋体" w:hAnsi="宋体" w:eastAsia="宋体"/>
        </w:rPr>
      </w:pPr>
    </w:p>
    <w:p w14:paraId="271A0057">
      <w:pPr>
        <w:spacing w:line="360" w:lineRule="auto"/>
        <w:rPr>
          <w:rFonts w:ascii="宋体" w:hAnsi="宋体" w:eastAsia="宋体"/>
        </w:rPr>
      </w:pPr>
    </w:p>
    <w:p w14:paraId="3050E1B5">
      <w:pPr>
        <w:spacing w:line="360" w:lineRule="auto"/>
        <w:rPr>
          <w:rFonts w:ascii="宋体" w:hAnsi="宋体" w:eastAsia="宋体"/>
        </w:rPr>
      </w:pPr>
    </w:p>
    <w:p w14:paraId="6C36F726">
      <w:pPr>
        <w:spacing w:line="360" w:lineRule="auto"/>
        <w:rPr>
          <w:rFonts w:hint="eastAsia" w:ascii="宋体" w:hAnsi="宋体" w:eastAsia="宋体"/>
        </w:rPr>
      </w:pPr>
    </w:p>
    <w:p w14:paraId="51231A72">
      <w:pPr>
        <w:spacing w:line="360" w:lineRule="auto"/>
        <w:rPr>
          <w:rFonts w:hint="eastAsia" w:ascii="宋体" w:hAnsi="宋体" w:eastAsia="宋体"/>
        </w:rPr>
      </w:pPr>
    </w:p>
    <w:p w14:paraId="5A128097">
      <w:pPr>
        <w:spacing w:line="360" w:lineRule="auto"/>
        <w:rPr>
          <w:rFonts w:ascii="宋体" w:hAnsi="宋体" w:eastAsia="宋体"/>
          <w:sz w:val="24"/>
          <w:szCs w:val="32"/>
        </w:rPr>
      </w:pPr>
    </w:p>
    <w:p w14:paraId="20ADFC7A">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缅甸黄龙玉</w:t>
      </w:r>
    </w:p>
    <w:p w14:paraId="4DBBAAC9">
      <w:pPr>
        <w:spacing w:line="360" w:lineRule="auto"/>
        <w:rPr>
          <w:rFonts w:ascii="宋体" w:hAnsi="宋体" w:eastAsia="宋体"/>
        </w:rPr>
      </w:pPr>
      <w:r>
        <w:rPr>
          <w:rFonts w:ascii="宋体" w:hAnsi="宋体" w:eastAsia="宋体"/>
          <w14:ligatures w14:val="standardContextual"/>
        </w:rPr>
        <w:drawing>
          <wp:inline distT="0" distB="0" distL="0" distR="0">
            <wp:extent cx="5274310" cy="3283585"/>
            <wp:effectExtent l="0" t="0" r="0" b="12065"/>
            <wp:docPr id="3581063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06359"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3283585"/>
                    </a:xfrm>
                    <a:prstGeom prst="rect">
                      <a:avLst/>
                    </a:prstGeom>
                  </pic:spPr>
                </pic:pic>
              </a:graphicData>
            </a:graphic>
          </wp:inline>
        </w:drawing>
      </w:r>
    </w:p>
    <w:p w14:paraId="3393D263">
      <w:pPr>
        <w:spacing w:line="360" w:lineRule="auto"/>
        <w:jc w:val="center"/>
        <w:rPr>
          <w:rFonts w:ascii="宋体" w:hAnsi="宋体" w:eastAsia="宋体"/>
        </w:rPr>
      </w:pPr>
      <w:r>
        <w:rPr>
          <w:rFonts w:hint="eastAsia" w:ascii="宋体" w:hAnsi="宋体" w:eastAsia="宋体"/>
        </w:rPr>
        <w:t>图</w:t>
      </w:r>
      <w:r>
        <w:rPr>
          <w:rFonts w:ascii="宋体" w:hAnsi="宋体" w:eastAsia="宋体"/>
        </w:rPr>
        <w:t>9.</w:t>
      </w:r>
      <w:r>
        <w:rPr>
          <w:rFonts w:hint="eastAsia" w:ascii="宋体" w:hAnsi="宋体" w:eastAsia="宋体"/>
        </w:rPr>
        <w:t>缅甸黄龙玉微量元素蛛网图</w:t>
      </w:r>
    </w:p>
    <w:p w14:paraId="03044811">
      <w:pPr>
        <w:spacing w:line="360" w:lineRule="auto"/>
        <w:rPr>
          <w:rFonts w:hint="eastAsia" w:ascii="宋体" w:hAnsi="宋体" w:eastAsia="宋体"/>
        </w:rPr>
      </w:pPr>
    </w:p>
    <w:p w14:paraId="36E68A2C">
      <w:pPr>
        <w:spacing w:line="360" w:lineRule="auto"/>
        <w:rPr>
          <w:rFonts w:ascii="宋体" w:hAnsi="宋体" w:eastAsia="宋体"/>
        </w:rPr>
      </w:pPr>
      <w:r>
        <w:rPr>
          <w:rFonts w:ascii="宋体" w:hAnsi="宋体" w:eastAsia="宋体"/>
          <w14:ligatures w14:val="standardContextual"/>
        </w:rPr>
        <w:drawing>
          <wp:inline distT="0" distB="0" distL="0" distR="0">
            <wp:extent cx="5274310" cy="3295015"/>
            <wp:effectExtent l="0" t="0" r="2540" b="635"/>
            <wp:docPr id="16828564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56436" name="图片 1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3295015"/>
                    </a:xfrm>
                    <a:prstGeom prst="rect">
                      <a:avLst/>
                    </a:prstGeom>
                  </pic:spPr>
                </pic:pic>
              </a:graphicData>
            </a:graphic>
          </wp:inline>
        </w:drawing>
      </w:r>
    </w:p>
    <w:p w14:paraId="454F934D">
      <w:pPr>
        <w:spacing w:line="360" w:lineRule="auto"/>
        <w:jc w:val="center"/>
        <w:rPr>
          <w:rFonts w:ascii="宋体" w:hAnsi="宋体" w:eastAsia="宋体"/>
        </w:rPr>
      </w:pPr>
      <w:r>
        <w:rPr>
          <w:rFonts w:hint="eastAsia" w:ascii="宋体" w:hAnsi="宋体" w:eastAsia="宋体"/>
        </w:rPr>
        <w:t>图</w:t>
      </w:r>
      <w:r>
        <w:rPr>
          <w:rFonts w:ascii="宋体" w:hAnsi="宋体" w:eastAsia="宋体"/>
        </w:rPr>
        <w:t>10.</w:t>
      </w:r>
      <w:r>
        <w:rPr>
          <w:rFonts w:hint="eastAsia" w:ascii="宋体" w:hAnsi="宋体" w:eastAsia="宋体"/>
        </w:rPr>
        <w:t>缅甸黄龙玉稀土配分模式图</w:t>
      </w:r>
    </w:p>
    <w:p w14:paraId="18D2B83B">
      <w:pPr>
        <w:spacing w:line="360" w:lineRule="auto"/>
        <w:rPr>
          <w:rFonts w:ascii="宋体" w:hAnsi="宋体" w:eastAsia="宋体"/>
        </w:rPr>
      </w:pPr>
    </w:p>
    <w:p w14:paraId="1B0992E7">
      <w:pPr>
        <w:spacing w:line="360" w:lineRule="auto"/>
        <w:rPr>
          <w:rFonts w:ascii="宋体" w:hAnsi="宋体" w:eastAsia="宋体"/>
        </w:rPr>
      </w:pPr>
    </w:p>
    <w:p w14:paraId="1459729E">
      <w:pPr>
        <w:spacing w:line="360" w:lineRule="auto"/>
        <w:rPr>
          <w:rFonts w:ascii="宋体" w:hAnsi="宋体" w:eastAsia="宋体"/>
        </w:rPr>
      </w:pPr>
    </w:p>
    <w:p w14:paraId="42C9CBDC">
      <w:pPr>
        <w:spacing w:line="360" w:lineRule="auto"/>
        <w:rPr>
          <w:rFonts w:ascii="宋体" w:hAnsi="宋体" w:eastAsia="宋体"/>
          <w:sz w:val="24"/>
        </w:rPr>
      </w:pPr>
      <w:r>
        <w:rPr>
          <w:rFonts w:hint="eastAsia" w:ascii="宋体" w:hAnsi="宋体" w:eastAsia="宋体"/>
          <w:sz w:val="24"/>
        </w:rPr>
        <w:t>缅甸黄龙玉微量元素特征：</w:t>
      </w:r>
    </w:p>
    <w:p w14:paraId="529E904F">
      <w:pPr>
        <w:spacing w:line="360" w:lineRule="auto"/>
        <w:ind w:firstLine="480" w:firstLineChars="200"/>
        <w:rPr>
          <w:rFonts w:ascii="宋体" w:hAnsi="宋体" w:eastAsia="宋体"/>
          <w:sz w:val="24"/>
        </w:rPr>
      </w:pPr>
      <w:r>
        <w:rPr>
          <w:rFonts w:hint="eastAsia" w:ascii="宋体" w:hAnsi="宋体" w:eastAsia="宋体"/>
          <w:sz w:val="24"/>
        </w:rPr>
        <w:t>共获得</w:t>
      </w:r>
      <w:r>
        <w:rPr>
          <w:rFonts w:ascii="宋体" w:hAnsi="宋体" w:eastAsia="宋体"/>
          <w:sz w:val="24"/>
        </w:rPr>
        <w:t>3</w:t>
      </w:r>
      <w:r>
        <w:rPr>
          <w:rFonts w:hint="eastAsia" w:ascii="宋体" w:hAnsi="宋体" w:eastAsia="宋体"/>
          <w:sz w:val="24"/>
        </w:rPr>
        <w:t>件样品，测试结果显示缅甸黄龙玉微量元素含量很低，大多低于检出限，微量元素变化较大。</w:t>
      </w:r>
    </w:p>
    <w:p w14:paraId="66F27F4E">
      <w:pPr>
        <w:spacing w:line="360" w:lineRule="auto"/>
        <w:ind w:firstLine="480" w:firstLineChars="200"/>
        <w:rPr>
          <w:rFonts w:ascii="宋体" w:hAnsi="宋体" w:eastAsia="宋体"/>
        </w:rPr>
      </w:pPr>
      <w:r>
        <w:rPr>
          <w:rFonts w:hint="eastAsia" w:ascii="宋体" w:hAnsi="宋体" w:eastAsia="宋体"/>
          <w:sz w:val="24"/>
        </w:rPr>
        <w:t>缅甸黄龙玉稀土元素整体含量较低，大部分元素低于检出限未能获得数值，数据经原始地幔标准化后，样品稀土总量∑REE范围在0</w:t>
      </w:r>
      <w:r>
        <w:rPr>
          <w:rFonts w:ascii="宋体" w:hAnsi="宋体" w:eastAsia="宋体"/>
          <w:sz w:val="24"/>
        </w:rPr>
        <w:t>.19-0.38</w:t>
      </w:r>
      <w:r>
        <w:rPr>
          <w:rFonts w:hint="eastAsia" w:ascii="宋体" w:hAnsi="宋体" w:eastAsia="宋体"/>
          <w:sz w:val="24"/>
        </w:rPr>
        <w:t>ppm之间，其中轻稀土LREE含量在</w:t>
      </w:r>
      <w:r>
        <w:rPr>
          <w:rFonts w:ascii="宋体" w:hAnsi="宋体" w:eastAsia="宋体"/>
          <w:sz w:val="24"/>
        </w:rPr>
        <w:t>0.01-0.04</w:t>
      </w:r>
      <w:r>
        <w:rPr>
          <w:rFonts w:hint="eastAsia" w:ascii="宋体" w:hAnsi="宋体" w:eastAsia="宋体"/>
          <w:sz w:val="24"/>
        </w:rPr>
        <w:t>ppm左右，中稀土MREE含量在</w:t>
      </w:r>
      <w:r>
        <w:rPr>
          <w:rFonts w:ascii="宋体" w:hAnsi="宋体" w:eastAsia="宋体"/>
          <w:sz w:val="24"/>
        </w:rPr>
        <w:t>0.10-0.24</w:t>
      </w:r>
      <w:r>
        <w:rPr>
          <w:rFonts w:hint="eastAsia" w:ascii="宋体" w:hAnsi="宋体" w:eastAsia="宋体"/>
          <w:sz w:val="24"/>
        </w:rPr>
        <w:t>ppm左右，重稀土HREE含量在0</w:t>
      </w:r>
      <w:r>
        <w:rPr>
          <w:rFonts w:ascii="宋体" w:hAnsi="宋体" w:eastAsia="宋体"/>
          <w:sz w:val="24"/>
        </w:rPr>
        <w:t>.05-0.14</w:t>
      </w:r>
      <w:r>
        <w:rPr>
          <w:rFonts w:hint="eastAsia" w:ascii="宋体" w:hAnsi="宋体" w:eastAsia="宋体"/>
          <w:sz w:val="24"/>
        </w:rPr>
        <w:t>ppm左右。轻重稀土分异不明显，∑LREE</w:t>
      </w:r>
      <w:r>
        <w:rPr>
          <w:rFonts w:ascii="宋体" w:hAnsi="宋体" w:eastAsia="宋体"/>
          <w:sz w:val="24"/>
        </w:rPr>
        <w:t>/</w:t>
      </w:r>
      <w:r>
        <w:rPr>
          <w:rFonts w:hint="eastAsia" w:ascii="宋体" w:hAnsi="宋体" w:eastAsia="宋体"/>
          <w:sz w:val="24"/>
        </w:rPr>
        <w:t>∑HREE比值在0</w:t>
      </w:r>
      <w:r>
        <w:rPr>
          <w:rFonts w:ascii="宋体" w:hAnsi="宋体" w:eastAsia="宋体"/>
          <w:sz w:val="24"/>
        </w:rPr>
        <w:t>.30-2.58</w:t>
      </w:r>
      <w:r>
        <w:rPr>
          <w:rFonts w:hint="eastAsia" w:ascii="宋体" w:hAnsi="宋体" w:eastAsia="宋体"/>
          <w:sz w:val="24"/>
        </w:rPr>
        <w:t>之间变化。</w:t>
      </w:r>
    </w:p>
    <w:p w14:paraId="796FBAB4">
      <w:pPr>
        <w:spacing w:line="360" w:lineRule="auto"/>
        <w:rPr>
          <w:rFonts w:hint="eastAsia" w:ascii="宋体" w:hAnsi="宋体" w:eastAsia="宋体"/>
          <w:sz w:val="24"/>
          <w:szCs w:val="32"/>
        </w:rPr>
      </w:pPr>
    </w:p>
    <w:p w14:paraId="0A34EF01">
      <w:pPr>
        <w:pStyle w:val="89"/>
        <w:numPr>
          <w:ilvl w:val="0"/>
          <w:numId w:val="4"/>
        </w:numPr>
        <w:spacing w:line="360" w:lineRule="auto"/>
        <w:ind w:firstLineChars="0"/>
        <w:rPr>
          <w:rFonts w:hint="eastAsia" w:ascii="宋体" w:hAnsi="宋体" w:eastAsia="宋体"/>
          <w:sz w:val="24"/>
          <w:szCs w:val="32"/>
        </w:rPr>
      </w:pPr>
      <w:r>
        <w:rPr>
          <w:rFonts w:hint="eastAsia" w:ascii="宋体" w:hAnsi="宋体" w:eastAsia="宋体"/>
          <w:sz w:val="24"/>
          <w:szCs w:val="32"/>
        </w:rPr>
        <w:t>宣化战国红</w:t>
      </w:r>
    </w:p>
    <w:p w14:paraId="2BC1B469">
      <w:pPr>
        <w:spacing w:line="360" w:lineRule="auto"/>
        <w:rPr>
          <w:rFonts w:ascii="宋体" w:hAnsi="宋体" w:eastAsia="宋体"/>
        </w:rPr>
      </w:pPr>
      <w:r>
        <w:rPr>
          <w:rFonts w:ascii="宋体" w:hAnsi="宋体" w:eastAsia="宋体"/>
          <w14:ligatures w14:val="standardContextual"/>
        </w:rPr>
        <w:drawing>
          <wp:inline distT="0" distB="0" distL="0" distR="0">
            <wp:extent cx="5274310" cy="3271520"/>
            <wp:effectExtent l="0" t="0" r="0" b="5080"/>
            <wp:docPr id="20133887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88706" name="图片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3271520"/>
                    </a:xfrm>
                    <a:prstGeom prst="rect">
                      <a:avLst/>
                    </a:prstGeom>
                  </pic:spPr>
                </pic:pic>
              </a:graphicData>
            </a:graphic>
          </wp:inline>
        </w:drawing>
      </w:r>
    </w:p>
    <w:p w14:paraId="4132D8B7">
      <w:pPr>
        <w:spacing w:line="360" w:lineRule="auto"/>
        <w:jc w:val="center"/>
        <w:rPr>
          <w:rFonts w:ascii="宋体" w:hAnsi="宋体" w:eastAsia="宋体"/>
        </w:rPr>
      </w:pPr>
      <w:r>
        <w:rPr>
          <w:rFonts w:hint="eastAsia" w:ascii="宋体" w:hAnsi="宋体" w:eastAsia="宋体"/>
        </w:rPr>
        <w:t>图</w:t>
      </w:r>
      <w:r>
        <w:rPr>
          <w:rFonts w:ascii="宋体" w:hAnsi="宋体" w:eastAsia="宋体"/>
        </w:rPr>
        <w:t>11.</w:t>
      </w:r>
      <w:r>
        <w:rPr>
          <w:rFonts w:hint="eastAsia" w:ascii="宋体" w:hAnsi="宋体" w:eastAsia="宋体"/>
        </w:rPr>
        <w:t>宣化战国红微量元素蛛网图</w:t>
      </w:r>
    </w:p>
    <w:p w14:paraId="56B0C3A3">
      <w:pPr>
        <w:spacing w:line="360" w:lineRule="auto"/>
        <w:rPr>
          <w:rFonts w:ascii="宋体" w:hAnsi="宋体" w:eastAsia="宋体"/>
        </w:rPr>
      </w:pPr>
    </w:p>
    <w:p w14:paraId="11D1E37F">
      <w:pPr>
        <w:spacing w:line="360" w:lineRule="auto"/>
        <w:rPr>
          <w:rFonts w:hint="eastAsia" w:ascii="宋体" w:hAnsi="宋体" w:eastAsia="宋体"/>
        </w:rPr>
      </w:pPr>
    </w:p>
    <w:p w14:paraId="3C114199">
      <w:pPr>
        <w:spacing w:line="360" w:lineRule="auto"/>
        <w:rPr>
          <w:rFonts w:ascii="宋体" w:hAnsi="宋体" w:eastAsia="宋体"/>
        </w:rPr>
      </w:pPr>
      <w:r>
        <w:rPr>
          <w:rFonts w:ascii="宋体" w:hAnsi="宋体" w:eastAsia="宋体"/>
          <w14:ligatures w14:val="standardContextual"/>
        </w:rPr>
        <w:drawing>
          <wp:inline distT="0" distB="0" distL="0" distR="0">
            <wp:extent cx="5274310" cy="3230245"/>
            <wp:effectExtent l="0" t="0" r="0" b="8255"/>
            <wp:docPr id="7677752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75299" name="图片 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230245"/>
                    </a:xfrm>
                    <a:prstGeom prst="rect">
                      <a:avLst/>
                    </a:prstGeom>
                  </pic:spPr>
                </pic:pic>
              </a:graphicData>
            </a:graphic>
          </wp:inline>
        </w:drawing>
      </w:r>
    </w:p>
    <w:p w14:paraId="7D0E68D7">
      <w:pPr>
        <w:spacing w:line="360" w:lineRule="auto"/>
        <w:jc w:val="center"/>
        <w:rPr>
          <w:rFonts w:ascii="宋体" w:hAnsi="宋体" w:eastAsia="宋体"/>
        </w:rPr>
      </w:pPr>
      <w:r>
        <w:rPr>
          <w:rFonts w:hint="eastAsia" w:ascii="宋体" w:hAnsi="宋体" w:eastAsia="宋体"/>
        </w:rPr>
        <w:t>图</w:t>
      </w:r>
      <w:r>
        <w:rPr>
          <w:rFonts w:ascii="宋体" w:hAnsi="宋体" w:eastAsia="宋体"/>
        </w:rPr>
        <w:t>12.</w:t>
      </w:r>
      <w:r>
        <w:rPr>
          <w:rFonts w:hint="eastAsia" w:ascii="宋体" w:hAnsi="宋体" w:eastAsia="宋体"/>
        </w:rPr>
        <w:t xml:space="preserve"> 宣化战国红稀土配分模式图</w:t>
      </w:r>
    </w:p>
    <w:p w14:paraId="12B9FB90">
      <w:pPr>
        <w:spacing w:line="360" w:lineRule="auto"/>
        <w:rPr>
          <w:rFonts w:ascii="宋体" w:hAnsi="宋体" w:eastAsia="宋体"/>
          <w:sz w:val="24"/>
        </w:rPr>
      </w:pPr>
      <w:r>
        <w:rPr>
          <w:rFonts w:hint="eastAsia" w:ascii="宋体" w:hAnsi="宋体" w:eastAsia="宋体"/>
          <w:sz w:val="24"/>
        </w:rPr>
        <w:t>宣化战国红微量元素特征：</w:t>
      </w:r>
    </w:p>
    <w:p w14:paraId="03F46D80">
      <w:pPr>
        <w:spacing w:line="360" w:lineRule="auto"/>
        <w:ind w:firstLine="480" w:firstLineChars="200"/>
        <w:rPr>
          <w:rFonts w:ascii="宋体" w:hAnsi="宋体" w:eastAsia="宋体"/>
          <w:sz w:val="24"/>
        </w:rPr>
      </w:pPr>
      <w:r>
        <w:rPr>
          <w:rFonts w:hint="eastAsia" w:ascii="宋体" w:hAnsi="宋体" w:eastAsia="宋体"/>
          <w:sz w:val="24"/>
        </w:rPr>
        <w:t>共获得</w:t>
      </w:r>
      <w:r>
        <w:rPr>
          <w:rFonts w:ascii="宋体" w:hAnsi="宋体" w:eastAsia="宋体"/>
          <w:sz w:val="24"/>
        </w:rPr>
        <w:t>4</w:t>
      </w:r>
      <w:r>
        <w:rPr>
          <w:rFonts w:hint="eastAsia" w:ascii="宋体" w:hAnsi="宋体" w:eastAsia="宋体"/>
          <w:sz w:val="24"/>
        </w:rPr>
        <w:t>件样品，测试结果显示宣化战国隐晶质红环带区域与结晶石英区域微量元素含量均较低，部分低于检出限，微量元素均变化较大。</w:t>
      </w:r>
    </w:p>
    <w:p w14:paraId="53198517">
      <w:pPr>
        <w:spacing w:line="360" w:lineRule="auto"/>
        <w:ind w:firstLine="480" w:firstLineChars="200"/>
        <w:rPr>
          <w:rFonts w:hint="eastAsia" w:ascii="宋体" w:hAnsi="宋体" w:eastAsia="宋体"/>
          <w:sz w:val="24"/>
        </w:rPr>
      </w:pPr>
      <w:r>
        <w:rPr>
          <w:rFonts w:hint="eastAsia" w:ascii="宋体" w:hAnsi="宋体" w:eastAsia="宋体"/>
          <w:sz w:val="24"/>
        </w:rPr>
        <w:t>宣化战国红稀土元素整体含量较低，部分元素低于检出限未能获得数值，数据经原始地幔标准化后，样品稀土总量∑REE范围在0</w:t>
      </w:r>
      <w:r>
        <w:rPr>
          <w:rFonts w:ascii="宋体" w:hAnsi="宋体" w:eastAsia="宋体"/>
          <w:sz w:val="24"/>
        </w:rPr>
        <w:t>.30-1.33</w:t>
      </w:r>
      <w:r>
        <w:rPr>
          <w:rFonts w:hint="eastAsia" w:ascii="宋体" w:hAnsi="宋体" w:eastAsia="宋体"/>
          <w:sz w:val="24"/>
        </w:rPr>
        <w:t>ppm之间，其中轻稀土LREE含量在</w:t>
      </w:r>
      <w:r>
        <w:rPr>
          <w:rFonts w:ascii="宋体" w:hAnsi="宋体" w:eastAsia="宋体"/>
          <w:sz w:val="24"/>
        </w:rPr>
        <w:t>0-0.26</w:t>
      </w:r>
      <w:r>
        <w:rPr>
          <w:rFonts w:hint="eastAsia" w:ascii="宋体" w:hAnsi="宋体" w:eastAsia="宋体"/>
          <w:sz w:val="24"/>
        </w:rPr>
        <w:t>ppm左右，中稀土MREE含量在0</w:t>
      </w:r>
      <w:r>
        <w:rPr>
          <w:rFonts w:ascii="宋体" w:hAnsi="宋体" w:eastAsia="宋体"/>
          <w:sz w:val="24"/>
        </w:rPr>
        <w:t>.18-0.31</w:t>
      </w:r>
      <w:r>
        <w:rPr>
          <w:rFonts w:hint="eastAsia" w:ascii="宋体" w:hAnsi="宋体" w:eastAsia="宋体"/>
          <w:sz w:val="24"/>
        </w:rPr>
        <w:t>ppm左右，重稀土HREE含量在0</w:t>
      </w:r>
      <w:r>
        <w:rPr>
          <w:rFonts w:ascii="宋体" w:hAnsi="宋体" w:eastAsia="宋体"/>
          <w:sz w:val="24"/>
        </w:rPr>
        <w:t>.08-0.76</w:t>
      </w:r>
      <w:r>
        <w:rPr>
          <w:rFonts w:hint="eastAsia" w:ascii="宋体" w:hAnsi="宋体" w:eastAsia="宋体"/>
          <w:sz w:val="24"/>
        </w:rPr>
        <w:t>ppm左右（数值为0不排除低于检出限，说明含量很低）。轻重稀土分异不明显，∑LREE</w:t>
      </w:r>
      <w:r>
        <w:rPr>
          <w:rFonts w:ascii="宋体" w:hAnsi="宋体" w:eastAsia="宋体"/>
          <w:sz w:val="24"/>
        </w:rPr>
        <w:t>/</w:t>
      </w:r>
      <w:r>
        <w:rPr>
          <w:rFonts w:hint="eastAsia" w:ascii="宋体" w:hAnsi="宋体" w:eastAsia="宋体"/>
          <w:sz w:val="24"/>
        </w:rPr>
        <w:t>∑HREE比值在0</w:t>
      </w:r>
      <w:r>
        <w:rPr>
          <w:rFonts w:ascii="宋体" w:hAnsi="宋体" w:eastAsia="宋体"/>
          <w:sz w:val="24"/>
        </w:rPr>
        <w:t>.31-1.69</w:t>
      </w:r>
      <w:r>
        <w:rPr>
          <w:rFonts w:hint="eastAsia" w:ascii="宋体" w:hAnsi="宋体" w:eastAsia="宋体"/>
          <w:sz w:val="24"/>
        </w:rPr>
        <w:t>之间变化。</w:t>
      </w:r>
    </w:p>
    <w:p w14:paraId="7A21DA58">
      <w:pPr>
        <w:spacing w:line="360" w:lineRule="auto"/>
        <w:ind w:firstLine="480" w:firstLineChars="200"/>
        <w:rPr>
          <w:rFonts w:hint="eastAsia" w:ascii="宋体" w:hAnsi="宋体" w:eastAsia="宋体"/>
          <w:sz w:val="24"/>
        </w:rPr>
      </w:pPr>
    </w:p>
    <w:p w14:paraId="1380926F">
      <w:pPr>
        <w:spacing w:line="360" w:lineRule="auto"/>
        <w:ind w:firstLine="480" w:firstLineChars="200"/>
        <w:rPr>
          <w:rFonts w:hint="eastAsia" w:ascii="宋体" w:hAnsi="宋体" w:eastAsia="宋体"/>
          <w:sz w:val="24"/>
        </w:rPr>
      </w:pPr>
    </w:p>
    <w:p w14:paraId="4F3FBCAF">
      <w:pPr>
        <w:spacing w:line="360" w:lineRule="auto"/>
        <w:ind w:firstLine="480" w:firstLineChars="200"/>
        <w:rPr>
          <w:rFonts w:hint="eastAsia" w:ascii="宋体" w:hAnsi="宋体" w:eastAsia="宋体"/>
          <w:sz w:val="24"/>
        </w:rPr>
      </w:pPr>
    </w:p>
    <w:p w14:paraId="2E4B1E23">
      <w:pPr>
        <w:spacing w:line="360" w:lineRule="auto"/>
        <w:ind w:firstLine="480" w:firstLineChars="200"/>
        <w:rPr>
          <w:rFonts w:hint="eastAsia" w:ascii="宋体" w:hAnsi="宋体" w:eastAsia="宋体"/>
          <w:sz w:val="24"/>
        </w:rPr>
      </w:pPr>
    </w:p>
    <w:p w14:paraId="11122DE8">
      <w:pPr>
        <w:spacing w:line="360" w:lineRule="auto"/>
        <w:ind w:firstLine="480" w:firstLineChars="200"/>
        <w:rPr>
          <w:rFonts w:hint="eastAsia" w:ascii="宋体" w:hAnsi="宋体" w:eastAsia="宋体"/>
          <w:sz w:val="24"/>
        </w:rPr>
      </w:pPr>
    </w:p>
    <w:p w14:paraId="49B9416A">
      <w:pPr>
        <w:spacing w:line="360" w:lineRule="auto"/>
        <w:ind w:firstLine="480" w:firstLineChars="200"/>
        <w:rPr>
          <w:rFonts w:hint="eastAsia" w:ascii="宋体" w:hAnsi="宋体" w:eastAsia="宋体"/>
          <w:sz w:val="24"/>
        </w:rPr>
      </w:pPr>
    </w:p>
    <w:p w14:paraId="651FE444">
      <w:pPr>
        <w:spacing w:line="360" w:lineRule="auto"/>
        <w:ind w:firstLine="480" w:firstLineChars="200"/>
        <w:rPr>
          <w:rFonts w:hint="eastAsia" w:ascii="宋体" w:hAnsi="宋体" w:eastAsia="宋体"/>
          <w:sz w:val="24"/>
        </w:rPr>
      </w:pPr>
    </w:p>
    <w:p w14:paraId="02DAB7F6">
      <w:pPr>
        <w:spacing w:line="360" w:lineRule="auto"/>
        <w:ind w:firstLine="480" w:firstLineChars="200"/>
        <w:rPr>
          <w:rFonts w:hint="eastAsia" w:ascii="宋体" w:hAnsi="宋体" w:eastAsia="宋体"/>
          <w:sz w:val="24"/>
        </w:rPr>
      </w:pPr>
    </w:p>
    <w:p w14:paraId="1D86ED8C">
      <w:pPr>
        <w:spacing w:line="360" w:lineRule="auto"/>
        <w:rPr>
          <w:rFonts w:ascii="宋体" w:hAnsi="宋体" w:eastAsia="宋体"/>
        </w:rPr>
      </w:pPr>
    </w:p>
    <w:p w14:paraId="15B3F8AD">
      <w:pPr>
        <w:pStyle w:val="89"/>
        <w:numPr>
          <w:ilvl w:val="0"/>
          <w:numId w:val="4"/>
        </w:numPr>
        <w:spacing w:line="360" w:lineRule="auto"/>
        <w:ind w:firstLineChars="0"/>
        <w:rPr>
          <w:rFonts w:hint="eastAsia" w:ascii="宋体" w:hAnsi="宋体" w:eastAsia="宋体"/>
        </w:rPr>
      </w:pPr>
      <w:r>
        <w:rPr>
          <w:rFonts w:hint="eastAsia" w:ascii="宋体" w:hAnsi="宋体" w:eastAsia="宋体"/>
        </w:rPr>
        <w:t>桂林鸡血玉</w:t>
      </w:r>
    </w:p>
    <w:p w14:paraId="3457B747">
      <w:pPr>
        <w:spacing w:line="360" w:lineRule="auto"/>
        <w:rPr>
          <w:rFonts w:ascii="宋体" w:hAnsi="宋体" w:eastAsia="宋体"/>
        </w:rPr>
      </w:pPr>
      <w:r>
        <w:rPr>
          <w:rFonts w:ascii="宋体" w:hAnsi="宋体" w:eastAsia="宋体"/>
          <w14:ligatures w14:val="standardContextual"/>
        </w:rPr>
        <w:drawing>
          <wp:inline distT="0" distB="0" distL="0" distR="0">
            <wp:extent cx="5274310" cy="3343275"/>
            <wp:effectExtent l="0" t="0" r="2540" b="0"/>
            <wp:docPr id="20667144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14487" name="图片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3343275"/>
                    </a:xfrm>
                    <a:prstGeom prst="rect">
                      <a:avLst/>
                    </a:prstGeom>
                  </pic:spPr>
                </pic:pic>
              </a:graphicData>
            </a:graphic>
          </wp:inline>
        </w:drawing>
      </w:r>
    </w:p>
    <w:p w14:paraId="241EDBA3">
      <w:pPr>
        <w:spacing w:line="360" w:lineRule="auto"/>
        <w:jc w:val="center"/>
        <w:rPr>
          <w:rFonts w:ascii="宋体" w:hAnsi="宋体" w:eastAsia="宋体"/>
        </w:rPr>
      </w:pPr>
      <w:r>
        <w:rPr>
          <w:rFonts w:hint="eastAsia" w:ascii="宋体" w:hAnsi="宋体" w:eastAsia="宋体"/>
        </w:rPr>
        <w:t>图</w:t>
      </w:r>
      <w:r>
        <w:rPr>
          <w:rFonts w:ascii="宋体" w:hAnsi="宋体" w:eastAsia="宋体"/>
        </w:rPr>
        <w:t>13.</w:t>
      </w:r>
      <w:r>
        <w:rPr>
          <w:rFonts w:hint="eastAsia" w:ascii="宋体" w:hAnsi="宋体" w:eastAsia="宋体"/>
        </w:rPr>
        <w:t>桂林鸡血玉微量元素蛛网图</w:t>
      </w:r>
    </w:p>
    <w:p w14:paraId="4EDCC292">
      <w:pPr>
        <w:spacing w:line="360" w:lineRule="auto"/>
        <w:rPr>
          <w:rFonts w:ascii="宋体" w:hAnsi="宋体" w:eastAsia="宋体"/>
        </w:rPr>
      </w:pPr>
    </w:p>
    <w:p w14:paraId="462F684B">
      <w:pPr>
        <w:spacing w:line="360" w:lineRule="auto"/>
        <w:rPr>
          <w:rFonts w:hint="eastAsia" w:ascii="宋体" w:hAnsi="宋体" w:eastAsia="宋体"/>
        </w:rPr>
      </w:pPr>
    </w:p>
    <w:p w14:paraId="23C0E528">
      <w:pPr>
        <w:spacing w:line="360" w:lineRule="auto"/>
        <w:rPr>
          <w:rFonts w:ascii="宋体" w:hAnsi="宋体" w:eastAsia="宋体"/>
        </w:rPr>
      </w:pPr>
      <w:r>
        <w:rPr>
          <w:rFonts w:hint="eastAsia" w:ascii="宋体" w:hAnsi="宋体" w:eastAsia="宋体"/>
          <w14:ligatures w14:val="standardContextual"/>
        </w:rPr>
        <w:drawing>
          <wp:inline distT="0" distB="0" distL="0" distR="0">
            <wp:extent cx="5274310" cy="3331845"/>
            <wp:effectExtent l="0" t="0" r="0" b="0"/>
            <wp:docPr id="18834901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0153" name="图片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3331845"/>
                    </a:xfrm>
                    <a:prstGeom prst="rect">
                      <a:avLst/>
                    </a:prstGeom>
                  </pic:spPr>
                </pic:pic>
              </a:graphicData>
            </a:graphic>
          </wp:inline>
        </w:drawing>
      </w:r>
    </w:p>
    <w:p w14:paraId="3A23F630">
      <w:pPr>
        <w:spacing w:line="360" w:lineRule="auto"/>
        <w:jc w:val="center"/>
        <w:rPr>
          <w:rFonts w:ascii="宋体" w:hAnsi="宋体" w:eastAsia="宋体"/>
        </w:rPr>
      </w:pPr>
      <w:r>
        <w:rPr>
          <w:rFonts w:hint="eastAsia" w:ascii="宋体" w:hAnsi="宋体" w:eastAsia="宋体"/>
        </w:rPr>
        <w:t>图</w:t>
      </w:r>
      <w:r>
        <w:rPr>
          <w:rFonts w:ascii="宋体" w:hAnsi="宋体" w:eastAsia="宋体"/>
        </w:rPr>
        <w:t>14.</w:t>
      </w:r>
      <w:r>
        <w:rPr>
          <w:rFonts w:hint="eastAsia" w:ascii="宋体" w:hAnsi="宋体" w:eastAsia="宋体"/>
        </w:rPr>
        <w:t xml:space="preserve"> 桂林鸡血玉稀土配分模式图</w:t>
      </w:r>
    </w:p>
    <w:p w14:paraId="10A8744B">
      <w:pPr>
        <w:spacing w:line="360" w:lineRule="auto"/>
        <w:rPr>
          <w:rFonts w:ascii="宋体" w:hAnsi="宋体" w:eastAsia="宋体"/>
        </w:rPr>
      </w:pPr>
    </w:p>
    <w:p w14:paraId="7C1282AA">
      <w:pPr>
        <w:spacing w:line="360" w:lineRule="auto"/>
        <w:rPr>
          <w:rFonts w:ascii="宋体" w:hAnsi="宋体" w:eastAsia="宋体"/>
        </w:rPr>
      </w:pPr>
    </w:p>
    <w:p w14:paraId="464F9FC6">
      <w:pPr>
        <w:spacing w:line="360" w:lineRule="auto"/>
        <w:rPr>
          <w:rFonts w:ascii="宋体" w:hAnsi="宋体" w:eastAsia="宋体"/>
          <w:sz w:val="24"/>
        </w:rPr>
      </w:pPr>
      <w:r>
        <w:rPr>
          <w:rFonts w:hint="eastAsia" w:ascii="宋体" w:hAnsi="宋体" w:eastAsia="宋体"/>
          <w:sz w:val="24"/>
        </w:rPr>
        <w:t>桂林鸡血玉微量元素特征：</w:t>
      </w:r>
    </w:p>
    <w:p w14:paraId="77B14C5D">
      <w:pPr>
        <w:spacing w:line="360" w:lineRule="auto"/>
        <w:ind w:firstLine="480" w:firstLineChars="200"/>
        <w:rPr>
          <w:rFonts w:ascii="宋体" w:hAnsi="宋体" w:eastAsia="宋体"/>
          <w:sz w:val="24"/>
        </w:rPr>
      </w:pPr>
      <w:r>
        <w:rPr>
          <w:rFonts w:hint="eastAsia" w:ascii="宋体" w:hAnsi="宋体" w:eastAsia="宋体"/>
          <w:sz w:val="24"/>
        </w:rPr>
        <w:t>样品测试了无色石英区域和红色石英及其他矿物混合区域，结果显示微量元素含量均较低（＜1ppm），无色石英区域大部分低于检出限，微量元素变化较大。</w:t>
      </w:r>
    </w:p>
    <w:p w14:paraId="67CB7907">
      <w:pPr>
        <w:spacing w:line="360" w:lineRule="auto"/>
        <w:ind w:firstLine="480" w:firstLineChars="200"/>
        <w:rPr>
          <w:rFonts w:hint="eastAsia" w:ascii="宋体" w:hAnsi="宋体" w:eastAsia="宋体"/>
          <w:sz w:val="24"/>
        </w:rPr>
      </w:pPr>
      <w:r>
        <w:rPr>
          <w:rFonts w:hint="eastAsia" w:ascii="宋体" w:hAnsi="宋体" w:eastAsia="宋体"/>
          <w:sz w:val="24"/>
        </w:rPr>
        <w:t>桂林鸡血玉稀土元素整体含量较低（＜1ppm），部分元素低于检出限未能获得数值，数据经原始地幔标准化后，样品稀土总量∑REE范围在0</w:t>
      </w:r>
      <w:r>
        <w:rPr>
          <w:rFonts w:ascii="宋体" w:hAnsi="宋体" w:eastAsia="宋体"/>
          <w:sz w:val="24"/>
        </w:rPr>
        <w:t>.18-2.15</w:t>
      </w:r>
      <w:r>
        <w:rPr>
          <w:rFonts w:hint="eastAsia" w:ascii="宋体" w:hAnsi="宋体" w:eastAsia="宋体"/>
          <w:sz w:val="24"/>
        </w:rPr>
        <w:t>ppm之间，其中轻稀土LREE含量在</w:t>
      </w:r>
      <w:r>
        <w:rPr>
          <w:rFonts w:ascii="宋体" w:hAnsi="宋体" w:eastAsia="宋体"/>
          <w:sz w:val="24"/>
        </w:rPr>
        <w:t>0-1.73</w:t>
      </w:r>
      <w:r>
        <w:rPr>
          <w:rFonts w:hint="eastAsia" w:ascii="宋体" w:hAnsi="宋体" w:eastAsia="宋体"/>
          <w:sz w:val="24"/>
        </w:rPr>
        <w:t>ppm左右，中稀土MREE含量在0</w:t>
      </w:r>
      <w:r>
        <w:rPr>
          <w:rFonts w:ascii="宋体" w:hAnsi="宋体" w:eastAsia="宋体"/>
          <w:sz w:val="24"/>
        </w:rPr>
        <w:t>.01-0.34</w:t>
      </w:r>
      <w:r>
        <w:rPr>
          <w:rFonts w:hint="eastAsia" w:ascii="宋体" w:hAnsi="宋体" w:eastAsia="宋体"/>
          <w:sz w:val="24"/>
        </w:rPr>
        <w:t>ppm左右，重稀土HREE含量在0</w:t>
      </w:r>
      <w:r>
        <w:rPr>
          <w:rFonts w:ascii="宋体" w:hAnsi="宋体" w:eastAsia="宋体"/>
          <w:sz w:val="24"/>
        </w:rPr>
        <w:t>.07-0.20</w:t>
      </w:r>
      <w:r>
        <w:rPr>
          <w:rFonts w:hint="eastAsia" w:ascii="宋体" w:hAnsi="宋体" w:eastAsia="宋体"/>
          <w:sz w:val="24"/>
        </w:rPr>
        <w:t>ppm左右（数值为0不排除低于检出限，说明含量很低）。部分样品轻重稀土分异明显，∑LREE</w:t>
      </w:r>
      <w:r>
        <w:rPr>
          <w:rFonts w:ascii="宋体" w:hAnsi="宋体" w:eastAsia="宋体"/>
          <w:sz w:val="24"/>
        </w:rPr>
        <w:t>/</w:t>
      </w:r>
      <w:r>
        <w:rPr>
          <w:rFonts w:hint="eastAsia" w:ascii="宋体" w:hAnsi="宋体" w:eastAsia="宋体"/>
          <w:sz w:val="24"/>
        </w:rPr>
        <w:t>∑HREE比值在0</w:t>
      </w:r>
      <w:r>
        <w:rPr>
          <w:rFonts w:ascii="宋体" w:hAnsi="宋体" w:eastAsia="宋体"/>
          <w:sz w:val="24"/>
        </w:rPr>
        <w:t>.01-21.93</w:t>
      </w:r>
      <w:r>
        <w:rPr>
          <w:rFonts w:hint="eastAsia" w:ascii="宋体" w:hAnsi="宋体" w:eastAsia="宋体"/>
          <w:sz w:val="24"/>
        </w:rPr>
        <w:t>之间变化（桂林鸡血玉稀土配分模式图中轻重稀土分异不明显，比值可能与轻稀土元素缺失有关）。</w:t>
      </w:r>
    </w:p>
    <w:p w14:paraId="5269A38B">
      <w:pPr>
        <w:widowControl/>
        <w:spacing w:line="440" w:lineRule="exact"/>
        <w:rPr>
          <w:rFonts w:hint="eastAsia" w:ascii="宋体" w:hAnsi="宋体" w:cs="宋体"/>
          <w:color w:val="000000"/>
          <w:sz w:val="24"/>
          <w:szCs w:val="24"/>
          <w:lang w:val="en-US" w:eastAsia="zh-CN"/>
        </w:rPr>
      </w:pPr>
    </w:p>
    <w:p w14:paraId="4FC8480D">
      <w:pPr>
        <w:widowControl/>
        <w:spacing w:line="440" w:lineRule="exact"/>
        <w:rPr>
          <w:rFonts w:hint="eastAsia" w:ascii="宋体" w:hAnsi="宋体" w:cs="宋体"/>
          <w:color w:val="000000"/>
          <w:sz w:val="24"/>
          <w:szCs w:val="24"/>
          <w:lang w:val="en-US" w:eastAsia="zh-CN"/>
        </w:rPr>
      </w:pPr>
    </w:p>
    <w:p w14:paraId="7EA6C986">
      <w:pPr>
        <w:widowControl/>
        <w:spacing w:line="440" w:lineRule="exact"/>
        <w:rPr>
          <w:rFonts w:hint="eastAsia" w:ascii="宋体" w:hAnsi="宋体" w:cs="宋体"/>
          <w:color w:val="000000"/>
          <w:sz w:val="24"/>
          <w:szCs w:val="24"/>
          <w:lang w:val="en-US" w:eastAsia="zh-CN"/>
        </w:rPr>
      </w:pPr>
    </w:p>
    <w:p w14:paraId="60FF41FA">
      <w:pPr>
        <w:widowControl/>
        <w:spacing w:line="440" w:lineRule="exact"/>
        <w:rPr>
          <w:rFonts w:hint="eastAsia" w:ascii="宋体" w:hAnsi="宋体" w:cs="宋体"/>
          <w:color w:val="000000"/>
          <w:sz w:val="24"/>
          <w:szCs w:val="24"/>
          <w:lang w:val="en-US" w:eastAsia="zh-CN"/>
        </w:rPr>
      </w:pPr>
    </w:p>
    <w:p w14:paraId="1AC9DE9A">
      <w:pPr>
        <w:widowControl/>
        <w:spacing w:line="440" w:lineRule="exact"/>
        <w:rPr>
          <w:rFonts w:hint="eastAsia" w:ascii="宋体" w:hAnsi="宋体" w:cs="宋体"/>
          <w:color w:val="000000"/>
          <w:sz w:val="24"/>
          <w:szCs w:val="24"/>
          <w:lang w:val="en-US" w:eastAsia="zh-CN"/>
        </w:rPr>
      </w:pPr>
    </w:p>
    <w:p w14:paraId="0102A77B">
      <w:pPr>
        <w:widowControl/>
        <w:spacing w:line="440" w:lineRule="exact"/>
        <w:rPr>
          <w:rFonts w:hint="eastAsia" w:ascii="宋体" w:hAnsi="宋体" w:cs="宋体"/>
          <w:color w:val="000000"/>
          <w:sz w:val="24"/>
          <w:szCs w:val="24"/>
          <w:lang w:val="en-US" w:eastAsia="zh-CN"/>
        </w:rPr>
      </w:pPr>
    </w:p>
    <w:p w14:paraId="44403B7C">
      <w:pPr>
        <w:widowControl/>
        <w:spacing w:line="440" w:lineRule="exact"/>
        <w:rPr>
          <w:rFonts w:hint="eastAsia" w:ascii="宋体" w:hAnsi="宋体" w:cs="宋体"/>
          <w:color w:val="000000"/>
          <w:sz w:val="24"/>
          <w:szCs w:val="24"/>
          <w:lang w:val="en-US" w:eastAsia="zh-CN"/>
        </w:rPr>
      </w:pPr>
    </w:p>
    <w:p w14:paraId="1EEEB138">
      <w:pPr>
        <w:widowControl/>
        <w:spacing w:line="440" w:lineRule="exact"/>
        <w:rPr>
          <w:rFonts w:hint="eastAsia" w:ascii="宋体" w:hAnsi="宋体" w:cs="宋体"/>
          <w:color w:val="000000"/>
          <w:sz w:val="24"/>
          <w:szCs w:val="24"/>
          <w:lang w:val="en-US" w:eastAsia="zh-CN"/>
        </w:rPr>
      </w:pPr>
    </w:p>
    <w:p w14:paraId="48217C14">
      <w:pPr>
        <w:widowControl/>
        <w:spacing w:line="440" w:lineRule="exact"/>
        <w:rPr>
          <w:rFonts w:hint="eastAsia" w:ascii="宋体" w:hAnsi="宋体" w:cs="宋体"/>
          <w:color w:val="000000"/>
          <w:sz w:val="24"/>
          <w:szCs w:val="24"/>
          <w:lang w:val="en-US" w:eastAsia="zh-CN"/>
        </w:rPr>
      </w:pPr>
    </w:p>
    <w:p w14:paraId="425BC9D2">
      <w:pPr>
        <w:widowControl/>
        <w:spacing w:line="440" w:lineRule="exact"/>
        <w:rPr>
          <w:rFonts w:hint="eastAsia" w:ascii="宋体" w:hAnsi="宋体" w:cs="宋体"/>
          <w:color w:val="000000"/>
          <w:sz w:val="24"/>
          <w:szCs w:val="24"/>
          <w:lang w:val="en-US" w:eastAsia="zh-CN"/>
        </w:rPr>
      </w:pPr>
    </w:p>
    <w:p w14:paraId="2635E0D8">
      <w:pPr>
        <w:widowControl/>
        <w:spacing w:line="440" w:lineRule="exact"/>
        <w:rPr>
          <w:rFonts w:hint="eastAsia" w:ascii="宋体" w:hAnsi="宋体" w:cs="宋体"/>
          <w:color w:val="000000"/>
          <w:sz w:val="24"/>
          <w:szCs w:val="24"/>
          <w:lang w:val="en-US" w:eastAsia="zh-CN"/>
        </w:rPr>
      </w:pPr>
    </w:p>
    <w:p w14:paraId="2F647207">
      <w:pPr>
        <w:widowControl/>
        <w:spacing w:line="440" w:lineRule="exact"/>
        <w:rPr>
          <w:rFonts w:hint="eastAsia" w:ascii="宋体" w:hAnsi="宋体" w:cs="宋体"/>
          <w:color w:val="000000"/>
          <w:sz w:val="24"/>
          <w:szCs w:val="24"/>
          <w:lang w:val="en-US" w:eastAsia="zh-CN"/>
        </w:rPr>
      </w:pPr>
    </w:p>
    <w:p w14:paraId="4320FFC4">
      <w:pPr>
        <w:widowControl/>
        <w:spacing w:line="440" w:lineRule="exact"/>
        <w:rPr>
          <w:rFonts w:hint="eastAsia" w:ascii="宋体" w:hAnsi="宋体" w:cs="宋体"/>
          <w:color w:val="000000"/>
          <w:sz w:val="24"/>
          <w:szCs w:val="24"/>
          <w:lang w:val="en-US" w:eastAsia="zh-CN"/>
        </w:rPr>
      </w:pPr>
    </w:p>
    <w:p w14:paraId="5E49ACC8">
      <w:pPr>
        <w:widowControl/>
        <w:spacing w:line="440" w:lineRule="exact"/>
        <w:rPr>
          <w:rFonts w:hint="eastAsia" w:ascii="宋体" w:hAnsi="宋体" w:cs="宋体"/>
          <w:color w:val="000000"/>
          <w:sz w:val="24"/>
          <w:szCs w:val="24"/>
          <w:lang w:val="en-US" w:eastAsia="zh-CN"/>
        </w:rPr>
      </w:pPr>
    </w:p>
    <w:p w14:paraId="1703790F">
      <w:pPr>
        <w:widowControl/>
        <w:spacing w:line="440" w:lineRule="exact"/>
        <w:rPr>
          <w:rFonts w:hint="eastAsia" w:ascii="宋体" w:hAnsi="宋体" w:cs="宋体"/>
          <w:color w:val="000000"/>
          <w:sz w:val="24"/>
          <w:szCs w:val="24"/>
          <w:lang w:val="en-US" w:eastAsia="zh-CN"/>
        </w:rPr>
      </w:pPr>
    </w:p>
    <w:p w14:paraId="2157357A">
      <w:pPr>
        <w:widowControl/>
        <w:spacing w:line="440" w:lineRule="exact"/>
        <w:rPr>
          <w:rFonts w:hint="eastAsia" w:ascii="宋体" w:hAnsi="宋体" w:cs="宋体"/>
          <w:color w:val="000000"/>
          <w:sz w:val="24"/>
          <w:szCs w:val="24"/>
          <w:lang w:val="en-US" w:eastAsia="zh-CN"/>
        </w:rPr>
      </w:pPr>
    </w:p>
    <w:p w14:paraId="0EB370C1">
      <w:pPr>
        <w:widowControl/>
        <w:spacing w:line="440" w:lineRule="exact"/>
        <w:rPr>
          <w:rFonts w:hint="eastAsia" w:ascii="宋体" w:hAnsi="宋体" w:cs="宋体"/>
          <w:color w:val="000000"/>
          <w:sz w:val="24"/>
          <w:szCs w:val="24"/>
          <w:lang w:val="en-US" w:eastAsia="zh-CN"/>
        </w:rPr>
      </w:pPr>
    </w:p>
    <w:p w14:paraId="59665463">
      <w:pPr>
        <w:widowControl/>
        <w:spacing w:line="440" w:lineRule="exact"/>
        <w:rPr>
          <w:rFonts w:hint="eastAsia" w:ascii="宋体" w:hAnsi="宋体" w:cs="宋体"/>
          <w:color w:val="000000"/>
          <w:sz w:val="24"/>
          <w:szCs w:val="24"/>
          <w:lang w:val="en-US" w:eastAsia="zh-CN"/>
        </w:rPr>
      </w:pPr>
    </w:p>
    <w:p w14:paraId="00B01441">
      <w:pPr>
        <w:widowControl/>
        <w:spacing w:line="440" w:lineRule="exact"/>
        <w:rPr>
          <w:rFonts w:hint="eastAsia" w:ascii="宋体" w:hAnsi="宋体" w:cs="宋体"/>
          <w:color w:val="000000"/>
          <w:sz w:val="24"/>
          <w:szCs w:val="24"/>
          <w:lang w:val="en-US" w:eastAsia="zh-CN"/>
        </w:rPr>
      </w:pPr>
    </w:p>
    <w:p w14:paraId="35432C39">
      <w:pPr>
        <w:widowControl/>
        <w:spacing w:line="440" w:lineRule="exact"/>
        <w:rPr>
          <w:rFonts w:hint="eastAsia" w:ascii="宋体" w:hAnsi="宋体" w:cs="宋体"/>
          <w:color w:val="000000"/>
          <w:sz w:val="24"/>
          <w:szCs w:val="24"/>
          <w:lang w:val="en-US" w:eastAsia="zh-CN"/>
        </w:rPr>
      </w:pPr>
    </w:p>
    <w:p w14:paraId="574B8010">
      <w:pPr>
        <w:widowControl/>
        <w:spacing w:line="440" w:lineRule="exact"/>
        <w:rPr>
          <w:rFonts w:hint="eastAsia" w:ascii="宋体" w:hAnsi="宋体" w:cs="宋体"/>
          <w:color w:val="000000"/>
          <w:sz w:val="24"/>
          <w:szCs w:val="24"/>
          <w:lang w:val="en-US" w:eastAsia="zh-CN"/>
        </w:rPr>
      </w:pPr>
    </w:p>
    <w:p w14:paraId="414CF3ED">
      <w:pPr>
        <w:widowControl/>
        <w:spacing w:line="440" w:lineRule="exact"/>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附件二：</w:t>
      </w:r>
    </w:p>
    <w:p w14:paraId="486D881C">
      <w:pPr>
        <w:widowControl/>
        <w:spacing w:line="440" w:lineRule="exact"/>
        <w:jc w:val="center"/>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密玉红外光谱-拉曼光谱特征</w:t>
      </w:r>
    </w:p>
    <w:p w14:paraId="7C28C580">
      <w:pPr>
        <w:rPr>
          <w:szCs w:val="21"/>
        </w:rPr>
      </w:pPr>
    </w:p>
    <w:p w14:paraId="7D371C91">
      <w:pPr>
        <w:rPr>
          <w:sz w:val="24"/>
        </w:rPr>
      </w:pPr>
      <w:r>
        <w:rPr>
          <w:rFonts w:hint="eastAsia"/>
          <w:sz w:val="24"/>
        </w:rPr>
        <w:t>1</w:t>
      </w:r>
      <w:r>
        <w:rPr>
          <w:sz w:val="24"/>
        </w:rPr>
        <w:t>.</w:t>
      </w:r>
      <w:r>
        <w:rPr>
          <w:rFonts w:hint="eastAsia"/>
          <w:sz w:val="24"/>
        </w:rPr>
        <w:t>深绿色密玉</w:t>
      </w:r>
    </w:p>
    <w:p w14:paraId="09DA37FB">
      <w:pPr>
        <w:rPr>
          <w:sz w:val="24"/>
        </w:rPr>
      </w:pPr>
    </w:p>
    <w:p w14:paraId="2DB30EA4">
      <w:pPr>
        <w:jc w:val="center"/>
      </w:pPr>
      <w:r>
        <w:drawing>
          <wp:inline distT="0" distB="0" distL="0" distR="0">
            <wp:extent cx="3453130" cy="2590800"/>
            <wp:effectExtent l="0" t="0" r="13970" b="0"/>
            <wp:docPr id="143209108" name="图片 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9108" name="图片 9" descr="卡通人物&#10;&#10;中度可信度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515663" cy="2637383"/>
                    </a:xfrm>
                    <a:prstGeom prst="rect">
                      <a:avLst/>
                    </a:prstGeom>
                    <a:noFill/>
                    <a:ln>
                      <a:noFill/>
                    </a:ln>
                  </pic:spPr>
                </pic:pic>
              </a:graphicData>
            </a:graphic>
          </wp:inline>
        </w:drawing>
      </w:r>
    </w:p>
    <w:p w14:paraId="0E71C5FB">
      <w:pPr>
        <w:jc w:val="center"/>
      </w:pPr>
    </w:p>
    <w:p w14:paraId="3E55446A">
      <w:pPr>
        <w:jc w:val="center"/>
      </w:pPr>
      <w:r>
        <w:drawing>
          <wp:inline distT="0" distB="0" distL="0" distR="0">
            <wp:extent cx="5109845" cy="3911600"/>
            <wp:effectExtent l="0" t="0" r="14605" b="12700"/>
            <wp:docPr id="17354375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37579"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42742" cy="4013315"/>
                    </a:xfrm>
                    <a:prstGeom prst="rect">
                      <a:avLst/>
                    </a:prstGeom>
                    <a:noFill/>
                    <a:ln>
                      <a:noFill/>
                    </a:ln>
                  </pic:spPr>
                </pic:pic>
              </a:graphicData>
            </a:graphic>
          </wp:inline>
        </w:drawing>
      </w:r>
    </w:p>
    <w:p w14:paraId="25E8FAEE">
      <w:pPr>
        <w:jc w:val="center"/>
      </w:pPr>
    </w:p>
    <w:p w14:paraId="792C30F3">
      <w:pPr>
        <w:jc w:val="center"/>
      </w:pPr>
    </w:p>
    <w:p w14:paraId="6266CFA8">
      <w:pPr>
        <w:jc w:val="center"/>
      </w:pPr>
    </w:p>
    <w:p w14:paraId="29E22608"/>
    <w:p w14:paraId="61C39347">
      <w:pPr>
        <w:rPr>
          <w:sz w:val="24"/>
        </w:rPr>
      </w:pPr>
    </w:p>
    <w:p w14:paraId="016152B7">
      <w:pPr>
        <w:rPr>
          <w:sz w:val="24"/>
        </w:rPr>
      </w:pPr>
      <w:r>
        <w:rPr>
          <w:sz w:val="24"/>
        </w:rPr>
        <w:t>2.</w:t>
      </w:r>
      <w:r>
        <w:rPr>
          <w:rFonts w:hint="eastAsia"/>
          <w:sz w:val="24"/>
        </w:rPr>
        <w:t>中绿色密玉</w:t>
      </w:r>
    </w:p>
    <w:p w14:paraId="0BDEE76F"/>
    <w:p w14:paraId="27857CA3">
      <w:pPr>
        <w:jc w:val="center"/>
      </w:pPr>
      <w:r>
        <w:drawing>
          <wp:inline distT="0" distB="0" distL="0" distR="0">
            <wp:extent cx="3530600" cy="2646680"/>
            <wp:effectExtent l="0" t="0" r="12700" b="1270"/>
            <wp:docPr id="6856829" name="图片 7"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829" name="图片 7" descr="卡通人物&#10;&#10;低可信度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631062" cy="2722639"/>
                    </a:xfrm>
                    <a:prstGeom prst="rect">
                      <a:avLst/>
                    </a:prstGeom>
                    <a:noFill/>
                    <a:ln>
                      <a:noFill/>
                    </a:ln>
                  </pic:spPr>
                </pic:pic>
              </a:graphicData>
            </a:graphic>
          </wp:inline>
        </w:drawing>
      </w:r>
    </w:p>
    <w:p w14:paraId="6D1DF799">
      <w:pPr>
        <w:jc w:val="center"/>
      </w:pPr>
    </w:p>
    <w:p w14:paraId="68D8D048">
      <w:r>
        <w:drawing>
          <wp:inline distT="0" distB="0" distL="0" distR="0">
            <wp:extent cx="5186045" cy="3970655"/>
            <wp:effectExtent l="0" t="0" r="14605" b="10795"/>
            <wp:docPr id="20755756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75694"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303255" cy="4060124"/>
                    </a:xfrm>
                    <a:prstGeom prst="rect">
                      <a:avLst/>
                    </a:prstGeom>
                    <a:noFill/>
                    <a:ln>
                      <a:noFill/>
                    </a:ln>
                  </pic:spPr>
                </pic:pic>
              </a:graphicData>
            </a:graphic>
          </wp:inline>
        </w:drawing>
      </w:r>
    </w:p>
    <w:p w14:paraId="79A27EDE"/>
    <w:p w14:paraId="505C19A3"/>
    <w:p w14:paraId="3F32E7E3"/>
    <w:p w14:paraId="7A7EDF0F"/>
    <w:p w14:paraId="6C1BD47B"/>
    <w:p w14:paraId="41D1CEBF"/>
    <w:p w14:paraId="77840E19">
      <w:pPr>
        <w:rPr>
          <w:sz w:val="24"/>
        </w:rPr>
      </w:pPr>
      <w:r>
        <w:rPr>
          <w:sz w:val="24"/>
        </w:rPr>
        <w:t>3.</w:t>
      </w:r>
      <w:r>
        <w:rPr>
          <w:rFonts w:hint="eastAsia"/>
          <w:sz w:val="24"/>
        </w:rPr>
        <w:t>浅绿色密玉</w:t>
      </w:r>
    </w:p>
    <w:p w14:paraId="38AA4774"/>
    <w:p w14:paraId="6E24226E">
      <w:pPr>
        <w:jc w:val="center"/>
      </w:pPr>
      <w:r>
        <w:drawing>
          <wp:inline distT="0" distB="0" distL="0" distR="0">
            <wp:extent cx="3600450" cy="2700655"/>
            <wp:effectExtent l="0" t="0" r="0" b="4445"/>
            <wp:docPr id="92977582" name="图片 6"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582" name="图片 6" descr="墙上挂着一幅画&#10;&#10;中度可信度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72107" cy="2754301"/>
                    </a:xfrm>
                    <a:prstGeom prst="rect">
                      <a:avLst/>
                    </a:prstGeom>
                    <a:noFill/>
                    <a:ln>
                      <a:noFill/>
                    </a:ln>
                  </pic:spPr>
                </pic:pic>
              </a:graphicData>
            </a:graphic>
          </wp:inline>
        </w:drawing>
      </w:r>
    </w:p>
    <w:p w14:paraId="58373732">
      <w:pPr>
        <w:jc w:val="center"/>
      </w:pPr>
    </w:p>
    <w:p w14:paraId="21D1F0B4">
      <w:pPr>
        <w:jc w:val="center"/>
      </w:pPr>
      <w:r>
        <w:drawing>
          <wp:inline distT="0" distB="0" distL="0" distR="0">
            <wp:extent cx="5274945" cy="4037965"/>
            <wp:effectExtent l="0" t="0" r="1905" b="635"/>
            <wp:docPr id="18590044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04443" name="图片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7E05870C">
      <w:pPr>
        <w:jc w:val="center"/>
      </w:pPr>
    </w:p>
    <w:p w14:paraId="63B80B05">
      <w:pPr>
        <w:jc w:val="center"/>
      </w:pPr>
    </w:p>
    <w:p w14:paraId="545257DE">
      <w:pPr>
        <w:jc w:val="center"/>
      </w:pPr>
    </w:p>
    <w:p w14:paraId="3AF3A50F">
      <w:pPr>
        <w:jc w:val="center"/>
      </w:pPr>
    </w:p>
    <w:p w14:paraId="4C161B3A"/>
    <w:p w14:paraId="079ADD8C"/>
    <w:p w14:paraId="3EC82FAB">
      <w:pPr>
        <w:rPr>
          <w:sz w:val="24"/>
        </w:rPr>
      </w:pPr>
      <w:r>
        <w:rPr>
          <w:sz w:val="24"/>
        </w:rPr>
        <w:t>4.</w:t>
      </w:r>
      <w:r>
        <w:rPr>
          <w:rFonts w:hint="eastAsia"/>
          <w:sz w:val="24"/>
        </w:rPr>
        <w:t>深红色密玉</w:t>
      </w:r>
    </w:p>
    <w:p w14:paraId="57284411"/>
    <w:p w14:paraId="61694C40">
      <w:pPr>
        <w:jc w:val="center"/>
      </w:pPr>
      <w:r>
        <w:drawing>
          <wp:inline distT="0" distB="0" distL="0" distR="0">
            <wp:extent cx="3613150" cy="2708910"/>
            <wp:effectExtent l="0" t="0" r="6350" b="15240"/>
            <wp:docPr id="2095928465"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28465" name="图片 3" descr="图片包含 游戏机&#10;&#10;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644814" cy="2732953"/>
                    </a:xfrm>
                    <a:prstGeom prst="rect">
                      <a:avLst/>
                    </a:prstGeom>
                    <a:noFill/>
                    <a:ln>
                      <a:noFill/>
                    </a:ln>
                  </pic:spPr>
                </pic:pic>
              </a:graphicData>
            </a:graphic>
          </wp:inline>
        </w:drawing>
      </w:r>
    </w:p>
    <w:p w14:paraId="3483B47E">
      <w:pPr>
        <w:jc w:val="center"/>
      </w:pPr>
    </w:p>
    <w:p w14:paraId="18827441">
      <w:pPr>
        <w:jc w:val="center"/>
      </w:pPr>
      <w:r>
        <w:drawing>
          <wp:inline distT="0" distB="0" distL="0" distR="0">
            <wp:extent cx="5274945" cy="4037965"/>
            <wp:effectExtent l="0" t="0" r="1905" b="635"/>
            <wp:docPr id="6441838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83830"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4D7C4BFA">
      <w:pPr>
        <w:jc w:val="center"/>
      </w:pPr>
    </w:p>
    <w:p w14:paraId="0137EF9C">
      <w:pPr>
        <w:jc w:val="center"/>
      </w:pPr>
    </w:p>
    <w:p w14:paraId="60DD0CFF">
      <w:pPr>
        <w:jc w:val="center"/>
      </w:pPr>
    </w:p>
    <w:p w14:paraId="48224BB4">
      <w:pPr>
        <w:jc w:val="center"/>
      </w:pPr>
    </w:p>
    <w:p w14:paraId="4A5F1C4A">
      <w:pPr>
        <w:jc w:val="center"/>
      </w:pPr>
    </w:p>
    <w:p w14:paraId="7E9D705A">
      <w:pPr>
        <w:jc w:val="center"/>
      </w:pPr>
    </w:p>
    <w:p w14:paraId="4D31751E">
      <w:pPr>
        <w:rPr>
          <w:sz w:val="24"/>
        </w:rPr>
      </w:pPr>
      <w:r>
        <w:rPr>
          <w:sz w:val="24"/>
        </w:rPr>
        <w:t>5.</w:t>
      </w:r>
      <w:r>
        <w:rPr>
          <w:rFonts w:hint="eastAsia"/>
          <w:sz w:val="24"/>
        </w:rPr>
        <w:t>浅红色密玉</w:t>
      </w:r>
    </w:p>
    <w:p w14:paraId="18609B45"/>
    <w:p w14:paraId="4D3B758B">
      <w:pPr>
        <w:jc w:val="center"/>
      </w:pPr>
      <w:r>
        <w:drawing>
          <wp:inline distT="0" distB="0" distL="0" distR="0">
            <wp:extent cx="3578860" cy="2683510"/>
            <wp:effectExtent l="0" t="0" r="2540" b="2540"/>
            <wp:docPr id="1736209564" name="图片 4"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09564" name="图片 4" descr="卡通人物&#10;&#10;中度可信度描述已自动生成"/>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06901" cy="2704958"/>
                    </a:xfrm>
                    <a:prstGeom prst="rect">
                      <a:avLst/>
                    </a:prstGeom>
                    <a:noFill/>
                    <a:ln>
                      <a:noFill/>
                    </a:ln>
                  </pic:spPr>
                </pic:pic>
              </a:graphicData>
            </a:graphic>
          </wp:inline>
        </w:drawing>
      </w:r>
    </w:p>
    <w:p w14:paraId="4922F475">
      <w:pPr>
        <w:jc w:val="center"/>
      </w:pPr>
    </w:p>
    <w:p w14:paraId="2984AACC">
      <w:pPr>
        <w:jc w:val="center"/>
      </w:pPr>
      <w:r>
        <w:drawing>
          <wp:inline distT="0" distB="0" distL="0" distR="0">
            <wp:extent cx="5274945" cy="4037965"/>
            <wp:effectExtent l="0" t="0" r="1905" b="635"/>
            <wp:docPr id="7025251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25172" name="图片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40A0D47C">
      <w:pPr>
        <w:jc w:val="center"/>
      </w:pPr>
    </w:p>
    <w:p w14:paraId="4370E5E6">
      <w:pPr>
        <w:jc w:val="center"/>
      </w:pPr>
    </w:p>
    <w:p w14:paraId="2B181692">
      <w:pPr>
        <w:jc w:val="center"/>
      </w:pPr>
    </w:p>
    <w:p w14:paraId="221754E2">
      <w:pPr>
        <w:jc w:val="center"/>
      </w:pPr>
    </w:p>
    <w:p w14:paraId="122CEF4C">
      <w:pPr>
        <w:jc w:val="center"/>
      </w:pPr>
    </w:p>
    <w:p w14:paraId="49F21448">
      <w:pPr>
        <w:jc w:val="center"/>
      </w:pPr>
    </w:p>
    <w:p w14:paraId="7A704D21">
      <w:pPr>
        <w:rPr>
          <w:sz w:val="24"/>
        </w:rPr>
      </w:pPr>
      <w:r>
        <w:rPr>
          <w:sz w:val="24"/>
        </w:rPr>
        <w:t>6.</w:t>
      </w:r>
      <w:r>
        <w:rPr>
          <w:rFonts w:hint="eastAsia"/>
          <w:sz w:val="24"/>
        </w:rPr>
        <w:t>白色密玉</w:t>
      </w:r>
    </w:p>
    <w:p w14:paraId="2BE48FE0"/>
    <w:p w14:paraId="38EC1BF6">
      <w:pPr>
        <w:jc w:val="center"/>
      </w:pPr>
      <w:r>
        <w:drawing>
          <wp:inline distT="0" distB="0" distL="0" distR="0">
            <wp:extent cx="3566795" cy="2675255"/>
            <wp:effectExtent l="0" t="0" r="14605" b="10795"/>
            <wp:docPr id="982581919"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1919" name="图片 2" descr="图片包含 文本&#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587150" cy="2690578"/>
                    </a:xfrm>
                    <a:prstGeom prst="rect">
                      <a:avLst/>
                    </a:prstGeom>
                    <a:noFill/>
                    <a:ln>
                      <a:noFill/>
                    </a:ln>
                  </pic:spPr>
                </pic:pic>
              </a:graphicData>
            </a:graphic>
          </wp:inline>
        </w:drawing>
      </w:r>
    </w:p>
    <w:p w14:paraId="01A1A7D2">
      <w:pPr>
        <w:jc w:val="center"/>
      </w:pPr>
    </w:p>
    <w:p w14:paraId="6EAF3255">
      <w:pPr>
        <w:jc w:val="center"/>
      </w:pPr>
      <w:r>
        <w:drawing>
          <wp:inline distT="0" distB="0" distL="0" distR="0">
            <wp:extent cx="5274945" cy="4037965"/>
            <wp:effectExtent l="0" t="0" r="1905" b="635"/>
            <wp:docPr id="2140972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2186" name="图片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0065776E">
      <w:pPr>
        <w:jc w:val="center"/>
      </w:pPr>
    </w:p>
    <w:p w14:paraId="48939AC1">
      <w:pPr>
        <w:jc w:val="center"/>
      </w:pPr>
    </w:p>
    <w:p w14:paraId="04F01750">
      <w:pPr>
        <w:jc w:val="center"/>
      </w:pPr>
    </w:p>
    <w:p w14:paraId="654C7A9C">
      <w:pPr>
        <w:jc w:val="center"/>
      </w:pPr>
    </w:p>
    <w:p w14:paraId="5D7EE9B3">
      <w:pPr>
        <w:jc w:val="center"/>
      </w:pPr>
    </w:p>
    <w:p w14:paraId="33AD7B43"/>
    <w:p w14:paraId="37ED38E8">
      <w:pPr>
        <w:rPr>
          <w:sz w:val="24"/>
        </w:rPr>
      </w:pPr>
      <w:r>
        <w:rPr>
          <w:sz w:val="24"/>
        </w:rPr>
        <w:t>7.</w:t>
      </w:r>
      <w:r>
        <w:rPr>
          <w:rFonts w:hint="eastAsia"/>
          <w:sz w:val="24"/>
        </w:rPr>
        <w:t>黑色密玉</w:t>
      </w:r>
    </w:p>
    <w:p w14:paraId="40222CD8">
      <w:pPr>
        <w:rPr>
          <w:b/>
          <w:bCs/>
        </w:rPr>
      </w:pPr>
    </w:p>
    <w:p w14:paraId="4DDF6935">
      <w:pPr>
        <w:jc w:val="center"/>
      </w:pPr>
      <w:r>
        <w:drawing>
          <wp:inline distT="0" distB="0" distL="0" distR="0">
            <wp:extent cx="3488690" cy="2616200"/>
            <wp:effectExtent l="0" t="0" r="16510" b="12700"/>
            <wp:docPr id="448113093" name="图片 1"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13093" name="图片 1" descr="墙上挂着一幅画&#10;&#10;中度可信度描述已自动生成"/>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516260" cy="2636560"/>
                    </a:xfrm>
                    <a:prstGeom prst="rect">
                      <a:avLst/>
                    </a:prstGeom>
                    <a:noFill/>
                    <a:ln>
                      <a:noFill/>
                    </a:ln>
                  </pic:spPr>
                </pic:pic>
              </a:graphicData>
            </a:graphic>
          </wp:inline>
        </w:drawing>
      </w:r>
    </w:p>
    <w:p w14:paraId="748ED04D">
      <w:pPr>
        <w:jc w:val="center"/>
      </w:pPr>
    </w:p>
    <w:p w14:paraId="7FE8F1CE">
      <w:pPr>
        <w:jc w:val="center"/>
      </w:pPr>
      <w:r>
        <w:drawing>
          <wp:inline distT="0" distB="0" distL="0" distR="0">
            <wp:extent cx="5274945" cy="4037965"/>
            <wp:effectExtent l="0" t="0" r="1905" b="635"/>
            <wp:docPr id="6883367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36772" name="图片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3AAB6326">
      <w:pPr>
        <w:jc w:val="center"/>
      </w:pPr>
    </w:p>
    <w:p w14:paraId="25ECB3F8">
      <w:pPr>
        <w:jc w:val="center"/>
      </w:pPr>
    </w:p>
    <w:p w14:paraId="7C4BEA50">
      <w:pPr>
        <w:jc w:val="center"/>
      </w:pPr>
    </w:p>
    <w:p w14:paraId="61101124">
      <w:pPr>
        <w:jc w:val="center"/>
      </w:pPr>
    </w:p>
    <w:p w14:paraId="6B92D579">
      <w:pPr>
        <w:jc w:val="center"/>
      </w:pPr>
    </w:p>
    <w:p w14:paraId="5CE46E78">
      <w:pPr>
        <w:jc w:val="center"/>
      </w:pPr>
    </w:p>
    <w:p w14:paraId="6E59687A">
      <w:pPr>
        <w:rPr>
          <w:sz w:val="24"/>
        </w:rPr>
      </w:pPr>
      <w:r>
        <w:rPr>
          <w:sz w:val="24"/>
        </w:rPr>
        <w:t>8.</w:t>
      </w:r>
      <w:r>
        <w:rPr>
          <w:rFonts w:hint="eastAsia"/>
          <w:sz w:val="24"/>
        </w:rPr>
        <w:t>黄色密玉</w:t>
      </w:r>
    </w:p>
    <w:p w14:paraId="33C381DA">
      <w:pPr>
        <w:jc w:val="center"/>
      </w:pPr>
    </w:p>
    <w:p w14:paraId="6EE052DC">
      <w:pPr>
        <w:jc w:val="center"/>
      </w:pPr>
      <w:r>
        <w:drawing>
          <wp:inline distT="0" distB="0" distL="0" distR="0">
            <wp:extent cx="3640455" cy="2727960"/>
            <wp:effectExtent l="0" t="0" r="17145" b="15240"/>
            <wp:docPr id="1965737223" name="图片 5"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37223" name="图片 5" descr="墙上挂着一幅画&#10;&#10;中度可信度描述已自动生成"/>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678600" cy="2756957"/>
                    </a:xfrm>
                    <a:prstGeom prst="rect">
                      <a:avLst/>
                    </a:prstGeom>
                    <a:noFill/>
                    <a:ln>
                      <a:noFill/>
                    </a:ln>
                  </pic:spPr>
                </pic:pic>
              </a:graphicData>
            </a:graphic>
          </wp:inline>
        </w:drawing>
      </w:r>
      <w:r>
        <w:drawing>
          <wp:inline distT="0" distB="0" distL="0" distR="0">
            <wp:extent cx="5274945" cy="4037965"/>
            <wp:effectExtent l="0" t="0" r="1905" b="635"/>
            <wp:docPr id="15597388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38828" name="图片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945" cy="4037965"/>
                    </a:xfrm>
                    <a:prstGeom prst="rect">
                      <a:avLst/>
                    </a:prstGeom>
                    <a:noFill/>
                    <a:ln>
                      <a:noFill/>
                    </a:ln>
                  </pic:spPr>
                </pic:pic>
              </a:graphicData>
            </a:graphic>
          </wp:inline>
        </w:drawing>
      </w:r>
    </w:p>
    <w:p w14:paraId="37E35AE2"/>
    <w:p w14:paraId="4B8C111E"/>
    <w:p w14:paraId="6E681A2C"/>
    <w:p w14:paraId="2F6FEB91"/>
    <w:p w14:paraId="4C9105ED"/>
    <w:p w14:paraId="156324BD"/>
    <w:p w14:paraId="3505F086">
      <w:pPr>
        <w:spacing w:line="360" w:lineRule="auto"/>
        <w:rPr>
          <w:sz w:val="24"/>
        </w:rPr>
      </w:pPr>
      <w:r>
        <w:rPr>
          <w:rFonts w:hint="eastAsia"/>
          <w:sz w:val="24"/>
        </w:rPr>
        <w:t>光谱峰值注释：</w:t>
      </w:r>
    </w:p>
    <w:p w14:paraId="3CE173FA">
      <w:pPr>
        <w:pStyle w:val="89"/>
        <w:numPr>
          <w:ilvl w:val="0"/>
          <w:numId w:val="5"/>
        </w:numPr>
        <w:spacing w:line="360" w:lineRule="auto"/>
        <w:ind w:left="0" w:leftChars="0" w:firstLine="480" w:firstLineChars="200"/>
        <w:rPr>
          <w:rFonts w:hint="eastAsia"/>
          <w:sz w:val="24"/>
        </w:rPr>
      </w:pPr>
      <w:r>
        <w:rPr>
          <w:rFonts w:hint="eastAsia"/>
          <w:sz w:val="24"/>
        </w:rPr>
        <w:t>密玉红外光谱：</w:t>
      </w:r>
      <w:r>
        <w:rPr>
          <w:sz w:val="24"/>
        </w:rPr>
        <w:t>473-478</w:t>
      </w:r>
      <w:r>
        <w:rPr>
          <w:rFonts w:hint="eastAsia"/>
          <w:sz w:val="24"/>
        </w:rPr>
        <w:t>nm</w:t>
      </w:r>
      <w:bookmarkStart w:id="27" w:name="_GoBack"/>
      <w:bookmarkEnd w:id="27"/>
      <w:r>
        <w:rPr>
          <w:rFonts w:hint="eastAsia"/>
          <w:sz w:val="24"/>
        </w:rPr>
        <w:t>、5</w:t>
      </w:r>
      <w:r>
        <w:rPr>
          <w:sz w:val="24"/>
        </w:rPr>
        <w:t>36-544</w:t>
      </w:r>
      <w:r>
        <w:rPr>
          <w:rFonts w:hint="eastAsia"/>
          <w:sz w:val="24"/>
        </w:rPr>
        <w:t>nm为Si-O的对称弯曲振动峰，8</w:t>
      </w:r>
      <w:r>
        <w:rPr>
          <w:sz w:val="24"/>
        </w:rPr>
        <w:t>00</w:t>
      </w:r>
      <w:r>
        <w:rPr>
          <w:rFonts w:hint="eastAsia"/>
          <w:sz w:val="24"/>
        </w:rPr>
        <w:t>左右双峰为Si</w:t>
      </w:r>
      <w:r>
        <w:rPr>
          <w:sz w:val="24"/>
        </w:rPr>
        <w:t>-</w:t>
      </w:r>
      <w:r>
        <w:rPr>
          <w:rFonts w:hint="eastAsia"/>
          <w:sz w:val="24"/>
        </w:rPr>
        <w:t>O</w:t>
      </w:r>
      <w:r>
        <w:rPr>
          <w:sz w:val="24"/>
        </w:rPr>
        <w:t>-</w:t>
      </w:r>
      <w:r>
        <w:rPr>
          <w:rFonts w:hint="eastAsia"/>
          <w:sz w:val="24"/>
        </w:rPr>
        <w:t>Si的对称伸缩振动峰，1</w:t>
      </w:r>
      <w:r>
        <w:rPr>
          <w:sz w:val="24"/>
        </w:rPr>
        <w:t>074-1076</w:t>
      </w:r>
      <w:r>
        <w:rPr>
          <w:rFonts w:hint="eastAsia"/>
          <w:sz w:val="24"/>
        </w:rPr>
        <w:t>nm、1</w:t>
      </w:r>
      <w:r>
        <w:rPr>
          <w:sz w:val="24"/>
        </w:rPr>
        <w:t>163</w:t>
      </w:r>
      <w:r>
        <w:rPr>
          <w:rFonts w:hint="eastAsia"/>
          <w:sz w:val="24"/>
        </w:rPr>
        <w:t>nm为Si</w:t>
      </w:r>
      <w:r>
        <w:rPr>
          <w:sz w:val="24"/>
        </w:rPr>
        <w:t>-</w:t>
      </w:r>
      <w:r>
        <w:rPr>
          <w:rFonts w:hint="eastAsia"/>
          <w:sz w:val="24"/>
        </w:rPr>
        <w:t>O</w:t>
      </w:r>
      <w:r>
        <w:rPr>
          <w:sz w:val="24"/>
        </w:rPr>
        <w:t>-</w:t>
      </w:r>
      <w:r>
        <w:rPr>
          <w:rFonts w:hint="eastAsia"/>
          <w:sz w:val="24"/>
        </w:rPr>
        <w:t>Si的非对称伸缩振动峰。</w:t>
      </w:r>
    </w:p>
    <w:p w14:paraId="02A355B2">
      <w:pPr>
        <w:pStyle w:val="89"/>
        <w:numPr>
          <w:ilvl w:val="0"/>
          <w:numId w:val="5"/>
        </w:numPr>
        <w:spacing w:line="360" w:lineRule="auto"/>
        <w:ind w:left="0" w:leftChars="0" w:firstLine="480" w:firstLineChars="200"/>
        <w:rPr>
          <w:rFonts w:hint="eastAsia"/>
          <w:sz w:val="24"/>
        </w:rPr>
      </w:pPr>
      <w:r>
        <w:rPr>
          <w:rFonts w:hint="eastAsia"/>
          <w:sz w:val="24"/>
        </w:rPr>
        <w:t>密玉拉曼光谱：2</w:t>
      </w:r>
      <w:r>
        <w:rPr>
          <w:sz w:val="24"/>
        </w:rPr>
        <w:t>08</w:t>
      </w:r>
      <w:r>
        <w:rPr>
          <w:rFonts w:hint="eastAsia"/>
          <w:sz w:val="24"/>
        </w:rPr>
        <w:t>nm、2</w:t>
      </w:r>
      <w:r>
        <w:rPr>
          <w:sz w:val="24"/>
        </w:rPr>
        <w:t>66</w:t>
      </w:r>
      <w:r>
        <w:rPr>
          <w:rFonts w:hint="eastAsia"/>
          <w:sz w:val="24"/>
        </w:rPr>
        <w:t>nm、3</w:t>
      </w:r>
      <w:r>
        <w:rPr>
          <w:sz w:val="24"/>
        </w:rPr>
        <w:t>57</w:t>
      </w:r>
      <w:r>
        <w:rPr>
          <w:rFonts w:hint="eastAsia"/>
          <w:sz w:val="24"/>
        </w:rPr>
        <w:t>nm、4</w:t>
      </w:r>
      <w:r>
        <w:rPr>
          <w:sz w:val="24"/>
        </w:rPr>
        <w:t>00</w:t>
      </w:r>
      <w:r>
        <w:rPr>
          <w:rFonts w:hint="eastAsia"/>
          <w:sz w:val="24"/>
        </w:rPr>
        <w:t>nm、4</w:t>
      </w:r>
      <w:r>
        <w:rPr>
          <w:sz w:val="24"/>
        </w:rPr>
        <w:t>65</w:t>
      </w:r>
      <w:r>
        <w:rPr>
          <w:rFonts w:hint="eastAsia"/>
          <w:sz w:val="24"/>
        </w:rPr>
        <w:t>nm是一组石英的特征拉曼峰，2</w:t>
      </w:r>
      <w:r>
        <w:rPr>
          <w:sz w:val="24"/>
        </w:rPr>
        <w:t>08</w:t>
      </w:r>
      <w:r>
        <w:rPr>
          <w:rFonts w:hint="eastAsia"/>
          <w:sz w:val="24"/>
        </w:rPr>
        <w:t>nm、2</w:t>
      </w:r>
      <w:r>
        <w:rPr>
          <w:sz w:val="24"/>
        </w:rPr>
        <w:t>66</w:t>
      </w:r>
      <w:r>
        <w:rPr>
          <w:rFonts w:hint="eastAsia"/>
          <w:sz w:val="24"/>
        </w:rPr>
        <w:t>nm、3</w:t>
      </w:r>
      <w:r>
        <w:rPr>
          <w:sz w:val="24"/>
        </w:rPr>
        <w:t>57</w:t>
      </w:r>
      <w:r>
        <w:rPr>
          <w:rFonts w:hint="eastAsia"/>
          <w:sz w:val="24"/>
        </w:rPr>
        <w:t>nm附近与[SiO</w:t>
      </w:r>
      <w:r>
        <w:rPr>
          <w:sz w:val="24"/>
        </w:rPr>
        <w:t>4]</w:t>
      </w:r>
      <w:r>
        <w:rPr>
          <w:rFonts w:hint="eastAsia"/>
          <w:sz w:val="24"/>
        </w:rPr>
        <w:t>的旋转振动或平移振动有关；6</w:t>
      </w:r>
      <w:r>
        <w:rPr>
          <w:sz w:val="24"/>
        </w:rPr>
        <w:t>97</w:t>
      </w:r>
      <w:r>
        <w:rPr>
          <w:rFonts w:hint="eastAsia"/>
          <w:sz w:val="24"/>
        </w:rPr>
        <w:t>nm、8</w:t>
      </w:r>
      <w:r>
        <w:rPr>
          <w:sz w:val="24"/>
        </w:rPr>
        <w:t>00</w:t>
      </w:r>
      <w:r>
        <w:rPr>
          <w:rFonts w:hint="eastAsia"/>
          <w:sz w:val="24"/>
        </w:rPr>
        <w:t>nm左右为Si-O-Si的对称伸缩振动峰；1</w:t>
      </w:r>
      <w:r>
        <w:rPr>
          <w:sz w:val="24"/>
        </w:rPr>
        <w:t>078</w:t>
      </w:r>
      <w:r>
        <w:rPr>
          <w:rFonts w:hint="eastAsia"/>
          <w:sz w:val="24"/>
        </w:rPr>
        <w:t>nm、1</w:t>
      </w:r>
      <w:r>
        <w:rPr>
          <w:sz w:val="24"/>
        </w:rPr>
        <w:t>157</w:t>
      </w:r>
      <w:r>
        <w:rPr>
          <w:rFonts w:hint="eastAsia"/>
          <w:sz w:val="24"/>
        </w:rPr>
        <w:t>nm左右为Si-O-Si的非对称伸缩振动峰。</w:t>
      </w:r>
    </w:p>
    <w:p w14:paraId="2DDBEF49">
      <w:pPr>
        <w:widowControl/>
        <w:spacing w:line="440" w:lineRule="exact"/>
        <w:rPr>
          <w:rFonts w:hint="default" w:ascii="宋体" w:hAnsi="宋体" w:cs="宋体"/>
          <w:color w:val="000000"/>
          <w:sz w:val="24"/>
          <w:szCs w:val="24"/>
          <w:lang w:val="en-US" w:eastAsia="zh-CN"/>
        </w:rPr>
      </w:pPr>
    </w:p>
    <w:p w14:paraId="4BB78EBF">
      <w:pPr>
        <w:spacing w:line="360" w:lineRule="auto"/>
        <w:rPr>
          <w:rFonts w:ascii="宋体" w:hAnsi="宋体" w:eastAsia="宋体"/>
        </w:rPr>
      </w:pPr>
    </w:p>
    <w:p w14:paraId="3FBECD79">
      <w:pPr>
        <w:widowControl/>
        <w:spacing w:line="440" w:lineRule="exact"/>
        <w:ind w:firstLine="480" w:firstLineChars="200"/>
        <w:rPr>
          <w:rFonts w:hint="eastAsia" w:ascii="宋体" w:hAnsi="宋体" w:eastAsia="宋体" w:cs="宋体"/>
          <w:color w:val="000000"/>
          <w:sz w:val="24"/>
          <w:szCs w:val="24"/>
        </w:rPr>
      </w:pPr>
    </w:p>
    <w:sectPr>
      <w:headerReference r:id="rId9" w:type="default"/>
      <w:footerReference r:id="rId10" w:type="default"/>
      <w:type w:val="continuous"/>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D4599">
    <w:pPr>
      <w:spacing w:line="170" w:lineRule="auto"/>
      <w:jc w:val="right"/>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640886">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5B640886">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C419">
    <w:pPr>
      <w:spacing w:line="174"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5B2A55">
                          <w:pPr>
                            <w:pStyle w:val="16"/>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4C5B2A55">
                    <w:pPr>
                      <w:pStyle w:val="16"/>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r>
      <w:rPr>
        <w:rFonts w:ascii="Times New Roman" w:hAnsi="Times New Roman" w:eastAsia="Times New Roman" w:cs="Times New Roman"/>
        <w:spacing w:val="-1"/>
        <w:sz w:val="18"/>
        <w:szCs w:val="18"/>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C81C">
    <w:pPr>
      <w:spacing w:line="170" w:lineRule="auto"/>
      <w:jc w:val="right"/>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4BE3C6">
                          <w:pPr>
                            <w:pStyle w:val="16"/>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634BE3C6">
                    <w:pPr>
                      <w:pStyle w:val="16"/>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r>
      <w:rPr>
        <w:rFonts w:ascii="宋体" w:hAnsi="宋体" w:eastAsia="宋体" w:cs="宋体"/>
        <w:spacing w:val="-5"/>
        <w:sz w:val="18"/>
        <w:szCs w:val="18"/>
      </w:rPr>
      <w:t>25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B99D1">
    <w:pPr>
      <w:pStyle w:val="1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A0A503">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54A0A503">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14:paraId="30575F65">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CF5F0">
    <w:pPr>
      <w:spacing w:before="54" w:line="141" w:lineRule="exact"/>
      <w:ind w:right="5"/>
      <w:jc w:val="right"/>
      <w:rPr>
        <w:rFonts w:ascii="黑体" w:hAnsi="黑体" w:eastAsia="黑体" w:cs="黑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14DDD">
    <w:pPr>
      <w:spacing w:before="54" w:line="141" w:lineRule="exact"/>
      <w:ind w:left="3"/>
      <w:rPr>
        <w:rFonts w:ascii="黑体" w:hAnsi="黑体" w:eastAsia="黑体" w:cs="黑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EB51B">
    <w:pPr>
      <w:spacing w:before="54" w:line="141" w:lineRule="exact"/>
      <w:ind w:right="5"/>
      <w:jc w:val="right"/>
      <w:rPr>
        <w:rFonts w:ascii="黑体" w:hAnsi="黑体" w:eastAsia="黑体" w:cs="黑体"/>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098A">
    <w:pPr>
      <w:spacing w:before="54" w:line="141" w:lineRule="exact"/>
      <w:ind w:right="5"/>
      <w:jc w:val="right"/>
      <w:rPr>
        <w:rFonts w:ascii="黑体" w:hAnsi="黑体" w:eastAsia="黑体" w:cs="黑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D5F3A"/>
    <w:multiLevelType w:val="multilevel"/>
    <w:tmpl w:val="00CD5F3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7E468C0"/>
    <w:multiLevelType w:val="multilevel"/>
    <w:tmpl w:val="07E468C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8B20B20"/>
    <w:multiLevelType w:val="singleLevel"/>
    <w:tmpl w:val="08B20B20"/>
    <w:lvl w:ilvl="0" w:tentative="0">
      <w:start w:val="1"/>
      <w:numFmt w:val="decimal"/>
      <w:lvlText w:val="%1."/>
      <w:lvlJc w:val="left"/>
      <w:pPr>
        <w:ind w:left="425" w:hanging="425"/>
      </w:pPr>
      <w:rPr>
        <w:rFonts w:hint="default"/>
      </w:rPr>
    </w:lvl>
  </w:abstractNum>
  <w:abstractNum w:abstractNumId="3">
    <w:nsid w:val="0DDE2B46"/>
    <w:multiLevelType w:val="multilevel"/>
    <w:tmpl w:val="0DDE2B46"/>
    <w:lvl w:ilvl="0" w:tentative="0">
      <w:start w:val="1"/>
      <w:numFmt w:val="lowerLetter"/>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2"/>
      <w:lvlText w:val="（%2）"/>
      <w:lvlJc w:val="left"/>
      <w:pPr>
        <w:ind w:left="284" w:firstLine="0"/>
      </w:pPr>
      <w:rPr>
        <w:rFonts w:hint="eastAsia"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lvlText w:val="（%3）"/>
      <w:lvlJc w:val="left"/>
      <w:pPr>
        <w:ind w:left="426" w:firstLine="0"/>
      </w:pPr>
      <w:rPr>
        <w:rFonts w:hint="eastAsia"/>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2ZDRjNDI0ZmJkZGIzNmJjYWIxZWEyNjRkYzg1YzMifQ=="/>
  </w:docVars>
  <w:rsids>
    <w:rsidRoot w:val="00AC030E"/>
    <w:rsid w:val="0000141E"/>
    <w:rsid w:val="0000351C"/>
    <w:rsid w:val="00007488"/>
    <w:rsid w:val="00010CFA"/>
    <w:rsid w:val="00010ED8"/>
    <w:rsid w:val="00011B3A"/>
    <w:rsid w:val="000248D9"/>
    <w:rsid w:val="00030B31"/>
    <w:rsid w:val="00046049"/>
    <w:rsid w:val="00056CB9"/>
    <w:rsid w:val="00060E39"/>
    <w:rsid w:val="000729A7"/>
    <w:rsid w:val="000741C6"/>
    <w:rsid w:val="00077DE8"/>
    <w:rsid w:val="000847B1"/>
    <w:rsid w:val="00092F44"/>
    <w:rsid w:val="00096A76"/>
    <w:rsid w:val="000A7F2D"/>
    <w:rsid w:val="000C4E42"/>
    <w:rsid w:val="000D0B36"/>
    <w:rsid w:val="000D6AF4"/>
    <w:rsid w:val="000F7089"/>
    <w:rsid w:val="001073BC"/>
    <w:rsid w:val="001165E4"/>
    <w:rsid w:val="0012386C"/>
    <w:rsid w:val="0012492D"/>
    <w:rsid w:val="00126BFD"/>
    <w:rsid w:val="00133064"/>
    <w:rsid w:val="00136D3A"/>
    <w:rsid w:val="00143204"/>
    <w:rsid w:val="00146417"/>
    <w:rsid w:val="00161176"/>
    <w:rsid w:val="0016243C"/>
    <w:rsid w:val="001671B6"/>
    <w:rsid w:val="0017706D"/>
    <w:rsid w:val="0018757C"/>
    <w:rsid w:val="0019165A"/>
    <w:rsid w:val="00192FE7"/>
    <w:rsid w:val="00196C4D"/>
    <w:rsid w:val="001A0CF7"/>
    <w:rsid w:val="001A4C4D"/>
    <w:rsid w:val="001B4F9E"/>
    <w:rsid w:val="001C13F3"/>
    <w:rsid w:val="001C7910"/>
    <w:rsid w:val="001D7A40"/>
    <w:rsid w:val="001E7222"/>
    <w:rsid w:val="001F656A"/>
    <w:rsid w:val="001F7BDF"/>
    <w:rsid w:val="002012E8"/>
    <w:rsid w:val="00210B24"/>
    <w:rsid w:val="0021214E"/>
    <w:rsid w:val="00217539"/>
    <w:rsid w:val="002353E9"/>
    <w:rsid w:val="002416F9"/>
    <w:rsid w:val="002438BF"/>
    <w:rsid w:val="00244F69"/>
    <w:rsid w:val="00245D22"/>
    <w:rsid w:val="0024728A"/>
    <w:rsid w:val="00261FC7"/>
    <w:rsid w:val="0026436B"/>
    <w:rsid w:val="00264881"/>
    <w:rsid w:val="00265247"/>
    <w:rsid w:val="00270C21"/>
    <w:rsid w:val="0027637C"/>
    <w:rsid w:val="00280C36"/>
    <w:rsid w:val="00287846"/>
    <w:rsid w:val="0029487D"/>
    <w:rsid w:val="002A3C2E"/>
    <w:rsid w:val="002B01D4"/>
    <w:rsid w:val="002C02AC"/>
    <w:rsid w:val="002D3F2C"/>
    <w:rsid w:val="002D742B"/>
    <w:rsid w:val="002E1062"/>
    <w:rsid w:val="002E1E38"/>
    <w:rsid w:val="002E3344"/>
    <w:rsid w:val="002E3C70"/>
    <w:rsid w:val="002E7C30"/>
    <w:rsid w:val="002F15F6"/>
    <w:rsid w:val="002F47F5"/>
    <w:rsid w:val="00327BC6"/>
    <w:rsid w:val="00333F80"/>
    <w:rsid w:val="00336678"/>
    <w:rsid w:val="00345CF7"/>
    <w:rsid w:val="00360129"/>
    <w:rsid w:val="00364AB3"/>
    <w:rsid w:val="00377295"/>
    <w:rsid w:val="00383721"/>
    <w:rsid w:val="003A511C"/>
    <w:rsid w:val="003B440F"/>
    <w:rsid w:val="003B4785"/>
    <w:rsid w:val="003C55E8"/>
    <w:rsid w:val="003D083B"/>
    <w:rsid w:val="003D1C44"/>
    <w:rsid w:val="003E25E4"/>
    <w:rsid w:val="003E34BC"/>
    <w:rsid w:val="003F51DA"/>
    <w:rsid w:val="004012A3"/>
    <w:rsid w:val="0040171B"/>
    <w:rsid w:val="004144E7"/>
    <w:rsid w:val="004165DD"/>
    <w:rsid w:val="00417B1E"/>
    <w:rsid w:val="00423C24"/>
    <w:rsid w:val="0042779A"/>
    <w:rsid w:val="004325A3"/>
    <w:rsid w:val="00437D3F"/>
    <w:rsid w:val="00454FFB"/>
    <w:rsid w:val="00457843"/>
    <w:rsid w:val="0046775D"/>
    <w:rsid w:val="004A53DF"/>
    <w:rsid w:val="004B108E"/>
    <w:rsid w:val="004B3041"/>
    <w:rsid w:val="004B7235"/>
    <w:rsid w:val="004C6440"/>
    <w:rsid w:val="004C72E3"/>
    <w:rsid w:val="004C7AD9"/>
    <w:rsid w:val="004E0312"/>
    <w:rsid w:val="004E3903"/>
    <w:rsid w:val="004E5A32"/>
    <w:rsid w:val="004E725E"/>
    <w:rsid w:val="004F3D88"/>
    <w:rsid w:val="004F5636"/>
    <w:rsid w:val="00506D70"/>
    <w:rsid w:val="00507B64"/>
    <w:rsid w:val="00510B25"/>
    <w:rsid w:val="00513FDA"/>
    <w:rsid w:val="0051526D"/>
    <w:rsid w:val="00515313"/>
    <w:rsid w:val="0051568C"/>
    <w:rsid w:val="0051594F"/>
    <w:rsid w:val="005166B3"/>
    <w:rsid w:val="0051786E"/>
    <w:rsid w:val="005250CE"/>
    <w:rsid w:val="005348F7"/>
    <w:rsid w:val="00540E33"/>
    <w:rsid w:val="00554DBC"/>
    <w:rsid w:val="00562BB2"/>
    <w:rsid w:val="00574E60"/>
    <w:rsid w:val="00586CC4"/>
    <w:rsid w:val="00593649"/>
    <w:rsid w:val="00594D4F"/>
    <w:rsid w:val="005A098D"/>
    <w:rsid w:val="005A4972"/>
    <w:rsid w:val="005B7FAE"/>
    <w:rsid w:val="005C225C"/>
    <w:rsid w:val="005D0284"/>
    <w:rsid w:val="005E2115"/>
    <w:rsid w:val="005F5FDB"/>
    <w:rsid w:val="005F73DE"/>
    <w:rsid w:val="005F7C6B"/>
    <w:rsid w:val="006218AD"/>
    <w:rsid w:val="00623EEF"/>
    <w:rsid w:val="00632231"/>
    <w:rsid w:val="006327B5"/>
    <w:rsid w:val="0063291B"/>
    <w:rsid w:val="006379E7"/>
    <w:rsid w:val="0064593F"/>
    <w:rsid w:val="006463B4"/>
    <w:rsid w:val="00667EEB"/>
    <w:rsid w:val="00673C0F"/>
    <w:rsid w:val="0067526A"/>
    <w:rsid w:val="00677210"/>
    <w:rsid w:val="006801AD"/>
    <w:rsid w:val="0068105F"/>
    <w:rsid w:val="006814AA"/>
    <w:rsid w:val="00690635"/>
    <w:rsid w:val="006914D5"/>
    <w:rsid w:val="00692248"/>
    <w:rsid w:val="006A5257"/>
    <w:rsid w:val="006A6CC5"/>
    <w:rsid w:val="006A7230"/>
    <w:rsid w:val="006B1303"/>
    <w:rsid w:val="006B4046"/>
    <w:rsid w:val="006C51B1"/>
    <w:rsid w:val="006C6748"/>
    <w:rsid w:val="006D0E6C"/>
    <w:rsid w:val="006D2713"/>
    <w:rsid w:val="00703C19"/>
    <w:rsid w:val="00704983"/>
    <w:rsid w:val="00710091"/>
    <w:rsid w:val="0071141E"/>
    <w:rsid w:val="007212A8"/>
    <w:rsid w:val="007239D1"/>
    <w:rsid w:val="0073229E"/>
    <w:rsid w:val="00742A92"/>
    <w:rsid w:val="00754C99"/>
    <w:rsid w:val="00756D17"/>
    <w:rsid w:val="00780A01"/>
    <w:rsid w:val="00785004"/>
    <w:rsid w:val="0079228C"/>
    <w:rsid w:val="007954E7"/>
    <w:rsid w:val="007A1C9A"/>
    <w:rsid w:val="007A2E0C"/>
    <w:rsid w:val="007B0C88"/>
    <w:rsid w:val="007B4794"/>
    <w:rsid w:val="007F4442"/>
    <w:rsid w:val="00801911"/>
    <w:rsid w:val="00812DA9"/>
    <w:rsid w:val="00815E94"/>
    <w:rsid w:val="0082084C"/>
    <w:rsid w:val="008225D5"/>
    <w:rsid w:val="00823B8E"/>
    <w:rsid w:val="0082525E"/>
    <w:rsid w:val="00827C1E"/>
    <w:rsid w:val="00830EF1"/>
    <w:rsid w:val="00836279"/>
    <w:rsid w:val="00841FA2"/>
    <w:rsid w:val="00844F57"/>
    <w:rsid w:val="00847318"/>
    <w:rsid w:val="00855CF1"/>
    <w:rsid w:val="00856AFA"/>
    <w:rsid w:val="00860EC1"/>
    <w:rsid w:val="008615B2"/>
    <w:rsid w:val="00863D4E"/>
    <w:rsid w:val="008671C8"/>
    <w:rsid w:val="008676DA"/>
    <w:rsid w:val="00892795"/>
    <w:rsid w:val="008957C8"/>
    <w:rsid w:val="008A7518"/>
    <w:rsid w:val="008D1690"/>
    <w:rsid w:val="008D3CDB"/>
    <w:rsid w:val="008E1156"/>
    <w:rsid w:val="008E5F7A"/>
    <w:rsid w:val="0091418A"/>
    <w:rsid w:val="009334DE"/>
    <w:rsid w:val="00940DAE"/>
    <w:rsid w:val="00941ACF"/>
    <w:rsid w:val="00960FCE"/>
    <w:rsid w:val="00966D27"/>
    <w:rsid w:val="00975675"/>
    <w:rsid w:val="00987F6A"/>
    <w:rsid w:val="0099748A"/>
    <w:rsid w:val="009A36B5"/>
    <w:rsid w:val="009B011E"/>
    <w:rsid w:val="009C6899"/>
    <w:rsid w:val="009C7060"/>
    <w:rsid w:val="009C7AAC"/>
    <w:rsid w:val="009E72A7"/>
    <w:rsid w:val="009F1DA6"/>
    <w:rsid w:val="009F2E7C"/>
    <w:rsid w:val="009F666F"/>
    <w:rsid w:val="00A05E67"/>
    <w:rsid w:val="00A06023"/>
    <w:rsid w:val="00A13A98"/>
    <w:rsid w:val="00A20586"/>
    <w:rsid w:val="00A2189A"/>
    <w:rsid w:val="00A23DDD"/>
    <w:rsid w:val="00A276EA"/>
    <w:rsid w:val="00A370D9"/>
    <w:rsid w:val="00A40823"/>
    <w:rsid w:val="00A41D4E"/>
    <w:rsid w:val="00A47871"/>
    <w:rsid w:val="00A60839"/>
    <w:rsid w:val="00A60B00"/>
    <w:rsid w:val="00A645EE"/>
    <w:rsid w:val="00A73EC3"/>
    <w:rsid w:val="00A864B1"/>
    <w:rsid w:val="00A93129"/>
    <w:rsid w:val="00A97959"/>
    <w:rsid w:val="00AA3521"/>
    <w:rsid w:val="00AB15C6"/>
    <w:rsid w:val="00AC030E"/>
    <w:rsid w:val="00AC6BC4"/>
    <w:rsid w:val="00AE1723"/>
    <w:rsid w:val="00AE409B"/>
    <w:rsid w:val="00AE4373"/>
    <w:rsid w:val="00AF152D"/>
    <w:rsid w:val="00AF78B0"/>
    <w:rsid w:val="00B031B2"/>
    <w:rsid w:val="00B14D94"/>
    <w:rsid w:val="00B26FA3"/>
    <w:rsid w:val="00B30445"/>
    <w:rsid w:val="00B3384D"/>
    <w:rsid w:val="00B3718B"/>
    <w:rsid w:val="00B40D9F"/>
    <w:rsid w:val="00B443B8"/>
    <w:rsid w:val="00B5509D"/>
    <w:rsid w:val="00B63A23"/>
    <w:rsid w:val="00B758DA"/>
    <w:rsid w:val="00B82F07"/>
    <w:rsid w:val="00B83B02"/>
    <w:rsid w:val="00B872B5"/>
    <w:rsid w:val="00B9103C"/>
    <w:rsid w:val="00B92711"/>
    <w:rsid w:val="00B950D3"/>
    <w:rsid w:val="00B977FD"/>
    <w:rsid w:val="00BA03FF"/>
    <w:rsid w:val="00BA2425"/>
    <w:rsid w:val="00BA2652"/>
    <w:rsid w:val="00BA59AA"/>
    <w:rsid w:val="00BA7793"/>
    <w:rsid w:val="00BB3889"/>
    <w:rsid w:val="00BC6F1E"/>
    <w:rsid w:val="00BD0A93"/>
    <w:rsid w:val="00BD7F00"/>
    <w:rsid w:val="00BE277E"/>
    <w:rsid w:val="00BE3978"/>
    <w:rsid w:val="00BE64BF"/>
    <w:rsid w:val="00C31317"/>
    <w:rsid w:val="00C32294"/>
    <w:rsid w:val="00C35374"/>
    <w:rsid w:val="00C50B40"/>
    <w:rsid w:val="00C5144E"/>
    <w:rsid w:val="00C53427"/>
    <w:rsid w:val="00C60019"/>
    <w:rsid w:val="00C60B7B"/>
    <w:rsid w:val="00C60E44"/>
    <w:rsid w:val="00C61D14"/>
    <w:rsid w:val="00C6601B"/>
    <w:rsid w:val="00C66ADB"/>
    <w:rsid w:val="00C720F0"/>
    <w:rsid w:val="00C857E4"/>
    <w:rsid w:val="00C867BB"/>
    <w:rsid w:val="00C92A4C"/>
    <w:rsid w:val="00C94CD0"/>
    <w:rsid w:val="00CA5E23"/>
    <w:rsid w:val="00CC3600"/>
    <w:rsid w:val="00CD0220"/>
    <w:rsid w:val="00CD6B18"/>
    <w:rsid w:val="00CF1C39"/>
    <w:rsid w:val="00CF3E2B"/>
    <w:rsid w:val="00D10C04"/>
    <w:rsid w:val="00D17BBC"/>
    <w:rsid w:val="00D21E4B"/>
    <w:rsid w:val="00D25955"/>
    <w:rsid w:val="00D318FF"/>
    <w:rsid w:val="00D42E2E"/>
    <w:rsid w:val="00D47C0B"/>
    <w:rsid w:val="00D62912"/>
    <w:rsid w:val="00D711DF"/>
    <w:rsid w:val="00D715C6"/>
    <w:rsid w:val="00D87084"/>
    <w:rsid w:val="00D933CF"/>
    <w:rsid w:val="00D96EA3"/>
    <w:rsid w:val="00DB62CF"/>
    <w:rsid w:val="00DB6C9B"/>
    <w:rsid w:val="00DC04C3"/>
    <w:rsid w:val="00DC059C"/>
    <w:rsid w:val="00DC1B12"/>
    <w:rsid w:val="00DF0A88"/>
    <w:rsid w:val="00DF7567"/>
    <w:rsid w:val="00E04663"/>
    <w:rsid w:val="00E239E5"/>
    <w:rsid w:val="00E23BDE"/>
    <w:rsid w:val="00E26DF1"/>
    <w:rsid w:val="00E36CDB"/>
    <w:rsid w:val="00E37898"/>
    <w:rsid w:val="00E40020"/>
    <w:rsid w:val="00E416CD"/>
    <w:rsid w:val="00E43409"/>
    <w:rsid w:val="00E5402C"/>
    <w:rsid w:val="00E63C14"/>
    <w:rsid w:val="00E63C25"/>
    <w:rsid w:val="00E736D6"/>
    <w:rsid w:val="00E85878"/>
    <w:rsid w:val="00E95E9C"/>
    <w:rsid w:val="00EA09D1"/>
    <w:rsid w:val="00EA0AF7"/>
    <w:rsid w:val="00EA24E8"/>
    <w:rsid w:val="00EA5218"/>
    <w:rsid w:val="00EC1F61"/>
    <w:rsid w:val="00ED0A97"/>
    <w:rsid w:val="00ED3CD0"/>
    <w:rsid w:val="00ED7278"/>
    <w:rsid w:val="00EE260B"/>
    <w:rsid w:val="00EE6CD5"/>
    <w:rsid w:val="00EF7271"/>
    <w:rsid w:val="00EF7A07"/>
    <w:rsid w:val="00F04670"/>
    <w:rsid w:val="00F1167F"/>
    <w:rsid w:val="00F1305F"/>
    <w:rsid w:val="00F243C6"/>
    <w:rsid w:val="00F372B9"/>
    <w:rsid w:val="00F50469"/>
    <w:rsid w:val="00F61459"/>
    <w:rsid w:val="00F70AFD"/>
    <w:rsid w:val="00F81115"/>
    <w:rsid w:val="00F820B7"/>
    <w:rsid w:val="00F86419"/>
    <w:rsid w:val="00F964F3"/>
    <w:rsid w:val="00FA335A"/>
    <w:rsid w:val="00FB27B3"/>
    <w:rsid w:val="00FB65A2"/>
    <w:rsid w:val="00FC4CB1"/>
    <w:rsid w:val="00FE02A3"/>
    <w:rsid w:val="00FF012A"/>
    <w:rsid w:val="00FF322F"/>
    <w:rsid w:val="0F9528C9"/>
    <w:rsid w:val="19EA7915"/>
    <w:rsid w:val="1BE50F7B"/>
    <w:rsid w:val="23C27E13"/>
    <w:rsid w:val="26B75F6B"/>
    <w:rsid w:val="2C253500"/>
    <w:rsid w:val="34621989"/>
    <w:rsid w:val="45726666"/>
    <w:rsid w:val="45A8769B"/>
    <w:rsid w:val="492D3AD4"/>
    <w:rsid w:val="4BD82F14"/>
    <w:rsid w:val="4CAF6FD3"/>
    <w:rsid w:val="4DCA6648"/>
    <w:rsid w:val="56010E2D"/>
    <w:rsid w:val="62661004"/>
    <w:rsid w:val="6B7B48AF"/>
    <w:rsid w:val="7E39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9"/>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6"/>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37"/>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138"/>
    <w:unhideWhenUsed/>
    <w:qFormat/>
    <w:uiPriority w:val="0"/>
    <w:pPr>
      <w:keepNext/>
      <w:keepLines/>
      <w:spacing w:before="280" w:after="290" w:line="376" w:lineRule="auto"/>
      <w:outlineLvl w:val="3"/>
    </w:pPr>
    <w:rPr>
      <w:rFonts w:ascii="Cambria" w:hAnsi="Cambria"/>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6">
    <w:name w:val="index 8"/>
    <w:basedOn w:val="1"/>
    <w:next w:val="1"/>
    <w:autoRedefine/>
    <w:qFormat/>
    <w:uiPriority w:val="0"/>
    <w:pPr>
      <w:ind w:left="1680" w:hanging="210"/>
      <w:jc w:val="left"/>
    </w:pPr>
    <w:rPr>
      <w:rFonts w:ascii="Calibri" w:hAnsi="Calibri"/>
      <w:sz w:val="20"/>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index 5"/>
    <w:basedOn w:val="1"/>
    <w:next w:val="1"/>
    <w:autoRedefine/>
    <w:qFormat/>
    <w:uiPriority w:val="0"/>
    <w:pPr>
      <w:ind w:left="1050" w:hanging="210"/>
      <w:jc w:val="left"/>
    </w:pPr>
    <w:rPr>
      <w:rFonts w:ascii="Calibri" w:hAnsi="Calibri"/>
      <w:sz w:val="20"/>
      <w:szCs w:val="20"/>
    </w:rPr>
  </w:style>
  <w:style w:type="paragraph" w:styleId="9">
    <w:name w:val="index 6"/>
    <w:basedOn w:val="1"/>
    <w:next w:val="1"/>
    <w:autoRedefine/>
    <w:qFormat/>
    <w:uiPriority w:val="0"/>
    <w:pPr>
      <w:ind w:left="1260" w:hanging="210"/>
      <w:jc w:val="left"/>
    </w:pPr>
    <w:rPr>
      <w:rFonts w:ascii="Calibri" w:hAnsi="Calibri"/>
      <w:sz w:val="20"/>
      <w:szCs w:val="20"/>
    </w:rPr>
  </w:style>
  <w:style w:type="paragraph" w:styleId="10">
    <w:name w:val="Body Text"/>
    <w:basedOn w:val="1"/>
    <w:qFormat/>
    <w:uiPriority w:val="1"/>
    <w:rPr>
      <w:rFonts w:ascii="宋体" w:hAnsi="宋体" w:eastAsia="宋体" w:cs="宋体"/>
      <w:sz w:val="21"/>
      <w:szCs w:val="21"/>
    </w:rPr>
  </w:style>
  <w:style w:type="paragraph" w:styleId="11">
    <w:name w:val="Body Text Indent"/>
    <w:basedOn w:val="1"/>
    <w:autoRedefine/>
    <w:qFormat/>
    <w:uiPriority w:val="0"/>
    <w:pPr>
      <w:ind w:firstLine="570"/>
    </w:pPr>
    <w:rPr>
      <w:rFonts w:ascii="仿宋_GB2312" w:eastAsia="仿宋_GB2312"/>
      <w:sz w:val="28"/>
      <w:szCs w:val="20"/>
    </w:rPr>
  </w:style>
  <w:style w:type="paragraph" w:styleId="12">
    <w:name w:val="index 4"/>
    <w:basedOn w:val="1"/>
    <w:next w:val="1"/>
    <w:autoRedefine/>
    <w:qFormat/>
    <w:uiPriority w:val="0"/>
    <w:pPr>
      <w:ind w:left="840" w:hanging="210"/>
      <w:jc w:val="left"/>
    </w:pPr>
    <w:rPr>
      <w:rFonts w:ascii="Calibri" w:hAnsi="Calibri"/>
      <w:sz w:val="20"/>
      <w:szCs w:val="20"/>
    </w:rPr>
  </w:style>
  <w:style w:type="paragraph" w:styleId="13">
    <w:name w:val="index 3"/>
    <w:basedOn w:val="1"/>
    <w:next w:val="1"/>
    <w:autoRedefine/>
    <w:qFormat/>
    <w:uiPriority w:val="0"/>
    <w:pPr>
      <w:ind w:left="630" w:hanging="210"/>
      <w:jc w:val="left"/>
    </w:pPr>
    <w:rPr>
      <w:rFonts w:ascii="Calibri" w:hAnsi="Calibri"/>
      <w:sz w:val="20"/>
      <w:szCs w:val="20"/>
    </w:rPr>
  </w:style>
  <w:style w:type="paragraph" w:styleId="14">
    <w:name w:val="Date"/>
    <w:basedOn w:val="1"/>
    <w:next w:val="1"/>
    <w:autoRedefine/>
    <w:qFormat/>
    <w:uiPriority w:val="0"/>
    <w:pPr>
      <w:ind w:left="100" w:leftChars="2500"/>
    </w:pPr>
  </w:style>
  <w:style w:type="paragraph" w:styleId="15">
    <w:name w:val="Balloon Text"/>
    <w:basedOn w:val="1"/>
    <w:link w:val="141"/>
    <w:autoRedefine/>
    <w:qFormat/>
    <w:uiPriority w:val="0"/>
    <w:rPr>
      <w:sz w:val="18"/>
      <w:szCs w:val="18"/>
    </w:rPr>
  </w:style>
  <w:style w:type="paragraph" w:styleId="16">
    <w:name w:val="footer"/>
    <w:basedOn w:val="1"/>
    <w:link w:val="36"/>
    <w:autoRedefine/>
    <w:qFormat/>
    <w:uiPriority w:val="99"/>
    <w:pPr>
      <w:snapToGrid w:val="0"/>
      <w:ind w:right="210" w:rightChars="100"/>
      <w:jc w:val="right"/>
    </w:pPr>
    <w:rPr>
      <w:sz w:val="18"/>
      <w:szCs w:val="18"/>
    </w:rPr>
  </w:style>
  <w:style w:type="paragraph" w:styleId="17">
    <w:name w:val="header"/>
    <w:basedOn w:val="1"/>
    <w:link w:val="39"/>
    <w:autoRedefine/>
    <w:qFormat/>
    <w:uiPriority w:val="0"/>
    <w:pPr>
      <w:snapToGrid w:val="0"/>
      <w:jc w:val="left"/>
    </w:pPr>
    <w:rPr>
      <w:sz w:val="18"/>
      <w:szCs w:val="18"/>
    </w:rPr>
  </w:style>
  <w:style w:type="paragraph" w:styleId="18">
    <w:name w:val="toc 1"/>
    <w:basedOn w:val="1"/>
    <w:next w:val="1"/>
    <w:autoRedefine/>
    <w:qFormat/>
    <w:uiPriority w:val="39"/>
  </w:style>
  <w:style w:type="paragraph" w:styleId="19">
    <w:name w:val="index heading"/>
    <w:basedOn w:val="1"/>
    <w:next w:val="20"/>
    <w:autoRedefine/>
    <w:qFormat/>
    <w:uiPriority w:val="0"/>
    <w:pPr>
      <w:spacing w:before="120" w:after="120"/>
      <w:jc w:val="center"/>
    </w:pPr>
    <w:rPr>
      <w:rFonts w:ascii="Calibri" w:hAnsi="Calibri"/>
      <w:b/>
      <w:bCs/>
      <w:iCs/>
      <w:szCs w:val="20"/>
    </w:rPr>
  </w:style>
  <w:style w:type="paragraph" w:styleId="20">
    <w:name w:val="index 1"/>
    <w:basedOn w:val="1"/>
    <w:next w:val="21"/>
    <w:autoRedefine/>
    <w:qFormat/>
    <w:uiPriority w:val="0"/>
    <w:pPr>
      <w:tabs>
        <w:tab w:val="right" w:leader="dot" w:pos="9299"/>
      </w:tabs>
      <w:jc w:val="left"/>
    </w:pPr>
    <w:rPr>
      <w:rFonts w:ascii="宋体"/>
      <w:szCs w:val="21"/>
    </w:rPr>
  </w:style>
  <w:style w:type="paragraph" w:customStyle="1" w:styleId="21">
    <w:name w:val="段"/>
    <w:link w:val="41"/>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2">
    <w:name w:val="footnote text"/>
    <w:basedOn w:val="1"/>
    <w:autoRedefine/>
    <w:qFormat/>
    <w:uiPriority w:val="0"/>
    <w:pPr>
      <w:tabs>
        <w:tab w:val="left" w:pos="0"/>
      </w:tabs>
      <w:snapToGrid w:val="0"/>
      <w:ind w:left="720" w:hanging="357"/>
      <w:jc w:val="left"/>
    </w:pPr>
    <w:rPr>
      <w:rFonts w:ascii="宋体"/>
      <w:sz w:val="18"/>
      <w:szCs w:val="18"/>
    </w:rPr>
  </w:style>
  <w:style w:type="paragraph" w:styleId="23">
    <w:name w:val="index 7"/>
    <w:basedOn w:val="1"/>
    <w:next w:val="1"/>
    <w:autoRedefine/>
    <w:qFormat/>
    <w:uiPriority w:val="0"/>
    <w:pPr>
      <w:ind w:left="1470" w:hanging="210"/>
      <w:jc w:val="left"/>
    </w:pPr>
    <w:rPr>
      <w:rFonts w:ascii="Calibri" w:hAnsi="Calibri"/>
      <w:sz w:val="20"/>
      <w:szCs w:val="20"/>
    </w:rPr>
  </w:style>
  <w:style w:type="paragraph" w:styleId="24">
    <w:name w:val="index 9"/>
    <w:basedOn w:val="1"/>
    <w:next w:val="1"/>
    <w:autoRedefine/>
    <w:qFormat/>
    <w:uiPriority w:val="0"/>
    <w:pPr>
      <w:ind w:left="1890" w:hanging="210"/>
      <w:jc w:val="left"/>
    </w:pPr>
    <w:rPr>
      <w:rFonts w:ascii="Calibri" w:hAnsi="Calibri"/>
      <w:sz w:val="20"/>
      <w:szCs w:val="20"/>
    </w:rPr>
  </w:style>
  <w:style w:type="paragraph" w:styleId="25">
    <w:name w:val="toc 2"/>
    <w:basedOn w:val="1"/>
    <w:next w:val="1"/>
    <w:autoRedefine/>
    <w:qFormat/>
    <w:uiPriority w:val="39"/>
    <w:pPr>
      <w:ind w:left="420" w:leftChars="200"/>
    </w:pPr>
  </w:style>
  <w:style w:type="paragraph" w:styleId="26">
    <w:name w:val="HTML Preformatted"/>
    <w:basedOn w:val="1"/>
    <w:autoRedefine/>
    <w:qFormat/>
    <w:uiPriority w:val="0"/>
    <w:pPr>
      <w:tabs>
        <w:tab w:val="left" w:pos="360"/>
      </w:tabs>
    </w:pPr>
    <w:rPr>
      <w:rFonts w:ascii="Courier New" w:hAnsi="Courier New" w:cs="Courier New"/>
      <w:sz w:val="20"/>
      <w:szCs w:val="20"/>
    </w:rPr>
  </w:style>
  <w:style w:type="paragraph" w:styleId="27">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28">
    <w:name w:val="index 2"/>
    <w:basedOn w:val="1"/>
    <w:next w:val="1"/>
    <w:uiPriority w:val="0"/>
    <w:pPr>
      <w:ind w:left="420" w:hanging="210"/>
      <w:jc w:val="left"/>
    </w:pPr>
    <w:rPr>
      <w:rFonts w:ascii="Calibri" w:hAnsi="Calibri"/>
      <w:sz w:val="20"/>
      <w:szCs w:val="20"/>
    </w:rPr>
  </w:style>
  <w:style w:type="table" w:styleId="30">
    <w:name w:val="Table Grid"/>
    <w:basedOn w:val="29"/>
    <w:autoRedefine/>
    <w:qFormat/>
    <w:uiPriority w:val="59"/>
    <w:pPr>
      <w:numPr>
        <w:numId w:val="1"/>
      </w:numPr>
      <w:tabs>
        <w:tab w:val="left" w:pos="360"/>
      </w:tabs>
      <w:ind w:left="0" w:firstLine="0"/>
    </w:pPr>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autoRedefine/>
    <w:qFormat/>
    <w:uiPriority w:val="22"/>
    <w:rPr>
      <w:b/>
      <w:bCs/>
    </w:rPr>
  </w:style>
  <w:style w:type="character" w:styleId="33">
    <w:name w:val="page number"/>
    <w:autoRedefine/>
    <w:qFormat/>
    <w:uiPriority w:val="0"/>
    <w:rPr>
      <w:rFonts w:ascii="Times New Roman" w:hAnsi="Times New Roman" w:eastAsia="宋体"/>
      <w:sz w:val="18"/>
    </w:rPr>
  </w:style>
  <w:style w:type="character" w:styleId="34">
    <w:name w:val="Hyperlink"/>
    <w:autoRedefine/>
    <w:qFormat/>
    <w:uiPriority w:val="99"/>
    <w:rPr>
      <w:color w:val="0000FF"/>
      <w:spacing w:val="0"/>
      <w:w w:val="100"/>
      <w:szCs w:val="21"/>
      <w:u w:val="single"/>
      <w:lang w:val="en-US" w:eastAsia="zh-CN"/>
    </w:rPr>
  </w:style>
  <w:style w:type="character" w:customStyle="1" w:styleId="35">
    <w:name w:val="已访问的超链接1"/>
    <w:autoRedefine/>
    <w:qFormat/>
    <w:uiPriority w:val="0"/>
    <w:rPr>
      <w:color w:val="800080"/>
      <w:u w:val="single"/>
    </w:rPr>
  </w:style>
  <w:style w:type="character" w:customStyle="1" w:styleId="36">
    <w:name w:val="页脚 Char"/>
    <w:link w:val="16"/>
    <w:autoRedefine/>
    <w:qFormat/>
    <w:uiPriority w:val="99"/>
    <w:rPr>
      <w:rFonts w:eastAsia="宋体"/>
      <w:kern w:val="2"/>
      <w:sz w:val="18"/>
      <w:szCs w:val="18"/>
      <w:lang w:val="en-US" w:eastAsia="zh-CN" w:bidi="ar-SA"/>
    </w:rPr>
  </w:style>
  <w:style w:type="character" w:customStyle="1" w:styleId="37">
    <w:name w:val="首示例 Char"/>
    <w:link w:val="38"/>
    <w:autoRedefine/>
    <w:qFormat/>
    <w:uiPriority w:val="0"/>
    <w:rPr>
      <w:rFonts w:ascii="宋体" w:hAnsi="宋体"/>
      <w:kern w:val="2"/>
      <w:sz w:val="18"/>
      <w:szCs w:val="18"/>
    </w:rPr>
  </w:style>
  <w:style w:type="paragraph" w:customStyle="1" w:styleId="38">
    <w:name w:val="首示例"/>
    <w:next w:val="21"/>
    <w:link w:val="37"/>
    <w:autoRedefine/>
    <w:qFormat/>
    <w:uiPriority w:val="0"/>
    <w:pPr>
      <w:tabs>
        <w:tab w:val="left" w:pos="360"/>
      </w:tabs>
    </w:pPr>
    <w:rPr>
      <w:rFonts w:ascii="宋体" w:hAnsi="宋体" w:eastAsia="宋体" w:cs="Times New Roman"/>
      <w:kern w:val="2"/>
      <w:sz w:val="18"/>
      <w:szCs w:val="18"/>
      <w:lang w:val="en-US" w:eastAsia="zh-CN" w:bidi="ar-SA"/>
    </w:rPr>
  </w:style>
  <w:style w:type="character" w:customStyle="1" w:styleId="39">
    <w:name w:val="页眉 Char"/>
    <w:link w:val="17"/>
    <w:autoRedefine/>
    <w:qFormat/>
    <w:uiPriority w:val="0"/>
    <w:rPr>
      <w:kern w:val="2"/>
      <w:sz w:val="18"/>
      <w:szCs w:val="18"/>
    </w:rPr>
  </w:style>
  <w:style w:type="character" w:customStyle="1" w:styleId="40">
    <w:name w:val="发布"/>
    <w:autoRedefine/>
    <w:qFormat/>
    <w:uiPriority w:val="0"/>
    <w:rPr>
      <w:rFonts w:ascii="黑体" w:eastAsia="黑体"/>
      <w:spacing w:val="85"/>
      <w:w w:val="100"/>
      <w:position w:val="3"/>
      <w:sz w:val="28"/>
      <w:szCs w:val="28"/>
    </w:rPr>
  </w:style>
  <w:style w:type="character" w:customStyle="1" w:styleId="41">
    <w:name w:val="段 Char"/>
    <w:link w:val="21"/>
    <w:autoRedefine/>
    <w:qFormat/>
    <w:uiPriority w:val="0"/>
    <w:rPr>
      <w:rFonts w:ascii="宋体"/>
      <w:sz w:val="21"/>
      <w:lang w:val="en-US" w:eastAsia="zh-CN" w:bidi="ar-SA"/>
    </w:rPr>
  </w:style>
  <w:style w:type="character" w:customStyle="1" w:styleId="42">
    <w:name w:val="附录公式 Char"/>
    <w:basedOn w:val="41"/>
    <w:link w:val="43"/>
    <w:autoRedefine/>
    <w:qFormat/>
    <w:uiPriority w:val="0"/>
    <w:rPr>
      <w:rFonts w:ascii="宋体"/>
      <w:sz w:val="21"/>
      <w:lang w:val="en-US" w:eastAsia="zh-CN" w:bidi="ar-SA"/>
    </w:rPr>
  </w:style>
  <w:style w:type="paragraph" w:customStyle="1" w:styleId="43">
    <w:name w:val="附录公式"/>
    <w:basedOn w:val="21"/>
    <w:next w:val="21"/>
    <w:link w:val="42"/>
    <w:autoRedefine/>
    <w:qFormat/>
    <w:uiPriority w:val="0"/>
  </w:style>
  <w:style w:type="paragraph" w:customStyle="1" w:styleId="44">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5">
    <w:name w:val="参考文献、索引标题"/>
    <w:basedOn w:val="1"/>
    <w:next w:val="21"/>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46">
    <w:name w:val="章标题"/>
    <w:next w:val="21"/>
    <w:autoRedefine/>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7">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paragraph" w:customStyle="1" w:styleId="48">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49">
    <w:name w:val="附录公式编号制表符"/>
    <w:basedOn w:val="1"/>
    <w:next w:val="21"/>
    <w:autoRedefine/>
    <w:qFormat/>
    <w:uiPriority w:val="0"/>
    <w:pPr>
      <w:widowControl/>
      <w:tabs>
        <w:tab w:val="center" w:pos="4201"/>
        <w:tab w:val="right" w:leader="dot" w:pos="9298"/>
      </w:tabs>
      <w:autoSpaceDE w:val="0"/>
      <w:autoSpaceDN w:val="0"/>
    </w:pPr>
    <w:rPr>
      <w:rFonts w:ascii="宋体"/>
      <w:kern w:val="0"/>
      <w:szCs w:val="20"/>
    </w:rPr>
  </w:style>
  <w:style w:type="paragraph" w:customStyle="1" w:styleId="50">
    <w:name w:val="二级无"/>
    <w:basedOn w:val="51"/>
    <w:autoRedefine/>
    <w:qFormat/>
    <w:uiPriority w:val="0"/>
    <w:pPr>
      <w:spacing w:before="0" w:beforeLines="0" w:after="0" w:afterLines="0"/>
      <w:ind w:left="0"/>
    </w:pPr>
    <w:rPr>
      <w:rFonts w:ascii="宋体" w:eastAsia="宋体"/>
    </w:rPr>
  </w:style>
  <w:style w:type="paragraph" w:customStyle="1" w:styleId="51">
    <w:name w:val="二级条标题"/>
    <w:basedOn w:val="52"/>
    <w:next w:val="21"/>
    <w:autoRedefine/>
    <w:qFormat/>
    <w:uiPriority w:val="0"/>
    <w:pPr>
      <w:numPr>
        <w:ilvl w:val="0"/>
        <w:numId w:val="0"/>
      </w:numPr>
      <w:spacing w:before="50" w:after="50"/>
      <w:ind w:left="426"/>
      <w:outlineLvl w:val="3"/>
    </w:pPr>
  </w:style>
  <w:style w:type="paragraph" w:customStyle="1" w:styleId="52">
    <w:name w:val="一级条标题"/>
    <w:next w:val="21"/>
    <w:autoRedefine/>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3">
    <w:name w:val="编号列项（三级）"/>
    <w:autoRedefine/>
    <w:qFormat/>
    <w:uiPriority w:val="0"/>
    <w:rPr>
      <w:rFonts w:ascii="宋体" w:hAnsi="Times New Roman" w:eastAsia="宋体" w:cs="Times New Roman"/>
      <w:sz w:val="21"/>
      <w:lang w:val="en-US" w:eastAsia="zh-CN" w:bidi="ar-SA"/>
    </w:rPr>
  </w:style>
  <w:style w:type="paragraph" w:customStyle="1" w:styleId="54">
    <w:name w:val="条文脚注"/>
    <w:basedOn w:val="22"/>
    <w:autoRedefine/>
    <w:qFormat/>
    <w:uiPriority w:val="0"/>
    <w:pPr>
      <w:ind w:left="0" w:firstLine="0"/>
      <w:jc w:val="both"/>
    </w:pPr>
  </w:style>
  <w:style w:type="paragraph" w:customStyle="1" w:styleId="55">
    <w:name w:val="附录标题"/>
    <w:basedOn w:val="21"/>
    <w:next w:val="21"/>
    <w:autoRedefine/>
    <w:qFormat/>
    <w:uiPriority w:val="0"/>
    <w:pPr>
      <w:ind w:firstLine="0" w:firstLineChars="0"/>
      <w:jc w:val="center"/>
    </w:pPr>
    <w:rPr>
      <w:rFonts w:ascii="黑体" w:eastAsia="黑体"/>
    </w:rPr>
  </w:style>
  <w:style w:type="paragraph" w:customStyle="1" w:styleId="56">
    <w:name w:val="目次、标准名称标题"/>
    <w:basedOn w:val="1"/>
    <w:next w:val="21"/>
    <w:autoRedefine/>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7">
    <w:name w:val="正文公式编号制表符"/>
    <w:basedOn w:val="21"/>
    <w:next w:val="21"/>
    <w:autoRedefine/>
    <w:qFormat/>
    <w:uiPriority w:val="0"/>
    <w:pPr>
      <w:ind w:firstLine="0" w:firstLineChars="0"/>
    </w:pPr>
  </w:style>
  <w:style w:type="paragraph" w:customStyle="1" w:styleId="58">
    <w:name w:val="附录四级条标题"/>
    <w:basedOn w:val="59"/>
    <w:next w:val="21"/>
    <w:autoRedefine/>
    <w:qFormat/>
    <w:uiPriority w:val="0"/>
    <w:pPr>
      <w:tabs>
        <w:tab w:val="left" w:pos="360"/>
      </w:tabs>
      <w:outlineLvl w:val="5"/>
    </w:pPr>
  </w:style>
  <w:style w:type="paragraph" w:customStyle="1" w:styleId="59">
    <w:name w:val="附录三级条标题"/>
    <w:basedOn w:val="60"/>
    <w:next w:val="21"/>
    <w:autoRedefine/>
    <w:qFormat/>
    <w:uiPriority w:val="0"/>
    <w:pPr>
      <w:tabs>
        <w:tab w:val="left" w:pos="360"/>
      </w:tabs>
      <w:outlineLvl w:val="4"/>
    </w:pPr>
  </w:style>
  <w:style w:type="paragraph" w:customStyle="1" w:styleId="60">
    <w:name w:val="附录二级条标题"/>
    <w:basedOn w:val="1"/>
    <w:next w:val="21"/>
    <w:autoRedefine/>
    <w:qFormat/>
    <w:uiPriority w:val="0"/>
    <w:pPr>
      <w:widowControl/>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61">
    <w:name w:val="三级无"/>
    <w:basedOn w:val="62"/>
    <w:autoRedefine/>
    <w:qFormat/>
    <w:uiPriority w:val="0"/>
    <w:pPr>
      <w:spacing w:before="0" w:beforeLines="0" w:after="0" w:afterLines="0"/>
    </w:pPr>
    <w:rPr>
      <w:rFonts w:ascii="宋体" w:eastAsia="宋体"/>
    </w:rPr>
  </w:style>
  <w:style w:type="paragraph" w:customStyle="1" w:styleId="62">
    <w:name w:val="三级条标题"/>
    <w:basedOn w:val="51"/>
    <w:next w:val="21"/>
    <w:autoRedefine/>
    <w:qFormat/>
    <w:uiPriority w:val="0"/>
    <w:pPr>
      <w:ind w:left="0"/>
      <w:outlineLvl w:val="4"/>
    </w:pPr>
  </w:style>
  <w:style w:type="paragraph" w:customStyle="1" w:styleId="63">
    <w:name w:val="封面一致性程度标识"/>
    <w:basedOn w:val="64"/>
    <w:autoRedefine/>
    <w:qFormat/>
    <w:uiPriority w:val="0"/>
    <w:pPr>
      <w:spacing w:before="440"/>
    </w:pPr>
    <w:rPr>
      <w:rFonts w:ascii="宋体" w:eastAsia="宋体"/>
    </w:rPr>
  </w:style>
  <w:style w:type="paragraph" w:customStyle="1" w:styleId="64">
    <w:name w:val="封面标准英文名称"/>
    <w:basedOn w:val="65"/>
    <w:autoRedefine/>
    <w:qFormat/>
    <w:uiPriority w:val="0"/>
    <w:pPr>
      <w:spacing w:before="370" w:line="400" w:lineRule="exact"/>
    </w:pPr>
    <w:rPr>
      <w:rFonts w:ascii="Times New Roman"/>
      <w:sz w:val="28"/>
      <w:szCs w:val="28"/>
    </w:rPr>
  </w:style>
  <w:style w:type="paragraph" w:customStyle="1" w:styleId="65">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6">
    <w:name w:val="示例×："/>
    <w:basedOn w:val="46"/>
    <w:autoRedefine/>
    <w:qFormat/>
    <w:uiPriority w:val="0"/>
    <w:pPr>
      <w:spacing w:before="0" w:beforeLines="0" w:after="0" w:afterLines="0"/>
      <w:ind w:firstLine="363"/>
      <w:outlineLvl w:val="9"/>
    </w:pPr>
    <w:rPr>
      <w:rFonts w:ascii="宋体" w:eastAsia="宋体"/>
      <w:sz w:val="18"/>
      <w:szCs w:val="18"/>
    </w:rPr>
  </w:style>
  <w:style w:type="paragraph" w:customStyle="1" w:styleId="67">
    <w:name w:val="封面一致性程度标识2"/>
    <w:basedOn w:val="63"/>
    <w:autoRedefine/>
    <w:qFormat/>
    <w:uiPriority w:val="0"/>
    <w:pPr>
      <w:framePr w:y="4469"/>
    </w:pPr>
  </w:style>
  <w:style w:type="paragraph" w:customStyle="1" w:styleId="68">
    <w:name w:val="附录五级无"/>
    <w:basedOn w:val="69"/>
    <w:autoRedefine/>
    <w:qFormat/>
    <w:uiPriority w:val="0"/>
    <w:pPr>
      <w:tabs>
        <w:tab w:val="left" w:pos="360"/>
      </w:tabs>
      <w:spacing w:before="0" w:beforeLines="0" w:after="0" w:afterLines="0"/>
    </w:pPr>
    <w:rPr>
      <w:rFonts w:ascii="宋体" w:eastAsia="宋体"/>
      <w:szCs w:val="21"/>
    </w:rPr>
  </w:style>
  <w:style w:type="paragraph" w:customStyle="1" w:styleId="69">
    <w:name w:val="附录五级条标题"/>
    <w:basedOn w:val="58"/>
    <w:next w:val="21"/>
    <w:autoRedefine/>
    <w:qFormat/>
    <w:uiPriority w:val="0"/>
    <w:pPr>
      <w:outlineLvl w:val="6"/>
    </w:pPr>
  </w:style>
  <w:style w:type="paragraph" w:customStyle="1" w:styleId="70">
    <w:name w:val="四级条标题"/>
    <w:basedOn w:val="62"/>
    <w:next w:val="21"/>
    <w:autoRedefine/>
    <w:qFormat/>
    <w:uiPriority w:val="0"/>
    <w:pPr>
      <w:outlineLvl w:val="5"/>
    </w:pPr>
  </w:style>
  <w:style w:type="paragraph" w:customStyle="1" w:styleId="71">
    <w:name w:val="注："/>
    <w:next w:val="21"/>
    <w:autoRedefine/>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72">
    <w:name w:val="附录四级无"/>
    <w:basedOn w:val="58"/>
    <w:autoRedefine/>
    <w:qFormat/>
    <w:uiPriority w:val="0"/>
    <w:pPr>
      <w:tabs>
        <w:tab w:val="clear" w:pos="360"/>
      </w:tabs>
      <w:spacing w:before="0" w:beforeLines="0" w:after="0" w:afterLines="0"/>
    </w:pPr>
    <w:rPr>
      <w:rFonts w:ascii="宋体" w:eastAsia="宋体"/>
      <w:szCs w:val="21"/>
    </w:rPr>
  </w:style>
  <w:style w:type="paragraph" w:customStyle="1" w:styleId="73">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74">
    <w:name w:val="其他发布部门"/>
    <w:basedOn w:val="75"/>
    <w:autoRedefine/>
    <w:qFormat/>
    <w:uiPriority w:val="0"/>
    <w:pPr>
      <w:framePr w:y="15310"/>
      <w:spacing w:line="0" w:lineRule="atLeast"/>
    </w:pPr>
    <w:rPr>
      <w:rFonts w:ascii="黑体" w:eastAsia="黑体"/>
      <w:b w:val="0"/>
    </w:rPr>
  </w:style>
  <w:style w:type="paragraph" w:customStyle="1" w:styleId="75">
    <w:name w:val="发布部门"/>
    <w:next w:val="21"/>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6">
    <w:name w:val="列项◆（三级）"/>
    <w:basedOn w:val="1"/>
    <w:autoRedefine/>
    <w:qFormat/>
    <w:uiPriority w:val="0"/>
    <w:pPr>
      <w:tabs>
        <w:tab w:val="left" w:pos="1678"/>
      </w:tabs>
      <w:ind w:left="1678" w:hanging="414"/>
    </w:pPr>
    <w:rPr>
      <w:rFonts w:ascii="宋体"/>
      <w:szCs w:val="21"/>
    </w:rPr>
  </w:style>
  <w:style w:type="paragraph" w:customStyle="1" w:styleId="77">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78">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9">
    <w:name w:val="正文图标题"/>
    <w:next w:val="21"/>
    <w:autoRedefine/>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80">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1">
    <w:name w:val="附录章标题"/>
    <w:next w:val="21"/>
    <w:autoRedefine/>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2">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83">
    <w:name w:val="注：（正文）"/>
    <w:basedOn w:val="71"/>
    <w:next w:val="21"/>
    <w:autoRedefine/>
    <w:qFormat/>
    <w:uiPriority w:val="0"/>
  </w:style>
  <w:style w:type="paragraph" w:customStyle="1" w:styleId="84">
    <w:name w:val="附录图标号"/>
    <w:basedOn w:val="1"/>
    <w:autoRedefine/>
    <w:qFormat/>
    <w:uiPriority w:val="0"/>
    <w:pPr>
      <w:keepNext/>
      <w:pageBreakBefore/>
      <w:widowControl/>
      <w:spacing w:line="14" w:lineRule="exact"/>
      <w:ind w:firstLine="363"/>
      <w:jc w:val="center"/>
      <w:outlineLvl w:val="0"/>
    </w:pPr>
    <w:rPr>
      <w:color w:val="FFFFFF"/>
    </w:rPr>
  </w:style>
  <w:style w:type="paragraph" w:customStyle="1" w:styleId="85">
    <w:name w:val="示例内容"/>
    <w:autoRedefine/>
    <w:qFormat/>
    <w:uiPriority w:val="0"/>
    <w:pPr>
      <w:ind w:firstLine="200" w:firstLineChars="200"/>
    </w:pPr>
    <w:rPr>
      <w:rFonts w:ascii="宋体" w:hAnsi="Times New Roman" w:eastAsia="宋体" w:cs="Times New Roman"/>
      <w:sz w:val="18"/>
      <w:szCs w:val="18"/>
      <w:lang w:val="en-US" w:eastAsia="zh-CN" w:bidi="ar-SA"/>
    </w:rPr>
  </w:style>
  <w:style w:type="paragraph" w:customStyle="1" w:styleId="86">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87">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88">
    <w:name w:val="发布日期"/>
    <w:autoRedefine/>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styleId="89">
    <w:name w:val="List Paragraph"/>
    <w:basedOn w:val="1"/>
    <w:autoRedefine/>
    <w:qFormat/>
    <w:uiPriority w:val="34"/>
    <w:pPr>
      <w:ind w:firstLine="420" w:firstLineChars="200"/>
    </w:pPr>
    <w:rPr>
      <w:rFonts w:ascii="Calibri" w:hAnsi="Calibri"/>
      <w:szCs w:val="22"/>
    </w:rPr>
  </w:style>
  <w:style w:type="paragraph" w:customStyle="1" w:styleId="90">
    <w:name w:val="附录一级无"/>
    <w:basedOn w:val="91"/>
    <w:autoRedefine/>
    <w:qFormat/>
    <w:uiPriority w:val="0"/>
    <w:pPr>
      <w:tabs>
        <w:tab w:val="left" w:pos="360"/>
      </w:tabs>
      <w:spacing w:before="0" w:beforeLines="0" w:after="0" w:afterLines="0"/>
    </w:pPr>
    <w:rPr>
      <w:rFonts w:ascii="宋体" w:eastAsia="宋体"/>
      <w:szCs w:val="21"/>
    </w:rPr>
  </w:style>
  <w:style w:type="paragraph" w:customStyle="1" w:styleId="91">
    <w:name w:val="附录一级条标题"/>
    <w:basedOn w:val="81"/>
    <w:next w:val="21"/>
    <w:autoRedefine/>
    <w:qFormat/>
    <w:uiPriority w:val="0"/>
    <w:pPr>
      <w:autoSpaceDN w:val="0"/>
      <w:spacing w:before="50" w:beforeLines="50" w:after="50" w:afterLines="50"/>
      <w:outlineLvl w:val="2"/>
    </w:pPr>
  </w:style>
  <w:style w:type="paragraph" w:customStyle="1" w:styleId="92">
    <w:name w:val="注×："/>
    <w:autoRedefine/>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93">
    <w:name w:val="标准书眉一"/>
    <w:autoRedefine/>
    <w:qFormat/>
    <w:uiPriority w:val="0"/>
    <w:pPr>
      <w:jc w:val="both"/>
    </w:pPr>
    <w:rPr>
      <w:rFonts w:ascii="Times New Roman" w:hAnsi="Times New Roman" w:eastAsia="宋体" w:cs="Times New Roman"/>
      <w:lang w:val="en-US" w:eastAsia="zh-CN" w:bidi="ar-SA"/>
    </w:rPr>
  </w:style>
  <w:style w:type="paragraph" w:customStyle="1" w:styleId="94">
    <w:name w:val="封面标准英文名称2"/>
    <w:basedOn w:val="64"/>
    <w:qFormat/>
    <w:uiPriority w:val="0"/>
    <w:pPr>
      <w:framePr w:y="4469"/>
    </w:pPr>
  </w:style>
  <w:style w:type="paragraph" w:customStyle="1" w:styleId="95">
    <w:name w:val="标准书眉_偶数页"/>
    <w:basedOn w:val="80"/>
    <w:next w:val="1"/>
    <w:autoRedefine/>
    <w:qFormat/>
    <w:uiPriority w:val="0"/>
    <w:pPr>
      <w:jc w:val="left"/>
    </w:pPr>
  </w:style>
  <w:style w:type="paragraph" w:customStyle="1" w:styleId="96">
    <w:name w:val="图表脚注说明"/>
    <w:basedOn w:val="1"/>
    <w:autoRedefine/>
    <w:qFormat/>
    <w:uiPriority w:val="0"/>
    <w:pPr>
      <w:ind w:left="544" w:hanging="181"/>
    </w:pPr>
    <w:rPr>
      <w:rFonts w:ascii="宋体"/>
      <w:sz w:val="18"/>
      <w:szCs w:val="18"/>
    </w:rPr>
  </w:style>
  <w:style w:type="paragraph" w:customStyle="1" w:styleId="97">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98">
    <w:name w:val="终结线"/>
    <w:basedOn w:val="1"/>
    <w:autoRedefine/>
    <w:qFormat/>
    <w:uiPriority w:val="0"/>
    <w:pPr>
      <w:framePr w:hSpace="181" w:vSpace="181" w:wrap="around" w:vAnchor="text" w:hAnchor="margin" w:xAlign="center" w:y="285"/>
    </w:pPr>
  </w:style>
  <w:style w:type="paragraph" w:customStyle="1" w:styleId="99">
    <w:name w:val="注×：（正文）"/>
    <w:autoRedefine/>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00">
    <w:name w:val="列项说明数字编号"/>
    <w:autoRedefine/>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01">
    <w:name w:val="附录数字编号列项（二级）"/>
    <w:autoRedefine/>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02">
    <w:name w:val="数字编号列项（二级）"/>
    <w:autoRedefine/>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103">
    <w:name w:val="列项——（一级）"/>
    <w:autoRedefine/>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104">
    <w:name w:val="列项●（二级）"/>
    <w:autoRedefine/>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105">
    <w:name w:val="封面标准文稿类别"/>
    <w:basedOn w:val="63"/>
    <w:autoRedefine/>
    <w:qFormat/>
    <w:uiPriority w:val="0"/>
    <w:pPr>
      <w:spacing w:after="160" w:line="240" w:lineRule="auto"/>
    </w:pPr>
    <w:rPr>
      <w:sz w:val="24"/>
    </w:rPr>
  </w:style>
  <w:style w:type="paragraph" w:customStyle="1" w:styleId="106">
    <w:name w:val="其他实施日期"/>
    <w:basedOn w:val="107"/>
    <w:autoRedefine/>
    <w:qFormat/>
    <w:uiPriority w:val="0"/>
  </w:style>
  <w:style w:type="paragraph" w:customStyle="1" w:styleId="107">
    <w:name w:val="实施日期"/>
    <w:basedOn w:val="88"/>
    <w:autoRedefine/>
    <w:qFormat/>
    <w:uiPriority w:val="0"/>
    <w:pPr>
      <w:framePr w:vAnchor="page" w:hAnchor="text"/>
      <w:jc w:val="right"/>
    </w:pPr>
  </w:style>
  <w:style w:type="paragraph" w:customStyle="1" w:styleId="108">
    <w:name w:val="五级条标题"/>
    <w:basedOn w:val="70"/>
    <w:next w:val="21"/>
    <w:autoRedefine/>
    <w:qFormat/>
    <w:uiPriority w:val="0"/>
    <w:pPr>
      <w:numPr>
        <w:ilvl w:val="5"/>
      </w:numPr>
      <w:outlineLvl w:val="6"/>
    </w:pPr>
  </w:style>
  <w:style w:type="paragraph" w:customStyle="1" w:styleId="109">
    <w:name w:val="列项说明"/>
    <w:basedOn w:val="1"/>
    <w:autoRedefine/>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0">
    <w:name w:val="参考文献"/>
    <w:basedOn w:val="1"/>
    <w:next w:val="21"/>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1">
    <w:name w:val="字母编号列项（一级）"/>
    <w:autoRedefine/>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112">
    <w:name w:val="示例"/>
    <w:next w:val="85"/>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113">
    <w:name w:val="封面标准文稿编辑信息"/>
    <w:basedOn w:val="105"/>
    <w:autoRedefine/>
    <w:qFormat/>
    <w:uiPriority w:val="0"/>
    <w:pPr>
      <w:spacing w:before="180" w:line="180" w:lineRule="exact"/>
    </w:pPr>
    <w:rPr>
      <w:sz w:val="21"/>
    </w:rPr>
  </w:style>
  <w:style w:type="paragraph" w:customStyle="1" w:styleId="114">
    <w:name w:val="封面正文"/>
    <w:autoRedefine/>
    <w:qFormat/>
    <w:uiPriority w:val="0"/>
    <w:pPr>
      <w:jc w:val="both"/>
    </w:pPr>
    <w:rPr>
      <w:rFonts w:ascii="Times New Roman" w:hAnsi="Times New Roman" w:eastAsia="宋体" w:cs="Times New Roman"/>
      <w:lang w:val="en-US" w:eastAsia="zh-CN" w:bidi="ar-SA"/>
    </w:rPr>
  </w:style>
  <w:style w:type="paragraph" w:customStyle="1" w:styleId="115">
    <w:name w:val="前言、引言标题"/>
    <w:next w:val="21"/>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6">
    <w:name w:val="附录标识"/>
    <w:basedOn w:val="1"/>
    <w:next w:val="21"/>
    <w:autoRedefine/>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17">
    <w:name w:val="图标脚注说明"/>
    <w:basedOn w:val="21"/>
    <w:autoRedefine/>
    <w:qFormat/>
    <w:uiPriority w:val="0"/>
    <w:pPr>
      <w:ind w:left="840" w:hanging="420" w:firstLineChars="0"/>
    </w:pPr>
    <w:rPr>
      <w:sz w:val="18"/>
      <w:szCs w:val="18"/>
    </w:rPr>
  </w:style>
  <w:style w:type="paragraph" w:customStyle="1" w:styleId="118">
    <w:name w:val="附录表标号"/>
    <w:basedOn w:val="1"/>
    <w:next w:val="21"/>
    <w:autoRedefine/>
    <w:qFormat/>
    <w:uiPriority w:val="0"/>
    <w:pPr>
      <w:spacing w:line="14" w:lineRule="exact"/>
      <w:ind w:left="811" w:hanging="448"/>
      <w:jc w:val="center"/>
      <w:outlineLvl w:val="0"/>
    </w:pPr>
    <w:rPr>
      <w:color w:val="FFFFFF"/>
    </w:rPr>
  </w:style>
  <w:style w:type="paragraph" w:customStyle="1" w:styleId="119">
    <w:name w:val="图的脚注"/>
    <w:next w:val="21"/>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0">
    <w:name w:val="附录表标题"/>
    <w:basedOn w:val="1"/>
    <w:next w:val="21"/>
    <w:autoRedefine/>
    <w:qFormat/>
    <w:uiPriority w:val="0"/>
    <w:pPr>
      <w:tabs>
        <w:tab w:val="left" w:pos="180"/>
      </w:tabs>
      <w:spacing w:before="50" w:beforeLines="50" w:after="50" w:afterLines="50"/>
      <w:jc w:val="center"/>
    </w:pPr>
    <w:rPr>
      <w:rFonts w:ascii="黑体" w:eastAsia="黑体"/>
      <w:szCs w:val="21"/>
    </w:rPr>
  </w:style>
  <w:style w:type="paragraph" w:customStyle="1" w:styleId="121">
    <w:name w:val="附录二级无"/>
    <w:basedOn w:val="60"/>
    <w:autoRedefine/>
    <w:qFormat/>
    <w:uiPriority w:val="0"/>
    <w:pPr>
      <w:tabs>
        <w:tab w:val="clear" w:pos="360"/>
      </w:tabs>
      <w:spacing w:before="0" w:beforeLines="0" w:after="0" w:afterLines="0"/>
    </w:pPr>
    <w:rPr>
      <w:rFonts w:ascii="宋体" w:eastAsia="宋体"/>
      <w:szCs w:val="21"/>
    </w:rPr>
  </w:style>
  <w:style w:type="paragraph" w:customStyle="1" w:styleId="122">
    <w:name w:val="五级无"/>
    <w:basedOn w:val="108"/>
    <w:autoRedefine/>
    <w:qFormat/>
    <w:uiPriority w:val="0"/>
    <w:pPr>
      <w:spacing w:before="0" w:beforeLines="0" w:after="0" w:afterLines="0"/>
    </w:pPr>
    <w:rPr>
      <w:rFonts w:ascii="宋体" w:eastAsia="宋体"/>
    </w:rPr>
  </w:style>
  <w:style w:type="paragraph" w:customStyle="1" w:styleId="123">
    <w:name w:val="附录三级无"/>
    <w:basedOn w:val="59"/>
    <w:autoRedefine/>
    <w:qFormat/>
    <w:uiPriority w:val="0"/>
    <w:pPr>
      <w:tabs>
        <w:tab w:val="clear" w:pos="360"/>
      </w:tabs>
      <w:spacing w:before="0" w:beforeLines="0" w:after="0" w:afterLines="0"/>
    </w:pPr>
    <w:rPr>
      <w:rFonts w:ascii="宋体" w:eastAsia="宋体"/>
      <w:szCs w:val="21"/>
    </w:rPr>
  </w:style>
  <w:style w:type="paragraph" w:customStyle="1" w:styleId="124">
    <w:name w:val="附录图标题"/>
    <w:basedOn w:val="1"/>
    <w:next w:val="21"/>
    <w:autoRedefine/>
    <w:qFormat/>
    <w:uiPriority w:val="0"/>
    <w:pPr>
      <w:tabs>
        <w:tab w:val="left" w:pos="363"/>
      </w:tabs>
      <w:spacing w:before="50" w:beforeLines="50" w:after="50" w:afterLines="50"/>
      <w:jc w:val="center"/>
    </w:pPr>
    <w:rPr>
      <w:rFonts w:ascii="黑体" w:eastAsia="黑体"/>
      <w:szCs w:val="21"/>
    </w:rPr>
  </w:style>
  <w:style w:type="paragraph" w:customStyle="1" w:styleId="125">
    <w:name w:val="列出段落1"/>
    <w:basedOn w:val="1"/>
    <w:autoRedefine/>
    <w:qFormat/>
    <w:uiPriority w:val="0"/>
    <w:pPr>
      <w:ind w:firstLine="420" w:firstLineChars="200"/>
    </w:pPr>
    <w:rPr>
      <w:rFonts w:ascii="Calibri" w:hAnsi="Calibri"/>
      <w:szCs w:val="22"/>
    </w:rPr>
  </w:style>
  <w:style w:type="paragraph" w:customStyle="1" w:styleId="126">
    <w:name w:val="附录字母编号列项（一级）"/>
    <w:autoRedefine/>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27">
    <w:name w:val="其他标准标志"/>
    <w:basedOn w:val="97"/>
    <w:autoRedefine/>
    <w:qFormat/>
    <w:uiPriority w:val="0"/>
    <w:pPr>
      <w:framePr w:w="6101" w:vAnchor="page" w:hAnchor="page" w:x="4673" w:y="942"/>
    </w:pPr>
    <w:rPr>
      <w:w w:val="130"/>
    </w:rPr>
  </w:style>
  <w:style w:type="paragraph" w:customStyle="1" w:styleId="128">
    <w:name w:val="示例后文字"/>
    <w:basedOn w:val="21"/>
    <w:next w:val="21"/>
    <w:autoRedefine/>
    <w:qFormat/>
    <w:uiPriority w:val="0"/>
    <w:pPr>
      <w:ind w:firstLine="360"/>
    </w:pPr>
    <w:rPr>
      <w:sz w:val="18"/>
    </w:rPr>
  </w:style>
  <w:style w:type="paragraph" w:customStyle="1" w:styleId="129">
    <w:name w:val="四级无"/>
    <w:basedOn w:val="70"/>
    <w:autoRedefine/>
    <w:qFormat/>
    <w:uiPriority w:val="0"/>
    <w:pPr>
      <w:spacing w:before="0" w:beforeLines="0" w:after="0" w:afterLines="0"/>
    </w:pPr>
    <w:rPr>
      <w:rFonts w:ascii="宋体" w:eastAsia="宋体"/>
    </w:rPr>
  </w:style>
  <w:style w:type="paragraph" w:customStyle="1" w:styleId="130">
    <w:name w:val="一级无"/>
    <w:basedOn w:val="52"/>
    <w:autoRedefine/>
    <w:qFormat/>
    <w:uiPriority w:val="0"/>
    <w:pPr>
      <w:spacing w:before="0" w:beforeLines="0" w:after="0" w:afterLines="0"/>
    </w:pPr>
    <w:rPr>
      <w:rFonts w:ascii="宋体" w:eastAsia="宋体"/>
    </w:rPr>
  </w:style>
  <w:style w:type="paragraph" w:customStyle="1" w:styleId="131">
    <w:name w:val="正文表标题"/>
    <w:next w:val="21"/>
    <w:autoRedefine/>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32">
    <w:name w:val="其他发布日期"/>
    <w:basedOn w:val="88"/>
    <w:autoRedefine/>
    <w:qFormat/>
    <w:uiPriority w:val="0"/>
    <w:pPr>
      <w:framePr w:vAnchor="page" w:hAnchor="text" w:x="1419"/>
    </w:pPr>
  </w:style>
  <w:style w:type="paragraph" w:customStyle="1" w:styleId="133">
    <w:name w:val="封面标准名称2"/>
    <w:basedOn w:val="65"/>
    <w:autoRedefine/>
    <w:qFormat/>
    <w:uiPriority w:val="0"/>
    <w:pPr>
      <w:framePr w:y="4469"/>
      <w:spacing w:before="630" w:beforeLines="630"/>
    </w:pPr>
  </w:style>
  <w:style w:type="paragraph" w:customStyle="1" w:styleId="134">
    <w:name w:val="封面标准文稿类别2"/>
    <w:basedOn w:val="105"/>
    <w:autoRedefine/>
    <w:qFormat/>
    <w:uiPriority w:val="0"/>
    <w:pPr>
      <w:framePr w:y="4469"/>
    </w:pPr>
  </w:style>
  <w:style w:type="paragraph" w:customStyle="1" w:styleId="135">
    <w:name w:val="封面标准文稿编辑信息2"/>
    <w:basedOn w:val="113"/>
    <w:autoRedefine/>
    <w:qFormat/>
    <w:uiPriority w:val="0"/>
    <w:pPr>
      <w:framePr w:y="4469"/>
    </w:pPr>
  </w:style>
  <w:style w:type="character" w:customStyle="1" w:styleId="136">
    <w:name w:val="标题 2 Char"/>
    <w:link w:val="3"/>
    <w:autoRedefine/>
    <w:qFormat/>
    <w:uiPriority w:val="0"/>
    <w:rPr>
      <w:rFonts w:ascii="Cambria" w:hAnsi="Cambria" w:eastAsia="宋体" w:cs="Times New Roman"/>
      <w:b/>
      <w:bCs/>
      <w:kern w:val="2"/>
      <w:sz w:val="32"/>
      <w:szCs w:val="32"/>
    </w:rPr>
  </w:style>
  <w:style w:type="character" w:customStyle="1" w:styleId="137">
    <w:name w:val="标题 3 Char"/>
    <w:link w:val="4"/>
    <w:autoRedefine/>
    <w:qFormat/>
    <w:uiPriority w:val="0"/>
    <w:rPr>
      <w:b/>
      <w:bCs/>
      <w:kern w:val="2"/>
      <w:sz w:val="32"/>
      <w:szCs w:val="32"/>
    </w:rPr>
  </w:style>
  <w:style w:type="character" w:customStyle="1" w:styleId="138">
    <w:name w:val="标题 4 Char"/>
    <w:link w:val="5"/>
    <w:autoRedefine/>
    <w:qFormat/>
    <w:uiPriority w:val="0"/>
    <w:rPr>
      <w:rFonts w:ascii="Cambria" w:hAnsi="Cambria" w:eastAsia="宋体" w:cs="Times New Roman"/>
      <w:b/>
      <w:bCs/>
      <w:kern w:val="2"/>
      <w:sz w:val="28"/>
      <w:szCs w:val="28"/>
    </w:rPr>
  </w:style>
  <w:style w:type="character" w:customStyle="1" w:styleId="139">
    <w:name w:val="标题 1 Char"/>
    <w:basedOn w:val="31"/>
    <w:link w:val="2"/>
    <w:autoRedefine/>
    <w:qFormat/>
    <w:uiPriority w:val="0"/>
    <w:rPr>
      <w:b/>
      <w:bCs/>
      <w:kern w:val="44"/>
      <w:sz w:val="44"/>
      <w:szCs w:val="44"/>
    </w:rPr>
  </w:style>
  <w:style w:type="paragraph" w:customStyle="1" w:styleId="14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41">
    <w:name w:val="批注框文本 Char"/>
    <w:basedOn w:val="31"/>
    <w:link w:val="15"/>
    <w:autoRedefine/>
    <w:qFormat/>
    <w:uiPriority w:val="0"/>
    <w:rPr>
      <w:kern w:val="2"/>
      <w:sz w:val="18"/>
      <w:szCs w:val="18"/>
    </w:rPr>
  </w:style>
  <w:style w:type="table" w:customStyle="1" w:styleId="142">
    <w:name w:val="网格型1"/>
    <w:basedOn w:val="2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
    <w:name w:val="网格型2"/>
    <w:basedOn w:val="2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4">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标准文件_段"/>
    <w:link w:val="146"/>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6">
    <w:name w:val="标准文件_段 Char"/>
    <w:link w:val="145"/>
    <w:autoRedefine/>
    <w:qFormat/>
    <w:uiPriority w:val="0"/>
    <w:rPr>
      <w:rFonts w:ascii="宋体"/>
      <w:sz w:val="21"/>
    </w:rPr>
  </w:style>
  <w:style w:type="table" w:customStyle="1" w:styleId="147">
    <w:name w:val="Table Normal"/>
    <w:semiHidden/>
    <w:unhideWhenUsed/>
    <w:qFormat/>
    <w:uiPriority w:val="0"/>
    <w:tblPr>
      <w:tblCellMar>
        <w:top w:w="0" w:type="dxa"/>
        <w:left w:w="0" w:type="dxa"/>
        <w:bottom w:w="0" w:type="dxa"/>
        <w:right w:w="0" w:type="dxa"/>
      </w:tblCellMar>
    </w:tblPr>
  </w:style>
  <w:style w:type="paragraph" w:customStyle="1" w:styleId="148">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38.png"/><Relationship Id="rId48" Type="http://schemas.openxmlformats.org/officeDocument/2006/relationships/image" Target="media/image37.jpe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jpe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436301-17E5-4AE0-A15D-2E7AE6C31450}">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31</Pages>
  <Words>6281</Words>
  <Characters>6988</Characters>
  <Lines>57</Lines>
  <Paragraphs>16</Paragraphs>
  <TotalTime>2</TotalTime>
  <ScaleCrop>false</ScaleCrop>
  <LinksUpToDate>false</LinksUpToDate>
  <CharactersWithSpaces>7068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2024-01-02T07:15:00Z</dcterms:created>
  <dc:creator>user</dc:creator>
  <cp:lastModifiedBy>文档</cp:lastModifiedBy>
  <cp:lastPrinted>2023-06-05T03:32:00Z</cp:lastPrinted>
  <dcterms:modified xsi:type="dcterms:W3CDTF">2024-10-09T06:34:43Z</dcterms:modified>
  <dc:title>《聚氨酯合成革  节能环保技术要求》</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36FCCD3393FC45D99DCBD97427780C3D_12</vt:lpwstr>
  </property>
</Properties>
</file>