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2"/>
        <w:framePr w:w="2220" w:h="1023" w:hRule="exact" w:wrap="around"/>
        <w:rPr>
          <w:rFonts w:hAnsi="黑体" w:cs="MS Mincho"/>
        </w:rPr>
      </w:pPr>
      <w:r>
        <w:rPr>
          <w:rFonts w:hAnsi="黑体"/>
        </w:rPr>
        <w:t>ICS</w:t>
      </w:r>
      <w:r>
        <w:rPr>
          <w:rFonts w:hint="eastAsia" w:hAnsi="宋体" w:eastAsia="MS Mincho" w:cs="MS Mincho"/>
        </w:rPr>
        <w:t> </w:t>
      </w:r>
      <w:r>
        <w:rPr>
          <w:rFonts w:hAnsi="黑体" w:cs="MS Mincho"/>
        </w:rPr>
        <w:t>85.010</w:t>
      </w:r>
    </w:p>
    <w:p>
      <w:pPr>
        <w:pStyle w:val="172"/>
        <w:framePr w:w="2220" w:h="1023" w:hRule="exact" w:wrap="around"/>
        <w:rPr>
          <w:rFonts w:hAnsi="黑体"/>
        </w:rPr>
      </w:pPr>
      <w:r>
        <w:rPr>
          <w:rFonts w:hint="eastAsia" w:hAnsi="黑体" w:cs="MS Mincho"/>
        </w:rPr>
        <w:t>CCS</w:t>
      </w:r>
      <w:r>
        <w:rPr>
          <w:rFonts w:hAnsi="黑体" w:cs="MS Mincho"/>
        </w:rPr>
        <w:t xml:space="preserve"> Y 30</w:t>
      </w:r>
    </w:p>
    <w:p>
      <w:pPr>
        <w:pStyle w:val="115"/>
        <w:framePr w:wrap="around"/>
        <w:rPr>
          <w:rFonts w:ascii="宋体" w:hAnsi="宋体"/>
          <w:b w:val="0"/>
        </w:rPr>
      </w:pPr>
    </w:p>
    <w:p>
      <w:pPr>
        <w:pStyle w:val="116"/>
        <w:framePr w:wrap="around"/>
        <w:rPr>
          <w:rFonts w:ascii="黑体" w:hAnsi="黑体" w:eastAsia="黑体"/>
          <w:b w:val="0"/>
        </w:rPr>
      </w:pPr>
      <w:r>
        <w:rPr>
          <w:rFonts w:hint="eastAsia" w:ascii="黑体" w:hAnsi="黑体" w:eastAsia="黑体"/>
          <w:b w:val="0"/>
        </w:rPr>
        <w:t>团体标准</w:t>
      </w:r>
    </w:p>
    <w:p>
      <w:pPr>
        <w:pStyle w:val="96"/>
        <w:framePr w:wrap="around"/>
        <w:rPr>
          <w:rFonts w:ascii="宋体" w:hAnsi="宋体" w:eastAsia="宋体"/>
        </w:rPr>
      </w:pPr>
      <w:r>
        <w:rPr>
          <w:rFonts w:hint="eastAsia" w:ascii="宋体" w:hAnsi="宋体" w:eastAsia="宋体"/>
        </w:rPr>
        <w:t>T/CNLIC XXXX</w:t>
      </w:r>
      <w:r>
        <w:rPr>
          <w:rFonts w:ascii="宋体" w:hAnsi="宋体" w:eastAsia="宋体"/>
        </w:rPr>
        <w:t>—</w:t>
      </w:r>
      <w:bookmarkStart w:id="0" w:name="StdNo2"/>
      <w:r>
        <w:rPr>
          <w:rFonts w:ascii="宋体" w:hAnsi="宋体" w:eastAsia="宋体"/>
        </w:rPr>
        <w:fldChar w:fldCharType="begin">
          <w:ffData>
            <w:name w:val="StdNo2"/>
            <w:enabled/>
            <w:calcOnExit w:val="0"/>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0"/>
    </w:p>
    <w:tbl>
      <w:tblPr>
        <w:tblStyle w:val="4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shd w:val="clear" w:color="auto" w:fill="auto"/>
          </w:tcPr>
          <w:p>
            <w:pPr>
              <w:pStyle w:val="125"/>
              <w:framePr w:wrap="around"/>
              <w:rPr>
                <w:rFonts w:hAnsi="宋体"/>
              </w:rPr>
            </w:pPr>
            <w:bookmarkStart w:id="1" w:name="DT"/>
            <w:r>
              <w:rPr>
                <w:rFonts w:hAnsi="宋体"/>
              </w:rPr>
              <w:pict>
                <v:rect id="DT" o:spid="_x0000_s1029" o:spt="1" style="position:absolute;left:0pt;margin-left:372.8pt;margin-top:119.8pt;height:18pt;width:90pt;z-index:-251654144;mso-width-relative:page;mso-height-relative:page;" stroked="f" coordsize="21600,21600">
                  <v:path/>
                  <v:fill focussize="0,0"/>
                  <v:stroke on="f"/>
                  <v:imagedata o:title=""/>
                  <o:lock v:ext="edit"/>
                </v:rect>
              </w:pict>
            </w:r>
            <w:bookmarkEnd w:id="1"/>
          </w:p>
        </w:tc>
      </w:tr>
    </w:tbl>
    <w:p>
      <w:pPr>
        <w:pStyle w:val="96"/>
        <w:framePr w:wrap="around"/>
        <w:rPr>
          <w:rFonts w:ascii="宋体" w:hAnsi="宋体" w:eastAsia="宋体"/>
        </w:rPr>
      </w:pPr>
    </w:p>
    <w:p>
      <w:pPr>
        <w:pStyle w:val="96"/>
        <w:framePr w:wrap="around"/>
        <w:rPr>
          <w:rFonts w:ascii="宋体" w:hAnsi="宋体" w:eastAsia="宋体"/>
        </w:rPr>
      </w:pPr>
    </w:p>
    <w:p>
      <w:pPr>
        <w:pStyle w:val="127"/>
        <w:framePr w:wrap="around"/>
        <w:rPr>
          <w:rFonts w:hAnsi="黑体"/>
        </w:rPr>
      </w:pPr>
      <w:r>
        <w:rPr>
          <w:rFonts w:hint="eastAsia" w:hAnsi="黑体"/>
        </w:rPr>
        <w:t xml:space="preserve">产品碳足迹 </w:t>
      </w:r>
      <w:r>
        <w:rPr>
          <w:rFonts w:hint="eastAsia" w:hAnsi="黑体"/>
          <w:lang w:val="en-US" w:eastAsia="zh-CN"/>
        </w:rPr>
        <w:t xml:space="preserve"> </w:t>
      </w:r>
      <w:r>
        <w:rPr>
          <w:rFonts w:hint="eastAsia" w:hAnsi="黑体"/>
        </w:rPr>
        <w:t>产品种类规则</w:t>
      </w:r>
    </w:p>
    <w:p>
      <w:pPr>
        <w:pStyle w:val="127"/>
        <w:framePr w:wrap="around"/>
        <w:rPr>
          <w:rFonts w:hAnsi="黑体"/>
        </w:rPr>
      </w:pPr>
      <w:r>
        <w:rPr>
          <w:rFonts w:hint="eastAsia" w:hAnsi="黑体"/>
        </w:rPr>
        <w:t>一次性卫生用品</w:t>
      </w:r>
    </w:p>
    <w:p>
      <w:pPr>
        <w:pStyle w:val="128"/>
        <w:framePr w:wrap="around"/>
        <w:rPr>
          <w:rFonts w:eastAsia="Arial Unicode MS"/>
          <w:b/>
        </w:rPr>
      </w:pPr>
      <w:r>
        <w:rPr>
          <w:rFonts w:hint="eastAsia" w:eastAsia="Arial Unicode MS"/>
          <w:b/>
        </w:rPr>
        <w:t>Carbon footprint of products—Product category rules—Disposable sanitary products</w:t>
      </w:r>
    </w:p>
    <w:p>
      <w:pPr>
        <w:pStyle w:val="128"/>
        <w:framePr w:wrap="around"/>
        <w:rPr>
          <w:rFonts w:ascii="黑体" w:hAnsi="黑体"/>
          <w:sz w:val="24"/>
        </w:rPr>
      </w:pPr>
      <w:r>
        <w:rPr>
          <w:rFonts w:hint="eastAsia" w:ascii="黑体" w:hAnsi="黑体"/>
          <w:sz w:val="24"/>
        </w:rPr>
        <w:t>（</w:t>
      </w:r>
      <w:r>
        <w:rPr>
          <w:rFonts w:hint="eastAsia" w:ascii="黑体" w:hAnsi="黑体"/>
          <w:sz w:val="24"/>
          <w:lang w:val="en-US" w:eastAsia="zh-CN"/>
        </w:rPr>
        <w:t>征求意见</w:t>
      </w:r>
      <w:r>
        <w:rPr>
          <w:rFonts w:hint="eastAsia" w:ascii="黑体" w:hAnsi="黑体"/>
          <w:sz w:val="24"/>
        </w:rPr>
        <w:t>稿）</w:t>
      </w:r>
    </w:p>
    <w:p>
      <w:pPr>
        <w:pStyle w:val="128"/>
        <w:framePr w:wrap="around"/>
        <w:rPr>
          <w:rFonts w:ascii="宋体" w:hAnsi="宋体" w:eastAsia="宋体"/>
          <w:sz w:val="22"/>
        </w:rPr>
      </w:pPr>
      <w:r>
        <w:rPr>
          <w:rFonts w:hint="eastAsia" w:ascii="宋体" w:hAnsi="宋体" w:eastAsia="宋体"/>
          <w:sz w:val="22"/>
        </w:rPr>
        <w:t>（本稿完成时间：202</w:t>
      </w:r>
      <w:r>
        <w:rPr>
          <w:rFonts w:hint="eastAsia" w:ascii="宋体" w:hAnsi="宋体" w:eastAsia="宋体"/>
          <w:sz w:val="22"/>
          <w:lang w:val="en-US" w:eastAsia="zh-CN"/>
        </w:rPr>
        <w:t>4</w:t>
      </w:r>
      <w:r>
        <w:rPr>
          <w:rFonts w:hint="eastAsia" w:ascii="宋体" w:hAnsi="宋体" w:eastAsia="宋体"/>
          <w:sz w:val="22"/>
        </w:rPr>
        <w:t>.0</w:t>
      </w:r>
      <w:r>
        <w:rPr>
          <w:rFonts w:hint="eastAsia" w:ascii="宋体" w:hAnsi="宋体" w:eastAsia="宋体"/>
          <w:sz w:val="22"/>
          <w:lang w:val="en-US" w:eastAsia="zh-CN"/>
        </w:rPr>
        <w:t>3</w:t>
      </w:r>
      <w:r>
        <w:rPr>
          <w:rFonts w:hint="eastAsia" w:ascii="宋体" w:hAnsi="宋体" w:eastAsia="宋体"/>
          <w:sz w:val="22"/>
        </w:rPr>
        <w:t>）</w:t>
      </w:r>
    </w:p>
    <w:p>
      <w:pPr>
        <w:pStyle w:val="179"/>
        <w:framePr w:wrap="around" w:hAnchor="page" w:x="1292"/>
        <w:rPr>
          <w:rFonts w:ascii="宋体" w:hAnsi="宋体" w:eastAsia="宋体"/>
        </w:rPr>
      </w:pPr>
      <w:bookmarkStart w:id="2" w:name="FY"/>
      <w:r>
        <w:rPr>
          <w:rFonts w:ascii="宋体" w:hAnsi="宋体" w:eastAsia="宋体"/>
        </w:rPr>
        <w:fldChar w:fldCharType="begin">
          <w:ffData>
            <w:name w:val="FY"/>
            <w:enabled/>
            <w:calcOnExit w:val="0"/>
            <w:entryMacro w:val="ShowHelp8"/>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2"/>
      <w:r>
        <w:rPr>
          <w:rFonts w:ascii="宋体" w:hAnsi="宋体" w:eastAsia="宋体"/>
        </w:rPr>
        <w:t xml:space="preserve"> - </w:t>
      </w:r>
      <w:bookmarkStart w:id="3" w:name="FM"/>
      <w:r>
        <w:rPr>
          <w:rFonts w:ascii="宋体" w:hAnsi="宋体" w:eastAsia="宋体"/>
        </w:rPr>
        <w:fldChar w:fldCharType="begin">
          <w:ffData>
            <w:name w:val="FM"/>
            <w:enabled/>
            <w:calcOnExit w:val="0"/>
            <w:entryMacro w:val="ShowHelp8"/>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3"/>
      <w:r>
        <w:rPr>
          <w:rFonts w:ascii="宋体" w:hAnsi="宋体" w:eastAsia="宋体"/>
        </w:rPr>
        <w:t xml:space="preserve"> - </w:t>
      </w:r>
      <w:bookmarkStart w:id="4" w:name="FD"/>
      <w:r>
        <w:rPr>
          <w:rFonts w:ascii="宋体" w:hAnsi="宋体" w:eastAsia="宋体"/>
        </w:rPr>
        <w:fldChar w:fldCharType="begin">
          <w:ffData>
            <w:name w:val="FD"/>
            <w:enabled/>
            <w:calcOnExit w:val="0"/>
            <w:entryMacro w:val="ShowHelp8"/>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4"/>
      <w:r>
        <w:rPr>
          <w:rFonts w:hint="eastAsia" w:ascii="宋体" w:hAnsi="宋体" w:eastAsia="宋体"/>
        </w:rPr>
        <w:t>发布</w:t>
      </w:r>
      <w:r>
        <w:rPr>
          <w:rFonts w:ascii="宋体" w:hAnsi="宋体" w:eastAsia="宋体"/>
        </w:rPr>
        <w:pict>
          <v:line id="_x0000_s1026" o:spid="_x0000_s1026" o:spt="20" style="position:absolute;left:0pt;margin-left:-0.05pt;margin-top:728.5pt;height:0pt;width:481.9pt;mso-position-vertical-relative:page;z-index:251659264;mso-width-relative:page;mso-height-relative:page;" coordsize="21600,21600">
            <v:path arrowok="t"/>
            <v:fill focussize="0,0"/>
            <v:stroke/>
            <v:imagedata o:title=""/>
            <o:lock v:ext="edit"/>
            <w10:anchorlock/>
          </v:line>
        </w:pict>
      </w:r>
    </w:p>
    <w:p>
      <w:pPr>
        <w:pStyle w:val="180"/>
        <w:framePr w:wrap="around" w:hAnchor="page" w:x="6936"/>
        <w:rPr>
          <w:rFonts w:ascii="宋体" w:hAnsi="宋体" w:eastAsia="宋体"/>
        </w:rPr>
      </w:pPr>
      <w:bookmarkStart w:id="5" w:name="SY"/>
      <w:r>
        <w:rPr>
          <w:rFonts w:ascii="宋体" w:hAnsi="宋体" w:eastAsia="宋体"/>
        </w:rPr>
        <w:fldChar w:fldCharType="begin">
          <w:ffData>
            <w:name w:val="SY"/>
            <w:enabled/>
            <w:calcOnExit w:val="0"/>
            <w:entryMacro w:val="ShowHelp9"/>
            <w:textInput>
              <w:default w:val="XXXX"/>
              <w:maxLength w:val="4"/>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XXXX</w:t>
      </w:r>
      <w:r>
        <w:rPr>
          <w:rFonts w:ascii="宋体" w:hAnsi="宋体" w:eastAsia="宋体"/>
        </w:rPr>
        <w:fldChar w:fldCharType="end"/>
      </w:r>
      <w:bookmarkEnd w:id="5"/>
      <w:r>
        <w:rPr>
          <w:rFonts w:ascii="宋体" w:hAnsi="宋体" w:eastAsia="宋体"/>
        </w:rPr>
        <w:t xml:space="preserve"> - </w:t>
      </w:r>
      <w:bookmarkStart w:id="6" w:name="SM"/>
      <w:r>
        <w:rPr>
          <w:rFonts w:ascii="宋体" w:hAnsi="宋体" w:eastAsia="宋体"/>
        </w:rPr>
        <w:fldChar w:fldCharType="begin">
          <w:ffData>
            <w:name w:val="SM"/>
            <w:enabled/>
            <w:calcOnExit w:val="0"/>
            <w:entryMacro w:val="ShowHelp9"/>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6"/>
      <w:r>
        <w:rPr>
          <w:rFonts w:ascii="宋体" w:hAnsi="宋体" w:eastAsia="宋体"/>
        </w:rPr>
        <w:t xml:space="preserve"> - </w:t>
      </w:r>
      <w:bookmarkStart w:id="7" w:name="SD"/>
      <w:r>
        <w:rPr>
          <w:rFonts w:ascii="宋体" w:hAnsi="宋体" w:eastAsia="宋体"/>
        </w:rPr>
        <w:fldChar w:fldCharType="begin">
          <w:ffData>
            <w:name w:val="SD"/>
            <w:enabled/>
            <w:calcOnExit w:val="0"/>
            <w:entryMacro w:val="ShowHelp9"/>
            <w:textInput>
              <w:default w:val="XX"/>
              <w:maxLength w:val="2"/>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XX</w:t>
      </w:r>
      <w:r>
        <w:rPr>
          <w:rFonts w:ascii="宋体" w:hAnsi="宋体" w:eastAsia="宋体"/>
        </w:rPr>
        <w:fldChar w:fldCharType="end"/>
      </w:r>
      <w:bookmarkEnd w:id="7"/>
      <w:r>
        <w:rPr>
          <w:rFonts w:hint="eastAsia" w:ascii="宋体" w:hAnsi="宋体" w:eastAsia="宋体"/>
        </w:rPr>
        <w:t>实施</w:t>
      </w:r>
    </w:p>
    <w:p>
      <w:pPr>
        <w:pStyle w:val="123"/>
        <w:framePr w:wrap="around"/>
        <w:rPr>
          <w:rFonts w:ascii="黑体" w:hAnsi="黑体" w:eastAsia="黑体"/>
          <w:b w:val="0"/>
        </w:rPr>
      </w:pPr>
      <w:r>
        <w:rPr>
          <w:rFonts w:hint="eastAsia" w:ascii="黑体" w:hAnsi="黑体" w:eastAsia="黑体"/>
          <w:b w:val="0"/>
        </w:rPr>
        <w:t>中国轻工业联合会 发布</w:t>
      </w:r>
    </w:p>
    <w:p>
      <w:pPr>
        <w:pStyle w:val="86"/>
        <w:ind w:firstLine="0" w:firstLineChars="0"/>
        <w:rPr>
          <w:rFonts w:hAnsi="宋体"/>
        </w:rPr>
        <w:sectPr>
          <w:headerReference r:id="rId5" w:type="first"/>
          <w:footerReference r:id="rId7" w:type="first"/>
          <w:headerReference r:id="rId3" w:type="default"/>
          <w:headerReference r:id="rId4" w:type="even"/>
          <w:footerReference r:id="rId6" w:type="even"/>
          <w:pgSz w:w="11906" w:h="16838"/>
          <w:pgMar w:top="567" w:right="1134" w:bottom="1134" w:left="1417" w:header="0" w:footer="0" w:gutter="0"/>
          <w:pgNumType w:start="1"/>
          <w:cols w:space="425" w:num="1"/>
          <w:docGrid w:type="lines" w:linePitch="312" w:charSpace="0"/>
        </w:sectPr>
      </w:pPr>
      <w:r>
        <w:rPr>
          <w:rFonts w:hAnsi="宋体"/>
        </w:rPr>
        <w:pict>
          <v:shape id="_x0000_s1028" o:spid="_x0000_s1028" o:spt="202" type="#_x0000_t202" style="position:absolute;left:0pt;margin-left:138.6pt;margin-top:22.35pt;height:66.95pt;width:215.55pt;z-index:251661312;mso-width-relative:margin;mso-height-relative:margin;" stroked="f" coordsize="21600,21600">
            <v:path/>
            <v:fill focussize="0,0"/>
            <v:stroke on="f" joinstyle="miter"/>
            <v:imagedata o:title=""/>
            <o:lock v:ext="edit"/>
            <v:textbox>
              <w:txbxContent>
                <w:p>
                  <w:pPr>
                    <w:rPr>
                      <w:b/>
                      <w:sz w:val="96"/>
                      <w:szCs w:val="96"/>
                    </w:rPr>
                  </w:pPr>
                  <w:bookmarkStart w:id="46" w:name="c3"/>
                  <w:r>
                    <w:rPr>
                      <w:rFonts w:hint="eastAsia"/>
                      <w:b/>
                      <w:sz w:val="96"/>
                      <w:szCs w:val="96"/>
                    </w:rPr>
                    <w:t>T/</w:t>
                  </w:r>
                  <w:bookmarkEnd w:id="46"/>
                  <w:r>
                    <w:rPr>
                      <w:rFonts w:hint="eastAsia"/>
                      <w:b/>
                      <w:sz w:val="96"/>
                      <w:szCs w:val="96"/>
                    </w:rPr>
                    <w:t>CNLIC</w:t>
                  </w:r>
                </w:p>
              </w:txbxContent>
            </v:textbox>
          </v:shape>
        </w:pict>
      </w:r>
      <w:r>
        <w:rPr>
          <w:rFonts w:hAnsi="宋体"/>
        </w:rPr>
        <w:pict>
          <v:line id="_x0000_s1027" o:spid="_x0000_s1027" o:spt="20" style="position:absolute;left:0pt;margin-left:-120pt;margin-top:184.25pt;height:0pt;width:481.9pt;z-index:251660288;mso-width-relative:page;mso-height-relative:page;" coordsize="21600,21600">
            <v:path arrowok="t"/>
            <v:fill focussize="0,0"/>
            <v:stroke/>
            <v:imagedata o:title=""/>
            <o:lock v:ext="edit"/>
          </v:line>
        </w:pict>
      </w:r>
    </w:p>
    <w:p>
      <w:pPr>
        <w:pStyle w:val="46"/>
        <w:spacing w:after="240"/>
        <w:rPr>
          <w:rFonts w:ascii="Times New Roman" w:hAnsi="Times New Roman" w:eastAsia="黑体" w:cs="Times New Roman"/>
          <w:b w:val="0"/>
        </w:rPr>
      </w:pPr>
      <w:bookmarkStart w:id="8" w:name="_Toc13165"/>
      <w:bookmarkStart w:id="9" w:name="_Toc58256481"/>
      <w:bookmarkStart w:id="10" w:name="_Toc30594"/>
      <w:bookmarkStart w:id="11" w:name="_Toc123232745"/>
      <w:bookmarkStart w:id="12" w:name="_Toc15302"/>
      <w:bookmarkStart w:id="13" w:name="_Toc26710"/>
      <w:bookmarkStart w:id="14" w:name="_Toc447198478"/>
      <w:bookmarkStart w:id="15" w:name="_Toc447198882"/>
      <w:bookmarkStart w:id="16" w:name="_Toc447118972"/>
      <w:bookmarkStart w:id="17" w:name="_Toc446924883"/>
      <w:r>
        <w:rPr>
          <w:rFonts w:hint="eastAsia" w:ascii="Times New Roman" w:hAnsi="Times New Roman" w:eastAsia="黑体" w:cs="Times New Roman"/>
          <w:b w:val="0"/>
        </w:rPr>
        <w:t>前</w:t>
      </w:r>
      <w:r>
        <w:rPr>
          <w:rFonts w:ascii="Times New Roman" w:hAnsi="Times New Roman" w:eastAsia="黑体" w:cs="Times New Roman"/>
          <w:b w:val="0"/>
        </w:rPr>
        <w:t xml:space="preserve"> </w:t>
      </w:r>
      <w:r>
        <w:rPr>
          <w:rFonts w:hint="eastAsia" w:ascii="Times New Roman" w:hAnsi="Times New Roman" w:eastAsia="黑体" w:cs="Times New Roman"/>
          <w:b w:val="0"/>
        </w:rPr>
        <w:t>言</w:t>
      </w:r>
      <w:bookmarkEnd w:id="8"/>
      <w:bookmarkEnd w:id="9"/>
      <w:bookmarkEnd w:id="10"/>
      <w:bookmarkEnd w:id="11"/>
      <w:bookmarkEnd w:id="12"/>
      <w:bookmarkEnd w:id="13"/>
    </w:p>
    <w:p>
      <w:pPr>
        <w:tabs>
          <w:tab w:val="center" w:pos="4201"/>
          <w:tab w:val="right" w:leader="dot" w:pos="9298"/>
        </w:tabs>
        <w:ind w:firstLine="420" w:firstLineChars="200"/>
      </w:pPr>
      <w:r>
        <w:t>本</w:t>
      </w:r>
      <w:r>
        <w:rPr>
          <w:rFonts w:hint="eastAsia"/>
        </w:rPr>
        <w:t>文件</w:t>
      </w:r>
      <w:r>
        <w:t>按照GB/T 1.1—20</w:t>
      </w:r>
      <w:r>
        <w:rPr>
          <w:rFonts w:hint="eastAsia"/>
        </w:rPr>
        <w:t>20《标准化工作导则 第1部分：标准化文件的结构和起草规则》的规定</w:t>
      </w:r>
      <w:r>
        <w:t xml:space="preserve">起草。 </w:t>
      </w:r>
    </w:p>
    <w:p>
      <w:pPr>
        <w:tabs>
          <w:tab w:val="center" w:pos="4201"/>
          <w:tab w:val="right" w:leader="dot" w:pos="9298"/>
        </w:tabs>
        <w:ind w:firstLine="420" w:firstLineChars="200"/>
      </w:pPr>
      <w:r>
        <w:t>本</w:t>
      </w:r>
      <w:r>
        <w:rPr>
          <w:rFonts w:hint="eastAsia"/>
        </w:rPr>
        <w:t>文件</w:t>
      </w:r>
      <w:r>
        <w:t>由</w:t>
      </w:r>
      <w:r>
        <w:rPr>
          <w:rFonts w:hint="eastAsia"/>
        </w:rPr>
        <w:t>中国轻工业联合会</w:t>
      </w:r>
      <w:r>
        <w:t xml:space="preserve">提出并归口。 </w:t>
      </w:r>
    </w:p>
    <w:p>
      <w:pPr>
        <w:tabs>
          <w:tab w:val="center" w:pos="4201"/>
          <w:tab w:val="right" w:leader="dot" w:pos="9298"/>
        </w:tabs>
        <w:ind w:firstLine="420" w:firstLineChars="200"/>
      </w:pPr>
      <w:r>
        <w:rPr>
          <w:rFonts w:hint="eastAsia"/>
        </w:rPr>
        <w:t>请注意本文件的某些内容可能涉及专利。本文件的发布机构不承担识别专利的责任。</w:t>
      </w:r>
    </w:p>
    <w:p>
      <w:pPr>
        <w:tabs>
          <w:tab w:val="center" w:pos="4201"/>
          <w:tab w:val="right" w:leader="dot" w:pos="9298"/>
        </w:tabs>
        <w:ind w:firstLine="420" w:firstLineChars="200"/>
      </w:pPr>
      <w:r>
        <w:rPr>
          <w:rFonts w:hint="eastAsia"/>
        </w:rPr>
        <w:t>本文件</w:t>
      </w:r>
      <w:r>
        <w:t>起草单位：</w:t>
      </w:r>
    </w:p>
    <w:p>
      <w:pPr>
        <w:tabs>
          <w:tab w:val="center" w:pos="4201"/>
          <w:tab w:val="right" w:leader="dot" w:pos="9298"/>
        </w:tabs>
        <w:ind w:firstLine="420" w:firstLineChars="200"/>
      </w:pPr>
      <w:r>
        <w:rPr>
          <w:rFonts w:hint="eastAsia"/>
        </w:rPr>
        <w:t>本文件主要</w:t>
      </w:r>
      <w:r>
        <w:t>起草人：</w:t>
      </w:r>
    </w:p>
    <w:p>
      <w:pPr>
        <w:ind w:firstLine="420" w:firstLineChars="200"/>
        <w:rPr>
          <w:szCs w:val="21"/>
        </w:rPr>
      </w:pPr>
      <w:r>
        <w:rPr>
          <w:szCs w:val="21"/>
        </w:rPr>
        <w:t>本文件为首次发布</w:t>
      </w:r>
      <w:r>
        <w:rPr>
          <w:rFonts w:hint="eastAsia"/>
          <w:szCs w:val="21"/>
        </w:rPr>
        <w:t>。</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rPr>
          <w:rFonts w:eastAsia="黑体"/>
          <w:szCs w:val="21"/>
        </w:rPr>
      </w:pPr>
    </w:p>
    <w:p>
      <w:pPr>
        <w:rPr>
          <w:rFonts w:eastAsia="黑体"/>
          <w:szCs w:val="21"/>
        </w:rPr>
      </w:pPr>
    </w:p>
    <w:p>
      <w:pPr>
        <w:rPr>
          <w:rFonts w:eastAsia="黑体"/>
          <w:szCs w:val="21"/>
        </w:rPr>
      </w:pPr>
    </w:p>
    <w:p>
      <w:pPr>
        <w:rPr>
          <w:rFonts w:eastAsia="黑体"/>
          <w:szCs w:val="21"/>
        </w:rPr>
      </w:pPr>
    </w:p>
    <w:p>
      <w:pPr>
        <w:jc w:val="center"/>
        <w:rPr>
          <w:szCs w:val="21"/>
        </w:rPr>
      </w:pPr>
      <w:r>
        <w:rPr>
          <w:rFonts w:hint="eastAsia" w:eastAsia="黑体"/>
          <w:sz w:val="32"/>
          <w:szCs w:val="32"/>
        </w:rPr>
        <w:t xml:space="preserve">产品碳足迹 </w:t>
      </w:r>
      <w:r>
        <w:rPr>
          <w:rFonts w:hint="eastAsia" w:eastAsia="黑体"/>
          <w:sz w:val="32"/>
          <w:szCs w:val="32"/>
          <w:lang w:val="en-US" w:eastAsia="zh-CN"/>
        </w:rPr>
        <w:t xml:space="preserve"> </w:t>
      </w:r>
      <w:r>
        <w:rPr>
          <w:rFonts w:hint="eastAsia" w:eastAsia="黑体"/>
          <w:sz w:val="32"/>
          <w:szCs w:val="32"/>
        </w:rPr>
        <w:t xml:space="preserve">产品种类规则 </w:t>
      </w:r>
      <w:r>
        <w:rPr>
          <w:rFonts w:hint="eastAsia" w:eastAsia="黑体"/>
          <w:sz w:val="32"/>
          <w:szCs w:val="32"/>
          <w:lang w:val="en-US" w:eastAsia="zh-CN"/>
        </w:rPr>
        <w:t xml:space="preserve"> </w:t>
      </w:r>
      <w:r>
        <w:rPr>
          <w:rFonts w:hint="eastAsia" w:eastAsia="黑体"/>
          <w:sz w:val="32"/>
          <w:szCs w:val="32"/>
        </w:rPr>
        <w:t>一次性卫生用品</w:t>
      </w:r>
    </w:p>
    <w:p>
      <w:pPr>
        <w:pStyle w:val="46"/>
        <w:spacing w:before="312" w:beforeLines="100" w:after="312" w:afterLines="100"/>
        <w:jc w:val="both"/>
        <w:rPr>
          <w:rFonts w:ascii="Times New Roman" w:hAnsi="Times New Roman" w:eastAsia="黑体" w:cs="Times New Roman"/>
          <w:b w:val="0"/>
          <w:bCs w:val="0"/>
          <w:sz w:val="21"/>
          <w:szCs w:val="21"/>
        </w:rPr>
      </w:pPr>
      <w:bookmarkStart w:id="18" w:name="_Toc58256482"/>
      <w:bookmarkStart w:id="19" w:name="_Toc20520"/>
      <w:bookmarkStart w:id="20" w:name="_Toc123232746"/>
      <w:bookmarkStart w:id="21" w:name="_Toc29259"/>
      <w:bookmarkStart w:id="22" w:name="_Toc9857"/>
      <w:bookmarkStart w:id="23" w:name="_Toc22382"/>
      <w:bookmarkStart w:id="24" w:name="_Toc26127"/>
      <w:r>
        <w:rPr>
          <w:rFonts w:ascii="黑体" w:hAnsi="黑体" w:eastAsia="黑体" w:cs="Times New Roman"/>
          <w:b w:val="0"/>
          <w:bCs w:val="0"/>
          <w:sz w:val="21"/>
          <w:szCs w:val="21"/>
        </w:rPr>
        <w:t>1</w:t>
      </w:r>
      <w:r>
        <w:rPr>
          <w:rFonts w:ascii="Times New Roman" w:hAnsi="Times New Roman" w:eastAsia="黑体" w:cs="Times New Roman"/>
          <w:b w:val="0"/>
          <w:bCs w:val="0"/>
          <w:sz w:val="21"/>
          <w:szCs w:val="21"/>
        </w:rPr>
        <w:t xml:space="preserve">  范围</w:t>
      </w:r>
      <w:bookmarkEnd w:id="18"/>
      <w:bookmarkEnd w:id="19"/>
      <w:bookmarkEnd w:id="20"/>
      <w:bookmarkEnd w:id="21"/>
      <w:bookmarkEnd w:id="22"/>
      <w:bookmarkEnd w:id="23"/>
      <w:bookmarkEnd w:id="24"/>
    </w:p>
    <w:bookmarkEnd w:id="14"/>
    <w:bookmarkEnd w:id="15"/>
    <w:bookmarkEnd w:id="16"/>
    <w:bookmarkEnd w:id="17"/>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本文件</w:t>
      </w:r>
      <w:r>
        <w:rPr>
          <w:rFonts w:hint="eastAsia" w:ascii="宋体"/>
          <w:kern w:val="0"/>
          <w:szCs w:val="20"/>
          <w:lang w:val="en-US" w:eastAsia="zh-CN"/>
        </w:rPr>
        <w:t>确立</w:t>
      </w:r>
      <w:r>
        <w:rPr>
          <w:rFonts w:hint="eastAsia" w:ascii="宋体"/>
          <w:kern w:val="0"/>
          <w:szCs w:val="20"/>
        </w:rPr>
        <w:t>了一次性卫生用品生命周期内温室气体排放和清除量化的</w:t>
      </w:r>
      <w:r>
        <w:rPr>
          <w:rFonts w:hint="eastAsia" w:ascii="宋体"/>
          <w:kern w:val="0"/>
          <w:szCs w:val="20"/>
          <w:lang w:val="en-US" w:eastAsia="zh-CN"/>
        </w:rPr>
        <w:t>原则和</w:t>
      </w:r>
      <w:r>
        <w:rPr>
          <w:rFonts w:hint="eastAsia" w:ascii="宋体"/>
          <w:kern w:val="0"/>
          <w:szCs w:val="20"/>
        </w:rPr>
        <w:t>通用要求，</w:t>
      </w:r>
      <w:r>
        <w:rPr>
          <w:rFonts w:hint="eastAsia" w:ascii="宋体"/>
          <w:kern w:val="0"/>
          <w:szCs w:val="20"/>
          <w:lang w:val="en-US" w:eastAsia="zh-CN"/>
        </w:rPr>
        <w:t>规定了</w:t>
      </w:r>
      <w:r>
        <w:rPr>
          <w:rFonts w:hint="eastAsia" w:ascii="宋体"/>
          <w:kern w:val="0"/>
          <w:szCs w:val="20"/>
        </w:rPr>
        <w:t>产品种类与产品描述、目的和范围、数据收集与处理、核算方法、</w:t>
      </w:r>
      <w:r>
        <w:rPr>
          <w:rFonts w:hint="eastAsia" w:ascii="宋体"/>
          <w:kern w:val="0"/>
          <w:szCs w:val="20"/>
          <w:lang w:val="en-US" w:eastAsia="zh-CN"/>
        </w:rPr>
        <w:t>核算</w:t>
      </w:r>
      <w:r>
        <w:rPr>
          <w:rFonts w:hint="eastAsia" w:ascii="宋体"/>
          <w:kern w:val="0"/>
          <w:szCs w:val="20"/>
        </w:rPr>
        <w:t>报告的要求</w:t>
      </w:r>
      <w:r>
        <w:rPr>
          <w:rFonts w:hint="eastAsia" w:ascii="宋体"/>
          <w:kern w:val="0"/>
          <w:szCs w:val="20"/>
          <w:lang w:eastAsia="zh-CN"/>
        </w:rPr>
        <w:t>，</w:t>
      </w:r>
      <w:r>
        <w:rPr>
          <w:rFonts w:hint="eastAsia" w:ascii="宋体"/>
          <w:kern w:val="0"/>
          <w:szCs w:val="20"/>
          <w:lang w:val="en-US" w:eastAsia="zh-CN"/>
        </w:rPr>
        <w:t>界定了相关的术语和定义</w:t>
      </w:r>
      <w:r>
        <w:rPr>
          <w:rFonts w:hint="eastAsia" w:ascii="宋体"/>
          <w:kern w:val="0"/>
          <w:szCs w:val="20"/>
        </w:rPr>
        <w:t>。</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本文件适用于卫生巾（护垫）、纸尿裤（片、垫）、卫生棉条、乳垫、纸巾、湿巾等一次性卫生用品的碳足迹评价。</w:t>
      </w:r>
    </w:p>
    <w:p>
      <w:pPr>
        <w:widowControl/>
        <w:spacing w:before="312" w:beforeLines="100" w:after="312" w:afterLines="100"/>
        <w:outlineLvl w:val="1"/>
        <w:rPr>
          <w:rFonts w:ascii="黑体" w:eastAsia="黑体"/>
          <w:kern w:val="0"/>
          <w:szCs w:val="20"/>
        </w:rPr>
      </w:pPr>
      <w:bookmarkStart w:id="25" w:name="_Toc123232747"/>
      <w:r>
        <w:rPr>
          <w:rFonts w:hint="eastAsia" w:ascii="黑体" w:eastAsia="黑体"/>
          <w:kern w:val="0"/>
          <w:szCs w:val="20"/>
        </w:rPr>
        <w:t>2</w:t>
      </w:r>
      <w:r>
        <w:rPr>
          <w:rFonts w:ascii="黑体" w:eastAsia="黑体"/>
          <w:kern w:val="0"/>
          <w:szCs w:val="20"/>
        </w:rPr>
        <w:t xml:space="preserve">  </w:t>
      </w:r>
      <w:r>
        <w:rPr>
          <w:rFonts w:hint="eastAsia" w:ascii="黑体" w:eastAsia="黑体"/>
          <w:kern w:val="0"/>
          <w:szCs w:val="20"/>
        </w:rPr>
        <w:t>规范性引用文件</w:t>
      </w:r>
      <w:bookmarkEnd w:id="25"/>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tabs>
          <w:tab w:val="center" w:pos="4201"/>
          <w:tab w:val="right" w:leader="dot" w:pos="9298"/>
        </w:tabs>
        <w:ind w:firstLine="420" w:firstLineChars="200"/>
      </w:pPr>
      <w:r>
        <w:rPr>
          <w:rFonts w:hint="eastAsia"/>
        </w:rPr>
        <w:t>GB/T 24025  环境标志和声明  III型环境声明  原理和程序</w:t>
      </w:r>
    </w:p>
    <w:p>
      <w:pPr>
        <w:tabs>
          <w:tab w:val="center" w:pos="4201"/>
          <w:tab w:val="right" w:leader="dot" w:pos="9298"/>
        </w:tabs>
        <w:ind w:firstLine="420" w:firstLineChars="200"/>
      </w:pPr>
      <w:r>
        <w:rPr>
          <w:rFonts w:hint="eastAsia"/>
        </w:rPr>
        <w:t>GB/T 24040  环境管理  生命周期评价  原则与框架</w:t>
      </w:r>
    </w:p>
    <w:p>
      <w:pPr>
        <w:tabs>
          <w:tab w:val="center" w:pos="4201"/>
          <w:tab w:val="right" w:leader="dot" w:pos="9298"/>
        </w:tabs>
        <w:ind w:firstLine="420" w:firstLineChars="200"/>
      </w:pPr>
      <w:r>
        <w:rPr>
          <w:rFonts w:hint="eastAsia"/>
        </w:rPr>
        <w:t>GB/T 32150  工业企业温室气体排放核算和报告通则</w:t>
      </w:r>
    </w:p>
    <w:p>
      <w:pPr>
        <w:tabs>
          <w:tab w:val="center" w:pos="4201"/>
          <w:tab w:val="right" w:leader="dot" w:pos="9298"/>
        </w:tabs>
        <w:ind w:firstLine="420" w:firstLineChars="200"/>
        <w:rPr>
          <w:rFonts w:hint="eastAsia"/>
        </w:rPr>
      </w:pPr>
      <w:r>
        <w:rPr>
          <w:rFonts w:hint="eastAsia"/>
        </w:rPr>
        <w:t>ISO 14067  温室气体  产品碳足迹  量化要求和指南（Greenhouse gases—Carbon footprint of products—Requirements and guidelines for quantification）</w:t>
      </w:r>
    </w:p>
    <w:p>
      <w:pPr>
        <w:tabs>
          <w:tab w:val="center" w:pos="4201"/>
          <w:tab w:val="right" w:leader="dot" w:pos="9298"/>
        </w:tabs>
        <w:ind w:firstLine="420" w:firstLineChars="200"/>
        <w:rPr>
          <w:rFonts w:hint="default" w:eastAsia="宋体"/>
          <w:lang w:val="en-US" w:eastAsia="zh-CN"/>
        </w:rPr>
      </w:pPr>
      <w:r>
        <w:rPr>
          <w:rFonts w:hint="eastAsia"/>
          <w:lang w:val="en-US" w:eastAsia="zh-CN"/>
        </w:rPr>
        <w:t>ISO 14021  环境标志和声明  自我环境声明（Ⅱ型环境标志[Environmental labels and declarations—Self-declared environmental claims (Type Ⅱ environmental labelling]）</w:t>
      </w:r>
    </w:p>
    <w:p>
      <w:pPr>
        <w:tabs>
          <w:tab w:val="center" w:pos="4201"/>
          <w:tab w:val="right" w:leader="dot" w:pos="9298"/>
        </w:tabs>
        <w:ind w:firstLine="420" w:firstLineChars="200"/>
        <w:rPr>
          <w:rFonts w:hint="default" w:eastAsia="宋体"/>
          <w:lang w:val="en-US" w:eastAsia="zh-CN"/>
        </w:rPr>
      </w:pPr>
      <w:r>
        <w:rPr>
          <w:rFonts w:hint="eastAsia"/>
          <w:lang w:val="en-US" w:eastAsia="zh-CN"/>
        </w:rPr>
        <w:t>ISO 14026:2017  环境标志和声明  足迹信息交流的原则、要求和指南（Environmental labels and declarations—Principles, requirements and guidelines for communication of footprint information）</w:t>
      </w:r>
    </w:p>
    <w:p>
      <w:pPr>
        <w:widowControl/>
        <w:spacing w:before="312" w:beforeLines="100" w:after="312" w:afterLines="100"/>
        <w:outlineLvl w:val="1"/>
        <w:rPr>
          <w:rFonts w:ascii="黑体" w:eastAsia="黑体"/>
          <w:kern w:val="0"/>
          <w:szCs w:val="20"/>
        </w:rPr>
      </w:pPr>
      <w:bookmarkStart w:id="26" w:name="_Toc123232748"/>
      <w:r>
        <w:rPr>
          <w:rFonts w:hint="eastAsia" w:ascii="黑体" w:eastAsia="黑体"/>
          <w:kern w:val="0"/>
          <w:szCs w:val="20"/>
        </w:rPr>
        <w:t>3</w:t>
      </w:r>
      <w:r>
        <w:rPr>
          <w:rFonts w:ascii="黑体" w:eastAsia="黑体"/>
          <w:kern w:val="0"/>
          <w:szCs w:val="20"/>
        </w:rPr>
        <w:t xml:space="preserve">  </w:t>
      </w:r>
      <w:r>
        <w:rPr>
          <w:rFonts w:hint="eastAsia" w:ascii="黑体" w:eastAsia="黑体"/>
          <w:kern w:val="0"/>
          <w:szCs w:val="20"/>
        </w:rPr>
        <w:t>术语和定义</w:t>
      </w:r>
      <w:bookmarkEnd w:id="26"/>
    </w:p>
    <w:p>
      <w:pPr>
        <w:tabs>
          <w:tab w:val="center" w:pos="4201"/>
          <w:tab w:val="right" w:leader="dot" w:pos="9298"/>
        </w:tabs>
        <w:ind w:firstLine="420" w:firstLineChars="200"/>
      </w:pPr>
      <w:r>
        <w:rPr>
          <w:rFonts w:hint="eastAsia"/>
        </w:rPr>
        <w:t>GB/T 24025、GB/T 32150、GB/T 24040、ISO 14067</w:t>
      </w:r>
      <w:r>
        <w:rPr>
          <w:rFonts w:hint="eastAsia"/>
          <w:lang w:eastAsia="zh-CN"/>
        </w:rPr>
        <w:t>、</w:t>
      </w:r>
      <w:r>
        <w:rPr>
          <w:rFonts w:hint="eastAsia"/>
          <w:lang w:val="en-US" w:eastAsia="zh-CN"/>
        </w:rPr>
        <w:t>ISO 14021</w:t>
      </w:r>
      <w:r>
        <w:rPr>
          <w:rFonts w:hint="eastAsia"/>
        </w:rPr>
        <w:t>界定的以及下列术语和定义适用于本文件。</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w:t>
      </w:r>
      <w:r>
        <w:rPr>
          <w:rFonts w:ascii="黑体" w:hAnsi="黑体" w:eastAsia="黑体"/>
          <w:szCs w:val="21"/>
        </w:rPr>
        <w:t xml:space="preserve">  </w:t>
      </w:r>
    </w:p>
    <w:p>
      <w:pPr>
        <w:tabs>
          <w:tab w:val="center" w:pos="4201"/>
          <w:tab w:val="right" w:leader="dot" w:pos="9298"/>
        </w:tabs>
        <w:ind w:firstLine="420" w:firstLineChars="200"/>
        <w:rPr>
          <w:rFonts w:eastAsia="黑体"/>
          <w:highlight w:val="yellow"/>
        </w:rPr>
      </w:pPr>
      <w:r>
        <w:rPr>
          <w:rFonts w:hint="eastAsia" w:ascii="黑体" w:hAnsi="黑体" w:eastAsia="黑体"/>
        </w:rPr>
        <w:t>产品碳足迹  carbon footprint of a product</w:t>
      </w:r>
    </w:p>
    <w:p>
      <w:pPr>
        <w:tabs>
          <w:tab w:val="center" w:pos="4201"/>
          <w:tab w:val="right" w:leader="dot" w:pos="9298"/>
        </w:tabs>
        <w:ind w:firstLine="420" w:firstLineChars="200"/>
        <w:rPr>
          <w:rFonts w:hint="default" w:eastAsia="宋体"/>
          <w:lang w:val="en-US" w:eastAsia="zh-CN"/>
        </w:rPr>
      </w:pPr>
      <w:r>
        <w:rPr>
          <w:rFonts w:hint="eastAsia"/>
        </w:rPr>
        <w:t>产品系统中温室气体排放</w:t>
      </w:r>
      <w:r>
        <w:rPr>
          <w:rFonts w:hint="eastAsia"/>
          <w:lang w:val="en-US" w:eastAsia="zh-CN"/>
        </w:rPr>
        <w:t>量</w:t>
      </w:r>
      <w:r>
        <w:rPr>
          <w:rFonts w:hint="eastAsia"/>
        </w:rPr>
        <w:t>与清除量之和</w:t>
      </w:r>
      <w:r>
        <w:rPr>
          <w:rFonts w:hint="eastAsia"/>
          <w:lang w:eastAsia="zh-CN"/>
        </w:rPr>
        <w:t>，</w:t>
      </w:r>
      <w:r>
        <w:rPr>
          <w:rFonts w:hint="eastAsia"/>
          <w:lang w:val="en-US" w:eastAsia="zh-CN"/>
        </w:rPr>
        <w:t>并基于生命周期评价，使用气候变化单一影响类别。</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left="780" w:leftChars="200" w:hanging="360" w:hangingChars="200"/>
        <w:textAlignment w:val="auto"/>
        <w:rPr>
          <w:rFonts w:hint="eastAsia"/>
          <w:sz w:val="18"/>
          <w:szCs w:val="18"/>
        </w:rPr>
      </w:pPr>
      <w:r>
        <w:rPr>
          <w:rFonts w:hint="eastAsia" w:ascii="黑体" w:hAnsi="黑体" w:eastAsia="黑体" w:cs="黑体"/>
          <w:sz w:val="18"/>
          <w:szCs w:val="18"/>
        </w:rPr>
        <w:t>注</w:t>
      </w:r>
      <w:r>
        <w:rPr>
          <w:rFonts w:hint="eastAsia" w:ascii="黑体" w:hAnsi="黑体" w:eastAsia="黑体" w:cs="黑体"/>
          <w:sz w:val="18"/>
          <w:szCs w:val="18"/>
          <w:lang w:val="en-US" w:eastAsia="zh-CN"/>
        </w:rPr>
        <w:t>1</w:t>
      </w:r>
      <w:r>
        <w:rPr>
          <w:rFonts w:hint="eastAsia"/>
          <w:sz w:val="18"/>
          <w:szCs w:val="18"/>
        </w:rPr>
        <w:t>：产品碳足迹以二氧化碳当量表示。</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left="780" w:leftChars="200" w:hanging="360" w:hangingChars="200"/>
        <w:textAlignment w:val="auto"/>
        <w:rPr>
          <w:rFonts w:hint="eastAsia"/>
          <w:sz w:val="18"/>
          <w:szCs w:val="18"/>
          <w:lang w:val="en-US" w:eastAsia="zh-CN"/>
        </w:rPr>
      </w:pPr>
      <w:r>
        <w:rPr>
          <w:rFonts w:hint="eastAsia" w:ascii="黑体" w:hAnsi="黑体" w:eastAsia="黑体" w:cs="黑体"/>
          <w:sz w:val="18"/>
          <w:szCs w:val="18"/>
          <w:lang w:val="en-US" w:eastAsia="zh-CN"/>
        </w:rPr>
        <w:t>注2</w:t>
      </w:r>
      <w:r>
        <w:rPr>
          <w:rFonts w:hint="eastAsia"/>
          <w:sz w:val="18"/>
          <w:szCs w:val="18"/>
          <w:lang w:val="en-US" w:eastAsia="zh-CN"/>
        </w:rPr>
        <w:t>：产品碳足迹可分解成一组数字，确定具体的温室气体排放量和清除量，产品碳足迹也能被分解到生命周期的各个阶段，例如各个过程所处的空间范围。</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left="780" w:leftChars="200" w:hanging="360" w:hangingChars="200"/>
        <w:textAlignment w:val="auto"/>
        <w:rPr>
          <w:rFonts w:hint="default"/>
          <w:sz w:val="18"/>
          <w:szCs w:val="18"/>
          <w:lang w:val="en-US" w:eastAsia="zh-CN"/>
        </w:rPr>
      </w:pPr>
      <w:r>
        <w:rPr>
          <w:rFonts w:hint="eastAsia" w:ascii="黑体" w:hAnsi="黑体" w:eastAsia="黑体" w:cs="黑体"/>
          <w:sz w:val="18"/>
          <w:szCs w:val="18"/>
          <w:lang w:val="en-US" w:eastAsia="zh-CN"/>
        </w:rPr>
        <w:t>注3</w:t>
      </w:r>
      <w:r>
        <w:rPr>
          <w:rFonts w:hint="eastAsia"/>
          <w:sz w:val="18"/>
          <w:szCs w:val="18"/>
          <w:lang w:val="en-US" w:eastAsia="zh-CN"/>
        </w:rPr>
        <w:t>：产品碳足迹报告中记录了产品碳足迹的量化结果，以每个功能单位的二氧化碳当量表示。</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2</w:t>
      </w:r>
      <w:r>
        <w:rPr>
          <w:rFonts w:ascii="黑体" w:hAnsi="黑体" w:eastAsia="黑体"/>
          <w:szCs w:val="21"/>
        </w:rPr>
        <w:t xml:space="preserve">  </w:t>
      </w:r>
    </w:p>
    <w:p>
      <w:pPr>
        <w:tabs>
          <w:tab w:val="center" w:pos="4201"/>
          <w:tab w:val="right" w:leader="dot" w:pos="9298"/>
        </w:tabs>
        <w:ind w:firstLine="420" w:firstLineChars="200"/>
        <w:rPr>
          <w:rFonts w:ascii="黑体" w:hAnsi="黑体" w:eastAsia="黑体"/>
        </w:rPr>
      </w:pPr>
      <w:r>
        <w:rPr>
          <w:rFonts w:hint="eastAsia" w:ascii="黑体" w:hAnsi="黑体" w:eastAsia="黑体"/>
        </w:rPr>
        <w:t>产品种类规则  product category rules</w:t>
      </w:r>
    </w:p>
    <w:p>
      <w:pPr>
        <w:tabs>
          <w:tab w:val="center" w:pos="4201"/>
          <w:tab w:val="right" w:leader="dot" w:pos="9298"/>
        </w:tabs>
        <w:ind w:firstLine="420" w:firstLineChars="200"/>
        <w:rPr>
          <w:rFonts w:hint="eastAsia"/>
        </w:rPr>
      </w:pPr>
      <w:r>
        <w:rPr>
          <w:rFonts w:hint="eastAsia"/>
          <w:lang w:val="en-US" w:eastAsia="zh-CN"/>
        </w:rPr>
        <w:t>用于制定</w:t>
      </w:r>
      <w:r>
        <w:rPr>
          <w:rFonts w:hint="eastAsia"/>
        </w:rPr>
        <w:t>一个或多个产品种类</w:t>
      </w:r>
      <w:r>
        <w:rPr>
          <w:rFonts w:hint="eastAsia"/>
          <w:lang w:val="en-US" w:eastAsia="zh-CN"/>
        </w:rPr>
        <w:t>的</w:t>
      </w:r>
      <w:r>
        <w:rPr>
          <w:rFonts w:hint="eastAsia"/>
        </w:rPr>
        <w:t>Ⅲ型环境声明和</w:t>
      </w:r>
      <w:r>
        <w:rPr>
          <w:rFonts w:hint="eastAsia"/>
          <w:lang w:val="en-US" w:eastAsia="zh-CN"/>
        </w:rPr>
        <w:t>足迹信息交流</w:t>
      </w:r>
      <w:r>
        <w:rPr>
          <w:rFonts w:hint="eastAsia"/>
        </w:rPr>
        <w:t>的一套具体的规则、要求和指南。</w:t>
      </w:r>
    </w:p>
    <w:p>
      <w:pPr>
        <w:tabs>
          <w:tab w:val="center" w:pos="4201"/>
          <w:tab w:val="right" w:leader="dot" w:pos="9298"/>
        </w:tabs>
        <w:ind w:firstLine="360" w:firstLineChars="200"/>
        <w:rPr>
          <w:rFonts w:hint="default"/>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：产品种类规则包含的量化规则需符合GB/T 24044的要求。</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sz w:val="21"/>
          <w:szCs w:val="21"/>
        </w:rPr>
        <w:t>GB/T 24025</w:t>
      </w:r>
      <w:r>
        <w:rPr>
          <w:rFonts w:hint="eastAsia"/>
          <w:sz w:val="21"/>
          <w:szCs w:val="21"/>
        </w:rPr>
        <w:t>—</w:t>
      </w:r>
      <w:r>
        <w:rPr>
          <w:sz w:val="21"/>
          <w:szCs w:val="21"/>
        </w:rPr>
        <w:t>2009</w:t>
      </w:r>
      <w:r>
        <w:rPr>
          <w:rFonts w:hint="eastAsia"/>
          <w:sz w:val="21"/>
          <w:szCs w:val="21"/>
        </w:rPr>
        <w:t>，</w:t>
      </w:r>
      <w:r>
        <w:rPr>
          <w:sz w:val="21"/>
          <w:szCs w:val="21"/>
        </w:rPr>
        <w:t>3.5</w:t>
      </w:r>
      <w:r>
        <w:rPr>
          <w:rFonts w:hint="eastAsia"/>
          <w:sz w:val="21"/>
          <w:szCs w:val="21"/>
        </w:rPr>
        <w:t>，有修改</w:t>
      </w:r>
      <w:r>
        <w:rPr>
          <w:sz w:val="21"/>
          <w:szCs w:val="21"/>
        </w:rPr>
        <w:t>]</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3</w:t>
      </w:r>
      <w:r>
        <w:rPr>
          <w:rFonts w:ascii="黑体" w:hAnsi="黑体" w:eastAsia="黑体"/>
          <w:szCs w:val="21"/>
        </w:rPr>
        <w:t xml:space="preserve">  </w:t>
      </w:r>
    </w:p>
    <w:p>
      <w:pPr>
        <w:tabs>
          <w:tab w:val="center" w:pos="4201"/>
          <w:tab w:val="right" w:leader="dot" w:pos="9298"/>
        </w:tabs>
        <w:ind w:firstLine="420" w:firstLineChars="200"/>
        <w:rPr>
          <w:rFonts w:ascii="黑体" w:hAnsi="黑体" w:eastAsia="黑体"/>
        </w:rPr>
      </w:pPr>
      <w:r>
        <w:rPr>
          <w:rFonts w:hint="eastAsia" w:ascii="黑体" w:hAnsi="黑体" w:eastAsia="黑体"/>
        </w:rPr>
        <w:t>温室气体  greenhouse gas</w:t>
      </w:r>
    </w:p>
    <w:p>
      <w:pPr>
        <w:tabs>
          <w:tab w:val="center" w:pos="4201"/>
          <w:tab w:val="right" w:leader="dot" w:pos="9298"/>
        </w:tabs>
        <w:ind w:firstLine="420" w:firstLineChars="200"/>
      </w:pPr>
      <w:r>
        <w:rPr>
          <w:rFonts w:hint="eastAsia"/>
        </w:rPr>
        <w:t>大气层中自然存在的和由于人类活动产生的能吸收和散发由地球表面、大气层和云层所产生的、波长在红外光谱内的辐射的气态成分。</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32150</w:t>
      </w:r>
      <w:r>
        <w:rPr>
          <w:rFonts w:hint="eastAsia"/>
          <w:sz w:val="21"/>
          <w:szCs w:val="21"/>
        </w:rPr>
        <w:t>—</w:t>
      </w:r>
      <w:r>
        <w:rPr>
          <w:sz w:val="21"/>
          <w:szCs w:val="21"/>
        </w:rPr>
        <w:t>2015</w:t>
      </w:r>
      <w:r>
        <w:rPr>
          <w:rFonts w:hint="eastAsia"/>
          <w:sz w:val="21"/>
          <w:szCs w:val="21"/>
        </w:rPr>
        <w:t>，</w:t>
      </w:r>
      <w:r>
        <w:rPr>
          <w:sz w:val="21"/>
          <w:szCs w:val="21"/>
        </w:rPr>
        <w:t>3.1]</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4</w:t>
      </w:r>
      <w:r>
        <w:rPr>
          <w:rFonts w:ascii="黑体" w:hAnsi="黑体" w:eastAsia="黑体"/>
          <w:szCs w:val="21"/>
        </w:rPr>
        <w:t xml:space="preserve"> </w:t>
      </w:r>
    </w:p>
    <w:p>
      <w:pPr>
        <w:tabs>
          <w:tab w:val="center" w:pos="4201"/>
          <w:tab w:val="right" w:leader="dot" w:pos="9298"/>
        </w:tabs>
        <w:ind w:firstLine="420" w:firstLineChars="200"/>
        <w:rPr>
          <w:rFonts w:ascii="黑体" w:hAnsi="黑体" w:eastAsia="黑体"/>
        </w:rPr>
      </w:pPr>
      <w:r>
        <w:rPr>
          <w:rFonts w:hint="eastAsia" w:ascii="黑体" w:hAnsi="黑体" w:eastAsia="黑体"/>
        </w:rPr>
        <w:t>温室气体排放  greenhouse gas emission</w:t>
      </w:r>
    </w:p>
    <w:p>
      <w:pPr>
        <w:tabs>
          <w:tab w:val="center" w:pos="4201"/>
          <w:tab w:val="right" w:leader="dot" w:pos="9298"/>
        </w:tabs>
        <w:ind w:firstLine="420" w:firstLineChars="200"/>
      </w:pPr>
      <w:r>
        <w:rPr>
          <w:rFonts w:hint="eastAsia"/>
        </w:rPr>
        <w:t>在特定时段内释放到大气中的温室气体总量。</w:t>
      </w:r>
    </w:p>
    <w:p>
      <w:pPr>
        <w:tabs>
          <w:tab w:val="center" w:pos="4201"/>
          <w:tab w:val="right" w:leader="dot" w:pos="9298"/>
        </w:tabs>
        <w:ind w:firstLine="360" w:firstLineChars="200"/>
        <w:rPr>
          <w:sz w:val="18"/>
          <w:szCs w:val="18"/>
        </w:rPr>
      </w:pPr>
      <w:r>
        <w:rPr>
          <w:rFonts w:hint="eastAsia" w:ascii="黑体" w:hAnsi="黑体" w:eastAsia="黑体" w:cs="黑体"/>
          <w:sz w:val="18"/>
          <w:szCs w:val="18"/>
        </w:rPr>
        <w:t>注</w:t>
      </w:r>
      <w:r>
        <w:rPr>
          <w:rFonts w:hint="eastAsia"/>
          <w:sz w:val="18"/>
          <w:szCs w:val="18"/>
        </w:rPr>
        <w:t>：温室气体排放以质量单位表示。</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5</w:t>
      </w:r>
      <w:r>
        <w:rPr>
          <w:rFonts w:ascii="黑体" w:hAnsi="黑体" w:eastAsia="黑体"/>
          <w:szCs w:val="21"/>
        </w:rPr>
        <w:t xml:space="preserve"> </w:t>
      </w:r>
    </w:p>
    <w:p>
      <w:pPr>
        <w:tabs>
          <w:tab w:val="center" w:pos="4201"/>
          <w:tab w:val="right" w:leader="dot" w:pos="9298"/>
        </w:tabs>
        <w:ind w:firstLine="420" w:firstLineChars="200"/>
        <w:rPr>
          <w:rFonts w:ascii="黑体" w:hAnsi="黑体" w:eastAsia="黑体"/>
        </w:rPr>
      </w:pPr>
      <w:r>
        <w:rPr>
          <w:rFonts w:hint="eastAsia" w:ascii="黑体" w:hAnsi="黑体" w:eastAsia="黑体"/>
        </w:rPr>
        <w:t>活动数据  activity data</w:t>
      </w:r>
    </w:p>
    <w:p>
      <w:pPr>
        <w:tabs>
          <w:tab w:val="center" w:pos="4201"/>
          <w:tab w:val="right" w:leader="dot" w:pos="9298"/>
        </w:tabs>
        <w:ind w:firstLine="420" w:firstLineChars="200"/>
      </w:pPr>
      <w:r>
        <w:rPr>
          <w:rFonts w:hint="eastAsia"/>
        </w:rPr>
        <w:t>导致温室气体排放的生产或消费活动量的表征值。</w:t>
      </w:r>
    </w:p>
    <w:p>
      <w:pPr>
        <w:tabs>
          <w:tab w:val="center" w:pos="4201"/>
          <w:tab w:val="right" w:leader="dot" w:pos="9298"/>
        </w:tabs>
        <w:ind w:firstLine="360" w:firstLineChars="200"/>
        <w:rPr>
          <w:rFonts w:ascii="黑体" w:hAnsi="黑体" w:eastAsia="黑体"/>
          <w:szCs w:val="21"/>
        </w:rPr>
      </w:pPr>
      <w:r>
        <w:rPr>
          <w:rFonts w:hint="eastAsia" w:ascii="黑体" w:hAnsi="黑体" w:eastAsia="黑体" w:cs="黑体"/>
          <w:sz w:val="18"/>
          <w:szCs w:val="18"/>
        </w:rPr>
        <w:t>注</w:t>
      </w:r>
      <w:r>
        <w:rPr>
          <w:rFonts w:hint="eastAsia"/>
          <w:sz w:val="18"/>
          <w:szCs w:val="18"/>
        </w:rPr>
        <w:t>：如各种化石燃料的消耗量、原材料的使用量、</w:t>
      </w:r>
      <w:r>
        <w:rPr>
          <w:rFonts w:hint="eastAsia"/>
          <w:sz w:val="18"/>
          <w:szCs w:val="18"/>
          <w:lang w:val="en-US" w:eastAsia="zh-CN"/>
        </w:rPr>
        <w:t>外购电力</w:t>
      </w:r>
      <w:r>
        <w:rPr>
          <w:rFonts w:hint="eastAsia"/>
          <w:sz w:val="18"/>
          <w:szCs w:val="18"/>
        </w:rPr>
        <w:t>、</w:t>
      </w:r>
      <w:r>
        <w:rPr>
          <w:rFonts w:hint="eastAsia"/>
          <w:sz w:val="18"/>
          <w:szCs w:val="18"/>
          <w:lang w:val="en-US" w:eastAsia="zh-CN"/>
        </w:rPr>
        <w:t>外购热力</w:t>
      </w:r>
      <w:r>
        <w:rPr>
          <w:rFonts w:hint="eastAsia"/>
          <w:sz w:val="18"/>
          <w:szCs w:val="18"/>
        </w:rPr>
        <w:t>等。</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6</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功能单位  functional unit</w:t>
      </w:r>
    </w:p>
    <w:p>
      <w:pPr>
        <w:tabs>
          <w:tab w:val="center" w:pos="4201"/>
          <w:tab w:val="right" w:leader="dot" w:pos="9298"/>
        </w:tabs>
        <w:ind w:firstLine="420" w:firstLineChars="200"/>
      </w:pPr>
      <w:r>
        <w:rPr>
          <w:rFonts w:hint="eastAsia"/>
        </w:rPr>
        <w:t>用来作为基准单位的量化的产品系统性能。</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24040</w:t>
      </w:r>
      <w:r>
        <w:rPr>
          <w:rFonts w:hint="eastAsia"/>
          <w:sz w:val="21"/>
          <w:szCs w:val="21"/>
        </w:rPr>
        <w:t>—</w:t>
      </w:r>
      <w:r>
        <w:rPr>
          <w:sz w:val="21"/>
          <w:szCs w:val="21"/>
        </w:rPr>
        <w:t>2008</w:t>
      </w:r>
      <w:r>
        <w:rPr>
          <w:rFonts w:hint="eastAsia"/>
          <w:sz w:val="21"/>
          <w:szCs w:val="21"/>
        </w:rPr>
        <w:t>，</w:t>
      </w:r>
      <w:r>
        <w:rPr>
          <w:sz w:val="21"/>
          <w:szCs w:val="21"/>
        </w:rPr>
        <w:t>3.20]</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7</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系统边界  system boundary</w:t>
      </w:r>
    </w:p>
    <w:p>
      <w:pPr>
        <w:tabs>
          <w:tab w:val="center" w:pos="4201"/>
          <w:tab w:val="right" w:leader="dot" w:pos="9298"/>
        </w:tabs>
        <w:ind w:firstLine="420" w:firstLineChars="200"/>
      </w:pPr>
      <w:r>
        <w:rPr>
          <w:rFonts w:hint="eastAsia"/>
        </w:rPr>
        <w:t>通过一组准则确定哪些单元过程属于产品系统的一部分。</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24040</w:t>
      </w:r>
      <w:r>
        <w:rPr>
          <w:rFonts w:hint="eastAsia"/>
          <w:sz w:val="21"/>
          <w:szCs w:val="21"/>
        </w:rPr>
        <w:t>—</w:t>
      </w:r>
      <w:r>
        <w:rPr>
          <w:sz w:val="21"/>
          <w:szCs w:val="21"/>
        </w:rPr>
        <w:t>2008</w:t>
      </w:r>
      <w:r>
        <w:rPr>
          <w:rFonts w:hint="eastAsia"/>
          <w:sz w:val="21"/>
          <w:szCs w:val="21"/>
        </w:rPr>
        <w:t>，</w:t>
      </w:r>
      <w:r>
        <w:rPr>
          <w:sz w:val="21"/>
          <w:szCs w:val="21"/>
        </w:rPr>
        <w:t>3.32]</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8</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排放因子  emission factors</w:t>
      </w:r>
    </w:p>
    <w:p>
      <w:pPr>
        <w:tabs>
          <w:tab w:val="center" w:pos="4201"/>
          <w:tab w:val="right" w:leader="dot" w:pos="9298"/>
        </w:tabs>
        <w:ind w:firstLine="420" w:firstLineChars="200"/>
      </w:pPr>
      <w:r>
        <w:rPr>
          <w:rFonts w:hint="eastAsia"/>
        </w:rPr>
        <w:t>表征单位生产或消费活动量的温室气体排放的系数。</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32150</w:t>
      </w:r>
      <w:r>
        <w:rPr>
          <w:rFonts w:hint="eastAsia"/>
          <w:sz w:val="21"/>
          <w:szCs w:val="21"/>
        </w:rPr>
        <w:t>—</w:t>
      </w:r>
      <w:r>
        <w:rPr>
          <w:sz w:val="21"/>
          <w:szCs w:val="21"/>
        </w:rPr>
        <w:t>2015</w:t>
      </w:r>
      <w:r>
        <w:rPr>
          <w:rFonts w:hint="eastAsia"/>
          <w:sz w:val="21"/>
          <w:szCs w:val="21"/>
        </w:rPr>
        <w:t>，</w:t>
      </w:r>
      <w:r>
        <w:rPr>
          <w:sz w:val="21"/>
          <w:szCs w:val="21"/>
        </w:rPr>
        <w:t>3.13]</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9</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初级数据  primary data</w:t>
      </w:r>
    </w:p>
    <w:p>
      <w:pPr>
        <w:tabs>
          <w:tab w:val="center" w:pos="4201"/>
          <w:tab w:val="right" w:leader="dot" w:pos="9298"/>
        </w:tabs>
        <w:ind w:firstLine="420" w:firstLineChars="200"/>
      </w:pPr>
      <w:r>
        <w:rPr>
          <w:rFonts w:hint="eastAsia"/>
        </w:rPr>
        <w:t>通过直接测量或基于直接测量值计算得到的过程或活动的量化值。</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ISO 14067</w:t>
      </w:r>
      <w:r>
        <w:rPr>
          <w:rFonts w:hint="eastAsia"/>
          <w:sz w:val="21"/>
          <w:szCs w:val="21"/>
          <w:lang w:val="en-US" w:eastAsia="zh-CN"/>
        </w:rPr>
        <w:t>:</w:t>
      </w:r>
      <w:r>
        <w:rPr>
          <w:sz w:val="21"/>
          <w:szCs w:val="21"/>
        </w:rPr>
        <w:t>2018</w:t>
      </w:r>
      <w:r>
        <w:rPr>
          <w:rFonts w:hint="eastAsia"/>
          <w:sz w:val="21"/>
          <w:szCs w:val="21"/>
        </w:rPr>
        <w:t>，</w:t>
      </w:r>
      <w:r>
        <w:rPr>
          <w:sz w:val="21"/>
          <w:szCs w:val="21"/>
        </w:rPr>
        <w:t>3.1.6.1]</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10</w:t>
      </w:r>
      <w:r>
        <w:rPr>
          <w:rFonts w:ascii="黑体" w:hAnsi="黑体" w:eastAsia="黑体"/>
          <w:szCs w:val="21"/>
        </w:rPr>
        <w:t xml:space="preserve">  </w:t>
      </w:r>
    </w:p>
    <w:p>
      <w:pPr>
        <w:tabs>
          <w:tab w:val="center" w:pos="4201"/>
          <w:tab w:val="right" w:leader="dot" w:pos="9298"/>
        </w:tabs>
        <w:ind w:firstLine="420" w:firstLineChars="200"/>
        <w:rPr>
          <w:rFonts w:eastAsia="黑体"/>
          <w:highlight w:val="yellow"/>
        </w:rPr>
      </w:pPr>
      <w:r>
        <w:rPr>
          <w:rFonts w:hint="eastAsia" w:ascii="黑体" w:hAnsi="黑体" w:eastAsia="黑体"/>
        </w:rPr>
        <w:t xml:space="preserve">次级数据  secondary data      </w:t>
      </w:r>
    </w:p>
    <w:p>
      <w:pPr>
        <w:tabs>
          <w:tab w:val="center" w:pos="4201"/>
          <w:tab w:val="right" w:leader="dot" w:pos="9298"/>
        </w:tabs>
        <w:ind w:firstLine="420" w:firstLineChars="200"/>
      </w:pPr>
      <w:r>
        <w:rPr>
          <w:rFonts w:hint="eastAsia"/>
        </w:rPr>
        <w:t>不符合初级数据要求的数据。</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ISO 14067</w:t>
      </w:r>
      <w:r>
        <w:rPr>
          <w:rFonts w:hint="eastAsia"/>
          <w:sz w:val="21"/>
          <w:szCs w:val="21"/>
          <w:lang w:val="en-US" w:eastAsia="zh-CN"/>
        </w:rPr>
        <w:t>:</w:t>
      </w:r>
      <w:r>
        <w:rPr>
          <w:sz w:val="21"/>
          <w:szCs w:val="21"/>
        </w:rPr>
        <w:t>2018</w:t>
      </w:r>
      <w:r>
        <w:rPr>
          <w:rFonts w:hint="eastAsia"/>
          <w:sz w:val="21"/>
          <w:szCs w:val="21"/>
        </w:rPr>
        <w:t>，</w:t>
      </w:r>
      <w:r>
        <w:rPr>
          <w:sz w:val="21"/>
          <w:szCs w:val="21"/>
        </w:rPr>
        <w:t>3.1.6.3]</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11</w:t>
      </w:r>
      <w:r>
        <w:rPr>
          <w:rFonts w:ascii="黑体" w:hAnsi="黑体" w:eastAsia="黑体"/>
          <w:szCs w:val="21"/>
        </w:rPr>
        <w:t xml:space="preserve">  </w:t>
      </w:r>
    </w:p>
    <w:p>
      <w:pPr>
        <w:tabs>
          <w:tab w:val="center" w:pos="4201"/>
          <w:tab w:val="right" w:leader="dot" w:pos="9298"/>
        </w:tabs>
        <w:ind w:firstLine="420" w:firstLineChars="200"/>
      </w:pPr>
      <w:r>
        <w:rPr>
          <w:rFonts w:hint="eastAsia" w:ascii="黑体" w:hAnsi="黑体" w:eastAsia="黑体"/>
        </w:rPr>
        <w:t>生物质  biomass</w:t>
      </w:r>
    </w:p>
    <w:p>
      <w:pPr>
        <w:tabs>
          <w:tab w:val="center" w:pos="4201"/>
          <w:tab w:val="right" w:leader="dot" w:pos="9298"/>
        </w:tabs>
        <w:ind w:firstLine="420" w:firstLineChars="200"/>
        <w:rPr>
          <w:rFonts w:hint="eastAsia"/>
        </w:rPr>
      </w:pPr>
      <w:r>
        <w:rPr>
          <w:rFonts w:hint="eastAsia"/>
          <w:lang w:val="en-US" w:eastAsia="zh-CN"/>
        </w:rPr>
        <w:t>生物来源的</w:t>
      </w:r>
      <w:r>
        <w:rPr>
          <w:rFonts w:hint="eastAsia"/>
        </w:rPr>
        <w:t>物质，不包括嵌入地质构造中的物质和</w:t>
      </w:r>
      <w:r>
        <w:rPr>
          <w:rFonts w:hint="eastAsia"/>
          <w:lang w:val="en-US" w:eastAsia="zh-CN"/>
        </w:rPr>
        <w:t>转化</w:t>
      </w:r>
      <w:r>
        <w:rPr>
          <w:rFonts w:hint="eastAsia"/>
        </w:rPr>
        <w:t>为化石的物质</w:t>
      </w:r>
      <w:r>
        <w:rPr>
          <w:rFonts w:hint="eastAsia"/>
          <w:lang w:eastAsia="zh-CN"/>
        </w:rPr>
        <w:t>，</w:t>
      </w:r>
      <w:r>
        <w:rPr>
          <w:rFonts w:hint="eastAsia"/>
          <w:lang w:val="en-US" w:eastAsia="zh-CN"/>
        </w:rPr>
        <w:t>也不包括泥炭</w:t>
      </w:r>
      <w:r>
        <w:rPr>
          <w:rFonts w:hint="eastAsia"/>
        </w:rPr>
        <w:t>。</w:t>
      </w:r>
    </w:p>
    <w:p>
      <w:pPr>
        <w:tabs>
          <w:tab w:val="center" w:pos="4201"/>
          <w:tab w:val="right" w:leader="dot" w:pos="9298"/>
        </w:tabs>
        <w:ind w:firstLine="360" w:firstLineChars="200"/>
        <w:rPr>
          <w:rFonts w:hint="default" w:eastAsia="宋体"/>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：包括有机物质（含有生命的和死亡的），如树木、作物、草、树木凋落物、藻类、动物、粪便和生物源废物。</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ISO 140</w:t>
      </w:r>
      <w:r>
        <w:rPr>
          <w:rFonts w:hint="eastAsia"/>
          <w:sz w:val="21"/>
          <w:szCs w:val="21"/>
          <w:lang w:val="en-US" w:eastAsia="zh-CN"/>
        </w:rPr>
        <w:t>21:</w:t>
      </w:r>
      <w:r>
        <w:rPr>
          <w:sz w:val="21"/>
          <w:szCs w:val="21"/>
        </w:rPr>
        <w:t>201</w:t>
      </w:r>
      <w:r>
        <w:rPr>
          <w:rFonts w:hint="eastAsia"/>
          <w:sz w:val="21"/>
          <w:szCs w:val="21"/>
          <w:lang w:val="en-US" w:eastAsia="zh-CN"/>
        </w:rPr>
        <w:t>6</w:t>
      </w:r>
      <w:r>
        <w:rPr>
          <w:rFonts w:hint="eastAsia"/>
          <w:sz w:val="21"/>
          <w:szCs w:val="21"/>
        </w:rPr>
        <w:t>，</w:t>
      </w:r>
      <w:r>
        <w:rPr>
          <w:sz w:val="21"/>
          <w:szCs w:val="21"/>
        </w:rPr>
        <w:t>3.1.1</w:t>
      </w:r>
      <w:r>
        <w:rPr>
          <w:rFonts w:hint="eastAsia"/>
          <w:sz w:val="21"/>
          <w:szCs w:val="21"/>
          <w:lang w:eastAsia="zh-CN"/>
        </w:rPr>
        <w:t>，</w:t>
      </w:r>
      <w:r>
        <w:rPr>
          <w:rFonts w:hint="eastAsia"/>
          <w:sz w:val="21"/>
          <w:szCs w:val="21"/>
          <w:lang w:val="en-US" w:eastAsia="zh-CN"/>
        </w:rPr>
        <w:t>有修改</w:t>
      </w:r>
      <w:r>
        <w:rPr>
          <w:sz w:val="21"/>
          <w:szCs w:val="21"/>
        </w:rPr>
        <w:t>]</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12</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固碳  fossil carbon</w:t>
      </w:r>
    </w:p>
    <w:p>
      <w:pPr>
        <w:tabs>
          <w:tab w:val="center" w:pos="4201"/>
          <w:tab w:val="right" w:leader="dot" w:pos="9298"/>
        </w:tabs>
        <w:ind w:firstLine="420" w:firstLineChars="200"/>
      </w:pPr>
      <w:r>
        <w:rPr>
          <w:rFonts w:hint="eastAsia"/>
        </w:rPr>
        <w:t xml:space="preserve">清除大气中的碳。 </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13</w:t>
      </w:r>
      <w:r>
        <w:rPr>
          <w:rFonts w:ascii="黑体" w:hAnsi="黑体" w:eastAsia="黑体"/>
          <w:szCs w:val="21"/>
        </w:rPr>
        <w:t xml:space="preserve">  </w:t>
      </w:r>
    </w:p>
    <w:p>
      <w:pPr>
        <w:tabs>
          <w:tab w:val="center" w:pos="4201"/>
          <w:tab w:val="right" w:leader="dot" w:pos="9298"/>
        </w:tabs>
        <w:ind w:firstLine="420" w:firstLineChars="200"/>
        <w:rPr>
          <w:rFonts w:ascii="黑体" w:hAnsi="黑体" w:eastAsia="黑体"/>
        </w:rPr>
      </w:pPr>
      <w:r>
        <w:rPr>
          <w:rFonts w:hint="eastAsia" w:ascii="黑体" w:hAnsi="黑体" w:eastAsia="黑体"/>
        </w:rPr>
        <w:t>取舍原则  cut-off criteria</w:t>
      </w:r>
    </w:p>
    <w:p>
      <w:pPr>
        <w:tabs>
          <w:tab w:val="center" w:pos="4201"/>
          <w:tab w:val="right" w:leader="dot" w:pos="9298"/>
        </w:tabs>
        <w:ind w:firstLine="420" w:firstLineChars="200"/>
      </w:pPr>
      <w:r>
        <w:rPr>
          <w:rFonts w:hint="eastAsia"/>
        </w:rPr>
        <w:t>对与单元过程或产品系统相关的物质和能量流的数量或环境影响重要性程度是否被排除在研究范围之外所做出的规定。</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24040</w:t>
      </w:r>
      <w:r>
        <w:rPr>
          <w:rFonts w:hint="eastAsia"/>
          <w:sz w:val="21"/>
          <w:szCs w:val="21"/>
        </w:rPr>
        <w:t>—</w:t>
      </w:r>
      <w:r>
        <w:rPr>
          <w:sz w:val="21"/>
          <w:szCs w:val="21"/>
        </w:rPr>
        <w:t>2008</w:t>
      </w:r>
      <w:r>
        <w:rPr>
          <w:rFonts w:hint="eastAsia"/>
          <w:sz w:val="21"/>
          <w:szCs w:val="21"/>
        </w:rPr>
        <w:t>，</w:t>
      </w:r>
      <w:r>
        <w:rPr>
          <w:sz w:val="21"/>
          <w:szCs w:val="21"/>
        </w:rPr>
        <w:t>3.18]</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14</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分配  allocation</w:t>
      </w:r>
    </w:p>
    <w:p>
      <w:pPr>
        <w:tabs>
          <w:tab w:val="center" w:pos="4201"/>
          <w:tab w:val="right" w:leader="dot" w:pos="9298"/>
        </w:tabs>
        <w:ind w:firstLine="420" w:firstLineChars="200"/>
      </w:pPr>
      <w:r>
        <w:rPr>
          <w:rFonts w:hint="eastAsia"/>
        </w:rPr>
        <w:t>将过程或产品系统中的输入和输出流划分到所研究的产品系统以及一个或更多的其他产品系统中。</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24040</w:t>
      </w:r>
      <w:r>
        <w:rPr>
          <w:rFonts w:hint="eastAsia"/>
          <w:sz w:val="21"/>
          <w:szCs w:val="21"/>
        </w:rPr>
        <w:t>—</w:t>
      </w:r>
      <w:r>
        <w:rPr>
          <w:sz w:val="21"/>
          <w:szCs w:val="21"/>
        </w:rPr>
        <w:t>2008</w:t>
      </w:r>
      <w:r>
        <w:rPr>
          <w:rFonts w:hint="eastAsia"/>
          <w:sz w:val="21"/>
          <w:szCs w:val="21"/>
        </w:rPr>
        <w:t>，</w:t>
      </w:r>
      <w:r>
        <w:rPr>
          <w:sz w:val="21"/>
          <w:szCs w:val="21"/>
        </w:rPr>
        <w:t>3.17]</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15</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二氧化碳当量  carbon dioxide equivalent</w:t>
      </w:r>
    </w:p>
    <w:p>
      <w:pPr>
        <w:tabs>
          <w:tab w:val="center" w:pos="4201"/>
          <w:tab w:val="right" w:leader="dot" w:pos="9298"/>
        </w:tabs>
        <w:ind w:firstLine="420" w:firstLineChars="200"/>
      </w:pPr>
      <w:r>
        <w:rPr>
          <w:rFonts w:hint="eastAsia"/>
        </w:rPr>
        <w:t>在辐射强度上与某种温室气体质量相当的二氧化碳的量。</w:t>
      </w:r>
    </w:p>
    <w:p>
      <w:pPr>
        <w:tabs>
          <w:tab w:val="center" w:pos="4201"/>
          <w:tab w:val="right" w:leader="dot" w:pos="9298"/>
        </w:tabs>
        <w:ind w:firstLine="360" w:firstLineChars="200"/>
        <w:rPr>
          <w:sz w:val="18"/>
          <w:szCs w:val="18"/>
        </w:rPr>
      </w:pPr>
      <w:r>
        <w:rPr>
          <w:rFonts w:hint="eastAsia" w:ascii="黑体" w:hAnsi="黑体" w:eastAsia="黑体" w:cs="黑体"/>
          <w:sz w:val="18"/>
          <w:szCs w:val="18"/>
        </w:rPr>
        <w:t>注：</w:t>
      </w:r>
      <w:r>
        <w:rPr>
          <w:rFonts w:hint="eastAsia"/>
          <w:sz w:val="18"/>
          <w:szCs w:val="18"/>
        </w:rPr>
        <w:t>二氧化碳当量等于给定气体的质量乘以其全球变暖潜势。</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32150</w:t>
      </w:r>
      <w:r>
        <w:rPr>
          <w:rFonts w:hint="eastAsia"/>
          <w:sz w:val="21"/>
          <w:szCs w:val="21"/>
        </w:rPr>
        <w:t>—</w:t>
      </w:r>
      <w:r>
        <w:rPr>
          <w:sz w:val="21"/>
          <w:szCs w:val="21"/>
        </w:rPr>
        <w:t>2015</w:t>
      </w:r>
      <w:r>
        <w:rPr>
          <w:rFonts w:hint="eastAsia"/>
          <w:sz w:val="21"/>
          <w:szCs w:val="21"/>
        </w:rPr>
        <w:t>，</w:t>
      </w:r>
      <w:r>
        <w:rPr>
          <w:sz w:val="21"/>
          <w:szCs w:val="21"/>
        </w:rPr>
        <w:t>3.16]</w:t>
      </w:r>
    </w:p>
    <w:p>
      <w:pPr>
        <w:spacing w:before="156" w:beforeLines="50" w:after="156" w:afterLines="50"/>
        <w:rPr>
          <w:rFonts w:ascii="黑体" w:hAnsi="黑体" w:eastAsia="黑体"/>
          <w:szCs w:val="21"/>
        </w:rPr>
      </w:pPr>
      <w:r>
        <w:rPr>
          <w:rFonts w:ascii="黑体" w:hAnsi="黑体" w:eastAsia="黑体"/>
          <w:szCs w:val="21"/>
        </w:rPr>
        <w:t>3.</w:t>
      </w:r>
      <w:r>
        <w:rPr>
          <w:rFonts w:hint="eastAsia" w:ascii="黑体" w:hAnsi="黑体" w:eastAsia="黑体"/>
          <w:szCs w:val="21"/>
        </w:rPr>
        <w:t>16</w:t>
      </w:r>
      <w:r>
        <w:rPr>
          <w:rFonts w:ascii="黑体" w:hAnsi="黑体" w:eastAsia="黑体"/>
          <w:szCs w:val="21"/>
        </w:rPr>
        <w:t xml:space="preserve">  </w:t>
      </w:r>
    </w:p>
    <w:p>
      <w:pPr>
        <w:tabs>
          <w:tab w:val="center" w:pos="4201"/>
          <w:tab w:val="right" w:leader="dot" w:pos="9298"/>
        </w:tabs>
        <w:ind w:firstLine="420" w:firstLineChars="200"/>
        <w:rPr>
          <w:highlight w:val="yellow"/>
        </w:rPr>
      </w:pPr>
      <w:r>
        <w:rPr>
          <w:rFonts w:hint="eastAsia" w:ascii="黑体" w:hAnsi="黑体" w:eastAsia="黑体"/>
        </w:rPr>
        <w:t>全球变暖潜势  glabal warming potential</w:t>
      </w:r>
    </w:p>
    <w:p>
      <w:pPr>
        <w:tabs>
          <w:tab w:val="center" w:pos="4201"/>
          <w:tab w:val="right" w:leader="dot" w:pos="9298"/>
        </w:tabs>
        <w:ind w:firstLine="420" w:firstLineChars="200"/>
      </w:pPr>
      <w:r>
        <w:rPr>
          <w:rFonts w:hint="eastAsia"/>
        </w:rPr>
        <w:t>将单位质量的某种温室气体在给定时间段内辐射</w:t>
      </w:r>
      <w:r>
        <w:rPr>
          <w:rFonts w:hint="eastAsia"/>
          <w:lang w:val="en-US" w:eastAsia="zh-CN"/>
        </w:rPr>
        <w:t xml:space="preserve">强度 </w:t>
      </w:r>
      <w:r>
        <w:rPr>
          <w:rFonts w:hint="eastAsia"/>
        </w:rPr>
        <w:t>的影响与等量二氧化碳辐射强度影响相关联的系数。</w:t>
      </w:r>
    </w:p>
    <w:p>
      <w:pPr>
        <w:tabs>
          <w:tab w:val="center" w:pos="4201"/>
          <w:tab w:val="right" w:leader="dot" w:pos="9298"/>
        </w:tabs>
        <w:ind w:firstLine="420" w:firstLineChars="200"/>
        <w:rPr>
          <w:sz w:val="21"/>
          <w:szCs w:val="21"/>
        </w:rPr>
      </w:pPr>
      <w:r>
        <w:rPr>
          <w:sz w:val="21"/>
          <w:szCs w:val="21"/>
        </w:rPr>
        <w:t>[</w:t>
      </w:r>
      <w:r>
        <w:rPr>
          <w:rFonts w:hint="eastAsia" w:ascii="宋体" w:hAnsi="宋体" w:eastAsia="宋体" w:cs="宋体"/>
          <w:sz w:val="21"/>
          <w:szCs w:val="21"/>
        </w:rPr>
        <w:t>来源</w:t>
      </w:r>
      <w:r>
        <w:rPr>
          <w:rFonts w:hint="eastAsia"/>
          <w:sz w:val="21"/>
          <w:szCs w:val="21"/>
        </w:rPr>
        <w:t>：</w:t>
      </w:r>
      <w:r>
        <w:rPr>
          <w:sz w:val="21"/>
          <w:szCs w:val="21"/>
        </w:rPr>
        <w:t>GB/T 32150</w:t>
      </w:r>
      <w:r>
        <w:rPr>
          <w:rFonts w:hint="eastAsia"/>
          <w:sz w:val="21"/>
          <w:szCs w:val="21"/>
        </w:rPr>
        <w:t>—</w:t>
      </w:r>
      <w:r>
        <w:rPr>
          <w:sz w:val="21"/>
          <w:szCs w:val="21"/>
        </w:rPr>
        <w:t>2015</w:t>
      </w:r>
      <w:r>
        <w:rPr>
          <w:rFonts w:hint="eastAsia"/>
          <w:sz w:val="21"/>
          <w:szCs w:val="21"/>
        </w:rPr>
        <w:t>，</w:t>
      </w:r>
      <w:r>
        <w:rPr>
          <w:sz w:val="21"/>
          <w:szCs w:val="21"/>
        </w:rPr>
        <w:t>3.15]</w:t>
      </w:r>
    </w:p>
    <w:p>
      <w:pPr>
        <w:spacing w:before="312" w:beforeLines="100" w:after="312" w:afterLines="100"/>
        <w:outlineLvl w:val="0"/>
        <w:rPr>
          <w:rFonts w:eastAsia="黑体"/>
          <w:szCs w:val="21"/>
        </w:rPr>
      </w:pPr>
      <w:r>
        <w:rPr>
          <w:rFonts w:hint="eastAsia" w:ascii="黑体" w:hAnsi="黑体" w:eastAsia="黑体"/>
          <w:szCs w:val="21"/>
        </w:rPr>
        <w:t>4</w:t>
      </w:r>
      <w:r>
        <w:rPr>
          <w:rFonts w:ascii="黑体" w:hAnsi="黑体" w:eastAsia="黑体"/>
          <w:szCs w:val="21"/>
        </w:rPr>
        <w:t xml:space="preserve"> </w:t>
      </w:r>
      <w:r>
        <w:rPr>
          <w:rFonts w:eastAsia="黑体"/>
          <w:szCs w:val="21"/>
        </w:rPr>
        <w:t xml:space="preserve"> </w:t>
      </w:r>
      <w:r>
        <w:rPr>
          <w:rFonts w:hint="eastAsia" w:eastAsia="黑体"/>
          <w:szCs w:val="21"/>
        </w:rPr>
        <w:t>缩略语</w:t>
      </w:r>
    </w:p>
    <w:p>
      <w:pPr>
        <w:tabs>
          <w:tab w:val="center" w:pos="4201"/>
          <w:tab w:val="right" w:leader="dot" w:pos="9298"/>
        </w:tabs>
        <w:ind w:firstLine="420" w:firstLineChars="200"/>
      </w:pPr>
      <w:r>
        <w:rPr>
          <w:rFonts w:hint="eastAsia"/>
        </w:rPr>
        <w:t>下列缩略语适用于本文件。</w:t>
      </w:r>
    </w:p>
    <w:p>
      <w:pPr>
        <w:tabs>
          <w:tab w:val="center" w:pos="4201"/>
          <w:tab w:val="right" w:leader="dot" w:pos="9298"/>
        </w:tabs>
        <w:ind w:firstLine="420" w:firstLineChars="200"/>
      </w:pPr>
      <w:r>
        <w:t>GHG</w:t>
      </w:r>
      <w:r>
        <w:rPr>
          <w:rFonts w:hint="eastAsia"/>
        </w:rPr>
        <w:t>——温室气体（greenhouse gas）</w:t>
      </w:r>
    </w:p>
    <w:p>
      <w:pPr>
        <w:tabs>
          <w:tab w:val="center" w:pos="4201"/>
          <w:tab w:val="right" w:leader="dot" w:pos="9298"/>
        </w:tabs>
        <w:ind w:firstLine="420" w:firstLineChars="200"/>
      </w:pPr>
      <w:r>
        <w:t>CO</w:t>
      </w:r>
      <w:r>
        <w:rPr>
          <w:vertAlign w:val="subscript"/>
        </w:rPr>
        <w:t>2</w:t>
      </w:r>
      <w:r>
        <w:t xml:space="preserve"> equivalent</w:t>
      </w:r>
      <w:r>
        <w:rPr>
          <w:rFonts w:hint="eastAsia"/>
        </w:rPr>
        <w:t>/CO</w:t>
      </w:r>
      <w:r>
        <w:rPr>
          <w:rFonts w:hint="eastAsia"/>
          <w:vertAlign w:val="subscript"/>
        </w:rPr>
        <w:t>2</w:t>
      </w:r>
      <w:r>
        <w:rPr>
          <w:rFonts w:hint="eastAsia"/>
        </w:rPr>
        <w:t>e——二氧化碳当量（carbon dioxide equivalent）</w:t>
      </w:r>
    </w:p>
    <w:p>
      <w:pPr>
        <w:spacing w:before="312" w:beforeLines="100" w:after="312" w:afterLines="100"/>
        <w:outlineLvl w:val="0"/>
        <w:rPr>
          <w:rFonts w:eastAsia="黑体"/>
          <w:szCs w:val="21"/>
        </w:rPr>
      </w:pPr>
      <w:bookmarkStart w:id="27" w:name="_Toc14747"/>
      <w:bookmarkStart w:id="28" w:name="_Toc22280"/>
      <w:bookmarkStart w:id="29" w:name="_Toc23833"/>
      <w:bookmarkStart w:id="30" w:name="_Toc1362"/>
      <w:bookmarkStart w:id="31" w:name="_Toc29255"/>
      <w:bookmarkStart w:id="32" w:name="_Toc58256485"/>
      <w:bookmarkStart w:id="33" w:name="_Toc123232749"/>
      <w:r>
        <w:rPr>
          <w:rFonts w:hint="eastAsia" w:ascii="黑体" w:hAnsi="黑体" w:eastAsia="黑体"/>
          <w:szCs w:val="21"/>
        </w:rPr>
        <w:t>5</w:t>
      </w:r>
      <w:r>
        <w:rPr>
          <w:rFonts w:ascii="黑体" w:hAnsi="黑体" w:eastAsia="黑体"/>
          <w:szCs w:val="21"/>
        </w:rPr>
        <w:t xml:space="preserve"> </w:t>
      </w:r>
      <w:r>
        <w:rPr>
          <w:rFonts w:eastAsia="黑体"/>
          <w:szCs w:val="21"/>
        </w:rPr>
        <w:t xml:space="preserve"> </w:t>
      </w:r>
      <w:bookmarkEnd w:id="27"/>
      <w:bookmarkEnd w:id="28"/>
      <w:bookmarkEnd w:id="29"/>
      <w:bookmarkEnd w:id="30"/>
      <w:bookmarkEnd w:id="31"/>
      <w:r>
        <w:rPr>
          <w:rFonts w:hint="eastAsia" w:eastAsia="黑体"/>
          <w:szCs w:val="21"/>
        </w:rPr>
        <w:t>原则</w:t>
      </w:r>
      <w:bookmarkEnd w:id="32"/>
      <w:bookmarkEnd w:id="33"/>
      <w:bookmarkStart w:id="34" w:name="_Toc21967"/>
      <w:bookmarkStart w:id="35" w:name="_Toc21999"/>
      <w:bookmarkStart w:id="36" w:name="_Toc10412"/>
      <w:bookmarkStart w:id="37" w:name="_Toc8631"/>
      <w:bookmarkStart w:id="38" w:name="_Toc24127"/>
    </w:p>
    <w:p>
      <w:pPr>
        <w:adjustRightInd w:val="0"/>
        <w:snapToGrid w:val="0"/>
        <w:ind w:firstLine="420" w:firstLineChars="200"/>
        <w:rPr>
          <w:rFonts w:ascii="宋体" w:hAnsi="宋体" w:cs="宋体"/>
        </w:rPr>
      </w:pPr>
      <w:r>
        <w:rPr>
          <w:rFonts w:hint="eastAsia" w:ascii="宋体" w:hAnsi="宋体" w:cs="宋体"/>
        </w:rPr>
        <w:t>本文件应遵循以下原则：</w:t>
      </w:r>
    </w:p>
    <w:p>
      <w:pPr>
        <w:adjustRightInd w:val="0"/>
        <w:snapToGrid w:val="0"/>
        <w:ind w:left="840" w:leftChars="200" w:hanging="420" w:hangingChars="200"/>
      </w:pPr>
      <w:r>
        <w:rPr>
          <w:rFonts w:hint="eastAsia"/>
        </w:rPr>
        <w:t>a）</w:t>
      </w:r>
      <w:r>
        <w:t>相关性：</w:t>
      </w:r>
      <w:r>
        <w:rPr>
          <w:rFonts w:hint="eastAsia"/>
        </w:rPr>
        <w:t>根据一次性卫生用品实际生产、使用和废弃处理等情况，选择适宜的功能单位、系统边界、核算方法和数据，确保真实反映产品系统边界内GHG排放和清除情况，服务于企业内部和外部采用者的决策需求</w:t>
      </w:r>
      <w:r>
        <w:t>；</w:t>
      </w:r>
    </w:p>
    <w:p>
      <w:pPr>
        <w:adjustRightInd w:val="0"/>
        <w:snapToGrid w:val="0"/>
        <w:ind w:left="840" w:leftChars="200" w:hanging="420" w:hangingChars="200"/>
      </w:pPr>
      <w:r>
        <w:t>b</w:t>
      </w:r>
      <w:r>
        <w:rPr>
          <w:rFonts w:hint="eastAsia"/>
        </w:rPr>
        <w:t>）</w:t>
      </w:r>
      <w:r>
        <w:t>完整性：</w:t>
      </w:r>
      <w:r>
        <w:rPr>
          <w:rFonts w:hint="eastAsia"/>
        </w:rPr>
        <w:t>对</w:t>
      </w:r>
      <w:r>
        <w:t>所有指定的、</w:t>
      </w:r>
      <w:r>
        <w:rPr>
          <w:rFonts w:hint="eastAsia"/>
        </w:rPr>
        <w:t>评价一次性卫生用品</w:t>
      </w:r>
      <w:r>
        <w:t>GHG排放有实质性贡献的GHG排放</w:t>
      </w:r>
      <w:r>
        <w:rPr>
          <w:rFonts w:hint="eastAsia"/>
          <w:lang w:val="en-US" w:eastAsia="zh-CN"/>
        </w:rPr>
        <w:t>量</w:t>
      </w:r>
      <w:r>
        <w:rPr>
          <w:rFonts w:hint="eastAsia"/>
        </w:rPr>
        <w:t>和清除</w:t>
      </w:r>
      <w:r>
        <w:rPr>
          <w:rFonts w:hint="eastAsia"/>
          <w:lang w:val="en-US" w:eastAsia="zh-CN"/>
        </w:rPr>
        <w:t>量</w:t>
      </w:r>
      <w:r>
        <w:rPr>
          <w:rFonts w:hint="eastAsia"/>
        </w:rPr>
        <w:t>进行全面的核算和报告</w:t>
      </w:r>
      <w:r>
        <w:t>；</w:t>
      </w:r>
    </w:p>
    <w:p>
      <w:pPr>
        <w:adjustRightInd w:val="0"/>
        <w:snapToGrid w:val="0"/>
        <w:ind w:left="840" w:leftChars="200" w:hanging="420" w:hangingChars="200"/>
      </w:pPr>
      <w:r>
        <w:t>c</w:t>
      </w:r>
      <w:r>
        <w:rPr>
          <w:rFonts w:hint="eastAsia"/>
        </w:rPr>
        <w:t>）</w:t>
      </w:r>
      <w:r>
        <w:t>一致性：</w:t>
      </w:r>
      <w:r>
        <w:rPr>
          <w:rFonts w:hint="eastAsia"/>
        </w:rPr>
        <w:t>采用统一的核算和报告方法，能对相同种类一次性卫生用品相同系统边界内的碳足迹进行有意义的比较</w:t>
      </w:r>
      <w:r>
        <w:t>；</w:t>
      </w:r>
    </w:p>
    <w:p>
      <w:pPr>
        <w:adjustRightInd w:val="0"/>
        <w:snapToGrid w:val="0"/>
        <w:ind w:left="840" w:leftChars="200" w:hanging="420" w:hangingChars="200"/>
      </w:pPr>
      <w:r>
        <w:t>d</w:t>
      </w:r>
      <w:r>
        <w:rPr>
          <w:rFonts w:hint="eastAsia"/>
        </w:rPr>
        <w:t>）</w:t>
      </w:r>
      <w:r>
        <w:t>准确性：</w:t>
      </w:r>
      <w:r>
        <w:rPr>
          <w:rFonts w:hint="eastAsia"/>
        </w:rPr>
        <w:t>准确收集一次性卫生用品碳足迹核算的活动数据，并进行准确的核算，</w:t>
      </w:r>
      <w:r>
        <w:t>尽可能地减少误差和不确定性；</w:t>
      </w:r>
    </w:p>
    <w:p>
      <w:pPr>
        <w:adjustRightInd w:val="0"/>
        <w:snapToGrid w:val="0"/>
        <w:ind w:left="840" w:leftChars="200" w:hanging="420" w:hangingChars="200"/>
        <w:rPr>
          <w:rFonts w:hint="eastAsia"/>
          <w:lang w:val="en-US" w:eastAsia="zh-CN"/>
        </w:rPr>
      </w:pPr>
      <w:r>
        <w:t>e</w:t>
      </w:r>
      <w:r>
        <w:rPr>
          <w:rFonts w:hint="eastAsia"/>
        </w:rPr>
        <w:t>）</w:t>
      </w:r>
      <w:r>
        <w:t>透明</w:t>
      </w:r>
      <w:r>
        <w:rPr>
          <w:rFonts w:hint="eastAsia"/>
        </w:rPr>
        <w:t>性</w:t>
      </w:r>
      <w:r>
        <w:t>：</w:t>
      </w:r>
      <w:r>
        <w:rPr>
          <w:rFonts w:hint="eastAsia"/>
          <w:lang w:val="en-US" w:eastAsia="zh-CN"/>
        </w:rPr>
        <w:t>以公开、全面和可理解的信息表述方式处理和记录所有相关假设、方法、数据来源、估算等问题，以使产品碳足迹研究报告如实地阐明其内容；</w:t>
      </w:r>
    </w:p>
    <w:p>
      <w:pPr>
        <w:adjustRightInd w:val="0"/>
        <w:snapToGrid w:val="0"/>
        <w:ind w:left="840" w:leftChars="200" w:hanging="420" w:hangingChars="200"/>
        <w:rPr>
          <w:rFonts w:hint="default" w:eastAsia="宋体"/>
          <w:lang w:val="en-US" w:eastAsia="zh-CN"/>
        </w:rPr>
      </w:pPr>
      <w:r>
        <w:rPr>
          <w:rFonts w:hint="eastAsia"/>
          <w:lang w:val="en-US" w:eastAsia="zh-CN"/>
        </w:rPr>
        <w:t>f</w:t>
      </w:r>
      <w:r>
        <w:rPr>
          <w:rFonts w:hint="eastAsia"/>
        </w:rPr>
        <w:t>）</w:t>
      </w:r>
      <w:r>
        <w:rPr>
          <w:rFonts w:hint="eastAsia"/>
          <w:lang w:val="en-US" w:eastAsia="zh-CN"/>
        </w:rPr>
        <w:t>避免重复计算：相同的温室气体排放量和清除量仅分配一次，以避免GHG排放量和清除量的重复计算。</w:t>
      </w:r>
    </w:p>
    <w:p>
      <w:pPr>
        <w:spacing w:before="312" w:beforeLines="100" w:after="312" w:afterLines="100"/>
        <w:outlineLvl w:val="0"/>
        <w:rPr>
          <w:rFonts w:eastAsia="黑体"/>
          <w:szCs w:val="21"/>
        </w:rPr>
      </w:pPr>
      <w:bookmarkStart w:id="39" w:name="_Toc58256486"/>
      <w:bookmarkStart w:id="40" w:name="_Toc123232750"/>
      <w:r>
        <w:rPr>
          <w:rFonts w:hint="eastAsia" w:eastAsia="黑体"/>
          <w:szCs w:val="21"/>
        </w:rPr>
        <w:t>6</w:t>
      </w:r>
      <w:r>
        <w:rPr>
          <w:rFonts w:eastAsia="黑体"/>
          <w:szCs w:val="21"/>
        </w:rPr>
        <w:t xml:space="preserve">  </w:t>
      </w:r>
      <w:r>
        <w:rPr>
          <w:rFonts w:hint="eastAsia" w:eastAsia="黑体"/>
          <w:szCs w:val="21"/>
        </w:rPr>
        <w:t>产品种类与产品描述</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6</w:t>
      </w:r>
      <w:r>
        <w:rPr>
          <w:rFonts w:ascii="黑体" w:hAnsi="黑体" w:eastAsia="黑体"/>
          <w:bCs/>
          <w:szCs w:val="21"/>
        </w:rPr>
        <w:t xml:space="preserve">.1  </w:t>
      </w:r>
      <w:r>
        <w:rPr>
          <w:rFonts w:hint="eastAsia" w:ascii="黑体" w:hAnsi="黑体" w:eastAsia="黑体"/>
          <w:bCs/>
          <w:szCs w:val="21"/>
        </w:rPr>
        <w:t>产品种类</w:t>
      </w:r>
    </w:p>
    <w:p>
      <w:pPr>
        <w:ind w:firstLine="420" w:firstLineChars="200"/>
        <w:outlineLvl w:val="0"/>
        <w:rPr>
          <w:szCs w:val="21"/>
        </w:rPr>
      </w:pPr>
      <w:r>
        <w:rPr>
          <w:rFonts w:hint="eastAsia"/>
          <w:szCs w:val="21"/>
        </w:rPr>
        <w:t>一次性卫生用品</w:t>
      </w:r>
      <w:r>
        <w:rPr>
          <w:rFonts w:hint="eastAsia"/>
          <w:szCs w:val="21"/>
          <w:lang w:val="en-US" w:eastAsia="zh-CN"/>
        </w:rPr>
        <w:t>为使用一次后即丢弃的、与人体直接或间接接触的、并为达到人体生理卫生或卫生保健（抗菌或抑菌）目的而使用的纸质日常生活用品，包括</w:t>
      </w:r>
      <w:r>
        <w:rPr>
          <w:rFonts w:hint="eastAsia"/>
          <w:szCs w:val="21"/>
        </w:rPr>
        <w:t>卫生巾（护垫）、纸尿裤（片、垫）、卫生棉条、乳垫、纸巾、湿巾等。</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6</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  </w:t>
      </w:r>
      <w:r>
        <w:rPr>
          <w:rFonts w:hint="eastAsia" w:ascii="黑体" w:hAnsi="黑体" w:eastAsia="黑体"/>
          <w:bCs/>
          <w:szCs w:val="21"/>
        </w:rPr>
        <w:t>产品描述</w:t>
      </w:r>
    </w:p>
    <w:p>
      <w:pPr>
        <w:ind w:firstLine="420" w:firstLineChars="200"/>
        <w:outlineLvl w:val="0"/>
        <w:rPr>
          <w:szCs w:val="21"/>
        </w:rPr>
      </w:pPr>
      <w:r>
        <w:rPr>
          <w:rFonts w:hint="eastAsia"/>
          <w:szCs w:val="21"/>
        </w:rPr>
        <w:t>产品描述应能明确地识别产品，包括但不限于以下内容：</w:t>
      </w:r>
    </w:p>
    <w:p>
      <w:pPr>
        <w:numPr>
          <w:ilvl w:val="0"/>
          <w:numId w:val="18"/>
        </w:numPr>
        <w:tabs>
          <w:tab w:val="center" w:pos="4201"/>
          <w:tab w:val="right" w:leader="dot" w:pos="9298"/>
        </w:tabs>
        <w:ind w:firstLine="420" w:firstLineChars="200"/>
        <w:rPr>
          <w:szCs w:val="21"/>
        </w:rPr>
      </w:pPr>
      <w:r>
        <w:rPr>
          <w:rFonts w:hint="eastAsia"/>
          <w:szCs w:val="21"/>
        </w:rPr>
        <w:t>产品（系统）范围：明确产品名称、型号、功能、功能单位和生产工艺流程及工艺参数等；</w:t>
      </w:r>
    </w:p>
    <w:p>
      <w:pPr>
        <w:numPr>
          <w:ilvl w:val="0"/>
          <w:numId w:val="18"/>
        </w:numPr>
        <w:tabs>
          <w:tab w:val="center" w:pos="4201"/>
          <w:tab w:val="right" w:leader="dot" w:pos="9298"/>
        </w:tabs>
        <w:ind w:firstLine="420" w:firstLineChars="200"/>
        <w:rPr>
          <w:szCs w:val="21"/>
        </w:rPr>
      </w:pPr>
      <w:r>
        <w:rPr>
          <w:rFonts w:hint="eastAsia"/>
          <w:szCs w:val="21"/>
        </w:rPr>
        <w:t>时间范围：选择核算碳足迹有代表性的时间段，覆盖一次性卫生用品的全生命周期；</w:t>
      </w:r>
    </w:p>
    <w:p>
      <w:pPr>
        <w:numPr>
          <w:ilvl w:val="0"/>
          <w:numId w:val="18"/>
        </w:numPr>
        <w:tabs>
          <w:tab w:val="center" w:pos="4201"/>
          <w:tab w:val="right" w:leader="dot" w:pos="9298"/>
        </w:tabs>
        <w:ind w:firstLine="420" w:firstLineChars="200"/>
        <w:rPr>
          <w:szCs w:val="21"/>
        </w:rPr>
      </w:pPr>
      <w:r>
        <w:rPr>
          <w:rFonts w:hint="eastAsia"/>
          <w:szCs w:val="21"/>
        </w:rPr>
        <w:t>GHG范围：一次性卫生用品生命周期内GHG排放评价的气体为CO</w:t>
      </w:r>
      <w:r>
        <w:rPr>
          <w:rFonts w:hint="eastAsia"/>
          <w:szCs w:val="21"/>
          <w:vertAlign w:val="subscript"/>
        </w:rPr>
        <w:t>2</w:t>
      </w:r>
      <w:r>
        <w:rPr>
          <w:rFonts w:hint="eastAsia"/>
          <w:szCs w:val="21"/>
        </w:rPr>
        <w:t>、CH</w:t>
      </w:r>
      <w:r>
        <w:rPr>
          <w:rFonts w:hint="eastAsia"/>
          <w:szCs w:val="21"/>
          <w:vertAlign w:val="subscript"/>
        </w:rPr>
        <w:t>4</w:t>
      </w:r>
      <w:r>
        <w:rPr>
          <w:rFonts w:hint="eastAsia"/>
          <w:szCs w:val="21"/>
        </w:rPr>
        <w:t>和N</w:t>
      </w:r>
      <w:r>
        <w:rPr>
          <w:rFonts w:hint="eastAsia"/>
          <w:szCs w:val="21"/>
          <w:vertAlign w:val="subscript"/>
        </w:rPr>
        <w:t>2</w:t>
      </w:r>
      <w:r>
        <w:rPr>
          <w:rFonts w:hint="eastAsia"/>
          <w:szCs w:val="21"/>
        </w:rPr>
        <w:t>O。</w:t>
      </w:r>
    </w:p>
    <w:p>
      <w:pPr>
        <w:spacing w:before="312" w:beforeLines="100" w:after="312" w:afterLines="100"/>
        <w:outlineLvl w:val="0"/>
        <w:rPr>
          <w:rFonts w:eastAsia="黑体"/>
          <w:szCs w:val="21"/>
        </w:rPr>
      </w:pPr>
      <w:r>
        <w:rPr>
          <w:rFonts w:hint="eastAsia" w:ascii="黑体" w:hAnsi="黑体" w:eastAsia="黑体" w:cs="黑体"/>
          <w:szCs w:val="21"/>
        </w:rPr>
        <w:t xml:space="preserve">7 </w:t>
      </w:r>
      <w:r>
        <w:rPr>
          <w:rFonts w:eastAsia="黑体"/>
          <w:szCs w:val="21"/>
        </w:rPr>
        <w:t xml:space="preserve"> </w:t>
      </w:r>
      <w:bookmarkEnd w:id="34"/>
      <w:bookmarkEnd w:id="35"/>
      <w:bookmarkEnd w:id="36"/>
      <w:bookmarkEnd w:id="37"/>
      <w:bookmarkEnd w:id="38"/>
      <w:bookmarkEnd w:id="39"/>
      <w:bookmarkEnd w:id="40"/>
      <w:r>
        <w:rPr>
          <w:rFonts w:hint="eastAsia" w:eastAsia="黑体"/>
          <w:szCs w:val="21"/>
        </w:rPr>
        <w:t>目的和范围</w:t>
      </w:r>
    </w:p>
    <w:p>
      <w:pPr>
        <w:keepNext/>
        <w:keepLines/>
        <w:spacing w:before="156" w:beforeLines="50" w:after="156" w:afterLines="50"/>
        <w:outlineLvl w:val="1"/>
        <w:rPr>
          <w:rFonts w:ascii="黑体" w:hAnsi="黑体" w:eastAsia="黑体"/>
          <w:bCs/>
          <w:szCs w:val="21"/>
        </w:rPr>
      </w:pPr>
      <w:bookmarkStart w:id="41" w:name="_Toc123232751"/>
      <w:bookmarkStart w:id="42" w:name="_Toc58256487"/>
      <w:r>
        <w:rPr>
          <w:rFonts w:hint="eastAsia" w:ascii="黑体" w:hAnsi="黑体" w:eastAsia="黑体"/>
          <w:bCs/>
          <w:szCs w:val="21"/>
        </w:rPr>
        <w:t>7</w:t>
      </w:r>
      <w:r>
        <w:rPr>
          <w:rFonts w:ascii="黑体" w:hAnsi="黑体" w:eastAsia="黑体"/>
          <w:bCs/>
          <w:szCs w:val="21"/>
        </w:rPr>
        <w:t xml:space="preserve">.1  </w:t>
      </w:r>
      <w:bookmarkEnd w:id="41"/>
      <w:bookmarkEnd w:id="42"/>
      <w:r>
        <w:rPr>
          <w:rFonts w:hint="eastAsia" w:ascii="黑体" w:hAnsi="黑体" w:eastAsia="黑体"/>
          <w:bCs/>
          <w:szCs w:val="21"/>
        </w:rPr>
        <w:t>目的</w:t>
      </w:r>
    </w:p>
    <w:p>
      <w:pPr>
        <w:tabs>
          <w:tab w:val="center" w:pos="4201"/>
          <w:tab w:val="right" w:leader="dot" w:pos="9298"/>
        </w:tabs>
        <w:ind w:firstLine="420" w:firstLineChars="200"/>
        <w:rPr>
          <w:szCs w:val="21"/>
        </w:rPr>
      </w:pPr>
      <w:r>
        <w:rPr>
          <w:rFonts w:hint="eastAsia"/>
          <w:szCs w:val="21"/>
        </w:rPr>
        <w:t>本文件基于生命周期评价方法，通过量化一次性卫生用品生命周期或</w:t>
      </w:r>
      <w:r>
        <w:rPr>
          <w:rFonts w:hint="eastAsia"/>
          <w:szCs w:val="21"/>
          <w:lang w:val="en-US" w:eastAsia="zh-CN"/>
        </w:rPr>
        <w:t>选定过程的所有显著的</w:t>
      </w:r>
      <w:r>
        <w:rPr>
          <w:rFonts w:hint="eastAsia"/>
          <w:szCs w:val="21"/>
        </w:rPr>
        <w:t>GHG排放</w:t>
      </w:r>
      <w:r>
        <w:rPr>
          <w:rFonts w:hint="eastAsia"/>
          <w:szCs w:val="21"/>
          <w:lang w:val="en-US" w:eastAsia="zh-CN"/>
        </w:rPr>
        <w:t>量</w:t>
      </w:r>
      <w:r>
        <w:rPr>
          <w:rFonts w:hint="eastAsia"/>
          <w:szCs w:val="21"/>
        </w:rPr>
        <w:t>和清除</w:t>
      </w:r>
      <w:r>
        <w:rPr>
          <w:rFonts w:hint="eastAsia"/>
          <w:szCs w:val="21"/>
          <w:lang w:val="en-US" w:eastAsia="zh-CN"/>
        </w:rPr>
        <w:t>量</w:t>
      </w:r>
      <w:r>
        <w:rPr>
          <w:rFonts w:hint="eastAsia"/>
          <w:szCs w:val="21"/>
        </w:rPr>
        <w:t>，</w:t>
      </w:r>
      <w:r>
        <w:rPr>
          <w:rFonts w:hint="eastAsia"/>
          <w:szCs w:val="21"/>
          <w:lang w:val="en-US" w:eastAsia="zh-CN"/>
        </w:rPr>
        <w:t>计算一次性卫生用品</w:t>
      </w:r>
      <w:r>
        <w:rPr>
          <w:rFonts w:hint="eastAsia"/>
          <w:szCs w:val="21"/>
        </w:rPr>
        <w:t>对全球</w:t>
      </w:r>
      <w:r>
        <w:rPr>
          <w:rFonts w:hint="eastAsia"/>
          <w:szCs w:val="21"/>
          <w:lang w:val="en-US" w:eastAsia="zh-CN"/>
        </w:rPr>
        <w:t>变暖</w:t>
      </w:r>
      <w:r>
        <w:rPr>
          <w:rFonts w:hint="eastAsia"/>
          <w:szCs w:val="21"/>
        </w:rPr>
        <w:t>的潜在影响</w:t>
      </w:r>
      <w:r>
        <w:rPr>
          <w:rFonts w:hint="eastAsia"/>
          <w:szCs w:val="21"/>
          <w:lang w:eastAsia="zh-CN"/>
        </w:rPr>
        <w:t>，</w:t>
      </w:r>
      <w:r>
        <w:rPr>
          <w:rFonts w:hint="eastAsia"/>
          <w:szCs w:val="21"/>
          <w:lang w:val="en-US" w:eastAsia="zh-CN"/>
        </w:rPr>
        <w:t>以及在不同阶段、不同过程、不同空间位置的影响构成（以二氧化碳当量表示）</w:t>
      </w:r>
      <w:r>
        <w:rPr>
          <w:rFonts w:hint="eastAsia"/>
          <w:szCs w:val="21"/>
        </w:rPr>
        <w:t>。其目的包括但不限于以下方面：</w:t>
      </w:r>
    </w:p>
    <w:p>
      <w:pPr>
        <w:numPr>
          <w:ilvl w:val="0"/>
          <w:numId w:val="19"/>
        </w:numPr>
        <w:tabs>
          <w:tab w:val="center" w:pos="4201"/>
          <w:tab w:val="right" w:leader="dot" w:pos="9298"/>
        </w:tabs>
        <w:ind w:left="840" w:leftChars="200" w:hanging="420" w:hangingChars="200"/>
        <w:rPr>
          <w:szCs w:val="21"/>
        </w:rPr>
      </w:pPr>
      <w:r>
        <w:rPr>
          <w:rFonts w:hint="eastAsia"/>
          <w:szCs w:val="21"/>
        </w:rPr>
        <w:t>比较不同的原料、工艺、设备等对一次性卫生用品碳足迹的影响，进而优化原料、工艺、设备等；</w:t>
      </w:r>
    </w:p>
    <w:p>
      <w:pPr>
        <w:numPr>
          <w:ilvl w:val="0"/>
          <w:numId w:val="19"/>
        </w:numPr>
        <w:tabs>
          <w:tab w:val="center" w:pos="4201"/>
          <w:tab w:val="right" w:leader="dot" w:pos="9298"/>
        </w:tabs>
        <w:ind w:left="840" w:leftChars="200" w:hanging="420" w:hangingChars="200"/>
        <w:rPr>
          <w:szCs w:val="21"/>
        </w:rPr>
      </w:pPr>
      <w:r>
        <w:rPr>
          <w:rFonts w:hint="eastAsia"/>
          <w:szCs w:val="21"/>
        </w:rPr>
        <w:t>企业内部通报，如不同的子公司均采用具有一致性的方式向企业层面报告，以评价碳绩效；</w:t>
      </w:r>
    </w:p>
    <w:p>
      <w:pPr>
        <w:numPr>
          <w:ilvl w:val="0"/>
          <w:numId w:val="19"/>
        </w:numPr>
        <w:tabs>
          <w:tab w:val="center" w:pos="4201"/>
          <w:tab w:val="right" w:leader="dot" w:pos="9298"/>
        </w:tabs>
        <w:ind w:left="840" w:leftChars="200" w:hanging="420" w:hangingChars="200"/>
        <w:rPr>
          <w:szCs w:val="21"/>
        </w:rPr>
      </w:pPr>
      <w:r>
        <w:rPr>
          <w:rFonts w:hint="eastAsia"/>
          <w:szCs w:val="21"/>
        </w:rPr>
        <w:t>企业对外通报，如向商业客户或消费者通报有关产品碳足迹的信息，增强客户对企业的信心，增强企业的社会责任感。</w:t>
      </w:r>
    </w:p>
    <w:p>
      <w:pPr>
        <w:numPr>
          <w:ilvl w:val="0"/>
          <w:numId w:val="0"/>
        </w:numPr>
        <w:tabs>
          <w:tab w:val="center" w:pos="4201"/>
          <w:tab w:val="right" w:leader="dot" w:pos="9298"/>
        </w:tabs>
        <w:ind w:left="420" w:leftChars="0"/>
        <w:rPr>
          <w:rFonts w:hint="eastAsia"/>
          <w:szCs w:val="21"/>
          <w:lang w:val="en-US" w:eastAsia="zh-CN"/>
        </w:rPr>
      </w:pPr>
      <w:r>
        <w:rPr>
          <w:rFonts w:hint="eastAsia"/>
          <w:szCs w:val="21"/>
          <w:lang w:val="en-US" w:eastAsia="zh-CN"/>
        </w:rPr>
        <w:t>在确定产品碳足迹研究目的时，应明确说明以下问题：</w:t>
      </w:r>
    </w:p>
    <w:p>
      <w:pPr>
        <w:numPr>
          <w:ilvl w:val="0"/>
          <w:numId w:val="20"/>
        </w:numPr>
        <w:tabs>
          <w:tab w:val="center" w:pos="4201"/>
          <w:tab w:val="right" w:leader="dot" w:pos="9298"/>
        </w:tabs>
        <w:ind w:left="420" w:leftChars="0"/>
        <w:rPr>
          <w:rFonts w:hint="eastAsia"/>
          <w:szCs w:val="21"/>
          <w:lang w:val="en-US" w:eastAsia="zh-CN"/>
        </w:rPr>
      </w:pPr>
      <w:r>
        <w:rPr>
          <w:rFonts w:hint="eastAsia"/>
          <w:szCs w:val="21"/>
          <w:lang w:val="en-US" w:eastAsia="zh-CN"/>
        </w:rPr>
        <w:t>应用意图；</w:t>
      </w:r>
    </w:p>
    <w:p>
      <w:pPr>
        <w:numPr>
          <w:ilvl w:val="0"/>
          <w:numId w:val="20"/>
        </w:numPr>
        <w:tabs>
          <w:tab w:val="center" w:pos="4201"/>
          <w:tab w:val="right" w:leader="dot" w:pos="9298"/>
        </w:tabs>
        <w:ind w:left="420" w:leftChars="0"/>
        <w:rPr>
          <w:rFonts w:hint="default"/>
          <w:szCs w:val="21"/>
          <w:lang w:val="en-US" w:eastAsia="zh-CN"/>
        </w:rPr>
      </w:pPr>
      <w:r>
        <w:rPr>
          <w:rFonts w:hint="eastAsia"/>
          <w:szCs w:val="21"/>
          <w:lang w:val="en-US" w:eastAsia="zh-CN"/>
        </w:rPr>
        <w:t>开展该项研究的理由；</w:t>
      </w:r>
    </w:p>
    <w:p>
      <w:pPr>
        <w:numPr>
          <w:ilvl w:val="0"/>
          <w:numId w:val="20"/>
        </w:numPr>
        <w:tabs>
          <w:tab w:val="center" w:pos="4201"/>
          <w:tab w:val="right" w:leader="dot" w:pos="9298"/>
        </w:tabs>
        <w:ind w:left="420" w:leftChars="0"/>
        <w:rPr>
          <w:rFonts w:hint="default"/>
          <w:szCs w:val="21"/>
          <w:lang w:val="en-US" w:eastAsia="zh-CN"/>
        </w:rPr>
      </w:pPr>
      <w:r>
        <w:rPr>
          <w:rFonts w:hint="eastAsia"/>
          <w:szCs w:val="21"/>
          <w:lang w:val="en-US" w:eastAsia="zh-CN"/>
        </w:rPr>
        <w:t>目标受众（即研究结果的接收者）；</w:t>
      </w:r>
    </w:p>
    <w:p>
      <w:pPr>
        <w:numPr>
          <w:ilvl w:val="0"/>
          <w:numId w:val="20"/>
        </w:numPr>
        <w:tabs>
          <w:tab w:val="center" w:pos="4201"/>
          <w:tab w:val="right" w:leader="dot" w:pos="9298"/>
        </w:tabs>
        <w:ind w:left="420" w:leftChars="0"/>
        <w:rPr>
          <w:rFonts w:hint="default"/>
          <w:szCs w:val="21"/>
          <w:lang w:val="en-US" w:eastAsia="zh-CN"/>
        </w:rPr>
      </w:pPr>
      <w:r>
        <w:rPr>
          <w:rFonts w:hint="eastAsia"/>
          <w:szCs w:val="21"/>
          <w:lang w:val="en-US" w:eastAsia="zh-CN"/>
        </w:rPr>
        <w:t>根据</w:t>
      </w:r>
      <w:r>
        <w:rPr>
          <w:rFonts w:hint="eastAsia"/>
          <w:color w:val="auto"/>
          <w:szCs w:val="21"/>
          <w:lang w:val="en-US" w:eastAsia="zh-CN"/>
        </w:rPr>
        <w:t>ISO 14026:2017的</w:t>
      </w:r>
      <w:r>
        <w:rPr>
          <w:rFonts w:hint="eastAsia"/>
          <w:szCs w:val="21"/>
          <w:lang w:val="en-US" w:eastAsia="zh-CN"/>
        </w:rPr>
        <w:t>预期信息交流（若有）。</w:t>
      </w:r>
    </w:p>
    <w:p>
      <w:pPr>
        <w:keepNext/>
        <w:keepLines/>
        <w:spacing w:before="156" w:beforeLines="50" w:after="156" w:afterLines="50"/>
        <w:outlineLvl w:val="1"/>
        <w:rPr>
          <w:rFonts w:eastAsia="黑体"/>
          <w:bCs/>
          <w:szCs w:val="21"/>
        </w:rPr>
      </w:pPr>
      <w:bookmarkStart w:id="43" w:name="_Toc123232759"/>
      <w:bookmarkStart w:id="44" w:name="_Toc58256488"/>
      <w:r>
        <w:rPr>
          <w:rFonts w:hint="eastAsia" w:ascii="黑体" w:hAnsi="黑体" w:eastAsia="黑体"/>
          <w:bCs/>
          <w:szCs w:val="21"/>
        </w:rPr>
        <w:t>7</w:t>
      </w:r>
      <w:r>
        <w:rPr>
          <w:rFonts w:ascii="黑体" w:hAnsi="黑体" w:eastAsia="黑体"/>
          <w:bCs/>
          <w:szCs w:val="21"/>
        </w:rPr>
        <w:t xml:space="preserve">.2 </w:t>
      </w:r>
      <w:r>
        <w:rPr>
          <w:rFonts w:eastAsia="黑体"/>
          <w:bCs/>
          <w:szCs w:val="21"/>
        </w:rPr>
        <w:t xml:space="preserve"> </w:t>
      </w:r>
      <w:bookmarkEnd w:id="43"/>
      <w:bookmarkEnd w:id="44"/>
      <w:r>
        <w:rPr>
          <w:rFonts w:hint="eastAsia" w:eastAsia="黑体"/>
          <w:bCs/>
          <w:szCs w:val="21"/>
        </w:rPr>
        <w:t>范围</w:t>
      </w:r>
    </w:p>
    <w:p>
      <w:pPr>
        <w:keepNext/>
        <w:keepLines/>
        <w:spacing w:before="156" w:beforeLines="50" w:after="156" w:afterLines="50"/>
        <w:outlineLvl w:val="1"/>
        <w:rPr>
          <w:rFonts w:eastAsia="黑体"/>
          <w:bCs/>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1  </w:t>
      </w:r>
      <w:r>
        <w:rPr>
          <w:rFonts w:hint="eastAsia" w:ascii="黑体" w:hAnsi="黑体" w:eastAsia="黑体"/>
          <w:bCs/>
          <w:szCs w:val="21"/>
        </w:rPr>
        <w:t>功能单位</w:t>
      </w:r>
    </w:p>
    <w:p>
      <w:pPr>
        <w:tabs>
          <w:tab w:val="center" w:pos="4201"/>
          <w:tab w:val="right" w:leader="dot" w:pos="9298"/>
        </w:tabs>
        <w:ind w:firstLine="420" w:firstLineChars="200"/>
        <w:rPr>
          <w:szCs w:val="21"/>
        </w:rPr>
      </w:pPr>
      <w:bookmarkStart w:id="45" w:name="_Hlk57796093"/>
      <w:r>
        <w:rPr>
          <w:rFonts w:hint="eastAsia"/>
          <w:szCs w:val="21"/>
        </w:rPr>
        <w:t>可根据一次性卫生用品种类和碳足迹核算目的，选择合适的功能单位，如</w:t>
      </w:r>
      <w:r>
        <w:rPr>
          <w:rFonts w:hint="eastAsia"/>
          <w:szCs w:val="21"/>
          <w:lang w:val="en-US" w:eastAsia="zh-CN"/>
        </w:rPr>
        <w:t>1 t、</w:t>
      </w:r>
      <w:r>
        <w:rPr>
          <w:rFonts w:hint="eastAsia"/>
          <w:szCs w:val="21"/>
        </w:rPr>
        <w:t>1</w:t>
      </w:r>
      <w:r>
        <w:rPr>
          <w:rFonts w:hint="eastAsia"/>
          <w:szCs w:val="21"/>
          <w:lang w:val="en-US" w:eastAsia="zh-CN"/>
        </w:rPr>
        <w:t xml:space="preserve"> kg</w:t>
      </w:r>
      <w:r>
        <w:rPr>
          <w:rFonts w:hint="eastAsia"/>
          <w:szCs w:val="21"/>
        </w:rPr>
        <w:t>、1片等。</w:t>
      </w:r>
    </w:p>
    <w:p>
      <w:pPr>
        <w:keepNext/>
        <w:keepLines/>
        <w:spacing w:before="156" w:beforeLines="50" w:after="156" w:afterLines="50"/>
        <w:outlineLvl w:val="1"/>
        <w:rPr>
          <w:rFonts w:eastAsia="黑体"/>
          <w:bCs/>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2.2</w:t>
      </w:r>
      <w:r>
        <w:rPr>
          <w:rFonts w:ascii="黑体" w:hAnsi="黑体" w:eastAsia="黑体"/>
          <w:bCs/>
          <w:szCs w:val="21"/>
        </w:rPr>
        <w:t xml:space="preserve">  </w:t>
      </w:r>
      <w:r>
        <w:rPr>
          <w:rFonts w:hint="eastAsia" w:ascii="黑体" w:hAnsi="黑体" w:eastAsia="黑体"/>
          <w:bCs/>
          <w:szCs w:val="21"/>
        </w:rPr>
        <w:t>系统边界</w:t>
      </w:r>
    </w:p>
    <w:p>
      <w:pPr>
        <w:keepNext/>
        <w:keepLines/>
        <w:spacing w:before="156" w:beforeLines="50" w:after="156" w:afterLines="50"/>
        <w:outlineLvl w:val="1"/>
        <w:rPr>
          <w:rFonts w:eastAsia="黑体"/>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2.2.1</w:t>
      </w:r>
      <w:r>
        <w:rPr>
          <w:rFonts w:ascii="黑体" w:hAnsi="黑体" w:eastAsia="黑体"/>
          <w:bCs/>
          <w:szCs w:val="21"/>
        </w:rPr>
        <w:t xml:space="preserve">  </w:t>
      </w:r>
      <w:r>
        <w:rPr>
          <w:rFonts w:hint="eastAsia" w:ascii="黑体" w:hAnsi="黑体" w:eastAsia="黑体"/>
          <w:bCs/>
          <w:szCs w:val="21"/>
        </w:rPr>
        <w:t>通则</w:t>
      </w:r>
    </w:p>
    <w:p>
      <w:pPr>
        <w:tabs>
          <w:tab w:val="center" w:pos="4201"/>
          <w:tab w:val="right" w:leader="dot" w:pos="9298"/>
        </w:tabs>
        <w:ind w:firstLine="420" w:firstLineChars="200"/>
        <w:rPr>
          <w:szCs w:val="21"/>
        </w:rPr>
      </w:pPr>
      <w:r>
        <w:rPr>
          <w:rFonts w:hint="eastAsia"/>
          <w:szCs w:val="21"/>
        </w:rPr>
        <w:t>一次性卫生用品系统边界根据此类产品全生命周期的特点，将系统边界分为上游单元、核心单元和下游单元三个部分（见图1）。在进行碳足迹核算时，可根据产品在产品链中的位置及评价的目的适当调整上游单元、核心单元和下游单元，并确定产品的系统边界。</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w:t>
      </w:r>
      <w:r>
        <w:rPr>
          <w:rFonts w:hint="eastAsia"/>
          <w:sz w:val="18"/>
          <w:szCs w:val="18"/>
        </w:rPr>
        <w:t>：基于设定的目标，选择进行碳足迹核算的产品可能是企业生产的所有产品或某一种产品、产品的某一种规格型号、甚至是产品生产的某一过程产品。</w:t>
      </w:r>
    </w:p>
    <w:bookmarkEnd w:id="45"/>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2.2.2</w:t>
      </w:r>
      <w:r>
        <w:rPr>
          <w:rFonts w:ascii="黑体" w:hAnsi="黑体" w:eastAsia="黑体"/>
          <w:bCs/>
          <w:szCs w:val="21"/>
        </w:rPr>
        <w:t xml:space="preserve">  </w:t>
      </w:r>
      <w:r>
        <w:rPr>
          <w:rFonts w:hint="eastAsia" w:ascii="黑体" w:hAnsi="黑体" w:eastAsia="黑体"/>
          <w:bCs/>
          <w:szCs w:val="21"/>
        </w:rPr>
        <w:t>上游单元</w:t>
      </w:r>
    </w:p>
    <w:p>
      <w:pPr>
        <w:tabs>
          <w:tab w:val="center" w:pos="4201"/>
          <w:tab w:val="right" w:leader="dot" w:pos="9298"/>
        </w:tabs>
        <w:ind w:firstLine="420" w:firstLineChars="200"/>
        <w:rPr>
          <w:szCs w:val="21"/>
        </w:rPr>
      </w:pPr>
      <w:r>
        <w:rPr>
          <w:rFonts w:hint="eastAsia"/>
          <w:szCs w:val="21"/>
        </w:rPr>
        <w:t>上游单元包括但不限于以下过程，但并不是一次性卫生用品包括所有过程：</w:t>
      </w:r>
    </w:p>
    <w:p>
      <w:pPr>
        <w:tabs>
          <w:tab w:val="center" w:pos="4201"/>
          <w:tab w:val="right" w:leader="dot" w:pos="9298"/>
        </w:tabs>
        <w:ind w:left="840" w:leftChars="200" w:hanging="420" w:hangingChars="200"/>
        <w:rPr>
          <w:szCs w:val="21"/>
        </w:rPr>
      </w:pPr>
      <w:r>
        <w:rPr>
          <w:rFonts w:hint="eastAsia"/>
          <w:szCs w:val="21"/>
        </w:rPr>
        <w:t>a</w:t>
      </w:r>
      <w:r>
        <w:rPr>
          <w:rFonts w:hint="eastAsia"/>
        </w:rPr>
        <w:t>）</w:t>
      </w:r>
      <w:r>
        <w:rPr>
          <w:rFonts w:hint="eastAsia"/>
          <w:szCs w:val="21"/>
        </w:rPr>
        <w:t>林业或农业的种植</w:t>
      </w:r>
      <w:r>
        <w:rPr>
          <w:rFonts w:hint="eastAsia"/>
          <w:szCs w:val="21"/>
          <w:lang w:eastAsia="zh-CN"/>
        </w:rPr>
        <w:t>：</w:t>
      </w:r>
      <w:r>
        <w:rPr>
          <w:rFonts w:hint="eastAsia"/>
          <w:szCs w:val="21"/>
        </w:rPr>
        <w:t>包括种苗的生产、种植（采伐后清理作业、整地、栽种、清理和施肥）、伐木或收割、场内运输和新的种苗生产；</w:t>
      </w:r>
    </w:p>
    <w:p>
      <w:pPr>
        <w:tabs>
          <w:tab w:val="center" w:pos="4201"/>
          <w:tab w:val="right" w:leader="dot" w:pos="9298"/>
        </w:tabs>
        <w:ind w:left="840" w:leftChars="200" w:hanging="420" w:hangingChars="200"/>
        <w:rPr>
          <w:szCs w:val="21"/>
        </w:rPr>
      </w:pPr>
      <w:r>
        <w:rPr>
          <w:rFonts w:hint="eastAsia"/>
        </w:rPr>
        <w:t>b）</w:t>
      </w:r>
      <w:r>
        <w:rPr>
          <w:rFonts w:hint="eastAsia"/>
          <w:szCs w:val="21"/>
        </w:rPr>
        <w:t>石油化工基础原料的采集加工，包括原油的开采、运输、加工等；</w:t>
      </w:r>
    </w:p>
    <w:p>
      <w:pPr>
        <w:tabs>
          <w:tab w:val="center" w:pos="4201"/>
          <w:tab w:val="right" w:leader="dot" w:pos="9298"/>
        </w:tabs>
        <w:ind w:left="840" w:leftChars="200" w:hanging="420" w:hangingChars="200"/>
        <w:rPr>
          <w:szCs w:val="21"/>
        </w:rPr>
      </w:pPr>
      <w:r>
        <w:rPr>
          <w:rFonts w:hint="eastAsia"/>
        </w:rPr>
        <w:t>c）</w:t>
      </w:r>
      <w:r>
        <w:rPr>
          <w:rFonts w:hint="eastAsia"/>
          <w:szCs w:val="21"/>
        </w:rPr>
        <w:t>原辅材料的生产（如纸浆、棉纤维及其他纤维、高吸收性树脂、非织造布、膜、化纤、胶黏剂、弹性体等）；</w:t>
      </w:r>
    </w:p>
    <w:p>
      <w:pPr>
        <w:tabs>
          <w:tab w:val="center" w:pos="4201"/>
          <w:tab w:val="right" w:leader="dot" w:pos="9298"/>
        </w:tabs>
        <w:ind w:left="840" w:leftChars="200" w:hanging="420" w:hangingChars="200"/>
        <w:rPr>
          <w:szCs w:val="21"/>
        </w:rPr>
      </w:pPr>
      <w:r>
        <w:rPr>
          <w:rFonts w:hint="eastAsia"/>
        </w:rPr>
        <w:t>d）</w:t>
      </w:r>
      <w:r>
        <w:rPr>
          <w:rFonts w:hint="eastAsia"/>
          <w:szCs w:val="21"/>
        </w:rPr>
        <w:t>一次性卫生用品包装材料的生产及后加工；</w:t>
      </w:r>
    </w:p>
    <w:p>
      <w:pPr>
        <w:tabs>
          <w:tab w:val="center" w:pos="4201"/>
          <w:tab w:val="right" w:leader="dot" w:pos="9298"/>
        </w:tabs>
        <w:ind w:left="840" w:leftChars="200" w:hanging="420" w:hangingChars="200"/>
        <w:rPr>
          <w:szCs w:val="21"/>
        </w:rPr>
      </w:pPr>
      <w:r>
        <w:rPr>
          <w:rFonts w:hint="eastAsia"/>
        </w:rPr>
        <w:t>e）为一次性卫生用品生产过程中使用的辅助化学品的生产过程；</w:t>
      </w:r>
    </w:p>
    <w:p>
      <w:pPr>
        <w:tabs>
          <w:tab w:val="center" w:pos="4201"/>
          <w:tab w:val="right" w:leader="dot" w:pos="9298"/>
        </w:tabs>
        <w:ind w:left="840" w:leftChars="200" w:hanging="420" w:hangingChars="200"/>
        <w:rPr>
          <w:szCs w:val="21"/>
        </w:rPr>
      </w:pPr>
      <w:r>
        <w:rPr>
          <w:rFonts w:hint="eastAsia"/>
        </w:rPr>
        <w:t>f）</w:t>
      </w:r>
      <w:r>
        <w:rPr>
          <w:rFonts w:hint="eastAsia"/>
          <w:szCs w:val="21"/>
        </w:rPr>
        <w:t>上游单元所用能源的生产；</w:t>
      </w:r>
    </w:p>
    <w:p>
      <w:pPr>
        <w:tabs>
          <w:tab w:val="center" w:pos="4201"/>
          <w:tab w:val="right" w:leader="dot" w:pos="9298"/>
        </w:tabs>
        <w:ind w:left="840" w:leftChars="200" w:hanging="420" w:hangingChars="200"/>
        <w:rPr>
          <w:szCs w:val="21"/>
        </w:rPr>
      </w:pPr>
      <w:r>
        <w:rPr>
          <w:rFonts w:hint="eastAsia"/>
        </w:rPr>
        <w:t>g）</w:t>
      </w:r>
      <w:r>
        <w:rPr>
          <w:rFonts w:hint="eastAsia"/>
          <w:szCs w:val="21"/>
        </w:rPr>
        <w:t>生产过程中产生废气、废水、固体废弃物的处理；</w:t>
      </w:r>
    </w:p>
    <w:p>
      <w:pPr>
        <w:tabs>
          <w:tab w:val="center" w:pos="4201"/>
          <w:tab w:val="right" w:leader="dot" w:pos="9298"/>
        </w:tabs>
        <w:ind w:left="840" w:leftChars="200" w:hanging="420" w:hangingChars="200"/>
        <w:rPr>
          <w:szCs w:val="21"/>
        </w:rPr>
      </w:pPr>
      <w:r>
        <w:rPr>
          <w:rFonts w:hint="eastAsia"/>
        </w:rPr>
        <w:t>h）</w:t>
      </w:r>
      <w:r>
        <w:rPr>
          <w:rFonts w:hint="eastAsia"/>
          <w:szCs w:val="21"/>
        </w:rPr>
        <w:t>由上游单元至核心单元的运输，包括圆木的运输。</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2.2.3</w:t>
      </w:r>
      <w:r>
        <w:rPr>
          <w:rFonts w:ascii="黑体" w:hAnsi="黑体" w:eastAsia="黑体"/>
          <w:bCs/>
          <w:szCs w:val="21"/>
        </w:rPr>
        <w:t xml:space="preserve">  </w:t>
      </w:r>
      <w:r>
        <w:rPr>
          <w:rFonts w:hint="eastAsia" w:ascii="黑体" w:hAnsi="黑体" w:eastAsia="黑体"/>
          <w:bCs/>
          <w:szCs w:val="21"/>
        </w:rPr>
        <w:t>核心单元</w:t>
      </w:r>
    </w:p>
    <w:p>
      <w:pPr>
        <w:tabs>
          <w:tab w:val="center" w:pos="4201"/>
          <w:tab w:val="right" w:leader="dot" w:pos="9298"/>
        </w:tabs>
        <w:ind w:firstLine="420" w:firstLineChars="200"/>
        <w:rPr>
          <w:szCs w:val="21"/>
        </w:rPr>
      </w:pPr>
      <w:r>
        <w:rPr>
          <w:rFonts w:hint="eastAsia"/>
          <w:szCs w:val="21"/>
        </w:rPr>
        <w:t>核心单元包括但不限于以下过程，但并不是一次性卫生用品包括所有过程：</w:t>
      </w:r>
    </w:p>
    <w:p>
      <w:pPr>
        <w:tabs>
          <w:tab w:val="center" w:pos="4201"/>
          <w:tab w:val="right" w:leader="dot" w:pos="9298"/>
        </w:tabs>
        <w:ind w:firstLine="420" w:firstLineChars="200"/>
        <w:rPr>
          <w:szCs w:val="21"/>
        </w:rPr>
      </w:pPr>
      <w:r>
        <w:rPr>
          <w:rFonts w:hint="eastAsia"/>
          <w:szCs w:val="21"/>
        </w:rPr>
        <w:t>a</w:t>
      </w:r>
      <w:r>
        <w:rPr>
          <w:rFonts w:hint="eastAsia"/>
        </w:rPr>
        <w:t>）</w:t>
      </w:r>
      <w:r>
        <w:rPr>
          <w:rFonts w:hint="eastAsia"/>
          <w:szCs w:val="21"/>
        </w:rPr>
        <w:t>一次性卫生用品的生产；</w:t>
      </w:r>
    </w:p>
    <w:p>
      <w:pPr>
        <w:tabs>
          <w:tab w:val="center" w:pos="4201"/>
          <w:tab w:val="right" w:leader="dot" w:pos="9298"/>
        </w:tabs>
        <w:ind w:firstLine="420" w:firstLineChars="200"/>
        <w:rPr>
          <w:szCs w:val="21"/>
        </w:rPr>
      </w:pPr>
      <w:r>
        <w:rPr>
          <w:rFonts w:hint="eastAsia"/>
          <w:szCs w:val="21"/>
        </w:rPr>
        <w:t>b</w:t>
      </w:r>
      <w:r>
        <w:rPr>
          <w:rFonts w:hint="eastAsia"/>
        </w:rPr>
        <w:t>）</w:t>
      </w:r>
      <w:r>
        <w:rPr>
          <w:rFonts w:hint="eastAsia"/>
          <w:szCs w:val="21"/>
        </w:rPr>
        <w:t>核心单元所用能源的生产；</w:t>
      </w:r>
    </w:p>
    <w:p>
      <w:pPr>
        <w:tabs>
          <w:tab w:val="center" w:pos="4201"/>
          <w:tab w:val="right" w:leader="dot" w:pos="9298"/>
        </w:tabs>
        <w:ind w:firstLine="420" w:firstLineChars="200"/>
        <w:rPr>
          <w:szCs w:val="21"/>
        </w:rPr>
      </w:pPr>
      <w:r>
        <w:rPr>
          <w:rFonts w:hint="eastAsia"/>
          <w:szCs w:val="21"/>
        </w:rPr>
        <w:t>c</w:t>
      </w:r>
      <w:r>
        <w:rPr>
          <w:rFonts w:hint="eastAsia"/>
        </w:rPr>
        <w:t>）</w:t>
      </w:r>
      <w:r>
        <w:rPr>
          <w:rFonts w:hint="eastAsia"/>
          <w:szCs w:val="21"/>
        </w:rPr>
        <w:t>生产过程中产生废气、废水、固体废弃物的处理；</w:t>
      </w:r>
    </w:p>
    <w:p>
      <w:pPr>
        <w:tabs>
          <w:tab w:val="center" w:pos="4201"/>
          <w:tab w:val="right" w:leader="dot" w:pos="9298"/>
        </w:tabs>
        <w:ind w:firstLine="420" w:firstLineChars="200"/>
        <w:rPr>
          <w:szCs w:val="21"/>
        </w:rPr>
      </w:pPr>
      <w:r>
        <w:rPr>
          <w:rFonts w:hint="eastAsia"/>
          <w:szCs w:val="21"/>
        </w:rPr>
        <w:t>d</w:t>
      </w:r>
      <w:r>
        <w:rPr>
          <w:rFonts w:hint="eastAsia"/>
        </w:rPr>
        <w:t>）</w:t>
      </w:r>
      <w:r>
        <w:rPr>
          <w:rFonts w:hint="eastAsia"/>
          <w:szCs w:val="21"/>
        </w:rPr>
        <w:t>产品至下游加工厂、分销商或物流中心的运输。</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7</w:t>
      </w:r>
      <w:r>
        <w:rPr>
          <w:rFonts w:ascii="黑体" w:hAnsi="黑体" w:eastAsia="黑体"/>
          <w:bCs/>
          <w:szCs w:val="21"/>
        </w:rPr>
        <w:t>.</w:t>
      </w:r>
      <w:r>
        <w:rPr>
          <w:rFonts w:hint="eastAsia" w:ascii="黑体" w:hAnsi="黑体" w:eastAsia="黑体"/>
          <w:bCs/>
          <w:szCs w:val="21"/>
        </w:rPr>
        <w:t>2.2.4</w:t>
      </w:r>
      <w:r>
        <w:rPr>
          <w:rFonts w:ascii="黑体" w:hAnsi="黑体" w:eastAsia="黑体"/>
          <w:bCs/>
          <w:szCs w:val="21"/>
        </w:rPr>
        <w:t xml:space="preserve">  </w:t>
      </w:r>
      <w:r>
        <w:rPr>
          <w:rFonts w:hint="eastAsia" w:ascii="黑体" w:hAnsi="黑体" w:eastAsia="黑体"/>
          <w:bCs/>
          <w:szCs w:val="21"/>
        </w:rPr>
        <w:t>下游单元</w:t>
      </w:r>
    </w:p>
    <w:p>
      <w:pPr>
        <w:tabs>
          <w:tab w:val="center" w:pos="4201"/>
          <w:tab w:val="right" w:leader="dot" w:pos="9298"/>
        </w:tabs>
        <w:ind w:firstLine="420" w:firstLineChars="200"/>
        <w:rPr>
          <w:szCs w:val="21"/>
        </w:rPr>
      </w:pPr>
      <w:r>
        <w:rPr>
          <w:rFonts w:hint="eastAsia"/>
          <w:szCs w:val="21"/>
        </w:rPr>
        <w:t>下游单元包括以下过程：</w:t>
      </w:r>
    </w:p>
    <w:p>
      <w:pPr>
        <w:tabs>
          <w:tab w:val="center" w:pos="4201"/>
          <w:tab w:val="right" w:leader="dot" w:pos="9298"/>
        </w:tabs>
        <w:ind w:firstLine="420" w:firstLineChars="200"/>
        <w:rPr>
          <w:szCs w:val="21"/>
        </w:rPr>
      </w:pPr>
      <w:r>
        <w:rPr>
          <w:rFonts w:hint="eastAsia"/>
          <w:szCs w:val="21"/>
        </w:rPr>
        <w:t>a</w:t>
      </w:r>
      <w:r>
        <w:rPr>
          <w:rFonts w:hint="eastAsia"/>
        </w:rPr>
        <w:t>）</w:t>
      </w:r>
      <w:r>
        <w:rPr>
          <w:rFonts w:hint="eastAsia"/>
          <w:szCs w:val="21"/>
        </w:rPr>
        <w:t>从最终制造至普通客户（例如零售商）或分销点的运输；</w:t>
      </w:r>
    </w:p>
    <w:p>
      <w:pPr>
        <w:tabs>
          <w:tab w:val="center" w:pos="4201"/>
          <w:tab w:val="right" w:leader="dot" w:pos="9298"/>
        </w:tabs>
        <w:ind w:firstLine="420" w:firstLineChars="200"/>
        <w:rPr>
          <w:szCs w:val="21"/>
        </w:rPr>
      </w:pPr>
      <w:r>
        <w:rPr>
          <w:rFonts w:hint="eastAsia"/>
          <w:szCs w:val="21"/>
        </w:rPr>
        <w:t>b</w:t>
      </w:r>
      <w:r>
        <w:rPr>
          <w:rFonts w:hint="eastAsia"/>
        </w:rPr>
        <w:t>）</w:t>
      </w:r>
      <w:r>
        <w:rPr>
          <w:rFonts w:hint="eastAsia"/>
          <w:szCs w:val="21"/>
        </w:rPr>
        <w:t>包括包装在内的使用完的产品的废弃处理。</w:t>
      </w:r>
    </w:p>
    <w:p>
      <w:pPr>
        <w:widowControl/>
        <w:tabs>
          <w:tab w:val="center" w:pos="4201"/>
          <w:tab w:val="right" w:leader="dot" w:pos="9298"/>
        </w:tabs>
        <w:autoSpaceDE w:val="0"/>
        <w:autoSpaceDN w:val="0"/>
        <w:jc w:val="center"/>
        <w:rPr>
          <w:rFonts w:ascii="宋体"/>
          <w:kern w:val="0"/>
          <w:szCs w:val="20"/>
        </w:rPr>
      </w:pPr>
      <w:r>
        <w:drawing>
          <wp:inline distT="0" distB="0" distL="114300" distR="114300">
            <wp:extent cx="5937250" cy="2763520"/>
            <wp:effectExtent l="0" t="0" r="635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937250" cy="2763520"/>
                    </a:xfrm>
                    <a:prstGeom prst="rect">
                      <a:avLst/>
                    </a:prstGeom>
                    <a:noFill/>
                    <a:ln>
                      <a:noFill/>
                    </a:ln>
                  </pic:spPr>
                </pic:pic>
              </a:graphicData>
            </a:graphic>
          </wp:inline>
        </w:drawing>
      </w:r>
    </w:p>
    <w:p>
      <w:pPr>
        <w:pStyle w:val="86"/>
        <w:ind w:firstLine="3045" w:firstLineChars="1450"/>
        <w:rPr>
          <w:rFonts w:hint="eastAsia" w:ascii="黑体" w:eastAsia="黑体"/>
          <w:lang w:val="en-US" w:eastAsia="zh-CN"/>
        </w:rPr>
      </w:pPr>
      <w:r>
        <w:rPr>
          <w:rFonts w:hint="eastAsia" w:ascii="黑体" w:eastAsia="黑体" w:cs="黑体"/>
        </w:rPr>
        <w:t>图</w:t>
      </w:r>
      <w:r>
        <w:rPr>
          <w:rFonts w:ascii="黑体" w:eastAsia="黑体" w:cs="黑体"/>
        </w:rPr>
        <w:t xml:space="preserve">1  </w:t>
      </w:r>
      <w:r>
        <w:rPr>
          <w:rFonts w:hint="eastAsia" w:ascii="黑体" w:eastAsia="黑体" w:cs="黑体"/>
        </w:rPr>
        <w:t>一次性卫生用品系统边界</w:t>
      </w:r>
      <w:r>
        <w:rPr>
          <w:rFonts w:hint="eastAsia" w:ascii="黑体" w:eastAsia="黑体" w:cs="黑体"/>
          <w:lang w:val="en-US" w:eastAsia="zh-CN"/>
        </w:rPr>
        <w:t>示意图</w:t>
      </w:r>
    </w:p>
    <w:p>
      <w:pPr>
        <w:spacing w:before="312" w:beforeLines="100" w:after="312" w:afterLines="100"/>
        <w:outlineLvl w:val="0"/>
        <w:rPr>
          <w:rFonts w:hint="eastAsia" w:ascii="黑体" w:hAnsi="黑体" w:eastAsia="黑体" w:cs="黑体"/>
          <w:szCs w:val="21"/>
        </w:rPr>
      </w:pPr>
      <w:r>
        <w:rPr>
          <w:rFonts w:hint="eastAsia" w:ascii="黑体" w:hAnsi="黑体" w:eastAsia="黑体" w:cs="黑体"/>
          <w:szCs w:val="21"/>
        </w:rPr>
        <w:t>8  数据收集与处理</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 xml:space="preserve">.1  </w:t>
      </w:r>
      <w:r>
        <w:rPr>
          <w:rFonts w:hint="eastAsia" w:ascii="黑体" w:hAnsi="黑体" w:eastAsia="黑体"/>
          <w:bCs/>
          <w:szCs w:val="21"/>
        </w:rPr>
        <w:t>数据收集</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w:t>
      </w:r>
      <w:r>
        <w:rPr>
          <w:rFonts w:hint="eastAsia" w:ascii="黑体" w:hAnsi="黑体" w:eastAsia="黑体"/>
          <w:bCs/>
          <w:szCs w:val="21"/>
        </w:rPr>
        <w:t>1</w:t>
      </w:r>
      <w:r>
        <w:rPr>
          <w:rFonts w:ascii="黑体" w:hAnsi="黑体" w:eastAsia="黑体"/>
          <w:bCs/>
          <w:szCs w:val="21"/>
        </w:rPr>
        <w:t>.</w:t>
      </w:r>
      <w:r>
        <w:rPr>
          <w:rFonts w:hint="eastAsia" w:ascii="黑体" w:hAnsi="黑体" w:eastAsia="黑体"/>
          <w:bCs/>
          <w:szCs w:val="21"/>
        </w:rPr>
        <w:t>1</w:t>
      </w:r>
      <w:r>
        <w:rPr>
          <w:rFonts w:ascii="黑体" w:hAnsi="黑体" w:eastAsia="黑体"/>
          <w:bCs/>
          <w:szCs w:val="21"/>
        </w:rPr>
        <w:t xml:space="preserve">  </w:t>
      </w:r>
      <w:r>
        <w:rPr>
          <w:rFonts w:hint="eastAsia" w:ascii="黑体" w:hAnsi="黑体" w:eastAsia="黑体"/>
          <w:bCs/>
          <w:szCs w:val="21"/>
        </w:rPr>
        <w:t>数据描述</w:t>
      </w:r>
    </w:p>
    <w:p>
      <w:pPr>
        <w:tabs>
          <w:tab w:val="center" w:pos="4201"/>
          <w:tab w:val="right" w:leader="dot" w:pos="9298"/>
        </w:tabs>
        <w:ind w:firstLine="420" w:firstLineChars="200"/>
        <w:rPr>
          <w:szCs w:val="21"/>
        </w:rPr>
      </w:pPr>
      <w:r>
        <w:rPr>
          <w:rFonts w:hint="eastAsia"/>
          <w:szCs w:val="21"/>
        </w:rPr>
        <w:t>计算碳足迹需要两类数据：活动数据和排放因子</w:t>
      </w:r>
      <w:r>
        <w:rPr>
          <w:rFonts w:hint="eastAsia"/>
          <w:szCs w:val="21"/>
          <w:lang w:eastAsia="zh-CN"/>
        </w:rPr>
        <w:t>，</w:t>
      </w:r>
      <w:r>
        <w:rPr>
          <w:rFonts w:hint="eastAsia"/>
          <w:szCs w:val="21"/>
          <w:lang w:val="en-US" w:eastAsia="zh-CN"/>
        </w:rPr>
        <w:t>其</w:t>
      </w:r>
      <w:r>
        <w:rPr>
          <w:rFonts w:hint="eastAsia"/>
          <w:szCs w:val="21"/>
        </w:rPr>
        <w:t>可来自初级数据或次级数据</w:t>
      </w:r>
      <w:r>
        <w:rPr>
          <w:rFonts w:hint="eastAsia"/>
          <w:szCs w:val="21"/>
          <w:lang w:eastAsia="zh-CN"/>
        </w:rPr>
        <w:t>。</w:t>
      </w:r>
      <w:r>
        <w:rPr>
          <w:rFonts w:hint="eastAsia"/>
          <w:szCs w:val="21"/>
        </w:rPr>
        <w:t>初级数据包含直接排放的数据或从特定场地获取的数据，也可包含产品相应进程中的数据分配值。一般情况下，应尽可能使用初级数据。</w:t>
      </w:r>
    </w:p>
    <w:p>
      <w:pPr>
        <w:tabs>
          <w:tab w:val="center" w:pos="4201"/>
          <w:tab w:val="right" w:leader="dot" w:pos="9298"/>
        </w:tabs>
        <w:ind w:firstLine="420" w:firstLineChars="200"/>
        <w:rPr>
          <w:szCs w:val="21"/>
        </w:rPr>
      </w:pPr>
      <w:r>
        <w:rPr>
          <w:rFonts w:hint="eastAsia"/>
          <w:szCs w:val="21"/>
        </w:rPr>
        <w:t>凡无法获得初级数据或初级数据质量有问题时，有必要使用直接测量以外其他来源的次级数据。次级数据的来源包括但不限于以下方面：</w:t>
      </w:r>
    </w:p>
    <w:p>
      <w:pPr>
        <w:tabs>
          <w:tab w:val="center" w:pos="4201"/>
          <w:tab w:val="right" w:leader="dot" w:pos="9298"/>
        </w:tabs>
        <w:ind w:left="840" w:leftChars="200" w:hanging="420" w:hangingChars="200"/>
        <w:rPr>
          <w:szCs w:val="21"/>
        </w:rPr>
      </w:pPr>
      <w:r>
        <w:rPr>
          <w:rFonts w:hint="eastAsia"/>
          <w:szCs w:val="21"/>
        </w:rPr>
        <w:t>a）使用经同行评审过出版物中的数据，以及其他合格来源（如国家政府、联合国正式出版物和由联合国支持机构的出版物）的数据；</w:t>
      </w:r>
    </w:p>
    <w:p>
      <w:pPr>
        <w:tabs>
          <w:tab w:val="center" w:pos="4201"/>
          <w:tab w:val="right" w:leader="dot" w:pos="9298"/>
        </w:tabs>
        <w:ind w:left="840" w:leftChars="200" w:hanging="420" w:hangingChars="200"/>
        <w:rPr>
          <w:rFonts w:hint="eastAsia"/>
          <w:szCs w:val="21"/>
        </w:rPr>
      </w:pPr>
      <w:r>
        <w:rPr>
          <w:rFonts w:hint="eastAsia"/>
          <w:szCs w:val="21"/>
        </w:rPr>
        <w:t>b）多行业生命周期数据库，既有商业的，也有公开提供的；</w:t>
      </w:r>
    </w:p>
    <w:p>
      <w:pPr>
        <w:tabs>
          <w:tab w:val="center" w:pos="4201"/>
          <w:tab w:val="right" w:leader="dot" w:pos="9298"/>
        </w:tabs>
        <w:ind w:left="840" w:leftChars="200" w:hanging="420" w:hangingChars="200"/>
        <w:rPr>
          <w:rFonts w:hint="default" w:eastAsia="宋体"/>
          <w:szCs w:val="21"/>
          <w:lang w:val="en-US" w:eastAsia="zh-CN"/>
        </w:rPr>
      </w:pPr>
      <w:r>
        <w:rPr>
          <w:rFonts w:hint="eastAsia"/>
          <w:szCs w:val="21"/>
          <w:lang w:val="en-US" w:eastAsia="zh-CN"/>
        </w:rPr>
        <w:t>c</w:t>
      </w:r>
      <w:r>
        <w:rPr>
          <w:rFonts w:hint="eastAsia"/>
          <w:szCs w:val="21"/>
          <w:lang w:eastAsia="zh-CN"/>
        </w:rPr>
        <w:t>）</w:t>
      </w:r>
      <w:r>
        <w:rPr>
          <w:rFonts w:hint="eastAsia"/>
          <w:szCs w:val="21"/>
          <w:lang w:val="en-US" w:eastAsia="zh-CN"/>
        </w:rPr>
        <w:t>行业数据库；</w:t>
      </w:r>
    </w:p>
    <w:p>
      <w:pPr>
        <w:tabs>
          <w:tab w:val="center" w:pos="4201"/>
          <w:tab w:val="right" w:leader="dot" w:pos="9298"/>
        </w:tabs>
        <w:ind w:left="840" w:leftChars="200" w:hanging="420" w:hangingChars="200"/>
        <w:rPr>
          <w:szCs w:val="21"/>
        </w:rPr>
      </w:pPr>
      <w:r>
        <w:rPr>
          <w:rFonts w:hint="eastAsia"/>
          <w:szCs w:val="21"/>
          <w:lang w:val="en-US" w:eastAsia="zh-CN"/>
        </w:rPr>
        <w:t>d</w:t>
      </w:r>
      <w:r>
        <w:rPr>
          <w:rFonts w:hint="eastAsia"/>
          <w:szCs w:val="21"/>
        </w:rPr>
        <w:t>）国家数据来源，例如政府机构。</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w:t>
      </w:r>
      <w:r>
        <w:rPr>
          <w:rFonts w:hint="eastAsia" w:ascii="黑体" w:hAnsi="黑体" w:eastAsia="黑体"/>
          <w:bCs/>
          <w:szCs w:val="21"/>
        </w:rPr>
        <w:t>1</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  </w:t>
      </w:r>
      <w:r>
        <w:rPr>
          <w:rFonts w:hint="eastAsia" w:ascii="黑体" w:hAnsi="黑体" w:eastAsia="黑体"/>
          <w:bCs/>
          <w:szCs w:val="21"/>
        </w:rPr>
        <w:t>数据质量要求</w:t>
      </w:r>
    </w:p>
    <w:p>
      <w:pPr>
        <w:tabs>
          <w:tab w:val="center" w:pos="4201"/>
          <w:tab w:val="right" w:leader="dot" w:pos="9298"/>
        </w:tabs>
        <w:ind w:firstLine="420" w:firstLineChars="200"/>
        <w:rPr>
          <w:szCs w:val="21"/>
        </w:rPr>
      </w:pPr>
      <w:r>
        <w:rPr>
          <w:rFonts w:hint="eastAsia"/>
          <w:szCs w:val="21"/>
        </w:rPr>
        <w:t>在收集数据时应优先考虑以下要求：</w:t>
      </w:r>
    </w:p>
    <w:p>
      <w:pPr>
        <w:tabs>
          <w:tab w:val="center" w:pos="4201"/>
          <w:tab w:val="right" w:leader="dot" w:pos="9298"/>
        </w:tabs>
        <w:ind w:left="840" w:leftChars="200" w:hanging="420" w:hangingChars="200"/>
        <w:rPr>
          <w:szCs w:val="21"/>
        </w:rPr>
      </w:pPr>
      <w:r>
        <w:rPr>
          <w:rFonts w:hint="eastAsia"/>
          <w:szCs w:val="21"/>
        </w:rPr>
        <w:t>a）覆盖范围：收集包括该产品系统边界内的所有GHG排放；</w:t>
      </w:r>
    </w:p>
    <w:p>
      <w:pPr>
        <w:tabs>
          <w:tab w:val="center" w:pos="4201"/>
          <w:tab w:val="right" w:leader="dot" w:pos="9298"/>
        </w:tabs>
        <w:ind w:left="840" w:leftChars="200" w:hanging="420" w:hangingChars="200"/>
        <w:rPr>
          <w:rFonts w:hint="eastAsia" w:eastAsia="宋体"/>
          <w:szCs w:val="21"/>
          <w:lang w:eastAsia="zh-CN"/>
        </w:rPr>
      </w:pPr>
      <w:r>
        <w:rPr>
          <w:rFonts w:hint="eastAsia"/>
          <w:szCs w:val="21"/>
        </w:rPr>
        <w:t>b）时间代表性：数据能代表声明报告期的活动水平，一般收集声明报告期上一年的活动数据；最短期限不少于1年，最长不超</w:t>
      </w:r>
      <w:r>
        <w:rPr>
          <w:rFonts w:hint="eastAsia"/>
          <w:color w:val="auto"/>
          <w:szCs w:val="21"/>
        </w:rPr>
        <w:t>过</w:t>
      </w:r>
      <w:r>
        <w:rPr>
          <w:rFonts w:hint="eastAsia"/>
          <w:color w:val="auto"/>
          <w:szCs w:val="21"/>
          <w:lang w:val="en-US" w:eastAsia="zh-CN"/>
        </w:rPr>
        <w:t>3</w:t>
      </w:r>
      <w:r>
        <w:rPr>
          <w:rFonts w:hint="eastAsia"/>
          <w:color w:val="auto"/>
          <w:szCs w:val="21"/>
        </w:rPr>
        <w:t>年。</w:t>
      </w:r>
      <w:r>
        <w:rPr>
          <w:rFonts w:hint="eastAsia"/>
          <w:color w:val="auto"/>
          <w:szCs w:val="21"/>
          <w:lang w:val="en-US" w:eastAsia="zh-CN"/>
        </w:rPr>
        <w:t>森林的碳存储时间期限可适当延长。</w:t>
      </w:r>
      <w:r>
        <w:rPr>
          <w:rFonts w:hint="eastAsia"/>
          <w:color w:val="auto"/>
          <w:szCs w:val="21"/>
        </w:rPr>
        <w:t>若</w:t>
      </w:r>
      <w:r>
        <w:rPr>
          <w:rFonts w:hint="eastAsia"/>
          <w:szCs w:val="21"/>
        </w:rPr>
        <w:t>数据不在此时间期限内，应给出充分的数据合理性说明</w:t>
      </w:r>
      <w:r>
        <w:rPr>
          <w:rFonts w:hint="eastAsia"/>
          <w:szCs w:val="21"/>
          <w:lang w:eastAsia="zh-CN"/>
        </w:rPr>
        <w:t>；</w:t>
      </w:r>
    </w:p>
    <w:p>
      <w:pPr>
        <w:tabs>
          <w:tab w:val="center" w:pos="4201"/>
          <w:tab w:val="right" w:leader="dot" w:pos="9298"/>
        </w:tabs>
        <w:ind w:left="840" w:leftChars="200" w:hanging="420" w:hangingChars="200"/>
        <w:rPr>
          <w:szCs w:val="21"/>
        </w:rPr>
      </w:pPr>
      <w:r>
        <w:rPr>
          <w:rFonts w:hint="eastAsia"/>
          <w:szCs w:val="21"/>
        </w:rPr>
        <w:t>c）地域代表性：收集数据所在的地理区域，以及针对具有地理特性的产品的具体数据；</w:t>
      </w:r>
    </w:p>
    <w:p>
      <w:pPr>
        <w:tabs>
          <w:tab w:val="center" w:pos="4201"/>
          <w:tab w:val="right" w:leader="dot" w:pos="9298"/>
        </w:tabs>
        <w:ind w:left="840" w:leftChars="200" w:hanging="420" w:hangingChars="200"/>
        <w:rPr>
          <w:rFonts w:hint="eastAsia"/>
          <w:szCs w:val="21"/>
          <w:lang w:eastAsia="zh-CN"/>
        </w:rPr>
      </w:pPr>
      <w:r>
        <w:rPr>
          <w:rFonts w:hint="eastAsia"/>
          <w:szCs w:val="21"/>
        </w:rPr>
        <w:t>d）技术代表性：采用与产品生命周期内所用的技术具有一致性的数据</w:t>
      </w:r>
      <w:r>
        <w:rPr>
          <w:rFonts w:hint="eastAsia"/>
          <w:szCs w:val="21"/>
          <w:lang w:eastAsia="zh-CN"/>
        </w:rPr>
        <w:t>；</w:t>
      </w:r>
    </w:p>
    <w:p>
      <w:pPr>
        <w:tabs>
          <w:tab w:val="center" w:pos="4201"/>
          <w:tab w:val="right" w:leader="dot" w:pos="9298"/>
        </w:tabs>
        <w:ind w:left="840" w:leftChars="200" w:hanging="420" w:hangingChars="200"/>
        <w:rPr>
          <w:rFonts w:hint="default"/>
          <w:szCs w:val="21"/>
          <w:lang w:val="en-US" w:eastAsia="zh-CN"/>
        </w:rPr>
      </w:pPr>
      <w:r>
        <w:rPr>
          <w:rFonts w:hint="eastAsia"/>
          <w:szCs w:val="21"/>
          <w:lang w:val="en-US" w:eastAsia="zh-CN"/>
        </w:rPr>
        <w:t>e</w:t>
      </w:r>
      <w:r>
        <w:rPr>
          <w:rFonts w:hint="eastAsia"/>
          <w:szCs w:val="21"/>
          <w:lang w:eastAsia="zh-CN"/>
        </w:rPr>
        <w:t>）</w:t>
      </w:r>
      <w:r>
        <w:rPr>
          <w:rFonts w:hint="eastAsia"/>
          <w:szCs w:val="21"/>
          <w:lang w:val="en-US" w:eastAsia="zh-CN"/>
        </w:rPr>
        <w:t>可重现性：对其他独立从业人员采用同一方法学和数值信息重现相同研究结果的定性评价。</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.1</w:t>
      </w:r>
      <w:r>
        <w:rPr>
          <w:rFonts w:hint="eastAsia" w:ascii="黑体" w:hAnsi="黑体" w:eastAsia="黑体"/>
          <w:bCs/>
          <w:szCs w:val="21"/>
        </w:rPr>
        <w:t>.3</w:t>
      </w:r>
      <w:r>
        <w:rPr>
          <w:rFonts w:ascii="黑体" w:hAnsi="黑体" w:eastAsia="黑体"/>
          <w:bCs/>
          <w:szCs w:val="21"/>
        </w:rPr>
        <w:t xml:space="preserve">  </w:t>
      </w:r>
      <w:r>
        <w:rPr>
          <w:rFonts w:hint="eastAsia" w:ascii="黑体" w:hAnsi="黑体" w:eastAsia="黑体"/>
          <w:bCs/>
          <w:szCs w:val="21"/>
        </w:rPr>
        <w:t>上游单元制造阶段活动数据</w:t>
      </w:r>
    </w:p>
    <w:p>
      <w:pPr>
        <w:tabs>
          <w:tab w:val="center" w:pos="4201"/>
          <w:tab w:val="right" w:leader="dot" w:pos="9298"/>
        </w:tabs>
        <w:ind w:firstLine="420" w:firstLineChars="200"/>
        <w:rPr>
          <w:szCs w:val="21"/>
        </w:rPr>
      </w:pPr>
      <w:r>
        <w:rPr>
          <w:rFonts w:hint="eastAsia"/>
          <w:szCs w:val="21"/>
        </w:rPr>
        <w:t>上游单元制造阶段应收集</w:t>
      </w:r>
      <w:r>
        <w:rPr>
          <w:rFonts w:hint="eastAsia"/>
          <w:szCs w:val="21"/>
          <w:lang w:val="en-US" w:eastAsia="zh-CN"/>
        </w:rPr>
        <w:t>包括但不限于</w:t>
      </w:r>
      <w:r>
        <w:rPr>
          <w:rFonts w:hint="eastAsia"/>
          <w:szCs w:val="21"/>
        </w:rPr>
        <w:t>以下过程相关的活动数据：</w:t>
      </w:r>
    </w:p>
    <w:p>
      <w:pPr>
        <w:tabs>
          <w:tab w:val="center" w:pos="4201"/>
          <w:tab w:val="right" w:leader="dot" w:pos="9298"/>
        </w:tabs>
        <w:ind w:firstLine="420" w:firstLineChars="200"/>
        <w:rPr>
          <w:szCs w:val="21"/>
        </w:rPr>
      </w:pPr>
      <w:r>
        <w:rPr>
          <w:rFonts w:hint="eastAsia"/>
          <w:szCs w:val="21"/>
        </w:rPr>
        <w:t>a</w:t>
      </w:r>
      <w:r>
        <w:rPr>
          <w:rFonts w:hint="eastAsia"/>
        </w:rPr>
        <w:t>）GHG清除，包括但不限于森林</w:t>
      </w:r>
      <w:r>
        <w:rPr>
          <w:rFonts w:hint="eastAsia"/>
          <w:lang w:val="en-US" w:eastAsia="zh-CN"/>
        </w:rPr>
        <w:t>碳存储</w:t>
      </w:r>
      <w:r>
        <w:rPr>
          <w:rFonts w:hint="eastAsia"/>
        </w:rPr>
        <w:t>量；</w:t>
      </w:r>
    </w:p>
    <w:p>
      <w:pPr>
        <w:tabs>
          <w:tab w:val="center" w:pos="4201"/>
          <w:tab w:val="right" w:leader="dot" w:pos="9298"/>
        </w:tabs>
        <w:ind w:firstLine="420" w:firstLineChars="200"/>
        <w:rPr>
          <w:szCs w:val="21"/>
        </w:rPr>
      </w:pPr>
      <w:r>
        <w:rPr>
          <w:rFonts w:hint="eastAsia"/>
        </w:rPr>
        <w:t>b）</w:t>
      </w:r>
      <w:r>
        <w:rPr>
          <w:rFonts w:hint="eastAsia"/>
          <w:szCs w:val="21"/>
        </w:rPr>
        <w:t>森林种植砍伐过程中的GHG排放；</w:t>
      </w:r>
    </w:p>
    <w:p>
      <w:pPr>
        <w:tabs>
          <w:tab w:val="center" w:pos="4201"/>
          <w:tab w:val="right" w:leader="dot" w:pos="9298"/>
        </w:tabs>
        <w:ind w:firstLine="420" w:firstLineChars="200"/>
        <w:rPr>
          <w:szCs w:val="21"/>
        </w:rPr>
      </w:pPr>
      <w:r>
        <w:rPr>
          <w:rFonts w:hint="eastAsia"/>
        </w:rPr>
        <w:t>c）</w:t>
      </w:r>
      <w:r>
        <w:rPr>
          <w:rFonts w:hint="eastAsia"/>
          <w:szCs w:val="21"/>
        </w:rPr>
        <w:t>原辅材料（如纸浆、高吸收性树脂、非织造布等）制造过程的GHG排放；</w:t>
      </w:r>
    </w:p>
    <w:p>
      <w:pPr>
        <w:tabs>
          <w:tab w:val="center" w:pos="4201"/>
          <w:tab w:val="right" w:leader="dot" w:pos="9298"/>
        </w:tabs>
        <w:ind w:firstLine="420" w:firstLineChars="200"/>
        <w:rPr>
          <w:szCs w:val="21"/>
        </w:rPr>
      </w:pPr>
      <w:r>
        <w:rPr>
          <w:rFonts w:hint="eastAsia"/>
        </w:rPr>
        <w:t>d）化学品生产过程的</w:t>
      </w:r>
      <w:r>
        <w:rPr>
          <w:rFonts w:hint="eastAsia"/>
          <w:szCs w:val="21"/>
        </w:rPr>
        <w:t>GHG排放；</w:t>
      </w:r>
    </w:p>
    <w:p>
      <w:pPr>
        <w:tabs>
          <w:tab w:val="center" w:pos="4201"/>
          <w:tab w:val="right" w:leader="dot" w:pos="9298"/>
        </w:tabs>
        <w:ind w:firstLine="420" w:firstLineChars="200"/>
        <w:rPr>
          <w:szCs w:val="21"/>
        </w:rPr>
      </w:pPr>
      <w:r>
        <w:rPr>
          <w:rFonts w:hint="eastAsia"/>
        </w:rPr>
        <w:t>e）</w:t>
      </w:r>
      <w:r>
        <w:rPr>
          <w:rFonts w:hint="eastAsia"/>
          <w:szCs w:val="21"/>
        </w:rPr>
        <w:t>能源生产过程的GHG排放；</w:t>
      </w:r>
    </w:p>
    <w:p>
      <w:pPr>
        <w:tabs>
          <w:tab w:val="center" w:pos="4201"/>
          <w:tab w:val="right" w:leader="dot" w:pos="9298"/>
        </w:tabs>
        <w:ind w:firstLine="420" w:firstLineChars="200"/>
        <w:rPr>
          <w:szCs w:val="21"/>
        </w:rPr>
      </w:pPr>
      <w:r>
        <w:rPr>
          <w:rFonts w:hint="eastAsia"/>
        </w:rPr>
        <w:t>f）运输</w:t>
      </w:r>
      <w:r>
        <w:rPr>
          <w:rFonts w:hint="eastAsia"/>
          <w:szCs w:val="21"/>
        </w:rPr>
        <w:t>过程相关的GHG排放；</w:t>
      </w:r>
    </w:p>
    <w:p>
      <w:pPr>
        <w:tabs>
          <w:tab w:val="center" w:pos="4201"/>
          <w:tab w:val="right" w:leader="dot" w:pos="9298"/>
        </w:tabs>
        <w:ind w:firstLine="420" w:firstLineChars="200"/>
        <w:rPr>
          <w:szCs w:val="21"/>
        </w:rPr>
      </w:pPr>
      <w:r>
        <w:rPr>
          <w:rFonts w:hint="eastAsia"/>
        </w:rPr>
        <w:t>g）</w:t>
      </w:r>
      <w:r>
        <w:rPr>
          <w:rFonts w:hint="eastAsia"/>
          <w:szCs w:val="21"/>
        </w:rPr>
        <w:t>与上述过程产生的废气、废水、固体废弃物处理相关的GHG排放。</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w:t>
      </w:r>
      <w:r>
        <w:rPr>
          <w:rFonts w:hint="eastAsia" w:ascii="黑体" w:hAnsi="黑体" w:eastAsia="黑体" w:cs="黑体"/>
          <w:sz w:val="18"/>
          <w:szCs w:val="18"/>
          <w:lang w:val="en-US" w:eastAsia="zh-CN"/>
        </w:rPr>
        <w:t>1</w:t>
      </w:r>
      <w:r>
        <w:rPr>
          <w:rFonts w:hint="eastAsia"/>
          <w:sz w:val="18"/>
          <w:szCs w:val="18"/>
        </w:rPr>
        <w:t>：原辅材料的制造包括多个过程，需对各个过程分别进行碳足迹评价并报告。</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w:t>
      </w:r>
      <w:r>
        <w:rPr>
          <w:rFonts w:hint="eastAsia" w:ascii="黑体" w:hAnsi="黑体" w:eastAsia="黑体" w:cs="黑体"/>
          <w:sz w:val="18"/>
          <w:szCs w:val="18"/>
          <w:lang w:val="en-US" w:eastAsia="zh-CN"/>
        </w:rPr>
        <w:t>2</w:t>
      </w:r>
      <w:r>
        <w:rPr>
          <w:rFonts w:hint="eastAsia"/>
          <w:sz w:val="18"/>
          <w:szCs w:val="18"/>
        </w:rPr>
        <w:t>：能源生产过程的碳排放包括外购电力、</w:t>
      </w:r>
      <w:r>
        <w:rPr>
          <w:rFonts w:hint="eastAsia"/>
          <w:sz w:val="18"/>
          <w:szCs w:val="18"/>
          <w:lang w:val="en-US" w:eastAsia="zh-CN"/>
        </w:rPr>
        <w:t>热力等</w:t>
      </w:r>
      <w:r>
        <w:rPr>
          <w:rFonts w:hint="eastAsia"/>
          <w:sz w:val="18"/>
          <w:szCs w:val="18"/>
        </w:rPr>
        <w:t>所产生的的碳排放，若无或其排放过小可忽略。</w:t>
      </w:r>
    </w:p>
    <w:p>
      <w:pPr>
        <w:tabs>
          <w:tab w:val="center" w:pos="4201"/>
          <w:tab w:val="right" w:leader="dot" w:pos="9298"/>
        </w:tabs>
        <w:ind w:firstLine="420" w:firstLineChars="200"/>
        <w:rPr>
          <w:szCs w:val="21"/>
        </w:rPr>
      </w:pPr>
      <w:r>
        <w:rPr>
          <w:rFonts w:hint="eastAsia"/>
          <w:szCs w:val="21"/>
        </w:rPr>
        <w:t>上游单元制造阶段收集的数据可使用次级数据。</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.1</w:t>
      </w:r>
      <w:r>
        <w:rPr>
          <w:rFonts w:hint="eastAsia" w:ascii="黑体" w:hAnsi="黑体" w:eastAsia="黑体"/>
          <w:bCs/>
          <w:szCs w:val="21"/>
        </w:rPr>
        <w:t>.4</w:t>
      </w:r>
      <w:r>
        <w:rPr>
          <w:rFonts w:ascii="黑体" w:hAnsi="黑体" w:eastAsia="黑体"/>
          <w:bCs/>
          <w:szCs w:val="21"/>
        </w:rPr>
        <w:t xml:space="preserve">  </w:t>
      </w:r>
      <w:r>
        <w:rPr>
          <w:rFonts w:hint="eastAsia" w:ascii="黑体" w:hAnsi="黑体" w:eastAsia="黑体"/>
          <w:bCs/>
          <w:szCs w:val="21"/>
        </w:rPr>
        <w:t>核心单元生产阶段活动数据</w:t>
      </w:r>
    </w:p>
    <w:p>
      <w:pPr>
        <w:tabs>
          <w:tab w:val="center" w:pos="4201"/>
          <w:tab w:val="right" w:leader="dot" w:pos="9298"/>
        </w:tabs>
        <w:ind w:firstLine="420" w:firstLineChars="200"/>
        <w:rPr>
          <w:szCs w:val="21"/>
        </w:rPr>
      </w:pPr>
      <w:r>
        <w:rPr>
          <w:rFonts w:hint="eastAsia"/>
          <w:szCs w:val="21"/>
        </w:rPr>
        <w:t>核心单元生产阶段应收集</w:t>
      </w:r>
      <w:r>
        <w:rPr>
          <w:rFonts w:hint="eastAsia"/>
          <w:szCs w:val="21"/>
          <w:lang w:val="en-US" w:eastAsia="zh-CN"/>
        </w:rPr>
        <w:t>包括但不限于</w:t>
      </w:r>
      <w:r>
        <w:rPr>
          <w:rFonts w:hint="eastAsia"/>
          <w:szCs w:val="21"/>
        </w:rPr>
        <w:t>以下过程相关的活动数据：</w:t>
      </w:r>
    </w:p>
    <w:p>
      <w:pPr>
        <w:tabs>
          <w:tab w:val="center" w:pos="4201"/>
          <w:tab w:val="right" w:leader="dot" w:pos="9298"/>
        </w:tabs>
        <w:ind w:firstLine="420" w:firstLineChars="200"/>
        <w:rPr>
          <w:szCs w:val="21"/>
        </w:rPr>
      </w:pPr>
      <w:r>
        <w:rPr>
          <w:rFonts w:hint="eastAsia"/>
          <w:szCs w:val="21"/>
        </w:rPr>
        <w:t>a）一次性卫生用品生产过程的GHG排放；</w:t>
      </w:r>
    </w:p>
    <w:p>
      <w:pPr>
        <w:tabs>
          <w:tab w:val="center" w:pos="4201"/>
          <w:tab w:val="right" w:leader="dot" w:pos="9298"/>
        </w:tabs>
        <w:ind w:firstLine="420" w:firstLineChars="200"/>
        <w:rPr>
          <w:szCs w:val="21"/>
        </w:rPr>
      </w:pPr>
      <w:r>
        <w:rPr>
          <w:rFonts w:hint="eastAsia"/>
          <w:szCs w:val="21"/>
        </w:rPr>
        <w:t>b）能源生产过程的GHG排放；</w:t>
      </w:r>
    </w:p>
    <w:p>
      <w:pPr>
        <w:tabs>
          <w:tab w:val="left" w:pos="6220"/>
          <w:tab w:val="right" w:leader="dot" w:pos="9298"/>
        </w:tabs>
        <w:ind w:firstLine="420" w:firstLineChars="200"/>
        <w:rPr>
          <w:rFonts w:hint="eastAsia" w:eastAsia="宋体"/>
          <w:szCs w:val="21"/>
          <w:lang w:eastAsia="zh-CN"/>
        </w:rPr>
      </w:pPr>
      <w:r>
        <w:rPr>
          <w:rFonts w:hint="eastAsia"/>
          <w:szCs w:val="21"/>
        </w:rPr>
        <w:t>c）运输过程相关的GHG排放；</w:t>
      </w:r>
      <w:r>
        <w:rPr>
          <w:rFonts w:hint="eastAsia"/>
          <w:szCs w:val="21"/>
          <w:lang w:eastAsia="zh-CN"/>
        </w:rPr>
        <w:tab/>
      </w:r>
    </w:p>
    <w:p>
      <w:pPr>
        <w:tabs>
          <w:tab w:val="center" w:pos="4201"/>
          <w:tab w:val="right" w:leader="dot" w:pos="9298"/>
        </w:tabs>
        <w:ind w:firstLine="420" w:firstLineChars="200"/>
        <w:rPr>
          <w:szCs w:val="21"/>
        </w:rPr>
      </w:pPr>
      <w:r>
        <w:rPr>
          <w:rFonts w:hint="eastAsia"/>
          <w:szCs w:val="21"/>
        </w:rPr>
        <w:t>d）与上述过程产生的废气、废水、固体废弃物处理相关的GHG排放。</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w:t>
      </w:r>
      <w:r>
        <w:rPr>
          <w:rFonts w:hint="eastAsia"/>
          <w:sz w:val="18"/>
          <w:szCs w:val="18"/>
        </w:rPr>
        <w:t>：能源生产过程的碳排放包括外购电力、</w:t>
      </w:r>
      <w:r>
        <w:rPr>
          <w:rFonts w:hint="eastAsia"/>
          <w:sz w:val="18"/>
          <w:szCs w:val="18"/>
          <w:lang w:val="en-US" w:eastAsia="zh-CN"/>
        </w:rPr>
        <w:t>热力等</w:t>
      </w:r>
      <w:r>
        <w:rPr>
          <w:rFonts w:hint="eastAsia"/>
          <w:sz w:val="18"/>
          <w:szCs w:val="18"/>
        </w:rPr>
        <w:t>所产生的的碳排放，若无或其排放过小可忽略。</w:t>
      </w:r>
    </w:p>
    <w:p>
      <w:pPr>
        <w:tabs>
          <w:tab w:val="center" w:pos="4201"/>
          <w:tab w:val="right" w:leader="dot" w:pos="9298"/>
        </w:tabs>
        <w:ind w:firstLine="420" w:firstLineChars="200"/>
        <w:rPr>
          <w:szCs w:val="21"/>
        </w:rPr>
      </w:pPr>
      <w:r>
        <w:rPr>
          <w:rFonts w:hint="eastAsia"/>
          <w:szCs w:val="21"/>
        </w:rPr>
        <w:t>核心单元生产阶段收集的数据应优先选择初级数据。</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.1</w:t>
      </w:r>
      <w:r>
        <w:rPr>
          <w:rFonts w:hint="eastAsia" w:ascii="黑体" w:hAnsi="黑体" w:eastAsia="黑体"/>
          <w:bCs/>
          <w:szCs w:val="21"/>
        </w:rPr>
        <w:t>.5</w:t>
      </w:r>
      <w:r>
        <w:rPr>
          <w:rFonts w:ascii="黑体" w:hAnsi="黑体" w:eastAsia="黑体"/>
          <w:bCs/>
          <w:szCs w:val="21"/>
        </w:rPr>
        <w:t xml:space="preserve">  </w:t>
      </w:r>
      <w:r>
        <w:rPr>
          <w:rFonts w:hint="eastAsia" w:ascii="黑体" w:hAnsi="黑体" w:eastAsia="黑体"/>
          <w:bCs/>
          <w:szCs w:val="21"/>
        </w:rPr>
        <w:t>下游单元处置阶段活动数据</w:t>
      </w:r>
    </w:p>
    <w:p>
      <w:pPr>
        <w:tabs>
          <w:tab w:val="center" w:pos="4201"/>
          <w:tab w:val="right" w:leader="dot" w:pos="9298"/>
        </w:tabs>
        <w:ind w:firstLine="420" w:firstLineChars="200"/>
        <w:rPr>
          <w:szCs w:val="21"/>
        </w:rPr>
      </w:pPr>
      <w:r>
        <w:rPr>
          <w:rFonts w:hint="eastAsia"/>
          <w:szCs w:val="21"/>
        </w:rPr>
        <w:t>下游单元处置阶段应收集</w:t>
      </w:r>
      <w:r>
        <w:rPr>
          <w:rFonts w:hint="eastAsia"/>
          <w:szCs w:val="21"/>
          <w:lang w:val="en-US" w:eastAsia="zh-CN"/>
        </w:rPr>
        <w:t>包括但不限于</w:t>
      </w:r>
      <w:r>
        <w:rPr>
          <w:rFonts w:hint="eastAsia"/>
          <w:szCs w:val="21"/>
        </w:rPr>
        <w:t>以下过程相关的活动数据：</w:t>
      </w:r>
    </w:p>
    <w:p>
      <w:pPr>
        <w:tabs>
          <w:tab w:val="center" w:pos="4201"/>
          <w:tab w:val="right" w:leader="dot" w:pos="9298"/>
        </w:tabs>
        <w:ind w:firstLine="420" w:firstLineChars="200"/>
        <w:rPr>
          <w:szCs w:val="21"/>
        </w:rPr>
      </w:pPr>
      <w:r>
        <w:rPr>
          <w:rFonts w:hint="eastAsia"/>
          <w:szCs w:val="21"/>
        </w:rPr>
        <w:t>a）一次性卫生用品废弃处理产生的GHG排放；</w:t>
      </w:r>
    </w:p>
    <w:p>
      <w:pPr>
        <w:tabs>
          <w:tab w:val="center" w:pos="4201"/>
          <w:tab w:val="right" w:leader="dot" w:pos="9298"/>
        </w:tabs>
        <w:ind w:firstLine="420" w:firstLineChars="200"/>
        <w:rPr>
          <w:szCs w:val="21"/>
        </w:rPr>
      </w:pPr>
      <w:r>
        <w:rPr>
          <w:rFonts w:hint="eastAsia"/>
          <w:szCs w:val="21"/>
        </w:rPr>
        <w:t>b）运输过程相关的GHG排放。</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注1</w:t>
      </w:r>
      <w:r>
        <w:rPr>
          <w:rFonts w:hint="eastAsia"/>
          <w:sz w:val="18"/>
          <w:szCs w:val="18"/>
        </w:rPr>
        <w:t>：因一次性卫生用品的使用时间很短，故使用阶段的碳足迹数据不纳入核算范围。</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注2</w:t>
      </w:r>
      <w:r>
        <w:rPr>
          <w:rFonts w:hint="eastAsia"/>
          <w:sz w:val="18"/>
          <w:szCs w:val="18"/>
        </w:rPr>
        <w:t>：因一次性卫生用品只可用一次，故不涉及产品回收。废弃一次性卫生用品处理方式主要有焚烧和填埋。这部分的GHG排放来源于焚烧产生的CO</w:t>
      </w:r>
      <w:r>
        <w:rPr>
          <w:rFonts w:hint="eastAsia"/>
          <w:sz w:val="18"/>
          <w:szCs w:val="18"/>
          <w:vertAlign w:val="subscript"/>
        </w:rPr>
        <w:t>2</w:t>
      </w:r>
      <w:r>
        <w:rPr>
          <w:rFonts w:hint="eastAsia"/>
          <w:sz w:val="18"/>
          <w:szCs w:val="18"/>
        </w:rPr>
        <w:t>和少量CH</w:t>
      </w:r>
      <w:r>
        <w:rPr>
          <w:rFonts w:hint="eastAsia"/>
          <w:sz w:val="18"/>
          <w:szCs w:val="18"/>
          <w:vertAlign w:val="subscript"/>
        </w:rPr>
        <w:t>4</w:t>
      </w:r>
      <w:r>
        <w:rPr>
          <w:rFonts w:hint="eastAsia"/>
          <w:sz w:val="18"/>
          <w:szCs w:val="18"/>
        </w:rPr>
        <w:t>、N</w:t>
      </w:r>
      <w:r>
        <w:rPr>
          <w:rFonts w:hint="eastAsia"/>
          <w:sz w:val="18"/>
          <w:szCs w:val="18"/>
          <w:vertAlign w:val="subscript"/>
        </w:rPr>
        <w:t>2</w:t>
      </w:r>
      <w:r>
        <w:rPr>
          <w:rFonts w:hint="eastAsia"/>
          <w:sz w:val="18"/>
          <w:szCs w:val="18"/>
        </w:rPr>
        <w:t>O等，以及填埋后在厌氧条件下降解产生的CH</w:t>
      </w:r>
      <w:r>
        <w:rPr>
          <w:rFonts w:hint="eastAsia"/>
          <w:sz w:val="18"/>
          <w:szCs w:val="18"/>
          <w:vertAlign w:val="subscript"/>
        </w:rPr>
        <w:t>4</w:t>
      </w:r>
      <w:r>
        <w:rPr>
          <w:rFonts w:hint="eastAsia"/>
          <w:sz w:val="18"/>
          <w:szCs w:val="18"/>
        </w:rPr>
        <w:t>。</w:t>
      </w:r>
    </w:p>
    <w:p>
      <w:pPr>
        <w:tabs>
          <w:tab w:val="center" w:pos="4201"/>
          <w:tab w:val="right" w:leader="dot" w:pos="9298"/>
        </w:tabs>
        <w:ind w:left="780" w:leftChars="200" w:hanging="360" w:hangingChars="200"/>
        <w:rPr>
          <w:color w:val="auto"/>
          <w:sz w:val="18"/>
          <w:szCs w:val="18"/>
        </w:rPr>
      </w:pPr>
      <w:r>
        <w:rPr>
          <w:rFonts w:hint="eastAsia" w:ascii="黑体" w:hAnsi="黑体" w:eastAsia="黑体" w:cs="黑体"/>
          <w:color w:val="auto"/>
          <w:sz w:val="18"/>
          <w:szCs w:val="18"/>
        </w:rPr>
        <w:t>注3</w:t>
      </w:r>
      <w:r>
        <w:rPr>
          <w:rFonts w:hint="eastAsia"/>
          <w:color w:val="auto"/>
          <w:sz w:val="18"/>
          <w:szCs w:val="18"/>
        </w:rPr>
        <w:t>：因一次性卫生用品使用后通常难以获得具体的处置方式、处理的数量和地点等相关信息，此阶段的碳足迹数据难以准确获取，因此导致碳排放具有不确定性。在评价时，需采用产品可能被处理的地区的平均数据或用一系列的处理方法来反映可能的结果。当产品处于生产商控制之外时，系统边界包括末期排放的碳足迹会有很大的差异。</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8</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  </w:t>
      </w:r>
      <w:r>
        <w:rPr>
          <w:rFonts w:hint="eastAsia" w:ascii="黑体" w:hAnsi="黑体" w:eastAsia="黑体"/>
          <w:bCs/>
          <w:szCs w:val="21"/>
        </w:rPr>
        <w:t>数据处理</w:t>
      </w:r>
    </w:p>
    <w:p>
      <w:pPr>
        <w:keepNext/>
        <w:keepLines/>
        <w:spacing w:before="156" w:beforeLines="50" w:after="156" w:afterLines="50"/>
        <w:outlineLvl w:val="1"/>
        <w:rPr>
          <w:rFonts w:ascii="黑体" w:hAnsi="黑体" w:eastAsia="黑体"/>
          <w:bCs/>
          <w:color w:val="auto"/>
          <w:szCs w:val="21"/>
        </w:rPr>
      </w:pPr>
      <w:r>
        <w:rPr>
          <w:rFonts w:hint="eastAsia" w:ascii="黑体" w:hAnsi="黑体" w:eastAsia="黑体"/>
          <w:bCs/>
          <w:color w:val="auto"/>
          <w:szCs w:val="21"/>
        </w:rPr>
        <w:t>8</w:t>
      </w:r>
      <w:r>
        <w:rPr>
          <w:rFonts w:ascii="黑体" w:hAnsi="黑体" w:eastAsia="黑体"/>
          <w:bCs/>
          <w:color w:val="auto"/>
          <w:szCs w:val="21"/>
        </w:rPr>
        <w:t>.</w:t>
      </w:r>
      <w:r>
        <w:rPr>
          <w:rFonts w:hint="eastAsia" w:ascii="黑体" w:hAnsi="黑体" w:eastAsia="黑体"/>
          <w:bCs/>
          <w:color w:val="auto"/>
          <w:szCs w:val="21"/>
        </w:rPr>
        <w:t>2</w:t>
      </w:r>
      <w:r>
        <w:rPr>
          <w:rFonts w:ascii="黑体" w:hAnsi="黑体" w:eastAsia="黑体"/>
          <w:bCs/>
          <w:color w:val="auto"/>
          <w:szCs w:val="21"/>
        </w:rPr>
        <w:t xml:space="preserve">.1  </w:t>
      </w:r>
      <w:r>
        <w:rPr>
          <w:rFonts w:hint="eastAsia" w:ascii="黑体" w:hAnsi="黑体" w:eastAsia="黑体"/>
          <w:bCs/>
          <w:color w:val="auto"/>
          <w:szCs w:val="21"/>
        </w:rPr>
        <w:t>取舍原则</w:t>
      </w:r>
    </w:p>
    <w:p>
      <w:pPr>
        <w:tabs>
          <w:tab w:val="center" w:pos="4201"/>
          <w:tab w:val="right" w:leader="dot" w:pos="9298"/>
        </w:tabs>
        <w:ind w:firstLine="420" w:firstLineChars="200"/>
        <w:rPr>
          <w:rFonts w:hint="eastAsia"/>
          <w:szCs w:val="21"/>
        </w:rPr>
      </w:pPr>
      <w:r>
        <w:rPr>
          <w:rFonts w:hint="eastAsia"/>
          <w:szCs w:val="21"/>
        </w:rPr>
        <w:t>系统边界确定的取舍原则是列入所有的“实质性”排放，即由选定的产品在生产、使用、处置或再生利用过程中直接或间接产生的排放。实质性排放是指超过该产品生命周期预期排放总量1%的任一来源的排放。可将非实质性排放排除在外，即占排放总量不到1%的任何单一来源。但是，非实质性排放源的总比例</w:t>
      </w:r>
      <w:r>
        <w:rPr>
          <w:rFonts w:hint="eastAsia"/>
          <w:szCs w:val="21"/>
          <w:lang w:val="en-US" w:eastAsia="zh-CN"/>
        </w:rPr>
        <w:t>应</w:t>
      </w:r>
      <w:r>
        <w:rPr>
          <w:rFonts w:hint="eastAsia"/>
          <w:szCs w:val="21"/>
        </w:rPr>
        <w:t>不超过整个产品碳足迹的5%。</w:t>
      </w:r>
    </w:p>
    <w:p>
      <w:pPr>
        <w:keepNext/>
        <w:keepLines/>
        <w:spacing w:before="156" w:beforeLines="50" w:after="156" w:afterLines="50"/>
        <w:outlineLvl w:val="1"/>
        <w:rPr>
          <w:rFonts w:hint="eastAsia" w:ascii="黑体" w:hAnsi="黑体" w:eastAsia="黑体"/>
          <w:bCs/>
          <w:szCs w:val="21"/>
          <w:lang w:val="en-US" w:eastAsia="zh-CN"/>
        </w:rPr>
      </w:pPr>
      <w:r>
        <w:rPr>
          <w:rFonts w:hint="eastAsia" w:ascii="黑体" w:hAnsi="黑体" w:eastAsia="黑体"/>
          <w:bCs/>
          <w:szCs w:val="21"/>
        </w:rPr>
        <w:t>8</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  </w:t>
      </w:r>
      <w:r>
        <w:rPr>
          <w:rFonts w:hint="eastAsia" w:ascii="黑体" w:hAnsi="黑体" w:eastAsia="黑体"/>
          <w:bCs/>
          <w:szCs w:val="21"/>
        </w:rPr>
        <w:t>分配</w:t>
      </w:r>
      <w:r>
        <w:rPr>
          <w:rFonts w:hint="eastAsia" w:ascii="黑体" w:hAnsi="黑体" w:eastAsia="黑体"/>
          <w:bCs/>
          <w:szCs w:val="21"/>
          <w:lang w:val="en-US" w:eastAsia="zh-CN"/>
        </w:rPr>
        <w:t>原则</w:t>
      </w:r>
    </w:p>
    <w:p>
      <w:pPr>
        <w:tabs>
          <w:tab w:val="center" w:pos="4201"/>
          <w:tab w:val="right" w:leader="dot" w:pos="9298"/>
        </w:tabs>
        <w:ind w:firstLine="420" w:firstLineChars="200"/>
        <w:rPr>
          <w:szCs w:val="21"/>
        </w:rPr>
      </w:pPr>
      <w:r>
        <w:rPr>
          <w:rFonts w:hint="eastAsia"/>
          <w:szCs w:val="21"/>
        </w:rPr>
        <w:t>在实际的数据收集工作中，不可能每个单元过程只有一种原料（或产品）输入（或输出），而且生产工艺常通过原料或配件互相连接。在一次性卫生用品生命周期内进行碳足迹核算时，应根据既定的程序将物流、能流和环境排放分配到各个产品。碳足迹核算的数据分配应遵循以下原则：</w:t>
      </w:r>
    </w:p>
    <w:p>
      <w:pPr>
        <w:tabs>
          <w:tab w:val="center" w:pos="4201"/>
          <w:tab w:val="right" w:leader="dot" w:pos="9298"/>
        </w:tabs>
        <w:ind w:left="840" w:leftChars="200" w:hanging="420" w:hangingChars="200"/>
        <w:rPr>
          <w:szCs w:val="21"/>
        </w:rPr>
      </w:pPr>
      <w:r>
        <w:rPr>
          <w:rFonts w:hint="eastAsia"/>
          <w:szCs w:val="21"/>
        </w:rPr>
        <w:t>a）各个单元过程可根据各个过程的输入量（如能源、原料、水等）或输出量（如产品产量、废水产生量等）进行分配；</w:t>
      </w:r>
    </w:p>
    <w:p>
      <w:pPr>
        <w:tabs>
          <w:tab w:val="center" w:pos="4201"/>
          <w:tab w:val="right" w:leader="dot" w:pos="9298"/>
        </w:tabs>
        <w:ind w:left="840" w:leftChars="200" w:hanging="420" w:hangingChars="200"/>
        <w:rPr>
          <w:szCs w:val="21"/>
        </w:rPr>
      </w:pPr>
      <w:r>
        <w:rPr>
          <w:rFonts w:hint="eastAsia"/>
          <w:szCs w:val="21"/>
        </w:rPr>
        <w:t>b）收集各制造过程原料或服务供应商的相关数据，并按照实际使用比率进行分配。</w:t>
      </w:r>
    </w:p>
    <w:p>
      <w:pPr>
        <w:tabs>
          <w:tab w:val="center" w:pos="4201"/>
          <w:tab w:val="right" w:leader="dot" w:pos="9298"/>
        </w:tabs>
        <w:ind w:left="780" w:leftChars="200" w:hanging="360" w:hangingChars="200"/>
        <w:rPr>
          <w:sz w:val="18"/>
          <w:szCs w:val="18"/>
          <w:highlight w:val="none"/>
        </w:rPr>
      </w:pPr>
      <w:r>
        <w:rPr>
          <w:rFonts w:hint="eastAsia" w:ascii="黑体" w:hAnsi="黑体" w:eastAsia="黑体" w:cs="黑体"/>
          <w:sz w:val="18"/>
          <w:szCs w:val="18"/>
          <w:highlight w:val="none"/>
        </w:rPr>
        <w:t>注1</w:t>
      </w:r>
      <w:r>
        <w:rPr>
          <w:rFonts w:hint="eastAsia"/>
          <w:sz w:val="18"/>
          <w:szCs w:val="18"/>
          <w:highlight w:val="none"/>
        </w:rPr>
        <w:t>：一些设备生产有多种产品或副产品，碳排放需分配给不同的产品，但是在生命周期研究中，碳排放通常不分配给副产品。</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注2</w:t>
      </w:r>
      <w:r>
        <w:rPr>
          <w:rFonts w:hint="eastAsia"/>
          <w:sz w:val="18"/>
          <w:szCs w:val="18"/>
        </w:rPr>
        <w:t>：工厂有时售出多余的电力或</w:t>
      </w:r>
      <w:r>
        <w:rPr>
          <w:rFonts w:hint="eastAsia"/>
          <w:sz w:val="18"/>
          <w:szCs w:val="18"/>
          <w:lang w:val="en-US" w:eastAsia="zh-CN"/>
        </w:rPr>
        <w:t>热力等</w:t>
      </w:r>
      <w:r>
        <w:rPr>
          <w:rFonts w:hint="eastAsia"/>
          <w:sz w:val="18"/>
          <w:szCs w:val="18"/>
        </w:rPr>
        <w:t>，有三种方法调整碳足迹的计算。第一种方法将其作为产品或副产品，计算GHG排放并进行分配。第二</w:t>
      </w:r>
      <w:r>
        <w:rPr>
          <w:rFonts w:hint="eastAsia"/>
          <w:sz w:val="18"/>
          <w:szCs w:val="18"/>
          <w:lang w:val="en-US" w:eastAsia="zh-CN"/>
        </w:rPr>
        <w:t>种</w:t>
      </w:r>
      <w:r>
        <w:rPr>
          <w:rFonts w:hint="eastAsia"/>
          <w:sz w:val="18"/>
          <w:szCs w:val="18"/>
        </w:rPr>
        <w:t>方法特别适合于外售量较小，能按从购买的电力中进行扣除，评价净购电力的排放。第三</w:t>
      </w:r>
      <w:r>
        <w:rPr>
          <w:rFonts w:hint="eastAsia"/>
          <w:sz w:val="18"/>
          <w:szCs w:val="18"/>
          <w:lang w:val="en-US" w:eastAsia="zh-CN"/>
        </w:rPr>
        <w:t>种</w:t>
      </w:r>
      <w:r>
        <w:rPr>
          <w:rFonts w:hint="eastAsia"/>
          <w:sz w:val="18"/>
          <w:szCs w:val="18"/>
        </w:rPr>
        <w:t>方法按避免排放评价</w:t>
      </w:r>
      <w:r>
        <w:rPr>
          <w:rFonts w:hint="eastAsia"/>
          <w:sz w:val="18"/>
          <w:szCs w:val="18"/>
          <w:lang w:eastAsia="zh-CN"/>
        </w:rPr>
        <w:t>，</w:t>
      </w:r>
      <w:r>
        <w:rPr>
          <w:rFonts w:hint="eastAsia"/>
          <w:sz w:val="18"/>
          <w:szCs w:val="18"/>
          <w:lang w:val="en-US" w:eastAsia="zh-CN"/>
        </w:rPr>
        <w:t>即该部分的排放不存在</w:t>
      </w:r>
      <w:r>
        <w:rPr>
          <w:rFonts w:hint="eastAsia"/>
          <w:sz w:val="18"/>
          <w:szCs w:val="18"/>
        </w:rPr>
        <w:t>。</w:t>
      </w:r>
    </w:p>
    <w:p>
      <w:pPr>
        <w:spacing w:before="312" w:beforeLines="100" w:after="312" w:afterLines="100"/>
        <w:outlineLvl w:val="0"/>
        <w:rPr>
          <w:rFonts w:eastAsia="黑体"/>
          <w:szCs w:val="21"/>
        </w:rPr>
      </w:pPr>
      <w:r>
        <w:rPr>
          <w:rFonts w:hint="eastAsia" w:eastAsia="黑体"/>
          <w:szCs w:val="21"/>
        </w:rPr>
        <w:t>9</w:t>
      </w:r>
      <w:r>
        <w:rPr>
          <w:rFonts w:eastAsia="黑体"/>
          <w:szCs w:val="21"/>
        </w:rPr>
        <w:t xml:space="preserve">  </w:t>
      </w:r>
      <w:r>
        <w:rPr>
          <w:rFonts w:hint="eastAsia" w:eastAsia="黑体"/>
          <w:szCs w:val="21"/>
        </w:rPr>
        <w:t>核算方法</w:t>
      </w:r>
    </w:p>
    <w:p>
      <w:pPr>
        <w:keepNext/>
        <w:keepLines/>
        <w:tabs>
          <w:tab w:val="left" w:pos="2717"/>
        </w:tabs>
        <w:spacing w:before="156" w:beforeLines="50" w:after="156" w:afterLines="50"/>
        <w:outlineLvl w:val="1"/>
        <w:rPr>
          <w:rFonts w:ascii="黑体" w:hAnsi="黑体" w:eastAsia="黑体"/>
          <w:bCs/>
          <w:szCs w:val="21"/>
        </w:rPr>
      </w:pPr>
      <w:r>
        <w:rPr>
          <w:rFonts w:hint="eastAsia" w:ascii="黑体" w:hAnsi="黑体" w:eastAsia="黑体"/>
          <w:bCs/>
          <w:szCs w:val="21"/>
        </w:rPr>
        <w:t>9</w:t>
      </w:r>
      <w:r>
        <w:rPr>
          <w:rFonts w:ascii="黑体" w:hAnsi="黑体" w:eastAsia="黑体"/>
          <w:bCs/>
          <w:szCs w:val="21"/>
        </w:rPr>
        <w:t>.</w:t>
      </w:r>
      <w:r>
        <w:rPr>
          <w:rFonts w:hint="eastAsia" w:ascii="黑体" w:hAnsi="黑体" w:eastAsia="黑体"/>
          <w:bCs/>
          <w:szCs w:val="21"/>
        </w:rPr>
        <w:t>1</w:t>
      </w:r>
      <w:r>
        <w:rPr>
          <w:rFonts w:ascii="黑体" w:hAnsi="黑体" w:eastAsia="黑体"/>
          <w:bCs/>
          <w:szCs w:val="21"/>
        </w:rPr>
        <w:t xml:space="preserve"> </w:t>
      </w:r>
      <w:r>
        <w:rPr>
          <w:rFonts w:hint="eastAsia" w:ascii="黑体" w:hAnsi="黑体" w:eastAsia="黑体"/>
          <w:bCs/>
          <w:szCs w:val="21"/>
        </w:rPr>
        <w:t xml:space="preserve"> 碳足迹核算方法</w:t>
      </w:r>
      <w:r>
        <w:rPr>
          <w:rFonts w:hint="eastAsia" w:ascii="黑体" w:hAnsi="黑体" w:eastAsia="黑体"/>
          <w:bCs/>
          <w:szCs w:val="21"/>
        </w:rPr>
        <w:tab/>
      </w:r>
    </w:p>
    <w:p>
      <w:pPr>
        <w:tabs>
          <w:tab w:val="center" w:pos="4201"/>
          <w:tab w:val="right" w:leader="dot" w:pos="9298"/>
        </w:tabs>
        <w:ind w:firstLine="420" w:firstLineChars="200"/>
        <w:rPr>
          <w:szCs w:val="21"/>
        </w:rPr>
      </w:pPr>
      <w:r>
        <w:rPr>
          <w:rFonts w:hint="eastAsia"/>
          <w:szCs w:val="21"/>
        </w:rPr>
        <w:t>系统边界内一次性卫生用品碳足迹按公式（1）进行核算：</w:t>
      </w:r>
    </w:p>
    <w:p>
      <w:pPr>
        <w:tabs>
          <w:tab w:val="center" w:pos="4201"/>
          <w:tab w:val="right" w:leader="dot" w:pos="9298"/>
        </w:tabs>
        <w:ind w:firstLine="420" w:firstLineChars="200"/>
        <w:jc w:val="right"/>
        <w:rPr>
          <w:szCs w:val="21"/>
        </w:rPr>
      </w:pPr>
      <m:oMath>
        <m:r>
          <m:rPr/>
          <w:rPr>
            <w:rFonts w:ascii="Cambria Math" w:hAnsi="Cambria Math"/>
            <w:szCs w:val="21"/>
          </w:rPr>
          <m:t>CFP</m:t>
        </m:r>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GHG</m:t>
            </m:r>
            <m:ctrlPr>
              <w:rPr>
                <w:rFonts w:ascii="Cambria Math" w:hAnsi="Cambria Math"/>
                <w:i/>
                <w:iCs/>
                <w:szCs w:val="21"/>
              </w:rPr>
            </m:ctrlPr>
          </m:e>
          <m:sub>
            <m:r>
              <m:rPr/>
              <w:rPr>
                <w:rFonts w:ascii="Cambria Math" w:hAnsi="Cambria Math"/>
                <w:szCs w:val="21"/>
              </w:rPr>
              <m:t>i</m:t>
            </m:r>
            <m:ctrlPr>
              <w:rPr>
                <w:rFonts w:ascii="Cambria Math" w:hAnsi="Cambria Math"/>
                <w:i/>
                <w:iCs/>
                <w:szCs w:val="21"/>
              </w:rPr>
            </m:ctrlPr>
          </m:sub>
        </m:sSub>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GWP</m:t>
            </m:r>
            <m:ctrlPr>
              <w:rPr>
                <w:rFonts w:ascii="Cambria Math" w:hAnsi="Cambria Math"/>
                <w:i/>
                <w:iCs/>
                <w:szCs w:val="21"/>
              </w:rPr>
            </m:ctrlPr>
          </m:e>
          <m:sub>
            <m:r>
              <m:rPr/>
              <w:rPr>
                <w:rFonts w:ascii="Cambria Math" w:hAnsi="Cambria Math"/>
                <w:szCs w:val="21"/>
              </w:rPr>
              <m:t>i</m:t>
            </m:r>
            <m:ctrlPr>
              <w:rPr>
                <w:rFonts w:ascii="Cambria Math" w:hAnsi="Cambria Math"/>
                <w:i/>
                <w:iCs/>
                <w:szCs w:val="21"/>
              </w:rPr>
            </m:ctrlPr>
          </m:sub>
        </m:sSub>
        <m:r>
          <m:rPr>
            <m:sty m:val="p"/>
          </m:rPr>
          <w:rPr>
            <w:rFonts w:ascii="Cambria Math" w:hAnsi="Cambria Math"/>
            <w:szCs w:val="21"/>
          </w:rPr>
          <m:t>=∑</m:t>
        </m:r>
        <m:r>
          <m:rPr>
            <m:sty m:val="p"/>
          </m:rPr>
          <w:rPr>
            <w:rFonts w:hint="eastAsia" w:ascii="Cambria Math" w:hAnsi="Cambria Math"/>
            <w:szCs w:val="21"/>
          </w:rPr>
          <m:t>（</m:t>
        </m:r>
        <m:sSub>
          <m:sSubPr>
            <m:ctrlPr>
              <w:rPr>
                <w:rFonts w:hint="eastAsia" w:ascii="Cambria Math" w:hAnsi="Cambria Math"/>
                <w:i/>
                <w:iCs/>
                <w:szCs w:val="21"/>
              </w:rPr>
            </m:ctrlPr>
          </m:sSubPr>
          <m:e>
            <m:r>
              <m:rPr/>
              <w:rPr>
                <w:rFonts w:ascii="Cambria Math" w:hAnsi="Cambria Math"/>
                <w:szCs w:val="21"/>
              </w:rPr>
              <m:t>GHG</m:t>
            </m:r>
            <m:ctrlPr>
              <w:rPr>
                <w:rFonts w:hint="eastAsia" w:ascii="Cambria Math" w:hAnsi="Cambria Math"/>
                <w:i/>
                <w:iCs/>
                <w:szCs w:val="21"/>
              </w:rPr>
            </m:ctrlPr>
          </m:e>
          <m:sub>
            <m:r>
              <m:rPr/>
              <w:rPr>
                <w:rFonts w:ascii="Cambria Math" w:hAnsi="Cambria Math"/>
                <w:szCs w:val="21"/>
              </w:rPr>
              <m:t>USi</m:t>
            </m:r>
            <m:ctrlPr>
              <w:rPr>
                <w:rFonts w:hint="eastAsia" w:ascii="Cambria Math" w:hAnsi="Cambria Math"/>
                <w:i/>
                <w:iCs/>
                <w:szCs w:val="21"/>
              </w:rPr>
            </m:ctrlPr>
          </m:sub>
        </m:sSub>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GHG</m:t>
            </m:r>
            <m:ctrlPr>
              <w:rPr>
                <w:rFonts w:ascii="Cambria Math" w:hAnsi="Cambria Math"/>
                <w:i/>
                <w:iCs/>
                <w:szCs w:val="21"/>
              </w:rPr>
            </m:ctrlPr>
          </m:e>
          <m:sub>
            <m:r>
              <m:rPr/>
              <w:rPr>
                <w:rFonts w:ascii="Cambria Math" w:hAnsi="Cambria Math"/>
                <w:szCs w:val="21"/>
              </w:rPr>
              <m:t>CSi</m:t>
            </m:r>
            <m:ctrlPr>
              <w:rPr>
                <w:rFonts w:ascii="Cambria Math" w:hAnsi="Cambria Math"/>
                <w:iCs/>
                <w:szCs w:val="21"/>
              </w:rPr>
            </m:ctrlPr>
          </m:sub>
        </m:sSub>
        <m:r>
          <m:rPr>
            <m:sty m:val="p"/>
          </m:rPr>
          <w:rPr>
            <w:rFonts w:ascii="Cambria Math" w:hAnsi="Cambria Math"/>
            <w:szCs w:val="21"/>
          </w:rPr>
          <m:t>+</m:t>
        </m:r>
        <m:sSub>
          <m:sSubPr>
            <m:ctrlPr>
              <w:rPr>
                <w:rFonts w:ascii="Cambria Math" w:hAnsi="Cambria Math"/>
                <w:i/>
                <w:szCs w:val="21"/>
              </w:rPr>
            </m:ctrlPr>
          </m:sSubPr>
          <m:e>
            <m:r>
              <m:rPr/>
              <w:rPr>
                <w:rFonts w:ascii="Cambria Math" w:hAnsi="Cambria Math"/>
                <w:szCs w:val="21"/>
              </w:rPr>
              <m:t>GHG</m:t>
            </m:r>
            <m:ctrlPr>
              <w:rPr>
                <w:rFonts w:ascii="Cambria Math" w:hAnsi="Cambria Math"/>
                <w:i/>
                <w:szCs w:val="21"/>
              </w:rPr>
            </m:ctrlPr>
          </m:e>
          <m:sub>
            <m:r>
              <m:rPr/>
              <w:rPr>
                <w:rFonts w:ascii="Cambria Math" w:hAnsi="Cambria Math"/>
                <w:szCs w:val="21"/>
              </w:rPr>
              <m:t>DSi</m:t>
            </m:r>
            <m:ctrlPr>
              <w:rPr>
                <w:rFonts w:ascii="Cambria Math" w:hAnsi="Cambria Math"/>
                <w:i/>
                <w:szCs w:val="21"/>
              </w:rPr>
            </m:ctrlPr>
          </m:sub>
        </m:sSub>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GHG</m:t>
            </m:r>
            <m:ctrlPr>
              <w:rPr>
                <w:rFonts w:ascii="Cambria Math" w:hAnsi="Cambria Math"/>
                <w:i/>
                <w:iCs/>
                <w:szCs w:val="21"/>
              </w:rPr>
            </m:ctrlPr>
          </m:e>
          <m:sub>
            <m:r>
              <m:rPr/>
              <w:rPr>
                <w:rFonts w:ascii="Cambria Math" w:hAnsi="Cambria Math"/>
                <w:szCs w:val="21"/>
              </w:rPr>
              <m:t>Ri</m:t>
            </m:r>
            <m:ctrlPr>
              <w:rPr>
                <w:rFonts w:ascii="Cambria Math" w:hAnsi="Cambria Math"/>
                <w:i/>
                <w:iCs/>
                <w:szCs w:val="21"/>
              </w:rPr>
            </m:ctrlPr>
          </m:sub>
        </m:sSub>
        <m:r>
          <m:rPr>
            <m:sty m:val="p"/>
          </m:rPr>
          <w:rPr>
            <w:rFonts w:hint="eastAsia" w:ascii="Cambria Math" w:hAnsi="Cambria Math"/>
            <w:szCs w:val="21"/>
          </w:rPr>
          <m:t>）</m:t>
        </m:r>
        <m:r>
          <m:rPr>
            <m:sty m:val="p"/>
          </m:rPr>
          <w:rPr>
            <w:rFonts w:ascii="Cambria Math" w:hAnsi="Cambria Math"/>
            <w:szCs w:val="21"/>
          </w:rPr>
          <m:t>×</m:t>
        </m:r>
        <m:sSub>
          <m:sSubPr>
            <m:ctrlPr>
              <w:rPr>
                <w:rFonts w:ascii="Cambria Math" w:hAnsi="Cambria Math"/>
                <w:i/>
                <w:iCs/>
                <w:szCs w:val="21"/>
              </w:rPr>
            </m:ctrlPr>
          </m:sSubPr>
          <m:e>
            <m:r>
              <m:rPr/>
              <w:rPr>
                <w:rFonts w:ascii="Cambria Math" w:hAnsi="Cambria Math"/>
                <w:szCs w:val="21"/>
              </w:rPr>
              <m:t>GWP</m:t>
            </m:r>
            <m:ctrlPr>
              <w:rPr>
                <w:rFonts w:ascii="Cambria Math" w:hAnsi="Cambria Math"/>
                <w:i/>
                <w:iCs/>
                <w:szCs w:val="21"/>
              </w:rPr>
            </m:ctrlPr>
          </m:e>
          <m:sub>
            <m:r>
              <m:rPr/>
              <w:rPr>
                <w:rFonts w:ascii="Cambria Math" w:hAnsi="Cambria Math"/>
                <w:szCs w:val="21"/>
              </w:rPr>
              <m:t>i</m:t>
            </m:r>
            <m:ctrlPr>
              <w:rPr>
                <w:rFonts w:ascii="Cambria Math" w:hAnsi="Cambria Math"/>
                <w:i/>
                <w:iCs/>
                <w:szCs w:val="21"/>
              </w:rPr>
            </m:ctrlPr>
          </m:sub>
        </m:sSub>
        <m:r>
          <m:rPr>
            <m:sty m:val="p"/>
          </m:rPr>
          <w:rPr>
            <w:rFonts w:ascii="Cambria Math" w:hAnsi="Cambria Math" w:cs="Cambria Math"/>
            <w:szCs w:val="21"/>
          </w:rPr>
          <m:t>⋯⋯⋯⋯⋯</m:t>
        </m:r>
        <m:r>
          <m:rPr>
            <m:sty m:val="p"/>
          </m:rPr>
          <w:rPr>
            <w:rFonts w:hint="eastAsia" w:ascii="Cambria Math" w:hAnsi="Cambria Math" w:cs="Cambria Math"/>
            <w:szCs w:val="21"/>
          </w:rPr>
          <m:t>（</m:t>
        </m:r>
      </m:oMath>
      <w:r>
        <w:rPr>
          <w:rFonts w:hint="eastAsia" w:hAnsi="Cambria Math" w:cs="Cambria Math"/>
          <w:szCs w:val="21"/>
        </w:rPr>
        <w:t>1）</w:t>
      </w:r>
    </w:p>
    <w:p>
      <w:pPr>
        <w:tabs>
          <w:tab w:val="center" w:pos="4201"/>
          <w:tab w:val="right" w:leader="dot" w:pos="9298"/>
        </w:tabs>
        <w:ind w:firstLine="420" w:firstLineChars="200"/>
        <w:rPr>
          <w:szCs w:val="21"/>
        </w:rPr>
      </w:pPr>
      <w:r>
        <w:rPr>
          <w:rFonts w:hint="eastAsia"/>
          <w:szCs w:val="21"/>
        </w:rPr>
        <w:t>式中：</w:t>
      </w:r>
    </w:p>
    <w:p>
      <w:pPr>
        <w:tabs>
          <w:tab w:val="center" w:pos="4201"/>
          <w:tab w:val="right" w:leader="dot" w:pos="9298"/>
        </w:tabs>
        <w:ind w:left="840" w:leftChars="200" w:hanging="420" w:hangingChars="200"/>
        <w:rPr>
          <w:rFonts w:hint="eastAsia" w:eastAsia="宋体"/>
          <w:szCs w:val="21"/>
          <w:lang w:eastAsia="zh-CN"/>
        </w:rPr>
      </w:pPr>
      <w:r>
        <w:rPr>
          <w:rFonts w:hint="eastAsia"/>
          <w:i/>
          <w:iCs/>
          <w:szCs w:val="21"/>
        </w:rPr>
        <w:t>CFP</w:t>
      </w:r>
      <w:r>
        <w:rPr>
          <w:rFonts w:hint="eastAsia"/>
          <w:szCs w:val="21"/>
        </w:rPr>
        <w:t>——产品碳足迹，单位为千克二氧化碳当量（kgCO</w:t>
      </w:r>
      <w:r>
        <w:rPr>
          <w:rFonts w:hint="eastAsia"/>
          <w:szCs w:val="21"/>
          <w:vertAlign w:val="subscript"/>
        </w:rPr>
        <w:t>2</w:t>
      </w:r>
      <w:r>
        <w:rPr>
          <w:rFonts w:hint="eastAsia"/>
          <w:szCs w:val="21"/>
        </w:rPr>
        <w:t>e）</w:t>
      </w:r>
      <w:r>
        <w:rPr>
          <w:rFonts w:hint="eastAsia"/>
          <w:szCs w:val="21"/>
          <w:lang w:eastAsia="zh-CN"/>
        </w:rPr>
        <w:t>；</w:t>
      </w:r>
    </w:p>
    <w:p>
      <w:pPr>
        <w:tabs>
          <w:tab w:val="center" w:pos="4201"/>
          <w:tab w:val="right" w:leader="dot" w:pos="9298"/>
        </w:tabs>
        <w:ind w:left="840" w:leftChars="200" w:hanging="420" w:hangingChars="200"/>
        <w:rPr>
          <w:szCs w:val="21"/>
          <w:highlight w:val="yellow"/>
        </w:rPr>
      </w:pPr>
      <w:r>
        <w:rPr>
          <w:rFonts w:hint="eastAsia"/>
          <w:i/>
          <w:iCs/>
          <w:szCs w:val="21"/>
        </w:rPr>
        <w:t>GHG</w:t>
      </w:r>
      <w:r>
        <w:rPr>
          <w:rFonts w:hint="eastAsia"/>
          <w:i/>
          <w:iCs/>
          <w:szCs w:val="21"/>
          <w:vertAlign w:val="subscript"/>
        </w:rPr>
        <w:t>USi</w:t>
      </w:r>
      <w:r>
        <w:rPr>
          <w:rFonts w:hint="eastAsia"/>
          <w:szCs w:val="21"/>
        </w:rPr>
        <w:t>——每功能单位产品在上游单元制造阶段产生的温室气体</w:t>
      </w:r>
      <w:r>
        <w:rPr>
          <w:rFonts w:hint="eastAsia"/>
          <w:i/>
          <w:iCs/>
          <w:szCs w:val="21"/>
        </w:rPr>
        <w:t>i</w:t>
      </w:r>
      <w:r>
        <w:rPr>
          <w:rFonts w:hint="eastAsia"/>
          <w:szCs w:val="21"/>
        </w:rPr>
        <w:t>的排放</w:t>
      </w:r>
      <w:r>
        <w:rPr>
          <w:rFonts w:hint="eastAsia"/>
          <w:szCs w:val="21"/>
          <w:lang w:val="en-US" w:eastAsia="zh-CN"/>
        </w:rPr>
        <w:t>量</w:t>
      </w:r>
      <w:r>
        <w:rPr>
          <w:rFonts w:hint="eastAsia"/>
          <w:szCs w:val="21"/>
        </w:rPr>
        <w:t>，单位为千克（kg）；</w:t>
      </w:r>
    </w:p>
    <w:p>
      <w:pPr>
        <w:tabs>
          <w:tab w:val="center" w:pos="4201"/>
          <w:tab w:val="right" w:leader="dot" w:pos="9298"/>
        </w:tabs>
        <w:ind w:left="840" w:leftChars="200" w:hanging="420" w:hangingChars="200"/>
        <w:rPr>
          <w:szCs w:val="21"/>
        </w:rPr>
      </w:pPr>
      <w:r>
        <w:rPr>
          <w:rFonts w:hint="eastAsia"/>
          <w:i/>
          <w:iCs/>
          <w:szCs w:val="21"/>
        </w:rPr>
        <w:t>GHG</w:t>
      </w:r>
      <w:r>
        <w:rPr>
          <w:rFonts w:hint="eastAsia"/>
          <w:i/>
          <w:iCs/>
          <w:szCs w:val="21"/>
          <w:vertAlign w:val="subscript"/>
        </w:rPr>
        <w:t>CSi</w:t>
      </w:r>
      <w:r>
        <w:rPr>
          <w:rFonts w:hint="eastAsia"/>
          <w:szCs w:val="21"/>
        </w:rPr>
        <w:t>——每功能单位产品在核心单元生产阶段产生的温室气体</w:t>
      </w:r>
      <w:r>
        <w:rPr>
          <w:rFonts w:hint="eastAsia"/>
          <w:i/>
          <w:iCs/>
          <w:szCs w:val="21"/>
        </w:rPr>
        <w:t>i</w:t>
      </w:r>
      <w:r>
        <w:rPr>
          <w:rFonts w:hint="eastAsia"/>
          <w:szCs w:val="21"/>
        </w:rPr>
        <w:t>的排放</w:t>
      </w:r>
      <w:r>
        <w:rPr>
          <w:rFonts w:hint="eastAsia"/>
          <w:szCs w:val="21"/>
          <w:lang w:val="en-US" w:eastAsia="zh-CN"/>
        </w:rPr>
        <w:t>量</w:t>
      </w:r>
      <w:r>
        <w:rPr>
          <w:rFonts w:hint="eastAsia"/>
          <w:szCs w:val="21"/>
        </w:rPr>
        <w:t>，单位为千克（kg）；</w:t>
      </w:r>
    </w:p>
    <w:p>
      <w:pPr>
        <w:tabs>
          <w:tab w:val="center" w:pos="4201"/>
          <w:tab w:val="right" w:leader="dot" w:pos="9298"/>
        </w:tabs>
        <w:ind w:left="1575" w:leftChars="200" w:hanging="1155" w:hangingChars="550"/>
        <w:rPr>
          <w:szCs w:val="21"/>
        </w:rPr>
      </w:pPr>
      <w:r>
        <w:rPr>
          <w:rFonts w:hint="eastAsia"/>
          <w:i/>
          <w:iCs/>
          <w:szCs w:val="21"/>
        </w:rPr>
        <w:t>GHG</w:t>
      </w:r>
      <w:r>
        <w:rPr>
          <w:rFonts w:hint="eastAsia"/>
          <w:i/>
          <w:iCs/>
          <w:szCs w:val="21"/>
          <w:vertAlign w:val="subscript"/>
        </w:rPr>
        <w:t>DSi</w:t>
      </w:r>
      <w:r>
        <w:rPr>
          <w:rFonts w:hint="eastAsia"/>
          <w:szCs w:val="21"/>
        </w:rPr>
        <w:t>——每功能单位产品在下游单元处置阶段产生的温室气体</w:t>
      </w:r>
      <w:r>
        <w:rPr>
          <w:rFonts w:hint="eastAsia"/>
          <w:i/>
          <w:iCs/>
          <w:szCs w:val="21"/>
        </w:rPr>
        <w:t>i</w:t>
      </w:r>
      <w:r>
        <w:rPr>
          <w:rFonts w:hint="eastAsia"/>
          <w:szCs w:val="21"/>
        </w:rPr>
        <w:t>的排放</w:t>
      </w:r>
      <w:r>
        <w:rPr>
          <w:rFonts w:hint="eastAsia"/>
          <w:szCs w:val="21"/>
          <w:lang w:val="en-US" w:eastAsia="zh-CN"/>
        </w:rPr>
        <w:t>量</w:t>
      </w:r>
      <w:r>
        <w:rPr>
          <w:rFonts w:hint="eastAsia"/>
          <w:szCs w:val="21"/>
        </w:rPr>
        <w:t>，单位为千克（kg）；</w:t>
      </w:r>
    </w:p>
    <w:p>
      <w:pPr>
        <w:tabs>
          <w:tab w:val="center" w:pos="4201"/>
          <w:tab w:val="right" w:leader="dot" w:pos="9298"/>
        </w:tabs>
        <w:ind w:left="840" w:leftChars="200" w:hanging="420" w:hangingChars="200"/>
        <w:rPr>
          <w:szCs w:val="21"/>
        </w:rPr>
      </w:pPr>
      <w:r>
        <w:rPr>
          <w:rFonts w:hint="eastAsia"/>
          <w:i/>
          <w:iCs/>
          <w:szCs w:val="21"/>
        </w:rPr>
        <w:t>GHG</w:t>
      </w:r>
      <w:r>
        <w:rPr>
          <w:rFonts w:hint="eastAsia"/>
          <w:i/>
          <w:iCs/>
          <w:szCs w:val="21"/>
          <w:vertAlign w:val="subscript"/>
        </w:rPr>
        <w:t>Ri</w:t>
      </w:r>
      <w:r>
        <w:rPr>
          <w:rFonts w:hint="eastAsia"/>
          <w:szCs w:val="21"/>
        </w:rPr>
        <w:t>——每功能单位产品温室气体</w:t>
      </w:r>
      <w:r>
        <w:rPr>
          <w:rFonts w:hint="eastAsia"/>
          <w:i/>
          <w:iCs/>
          <w:szCs w:val="21"/>
        </w:rPr>
        <w:t>i</w:t>
      </w:r>
      <w:r>
        <w:rPr>
          <w:rFonts w:hint="eastAsia"/>
          <w:szCs w:val="21"/>
        </w:rPr>
        <w:t>的清除量，单位为千克（kg）；</w:t>
      </w:r>
    </w:p>
    <w:p>
      <w:pPr>
        <w:tabs>
          <w:tab w:val="center" w:pos="4201"/>
          <w:tab w:val="right" w:leader="dot" w:pos="9298"/>
        </w:tabs>
        <w:ind w:left="840" w:leftChars="200" w:hanging="420" w:hangingChars="200"/>
        <w:rPr>
          <w:szCs w:val="21"/>
        </w:rPr>
      </w:pPr>
      <w:r>
        <w:rPr>
          <w:rFonts w:hint="eastAsia"/>
          <w:i/>
          <w:iCs/>
          <w:szCs w:val="21"/>
        </w:rPr>
        <w:t>GWP</w:t>
      </w:r>
      <w:r>
        <w:rPr>
          <w:rFonts w:hint="eastAsia"/>
          <w:i/>
          <w:iCs/>
          <w:szCs w:val="21"/>
          <w:vertAlign w:val="subscript"/>
        </w:rPr>
        <w:t>i</w:t>
      </w:r>
      <w:r>
        <w:rPr>
          <w:rFonts w:hint="eastAsia"/>
          <w:szCs w:val="21"/>
        </w:rPr>
        <w:t>——系统边界内温室气体</w:t>
      </w:r>
      <w:r>
        <w:rPr>
          <w:rFonts w:hint="eastAsia"/>
          <w:i/>
          <w:iCs/>
          <w:szCs w:val="21"/>
        </w:rPr>
        <w:t>i</w:t>
      </w:r>
      <w:r>
        <w:rPr>
          <w:rFonts w:hint="eastAsia"/>
          <w:szCs w:val="21"/>
        </w:rPr>
        <w:t>的全球变暖潜势。</w:t>
      </w:r>
    </w:p>
    <w:p>
      <w:pPr>
        <w:tabs>
          <w:tab w:val="center" w:pos="4201"/>
          <w:tab w:val="right" w:leader="dot" w:pos="9298"/>
        </w:tabs>
        <w:ind w:left="780" w:leftChars="200" w:hanging="360" w:hangingChars="200"/>
        <w:rPr>
          <w:szCs w:val="21"/>
        </w:rPr>
      </w:pPr>
      <w:r>
        <w:rPr>
          <w:rFonts w:hint="eastAsia" w:ascii="黑体" w:hAnsi="黑体" w:eastAsia="黑体" w:cs="黑体"/>
          <w:sz w:val="18"/>
          <w:szCs w:val="18"/>
        </w:rPr>
        <w:t>注</w:t>
      </w:r>
      <w:r>
        <w:rPr>
          <w:rFonts w:hint="eastAsia"/>
          <w:sz w:val="18"/>
          <w:szCs w:val="18"/>
        </w:rPr>
        <w:t>：GHG全球变暖潜势见附录A。</w:t>
      </w:r>
    </w:p>
    <w:p>
      <w:pPr>
        <w:keepNext/>
        <w:keepLines/>
        <w:spacing w:before="156" w:beforeLines="50" w:after="156" w:afterLines="50"/>
        <w:outlineLvl w:val="1"/>
        <w:rPr>
          <w:rFonts w:ascii="黑体" w:hAnsi="黑体" w:eastAsia="黑体"/>
          <w:bCs/>
          <w:szCs w:val="21"/>
        </w:rPr>
      </w:pPr>
      <w:r>
        <w:rPr>
          <w:rFonts w:hint="eastAsia" w:ascii="黑体" w:hAnsi="黑体" w:eastAsia="黑体"/>
          <w:bCs/>
          <w:szCs w:val="21"/>
        </w:rPr>
        <w:t>9</w:t>
      </w:r>
      <w:r>
        <w:rPr>
          <w:rFonts w:ascii="黑体" w:hAnsi="黑体" w:eastAsia="黑体"/>
          <w:bCs/>
          <w:szCs w:val="21"/>
        </w:rPr>
        <w:t>.</w:t>
      </w:r>
      <w:r>
        <w:rPr>
          <w:rFonts w:hint="eastAsia" w:ascii="黑体" w:hAnsi="黑体" w:eastAsia="黑体"/>
          <w:bCs/>
          <w:szCs w:val="21"/>
        </w:rPr>
        <w:t>2</w:t>
      </w:r>
      <w:r>
        <w:rPr>
          <w:rFonts w:ascii="黑体" w:hAnsi="黑体" w:eastAsia="黑体"/>
          <w:bCs/>
          <w:szCs w:val="21"/>
        </w:rPr>
        <w:t xml:space="preserve"> </w:t>
      </w:r>
      <w:r>
        <w:rPr>
          <w:rFonts w:hint="eastAsia" w:ascii="黑体" w:hAnsi="黑体" w:eastAsia="黑体"/>
          <w:bCs/>
          <w:szCs w:val="21"/>
        </w:rPr>
        <w:t xml:space="preserve"> 上游/核心/下游单元的GHG排放</w:t>
      </w:r>
    </w:p>
    <w:p>
      <w:pPr>
        <w:tabs>
          <w:tab w:val="center" w:pos="4201"/>
          <w:tab w:val="right" w:leader="dot" w:pos="9298"/>
        </w:tabs>
        <w:ind w:firstLine="420" w:firstLineChars="200"/>
        <w:rPr>
          <w:szCs w:val="21"/>
        </w:rPr>
      </w:pPr>
      <w:r>
        <w:rPr>
          <w:rFonts w:hint="eastAsia"/>
          <w:szCs w:val="21"/>
        </w:rPr>
        <w:t>系统边界内原始数据中的GHG排放可按公式（2）进行核算：</w:t>
      </w:r>
    </w:p>
    <w:p>
      <w:pPr>
        <w:tabs>
          <w:tab w:val="center" w:pos="4201"/>
          <w:tab w:val="right" w:leader="dot" w:pos="9298"/>
        </w:tabs>
        <w:ind w:firstLine="420" w:firstLineChars="200"/>
        <w:rPr>
          <w:szCs w:val="21"/>
        </w:rPr>
      </w:pPr>
      <m:oMathPara>
        <m:oMathParaPr>
          <m:jc m:val="right"/>
        </m:oMathParaPr>
        <m:oMath>
          <m:sSub>
            <m:sSubPr>
              <m:ctrlPr>
                <w:rPr>
                  <w:rFonts w:ascii="Cambria Math" w:hAnsi="Cambria Math"/>
                  <w:i/>
                  <w:szCs w:val="21"/>
                </w:rPr>
              </m:ctrlPr>
            </m:sSubPr>
            <m:e>
              <m:r>
                <m:rPr/>
                <w:rPr>
                  <w:rFonts w:ascii="Cambria Math" w:hAnsi="Cambria Math"/>
                  <w:szCs w:val="21"/>
                </w:rPr>
                <m:t>GHG</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r>
            <m:rPr/>
            <w:rPr>
              <w:rFonts w:hint="eastAsia" w:ascii="Cambria Math" w:hAnsi="Cambria Math"/>
              <w:szCs w:val="21"/>
            </w:rPr>
            <m:t>=</m:t>
          </m:r>
          <m:r>
            <m:rPr/>
            <w:rPr>
              <w:rFonts w:ascii="Cambria Math" w:hAnsi="Cambria Math" w:cs="Cambria Math"/>
              <w:szCs w:val="21"/>
            </w:rPr>
            <m:t>∑</m:t>
          </m:r>
          <m:r>
            <m:rPr>
              <m:sty m:val="p"/>
            </m:rPr>
            <w:rPr>
              <w:rFonts w:ascii="Cambria Math" w:hAnsi="Cambria Math"/>
              <w:szCs w:val="21"/>
            </w:rPr>
            <m:t>（</m:t>
          </m:r>
          <m:sSub>
            <m:sSubPr>
              <m:ctrlPr>
                <w:rPr>
                  <w:rFonts w:ascii="Cambria Math" w:hAnsi="Cambria Math"/>
                  <w:i/>
                  <w:szCs w:val="21"/>
                </w:rPr>
              </m:ctrlPr>
            </m:sSubPr>
            <m:e>
              <m:r>
                <m:rPr/>
                <w:rPr>
                  <w:rFonts w:ascii="Cambria Math" w:hAnsi="Cambria Math"/>
                  <w:szCs w:val="21"/>
                </w:rPr>
                <m:t>R</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r>
            <m:rPr>
              <m:sty m:val="p"/>
            </m:rPr>
            <w:rPr>
              <w:rFonts w:ascii="Cambria Math" w:hAnsi="Cambria Math"/>
              <w:szCs w:val="21"/>
            </w:rPr>
            <m:t>）</m:t>
          </m:r>
          <m:r>
            <m:rPr/>
            <w:rPr>
              <w:rFonts w:ascii="Cambria Math" w:hAnsi="Cambria Math" w:cs="Cambria Math"/>
              <w:szCs w:val="21"/>
            </w:rPr>
            <m:t>+∑</m:t>
          </m:r>
          <m:r>
            <m:rPr>
              <m:sty m:val="p"/>
            </m:rPr>
            <w:rPr>
              <w:rFonts w:hint="eastAsia" w:ascii="Cambria Math" w:hAnsi="Cambria Math" w:cs="Cambria Math"/>
              <w:szCs w:val="21"/>
            </w:rPr>
            <m:t>（</m:t>
          </m:r>
          <m:sSub>
            <m:sSubPr>
              <m:ctrlPr>
                <w:rPr>
                  <w:rFonts w:hint="eastAsia" w:ascii="Cambria Math" w:hAnsi="Cambria Math" w:cs="Cambria Math"/>
                  <w:i/>
                  <w:szCs w:val="21"/>
                </w:rPr>
              </m:ctrlPr>
            </m:sSubPr>
            <m:e>
              <m:r>
                <m:rPr/>
                <w:rPr>
                  <w:rFonts w:ascii="Cambria Math" w:hAnsi="Cambria Math" w:cs="Cambria Math"/>
                  <w:szCs w:val="21"/>
                </w:rPr>
                <m:t>R</m:t>
              </m:r>
              <m:ctrlPr>
                <w:rPr>
                  <w:rFonts w:hint="eastAsia" w:ascii="Cambria Math" w:hAnsi="Cambria Math" w:cs="Cambria Math"/>
                  <w:i/>
                  <w:szCs w:val="21"/>
                </w:rPr>
              </m:ctrlPr>
            </m:e>
            <m:sub>
              <m:r>
                <m:rPr/>
                <w:rPr>
                  <w:rFonts w:ascii="Cambria Math" w:hAnsi="Cambria Math" w:cs="Cambria Math"/>
                  <w:szCs w:val="21"/>
                </w:rPr>
                <m:t>n</m:t>
              </m:r>
              <m:ctrlPr>
                <w:rPr>
                  <w:rFonts w:hint="eastAsia" w:ascii="Cambria Math" w:hAnsi="Cambria Math" w:cs="Cambria Math"/>
                  <w:i/>
                  <w:szCs w:val="21"/>
                </w:rPr>
              </m:ctrlPr>
            </m:sub>
          </m:sSub>
          <m:r>
            <m:rPr/>
            <w:rPr>
              <w:rFonts w:ascii="Cambria Math" w:hAnsi="Cambria Math" w:cs="Cambria Math"/>
              <w:szCs w:val="21"/>
            </w:rPr>
            <m:t>×</m:t>
          </m:r>
          <m:sSub>
            <m:sSubPr>
              <m:ctrlPr>
                <w:rPr>
                  <w:rFonts w:ascii="Cambria Math" w:hAnsi="Cambria Math" w:cs="Cambria Math"/>
                  <w:i/>
                  <w:szCs w:val="21"/>
                </w:rPr>
              </m:ctrlPr>
            </m:sSubPr>
            <m:e>
              <m:r>
                <m:rPr/>
                <w:rPr>
                  <w:rFonts w:ascii="Cambria Math" w:hAnsi="Cambria Math" w:cs="Cambria Math"/>
                  <w:szCs w:val="21"/>
                </w:rPr>
                <m:t>D</m:t>
              </m:r>
              <m:ctrlPr>
                <w:rPr>
                  <w:rFonts w:ascii="Cambria Math" w:hAnsi="Cambria Math" w:cs="Cambria Math"/>
                  <w:i/>
                  <w:szCs w:val="21"/>
                </w:rPr>
              </m:ctrlPr>
            </m:e>
            <m:sub>
              <m:r>
                <m:rPr/>
                <w:rPr>
                  <w:rFonts w:ascii="Cambria Math" w:hAnsi="Cambria Math" w:cs="Cambria Math"/>
                  <w:szCs w:val="21"/>
                </w:rPr>
                <m:t>n,k</m:t>
              </m:r>
              <m:ctrlPr>
                <w:rPr>
                  <w:rFonts w:ascii="Cambria Math" w:hAnsi="Cambria Math" w:cs="Cambria Math"/>
                  <w:i/>
                  <w:szCs w:val="21"/>
                </w:rPr>
              </m:ctrlPr>
            </m:sub>
          </m:sSub>
          <m:r>
            <m:rPr/>
            <w:rPr>
              <w:rFonts w:ascii="Cambria Math" w:hAnsi="Cambria Math" w:cs="Cambria Math"/>
              <w:szCs w:val="21"/>
            </w:rPr>
            <m:t>×</m:t>
          </m:r>
          <m:sSub>
            <m:sSubPr>
              <m:ctrlPr>
                <w:rPr>
                  <w:rFonts w:ascii="Cambria Math" w:hAnsi="Cambria Math" w:cs="Cambria Math"/>
                  <w:i/>
                  <w:szCs w:val="21"/>
                </w:rPr>
              </m:ctrlPr>
            </m:sSubPr>
            <m:e>
              <m:r>
                <m:rPr/>
                <w:rPr>
                  <w:rFonts w:ascii="Cambria Math" w:hAnsi="Cambria Math" w:cs="Cambria Math"/>
                  <w:szCs w:val="21"/>
                </w:rPr>
                <m:t>β</m:t>
              </m:r>
              <m:ctrlPr>
                <w:rPr>
                  <w:rFonts w:ascii="Cambria Math" w:hAnsi="Cambria Math" w:cs="Cambria Math"/>
                  <w:i/>
                  <w:szCs w:val="21"/>
                </w:rPr>
              </m:ctrlPr>
            </m:e>
            <m:sub>
              <m:r>
                <m:rPr/>
                <w:rPr>
                  <w:rFonts w:ascii="Cambria Math" w:hAnsi="Cambria Math" w:cs="Cambria Math"/>
                  <w:szCs w:val="21"/>
                </w:rPr>
                <m:t>k,i</m:t>
              </m:r>
              <m:ctrlPr>
                <w:rPr>
                  <w:rFonts w:ascii="Cambria Math" w:hAnsi="Cambria Math" w:cs="Cambria Math"/>
                  <w:i/>
                  <w:szCs w:val="21"/>
                </w:rPr>
              </m:ctrlPr>
            </m:sub>
          </m:sSub>
          <m:r>
            <m:rPr>
              <m:sty m:val="p"/>
            </m:rPr>
            <w:rPr>
              <w:rFonts w:hint="eastAsia" w:ascii="Cambria Math" w:hAnsi="Cambria Math" w:cs="Cambria Math"/>
              <w:szCs w:val="21"/>
            </w:rPr>
            <m:t>）</m:t>
          </m:r>
          <m:r>
            <m:rPr>
              <m:sty m:val="p"/>
            </m:rPr>
            <w:rPr>
              <w:rFonts w:ascii="Cambria Math" w:hAnsi="Cambria Math" w:cs="Cambria Math"/>
              <w:szCs w:val="21"/>
            </w:rPr>
            <m:t>⋯⋯⋯⋯⋯⋯</m:t>
          </m:r>
          <m:r>
            <m:rPr>
              <m:sty m:val="p"/>
            </m:rPr>
            <w:rPr>
              <w:rFonts w:hint="eastAsia" w:ascii="Cambria Math" w:hAnsi="Cambria Math" w:cs="Cambria Math"/>
              <w:szCs w:val="21"/>
            </w:rPr>
            <m:t>（</m:t>
          </m:r>
          <m:r>
            <m:rPr>
              <m:sty m:val="p"/>
            </m:rPr>
            <w:rPr>
              <w:rFonts w:ascii="Cambria Math" w:hAnsi="Cambria Math" w:cs="Cambria Math"/>
              <w:szCs w:val="21"/>
            </w:rPr>
            <m:t>2</m:t>
          </m:r>
          <m:r>
            <m:rPr>
              <m:sty m:val="p"/>
            </m:rPr>
            <w:rPr>
              <w:rFonts w:hint="eastAsia" w:ascii="Cambria Math" w:hAnsi="Cambria Math" w:cs="Cambria Math"/>
              <w:szCs w:val="21"/>
            </w:rPr>
            <m:t>）</m:t>
          </m:r>
        </m:oMath>
      </m:oMathPara>
    </w:p>
    <w:p>
      <w:pPr>
        <w:tabs>
          <w:tab w:val="center" w:pos="4201"/>
          <w:tab w:val="right" w:leader="dot" w:pos="9298"/>
        </w:tabs>
        <w:ind w:firstLine="420" w:firstLineChars="200"/>
        <w:rPr>
          <w:szCs w:val="21"/>
        </w:rPr>
      </w:pPr>
      <w:r>
        <w:rPr>
          <w:rFonts w:hint="eastAsia"/>
          <w:szCs w:val="21"/>
        </w:rPr>
        <w:t>式中：</w:t>
      </w:r>
    </w:p>
    <w:p>
      <w:pPr>
        <w:tabs>
          <w:tab w:val="center" w:pos="4201"/>
          <w:tab w:val="right" w:leader="dot" w:pos="9298"/>
        </w:tabs>
        <w:ind w:firstLine="420" w:firstLineChars="200"/>
        <w:rPr>
          <w:szCs w:val="21"/>
        </w:rPr>
      </w:pPr>
      <w:r>
        <w:rPr>
          <w:rFonts w:hint="eastAsia"/>
          <w:i/>
          <w:iCs/>
          <w:szCs w:val="21"/>
        </w:rPr>
        <w:t>GHG</w:t>
      </w:r>
      <w:r>
        <w:rPr>
          <w:rFonts w:hint="eastAsia"/>
          <w:i/>
          <w:iCs/>
          <w:szCs w:val="21"/>
          <w:vertAlign w:val="subscript"/>
        </w:rPr>
        <w:t>n</w:t>
      </w:r>
      <w:r>
        <w:rPr>
          <w:rFonts w:hint="eastAsia"/>
          <w:szCs w:val="21"/>
        </w:rPr>
        <w:t>——项目</w:t>
      </w:r>
      <w:r>
        <w:rPr>
          <w:rFonts w:hint="eastAsia"/>
          <w:i/>
          <w:iCs/>
          <w:szCs w:val="21"/>
        </w:rPr>
        <w:t>n</w:t>
      </w:r>
      <w:r>
        <w:rPr>
          <w:rFonts w:hint="eastAsia"/>
          <w:szCs w:val="21"/>
        </w:rPr>
        <w:t>原始数据碳排放，单位为千克（kg）；</w:t>
      </w:r>
    </w:p>
    <w:p>
      <w:pPr>
        <w:tabs>
          <w:tab w:val="center" w:pos="4201"/>
          <w:tab w:val="right" w:leader="dot" w:pos="9298"/>
        </w:tabs>
        <w:ind w:firstLine="420" w:firstLineChars="200"/>
        <w:rPr>
          <w:szCs w:val="21"/>
        </w:rPr>
      </w:pPr>
      <w:r>
        <w:rPr>
          <w:rFonts w:hint="eastAsia"/>
          <w:i/>
          <w:iCs/>
          <w:szCs w:val="21"/>
        </w:rPr>
        <w:t>R</w:t>
      </w:r>
      <w:r>
        <w:rPr>
          <w:rFonts w:hint="eastAsia"/>
          <w:i/>
          <w:iCs/>
          <w:szCs w:val="21"/>
          <w:vertAlign w:val="subscript"/>
        </w:rPr>
        <w:t>n</w:t>
      </w:r>
      <w:r>
        <w:rPr>
          <w:rFonts w:hint="eastAsia"/>
          <w:szCs w:val="21"/>
        </w:rPr>
        <w:t>——第</w:t>
      </w:r>
      <w:r>
        <w:rPr>
          <w:rFonts w:hint="eastAsia"/>
          <w:i/>
          <w:iCs/>
          <w:szCs w:val="21"/>
        </w:rPr>
        <w:t>n</w:t>
      </w:r>
      <w:r>
        <w:rPr>
          <w:rFonts w:hint="eastAsia"/>
          <w:szCs w:val="21"/>
        </w:rPr>
        <w:t>类资源或能源的活动数据，单位为千克（kg）；</w:t>
      </w:r>
    </w:p>
    <w:p>
      <w:pPr>
        <w:tabs>
          <w:tab w:val="center" w:pos="4201"/>
          <w:tab w:val="right" w:leader="dot" w:pos="9298"/>
        </w:tabs>
        <w:ind w:firstLine="420" w:firstLineChars="200"/>
        <w:rPr>
          <w:szCs w:val="21"/>
        </w:rPr>
      </w:pPr>
      <w:r>
        <w:rPr>
          <w:i/>
          <w:iCs/>
          <w:szCs w:val="21"/>
        </w:rPr>
        <w:t>α</w:t>
      </w:r>
      <w:r>
        <w:rPr>
          <w:rFonts w:hint="eastAsia"/>
          <w:i/>
          <w:iCs/>
          <w:szCs w:val="21"/>
          <w:vertAlign w:val="subscript"/>
        </w:rPr>
        <w:t>n</w:t>
      </w:r>
      <w:r>
        <w:rPr>
          <w:rFonts w:hint="eastAsia"/>
          <w:szCs w:val="21"/>
        </w:rPr>
        <w:t>——第</w:t>
      </w:r>
      <w:r>
        <w:rPr>
          <w:rFonts w:hint="eastAsia"/>
          <w:i/>
          <w:iCs/>
          <w:szCs w:val="21"/>
        </w:rPr>
        <w:t>n</w:t>
      </w:r>
      <w:r>
        <w:rPr>
          <w:rFonts w:hint="eastAsia"/>
          <w:szCs w:val="21"/>
        </w:rPr>
        <w:t>类资源或能源项目的GHG排放因子；</w:t>
      </w:r>
    </w:p>
    <w:p>
      <w:pPr>
        <w:tabs>
          <w:tab w:val="center" w:pos="4201"/>
          <w:tab w:val="right" w:leader="dot" w:pos="9298"/>
        </w:tabs>
        <w:ind w:firstLine="420" w:firstLineChars="200"/>
        <w:rPr>
          <w:szCs w:val="21"/>
        </w:rPr>
      </w:pPr>
      <w:r>
        <w:rPr>
          <w:rFonts w:hint="eastAsia"/>
          <w:i/>
          <w:iCs/>
          <w:szCs w:val="21"/>
        </w:rPr>
        <w:t>D</w:t>
      </w:r>
      <w:r>
        <w:rPr>
          <w:rFonts w:hint="eastAsia"/>
          <w:i/>
          <w:iCs/>
          <w:szCs w:val="21"/>
          <w:vertAlign w:val="subscript"/>
        </w:rPr>
        <w:t>n,k</w:t>
      </w:r>
      <w:r>
        <w:rPr>
          <w:rFonts w:hint="eastAsia"/>
          <w:szCs w:val="21"/>
        </w:rPr>
        <w:t>——第</w:t>
      </w:r>
      <w:r>
        <w:rPr>
          <w:rFonts w:hint="eastAsia"/>
          <w:i/>
          <w:iCs/>
          <w:szCs w:val="21"/>
        </w:rPr>
        <w:t>n</w:t>
      </w:r>
      <w:r>
        <w:rPr>
          <w:rFonts w:hint="eastAsia"/>
          <w:szCs w:val="21"/>
        </w:rPr>
        <w:t>类资源或能源项目第</w:t>
      </w:r>
      <w:r>
        <w:rPr>
          <w:rFonts w:hint="eastAsia"/>
          <w:i/>
          <w:iCs/>
          <w:szCs w:val="21"/>
        </w:rPr>
        <w:t>k</w:t>
      </w:r>
      <w:r>
        <w:rPr>
          <w:rFonts w:hint="eastAsia"/>
          <w:szCs w:val="21"/>
        </w:rPr>
        <w:t>种运输方式的加权运输距离，单位为公里（km）；</w:t>
      </w:r>
    </w:p>
    <w:p>
      <w:pPr>
        <w:tabs>
          <w:tab w:val="center" w:pos="4201"/>
          <w:tab w:val="right" w:leader="dot" w:pos="9298"/>
        </w:tabs>
        <w:ind w:firstLine="420" w:firstLineChars="200"/>
        <w:rPr>
          <w:szCs w:val="21"/>
        </w:rPr>
      </w:pPr>
      <w:r>
        <w:rPr>
          <w:rFonts w:ascii="Arial" w:hAnsi="Arial" w:cs="Arial"/>
          <w:i/>
          <w:iCs/>
          <w:szCs w:val="21"/>
        </w:rPr>
        <w:t>β</w:t>
      </w:r>
      <w:r>
        <w:rPr>
          <w:rFonts w:hint="eastAsia"/>
          <w:i/>
          <w:iCs/>
          <w:szCs w:val="21"/>
          <w:vertAlign w:val="subscript"/>
        </w:rPr>
        <w:t>k,i</w:t>
      </w:r>
      <w:r>
        <w:rPr>
          <w:rFonts w:hint="eastAsia"/>
          <w:szCs w:val="21"/>
        </w:rPr>
        <w:t>——第</w:t>
      </w:r>
      <w:r>
        <w:rPr>
          <w:rFonts w:hint="eastAsia"/>
          <w:i/>
          <w:iCs/>
          <w:szCs w:val="21"/>
        </w:rPr>
        <w:t>k</w:t>
      </w:r>
      <w:r>
        <w:rPr>
          <w:rFonts w:hint="eastAsia"/>
          <w:szCs w:val="21"/>
        </w:rPr>
        <w:t>种运输方式的第</w:t>
      </w:r>
      <w:r>
        <w:rPr>
          <w:rFonts w:hint="eastAsia"/>
          <w:i/>
          <w:iCs/>
          <w:szCs w:val="21"/>
        </w:rPr>
        <w:t>i</w:t>
      </w:r>
      <w:r>
        <w:rPr>
          <w:rFonts w:hint="eastAsia"/>
          <w:szCs w:val="21"/>
        </w:rPr>
        <w:t>种温室气体排放因子，单位为千克每吨公里（kg/t</w:t>
      </w:r>
      <w:r>
        <w:rPr>
          <w:szCs w:val="21"/>
        </w:rPr>
        <w:t>·</w:t>
      </w:r>
      <w:r>
        <w:rPr>
          <w:rFonts w:hint="eastAsia"/>
          <w:szCs w:val="21"/>
        </w:rPr>
        <w:t>km）。</w:t>
      </w:r>
    </w:p>
    <w:p>
      <w:pPr>
        <w:tabs>
          <w:tab w:val="center" w:pos="4201"/>
          <w:tab w:val="right" w:leader="dot" w:pos="9298"/>
        </w:tabs>
        <w:ind w:left="780" w:leftChars="200" w:hanging="360" w:hangingChars="200"/>
        <w:rPr>
          <w:sz w:val="18"/>
          <w:szCs w:val="18"/>
        </w:rPr>
      </w:pPr>
      <w:r>
        <w:rPr>
          <w:rFonts w:hint="eastAsia" w:ascii="黑体" w:hAnsi="黑体" w:eastAsia="黑体" w:cs="黑体"/>
          <w:sz w:val="18"/>
          <w:szCs w:val="18"/>
        </w:rPr>
        <w:t>注1</w:t>
      </w:r>
      <w:r>
        <w:rPr>
          <w:rFonts w:hint="eastAsia"/>
          <w:sz w:val="18"/>
          <w:szCs w:val="18"/>
        </w:rPr>
        <w:t>：现场数据的排放因子采用GB/T 32150规定的核算方法进行核算；</w:t>
      </w:r>
    </w:p>
    <w:p>
      <w:pPr>
        <w:tabs>
          <w:tab w:val="center" w:pos="4201"/>
          <w:tab w:val="right" w:leader="dot" w:pos="9298"/>
        </w:tabs>
        <w:ind w:left="780" w:leftChars="200" w:hanging="360" w:hangingChars="200"/>
        <w:rPr>
          <w:rFonts w:hint="eastAsia"/>
          <w:sz w:val="18"/>
          <w:szCs w:val="18"/>
        </w:rPr>
      </w:pPr>
      <w:r>
        <w:rPr>
          <w:rFonts w:hint="eastAsia" w:ascii="黑体" w:hAnsi="黑体" w:eastAsia="黑体" w:cs="黑体"/>
          <w:sz w:val="18"/>
          <w:szCs w:val="18"/>
        </w:rPr>
        <w:t>注2</w:t>
      </w:r>
      <w:r>
        <w:rPr>
          <w:rFonts w:hint="eastAsia"/>
          <w:sz w:val="18"/>
          <w:szCs w:val="18"/>
        </w:rPr>
        <w:t>：其他原始数据排放因子采用来自其他可比产品系统的数据或采用其他满足产品系统数据质量要求的可信的公开因子（如国家电力排放因子），当使用以上来源数据时需单独予以说明</w:t>
      </w:r>
      <w:r>
        <w:rPr>
          <w:rFonts w:hint="eastAsia"/>
          <w:sz w:val="18"/>
          <w:szCs w:val="18"/>
          <w:lang w:eastAsia="zh-CN"/>
        </w:rPr>
        <w:t>，</w:t>
      </w:r>
      <w:r>
        <w:rPr>
          <w:rFonts w:hint="eastAsia"/>
          <w:sz w:val="18"/>
          <w:szCs w:val="18"/>
          <w:lang w:val="en-US" w:eastAsia="zh-CN"/>
        </w:rPr>
        <w:t>部分排放因子相关参数推荐值见附录B</w:t>
      </w:r>
      <w:r>
        <w:rPr>
          <w:rFonts w:hint="eastAsia"/>
          <w:sz w:val="18"/>
          <w:szCs w:val="18"/>
        </w:rPr>
        <w:t>。</w:t>
      </w:r>
    </w:p>
    <w:p>
      <w:pPr>
        <w:tabs>
          <w:tab w:val="center" w:pos="4201"/>
          <w:tab w:val="right" w:leader="dot" w:pos="9298"/>
        </w:tabs>
        <w:ind w:left="780" w:leftChars="200" w:hanging="360" w:hangingChars="200"/>
        <w:rPr>
          <w:rFonts w:hint="eastAsia"/>
          <w:sz w:val="18"/>
          <w:szCs w:val="18"/>
          <w:lang w:eastAsia="zh-CN"/>
        </w:rPr>
      </w:pPr>
      <w:r>
        <w:rPr>
          <w:rFonts w:hint="eastAsia" w:ascii="黑体" w:hAnsi="黑体" w:eastAsia="黑体" w:cs="黑体"/>
          <w:sz w:val="18"/>
          <w:szCs w:val="18"/>
        </w:rPr>
        <w:t>注</w:t>
      </w:r>
      <w:r>
        <w:rPr>
          <w:rFonts w:hint="eastAsia" w:ascii="黑体" w:hAnsi="黑体" w:eastAsia="黑体" w:cs="黑体"/>
          <w:sz w:val="18"/>
          <w:szCs w:val="18"/>
          <w:lang w:val="en-US" w:eastAsia="zh-CN"/>
        </w:rPr>
        <w:t>3</w:t>
      </w:r>
      <w:r>
        <w:rPr>
          <w:rFonts w:hint="eastAsia"/>
          <w:sz w:val="18"/>
          <w:szCs w:val="18"/>
        </w:rPr>
        <w:t>：</w:t>
      </w:r>
      <w:r>
        <w:rPr>
          <w:rFonts w:hint="eastAsia"/>
          <w:sz w:val="18"/>
          <w:szCs w:val="18"/>
          <w:lang w:val="en-US" w:eastAsia="zh-CN"/>
        </w:rPr>
        <w:t>系统边界内资源或能源温室气体排放核算方法参照</w:t>
      </w:r>
      <w:r>
        <w:rPr>
          <w:rFonts w:hint="eastAsia"/>
          <w:sz w:val="18"/>
          <w:szCs w:val="18"/>
        </w:rPr>
        <w:t>《中国造纸和纸制品生产企业温室气体排放核算方法与报告指南</w:t>
      </w:r>
      <w:r>
        <w:rPr>
          <w:rFonts w:hint="eastAsia"/>
          <w:sz w:val="18"/>
          <w:szCs w:val="18"/>
          <w:lang w:eastAsia="zh-CN"/>
        </w:rPr>
        <w:t>（</w:t>
      </w:r>
      <w:r>
        <w:rPr>
          <w:rFonts w:hint="eastAsia"/>
          <w:sz w:val="18"/>
          <w:szCs w:val="18"/>
        </w:rPr>
        <w:t>试行</w:t>
      </w:r>
      <w:r>
        <w:rPr>
          <w:rFonts w:hint="eastAsia"/>
          <w:sz w:val="18"/>
          <w:szCs w:val="18"/>
          <w:lang w:eastAsia="zh-CN"/>
        </w:rPr>
        <w:t>）</w:t>
      </w:r>
      <w:r>
        <w:rPr>
          <w:rFonts w:hint="eastAsia"/>
          <w:sz w:val="18"/>
          <w:szCs w:val="18"/>
        </w:rPr>
        <w:t>》</w:t>
      </w:r>
      <w:r>
        <w:rPr>
          <w:rFonts w:hint="eastAsia"/>
          <w:sz w:val="18"/>
          <w:szCs w:val="18"/>
          <w:lang w:eastAsia="zh-CN"/>
        </w:rPr>
        <w:t>。</w:t>
      </w:r>
    </w:p>
    <w:p>
      <w:pPr>
        <w:tabs>
          <w:tab w:val="center" w:pos="4201"/>
          <w:tab w:val="right" w:leader="dot" w:pos="9298"/>
        </w:tabs>
        <w:ind w:left="780" w:leftChars="200" w:hanging="360" w:hangingChars="200"/>
        <w:rPr>
          <w:rFonts w:hint="eastAsia"/>
          <w:sz w:val="18"/>
          <w:szCs w:val="18"/>
          <w:lang w:eastAsia="zh-CN"/>
        </w:rPr>
      </w:pPr>
    </w:p>
    <w:p>
      <w:pPr>
        <w:keepNext/>
        <w:keepLines/>
        <w:spacing w:before="156" w:beforeLines="50" w:after="156" w:afterLines="50"/>
        <w:outlineLvl w:val="1"/>
        <w:rPr>
          <w:rFonts w:hint="default" w:ascii="黑体" w:hAnsi="黑体" w:eastAsia="黑体"/>
          <w:bCs/>
          <w:color w:val="auto"/>
          <w:szCs w:val="21"/>
          <w:lang w:val="en-US" w:eastAsia="zh-CN"/>
        </w:rPr>
      </w:pPr>
      <w:r>
        <w:rPr>
          <w:rFonts w:hint="eastAsia" w:ascii="黑体" w:hAnsi="黑体" w:eastAsia="黑体"/>
          <w:bCs/>
          <w:color w:val="auto"/>
          <w:szCs w:val="21"/>
        </w:rPr>
        <w:t>9</w:t>
      </w:r>
      <w:r>
        <w:rPr>
          <w:rFonts w:ascii="黑体" w:hAnsi="黑体" w:eastAsia="黑体"/>
          <w:bCs/>
          <w:color w:val="auto"/>
          <w:szCs w:val="21"/>
        </w:rPr>
        <w:t>.</w:t>
      </w:r>
      <w:r>
        <w:rPr>
          <w:rFonts w:hint="eastAsia" w:ascii="黑体" w:hAnsi="黑体" w:eastAsia="黑体"/>
          <w:bCs/>
          <w:color w:val="auto"/>
          <w:szCs w:val="21"/>
        </w:rPr>
        <w:t>3</w:t>
      </w:r>
      <w:r>
        <w:rPr>
          <w:rFonts w:ascii="黑体" w:hAnsi="黑体" w:eastAsia="黑体"/>
          <w:bCs/>
          <w:color w:val="auto"/>
          <w:szCs w:val="21"/>
        </w:rPr>
        <w:t xml:space="preserve"> </w:t>
      </w:r>
      <w:r>
        <w:rPr>
          <w:rFonts w:hint="eastAsia" w:ascii="黑体" w:hAnsi="黑体" w:eastAsia="黑体"/>
          <w:bCs/>
          <w:color w:val="auto"/>
          <w:szCs w:val="21"/>
        </w:rPr>
        <w:t xml:space="preserve"> 清除的</w:t>
      </w:r>
      <w:r>
        <w:rPr>
          <w:rFonts w:hint="eastAsia" w:ascii="黑体" w:hAnsi="黑体" w:eastAsia="黑体"/>
          <w:bCs/>
          <w:i w:val="0"/>
          <w:iCs w:val="0"/>
          <w:color w:val="auto"/>
          <w:szCs w:val="21"/>
        </w:rPr>
        <w:t>GHG</w:t>
      </w:r>
    </w:p>
    <w:p>
      <w:pPr>
        <w:keepNext/>
        <w:keepLines/>
        <w:spacing w:before="156" w:beforeLines="50" w:after="156" w:afterLines="50"/>
        <w:outlineLvl w:val="1"/>
        <w:rPr>
          <w:rFonts w:hint="default" w:ascii="黑体" w:hAnsi="黑体" w:eastAsia="黑体"/>
          <w:bCs/>
          <w:szCs w:val="21"/>
          <w:lang w:val="en-US" w:eastAsia="zh-CN"/>
        </w:rPr>
      </w:pPr>
      <w:r>
        <w:rPr>
          <w:rFonts w:hint="eastAsia" w:ascii="黑体" w:hAnsi="黑体" w:eastAsia="黑体"/>
          <w:bCs/>
          <w:szCs w:val="21"/>
          <w:lang w:val="en-US" w:eastAsia="zh-CN"/>
        </w:rPr>
        <w:t>9</w:t>
      </w:r>
      <w:r>
        <w:rPr>
          <w:rFonts w:ascii="黑体" w:hAnsi="黑体" w:eastAsia="黑体"/>
          <w:bCs/>
          <w:szCs w:val="21"/>
        </w:rPr>
        <w:t>.</w:t>
      </w:r>
      <w:r>
        <w:rPr>
          <w:rFonts w:hint="eastAsia" w:ascii="黑体" w:hAnsi="黑体" w:eastAsia="黑体"/>
          <w:bCs/>
          <w:szCs w:val="21"/>
          <w:lang w:val="en-US" w:eastAsia="zh-CN"/>
        </w:rPr>
        <w:t>3</w:t>
      </w:r>
      <w:r>
        <w:rPr>
          <w:rFonts w:ascii="黑体" w:hAnsi="黑体" w:eastAsia="黑体"/>
          <w:bCs/>
          <w:szCs w:val="21"/>
        </w:rPr>
        <w:t>.</w:t>
      </w:r>
      <w:r>
        <w:rPr>
          <w:rFonts w:hint="eastAsia" w:ascii="黑体" w:hAnsi="黑体" w:eastAsia="黑体"/>
          <w:bCs/>
          <w:szCs w:val="21"/>
          <w:lang w:val="en-US" w:eastAsia="zh-CN"/>
        </w:rPr>
        <w:t>1</w:t>
      </w:r>
      <w:r>
        <w:rPr>
          <w:rFonts w:ascii="黑体" w:hAnsi="黑体" w:eastAsia="黑体"/>
          <w:bCs/>
          <w:szCs w:val="21"/>
        </w:rPr>
        <w:t xml:space="preserve">  </w:t>
      </w:r>
      <w:r>
        <w:rPr>
          <w:rFonts w:hint="eastAsia" w:ascii="黑体" w:hAnsi="黑体" w:eastAsia="黑体"/>
          <w:bCs/>
          <w:szCs w:val="21"/>
          <w:lang w:val="en-US" w:eastAsia="zh-CN"/>
        </w:rPr>
        <w:t>森林碳存储</w:t>
      </w:r>
    </w:p>
    <w:p>
      <w:pPr>
        <w:tabs>
          <w:tab w:val="center" w:pos="4201"/>
          <w:tab w:val="right" w:leader="dot" w:pos="9298"/>
        </w:tabs>
        <w:ind w:left="840" w:leftChars="200" w:hanging="420" w:hangingChars="200"/>
        <w:rPr>
          <w:rFonts w:hint="default"/>
          <w:szCs w:val="21"/>
          <w:lang w:val="en-US" w:eastAsia="zh-CN"/>
        </w:rPr>
      </w:pPr>
      <w:r>
        <w:rPr>
          <w:rFonts w:hint="eastAsia"/>
          <w:szCs w:val="21"/>
          <w:lang w:val="en-US" w:eastAsia="zh-CN"/>
        </w:rPr>
        <w:t>若一次性卫生用品使用木纤维或竹纤维为原料，则选择计算森林碳存储。</w:t>
      </w:r>
    </w:p>
    <w:p>
      <w:pPr>
        <w:tabs>
          <w:tab w:val="center" w:pos="4201"/>
          <w:tab w:val="right" w:leader="dot" w:pos="9298"/>
        </w:tabs>
        <w:ind w:left="840" w:leftChars="200" w:hanging="420" w:hangingChars="200"/>
        <w:rPr>
          <w:rFonts w:hint="eastAsia" w:eastAsia="宋体"/>
          <w:szCs w:val="21"/>
          <w:lang w:eastAsia="zh-CN"/>
        </w:rPr>
      </w:pPr>
      <w:r>
        <w:rPr>
          <w:rFonts w:hint="eastAsia"/>
          <w:szCs w:val="21"/>
          <w:lang w:val="en-US" w:eastAsia="zh-CN"/>
        </w:rPr>
        <w:t>a</w:t>
      </w:r>
      <w:r>
        <w:rPr>
          <w:rFonts w:hint="eastAsia"/>
          <w:szCs w:val="21"/>
          <w:lang w:eastAsia="zh-CN"/>
        </w:rPr>
        <w:t>）</w:t>
      </w:r>
      <w:r>
        <w:rPr>
          <w:rFonts w:hint="eastAsia"/>
          <w:szCs w:val="21"/>
          <w:lang w:val="en-US" w:eastAsia="zh-CN"/>
        </w:rPr>
        <w:t>森林</w:t>
      </w:r>
      <w:r>
        <w:rPr>
          <w:rFonts w:hint="eastAsia"/>
          <w:szCs w:val="21"/>
          <w:lang w:eastAsia="zh-CN"/>
        </w:rPr>
        <w:t>碳存储包括地上部和地下部的生物质、死有机质和土壤有机质中的碳库。若纸浆原料获取涉及土地利用变化，相应的碳存储变化量按公式（</w:t>
      </w:r>
      <w:r>
        <w:rPr>
          <w:rFonts w:hint="eastAsia"/>
          <w:szCs w:val="21"/>
          <w:lang w:val="en-US" w:eastAsia="zh-CN"/>
        </w:rPr>
        <w:t>3</w:t>
      </w:r>
      <w:r>
        <w:rPr>
          <w:rFonts w:hint="eastAsia"/>
          <w:szCs w:val="21"/>
          <w:lang w:eastAsia="zh-CN"/>
        </w:rPr>
        <w:t>）</w:t>
      </w:r>
      <w:r>
        <w:rPr>
          <w:rFonts w:hint="eastAsia"/>
          <w:szCs w:val="21"/>
          <w:lang w:val="en-US" w:eastAsia="zh-CN"/>
        </w:rPr>
        <w:t>进行计算</w:t>
      </w:r>
      <w:r>
        <w:rPr>
          <w:rFonts w:hint="eastAsia"/>
          <w:szCs w:val="21"/>
          <w:lang w:eastAsia="zh-CN"/>
        </w:rPr>
        <w:t>。</w:t>
      </w:r>
    </w:p>
    <w:p>
      <w:pPr>
        <w:tabs>
          <w:tab w:val="center" w:pos="4201"/>
          <w:tab w:val="right" w:leader="dot" w:pos="9298"/>
        </w:tabs>
        <w:ind w:left="840" w:leftChars="200" w:hanging="420" w:hangingChars="200"/>
        <w:rPr>
          <w:rFonts w:hint="eastAsia" w:eastAsia="宋体"/>
          <w:szCs w:val="21"/>
          <w:lang w:eastAsia="zh-CN"/>
        </w:rPr>
      </w:pPr>
      <m:oMathPara>
        <m:oMathParaPr>
          <m:jc m:val="right"/>
        </m:oMathParaPr>
        <m:oMath>
          <m:sSub>
            <m:sSubPr>
              <m:ctrlPr>
                <w:rPr>
                  <w:rFonts w:ascii="Cambria Math" w:hAnsi="Cambria Math"/>
                  <w:i/>
                  <w:szCs w:val="21"/>
                </w:rPr>
              </m:ctrlPr>
            </m:sSubPr>
            <m:e>
              <m:r>
                <m:rPr/>
                <w:rPr>
                  <w:rFonts w:hint="default" w:ascii="Cambria Math" w:hAnsi="Cambria Math"/>
                  <w:szCs w:val="21"/>
                  <w:lang w:val="en-US" w:eastAsia="zh-CN"/>
                </w:rPr>
                <m:t>G</m:t>
              </m:r>
              <m:ctrlPr>
                <w:rPr>
                  <w:rFonts w:ascii="Cambria Math" w:hAnsi="Cambria Math"/>
                  <w:i/>
                  <w:szCs w:val="21"/>
                </w:rPr>
              </m:ctrlPr>
            </m:e>
            <m:sub>
              <m:r>
                <m:rPr>
                  <m:sty m:val="p"/>
                </m:rPr>
                <w:rPr>
                  <w:rFonts w:hint="default" w:ascii="Cambria Math" w:hAnsi="Cambria Math"/>
                  <w:szCs w:val="21"/>
                  <w:lang w:val="en-US" w:eastAsia="zh-CN"/>
                </w:rPr>
                <m:t>f</m:t>
              </m:r>
              <m:ctrlPr>
                <w:rPr>
                  <w:rFonts w:ascii="Cambria Math" w:hAnsi="Cambria Math"/>
                  <w:i/>
                  <w:szCs w:val="21"/>
                </w:rPr>
              </m:ctrlPr>
            </m:sub>
          </m:sSub>
          <m:r>
            <m:rPr/>
            <w:rPr>
              <w:rFonts w:hint="default" w:ascii="Cambria Math" w:hAnsi="Cambria Math" w:cs="Cambria Math"/>
              <w:szCs w:val="21"/>
            </w:rPr>
            <m:t>=</m:t>
          </m:r>
          <m:nary>
            <m:naryPr>
              <m:chr m:val="∑"/>
              <m:limLoc m:val="subSup"/>
              <m:ctrlPr>
                <w:rPr>
                  <w:rFonts w:hint="default" w:ascii="Cambria Math" w:hAnsi="Cambria Math" w:cs="Cambria Math"/>
                  <w:i/>
                  <w:szCs w:val="21"/>
                </w:rPr>
              </m:ctrlPr>
            </m:naryPr>
            <m:sub>
              <m:r>
                <m:rPr/>
                <w:rPr>
                  <w:rFonts w:hint="default" w:ascii="Cambria Math" w:hAnsi="Cambria Math" w:cs="Cambria Math"/>
                  <w:szCs w:val="21"/>
                  <w:lang w:val="en-US" w:eastAsia="zh-CN"/>
                </w:rPr>
                <m:t>i</m:t>
              </m:r>
              <m:r>
                <m:rPr/>
                <w:rPr>
                  <w:rFonts w:ascii="Cambria Math" w:hAnsi="Cambria Math" w:cs="Cambria Math"/>
                  <w:szCs w:val="21"/>
                  <w:lang w:val="en-US"/>
                </w:rPr>
                <m:t>=</m:t>
              </m:r>
              <m:r>
                <m:rPr/>
                <w:rPr>
                  <w:rFonts w:hint="default" w:ascii="Cambria Math" w:hAnsi="Cambria Math" w:cs="Cambria Math"/>
                  <w:szCs w:val="21"/>
                  <w:lang w:val="en-US" w:eastAsia="zh-CN"/>
                </w:rPr>
                <m:t>1</m:t>
              </m:r>
              <m:ctrlPr>
                <w:rPr>
                  <w:rFonts w:hint="default" w:ascii="Cambria Math" w:hAnsi="Cambria Math" w:cs="Cambria Math"/>
                  <w:i/>
                  <w:szCs w:val="21"/>
                </w:rPr>
              </m:ctrlPr>
            </m:sub>
            <m:sup>
              <m:r>
                <m:rPr/>
                <w:rPr>
                  <w:rFonts w:hint="default" w:ascii="Cambria Math" w:hAnsi="Cambria Math" w:cs="Cambria Math"/>
                  <w:szCs w:val="21"/>
                  <w:lang w:val="en-US" w:eastAsia="zh-CN"/>
                </w:rPr>
                <m:t>n</m:t>
              </m:r>
              <m:ctrlPr>
                <w:rPr>
                  <w:rFonts w:hint="default" w:ascii="Cambria Math" w:hAnsi="Cambria Math" w:cs="Cambria Math"/>
                  <w:i/>
                  <w:szCs w:val="21"/>
                </w:rPr>
              </m:ctrlPr>
            </m:sup>
            <m:e>
              <m:d>
                <m:dPr>
                  <m:ctrlPr>
                    <w:rPr>
                      <w:rFonts w:hint="default" w:ascii="Cambria Math" w:hAnsi="Cambria Math" w:cs="Cambria Math"/>
                      <w:i/>
                      <w:szCs w:val="21"/>
                    </w:rPr>
                  </m:ctrlPr>
                </m:dPr>
                <m:e>
                  <m:sSub>
                    <m:sSubPr>
                      <m:ctrlPr>
                        <w:rPr>
                          <w:rFonts w:hint="default" w:ascii="Cambria Math" w:hAnsi="Cambria Math" w:cs="Cambria Math"/>
                          <w:i/>
                          <w:szCs w:val="21"/>
                        </w:rPr>
                      </m:ctrlPr>
                    </m:sSubPr>
                    <m:e>
                      <m:r>
                        <m:rPr/>
                        <w:rPr>
                          <w:rFonts w:hint="default" w:ascii="Cambria Math" w:hAnsi="Cambria Math" w:cs="Cambria Math"/>
                          <w:szCs w:val="21"/>
                          <w:lang w:val="en-US" w:eastAsia="zh-CN"/>
                        </w:rPr>
                        <m:t>R2</m:t>
                      </m:r>
                      <m:ctrlPr>
                        <w:rPr>
                          <w:rFonts w:hint="default" w:ascii="Cambria Math" w:hAnsi="Cambria Math" w:cs="Cambria Math"/>
                          <w:i/>
                          <w:szCs w:val="21"/>
                        </w:rPr>
                      </m:ctrlPr>
                    </m:e>
                    <m:sub>
                      <m:r>
                        <m:rPr/>
                        <w:rPr>
                          <w:rFonts w:hint="default" w:ascii="Cambria Math" w:hAnsi="Cambria Math" w:cs="Cambria Math"/>
                          <w:szCs w:val="21"/>
                          <w:lang w:val="en-US" w:eastAsia="zh-CN"/>
                        </w:rPr>
                        <m:t>j</m:t>
                      </m:r>
                      <m:ctrlPr>
                        <w:rPr>
                          <w:rFonts w:hint="default" w:ascii="Cambria Math" w:hAnsi="Cambria Math" w:cs="Cambria Math"/>
                          <w:i/>
                          <w:szCs w:val="21"/>
                        </w:rPr>
                      </m:ctrlPr>
                    </m:sub>
                  </m:sSub>
                  <m:r>
                    <m:rPr/>
                    <w:rPr>
                      <w:rFonts w:ascii="Cambria Math" w:hAnsi="Cambria Math" w:cs="Cambria Math"/>
                      <w:szCs w:val="21"/>
                    </w:rPr>
                    <m:t>−</m:t>
                  </m:r>
                  <m:sSub>
                    <m:sSubPr>
                      <m:ctrlPr>
                        <w:rPr>
                          <w:rFonts w:ascii="Cambria Math" w:hAnsi="Cambria Math" w:cs="Cambria Math"/>
                          <w:i/>
                          <w:szCs w:val="21"/>
                        </w:rPr>
                      </m:ctrlPr>
                    </m:sSubPr>
                    <m:e>
                      <m:r>
                        <m:rPr/>
                        <w:rPr>
                          <w:rFonts w:hint="default" w:ascii="Cambria Math" w:hAnsi="Cambria Math" w:cs="Cambria Math"/>
                          <w:szCs w:val="21"/>
                          <w:lang w:val="en-US" w:eastAsia="zh-CN"/>
                        </w:rPr>
                        <m:t>R1</m:t>
                      </m:r>
                      <m:ctrlPr>
                        <w:rPr>
                          <w:rFonts w:ascii="Cambria Math" w:hAnsi="Cambria Math" w:cs="Cambria Math"/>
                          <w:i/>
                          <w:szCs w:val="21"/>
                        </w:rPr>
                      </m:ctrlPr>
                    </m:e>
                    <m:sub>
                      <m:r>
                        <m:rPr/>
                        <w:rPr>
                          <w:rFonts w:hint="default" w:ascii="Cambria Math" w:hAnsi="Cambria Math" w:cs="Cambria Math"/>
                          <w:szCs w:val="21"/>
                          <w:lang w:val="en-US" w:eastAsia="zh-CN"/>
                        </w:rPr>
                        <m:t>j</m:t>
                      </m:r>
                      <m:ctrlPr>
                        <w:rPr>
                          <w:rFonts w:ascii="Cambria Math" w:hAnsi="Cambria Math" w:cs="Cambria Math"/>
                          <w:i/>
                          <w:szCs w:val="21"/>
                        </w:rPr>
                      </m:ctrlPr>
                    </m:sub>
                  </m:sSub>
                  <m:ctrlPr>
                    <w:rPr>
                      <w:rFonts w:hint="default" w:ascii="Cambria Math" w:hAnsi="Cambria Math" w:cs="Cambria Math"/>
                      <w:i/>
                      <w:szCs w:val="21"/>
                    </w:rPr>
                  </m:ctrlPr>
                </m:e>
              </m:d>
              <m:r>
                <m:rPr/>
                <w:rPr>
                  <w:rFonts w:ascii="Cambria Math" w:hAnsi="Cambria Math" w:cs="Cambria Math"/>
                  <w:szCs w:val="21"/>
                </w:rPr>
                <m:t>×</m:t>
              </m:r>
              <m:f>
                <m:fPr>
                  <m:ctrlPr>
                    <w:rPr>
                      <w:rFonts w:ascii="Cambria Math" w:hAnsi="Cambria Math" w:cs="Cambria Math"/>
                      <w:i/>
                      <w:szCs w:val="21"/>
                    </w:rPr>
                  </m:ctrlPr>
                </m:fPr>
                <m:num>
                  <m:r>
                    <m:rPr/>
                    <w:rPr>
                      <w:rFonts w:hint="default" w:ascii="Cambria Math" w:hAnsi="Cambria Math" w:cs="Cambria Math"/>
                      <w:szCs w:val="21"/>
                      <w:lang w:val="en-US" w:eastAsia="zh-CN"/>
                    </w:rPr>
                    <m:t>44</m:t>
                  </m:r>
                  <m:ctrlPr>
                    <w:rPr>
                      <w:rFonts w:ascii="Cambria Math" w:hAnsi="Cambria Math" w:cs="Cambria Math"/>
                      <w:i/>
                      <w:szCs w:val="21"/>
                    </w:rPr>
                  </m:ctrlPr>
                </m:num>
                <m:den>
                  <m:r>
                    <m:rPr/>
                    <w:rPr>
                      <w:rFonts w:hint="default" w:ascii="Cambria Math" w:hAnsi="Cambria Math" w:cs="Cambria Math"/>
                      <w:szCs w:val="21"/>
                      <w:lang w:val="en-US" w:eastAsia="zh-CN"/>
                    </w:rPr>
                    <m:t>12</m:t>
                  </m:r>
                  <m:ctrlPr>
                    <w:rPr>
                      <w:rFonts w:ascii="Cambria Math" w:hAnsi="Cambria Math" w:cs="Cambria Math"/>
                      <w:i/>
                      <w:szCs w:val="21"/>
                    </w:rPr>
                  </m:ctrlPr>
                </m:den>
              </m:f>
              <m:ctrlPr>
                <w:rPr>
                  <w:rFonts w:hint="default" w:ascii="Cambria Math" w:hAnsi="Cambria Math" w:cs="Cambria Math"/>
                  <w:i/>
                  <w:szCs w:val="21"/>
                </w:rPr>
              </m:ctrlPr>
            </m:e>
          </m:nary>
          <m:r>
            <m:rPr/>
            <w:rPr>
              <w:rFonts w:hint="default" w:ascii="Cambria Math" w:hAnsi="Cambria Math" w:cs="Cambria Math"/>
              <w:szCs w:val="21"/>
            </w:rPr>
            <m:t>⋯</m:t>
          </m:r>
          <m:r>
            <m:rPr/>
            <w:rPr>
              <w:rFonts w:ascii="Cambria Math" w:hAnsi="Cambria Math" w:cs="Cambria Math"/>
              <w:szCs w:val="21"/>
            </w:rPr>
            <m:t>⋯⋯⋯⋯⋯⋯⋯⋯⋯⋯⋯</m:t>
          </m:r>
          <m:r>
            <m:rPr/>
            <w:rPr>
              <w:rFonts w:hint="default" w:ascii="Cambria Math" w:hAnsi="Cambria Math" w:cs="Cambria Math"/>
              <w:szCs w:val="21"/>
            </w:rPr>
            <m:t>⋯</m:t>
          </m:r>
          <m:r>
            <m:rPr>
              <m:sty m:val="p"/>
            </m:rPr>
            <w:rPr>
              <w:rFonts w:hint="eastAsia" w:ascii="Cambria Math" w:hAnsi="Cambria Math" w:cs="Cambria Math"/>
              <w:szCs w:val="21"/>
              <w:lang w:eastAsia="zh-CN"/>
            </w:rPr>
            <m:t>（</m:t>
          </m:r>
          <m:r>
            <m:rPr>
              <m:sty m:val="p"/>
            </m:rPr>
            <w:rPr>
              <w:rFonts w:hint="default" w:ascii="Cambria Math" w:hAnsi="Cambria Math" w:cs="Cambria Math"/>
              <w:szCs w:val="21"/>
              <w:lang w:val="en-US" w:eastAsia="zh-CN"/>
            </w:rPr>
            <m:t>3</m:t>
          </m:r>
          <m:r>
            <m:rPr>
              <m:sty m:val="p"/>
            </m:rPr>
            <w:rPr>
              <w:rFonts w:hint="eastAsia" w:ascii="Cambria Math" w:hAnsi="Cambria Math" w:cs="Cambria Math"/>
              <w:szCs w:val="21"/>
              <w:lang w:eastAsia="zh-CN"/>
            </w:rPr>
            <m:t>）</m:t>
          </m:r>
        </m:oMath>
      </m:oMathPara>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式中：</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G</w:t>
      </w:r>
      <w:r>
        <w:rPr>
          <w:rFonts w:hint="eastAsia"/>
          <w:szCs w:val="21"/>
          <w:vertAlign w:val="subscript"/>
          <w:lang w:val="en-US" w:eastAsia="zh-CN"/>
        </w:rPr>
        <w:t>f</w:t>
      </w:r>
      <w:r>
        <w:rPr>
          <w:rFonts w:hint="eastAsia"/>
          <w:szCs w:val="21"/>
          <w:lang w:val="en-US" w:eastAsia="zh-CN"/>
        </w:rPr>
        <w:t>——碳存储变化量，单位为吨二氧化碳（tCO</w:t>
      </w:r>
      <w:r>
        <w:rPr>
          <w:rFonts w:hint="eastAsia"/>
          <w:szCs w:val="21"/>
          <w:vertAlign w:val="subscript"/>
          <w:lang w:val="en-US" w:eastAsia="zh-CN"/>
        </w:rPr>
        <w:t>2</w:t>
      </w:r>
      <w:r>
        <w:rPr>
          <w:rFonts w:hint="eastAsia"/>
          <w:szCs w:val="21"/>
          <w:lang w:val="en-US" w:eastAsia="zh-CN"/>
        </w:rPr>
        <w:t>）；</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R</w:t>
      </w:r>
      <w:r>
        <w:rPr>
          <w:rFonts w:hint="eastAsia"/>
          <w:szCs w:val="21"/>
          <w:lang w:val="en-US" w:eastAsia="zh-CN"/>
        </w:rPr>
        <w:t>2</w:t>
      </w:r>
      <w:r>
        <w:rPr>
          <w:rFonts w:hint="eastAsia"/>
          <w:i/>
          <w:iCs/>
          <w:szCs w:val="21"/>
          <w:vertAlign w:val="subscript"/>
          <w:lang w:val="en-US" w:eastAsia="zh-CN"/>
        </w:rPr>
        <w:t>j</w:t>
      </w:r>
      <w:r>
        <w:rPr>
          <w:rFonts w:hint="eastAsia"/>
          <w:szCs w:val="21"/>
          <w:lang w:val="en-US" w:eastAsia="zh-CN"/>
        </w:rPr>
        <w:t>——第二年该区域第</w:t>
      </w:r>
      <w:r>
        <w:rPr>
          <w:rFonts w:hint="eastAsia"/>
          <w:i/>
          <w:iCs/>
          <w:szCs w:val="21"/>
          <w:lang w:val="en-US" w:eastAsia="zh-CN"/>
        </w:rPr>
        <w:t>j</w:t>
      </w:r>
      <w:r>
        <w:rPr>
          <w:rFonts w:hint="eastAsia"/>
          <w:szCs w:val="21"/>
          <w:lang w:val="en-US" w:eastAsia="zh-CN"/>
        </w:rPr>
        <w:t>种树木种类对应的碳存储量，单位为吨碳（tC）；</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R</w:t>
      </w:r>
      <w:r>
        <w:rPr>
          <w:rFonts w:hint="eastAsia"/>
          <w:szCs w:val="21"/>
          <w:lang w:val="en-US" w:eastAsia="zh-CN"/>
        </w:rPr>
        <w:t>1</w:t>
      </w:r>
      <w:r>
        <w:rPr>
          <w:rFonts w:hint="eastAsia"/>
          <w:i/>
          <w:iCs/>
          <w:szCs w:val="21"/>
          <w:vertAlign w:val="subscript"/>
          <w:lang w:val="en-US" w:eastAsia="zh-CN"/>
        </w:rPr>
        <w:t>j</w:t>
      </w:r>
      <w:r>
        <w:rPr>
          <w:rFonts w:hint="eastAsia"/>
          <w:szCs w:val="21"/>
          <w:lang w:val="en-US" w:eastAsia="zh-CN"/>
        </w:rPr>
        <w:t>——第一年该区域第</w:t>
      </w:r>
      <w:r>
        <w:rPr>
          <w:rFonts w:hint="eastAsia"/>
          <w:i/>
          <w:iCs/>
          <w:szCs w:val="21"/>
          <w:lang w:val="en-US" w:eastAsia="zh-CN"/>
        </w:rPr>
        <w:t>j</w:t>
      </w:r>
      <w:r>
        <w:rPr>
          <w:rFonts w:hint="eastAsia"/>
          <w:szCs w:val="21"/>
          <w:lang w:val="en-US" w:eastAsia="zh-CN"/>
        </w:rPr>
        <w:t>种树木种类对应的碳存储量，单位为吨碳（tC）；</w:t>
      </w:r>
    </w:p>
    <w:p>
      <w:pPr>
        <w:tabs>
          <w:tab w:val="center" w:pos="4201"/>
          <w:tab w:val="right" w:leader="dot" w:pos="9298"/>
        </w:tabs>
        <w:ind w:left="840" w:leftChars="200" w:hanging="420" w:hangingChars="200"/>
        <w:rPr>
          <w:rFonts w:hint="default"/>
          <w:szCs w:val="21"/>
          <w:lang w:val="en-US" w:eastAsia="zh-CN"/>
        </w:rPr>
      </w:pPr>
      <w:r>
        <w:rPr>
          <w:rFonts w:hint="eastAsia"/>
          <w:szCs w:val="21"/>
          <w:lang w:val="en-US" w:eastAsia="zh-CN"/>
        </w:rPr>
        <w:t>b</w:t>
      </w:r>
      <w:r>
        <w:rPr>
          <w:rFonts w:hint="eastAsia"/>
          <w:szCs w:val="21"/>
          <w:lang w:eastAsia="zh-CN"/>
        </w:rPr>
        <w:t>）根据欧洲造纸协会（</w:t>
      </w:r>
      <w:r>
        <w:rPr>
          <w:rFonts w:hint="eastAsia"/>
          <w:szCs w:val="21"/>
          <w:lang w:val="en-US" w:eastAsia="zh-CN"/>
        </w:rPr>
        <w:t>CEPI</w:t>
      </w:r>
      <w:r>
        <w:rPr>
          <w:rFonts w:hint="eastAsia"/>
          <w:szCs w:val="21"/>
          <w:lang w:eastAsia="zh-CN"/>
        </w:rPr>
        <w:t>）提出的建议，可持续森林管理有利于土地碳储量保持稳定。因此，经由可持续森林认证的木材可认为不产生额外的</w:t>
      </w:r>
      <w:r>
        <w:rPr>
          <w:rFonts w:hint="eastAsia"/>
          <w:szCs w:val="21"/>
          <w:lang w:val="en-US" w:eastAsia="zh-CN"/>
        </w:rPr>
        <w:t>森林</w:t>
      </w:r>
      <w:r>
        <w:rPr>
          <w:rFonts w:hint="eastAsia"/>
          <w:szCs w:val="21"/>
          <w:lang w:eastAsia="zh-CN"/>
        </w:rPr>
        <w:t>利用变化碳排放，即</w:t>
      </w:r>
      <w:r>
        <w:rPr>
          <w:rFonts w:hint="eastAsia"/>
          <w:szCs w:val="21"/>
          <w:lang w:val="en-US" w:eastAsia="zh-CN"/>
        </w:rPr>
        <w:t>森林</w:t>
      </w:r>
      <w:r>
        <w:rPr>
          <w:rFonts w:hint="eastAsia"/>
          <w:szCs w:val="21"/>
          <w:lang w:eastAsia="zh-CN"/>
        </w:rPr>
        <w:t>碳储存变化量为</w:t>
      </w:r>
      <w:r>
        <w:rPr>
          <w:rFonts w:hint="eastAsia"/>
          <w:szCs w:val="21"/>
          <w:lang w:val="en-US" w:eastAsia="zh-CN"/>
        </w:rPr>
        <w:t>零</w:t>
      </w:r>
      <w:r>
        <w:rPr>
          <w:rFonts w:hint="eastAsia"/>
          <w:szCs w:val="21"/>
          <w:lang w:eastAsia="zh-CN"/>
        </w:rPr>
        <w:t>。</w:t>
      </w:r>
      <w:r>
        <w:rPr>
          <w:rFonts w:hint="eastAsia"/>
          <w:szCs w:val="21"/>
          <w:lang w:val="en-US" w:eastAsia="zh-CN"/>
        </w:rPr>
        <w:t>经由竹林可持续经营认证的竹林可认为不产生额外的竹林利用变化碳排放，即竹林的碳存储为零。</w:t>
      </w:r>
    </w:p>
    <w:p>
      <w:pPr>
        <w:keepNext/>
        <w:keepLines/>
        <w:spacing w:before="156" w:beforeLines="50" w:after="156" w:afterLines="50"/>
        <w:outlineLvl w:val="1"/>
        <w:rPr>
          <w:rFonts w:hint="default" w:ascii="黑体" w:hAnsi="黑体" w:eastAsia="黑体"/>
          <w:bCs/>
          <w:szCs w:val="21"/>
          <w:lang w:val="en-US" w:eastAsia="zh-CN"/>
        </w:rPr>
      </w:pPr>
      <w:r>
        <w:rPr>
          <w:rFonts w:hint="eastAsia" w:ascii="黑体" w:hAnsi="黑体" w:eastAsia="黑体"/>
          <w:bCs/>
          <w:szCs w:val="21"/>
          <w:lang w:val="en-US" w:eastAsia="zh-CN"/>
        </w:rPr>
        <w:t>9</w:t>
      </w:r>
      <w:r>
        <w:rPr>
          <w:rFonts w:ascii="黑体" w:hAnsi="黑体" w:eastAsia="黑体"/>
          <w:bCs/>
          <w:szCs w:val="21"/>
        </w:rPr>
        <w:t>.</w:t>
      </w:r>
      <w:r>
        <w:rPr>
          <w:rFonts w:hint="eastAsia" w:ascii="黑体" w:hAnsi="黑体" w:eastAsia="黑体"/>
          <w:bCs/>
          <w:szCs w:val="21"/>
          <w:lang w:val="en-US" w:eastAsia="zh-CN"/>
        </w:rPr>
        <w:t>3</w:t>
      </w:r>
      <w:r>
        <w:rPr>
          <w:rFonts w:ascii="黑体" w:hAnsi="黑体" w:eastAsia="黑体"/>
          <w:bCs/>
          <w:szCs w:val="21"/>
        </w:rPr>
        <w:t>.</w:t>
      </w:r>
      <w:r>
        <w:rPr>
          <w:rFonts w:hint="eastAsia" w:ascii="黑体" w:hAnsi="黑体" w:eastAsia="黑体"/>
          <w:bCs/>
          <w:szCs w:val="21"/>
          <w:lang w:val="en-US" w:eastAsia="zh-CN"/>
        </w:rPr>
        <w:t>2</w:t>
      </w:r>
      <w:r>
        <w:rPr>
          <w:rFonts w:ascii="黑体" w:hAnsi="黑体" w:eastAsia="黑体"/>
          <w:bCs/>
          <w:szCs w:val="21"/>
        </w:rPr>
        <w:t xml:space="preserve">  </w:t>
      </w:r>
      <w:r>
        <w:rPr>
          <w:rFonts w:hint="eastAsia" w:ascii="黑体" w:hAnsi="黑体" w:eastAsia="黑体"/>
          <w:bCs/>
          <w:szCs w:val="21"/>
          <w:lang w:val="en-US" w:eastAsia="zh-CN"/>
        </w:rPr>
        <w:t>农作物碳存储</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left="0" w:leftChars="0" w:firstLine="420" w:firstLineChars="200"/>
        <w:textAlignment w:val="auto"/>
        <w:rPr>
          <w:rFonts w:hint="default"/>
          <w:szCs w:val="21"/>
          <w:lang w:val="en-US" w:eastAsia="zh-CN"/>
        </w:rPr>
      </w:pPr>
      <w:r>
        <w:rPr>
          <w:rFonts w:hint="eastAsia"/>
          <w:szCs w:val="21"/>
          <w:lang w:val="en-US" w:eastAsia="zh-CN"/>
        </w:rPr>
        <w:t>若一次性卫生用品</w:t>
      </w:r>
      <w:r>
        <w:rPr>
          <w:rFonts w:hint="default"/>
          <w:szCs w:val="21"/>
          <w:lang w:val="en-US" w:eastAsia="zh-CN"/>
        </w:rPr>
        <w:t>使用芦苇、秸秆、稻草、麦草等非木纤维为原料，则选择计算农作物碳存储。由于产品使用的非木纤维原料主要是农作物或农业废弃物，这一部分的碳存储可默认为零。</w:t>
      </w:r>
    </w:p>
    <w:p>
      <w:pPr>
        <w:keepNext/>
        <w:keepLines/>
        <w:spacing w:before="156" w:beforeLines="50" w:after="156" w:afterLines="50"/>
        <w:outlineLvl w:val="1"/>
        <w:rPr>
          <w:rFonts w:hint="default" w:ascii="黑体" w:hAnsi="黑体" w:eastAsia="黑体"/>
          <w:bCs/>
          <w:szCs w:val="21"/>
          <w:lang w:val="en-US" w:eastAsia="zh-CN"/>
        </w:rPr>
      </w:pPr>
      <w:r>
        <w:rPr>
          <w:rFonts w:hint="eastAsia" w:ascii="黑体" w:hAnsi="黑体" w:eastAsia="黑体"/>
          <w:bCs/>
          <w:szCs w:val="21"/>
          <w:lang w:val="en-US" w:eastAsia="zh-CN"/>
        </w:rPr>
        <w:t>9</w:t>
      </w:r>
      <w:r>
        <w:rPr>
          <w:rFonts w:ascii="黑体" w:hAnsi="黑体" w:eastAsia="黑体"/>
          <w:bCs/>
          <w:szCs w:val="21"/>
        </w:rPr>
        <w:t>.</w:t>
      </w:r>
      <w:r>
        <w:rPr>
          <w:rFonts w:hint="eastAsia" w:ascii="黑体" w:hAnsi="黑体" w:eastAsia="黑体"/>
          <w:bCs/>
          <w:szCs w:val="21"/>
          <w:lang w:val="en-US" w:eastAsia="zh-CN"/>
        </w:rPr>
        <w:t>3</w:t>
      </w:r>
      <w:r>
        <w:rPr>
          <w:rFonts w:ascii="黑体" w:hAnsi="黑体" w:eastAsia="黑体"/>
          <w:bCs/>
          <w:szCs w:val="21"/>
        </w:rPr>
        <w:t>.</w:t>
      </w:r>
      <w:r>
        <w:rPr>
          <w:rFonts w:hint="eastAsia" w:ascii="黑体" w:hAnsi="黑体" w:eastAsia="黑体"/>
          <w:bCs/>
          <w:szCs w:val="21"/>
          <w:lang w:val="en-US" w:eastAsia="zh-CN"/>
        </w:rPr>
        <w:t>3</w:t>
      </w:r>
      <w:r>
        <w:rPr>
          <w:rFonts w:ascii="黑体" w:hAnsi="黑体" w:eastAsia="黑体"/>
          <w:bCs/>
          <w:szCs w:val="21"/>
        </w:rPr>
        <w:t xml:space="preserve">  </w:t>
      </w:r>
      <w:r>
        <w:rPr>
          <w:rFonts w:hint="eastAsia" w:ascii="黑体" w:hAnsi="黑体" w:eastAsia="黑体"/>
          <w:bCs/>
          <w:szCs w:val="21"/>
          <w:lang w:val="en-US" w:eastAsia="zh-CN"/>
        </w:rPr>
        <w:t>产品中碳存储的计算</w:t>
      </w:r>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产品中碳存储量按公式（4）进行计算：</w:t>
      </w:r>
    </w:p>
    <w:p>
      <w:pPr>
        <w:tabs>
          <w:tab w:val="center" w:pos="4201"/>
          <w:tab w:val="right" w:leader="dot" w:pos="9298"/>
        </w:tabs>
        <w:ind w:left="840" w:leftChars="200" w:hanging="420" w:hangingChars="200"/>
        <w:rPr>
          <w:rFonts w:hint="eastAsia" w:eastAsia="宋体"/>
          <w:szCs w:val="21"/>
          <w:lang w:val="en-US" w:eastAsia="zh-CN"/>
        </w:rPr>
      </w:pPr>
      <m:oMathPara>
        <m:oMathParaPr>
          <m:jc m:val="right"/>
        </m:oMathParaPr>
        <m:oMath>
          <m:sSub>
            <m:sSubPr>
              <m:ctrlPr>
                <w:rPr>
                  <w:rFonts w:ascii="Cambria Math" w:hAnsi="Cambria Math"/>
                  <w:i/>
                  <w:szCs w:val="21"/>
                  <w:lang w:val="en-US"/>
                </w:rPr>
              </m:ctrlPr>
            </m:sSubPr>
            <m:e>
              <m:r>
                <m:rPr/>
                <w:rPr>
                  <w:rFonts w:hint="default" w:ascii="Cambria Math" w:hAnsi="Cambria Math"/>
                  <w:szCs w:val="21"/>
                  <w:lang w:val="en-US" w:eastAsia="zh-CN"/>
                </w:rPr>
                <m:t>G</m:t>
              </m:r>
              <m:ctrlPr>
                <w:rPr>
                  <w:rFonts w:ascii="Cambria Math" w:hAnsi="Cambria Math"/>
                  <w:i/>
                  <w:szCs w:val="21"/>
                  <w:lang w:val="en-US"/>
                </w:rPr>
              </m:ctrlPr>
            </m:e>
            <m:sub>
              <m:r>
                <m:rPr>
                  <m:sty m:val="p"/>
                </m:rPr>
                <w:rPr>
                  <w:rFonts w:hint="default" w:ascii="Cambria Math" w:hAnsi="Cambria Math"/>
                  <w:szCs w:val="21"/>
                  <w:lang w:val="en-US" w:eastAsia="zh-CN"/>
                </w:rPr>
                <m:t>p</m:t>
              </m:r>
              <m:ctrlPr>
                <w:rPr>
                  <w:rFonts w:ascii="Cambria Math" w:hAnsi="Cambria Math"/>
                  <w:i/>
                  <w:szCs w:val="21"/>
                  <w:lang w:val="en-US"/>
                </w:rPr>
              </m:ctrlPr>
            </m:sub>
          </m:sSub>
          <m:r>
            <m:rPr/>
            <w:rPr>
              <w:rFonts w:hint="default" w:ascii="Cambria Math" w:hAnsi="Cambria Math" w:cs="Cambria Math"/>
              <w:szCs w:val="21"/>
              <w:lang w:val="en-US"/>
            </w:rPr>
            <m:t>=</m:t>
          </m:r>
          <m:sSub>
            <m:sSubPr>
              <m:ctrlPr>
                <w:rPr>
                  <w:rFonts w:hint="default" w:ascii="Cambria Math" w:hAnsi="Cambria Math" w:cs="Cambria Math"/>
                  <w:i/>
                  <w:szCs w:val="21"/>
                  <w:lang w:val="en-US"/>
                </w:rPr>
              </m:ctrlPr>
            </m:sSubPr>
            <m:e>
              <m:r>
                <m:rPr/>
                <w:rPr>
                  <w:rFonts w:hint="default" w:ascii="Cambria Math" w:hAnsi="Cambria Math" w:cs="Cambria Math"/>
                  <w:szCs w:val="21"/>
                  <w:lang w:val="en-US" w:eastAsia="zh-CN"/>
                </w:rPr>
                <m:t>m</m:t>
              </m:r>
              <m:ctrlPr>
                <w:rPr>
                  <w:rFonts w:hint="default" w:ascii="Cambria Math" w:hAnsi="Cambria Math" w:cs="Cambria Math"/>
                  <w:i/>
                  <w:szCs w:val="21"/>
                  <w:lang w:val="en-US"/>
                </w:rPr>
              </m:ctrlPr>
            </m:e>
            <m:sub>
              <m:r>
                <m:rPr>
                  <m:sty m:val="p"/>
                </m:rPr>
                <w:rPr>
                  <w:rFonts w:hint="default" w:ascii="Cambria Math" w:hAnsi="Cambria Math" w:cs="Cambria Math"/>
                  <w:szCs w:val="21"/>
                  <w:lang w:val="en-US" w:eastAsia="zh-CN"/>
                </w:rPr>
                <m:t>p</m:t>
              </m:r>
              <m:ctrlPr>
                <w:rPr>
                  <w:rFonts w:hint="default" w:ascii="Cambria Math" w:hAnsi="Cambria Math" w:cs="Cambria Math"/>
                  <w:i/>
                  <w:szCs w:val="21"/>
                  <w:lang w:val="en-US"/>
                </w:rPr>
              </m:ctrlPr>
            </m:sub>
          </m:sSub>
          <m:r>
            <m:rPr/>
            <w:rPr>
              <w:rFonts w:hint="default" w:ascii="Cambria Math" w:hAnsi="Cambria Math" w:cs="Cambria Math"/>
              <w:szCs w:val="21"/>
              <w:lang w:val="en-US"/>
            </w:rPr>
            <m:t>×</m:t>
          </m:r>
          <m:d>
            <m:dPr>
              <m:ctrlPr>
                <w:rPr>
                  <w:rFonts w:hint="default" w:ascii="Cambria Math" w:hAnsi="Cambria Math" w:cs="Cambria Math"/>
                  <w:i/>
                  <w:szCs w:val="21"/>
                  <w:lang w:val="en-US"/>
                </w:rPr>
              </m:ctrlPr>
            </m:dPr>
            <m:e>
              <m:r>
                <m:rPr/>
                <w:rPr>
                  <w:rFonts w:hint="default" w:ascii="Cambria Math" w:hAnsi="Cambria Math" w:cs="Cambria Math"/>
                  <w:szCs w:val="21"/>
                  <w:lang w:val="en-US" w:eastAsia="zh-CN"/>
                </w:rPr>
                <m:t>1</m:t>
              </m:r>
              <m:r>
                <m:rPr/>
                <w:rPr>
                  <w:rFonts w:ascii="Cambria Math" w:hAnsi="Cambria Math" w:cs="Cambria Math"/>
                  <w:szCs w:val="21"/>
                  <w:lang w:val="en-US"/>
                </w:rPr>
                <m:t>−</m:t>
              </m:r>
              <m:r>
                <m:rPr/>
                <w:rPr>
                  <w:rFonts w:hint="default" w:ascii="Cambria Math" w:hAnsi="Cambria Math" w:cs="Cambria Math"/>
                  <w:szCs w:val="21"/>
                  <w:lang w:val="en-US" w:eastAsia="zh-CN"/>
                </w:rPr>
                <m:t>ℎ</m:t>
              </m:r>
              <m:ctrlPr>
                <w:rPr>
                  <w:rFonts w:hint="default" w:ascii="Cambria Math" w:hAnsi="Cambria Math" w:cs="Cambria Math"/>
                  <w:i/>
                  <w:szCs w:val="21"/>
                  <w:lang w:val="en-US"/>
                </w:rPr>
              </m:ctrlPr>
            </m:e>
          </m:d>
          <m:r>
            <m:rPr/>
            <w:rPr>
              <w:rFonts w:hint="default" w:ascii="Cambria Math" w:hAnsi="Cambria Math" w:cs="Cambria Math"/>
              <w:szCs w:val="21"/>
              <w:lang w:val="en-US"/>
            </w:rPr>
            <m:t>×</m:t>
          </m:r>
          <m:sSub>
            <m:sSubPr>
              <m:ctrlPr>
                <w:rPr>
                  <w:rFonts w:hint="default" w:ascii="Cambria Math" w:hAnsi="Cambria Math" w:cs="Cambria Math"/>
                  <w:i/>
                  <w:szCs w:val="21"/>
                  <w:lang w:val="en-US"/>
                </w:rPr>
              </m:ctrlPr>
            </m:sSubPr>
            <m:e>
              <m:r>
                <m:rPr/>
                <w:rPr>
                  <w:rFonts w:hint="default" w:ascii="Cambria Math" w:hAnsi="Cambria Math" w:cs="Cambria Math"/>
                  <w:szCs w:val="21"/>
                  <w:lang w:val="en-US" w:eastAsia="zh-CN"/>
                </w:rPr>
                <m:t>C</m:t>
              </m:r>
              <m:ctrlPr>
                <w:rPr>
                  <w:rFonts w:hint="default" w:ascii="Cambria Math" w:hAnsi="Cambria Math" w:cs="Cambria Math"/>
                  <w:i/>
                  <w:szCs w:val="21"/>
                  <w:lang w:val="en-US"/>
                </w:rPr>
              </m:ctrlPr>
            </m:e>
            <m:sub>
              <m:r>
                <m:rPr>
                  <m:sty m:val="p"/>
                </m:rPr>
                <w:rPr>
                  <w:rFonts w:hint="default" w:ascii="Cambria Math" w:hAnsi="Cambria Math" w:cs="Cambria Math"/>
                  <w:szCs w:val="21"/>
                  <w:lang w:val="en-US" w:eastAsia="zh-CN"/>
                </w:rPr>
                <m:t>p</m:t>
              </m:r>
              <m:ctrlPr>
                <w:rPr>
                  <w:rFonts w:hint="default" w:ascii="Cambria Math" w:hAnsi="Cambria Math" w:cs="Cambria Math"/>
                  <w:i/>
                  <w:szCs w:val="21"/>
                  <w:lang w:val="en-US"/>
                </w:rPr>
              </m:ctrlPr>
            </m:sub>
          </m:sSub>
          <m:r>
            <m:rPr/>
            <w:rPr>
              <w:rFonts w:hint="default" w:ascii="Cambria Math" w:hAnsi="Cambria Math" w:cs="Cambria Math"/>
              <w:szCs w:val="21"/>
              <w:lang w:val="en-US"/>
            </w:rPr>
            <m:t>×</m:t>
          </m:r>
          <m:r>
            <m:rPr/>
            <w:rPr>
              <w:rFonts w:hint="default" w:ascii="Cambria Math" w:hAnsi="Cambria Math" w:cs="Cambria Math"/>
              <w:szCs w:val="21"/>
              <w:lang w:val="en-US" w:eastAsia="zh-CN"/>
            </w:rPr>
            <m:t>n×</m:t>
          </m:r>
          <m:f>
            <m:fPr>
              <m:ctrlPr>
                <w:rPr>
                  <w:rFonts w:hint="default" w:ascii="Cambria Math" w:hAnsi="Cambria Math" w:cs="Cambria Math"/>
                  <w:i/>
                  <w:szCs w:val="21"/>
                  <w:lang w:val="en-US" w:eastAsia="zh-CN"/>
                </w:rPr>
              </m:ctrlPr>
            </m:fPr>
            <m:num>
              <m:r>
                <m:rPr/>
                <w:rPr>
                  <w:rFonts w:hint="default" w:ascii="Cambria Math" w:hAnsi="Cambria Math" w:cs="Cambria Math"/>
                  <w:szCs w:val="21"/>
                  <w:lang w:val="en-US" w:eastAsia="zh-CN"/>
                </w:rPr>
                <m:t>44</m:t>
              </m:r>
              <m:ctrlPr>
                <w:rPr>
                  <w:rFonts w:hint="default" w:ascii="Cambria Math" w:hAnsi="Cambria Math" w:cs="Cambria Math"/>
                  <w:i/>
                  <w:szCs w:val="21"/>
                  <w:lang w:val="en-US" w:eastAsia="zh-CN"/>
                </w:rPr>
              </m:ctrlPr>
            </m:num>
            <m:den>
              <m:r>
                <m:rPr/>
                <w:rPr>
                  <w:rFonts w:hint="default" w:ascii="Cambria Math" w:hAnsi="Cambria Math" w:cs="Cambria Math"/>
                  <w:szCs w:val="21"/>
                  <w:lang w:val="en-US" w:eastAsia="zh-CN"/>
                </w:rPr>
                <m:t>12</m:t>
              </m:r>
              <m:ctrlPr>
                <w:rPr>
                  <w:rFonts w:hint="default" w:ascii="Cambria Math" w:hAnsi="Cambria Math" w:cs="Cambria Math"/>
                  <w:i/>
                  <w:szCs w:val="21"/>
                  <w:lang w:val="en-US" w:eastAsia="zh-CN"/>
                </w:rPr>
              </m:ctrlPr>
            </m:den>
          </m:f>
          <m:r>
            <m:rPr/>
            <w:rPr>
              <w:rFonts w:hint="default" w:ascii="Cambria Math" w:hAnsi="Cambria Math" w:cs="Cambria Math"/>
              <w:szCs w:val="21"/>
              <w:lang w:val="en-US" w:eastAsia="zh-CN"/>
            </w:rPr>
            <m:t>⋯</m:t>
          </m:r>
          <m:r>
            <m:rPr/>
            <w:rPr>
              <w:rFonts w:ascii="Cambria Math" w:hAnsi="Cambria Math" w:cs="Cambria Math"/>
              <w:szCs w:val="21"/>
              <w:lang w:val="en-US"/>
            </w:rPr>
            <m:t>⋯⋯⋯⋯⋯⋯⋯⋯⋯⋯⋯</m:t>
          </m:r>
          <m:r>
            <m:rPr/>
            <w:rPr>
              <w:rFonts w:hint="default" w:ascii="Cambria Math" w:hAnsi="Cambria Math" w:cs="Cambria Math"/>
              <w:szCs w:val="21"/>
              <w:lang w:val="en-US" w:eastAsia="zh-CN"/>
            </w:rPr>
            <m:t>⋯</m:t>
          </m:r>
          <m:r>
            <m:rPr>
              <m:sty m:val="p"/>
            </m:rPr>
            <w:rPr>
              <w:rFonts w:hint="eastAsia" w:ascii="Cambria Math" w:hAnsi="Cambria Math" w:cs="Cambria Math"/>
              <w:szCs w:val="21"/>
              <w:lang w:val="en-US" w:eastAsia="zh-CN"/>
            </w:rPr>
            <m:t>（</m:t>
          </m:r>
          <m:r>
            <m:rPr>
              <m:sty m:val="p"/>
            </m:rPr>
            <w:rPr>
              <w:rFonts w:hint="default" w:ascii="Cambria Math" w:hAnsi="Cambria Math" w:cs="Cambria Math"/>
              <w:szCs w:val="21"/>
              <w:lang w:val="en-US" w:eastAsia="zh-CN"/>
            </w:rPr>
            <m:t>4</m:t>
          </m:r>
          <m:r>
            <m:rPr>
              <m:sty m:val="p"/>
            </m:rPr>
            <w:rPr>
              <w:rFonts w:hint="eastAsia" w:ascii="Cambria Math" w:hAnsi="Cambria Math" w:cs="Cambria Math"/>
              <w:szCs w:val="21"/>
              <w:lang w:val="en-US" w:eastAsia="zh-CN"/>
            </w:rPr>
            <m:t>）</m:t>
          </m:r>
        </m:oMath>
      </m:oMathPara>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式中：</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G</w:t>
      </w:r>
      <w:r>
        <w:rPr>
          <w:rFonts w:hint="eastAsia"/>
          <w:szCs w:val="21"/>
          <w:vertAlign w:val="subscript"/>
          <w:lang w:val="en-US" w:eastAsia="zh-CN"/>
        </w:rPr>
        <w:t>p</w:t>
      </w:r>
      <w:r>
        <w:rPr>
          <w:rFonts w:hint="eastAsia"/>
          <w:szCs w:val="21"/>
          <w:lang w:val="en-US" w:eastAsia="zh-CN"/>
        </w:rPr>
        <w:t>——产品中碳存储量，单位为吨二氧化碳（tCO</w:t>
      </w:r>
      <w:r>
        <w:rPr>
          <w:rFonts w:hint="eastAsia"/>
          <w:szCs w:val="21"/>
          <w:vertAlign w:val="subscript"/>
          <w:lang w:val="en-US" w:eastAsia="zh-CN"/>
        </w:rPr>
        <w:t>2</w:t>
      </w:r>
      <w:r>
        <w:rPr>
          <w:rFonts w:hint="eastAsia"/>
          <w:szCs w:val="21"/>
          <w:lang w:val="en-US" w:eastAsia="zh-CN"/>
        </w:rPr>
        <w:t>）；</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m</w:t>
      </w:r>
      <w:r>
        <w:rPr>
          <w:rFonts w:hint="eastAsia"/>
          <w:szCs w:val="21"/>
          <w:vertAlign w:val="subscript"/>
          <w:lang w:val="en-US" w:eastAsia="zh-CN"/>
        </w:rPr>
        <w:t>p</w:t>
      </w:r>
      <w:r>
        <w:rPr>
          <w:rFonts w:hint="eastAsia"/>
          <w:szCs w:val="21"/>
          <w:lang w:val="en-US" w:eastAsia="zh-CN"/>
        </w:rPr>
        <w:t>——产品产量，单位为吨（t）；</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h</w:t>
      </w:r>
      <w:r>
        <w:rPr>
          <w:rFonts w:hint="eastAsia"/>
          <w:szCs w:val="21"/>
          <w:lang w:val="en-US" w:eastAsia="zh-CN"/>
        </w:rPr>
        <w:t>——产品的水分，%；</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C</w:t>
      </w:r>
      <w:r>
        <w:rPr>
          <w:rFonts w:hint="eastAsia"/>
          <w:szCs w:val="21"/>
          <w:vertAlign w:val="subscript"/>
          <w:lang w:val="en-US" w:eastAsia="zh-CN"/>
        </w:rPr>
        <w:t>p</w:t>
      </w:r>
      <w:r>
        <w:rPr>
          <w:rFonts w:hint="eastAsia"/>
          <w:szCs w:val="21"/>
          <w:lang w:val="en-US" w:eastAsia="zh-CN"/>
        </w:rPr>
        <w:t>——产品的碳含量，%；</w:t>
      </w:r>
    </w:p>
    <w:p>
      <w:pPr>
        <w:tabs>
          <w:tab w:val="center" w:pos="4201"/>
          <w:tab w:val="right" w:leader="dot" w:pos="9298"/>
        </w:tabs>
        <w:ind w:left="840" w:leftChars="200" w:hanging="420" w:hangingChars="200"/>
        <w:rPr>
          <w:rFonts w:hint="default"/>
          <w:szCs w:val="21"/>
          <w:lang w:val="en-US" w:eastAsia="zh-CN"/>
        </w:rPr>
      </w:pPr>
      <w:r>
        <w:rPr>
          <w:rFonts w:hint="eastAsia"/>
          <w:i/>
          <w:iCs/>
          <w:szCs w:val="21"/>
          <w:lang w:val="en-US" w:eastAsia="zh-CN"/>
        </w:rPr>
        <w:t>n</w:t>
      </w:r>
      <w:r>
        <w:rPr>
          <w:rFonts w:hint="eastAsia"/>
          <w:szCs w:val="21"/>
          <w:lang w:val="en-US" w:eastAsia="zh-CN"/>
        </w:rPr>
        <w:t>——延迟年限的产品碳存储权重系数。</w:t>
      </w:r>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产品评价期内CO</w:t>
      </w:r>
      <w:r>
        <w:rPr>
          <w:rFonts w:hint="eastAsia"/>
          <w:szCs w:val="21"/>
          <w:vertAlign w:val="subscript"/>
          <w:lang w:val="en-US" w:eastAsia="zh-CN"/>
        </w:rPr>
        <w:t>2</w:t>
      </w:r>
      <w:r>
        <w:rPr>
          <w:rFonts w:hint="eastAsia"/>
          <w:szCs w:val="21"/>
          <w:lang w:val="en-US" w:eastAsia="zh-CN"/>
        </w:rPr>
        <w:t>延迟排放的加权系数按公式（5）进行计算：</w:t>
      </w:r>
    </w:p>
    <w:p>
      <w:pPr>
        <w:tabs>
          <w:tab w:val="center" w:pos="4201"/>
          <w:tab w:val="right" w:leader="dot" w:pos="9298"/>
        </w:tabs>
        <w:ind w:left="840" w:leftChars="200" w:hanging="420" w:hangingChars="200"/>
        <w:rPr>
          <w:rFonts w:hint="default"/>
          <w:szCs w:val="21"/>
          <w:lang w:val="en-US" w:eastAsia="zh-CN"/>
        </w:rPr>
      </w:pPr>
      <m:oMathPara>
        <m:oMathParaPr>
          <m:jc m:val="right"/>
        </m:oMathParaPr>
        <m:oMath>
          <m:r>
            <m:rPr/>
            <w:rPr>
              <w:rFonts w:hint="default" w:ascii="Cambria Math" w:hAnsi="Cambria Math" w:cs="Times New Roman"/>
              <w:kern w:val="2"/>
              <w:sz w:val="21"/>
              <w:szCs w:val="21"/>
              <w:lang w:val="en-US" w:eastAsia="zh-CN" w:bidi="ar-SA"/>
            </w:rPr>
            <m:t>n</m:t>
          </m:r>
          <m:r>
            <m:rPr>
              <m:sty m:val="p"/>
            </m:rPr>
            <w:rPr>
              <w:rFonts w:hint="default" w:ascii="Cambria Math" w:hAnsi="Cambria Math" w:cs="Cambria Math"/>
              <w:kern w:val="2"/>
              <w:sz w:val="21"/>
              <w:szCs w:val="21"/>
              <w:lang w:val="en-US" w:eastAsia="zh-CN" w:bidi="ar-SA"/>
            </w:rPr>
            <m:t>=</m:t>
          </m:r>
          <m:r>
            <m:rPr>
              <m:sty m:val="p"/>
            </m:rPr>
            <w:rPr>
              <w:rFonts w:hint="default" w:ascii="Cambria Math" w:hAnsi="Cambria Math" w:cs="Times New Roman"/>
              <w:kern w:val="2"/>
              <w:sz w:val="21"/>
              <w:szCs w:val="21"/>
              <w:lang w:val="en-US" w:eastAsia="zh-CN" w:bidi="ar-SA"/>
            </w:rPr>
            <m:t>0.76</m:t>
          </m:r>
          <m:r>
            <m:rPr>
              <m:sty m:val="p"/>
            </m:rPr>
            <w:rPr>
              <w:rFonts w:hint="default" w:ascii="Cambria Math" w:hAnsi="Cambria Math" w:cs="Cambria Math"/>
              <w:kern w:val="2"/>
              <w:sz w:val="21"/>
              <w:szCs w:val="21"/>
              <w:lang w:val="en-US" w:eastAsia="zh-CN" w:bidi="ar-SA"/>
            </w:rPr>
            <m:t>×</m:t>
          </m:r>
          <m:f>
            <m:fPr>
              <m:ctrlPr>
                <w:rPr>
                  <w:rFonts w:hint="default" w:ascii="Cambria Math" w:hAnsi="Cambria Math" w:cs="Cambria Math"/>
                  <w:kern w:val="2"/>
                  <w:sz w:val="21"/>
                  <w:szCs w:val="21"/>
                  <w:lang w:val="en-US" w:eastAsia="zh-CN" w:bidi="ar-SA"/>
                </w:rPr>
              </m:ctrlPr>
            </m:fPr>
            <m:num>
              <m:sSub>
                <m:sSubPr>
                  <m:ctrlPr>
                    <w:rPr>
                      <w:rFonts w:hint="default" w:ascii="Cambria Math" w:hAnsi="Cambria Math" w:cs="Cambria Math"/>
                      <w:kern w:val="2"/>
                      <w:sz w:val="21"/>
                      <w:szCs w:val="21"/>
                      <w:lang w:val="en-US" w:eastAsia="zh-CN" w:bidi="ar-SA"/>
                    </w:rPr>
                  </m:ctrlPr>
                </m:sSubPr>
                <m:e>
                  <m:r>
                    <m:rPr/>
                    <w:rPr>
                      <w:rFonts w:hint="default" w:ascii="Cambria Math" w:hAnsi="Cambria Math" w:cs="Cambria Math"/>
                      <w:kern w:val="2"/>
                      <w:sz w:val="21"/>
                      <w:szCs w:val="21"/>
                      <w:lang w:val="en-US" w:eastAsia="zh-CN" w:bidi="ar-SA"/>
                    </w:rPr>
                    <m:t>t</m:t>
                  </m:r>
                  <m:ctrlPr>
                    <w:rPr>
                      <w:rFonts w:hint="default" w:ascii="Cambria Math" w:hAnsi="Cambria Math" w:cs="Cambria Math"/>
                      <w:kern w:val="2"/>
                      <w:sz w:val="21"/>
                      <w:szCs w:val="21"/>
                      <w:lang w:val="en-US" w:eastAsia="zh-CN" w:bidi="ar-SA"/>
                    </w:rPr>
                  </m:ctrlPr>
                </m:e>
                <m:sub>
                  <m:r>
                    <m:rPr>
                      <m:sty m:val="p"/>
                    </m:rPr>
                    <w:rPr>
                      <w:rFonts w:hint="default" w:ascii="Cambria Math" w:hAnsi="Cambria Math" w:cs="Cambria Math"/>
                      <w:kern w:val="2"/>
                      <w:sz w:val="21"/>
                      <w:szCs w:val="21"/>
                      <w:lang w:val="en-US" w:eastAsia="zh-CN" w:bidi="ar-SA"/>
                    </w:rPr>
                    <m:t>p</m:t>
                  </m:r>
                  <m:ctrlPr>
                    <w:rPr>
                      <w:rFonts w:hint="default" w:ascii="Cambria Math" w:hAnsi="Cambria Math" w:cs="Cambria Math"/>
                      <w:kern w:val="2"/>
                      <w:sz w:val="21"/>
                      <w:szCs w:val="21"/>
                      <w:lang w:val="en-US" w:eastAsia="zh-CN" w:bidi="ar-SA"/>
                    </w:rPr>
                  </m:ctrlPr>
                </m:sub>
              </m:sSub>
              <m:ctrlPr>
                <w:rPr>
                  <w:rFonts w:hint="default" w:ascii="Cambria Math" w:hAnsi="Cambria Math" w:cs="Cambria Math"/>
                  <w:kern w:val="2"/>
                  <w:sz w:val="21"/>
                  <w:szCs w:val="21"/>
                  <w:lang w:val="en-US" w:eastAsia="zh-CN" w:bidi="ar-SA"/>
                </w:rPr>
              </m:ctrlPr>
            </m:num>
            <m:den>
              <m:r>
                <m:rPr>
                  <m:sty m:val="p"/>
                </m:rPr>
                <w:rPr>
                  <w:rFonts w:hint="default" w:ascii="Cambria Math" w:hAnsi="Cambria Math" w:cs="Cambria Math"/>
                  <w:kern w:val="2"/>
                  <w:sz w:val="21"/>
                  <w:szCs w:val="21"/>
                  <w:lang w:val="en-US" w:eastAsia="zh-CN" w:bidi="ar-SA"/>
                </w:rPr>
                <m:t>100</m:t>
              </m:r>
              <m:ctrlPr>
                <w:rPr>
                  <w:rFonts w:hint="default" w:ascii="Cambria Math" w:hAnsi="Cambria Math" w:cs="Cambria Math"/>
                  <w:kern w:val="2"/>
                  <w:sz w:val="21"/>
                  <w:szCs w:val="21"/>
                  <w:lang w:val="en-US" w:eastAsia="zh-CN" w:bidi="ar-SA"/>
                </w:rPr>
              </m:ctrlPr>
            </m:den>
          </m:f>
          <m:r>
            <m:rPr>
              <m:sty m:val="p"/>
            </m:rPr>
            <w:rPr>
              <w:rFonts w:hint="default" w:ascii="Cambria Math" w:hAnsi="Cambria Math" w:cs="Cambria Math"/>
              <w:kern w:val="2"/>
              <w:sz w:val="21"/>
              <w:szCs w:val="21"/>
              <w:lang w:val="en-US" w:eastAsia="zh-CN" w:bidi="ar-SA"/>
            </w:rPr>
            <m:t>⋯</m:t>
          </m:r>
          <m:r>
            <m:rPr>
              <m:sty m:val="p"/>
            </m:rPr>
            <w:rPr>
              <w:rFonts w:ascii="Cambria Math" w:hAnsi="Cambria Math" w:cs="Cambria Math"/>
              <w:kern w:val="2"/>
              <w:sz w:val="21"/>
              <w:szCs w:val="21"/>
              <w:lang w:val="en-US" w:bidi="ar-SA"/>
            </w:rPr>
            <m:t>⋯⋯⋯⋯⋯⋯⋯⋯⋯⋯⋯⋯⋯⋯⋯⋯⋯⋯⋯⋯</m:t>
          </m:r>
          <m:r>
            <m:rPr>
              <m:sty m:val="p"/>
            </m:rPr>
            <w:rPr>
              <w:rFonts w:hint="default" w:ascii="Cambria Math" w:hAnsi="Cambria Math" w:cs="Cambria Math"/>
              <w:kern w:val="2"/>
              <w:sz w:val="21"/>
              <w:szCs w:val="21"/>
              <w:lang w:val="en-US" w:eastAsia="zh-CN" w:bidi="ar-SA"/>
            </w:rPr>
            <m:t>⋯</m:t>
          </m:r>
          <m:r>
            <m:rPr>
              <m:sty m:val="p"/>
            </m:rPr>
            <w:rPr>
              <w:rFonts w:hint="eastAsia" w:ascii="Cambria Math" w:hAnsi="Cambria Math" w:cs="Cambria Math"/>
              <w:kern w:val="2"/>
              <w:sz w:val="21"/>
              <w:szCs w:val="21"/>
              <w:lang w:val="en-US" w:eastAsia="zh-CN" w:bidi="ar-SA"/>
            </w:rPr>
            <m:t>（</m:t>
          </m:r>
          <m:r>
            <m:rPr>
              <m:sty m:val="p"/>
            </m:rPr>
            <w:rPr>
              <w:rFonts w:hint="default" w:ascii="Cambria Math" w:hAnsi="Cambria Math" w:cs="Cambria Math"/>
              <w:kern w:val="2"/>
              <w:sz w:val="21"/>
              <w:szCs w:val="21"/>
              <w:lang w:val="en-US" w:eastAsia="zh-CN" w:bidi="ar-SA"/>
            </w:rPr>
            <m:t>5</m:t>
          </m:r>
          <m:r>
            <m:rPr>
              <m:sty m:val="p"/>
            </m:rPr>
            <w:rPr>
              <w:rFonts w:hint="eastAsia" w:ascii="Cambria Math" w:hAnsi="Cambria Math" w:cs="Cambria Math"/>
              <w:kern w:val="2"/>
              <w:sz w:val="21"/>
              <w:szCs w:val="21"/>
              <w:lang w:val="en-US" w:eastAsia="zh-CN" w:bidi="ar-SA"/>
            </w:rPr>
            <m:t>）</m:t>
          </m:r>
        </m:oMath>
      </m:oMathPara>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式中：</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t</w:t>
      </w:r>
      <w:r>
        <w:rPr>
          <w:rFonts w:hint="eastAsia"/>
          <w:szCs w:val="21"/>
          <w:vertAlign w:val="subscript"/>
          <w:lang w:val="en-US" w:eastAsia="zh-CN"/>
        </w:rPr>
        <w:t>p</w:t>
      </w:r>
      <w:r>
        <w:rPr>
          <w:rFonts w:hint="eastAsia"/>
          <w:szCs w:val="21"/>
          <w:lang w:val="en-US" w:eastAsia="zh-CN"/>
        </w:rPr>
        <w:t>——产品在市场上流通以及使用总时间，单位为年（a）。</w:t>
      </w:r>
    </w:p>
    <w:p>
      <w:pPr>
        <w:tabs>
          <w:tab w:val="center" w:pos="4201"/>
          <w:tab w:val="right" w:leader="dot" w:pos="9298"/>
        </w:tabs>
        <w:ind w:left="780" w:leftChars="200" w:hanging="360" w:hangingChars="200"/>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：本文件推荐为2年。</w:t>
      </w:r>
    </w:p>
    <w:p>
      <w:pPr>
        <w:keepNext/>
        <w:keepLines/>
        <w:spacing w:before="156" w:beforeLines="50" w:after="156" w:afterLines="50"/>
        <w:outlineLvl w:val="1"/>
        <w:rPr>
          <w:rFonts w:hint="default" w:ascii="黑体" w:hAnsi="黑体" w:eastAsia="黑体"/>
          <w:bCs/>
          <w:szCs w:val="21"/>
          <w:lang w:val="en-US" w:eastAsia="zh-CN"/>
        </w:rPr>
      </w:pPr>
      <w:r>
        <w:rPr>
          <w:rFonts w:hint="eastAsia" w:ascii="黑体" w:hAnsi="黑体" w:eastAsia="黑体"/>
          <w:bCs/>
          <w:szCs w:val="21"/>
          <w:lang w:val="en-US" w:eastAsia="zh-CN"/>
        </w:rPr>
        <w:t>9</w:t>
      </w:r>
      <w:r>
        <w:rPr>
          <w:rFonts w:ascii="黑体" w:hAnsi="黑体" w:eastAsia="黑体"/>
          <w:bCs/>
          <w:szCs w:val="21"/>
        </w:rPr>
        <w:t>.</w:t>
      </w:r>
      <w:r>
        <w:rPr>
          <w:rFonts w:hint="eastAsia" w:ascii="黑体" w:hAnsi="黑体" w:eastAsia="黑体"/>
          <w:bCs/>
          <w:szCs w:val="21"/>
          <w:lang w:val="en-US" w:eastAsia="zh-CN"/>
        </w:rPr>
        <w:t>3</w:t>
      </w:r>
      <w:r>
        <w:rPr>
          <w:rFonts w:ascii="黑体" w:hAnsi="黑体" w:eastAsia="黑体"/>
          <w:bCs/>
          <w:szCs w:val="21"/>
        </w:rPr>
        <w:t>.</w:t>
      </w:r>
      <w:r>
        <w:rPr>
          <w:rFonts w:hint="eastAsia" w:ascii="黑体" w:hAnsi="黑体" w:eastAsia="黑体"/>
          <w:bCs/>
          <w:szCs w:val="21"/>
          <w:lang w:val="en-US" w:eastAsia="zh-CN"/>
        </w:rPr>
        <w:t>4</w:t>
      </w:r>
      <w:r>
        <w:rPr>
          <w:rFonts w:ascii="黑体" w:hAnsi="黑体" w:eastAsia="黑体"/>
          <w:bCs/>
          <w:szCs w:val="21"/>
        </w:rPr>
        <w:t xml:space="preserve">  </w:t>
      </w:r>
      <w:r>
        <w:rPr>
          <w:rFonts w:hint="eastAsia" w:ascii="黑体" w:hAnsi="黑体" w:eastAsia="黑体"/>
          <w:bCs/>
          <w:szCs w:val="21"/>
          <w:lang w:val="en-US" w:eastAsia="zh-CN"/>
        </w:rPr>
        <w:t>填埋中碳存储</w:t>
      </w:r>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一次性卫生用品废弃物填</w:t>
      </w:r>
      <w:r>
        <w:rPr>
          <w:rFonts w:hint="eastAsia"/>
          <w:color w:val="auto"/>
          <w:szCs w:val="21"/>
          <w:lang w:val="en-US" w:eastAsia="zh-CN"/>
        </w:rPr>
        <w:t>埋处置的</w:t>
      </w:r>
      <w:r>
        <w:rPr>
          <w:rFonts w:hint="eastAsia"/>
          <w:szCs w:val="21"/>
          <w:lang w:val="en-US" w:eastAsia="zh-CN"/>
        </w:rPr>
        <w:t>碳存储量按公式（6）进行计算：</w:t>
      </w:r>
    </w:p>
    <w:p>
      <w:pPr>
        <w:tabs>
          <w:tab w:val="center" w:pos="4201"/>
          <w:tab w:val="right" w:leader="dot" w:pos="9298"/>
        </w:tabs>
        <w:ind w:left="840" w:leftChars="200" w:hanging="420" w:hangingChars="200"/>
        <w:rPr>
          <w:rFonts w:hint="eastAsia" w:eastAsia="宋体"/>
          <w:szCs w:val="21"/>
          <w:lang w:val="en-US" w:eastAsia="zh-CN"/>
        </w:rPr>
      </w:pPr>
      <m:oMathPara>
        <m:oMathParaPr>
          <m:jc m:val="right"/>
        </m:oMathParaPr>
        <m:oMath>
          <m:sSub>
            <m:sSubPr>
              <m:ctrlPr>
                <w:rPr>
                  <w:rFonts w:ascii="Cambria Math" w:hAnsi="Cambria Math"/>
                  <w:i/>
                  <w:szCs w:val="21"/>
                  <w:lang w:val="en-US"/>
                </w:rPr>
              </m:ctrlPr>
            </m:sSubPr>
            <m:e>
              <m:r>
                <m:rPr/>
                <w:rPr>
                  <w:rFonts w:hint="default" w:ascii="Cambria Math" w:hAnsi="Cambria Math"/>
                  <w:szCs w:val="21"/>
                  <w:lang w:val="en-US" w:eastAsia="zh-CN"/>
                </w:rPr>
                <m:t>G</m:t>
              </m:r>
              <m:ctrlPr>
                <w:rPr>
                  <w:rFonts w:ascii="Cambria Math" w:hAnsi="Cambria Math"/>
                  <w:i/>
                  <w:szCs w:val="21"/>
                  <w:lang w:val="en-US"/>
                </w:rPr>
              </m:ctrlPr>
            </m:e>
            <m:sub>
              <m:r>
                <m:rPr>
                  <m:sty m:val="p"/>
                </m:rPr>
                <w:rPr>
                  <w:rFonts w:hint="default" w:ascii="Cambria Math" w:hAnsi="Cambria Math"/>
                  <w:szCs w:val="21"/>
                  <w:lang w:val="en-US" w:eastAsia="zh-CN"/>
                </w:rPr>
                <m:t>d</m:t>
              </m:r>
              <m:ctrlPr>
                <w:rPr>
                  <w:rFonts w:ascii="Cambria Math" w:hAnsi="Cambria Math"/>
                  <w:i/>
                  <w:szCs w:val="21"/>
                  <w:lang w:val="en-US"/>
                </w:rPr>
              </m:ctrlPr>
            </m:sub>
          </m:sSub>
          <m:r>
            <m:rPr/>
            <w:rPr>
              <w:rFonts w:hint="default" w:ascii="Cambria Math" w:hAnsi="Cambria Math" w:cs="Cambria Math"/>
              <w:szCs w:val="21"/>
              <w:lang w:val="en-US"/>
            </w:rPr>
            <m:t>=</m:t>
          </m:r>
          <m:sSub>
            <m:sSubPr>
              <m:ctrlPr>
                <w:rPr>
                  <w:rFonts w:hint="default" w:ascii="Cambria Math" w:hAnsi="Cambria Math" w:cs="Cambria Math"/>
                  <w:i/>
                  <w:szCs w:val="21"/>
                  <w:lang w:val="en-US"/>
                </w:rPr>
              </m:ctrlPr>
            </m:sSubPr>
            <m:e>
              <m:r>
                <m:rPr/>
                <w:rPr>
                  <w:rFonts w:hint="default" w:ascii="Cambria Math" w:hAnsi="Cambria Math" w:cs="Cambria Math"/>
                  <w:szCs w:val="21"/>
                  <w:lang w:val="en-US" w:eastAsia="zh-CN"/>
                </w:rPr>
                <m:t>m</m:t>
              </m:r>
              <m:ctrlPr>
                <w:rPr>
                  <w:rFonts w:hint="default" w:ascii="Cambria Math" w:hAnsi="Cambria Math" w:cs="Cambria Math"/>
                  <w:i/>
                  <w:szCs w:val="21"/>
                  <w:lang w:val="en-US"/>
                </w:rPr>
              </m:ctrlPr>
            </m:e>
            <m:sub>
              <m:r>
                <m:rPr>
                  <m:sty m:val="p"/>
                </m:rPr>
                <w:rPr>
                  <w:rFonts w:hint="default" w:ascii="Cambria Math" w:hAnsi="Cambria Math" w:cs="Cambria Math"/>
                  <w:szCs w:val="21"/>
                  <w:lang w:val="en-US" w:eastAsia="zh-CN"/>
                </w:rPr>
                <m:t>d</m:t>
              </m:r>
              <m:ctrlPr>
                <w:rPr>
                  <w:rFonts w:hint="default" w:ascii="Cambria Math" w:hAnsi="Cambria Math" w:cs="Cambria Math"/>
                  <w:i/>
                  <w:szCs w:val="21"/>
                  <w:lang w:val="en-US"/>
                </w:rPr>
              </m:ctrlPr>
            </m:sub>
          </m:sSub>
          <m:r>
            <m:rPr/>
            <w:rPr>
              <w:rFonts w:hint="default" w:ascii="Cambria Math" w:hAnsi="Cambria Math" w:cs="Cambria Math"/>
              <w:szCs w:val="21"/>
              <w:lang w:val="en-US"/>
            </w:rPr>
            <m:t>×</m:t>
          </m:r>
          <m:sSub>
            <m:sSubPr>
              <m:ctrlPr>
                <w:rPr>
                  <w:rFonts w:hint="default" w:ascii="Cambria Math" w:hAnsi="Cambria Math" w:cs="Cambria Math"/>
                  <w:i/>
                  <w:szCs w:val="21"/>
                  <w:lang w:val="en-US"/>
                </w:rPr>
              </m:ctrlPr>
            </m:sSubPr>
            <m:e>
              <m:r>
                <m:rPr/>
                <w:rPr>
                  <w:rFonts w:hint="default" w:ascii="Cambria Math" w:hAnsi="Cambria Math" w:cs="Cambria Math"/>
                  <w:szCs w:val="21"/>
                  <w:lang w:val="en-US" w:eastAsia="zh-CN"/>
                </w:rPr>
                <m:t>t</m:t>
              </m:r>
              <m:ctrlPr>
                <w:rPr>
                  <w:rFonts w:hint="default" w:ascii="Cambria Math" w:hAnsi="Cambria Math" w:cs="Cambria Math"/>
                  <w:i/>
                  <w:szCs w:val="21"/>
                  <w:lang w:val="en-US"/>
                </w:rPr>
              </m:ctrlPr>
            </m:e>
            <m:sub>
              <m:r>
                <m:rPr>
                  <m:sty m:val="p"/>
                </m:rPr>
                <w:rPr>
                  <w:rFonts w:hint="default" w:ascii="Cambria Math" w:hAnsi="Cambria Math" w:cs="Cambria Math"/>
                  <w:szCs w:val="21"/>
                  <w:lang w:val="en-US" w:eastAsia="zh-CN"/>
                </w:rPr>
                <m:t>0</m:t>
              </m:r>
              <m:ctrlPr>
                <w:rPr>
                  <w:rFonts w:hint="default" w:ascii="Cambria Math" w:hAnsi="Cambria Math" w:cs="Cambria Math"/>
                  <w:i/>
                  <w:szCs w:val="21"/>
                  <w:lang w:val="en-US"/>
                </w:rPr>
              </m:ctrlPr>
            </m:sub>
          </m:sSub>
          <m:r>
            <m:rPr/>
            <w:rPr>
              <w:rFonts w:hint="default" w:ascii="Cambria Math" w:hAnsi="Cambria Math" w:cs="Cambria Math"/>
              <w:szCs w:val="21"/>
              <w:lang w:val="en-US"/>
            </w:rPr>
            <m:t>×</m:t>
          </m:r>
          <m:sSub>
            <m:sSubPr>
              <m:ctrlPr>
                <w:rPr>
                  <w:rFonts w:hint="default" w:ascii="Cambria Math" w:hAnsi="Cambria Math" w:cs="Cambria Math"/>
                  <w:i/>
                  <w:szCs w:val="21"/>
                  <w:lang w:val="en-US"/>
                </w:rPr>
              </m:ctrlPr>
            </m:sSubPr>
            <m:e>
              <m:r>
                <m:rPr/>
                <w:rPr>
                  <w:rFonts w:hint="default" w:ascii="Cambria Math" w:hAnsi="Cambria Math" w:cs="Cambria Math"/>
                  <w:szCs w:val="21"/>
                  <w:lang w:val="en-US" w:eastAsia="zh-CN"/>
                </w:rPr>
                <m:t>C</m:t>
              </m:r>
              <m:ctrlPr>
                <w:rPr>
                  <w:rFonts w:hint="default" w:ascii="Cambria Math" w:hAnsi="Cambria Math" w:cs="Cambria Math"/>
                  <w:i/>
                  <w:szCs w:val="21"/>
                  <w:lang w:val="en-US"/>
                </w:rPr>
              </m:ctrlPr>
            </m:e>
            <m:sub>
              <m:r>
                <m:rPr/>
                <w:rPr>
                  <w:rFonts w:hint="default" w:ascii="Cambria Math" w:hAnsi="Cambria Math" w:cs="Cambria Math"/>
                  <w:szCs w:val="21"/>
                  <w:lang w:val="en-US" w:eastAsia="zh-CN"/>
                </w:rPr>
                <m:t>1</m:t>
              </m:r>
              <m:ctrlPr>
                <w:rPr>
                  <w:rFonts w:hint="default" w:ascii="Cambria Math" w:hAnsi="Cambria Math" w:cs="Cambria Math"/>
                  <w:i/>
                  <w:szCs w:val="21"/>
                  <w:lang w:val="en-US"/>
                </w:rPr>
              </m:ctrlPr>
            </m:sub>
          </m:sSub>
          <m:r>
            <m:rPr/>
            <w:rPr>
              <w:rFonts w:hint="default" w:ascii="Cambria Math" w:hAnsi="Cambria Math" w:cs="Cambria Math"/>
              <w:szCs w:val="21"/>
              <w:lang w:val="en-US"/>
            </w:rPr>
            <m:t>×</m:t>
          </m:r>
          <m:d>
            <m:dPr>
              <m:ctrlPr>
                <w:rPr>
                  <w:rFonts w:hint="default" w:ascii="Cambria Math" w:hAnsi="Cambria Math" w:cs="Cambria Math"/>
                  <w:i/>
                  <w:szCs w:val="21"/>
                  <w:lang w:val="en-US"/>
                </w:rPr>
              </m:ctrlPr>
            </m:dPr>
            <m:e>
              <m:r>
                <m:rPr/>
                <w:rPr>
                  <w:rFonts w:hint="default" w:ascii="Cambria Math" w:hAnsi="Cambria Math" w:cs="Cambria Math"/>
                  <w:szCs w:val="21"/>
                  <w:lang w:val="en-US" w:eastAsia="zh-CN"/>
                </w:rPr>
                <m:t>1</m:t>
              </m:r>
              <m:r>
                <m:rPr/>
                <w:rPr>
                  <w:rFonts w:ascii="Cambria Math" w:hAnsi="Cambria Math" w:cs="Cambria Math"/>
                  <w:szCs w:val="21"/>
                  <w:lang w:val="en-US"/>
                </w:rPr>
                <m:t>−</m:t>
              </m:r>
              <m:sSub>
                <m:sSubPr>
                  <m:ctrlPr>
                    <w:rPr>
                      <w:rFonts w:ascii="Cambria Math" w:hAnsi="Cambria Math" w:cs="Cambria Math"/>
                      <w:i/>
                      <w:szCs w:val="21"/>
                      <w:lang w:val="en-US"/>
                    </w:rPr>
                  </m:ctrlPr>
                </m:sSubPr>
                <m:e>
                  <m:r>
                    <m:rPr/>
                    <w:rPr>
                      <w:rFonts w:hint="default" w:ascii="Cambria Math" w:hAnsi="Cambria Math" w:cs="Cambria Math"/>
                      <w:szCs w:val="21"/>
                      <w:lang w:val="en-US" w:eastAsia="zh-CN"/>
                    </w:rPr>
                    <m:t>C</m:t>
                  </m:r>
                  <m:ctrlPr>
                    <w:rPr>
                      <w:rFonts w:ascii="Cambria Math" w:hAnsi="Cambria Math" w:cs="Cambria Math"/>
                      <w:i/>
                      <w:szCs w:val="21"/>
                      <w:lang w:val="en-US"/>
                    </w:rPr>
                  </m:ctrlPr>
                </m:e>
                <m:sub>
                  <m:r>
                    <m:rPr/>
                    <w:rPr>
                      <w:rFonts w:hint="default" w:ascii="Cambria Math" w:hAnsi="Cambria Math" w:cs="Cambria Math"/>
                      <w:szCs w:val="21"/>
                      <w:lang w:val="en-US" w:eastAsia="zh-CN"/>
                    </w:rPr>
                    <m:t>2</m:t>
                  </m:r>
                  <m:ctrlPr>
                    <w:rPr>
                      <w:rFonts w:ascii="Cambria Math" w:hAnsi="Cambria Math" w:cs="Cambria Math"/>
                      <w:i/>
                      <w:szCs w:val="21"/>
                      <w:lang w:val="en-US"/>
                    </w:rPr>
                  </m:ctrlPr>
                </m:sub>
              </m:sSub>
              <m:ctrlPr>
                <w:rPr>
                  <w:rFonts w:hint="default" w:ascii="Cambria Math" w:hAnsi="Cambria Math" w:cs="Cambria Math"/>
                  <w:i/>
                  <w:szCs w:val="21"/>
                  <w:lang w:val="en-US"/>
                </w:rPr>
              </m:ctrlPr>
            </m:e>
          </m:d>
          <m:r>
            <m:rPr/>
            <w:rPr>
              <w:rFonts w:hint="default" w:ascii="Cambria Math" w:hAnsi="Cambria Math" w:cs="Cambria Math"/>
              <w:szCs w:val="21"/>
              <w:lang w:val="en-US"/>
            </w:rPr>
            <m:t>×</m:t>
          </m:r>
          <m:f>
            <m:fPr>
              <m:ctrlPr>
                <w:rPr>
                  <w:rFonts w:hint="default" w:ascii="Cambria Math" w:hAnsi="Cambria Math" w:cs="Cambria Math"/>
                  <w:i/>
                  <w:szCs w:val="21"/>
                  <w:lang w:val="en-US"/>
                </w:rPr>
              </m:ctrlPr>
            </m:fPr>
            <m:num>
              <m:r>
                <m:rPr/>
                <w:rPr>
                  <w:rFonts w:hint="default" w:ascii="Cambria Math" w:hAnsi="Cambria Math" w:cs="Cambria Math"/>
                  <w:szCs w:val="21"/>
                  <w:lang w:val="en-US" w:eastAsia="zh-CN"/>
                </w:rPr>
                <m:t>44</m:t>
              </m:r>
              <m:ctrlPr>
                <w:rPr>
                  <w:rFonts w:hint="default" w:ascii="Cambria Math" w:hAnsi="Cambria Math" w:cs="Cambria Math"/>
                  <w:i/>
                  <w:szCs w:val="21"/>
                  <w:lang w:val="en-US"/>
                </w:rPr>
              </m:ctrlPr>
            </m:num>
            <m:den>
              <m:r>
                <m:rPr/>
                <w:rPr>
                  <w:rFonts w:hint="default" w:ascii="Cambria Math" w:hAnsi="Cambria Math" w:cs="Cambria Math"/>
                  <w:szCs w:val="21"/>
                  <w:lang w:val="en-US" w:eastAsia="zh-CN"/>
                </w:rPr>
                <m:t>12</m:t>
              </m:r>
              <m:ctrlPr>
                <w:rPr>
                  <w:rFonts w:hint="default" w:ascii="Cambria Math" w:hAnsi="Cambria Math" w:cs="Cambria Math"/>
                  <w:i/>
                  <w:szCs w:val="21"/>
                  <w:lang w:val="en-US"/>
                </w:rPr>
              </m:ctrlPr>
            </m:den>
          </m:f>
          <m:r>
            <m:rPr/>
            <w:rPr>
              <w:rFonts w:hint="default" w:ascii="Cambria Math" w:hAnsi="Cambria Math" w:cs="Cambria Math"/>
              <w:szCs w:val="21"/>
              <w:lang w:val="en-US"/>
            </w:rPr>
            <m:t>⋯</m:t>
          </m:r>
          <m:r>
            <m:rPr/>
            <w:rPr>
              <w:rFonts w:ascii="Cambria Math" w:hAnsi="Cambria Math" w:cs="Cambria Math"/>
              <w:szCs w:val="21"/>
              <w:lang w:val="en-US"/>
            </w:rPr>
            <m:t>⋯⋯⋯⋯⋯⋯⋯⋯⋯⋯</m:t>
          </m:r>
          <m:r>
            <m:rPr/>
            <w:rPr>
              <w:rFonts w:hint="default" w:ascii="Cambria Math" w:hAnsi="Cambria Math" w:cs="Cambria Math"/>
              <w:szCs w:val="21"/>
              <w:lang w:val="en-US"/>
            </w:rPr>
            <m:t>⋯</m:t>
          </m:r>
          <m:r>
            <m:rPr>
              <m:sty m:val="p"/>
            </m:rPr>
            <w:rPr>
              <w:rFonts w:hint="eastAsia" w:ascii="Cambria Math" w:hAnsi="Cambria Math" w:cs="Cambria Math"/>
              <w:szCs w:val="21"/>
              <w:lang w:val="en-US" w:eastAsia="zh-CN"/>
            </w:rPr>
            <m:t>（</m:t>
          </m:r>
          <m:r>
            <m:rPr>
              <m:sty m:val="p"/>
            </m:rPr>
            <w:rPr>
              <w:rFonts w:hint="default" w:ascii="Cambria Math" w:hAnsi="Cambria Math" w:cs="Cambria Math"/>
              <w:szCs w:val="21"/>
              <w:lang w:val="en-US" w:eastAsia="zh-CN"/>
            </w:rPr>
            <m:t>6</m:t>
          </m:r>
          <m:r>
            <m:rPr>
              <m:sty m:val="p"/>
            </m:rPr>
            <w:rPr>
              <w:rFonts w:hint="eastAsia" w:ascii="Cambria Math" w:hAnsi="Cambria Math" w:cs="Cambria Math"/>
              <w:szCs w:val="21"/>
              <w:lang w:val="en-US" w:eastAsia="zh-CN"/>
            </w:rPr>
            <m:t>）</m:t>
          </m:r>
        </m:oMath>
      </m:oMathPara>
    </w:p>
    <w:p>
      <w:pPr>
        <w:tabs>
          <w:tab w:val="center" w:pos="4201"/>
          <w:tab w:val="right" w:leader="dot" w:pos="9298"/>
        </w:tabs>
        <w:ind w:left="840" w:leftChars="200" w:hanging="420" w:hangingChars="200"/>
        <w:rPr>
          <w:rFonts w:hint="eastAsia"/>
          <w:szCs w:val="21"/>
          <w:lang w:val="en-US" w:eastAsia="zh-CN"/>
        </w:rPr>
      </w:pPr>
      <w:r>
        <w:rPr>
          <w:rFonts w:hint="eastAsia"/>
          <w:szCs w:val="21"/>
          <w:lang w:val="en-US" w:eastAsia="zh-CN"/>
        </w:rPr>
        <w:t>式中：</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G</w:t>
      </w:r>
      <w:r>
        <w:rPr>
          <w:rFonts w:hint="eastAsia"/>
          <w:szCs w:val="21"/>
          <w:vertAlign w:val="subscript"/>
          <w:lang w:val="en-US" w:eastAsia="zh-CN"/>
        </w:rPr>
        <w:t>d</w:t>
      </w:r>
      <w:r>
        <w:rPr>
          <w:rFonts w:hint="eastAsia"/>
          <w:szCs w:val="21"/>
          <w:lang w:val="en-US" w:eastAsia="zh-CN"/>
        </w:rPr>
        <w:t>——产品废弃物填埋处置的碳存储量，单位为吨二氧化碳（tCO</w:t>
      </w:r>
      <w:r>
        <w:rPr>
          <w:rFonts w:hint="eastAsia"/>
          <w:szCs w:val="21"/>
          <w:vertAlign w:val="subscript"/>
          <w:lang w:val="en-US" w:eastAsia="zh-CN"/>
        </w:rPr>
        <w:t>2</w:t>
      </w:r>
      <w:r>
        <w:rPr>
          <w:rFonts w:hint="eastAsia"/>
          <w:szCs w:val="21"/>
          <w:lang w:val="en-US" w:eastAsia="zh-CN"/>
        </w:rPr>
        <w:t>）；</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m</w:t>
      </w:r>
      <w:r>
        <w:rPr>
          <w:rFonts w:hint="eastAsia"/>
          <w:szCs w:val="21"/>
          <w:vertAlign w:val="subscript"/>
          <w:lang w:val="en-US" w:eastAsia="zh-CN"/>
        </w:rPr>
        <w:t>d</w:t>
      </w:r>
      <w:r>
        <w:rPr>
          <w:rFonts w:hint="eastAsia"/>
          <w:szCs w:val="21"/>
          <w:lang w:val="en-US" w:eastAsia="zh-CN"/>
        </w:rPr>
        <w:t>——产品废弃物的总重量，单位为吨（t）；</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t</w:t>
      </w:r>
      <w:r>
        <w:rPr>
          <w:rFonts w:hint="eastAsia"/>
          <w:szCs w:val="21"/>
          <w:vertAlign w:val="subscript"/>
          <w:lang w:val="en-US" w:eastAsia="zh-CN"/>
        </w:rPr>
        <w:t>0</w:t>
      </w:r>
      <w:r>
        <w:rPr>
          <w:rFonts w:hint="eastAsia"/>
          <w:szCs w:val="21"/>
          <w:lang w:val="en-US" w:eastAsia="zh-CN"/>
        </w:rPr>
        <w:t>——城市废弃物填埋处置占废弃物总量的比例，%；</w:t>
      </w:r>
    </w:p>
    <w:p>
      <w:pPr>
        <w:tabs>
          <w:tab w:val="center" w:pos="4201"/>
          <w:tab w:val="right" w:leader="dot" w:pos="9298"/>
        </w:tabs>
        <w:ind w:left="840" w:leftChars="200" w:hanging="420" w:hangingChars="200"/>
        <w:rPr>
          <w:rFonts w:hint="eastAsia"/>
          <w:szCs w:val="21"/>
          <w:lang w:val="en-US" w:eastAsia="zh-CN"/>
        </w:rPr>
      </w:pPr>
      <w:r>
        <w:rPr>
          <w:rFonts w:hint="eastAsia"/>
          <w:i/>
          <w:iCs/>
          <w:szCs w:val="21"/>
          <w:lang w:val="en-US" w:eastAsia="zh-CN"/>
        </w:rPr>
        <w:t>C</w:t>
      </w:r>
      <w:r>
        <w:rPr>
          <w:rFonts w:hint="eastAsia"/>
          <w:szCs w:val="21"/>
          <w:vertAlign w:val="subscript"/>
          <w:lang w:val="en-US" w:eastAsia="zh-CN"/>
        </w:rPr>
        <w:t>1</w:t>
      </w:r>
      <w:r>
        <w:rPr>
          <w:rFonts w:hint="eastAsia"/>
          <w:szCs w:val="21"/>
          <w:lang w:val="en-US" w:eastAsia="zh-CN"/>
        </w:rPr>
        <w:t>——可降解有机碳比例，单位为吨碳/吨废弃物（tC/t废弃物）；</w:t>
      </w:r>
    </w:p>
    <w:p>
      <w:pPr>
        <w:tabs>
          <w:tab w:val="center" w:pos="4201"/>
          <w:tab w:val="right" w:leader="dot" w:pos="9298"/>
        </w:tabs>
        <w:ind w:left="840" w:leftChars="200" w:hanging="420" w:hangingChars="200"/>
        <w:rPr>
          <w:rFonts w:hint="default"/>
          <w:szCs w:val="21"/>
          <w:lang w:val="en-US" w:eastAsia="zh-CN"/>
        </w:rPr>
      </w:pPr>
      <w:r>
        <w:rPr>
          <w:rFonts w:hint="eastAsia"/>
          <w:i/>
          <w:iCs/>
          <w:szCs w:val="21"/>
          <w:lang w:val="en-US" w:eastAsia="zh-CN"/>
        </w:rPr>
        <w:t>C</w:t>
      </w:r>
      <w:r>
        <w:rPr>
          <w:rFonts w:hint="eastAsia"/>
          <w:szCs w:val="21"/>
          <w:vertAlign w:val="subscript"/>
          <w:lang w:val="en-US" w:eastAsia="zh-CN"/>
        </w:rPr>
        <w:t>2</w:t>
      </w:r>
      <w:r>
        <w:rPr>
          <w:rFonts w:hint="eastAsia"/>
          <w:szCs w:val="21"/>
          <w:lang w:val="en-US" w:eastAsia="zh-CN"/>
        </w:rPr>
        <w:t>——可降解有机碳的降解比例。</w:t>
      </w:r>
    </w:p>
    <w:p>
      <w:pPr>
        <w:spacing w:before="312" w:beforeLines="100" w:after="312" w:afterLines="100"/>
        <w:outlineLvl w:val="0"/>
        <w:rPr>
          <w:rFonts w:eastAsia="黑体"/>
          <w:szCs w:val="21"/>
        </w:rPr>
      </w:pPr>
      <w:r>
        <w:rPr>
          <w:rFonts w:hint="eastAsia" w:ascii="黑体" w:hAnsi="黑体" w:eastAsia="黑体" w:cs="黑体"/>
          <w:szCs w:val="21"/>
        </w:rPr>
        <w:t>1</w:t>
      </w:r>
      <w:r>
        <w:rPr>
          <w:rFonts w:hint="eastAsia" w:ascii="黑体" w:hAnsi="黑体" w:eastAsia="黑体" w:cs="黑体"/>
          <w:szCs w:val="21"/>
          <w:lang w:val="en-US" w:eastAsia="zh-CN"/>
        </w:rPr>
        <w:t>0</w:t>
      </w:r>
      <w:r>
        <w:rPr>
          <w:rFonts w:hint="eastAsia" w:ascii="黑体" w:hAnsi="黑体" w:eastAsia="黑体" w:cs="黑体"/>
          <w:szCs w:val="21"/>
        </w:rPr>
        <w:t xml:space="preserve"> </w:t>
      </w:r>
      <w:r>
        <w:rPr>
          <w:rFonts w:eastAsia="黑体"/>
          <w:szCs w:val="21"/>
        </w:rPr>
        <w:t xml:space="preserve"> </w:t>
      </w:r>
      <w:r>
        <w:rPr>
          <w:rFonts w:hint="eastAsia" w:eastAsia="黑体"/>
          <w:szCs w:val="21"/>
          <w:lang w:val="en-US" w:eastAsia="zh-CN"/>
        </w:rPr>
        <w:t>核算</w:t>
      </w:r>
      <w:r>
        <w:rPr>
          <w:rFonts w:hint="eastAsia" w:eastAsia="黑体"/>
          <w:szCs w:val="21"/>
        </w:rPr>
        <w:t>报告</w:t>
      </w:r>
    </w:p>
    <w:p>
      <w:pPr>
        <w:tabs>
          <w:tab w:val="center" w:pos="4201"/>
          <w:tab w:val="right" w:leader="dot" w:pos="9298"/>
        </w:tabs>
        <w:rPr>
          <w:szCs w:val="21"/>
        </w:rPr>
      </w:pPr>
      <w:r>
        <w:rPr>
          <w:rFonts w:hint="eastAsia" w:ascii="黑体" w:hAnsi="黑体" w:eastAsia="黑体" w:cs="黑体"/>
          <w:szCs w:val="21"/>
        </w:rPr>
        <w:t>1</w:t>
      </w:r>
      <w:r>
        <w:rPr>
          <w:rFonts w:hint="eastAsia" w:ascii="黑体" w:hAnsi="黑体" w:eastAsia="黑体" w:cs="黑体"/>
          <w:szCs w:val="21"/>
          <w:lang w:val="en-US" w:eastAsia="zh-CN"/>
        </w:rPr>
        <w:t>0</w:t>
      </w:r>
      <w:r>
        <w:rPr>
          <w:rFonts w:hint="eastAsia" w:ascii="黑体" w:hAnsi="黑体" w:eastAsia="黑体" w:cs="黑体"/>
          <w:szCs w:val="21"/>
        </w:rPr>
        <w:t>.1</w:t>
      </w:r>
      <w:r>
        <w:rPr>
          <w:rFonts w:hint="eastAsia"/>
          <w:szCs w:val="21"/>
        </w:rPr>
        <w:t xml:space="preserve">  产品碳足迹宜以报告、声明、证书和（或）标签的形式描述碳足迹量化结果，且应以每功能单位的CO</w:t>
      </w:r>
      <w:r>
        <w:rPr>
          <w:rFonts w:hint="eastAsia"/>
          <w:szCs w:val="21"/>
          <w:vertAlign w:val="subscript"/>
        </w:rPr>
        <w:t>2</w:t>
      </w:r>
      <w:r>
        <w:rPr>
          <w:rFonts w:hint="eastAsia"/>
          <w:szCs w:val="21"/>
        </w:rPr>
        <w:t>e方式进行表述。若采用产品碳足迹证书和（或）产品碳足迹标签，应同时出具产品碳足迹报告。若碳足迹量化结果应用于下游供应链，则应分别报送各产品阶段的量化结果，避免下游供应链碳足迹结果的重复计算。</w:t>
      </w:r>
    </w:p>
    <w:p>
      <w:pPr>
        <w:tabs>
          <w:tab w:val="center" w:pos="4201"/>
          <w:tab w:val="right" w:leader="dot" w:pos="9298"/>
        </w:tabs>
        <w:rPr>
          <w:szCs w:val="21"/>
        </w:rPr>
      </w:pPr>
      <w:r>
        <w:rPr>
          <w:rFonts w:hint="eastAsia" w:ascii="黑体" w:hAnsi="黑体" w:eastAsia="黑体" w:cs="黑体"/>
          <w:szCs w:val="21"/>
        </w:rPr>
        <w:t>1</w:t>
      </w:r>
      <w:r>
        <w:rPr>
          <w:rFonts w:hint="eastAsia" w:ascii="黑体" w:hAnsi="黑体" w:eastAsia="黑体" w:cs="黑体"/>
          <w:szCs w:val="21"/>
          <w:lang w:val="en-US" w:eastAsia="zh-CN"/>
        </w:rPr>
        <w:t>0</w:t>
      </w:r>
      <w:r>
        <w:rPr>
          <w:rFonts w:hint="eastAsia" w:ascii="黑体" w:hAnsi="黑体" w:eastAsia="黑体" w:cs="黑体"/>
          <w:szCs w:val="21"/>
        </w:rPr>
        <w:t>.2</w:t>
      </w:r>
      <w:r>
        <w:rPr>
          <w:rFonts w:hint="eastAsia"/>
          <w:szCs w:val="21"/>
        </w:rPr>
        <w:t xml:space="preserve">  依据本文件编制的产品碳足迹报告</w:t>
      </w:r>
      <w:r>
        <w:rPr>
          <w:rFonts w:hint="eastAsia"/>
          <w:szCs w:val="21"/>
          <w:lang w:eastAsia="zh-CN"/>
        </w:rPr>
        <w:t>（</w:t>
      </w:r>
      <w:r>
        <w:rPr>
          <w:rFonts w:hint="eastAsia"/>
          <w:szCs w:val="21"/>
          <w:lang w:val="en-US" w:eastAsia="zh-CN"/>
        </w:rPr>
        <w:t>模板见附录C</w:t>
      </w:r>
      <w:bookmarkStart w:id="47" w:name="_GoBack"/>
      <w:bookmarkEnd w:id="47"/>
      <w:r>
        <w:rPr>
          <w:rFonts w:hint="eastAsia"/>
          <w:szCs w:val="21"/>
          <w:lang w:eastAsia="zh-CN"/>
        </w:rPr>
        <w:t>）</w:t>
      </w:r>
      <w:r>
        <w:rPr>
          <w:rFonts w:hint="eastAsia"/>
          <w:szCs w:val="21"/>
        </w:rPr>
        <w:t>应包括但不限于以下内容：</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基本情况：</w:t>
      </w:r>
    </w:p>
    <w:p>
      <w:pPr>
        <w:keepNext w:val="0"/>
        <w:keepLines w:val="0"/>
        <w:pageBreakBefore w:val="0"/>
        <w:widowControl w:val="0"/>
        <w:numPr>
          <w:ilvl w:val="0"/>
          <w:numId w:val="22"/>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委托方和评价方信息；</w:t>
      </w:r>
    </w:p>
    <w:p>
      <w:pPr>
        <w:keepNext w:val="0"/>
        <w:keepLines w:val="0"/>
        <w:pageBreakBefore w:val="0"/>
        <w:widowControl w:val="0"/>
        <w:numPr>
          <w:ilvl w:val="0"/>
          <w:numId w:val="22"/>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报告信息；</w:t>
      </w:r>
    </w:p>
    <w:p>
      <w:pPr>
        <w:keepNext w:val="0"/>
        <w:keepLines w:val="0"/>
        <w:pageBreakBefore w:val="0"/>
        <w:widowControl w:val="0"/>
        <w:numPr>
          <w:ilvl w:val="0"/>
          <w:numId w:val="22"/>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依据标准；</w:t>
      </w:r>
    </w:p>
    <w:p>
      <w:pPr>
        <w:keepNext w:val="0"/>
        <w:keepLines w:val="0"/>
        <w:pageBreakBefore w:val="0"/>
        <w:widowControl w:val="0"/>
        <w:numPr>
          <w:ilvl w:val="0"/>
          <w:numId w:val="22"/>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真实性陈述声明；</w:t>
      </w:r>
    </w:p>
    <w:p>
      <w:pPr>
        <w:keepNext w:val="0"/>
        <w:keepLines w:val="0"/>
        <w:pageBreakBefore w:val="0"/>
        <w:widowControl w:val="0"/>
        <w:numPr>
          <w:ilvl w:val="0"/>
          <w:numId w:val="22"/>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产品信息。</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目的：</w:t>
      </w:r>
    </w:p>
    <w:p>
      <w:pPr>
        <w:keepNext w:val="0"/>
        <w:keepLines w:val="0"/>
        <w:pageBreakBefore w:val="0"/>
        <w:widowControl w:val="0"/>
        <w:numPr>
          <w:ilvl w:val="0"/>
          <w:numId w:val="23"/>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研究目的；</w:t>
      </w:r>
    </w:p>
    <w:p>
      <w:pPr>
        <w:keepNext w:val="0"/>
        <w:keepLines w:val="0"/>
        <w:pageBreakBefore w:val="0"/>
        <w:widowControl w:val="0"/>
        <w:numPr>
          <w:ilvl w:val="0"/>
          <w:numId w:val="23"/>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预期用途。</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范围：</w:t>
      </w:r>
    </w:p>
    <w:p>
      <w:pPr>
        <w:keepNext w:val="0"/>
        <w:keepLines w:val="0"/>
        <w:pageBreakBefore w:val="0"/>
        <w:widowControl w:val="0"/>
        <w:numPr>
          <w:ilvl w:val="0"/>
          <w:numId w:val="24"/>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功能单位；</w:t>
      </w:r>
    </w:p>
    <w:p>
      <w:pPr>
        <w:keepNext w:val="0"/>
        <w:keepLines w:val="0"/>
        <w:pageBreakBefore w:val="0"/>
        <w:widowControl w:val="0"/>
        <w:numPr>
          <w:ilvl w:val="0"/>
          <w:numId w:val="24"/>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系统边界。</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清单分析：</w:t>
      </w:r>
    </w:p>
    <w:p>
      <w:pPr>
        <w:keepNext w:val="0"/>
        <w:keepLines w:val="0"/>
        <w:pageBreakBefore w:val="0"/>
        <w:widowControl w:val="0"/>
        <w:numPr>
          <w:ilvl w:val="0"/>
          <w:numId w:val="25"/>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数据收集信息，包括数据来源；</w:t>
      </w:r>
    </w:p>
    <w:p>
      <w:pPr>
        <w:keepNext w:val="0"/>
        <w:keepLines w:val="0"/>
        <w:pageBreakBefore w:val="0"/>
        <w:widowControl w:val="0"/>
        <w:numPr>
          <w:ilvl w:val="0"/>
          <w:numId w:val="25"/>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时间范围；</w:t>
      </w:r>
    </w:p>
    <w:p>
      <w:pPr>
        <w:keepNext w:val="0"/>
        <w:keepLines w:val="0"/>
        <w:pageBreakBefore w:val="0"/>
        <w:widowControl w:val="0"/>
        <w:numPr>
          <w:ilvl w:val="0"/>
          <w:numId w:val="25"/>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取舍原则；</w:t>
      </w:r>
    </w:p>
    <w:p>
      <w:pPr>
        <w:keepNext w:val="0"/>
        <w:keepLines w:val="0"/>
        <w:pageBreakBefore w:val="0"/>
        <w:widowControl w:val="0"/>
        <w:numPr>
          <w:ilvl w:val="0"/>
          <w:numId w:val="25"/>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分配原则；</w:t>
      </w:r>
    </w:p>
    <w:p>
      <w:pPr>
        <w:keepNext w:val="0"/>
        <w:keepLines w:val="0"/>
        <w:pageBreakBefore w:val="0"/>
        <w:widowControl w:val="0"/>
        <w:numPr>
          <w:ilvl w:val="0"/>
          <w:numId w:val="25"/>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数据清单。</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核算结果：</w:t>
      </w:r>
    </w:p>
    <w:p>
      <w:pPr>
        <w:keepNext w:val="0"/>
        <w:keepLines w:val="0"/>
        <w:pageBreakBefore w:val="0"/>
        <w:widowControl w:val="0"/>
        <w:numPr>
          <w:ilvl w:val="0"/>
          <w:numId w:val="26"/>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排放因子选择；</w:t>
      </w:r>
    </w:p>
    <w:p>
      <w:pPr>
        <w:keepNext w:val="0"/>
        <w:keepLines w:val="0"/>
        <w:pageBreakBefore w:val="0"/>
        <w:widowControl w:val="0"/>
        <w:numPr>
          <w:ilvl w:val="0"/>
          <w:numId w:val="26"/>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核算结果展示。</w:t>
      </w:r>
    </w:p>
    <w:p>
      <w:pPr>
        <w:numPr>
          <w:ilvl w:val="0"/>
          <w:numId w:val="21"/>
        </w:numPr>
        <w:tabs>
          <w:tab w:val="center" w:pos="4201"/>
          <w:tab w:val="right" w:leader="dot" w:pos="9298"/>
        </w:tabs>
        <w:ind w:left="840" w:leftChars="200" w:hanging="420" w:hangingChars="200"/>
        <w:rPr>
          <w:szCs w:val="21"/>
        </w:rPr>
      </w:pPr>
      <w:r>
        <w:rPr>
          <w:rFonts w:hint="eastAsia"/>
          <w:szCs w:val="21"/>
          <w:lang w:val="en-US" w:eastAsia="zh-CN"/>
        </w:rPr>
        <w:t>相关说明：</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结论；</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eastAsia"/>
          <w:szCs w:val="21"/>
          <w:lang w:val="en-US" w:eastAsia="zh-CN"/>
        </w:rPr>
      </w:pPr>
      <w:r>
        <w:rPr>
          <w:rFonts w:hint="eastAsia"/>
          <w:szCs w:val="21"/>
          <w:lang w:val="en-US" w:eastAsia="zh-CN"/>
        </w:rPr>
        <w:t>假设和局限性（适用时）；</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减排建议；</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排除在清单外温室气体排放源说明；</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敏感性分析和不确定性分析（适用时）；</w:t>
      </w:r>
    </w:p>
    <w:p>
      <w:pPr>
        <w:keepNext w:val="0"/>
        <w:keepLines w:val="0"/>
        <w:pageBreakBefore w:val="0"/>
        <w:widowControl w:val="0"/>
        <w:numPr>
          <w:ilvl w:val="0"/>
          <w:numId w:val="27"/>
        </w:numPr>
        <w:tabs>
          <w:tab w:val="center" w:pos="4201"/>
          <w:tab w:val="right" w:leader="dot" w:pos="9298"/>
        </w:tabs>
        <w:kinsoku/>
        <w:wordWrap/>
        <w:overflowPunct/>
        <w:topLinePunct w:val="0"/>
        <w:autoSpaceDE/>
        <w:autoSpaceDN/>
        <w:bidi w:val="0"/>
        <w:adjustRightInd/>
        <w:snapToGrid/>
        <w:ind w:left="420" w:leftChars="0" w:firstLine="420" w:firstLineChars="200"/>
        <w:textAlignment w:val="auto"/>
        <w:rPr>
          <w:rFonts w:hint="default"/>
          <w:szCs w:val="21"/>
          <w:lang w:val="en-US" w:eastAsia="zh-CN"/>
        </w:rPr>
      </w:pPr>
      <w:r>
        <w:rPr>
          <w:rFonts w:hint="eastAsia"/>
          <w:szCs w:val="21"/>
          <w:lang w:val="en-US" w:eastAsia="zh-CN"/>
        </w:rPr>
        <w:t>其他说明内容。</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Chars="200"/>
        <w:textAlignment w:val="auto"/>
        <w:rPr>
          <w:rFonts w:hint="default"/>
          <w:szCs w:val="21"/>
          <w:lang w:val="en-US" w:eastAsia="zh-CN"/>
        </w:rPr>
      </w:pPr>
    </w:p>
    <w:p>
      <w:pPr>
        <w:widowControl w:val="0"/>
        <w:numPr>
          <w:ilvl w:val="0"/>
          <w:numId w:val="0"/>
        </w:numPr>
        <w:tabs>
          <w:tab w:val="center" w:pos="4201"/>
          <w:tab w:val="right" w:leader="dot" w:pos="9298"/>
        </w:tabs>
        <w:jc w:val="both"/>
        <w:rPr>
          <w:rFonts w:hint="eastAsia"/>
          <w:szCs w:val="21"/>
          <w:lang w:val="en-US" w:eastAsia="zh-CN"/>
        </w:rPr>
      </w:pPr>
    </w:p>
    <w:p>
      <w:pPr>
        <w:rPr>
          <w:rFonts w:ascii="宋体"/>
          <w:kern w:val="0"/>
          <w:szCs w:val="20"/>
        </w:rPr>
      </w:pPr>
      <w:r>
        <w:rPr>
          <w:rFonts w:ascii="宋体"/>
          <w:kern w:val="0"/>
          <w:szCs w:val="20"/>
        </w:rPr>
        <w:br w:type="page"/>
      </w:r>
    </w:p>
    <w:p>
      <w:pPr>
        <w:keepNext/>
        <w:widowControl/>
        <w:shd w:val="clear" w:color="FFFFFF" w:fill="FFFFFF"/>
        <w:tabs>
          <w:tab w:val="left" w:pos="6405"/>
        </w:tabs>
        <w:jc w:val="center"/>
        <w:outlineLvl w:val="0"/>
        <w:rPr>
          <w:rFonts w:ascii="黑体" w:eastAsia="黑体"/>
          <w:kern w:val="0"/>
          <w:szCs w:val="20"/>
        </w:rPr>
      </w:pPr>
      <w:r>
        <w:rPr>
          <w:rFonts w:hint="eastAsia" w:ascii="黑体" w:eastAsia="黑体"/>
          <w:kern w:val="0"/>
          <w:szCs w:val="20"/>
        </w:rPr>
        <w:t>附 录 A</w:t>
      </w:r>
    </w:p>
    <w:p>
      <w:pPr>
        <w:keepNext/>
        <w:widowControl/>
        <w:shd w:val="clear" w:color="FFFFFF" w:fill="FFFFFF"/>
        <w:tabs>
          <w:tab w:val="left" w:pos="6405"/>
        </w:tabs>
        <w:jc w:val="center"/>
        <w:outlineLvl w:val="0"/>
        <w:rPr>
          <w:rFonts w:ascii="黑体" w:eastAsia="黑体"/>
          <w:kern w:val="0"/>
          <w:szCs w:val="20"/>
        </w:rPr>
      </w:pPr>
      <w:r>
        <w:rPr>
          <w:rFonts w:hint="eastAsia" w:ascii="黑体" w:eastAsia="黑体"/>
          <w:kern w:val="0"/>
          <w:szCs w:val="20"/>
        </w:rPr>
        <w:t>（资料性）</w:t>
      </w:r>
    </w:p>
    <w:p>
      <w:pPr>
        <w:keepNext/>
        <w:widowControl/>
        <w:shd w:val="clear" w:color="FFFFFF" w:fill="FFFFFF"/>
        <w:tabs>
          <w:tab w:val="left" w:pos="6405"/>
        </w:tabs>
        <w:jc w:val="center"/>
        <w:outlineLvl w:val="0"/>
        <w:rPr>
          <w:rFonts w:ascii="黑体" w:eastAsia="黑体"/>
          <w:kern w:val="0"/>
          <w:szCs w:val="20"/>
        </w:rPr>
      </w:pPr>
      <w:r>
        <w:rPr>
          <w:rFonts w:hint="eastAsia" w:ascii="黑体" w:eastAsia="黑体"/>
          <w:kern w:val="0"/>
          <w:szCs w:val="20"/>
        </w:rPr>
        <w:t>GHG全球变暖潜势</w:t>
      </w:r>
    </w:p>
    <w:p>
      <w:pPr>
        <w:tabs>
          <w:tab w:val="center" w:pos="4201"/>
          <w:tab w:val="right" w:leader="dot" w:pos="9298"/>
        </w:tabs>
        <w:ind w:firstLine="420" w:firstLineChars="200"/>
        <w:rPr>
          <w:szCs w:val="21"/>
        </w:rPr>
      </w:pPr>
      <w:r>
        <w:rPr>
          <w:rFonts w:hint="eastAsia"/>
          <w:szCs w:val="21"/>
        </w:rPr>
        <w:t>GHG全球变暖潜势见表A.1。</w:t>
      </w:r>
    </w:p>
    <w:p>
      <w:pPr>
        <w:tabs>
          <w:tab w:val="center" w:pos="4201"/>
          <w:tab w:val="right" w:leader="dot" w:pos="9298"/>
        </w:tabs>
        <w:spacing w:before="156" w:beforeLines="50" w:after="156" w:afterLines="50"/>
        <w:jc w:val="center"/>
        <w:rPr>
          <w:rFonts w:ascii="黑体" w:hAnsi="黑体" w:eastAsia="黑体" w:cs="黑体"/>
          <w:szCs w:val="21"/>
        </w:rPr>
      </w:pPr>
      <w:r>
        <w:rPr>
          <w:rFonts w:hint="eastAsia" w:ascii="黑体" w:hAnsi="黑体" w:eastAsia="黑体" w:cs="黑体"/>
          <w:szCs w:val="21"/>
        </w:rPr>
        <w:t>表A.1 GHG全球变暖潜势</w:t>
      </w:r>
      <w:r>
        <w:rPr>
          <w:rFonts w:hint="eastAsia" w:ascii="黑体" w:hAnsi="黑体" w:eastAsia="黑体" w:cs="黑体"/>
          <w:szCs w:val="21"/>
          <w:vertAlign w:val="superscript"/>
        </w:rPr>
        <w:t>a</w:t>
      </w:r>
    </w:p>
    <w:tbl>
      <w:tblPr>
        <w:tblStyle w:val="50"/>
        <w:tblW w:w="0" w:type="auto"/>
        <w:tblInd w:w="1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221"/>
        <w:gridCol w:w="2221"/>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tabs>
                <w:tab w:val="center" w:pos="4201"/>
                <w:tab w:val="right" w:leader="dot" w:pos="9298"/>
              </w:tabs>
              <w:jc w:val="center"/>
              <w:rPr>
                <w:rFonts w:ascii="宋体"/>
                <w:sz w:val="18"/>
                <w:szCs w:val="18"/>
              </w:rPr>
            </w:pPr>
            <w:r>
              <w:rPr>
                <w:rFonts w:hint="eastAsia" w:ascii="宋体"/>
                <w:sz w:val="18"/>
                <w:szCs w:val="18"/>
              </w:rPr>
              <w:t>序号</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名称</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化学分子式</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全球变暖潜势</w:t>
            </w:r>
          </w:p>
          <w:p>
            <w:pPr>
              <w:tabs>
                <w:tab w:val="center" w:pos="4201"/>
                <w:tab w:val="right" w:leader="dot" w:pos="9298"/>
              </w:tabs>
              <w:jc w:val="center"/>
              <w:rPr>
                <w:rFonts w:ascii="宋体"/>
                <w:sz w:val="18"/>
                <w:szCs w:val="18"/>
              </w:rPr>
            </w:pPr>
            <w:r>
              <w:rPr>
                <w:rFonts w:hint="eastAsia" w:ascii="宋体"/>
                <w:sz w:val="18"/>
                <w:szCs w:val="18"/>
              </w:rPr>
              <w:t>（100年期水平）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tabs>
                <w:tab w:val="center" w:pos="4201"/>
                <w:tab w:val="right" w:leader="dot" w:pos="9298"/>
              </w:tabs>
              <w:jc w:val="center"/>
              <w:rPr>
                <w:rFonts w:ascii="宋体"/>
                <w:sz w:val="18"/>
                <w:szCs w:val="18"/>
              </w:rPr>
            </w:pPr>
            <w:r>
              <w:rPr>
                <w:rFonts w:hint="eastAsia" w:ascii="宋体"/>
                <w:sz w:val="18"/>
                <w:szCs w:val="18"/>
              </w:rPr>
              <w:t>1</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二氧化碳</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CO</w:t>
            </w:r>
            <w:r>
              <w:rPr>
                <w:rFonts w:hint="eastAsia" w:ascii="宋体"/>
                <w:sz w:val="18"/>
                <w:szCs w:val="18"/>
                <w:vertAlign w:val="subscript"/>
              </w:rPr>
              <w:t>2</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tabs>
                <w:tab w:val="center" w:pos="4201"/>
                <w:tab w:val="right" w:leader="dot" w:pos="9298"/>
              </w:tabs>
              <w:jc w:val="center"/>
              <w:rPr>
                <w:rFonts w:ascii="宋体"/>
                <w:sz w:val="18"/>
                <w:szCs w:val="18"/>
              </w:rPr>
            </w:pPr>
            <w:r>
              <w:rPr>
                <w:rFonts w:hint="eastAsia" w:ascii="宋体"/>
                <w:sz w:val="18"/>
                <w:szCs w:val="18"/>
              </w:rPr>
              <w:t>2</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甲烷</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CH</w:t>
            </w:r>
            <w:r>
              <w:rPr>
                <w:rFonts w:hint="eastAsia" w:ascii="宋体"/>
                <w:sz w:val="18"/>
                <w:szCs w:val="18"/>
                <w:vertAlign w:val="subscript"/>
              </w:rPr>
              <w:t>4</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tabs>
                <w:tab w:val="center" w:pos="4201"/>
                <w:tab w:val="right" w:leader="dot" w:pos="9298"/>
              </w:tabs>
              <w:jc w:val="center"/>
              <w:rPr>
                <w:rFonts w:ascii="宋体"/>
                <w:sz w:val="18"/>
                <w:szCs w:val="18"/>
              </w:rPr>
            </w:pPr>
            <w:r>
              <w:rPr>
                <w:rFonts w:hint="eastAsia" w:ascii="宋体"/>
                <w:sz w:val="18"/>
                <w:szCs w:val="18"/>
              </w:rPr>
              <w:t>3</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氧化亚氮</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N</w:t>
            </w:r>
            <w:r>
              <w:rPr>
                <w:rFonts w:hint="eastAsia" w:ascii="宋体"/>
                <w:sz w:val="18"/>
                <w:szCs w:val="18"/>
                <w:vertAlign w:val="subscript"/>
              </w:rPr>
              <w:t>2</w:t>
            </w:r>
            <w:r>
              <w:rPr>
                <w:rFonts w:hint="eastAsia" w:ascii="宋体"/>
                <w:sz w:val="18"/>
                <w:szCs w:val="18"/>
              </w:rPr>
              <w:t>O</w:t>
            </w:r>
          </w:p>
        </w:tc>
        <w:tc>
          <w:tcPr>
            <w:tcW w:w="2221" w:type="dxa"/>
            <w:vAlign w:val="center"/>
          </w:tcPr>
          <w:p>
            <w:pPr>
              <w:tabs>
                <w:tab w:val="center" w:pos="4201"/>
                <w:tab w:val="right" w:leader="dot" w:pos="9298"/>
              </w:tabs>
              <w:jc w:val="center"/>
              <w:rPr>
                <w:rFonts w:ascii="宋体"/>
                <w:sz w:val="18"/>
                <w:szCs w:val="18"/>
              </w:rPr>
            </w:pPr>
            <w:r>
              <w:rPr>
                <w:rFonts w:hint="eastAsia" w:ascii="宋体"/>
                <w:sz w:val="18"/>
                <w:szCs w:val="18"/>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4" w:type="dxa"/>
            <w:gridSpan w:val="4"/>
            <w:vAlign w:val="center"/>
          </w:tcPr>
          <w:p>
            <w:pPr>
              <w:tabs>
                <w:tab w:val="center" w:pos="4201"/>
                <w:tab w:val="right" w:leader="dot" w:pos="9298"/>
              </w:tabs>
              <w:ind w:left="735" w:leftChars="200" w:hanging="315" w:hangingChars="150"/>
              <w:jc w:val="left"/>
              <w:rPr>
                <w:rFonts w:ascii="宋体"/>
                <w:szCs w:val="18"/>
              </w:rPr>
            </w:pPr>
            <w:r>
              <w:rPr>
                <w:rFonts w:hint="eastAsia" w:ascii="宋体"/>
                <w:szCs w:val="18"/>
                <w:vertAlign w:val="superscript"/>
              </w:rPr>
              <w:t>a</w:t>
            </w:r>
            <w:r>
              <w:rPr>
                <w:rFonts w:hint="eastAsia" w:ascii="宋体"/>
                <w:szCs w:val="18"/>
              </w:rPr>
              <w:t xml:space="preserve">  </w:t>
            </w:r>
            <w:r>
              <w:rPr>
                <w:rFonts w:hint="eastAsia" w:ascii="宋体"/>
                <w:sz w:val="18"/>
                <w:szCs w:val="18"/>
              </w:rPr>
              <w:t>数据来源于2021年IPCC第六次报告第七章。在相关机构公布最新数据后，应采用最新的公布数据。</w:t>
            </w:r>
          </w:p>
        </w:tc>
      </w:tr>
    </w:tbl>
    <w:p>
      <w:pPr>
        <w:tabs>
          <w:tab w:val="center" w:pos="4201"/>
          <w:tab w:val="right" w:leader="dot" w:pos="9298"/>
        </w:tabs>
        <w:ind w:firstLine="420" w:firstLineChars="200"/>
        <w:jc w:val="center"/>
        <w:rPr>
          <w:szCs w:val="21"/>
        </w:rPr>
      </w:pPr>
    </w:p>
    <w:p>
      <w:pPr>
        <w:rPr>
          <w:szCs w:val="21"/>
        </w:rPr>
      </w:pPr>
      <w:r>
        <w:rPr>
          <w:szCs w:val="21"/>
        </w:rPr>
        <w:br w:type="page"/>
      </w:r>
    </w:p>
    <w:p>
      <w:pPr>
        <w:keepNext/>
        <w:widowControl/>
        <w:shd w:val="clear" w:color="FFFFFF" w:fill="FFFFFF"/>
        <w:tabs>
          <w:tab w:val="left" w:pos="6405"/>
        </w:tabs>
        <w:jc w:val="center"/>
        <w:outlineLvl w:val="0"/>
        <w:rPr>
          <w:rFonts w:hint="eastAsia" w:ascii="黑体" w:eastAsia="黑体"/>
          <w:kern w:val="0"/>
          <w:szCs w:val="20"/>
          <w:lang w:val="en-US" w:eastAsia="zh-CN"/>
        </w:rPr>
      </w:pPr>
      <w:r>
        <w:rPr>
          <w:rFonts w:hint="eastAsia" w:ascii="黑体" w:eastAsia="黑体"/>
          <w:kern w:val="0"/>
          <w:szCs w:val="20"/>
        </w:rPr>
        <w:t xml:space="preserve">附 录 </w:t>
      </w:r>
      <w:r>
        <w:rPr>
          <w:rFonts w:hint="eastAsia" w:ascii="黑体" w:eastAsia="黑体"/>
          <w:kern w:val="0"/>
          <w:szCs w:val="20"/>
          <w:lang w:val="en-US" w:eastAsia="zh-CN"/>
        </w:rPr>
        <w:t>B</w:t>
      </w:r>
    </w:p>
    <w:p>
      <w:pPr>
        <w:keepNext/>
        <w:widowControl/>
        <w:shd w:val="clear" w:color="FFFFFF" w:fill="FFFFFF"/>
        <w:tabs>
          <w:tab w:val="left" w:pos="6405"/>
        </w:tabs>
        <w:jc w:val="center"/>
        <w:outlineLvl w:val="0"/>
        <w:rPr>
          <w:rFonts w:ascii="黑体" w:eastAsia="黑体"/>
          <w:kern w:val="0"/>
          <w:szCs w:val="20"/>
        </w:rPr>
      </w:pPr>
      <w:r>
        <w:rPr>
          <w:rFonts w:hint="eastAsia" w:ascii="黑体" w:eastAsia="黑体"/>
          <w:kern w:val="0"/>
          <w:szCs w:val="20"/>
        </w:rPr>
        <w:t>（资料性）</w:t>
      </w:r>
    </w:p>
    <w:p>
      <w:pPr>
        <w:keepNext/>
        <w:widowControl/>
        <w:shd w:val="clear" w:color="FFFFFF" w:fill="FFFFFF"/>
        <w:tabs>
          <w:tab w:val="left" w:pos="6405"/>
        </w:tabs>
        <w:jc w:val="center"/>
        <w:outlineLvl w:val="0"/>
        <w:rPr>
          <w:rFonts w:hint="default" w:ascii="黑体" w:eastAsia="黑体"/>
          <w:kern w:val="0"/>
          <w:szCs w:val="20"/>
          <w:lang w:val="en-US" w:eastAsia="zh-CN"/>
        </w:rPr>
      </w:pPr>
      <w:r>
        <w:rPr>
          <w:rFonts w:hint="eastAsia" w:ascii="黑体" w:eastAsia="黑体"/>
          <w:kern w:val="0"/>
          <w:szCs w:val="20"/>
          <w:lang w:val="en-US" w:eastAsia="zh-CN"/>
        </w:rPr>
        <w:t>部分排放因子相关参数推荐值</w:t>
      </w:r>
    </w:p>
    <w:p>
      <w:pPr>
        <w:tabs>
          <w:tab w:val="center" w:pos="4201"/>
          <w:tab w:val="right" w:leader="dot" w:pos="9298"/>
        </w:tabs>
        <w:ind w:firstLine="420" w:firstLineChars="200"/>
        <w:rPr>
          <w:szCs w:val="21"/>
        </w:rPr>
      </w:pPr>
      <w:r>
        <w:rPr>
          <w:rFonts w:hint="eastAsia"/>
          <w:szCs w:val="21"/>
          <w:lang w:val="en-US" w:eastAsia="zh-CN"/>
        </w:rPr>
        <w:t>表B.1给出了部分排放因子相关参数推荐值</w:t>
      </w:r>
      <w:r>
        <w:rPr>
          <w:rFonts w:hint="eastAsia"/>
          <w:szCs w:val="21"/>
        </w:rPr>
        <w:t>。</w:t>
      </w:r>
    </w:p>
    <w:p>
      <w:pPr>
        <w:tabs>
          <w:tab w:val="center" w:pos="4201"/>
          <w:tab w:val="right" w:leader="dot" w:pos="9298"/>
        </w:tabs>
        <w:spacing w:before="156" w:beforeLines="50" w:after="156" w:afterLines="50"/>
        <w:jc w:val="center"/>
        <w:rPr>
          <w:rFonts w:ascii="黑体" w:hAnsi="黑体" w:eastAsia="黑体" w:cs="黑体"/>
          <w:szCs w:val="21"/>
        </w:rPr>
      </w:pPr>
      <w:r>
        <w:rPr>
          <w:rFonts w:hint="eastAsia" w:ascii="黑体" w:hAnsi="黑体" w:eastAsia="黑体" w:cs="黑体"/>
          <w:szCs w:val="21"/>
        </w:rPr>
        <w:t>表</w:t>
      </w:r>
      <w:r>
        <w:rPr>
          <w:rFonts w:hint="eastAsia" w:ascii="黑体" w:hAnsi="黑体" w:eastAsia="黑体" w:cs="黑体"/>
          <w:szCs w:val="21"/>
          <w:lang w:val="en-US" w:eastAsia="zh-CN"/>
        </w:rPr>
        <w:t>B</w:t>
      </w:r>
      <w:r>
        <w:rPr>
          <w:rFonts w:hint="eastAsia" w:ascii="黑体" w:hAnsi="黑体" w:eastAsia="黑体" w:cs="黑体"/>
          <w:szCs w:val="21"/>
        </w:rPr>
        <w:t xml:space="preserve">.1 </w:t>
      </w:r>
      <w:r>
        <w:rPr>
          <w:rFonts w:hint="eastAsia" w:ascii="黑体" w:hAnsi="黑体" w:eastAsia="黑体" w:cs="黑体"/>
          <w:szCs w:val="21"/>
          <w:lang w:val="en-US" w:eastAsia="zh-CN"/>
        </w:rPr>
        <w:t xml:space="preserve"> 部分排放因子相关参数推荐值</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8"/>
        <w:gridCol w:w="2392"/>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参数名称</w:t>
            </w:r>
          </w:p>
        </w:tc>
        <w:tc>
          <w:tcPr>
            <w:tcW w:w="2392" w:type="dxa"/>
          </w:tcPr>
          <w:p>
            <w:pPr>
              <w:tabs>
                <w:tab w:val="center" w:pos="4201"/>
                <w:tab w:val="right" w:leader="dot" w:pos="9298"/>
              </w:tabs>
              <w:jc w:val="center"/>
              <w:rPr>
                <w:rFonts w:hint="eastAsia" w:eastAsia="宋体"/>
                <w:sz w:val="18"/>
                <w:szCs w:val="18"/>
                <w:vertAlign w:val="baseline"/>
                <w:lang w:val="en-US" w:eastAsia="zh-CN"/>
              </w:rPr>
            </w:pPr>
            <w:r>
              <w:rPr>
                <w:rFonts w:hint="eastAsia"/>
                <w:sz w:val="18"/>
                <w:szCs w:val="18"/>
                <w:vertAlign w:val="baseline"/>
                <w:lang w:val="en-US" w:eastAsia="zh-CN"/>
              </w:rPr>
              <w:t>单位</w:t>
            </w:r>
          </w:p>
        </w:tc>
        <w:tc>
          <w:tcPr>
            <w:tcW w:w="3190"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tcPr>
          <w:p>
            <w:pPr>
              <w:tabs>
                <w:tab w:val="center" w:pos="4201"/>
                <w:tab w:val="right" w:leader="dot" w:pos="9298"/>
              </w:tabs>
              <w:jc w:val="center"/>
              <w:rPr>
                <w:sz w:val="18"/>
                <w:szCs w:val="18"/>
                <w:vertAlign w:val="baseline"/>
              </w:rPr>
            </w:pPr>
            <w:r>
              <w:rPr>
                <w:rFonts w:hint="eastAsia"/>
                <w:sz w:val="18"/>
                <w:szCs w:val="18"/>
                <w:vertAlign w:val="baseline"/>
              </w:rPr>
              <w:t>煅烧石灰石的二氧化碳排放因子</w:t>
            </w:r>
          </w:p>
        </w:tc>
        <w:tc>
          <w:tcPr>
            <w:tcW w:w="2392" w:type="dxa"/>
          </w:tcPr>
          <w:p>
            <w:pPr>
              <w:tabs>
                <w:tab w:val="center" w:pos="4201"/>
                <w:tab w:val="right" w:leader="dot" w:pos="9298"/>
              </w:tabs>
              <w:jc w:val="center"/>
              <w:rPr>
                <w:sz w:val="18"/>
                <w:szCs w:val="18"/>
                <w:vertAlign w:val="baseline"/>
              </w:rPr>
            </w:pPr>
            <w:r>
              <w:rPr>
                <w:rFonts w:hint="eastAsia"/>
                <w:sz w:val="18"/>
                <w:szCs w:val="18"/>
                <w:vertAlign w:val="baseline"/>
                <w:lang w:val="en-US" w:eastAsia="zh-CN"/>
              </w:rPr>
              <w:t>tCO</w:t>
            </w:r>
            <w:r>
              <w:rPr>
                <w:rFonts w:hint="eastAsia"/>
                <w:sz w:val="18"/>
                <w:szCs w:val="18"/>
                <w:vertAlign w:val="subscript"/>
                <w:lang w:val="en-US" w:eastAsia="zh-CN"/>
              </w:rPr>
              <w:t>2</w:t>
            </w:r>
            <w:r>
              <w:rPr>
                <w:rFonts w:hint="eastAsia"/>
                <w:sz w:val="18"/>
                <w:szCs w:val="18"/>
                <w:vertAlign w:val="baseline"/>
                <w:lang w:val="en-US" w:eastAsia="zh-CN"/>
              </w:rPr>
              <w:t>/t</w:t>
            </w:r>
            <w:r>
              <w:rPr>
                <w:rFonts w:hint="eastAsia"/>
                <w:sz w:val="18"/>
                <w:szCs w:val="18"/>
                <w:vertAlign w:val="baseline"/>
              </w:rPr>
              <w:t>石灰石</w:t>
            </w:r>
          </w:p>
        </w:tc>
        <w:tc>
          <w:tcPr>
            <w:tcW w:w="3190"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tcPr>
          <w:p>
            <w:pPr>
              <w:tabs>
                <w:tab w:val="center" w:pos="4201"/>
                <w:tab w:val="right" w:leader="dot" w:pos="9298"/>
              </w:tabs>
              <w:jc w:val="center"/>
              <w:rPr>
                <w:sz w:val="18"/>
                <w:szCs w:val="18"/>
                <w:vertAlign w:val="baseline"/>
              </w:rPr>
            </w:pPr>
            <w:r>
              <w:rPr>
                <w:rFonts w:hint="eastAsia"/>
                <w:sz w:val="18"/>
                <w:szCs w:val="18"/>
                <w:vertAlign w:val="baseline"/>
              </w:rPr>
              <w:t>废水厌氧处理系统的甲烷最大生产能力</w:t>
            </w:r>
          </w:p>
        </w:tc>
        <w:tc>
          <w:tcPr>
            <w:tcW w:w="2392"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kgCH</w:t>
            </w:r>
            <w:r>
              <w:rPr>
                <w:rFonts w:hint="eastAsia"/>
                <w:sz w:val="18"/>
                <w:szCs w:val="18"/>
                <w:vertAlign w:val="subscript"/>
                <w:lang w:val="en-US" w:eastAsia="zh-CN"/>
              </w:rPr>
              <w:t>4</w:t>
            </w:r>
            <w:r>
              <w:rPr>
                <w:rFonts w:hint="eastAsia"/>
                <w:sz w:val="18"/>
                <w:szCs w:val="18"/>
                <w:vertAlign w:val="baseline"/>
                <w:lang w:val="en-US" w:eastAsia="zh-CN"/>
              </w:rPr>
              <w:t>/kg COD</w:t>
            </w:r>
          </w:p>
        </w:tc>
        <w:tc>
          <w:tcPr>
            <w:tcW w:w="3190"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tcPr>
          <w:p>
            <w:pPr>
              <w:tabs>
                <w:tab w:val="center" w:pos="4201"/>
                <w:tab w:val="right" w:leader="dot" w:pos="9298"/>
              </w:tabs>
              <w:jc w:val="center"/>
              <w:rPr>
                <w:sz w:val="18"/>
                <w:szCs w:val="18"/>
                <w:vertAlign w:val="baseline"/>
              </w:rPr>
            </w:pPr>
            <w:r>
              <w:rPr>
                <w:rFonts w:hint="eastAsia"/>
                <w:sz w:val="18"/>
                <w:szCs w:val="18"/>
                <w:vertAlign w:val="baseline"/>
              </w:rPr>
              <w:t>甲烷修正因子</w:t>
            </w:r>
          </w:p>
        </w:tc>
        <w:tc>
          <w:tcPr>
            <w:tcW w:w="2392" w:type="dxa"/>
          </w:tcPr>
          <w:p>
            <w:pPr>
              <w:tabs>
                <w:tab w:val="center" w:pos="4201"/>
                <w:tab w:val="right" w:leader="dot" w:pos="9298"/>
              </w:tabs>
              <w:jc w:val="center"/>
              <w:rPr>
                <w:rFonts w:hint="eastAsia" w:eastAsia="宋体"/>
                <w:sz w:val="18"/>
                <w:szCs w:val="18"/>
                <w:vertAlign w:val="baseline"/>
                <w:lang w:val="en-US" w:eastAsia="zh-CN"/>
              </w:rPr>
            </w:pPr>
            <w:r>
              <w:rPr>
                <w:rFonts w:hint="eastAsia"/>
                <w:sz w:val="18"/>
                <w:szCs w:val="18"/>
                <w:vertAlign w:val="baseline"/>
                <w:lang w:val="en-US" w:eastAsia="zh-CN"/>
              </w:rPr>
              <w:t>——</w:t>
            </w:r>
          </w:p>
        </w:tc>
        <w:tc>
          <w:tcPr>
            <w:tcW w:w="3190"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vAlign w:val="center"/>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电力消费的排放因子</w:t>
            </w:r>
          </w:p>
        </w:tc>
        <w:tc>
          <w:tcPr>
            <w:tcW w:w="2392" w:type="dxa"/>
            <w:vAlign w:val="center"/>
          </w:tcPr>
          <w:p>
            <w:pPr>
              <w:tabs>
                <w:tab w:val="center" w:pos="4201"/>
                <w:tab w:val="right" w:leader="dot" w:pos="9298"/>
              </w:tabs>
              <w:jc w:val="center"/>
              <w:rPr>
                <w:rFonts w:hint="default"/>
                <w:sz w:val="18"/>
                <w:szCs w:val="18"/>
                <w:vertAlign w:val="baseline"/>
                <w:lang w:val="en-US"/>
              </w:rPr>
            </w:pPr>
            <w:r>
              <w:rPr>
                <w:rFonts w:hint="eastAsia"/>
                <w:sz w:val="18"/>
                <w:szCs w:val="18"/>
                <w:vertAlign w:val="baseline"/>
                <w:lang w:val="en-US" w:eastAsia="zh-CN"/>
              </w:rPr>
              <w:t>tCO</w:t>
            </w:r>
            <w:r>
              <w:rPr>
                <w:rFonts w:hint="eastAsia"/>
                <w:sz w:val="18"/>
                <w:szCs w:val="18"/>
                <w:vertAlign w:val="subscript"/>
                <w:lang w:val="en-US" w:eastAsia="zh-CN"/>
              </w:rPr>
              <w:t>2</w:t>
            </w:r>
            <w:r>
              <w:rPr>
                <w:rFonts w:hint="eastAsia"/>
                <w:sz w:val="18"/>
                <w:szCs w:val="18"/>
                <w:vertAlign w:val="baseline"/>
                <w:lang w:val="en-US" w:eastAsia="zh-CN"/>
              </w:rPr>
              <w:t>/MWh</w:t>
            </w:r>
          </w:p>
        </w:tc>
        <w:tc>
          <w:tcPr>
            <w:tcW w:w="3190" w:type="dxa"/>
            <w:vAlign w:val="center"/>
          </w:tcPr>
          <w:p>
            <w:pPr>
              <w:tabs>
                <w:tab w:val="center" w:pos="4201"/>
                <w:tab w:val="right" w:leader="dot" w:pos="9298"/>
              </w:tabs>
              <w:jc w:val="center"/>
              <w:rPr>
                <w:sz w:val="18"/>
                <w:szCs w:val="18"/>
                <w:vertAlign w:val="baseline"/>
              </w:rPr>
            </w:pPr>
            <w:r>
              <w:rPr>
                <w:rFonts w:hint="eastAsia"/>
                <w:sz w:val="18"/>
                <w:szCs w:val="18"/>
                <w:vertAlign w:val="baseline"/>
              </w:rPr>
              <w:t>采用国家最新发布值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tcPr>
          <w:p>
            <w:pPr>
              <w:tabs>
                <w:tab w:val="center" w:pos="4201"/>
                <w:tab w:val="right" w:leader="dot" w:pos="9298"/>
              </w:tabs>
              <w:jc w:val="center"/>
              <w:rPr>
                <w:sz w:val="18"/>
                <w:szCs w:val="18"/>
                <w:vertAlign w:val="baseline"/>
              </w:rPr>
            </w:pPr>
            <w:r>
              <w:rPr>
                <w:rFonts w:hint="eastAsia"/>
                <w:sz w:val="18"/>
                <w:szCs w:val="18"/>
                <w:vertAlign w:val="baseline"/>
              </w:rPr>
              <w:t>热力消费的排放因子</w:t>
            </w:r>
          </w:p>
        </w:tc>
        <w:tc>
          <w:tcPr>
            <w:tcW w:w="2392" w:type="dxa"/>
          </w:tcPr>
          <w:p>
            <w:pPr>
              <w:tabs>
                <w:tab w:val="center" w:pos="4201"/>
                <w:tab w:val="right" w:leader="dot" w:pos="9298"/>
              </w:tabs>
              <w:jc w:val="center"/>
              <w:rPr>
                <w:rFonts w:hint="default"/>
                <w:sz w:val="18"/>
                <w:szCs w:val="18"/>
                <w:vertAlign w:val="baseline"/>
                <w:lang w:val="en-US"/>
              </w:rPr>
            </w:pPr>
            <w:r>
              <w:rPr>
                <w:rFonts w:hint="eastAsia"/>
                <w:sz w:val="18"/>
                <w:szCs w:val="18"/>
                <w:vertAlign w:val="baseline"/>
                <w:lang w:val="en-US" w:eastAsia="zh-CN"/>
              </w:rPr>
              <w:t>tCO</w:t>
            </w:r>
            <w:r>
              <w:rPr>
                <w:rFonts w:hint="eastAsia"/>
                <w:sz w:val="18"/>
                <w:szCs w:val="18"/>
                <w:vertAlign w:val="subscript"/>
                <w:lang w:val="en-US" w:eastAsia="zh-CN"/>
              </w:rPr>
              <w:t>2</w:t>
            </w:r>
            <w:r>
              <w:rPr>
                <w:rFonts w:hint="eastAsia"/>
                <w:sz w:val="18"/>
                <w:szCs w:val="18"/>
                <w:vertAlign w:val="baseline"/>
                <w:lang w:val="en-US" w:eastAsia="zh-CN"/>
              </w:rPr>
              <w:t>/GJ</w:t>
            </w:r>
          </w:p>
        </w:tc>
        <w:tc>
          <w:tcPr>
            <w:tcW w:w="3190" w:type="dxa"/>
          </w:tcPr>
          <w:p>
            <w:pPr>
              <w:tabs>
                <w:tab w:val="center" w:pos="4201"/>
                <w:tab w:val="right" w:leader="dot" w:pos="9298"/>
              </w:tabs>
              <w:jc w:val="center"/>
              <w:rPr>
                <w:rFonts w:hint="default" w:eastAsia="宋体"/>
                <w:sz w:val="18"/>
                <w:szCs w:val="18"/>
                <w:vertAlign w:val="baseline"/>
                <w:lang w:val="en-US" w:eastAsia="zh-CN"/>
              </w:rPr>
            </w:pPr>
            <w:r>
              <w:rPr>
                <w:rFonts w:hint="eastAsia"/>
                <w:sz w:val="18"/>
                <w:szCs w:val="18"/>
                <w:vertAlign w:val="baseline"/>
                <w:lang w:val="en-US" w:eastAsia="zh-CN"/>
              </w:rPr>
              <w:t>0.11</w:t>
            </w:r>
          </w:p>
        </w:tc>
      </w:tr>
    </w:tbl>
    <w:p>
      <w:pPr>
        <w:tabs>
          <w:tab w:val="center" w:pos="4201"/>
          <w:tab w:val="right" w:leader="dot" w:pos="9298"/>
        </w:tabs>
        <w:ind w:firstLine="420" w:firstLineChars="200"/>
        <w:jc w:val="center"/>
        <w:rPr>
          <w:szCs w:val="21"/>
        </w:rPr>
      </w:pPr>
    </w:p>
    <w:p>
      <w:pPr>
        <w:tabs>
          <w:tab w:val="center" w:pos="4201"/>
          <w:tab w:val="right" w:leader="dot" w:pos="9298"/>
        </w:tabs>
        <w:ind w:firstLine="420" w:firstLineChars="200"/>
        <w:jc w:val="center"/>
        <w:rPr>
          <w:szCs w:val="21"/>
        </w:rPr>
      </w:pPr>
    </w:p>
    <w:p>
      <w:pPr>
        <w:rPr>
          <w:szCs w:val="21"/>
        </w:rPr>
      </w:pPr>
      <w:r>
        <w:rPr>
          <w:szCs w:val="21"/>
        </w:rPr>
        <w:br w:type="page"/>
      </w:r>
    </w:p>
    <w:p>
      <w:pPr>
        <w:keepNext/>
        <w:widowControl/>
        <w:shd w:val="clear" w:color="FFFFFF" w:fill="FFFFFF"/>
        <w:tabs>
          <w:tab w:val="left" w:pos="6405"/>
        </w:tabs>
        <w:jc w:val="center"/>
        <w:outlineLvl w:val="0"/>
        <w:rPr>
          <w:rFonts w:hint="eastAsia" w:ascii="黑体" w:eastAsia="黑体"/>
          <w:kern w:val="0"/>
          <w:szCs w:val="20"/>
          <w:lang w:val="en-US" w:eastAsia="zh-CN"/>
        </w:rPr>
      </w:pPr>
      <w:r>
        <w:rPr>
          <w:rFonts w:hint="eastAsia" w:ascii="黑体" w:eastAsia="黑体"/>
          <w:kern w:val="0"/>
          <w:szCs w:val="20"/>
        </w:rPr>
        <w:t xml:space="preserve">附 录 </w:t>
      </w:r>
      <w:r>
        <w:rPr>
          <w:rFonts w:hint="eastAsia" w:ascii="黑体" w:eastAsia="黑体"/>
          <w:kern w:val="0"/>
          <w:szCs w:val="20"/>
          <w:lang w:val="en-US" w:eastAsia="zh-CN"/>
        </w:rPr>
        <w:t>C</w:t>
      </w:r>
    </w:p>
    <w:p>
      <w:pPr>
        <w:keepNext/>
        <w:widowControl/>
        <w:shd w:val="clear" w:color="FFFFFF" w:fill="FFFFFF"/>
        <w:tabs>
          <w:tab w:val="left" w:pos="6405"/>
        </w:tabs>
        <w:jc w:val="center"/>
        <w:outlineLvl w:val="0"/>
        <w:rPr>
          <w:rFonts w:ascii="黑体" w:eastAsia="黑体"/>
          <w:kern w:val="0"/>
          <w:szCs w:val="20"/>
        </w:rPr>
      </w:pPr>
      <w:r>
        <w:rPr>
          <w:rFonts w:hint="eastAsia" w:ascii="黑体" w:eastAsia="黑体"/>
          <w:kern w:val="0"/>
          <w:szCs w:val="20"/>
        </w:rPr>
        <w:t>（资料性）</w:t>
      </w:r>
    </w:p>
    <w:p>
      <w:pPr>
        <w:keepNext/>
        <w:widowControl/>
        <w:shd w:val="clear" w:color="FFFFFF" w:fill="FFFFFF"/>
        <w:tabs>
          <w:tab w:val="left" w:pos="6405"/>
        </w:tabs>
        <w:jc w:val="center"/>
        <w:outlineLvl w:val="0"/>
        <w:rPr>
          <w:rFonts w:hint="default" w:ascii="黑体" w:eastAsia="黑体"/>
          <w:kern w:val="0"/>
          <w:szCs w:val="20"/>
          <w:lang w:val="en-US" w:eastAsia="zh-CN"/>
        </w:rPr>
      </w:pPr>
      <w:r>
        <w:rPr>
          <w:rFonts w:hint="eastAsia" w:ascii="黑体" w:eastAsia="黑体"/>
          <w:kern w:val="0"/>
          <w:szCs w:val="20"/>
          <w:lang w:val="en-US" w:eastAsia="zh-CN"/>
        </w:rPr>
        <w:t>产品碳足迹报告模板</w:t>
      </w: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产品碳足迹报告</w:t>
      </w: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default"/>
          <w:szCs w:val="21"/>
          <w:lang w:val="en-US" w:eastAsia="zh-CN"/>
        </w:rPr>
      </w:pPr>
      <w:r>
        <w:rPr>
          <w:rFonts w:hint="eastAsia"/>
          <w:szCs w:val="21"/>
          <w:lang w:val="en-US" w:eastAsia="zh-CN"/>
        </w:rPr>
        <w:t>产品名称：_____________________________________________</w:t>
      </w:r>
    </w:p>
    <w:p>
      <w:pPr>
        <w:tabs>
          <w:tab w:val="center" w:pos="4201"/>
          <w:tab w:val="right" w:leader="dot" w:pos="9298"/>
        </w:tabs>
        <w:ind w:firstLine="420" w:firstLineChars="200"/>
        <w:rPr>
          <w:rFonts w:hint="default"/>
          <w:szCs w:val="21"/>
          <w:lang w:val="en-US" w:eastAsia="zh-CN"/>
        </w:rPr>
      </w:pPr>
      <w:r>
        <w:rPr>
          <w:rFonts w:hint="eastAsia"/>
          <w:szCs w:val="21"/>
          <w:lang w:val="en-US" w:eastAsia="zh-CN"/>
        </w:rPr>
        <w:t>产品规格型号：_________________________________________</w:t>
      </w:r>
    </w:p>
    <w:p>
      <w:pPr>
        <w:tabs>
          <w:tab w:val="center" w:pos="4201"/>
          <w:tab w:val="right" w:leader="dot" w:pos="9298"/>
        </w:tabs>
        <w:ind w:firstLine="420" w:firstLineChars="200"/>
        <w:rPr>
          <w:rFonts w:hint="default"/>
          <w:szCs w:val="21"/>
          <w:lang w:val="en-US" w:eastAsia="zh-CN"/>
        </w:rPr>
      </w:pPr>
      <w:r>
        <w:rPr>
          <w:rFonts w:hint="eastAsia"/>
          <w:szCs w:val="21"/>
          <w:lang w:val="en-US" w:eastAsia="zh-CN"/>
        </w:rPr>
        <w:t>生产者名称：___________________________________________</w:t>
      </w:r>
    </w:p>
    <w:p>
      <w:pPr>
        <w:tabs>
          <w:tab w:val="center" w:pos="4201"/>
          <w:tab w:val="right" w:leader="dot" w:pos="9298"/>
        </w:tabs>
        <w:ind w:firstLine="420" w:firstLineChars="200"/>
        <w:rPr>
          <w:rFonts w:hint="default"/>
          <w:szCs w:val="21"/>
          <w:lang w:val="en-US" w:eastAsia="zh-CN"/>
        </w:rPr>
      </w:pPr>
      <w:r>
        <w:rPr>
          <w:rFonts w:hint="eastAsia"/>
          <w:szCs w:val="21"/>
          <w:lang w:val="en-US" w:eastAsia="zh-CN"/>
        </w:rPr>
        <w:t>报告编号：_____________________________________________</w:t>
      </w: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jc w:val="right"/>
        <w:rPr>
          <w:rFonts w:hint="eastAsia"/>
          <w:szCs w:val="21"/>
          <w:lang w:val="en-US" w:eastAsia="zh-CN"/>
        </w:rPr>
      </w:pPr>
      <w:r>
        <w:rPr>
          <w:rFonts w:hint="eastAsia"/>
          <w:szCs w:val="21"/>
          <w:lang w:val="en-US" w:eastAsia="zh-CN"/>
        </w:rPr>
        <w:t>出具报告机构（若有）：___________________________（盖章）</w:t>
      </w:r>
    </w:p>
    <w:p>
      <w:pPr>
        <w:tabs>
          <w:tab w:val="center" w:pos="4201"/>
          <w:tab w:val="right" w:leader="dot" w:pos="9298"/>
        </w:tabs>
        <w:wordWrap w:val="0"/>
        <w:ind w:firstLine="420" w:firstLineChars="200"/>
        <w:jc w:val="right"/>
        <w:rPr>
          <w:rFonts w:hint="default"/>
          <w:szCs w:val="21"/>
          <w:lang w:val="en-US" w:eastAsia="zh-CN"/>
        </w:rPr>
      </w:pPr>
      <w:r>
        <w:rPr>
          <w:rFonts w:hint="eastAsia"/>
          <w:szCs w:val="21"/>
          <w:lang w:val="en-US" w:eastAsia="zh-CN"/>
        </w:rPr>
        <w:t>日期：______年_____月_____日</w:t>
      </w: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rPr>
      </w:pPr>
    </w:p>
    <w:p>
      <w:pPr>
        <w:tabs>
          <w:tab w:val="center" w:pos="4201"/>
          <w:tab w:val="right" w:leader="dot" w:pos="9298"/>
        </w:tabs>
        <w:ind w:firstLine="420" w:firstLineChars="200"/>
        <w:rPr>
          <w:rFonts w:hint="eastAsia"/>
          <w:szCs w:val="21"/>
          <w:lang w:val="en-US" w:eastAsia="zh-CN"/>
        </w:rPr>
      </w:pPr>
      <w:r>
        <w:rPr>
          <w:rFonts w:hint="eastAsia"/>
          <w:szCs w:val="21"/>
          <w:lang w:val="en-US" w:eastAsia="zh-CN"/>
        </w:rPr>
        <w:t>表C.1给出了报告格式。</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eastAsia" w:ascii="黑体" w:hAnsi="黑体" w:eastAsia="黑体" w:cs="黑体"/>
          <w:szCs w:val="21"/>
        </w:rPr>
      </w:pPr>
      <w:r>
        <w:rPr>
          <w:rFonts w:hint="eastAsia" w:ascii="黑体" w:hAnsi="黑体" w:eastAsia="黑体" w:cs="黑体"/>
          <w:szCs w:val="21"/>
          <w:lang w:val="en-US" w:eastAsia="zh-CN"/>
        </w:rPr>
        <w:t>表C.1  报告格式</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42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ascii="黑体" w:hAnsi="黑体" w:eastAsia="黑体" w:cs="黑体"/>
                <w:sz w:val="24"/>
                <w:szCs w:val="24"/>
                <w:vertAlign w:val="baseline"/>
                <w:lang w:val="en-US" w:eastAsia="zh-CN"/>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1.委托方信息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1</w:t>
            </w:r>
            <w:r>
              <w:rPr>
                <w:rFonts w:hint="eastAsia"/>
                <w:szCs w:val="21"/>
                <w:vertAlign w:val="baseline"/>
                <w:lang w:eastAsia="zh-CN"/>
              </w:rPr>
              <w:t>）</w:t>
            </w:r>
            <w:r>
              <w:rPr>
                <w:rFonts w:hint="eastAsia"/>
                <w:szCs w:val="21"/>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2</w:t>
            </w:r>
            <w:r>
              <w:rPr>
                <w:rFonts w:hint="eastAsia"/>
                <w:szCs w:val="21"/>
                <w:vertAlign w:val="baseline"/>
                <w:lang w:eastAsia="zh-CN"/>
              </w:rPr>
              <w:t>）</w:t>
            </w:r>
            <w:r>
              <w:rPr>
                <w:rFonts w:hint="eastAsia"/>
                <w:szCs w:val="21"/>
                <w:vertAlign w:val="baseline"/>
                <w:lang w:val="en-US" w:eastAsia="zh-C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3</w:t>
            </w:r>
            <w:r>
              <w:rPr>
                <w:rFonts w:hint="eastAsia"/>
                <w:szCs w:val="21"/>
                <w:vertAlign w:val="baseline"/>
                <w:lang w:eastAsia="zh-CN"/>
              </w:rPr>
              <w:t>）</w:t>
            </w:r>
            <w:r>
              <w:rPr>
                <w:rFonts w:hint="eastAsia"/>
                <w:szCs w:val="21"/>
                <w:vertAlign w:val="baseline"/>
                <w:lang w:val="en-US" w:eastAsia="zh-CN"/>
              </w:rPr>
              <w:t>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4</w:t>
            </w:r>
            <w:r>
              <w:rPr>
                <w:rFonts w:hint="eastAsia"/>
                <w:szCs w:val="21"/>
                <w:vertAlign w:val="baseline"/>
                <w:lang w:eastAsia="zh-CN"/>
              </w:rPr>
              <w:t>）</w:t>
            </w:r>
            <w:r>
              <w:rPr>
                <w:rFonts w:hint="eastAsia"/>
                <w:szCs w:val="21"/>
                <w:vertAlign w:val="baseline"/>
                <w:lang w:val="en-US" w:eastAsia="zh-CN"/>
              </w:rPr>
              <w:t>负责人联系方式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28"/>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企业概况</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2.评价方信息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1</w:t>
            </w:r>
            <w:r>
              <w:rPr>
                <w:rFonts w:hint="eastAsia"/>
                <w:szCs w:val="21"/>
                <w:vertAlign w:val="baseline"/>
                <w:lang w:eastAsia="zh-CN"/>
              </w:rPr>
              <w:t>）</w:t>
            </w:r>
            <w:r>
              <w:rPr>
                <w:rFonts w:hint="eastAsia"/>
                <w:szCs w:val="21"/>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2</w:t>
            </w:r>
            <w:r>
              <w:rPr>
                <w:rFonts w:hint="eastAsia"/>
                <w:szCs w:val="21"/>
                <w:vertAlign w:val="baseline"/>
                <w:lang w:eastAsia="zh-CN"/>
              </w:rPr>
              <w:t>）</w:t>
            </w:r>
            <w:r>
              <w:rPr>
                <w:rFonts w:hint="eastAsia"/>
                <w:szCs w:val="21"/>
                <w:vertAlign w:val="baseline"/>
                <w:lang w:val="en-US" w:eastAsia="zh-C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3</w:t>
            </w:r>
            <w:r>
              <w:rPr>
                <w:rFonts w:hint="eastAsia"/>
                <w:szCs w:val="21"/>
                <w:vertAlign w:val="baseline"/>
                <w:lang w:eastAsia="zh-CN"/>
              </w:rPr>
              <w:t>）</w:t>
            </w:r>
            <w:r>
              <w:rPr>
                <w:rFonts w:hint="eastAsia"/>
                <w:szCs w:val="21"/>
                <w:vertAlign w:val="baseline"/>
                <w:lang w:val="en-US" w:eastAsia="zh-CN"/>
              </w:rPr>
              <w:t>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4</w:t>
            </w:r>
            <w:r>
              <w:rPr>
                <w:rFonts w:hint="eastAsia"/>
                <w:szCs w:val="21"/>
                <w:vertAlign w:val="baseline"/>
                <w:lang w:eastAsia="zh-CN"/>
              </w:rPr>
              <w:t>）</w:t>
            </w:r>
            <w:r>
              <w:rPr>
                <w:rFonts w:hint="eastAsia"/>
                <w:szCs w:val="21"/>
                <w:vertAlign w:val="baseline"/>
                <w:lang w:val="en-US" w:eastAsia="zh-CN"/>
              </w:rPr>
              <w:t>负责人联系电话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3.量化方法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1</w:t>
            </w:r>
            <w:r>
              <w:rPr>
                <w:rFonts w:hint="eastAsia"/>
                <w:szCs w:val="21"/>
                <w:vertAlign w:val="baseline"/>
                <w:lang w:eastAsia="zh-CN"/>
              </w:rPr>
              <w:t>）</w:t>
            </w:r>
            <w:r>
              <w:rPr>
                <w:rFonts w:hint="eastAsia"/>
                <w:szCs w:val="21"/>
                <w:vertAlign w:val="baseline"/>
                <w:lang w:val="en-US" w:eastAsia="zh-CN"/>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4.对于本报告的真实性陈述声明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both"/>
              <w:textAlignment w:val="auto"/>
              <w:rPr>
                <w:rFonts w:hint="eastAsia"/>
                <w:szCs w:val="21"/>
                <w:vertAlign w:val="baseline"/>
                <w:lang w:val="en-US" w:eastAsia="zh-CN"/>
              </w:rPr>
            </w:pPr>
            <w:r>
              <w:rPr>
                <w:rFonts w:hint="eastAsia"/>
                <w:szCs w:val="21"/>
                <w:vertAlign w:val="baseline"/>
                <w:lang w:val="en-US" w:eastAsia="zh-CN"/>
              </w:rPr>
              <w:t>本产品碳足迹核算报告完整、真实、合法。如有不实之处，本单位愿负相应法律责任，并承担由此产生的一切后果。</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both"/>
              <w:textAlignment w:val="auto"/>
              <w:rPr>
                <w:rFonts w:hint="eastAsia"/>
                <w:szCs w:val="21"/>
                <w:vertAlign w:val="baseline"/>
                <w:lang w:val="en-US" w:eastAsia="zh-CN"/>
              </w:rPr>
            </w:pPr>
            <w:r>
              <w:rPr>
                <w:rFonts w:hint="eastAsia"/>
                <w:szCs w:val="21"/>
                <w:vertAlign w:val="baseline"/>
                <w:lang w:val="en-US" w:eastAsia="zh-CN"/>
              </w:rPr>
              <w:t>特此声明！</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both"/>
              <w:textAlignment w:val="auto"/>
              <w:rPr>
                <w:rFonts w:hint="eastAsia"/>
                <w:szCs w:val="21"/>
                <w:vertAlign w:val="baseline"/>
                <w:lang w:val="en-US" w:eastAsia="zh-CN"/>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both"/>
              <w:textAlignment w:val="auto"/>
              <w:rPr>
                <w:rFonts w:hint="eastAsia"/>
                <w:szCs w:val="21"/>
                <w:vertAlign w:val="baseline"/>
                <w:lang w:val="en-US" w:eastAsia="zh-CN"/>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both"/>
              <w:textAlignment w:val="auto"/>
              <w:rPr>
                <w:rFonts w:hint="eastAsia"/>
                <w:szCs w:val="21"/>
                <w:vertAlign w:val="baseline"/>
                <w:lang w:val="en-US" w:eastAsia="zh-CN"/>
              </w:rPr>
            </w:pPr>
          </w:p>
          <w:p>
            <w:pPr>
              <w:keepNext w:val="0"/>
              <w:keepLines w:val="0"/>
              <w:pageBreakBefore w:val="0"/>
              <w:widowControl w:val="0"/>
              <w:tabs>
                <w:tab w:val="center" w:pos="4201"/>
                <w:tab w:val="right" w:leader="dot" w:pos="9298"/>
              </w:tabs>
              <w:kinsoku/>
              <w:wordWrap w:val="0"/>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r>
              <w:rPr>
                <w:rFonts w:hint="eastAsia"/>
                <w:szCs w:val="21"/>
                <w:vertAlign w:val="baseline"/>
                <w:lang w:val="en-US" w:eastAsia="zh-CN"/>
              </w:rPr>
              <w:t xml:space="preserve">受托方签名：       </w:t>
            </w:r>
          </w:p>
          <w:p>
            <w:pPr>
              <w:keepNext w:val="0"/>
              <w:keepLines w:val="0"/>
              <w:pageBreakBefore w:val="0"/>
              <w:widowControl w:val="0"/>
              <w:tabs>
                <w:tab w:val="center" w:pos="4201"/>
                <w:tab w:val="right" w:leader="dot" w:pos="9298"/>
              </w:tabs>
              <w:kinsoku/>
              <w:wordWrap w:val="0"/>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r>
              <w:rPr>
                <w:rFonts w:hint="eastAsia"/>
                <w:szCs w:val="21"/>
                <w:vertAlign w:val="baseline"/>
                <w:lang w:val="en-US" w:eastAsia="zh-CN"/>
              </w:rPr>
              <w:t xml:space="preserve">盖章：       </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p>
          <w:p>
            <w:pPr>
              <w:keepNext w:val="0"/>
              <w:keepLines w:val="0"/>
              <w:pageBreakBefore w:val="0"/>
              <w:widowControl w:val="0"/>
              <w:tabs>
                <w:tab w:val="center" w:pos="4201"/>
                <w:tab w:val="right" w:leader="dot" w:pos="9298"/>
              </w:tabs>
              <w:kinsoku/>
              <w:wordWrap w:val="0"/>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r>
              <w:rPr>
                <w:rFonts w:hint="eastAsia"/>
                <w:szCs w:val="21"/>
                <w:vertAlign w:val="baseline"/>
                <w:lang w:val="en-US" w:eastAsia="zh-CN"/>
              </w:rPr>
              <w:t xml:space="preserve">委托方签名：       </w:t>
            </w:r>
          </w:p>
          <w:p>
            <w:pPr>
              <w:keepNext w:val="0"/>
              <w:keepLines w:val="0"/>
              <w:pageBreakBefore w:val="0"/>
              <w:widowControl w:val="0"/>
              <w:tabs>
                <w:tab w:val="center" w:pos="4201"/>
                <w:tab w:val="right" w:leader="dot" w:pos="9298"/>
              </w:tabs>
              <w:kinsoku/>
              <w:wordWrap w:val="0"/>
              <w:overflowPunct/>
              <w:topLinePunct w:val="0"/>
              <w:autoSpaceDE/>
              <w:autoSpaceDN/>
              <w:bidi w:val="0"/>
              <w:adjustRightInd/>
              <w:snapToGrid/>
              <w:ind w:firstLine="420" w:firstLineChars="200"/>
              <w:jc w:val="right"/>
              <w:textAlignment w:val="auto"/>
              <w:rPr>
                <w:rFonts w:hint="eastAsia"/>
                <w:szCs w:val="21"/>
                <w:vertAlign w:val="baseline"/>
                <w:lang w:val="en-US" w:eastAsia="zh-CN"/>
              </w:rPr>
            </w:pPr>
            <w:r>
              <w:rPr>
                <w:rFonts w:hint="eastAsia"/>
                <w:szCs w:val="21"/>
                <w:vertAlign w:val="baseline"/>
                <w:lang w:val="en-US" w:eastAsia="zh-CN"/>
              </w:rPr>
              <w:t xml:space="preserve">盖章：       </w:t>
            </w: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both"/>
              <w:textAlignment w:val="auto"/>
              <w:rPr>
                <w:rFonts w:hint="default"/>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5.产品信息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1</w:t>
            </w:r>
            <w:r>
              <w:rPr>
                <w:rFonts w:hint="eastAsia"/>
                <w:szCs w:val="21"/>
                <w:vertAlign w:val="baseline"/>
                <w:lang w:eastAsia="zh-CN"/>
              </w:rPr>
              <w:t>）</w:t>
            </w:r>
            <w:r>
              <w:rPr>
                <w:rFonts w:hint="eastAsia"/>
                <w:szCs w:val="21"/>
                <w:vertAlign w:val="baseline"/>
                <w:lang w:val="en-US" w:eastAsia="zh-CN"/>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eastAsia="zh-CN"/>
              </w:rPr>
              <w:t>（</w:t>
            </w:r>
            <w:r>
              <w:rPr>
                <w:rFonts w:hint="eastAsia"/>
                <w:szCs w:val="21"/>
                <w:vertAlign w:val="baseline"/>
                <w:lang w:val="en-US" w:eastAsia="zh-CN"/>
              </w:rPr>
              <w:t>2</w:t>
            </w:r>
            <w:r>
              <w:rPr>
                <w:rFonts w:hint="eastAsia"/>
                <w:szCs w:val="21"/>
                <w:vertAlign w:val="baseline"/>
                <w:lang w:eastAsia="zh-CN"/>
              </w:rPr>
              <w:t>）</w:t>
            </w:r>
            <w:r>
              <w:rPr>
                <w:rFonts w:hint="eastAsia"/>
                <w:szCs w:val="21"/>
                <w:vertAlign w:val="baseline"/>
                <w:lang w:val="en-US" w:eastAsia="zh-CN"/>
              </w:rPr>
              <w:t>产品产量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29"/>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产品介绍及示意图展示</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6.同时段生产其他产品信息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5" w:type="dxa"/>
            <w:gridSpan w:val="3"/>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产品名称</w:t>
            </w:r>
          </w:p>
        </w:tc>
        <w:tc>
          <w:tcPr>
            <w:tcW w:w="2765"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总产量，t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5" w:type="dxa"/>
            <w:gridSpan w:val="3"/>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c>
          <w:tcPr>
            <w:tcW w:w="2765"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5" w:type="dxa"/>
            <w:gridSpan w:val="3"/>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c>
          <w:tcPr>
            <w:tcW w:w="2765"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ascii="黑体" w:hAnsi="黑体" w:eastAsia="黑体" w:cs="黑体"/>
                <w:sz w:val="24"/>
                <w:szCs w:val="24"/>
                <w:vertAlign w:val="baseline"/>
                <w:lang w:val="en-US" w:eastAsia="zh-CN"/>
              </w:rPr>
              <w:t>二、量化目的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ascii="黑体" w:hAnsi="黑体" w:eastAsia="黑体" w:cs="黑体"/>
                <w:sz w:val="24"/>
                <w:szCs w:val="24"/>
                <w:vertAlign w:val="baseline"/>
                <w:lang w:val="en-US" w:eastAsia="zh-CN"/>
              </w:rPr>
            </w:pPr>
            <w:r>
              <w:rPr>
                <w:rFonts w:hint="eastAsia"/>
                <w:szCs w:val="21"/>
                <w:vertAlign w:val="baseline"/>
                <w:lang w:val="en-US" w:eastAsia="zh-CN"/>
              </w:rPr>
              <w:t>1.研究目的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ascii="黑体" w:hAnsi="黑体" w:eastAsia="黑体" w:cs="黑体"/>
                <w:sz w:val="24"/>
                <w:szCs w:val="24"/>
                <w:vertAlign w:val="baseline"/>
                <w:lang w:val="en-US" w:eastAsia="zh-CN"/>
              </w:rPr>
            </w:pPr>
            <w:r>
              <w:rPr>
                <w:rFonts w:hint="eastAsia"/>
                <w:szCs w:val="21"/>
                <w:vertAlign w:val="baseline"/>
                <w:lang w:val="en-US" w:eastAsia="zh-CN"/>
              </w:rPr>
              <w:t>2.预期用途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ascii="黑体" w:hAnsi="黑体" w:eastAsia="黑体" w:cs="黑体"/>
                <w:sz w:val="24"/>
                <w:szCs w:val="24"/>
                <w:vertAlign w:val="baseline"/>
                <w:lang w:val="en-US" w:eastAsia="zh-CN"/>
              </w:rPr>
              <w:t>三、量化范围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1.功能单位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以____________________为功能单位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2.系统边界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（1）边界范围：</w:t>
            </w:r>
            <w:r>
              <w:rPr>
                <w:rFonts w:hint="eastAsia"/>
                <w:szCs w:val="21"/>
                <w:vertAlign w:val="baseline"/>
                <w:lang w:val="en-US" w:eastAsia="zh-CN"/>
              </w:rPr>
              <w:sym w:font="Wingdings 2" w:char="00A3"/>
            </w:r>
            <w:r>
              <w:rPr>
                <w:rFonts w:hint="eastAsia"/>
                <w:szCs w:val="21"/>
                <w:vertAlign w:val="baseline"/>
                <w:lang w:val="en-US" w:eastAsia="zh-CN"/>
              </w:rPr>
              <w:t xml:space="preserve">上游单元  </w:t>
            </w:r>
            <w:r>
              <w:rPr>
                <w:rFonts w:hint="eastAsia"/>
                <w:szCs w:val="21"/>
                <w:vertAlign w:val="baseline"/>
                <w:lang w:val="en-US" w:eastAsia="zh-CN"/>
              </w:rPr>
              <w:sym w:font="Wingdings 2" w:char="00A3"/>
            </w:r>
            <w:r>
              <w:rPr>
                <w:rFonts w:hint="eastAsia"/>
                <w:szCs w:val="21"/>
                <w:vertAlign w:val="baseline"/>
                <w:lang w:val="en-US" w:eastAsia="zh-CN"/>
              </w:rPr>
              <w:t xml:space="preserve">核心单元  </w:t>
            </w:r>
            <w:r>
              <w:rPr>
                <w:rFonts w:hint="eastAsia"/>
                <w:szCs w:val="21"/>
                <w:vertAlign w:val="baseline"/>
                <w:lang w:val="en-US" w:eastAsia="zh-CN"/>
              </w:rPr>
              <w:sym w:font="Wingdings 2" w:char="00A3"/>
            </w:r>
            <w:r>
              <w:rPr>
                <w:rFonts w:hint="eastAsia"/>
                <w:szCs w:val="21"/>
                <w:vertAlign w:val="baseline"/>
                <w:lang w:val="en-US" w:eastAsia="zh-CN"/>
              </w:rPr>
              <w:t>下游单元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（2）边界范围流程图</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（3）边界范围（文字说明）</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ascii="黑体" w:hAnsi="黑体" w:eastAsia="黑体" w:cs="黑体"/>
                <w:sz w:val="24"/>
                <w:szCs w:val="24"/>
                <w:vertAlign w:val="baseline"/>
                <w:lang w:val="en-US" w:eastAsia="zh-CN"/>
              </w:rPr>
              <w:t>四、清单分析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1.数据收集信息（包括数据来源）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（1）初级数据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（2）次级数据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（1）报告期：    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3.取舍原则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采用的取舍原则以______________________为依据，具体规则如下：</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4.分配原则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（1）分配依据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（2）分配程序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5.数据清单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（1）产品名称及产量信息（见表C.2）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（2）系统边界内能源消耗统计（见表C.3）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（3）系统边界内物料消耗统计（见表C.4）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（4）系统边界内废水处理统计（见表C.5）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（5）系统边界内废弃物处理统计（见表C.6）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（6）其他统计参照以上表格制作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ascii="黑体" w:hAnsi="黑体" w:eastAsia="黑体" w:cs="黑体"/>
                <w:sz w:val="24"/>
                <w:szCs w:val="24"/>
                <w:vertAlign w:val="baseline"/>
                <w:lang w:val="en-US" w:eastAsia="zh-CN"/>
              </w:rPr>
              <w:t>五、核算结果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1.排放因子选择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auto"/>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p>
            <w:pPr>
              <w:tabs>
                <w:tab w:val="center" w:pos="4201"/>
                <w:tab w:val="right" w:leader="dot" w:pos="9298"/>
              </w:tabs>
              <w:ind w:firstLine="360" w:firstLineChars="200"/>
              <w:rPr>
                <w:rFonts w:hint="eastAsia"/>
                <w:szCs w:val="21"/>
                <w:vertAlign w:val="baseline"/>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：一般选择政府间气候变化专门委员会（IPCC）给出的100年全球变暖潜势（GWP）。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2.核算结果展示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生命周期阶段</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r>
              <w:rPr>
                <w:rFonts w:hint="eastAsia"/>
                <w:szCs w:val="21"/>
                <w:vertAlign w:val="baseline"/>
                <w:lang w:val="en-US" w:eastAsia="zh-CN"/>
              </w:rPr>
              <w:t>碳排放（kgCO</w:t>
            </w:r>
            <w:r>
              <w:rPr>
                <w:rFonts w:hint="eastAsia"/>
                <w:szCs w:val="21"/>
                <w:vertAlign w:val="subscript"/>
                <w:lang w:val="en-US" w:eastAsia="zh-CN"/>
              </w:rPr>
              <w:t>2</w:t>
            </w:r>
            <w:r>
              <w:rPr>
                <w:rFonts w:hint="eastAsia"/>
                <w:szCs w:val="21"/>
                <w:vertAlign w:val="baseline"/>
                <w:lang w:val="en-US" w:eastAsia="zh-CN"/>
              </w:rPr>
              <w:t>e/功能单位）</w:t>
            </w: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r>
              <w:rPr>
                <w:rFonts w:hint="eastAsia"/>
                <w:szCs w:val="21"/>
                <w:vertAlign w:val="baseline"/>
                <w:lang w:val="en-US" w:eastAsia="zh-CN"/>
              </w:rPr>
              <w:t>碳清除（kgCO</w:t>
            </w:r>
            <w:r>
              <w:rPr>
                <w:rFonts w:hint="eastAsia"/>
                <w:szCs w:val="21"/>
                <w:vertAlign w:val="subscript"/>
                <w:lang w:val="en-US" w:eastAsia="zh-CN"/>
              </w:rPr>
              <w:t>2</w:t>
            </w:r>
            <w:r>
              <w:rPr>
                <w:rFonts w:hint="eastAsia"/>
                <w:szCs w:val="21"/>
                <w:vertAlign w:val="baseline"/>
                <w:lang w:val="en-US" w:eastAsia="zh-CN"/>
              </w:rPr>
              <w:t>e/功能单位）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1.森林或农作物碳存储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2.产品碳存储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3.填埋中碳存储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碳清除量</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4.产品制造过程GHG排放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5.外购电力GHG排放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6.外购热力GHG排放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7.运输相关GHG排放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8.产品处置相关GHG排放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r>
              <w:rPr>
                <w:rFonts w:hint="eastAsia"/>
                <w:szCs w:val="21"/>
                <w:vertAlign w:val="baseline"/>
                <w:lang w:val="en-US" w:eastAsia="zh-CN"/>
              </w:rPr>
              <w:t>碳排放量</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ascii="黑体" w:hAnsi="黑体" w:eastAsia="黑体" w:cs="黑体"/>
                <w:sz w:val="24"/>
                <w:szCs w:val="24"/>
                <w:vertAlign w:val="baseline"/>
                <w:lang w:val="en-US" w:eastAsia="zh-CN"/>
              </w:rPr>
              <w:t>六、相关说明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auto"/>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（1）生命周期各阶段GHG排放情况（表）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____________________公司（填写生产者的全名）生产的_____________（填写所评价的产品名称，每功能单位的产品），从______________（填写某生命周期阶段）到_______________（填写某生命周期阶段）生命周期碳足迹为______________kgCO</w:t>
            </w:r>
            <w:r>
              <w:rPr>
                <w:rFonts w:hint="eastAsia"/>
                <w:szCs w:val="21"/>
                <w:vertAlign w:val="subscript"/>
                <w:lang w:val="en-US" w:eastAsia="zh-CN"/>
              </w:rPr>
              <w:t>2</w:t>
            </w:r>
            <w:r>
              <w:rPr>
                <w:rFonts w:hint="eastAsia"/>
                <w:szCs w:val="21"/>
                <w:vertAlign w:val="baseline"/>
                <w:lang w:val="en-US" w:eastAsia="zh-CN"/>
              </w:rPr>
              <w:t>e。生命周期各阶段的温室气体排放情况如表C.7所示。</w:t>
            </w: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ascii="黑体" w:hAnsi="黑体" w:eastAsia="黑体" w:cs="黑体"/>
                <w:szCs w:val="21"/>
                <w:vertAlign w:val="baseline"/>
                <w:lang w:val="en-US" w:eastAsia="zh-CN"/>
              </w:rPr>
              <w:t>表C.7  生命周期各阶段GHG排放情况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Cs w:val="21"/>
                <w:vertAlign w:val="baseline"/>
                <w:lang w:val="en-US" w:eastAsia="zh-CN"/>
              </w:rPr>
              <w:t>生命周期阶段</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szCs w:val="21"/>
                <w:vertAlign w:val="baseline"/>
                <w:lang w:val="en-US" w:eastAsia="zh-CN"/>
              </w:rPr>
              <w:t>碳足迹（kgCO</w:t>
            </w:r>
            <w:r>
              <w:rPr>
                <w:rFonts w:hint="eastAsia"/>
                <w:szCs w:val="21"/>
                <w:vertAlign w:val="subscript"/>
                <w:lang w:val="en-US" w:eastAsia="zh-CN"/>
              </w:rPr>
              <w:t>2</w:t>
            </w:r>
            <w:r>
              <w:rPr>
                <w:rFonts w:hint="eastAsia"/>
                <w:szCs w:val="21"/>
                <w:vertAlign w:val="baseline"/>
                <w:lang w:val="en-US" w:eastAsia="zh-CN"/>
              </w:rPr>
              <w:t>e/功能单位）</w:t>
            </w: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Cs w:val="21"/>
                <w:vertAlign w:val="baseline"/>
                <w:lang w:val="en-US" w:eastAsia="zh-CN"/>
              </w:rPr>
              <w:t>1.森林或农作物碳存储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宋体" w:cs="Times New Roman"/>
                <w:kern w:val="2"/>
                <w:sz w:val="21"/>
                <w:szCs w:val="21"/>
                <w:vertAlign w:val="baseline"/>
                <w:lang w:val="en-US" w:eastAsia="zh-CN" w:bidi="ar-SA"/>
              </w:rPr>
            </w:pPr>
            <w:r>
              <w:rPr>
                <w:rFonts w:hint="eastAsia"/>
                <w:szCs w:val="21"/>
                <w:vertAlign w:val="baseline"/>
                <w:lang w:val="en-US" w:eastAsia="zh-CN"/>
              </w:rPr>
              <w:t>2.产品碳存储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left"/>
              <w:textAlignment w:val="auto"/>
              <w:rPr>
                <w:rFonts w:hint="default"/>
                <w:szCs w:val="21"/>
                <w:vertAlign w:val="baseline"/>
                <w:lang w:val="en-US" w:eastAsia="zh-CN"/>
              </w:rPr>
            </w:pPr>
            <w:r>
              <w:rPr>
                <w:rFonts w:hint="eastAsia"/>
                <w:szCs w:val="21"/>
                <w:vertAlign w:val="baseline"/>
                <w:lang w:val="en-US" w:eastAsia="zh-CN"/>
              </w:rPr>
              <w:t>3.填埋中碳存储</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4.上游单元制造阶段GHG排放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5.核心单元生产阶段GHG排放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left"/>
              <w:textAlignment w:val="auto"/>
              <w:rPr>
                <w:rFonts w:hint="default"/>
                <w:szCs w:val="21"/>
                <w:vertAlign w:val="baseline"/>
                <w:lang w:val="en-US" w:eastAsia="zh-CN"/>
              </w:rPr>
            </w:pPr>
            <w:r>
              <w:rPr>
                <w:rFonts w:hint="eastAsia"/>
                <w:szCs w:val="21"/>
                <w:vertAlign w:val="baseline"/>
                <w:lang w:val="en-US" w:eastAsia="zh-CN"/>
              </w:rPr>
              <w:t>6.下游单元处置阶段GHG排放</w:t>
            </w:r>
          </w:p>
        </w:tc>
        <w:tc>
          <w:tcPr>
            <w:tcW w:w="3190" w:type="dxa"/>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190" w:type="dxa"/>
            <w:gridSpan w:val="2"/>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r>
              <w:rPr>
                <w:rFonts w:hint="eastAsia"/>
                <w:szCs w:val="21"/>
                <w:vertAlign w:val="baseline"/>
                <w:lang w:val="en-US" w:eastAsia="zh-CN"/>
              </w:rPr>
              <w:t>（2）生命周期各阶段GHG排放情况（图）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2.假设和局限性说明（适用时）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default"/>
                <w:szCs w:val="21"/>
                <w:vertAlign w:val="baseline"/>
                <w:lang w:val="en-US" w:eastAsia="zh-CN"/>
              </w:rPr>
            </w:pPr>
            <w:r>
              <w:rPr>
                <w:rFonts w:hint="eastAsia"/>
                <w:szCs w:val="21"/>
                <w:vertAlign w:val="baseline"/>
                <w:lang w:val="en-US" w:eastAsia="zh-CN"/>
              </w:rPr>
              <w:t>3.减排建议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default"/>
                <w:szCs w:val="21"/>
                <w:vertAlign w:val="baseline"/>
                <w:lang w:val="en-US" w:eastAsia="zh-CN"/>
              </w:rPr>
            </w:pPr>
            <w:r>
              <w:rPr>
                <w:rFonts w:hint="eastAsia"/>
                <w:szCs w:val="21"/>
                <w:vertAlign w:val="baseline"/>
                <w:lang w:val="en-US" w:eastAsia="zh-CN"/>
              </w:rPr>
              <w:t>4.排除在清单外温室气体排放源说明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r>
              <w:rPr>
                <w:rFonts w:hint="eastAsia"/>
                <w:szCs w:val="21"/>
                <w:vertAlign w:val="baseline"/>
                <w:lang w:val="en-US" w:eastAsia="zh-CN"/>
              </w:rPr>
              <w:t>5.敏感性分析和不确定性分析（适用时）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shd w:val="clear" w:color="auto" w:fill="B8CCE4" w:themeFill="accent1" w:themeFillTint="66"/>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r>
              <w:rPr>
                <w:rFonts w:hint="eastAsia"/>
                <w:szCs w:val="21"/>
                <w:vertAlign w:val="baseline"/>
                <w:lang w:val="en-US" w:eastAsia="zh-CN"/>
              </w:rPr>
              <w:t>6.其他说明内容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p>
            <w:pPr>
              <w:keepNext w:val="0"/>
              <w:keepLines w:val="0"/>
              <w:pageBreakBefore w:val="0"/>
              <w:widowControl w:val="0"/>
              <w:numPr>
                <w:ilvl w:val="0"/>
                <w:numId w:val="0"/>
              </w:numPr>
              <w:tabs>
                <w:tab w:val="center" w:pos="4201"/>
                <w:tab w:val="right" w:leader="dot" w:pos="9298"/>
              </w:tabs>
              <w:kinsoku/>
              <w:wordWrap/>
              <w:overflowPunct/>
              <w:topLinePunct w:val="0"/>
              <w:autoSpaceDE/>
              <w:autoSpaceDN/>
              <w:bidi w:val="0"/>
              <w:adjustRightInd/>
              <w:snapToGrid/>
              <w:ind w:left="0" w:leftChars="0" w:firstLine="0" w:firstLineChars="0"/>
              <w:jc w:val="both"/>
              <w:textAlignment w:val="auto"/>
              <w:rPr>
                <w:rFonts w:hint="eastAsia"/>
                <w:szCs w:val="21"/>
                <w:vertAlign w:val="baseline"/>
                <w:lang w:val="en-US" w:eastAsia="zh-CN"/>
              </w:rPr>
            </w:pPr>
          </w:p>
        </w:tc>
      </w:tr>
    </w:tbl>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textAlignment w:val="auto"/>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表C.2  产品名称及产量信息</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5371"/>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3"/>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__________年产量统计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1</w:t>
            </w:r>
          </w:p>
        </w:tc>
        <w:tc>
          <w:tcPr>
            <w:tcW w:w="5371"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产品名称</w:t>
            </w:r>
          </w:p>
        </w:tc>
        <w:tc>
          <w:tcPr>
            <w:tcW w:w="3190"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总产量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2</w:t>
            </w:r>
          </w:p>
        </w:tc>
        <w:tc>
          <w:tcPr>
            <w:tcW w:w="5371"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190"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3</w:t>
            </w:r>
          </w:p>
        </w:tc>
        <w:tc>
          <w:tcPr>
            <w:tcW w:w="5371"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190"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9"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p>
        </w:tc>
        <w:tc>
          <w:tcPr>
            <w:tcW w:w="5371"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r>
              <w:rPr>
                <w:rFonts w:hint="eastAsia"/>
                <w:szCs w:val="21"/>
                <w:vertAlign w:val="baseline"/>
                <w:lang w:val="en-US" w:eastAsia="zh-CN"/>
              </w:rPr>
              <w:t>... ...</w:t>
            </w:r>
          </w:p>
        </w:tc>
        <w:tc>
          <w:tcPr>
            <w:tcW w:w="3190"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r>
    </w:tbl>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textAlignment w:val="auto"/>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表C.3  系统边界内能源消耗统计</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816"/>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______年______单元能源消耗统计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能源名称</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数值</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1</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煤，t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2</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油，t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3</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天然气，m</w:t>
            </w:r>
            <w:r>
              <w:rPr>
                <w:rFonts w:hint="eastAsia"/>
                <w:szCs w:val="21"/>
                <w:vertAlign w:val="superscript"/>
                <w:lang w:val="en-US" w:eastAsia="zh-CN"/>
              </w:rPr>
              <w:t>3</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4</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外购电，MWh</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5</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外售电，MWh</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6</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外购热力，GJ</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7</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外销热力，GJ</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8</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石灰石，t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lang w:val="en-US" w:eastAsia="zh-CN"/>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lang w:val="en-US" w:eastAsia="zh-CN"/>
              </w:rPr>
            </w:pPr>
            <w:r>
              <w:rPr>
                <w:rFonts w:hint="eastAsia"/>
                <w:szCs w:val="21"/>
                <w:vertAlign w:val="baseline"/>
                <w:lang w:val="en-US" w:eastAsia="zh-CN"/>
              </w:rPr>
              <w:t>... ...</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bl>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textAlignment w:val="auto"/>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表C.4  系统边界内物料消耗统计</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816"/>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______年______单元物料消耗统计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物料名称</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数值</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1</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烧碱，t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2</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助剂，t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3</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包材，t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 ...</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bl>
    <w:p>
      <w:pPr>
        <w:tabs>
          <w:tab w:val="center" w:pos="4201"/>
          <w:tab w:val="right" w:leader="dot" w:pos="9298"/>
        </w:tabs>
        <w:ind w:firstLine="420" w:firstLineChars="200"/>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表C.5  系统边界内废水处理统计</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816"/>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______年______单元废水统计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名称</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单位</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1</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default" w:eastAsia="宋体"/>
                <w:szCs w:val="21"/>
                <w:vertAlign w:val="baseline"/>
                <w:lang w:val="en-US" w:eastAsia="zh-CN"/>
              </w:rPr>
              <w:t>厌氧处理过程产生的废水量</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m</w:t>
            </w:r>
            <w:r>
              <w:rPr>
                <w:rFonts w:hint="eastAsia"/>
                <w:szCs w:val="21"/>
                <w:vertAlign w:val="superscript"/>
                <w:lang w:val="en-US" w:eastAsia="zh-CN"/>
              </w:rPr>
              <w:t>3</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 ...</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bl>
    <w:p>
      <w:pPr>
        <w:tabs>
          <w:tab w:val="center" w:pos="4201"/>
          <w:tab w:val="right" w:leader="dot" w:pos="9298"/>
        </w:tabs>
        <w:ind w:firstLine="420" w:firstLineChars="200"/>
        <w:rPr>
          <w:rFonts w:hint="eastAsia"/>
          <w:szCs w:val="21"/>
        </w:rPr>
      </w:pPr>
    </w:p>
    <w:p>
      <w:pPr>
        <w:keepNext w:val="0"/>
        <w:keepLines w:val="0"/>
        <w:pageBreakBefore w:val="0"/>
        <w:widowControl w:val="0"/>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表C.6  系统边界内废弃物处理统计</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816"/>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4"/>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______年______单元废弃物统计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szCs w:val="21"/>
                <w:vertAlign w:val="baseline"/>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名称</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单位</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eastAsia="宋体"/>
                <w:szCs w:val="21"/>
                <w:vertAlign w:val="baseline"/>
                <w:lang w:val="en-US" w:eastAsia="zh-CN"/>
              </w:rPr>
            </w:pPr>
            <w:r>
              <w:rPr>
                <w:rFonts w:hint="eastAsia"/>
                <w:szCs w:val="21"/>
                <w:vertAlign w:val="baseline"/>
                <w:lang w:val="en-US" w:eastAsia="zh-CN"/>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r>
              <w:rPr>
                <w:rFonts w:hint="eastAsia"/>
                <w:szCs w:val="21"/>
                <w:vertAlign w:val="baseline"/>
                <w:lang w:val="en-US" w:eastAsia="zh-CN"/>
              </w:rPr>
              <w:t>1</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产品废弃物质量</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default"/>
                <w:szCs w:val="21"/>
                <w:vertAlign w:val="baseline"/>
                <w:lang w:val="en-US" w:eastAsia="zh-CN"/>
              </w:rPr>
            </w:pPr>
            <w:r>
              <w:rPr>
                <w:rFonts w:hint="eastAsia"/>
                <w:szCs w:val="21"/>
                <w:vertAlign w:val="baseline"/>
                <w:lang w:val="en-US" w:eastAsia="zh-CN"/>
              </w:rPr>
              <w:t>2</w:t>
            </w: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包装废弃物质量</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szCs w:val="21"/>
                <w:vertAlign w:val="baseline"/>
                <w:lang w:val="en-US" w:eastAsia="zh-CN"/>
              </w:rPr>
            </w:pPr>
            <w:r>
              <w:rPr>
                <w:rFonts w:hint="eastAsia"/>
                <w:szCs w:val="21"/>
                <w:vertAlign w:val="baseline"/>
                <w:lang w:val="en-US" w:eastAsia="zh-CN"/>
              </w:rPr>
              <w:t>t</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center"/>
              <w:textAlignment w:val="auto"/>
              <w:rPr>
                <w:rFonts w:hint="eastAsia" w:eastAsia="宋体"/>
                <w:szCs w:val="21"/>
                <w:vertAlign w:val="baseline"/>
                <w:lang w:val="en-US" w:eastAsia="zh-CN"/>
              </w:rPr>
            </w:pPr>
          </w:p>
        </w:tc>
        <w:tc>
          <w:tcPr>
            <w:tcW w:w="3816"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default" w:eastAsia="宋体"/>
                <w:szCs w:val="21"/>
                <w:vertAlign w:val="baseline"/>
                <w:lang w:val="en-US" w:eastAsia="zh-CN"/>
              </w:rPr>
            </w:pPr>
            <w:r>
              <w:rPr>
                <w:rFonts w:hint="eastAsia"/>
                <w:szCs w:val="21"/>
                <w:vertAlign w:val="baseline"/>
                <w:lang w:val="en-US" w:eastAsia="zh-CN"/>
              </w:rPr>
              <w:t>... ...</w:t>
            </w: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c>
          <w:tcPr>
            <w:tcW w:w="2393" w:type="dxa"/>
            <w:vAlign w:val="center"/>
          </w:tcPr>
          <w:p>
            <w:pPr>
              <w:keepNext w:val="0"/>
              <w:keepLines w:val="0"/>
              <w:pageBreakBefore w:val="0"/>
              <w:widowControl w:val="0"/>
              <w:tabs>
                <w:tab w:val="center" w:pos="4201"/>
                <w:tab w:val="right" w:leader="dot" w:pos="9298"/>
              </w:tabs>
              <w:kinsoku/>
              <w:wordWrap/>
              <w:overflowPunct/>
              <w:topLinePunct w:val="0"/>
              <w:autoSpaceDE/>
              <w:autoSpaceDN/>
              <w:bidi w:val="0"/>
              <w:adjustRightInd/>
              <w:snapToGrid/>
              <w:jc w:val="both"/>
              <w:textAlignment w:val="auto"/>
              <w:rPr>
                <w:rFonts w:hint="eastAsia"/>
                <w:szCs w:val="21"/>
                <w:vertAlign w:val="baseline"/>
              </w:rPr>
            </w:pPr>
          </w:p>
        </w:tc>
      </w:tr>
    </w:tbl>
    <w:p>
      <w:pPr>
        <w:rPr>
          <w:rFonts w:hint="eastAsia"/>
          <w:szCs w:val="21"/>
        </w:rPr>
      </w:pPr>
    </w:p>
    <w:p>
      <w:pPr>
        <w:tabs>
          <w:tab w:val="center" w:pos="4201"/>
          <w:tab w:val="right" w:leader="dot" w:pos="9298"/>
        </w:tabs>
        <w:ind w:firstLine="422" w:firstLineChars="200"/>
        <w:jc w:val="center"/>
        <w:rPr>
          <w:b/>
          <w:bCs/>
          <w:szCs w:val="21"/>
        </w:rPr>
      </w:pPr>
    </w:p>
    <w:p>
      <w:pPr>
        <w:rPr>
          <w:rFonts w:ascii="宋体"/>
          <w:kern w:val="0"/>
          <w:szCs w:val="20"/>
        </w:rPr>
      </w:pPr>
      <w:r>
        <w:rPr>
          <w:rFonts w:ascii="宋体"/>
          <w:kern w:val="0"/>
          <w:szCs w:val="20"/>
        </w:rPr>
        <w:br w:type="page"/>
      </w:r>
    </w:p>
    <w:p>
      <w:pPr>
        <w:pStyle w:val="86"/>
        <w:spacing w:before="640" w:after="280"/>
        <w:ind w:firstLine="0" w:firstLineChars="0"/>
        <w:jc w:val="center"/>
        <w:rPr>
          <w:rFonts w:ascii="黑体" w:eastAsia="黑体"/>
        </w:rPr>
      </w:pPr>
      <w:r>
        <w:rPr>
          <w:rFonts w:hint="eastAsia" w:ascii="黑体" w:eastAsia="黑体"/>
        </w:rPr>
        <w:t>参考文献</w:t>
      </w:r>
    </w:p>
    <w:p>
      <w:pPr>
        <w:pStyle w:val="86"/>
        <w:ind w:firstLine="0" w:firstLineChars="0"/>
        <w:rPr>
          <w:rFonts w:ascii="黑体" w:eastAsia="黑体"/>
        </w:rPr>
      </w:pPr>
      <w:r>
        <w:rPr>
          <w:rFonts w:hint="eastAsia"/>
        </w:rPr>
        <w:t>[</w:t>
      </w:r>
      <w:r>
        <w:t xml:space="preserve">1] </w:t>
      </w:r>
      <w:r>
        <w:rPr>
          <w:rFonts w:hint="eastAsia"/>
        </w:rPr>
        <w:t>中国造纸和纸制品生产企业温室气体排放核算方法与报告指南（试行）</w:t>
      </w:r>
    </w:p>
    <w:p>
      <w:pPr>
        <w:widowControl/>
        <w:jc w:val="center"/>
        <w:rPr>
          <w:rFonts w:ascii="宋体"/>
          <w:kern w:val="0"/>
          <w:szCs w:val="20"/>
        </w:rPr>
      </w:pPr>
    </w:p>
    <w:p>
      <w:pPr>
        <w:widowControl/>
        <w:tabs>
          <w:tab w:val="center" w:pos="4201"/>
          <w:tab w:val="right" w:leader="dot" w:pos="9298"/>
        </w:tabs>
        <w:autoSpaceDE w:val="0"/>
        <w:autoSpaceDN w:val="0"/>
        <w:ind w:firstLine="420" w:firstLineChars="200"/>
        <w:rPr>
          <w:rFonts w:ascii="宋体"/>
          <w:kern w:val="0"/>
          <w:szCs w:val="20"/>
        </w:rPr>
      </w:pPr>
    </w:p>
    <w:p>
      <w:pPr>
        <w:pStyle w:val="178"/>
        <w:framePr w:w="5156" w:h="631" w:hRule="exact" w:wrap="around" w:hAnchor="page" w:x="2811" w:y="309"/>
        <w:jc w:val="center"/>
      </w:pPr>
      <w:r>
        <w:t>_____________________</w:t>
      </w:r>
    </w:p>
    <w:p/>
    <w:sectPr>
      <w:headerReference r:id="rId10" w:type="first"/>
      <w:headerReference r:id="rId8" w:type="default"/>
      <w:footerReference r:id="rId11" w:type="default"/>
      <w:headerReference r:id="rId9" w:type="even"/>
      <w:pgSz w:w="11906" w:h="16838"/>
      <w:pgMar w:top="567" w:right="1134" w:bottom="1134" w:left="1418" w:header="1021"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Narrow">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firstLine="7350" w:firstLineChars="3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firstLine="7350" w:firstLineChars="3500"/>
    </w:pPr>
    <w:r>
      <w:pict>
        <v:shape id="PowerPlusWaterMarkObject8313579" o:spid="_x0000_s2050" o:spt="136" type="#_x0000_t136" style="position:absolute;left:0pt;height:50.7pt;width:60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轻工业联合会团体标准" style="font-family:宋体;font-size:1pt;v-text-align:center;"/>
        </v:shape>
      </w:pict>
    </w:r>
    <w:r>
      <w:rPr>
        <w:rFonts w:hint="eastAsia"/>
      </w:rPr>
      <w:t>T/CNLIC  XXXX-XXXX</w:t>
    </w:r>
  </w:p>
  <w:p>
    <w:pPr>
      <w:pStyle w:val="1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3"/>
      </w:rPr>
    </w:pPr>
    <w:r>
      <w:pict>
        <v:shape id="PowerPlusWaterMarkObject8313578" o:spid="_x0000_s2049" o:spt="136" type="#_x0000_t136" style="position:absolute;left:0pt;height:50.7pt;width:60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中国轻工业联合会团体标准" style="font-family:宋体;font-size:1pt;v-text-align:center;"/>
        </v:shape>
      </w:pict>
    </w:r>
    <w:r>
      <w:rPr>
        <w:rStyle w:val="53"/>
      </w:rPr>
      <w:fldChar w:fldCharType="begin"/>
    </w:r>
    <w:r>
      <w:rPr>
        <w:rStyle w:val="53"/>
      </w:rPr>
      <w:instrText xml:space="preserve">PAGE  </w:instrText>
    </w:r>
    <w:r>
      <w:rPr>
        <w:rStyle w:val="53"/>
      </w:rPr>
      <w:fldChar w:fldCharType="separate"/>
    </w:r>
    <w:r>
      <w:rPr>
        <w:rStyle w:val="53"/>
      </w:rPr>
      <w:t>I</w:t>
    </w:r>
    <w:r>
      <w:rPr>
        <w:rStyle w:val="53"/>
      </w:rPr>
      <w:fldChar w:fldCharType="end"/>
    </w:r>
  </w:p>
  <w:p>
    <w:pPr>
      <w:pStyle w:val="31"/>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firstLine="7350" w:firstLineChars="3500"/>
    </w:pPr>
    <w:r>
      <w:rPr>
        <w:rFonts w:hint="eastAsia"/>
      </w:rPr>
      <w:t>T/CNLIC XXXX—XXXX</w:t>
    </w:r>
  </w:p>
  <w:p>
    <w:pPr>
      <w:pStyle w:val="86"/>
      <w:ind w:firstLine="7350" w:firstLineChars="35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ind w:firstLine="0" w:firstLineChars="0"/>
      <w:jc w:val="left"/>
    </w:pPr>
    <w:r>
      <w:pict>
        <v:shape id="PowerPlusWaterMarkObject8313582" o:spid="_x0000_s2053" o:spt="136" type="#_x0000_t136" style="position:absolute;left:0pt;height:50.7pt;width:608.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中国轻工业联合会团体标准" style="font-family:宋体;font-size:1pt;v-text-align:center;"/>
        </v:shape>
      </w:pict>
    </w:r>
    <w:r>
      <w:rPr>
        <w:rFonts w:hint="eastAsia"/>
      </w:rPr>
      <w:t>T/CNLIC  XXXX-XXXX</w:t>
    </w:r>
  </w:p>
  <w:p>
    <w:pPr>
      <w:pStyle w:val="1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PowerPlusWaterMarkObject8313581" o:spid="_x0000_s2052" o:spt="136" type="#_x0000_t136" style="position:absolute;left:0pt;height:50.7pt;width:608.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国轻工业联合会团体标准"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18FAA"/>
    <w:multiLevelType w:val="singleLevel"/>
    <w:tmpl w:val="D5718FAA"/>
    <w:lvl w:ilvl="0" w:tentative="0">
      <w:start w:val="1"/>
      <w:numFmt w:val="decimal"/>
      <w:suff w:val="nothing"/>
      <w:lvlText w:val="%1）"/>
      <w:lvlJc w:val="left"/>
    </w:lvl>
  </w:abstractNum>
  <w:abstractNum w:abstractNumId="1">
    <w:nsid w:val="D90371E5"/>
    <w:multiLevelType w:val="singleLevel"/>
    <w:tmpl w:val="D90371E5"/>
    <w:lvl w:ilvl="0" w:tentative="0">
      <w:start w:val="1"/>
      <w:numFmt w:val="decimal"/>
      <w:suff w:val="nothing"/>
      <w:lvlText w:val="%1）"/>
      <w:lvlJc w:val="left"/>
    </w:lvl>
  </w:abstractNum>
  <w:abstractNum w:abstractNumId="2">
    <w:nsid w:val="EF48EE4B"/>
    <w:multiLevelType w:val="singleLevel"/>
    <w:tmpl w:val="EF48EE4B"/>
    <w:lvl w:ilvl="0" w:tentative="0">
      <w:start w:val="3"/>
      <w:numFmt w:val="decimal"/>
      <w:suff w:val="nothing"/>
      <w:lvlText w:val="（%1）"/>
      <w:lvlJc w:val="left"/>
    </w:lvl>
  </w:abstractNum>
  <w:abstractNum w:abstractNumId="3">
    <w:nsid w:val="FA19416A"/>
    <w:multiLevelType w:val="singleLevel"/>
    <w:tmpl w:val="FA19416A"/>
    <w:lvl w:ilvl="0" w:tentative="0">
      <w:start w:val="1"/>
      <w:numFmt w:val="decimal"/>
      <w:suff w:val="nothing"/>
      <w:lvlText w:val="%1）"/>
      <w:lvlJc w:val="left"/>
    </w:lvl>
  </w:abstractNum>
  <w:abstractNum w:abstractNumId="4">
    <w:nsid w:val="079102AD"/>
    <w:multiLevelType w:val="multilevel"/>
    <w:tmpl w:val="079102AD"/>
    <w:lvl w:ilvl="0" w:tentative="0">
      <w:start w:val="1"/>
      <w:numFmt w:val="decimal"/>
      <w:pStyle w:val="107"/>
      <w:suff w:val="nothing"/>
      <w:lvlText w:val="注%1："/>
      <w:lvlJc w:val="left"/>
      <w:pPr>
        <w:ind w:left="6481" w:hanging="448"/>
      </w:pPr>
      <w:rPr>
        <w:rFonts w:hint="eastAsia" w:ascii="黑体" w:eastAsia="黑体"/>
        <w:b w:val="0"/>
        <w:i w:val="0"/>
        <w:sz w:val="18"/>
        <w:vertAlign w:val="baseline"/>
        <w:lang w:val="en-US"/>
      </w:rPr>
    </w:lvl>
    <w:lvl w:ilvl="1" w:tentative="0">
      <w:start w:val="1"/>
      <w:numFmt w:val="lowerLetter"/>
      <w:lvlText w:val="%2)"/>
      <w:lvlJc w:val="left"/>
      <w:pPr>
        <w:tabs>
          <w:tab w:val="left" w:pos="5670"/>
        </w:tabs>
        <w:ind w:left="6662" w:hanging="629"/>
      </w:pPr>
      <w:rPr>
        <w:rFonts w:hint="eastAsia"/>
        <w:vertAlign w:val="baseline"/>
      </w:rPr>
    </w:lvl>
    <w:lvl w:ilvl="2" w:tentative="0">
      <w:start w:val="1"/>
      <w:numFmt w:val="lowerRoman"/>
      <w:lvlText w:val="%3."/>
      <w:lvlJc w:val="right"/>
      <w:pPr>
        <w:tabs>
          <w:tab w:val="left" w:pos="5670"/>
        </w:tabs>
        <w:ind w:left="6662" w:hanging="629"/>
      </w:pPr>
      <w:rPr>
        <w:rFonts w:hint="eastAsia"/>
        <w:vertAlign w:val="baseline"/>
      </w:rPr>
    </w:lvl>
    <w:lvl w:ilvl="3" w:tentative="0">
      <w:start w:val="1"/>
      <w:numFmt w:val="decimal"/>
      <w:lvlText w:val="%4."/>
      <w:lvlJc w:val="left"/>
      <w:pPr>
        <w:tabs>
          <w:tab w:val="left" w:pos="5670"/>
        </w:tabs>
        <w:ind w:left="6662" w:hanging="629"/>
      </w:pPr>
      <w:rPr>
        <w:rFonts w:hint="eastAsia"/>
        <w:vertAlign w:val="baseline"/>
      </w:rPr>
    </w:lvl>
    <w:lvl w:ilvl="4" w:tentative="0">
      <w:start w:val="1"/>
      <w:numFmt w:val="lowerLetter"/>
      <w:lvlText w:val="%5)"/>
      <w:lvlJc w:val="left"/>
      <w:pPr>
        <w:tabs>
          <w:tab w:val="left" w:pos="5670"/>
        </w:tabs>
        <w:ind w:left="6662" w:hanging="629"/>
      </w:pPr>
      <w:rPr>
        <w:rFonts w:hint="eastAsia"/>
        <w:vertAlign w:val="baseline"/>
      </w:rPr>
    </w:lvl>
    <w:lvl w:ilvl="5" w:tentative="0">
      <w:start w:val="1"/>
      <w:numFmt w:val="lowerRoman"/>
      <w:pStyle w:val="193"/>
      <w:lvlText w:val="%6."/>
      <w:lvlJc w:val="right"/>
      <w:pPr>
        <w:tabs>
          <w:tab w:val="left" w:pos="5670"/>
        </w:tabs>
        <w:ind w:left="6662" w:hanging="629"/>
      </w:pPr>
      <w:rPr>
        <w:rFonts w:hint="eastAsia"/>
        <w:vertAlign w:val="baseline"/>
      </w:rPr>
    </w:lvl>
    <w:lvl w:ilvl="6" w:tentative="0">
      <w:start w:val="1"/>
      <w:numFmt w:val="decimal"/>
      <w:lvlText w:val="%7."/>
      <w:lvlJc w:val="left"/>
      <w:pPr>
        <w:tabs>
          <w:tab w:val="left" w:pos="5670"/>
        </w:tabs>
        <w:ind w:left="6662" w:hanging="629"/>
      </w:pPr>
      <w:rPr>
        <w:rFonts w:hint="eastAsia"/>
        <w:vertAlign w:val="baseline"/>
      </w:rPr>
    </w:lvl>
    <w:lvl w:ilvl="7" w:tentative="0">
      <w:start w:val="1"/>
      <w:numFmt w:val="lowerLetter"/>
      <w:lvlText w:val="%8)"/>
      <w:lvlJc w:val="left"/>
      <w:pPr>
        <w:tabs>
          <w:tab w:val="left" w:pos="5670"/>
        </w:tabs>
        <w:ind w:left="6662" w:hanging="629"/>
      </w:pPr>
      <w:rPr>
        <w:rFonts w:hint="eastAsia"/>
        <w:vertAlign w:val="baseline"/>
      </w:rPr>
    </w:lvl>
    <w:lvl w:ilvl="8" w:tentative="0">
      <w:start w:val="1"/>
      <w:numFmt w:val="lowerRoman"/>
      <w:lvlText w:val="%9."/>
      <w:lvlJc w:val="right"/>
      <w:pPr>
        <w:tabs>
          <w:tab w:val="left" w:pos="5670"/>
        </w:tabs>
        <w:ind w:left="6662" w:hanging="629"/>
      </w:pPr>
      <w:rPr>
        <w:rFonts w:hint="eastAsia"/>
        <w:vertAlign w:val="baseline"/>
      </w:rPr>
    </w:lvl>
  </w:abstractNum>
  <w:abstractNum w:abstractNumId="5">
    <w:nsid w:val="093C6778"/>
    <w:multiLevelType w:val="multilevel"/>
    <w:tmpl w:val="093C6778"/>
    <w:lvl w:ilvl="0" w:tentative="0">
      <w:start w:val="1"/>
      <w:numFmt w:val="decimal"/>
      <w:pStyle w:val="16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10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pStyle w:val="187"/>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DE2B46"/>
    <w:multiLevelType w:val="multilevel"/>
    <w:tmpl w:val="0DDE2B46"/>
    <w:lvl w:ilvl="0" w:tentative="0">
      <w:start w:val="1"/>
      <w:numFmt w:val="lowerLetter"/>
      <w:pStyle w:val="17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3400478"/>
    <w:multiLevelType w:val="singleLevel"/>
    <w:tmpl w:val="13400478"/>
    <w:lvl w:ilvl="0" w:tentative="0">
      <w:start w:val="1"/>
      <w:numFmt w:val="decimal"/>
      <w:suff w:val="nothing"/>
      <w:lvlText w:val="%1）"/>
      <w:lvlJc w:val="left"/>
    </w:lvl>
  </w:abstractNum>
  <w:abstractNum w:abstractNumId="9">
    <w:nsid w:val="1BC8ECEF"/>
    <w:multiLevelType w:val="singleLevel"/>
    <w:tmpl w:val="1BC8ECEF"/>
    <w:lvl w:ilvl="0" w:tentative="0">
      <w:start w:val="1"/>
      <w:numFmt w:val="lowerLetter"/>
      <w:suff w:val="nothing"/>
      <w:lvlText w:val="%1）"/>
      <w:lvlJc w:val="left"/>
    </w:lvl>
  </w:abstractNum>
  <w:abstractNum w:abstractNumId="10">
    <w:nsid w:val="1DBF583A"/>
    <w:multiLevelType w:val="multilevel"/>
    <w:tmpl w:val="1DBF583A"/>
    <w:lvl w:ilvl="0" w:tentative="0">
      <w:start w:val="1"/>
      <w:numFmt w:val="decimal"/>
      <w:pStyle w:val="1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pStyle w:val="196"/>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95"/>
      <w:suff w:val="nothing"/>
      <w:lvlText w:val="%1.%2.%3　"/>
      <w:lvlJc w:val="left"/>
      <w:pPr>
        <w:ind w:left="0" w:firstLine="0"/>
      </w:pPr>
      <w:rPr>
        <w:rFonts w:hint="eastAsia" w:ascii="黑体" w:hAnsi="Times New Roman" w:eastAsia="黑体"/>
        <w:b w:val="0"/>
        <w:i w:val="0"/>
        <w:sz w:val="21"/>
      </w:rPr>
    </w:lvl>
    <w:lvl w:ilvl="3" w:tentative="0">
      <w:start w:val="1"/>
      <w:numFmt w:val="decimal"/>
      <w:pStyle w:val="100"/>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75F220E"/>
    <w:multiLevelType w:val="singleLevel"/>
    <w:tmpl w:val="275F220E"/>
    <w:lvl w:ilvl="0" w:tentative="0">
      <w:start w:val="1"/>
      <w:numFmt w:val="decimal"/>
      <w:suff w:val="nothing"/>
      <w:lvlText w:val="%1）"/>
      <w:lvlJc w:val="left"/>
    </w:lvl>
  </w:abstractNum>
  <w:abstractNum w:abstractNumId="13">
    <w:nsid w:val="2A8F7113"/>
    <w:multiLevelType w:val="multilevel"/>
    <w:tmpl w:val="2A8F7113"/>
    <w:lvl w:ilvl="0" w:tentative="0">
      <w:start w:val="1"/>
      <w:numFmt w:val="upperLetter"/>
      <w:pStyle w:val="147"/>
      <w:suff w:val="space"/>
      <w:lvlText w:val="%1"/>
      <w:lvlJc w:val="left"/>
      <w:pPr>
        <w:ind w:left="623" w:hanging="425"/>
      </w:pPr>
      <w:rPr>
        <w:rFonts w:hint="eastAsia"/>
      </w:rPr>
    </w:lvl>
    <w:lvl w:ilvl="1" w:tentative="0">
      <w:start w:val="1"/>
      <w:numFmt w:val="decimal"/>
      <w:pStyle w:val="14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97"/>
      <w:suff w:val="nothing"/>
      <w:lvlText w:val="%1——"/>
      <w:lvlJc w:val="left"/>
      <w:pPr>
        <w:ind w:left="833" w:hanging="408"/>
      </w:pPr>
      <w:rPr>
        <w:rFonts w:hint="eastAsia"/>
      </w:rPr>
    </w:lvl>
    <w:lvl w:ilvl="1" w:tentative="0">
      <w:start w:val="1"/>
      <w:numFmt w:val="bullet"/>
      <w:pStyle w:val="9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pStyle w:val="195"/>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6">
    <w:nsid w:val="44C50F90"/>
    <w:multiLevelType w:val="multilevel"/>
    <w:tmpl w:val="44C50F90"/>
    <w:lvl w:ilvl="0" w:tentative="0">
      <w:start w:val="1"/>
      <w:numFmt w:val="lowerLetter"/>
      <w:pStyle w:val="10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0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7">
    <w:nsid w:val="4B733A5F"/>
    <w:multiLevelType w:val="multilevel"/>
    <w:tmpl w:val="4B733A5F"/>
    <w:lvl w:ilvl="0" w:tentative="0">
      <w:start w:val="1"/>
      <w:numFmt w:val="decimal"/>
      <w:pStyle w:val="11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8">
    <w:nsid w:val="504D02ED"/>
    <w:multiLevelType w:val="singleLevel"/>
    <w:tmpl w:val="504D02ED"/>
    <w:lvl w:ilvl="0" w:tentative="0">
      <w:start w:val="1"/>
      <w:numFmt w:val="lowerLetter"/>
      <w:suff w:val="nothing"/>
      <w:lvlText w:val="%1）"/>
      <w:lvlJc w:val="left"/>
    </w:lvl>
  </w:abstractNum>
  <w:abstractNum w:abstractNumId="19">
    <w:nsid w:val="50E948B1"/>
    <w:multiLevelType w:val="singleLevel"/>
    <w:tmpl w:val="50E948B1"/>
    <w:lvl w:ilvl="0" w:tentative="0">
      <w:start w:val="5"/>
      <w:numFmt w:val="decimal"/>
      <w:suff w:val="nothing"/>
      <w:lvlText w:val="（%1）"/>
      <w:lvlJc w:val="left"/>
    </w:lvl>
  </w:abstractNum>
  <w:abstractNum w:abstractNumId="20">
    <w:nsid w:val="557C2AF5"/>
    <w:multiLevelType w:val="multilevel"/>
    <w:tmpl w:val="557C2AF5"/>
    <w:lvl w:ilvl="0" w:tentative="0">
      <w:start w:val="1"/>
      <w:numFmt w:val="decimal"/>
      <w:pStyle w:val="17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0B55DC2"/>
    <w:multiLevelType w:val="multilevel"/>
    <w:tmpl w:val="60B55DC2"/>
    <w:lvl w:ilvl="0" w:tentative="0">
      <w:start w:val="1"/>
      <w:numFmt w:val="upperLetter"/>
      <w:pStyle w:val="135"/>
      <w:lvlText w:val="%1"/>
      <w:lvlJc w:val="left"/>
      <w:pPr>
        <w:tabs>
          <w:tab w:val="left" w:pos="0"/>
        </w:tabs>
        <w:ind w:left="0" w:hanging="425"/>
      </w:pPr>
      <w:rPr>
        <w:rFonts w:hint="eastAsia"/>
      </w:rPr>
    </w:lvl>
    <w:lvl w:ilvl="1" w:tentative="0">
      <w:start w:val="1"/>
      <w:numFmt w:val="decimal"/>
      <w:pStyle w:val="136"/>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2E02541"/>
    <w:multiLevelType w:val="singleLevel"/>
    <w:tmpl w:val="62E02541"/>
    <w:lvl w:ilvl="0" w:tentative="0">
      <w:start w:val="1"/>
      <w:numFmt w:val="decimal"/>
      <w:suff w:val="nothing"/>
      <w:lvlText w:val="%1）"/>
      <w:lvlJc w:val="left"/>
    </w:lvl>
  </w:abstractNum>
  <w:abstractNum w:abstractNumId="23">
    <w:nsid w:val="646260FA"/>
    <w:multiLevelType w:val="multilevel"/>
    <w:tmpl w:val="646260FA"/>
    <w:lvl w:ilvl="0" w:tentative="0">
      <w:start w:val="1"/>
      <w:numFmt w:val="decimal"/>
      <w:pStyle w:val="17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7D3FBC"/>
    <w:multiLevelType w:val="multilevel"/>
    <w:tmpl w:val="657D3FBC"/>
    <w:lvl w:ilvl="0" w:tentative="0">
      <w:start w:val="1"/>
      <w:numFmt w:val="upperLetter"/>
      <w:pStyle w:val="13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5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2"/>
      <w:suff w:val="nothing"/>
      <w:lvlText w:val="%1.%2.%3　"/>
      <w:lvlJc w:val="left"/>
      <w:pPr>
        <w:ind w:left="0" w:firstLine="0"/>
      </w:pPr>
      <w:rPr>
        <w:rFonts w:hint="eastAsia" w:ascii="黑体" w:hAnsi="Times New Roman" w:eastAsia="黑体"/>
        <w:b w:val="0"/>
        <w:i w:val="0"/>
        <w:sz w:val="21"/>
      </w:rPr>
    </w:lvl>
    <w:lvl w:ilvl="3" w:tentative="0">
      <w:start w:val="1"/>
      <w:numFmt w:val="decimal"/>
      <w:pStyle w:val="137"/>
      <w:suff w:val="nothing"/>
      <w:lvlText w:val="%1.%2.%3.%4　"/>
      <w:lvlJc w:val="left"/>
      <w:pPr>
        <w:ind w:left="0" w:firstLine="0"/>
      </w:pPr>
      <w:rPr>
        <w:rFonts w:hint="eastAsia" w:ascii="黑体" w:hAnsi="Times New Roman" w:eastAsia="黑体"/>
        <w:b w:val="0"/>
        <w:i w:val="0"/>
        <w:sz w:val="21"/>
      </w:rPr>
    </w:lvl>
    <w:lvl w:ilvl="4" w:tentative="0">
      <w:start w:val="1"/>
      <w:numFmt w:val="decimal"/>
      <w:pStyle w:val="142"/>
      <w:suff w:val="nothing"/>
      <w:lvlText w:val="%1.%2.%3.%4.%5　"/>
      <w:lvlJc w:val="left"/>
      <w:pPr>
        <w:ind w:left="0" w:firstLine="0"/>
      </w:pPr>
      <w:rPr>
        <w:rFonts w:hint="eastAsia" w:ascii="黑体" w:hAnsi="Times New Roman" w:eastAsia="黑体"/>
        <w:b w:val="0"/>
        <w:i w:val="0"/>
        <w:sz w:val="21"/>
      </w:rPr>
    </w:lvl>
    <w:lvl w:ilvl="5" w:tentative="0">
      <w:start w:val="1"/>
      <w:numFmt w:val="decimal"/>
      <w:pStyle w:val="145"/>
      <w:suff w:val="nothing"/>
      <w:lvlText w:val="%1.%2.%3.%4.%5.%6　"/>
      <w:lvlJc w:val="left"/>
      <w:pPr>
        <w:ind w:left="0" w:firstLine="0"/>
      </w:pPr>
      <w:rPr>
        <w:rFonts w:hint="eastAsia" w:ascii="黑体" w:hAnsi="Times New Roman" w:eastAsia="黑体"/>
        <w:b w:val="0"/>
        <w:i w:val="0"/>
        <w:sz w:val="21"/>
      </w:rPr>
    </w:lvl>
    <w:lvl w:ilvl="6" w:tentative="0">
      <w:start w:val="1"/>
      <w:numFmt w:val="decimal"/>
      <w:pStyle w:val="1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A9A039A"/>
    <w:multiLevelType w:val="singleLevel"/>
    <w:tmpl w:val="6A9A039A"/>
    <w:lvl w:ilvl="0" w:tentative="0">
      <w:start w:val="1"/>
      <w:numFmt w:val="lowerLetter"/>
      <w:suff w:val="nothing"/>
      <w:lvlText w:val="%1）"/>
      <w:lvlJc w:val="left"/>
    </w:lvl>
  </w:abstractNum>
  <w:abstractNum w:abstractNumId="26">
    <w:nsid w:val="6D6C07CD"/>
    <w:multiLevelType w:val="multilevel"/>
    <w:tmpl w:val="6D6C07CD"/>
    <w:lvl w:ilvl="0" w:tentative="0">
      <w:start w:val="1"/>
      <w:numFmt w:val="lowerLetter"/>
      <w:pStyle w:val="154"/>
      <w:lvlText w:val="%1)"/>
      <w:lvlJc w:val="left"/>
      <w:pPr>
        <w:tabs>
          <w:tab w:val="left" w:pos="839"/>
        </w:tabs>
        <w:ind w:left="839" w:hanging="419"/>
      </w:pPr>
      <w:rPr>
        <w:rFonts w:hint="eastAsia" w:ascii="宋体" w:eastAsia="宋体"/>
        <w:b w:val="0"/>
        <w:i w:val="0"/>
        <w:sz w:val="21"/>
      </w:rPr>
    </w:lvl>
    <w:lvl w:ilvl="1" w:tentative="0">
      <w:start w:val="1"/>
      <w:numFmt w:val="decimal"/>
      <w:pStyle w:val="14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7">
    <w:nsid w:val="6DBF04F4"/>
    <w:multiLevelType w:val="multilevel"/>
    <w:tmpl w:val="6DBF04F4"/>
    <w:lvl w:ilvl="0" w:tentative="0">
      <w:start w:val="1"/>
      <w:numFmt w:val="none"/>
      <w:pStyle w:val="10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pStyle w:val="192"/>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C47E83B"/>
    <w:multiLevelType w:val="singleLevel"/>
    <w:tmpl w:val="7C47E83B"/>
    <w:lvl w:ilvl="0" w:tentative="0">
      <w:start w:val="1"/>
      <w:numFmt w:val="lowerLetter"/>
      <w:suff w:val="nothing"/>
      <w:lvlText w:val="%1）"/>
      <w:lvlJc w:val="left"/>
    </w:lvl>
  </w:abstractNum>
  <w:num w:numId="1">
    <w:abstractNumId w:val="15"/>
  </w:num>
  <w:num w:numId="2">
    <w:abstractNumId w:val="11"/>
  </w:num>
  <w:num w:numId="3">
    <w:abstractNumId w:val="14"/>
  </w:num>
  <w:num w:numId="4">
    <w:abstractNumId w:val="6"/>
  </w:num>
  <w:num w:numId="5">
    <w:abstractNumId w:val="16"/>
  </w:num>
  <w:num w:numId="6">
    <w:abstractNumId w:val="27"/>
  </w:num>
  <w:num w:numId="7">
    <w:abstractNumId w:val="4"/>
  </w:num>
  <w:num w:numId="8">
    <w:abstractNumId w:val="17"/>
  </w:num>
  <w:num w:numId="9">
    <w:abstractNumId w:val="10"/>
  </w:num>
  <w:num w:numId="10">
    <w:abstractNumId w:val="24"/>
  </w:num>
  <w:num w:numId="11">
    <w:abstractNumId w:val="21"/>
  </w:num>
  <w:num w:numId="12">
    <w:abstractNumId w:val="26"/>
  </w:num>
  <w:num w:numId="13">
    <w:abstractNumId w:val="13"/>
  </w:num>
  <w:num w:numId="14">
    <w:abstractNumId w:val="5"/>
  </w:num>
  <w:num w:numId="15">
    <w:abstractNumId w:val="7"/>
  </w:num>
  <w:num w:numId="16">
    <w:abstractNumId w:val="23"/>
  </w:num>
  <w:num w:numId="17">
    <w:abstractNumId w:val="20"/>
  </w:num>
  <w:num w:numId="18">
    <w:abstractNumId w:val="18"/>
  </w:num>
  <w:num w:numId="19">
    <w:abstractNumId w:val="25"/>
  </w:num>
  <w:num w:numId="20">
    <w:abstractNumId w:val="9"/>
  </w:num>
  <w:num w:numId="21">
    <w:abstractNumId w:val="28"/>
  </w:num>
  <w:num w:numId="22">
    <w:abstractNumId w:val="8"/>
  </w:num>
  <w:num w:numId="23">
    <w:abstractNumId w:val="1"/>
  </w:num>
  <w:num w:numId="24">
    <w:abstractNumId w:val="0"/>
  </w:num>
  <w:num w:numId="25">
    <w:abstractNumId w:val="22"/>
  </w:num>
  <w:num w:numId="26">
    <w:abstractNumId w:val="12"/>
  </w:num>
  <w:num w:numId="27">
    <w:abstractNumId w:val="3"/>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2ZjZkYjEyZmE1MzRmNTczMmNjZTAyODQyODA1YjgifQ=="/>
  </w:docVars>
  <w:rsids>
    <w:rsidRoot w:val="00E168F1"/>
    <w:rsid w:val="000029E3"/>
    <w:rsid w:val="00004617"/>
    <w:rsid w:val="00010AE9"/>
    <w:rsid w:val="00013BD8"/>
    <w:rsid w:val="00032066"/>
    <w:rsid w:val="0003244A"/>
    <w:rsid w:val="000378B5"/>
    <w:rsid w:val="0004695C"/>
    <w:rsid w:val="0004734F"/>
    <w:rsid w:val="00047C85"/>
    <w:rsid w:val="000518CD"/>
    <w:rsid w:val="00053327"/>
    <w:rsid w:val="0005471B"/>
    <w:rsid w:val="000609EA"/>
    <w:rsid w:val="00061962"/>
    <w:rsid w:val="00061E77"/>
    <w:rsid w:val="0007030A"/>
    <w:rsid w:val="0007651E"/>
    <w:rsid w:val="00083D1D"/>
    <w:rsid w:val="00084995"/>
    <w:rsid w:val="00087836"/>
    <w:rsid w:val="00096C26"/>
    <w:rsid w:val="000A0C79"/>
    <w:rsid w:val="000A28F1"/>
    <w:rsid w:val="000A3692"/>
    <w:rsid w:val="000A4361"/>
    <w:rsid w:val="000C033D"/>
    <w:rsid w:val="000E11B5"/>
    <w:rsid w:val="000E3DE7"/>
    <w:rsid w:val="000F10A6"/>
    <w:rsid w:val="000F2D50"/>
    <w:rsid w:val="000F42D2"/>
    <w:rsid w:val="000F6D54"/>
    <w:rsid w:val="00114F29"/>
    <w:rsid w:val="00122490"/>
    <w:rsid w:val="00124841"/>
    <w:rsid w:val="00142639"/>
    <w:rsid w:val="0014563C"/>
    <w:rsid w:val="00152011"/>
    <w:rsid w:val="00157F1B"/>
    <w:rsid w:val="00160CC7"/>
    <w:rsid w:val="00161091"/>
    <w:rsid w:val="00161CB0"/>
    <w:rsid w:val="0017497E"/>
    <w:rsid w:val="00182463"/>
    <w:rsid w:val="00186B08"/>
    <w:rsid w:val="00193D42"/>
    <w:rsid w:val="001B2879"/>
    <w:rsid w:val="001B438B"/>
    <w:rsid w:val="001C19FB"/>
    <w:rsid w:val="001C2569"/>
    <w:rsid w:val="001C5B75"/>
    <w:rsid w:val="001E1FC6"/>
    <w:rsid w:val="001E62F6"/>
    <w:rsid w:val="001F6F98"/>
    <w:rsid w:val="001F761C"/>
    <w:rsid w:val="002055F1"/>
    <w:rsid w:val="00207D66"/>
    <w:rsid w:val="002162CD"/>
    <w:rsid w:val="00222A0B"/>
    <w:rsid w:val="00242AFE"/>
    <w:rsid w:val="002471CC"/>
    <w:rsid w:val="0025292D"/>
    <w:rsid w:val="00252A4A"/>
    <w:rsid w:val="00255255"/>
    <w:rsid w:val="002574A1"/>
    <w:rsid w:val="00277485"/>
    <w:rsid w:val="00283A9B"/>
    <w:rsid w:val="00292088"/>
    <w:rsid w:val="00294726"/>
    <w:rsid w:val="00296A7E"/>
    <w:rsid w:val="002A6206"/>
    <w:rsid w:val="002A68D8"/>
    <w:rsid w:val="002B1304"/>
    <w:rsid w:val="002B17E5"/>
    <w:rsid w:val="002B675D"/>
    <w:rsid w:val="002B6A7F"/>
    <w:rsid w:val="002C1180"/>
    <w:rsid w:val="002D2310"/>
    <w:rsid w:val="002D6134"/>
    <w:rsid w:val="002D7FCA"/>
    <w:rsid w:val="002F02A4"/>
    <w:rsid w:val="002F1909"/>
    <w:rsid w:val="002F1D02"/>
    <w:rsid w:val="002F4E2C"/>
    <w:rsid w:val="002F6AC4"/>
    <w:rsid w:val="002F7FC7"/>
    <w:rsid w:val="00300724"/>
    <w:rsid w:val="00315DCC"/>
    <w:rsid w:val="00316E3A"/>
    <w:rsid w:val="00316E82"/>
    <w:rsid w:val="00325A76"/>
    <w:rsid w:val="003345B8"/>
    <w:rsid w:val="003409A1"/>
    <w:rsid w:val="00341446"/>
    <w:rsid w:val="003450CB"/>
    <w:rsid w:val="003605E1"/>
    <w:rsid w:val="00361069"/>
    <w:rsid w:val="003657C0"/>
    <w:rsid w:val="0036791C"/>
    <w:rsid w:val="003701DD"/>
    <w:rsid w:val="003704E0"/>
    <w:rsid w:val="00371CBC"/>
    <w:rsid w:val="00373BE7"/>
    <w:rsid w:val="00374251"/>
    <w:rsid w:val="00384A27"/>
    <w:rsid w:val="003855A4"/>
    <w:rsid w:val="003923CC"/>
    <w:rsid w:val="003941A5"/>
    <w:rsid w:val="003A0882"/>
    <w:rsid w:val="003B6C23"/>
    <w:rsid w:val="003C1D12"/>
    <w:rsid w:val="003C233C"/>
    <w:rsid w:val="003C31E9"/>
    <w:rsid w:val="003C33DA"/>
    <w:rsid w:val="003D61F6"/>
    <w:rsid w:val="003E35E7"/>
    <w:rsid w:val="003E6DCA"/>
    <w:rsid w:val="003F45CD"/>
    <w:rsid w:val="003F54F7"/>
    <w:rsid w:val="00400900"/>
    <w:rsid w:val="00402F74"/>
    <w:rsid w:val="00407FCA"/>
    <w:rsid w:val="004120A2"/>
    <w:rsid w:val="004135AC"/>
    <w:rsid w:val="00426253"/>
    <w:rsid w:val="0042750E"/>
    <w:rsid w:val="00427948"/>
    <w:rsid w:val="00427C57"/>
    <w:rsid w:val="00430EAE"/>
    <w:rsid w:val="004321CC"/>
    <w:rsid w:val="00432ACC"/>
    <w:rsid w:val="0043643E"/>
    <w:rsid w:val="004462B2"/>
    <w:rsid w:val="0045087A"/>
    <w:rsid w:val="00451770"/>
    <w:rsid w:val="00452AB6"/>
    <w:rsid w:val="00452CFB"/>
    <w:rsid w:val="00453207"/>
    <w:rsid w:val="00462012"/>
    <w:rsid w:val="004628A7"/>
    <w:rsid w:val="00466DCB"/>
    <w:rsid w:val="00471C38"/>
    <w:rsid w:val="00493B63"/>
    <w:rsid w:val="00494F52"/>
    <w:rsid w:val="004A0727"/>
    <w:rsid w:val="004A4139"/>
    <w:rsid w:val="004A6E71"/>
    <w:rsid w:val="004A76DB"/>
    <w:rsid w:val="004B444A"/>
    <w:rsid w:val="004B6D1E"/>
    <w:rsid w:val="004C57CA"/>
    <w:rsid w:val="004D0773"/>
    <w:rsid w:val="004F0CB4"/>
    <w:rsid w:val="004F2F42"/>
    <w:rsid w:val="004F33A8"/>
    <w:rsid w:val="00504545"/>
    <w:rsid w:val="00504DB8"/>
    <w:rsid w:val="00505FC7"/>
    <w:rsid w:val="0051124D"/>
    <w:rsid w:val="00514B73"/>
    <w:rsid w:val="00516865"/>
    <w:rsid w:val="00522102"/>
    <w:rsid w:val="00527C21"/>
    <w:rsid w:val="0053376B"/>
    <w:rsid w:val="005422EF"/>
    <w:rsid w:val="0055668E"/>
    <w:rsid w:val="00561882"/>
    <w:rsid w:val="00576E50"/>
    <w:rsid w:val="00585756"/>
    <w:rsid w:val="00590F2C"/>
    <w:rsid w:val="005A2BD4"/>
    <w:rsid w:val="005A5595"/>
    <w:rsid w:val="005B0266"/>
    <w:rsid w:val="005B44F7"/>
    <w:rsid w:val="005B6483"/>
    <w:rsid w:val="005B7C40"/>
    <w:rsid w:val="005C3D6E"/>
    <w:rsid w:val="005C6292"/>
    <w:rsid w:val="005D2029"/>
    <w:rsid w:val="005D706D"/>
    <w:rsid w:val="005E0433"/>
    <w:rsid w:val="005E04CF"/>
    <w:rsid w:val="005F0D30"/>
    <w:rsid w:val="005F1B33"/>
    <w:rsid w:val="00600574"/>
    <w:rsid w:val="00605F42"/>
    <w:rsid w:val="00623E5E"/>
    <w:rsid w:val="00623EF2"/>
    <w:rsid w:val="006250B4"/>
    <w:rsid w:val="0062773B"/>
    <w:rsid w:val="00631397"/>
    <w:rsid w:val="00633B65"/>
    <w:rsid w:val="00647E0B"/>
    <w:rsid w:val="00652A25"/>
    <w:rsid w:val="006542E1"/>
    <w:rsid w:val="006669EF"/>
    <w:rsid w:val="00667D85"/>
    <w:rsid w:val="00670A47"/>
    <w:rsid w:val="006757A0"/>
    <w:rsid w:val="00680AD3"/>
    <w:rsid w:val="00684B3E"/>
    <w:rsid w:val="00695995"/>
    <w:rsid w:val="006A1A06"/>
    <w:rsid w:val="006B4C59"/>
    <w:rsid w:val="006D02AE"/>
    <w:rsid w:val="006D4721"/>
    <w:rsid w:val="006D6C53"/>
    <w:rsid w:val="006E4534"/>
    <w:rsid w:val="006F3224"/>
    <w:rsid w:val="006F5B61"/>
    <w:rsid w:val="006F5EE8"/>
    <w:rsid w:val="00704A41"/>
    <w:rsid w:val="00720A32"/>
    <w:rsid w:val="00725F67"/>
    <w:rsid w:val="007260F1"/>
    <w:rsid w:val="0074264E"/>
    <w:rsid w:val="007466D4"/>
    <w:rsid w:val="00747F96"/>
    <w:rsid w:val="00754C57"/>
    <w:rsid w:val="007571C8"/>
    <w:rsid w:val="00761762"/>
    <w:rsid w:val="00761C0B"/>
    <w:rsid w:val="007A68BA"/>
    <w:rsid w:val="007B39DE"/>
    <w:rsid w:val="007B5D7E"/>
    <w:rsid w:val="007B755F"/>
    <w:rsid w:val="007C1F5C"/>
    <w:rsid w:val="007C4809"/>
    <w:rsid w:val="007D3B60"/>
    <w:rsid w:val="007D653D"/>
    <w:rsid w:val="007E038C"/>
    <w:rsid w:val="007F5B2C"/>
    <w:rsid w:val="008006A8"/>
    <w:rsid w:val="00801FA1"/>
    <w:rsid w:val="0080794A"/>
    <w:rsid w:val="008100D1"/>
    <w:rsid w:val="00811B01"/>
    <w:rsid w:val="00812957"/>
    <w:rsid w:val="0081514B"/>
    <w:rsid w:val="00815597"/>
    <w:rsid w:val="008203B6"/>
    <w:rsid w:val="0082217E"/>
    <w:rsid w:val="00826732"/>
    <w:rsid w:val="008341D8"/>
    <w:rsid w:val="00836C07"/>
    <w:rsid w:val="00837D4C"/>
    <w:rsid w:val="00842DF2"/>
    <w:rsid w:val="00845D04"/>
    <w:rsid w:val="00847C84"/>
    <w:rsid w:val="0085046E"/>
    <w:rsid w:val="00855621"/>
    <w:rsid w:val="0086262F"/>
    <w:rsid w:val="00874B5F"/>
    <w:rsid w:val="00880732"/>
    <w:rsid w:val="008812ED"/>
    <w:rsid w:val="00884404"/>
    <w:rsid w:val="008868B4"/>
    <w:rsid w:val="00891501"/>
    <w:rsid w:val="00892217"/>
    <w:rsid w:val="00895397"/>
    <w:rsid w:val="008B5672"/>
    <w:rsid w:val="008C37F2"/>
    <w:rsid w:val="008C3DAB"/>
    <w:rsid w:val="008D5656"/>
    <w:rsid w:val="008D5A02"/>
    <w:rsid w:val="008D7D5D"/>
    <w:rsid w:val="008E1F5D"/>
    <w:rsid w:val="008E2F2F"/>
    <w:rsid w:val="008F1483"/>
    <w:rsid w:val="008F30ED"/>
    <w:rsid w:val="009019E5"/>
    <w:rsid w:val="009129BA"/>
    <w:rsid w:val="009146C8"/>
    <w:rsid w:val="00936A85"/>
    <w:rsid w:val="00942D71"/>
    <w:rsid w:val="00946A57"/>
    <w:rsid w:val="00956046"/>
    <w:rsid w:val="009617B5"/>
    <w:rsid w:val="00962FD4"/>
    <w:rsid w:val="009641FB"/>
    <w:rsid w:val="00991DB6"/>
    <w:rsid w:val="009C79B3"/>
    <w:rsid w:val="009D3A2C"/>
    <w:rsid w:val="009D67B9"/>
    <w:rsid w:val="009E1F42"/>
    <w:rsid w:val="009F023B"/>
    <w:rsid w:val="009F4C85"/>
    <w:rsid w:val="009F799F"/>
    <w:rsid w:val="00A2051E"/>
    <w:rsid w:val="00A255A1"/>
    <w:rsid w:val="00A319D3"/>
    <w:rsid w:val="00A34579"/>
    <w:rsid w:val="00A420A1"/>
    <w:rsid w:val="00A5067A"/>
    <w:rsid w:val="00A51250"/>
    <w:rsid w:val="00A54B67"/>
    <w:rsid w:val="00A56B01"/>
    <w:rsid w:val="00A624F0"/>
    <w:rsid w:val="00A645F8"/>
    <w:rsid w:val="00A678AB"/>
    <w:rsid w:val="00A71327"/>
    <w:rsid w:val="00A749F5"/>
    <w:rsid w:val="00A8570D"/>
    <w:rsid w:val="00A87064"/>
    <w:rsid w:val="00A92896"/>
    <w:rsid w:val="00AA0C56"/>
    <w:rsid w:val="00AC2075"/>
    <w:rsid w:val="00AC795A"/>
    <w:rsid w:val="00AD654B"/>
    <w:rsid w:val="00AD7070"/>
    <w:rsid w:val="00AD720D"/>
    <w:rsid w:val="00AE1A5C"/>
    <w:rsid w:val="00AF3E60"/>
    <w:rsid w:val="00AF3FA1"/>
    <w:rsid w:val="00B03A2C"/>
    <w:rsid w:val="00B20759"/>
    <w:rsid w:val="00B220C7"/>
    <w:rsid w:val="00B244C2"/>
    <w:rsid w:val="00B24EAA"/>
    <w:rsid w:val="00B302E4"/>
    <w:rsid w:val="00B30CC8"/>
    <w:rsid w:val="00B34444"/>
    <w:rsid w:val="00B404A6"/>
    <w:rsid w:val="00B54967"/>
    <w:rsid w:val="00B55510"/>
    <w:rsid w:val="00B60367"/>
    <w:rsid w:val="00B76488"/>
    <w:rsid w:val="00B76D94"/>
    <w:rsid w:val="00B83DFA"/>
    <w:rsid w:val="00B867B4"/>
    <w:rsid w:val="00B92CCF"/>
    <w:rsid w:val="00B974C9"/>
    <w:rsid w:val="00BA2C35"/>
    <w:rsid w:val="00BA3F7A"/>
    <w:rsid w:val="00BC1C69"/>
    <w:rsid w:val="00BC4771"/>
    <w:rsid w:val="00BC4B70"/>
    <w:rsid w:val="00BD33D2"/>
    <w:rsid w:val="00BD7374"/>
    <w:rsid w:val="00BE053D"/>
    <w:rsid w:val="00BE1779"/>
    <w:rsid w:val="00BE3AE0"/>
    <w:rsid w:val="00BE7F8A"/>
    <w:rsid w:val="00BF2D34"/>
    <w:rsid w:val="00BF4E3C"/>
    <w:rsid w:val="00BF6EE9"/>
    <w:rsid w:val="00C04577"/>
    <w:rsid w:val="00C06602"/>
    <w:rsid w:val="00C11D2F"/>
    <w:rsid w:val="00C3079F"/>
    <w:rsid w:val="00C32E2A"/>
    <w:rsid w:val="00C355DE"/>
    <w:rsid w:val="00C42E2E"/>
    <w:rsid w:val="00C46C9D"/>
    <w:rsid w:val="00C518E7"/>
    <w:rsid w:val="00C52F73"/>
    <w:rsid w:val="00C701CE"/>
    <w:rsid w:val="00C70268"/>
    <w:rsid w:val="00C720E3"/>
    <w:rsid w:val="00C76B50"/>
    <w:rsid w:val="00C82D73"/>
    <w:rsid w:val="00C8337E"/>
    <w:rsid w:val="00C87D92"/>
    <w:rsid w:val="00C9358F"/>
    <w:rsid w:val="00C96EC3"/>
    <w:rsid w:val="00CA7678"/>
    <w:rsid w:val="00CB763D"/>
    <w:rsid w:val="00CC1190"/>
    <w:rsid w:val="00CC15D2"/>
    <w:rsid w:val="00CD5F83"/>
    <w:rsid w:val="00CE1A5A"/>
    <w:rsid w:val="00CE2662"/>
    <w:rsid w:val="00CE672E"/>
    <w:rsid w:val="00CF086D"/>
    <w:rsid w:val="00CF2B25"/>
    <w:rsid w:val="00CF4131"/>
    <w:rsid w:val="00CF5581"/>
    <w:rsid w:val="00D02AE3"/>
    <w:rsid w:val="00D03C66"/>
    <w:rsid w:val="00D047D1"/>
    <w:rsid w:val="00D048CE"/>
    <w:rsid w:val="00D0694A"/>
    <w:rsid w:val="00D07CB2"/>
    <w:rsid w:val="00D24274"/>
    <w:rsid w:val="00D24A7B"/>
    <w:rsid w:val="00D376C1"/>
    <w:rsid w:val="00D37F3F"/>
    <w:rsid w:val="00D4042D"/>
    <w:rsid w:val="00D40CBB"/>
    <w:rsid w:val="00D436D3"/>
    <w:rsid w:val="00D57B50"/>
    <w:rsid w:val="00D61F7E"/>
    <w:rsid w:val="00D6672D"/>
    <w:rsid w:val="00D8217C"/>
    <w:rsid w:val="00D82D91"/>
    <w:rsid w:val="00D85790"/>
    <w:rsid w:val="00D90B77"/>
    <w:rsid w:val="00D93E80"/>
    <w:rsid w:val="00D96E99"/>
    <w:rsid w:val="00DA4B52"/>
    <w:rsid w:val="00DB19D0"/>
    <w:rsid w:val="00DC63E1"/>
    <w:rsid w:val="00DE5BC8"/>
    <w:rsid w:val="00DE749C"/>
    <w:rsid w:val="00DF0567"/>
    <w:rsid w:val="00DF6974"/>
    <w:rsid w:val="00E168F1"/>
    <w:rsid w:val="00E2191C"/>
    <w:rsid w:val="00E351B8"/>
    <w:rsid w:val="00E47D0A"/>
    <w:rsid w:val="00E52604"/>
    <w:rsid w:val="00E54357"/>
    <w:rsid w:val="00E56452"/>
    <w:rsid w:val="00E57579"/>
    <w:rsid w:val="00E60A9C"/>
    <w:rsid w:val="00E6792C"/>
    <w:rsid w:val="00E708F6"/>
    <w:rsid w:val="00E7375E"/>
    <w:rsid w:val="00E8696F"/>
    <w:rsid w:val="00E8766B"/>
    <w:rsid w:val="00E9065E"/>
    <w:rsid w:val="00E92306"/>
    <w:rsid w:val="00EC55C2"/>
    <w:rsid w:val="00EC699D"/>
    <w:rsid w:val="00ED265D"/>
    <w:rsid w:val="00ED4CF6"/>
    <w:rsid w:val="00EE0A05"/>
    <w:rsid w:val="00EE5840"/>
    <w:rsid w:val="00EE5A87"/>
    <w:rsid w:val="00F10FDF"/>
    <w:rsid w:val="00F12C6A"/>
    <w:rsid w:val="00F13C12"/>
    <w:rsid w:val="00F15559"/>
    <w:rsid w:val="00F27124"/>
    <w:rsid w:val="00F3268B"/>
    <w:rsid w:val="00F35270"/>
    <w:rsid w:val="00F410AB"/>
    <w:rsid w:val="00F4217A"/>
    <w:rsid w:val="00F47007"/>
    <w:rsid w:val="00F52509"/>
    <w:rsid w:val="00F5410B"/>
    <w:rsid w:val="00F5456B"/>
    <w:rsid w:val="00F5785C"/>
    <w:rsid w:val="00F57B56"/>
    <w:rsid w:val="00F64677"/>
    <w:rsid w:val="00F71897"/>
    <w:rsid w:val="00F809D7"/>
    <w:rsid w:val="00F83CF8"/>
    <w:rsid w:val="00F85BCA"/>
    <w:rsid w:val="00F90284"/>
    <w:rsid w:val="00F961EB"/>
    <w:rsid w:val="00F977EC"/>
    <w:rsid w:val="00FA130E"/>
    <w:rsid w:val="00FA5D7A"/>
    <w:rsid w:val="00FB2758"/>
    <w:rsid w:val="00FC2E70"/>
    <w:rsid w:val="00FC6A6C"/>
    <w:rsid w:val="00FE06E9"/>
    <w:rsid w:val="00FE53F9"/>
    <w:rsid w:val="00FE6F70"/>
    <w:rsid w:val="00FE7B94"/>
    <w:rsid w:val="00FE7C9B"/>
    <w:rsid w:val="00FF7931"/>
    <w:rsid w:val="01426F7E"/>
    <w:rsid w:val="014632E9"/>
    <w:rsid w:val="0196652C"/>
    <w:rsid w:val="01DA5698"/>
    <w:rsid w:val="02B317E8"/>
    <w:rsid w:val="02B81FC4"/>
    <w:rsid w:val="02DA5434"/>
    <w:rsid w:val="03474344"/>
    <w:rsid w:val="034856C9"/>
    <w:rsid w:val="03535840"/>
    <w:rsid w:val="03A45D5C"/>
    <w:rsid w:val="03AC3B74"/>
    <w:rsid w:val="0479047E"/>
    <w:rsid w:val="04AE367F"/>
    <w:rsid w:val="04AE5A7A"/>
    <w:rsid w:val="04BD2899"/>
    <w:rsid w:val="04CE66EF"/>
    <w:rsid w:val="05035E30"/>
    <w:rsid w:val="054225B3"/>
    <w:rsid w:val="055C7868"/>
    <w:rsid w:val="05616943"/>
    <w:rsid w:val="060721E3"/>
    <w:rsid w:val="063E0174"/>
    <w:rsid w:val="06444952"/>
    <w:rsid w:val="06703003"/>
    <w:rsid w:val="068A1120"/>
    <w:rsid w:val="06AE7966"/>
    <w:rsid w:val="06C23771"/>
    <w:rsid w:val="072636F3"/>
    <w:rsid w:val="07357D06"/>
    <w:rsid w:val="08001579"/>
    <w:rsid w:val="08334AD9"/>
    <w:rsid w:val="083F7DA7"/>
    <w:rsid w:val="08A657C9"/>
    <w:rsid w:val="08A748F7"/>
    <w:rsid w:val="08D96AE4"/>
    <w:rsid w:val="08E564C9"/>
    <w:rsid w:val="09072A36"/>
    <w:rsid w:val="09087B48"/>
    <w:rsid w:val="090D0F93"/>
    <w:rsid w:val="092C508C"/>
    <w:rsid w:val="09674DE9"/>
    <w:rsid w:val="09896468"/>
    <w:rsid w:val="09A74815"/>
    <w:rsid w:val="09BB20BA"/>
    <w:rsid w:val="09D421E1"/>
    <w:rsid w:val="09D90645"/>
    <w:rsid w:val="0A2166A1"/>
    <w:rsid w:val="0AEF54D0"/>
    <w:rsid w:val="0B512E5E"/>
    <w:rsid w:val="0BD67225"/>
    <w:rsid w:val="0C160487"/>
    <w:rsid w:val="0C382B82"/>
    <w:rsid w:val="0C5C7E64"/>
    <w:rsid w:val="0C726636"/>
    <w:rsid w:val="0C8A701F"/>
    <w:rsid w:val="0CA50170"/>
    <w:rsid w:val="0CB10376"/>
    <w:rsid w:val="0CC1190B"/>
    <w:rsid w:val="0CF04CC3"/>
    <w:rsid w:val="0CFE70CF"/>
    <w:rsid w:val="0D2C3CE4"/>
    <w:rsid w:val="0D85402F"/>
    <w:rsid w:val="0D906CBF"/>
    <w:rsid w:val="0D937EE6"/>
    <w:rsid w:val="0DA01975"/>
    <w:rsid w:val="0DA230FC"/>
    <w:rsid w:val="0DCB491F"/>
    <w:rsid w:val="0DFB0811"/>
    <w:rsid w:val="0E170723"/>
    <w:rsid w:val="0E663531"/>
    <w:rsid w:val="0E8B4080"/>
    <w:rsid w:val="0ED2440E"/>
    <w:rsid w:val="0EDC57C9"/>
    <w:rsid w:val="0EE36C02"/>
    <w:rsid w:val="0F1121FC"/>
    <w:rsid w:val="0F491C79"/>
    <w:rsid w:val="0F63075D"/>
    <w:rsid w:val="0FB43F9B"/>
    <w:rsid w:val="0FD15FED"/>
    <w:rsid w:val="0FE11676"/>
    <w:rsid w:val="100B7071"/>
    <w:rsid w:val="10117ECC"/>
    <w:rsid w:val="1032458C"/>
    <w:rsid w:val="104A7D18"/>
    <w:rsid w:val="104E6EC3"/>
    <w:rsid w:val="10C218DB"/>
    <w:rsid w:val="10EF574B"/>
    <w:rsid w:val="110F4FFC"/>
    <w:rsid w:val="112A3E39"/>
    <w:rsid w:val="113A0651"/>
    <w:rsid w:val="118049D4"/>
    <w:rsid w:val="11D825BD"/>
    <w:rsid w:val="11F13E85"/>
    <w:rsid w:val="12125011"/>
    <w:rsid w:val="12FD788F"/>
    <w:rsid w:val="130E79B9"/>
    <w:rsid w:val="1364709E"/>
    <w:rsid w:val="13663B64"/>
    <w:rsid w:val="137A35E1"/>
    <w:rsid w:val="13B10A95"/>
    <w:rsid w:val="13BC4617"/>
    <w:rsid w:val="140E0BD6"/>
    <w:rsid w:val="146D3804"/>
    <w:rsid w:val="152900F7"/>
    <w:rsid w:val="15587E43"/>
    <w:rsid w:val="157D64AF"/>
    <w:rsid w:val="15F64E85"/>
    <w:rsid w:val="16183C65"/>
    <w:rsid w:val="16584690"/>
    <w:rsid w:val="168B00A2"/>
    <w:rsid w:val="169754CD"/>
    <w:rsid w:val="1711227A"/>
    <w:rsid w:val="17141470"/>
    <w:rsid w:val="17243E5C"/>
    <w:rsid w:val="172900AD"/>
    <w:rsid w:val="17405F19"/>
    <w:rsid w:val="17A90120"/>
    <w:rsid w:val="17F554B9"/>
    <w:rsid w:val="180E295A"/>
    <w:rsid w:val="18182A90"/>
    <w:rsid w:val="18604C82"/>
    <w:rsid w:val="189C68FA"/>
    <w:rsid w:val="193D6430"/>
    <w:rsid w:val="193E101D"/>
    <w:rsid w:val="19FA624C"/>
    <w:rsid w:val="1A09162B"/>
    <w:rsid w:val="1A0F29BA"/>
    <w:rsid w:val="1A147ECC"/>
    <w:rsid w:val="1A1A3838"/>
    <w:rsid w:val="1A950774"/>
    <w:rsid w:val="1AC94917"/>
    <w:rsid w:val="1ACB0340"/>
    <w:rsid w:val="1B1E4D15"/>
    <w:rsid w:val="1B5A1A13"/>
    <w:rsid w:val="1B7F6565"/>
    <w:rsid w:val="1B8F5B60"/>
    <w:rsid w:val="1BAA100E"/>
    <w:rsid w:val="1BD255EE"/>
    <w:rsid w:val="1BE8010C"/>
    <w:rsid w:val="1CB37426"/>
    <w:rsid w:val="1CBB30AB"/>
    <w:rsid w:val="1CE56053"/>
    <w:rsid w:val="1CFC0FD3"/>
    <w:rsid w:val="1CFF7503"/>
    <w:rsid w:val="1D8947CA"/>
    <w:rsid w:val="1D9751F7"/>
    <w:rsid w:val="1DB91BED"/>
    <w:rsid w:val="1E290F09"/>
    <w:rsid w:val="1E4355FA"/>
    <w:rsid w:val="1E617BBA"/>
    <w:rsid w:val="1ED95F50"/>
    <w:rsid w:val="1EF34E2E"/>
    <w:rsid w:val="1F0B2C36"/>
    <w:rsid w:val="1F955031"/>
    <w:rsid w:val="1FDC366F"/>
    <w:rsid w:val="20000C58"/>
    <w:rsid w:val="205E6167"/>
    <w:rsid w:val="2084760E"/>
    <w:rsid w:val="21274A8D"/>
    <w:rsid w:val="219E4F80"/>
    <w:rsid w:val="22096712"/>
    <w:rsid w:val="2257415F"/>
    <w:rsid w:val="2266747B"/>
    <w:rsid w:val="228965D3"/>
    <w:rsid w:val="2298179E"/>
    <w:rsid w:val="229C36C2"/>
    <w:rsid w:val="22BE7F4E"/>
    <w:rsid w:val="22CE2D90"/>
    <w:rsid w:val="22D92759"/>
    <w:rsid w:val="22DC4BC7"/>
    <w:rsid w:val="238D44E0"/>
    <w:rsid w:val="239309E5"/>
    <w:rsid w:val="23F9157E"/>
    <w:rsid w:val="24372E52"/>
    <w:rsid w:val="24591B8E"/>
    <w:rsid w:val="24BA2ABA"/>
    <w:rsid w:val="24D83B8E"/>
    <w:rsid w:val="24DD1A11"/>
    <w:rsid w:val="25322967"/>
    <w:rsid w:val="254B6431"/>
    <w:rsid w:val="25557697"/>
    <w:rsid w:val="25CA600E"/>
    <w:rsid w:val="263A6BC9"/>
    <w:rsid w:val="26602042"/>
    <w:rsid w:val="26D11723"/>
    <w:rsid w:val="26E74533"/>
    <w:rsid w:val="26F4451D"/>
    <w:rsid w:val="2709100E"/>
    <w:rsid w:val="27637EA1"/>
    <w:rsid w:val="27684099"/>
    <w:rsid w:val="276C4EE5"/>
    <w:rsid w:val="2779693E"/>
    <w:rsid w:val="279369D8"/>
    <w:rsid w:val="27943C3D"/>
    <w:rsid w:val="279664BA"/>
    <w:rsid w:val="27CD4CCF"/>
    <w:rsid w:val="27F5342E"/>
    <w:rsid w:val="28094483"/>
    <w:rsid w:val="287018F7"/>
    <w:rsid w:val="288C7083"/>
    <w:rsid w:val="28922333"/>
    <w:rsid w:val="28BC67CC"/>
    <w:rsid w:val="28D472A8"/>
    <w:rsid w:val="29281C0C"/>
    <w:rsid w:val="2936258F"/>
    <w:rsid w:val="295F6A0B"/>
    <w:rsid w:val="29763EBB"/>
    <w:rsid w:val="29AB1049"/>
    <w:rsid w:val="29CF427A"/>
    <w:rsid w:val="2A0277E6"/>
    <w:rsid w:val="2A243588"/>
    <w:rsid w:val="2ABE0EDA"/>
    <w:rsid w:val="2AC10B16"/>
    <w:rsid w:val="2AC57483"/>
    <w:rsid w:val="2AED28A3"/>
    <w:rsid w:val="2B374BF4"/>
    <w:rsid w:val="2B4C0426"/>
    <w:rsid w:val="2B4E4A8E"/>
    <w:rsid w:val="2BF8796D"/>
    <w:rsid w:val="2C324B9E"/>
    <w:rsid w:val="2C9158CB"/>
    <w:rsid w:val="2CBB0EF6"/>
    <w:rsid w:val="2CD206A9"/>
    <w:rsid w:val="2D130FEA"/>
    <w:rsid w:val="2D1E7B7F"/>
    <w:rsid w:val="2D37457F"/>
    <w:rsid w:val="2D380DC1"/>
    <w:rsid w:val="2D5A445D"/>
    <w:rsid w:val="2D7F7E6D"/>
    <w:rsid w:val="2DAC62DF"/>
    <w:rsid w:val="2DB74FD2"/>
    <w:rsid w:val="2E0D30F3"/>
    <w:rsid w:val="2E7E3412"/>
    <w:rsid w:val="2EC31EDD"/>
    <w:rsid w:val="2EF24E3A"/>
    <w:rsid w:val="2F3D2D99"/>
    <w:rsid w:val="2F6B1FE9"/>
    <w:rsid w:val="30866219"/>
    <w:rsid w:val="30C008C9"/>
    <w:rsid w:val="30F04099"/>
    <w:rsid w:val="31353F29"/>
    <w:rsid w:val="317F32A6"/>
    <w:rsid w:val="31A16155"/>
    <w:rsid w:val="31B222CD"/>
    <w:rsid w:val="31BD1232"/>
    <w:rsid w:val="31F1396F"/>
    <w:rsid w:val="322936BA"/>
    <w:rsid w:val="325E3C18"/>
    <w:rsid w:val="328F785B"/>
    <w:rsid w:val="32E13D4A"/>
    <w:rsid w:val="33093636"/>
    <w:rsid w:val="33195B98"/>
    <w:rsid w:val="331F49FD"/>
    <w:rsid w:val="336077AC"/>
    <w:rsid w:val="33690F44"/>
    <w:rsid w:val="33B80DD2"/>
    <w:rsid w:val="33E8085C"/>
    <w:rsid w:val="34046709"/>
    <w:rsid w:val="34053852"/>
    <w:rsid w:val="34351BEA"/>
    <w:rsid w:val="34E0709E"/>
    <w:rsid w:val="34E770D4"/>
    <w:rsid w:val="351B0B66"/>
    <w:rsid w:val="35493573"/>
    <w:rsid w:val="35B755DB"/>
    <w:rsid w:val="36714388"/>
    <w:rsid w:val="368B007D"/>
    <w:rsid w:val="36EF5ED2"/>
    <w:rsid w:val="372A78BD"/>
    <w:rsid w:val="378C7416"/>
    <w:rsid w:val="3791704B"/>
    <w:rsid w:val="37CA466F"/>
    <w:rsid w:val="3862667F"/>
    <w:rsid w:val="3881630C"/>
    <w:rsid w:val="38EB1B2A"/>
    <w:rsid w:val="39291B42"/>
    <w:rsid w:val="39491724"/>
    <w:rsid w:val="39981C2C"/>
    <w:rsid w:val="399D0BAE"/>
    <w:rsid w:val="39D023E3"/>
    <w:rsid w:val="3A084295"/>
    <w:rsid w:val="3A3E00EE"/>
    <w:rsid w:val="3A612B05"/>
    <w:rsid w:val="3A762A81"/>
    <w:rsid w:val="3A9E4D36"/>
    <w:rsid w:val="3BBD6DF8"/>
    <w:rsid w:val="3BD807A8"/>
    <w:rsid w:val="3BED0D4A"/>
    <w:rsid w:val="3BF4409C"/>
    <w:rsid w:val="3BF561D9"/>
    <w:rsid w:val="3C056A4D"/>
    <w:rsid w:val="3C7F0281"/>
    <w:rsid w:val="3C905633"/>
    <w:rsid w:val="3C9158B9"/>
    <w:rsid w:val="3C9506A5"/>
    <w:rsid w:val="3CB300E2"/>
    <w:rsid w:val="3CC84508"/>
    <w:rsid w:val="3D0C0967"/>
    <w:rsid w:val="3D5D1BD5"/>
    <w:rsid w:val="3D750B7E"/>
    <w:rsid w:val="3DDB2B58"/>
    <w:rsid w:val="3E03620E"/>
    <w:rsid w:val="3E125783"/>
    <w:rsid w:val="3EA03A5D"/>
    <w:rsid w:val="3F625F67"/>
    <w:rsid w:val="3F781209"/>
    <w:rsid w:val="3F8339EC"/>
    <w:rsid w:val="3FD35E75"/>
    <w:rsid w:val="3FDA3221"/>
    <w:rsid w:val="3FEE4197"/>
    <w:rsid w:val="3FF44446"/>
    <w:rsid w:val="40AB723A"/>
    <w:rsid w:val="40AF1A71"/>
    <w:rsid w:val="40E1711C"/>
    <w:rsid w:val="40F00575"/>
    <w:rsid w:val="41535114"/>
    <w:rsid w:val="41752563"/>
    <w:rsid w:val="42787C0A"/>
    <w:rsid w:val="42D53EF1"/>
    <w:rsid w:val="42E0022B"/>
    <w:rsid w:val="43816729"/>
    <w:rsid w:val="43A40BF5"/>
    <w:rsid w:val="43B9736F"/>
    <w:rsid w:val="43D26A82"/>
    <w:rsid w:val="43E968F8"/>
    <w:rsid w:val="44066E11"/>
    <w:rsid w:val="44877F53"/>
    <w:rsid w:val="44E115BC"/>
    <w:rsid w:val="45023C79"/>
    <w:rsid w:val="45031EED"/>
    <w:rsid w:val="45CD7313"/>
    <w:rsid w:val="460978A0"/>
    <w:rsid w:val="460D0353"/>
    <w:rsid w:val="4614594E"/>
    <w:rsid w:val="463078EC"/>
    <w:rsid w:val="46CD3E5D"/>
    <w:rsid w:val="470D5770"/>
    <w:rsid w:val="47594C11"/>
    <w:rsid w:val="47AF524B"/>
    <w:rsid w:val="47B476DE"/>
    <w:rsid w:val="47E56CB0"/>
    <w:rsid w:val="480A51D2"/>
    <w:rsid w:val="482E747E"/>
    <w:rsid w:val="48494E8F"/>
    <w:rsid w:val="486D1716"/>
    <w:rsid w:val="48F75950"/>
    <w:rsid w:val="49216A46"/>
    <w:rsid w:val="495D4AFD"/>
    <w:rsid w:val="49966744"/>
    <w:rsid w:val="499D6B30"/>
    <w:rsid w:val="49CC328B"/>
    <w:rsid w:val="4A363423"/>
    <w:rsid w:val="4A83299A"/>
    <w:rsid w:val="4AFC23E9"/>
    <w:rsid w:val="4B1712B4"/>
    <w:rsid w:val="4BD02789"/>
    <w:rsid w:val="4BD52262"/>
    <w:rsid w:val="4BEE6976"/>
    <w:rsid w:val="4CE325A8"/>
    <w:rsid w:val="4D973C81"/>
    <w:rsid w:val="4DB823A4"/>
    <w:rsid w:val="4DD90E0B"/>
    <w:rsid w:val="4EFC7C17"/>
    <w:rsid w:val="4F11005F"/>
    <w:rsid w:val="4F113697"/>
    <w:rsid w:val="4F3C02CD"/>
    <w:rsid w:val="4F616E2A"/>
    <w:rsid w:val="4F852137"/>
    <w:rsid w:val="4FE40B7E"/>
    <w:rsid w:val="4FE442AD"/>
    <w:rsid w:val="4FF73899"/>
    <w:rsid w:val="505846C0"/>
    <w:rsid w:val="50863785"/>
    <w:rsid w:val="50CA26FB"/>
    <w:rsid w:val="50EC5475"/>
    <w:rsid w:val="51425959"/>
    <w:rsid w:val="51573204"/>
    <w:rsid w:val="51817D0E"/>
    <w:rsid w:val="51B449C2"/>
    <w:rsid w:val="51E842E8"/>
    <w:rsid w:val="521519CC"/>
    <w:rsid w:val="525520CA"/>
    <w:rsid w:val="52A012C3"/>
    <w:rsid w:val="52B47058"/>
    <w:rsid w:val="53514ABB"/>
    <w:rsid w:val="539574B0"/>
    <w:rsid w:val="53BC076E"/>
    <w:rsid w:val="53E126F6"/>
    <w:rsid w:val="543B44AB"/>
    <w:rsid w:val="54455324"/>
    <w:rsid w:val="547365D3"/>
    <w:rsid w:val="54833FB9"/>
    <w:rsid w:val="55843408"/>
    <w:rsid w:val="55BF23C2"/>
    <w:rsid w:val="56182458"/>
    <w:rsid w:val="563A1C42"/>
    <w:rsid w:val="56640C60"/>
    <w:rsid w:val="566952F7"/>
    <w:rsid w:val="566C43E3"/>
    <w:rsid w:val="572E50A6"/>
    <w:rsid w:val="57305E0A"/>
    <w:rsid w:val="573241D9"/>
    <w:rsid w:val="573602F7"/>
    <w:rsid w:val="5737262D"/>
    <w:rsid w:val="57765DFC"/>
    <w:rsid w:val="57795D3D"/>
    <w:rsid w:val="57D114EF"/>
    <w:rsid w:val="57D2032C"/>
    <w:rsid w:val="57EE53E1"/>
    <w:rsid w:val="58177085"/>
    <w:rsid w:val="581F4D60"/>
    <w:rsid w:val="5820534E"/>
    <w:rsid w:val="582B4ED1"/>
    <w:rsid w:val="58D17546"/>
    <w:rsid w:val="595F0856"/>
    <w:rsid w:val="5A501049"/>
    <w:rsid w:val="5A5C27C7"/>
    <w:rsid w:val="5A6B4186"/>
    <w:rsid w:val="5AE86A1F"/>
    <w:rsid w:val="5B7827DF"/>
    <w:rsid w:val="5BD62068"/>
    <w:rsid w:val="5C701A68"/>
    <w:rsid w:val="5C8A3B02"/>
    <w:rsid w:val="5CB94E04"/>
    <w:rsid w:val="5CE55B6B"/>
    <w:rsid w:val="5CE859D8"/>
    <w:rsid w:val="5D000E0C"/>
    <w:rsid w:val="5D346B4C"/>
    <w:rsid w:val="5D4C340E"/>
    <w:rsid w:val="5D5061F6"/>
    <w:rsid w:val="5D671FDC"/>
    <w:rsid w:val="5E0949C8"/>
    <w:rsid w:val="5E667880"/>
    <w:rsid w:val="5F3805A8"/>
    <w:rsid w:val="5F7B3995"/>
    <w:rsid w:val="5F8E39B8"/>
    <w:rsid w:val="5F995815"/>
    <w:rsid w:val="5FA016B7"/>
    <w:rsid w:val="5FC408E9"/>
    <w:rsid w:val="5FF06C84"/>
    <w:rsid w:val="5FF41590"/>
    <w:rsid w:val="600D3C0A"/>
    <w:rsid w:val="60C92369"/>
    <w:rsid w:val="60CE7640"/>
    <w:rsid w:val="6122434D"/>
    <w:rsid w:val="612C0CA6"/>
    <w:rsid w:val="615C160D"/>
    <w:rsid w:val="61784695"/>
    <w:rsid w:val="61BB0DC7"/>
    <w:rsid w:val="61C64134"/>
    <w:rsid w:val="62027D78"/>
    <w:rsid w:val="6210776D"/>
    <w:rsid w:val="62471346"/>
    <w:rsid w:val="62614A02"/>
    <w:rsid w:val="62B50094"/>
    <w:rsid w:val="631E7AD5"/>
    <w:rsid w:val="6364601C"/>
    <w:rsid w:val="63691972"/>
    <w:rsid w:val="64395E7A"/>
    <w:rsid w:val="64583C2B"/>
    <w:rsid w:val="64970499"/>
    <w:rsid w:val="64A87BFB"/>
    <w:rsid w:val="64CD05F6"/>
    <w:rsid w:val="64CE1093"/>
    <w:rsid w:val="64D515D8"/>
    <w:rsid w:val="65144B22"/>
    <w:rsid w:val="65402FF4"/>
    <w:rsid w:val="65641C30"/>
    <w:rsid w:val="65962F76"/>
    <w:rsid w:val="65CC5810"/>
    <w:rsid w:val="65CE1277"/>
    <w:rsid w:val="663B7B59"/>
    <w:rsid w:val="66741599"/>
    <w:rsid w:val="667F4F0E"/>
    <w:rsid w:val="668F5FE1"/>
    <w:rsid w:val="66BB23D5"/>
    <w:rsid w:val="66BC4C81"/>
    <w:rsid w:val="66BF6A13"/>
    <w:rsid w:val="67402052"/>
    <w:rsid w:val="67745CF0"/>
    <w:rsid w:val="67B805F0"/>
    <w:rsid w:val="68200942"/>
    <w:rsid w:val="683721A4"/>
    <w:rsid w:val="685C4FFF"/>
    <w:rsid w:val="685D0677"/>
    <w:rsid w:val="685E5C6B"/>
    <w:rsid w:val="686604C2"/>
    <w:rsid w:val="687063BF"/>
    <w:rsid w:val="689A2568"/>
    <w:rsid w:val="68D46C7E"/>
    <w:rsid w:val="68D70823"/>
    <w:rsid w:val="69301DA4"/>
    <w:rsid w:val="697D3F1E"/>
    <w:rsid w:val="69E0018F"/>
    <w:rsid w:val="6A7D0A76"/>
    <w:rsid w:val="6AED6119"/>
    <w:rsid w:val="6B257ABB"/>
    <w:rsid w:val="6B6271EC"/>
    <w:rsid w:val="6B9915B5"/>
    <w:rsid w:val="6BC554C5"/>
    <w:rsid w:val="6BD846D2"/>
    <w:rsid w:val="6BF85D5D"/>
    <w:rsid w:val="6C0C2E9F"/>
    <w:rsid w:val="6C7926A6"/>
    <w:rsid w:val="6C907DF3"/>
    <w:rsid w:val="6D2A25C0"/>
    <w:rsid w:val="6DBB49B4"/>
    <w:rsid w:val="6E9053EE"/>
    <w:rsid w:val="6F5C1DB4"/>
    <w:rsid w:val="6F957B31"/>
    <w:rsid w:val="70193EBC"/>
    <w:rsid w:val="704C1321"/>
    <w:rsid w:val="70E65554"/>
    <w:rsid w:val="71186BD3"/>
    <w:rsid w:val="71A1115C"/>
    <w:rsid w:val="7224069B"/>
    <w:rsid w:val="7253657F"/>
    <w:rsid w:val="730442DE"/>
    <w:rsid w:val="73732D16"/>
    <w:rsid w:val="73AC6AB6"/>
    <w:rsid w:val="73B74479"/>
    <w:rsid w:val="74077FCD"/>
    <w:rsid w:val="743D017C"/>
    <w:rsid w:val="74685100"/>
    <w:rsid w:val="74D13176"/>
    <w:rsid w:val="757F5B1D"/>
    <w:rsid w:val="75814908"/>
    <w:rsid w:val="759D132B"/>
    <w:rsid w:val="75A35605"/>
    <w:rsid w:val="75F032E9"/>
    <w:rsid w:val="763E5B5C"/>
    <w:rsid w:val="7687281A"/>
    <w:rsid w:val="76966A18"/>
    <w:rsid w:val="76EC7125"/>
    <w:rsid w:val="77465E8A"/>
    <w:rsid w:val="775A16CC"/>
    <w:rsid w:val="779648A5"/>
    <w:rsid w:val="77DB28C9"/>
    <w:rsid w:val="77F27C02"/>
    <w:rsid w:val="780645EE"/>
    <w:rsid w:val="789413FF"/>
    <w:rsid w:val="78B95140"/>
    <w:rsid w:val="78B95EF5"/>
    <w:rsid w:val="78C7021F"/>
    <w:rsid w:val="78F22CE7"/>
    <w:rsid w:val="790817F7"/>
    <w:rsid w:val="792D3B36"/>
    <w:rsid w:val="79977A0C"/>
    <w:rsid w:val="79A744A6"/>
    <w:rsid w:val="79B16C8E"/>
    <w:rsid w:val="79C15899"/>
    <w:rsid w:val="79E312FC"/>
    <w:rsid w:val="7A231848"/>
    <w:rsid w:val="7A7E738E"/>
    <w:rsid w:val="7ACC56EC"/>
    <w:rsid w:val="7AEB09A7"/>
    <w:rsid w:val="7AF36AE7"/>
    <w:rsid w:val="7B091CEE"/>
    <w:rsid w:val="7B307B23"/>
    <w:rsid w:val="7B5E1221"/>
    <w:rsid w:val="7BAA3104"/>
    <w:rsid w:val="7BB05BCD"/>
    <w:rsid w:val="7BB96C82"/>
    <w:rsid w:val="7BD30B51"/>
    <w:rsid w:val="7BE600FA"/>
    <w:rsid w:val="7C3945CD"/>
    <w:rsid w:val="7C6F3822"/>
    <w:rsid w:val="7C971BC3"/>
    <w:rsid w:val="7CA67408"/>
    <w:rsid w:val="7CAE7493"/>
    <w:rsid w:val="7CE0378B"/>
    <w:rsid w:val="7D407706"/>
    <w:rsid w:val="7D4B00CA"/>
    <w:rsid w:val="7D6B0E99"/>
    <w:rsid w:val="7D930592"/>
    <w:rsid w:val="7E437FD5"/>
    <w:rsid w:val="7E7162E5"/>
    <w:rsid w:val="7EB810CB"/>
    <w:rsid w:val="7F4F59E5"/>
    <w:rsid w:val="7F620525"/>
    <w:rsid w:val="7FF5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260" w:after="260" w:line="416" w:lineRule="auto"/>
      <w:outlineLvl w:val="2"/>
    </w:pPr>
    <w:rPr>
      <w:b/>
      <w:bCs/>
      <w:sz w:val="32"/>
      <w:szCs w:val="32"/>
    </w:rPr>
  </w:style>
  <w:style w:type="paragraph" w:styleId="5">
    <w:name w:val="heading 4"/>
    <w:basedOn w:val="1"/>
    <w:next w:val="1"/>
    <w:link w:val="7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2"/>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3"/>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4"/>
    <w:autoRedefine/>
    <w:qFormat/>
    <w:uiPriority w:val="0"/>
    <w:pPr>
      <w:keepNext/>
      <w:keepLines/>
      <w:spacing w:before="240" w:after="64" w:line="320" w:lineRule="auto"/>
      <w:outlineLvl w:val="6"/>
    </w:pPr>
    <w:rPr>
      <w:b/>
      <w:bCs/>
      <w:sz w:val="24"/>
    </w:rPr>
  </w:style>
  <w:style w:type="paragraph" w:styleId="9">
    <w:name w:val="heading 8"/>
    <w:basedOn w:val="1"/>
    <w:next w:val="1"/>
    <w:link w:val="75"/>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76"/>
    <w:autoRedefine/>
    <w:qFormat/>
    <w:uiPriority w:val="0"/>
    <w:pPr>
      <w:keepNext/>
      <w:keepLines/>
      <w:spacing w:before="240" w:after="64" w:line="320" w:lineRule="auto"/>
      <w:outlineLvl w:val="8"/>
    </w:pPr>
    <w:rPr>
      <w:rFonts w:ascii="Arial" w:hAnsi="Arial" w:eastAsia="黑体"/>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autoRedefine/>
    <w:qFormat/>
    <w:uiPriority w:val="0"/>
    <w:pPr>
      <w:ind w:firstLine="420"/>
    </w:pPr>
    <w:rPr>
      <w:rFonts w:ascii="宋体" w:hAnsi="宋体"/>
      <w:color w:val="000000"/>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index 5"/>
    <w:basedOn w:val="1"/>
    <w:next w:val="1"/>
    <w:autoRedefine/>
    <w:qFormat/>
    <w:uiPriority w:val="0"/>
    <w:pPr>
      <w:ind w:left="1050" w:hanging="210"/>
      <w:jc w:val="left"/>
    </w:pPr>
    <w:rPr>
      <w:rFonts w:ascii="Calibri" w:hAnsi="Calibri"/>
      <w:sz w:val="20"/>
      <w:szCs w:val="20"/>
    </w:rPr>
  </w:style>
  <w:style w:type="paragraph" w:styleId="16">
    <w:name w:val="Document Map"/>
    <w:basedOn w:val="1"/>
    <w:link w:val="79"/>
    <w:autoRedefine/>
    <w:semiHidden/>
    <w:qFormat/>
    <w:uiPriority w:val="0"/>
    <w:pPr>
      <w:shd w:val="clear" w:color="auto" w:fill="000080"/>
    </w:pPr>
  </w:style>
  <w:style w:type="paragraph" w:styleId="17">
    <w:name w:val="annotation text"/>
    <w:basedOn w:val="1"/>
    <w:link w:val="77"/>
    <w:autoRedefine/>
    <w:unhideWhenUsed/>
    <w:qFormat/>
    <w:uiPriority w:val="0"/>
    <w:pPr>
      <w:jc w:val="left"/>
    </w:pPr>
  </w:style>
  <w:style w:type="paragraph" w:styleId="18">
    <w:name w:val="index 6"/>
    <w:basedOn w:val="1"/>
    <w:next w:val="1"/>
    <w:autoRedefine/>
    <w:qFormat/>
    <w:uiPriority w:val="0"/>
    <w:pPr>
      <w:ind w:left="1260" w:hanging="210"/>
      <w:jc w:val="left"/>
    </w:pPr>
    <w:rPr>
      <w:rFonts w:ascii="Calibri" w:hAnsi="Calibri"/>
      <w:sz w:val="20"/>
      <w:szCs w:val="20"/>
    </w:rPr>
  </w:style>
  <w:style w:type="paragraph" w:styleId="19">
    <w:name w:val="Body Text"/>
    <w:basedOn w:val="1"/>
    <w:link w:val="215"/>
    <w:autoRedefine/>
    <w:unhideWhenUsed/>
    <w:qFormat/>
    <w:uiPriority w:val="99"/>
    <w:pPr>
      <w:spacing w:after="120"/>
    </w:pPr>
  </w:style>
  <w:style w:type="paragraph" w:styleId="20">
    <w:name w:val="HTML Address"/>
    <w:basedOn w:val="1"/>
    <w:link w:val="80"/>
    <w:autoRedefine/>
    <w:qFormat/>
    <w:uiPriority w:val="0"/>
    <w:rPr>
      <w:i/>
      <w:iCs/>
    </w:rPr>
  </w:style>
  <w:style w:type="paragraph" w:styleId="21">
    <w:name w:val="index 4"/>
    <w:basedOn w:val="1"/>
    <w:next w:val="1"/>
    <w:autoRedefine/>
    <w:qFormat/>
    <w:uiPriority w:val="0"/>
    <w:pPr>
      <w:ind w:left="840" w:hanging="210"/>
      <w:jc w:val="left"/>
    </w:pPr>
    <w:rPr>
      <w:rFonts w:ascii="Calibri" w:hAnsi="Calibri"/>
      <w:sz w:val="20"/>
      <w:szCs w:val="20"/>
    </w:rPr>
  </w:style>
  <w:style w:type="paragraph" w:styleId="22">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23">
    <w:name w:val="toc 3"/>
    <w:basedOn w:val="1"/>
    <w:next w:val="1"/>
    <w:autoRedefine/>
    <w:qFormat/>
    <w:uiPriority w:val="39"/>
    <w:pPr>
      <w:tabs>
        <w:tab w:val="right" w:leader="dot" w:pos="9241"/>
      </w:tabs>
      <w:ind w:firstLine="102" w:firstLineChars="100"/>
      <w:jc w:val="left"/>
    </w:pPr>
    <w:rPr>
      <w:rFonts w:ascii="宋体"/>
      <w:szCs w:val="21"/>
    </w:rPr>
  </w:style>
  <w:style w:type="paragraph" w:styleId="24">
    <w:name w:val="Plain Text"/>
    <w:basedOn w:val="1"/>
    <w:link w:val="209"/>
    <w:autoRedefine/>
    <w:qFormat/>
    <w:uiPriority w:val="0"/>
    <w:rPr>
      <w:rFonts w:hint="eastAsia" w:ascii="宋体" w:hAnsi="Courier New"/>
      <w:color w:val="000000"/>
      <w:szCs w:val="20"/>
    </w:rPr>
  </w:style>
  <w:style w:type="paragraph" w:styleId="25">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26">
    <w:name w:val="index 3"/>
    <w:basedOn w:val="1"/>
    <w:next w:val="1"/>
    <w:autoRedefine/>
    <w:qFormat/>
    <w:uiPriority w:val="0"/>
    <w:pPr>
      <w:ind w:left="630" w:hanging="210"/>
      <w:jc w:val="left"/>
    </w:pPr>
    <w:rPr>
      <w:rFonts w:ascii="Calibri" w:hAnsi="Calibri"/>
      <w:sz w:val="20"/>
      <w:szCs w:val="20"/>
    </w:rPr>
  </w:style>
  <w:style w:type="paragraph" w:styleId="27">
    <w:name w:val="Date"/>
    <w:basedOn w:val="1"/>
    <w:next w:val="1"/>
    <w:link w:val="81"/>
    <w:autoRedefine/>
    <w:qFormat/>
    <w:uiPriority w:val="0"/>
    <w:pPr>
      <w:ind w:left="100" w:leftChars="2500"/>
    </w:pPr>
  </w:style>
  <w:style w:type="paragraph" w:styleId="28">
    <w:name w:val="endnote text"/>
    <w:basedOn w:val="1"/>
    <w:link w:val="82"/>
    <w:autoRedefine/>
    <w:semiHidden/>
    <w:qFormat/>
    <w:uiPriority w:val="0"/>
    <w:pPr>
      <w:snapToGrid w:val="0"/>
      <w:jc w:val="left"/>
    </w:pPr>
  </w:style>
  <w:style w:type="paragraph" w:styleId="29">
    <w:name w:val="Balloon Text"/>
    <w:basedOn w:val="1"/>
    <w:link w:val="83"/>
    <w:autoRedefine/>
    <w:qFormat/>
    <w:uiPriority w:val="0"/>
    <w:rPr>
      <w:sz w:val="18"/>
      <w:szCs w:val="18"/>
    </w:rPr>
  </w:style>
  <w:style w:type="paragraph" w:styleId="30">
    <w:name w:val="footer"/>
    <w:basedOn w:val="1"/>
    <w:link w:val="84"/>
    <w:autoRedefine/>
    <w:qFormat/>
    <w:uiPriority w:val="0"/>
    <w:pPr>
      <w:snapToGrid w:val="0"/>
      <w:ind w:right="210" w:rightChars="100"/>
      <w:jc w:val="right"/>
    </w:pPr>
    <w:rPr>
      <w:sz w:val="18"/>
      <w:szCs w:val="18"/>
    </w:rPr>
  </w:style>
  <w:style w:type="paragraph" w:styleId="31">
    <w:name w:val="header"/>
    <w:basedOn w:val="1"/>
    <w:link w:val="85"/>
    <w:autoRedefine/>
    <w:qFormat/>
    <w:uiPriority w:val="0"/>
    <w:pPr>
      <w:snapToGrid w:val="0"/>
      <w:jc w:val="left"/>
    </w:pPr>
    <w:rPr>
      <w:sz w:val="18"/>
      <w:szCs w:val="18"/>
    </w:rPr>
  </w:style>
  <w:style w:type="paragraph" w:styleId="32">
    <w:name w:val="toc 1"/>
    <w:basedOn w:val="1"/>
    <w:next w:val="1"/>
    <w:autoRedefine/>
    <w:qFormat/>
    <w:uiPriority w:val="39"/>
    <w:pPr>
      <w:tabs>
        <w:tab w:val="right" w:leader="dot" w:pos="9241"/>
      </w:tabs>
      <w:spacing w:beforeLines="25" w:afterLines="25"/>
      <w:jc w:val="left"/>
    </w:pPr>
    <w:rPr>
      <w:rFonts w:ascii="宋体"/>
      <w:szCs w:val="21"/>
    </w:rPr>
  </w:style>
  <w:style w:type="paragraph" w:styleId="33">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34">
    <w:name w:val="index heading"/>
    <w:basedOn w:val="1"/>
    <w:next w:val="35"/>
    <w:autoRedefine/>
    <w:qFormat/>
    <w:uiPriority w:val="0"/>
    <w:pPr>
      <w:spacing w:before="120" w:after="120"/>
      <w:jc w:val="center"/>
    </w:pPr>
    <w:rPr>
      <w:rFonts w:ascii="Calibri" w:hAnsi="Calibri"/>
      <w:b/>
      <w:bCs/>
      <w:iCs/>
      <w:szCs w:val="20"/>
    </w:rPr>
  </w:style>
  <w:style w:type="paragraph" w:styleId="35">
    <w:name w:val="index 1"/>
    <w:basedOn w:val="1"/>
    <w:next w:val="1"/>
    <w:autoRedefine/>
    <w:unhideWhenUsed/>
    <w:qFormat/>
    <w:uiPriority w:val="0"/>
  </w:style>
  <w:style w:type="paragraph" w:styleId="36">
    <w:name w:val="footnote text"/>
    <w:basedOn w:val="1"/>
    <w:link w:val="87"/>
    <w:autoRedefine/>
    <w:qFormat/>
    <w:uiPriority w:val="0"/>
    <w:pPr>
      <w:numPr>
        <w:ilvl w:val="0"/>
        <w:numId w:val="1"/>
      </w:numPr>
      <w:snapToGrid w:val="0"/>
      <w:jc w:val="left"/>
    </w:pPr>
    <w:rPr>
      <w:rFonts w:ascii="宋体"/>
      <w:sz w:val="18"/>
      <w:szCs w:val="18"/>
    </w:rPr>
  </w:style>
  <w:style w:type="paragraph" w:styleId="37">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38">
    <w:name w:val="Body Text Indent 3"/>
    <w:basedOn w:val="1"/>
    <w:link w:val="219"/>
    <w:autoRedefine/>
    <w:unhideWhenUsed/>
    <w:qFormat/>
    <w:uiPriority w:val="0"/>
    <w:pPr>
      <w:spacing w:after="120"/>
      <w:ind w:left="420" w:leftChars="200"/>
    </w:pPr>
    <w:rPr>
      <w:sz w:val="16"/>
      <w:szCs w:val="16"/>
    </w:rPr>
  </w:style>
  <w:style w:type="paragraph" w:styleId="39">
    <w:name w:val="index 7"/>
    <w:basedOn w:val="1"/>
    <w:next w:val="1"/>
    <w:autoRedefine/>
    <w:qFormat/>
    <w:uiPriority w:val="0"/>
    <w:pPr>
      <w:ind w:left="1470" w:hanging="210"/>
      <w:jc w:val="left"/>
    </w:pPr>
    <w:rPr>
      <w:rFonts w:ascii="Calibri" w:hAnsi="Calibri"/>
      <w:sz w:val="20"/>
      <w:szCs w:val="20"/>
    </w:rPr>
  </w:style>
  <w:style w:type="paragraph" w:styleId="40">
    <w:name w:val="index 9"/>
    <w:basedOn w:val="1"/>
    <w:next w:val="1"/>
    <w:autoRedefine/>
    <w:qFormat/>
    <w:uiPriority w:val="0"/>
    <w:pPr>
      <w:ind w:left="1890" w:hanging="210"/>
      <w:jc w:val="left"/>
    </w:pPr>
    <w:rPr>
      <w:rFonts w:ascii="Calibri" w:hAnsi="Calibri"/>
      <w:sz w:val="20"/>
      <w:szCs w:val="20"/>
    </w:rPr>
  </w:style>
  <w:style w:type="paragraph" w:styleId="41">
    <w:name w:val="toc 2"/>
    <w:basedOn w:val="1"/>
    <w:next w:val="1"/>
    <w:autoRedefine/>
    <w:qFormat/>
    <w:uiPriority w:val="39"/>
    <w:pPr>
      <w:tabs>
        <w:tab w:val="right" w:leader="dot" w:pos="9241"/>
      </w:tabs>
    </w:pPr>
    <w:rPr>
      <w:rFonts w:ascii="宋体"/>
      <w:szCs w:val="21"/>
    </w:rPr>
  </w:style>
  <w:style w:type="paragraph" w:styleId="42">
    <w:name w:val="toc 9"/>
    <w:basedOn w:val="1"/>
    <w:next w:val="1"/>
    <w:autoRedefine/>
    <w:semiHidden/>
    <w:qFormat/>
    <w:uiPriority w:val="0"/>
    <w:pPr>
      <w:ind w:left="1470"/>
      <w:jc w:val="left"/>
    </w:pPr>
    <w:rPr>
      <w:sz w:val="20"/>
      <w:szCs w:val="20"/>
    </w:rPr>
  </w:style>
  <w:style w:type="paragraph" w:styleId="43">
    <w:name w:val="HTML Preformatted"/>
    <w:basedOn w:val="1"/>
    <w:link w:val="88"/>
    <w:autoRedefine/>
    <w:qFormat/>
    <w:uiPriority w:val="0"/>
    <w:rPr>
      <w:rFonts w:ascii="Courier New" w:hAnsi="Courier New" w:cs="Courier New"/>
      <w:sz w:val="20"/>
      <w:szCs w:val="20"/>
    </w:rPr>
  </w:style>
  <w:style w:type="paragraph" w:styleId="44">
    <w:name w:val="Normal (Web)"/>
    <w:basedOn w:val="1"/>
    <w:autoRedefine/>
    <w:qFormat/>
    <w:uiPriority w:val="0"/>
    <w:pPr>
      <w:widowControl/>
      <w:spacing w:before="100" w:beforeAutospacing="1" w:after="100" w:afterAutospacing="1"/>
      <w:jc w:val="left"/>
    </w:pPr>
    <w:rPr>
      <w:rFonts w:ascii="宋体" w:hAnsi="宋体"/>
      <w:color w:val="FF0000"/>
      <w:kern w:val="0"/>
      <w:sz w:val="24"/>
      <w:szCs w:val="28"/>
    </w:rPr>
  </w:style>
  <w:style w:type="paragraph" w:styleId="45">
    <w:name w:val="index 2"/>
    <w:basedOn w:val="1"/>
    <w:next w:val="1"/>
    <w:autoRedefine/>
    <w:qFormat/>
    <w:uiPriority w:val="0"/>
    <w:pPr>
      <w:ind w:left="420" w:hanging="210"/>
      <w:jc w:val="left"/>
    </w:pPr>
    <w:rPr>
      <w:rFonts w:ascii="Calibri" w:hAnsi="Calibri"/>
      <w:sz w:val="20"/>
      <w:szCs w:val="20"/>
    </w:rPr>
  </w:style>
  <w:style w:type="paragraph" w:styleId="46">
    <w:name w:val="Title"/>
    <w:basedOn w:val="1"/>
    <w:link w:val="89"/>
    <w:autoRedefine/>
    <w:qFormat/>
    <w:uiPriority w:val="0"/>
    <w:pPr>
      <w:spacing w:before="240" w:after="60"/>
      <w:jc w:val="center"/>
      <w:outlineLvl w:val="0"/>
    </w:pPr>
    <w:rPr>
      <w:rFonts w:ascii="Arial" w:hAnsi="Arial" w:cs="Arial"/>
      <w:b/>
      <w:bCs/>
      <w:sz w:val="32"/>
      <w:szCs w:val="32"/>
    </w:rPr>
  </w:style>
  <w:style w:type="paragraph" w:styleId="47">
    <w:name w:val="annotation subject"/>
    <w:basedOn w:val="17"/>
    <w:next w:val="17"/>
    <w:link w:val="78"/>
    <w:autoRedefine/>
    <w:qFormat/>
    <w:uiPriority w:val="0"/>
    <w:rPr>
      <w:b/>
      <w:bCs/>
    </w:rPr>
  </w:style>
  <w:style w:type="paragraph" w:styleId="48">
    <w:name w:val="Body Text First Indent"/>
    <w:basedOn w:val="1"/>
    <w:link w:val="217"/>
    <w:autoRedefine/>
    <w:unhideWhenUsed/>
    <w:qFormat/>
    <w:uiPriority w:val="0"/>
    <w:pPr>
      <w:spacing w:line="400" w:lineRule="atLeast"/>
      <w:ind w:firstLine="200" w:firstLineChars="200"/>
    </w:pPr>
    <w:rPr>
      <w:sz w:val="24"/>
    </w:rPr>
  </w:style>
  <w:style w:type="table" w:styleId="50">
    <w:name w:val="Table Grid"/>
    <w:basedOn w:val="49"/>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endnote reference"/>
    <w:autoRedefine/>
    <w:semiHidden/>
    <w:qFormat/>
    <w:uiPriority w:val="0"/>
    <w:rPr>
      <w:vertAlign w:val="superscript"/>
    </w:rPr>
  </w:style>
  <w:style w:type="character" w:styleId="53">
    <w:name w:val="page number"/>
    <w:autoRedefine/>
    <w:qFormat/>
    <w:uiPriority w:val="0"/>
    <w:rPr>
      <w:rFonts w:ascii="Times New Roman" w:hAnsi="Times New Roman" w:eastAsia="宋体"/>
      <w:sz w:val="18"/>
    </w:rPr>
  </w:style>
  <w:style w:type="character" w:styleId="54">
    <w:name w:val="FollowedHyperlink"/>
    <w:autoRedefine/>
    <w:qFormat/>
    <w:uiPriority w:val="0"/>
    <w:rPr>
      <w:color w:val="800080"/>
      <w:u w:val="single"/>
    </w:rPr>
  </w:style>
  <w:style w:type="character" w:styleId="55">
    <w:name w:val="Emphasis"/>
    <w:basedOn w:val="51"/>
    <w:autoRedefine/>
    <w:qFormat/>
    <w:uiPriority w:val="0"/>
    <w:rPr>
      <w:i/>
    </w:rPr>
  </w:style>
  <w:style w:type="character" w:styleId="56">
    <w:name w:val="line number"/>
    <w:basedOn w:val="51"/>
    <w:autoRedefine/>
    <w:qFormat/>
    <w:uiPriority w:val="0"/>
  </w:style>
  <w:style w:type="character" w:styleId="57">
    <w:name w:val="HTML Definition"/>
    <w:autoRedefine/>
    <w:qFormat/>
    <w:uiPriority w:val="0"/>
    <w:rPr>
      <w:i/>
      <w:iCs/>
    </w:rPr>
  </w:style>
  <w:style w:type="character" w:styleId="58">
    <w:name w:val="HTML Typewriter"/>
    <w:autoRedefine/>
    <w:qFormat/>
    <w:uiPriority w:val="0"/>
    <w:rPr>
      <w:rFonts w:ascii="Courier New" w:hAnsi="Courier New"/>
      <w:sz w:val="20"/>
      <w:szCs w:val="20"/>
    </w:rPr>
  </w:style>
  <w:style w:type="character" w:styleId="59">
    <w:name w:val="HTML Acronym"/>
    <w:basedOn w:val="51"/>
    <w:autoRedefine/>
    <w:qFormat/>
    <w:uiPriority w:val="0"/>
  </w:style>
  <w:style w:type="character" w:styleId="60">
    <w:name w:val="HTML Variable"/>
    <w:autoRedefine/>
    <w:qFormat/>
    <w:uiPriority w:val="0"/>
    <w:rPr>
      <w:i/>
      <w:iCs/>
    </w:rPr>
  </w:style>
  <w:style w:type="character" w:styleId="61">
    <w:name w:val="Hyperlink"/>
    <w:autoRedefine/>
    <w:qFormat/>
    <w:uiPriority w:val="99"/>
    <w:rPr>
      <w:color w:val="0000FF"/>
      <w:spacing w:val="0"/>
      <w:w w:val="100"/>
      <w:szCs w:val="21"/>
      <w:u w:val="single"/>
    </w:rPr>
  </w:style>
  <w:style w:type="character" w:styleId="62">
    <w:name w:val="HTML Code"/>
    <w:autoRedefine/>
    <w:qFormat/>
    <w:uiPriority w:val="0"/>
    <w:rPr>
      <w:rFonts w:ascii="Courier New" w:hAnsi="Courier New"/>
      <w:sz w:val="20"/>
      <w:szCs w:val="20"/>
    </w:rPr>
  </w:style>
  <w:style w:type="character" w:styleId="63">
    <w:name w:val="annotation reference"/>
    <w:autoRedefine/>
    <w:qFormat/>
    <w:uiPriority w:val="0"/>
    <w:rPr>
      <w:sz w:val="21"/>
      <w:szCs w:val="21"/>
    </w:rPr>
  </w:style>
  <w:style w:type="character" w:styleId="64">
    <w:name w:val="HTML Cite"/>
    <w:autoRedefine/>
    <w:qFormat/>
    <w:uiPriority w:val="0"/>
    <w:rPr>
      <w:i/>
      <w:iCs/>
    </w:rPr>
  </w:style>
  <w:style w:type="character" w:styleId="65">
    <w:name w:val="footnote reference"/>
    <w:autoRedefine/>
    <w:semiHidden/>
    <w:qFormat/>
    <w:uiPriority w:val="0"/>
    <w:rPr>
      <w:vertAlign w:val="superscript"/>
    </w:rPr>
  </w:style>
  <w:style w:type="character" w:styleId="66">
    <w:name w:val="HTML Keyboard"/>
    <w:autoRedefine/>
    <w:qFormat/>
    <w:uiPriority w:val="0"/>
    <w:rPr>
      <w:rFonts w:ascii="Courier New" w:hAnsi="Courier New"/>
      <w:sz w:val="20"/>
      <w:szCs w:val="20"/>
    </w:rPr>
  </w:style>
  <w:style w:type="character" w:styleId="67">
    <w:name w:val="HTML Sample"/>
    <w:autoRedefine/>
    <w:qFormat/>
    <w:uiPriority w:val="0"/>
    <w:rPr>
      <w:rFonts w:ascii="Courier New" w:hAnsi="Courier New"/>
    </w:rPr>
  </w:style>
  <w:style w:type="character" w:customStyle="1" w:styleId="68">
    <w:name w:val="标题 1 字符"/>
    <w:basedOn w:val="51"/>
    <w:link w:val="2"/>
    <w:autoRedefine/>
    <w:qFormat/>
    <w:uiPriority w:val="0"/>
    <w:rPr>
      <w:rFonts w:ascii="Times New Roman" w:hAnsi="Times New Roman" w:eastAsia="宋体" w:cs="Times New Roman"/>
      <w:b/>
      <w:bCs/>
      <w:kern w:val="44"/>
      <w:sz w:val="44"/>
      <w:szCs w:val="44"/>
    </w:rPr>
  </w:style>
  <w:style w:type="character" w:customStyle="1" w:styleId="69">
    <w:name w:val="标题 2 字符"/>
    <w:basedOn w:val="51"/>
    <w:link w:val="3"/>
    <w:autoRedefine/>
    <w:qFormat/>
    <w:uiPriority w:val="9"/>
    <w:rPr>
      <w:rFonts w:ascii="Arial" w:hAnsi="Arial" w:eastAsia="黑体" w:cs="Times New Roman"/>
      <w:b/>
      <w:bCs/>
      <w:sz w:val="32"/>
      <w:szCs w:val="32"/>
    </w:rPr>
  </w:style>
  <w:style w:type="character" w:customStyle="1" w:styleId="70">
    <w:name w:val="标题 3 字符"/>
    <w:basedOn w:val="51"/>
    <w:link w:val="4"/>
    <w:autoRedefine/>
    <w:qFormat/>
    <w:uiPriority w:val="0"/>
    <w:rPr>
      <w:rFonts w:ascii="Times New Roman" w:hAnsi="Times New Roman" w:eastAsia="宋体" w:cs="Times New Roman"/>
      <w:b/>
      <w:bCs/>
      <w:sz w:val="32"/>
      <w:szCs w:val="32"/>
    </w:rPr>
  </w:style>
  <w:style w:type="character" w:customStyle="1" w:styleId="71">
    <w:name w:val="标题 4 字符"/>
    <w:basedOn w:val="51"/>
    <w:link w:val="5"/>
    <w:autoRedefine/>
    <w:qFormat/>
    <w:uiPriority w:val="0"/>
    <w:rPr>
      <w:rFonts w:ascii="Arial" w:hAnsi="Arial" w:eastAsia="黑体" w:cs="Times New Roman"/>
      <w:b/>
      <w:bCs/>
      <w:sz w:val="28"/>
      <w:szCs w:val="28"/>
    </w:rPr>
  </w:style>
  <w:style w:type="character" w:customStyle="1" w:styleId="72">
    <w:name w:val="标题 5 字符"/>
    <w:basedOn w:val="51"/>
    <w:link w:val="6"/>
    <w:autoRedefine/>
    <w:qFormat/>
    <w:uiPriority w:val="0"/>
    <w:rPr>
      <w:rFonts w:ascii="Times New Roman" w:hAnsi="Times New Roman" w:eastAsia="宋体" w:cs="Times New Roman"/>
      <w:b/>
      <w:bCs/>
      <w:sz w:val="28"/>
      <w:szCs w:val="28"/>
    </w:rPr>
  </w:style>
  <w:style w:type="character" w:customStyle="1" w:styleId="73">
    <w:name w:val="标题 6 字符"/>
    <w:basedOn w:val="51"/>
    <w:link w:val="7"/>
    <w:autoRedefine/>
    <w:qFormat/>
    <w:uiPriority w:val="0"/>
    <w:rPr>
      <w:rFonts w:ascii="Arial" w:hAnsi="Arial" w:eastAsia="黑体" w:cs="Times New Roman"/>
      <w:b/>
      <w:bCs/>
      <w:sz w:val="24"/>
      <w:szCs w:val="24"/>
    </w:rPr>
  </w:style>
  <w:style w:type="character" w:customStyle="1" w:styleId="74">
    <w:name w:val="标题 7 字符"/>
    <w:basedOn w:val="51"/>
    <w:link w:val="8"/>
    <w:autoRedefine/>
    <w:qFormat/>
    <w:uiPriority w:val="0"/>
    <w:rPr>
      <w:rFonts w:ascii="Times New Roman" w:hAnsi="Times New Roman" w:eastAsia="宋体" w:cs="Times New Roman"/>
      <w:b/>
      <w:bCs/>
      <w:sz w:val="24"/>
      <w:szCs w:val="24"/>
    </w:rPr>
  </w:style>
  <w:style w:type="character" w:customStyle="1" w:styleId="75">
    <w:name w:val="标题 8 字符"/>
    <w:basedOn w:val="51"/>
    <w:link w:val="9"/>
    <w:autoRedefine/>
    <w:qFormat/>
    <w:uiPriority w:val="0"/>
    <w:rPr>
      <w:rFonts w:ascii="Arial" w:hAnsi="Arial" w:eastAsia="黑体" w:cs="Times New Roman"/>
      <w:sz w:val="24"/>
      <w:szCs w:val="24"/>
    </w:rPr>
  </w:style>
  <w:style w:type="character" w:customStyle="1" w:styleId="76">
    <w:name w:val="标题 9 字符"/>
    <w:basedOn w:val="51"/>
    <w:link w:val="10"/>
    <w:autoRedefine/>
    <w:qFormat/>
    <w:uiPriority w:val="0"/>
    <w:rPr>
      <w:rFonts w:ascii="Arial" w:hAnsi="Arial" w:eastAsia="黑体" w:cs="Times New Roman"/>
      <w:szCs w:val="21"/>
    </w:rPr>
  </w:style>
  <w:style w:type="character" w:customStyle="1" w:styleId="77">
    <w:name w:val="批注文字 字符"/>
    <w:basedOn w:val="51"/>
    <w:link w:val="17"/>
    <w:autoRedefine/>
    <w:qFormat/>
    <w:uiPriority w:val="0"/>
    <w:rPr>
      <w:rFonts w:ascii="Times New Roman" w:hAnsi="Times New Roman" w:eastAsia="宋体" w:cs="Times New Roman"/>
      <w:szCs w:val="24"/>
    </w:rPr>
  </w:style>
  <w:style w:type="character" w:customStyle="1" w:styleId="78">
    <w:name w:val="批注主题 字符"/>
    <w:basedOn w:val="77"/>
    <w:link w:val="47"/>
    <w:autoRedefine/>
    <w:qFormat/>
    <w:uiPriority w:val="0"/>
    <w:rPr>
      <w:rFonts w:ascii="Times New Roman" w:hAnsi="Times New Roman" w:eastAsia="宋体" w:cs="Times New Roman"/>
      <w:b/>
      <w:bCs/>
      <w:szCs w:val="24"/>
    </w:rPr>
  </w:style>
  <w:style w:type="character" w:customStyle="1" w:styleId="79">
    <w:name w:val="文档结构图 字符"/>
    <w:basedOn w:val="51"/>
    <w:link w:val="16"/>
    <w:autoRedefine/>
    <w:semiHidden/>
    <w:qFormat/>
    <w:uiPriority w:val="0"/>
    <w:rPr>
      <w:rFonts w:ascii="Times New Roman" w:hAnsi="Times New Roman" w:eastAsia="宋体" w:cs="Times New Roman"/>
      <w:szCs w:val="24"/>
      <w:shd w:val="clear" w:color="auto" w:fill="000080"/>
    </w:rPr>
  </w:style>
  <w:style w:type="character" w:customStyle="1" w:styleId="80">
    <w:name w:val="HTML 地址 字符"/>
    <w:basedOn w:val="51"/>
    <w:link w:val="20"/>
    <w:autoRedefine/>
    <w:qFormat/>
    <w:uiPriority w:val="0"/>
    <w:rPr>
      <w:rFonts w:ascii="Times New Roman" w:hAnsi="Times New Roman" w:eastAsia="宋体" w:cs="Times New Roman"/>
      <w:i/>
      <w:iCs/>
      <w:szCs w:val="24"/>
    </w:rPr>
  </w:style>
  <w:style w:type="character" w:customStyle="1" w:styleId="81">
    <w:name w:val="日期 字符"/>
    <w:basedOn w:val="51"/>
    <w:link w:val="27"/>
    <w:autoRedefine/>
    <w:qFormat/>
    <w:uiPriority w:val="0"/>
    <w:rPr>
      <w:rFonts w:ascii="Times New Roman" w:hAnsi="Times New Roman" w:eastAsia="宋体" w:cs="Times New Roman"/>
      <w:szCs w:val="24"/>
    </w:rPr>
  </w:style>
  <w:style w:type="character" w:customStyle="1" w:styleId="82">
    <w:name w:val="尾注文本 字符"/>
    <w:basedOn w:val="51"/>
    <w:link w:val="28"/>
    <w:autoRedefine/>
    <w:semiHidden/>
    <w:qFormat/>
    <w:uiPriority w:val="0"/>
    <w:rPr>
      <w:rFonts w:ascii="Times New Roman" w:hAnsi="Times New Roman" w:eastAsia="宋体" w:cs="Times New Roman"/>
      <w:szCs w:val="24"/>
    </w:rPr>
  </w:style>
  <w:style w:type="character" w:customStyle="1" w:styleId="83">
    <w:name w:val="批注框文本 字符"/>
    <w:basedOn w:val="51"/>
    <w:link w:val="29"/>
    <w:autoRedefine/>
    <w:qFormat/>
    <w:uiPriority w:val="0"/>
    <w:rPr>
      <w:rFonts w:ascii="Times New Roman" w:hAnsi="Times New Roman" w:eastAsia="宋体" w:cs="Times New Roman"/>
      <w:sz w:val="18"/>
      <w:szCs w:val="18"/>
    </w:rPr>
  </w:style>
  <w:style w:type="character" w:customStyle="1" w:styleId="84">
    <w:name w:val="页脚 字符"/>
    <w:basedOn w:val="51"/>
    <w:link w:val="30"/>
    <w:autoRedefine/>
    <w:qFormat/>
    <w:uiPriority w:val="0"/>
    <w:rPr>
      <w:rFonts w:ascii="Times New Roman" w:hAnsi="Times New Roman" w:eastAsia="宋体" w:cs="Times New Roman"/>
      <w:sz w:val="18"/>
      <w:szCs w:val="18"/>
    </w:rPr>
  </w:style>
  <w:style w:type="character" w:customStyle="1" w:styleId="85">
    <w:name w:val="页眉 字符"/>
    <w:basedOn w:val="51"/>
    <w:link w:val="31"/>
    <w:autoRedefine/>
    <w:qFormat/>
    <w:uiPriority w:val="0"/>
    <w:rPr>
      <w:rFonts w:ascii="Times New Roman" w:hAnsi="Times New Roman" w:eastAsia="宋体" w:cs="Times New Roman"/>
      <w:sz w:val="18"/>
      <w:szCs w:val="18"/>
    </w:rPr>
  </w:style>
  <w:style w:type="paragraph" w:customStyle="1" w:styleId="86">
    <w:name w:val="段"/>
    <w:link w:val="90"/>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7">
    <w:name w:val="脚注文本 字符"/>
    <w:basedOn w:val="51"/>
    <w:link w:val="36"/>
    <w:autoRedefine/>
    <w:qFormat/>
    <w:uiPriority w:val="0"/>
    <w:rPr>
      <w:rFonts w:ascii="宋体"/>
      <w:kern w:val="2"/>
      <w:sz w:val="18"/>
      <w:szCs w:val="18"/>
    </w:rPr>
  </w:style>
  <w:style w:type="character" w:customStyle="1" w:styleId="88">
    <w:name w:val="HTML 预设格式 字符"/>
    <w:basedOn w:val="51"/>
    <w:link w:val="43"/>
    <w:autoRedefine/>
    <w:qFormat/>
    <w:uiPriority w:val="0"/>
    <w:rPr>
      <w:rFonts w:ascii="Courier New" w:hAnsi="Courier New" w:eastAsia="宋体" w:cs="Courier New"/>
      <w:sz w:val="20"/>
      <w:szCs w:val="20"/>
    </w:rPr>
  </w:style>
  <w:style w:type="character" w:customStyle="1" w:styleId="89">
    <w:name w:val="标题 字符"/>
    <w:basedOn w:val="51"/>
    <w:link w:val="46"/>
    <w:autoRedefine/>
    <w:qFormat/>
    <w:uiPriority w:val="0"/>
    <w:rPr>
      <w:rFonts w:ascii="Arial" w:hAnsi="Arial" w:eastAsia="宋体" w:cs="Arial"/>
      <w:b/>
      <w:bCs/>
      <w:sz w:val="32"/>
      <w:szCs w:val="32"/>
    </w:rPr>
  </w:style>
  <w:style w:type="character" w:customStyle="1" w:styleId="90">
    <w:name w:val="段 Char"/>
    <w:link w:val="86"/>
    <w:autoRedefine/>
    <w:qFormat/>
    <w:uiPriority w:val="99"/>
    <w:rPr>
      <w:rFonts w:ascii="宋体" w:hAnsi="Times New Roman" w:eastAsia="宋体" w:cs="Times New Roman"/>
      <w:kern w:val="0"/>
      <w:szCs w:val="20"/>
    </w:rPr>
  </w:style>
  <w:style w:type="paragraph" w:customStyle="1" w:styleId="91">
    <w:name w:val="一级条标题"/>
    <w:next w:val="86"/>
    <w:link w:val="225"/>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9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章标题"/>
    <w:next w:val="86"/>
    <w:link w:val="2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95">
    <w:name w:val="二级条标题"/>
    <w:basedOn w:val="91"/>
    <w:next w:val="86"/>
    <w:autoRedefine/>
    <w:qFormat/>
    <w:uiPriority w:val="0"/>
    <w:pPr>
      <w:numPr>
        <w:ilvl w:val="2"/>
      </w:numPr>
      <w:spacing w:before="50" w:after="50"/>
      <w:outlineLvl w:val="3"/>
    </w:pPr>
  </w:style>
  <w:style w:type="paragraph" w:customStyle="1" w:styleId="9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7">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98">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99">
    <w:name w:val="目次、标准名称标题"/>
    <w:basedOn w:val="1"/>
    <w:next w:val="8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三级条标题"/>
    <w:basedOn w:val="95"/>
    <w:next w:val="86"/>
    <w:autoRedefine/>
    <w:qFormat/>
    <w:uiPriority w:val="0"/>
    <w:pPr>
      <w:numPr>
        <w:ilvl w:val="3"/>
      </w:numPr>
      <w:outlineLvl w:val="4"/>
    </w:pPr>
  </w:style>
  <w:style w:type="paragraph" w:customStyle="1" w:styleId="101">
    <w:name w:val="示例"/>
    <w:next w:val="102"/>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102">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3">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04">
    <w:name w:val="四级条标题"/>
    <w:basedOn w:val="100"/>
    <w:next w:val="86"/>
    <w:autoRedefine/>
    <w:qFormat/>
    <w:uiPriority w:val="0"/>
    <w:pPr>
      <w:numPr>
        <w:ilvl w:val="4"/>
      </w:numPr>
      <w:outlineLvl w:val="5"/>
    </w:pPr>
  </w:style>
  <w:style w:type="paragraph" w:customStyle="1" w:styleId="105">
    <w:name w:val="五级条标题"/>
    <w:basedOn w:val="104"/>
    <w:next w:val="86"/>
    <w:autoRedefine/>
    <w:qFormat/>
    <w:uiPriority w:val="0"/>
    <w:pPr>
      <w:numPr>
        <w:ilvl w:val="5"/>
      </w:numPr>
      <w:outlineLvl w:val="6"/>
    </w:pPr>
  </w:style>
  <w:style w:type="paragraph" w:customStyle="1" w:styleId="106">
    <w:name w:val="注："/>
    <w:next w:val="86"/>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07">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8">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3"/>
      </w:numPr>
    </w:pPr>
    <w:rPr>
      <w:rFonts w:ascii="宋体"/>
      <w:szCs w:val="21"/>
    </w:rPr>
  </w:style>
  <w:style w:type="paragraph" w:customStyle="1" w:styleId="110">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111">
    <w:name w:val="示例×："/>
    <w:basedOn w:val="94"/>
    <w:autoRedefine/>
    <w:qFormat/>
    <w:uiPriority w:val="0"/>
    <w:pPr>
      <w:numPr>
        <w:numId w:val="8"/>
      </w:numPr>
      <w:spacing w:beforeLines="0" w:afterLines="0"/>
      <w:outlineLvl w:val="9"/>
    </w:pPr>
    <w:rPr>
      <w:rFonts w:ascii="宋体" w:eastAsia="宋体"/>
      <w:sz w:val="18"/>
      <w:szCs w:val="18"/>
    </w:rPr>
  </w:style>
  <w:style w:type="paragraph" w:customStyle="1" w:styleId="112">
    <w:name w:val="二级无"/>
    <w:basedOn w:val="95"/>
    <w:link w:val="205"/>
    <w:autoRedefine/>
    <w:qFormat/>
    <w:uiPriority w:val="99"/>
    <w:pPr>
      <w:spacing w:beforeLines="0" w:afterLines="0"/>
    </w:pPr>
    <w:rPr>
      <w:rFonts w:ascii="宋体" w:eastAsia="宋体"/>
    </w:rPr>
  </w:style>
  <w:style w:type="paragraph" w:customStyle="1" w:styleId="113">
    <w:name w:val="注：（正文）"/>
    <w:basedOn w:val="106"/>
    <w:next w:val="86"/>
    <w:autoRedefine/>
    <w:qFormat/>
    <w:uiPriority w:val="0"/>
  </w:style>
  <w:style w:type="paragraph" w:customStyle="1" w:styleId="114">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1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8">
    <w:name w:val="标准书眉_偶数页"/>
    <w:basedOn w:val="93"/>
    <w:next w:val="1"/>
    <w:autoRedefine/>
    <w:qFormat/>
    <w:uiPriority w:val="0"/>
    <w:pPr>
      <w:jc w:val="left"/>
    </w:pPr>
  </w:style>
  <w:style w:type="paragraph" w:customStyle="1" w:styleId="119">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0">
    <w:name w:val="参考文献"/>
    <w:basedOn w:val="1"/>
    <w:next w:val="8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1">
    <w:name w:val="参考文献、索引标题"/>
    <w:basedOn w:val="1"/>
    <w:next w:val="8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22">
    <w:name w:val="发布"/>
    <w:autoRedefine/>
    <w:qFormat/>
    <w:uiPriority w:val="99"/>
    <w:rPr>
      <w:rFonts w:ascii="黑体" w:eastAsia="黑体"/>
      <w:spacing w:val="85"/>
      <w:w w:val="100"/>
      <w:position w:val="3"/>
      <w:sz w:val="28"/>
      <w:szCs w:val="28"/>
    </w:rPr>
  </w:style>
  <w:style w:type="paragraph" w:customStyle="1" w:styleId="123">
    <w:name w:val="发布部门"/>
    <w:next w:val="8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6">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7">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英文名称"/>
    <w:basedOn w:val="127"/>
    <w:autoRedefine/>
    <w:qFormat/>
    <w:uiPriority w:val="0"/>
    <w:pPr>
      <w:framePr w:wrap="around"/>
      <w:spacing w:before="370" w:line="400" w:lineRule="exact"/>
    </w:pPr>
    <w:rPr>
      <w:rFonts w:ascii="Times New Roman"/>
      <w:sz w:val="28"/>
      <w:szCs w:val="28"/>
    </w:rPr>
  </w:style>
  <w:style w:type="paragraph" w:customStyle="1" w:styleId="129">
    <w:name w:val="封面一致性程度标识"/>
    <w:basedOn w:val="128"/>
    <w:autoRedefine/>
    <w:qFormat/>
    <w:uiPriority w:val="0"/>
    <w:pPr>
      <w:framePr w:wrap="around"/>
      <w:spacing w:before="440"/>
    </w:pPr>
    <w:rPr>
      <w:rFonts w:ascii="宋体" w:eastAsia="宋体"/>
    </w:rPr>
  </w:style>
  <w:style w:type="paragraph" w:customStyle="1" w:styleId="130">
    <w:name w:val="封面标准文稿类别"/>
    <w:basedOn w:val="129"/>
    <w:autoRedefine/>
    <w:qFormat/>
    <w:uiPriority w:val="99"/>
    <w:pPr>
      <w:framePr w:wrap="around"/>
      <w:spacing w:after="160" w:line="240" w:lineRule="auto"/>
    </w:pPr>
    <w:rPr>
      <w:sz w:val="24"/>
    </w:rPr>
  </w:style>
  <w:style w:type="paragraph" w:customStyle="1" w:styleId="131">
    <w:name w:val="封面标准文稿编辑信息"/>
    <w:basedOn w:val="130"/>
    <w:autoRedefine/>
    <w:qFormat/>
    <w:uiPriority w:val="0"/>
    <w:pPr>
      <w:framePr w:wrap="around"/>
      <w:spacing w:before="180" w:line="180" w:lineRule="exact"/>
    </w:pPr>
    <w:rPr>
      <w:sz w:val="21"/>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标识"/>
    <w:basedOn w:val="1"/>
    <w:next w:val="86"/>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4">
    <w:name w:val="附录标题"/>
    <w:basedOn w:val="86"/>
    <w:next w:val="86"/>
    <w:autoRedefine/>
    <w:qFormat/>
    <w:uiPriority w:val="0"/>
    <w:pPr>
      <w:ind w:firstLine="0" w:firstLineChars="0"/>
      <w:jc w:val="center"/>
    </w:pPr>
    <w:rPr>
      <w:rFonts w:ascii="黑体" w:eastAsia="黑体"/>
    </w:rPr>
  </w:style>
  <w:style w:type="paragraph" w:customStyle="1" w:styleId="135">
    <w:name w:val="附录表标号"/>
    <w:basedOn w:val="1"/>
    <w:next w:val="86"/>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36">
    <w:name w:val="附录表标题"/>
    <w:basedOn w:val="1"/>
    <w:next w:val="86"/>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37">
    <w:name w:val="附录二级条标题"/>
    <w:basedOn w:val="1"/>
    <w:next w:val="86"/>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38">
    <w:name w:val="附录二级无"/>
    <w:basedOn w:val="137"/>
    <w:autoRedefine/>
    <w:qFormat/>
    <w:uiPriority w:val="0"/>
    <w:pPr>
      <w:tabs>
        <w:tab w:val="clear" w:pos="360"/>
      </w:tabs>
      <w:spacing w:beforeLines="0" w:afterLines="0"/>
    </w:pPr>
    <w:rPr>
      <w:rFonts w:ascii="宋体" w:eastAsia="宋体"/>
      <w:szCs w:val="21"/>
    </w:rPr>
  </w:style>
  <w:style w:type="paragraph" w:customStyle="1" w:styleId="139">
    <w:name w:val="附录公式"/>
    <w:basedOn w:val="86"/>
    <w:next w:val="86"/>
    <w:link w:val="140"/>
    <w:autoRedefine/>
    <w:qFormat/>
    <w:uiPriority w:val="0"/>
  </w:style>
  <w:style w:type="character" w:customStyle="1" w:styleId="140">
    <w:name w:val="附录公式 Char"/>
    <w:basedOn w:val="90"/>
    <w:link w:val="139"/>
    <w:autoRedefine/>
    <w:qFormat/>
    <w:uiPriority w:val="0"/>
    <w:rPr>
      <w:rFonts w:ascii="宋体" w:hAnsi="Times New Roman" w:eastAsia="宋体" w:cs="Times New Roman"/>
      <w:kern w:val="0"/>
      <w:szCs w:val="20"/>
    </w:rPr>
  </w:style>
  <w:style w:type="paragraph" w:customStyle="1" w:styleId="141">
    <w:name w:val="附录公式编号制表符"/>
    <w:basedOn w:val="1"/>
    <w:next w:val="8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42">
    <w:name w:val="附录三级条标题"/>
    <w:basedOn w:val="137"/>
    <w:next w:val="86"/>
    <w:autoRedefine/>
    <w:qFormat/>
    <w:uiPriority w:val="0"/>
    <w:pPr>
      <w:numPr>
        <w:ilvl w:val="4"/>
      </w:numPr>
      <w:outlineLvl w:val="4"/>
    </w:pPr>
  </w:style>
  <w:style w:type="paragraph" w:customStyle="1" w:styleId="143">
    <w:name w:val="附录三级无"/>
    <w:basedOn w:val="142"/>
    <w:autoRedefine/>
    <w:qFormat/>
    <w:uiPriority w:val="0"/>
    <w:pPr>
      <w:tabs>
        <w:tab w:val="clear" w:pos="360"/>
      </w:tabs>
      <w:spacing w:beforeLines="0" w:afterLines="0"/>
    </w:pPr>
    <w:rPr>
      <w:rFonts w:ascii="宋体" w:eastAsia="宋体"/>
      <w:szCs w:val="21"/>
    </w:rPr>
  </w:style>
  <w:style w:type="paragraph" w:customStyle="1" w:styleId="144">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45">
    <w:name w:val="附录四级条标题"/>
    <w:basedOn w:val="142"/>
    <w:next w:val="86"/>
    <w:autoRedefine/>
    <w:qFormat/>
    <w:uiPriority w:val="0"/>
    <w:pPr>
      <w:numPr>
        <w:ilvl w:val="5"/>
      </w:numPr>
      <w:outlineLvl w:val="5"/>
    </w:pPr>
  </w:style>
  <w:style w:type="paragraph" w:customStyle="1" w:styleId="146">
    <w:name w:val="附录四级无"/>
    <w:basedOn w:val="145"/>
    <w:autoRedefine/>
    <w:qFormat/>
    <w:uiPriority w:val="0"/>
    <w:pPr>
      <w:tabs>
        <w:tab w:val="clear" w:pos="360"/>
      </w:tabs>
      <w:spacing w:beforeLines="0" w:afterLines="0"/>
    </w:pPr>
    <w:rPr>
      <w:rFonts w:ascii="宋体" w:eastAsia="宋体"/>
      <w:szCs w:val="21"/>
    </w:rPr>
  </w:style>
  <w:style w:type="paragraph" w:customStyle="1" w:styleId="147">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48">
    <w:name w:val="附录图标题"/>
    <w:basedOn w:val="1"/>
    <w:next w:val="86"/>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49">
    <w:name w:val="附录五级条标题"/>
    <w:basedOn w:val="145"/>
    <w:next w:val="86"/>
    <w:autoRedefine/>
    <w:qFormat/>
    <w:uiPriority w:val="0"/>
    <w:pPr>
      <w:numPr>
        <w:ilvl w:val="6"/>
      </w:numPr>
      <w:outlineLvl w:val="6"/>
    </w:pPr>
  </w:style>
  <w:style w:type="paragraph" w:customStyle="1" w:styleId="150">
    <w:name w:val="附录五级无"/>
    <w:basedOn w:val="149"/>
    <w:autoRedefine/>
    <w:qFormat/>
    <w:uiPriority w:val="0"/>
    <w:pPr>
      <w:tabs>
        <w:tab w:val="clear" w:pos="360"/>
      </w:tabs>
      <w:spacing w:beforeLines="0" w:afterLines="0"/>
    </w:pPr>
    <w:rPr>
      <w:rFonts w:ascii="宋体" w:eastAsia="宋体"/>
      <w:szCs w:val="21"/>
    </w:rPr>
  </w:style>
  <w:style w:type="paragraph" w:customStyle="1" w:styleId="151">
    <w:name w:val="附录章标题"/>
    <w:next w:val="86"/>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52">
    <w:name w:val="附录一级条标题"/>
    <w:basedOn w:val="151"/>
    <w:next w:val="86"/>
    <w:autoRedefine/>
    <w:qFormat/>
    <w:uiPriority w:val="0"/>
    <w:pPr>
      <w:numPr>
        <w:ilvl w:val="2"/>
      </w:numPr>
      <w:autoSpaceDN w:val="0"/>
      <w:spacing w:beforeLines="50" w:afterLines="50"/>
      <w:outlineLvl w:val="2"/>
    </w:pPr>
  </w:style>
  <w:style w:type="paragraph" w:customStyle="1" w:styleId="153">
    <w:name w:val="附录一级无"/>
    <w:basedOn w:val="152"/>
    <w:autoRedefine/>
    <w:qFormat/>
    <w:uiPriority w:val="0"/>
    <w:pPr>
      <w:tabs>
        <w:tab w:val="clear" w:pos="360"/>
      </w:tabs>
      <w:spacing w:beforeLines="0" w:afterLines="0"/>
    </w:pPr>
    <w:rPr>
      <w:rFonts w:ascii="宋体" w:eastAsia="宋体"/>
      <w:szCs w:val="21"/>
    </w:rPr>
  </w:style>
  <w:style w:type="paragraph" w:customStyle="1" w:styleId="154">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5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8">
    <w:name w:val="其他标准标志"/>
    <w:basedOn w:val="115"/>
    <w:autoRedefine/>
    <w:qFormat/>
    <w:uiPriority w:val="0"/>
    <w:pPr>
      <w:framePr w:w="6101" w:wrap="around" w:vAnchor="page" w:hAnchor="page" w:x="4673" w:y="942"/>
    </w:pPr>
    <w:rPr>
      <w:w w:val="130"/>
    </w:rPr>
  </w:style>
  <w:style w:type="paragraph" w:customStyle="1" w:styleId="15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0">
    <w:name w:val="其他发布部门"/>
    <w:basedOn w:val="123"/>
    <w:autoRedefine/>
    <w:qFormat/>
    <w:uiPriority w:val="0"/>
    <w:pPr>
      <w:framePr w:wrap="around" w:y="15310"/>
      <w:spacing w:line="0" w:lineRule="atLeast"/>
    </w:pPr>
    <w:rPr>
      <w:rFonts w:ascii="黑体" w:eastAsia="黑体"/>
      <w:b w:val="0"/>
    </w:rPr>
  </w:style>
  <w:style w:type="paragraph" w:customStyle="1" w:styleId="161">
    <w:name w:val="前言、引言标题"/>
    <w:next w:val="8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2">
    <w:name w:val="三级无"/>
    <w:basedOn w:val="100"/>
    <w:autoRedefine/>
    <w:qFormat/>
    <w:uiPriority w:val="99"/>
    <w:pPr>
      <w:spacing w:beforeLines="0" w:afterLines="0"/>
    </w:pPr>
    <w:rPr>
      <w:rFonts w:ascii="宋体" w:eastAsia="宋体"/>
    </w:rPr>
  </w:style>
  <w:style w:type="paragraph" w:customStyle="1" w:styleId="163">
    <w:name w:val="实施日期"/>
    <w:basedOn w:val="124"/>
    <w:autoRedefine/>
    <w:qFormat/>
    <w:uiPriority w:val="0"/>
    <w:pPr>
      <w:framePr w:wrap="around" w:vAnchor="page" w:hAnchor="text"/>
      <w:jc w:val="right"/>
    </w:pPr>
  </w:style>
  <w:style w:type="paragraph" w:customStyle="1" w:styleId="164">
    <w:name w:val="示例后文字"/>
    <w:basedOn w:val="86"/>
    <w:next w:val="86"/>
    <w:autoRedefine/>
    <w:qFormat/>
    <w:uiPriority w:val="0"/>
    <w:pPr>
      <w:ind w:firstLine="360"/>
    </w:pPr>
    <w:rPr>
      <w:sz w:val="18"/>
    </w:rPr>
  </w:style>
  <w:style w:type="paragraph" w:customStyle="1" w:styleId="165">
    <w:name w:val="首示例"/>
    <w:next w:val="86"/>
    <w:link w:val="166"/>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66">
    <w:name w:val="首示例 Char"/>
    <w:link w:val="165"/>
    <w:autoRedefine/>
    <w:qFormat/>
    <w:uiPriority w:val="0"/>
    <w:rPr>
      <w:rFonts w:ascii="宋体" w:hAnsi="宋体"/>
      <w:kern w:val="2"/>
      <w:sz w:val="18"/>
      <w:szCs w:val="18"/>
    </w:rPr>
  </w:style>
  <w:style w:type="paragraph" w:customStyle="1" w:styleId="167">
    <w:name w:val="四级无"/>
    <w:basedOn w:val="104"/>
    <w:autoRedefine/>
    <w:qFormat/>
    <w:uiPriority w:val="0"/>
    <w:pPr>
      <w:spacing w:beforeLines="0" w:afterLines="0"/>
    </w:pPr>
    <w:rPr>
      <w:rFonts w:ascii="宋体" w:eastAsia="宋体"/>
    </w:rPr>
  </w:style>
  <w:style w:type="paragraph" w:customStyle="1" w:styleId="168">
    <w:name w:val="条文脚注"/>
    <w:basedOn w:val="36"/>
    <w:autoRedefine/>
    <w:qFormat/>
    <w:uiPriority w:val="0"/>
    <w:pPr>
      <w:numPr>
        <w:numId w:val="0"/>
      </w:numPr>
      <w:jc w:val="both"/>
    </w:pPr>
  </w:style>
  <w:style w:type="paragraph" w:customStyle="1" w:styleId="169">
    <w:name w:val="图标脚注说明"/>
    <w:basedOn w:val="86"/>
    <w:autoRedefine/>
    <w:qFormat/>
    <w:uiPriority w:val="0"/>
    <w:pPr>
      <w:ind w:left="840" w:hanging="420" w:firstLineChars="0"/>
    </w:pPr>
    <w:rPr>
      <w:sz w:val="18"/>
      <w:szCs w:val="18"/>
    </w:rPr>
  </w:style>
  <w:style w:type="paragraph" w:customStyle="1" w:styleId="170">
    <w:name w:val="图表脚注说明"/>
    <w:basedOn w:val="1"/>
    <w:autoRedefine/>
    <w:qFormat/>
    <w:uiPriority w:val="0"/>
    <w:pPr>
      <w:numPr>
        <w:ilvl w:val="0"/>
        <w:numId w:val="15"/>
      </w:numPr>
    </w:pPr>
    <w:rPr>
      <w:rFonts w:ascii="宋体"/>
      <w:sz w:val="18"/>
      <w:szCs w:val="18"/>
    </w:rPr>
  </w:style>
  <w:style w:type="paragraph" w:customStyle="1" w:styleId="171">
    <w:name w:val="图的脚注"/>
    <w:next w:val="8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7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3">
    <w:name w:val="五级无"/>
    <w:basedOn w:val="105"/>
    <w:autoRedefine/>
    <w:qFormat/>
    <w:uiPriority w:val="0"/>
    <w:pPr>
      <w:spacing w:beforeLines="0" w:afterLines="0"/>
    </w:pPr>
    <w:rPr>
      <w:rFonts w:ascii="宋体" w:eastAsia="宋体"/>
    </w:rPr>
  </w:style>
  <w:style w:type="paragraph" w:customStyle="1" w:styleId="174">
    <w:name w:val="一级无"/>
    <w:basedOn w:val="91"/>
    <w:autoRedefine/>
    <w:qFormat/>
    <w:uiPriority w:val="0"/>
    <w:pPr>
      <w:spacing w:beforeLines="0" w:afterLines="0"/>
    </w:pPr>
    <w:rPr>
      <w:rFonts w:ascii="宋体" w:eastAsia="宋体"/>
    </w:rPr>
  </w:style>
  <w:style w:type="paragraph" w:customStyle="1" w:styleId="175">
    <w:name w:val="正文表标题"/>
    <w:next w:val="86"/>
    <w:autoRedefine/>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6">
    <w:name w:val="正文公式编号制表符"/>
    <w:basedOn w:val="86"/>
    <w:next w:val="86"/>
    <w:autoRedefine/>
    <w:qFormat/>
    <w:uiPriority w:val="0"/>
    <w:pPr>
      <w:ind w:firstLine="0" w:firstLineChars="0"/>
    </w:pPr>
  </w:style>
  <w:style w:type="paragraph" w:customStyle="1" w:styleId="177">
    <w:name w:val="正文图标题"/>
    <w:next w:val="86"/>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8">
    <w:name w:val="终结线"/>
    <w:basedOn w:val="1"/>
    <w:autoRedefine/>
    <w:qFormat/>
    <w:uiPriority w:val="0"/>
    <w:pPr>
      <w:framePr w:hSpace="181" w:vSpace="181" w:wrap="around" w:vAnchor="text" w:hAnchor="margin" w:xAlign="center" w:y="285"/>
    </w:pPr>
  </w:style>
  <w:style w:type="paragraph" w:customStyle="1" w:styleId="179">
    <w:name w:val="其他发布日期"/>
    <w:basedOn w:val="124"/>
    <w:autoRedefine/>
    <w:qFormat/>
    <w:uiPriority w:val="0"/>
    <w:pPr>
      <w:framePr w:wrap="around" w:vAnchor="page" w:hAnchor="text" w:x="1419"/>
    </w:pPr>
  </w:style>
  <w:style w:type="paragraph" w:customStyle="1" w:styleId="180">
    <w:name w:val="其他实施日期"/>
    <w:basedOn w:val="163"/>
    <w:autoRedefine/>
    <w:qFormat/>
    <w:uiPriority w:val="0"/>
    <w:pPr>
      <w:framePr w:wrap="around"/>
    </w:pPr>
  </w:style>
  <w:style w:type="paragraph" w:customStyle="1" w:styleId="181">
    <w:name w:val="封面标准名称2"/>
    <w:basedOn w:val="127"/>
    <w:autoRedefine/>
    <w:qFormat/>
    <w:uiPriority w:val="0"/>
    <w:pPr>
      <w:framePr w:wrap="around" w:y="4469"/>
      <w:spacing w:beforeLines="630"/>
    </w:pPr>
  </w:style>
  <w:style w:type="paragraph" w:customStyle="1" w:styleId="182">
    <w:name w:val="封面标准英文名称2"/>
    <w:basedOn w:val="128"/>
    <w:autoRedefine/>
    <w:qFormat/>
    <w:uiPriority w:val="0"/>
    <w:pPr>
      <w:framePr w:wrap="around" w:y="4469"/>
    </w:pPr>
  </w:style>
  <w:style w:type="paragraph" w:customStyle="1" w:styleId="183">
    <w:name w:val="封面一致性程度标识2"/>
    <w:basedOn w:val="129"/>
    <w:autoRedefine/>
    <w:qFormat/>
    <w:uiPriority w:val="0"/>
    <w:pPr>
      <w:framePr w:wrap="around" w:y="4469"/>
    </w:pPr>
  </w:style>
  <w:style w:type="paragraph" w:customStyle="1" w:styleId="184">
    <w:name w:val="封面标准文稿类别2"/>
    <w:basedOn w:val="130"/>
    <w:autoRedefine/>
    <w:qFormat/>
    <w:uiPriority w:val="0"/>
    <w:pPr>
      <w:framePr w:wrap="around" w:y="4469"/>
    </w:pPr>
  </w:style>
  <w:style w:type="paragraph" w:customStyle="1" w:styleId="185">
    <w:name w:val="封面标准文稿编辑信息2"/>
    <w:basedOn w:val="131"/>
    <w:autoRedefine/>
    <w:qFormat/>
    <w:uiPriority w:val="0"/>
    <w:pPr>
      <w:framePr w:wrap="around" w:y="4469"/>
    </w:pPr>
  </w:style>
  <w:style w:type="paragraph" w:customStyle="1" w:styleId="186">
    <w:name w:val="图表脚注"/>
    <w:next w:val="86"/>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7">
    <w:name w:val="二级无标题条"/>
    <w:basedOn w:val="1"/>
    <w:autoRedefine/>
    <w:qFormat/>
    <w:uiPriority w:val="0"/>
    <w:pPr>
      <w:numPr>
        <w:ilvl w:val="3"/>
        <w:numId w:val="4"/>
      </w:numPr>
    </w:pPr>
  </w:style>
  <w:style w:type="character" w:customStyle="1" w:styleId="188">
    <w:name w:val="个人答复风格"/>
    <w:autoRedefine/>
    <w:qFormat/>
    <w:uiPriority w:val="0"/>
    <w:rPr>
      <w:rFonts w:ascii="Arial" w:hAnsi="Arial" w:eastAsia="宋体" w:cs="Arial"/>
      <w:color w:val="auto"/>
      <w:sz w:val="20"/>
    </w:rPr>
  </w:style>
  <w:style w:type="character" w:customStyle="1" w:styleId="189">
    <w:name w:val="个人撰写风格"/>
    <w:autoRedefine/>
    <w:qFormat/>
    <w:uiPriority w:val="0"/>
    <w:rPr>
      <w:rFonts w:ascii="Arial" w:hAnsi="Arial" w:eastAsia="宋体" w:cs="Arial"/>
      <w:color w:val="auto"/>
      <w:sz w:val="20"/>
    </w:rPr>
  </w:style>
  <w:style w:type="paragraph" w:customStyle="1" w:styleId="190">
    <w:name w:val="列项——"/>
    <w:autoRedefine/>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91">
    <w:name w:val="列项·"/>
    <w:autoRedefine/>
    <w:qFormat/>
    <w:uiPriority w:val="0"/>
    <w:pPr>
      <w:tabs>
        <w:tab w:val="left" w:pos="0"/>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92">
    <w:name w:val="三级无标题条"/>
    <w:basedOn w:val="1"/>
    <w:autoRedefine/>
    <w:qFormat/>
    <w:uiPriority w:val="0"/>
    <w:pPr>
      <w:numPr>
        <w:ilvl w:val="4"/>
        <w:numId w:val="6"/>
      </w:numPr>
    </w:pPr>
  </w:style>
  <w:style w:type="paragraph" w:customStyle="1" w:styleId="193">
    <w:name w:val="四级无标题条"/>
    <w:basedOn w:val="1"/>
    <w:autoRedefine/>
    <w:qFormat/>
    <w:uiPriority w:val="0"/>
    <w:pPr>
      <w:numPr>
        <w:ilvl w:val="5"/>
        <w:numId w:val="7"/>
      </w:numPr>
    </w:pPr>
  </w:style>
  <w:style w:type="paragraph" w:customStyle="1" w:styleId="194">
    <w:name w:val="无标题条"/>
    <w:next w:val="86"/>
    <w:autoRedefine/>
    <w:qFormat/>
    <w:uiPriority w:val="0"/>
    <w:pPr>
      <w:jc w:val="both"/>
    </w:pPr>
    <w:rPr>
      <w:rFonts w:ascii="Times New Roman" w:hAnsi="Times New Roman" w:eastAsia="宋体" w:cs="Times New Roman"/>
      <w:sz w:val="21"/>
      <w:lang w:val="en-US" w:eastAsia="zh-CN" w:bidi="ar-SA"/>
    </w:rPr>
  </w:style>
  <w:style w:type="paragraph" w:customStyle="1" w:styleId="195">
    <w:name w:val="五级无标题条"/>
    <w:basedOn w:val="1"/>
    <w:autoRedefine/>
    <w:qFormat/>
    <w:uiPriority w:val="0"/>
    <w:pPr>
      <w:numPr>
        <w:ilvl w:val="6"/>
        <w:numId w:val="3"/>
      </w:numPr>
    </w:pPr>
  </w:style>
  <w:style w:type="paragraph" w:customStyle="1" w:styleId="196">
    <w:name w:val="一级无标题条"/>
    <w:basedOn w:val="1"/>
    <w:autoRedefine/>
    <w:qFormat/>
    <w:uiPriority w:val="0"/>
    <w:pPr>
      <w:numPr>
        <w:ilvl w:val="2"/>
        <w:numId w:val="9"/>
      </w:numPr>
    </w:pPr>
  </w:style>
  <w:style w:type="character" w:customStyle="1" w:styleId="197">
    <w:name w:val="附录章标题 Char"/>
    <w:autoRedefine/>
    <w:qFormat/>
    <w:uiPriority w:val="0"/>
    <w:rPr>
      <w:rFonts w:ascii="黑体" w:eastAsia="黑体"/>
      <w:kern w:val="21"/>
      <w:sz w:val="21"/>
      <w:lang w:val="en-US" w:eastAsia="zh-CN" w:bidi="ar-SA"/>
    </w:rPr>
  </w:style>
  <w:style w:type="character" w:customStyle="1" w:styleId="198">
    <w:name w:val="附录一级条标题 Char"/>
    <w:basedOn w:val="197"/>
    <w:autoRedefine/>
    <w:qFormat/>
    <w:uiPriority w:val="0"/>
    <w:rPr>
      <w:rFonts w:ascii="黑体" w:eastAsia="黑体"/>
      <w:kern w:val="21"/>
      <w:sz w:val="21"/>
      <w:lang w:val="en-US" w:eastAsia="zh-CN" w:bidi="ar-SA"/>
    </w:rPr>
  </w:style>
  <w:style w:type="table" w:customStyle="1" w:styleId="199">
    <w:name w:val="网格型1"/>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0">
    <w:name w:val="Char Char Char Char Char Char Char Char Char Char Char Char"/>
    <w:basedOn w:val="1"/>
    <w:autoRedefine/>
    <w:qFormat/>
    <w:uiPriority w:val="0"/>
    <w:pPr>
      <w:widowControl/>
      <w:spacing w:after="160" w:line="240" w:lineRule="exact"/>
      <w:jc w:val="left"/>
    </w:pPr>
    <w:rPr>
      <w:rFonts w:ascii="黑体" w:hAnsi="Verdana" w:eastAsia="黑体"/>
      <w:kern w:val="0"/>
      <w:szCs w:val="21"/>
      <w:lang w:eastAsia="en-US"/>
    </w:rPr>
  </w:style>
  <w:style w:type="paragraph" w:customStyle="1" w:styleId="20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02">
    <w:name w:val="bluetxt1"/>
    <w:basedOn w:val="51"/>
    <w:autoRedefine/>
    <w:qFormat/>
    <w:uiPriority w:val="0"/>
  </w:style>
  <w:style w:type="paragraph" w:customStyle="1" w:styleId="203">
    <w:name w:val="列出段落1"/>
    <w:basedOn w:val="1"/>
    <w:autoRedefine/>
    <w:qFormat/>
    <w:uiPriority w:val="0"/>
    <w:pPr>
      <w:ind w:firstLine="420" w:firstLineChars="200"/>
    </w:pPr>
    <w:rPr>
      <w:rFonts w:ascii="Calibri" w:hAnsi="Calibri"/>
      <w:szCs w:val="22"/>
    </w:rPr>
  </w:style>
  <w:style w:type="paragraph" w:styleId="204">
    <w:name w:val="List Paragraph"/>
    <w:basedOn w:val="1"/>
    <w:autoRedefine/>
    <w:qFormat/>
    <w:uiPriority w:val="34"/>
    <w:pPr>
      <w:ind w:firstLine="420" w:firstLineChars="200"/>
    </w:pPr>
    <w:rPr>
      <w:rFonts w:ascii="Calibri" w:hAnsi="Calibri"/>
      <w:szCs w:val="22"/>
    </w:rPr>
  </w:style>
  <w:style w:type="character" w:customStyle="1" w:styleId="205">
    <w:name w:val="二级无 Char"/>
    <w:link w:val="112"/>
    <w:autoRedefine/>
    <w:qFormat/>
    <w:locked/>
    <w:uiPriority w:val="99"/>
    <w:rPr>
      <w:rFonts w:ascii="宋体"/>
      <w:sz w:val="21"/>
      <w:szCs w:val="21"/>
    </w:rPr>
  </w:style>
  <w:style w:type="paragraph" w:customStyle="1" w:styleId="206">
    <w:name w:val="默认段落字体 Para Char Char Char Char"/>
    <w:basedOn w:val="1"/>
    <w:autoRedefine/>
    <w:qFormat/>
    <w:uiPriority w:val="0"/>
  </w:style>
  <w:style w:type="character" w:customStyle="1" w:styleId="207">
    <w:name w:val="label"/>
    <w:basedOn w:val="51"/>
    <w:autoRedefine/>
    <w:qFormat/>
    <w:uiPriority w:val="0"/>
  </w:style>
  <w:style w:type="character" w:customStyle="1" w:styleId="208">
    <w:name w:val="text-success"/>
    <w:basedOn w:val="51"/>
    <w:autoRedefine/>
    <w:qFormat/>
    <w:uiPriority w:val="0"/>
  </w:style>
  <w:style w:type="character" w:customStyle="1" w:styleId="209">
    <w:name w:val="纯文本 字符"/>
    <w:basedOn w:val="51"/>
    <w:link w:val="24"/>
    <w:autoRedefine/>
    <w:qFormat/>
    <w:uiPriority w:val="0"/>
    <w:rPr>
      <w:rFonts w:ascii="宋体" w:hAnsi="Courier New"/>
      <w:color w:val="000000"/>
      <w:kern w:val="2"/>
      <w:sz w:val="21"/>
    </w:rPr>
  </w:style>
  <w:style w:type="character" w:customStyle="1" w:styleId="210">
    <w:name w:val="fontstyle01"/>
    <w:basedOn w:val="51"/>
    <w:autoRedefine/>
    <w:qFormat/>
    <w:uiPriority w:val="0"/>
    <w:rPr>
      <w:rFonts w:hint="eastAsia" w:ascii="宋体" w:hAnsi="宋体" w:eastAsia="宋体"/>
      <w:color w:val="000000"/>
      <w:sz w:val="22"/>
      <w:szCs w:val="22"/>
    </w:rPr>
  </w:style>
  <w:style w:type="character" w:customStyle="1" w:styleId="211">
    <w:name w:val="fontstyle21"/>
    <w:basedOn w:val="51"/>
    <w:autoRedefine/>
    <w:qFormat/>
    <w:uiPriority w:val="0"/>
    <w:rPr>
      <w:rFonts w:hint="eastAsia" w:ascii="宋体" w:hAnsi="宋体" w:eastAsia="宋体"/>
      <w:color w:val="000000"/>
      <w:sz w:val="22"/>
      <w:szCs w:val="22"/>
    </w:rPr>
  </w:style>
  <w:style w:type="character" w:customStyle="1" w:styleId="212">
    <w:name w:val="fontstyle31"/>
    <w:basedOn w:val="51"/>
    <w:autoRedefine/>
    <w:qFormat/>
    <w:uiPriority w:val="0"/>
    <w:rPr>
      <w:rFonts w:hint="default" w:ascii="TimesNewRomanPSMT" w:hAnsi="TimesNewRomanPSMT"/>
      <w:color w:val="000000"/>
      <w:sz w:val="22"/>
      <w:szCs w:val="22"/>
    </w:rPr>
  </w:style>
  <w:style w:type="character" w:customStyle="1" w:styleId="213">
    <w:name w:val="fontstyle41"/>
    <w:basedOn w:val="51"/>
    <w:autoRedefine/>
    <w:qFormat/>
    <w:uiPriority w:val="0"/>
    <w:rPr>
      <w:rFonts w:hint="default" w:ascii="TimesNewRomanPS-BoldMT" w:hAnsi="TimesNewRomanPS-BoldMT"/>
      <w:b/>
      <w:bCs/>
      <w:color w:val="000000"/>
      <w:sz w:val="22"/>
      <w:szCs w:val="22"/>
    </w:rPr>
  </w:style>
  <w:style w:type="character" w:customStyle="1" w:styleId="214">
    <w:name w:val="fontstyle51"/>
    <w:basedOn w:val="51"/>
    <w:autoRedefine/>
    <w:qFormat/>
    <w:uiPriority w:val="0"/>
    <w:rPr>
      <w:rFonts w:hint="default" w:ascii="ArialNarrow" w:hAnsi="ArialNarrow"/>
      <w:color w:val="050505"/>
      <w:sz w:val="22"/>
      <w:szCs w:val="22"/>
    </w:rPr>
  </w:style>
  <w:style w:type="character" w:customStyle="1" w:styleId="215">
    <w:name w:val="正文文本 字符"/>
    <w:basedOn w:val="51"/>
    <w:link w:val="19"/>
    <w:autoRedefine/>
    <w:qFormat/>
    <w:uiPriority w:val="99"/>
    <w:rPr>
      <w:kern w:val="2"/>
      <w:sz w:val="21"/>
      <w:szCs w:val="24"/>
    </w:rPr>
  </w:style>
  <w:style w:type="character" w:customStyle="1" w:styleId="216">
    <w:name w:val="正文首行缩进 Char"/>
    <w:basedOn w:val="215"/>
    <w:autoRedefine/>
    <w:semiHidden/>
    <w:qFormat/>
    <w:uiPriority w:val="99"/>
    <w:rPr>
      <w:kern w:val="2"/>
      <w:sz w:val="21"/>
      <w:szCs w:val="24"/>
    </w:rPr>
  </w:style>
  <w:style w:type="character" w:customStyle="1" w:styleId="217">
    <w:name w:val="正文文本首行缩进 字符"/>
    <w:link w:val="48"/>
    <w:autoRedefine/>
    <w:qFormat/>
    <w:locked/>
    <w:uiPriority w:val="0"/>
    <w:rPr>
      <w:kern w:val="2"/>
      <w:sz w:val="24"/>
      <w:szCs w:val="24"/>
    </w:rPr>
  </w:style>
  <w:style w:type="paragraph" w:customStyle="1" w:styleId="218">
    <w:name w:val="TOC 标题1"/>
    <w:basedOn w:val="2"/>
    <w:next w:val="1"/>
    <w:autoRedefine/>
    <w:unhideWhenUsed/>
    <w:qFormat/>
    <w:uiPriority w:val="39"/>
    <w:pPr>
      <w:outlineLvl w:val="9"/>
    </w:pPr>
  </w:style>
  <w:style w:type="character" w:customStyle="1" w:styleId="219">
    <w:name w:val="正文文本缩进 3 字符"/>
    <w:basedOn w:val="51"/>
    <w:link w:val="38"/>
    <w:autoRedefine/>
    <w:qFormat/>
    <w:uiPriority w:val="0"/>
    <w:rPr>
      <w:kern w:val="2"/>
      <w:sz w:val="16"/>
      <w:szCs w:val="16"/>
    </w:rPr>
  </w:style>
  <w:style w:type="character" w:customStyle="1" w:styleId="220">
    <w:name w:val="font41"/>
    <w:basedOn w:val="51"/>
    <w:autoRedefine/>
    <w:qFormat/>
    <w:uiPriority w:val="0"/>
    <w:rPr>
      <w:rFonts w:hint="eastAsia" w:ascii="宋体" w:hAnsi="宋体" w:eastAsia="宋体" w:cs="宋体"/>
      <w:color w:val="000000"/>
      <w:sz w:val="21"/>
      <w:szCs w:val="21"/>
      <w:u w:val="none"/>
    </w:rPr>
  </w:style>
  <w:style w:type="character" w:customStyle="1" w:styleId="221">
    <w:name w:val="font71"/>
    <w:basedOn w:val="51"/>
    <w:autoRedefine/>
    <w:qFormat/>
    <w:uiPriority w:val="0"/>
    <w:rPr>
      <w:rFonts w:hint="default" w:ascii="Times New Roman" w:hAnsi="Times New Roman" w:cs="Times New Roman"/>
      <w:color w:val="000000"/>
      <w:sz w:val="21"/>
      <w:szCs w:val="21"/>
      <w:u w:val="none"/>
    </w:rPr>
  </w:style>
  <w:style w:type="character" w:customStyle="1" w:styleId="222">
    <w:name w:val="font81"/>
    <w:basedOn w:val="51"/>
    <w:autoRedefine/>
    <w:qFormat/>
    <w:uiPriority w:val="0"/>
    <w:rPr>
      <w:rFonts w:hint="default" w:ascii="Times New Roman" w:hAnsi="Times New Roman" w:cs="Times New Roman"/>
      <w:color w:val="000000"/>
      <w:sz w:val="21"/>
      <w:szCs w:val="21"/>
      <w:u w:val="none"/>
    </w:rPr>
  </w:style>
  <w:style w:type="paragraph" w:customStyle="1" w:styleId="223">
    <w:name w:val="样式1"/>
    <w:basedOn w:val="1"/>
    <w:autoRedefine/>
    <w:qFormat/>
    <w:uiPriority w:val="0"/>
    <w:rPr>
      <w:rFonts w:asciiTheme="minorHAnsi" w:hAnsiTheme="minorHAnsi" w:eastAsiaTheme="minorEastAsia" w:cstheme="minorBidi"/>
    </w:rPr>
  </w:style>
  <w:style w:type="paragraph" w:customStyle="1" w:styleId="2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5">
    <w:name w:val="一级条标题 Char"/>
    <w:link w:val="91"/>
    <w:autoRedefine/>
    <w:qFormat/>
    <w:locked/>
    <w:uiPriority w:val="0"/>
    <w:rPr>
      <w:rFonts w:ascii="黑体" w:eastAsia="黑体"/>
      <w:sz w:val="21"/>
      <w:szCs w:val="21"/>
    </w:rPr>
  </w:style>
  <w:style w:type="character" w:customStyle="1" w:styleId="226">
    <w:name w:val="章标题 Char"/>
    <w:basedOn w:val="51"/>
    <w:link w:val="94"/>
    <w:autoRedefine/>
    <w:qFormat/>
    <w:uiPriority w:val="0"/>
    <w:rPr>
      <w:rFonts w:ascii="黑体" w:eastAsia="黑体"/>
      <w:sz w:val="21"/>
    </w:rPr>
  </w:style>
  <w:style w:type="character" w:customStyle="1" w:styleId="227">
    <w:name w:val="正文文本缩进 3 字符1"/>
    <w:basedOn w:val="51"/>
    <w:autoRedefine/>
    <w:qFormat/>
    <w:uiPriority w:val="0"/>
    <w:rPr>
      <w:rFonts w:ascii="宋体"/>
      <w:kern w:val="2"/>
      <w:sz w:val="24"/>
      <w:szCs w:val="24"/>
    </w:rPr>
  </w:style>
  <w:style w:type="paragraph" w:customStyle="1" w:styleId="22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table" w:customStyle="1" w:styleId="229">
    <w:name w:val="网格型2"/>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3"/>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1">
    <w:name w:val="_Style 230"/>
    <w:basedOn w:val="1"/>
    <w:next w:val="1"/>
    <w:autoRedefine/>
    <w:qFormat/>
    <w:uiPriority w:val="39"/>
    <w:pPr>
      <w:tabs>
        <w:tab w:val="right" w:leader="dot" w:pos="9242"/>
      </w:tabs>
    </w:pPr>
    <w:rPr>
      <w:rFonts w:ascii="宋体"/>
      <w:szCs w:val="21"/>
    </w:rPr>
  </w:style>
  <w:style w:type="paragraph" w:customStyle="1" w:styleId="23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2053"/>
    <customShpInfo spid="_x0000_s2052"/>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CB53D-A900-4EC3-87A4-490E423EAD8C}">
  <ds:schemaRefs/>
</ds:datastoreItem>
</file>

<file path=docProps/app.xml><?xml version="1.0" encoding="utf-8"?>
<Properties xmlns="http://schemas.openxmlformats.org/officeDocument/2006/extended-properties" xmlns:vt="http://schemas.openxmlformats.org/officeDocument/2006/docPropsVTypes">
  <Template>Normal</Template>
  <Pages>11</Pages>
  <Words>1153</Words>
  <Characters>6574</Characters>
  <Lines>54</Lines>
  <Paragraphs>15</Paragraphs>
  <TotalTime>122</TotalTime>
  <ScaleCrop>false</ScaleCrop>
  <LinksUpToDate>false</LinksUpToDate>
  <CharactersWithSpaces>7712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2019-06-03T08:34:00Z</dcterms:created>
  <dc:creator>huicai</dc:creator>
  <cp:lastModifiedBy>SJ</cp:lastModifiedBy>
  <cp:lastPrinted>2024-03-22T06:35:00Z</cp:lastPrinted>
  <dcterms:modified xsi:type="dcterms:W3CDTF">2024-03-26T03:51:52Z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MTWinEqns">
    <vt:bool>true</vt:bool>
  </property>
  <property fmtid="{D5CDD505-2E9C-101B-9397-08002B2CF9AE}" pid="4" name="ICV">
    <vt:lpwstr>4B5550FF42324469BA16D66F604FF1B8</vt:lpwstr>
  </property>
</Properties>
</file>