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hSpace="0" w:vSpace="0" w:wrap="auto" w:vAnchor="margin" w:hAnchor="text" w:yAlign="inline"/>
        <w:rPr>
          <w:rFonts w:ascii="黑体"/>
          <w:color w:val="000000"/>
        </w:rPr>
      </w:pPr>
      <w:r>
        <w:rPr>
          <w:rFonts w:ascii="黑体" w:cs="黑体"/>
          <w:color w:val="000000"/>
        </w:rPr>
        <w:t>ICS 97.040.30</w:t>
      </w:r>
    </w:p>
    <w:p>
      <w:pPr>
        <w:pStyle w:val="39"/>
        <w:framePr w:hSpace="0" w:vSpace="0" w:wrap="auto" w:vAnchor="margin" w:hAnchor="text" w:yAlign="inline"/>
        <w:rPr>
          <w:rFonts w:ascii="黑体" w:cs="黑体"/>
          <w:color w:val="000000"/>
        </w:rPr>
      </w:pPr>
      <w:r>
        <w:rPr>
          <w:rFonts w:ascii="黑体" w:cs="黑体"/>
          <w:color w:val="000000"/>
        </w:rPr>
        <w:t>CCS Y 61</w:t>
      </w:r>
    </w:p>
    <w:p>
      <w:pPr>
        <w:pStyle w:val="39"/>
        <w:framePr w:hSpace="0" w:vSpace="0" w:wrap="auto" w:vAnchor="margin" w:hAnchor="text" w:yAlign="inline"/>
        <w:jc w:val="right"/>
        <w:rPr>
          <w:b/>
          <w:szCs w:val="21"/>
        </w:rPr>
      </w:pPr>
    </w:p>
    <w:p>
      <w:pPr>
        <w:pStyle w:val="39"/>
        <w:framePr w:hSpace="0" w:vSpace="0" w:wrap="auto" w:vAnchor="margin" w:hAnchor="text" w:yAlign="inline"/>
      </w:pPr>
    </w:p>
    <w:p>
      <w:pPr>
        <w:pStyle w:val="39"/>
        <w:framePr w:hSpace="0" w:vSpace="0" w:wrap="auto" w:vAnchor="margin" w:hAnchor="text" w:yAlign="inline"/>
      </w:pPr>
    </w:p>
    <w:p>
      <w:pPr>
        <w:pStyle w:val="36"/>
        <w:ind w:left="-10" w:leftChars="-136" w:right="-483" w:rightChars="-230" w:hanging="276" w:hangingChars="34"/>
        <w:jc w:val="center"/>
      </w:pPr>
    </w:p>
    <w:p>
      <w:pPr>
        <w:pStyle w:val="36"/>
        <w:ind w:left="-10" w:leftChars="-136" w:right="-483" w:rightChars="-230" w:hanging="276" w:hangingChars="34"/>
        <w:jc w:val="center"/>
      </w:pPr>
      <w: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469265</wp:posOffset>
                </wp:positionV>
                <wp:extent cx="5887720" cy="0"/>
                <wp:effectExtent l="0" t="0" r="0" b="0"/>
                <wp:wrapTopAndBottom/>
                <wp:docPr id="461296599" name="直接连接符 9"/>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23.65pt;margin-top:36.95pt;height:0pt;width:463.6pt;mso-wrap-distance-bottom:0pt;mso-wrap-distance-top:0pt;z-index:251661312;mso-width-relative:page;mso-height-relative:page;" filled="f" stroked="t" coordsize="21600,21600" o:gfxdata="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nmhY/YAAAACQEAAA8AAAAAAAAAAQAgAAAAIgAAAGRycy9kb3ducmV2Lnht&#10;bFBLAQIUABQAAAAIAIdO4kB7oxrc+QEAAO8DAAAOAAAAAAAAAAEAIAAAACcBAABkcnMvZTJvRG9j&#10;LnhtbFBLBQYAAAAABgAGAFkBAACSBQAAAAA=&#10;">
                <v:fill on="f" focussize="0,0"/>
                <v:stroke weight="1pt" color="#000000" joinstyle="round"/>
                <v:imagedata o:title=""/>
                <o:lock v:ext="edit" aspectratio="f"/>
                <w10:wrap type="topAndBottom"/>
              </v:line>
            </w:pict>
          </mc:Fallback>
        </mc:AlternateContent>
      </w:r>
    </w:p>
    <w:p>
      <w:pPr>
        <w:pStyle w:val="36"/>
        <w:ind w:left="-10" w:leftChars="-136" w:right="-483" w:rightChars="-230" w:hanging="276" w:hangingChars="34"/>
        <w:jc w:val="center"/>
      </w:pPr>
      <w:r>
        <mc:AlternateContent>
          <mc:Choice Requires="wps">
            <w:drawing>
              <wp:anchor distT="0" distB="0" distL="114300" distR="114300" simplePos="0" relativeHeight="251662336" behindDoc="0" locked="1" layoutInCell="0" allowOverlap="1">
                <wp:simplePos x="0" y="0"/>
                <wp:positionH relativeFrom="margin">
                  <wp:posOffset>-309245</wp:posOffset>
                </wp:positionH>
                <wp:positionV relativeFrom="margin">
                  <wp:posOffset>965200</wp:posOffset>
                </wp:positionV>
                <wp:extent cx="5919470" cy="391160"/>
                <wp:effectExtent l="0" t="0" r="0" b="0"/>
                <wp:wrapNone/>
                <wp:docPr id="123162406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919470" cy="391160"/>
                        </a:xfrm>
                        <a:prstGeom prst="rect">
                          <a:avLst/>
                        </a:prstGeom>
                        <a:solidFill>
                          <a:srgbClr val="FFFFFF"/>
                        </a:solidFill>
                        <a:ln>
                          <a:noFill/>
                        </a:ln>
                      </wps:spPr>
                      <wps:txbx>
                        <w:txbxContent>
                          <w:p>
                            <w:pPr>
                              <w:pStyle w:val="36"/>
                              <w:rPr>
                                <w:sz w:val="44"/>
                                <w:szCs w:val="44"/>
                              </w:rPr>
                            </w:pPr>
                            <w:r>
                              <w:rPr>
                                <w:rFonts w:hint="eastAsia"/>
                                <w:sz w:val="44"/>
                                <w:szCs w:val="44"/>
                              </w:rPr>
                              <w:t>团体标准</w:t>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left:-24.35pt;margin-top:76pt;height:30.8pt;width:466.1pt;mso-position-horizontal-relative:margin;mso-position-vertical-relative:margin;z-index:251662336;mso-width-relative:page;mso-height-relative:page;" fillcolor="#FFFFFF" filled="t" stroked="f" coordsize="21600,21600" o:allowincell="f" o:gfxdata="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OrBKdoAAAALAQAADwAAAAAAAAABACAAAAAiAAAAZHJzL2Rvd25yZXYueG1sUEsBAhQA&#10;FAAAAAgAh07iQHstbXwpAgAANwQAAA4AAAAAAAAAAQAgAAAAKQEAAGRycy9lMm9Eb2MueG1sUEsF&#10;BgAAAAAGAAYAWQEAAMQFAAAAAA==&#10;">
                <v:fill on="t" focussize="0,0"/>
                <v:stroke on="f"/>
                <v:imagedata o:title=""/>
                <o:lock v:ext="edit" aspectratio="f"/>
                <v:textbox inset="0mm,0mm,0mm,0mm">
                  <w:txbxContent>
                    <w:p>
                      <w:pPr>
                        <w:pStyle w:val="36"/>
                        <w:rPr>
                          <w:sz w:val="44"/>
                          <w:szCs w:val="44"/>
                        </w:rPr>
                      </w:pPr>
                      <w:r>
                        <w:rPr>
                          <w:rFonts w:hint="eastAsia"/>
                          <w:sz w:val="44"/>
                          <w:szCs w:val="44"/>
                        </w:rPr>
                        <w:t>团体标准</w:t>
                      </w:r>
                    </w:p>
                  </w:txbxContent>
                </v:textbox>
                <w10:anchorlock/>
              </v:shape>
            </w:pict>
          </mc:Fallback>
        </mc:AlternateContent>
      </w:r>
      <w:r>
        <mc:AlternateContent>
          <mc:Choice Requires="wps">
            <w:drawing>
              <wp:anchor distT="0" distB="0" distL="114300" distR="114300" simplePos="0" relativeHeight="251662336" behindDoc="1" locked="1" layoutInCell="0" allowOverlap="1">
                <wp:simplePos x="0" y="0"/>
                <wp:positionH relativeFrom="margin">
                  <wp:posOffset>3400425</wp:posOffset>
                </wp:positionH>
                <wp:positionV relativeFrom="margin">
                  <wp:posOffset>1295400</wp:posOffset>
                </wp:positionV>
                <wp:extent cx="2087880" cy="472440"/>
                <wp:effectExtent l="0" t="0" r="0" b="0"/>
                <wp:wrapNone/>
                <wp:docPr id="20557067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87880" cy="472440"/>
                        </a:xfrm>
                        <a:prstGeom prst="rect">
                          <a:avLst/>
                        </a:prstGeom>
                        <a:solidFill>
                          <a:srgbClr val="FFFFFF"/>
                        </a:solidFill>
                        <a:ln>
                          <a:noFill/>
                        </a:ln>
                      </wps:spPr>
                      <wps:txbx>
                        <w:txbxContent>
                          <w:p>
                            <w:pPr>
                              <w:pStyle w:val="42"/>
                              <w:rPr>
                                <w:rFonts w:ascii="黑体" w:hAnsi="黑体" w:eastAsia="黑体"/>
                                <w:szCs w:val="28"/>
                              </w:rPr>
                            </w:pPr>
                            <w:r>
                              <w:rPr>
                                <w:szCs w:val="28"/>
                              </w:rPr>
                              <w:t>T/ CNLIC ****—202</w:t>
                            </w:r>
                            <w:r>
                              <w:rPr>
                                <w:rFonts w:ascii="黑体" w:hAnsi="黑体" w:eastAsia="黑体"/>
                                <w:szCs w:val="28"/>
                              </w:rPr>
                              <w:t>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267.75pt;margin-top:102pt;height:37.2pt;width:164.4pt;mso-position-horizontal-relative:margin;mso-position-vertical-relative:margin;z-index:-251654144;mso-width-relative:page;mso-height-relative:page;" fillcolor="#FFFFFF" filled="t" stroked="f" coordsize="21600,21600" o:allowincell="f" o:gfxdata="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xXxd2gAAAAsBAAAPAAAAAAAAAAEAIAAAACIAAABkcnMvZG93bnJldi54bWxQSwECFAAU&#10;AAAACACHTuJAZGphCigCAAA2BAAADgAAAAAAAAABACAAAAApAQAAZHJzL2Uyb0RvYy54bWxQSwUG&#10;AAAAAAYABgBZAQAAwwUAAAAA&#10;">
                <v:fill on="t" focussize="0,0"/>
                <v:stroke on="f"/>
                <v:imagedata o:title=""/>
                <o:lock v:ext="edit" aspectratio="f"/>
                <v:textbox inset="0mm,0mm,0mm,0mm">
                  <w:txbxContent>
                    <w:p>
                      <w:pPr>
                        <w:pStyle w:val="42"/>
                        <w:rPr>
                          <w:rFonts w:ascii="黑体" w:hAnsi="黑体" w:eastAsia="黑体"/>
                          <w:szCs w:val="28"/>
                        </w:rPr>
                      </w:pPr>
                      <w:r>
                        <w:rPr>
                          <w:szCs w:val="28"/>
                        </w:rPr>
                        <w:t>T/ CNLIC ****—202</w:t>
                      </w:r>
                      <w:r>
                        <w:rPr>
                          <w:rFonts w:ascii="黑体" w:hAnsi="黑体" w:eastAsia="黑体"/>
                          <w:szCs w:val="28"/>
                        </w:rPr>
                        <w:t>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v:textbox>
                <w10:anchorlock/>
              </v:shape>
            </w:pict>
          </mc:Fallback>
        </mc:AlternateContent>
      </w:r>
      <w:bookmarkStart w:id="0" w:name="_Toc388513326"/>
      <w:bookmarkEnd w:id="0"/>
      <w:bookmarkStart w:id="1" w:name="_Toc388513519"/>
      <w:bookmarkEnd w:id="1"/>
      <w:bookmarkStart w:id="2" w:name="_Toc388512205"/>
      <w:bookmarkEnd w:id="2"/>
      <w:bookmarkStart w:id="3" w:name="_Toc388512741"/>
      <w:bookmarkEnd w:id="3"/>
      <w:bookmarkStart w:id="4" w:name="_Toc388513452"/>
      <w:bookmarkEnd w:id="4"/>
      <w:r>
        <mc:AlternateContent>
          <mc:Choice Requires="wps">
            <w:drawing>
              <wp:anchor distT="0" distB="0" distL="114300" distR="114300" simplePos="0" relativeHeight="251663360" behindDoc="0" locked="1" layoutInCell="0" allowOverlap="1">
                <wp:simplePos x="0" y="0"/>
                <wp:positionH relativeFrom="margin">
                  <wp:posOffset>-2540</wp:posOffset>
                </wp:positionH>
                <wp:positionV relativeFrom="margin">
                  <wp:posOffset>3775075</wp:posOffset>
                </wp:positionV>
                <wp:extent cx="5277485" cy="2816225"/>
                <wp:effectExtent l="0" t="0" r="0" b="0"/>
                <wp:wrapNone/>
                <wp:docPr id="54373714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277485" cy="2816225"/>
                        </a:xfrm>
                        <a:prstGeom prst="rect">
                          <a:avLst/>
                        </a:prstGeom>
                        <a:solidFill>
                          <a:srgbClr val="FFFFFF"/>
                        </a:solidFill>
                        <a:ln>
                          <a:noFill/>
                        </a:ln>
                      </wps:spPr>
                      <wps:txbx>
                        <w:txbxContent>
                          <w:p>
                            <w:pPr>
                              <w:jc w:val="center"/>
                              <w:rPr>
                                <w:rFonts w:ascii="黑体" w:hAnsi="黑体" w:eastAsia="黑体"/>
                                <w:sz w:val="52"/>
                                <w:szCs w:val="52"/>
                              </w:rPr>
                            </w:pPr>
                            <w:r>
                              <w:rPr>
                                <w:rFonts w:hint="eastAsia" w:ascii="黑体" w:hAnsi="黑体" w:eastAsia="黑体"/>
                                <w:sz w:val="52"/>
                                <w:szCs w:val="52"/>
                              </w:rPr>
                              <w:t>家用和类似用途集成电源系统技术要求及试验方法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Technical requirements and test methods for integrated power supply systems for household and similar purposes</w:t>
                            </w: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(草案)</w:t>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left:-0.2pt;margin-top:297.25pt;height:221.75pt;width:415.55pt;mso-position-horizontal-relative:margin;mso-position-vertical-relative:margin;z-index:251663360;mso-width-relative:page;mso-height-relative:page;" fillcolor="#FFFFFF" filled="t" stroked="f" coordsize="21600,21600" o:allowincell="f" o:gfxdata="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btmetkAAAAKAQAADwAAAAAAAAABACAAAAAiAAAAZHJzL2Rvd25yZXYueG1sUEsBAhQA&#10;FAAAAAgAh07iQIB9kREqAgAANwQAAA4AAAAAAAAAAQAgAAAAKAEAAGRycy9lMm9Eb2MueG1sUEsF&#10;BgAAAAAGAAYAWQEAAMQFAAAAAA==&#10;">
                <v:fill on="t" focussize="0,0"/>
                <v:stroke on="f"/>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家用和类似用途集成电源系统技术要求及试验方法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Technical requirements and test methods for integrated power supply systems for household and similar purposes</w:t>
                      </w: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(草案)</w:t>
                      </w:r>
                    </w:p>
                  </w:txbxContent>
                </v:textbox>
                <w10:anchorlock/>
              </v:shape>
            </w:pict>
          </mc:Fallback>
        </mc:AlternateContent>
      </w:r>
    </w:p>
    <w:p>
      <w:pPr>
        <w:jc w:val="left"/>
      </w:pPr>
    </w:p>
    <w:p>
      <w:pPr>
        <w:jc w:val="left"/>
      </w:pPr>
    </w:p>
    <w:p>
      <w:pPr>
        <w:jc w:val="left"/>
      </w:pPr>
    </w:p>
    <w:p>
      <w:pPr>
        <w:jc w:val="left"/>
      </w:pPr>
    </w:p>
    <w:p>
      <w:pPr>
        <w:jc w:val="left"/>
      </w:pPr>
    </w:p>
    <w:p>
      <w:pPr>
        <w:jc w:val="left"/>
      </w:pPr>
      <w:r>
        <mc:AlternateContent>
          <mc:Choice Requires="wps">
            <w:drawing>
              <wp:anchor distT="0" distB="0" distL="114300" distR="114300" simplePos="0" relativeHeight="251660288" behindDoc="0" locked="0" layoutInCell="1" allowOverlap="1">
                <wp:simplePos x="0" y="0"/>
                <wp:positionH relativeFrom="column">
                  <wp:posOffset>-321945</wp:posOffset>
                </wp:positionH>
                <wp:positionV relativeFrom="paragraph">
                  <wp:posOffset>4230370</wp:posOffset>
                </wp:positionV>
                <wp:extent cx="5848350" cy="0"/>
                <wp:effectExtent l="0" t="0" r="0" b="0"/>
                <wp:wrapNone/>
                <wp:docPr id="1512510298"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2700">
                          <a:solidFill>
                            <a:srgbClr val="000000"/>
                          </a:solidFill>
                          <a:round/>
                        </a:ln>
                      </wps:spPr>
                      <wps:bodyPr/>
                    </wps:wsp>
                  </a:graphicData>
                </a:graphic>
              </wp:anchor>
            </w:drawing>
          </mc:Choice>
          <mc:Fallback>
            <w:pict>
              <v:shape id="直接箭头连接符 4" o:spid="_x0000_s1026" o:spt="32" type="#_x0000_t32" style="position:absolute;left:0pt;margin-left:-25.35pt;margin-top:333.1pt;height:0pt;width:460.5pt;z-index:251660288;mso-width-relative:page;mso-height-relative:page;" filled="f" stroked="t" coordsize="21600,21600" o:gfxdata="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8byg1QAAAAsBAAAPAAAAAAAAAAEAIAAAACIAAABkcnMvZG93bnJldi54&#10;bWxQSwECFAAUAAAACACHTuJA+zIu9f0BAADIAwAADgAAAAAAAAABACAAAAAkAQAAZHJzL2Uyb0Rv&#10;Yy54bWxQSwUGAAAAAAYABgBZAQAAkwU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59264" behindDoc="1" locked="1" layoutInCell="1" allowOverlap="1">
                <wp:simplePos x="0" y="0"/>
                <wp:positionH relativeFrom="margin">
                  <wp:posOffset>-214630</wp:posOffset>
                </wp:positionH>
                <wp:positionV relativeFrom="margin">
                  <wp:posOffset>7998460</wp:posOffset>
                </wp:positionV>
                <wp:extent cx="2019300" cy="312420"/>
                <wp:effectExtent l="0" t="0" r="0" b="0"/>
                <wp:wrapNone/>
                <wp:docPr id="160229345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6"/>
                              <w:rPr>
                                <w:rFonts w:ascii="黑体" w:hAnsi="黑体"/>
                                <w:szCs w:val="28"/>
                              </w:rPr>
                            </w:pPr>
                            <w:r>
                              <w:rPr>
                                <w:rFonts w:ascii="黑体" w:hAnsi="黑体"/>
                                <w:szCs w:val="28"/>
                              </w:rPr>
                              <w:t>202X-XX-XX</w:t>
                            </w:r>
                            <w:r>
                              <w:rPr>
                                <w:rFonts w:hint="eastAsia" w:ascii="黑体" w:hAnsi="黑体"/>
                                <w:szCs w:val="28"/>
                              </w:rPr>
                              <w:t>发布</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16.9pt;margin-top:629.8pt;height:24.6pt;width:159pt;mso-position-horizontal-relative:margin;mso-position-vertical-relative:margin;z-index:-251657216;mso-width-relative:page;mso-height-relative:page;" fillcolor="#FFFFFF" filled="t" stroked="f" coordsize="21600,21600" o:gfxdata="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eRdtsAAAANAQAADwAAAAAAAAABACAAAAAiAAAAZHJzL2Rvd25yZXYueG1sUEsBAhQA&#10;FAAAAAgAh07iQHD+/g4oAgAANwQAAA4AAAAAAAAAAQAgAAAAKgEAAGRycy9lMm9Eb2MueG1sUEsF&#10;BgAAAAAGAAYAWQEAAMQFAAAAAA==&#10;">
                <v:fill on="t" focussize="0,0"/>
                <v:stroke on="f"/>
                <v:imagedata o:title=""/>
                <o:lock v:ext="edit" aspectratio="f"/>
                <v:textbox inset="0mm,0mm,0mm,0mm">
                  <w:txbxContent>
                    <w:p>
                      <w:pPr>
                        <w:pStyle w:val="46"/>
                        <w:rPr>
                          <w:rFonts w:ascii="黑体" w:hAnsi="黑体"/>
                          <w:szCs w:val="28"/>
                        </w:rPr>
                      </w:pPr>
                      <w:r>
                        <w:rPr>
                          <w:rFonts w:ascii="黑体" w:hAnsi="黑体"/>
                          <w:szCs w:val="28"/>
                        </w:rPr>
                        <w:t>202X-XX-XX</w:t>
                      </w:r>
                      <w:r>
                        <w:rPr>
                          <w:rFonts w:hint="eastAsia" w:ascii="黑体" w:hAnsi="黑体"/>
                          <w:szCs w:val="28"/>
                        </w:rPr>
                        <w:t>发布</w:t>
                      </w:r>
                    </w:p>
                  </w:txbxContent>
                </v:textbox>
                <w10:anchorlock/>
              </v:shape>
            </w:pict>
          </mc:Fallback>
        </mc:AlternateContent>
      </w:r>
    </w:p>
    <w:p>
      <w:pPr>
        <w:widowControl/>
        <w:jc w:val="left"/>
        <w:rPr>
          <w:rFonts w:ascii="黑体" w:eastAsia="黑体"/>
          <w:spacing w:val="22"/>
          <w:position w:val="3"/>
          <w:sz w:val="28"/>
        </w:rPr>
        <w:sectPr>
          <w:headerReference r:id="rId3" w:type="default"/>
          <w:footerReference r:id="rId5" w:type="default"/>
          <w:headerReference r:id="rId4" w:type="even"/>
          <w:footerReference r:id="rId6" w:type="even"/>
          <w:pgSz w:w="11907" w:h="16839"/>
          <w:pgMar w:top="1440" w:right="1800" w:bottom="1440" w:left="1800" w:header="850" w:footer="851" w:gutter="0"/>
          <w:pgNumType w:fmt="upperRoman" w:start="2"/>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margin">
                  <wp:posOffset>4399915</wp:posOffset>
                </wp:positionH>
                <wp:positionV relativeFrom="margin">
                  <wp:posOffset>8570595</wp:posOffset>
                </wp:positionV>
                <wp:extent cx="479425" cy="367030"/>
                <wp:effectExtent l="0" t="0" r="0" b="0"/>
                <wp:wrapNone/>
                <wp:docPr id="445366586" name="文本框 3"/>
                <wp:cNvGraphicFramePr/>
                <a:graphic xmlns:a="http://schemas.openxmlformats.org/drawingml/2006/main">
                  <a:graphicData uri="http://schemas.microsoft.com/office/word/2010/wordprocessingShape">
                    <wps:wsp>
                      <wps:cNvSpPr txBox="1"/>
                      <wps:spPr>
                        <a:xfrm>
                          <a:off x="0" y="0"/>
                          <a:ext cx="479425" cy="367030"/>
                        </a:xfrm>
                        <a:prstGeom prst="rect">
                          <a:avLst/>
                        </a:prstGeom>
                        <a:solidFill>
                          <a:srgbClr val="FFFFFF">
                            <a:alpha val="100000"/>
                          </a:srgbClr>
                        </a:solidFill>
                        <a:ln>
                          <a:noFill/>
                        </a:ln>
                      </wps:spPr>
                      <wps:txbx>
                        <w:txbxContent>
                          <w:p>
                            <w:pPr>
                              <w:pStyle w:val="58"/>
                            </w:pPr>
                            <w:r>
                              <w:t>发布</w:t>
                            </w:r>
                          </w:p>
                        </w:txbxContent>
                      </wps:txbx>
                      <wps:bodyPr vertOverflow="overflow" horzOverflow="overflow" lIns="0" tIns="0" rIns="0" bIns="0"/>
                    </wps:wsp>
                  </a:graphicData>
                </a:graphic>
              </wp:anchor>
            </w:drawing>
          </mc:Choice>
          <mc:Fallback>
            <w:pict>
              <v:shape id="文本框 3" o:spid="_x0000_s1026" o:spt="202" type="#_x0000_t202" style="position:absolute;left:0pt;margin-left:346.45pt;margin-top:674.85pt;height:28.9pt;width:37.75pt;mso-position-horizontal-relative:margin;mso-position-vertical-relative:margin;z-index:251666432;mso-width-relative:page;mso-height-relative:page;" fillcolor="#FFFFFF" filled="t" stroked="f" coordsize="21600,21600" o:gfxdata="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TXPfcAAAADQEAAA8AAAAAAAAAAQAgAAAAIgAAAGRycy9kb3ducmV2LnhtbFBL&#10;AQIUABQAAAAIAIdO4kCe+A188gEAAOgDAAAOAAAAAAAAAAEAIAAAACsBAABkcnMvZTJvRG9jLnht&#10;bFBLBQYAAAAABgAGAFkBAACPBQAAAAA=&#10;">
                <v:fill on="t" focussize="0,0"/>
                <v:stroke on="f"/>
                <v:imagedata o:title=""/>
                <o:lock v:ext="edit" aspectratio="f"/>
                <v:textbox inset="0mm,0mm,0mm,0mm">
                  <w:txbxContent>
                    <w:p>
                      <w:pPr>
                        <w:pStyle w:val="58"/>
                      </w:pPr>
                      <w:r>
                        <w:t>发布</w:t>
                      </w:r>
                    </w:p>
                  </w:txbxContent>
                </v:textbox>
              </v:shape>
            </w:pict>
          </mc:Fallback>
        </mc:AlternateContent>
      </w:r>
      <w:r>
        <mc:AlternateContent>
          <mc:Choice Requires="wps">
            <w:drawing>
              <wp:anchor distT="0" distB="0" distL="0" distR="0" simplePos="0" relativeHeight="251665408" behindDoc="0" locked="0" layoutInCell="1" allowOverlap="1">
                <wp:simplePos x="0" y="0"/>
                <wp:positionH relativeFrom="margin">
                  <wp:posOffset>839470</wp:posOffset>
                </wp:positionH>
                <wp:positionV relativeFrom="margin">
                  <wp:posOffset>8644890</wp:posOffset>
                </wp:positionV>
                <wp:extent cx="3386455" cy="273050"/>
                <wp:effectExtent l="0" t="0" r="0" b="0"/>
                <wp:wrapNone/>
                <wp:docPr id="1547038667" name="文本框 2"/>
                <wp:cNvGraphicFramePr/>
                <a:graphic xmlns:a="http://schemas.openxmlformats.org/drawingml/2006/main">
                  <a:graphicData uri="http://schemas.microsoft.com/office/word/2010/wordprocessingShape">
                    <wps:wsp>
                      <wps:cNvSpPr txBox="1"/>
                      <wps:spPr>
                        <a:xfrm>
                          <a:off x="0" y="0"/>
                          <a:ext cx="3386455" cy="273050"/>
                        </a:xfrm>
                        <a:prstGeom prst="rect">
                          <a:avLst/>
                        </a:prstGeom>
                        <a:solidFill>
                          <a:srgbClr val="FFFFFF">
                            <a:alpha val="100000"/>
                          </a:srgbClr>
                        </a:solidFill>
                        <a:ln>
                          <a:noFill/>
                        </a:ln>
                      </wps:spPr>
                      <wps:txbx>
                        <w:txbxContent>
                          <w:p>
                            <w:pPr>
                              <w:pStyle w:val="56"/>
                              <w:framePr w:w="0" w:hRule="auto" w:hSpace="0" w:vSpace="0" w:wrap="auto" w:vAnchor="margin" w:hAnchor="text" w:yAlign="inline"/>
                              <w:jc w:val="center"/>
                              <w:rPr>
                                <w:rFonts w:ascii="黑体" w:hAnsi="黑体"/>
                                <w:sz w:val="30"/>
                                <w:szCs w:val="30"/>
                              </w:rPr>
                            </w:pPr>
                            <w:r>
                              <w:rPr>
                                <w:rFonts w:hint="eastAsia" w:ascii="黑体" w:hAnsi="黑体"/>
                                <w:sz w:val="30"/>
                                <w:szCs w:val="30"/>
                              </w:rPr>
                              <w:t>中国</w:t>
                            </w:r>
                            <w:r>
                              <w:rPr>
                                <w:rFonts w:ascii="黑体" w:hAnsi="黑体"/>
                                <w:sz w:val="30"/>
                                <w:szCs w:val="30"/>
                              </w:rPr>
                              <w:t>轻工业联合会</w:t>
                            </w:r>
                          </w:p>
                        </w:txbxContent>
                      </wps:txbx>
                      <wps:bodyPr vertOverflow="overflow" horzOverflow="overflow" lIns="0" tIns="0" rIns="0" bIns="0">
                        <a:noAutofit/>
                      </wps:bodyPr>
                    </wps:wsp>
                  </a:graphicData>
                </a:graphic>
              </wp:anchor>
            </w:drawing>
          </mc:Choice>
          <mc:Fallback>
            <w:pict>
              <v:shape id="文本框 2" o:spid="_x0000_s1026" o:spt="202" type="#_x0000_t202" style="position:absolute;left:0pt;margin-left:66.1pt;margin-top:680.7pt;height:21.5pt;width:266.65pt;mso-position-horizontal-relative:margin;mso-position-vertical-relative:margin;z-index:251665408;mso-width-relative:page;mso-height-relative:page;" fillcolor="#FFFFFF" filled="t" stroked="f" coordsize="21600,21600" o:gfxdata="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Gwue9oAAAANAQAADwAAAAAAAAABACAAAAAiAAAAZHJzL2Rvd25y&#10;ZXYueG1sUEsBAhQAFAAAAAgAh07iQMd0JAz8AQAABAQAAA4AAAAAAAAAAQAgAAAAKQEAAGRycy9l&#10;Mm9Eb2MueG1sUEsFBgAAAAAGAAYAWQEAAJcFAAAAAA==&#10;">
                <v:fill on="t" focussize="0,0"/>
                <v:stroke on="f"/>
                <v:imagedata o:title=""/>
                <o:lock v:ext="edit" aspectratio="f"/>
                <v:textbox inset="0mm,0mm,0mm,0mm">
                  <w:txbxContent>
                    <w:p>
                      <w:pPr>
                        <w:pStyle w:val="56"/>
                        <w:framePr w:w="0" w:hRule="auto" w:hSpace="0" w:vSpace="0" w:wrap="auto" w:vAnchor="margin" w:hAnchor="text" w:yAlign="inline"/>
                        <w:jc w:val="center"/>
                        <w:rPr>
                          <w:rFonts w:ascii="黑体" w:hAnsi="黑体"/>
                          <w:sz w:val="30"/>
                          <w:szCs w:val="30"/>
                        </w:rPr>
                      </w:pPr>
                      <w:r>
                        <w:rPr>
                          <w:rFonts w:hint="eastAsia" w:ascii="黑体" w:hAnsi="黑体"/>
                          <w:sz w:val="30"/>
                          <w:szCs w:val="30"/>
                        </w:rPr>
                        <w:t>中国</w:t>
                      </w:r>
                      <w:r>
                        <w:rPr>
                          <w:rFonts w:ascii="黑体" w:hAnsi="黑体"/>
                          <w:sz w:val="30"/>
                          <w:szCs w:val="30"/>
                        </w:rPr>
                        <w:t>轻工业联合会</w:t>
                      </w:r>
                    </w:p>
                  </w:txbxContent>
                </v:textbox>
              </v:shape>
            </w:pict>
          </mc:Fallback>
        </mc:AlternateContent>
      </w:r>
      <w:r>
        <mc:AlternateContent>
          <mc:Choice Requires="wps">
            <w:drawing>
              <wp:anchor distT="0" distB="0" distL="114300" distR="114300" simplePos="0" relativeHeight="251664384" behindDoc="1" locked="1" layoutInCell="1" allowOverlap="1">
                <wp:simplePos x="0" y="0"/>
                <wp:positionH relativeFrom="margin">
                  <wp:posOffset>4117975</wp:posOffset>
                </wp:positionH>
                <wp:positionV relativeFrom="margin">
                  <wp:posOffset>8044815</wp:posOffset>
                </wp:positionV>
                <wp:extent cx="1363980" cy="289560"/>
                <wp:effectExtent l="0" t="0" r="0" b="0"/>
                <wp:wrapNone/>
                <wp:docPr id="166843673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a:noFill/>
                        </a:ln>
                      </wps:spPr>
                      <wps:txbx>
                        <w:txbxContent>
                          <w:p>
                            <w:pPr>
                              <w:pStyle w:val="44"/>
                              <w:rPr>
                                <w:szCs w:val="28"/>
                              </w:rPr>
                            </w:pPr>
                            <w:r>
                              <w:rPr>
                                <w:rFonts w:ascii="黑体" w:hAnsi="黑体"/>
                                <w:szCs w:val="28"/>
                              </w:rPr>
                              <w:t>202X-XX-XX</w:t>
                            </w:r>
                            <w:r>
                              <w:rPr>
                                <w:rFonts w:hint="eastAsia"/>
                                <w:szCs w:val="28"/>
                              </w:rPr>
                              <w:t>实施</w:t>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324.25pt;margin-top:633.45pt;height:22.8pt;width:107.4pt;mso-position-horizontal-relative:margin;mso-position-vertical-relative:margin;z-index:-251652096;mso-width-relative:page;mso-height-relative:page;" fillcolor="#FFFFFF" filled="t" stroked="f" coordsize="21600,21600" o:gfxdata="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cJeT7bAAAADQEAAA8AAAAAAAAAAQAgAAAAIgAAAGRycy9kb3ducmV2LnhtbFBLAQIU&#10;ABQAAAAIAIdO4kDRUB1KKQIAADcEAAAOAAAAAAAAAAEAIAAAACoBAABkcnMvZTJvRG9jLnhtbFBL&#10;BQYAAAAABgAGAFkBAADFBQAAAAA=&#10;">
                <v:fill on="t" focussize="0,0"/>
                <v:stroke on="f"/>
                <v:imagedata o:title=""/>
                <o:lock v:ext="edit" aspectratio="f"/>
                <v:textbox inset="0mm,0mm,0mm,0mm">
                  <w:txbxContent>
                    <w:p>
                      <w:pPr>
                        <w:pStyle w:val="44"/>
                        <w:rPr>
                          <w:szCs w:val="28"/>
                        </w:rPr>
                      </w:pPr>
                      <w:r>
                        <w:rPr>
                          <w:rFonts w:ascii="黑体" w:hAnsi="黑体"/>
                          <w:szCs w:val="28"/>
                        </w:rPr>
                        <w:t>202X-XX-XX</w:t>
                      </w:r>
                      <w:r>
                        <w:rPr>
                          <w:rFonts w:hint="eastAsia"/>
                          <w:szCs w:val="28"/>
                        </w:rPr>
                        <w:t>实施</w:t>
                      </w:r>
                    </w:p>
                  </w:txbxContent>
                </v:textbox>
                <w10:anchorlock/>
              </v:shape>
            </w:pict>
          </mc:Fallback>
        </mc:AlternateContent>
      </w:r>
      <w:r>
        <w:rPr>
          <w:rStyle w:val="35"/>
        </w:rPr>
        <w:br w:type="page"/>
      </w:r>
    </w:p>
    <w:p>
      <w:pPr>
        <w:jc w:val="center"/>
        <w:rPr>
          <w:rFonts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次</w:t>
      </w:r>
    </w:p>
    <w:p>
      <w:pPr>
        <w:pStyle w:val="11"/>
        <w:rPr>
          <w:rFonts w:cstheme="minorBidi"/>
          <w:color w:val="auto"/>
          <w14:ligatures w14:val="standardContextual"/>
        </w:rPr>
      </w:pPr>
      <w:r>
        <w:rPr>
          <w:rStyle w:val="19"/>
        </w:rPr>
        <w:fldChar w:fldCharType="begin"/>
      </w:r>
      <w:r>
        <w:rPr>
          <w:rStyle w:val="19"/>
        </w:rPr>
        <w:instrText xml:space="preserve"> TOC \o "1-2" \h \z \u </w:instrText>
      </w:r>
      <w:r>
        <w:rPr>
          <w:rStyle w:val="19"/>
        </w:rPr>
        <w:fldChar w:fldCharType="separate"/>
      </w:r>
      <w:r>
        <w:fldChar w:fldCharType="begin"/>
      </w:r>
      <w:r>
        <w:instrText xml:space="preserve"> HYPERLINK \l "_Toc159953638" </w:instrText>
      </w:r>
      <w:r>
        <w:fldChar w:fldCharType="separate"/>
      </w:r>
      <w:r>
        <w:rPr>
          <w:rStyle w:val="19"/>
          <w:rFonts w:ascii="宋体" w:hAnsi="宋体"/>
        </w:rPr>
        <w:t>前  言</w:t>
      </w:r>
      <w:r>
        <w:tab/>
      </w:r>
      <w:r>
        <w:fldChar w:fldCharType="begin"/>
      </w:r>
      <w:r>
        <w:instrText xml:space="preserve"> PAGEREF _Toc159953638 \h </w:instrText>
      </w:r>
      <w:r>
        <w:fldChar w:fldCharType="separate"/>
      </w:r>
      <w:r>
        <w:t>III</w:t>
      </w:r>
      <w:r>
        <w:fldChar w:fldCharType="end"/>
      </w:r>
      <w:r>
        <w:fldChar w:fldCharType="end"/>
      </w:r>
    </w:p>
    <w:p>
      <w:pPr>
        <w:pStyle w:val="11"/>
        <w:rPr>
          <w:rFonts w:cstheme="minorBidi"/>
          <w:color w:val="auto"/>
          <w14:ligatures w14:val="standardContextual"/>
        </w:rPr>
      </w:pPr>
      <w:r>
        <w:fldChar w:fldCharType="begin"/>
      </w:r>
      <w:r>
        <w:instrText xml:space="preserve"> HYPERLINK \l "_Toc159953639" </w:instrText>
      </w:r>
      <w:r>
        <w:fldChar w:fldCharType="separate"/>
      </w:r>
      <w:r>
        <w:rPr>
          <w:rStyle w:val="19"/>
          <w:rFonts w:ascii="宋体" w:hAnsi="宋体"/>
        </w:rPr>
        <w:t xml:space="preserve">1  </w:t>
      </w:r>
      <w:r>
        <w:rPr>
          <w:rStyle w:val="19"/>
          <w:rFonts w:hint="eastAsia" w:ascii="宋体" w:hAnsi="宋体"/>
        </w:rPr>
        <w:t>范围</w:t>
      </w:r>
      <w:r>
        <w:tab/>
      </w:r>
      <w:r>
        <w:fldChar w:fldCharType="begin"/>
      </w:r>
      <w:r>
        <w:instrText xml:space="preserve"> PAGEREF _Toc159953639 \h </w:instrText>
      </w:r>
      <w:r>
        <w:fldChar w:fldCharType="separate"/>
      </w:r>
      <w:r>
        <w:t>1</w:t>
      </w:r>
      <w:r>
        <w:fldChar w:fldCharType="end"/>
      </w:r>
      <w:r>
        <w:fldChar w:fldCharType="end"/>
      </w:r>
    </w:p>
    <w:p>
      <w:pPr>
        <w:pStyle w:val="11"/>
        <w:rPr>
          <w:rFonts w:cstheme="minorBidi"/>
          <w:color w:val="auto"/>
          <w14:ligatures w14:val="standardContextual"/>
        </w:rPr>
      </w:pPr>
      <w:r>
        <w:fldChar w:fldCharType="begin"/>
      </w:r>
      <w:r>
        <w:instrText xml:space="preserve"> HYPERLINK \l "_Toc159953640" </w:instrText>
      </w:r>
      <w:r>
        <w:fldChar w:fldCharType="separate"/>
      </w:r>
      <w:r>
        <w:rPr>
          <w:rStyle w:val="19"/>
          <w:rFonts w:ascii="宋体" w:hAnsi="宋体"/>
        </w:rPr>
        <w:t xml:space="preserve">2  </w:t>
      </w:r>
      <w:r>
        <w:rPr>
          <w:rStyle w:val="19"/>
          <w:rFonts w:hint="eastAsia" w:ascii="宋体" w:hAnsi="宋体"/>
        </w:rPr>
        <w:t>规范性引用文件</w:t>
      </w:r>
      <w:r>
        <w:tab/>
      </w:r>
      <w:r>
        <w:fldChar w:fldCharType="begin"/>
      </w:r>
      <w:r>
        <w:instrText xml:space="preserve"> PAGEREF _Toc159953640 \h </w:instrText>
      </w:r>
      <w:r>
        <w:fldChar w:fldCharType="separate"/>
      </w:r>
      <w:r>
        <w:t>1</w:t>
      </w:r>
      <w:r>
        <w:fldChar w:fldCharType="end"/>
      </w:r>
      <w:r>
        <w:fldChar w:fldCharType="end"/>
      </w:r>
    </w:p>
    <w:p>
      <w:pPr>
        <w:pStyle w:val="11"/>
        <w:rPr>
          <w:rFonts w:cstheme="minorBidi"/>
          <w:color w:val="auto"/>
          <w14:ligatures w14:val="standardContextual"/>
        </w:rPr>
      </w:pPr>
      <w:r>
        <w:fldChar w:fldCharType="begin"/>
      </w:r>
      <w:r>
        <w:instrText xml:space="preserve"> HYPERLINK \l "_Toc159953641" </w:instrText>
      </w:r>
      <w:r>
        <w:fldChar w:fldCharType="separate"/>
      </w:r>
      <w:r>
        <w:rPr>
          <w:rStyle w:val="19"/>
          <w:rFonts w:ascii="宋体" w:hAnsi="宋体"/>
        </w:rPr>
        <w:t xml:space="preserve">3  </w:t>
      </w:r>
      <w:r>
        <w:rPr>
          <w:rStyle w:val="19"/>
          <w:rFonts w:hint="eastAsia" w:ascii="宋体" w:hAnsi="宋体"/>
        </w:rPr>
        <w:t>术语和定义</w:t>
      </w:r>
      <w:r>
        <w:tab/>
      </w:r>
      <w:r>
        <w:fldChar w:fldCharType="begin"/>
      </w:r>
      <w:r>
        <w:instrText xml:space="preserve"> PAGEREF _Toc159953641 \h </w:instrText>
      </w:r>
      <w:r>
        <w:fldChar w:fldCharType="separate"/>
      </w:r>
      <w:r>
        <w:t>1</w:t>
      </w:r>
      <w:r>
        <w:fldChar w:fldCharType="end"/>
      </w:r>
      <w:r>
        <w:fldChar w:fldCharType="end"/>
      </w:r>
    </w:p>
    <w:p>
      <w:pPr>
        <w:pStyle w:val="11"/>
        <w:rPr>
          <w14:ligatures w14:val="standardContextual"/>
        </w:rPr>
      </w:pPr>
      <w:r>
        <w:fldChar w:fldCharType="begin"/>
      </w:r>
      <w:r>
        <w:instrText xml:space="preserve"> HYPERLINK \l "_Toc159953644" </w:instrText>
      </w:r>
      <w:r>
        <w:fldChar w:fldCharType="separate"/>
      </w:r>
      <w:r>
        <w:rPr>
          <w:rStyle w:val="19"/>
          <w:rFonts w:ascii="宋体" w:hAnsi="宋体"/>
        </w:rPr>
        <w:t xml:space="preserve">4  </w:t>
      </w:r>
      <w:r>
        <w:rPr>
          <w:rStyle w:val="19"/>
          <w:rFonts w:hint="eastAsia" w:ascii="宋体" w:hAnsi="宋体"/>
        </w:rPr>
        <w:t>技术要求</w:t>
      </w:r>
      <w:r>
        <w:tab/>
      </w:r>
      <w:r>
        <w:fldChar w:fldCharType="begin"/>
      </w:r>
      <w:r>
        <w:instrText xml:space="preserve"> PAGEREF _Toc159953644 \h </w:instrText>
      </w:r>
      <w:r>
        <w:fldChar w:fldCharType="separate"/>
      </w:r>
      <w:r>
        <w:t>2</w:t>
      </w:r>
      <w:r>
        <w:fldChar w:fldCharType="end"/>
      </w:r>
      <w:r>
        <w:fldChar w:fldCharType="end"/>
      </w:r>
    </w:p>
    <w:p>
      <w:pPr>
        <w:pStyle w:val="11"/>
        <w:rPr>
          <w:rFonts w:cstheme="minorBidi"/>
          <w:color w:val="auto"/>
          <w14:ligatures w14:val="standardContextual"/>
        </w:rPr>
      </w:pPr>
      <w:r>
        <w:fldChar w:fldCharType="begin"/>
      </w:r>
      <w:r>
        <w:instrText xml:space="preserve"> HYPERLINK \l "_Toc159953663" </w:instrText>
      </w:r>
      <w:r>
        <w:fldChar w:fldCharType="separate"/>
      </w:r>
      <w:r>
        <w:rPr>
          <w:rStyle w:val="19"/>
          <w:rFonts w:ascii="宋体" w:hAnsi="宋体"/>
        </w:rPr>
        <w:t xml:space="preserve">5  </w:t>
      </w:r>
      <w:r>
        <w:rPr>
          <w:rStyle w:val="19"/>
          <w:rFonts w:hint="eastAsia" w:ascii="宋体" w:hAnsi="宋体"/>
        </w:rPr>
        <w:t>试验方法</w:t>
      </w:r>
      <w:r>
        <w:tab/>
      </w:r>
      <w:r>
        <w:fldChar w:fldCharType="begin"/>
      </w:r>
      <w:r>
        <w:instrText xml:space="preserve"> PAGEREF _Toc159953663 \h </w:instrText>
      </w:r>
      <w:r>
        <w:fldChar w:fldCharType="separate"/>
      </w:r>
      <w:r>
        <w:t>3</w:t>
      </w:r>
      <w:r>
        <w:fldChar w:fldCharType="end"/>
      </w:r>
      <w:r>
        <w:fldChar w:fldCharType="end"/>
      </w:r>
    </w:p>
    <w:p>
      <w:pPr>
        <w:pStyle w:val="11"/>
        <w:rPr>
          <w:rFonts w:asciiTheme="minorHAnsi" w:hAnsiTheme="minorHAnsi" w:eastAsiaTheme="minorEastAsia" w:cstheme="minorBidi"/>
        </w:rPr>
      </w:pPr>
      <w:r>
        <w:rPr>
          <w:rStyle w:val="19"/>
        </w:rPr>
        <w:fldChar w:fldCharType="end"/>
      </w:r>
      <w:r>
        <w:fldChar w:fldCharType="begin"/>
      </w:r>
      <w:r>
        <w:instrText xml:space="preserve"> TOC \h \z \t "章标题,1,目次、前言、引言,1,1章标题,1,标准文件_一级条标题,2,前言标题,1,一级条标题,2,附录标识,1,附录标题,1,附录章标题,2" </w:instrText>
      </w:r>
      <w:r>
        <w:fldChar w:fldCharType="separate"/>
      </w:r>
      <w:r>
        <w:fldChar w:fldCharType="begin"/>
      </w:r>
      <w:r>
        <w:instrText xml:space="preserve"> HYPERLINK \l "_Toc45639033" </w:instrText>
      </w:r>
      <w:r>
        <w:fldChar w:fldCharType="separate"/>
      </w:r>
      <w:r>
        <w:rPr>
          <w:rFonts w:hint="eastAsia"/>
        </w:rPr>
        <w:t>参考文献</w:t>
      </w:r>
      <w:r>
        <w:tab/>
      </w:r>
      <w:r>
        <w:fldChar w:fldCharType="end"/>
      </w:r>
      <w:r>
        <w:t>7</w:t>
      </w:r>
    </w:p>
    <w:p>
      <w:pPr>
        <w:rPr>
          <w:rFonts w:ascii="Times New Roman" w:hAnsi="Times New Roman"/>
        </w:rPr>
      </w:pPr>
      <w:r>
        <w:rPr>
          <w:rFonts w:ascii="宋体" w:hAnsi="Times New Roman"/>
        </w:rPr>
        <w:fldChar w:fldCharType="end"/>
      </w:r>
    </w:p>
    <w:p>
      <w:pPr>
        <w:pStyle w:val="11"/>
      </w:pPr>
    </w:p>
    <w:p>
      <w:pPr>
        <w:adjustRightInd w:val="0"/>
        <w:snapToGrid w:val="0"/>
        <w:spacing w:line="360" w:lineRule="auto"/>
        <w:jc w:val="left"/>
        <w:outlineLvl w:val="1"/>
        <w:rPr>
          <w:rFonts w:ascii="Times New Roman" w:hAnsi="Times New Roman" w:eastAsia="宋体"/>
          <w:szCs w:val="20"/>
        </w:rPr>
      </w:pPr>
    </w:p>
    <w:p>
      <w:pPr>
        <w:widowControl/>
        <w:spacing w:line="360" w:lineRule="auto"/>
        <w:jc w:val="left"/>
        <w:rPr>
          <w:rFonts w:ascii="黑体" w:hAnsi="黑体" w:eastAsia="黑体"/>
          <w:sz w:val="22"/>
          <w:szCs w:val="20"/>
        </w:rPr>
      </w:pPr>
      <w:r>
        <w:rPr>
          <w:rFonts w:ascii="黑体" w:hAnsi="黑体" w:eastAsia="黑体"/>
          <w:sz w:val="22"/>
          <w:szCs w:val="20"/>
        </w:rPr>
        <w:br w:type="page"/>
      </w:r>
    </w:p>
    <w:p>
      <w:pPr>
        <w:spacing w:line="360" w:lineRule="auto"/>
        <w:jc w:val="center"/>
        <w:outlineLvl w:val="0"/>
        <w:rPr>
          <w:rFonts w:ascii="黑体" w:hAnsi="黑体" w:eastAsia="黑体"/>
          <w:sz w:val="32"/>
          <w:szCs w:val="32"/>
        </w:rPr>
      </w:pPr>
      <w:bookmarkStart w:id="5" w:name="_Toc15266114"/>
      <w:bookmarkStart w:id="6" w:name="_Toc461048827"/>
      <w:bookmarkStart w:id="7" w:name="_Toc159953638"/>
      <w:r>
        <w:rPr>
          <w:rFonts w:hint="eastAsia" w:ascii="黑体" w:hAnsi="黑体" w:eastAsia="黑体"/>
          <w:sz w:val="32"/>
          <w:szCs w:val="32"/>
        </w:rPr>
        <w:t>前</w:t>
      </w:r>
      <w:r>
        <w:rPr>
          <w:rFonts w:ascii="黑体" w:hAnsi="黑体" w:eastAsia="黑体"/>
          <w:sz w:val="32"/>
          <w:szCs w:val="32"/>
        </w:rPr>
        <w:t xml:space="preserve">  </w:t>
      </w:r>
      <w:r>
        <w:rPr>
          <w:rFonts w:hint="eastAsia" w:ascii="黑体" w:hAnsi="黑体" w:eastAsia="黑体"/>
          <w:sz w:val="32"/>
          <w:szCs w:val="32"/>
        </w:rPr>
        <w:t>言</w:t>
      </w:r>
      <w:bookmarkEnd w:id="5"/>
      <w:bookmarkEnd w:id="6"/>
      <w:bookmarkEnd w:id="7"/>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本文件按照</w:t>
      </w:r>
      <w:r>
        <w:rPr>
          <w:rFonts w:ascii="Times New Roman" w:hAnsi="Times New Roman" w:eastAsia="宋体" w:cs="Times New Roman"/>
        </w:rPr>
        <w:t>GB/T 1.1</w:t>
      </w:r>
      <w:r>
        <w:rPr>
          <w:rFonts w:hint="eastAsia" w:ascii="Times New Roman" w:hAnsi="Times New Roman" w:eastAsia="宋体" w:cs="Times New Roman"/>
        </w:rPr>
        <w:t>—</w:t>
      </w:r>
      <w:r>
        <w:rPr>
          <w:rFonts w:ascii="Times New Roman" w:hAnsi="Times New Roman" w:eastAsia="宋体" w:cs="Times New Roman"/>
        </w:rPr>
        <w:t>2020《标准化工作导则  第1部分：标准化文件的结构和起草规则》的规定起草。</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请注意本文件的某些内容可能涉及专利。本文件的发布机构不承担识别专利的责任。</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本文件由 中国轻工业联合会提出并归口。</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本文件起草单位：</w:t>
      </w:r>
      <w:r>
        <w:rPr>
          <w:rFonts w:ascii="Times New Roman" w:hAnsi="Times New Roman" w:eastAsia="宋体" w:cs="Times New Roman"/>
        </w:rPr>
        <w:t xml:space="preserve"> </w:t>
      </w:r>
    </w:p>
    <w:p>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本文件主要起草人：</w:t>
      </w:r>
      <w:r>
        <w:rPr>
          <w:rFonts w:ascii="Times New Roman" w:hAnsi="Times New Roman" w:eastAsia="宋体" w:cs="Times New Roman"/>
        </w:rPr>
        <w:t xml:space="preserve"> </w:t>
      </w:r>
    </w:p>
    <w:p>
      <w:pPr>
        <w:spacing w:line="360" w:lineRule="auto"/>
        <w:ind w:firstLine="420" w:firstLineChars="200"/>
        <w:jc w:val="left"/>
        <w:rPr>
          <w:rFonts w:ascii="Times New Roman" w:hAnsi="Times New Roman" w:eastAsia="宋体" w:cs="Times New Roman"/>
        </w:rPr>
      </w:pPr>
    </w:p>
    <w:p>
      <w:pPr>
        <w:spacing w:line="360" w:lineRule="auto"/>
        <w:ind w:firstLine="420" w:firstLineChars="200"/>
        <w:jc w:val="left"/>
        <w:rPr>
          <w:rFonts w:ascii="Times New Roman" w:hAnsi="Times New Roman" w:eastAsia="宋体" w:cs="Times New Roman"/>
        </w:rPr>
        <w:sectPr>
          <w:headerReference r:id="rId7" w:type="first"/>
          <w:footerReference r:id="rId8" w:type="first"/>
          <w:type w:val="continuous"/>
          <w:pgSz w:w="11907" w:h="16839"/>
          <w:pgMar w:top="1440" w:right="1800" w:bottom="1440" w:left="1800" w:header="850" w:footer="851" w:gutter="0"/>
          <w:pgNumType w:fmt="upperRoman" w:start="1"/>
          <w:cols w:space="425" w:num="1"/>
          <w:titlePg/>
          <w:docGrid w:type="lines" w:linePitch="312" w:charSpace="0"/>
        </w:sectPr>
      </w:pPr>
    </w:p>
    <w:p>
      <w:pPr>
        <w:jc w:val="center"/>
        <w:rPr>
          <w:rFonts w:ascii="黑体" w:hAnsi="黑体" w:eastAsia="黑体"/>
          <w:sz w:val="32"/>
          <w:szCs w:val="32"/>
        </w:rPr>
      </w:pPr>
      <w:r>
        <w:rPr>
          <w:rFonts w:hint="eastAsia" w:ascii="黑体" w:hAnsi="黑体" w:eastAsia="黑体"/>
          <w:sz w:val="32"/>
          <w:szCs w:val="32"/>
        </w:rPr>
        <w:t>家用和类似用途集成电源系统技术要求及试验方法</w:t>
      </w:r>
    </w:p>
    <w:p>
      <w:pPr>
        <w:pStyle w:val="2"/>
      </w:pPr>
      <w:bookmarkStart w:id="8" w:name="_Toc159953639"/>
      <w:r>
        <w:rPr>
          <w:rFonts w:hint="eastAsia"/>
        </w:rPr>
        <w:t>1</w:t>
      </w:r>
      <w:r>
        <w:t xml:space="preserve">  </w:t>
      </w:r>
      <w:r>
        <w:rPr>
          <w:rFonts w:hint="eastAsia"/>
        </w:rPr>
        <w:t>范围</w:t>
      </w:r>
      <w:bookmarkEnd w:id="8"/>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本文件规定了家用和类似用途集成电源系统（以下简称“电源系统”）的术语和定义、技术要求，描述了相应的试验方法。</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本文件适用于户内或户外使用的、办公场所、家用或类似用途的、额定电压不超过</w:t>
      </w:r>
      <w:r>
        <w:rPr>
          <w:rFonts w:ascii="Times New Roman" w:hAnsi="Times New Roman" w:eastAsia="宋体" w:cs="Times New Roman"/>
          <w:szCs w:val="21"/>
        </w:rPr>
        <w:t>400 V，额定电流不超过32 A、带或不带熔断器、带或不带接地插套的</w:t>
      </w:r>
      <w:r>
        <w:rPr>
          <w:rFonts w:hint="eastAsia" w:ascii="Times New Roman" w:hAnsi="Times New Roman" w:eastAsia="宋体" w:cs="Times New Roman"/>
          <w:szCs w:val="21"/>
        </w:rPr>
        <w:t>电源系统</w:t>
      </w:r>
      <w:r>
        <w:rPr>
          <w:rFonts w:ascii="Times New Roman" w:hAnsi="Times New Roman" w:eastAsia="宋体" w:cs="Times New Roman"/>
          <w:szCs w:val="21"/>
        </w:rPr>
        <w:t>。</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本文件也适用于带有附加功能的电源集成系统，但不包括附加功能本身的要求。</w:t>
      </w:r>
    </w:p>
    <w:p>
      <w:pPr>
        <w:spacing w:line="276"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注：附加功能的例子有</w:t>
      </w:r>
      <w:r>
        <w:rPr>
          <w:rFonts w:ascii="Times New Roman" w:hAnsi="Times New Roman" w:eastAsia="宋体" w:cs="Times New Roman"/>
          <w:sz w:val="18"/>
          <w:szCs w:val="18"/>
        </w:rPr>
        <w:t>USB</w:t>
      </w:r>
      <w:r>
        <w:rPr>
          <w:rFonts w:hint="eastAsia" w:ascii="Times New Roman" w:hAnsi="Times New Roman" w:eastAsia="宋体" w:cs="Times New Roman"/>
          <w:sz w:val="18"/>
          <w:szCs w:val="18"/>
        </w:rPr>
        <w:t>适配器</w:t>
      </w:r>
      <w:r>
        <w:rPr>
          <w:rFonts w:ascii="Times New Roman" w:hAnsi="Times New Roman" w:eastAsia="宋体" w:cs="Times New Roman"/>
          <w:sz w:val="18"/>
          <w:szCs w:val="18"/>
        </w:rPr>
        <w:t>、</w:t>
      </w:r>
      <w:r>
        <w:rPr>
          <w:rFonts w:hint="eastAsia" w:ascii="Times New Roman" w:hAnsi="Times New Roman" w:eastAsia="宋体" w:cs="Times New Roman"/>
          <w:sz w:val="18"/>
          <w:szCs w:val="18"/>
        </w:rPr>
        <w:t>照明产品</w:t>
      </w:r>
      <w:r>
        <w:rPr>
          <w:rFonts w:ascii="Times New Roman" w:hAnsi="Times New Roman" w:eastAsia="宋体" w:cs="Times New Roman"/>
          <w:sz w:val="18"/>
          <w:szCs w:val="18"/>
        </w:rPr>
        <w:t>、音响、定时器、无线充电、开关元件等。</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符合本文件要求的电源系统适合用于环境温度通常不超过</w:t>
      </w:r>
      <w:r>
        <w:rPr>
          <w:rFonts w:ascii="Times New Roman" w:hAnsi="Times New Roman" w:eastAsia="宋体" w:cs="Times New Roman"/>
          <w:szCs w:val="21"/>
        </w:rPr>
        <w:t>+40 ℃，但是在平均24h的期间内不超过+35℃，环境空气温度的下限值为-5℃。</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在特殊条件的场所，如船上、车辆上和可能发生爆炸等危险场所，可能要求特殊的结构。</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其他国家标准型式尺寸的电源集成系统可参照执行。</w:t>
      </w:r>
    </w:p>
    <w:p>
      <w:pPr>
        <w:pStyle w:val="2"/>
      </w:pPr>
      <w:bookmarkStart w:id="9" w:name="_Toc159953640"/>
      <w:r>
        <w:t xml:space="preserve">2  </w:t>
      </w:r>
      <w:r>
        <w:rPr>
          <w:rFonts w:hint="eastAsia"/>
        </w:rPr>
        <w:t>规范性引用文件</w:t>
      </w:r>
      <w:bookmarkEnd w:id="9"/>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 xml:space="preserve">GB/T 1002  </w:t>
      </w:r>
      <w:r>
        <w:rPr>
          <w:rFonts w:hint="eastAsia" w:ascii="宋体" w:hAnsi="Times New Roman" w:eastAsia="宋体" w:cs="Times New Roman"/>
          <w:kern w:val="0"/>
          <w:szCs w:val="20"/>
        </w:rPr>
        <w:t>家用和类似用途单相插头插座</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型式、基本参数和尺寸</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ascii="宋体" w:hAnsi="Times New Roman" w:eastAsia="宋体" w:cs="Times New Roman"/>
          <w:kern w:val="0"/>
          <w:szCs w:val="20"/>
        </w:rPr>
        <w:t xml:space="preserve">GB/T 1003  </w:t>
      </w:r>
      <w:r>
        <w:rPr>
          <w:rFonts w:hint="eastAsia" w:ascii="宋体" w:hAnsi="Times New Roman" w:eastAsia="宋体" w:cs="Times New Roman"/>
          <w:kern w:val="0"/>
          <w:szCs w:val="20"/>
        </w:rPr>
        <w:t>家用和类似用途三相插头插座</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型式、基本参数和尺寸</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GB/T  2099.1</w:t>
      </w:r>
      <w:r>
        <w:rPr>
          <w:rFonts w:hint="eastAsia" w:ascii="宋体" w:hAnsi="宋体" w:eastAsia="宋体" w:cs="Times New Roman"/>
          <w:kern w:val="0"/>
          <w:szCs w:val="20"/>
        </w:rPr>
        <w:t>—</w:t>
      </w:r>
      <w:r>
        <w:rPr>
          <w:rFonts w:ascii="宋体" w:hAnsi="宋体" w:eastAsia="宋体" w:cs="Times New Roman"/>
          <w:kern w:val="0"/>
          <w:szCs w:val="20"/>
        </w:rPr>
        <w:t>2021  家用和类似用途插头插座 第1部分：通用要求</w:t>
      </w:r>
      <w:r>
        <w:rPr>
          <w:rFonts w:hint="eastAsia" w:ascii="宋体" w:hAnsi="宋体" w:eastAsia="宋体" w:cs="Times New Roman"/>
          <w:kern w:val="0"/>
          <w:szCs w:val="20"/>
        </w:rPr>
        <w:t>（</w:t>
      </w:r>
      <w:r>
        <w:rPr>
          <w:rFonts w:ascii="宋体" w:hAnsi="Times New Roman" w:eastAsia="宋体" w:cs="Times New Roman"/>
          <w:kern w:val="0"/>
          <w:szCs w:val="20"/>
        </w:rPr>
        <w:t xml:space="preserve">IEC </w:t>
      </w:r>
      <w:r>
        <w:rPr>
          <w:rFonts w:hint="eastAsia" w:ascii="宋体" w:hAnsi="Times New Roman" w:eastAsia="宋体" w:cs="Times New Roman"/>
          <w:kern w:val="0"/>
          <w:szCs w:val="20"/>
        </w:rPr>
        <w:t>60884-1：2006，MOD</w:t>
      </w:r>
      <w:r>
        <w:rPr>
          <w:rFonts w:hint="eastAsia" w:ascii="宋体" w:hAnsi="宋体" w:eastAsia="宋体" w:cs="Times New Roman"/>
          <w:kern w:val="0"/>
          <w:szCs w:val="20"/>
        </w:rPr>
        <w:t>）</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GB/T 2099.7-2015家用和类似用途插头插座 第2-7部分：</w:t>
      </w:r>
      <w:r>
        <w:rPr>
          <w:rFonts w:hint="eastAsia" w:ascii="宋体" w:hAnsi="宋体" w:eastAsia="宋体" w:cs="Times New Roman"/>
          <w:kern w:val="0"/>
          <w:szCs w:val="20"/>
        </w:rPr>
        <w:t>延长</w:t>
      </w:r>
      <w:r>
        <w:rPr>
          <w:rFonts w:ascii="宋体" w:hAnsi="宋体" w:eastAsia="宋体" w:cs="Times New Roman"/>
          <w:kern w:val="0"/>
          <w:szCs w:val="20"/>
        </w:rPr>
        <w:t>线插座的特殊要求</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GB/T 17465.1-2022 家用和类似用途器具耦合器　第1部分：通用要求</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 xml:space="preserve">GB/T 17465.6-2022 </w:t>
      </w:r>
      <w:r>
        <w:rPr>
          <w:rFonts w:hint="eastAsia" w:ascii="宋体" w:hAnsi="宋体" w:eastAsia="宋体" w:cs="Times New Roman"/>
          <w:kern w:val="0"/>
          <w:szCs w:val="20"/>
        </w:rPr>
        <w:t>家用和类似用途器具耦合器　第</w:t>
      </w:r>
      <w:r>
        <w:rPr>
          <w:rFonts w:ascii="宋体" w:hAnsi="宋体" w:eastAsia="宋体" w:cs="Times New Roman"/>
          <w:kern w:val="0"/>
          <w:szCs w:val="20"/>
        </w:rPr>
        <w:t>3部分：标准</w:t>
      </w:r>
      <w:r>
        <w:rPr>
          <w:rFonts w:hint="eastAsia" w:ascii="宋体" w:hAnsi="宋体" w:eastAsia="宋体" w:cs="Times New Roman"/>
          <w:kern w:val="0"/>
          <w:szCs w:val="20"/>
        </w:rPr>
        <w:t>活页和量规</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 xml:space="preserve">GB/T 12350-2022 </w:t>
      </w:r>
      <w:r>
        <w:rPr>
          <w:rFonts w:hint="eastAsia" w:ascii="宋体" w:hAnsi="宋体" w:eastAsia="宋体" w:cs="Times New Roman"/>
          <w:kern w:val="0"/>
          <w:szCs w:val="20"/>
        </w:rPr>
        <w:t>小功率电动机的安全要求</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 xml:space="preserve">GB/T 4207  </w:t>
      </w:r>
      <w:r>
        <w:rPr>
          <w:rFonts w:hint="eastAsia" w:ascii="宋体" w:hAnsi="宋体" w:eastAsia="宋体" w:cs="Times New Roman"/>
          <w:kern w:val="0"/>
          <w:szCs w:val="20"/>
        </w:rPr>
        <w:t>固体绝缘材料耐电痕化指数和相比电痕化指数的测定方法（</w:t>
      </w:r>
      <w:r>
        <w:rPr>
          <w:rFonts w:ascii="宋体" w:hAnsi="宋体" w:eastAsia="宋体" w:cs="Times New Roman"/>
          <w:kern w:val="0"/>
          <w:szCs w:val="20"/>
        </w:rPr>
        <w:t>GB/T 4207—2012</w:t>
      </w:r>
      <w:r>
        <w:rPr>
          <w:rFonts w:hint="eastAsia" w:ascii="宋体" w:hAnsi="宋体" w:eastAsia="宋体" w:cs="Times New Roman"/>
          <w:kern w:val="0"/>
          <w:szCs w:val="20"/>
        </w:rPr>
        <w:t>，</w:t>
      </w:r>
      <w:r>
        <w:rPr>
          <w:rFonts w:ascii="宋体" w:hAnsi="宋体" w:eastAsia="宋体" w:cs="Times New Roman"/>
          <w:kern w:val="0"/>
          <w:szCs w:val="20"/>
        </w:rPr>
        <w:t>IEC 60112：2009，IDT）</w:t>
      </w:r>
    </w:p>
    <w:p>
      <w:pPr>
        <w:widowControl/>
        <w:tabs>
          <w:tab w:val="center" w:pos="4201"/>
          <w:tab w:val="right" w:leader="dot" w:pos="9298"/>
        </w:tabs>
        <w:autoSpaceDE w:val="0"/>
        <w:autoSpaceDN w:val="0"/>
        <w:ind w:firstLine="420" w:firstLineChars="200"/>
        <w:rPr>
          <w:rFonts w:ascii="宋体" w:hAnsi="宋体" w:eastAsia="宋体" w:cs="Times New Roman"/>
          <w:kern w:val="0"/>
          <w:szCs w:val="20"/>
        </w:rPr>
      </w:pPr>
      <w:r>
        <w:rPr>
          <w:rFonts w:ascii="宋体" w:hAnsi="宋体" w:eastAsia="宋体" w:cs="Times New Roman"/>
          <w:kern w:val="0"/>
          <w:szCs w:val="20"/>
        </w:rPr>
        <w:t xml:space="preserve">GB/T 4208—2017  </w:t>
      </w:r>
      <w:r>
        <w:rPr>
          <w:rFonts w:hint="eastAsia" w:ascii="宋体" w:hAnsi="宋体" w:eastAsia="宋体" w:cs="Times New Roman"/>
          <w:kern w:val="0"/>
          <w:szCs w:val="20"/>
        </w:rPr>
        <w:t>外壳防护等级（</w:t>
      </w:r>
      <w:r>
        <w:rPr>
          <w:rFonts w:ascii="宋体" w:hAnsi="宋体" w:eastAsia="宋体" w:cs="Times New Roman"/>
          <w:kern w:val="0"/>
          <w:szCs w:val="20"/>
        </w:rPr>
        <w:t>IP代码）（IEC 60529</w:t>
      </w:r>
      <w:r>
        <w:rPr>
          <w:rFonts w:hint="eastAsia" w:ascii="宋体" w:hAnsi="宋体" w:eastAsia="宋体" w:cs="Times New Roman"/>
          <w:kern w:val="0"/>
          <w:szCs w:val="20"/>
        </w:rPr>
        <w:t>：</w:t>
      </w:r>
      <w:r>
        <w:rPr>
          <w:rFonts w:ascii="宋体" w:hAnsi="宋体" w:eastAsia="宋体" w:cs="Times New Roman"/>
          <w:kern w:val="0"/>
          <w:szCs w:val="20"/>
        </w:rPr>
        <w:t>2013</w:t>
      </w:r>
      <w:r>
        <w:rPr>
          <w:rFonts w:hint="eastAsia" w:ascii="宋体" w:hAnsi="宋体" w:eastAsia="宋体" w:cs="Times New Roman"/>
          <w:kern w:val="0"/>
          <w:szCs w:val="20"/>
        </w:rPr>
        <w:t>，</w:t>
      </w:r>
      <w:r>
        <w:rPr>
          <w:rFonts w:ascii="宋体" w:hAnsi="宋体" w:eastAsia="宋体" w:cs="Times New Roman"/>
          <w:kern w:val="0"/>
          <w:szCs w:val="20"/>
        </w:rPr>
        <w:t>IDT）</w:t>
      </w:r>
    </w:p>
    <w:p>
      <w:pPr>
        <w:pStyle w:val="2"/>
      </w:pPr>
      <w:bookmarkStart w:id="10" w:name="_Toc159953641"/>
      <w:r>
        <w:t xml:space="preserve">3  </w:t>
      </w:r>
      <w:r>
        <w:rPr>
          <w:rFonts w:hint="eastAsia"/>
        </w:rPr>
        <w:t>术语和定义</w:t>
      </w:r>
      <w:bookmarkEnd w:id="10"/>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上述标准中界定的术语和定义及下述术语和定义适用于本文件。</w:t>
      </w:r>
    </w:p>
    <w:p>
      <w:pPr>
        <w:pStyle w:val="3"/>
      </w:pPr>
      <w:r>
        <w:t>3.1</w:t>
      </w:r>
    </w:p>
    <w:p>
      <w:pPr>
        <w:spacing w:line="276" w:lineRule="auto"/>
        <w:ind w:firstLine="420"/>
        <w:rPr>
          <w:rFonts w:ascii="Times New Roman" w:hAnsi="Times New Roman" w:eastAsia="黑体" w:cs="Times New Roman"/>
          <w:szCs w:val="21"/>
        </w:rPr>
      </w:pPr>
      <w:r>
        <w:rPr>
          <w:rFonts w:hint="eastAsia" w:ascii="Times New Roman" w:hAnsi="Times New Roman" w:eastAsia="黑体" w:cs="Times New Roman"/>
          <w:szCs w:val="21"/>
        </w:rPr>
        <w:t>集成电源系统</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用于多个产品集成和</w:t>
      </w:r>
      <w:r>
        <w:rPr>
          <w:rFonts w:ascii="Times New Roman" w:hAnsi="Times New Roman" w:eastAsia="宋体" w:cs="Times New Roman"/>
          <w:szCs w:val="21"/>
        </w:rPr>
        <w:t>/</w:t>
      </w:r>
      <w:r>
        <w:rPr>
          <w:rFonts w:hint="eastAsia" w:ascii="Times New Roman" w:hAnsi="Times New Roman" w:eastAsia="宋体" w:cs="Times New Roman"/>
          <w:szCs w:val="21"/>
        </w:rPr>
        <w:t>或功能性集成的电源系统。</w:t>
      </w:r>
    </w:p>
    <w:p>
      <w:pPr>
        <w:spacing w:line="276" w:lineRule="auto"/>
        <w:ind w:firstLine="420"/>
        <w:rPr>
          <w:rFonts w:ascii="Times New Roman" w:hAnsi="Times New Roman" w:eastAsia="宋体" w:cs="Times New Roman"/>
          <w:sz w:val="18"/>
          <w:szCs w:val="18"/>
        </w:rPr>
      </w:pPr>
      <w:r>
        <w:rPr>
          <w:rFonts w:hint="eastAsia" w:ascii="Times New Roman" w:hAnsi="Times New Roman" w:eastAsia="宋体" w:cs="Times New Roman"/>
          <w:sz w:val="18"/>
          <w:szCs w:val="18"/>
        </w:rPr>
        <w:t>注：系统可由互联单元组成，也可为独立单元。</w:t>
      </w:r>
    </w:p>
    <w:p>
      <w:pPr>
        <w:pStyle w:val="3"/>
      </w:pPr>
      <w:r>
        <w:t>3.2</w:t>
      </w:r>
    </w:p>
    <w:p>
      <w:pPr>
        <w:spacing w:line="276" w:lineRule="auto"/>
        <w:ind w:firstLine="420"/>
        <w:rPr>
          <w:rFonts w:ascii="Times New Roman" w:hAnsi="Times New Roman" w:eastAsia="黑体" w:cs="Times New Roman"/>
          <w:szCs w:val="21"/>
        </w:rPr>
      </w:pPr>
      <w:r>
        <w:rPr>
          <w:rFonts w:hint="eastAsia" w:ascii="Times New Roman" w:hAnsi="Times New Roman" w:eastAsia="黑体" w:cs="Times New Roman"/>
          <w:szCs w:val="21"/>
        </w:rPr>
        <w:t>耦合连接延长线插座系统</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在主线上通过耦合方式连接的延长线插座集成系统。图示举例见图</w:t>
      </w:r>
      <w:r>
        <w:rPr>
          <w:rFonts w:ascii="Times New Roman" w:hAnsi="Times New Roman" w:eastAsia="宋体" w:cs="Times New Roman"/>
          <w:szCs w:val="21"/>
        </w:rPr>
        <w:t>1</w:t>
      </w:r>
      <w:r>
        <w:rPr>
          <w:rFonts w:hint="eastAsia" w:ascii="Times New Roman" w:hAnsi="Times New Roman" w:eastAsia="宋体" w:cs="Times New Roman"/>
          <w:szCs w:val="21"/>
        </w:rPr>
        <w:t>。</w:t>
      </w:r>
    </w:p>
    <w:p>
      <w:pPr>
        <w:spacing w:line="276" w:lineRule="auto"/>
        <w:ind w:hanging="142"/>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5331460" cy="1528445"/>
            <wp:effectExtent l="0" t="0" r="2540" b="0"/>
            <wp:docPr id="11414693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69387"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l="2497" t="41488" r="19141" b="41143"/>
                    <a:stretch>
                      <a:fillRect/>
                    </a:stretch>
                  </pic:blipFill>
                  <pic:spPr>
                    <a:xfrm>
                      <a:off x="0" y="0"/>
                      <a:ext cx="5382696" cy="1543551"/>
                    </a:xfrm>
                    <a:prstGeom prst="rect">
                      <a:avLst/>
                    </a:prstGeom>
                    <a:noFill/>
                    <a:ln>
                      <a:noFill/>
                    </a:ln>
                  </pic:spPr>
                </pic:pic>
              </a:graphicData>
            </a:graphic>
          </wp:inline>
        </w:drawing>
      </w:r>
    </w:p>
    <w:p>
      <w:pPr>
        <w:spacing w:line="276" w:lineRule="auto"/>
        <w:ind w:hanging="142"/>
        <w:jc w:val="center"/>
        <w:rPr>
          <w:rFonts w:ascii="Times New Roman" w:hAnsi="Times New Roman" w:eastAsia="宋体" w:cs="Times New Roman"/>
          <w:szCs w:val="21"/>
        </w:rPr>
      </w:pPr>
      <w:r>
        <w:rPr>
          <w:rFonts w:hint="eastAsia" w:ascii="Times New Roman" w:hAnsi="Times New Roman" w:eastAsia="宋体" w:cs="Times New Roman"/>
          <w:szCs w:val="21"/>
        </w:rPr>
        <w:t>图1</w:t>
      </w:r>
      <w:r>
        <w:rPr>
          <w:rFonts w:ascii="Times New Roman" w:hAnsi="Times New Roman" w:eastAsia="宋体" w:cs="Times New Roman"/>
          <w:szCs w:val="21"/>
        </w:rPr>
        <w:t xml:space="preserve"> </w:t>
      </w:r>
      <w:r>
        <w:rPr>
          <w:rFonts w:hint="eastAsia" w:ascii="Times New Roman" w:hAnsi="Times New Roman" w:eastAsia="宋体" w:cs="Times New Roman"/>
          <w:szCs w:val="21"/>
        </w:rPr>
        <w:t>耦合连接延长线插座系统图示</w:t>
      </w:r>
    </w:p>
    <w:p>
      <w:pPr>
        <w:pStyle w:val="3"/>
      </w:pPr>
      <w:r>
        <w:t>3.3</w:t>
      </w:r>
    </w:p>
    <w:p>
      <w:pPr>
        <w:spacing w:line="276" w:lineRule="auto"/>
        <w:ind w:firstLine="420"/>
        <w:rPr>
          <w:rFonts w:ascii="Times New Roman" w:hAnsi="Times New Roman" w:eastAsia="黑体" w:cs="Times New Roman"/>
          <w:szCs w:val="21"/>
        </w:rPr>
      </w:pPr>
      <w:r>
        <w:rPr>
          <w:rFonts w:hint="eastAsia" w:ascii="Times New Roman" w:hAnsi="Times New Roman" w:eastAsia="黑体" w:cs="Times New Roman"/>
          <w:szCs w:val="21"/>
        </w:rPr>
        <w:t>升降插座</w:t>
      </w:r>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带有升降功能的插座。</w:t>
      </w:r>
    </w:p>
    <w:p>
      <w:pPr>
        <w:pStyle w:val="2"/>
      </w:pPr>
      <w:bookmarkStart w:id="11" w:name="_Toc159953644"/>
      <w:r>
        <w:rPr>
          <w:rFonts w:hint="eastAsia"/>
        </w:rPr>
        <w:t>4</w:t>
      </w:r>
      <w:r>
        <w:t xml:space="preserve">  </w:t>
      </w:r>
      <w:r>
        <w:rPr>
          <w:rFonts w:hint="eastAsia"/>
        </w:rPr>
        <w:t>技术</w:t>
      </w:r>
      <w:r>
        <w:t>要求</w:t>
      </w:r>
      <w:bookmarkEnd w:id="11"/>
    </w:p>
    <w:p>
      <w:pPr>
        <w:pStyle w:val="3"/>
      </w:pPr>
      <w:bookmarkStart w:id="12" w:name="_Toc53668316"/>
      <w:bookmarkStart w:id="13" w:name="_Toc18936332"/>
      <w:bookmarkStart w:id="14" w:name="_Toc159953645"/>
      <w:r>
        <w:rPr>
          <w:rFonts w:hint="eastAsia"/>
        </w:rPr>
        <w:t>4</w:t>
      </w:r>
      <w:r>
        <w:t xml:space="preserve">.1 </w:t>
      </w:r>
      <w:bookmarkEnd w:id="12"/>
      <w:bookmarkEnd w:id="13"/>
      <w:r>
        <w:t xml:space="preserve"> </w:t>
      </w:r>
      <w:r>
        <w:rPr>
          <w:rFonts w:hint="eastAsia"/>
        </w:rPr>
        <w:t>外观要求</w:t>
      </w:r>
      <w:bookmarkEnd w:id="14"/>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电源系统应外观清洁，无粘附污物；易触及部件无锐边；外壳塑料件表面色泽均匀，无裂纹、泛白、气泡、飞边、毛刺等缺陷；紧固件牢固可靠，无松动现象。</w:t>
      </w:r>
    </w:p>
    <w:p>
      <w:pPr>
        <w:pStyle w:val="3"/>
      </w:pPr>
      <w:bookmarkStart w:id="15" w:name="_Toc159953646"/>
      <w:r>
        <w:rPr>
          <w:rFonts w:hint="eastAsia"/>
        </w:rPr>
        <w:t>4</w:t>
      </w:r>
      <w:r>
        <w:t xml:space="preserve">.2  </w:t>
      </w:r>
      <w:r>
        <w:rPr>
          <w:rFonts w:hint="eastAsia"/>
        </w:rPr>
        <w:t>安全要求</w:t>
      </w:r>
      <w:bookmarkEnd w:id="15"/>
    </w:p>
    <w:p>
      <w:pPr>
        <w:pStyle w:val="3"/>
      </w:pPr>
      <w:bookmarkStart w:id="16" w:name="_Toc159953647"/>
      <w:r>
        <w:rPr>
          <w:rFonts w:hint="eastAsia"/>
        </w:rPr>
        <w:t>4</w:t>
      </w:r>
      <w:r>
        <w:t xml:space="preserve">.2.1  </w:t>
      </w:r>
      <w:r>
        <w:rPr>
          <w:rFonts w:hint="eastAsia"/>
        </w:rPr>
        <w:t>耦合连接延长线插座系统的要求</w:t>
      </w:r>
      <w:bookmarkEnd w:id="16"/>
    </w:p>
    <w:p>
      <w:pPr>
        <w:pStyle w:val="3"/>
      </w:pPr>
      <w:bookmarkStart w:id="17" w:name="_Toc159953648"/>
      <w:r>
        <w:rPr>
          <w:rFonts w:hint="eastAsia"/>
        </w:rPr>
        <w:t>4</w:t>
      </w:r>
      <w:r>
        <w:t xml:space="preserve">.2.1.1  </w:t>
      </w:r>
      <w:r>
        <w:rPr>
          <w:rFonts w:hint="eastAsia"/>
        </w:rPr>
        <w:t>一般要求</w:t>
      </w:r>
      <w:bookmarkEnd w:id="17"/>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耦合连接延长线插座系统的延长线插座部分应符合G</w:t>
      </w:r>
      <w:r>
        <w:rPr>
          <w:rFonts w:ascii="Times New Roman" w:hAnsi="Times New Roman" w:eastAsia="宋体" w:cs="Times New Roman"/>
          <w:szCs w:val="21"/>
        </w:rPr>
        <w:t>B/T 2099.1</w:t>
      </w:r>
      <w:r>
        <w:rPr>
          <w:rFonts w:hint="eastAsia" w:ascii="Times New Roman" w:hAnsi="Times New Roman" w:eastAsia="宋体" w:cs="Times New Roman"/>
          <w:szCs w:val="21"/>
        </w:rPr>
        <w:t>、G</w:t>
      </w:r>
      <w:r>
        <w:rPr>
          <w:rFonts w:ascii="Times New Roman" w:hAnsi="Times New Roman" w:eastAsia="宋体" w:cs="Times New Roman"/>
          <w:szCs w:val="21"/>
        </w:rPr>
        <w:t>B/T 2099.7</w:t>
      </w:r>
      <w:r>
        <w:rPr>
          <w:rFonts w:hint="eastAsia" w:ascii="Times New Roman" w:hAnsi="Times New Roman" w:eastAsia="宋体" w:cs="Times New Roman"/>
          <w:szCs w:val="21"/>
        </w:rPr>
        <w:t>、G</w:t>
      </w:r>
      <w:r>
        <w:rPr>
          <w:rFonts w:ascii="Times New Roman" w:hAnsi="Times New Roman" w:eastAsia="宋体" w:cs="Times New Roman"/>
          <w:szCs w:val="21"/>
        </w:rPr>
        <w:t>B/T 1002</w:t>
      </w:r>
      <w:r>
        <w:rPr>
          <w:rFonts w:hint="eastAsia" w:ascii="Times New Roman" w:hAnsi="Times New Roman" w:eastAsia="宋体" w:cs="Times New Roman"/>
          <w:szCs w:val="21"/>
        </w:rPr>
        <w:t>的要求，耦合器部分应符合</w:t>
      </w:r>
      <w:r>
        <w:rPr>
          <w:rFonts w:ascii="Times New Roman" w:hAnsi="Times New Roman" w:eastAsia="宋体" w:cs="Times New Roman"/>
          <w:szCs w:val="21"/>
        </w:rPr>
        <w:t>GB/T 17465.1</w:t>
      </w:r>
      <w:r>
        <w:rPr>
          <w:rFonts w:hint="eastAsia" w:ascii="Times New Roman" w:hAnsi="Times New Roman" w:eastAsia="宋体" w:cs="Times New Roman"/>
          <w:szCs w:val="21"/>
        </w:rPr>
        <w:t>或其他连接件的相关标准要求。</w:t>
      </w:r>
    </w:p>
    <w:p>
      <w:pPr>
        <w:pStyle w:val="3"/>
      </w:pPr>
      <w:bookmarkStart w:id="18" w:name="_Toc159953649"/>
      <w:r>
        <w:rPr>
          <w:rFonts w:hint="eastAsia"/>
        </w:rPr>
        <w:t>4</w:t>
      </w:r>
      <w:r>
        <w:t xml:space="preserve">.2.1.2  </w:t>
      </w:r>
      <w:r>
        <w:rPr>
          <w:rFonts w:hint="eastAsia"/>
        </w:rPr>
        <w:t>温升</w:t>
      </w:r>
      <w:bookmarkEnd w:id="18"/>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5.3.1.2</w:t>
      </w:r>
      <w:r>
        <w:rPr>
          <w:rFonts w:hint="eastAsia" w:ascii="Times New Roman" w:hAnsi="Times New Roman" w:eastAsia="宋体" w:cs="Times New Roman"/>
          <w:szCs w:val="21"/>
        </w:rPr>
        <w:t>条的方法试验后，端子或端头的温升不应超过4</w:t>
      </w:r>
      <w:r>
        <w:rPr>
          <w:rFonts w:ascii="Times New Roman" w:hAnsi="Times New Roman" w:eastAsia="宋体" w:cs="Times New Roman"/>
          <w:szCs w:val="21"/>
        </w:rPr>
        <w:t>5K</w:t>
      </w:r>
      <w:r>
        <w:rPr>
          <w:rFonts w:hint="eastAsia" w:ascii="Times New Roman" w:hAnsi="Times New Roman" w:eastAsia="宋体" w:cs="Times New Roman"/>
          <w:szCs w:val="21"/>
        </w:rPr>
        <w:t>。</w:t>
      </w:r>
    </w:p>
    <w:p>
      <w:pPr>
        <w:pStyle w:val="3"/>
      </w:pPr>
      <w:bookmarkStart w:id="19" w:name="_Toc159953650"/>
      <w:r>
        <w:t xml:space="preserve">4.2.1.3  </w:t>
      </w:r>
      <w:r>
        <w:rPr>
          <w:rFonts w:hint="eastAsia"/>
        </w:rPr>
        <w:t>机械强度</w:t>
      </w:r>
      <w:bookmarkEnd w:id="19"/>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5.3.1.3条的方法试验后，</w:t>
      </w:r>
      <w:r>
        <w:rPr>
          <w:rFonts w:hint="eastAsia" w:ascii="Times New Roman" w:hAnsi="Times New Roman" w:eastAsia="宋体" w:cs="Times New Roman"/>
          <w:szCs w:val="21"/>
        </w:rPr>
        <w:t>试样不应出现本文件意义内的损坏，尤其是：</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——无任何零部件松脱﹔</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——插销不应变形以致于无法插入符合有关标准的插座，</w:t>
      </w:r>
      <w:r>
        <w:rPr>
          <w:rFonts w:ascii="Times New Roman" w:hAnsi="Times New Roman" w:eastAsia="宋体" w:cs="Times New Roman"/>
          <w:szCs w:val="21"/>
        </w:rPr>
        <w:t>并且能符合</w:t>
      </w:r>
      <w:r>
        <w:rPr>
          <w:rFonts w:hint="eastAsia" w:ascii="Times New Roman" w:hAnsi="Times New Roman" w:eastAsia="宋体" w:cs="Times New Roman"/>
          <w:szCs w:val="21"/>
        </w:rPr>
        <w:t>G</w:t>
      </w:r>
      <w:r>
        <w:rPr>
          <w:rFonts w:ascii="Times New Roman" w:hAnsi="Times New Roman" w:eastAsia="宋体" w:cs="Times New Roman"/>
          <w:szCs w:val="21"/>
        </w:rPr>
        <w:t>B/T 2099.1-2021</w:t>
      </w:r>
      <w:r>
        <w:rPr>
          <w:rFonts w:hint="eastAsia" w:ascii="Times New Roman" w:hAnsi="Times New Roman" w:eastAsia="宋体" w:cs="Times New Roman"/>
          <w:szCs w:val="21"/>
        </w:rPr>
        <w:t>第</w:t>
      </w:r>
      <w:r>
        <w:rPr>
          <w:rFonts w:ascii="Times New Roman" w:hAnsi="Times New Roman" w:eastAsia="宋体" w:cs="Times New Roman"/>
          <w:szCs w:val="21"/>
        </w:rPr>
        <w:t>9.1</w:t>
      </w:r>
      <w:r>
        <w:rPr>
          <w:rFonts w:hint="eastAsia" w:ascii="Times New Roman" w:hAnsi="Times New Roman" w:eastAsia="宋体" w:cs="Times New Roman"/>
          <w:szCs w:val="21"/>
        </w:rPr>
        <w:t>条</w:t>
      </w:r>
      <w:r>
        <w:rPr>
          <w:rFonts w:ascii="Times New Roman" w:hAnsi="Times New Roman" w:eastAsia="宋体" w:cs="Times New Roman"/>
          <w:szCs w:val="21"/>
        </w:rPr>
        <w:t>和</w:t>
      </w:r>
      <w:r>
        <w:rPr>
          <w:rFonts w:hint="eastAsia" w:ascii="Times New Roman" w:hAnsi="Times New Roman" w:eastAsia="宋体" w:cs="Times New Roman"/>
          <w:szCs w:val="21"/>
        </w:rPr>
        <w:t>第</w:t>
      </w:r>
      <w:r>
        <w:rPr>
          <w:rFonts w:ascii="Times New Roman" w:hAnsi="Times New Roman" w:eastAsia="宋体" w:cs="Times New Roman"/>
          <w:szCs w:val="21"/>
        </w:rPr>
        <w:t>10.3</w:t>
      </w:r>
      <w:r>
        <w:rPr>
          <w:rFonts w:hint="eastAsia" w:ascii="Times New Roman" w:hAnsi="Times New Roman" w:eastAsia="宋体" w:cs="Times New Roman"/>
          <w:szCs w:val="21"/>
        </w:rPr>
        <w:t>条</w:t>
      </w:r>
      <w:r>
        <w:rPr>
          <w:rFonts w:ascii="Times New Roman" w:hAnsi="Times New Roman" w:eastAsia="宋体" w:cs="Times New Roman"/>
          <w:szCs w:val="21"/>
        </w:rPr>
        <w:t>的要求(但用平均特性的插座检查,对插头施加的插入力等于1.5 倍拔出力)</w:t>
      </w:r>
      <w:r>
        <w:rPr>
          <w:rFonts w:hint="eastAsia" w:ascii="Times New Roman" w:hAnsi="Times New Roman" w:eastAsia="宋体" w:cs="Times New Roman"/>
          <w:szCs w:val="21"/>
        </w:rPr>
        <w:t xml:space="preserve">； </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插座的保护门应符合</w:t>
      </w:r>
      <w:r>
        <w:rPr>
          <w:rFonts w:ascii="Times New Roman" w:hAnsi="Times New Roman" w:eastAsia="宋体" w:cs="Times New Roman"/>
          <w:szCs w:val="21"/>
        </w:rPr>
        <w:t>GB/T 2099.1-2021第</w:t>
      </w:r>
      <w:r>
        <w:rPr>
          <w:rFonts w:hint="eastAsia" w:ascii="Times New Roman" w:hAnsi="Times New Roman" w:eastAsia="宋体" w:cs="Times New Roman"/>
          <w:szCs w:val="21"/>
        </w:rPr>
        <w:t>1</w:t>
      </w:r>
      <w:r>
        <w:rPr>
          <w:rFonts w:ascii="Times New Roman" w:hAnsi="Times New Roman" w:eastAsia="宋体" w:cs="Times New Roman"/>
          <w:szCs w:val="21"/>
        </w:rPr>
        <w:t>0.5</w:t>
      </w:r>
      <w:r>
        <w:rPr>
          <w:rFonts w:hint="eastAsia" w:ascii="Times New Roman" w:hAnsi="Times New Roman" w:eastAsia="宋体" w:cs="Times New Roman"/>
          <w:szCs w:val="21"/>
        </w:rPr>
        <w:t>条的要求。</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如果防触电保护性能不受影响</w:t>
      </w:r>
      <w:r>
        <w:rPr>
          <w:rFonts w:ascii="Times New Roman" w:hAnsi="Times New Roman" w:eastAsia="宋体" w:cs="Times New Roman"/>
          <w:szCs w:val="21"/>
        </w:rPr>
        <w:t>,则即使有小碎片脱落也可判为合格。</w:t>
      </w:r>
    </w:p>
    <w:p>
      <w:pPr>
        <w:pStyle w:val="3"/>
      </w:pPr>
      <w:bookmarkStart w:id="20" w:name="_Toc159953651"/>
      <w:r>
        <w:rPr>
          <w:rFonts w:hint="eastAsia"/>
        </w:rPr>
        <w:t>4</w:t>
      </w:r>
      <w:r>
        <w:t xml:space="preserve">.2.1.4  </w:t>
      </w:r>
      <w:r>
        <w:rPr>
          <w:rFonts w:hint="eastAsia"/>
        </w:rPr>
        <w:t>标识</w:t>
      </w:r>
      <w:bookmarkEnd w:id="20"/>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耦合连接延长线插座系统上应有最大允许功率的警示标识，例如：多个插座连接在一起使用的情况，所有插孔的负载总功率不应超过最大允许功率2</w:t>
      </w:r>
      <w:r>
        <w:rPr>
          <w:rFonts w:ascii="Times New Roman" w:hAnsi="Times New Roman" w:eastAsia="宋体" w:cs="Times New Roman"/>
          <w:szCs w:val="21"/>
        </w:rPr>
        <w:t>500W</w:t>
      </w:r>
      <w:r>
        <w:rPr>
          <w:rFonts w:hint="eastAsia" w:ascii="Times New Roman" w:hAnsi="Times New Roman" w:eastAsia="宋体" w:cs="Times New Roman"/>
          <w:szCs w:val="21"/>
        </w:rPr>
        <w:t>。</w:t>
      </w:r>
    </w:p>
    <w:p>
      <w:pPr>
        <w:spacing w:line="276" w:lineRule="auto"/>
        <w:ind w:firstLine="420" w:firstLineChars="200"/>
      </w:pPr>
      <w:r>
        <w:rPr>
          <w:rFonts w:hint="eastAsia" w:ascii="Times New Roman" w:hAnsi="Times New Roman" w:eastAsia="宋体" w:cs="Times New Roman"/>
          <w:szCs w:val="21"/>
        </w:rPr>
        <w:t>擦拭试验后，标志应清晰易辨。</w:t>
      </w:r>
    </w:p>
    <w:p>
      <w:pPr>
        <w:pStyle w:val="3"/>
      </w:pPr>
      <w:bookmarkStart w:id="21" w:name="_Toc159953652"/>
      <w:r>
        <w:t xml:space="preserve">4.2.1.5  </w:t>
      </w:r>
      <w:r>
        <w:rPr>
          <w:rFonts w:hint="eastAsia"/>
        </w:rPr>
        <w:t>防护等级</w:t>
      </w:r>
      <w:bookmarkEnd w:id="21"/>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耦合连接延长线插座系统的防护等级应不低于I</w:t>
      </w:r>
      <w:r>
        <w:rPr>
          <w:rFonts w:ascii="Times New Roman" w:hAnsi="Times New Roman" w:eastAsia="宋体" w:cs="Times New Roman"/>
          <w:szCs w:val="21"/>
        </w:rPr>
        <w:t>P20</w:t>
      </w:r>
      <w:r>
        <w:rPr>
          <w:rFonts w:hint="eastAsia" w:ascii="Times New Roman" w:hAnsi="Times New Roman" w:eastAsia="宋体" w:cs="Times New Roman"/>
          <w:szCs w:val="21"/>
        </w:rPr>
        <w:t>。</w:t>
      </w:r>
    </w:p>
    <w:p>
      <w:pPr>
        <w:pStyle w:val="3"/>
      </w:pPr>
      <w:r>
        <w:rPr>
          <w:rFonts w:hint="eastAsia"/>
        </w:rPr>
        <w:t>4</w:t>
      </w:r>
      <w:r>
        <w:t xml:space="preserve">.2.1.6  </w:t>
      </w:r>
      <w:r>
        <w:rPr>
          <w:rFonts w:hint="eastAsia"/>
        </w:rPr>
        <w:t>耦合器防松脱</w:t>
      </w:r>
    </w:p>
    <w:p>
      <w:pPr>
        <w:spacing w:line="276" w:lineRule="auto"/>
        <w:ind w:firstLine="420" w:firstLineChars="200"/>
      </w:pPr>
      <w:r>
        <w:rPr>
          <w:rFonts w:hint="eastAsia"/>
        </w:rPr>
        <w:t>耦合器应能承受偶发性的拉力，按照</w:t>
      </w:r>
      <w:r>
        <w:t>5.3.1.6</w:t>
      </w:r>
      <w:r>
        <w:rPr>
          <w:rFonts w:hint="eastAsia"/>
        </w:rPr>
        <w:t>条的方法试验后，软线不应松脱，防松结构不应损坏。</w:t>
      </w:r>
    </w:p>
    <w:p>
      <w:pPr>
        <w:pStyle w:val="3"/>
      </w:pPr>
      <w:r>
        <w:rPr>
          <w:rFonts w:hint="eastAsia"/>
        </w:rPr>
        <w:t>4</w:t>
      </w:r>
      <w:r>
        <w:t xml:space="preserve">.2.1.7  </w:t>
      </w:r>
      <w:r>
        <w:rPr>
          <w:rFonts w:hint="eastAsia"/>
        </w:rPr>
        <w:t>软线及其连接</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耦合连接延长线插座系统的主线横截面积应不小于表1的要求。</w:t>
      </w:r>
    </w:p>
    <w:p>
      <w:pPr>
        <w:spacing w:line="276" w:lineRule="auto"/>
        <w:ind w:firstLine="420" w:firstLineChars="200"/>
        <w:jc w:val="center"/>
      </w:pPr>
      <w:r>
        <w:rPr>
          <w:rFonts w:hint="eastAsia"/>
        </w:rPr>
        <w:t>表1</w:t>
      </w:r>
      <w:r>
        <w:t xml:space="preserve"> </w:t>
      </w:r>
      <w:r>
        <w:rPr>
          <w:rFonts w:hint="eastAsia"/>
        </w:rPr>
        <w:t>耦合连接延长线插座系统主线的横截面积</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额定电流（A）</w:t>
            </w:r>
          </w:p>
        </w:tc>
        <w:tc>
          <w:tcPr>
            <w:tcW w:w="230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标称横截面积（m</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230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16</w:t>
            </w:r>
            <w:r>
              <w:rPr>
                <w:rFonts w:hint="eastAsia" w:ascii="Times New Roman" w:hAnsi="Times New Roman" w:eastAsia="宋体" w:cs="Times New Roman"/>
                <w:szCs w:val="21"/>
              </w:rPr>
              <w:t>且≤</w:t>
            </w:r>
            <w:r>
              <w:rPr>
                <w:rFonts w:ascii="Times New Roman" w:hAnsi="Times New Roman" w:eastAsia="宋体" w:cs="Times New Roman"/>
                <w:szCs w:val="21"/>
              </w:rPr>
              <w:t>25</w:t>
            </w:r>
          </w:p>
        </w:tc>
        <w:tc>
          <w:tcPr>
            <w:tcW w:w="230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0"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r>
              <w:rPr>
                <w:rFonts w:hint="eastAsia" w:ascii="Times New Roman" w:hAnsi="Times New Roman" w:eastAsia="宋体" w:cs="Times New Roman"/>
                <w:szCs w:val="21"/>
              </w:rPr>
              <w:t>且≤</w:t>
            </w:r>
            <w:r>
              <w:rPr>
                <w:rFonts w:ascii="Times New Roman" w:hAnsi="Times New Roman" w:eastAsia="宋体" w:cs="Times New Roman"/>
                <w:szCs w:val="21"/>
              </w:rPr>
              <w:t>32</w:t>
            </w:r>
          </w:p>
        </w:tc>
        <w:tc>
          <w:tcPr>
            <w:tcW w:w="2305"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r>
    </w:tbl>
    <w:p>
      <w:pPr>
        <w:spacing w:line="276" w:lineRule="auto"/>
        <w:ind w:firstLine="420" w:firstLineChars="200"/>
      </w:pPr>
    </w:p>
    <w:p>
      <w:pPr>
        <w:pStyle w:val="3"/>
      </w:pPr>
      <w:bookmarkStart w:id="22" w:name="_Toc159953653"/>
      <w:r>
        <w:rPr>
          <w:rFonts w:hint="eastAsia"/>
        </w:rPr>
        <w:t>4</w:t>
      </w:r>
      <w:r>
        <w:t xml:space="preserve">.2.2  </w:t>
      </w:r>
      <w:r>
        <w:rPr>
          <w:rFonts w:hint="eastAsia"/>
        </w:rPr>
        <w:t>升降插座</w:t>
      </w:r>
      <w:bookmarkEnd w:id="22"/>
      <w:r>
        <w:rPr>
          <w:rFonts w:hint="eastAsia"/>
        </w:rPr>
        <w:t>的要求</w:t>
      </w:r>
    </w:p>
    <w:p>
      <w:pPr>
        <w:pStyle w:val="3"/>
      </w:pPr>
      <w:bookmarkStart w:id="23" w:name="_Toc159953654"/>
      <w:r>
        <w:rPr>
          <w:rFonts w:hint="eastAsia"/>
        </w:rPr>
        <w:t>4</w:t>
      </w:r>
      <w:r>
        <w:t xml:space="preserve">.2.2.1  </w:t>
      </w:r>
      <w:r>
        <w:rPr>
          <w:rFonts w:hint="eastAsia"/>
        </w:rPr>
        <w:t>一般要求</w:t>
      </w:r>
      <w:bookmarkEnd w:id="23"/>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升降插座中的插座、U</w:t>
      </w:r>
      <w:r>
        <w:rPr>
          <w:rFonts w:ascii="Times New Roman" w:hAnsi="Times New Roman" w:eastAsia="宋体" w:cs="Times New Roman"/>
          <w:szCs w:val="21"/>
        </w:rPr>
        <w:t>SB</w:t>
      </w:r>
      <w:r>
        <w:rPr>
          <w:rFonts w:hint="eastAsia" w:ascii="Times New Roman" w:hAnsi="Times New Roman" w:eastAsia="宋体" w:cs="Times New Roman"/>
          <w:szCs w:val="21"/>
        </w:rPr>
        <w:t>电源、电机、开关部分等模块，应符合相应标准要求。</w:t>
      </w:r>
    </w:p>
    <w:p>
      <w:pPr>
        <w:pStyle w:val="3"/>
      </w:pPr>
      <w:bookmarkStart w:id="24" w:name="_Toc159953655"/>
      <w:r>
        <w:rPr>
          <w:rFonts w:hint="eastAsia"/>
        </w:rPr>
        <w:t>4</w:t>
      </w:r>
      <w:r>
        <w:t xml:space="preserve">.2.2.2  </w:t>
      </w:r>
      <w:r>
        <w:rPr>
          <w:rFonts w:hint="eastAsia"/>
        </w:rPr>
        <w:t>升降寿命</w:t>
      </w:r>
      <w:bookmarkEnd w:id="24"/>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5.3.2.2</w:t>
      </w:r>
      <w:r>
        <w:rPr>
          <w:rFonts w:hint="eastAsia" w:ascii="Times New Roman" w:hAnsi="Times New Roman" w:eastAsia="宋体" w:cs="Times New Roman"/>
          <w:szCs w:val="21"/>
        </w:rPr>
        <w:t>条的方法试验后，试样不得出现：</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——影响今后使用的磨损；</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——电气或机械连接的松脱；</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——影响正常使用的机械损坏。</w:t>
      </w:r>
    </w:p>
    <w:p>
      <w:pPr>
        <w:pStyle w:val="3"/>
      </w:pPr>
      <w:bookmarkStart w:id="25" w:name="_Toc159953656"/>
      <w:r>
        <w:rPr>
          <w:rFonts w:hint="eastAsia"/>
        </w:rPr>
        <w:t>4</w:t>
      </w:r>
      <w:r>
        <w:t xml:space="preserve">.2.2.3  </w:t>
      </w:r>
      <w:r>
        <w:rPr>
          <w:rFonts w:hint="eastAsia"/>
        </w:rPr>
        <w:t>防夹功能</w:t>
      </w:r>
      <w:bookmarkEnd w:id="25"/>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若靠近升降插座的物体有被夹风险，升降插座应有防夹功能。</w:t>
      </w:r>
    </w:p>
    <w:p>
      <w:pPr>
        <w:pStyle w:val="3"/>
      </w:pPr>
      <w:bookmarkStart w:id="26" w:name="_Toc159953657"/>
      <w:r>
        <w:t xml:space="preserve">4.2.2.4  </w:t>
      </w:r>
      <w:r>
        <w:rPr>
          <w:rFonts w:hint="eastAsia"/>
        </w:rPr>
        <w:t>防夹力</w:t>
      </w:r>
      <w:bookmarkEnd w:id="26"/>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升降插座的防夹力应不大于</w:t>
      </w:r>
      <w:r>
        <w:rPr>
          <w:rFonts w:ascii="Times New Roman" w:hAnsi="Times New Roman" w:eastAsia="宋体" w:cs="Times New Roman"/>
          <w:szCs w:val="21"/>
        </w:rPr>
        <w:t>70N</w:t>
      </w:r>
      <w:r>
        <w:rPr>
          <w:rFonts w:hint="eastAsia" w:ascii="Times New Roman" w:hAnsi="Times New Roman" w:eastAsia="宋体" w:cs="Times New Roman"/>
          <w:szCs w:val="21"/>
        </w:rPr>
        <w:t>。</w:t>
      </w:r>
    </w:p>
    <w:p>
      <w:pPr>
        <w:pStyle w:val="3"/>
      </w:pPr>
      <w:bookmarkStart w:id="27" w:name="_Toc159953658"/>
      <w:r>
        <w:rPr>
          <w:rFonts w:hint="eastAsia"/>
        </w:rPr>
        <w:t>4</w:t>
      </w:r>
      <w:r>
        <w:t xml:space="preserve">.2.2.5  </w:t>
      </w:r>
      <w:r>
        <w:rPr>
          <w:rFonts w:hint="eastAsia"/>
        </w:rPr>
        <w:t>防夹反应时间</w:t>
      </w:r>
      <w:bookmarkEnd w:id="27"/>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升降插座的防夹反应时间应小于1</w:t>
      </w:r>
      <w:r>
        <w:rPr>
          <w:rFonts w:ascii="Times New Roman" w:hAnsi="Times New Roman" w:eastAsia="宋体" w:cs="Times New Roman"/>
          <w:szCs w:val="21"/>
        </w:rPr>
        <w:t>s</w:t>
      </w:r>
      <w:r>
        <w:rPr>
          <w:rFonts w:hint="eastAsia" w:ascii="Times New Roman" w:hAnsi="Times New Roman" w:eastAsia="宋体" w:cs="Times New Roman"/>
          <w:szCs w:val="21"/>
        </w:rPr>
        <w:t>。</w:t>
      </w:r>
    </w:p>
    <w:p>
      <w:pPr>
        <w:pStyle w:val="3"/>
      </w:pPr>
      <w:bookmarkStart w:id="28" w:name="_Toc159953659"/>
      <w:r>
        <w:rPr>
          <w:rFonts w:hint="eastAsia"/>
        </w:rPr>
        <w:t>4</w:t>
      </w:r>
      <w:r>
        <w:t xml:space="preserve">.2.2.6  </w:t>
      </w:r>
      <w:r>
        <w:rPr>
          <w:rFonts w:hint="eastAsia"/>
        </w:rPr>
        <w:t>遇阻回退距离</w:t>
      </w:r>
      <w:bookmarkEnd w:id="28"/>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桌面升降插座运行时，遇到障碍物时，能反向运行至少2</w:t>
      </w:r>
      <w:r>
        <w:rPr>
          <w:rFonts w:ascii="Times New Roman" w:hAnsi="Times New Roman" w:eastAsia="宋体" w:cs="Times New Roman"/>
          <w:szCs w:val="21"/>
        </w:rPr>
        <w:t>0mm</w:t>
      </w:r>
      <w:r>
        <w:rPr>
          <w:rFonts w:hint="eastAsia" w:ascii="Times New Roman" w:hAnsi="Times New Roman" w:eastAsia="宋体" w:cs="Times New Roman"/>
          <w:szCs w:val="21"/>
        </w:rPr>
        <w:t>的保护距离（除非已升到顶端限位）。</w:t>
      </w:r>
    </w:p>
    <w:p>
      <w:pPr>
        <w:pStyle w:val="3"/>
      </w:pPr>
      <w:bookmarkStart w:id="29" w:name="_Toc159953660"/>
      <w:r>
        <w:rPr>
          <w:rFonts w:hint="eastAsia"/>
        </w:rPr>
        <w:t>4</w:t>
      </w:r>
      <w:r>
        <w:t xml:space="preserve">.2.2.7  </w:t>
      </w:r>
      <w:r>
        <w:rPr>
          <w:rFonts w:hint="eastAsia"/>
        </w:rPr>
        <w:t>非正常工作</w:t>
      </w:r>
      <w:bookmarkEnd w:id="29"/>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在电机堵转的情况下，升降插座及其部件不得出现着火、熔化现象。</w:t>
      </w:r>
    </w:p>
    <w:p>
      <w:pPr>
        <w:pStyle w:val="3"/>
      </w:pPr>
      <w:bookmarkStart w:id="30" w:name="_Toc159953661"/>
      <w:r>
        <w:rPr>
          <w:rFonts w:hint="eastAsia"/>
        </w:rPr>
        <w:t>4</w:t>
      </w:r>
      <w:r>
        <w:t xml:space="preserve">.2.2.8  </w:t>
      </w:r>
      <w:r>
        <w:rPr>
          <w:rFonts w:hint="eastAsia"/>
        </w:rPr>
        <w:t>温升</w:t>
      </w:r>
      <w:bookmarkEnd w:id="30"/>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温升试验中，温升不应超过4</w:t>
      </w:r>
      <w:r>
        <w:rPr>
          <w:rFonts w:ascii="Times New Roman" w:hAnsi="Times New Roman" w:eastAsia="宋体" w:cs="Times New Roman"/>
          <w:szCs w:val="21"/>
        </w:rPr>
        <w:t>5K</w:t>
      </w:r>
      <w:r>
        <w:rPr>
          <w:rFonts w:hint="eastAsia" w:ascii="Times New Roman" w:hAnsi="Times New Roman" w:eastAsia="宋体" w:cs="Times New Roman"/>
          <w:szCs w:val="21"/>
        </w:rPr>
        <w:t>。</w:t>
      </w:r>
    </w:p>
    <w:p>
      <w:pPr>
        <w:pStyle w:val="3"/>
      </w:pPr>
      <w:bookmarkStart w:id="31" w:name="_Toc159953662"/>
      <w:r>
        <w:t xml:space="preserve">4.2.2.9  </w:t>
      </w:r>
      <w:r>
        <w:rPr>
          <w:rFonts w:hint="eastAsia"/>
        </w:rPr>
        <w:t>防护等级</w:t>
      </w:r>
      <w:bookmarkEnd w:id="31"/>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样品降至最低限位的情况下，防护等级不得低于I</w:t>
      </w:r>
      <w:r>
        <w:rPr>
          <w:rFonts w:ascii="Times New Roman" w:hAnsi="Times New Roman" w:eastAsia="宋体" w:cs="Times New Roman"/>
          <w:szCs w:val="21"/>
        </w:rPr>
        <w:t>P32</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应至少有一个排水孔。</w:t>
      </w:r>
    </w:p>
    <w:p>
      <w:pPr>
        <w:pStyle w:val="3"/>
      </w:pPr>
      <w:r>
        <w:t xml:space="preserve">4.2.2.10 </w:t>
      </w:r>
      <w:r>
        <w:rPr>
          <w:rFonts w:hint="eastAsia"/>
        </w:rPr>
        <w:t>插合状态下升降按钮误触</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在插座或</w:t>
      </w:r>
      <w:r>
        <w:rPr>
          <w:rFonts w:ascii="Times New Roman" w:hAnsi="Times New Roman" w:eastAsia="宋体" w:cs="Times New Roman"/>
          <w:szCs w:val="21"/>
        </w:rPr>
        <w:t>USB</w:t>
      </w:r>
      <w:r>
        <w:rPr>
          <w:rFonts w:hint="eastAsia" w:ascii="Times New Roman" w:hAnsi="Times New Roman" w:eastAsia="宋体" w:cs="Times New Roman"/>
          <w:szCs w:val="21"/>
        </w:rPr>
        <w:t>电源插合的状态下，点按升降按钮，插座不应执行升降功能。</w:t>
      </w:r>
    </w:p>
    <w:p>
      <w:pPr>
        <w:pStyle w:val="2"/>
      </w:pPr>
      <w:bookmarkStart w:id="32" w:name="_Toc159953663"/>
      <w:r>
        <w:rPr>
          <w:rFonts w:hint="eastAsia"/>
        </w:rPr>
        <w:t>5</w:t>
      </w:r>
      <w:r>
        <w:t xml:space="preserve">  </w:t>
      </w:r>
      <w:r>
        <w:rPr>
          <w:rFonts w:hint="eastAsia"/>
        </w:rPr>
        <w:t>试验</w:t>
      </w:r>
      <w:r>
        <w:t>方法</w:t>
      </w:r>
      <w:bookmarkEnd w:id="32"/>
    </w:p>
    <w:p>
      <w:pPr>
        <w:pStyle w:val="3"/>
      </w:pPr>
      <w:bookmarkStart w:id="33" w:name="_Toc53668319"/>
      <w:bookmarkStart w:id="34" w:name="_Toc159953664"/>
      <w:r>
        <w:rPr>
          <w:rFonts w:hint="eastAsia"/>
        </w:rPr>
        <w:t>5</w:t>
      </w:r>
      <w:r>
        <w:t xml:space="preserve">.1 </w:t>
      </w:r>
      <w:bookmarkEnd w:id="33"/>
      <w:r>
        <w:t xml:space="preserve"> </w:t>
      </w:r>
      <w:r>
        <w:rPr>
          <w:rFonts w:hint="eastAsia"/>
        </w:rPr>
        <w:t>试验条件</w:t>
      </w:r>
      <w:bookmarkEnd w:id="34"/>
    </w:p>
    <w:p>
      <w:pPr>
        <w:spacing w:line="276" w:lineRule="auto"/>
        <w:ind w:firstLine="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除非本文件另有规定，试验应按各条款的顺序，在1</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35</w:t>
      </w:r>
      <w:r>
        <w:rPr>
          <w:rFonts w:hint="eastAsia" w:ascii="Times New Roman" w:hAnsi="Times New Roman" w:eastAsia="宋体" w:cs="Times New Roman"/>
          <w:color w:val="000000" w:themeColor="text1"/>
          <w:szCs w:val="21"/>
          <w14:textFill>
            <w14:solidFill>
              <w14:schemeClr w14:val="tx1"/>
            </w14:solidFill>
          </w14:textFill>
        </w:rPr>
        <w:t>℃的环境温度下进行。</w:t>
      </w:r>
    </w:p>
    <w:p>
      <w:pPr>
        <w:spacing w:line="276" w:lineRule="auto"/>
        <w:ind w:firstLine="420"/>
        <w:rPr>
          <w:rFonts w:ascii="Times New Roman" w:hAnsi="Times New Roman" w:eastAsia="宋体" w:cs="Times New Roman"/>
          <w:color w:val="000000" w:themeColor="text1"/>
          <w:szCs w:val="21"/>
          <w:highlight w:val="yellow"/>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在有怀疑时，试验应在（</w:t>
      </w:r>
      <w:r>
        <w:rPr>
          <w:rFonts w:ascii="Times New Roman" w:hAnsi="Times New Roman" w:eastAsia="宋体" w:cs="Times New Roman"/>
          <w:color w:val="000000" w:themeColor="text1"/>
          <w:szCs w:val="21"/>
          <w14:textFill>
            <w14:solidFill>
              <w14:schemeClr w14:val="tx1"/>
            </w14:solidFill>
          </w14:textFill>
        </w:rPr>
        <w:t>20±5）℃</w:t>
      </w:r>
      <w:r>
        <w:rPr>
          <w:rFonts w:hint="eastAsia" w:ascii="Times New Roman" w:hAnsi="Times New Roman" w:eastAsia="宋体" w:cs="Times New Roman"/>
          <w:color w:val="000000" w:themeColor="text1"/>
          <w:szCs w:val="21"/>
          <w14:textFill>
            <w14:solidFill>
              <w14:schemeClr w14:val="tx1"/>
            </w14:solidFill>
          </w14:textFill>
        </w:rPr>
        <w:t>的环境温度下进行</w:t>
      </w:r>
      <w:r>
        <w:rPr>
          <w:rFonts w:ascii="Times New Roman" w:hAnsi="Times New Roman" w:eastAsia="宋体" w:cs="Times New Roman"/>
          <w:color w:val="000000" w:themeColor="text1"/>
          <w:szCs w:val="21"/>
          <w14:textFill>
            <w14:solidFill>
              <w14:schemeClr w14:val="tx1"/>
            </w14:solidFill>
          </w14:textFill>
        </w:rPr>
        <w:t>。</w:t>
      </w:r>
    </w:p>
    <w:p>
      <w:pPr>
        <w:pStyle w:val="3"/>
      </w:pPr>
      <w:bookmarkStart w:id="35" w:name="_Toc53668320"/>
      <w:bookmarkStart w:id="36" w:name="_Toc159953665"/>
      <w:r>
        <w:rPr>
          <w:rFonts w:hint="eastAsia"/>
          <w:kern w:val="44"/>
        </w:rPr>
        <w:t>5</w:t>
      </w:r>
      <w:r>
        <w:rPr>
          <w:kern w:val="44"/>
        </w:rPr>
        <w:t xml:space="preserve">.2 </w:t>
      </w:r>
      <w:bookmarkEnd w:id="35"/>
      <w:r>
        <w:rPr>
          <w:kern w:val="44"/>
        </w:rPr>
        <w:t xml:space="preserve"> </w:t>
      </w:r>
      <w:r>
        <w:rPr>
          <w:rFonts w:hint="eastAsia"/>
          <w:kern w:val="44"/>
        </w:rPr>
        <w:t>外观</w:t>
      </w:r>
      <w:r>
        <w:t>试验</w:t>
      </w:r>
      <w:bookmarkEnd w:id="36"/>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在被测表面不小于5</w:t>
      </w:r>
      <w:r>
        <w:rPr>
          <w:rFonts w:ascii="Times New Roman" w:hAnsi="Times New Roman" w:eastAsia="宋体" w:cs="Times New Roman"/>
          <w:szCs w:val="21"/>
        </w:rPr>
        <w:t>00lx</w:t>
      </w:r>
      <w:r>
        <w:rPr>
          <w:rFonts w:hint="eastAsia" w:ascii="Times New Roman" w:hAnsi="Times New Roman" w:eastAsia="宋体" w:cs="Times New Roman"/>
          <w:szCs w:val="21"/>
        </w:rPr>
        <w:t>的照度时</w:t>
      </w:r>
      <w:r>
        <w:rPr>
          <w:rFonts w:ascii="Times New Roman" w:hAnsi="Times New Roman" w:eastAsia="宋体" w:cs="Times New Roman"/>
          <w:szCs w:val="21"/>
        </w:rPr>
        <w:t>，目检</w:t>
      </w:r>
      <w:r>
        <w:rPr>
          <w:rFonts w:hint="eastAsia" w:ascii="Times New Roman" w:hAnsi="Times New Roman" w:eastAsia="宋体" w:cs="Times New Roman"/>
          <w:szCs w:val="21"/>
        </w:rPr>
        <w:t>电源系统的</w:t>
      </w:r>
      <w:r>
        <w:rPr>
          <w:rFonts w:ascii="Times New Roman" w:hAnsi="Times New Roman" w:eastAsia="宋体" w:cs="Times New Roman"/>
          <w:szCs w:val="21"/>
        </w:rPr>
        <w:t>外观，并记录结果。</w:t>
      </w:r>
    </w:p>
    <w:p>
      <w:pPr>
        <w:pStyle w:val="3"/>
      </w:pPr>
      <w:bookmarkStart w:id="37" w:name="_Toc53668321"/>
      <w:bookmarkStart w:id="38" w:name="_Toc18936337"/>
      <w:bookmarkStart w:id="39" w:name="_Toc159953666"/>
      <w:r>
        <w:rPr>
          <w:rFonts w:hint="eastAsia"/>
        </w:rPr>
        <w:t>5</w:t>
      </w:r>
      <w:r>
        <w:t xml:space="preserve">.3 </w:t>
      </w:r>
      <w:bookmarkEnd w:id="37"/>
      <w:bookmarkEnd w:id="38"/>
      <w:r>
        <w:t xml:space="preserve"> </w:t>
      </w:r>
      <w:r>
        <w:rPr>
          <w:rFonts w:hint="eastAsia"/>
        </w:rPr>
        <w:t>安全</w:t>
      </w:r>
      <w:r>
        <w:t>试验</w:t>
      </w:r>
      <w:bookmarkEnd w:id="39"/>
    </w:p>
    <w:p>
      <w:pPr>
        <w:pStyle w:val="3"/>
      </w:pPr>
      <w:bookmarkStart w:id="40" w:name="_Toc159953667"/>
      <w:r>
        <w:t xml:space="preserve">5.3.1  </w:t>
      </w:r>
      <w:r>
        <w:rPr>
          <w:rFonts w:hint="eastAsia"/>
        </w:rPr>
        <w:t>耦合连接延长线插座系统的要求</w:t>
      </w:r>
      <w:bookmarkEnd w:id="40"/>
    </w:p>
    <w:p>
      <w:pPr>
        <w:pStyle w:val="3"/>
      </w:pPr>
      <w:bookmarkStart w:id="41" w:name="_Toc159953668"/>
      <w:r>
        <w:t xml:space="preserve">5.3.1.1  </w:t>
      </w:r>
      <w:r>
        <w:rPr>
          <w:rFonts w:hint="eastAsia"/>
        </w:rPr>
        <w:t>一般要求</w:t>
      </w:r>
      <w:bookmarkEnd w:id="41"/>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需提供相关标准的认证证书或委托报告。</w:t>
      </w:r>
    </w:p>
    <w:p>
      <w:pPr>
        <w:pStyle w:val="3"/>
      </w:pPr>
      <w:bookmarkStart w:id="42" w:name="_Toc159953669"/>
      <w:r>
        <w:t xml:space="preserve">5.3.1.2  </w:t>
      </w:r>
      <w:r>
        <w:rPr>
          <w:rFonts w:hint="eastAsia"/>
        </w:rPr>
        <w:t>温升</w:t>
      </w:r>
      <w:bookmarkEnd w:id="42"/>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将制造商声明的最大可能接插数量的耦合插座</w:t>
      </w:r>
      <w:r>
        <w:rPr>
          <w:rFonts w:ascii="Times New Roman" w:hAnsi="Times New Roman" w:eastAsia="宋体" w:cs="Times New Roman"/>
          <w:szCs w:val="21"/>
        </w:rPr>
        <w:t>连接在一起，按照GB/T 2099.1</w:t>
      </w:r>
      <w:r>
        <w:rPr>
          <w:rFonts w:hint="eastAsia" w:ascii="Times New Roman" w:hAnsi="Times New Roman" w:eastAsia="宋体" w:cs="Times New Roman"/>
          <w:szCs w:val="21"/>
        </w:rPr>
        <w:t>规定的</w:t>
      </w:r>
      <w:r>
        <w:rPr>
          <w:rFonts w:ascii="Times New Roman" w:hAnsi="Times New Roman" w:eastAsia="宋体" w:cs="Times New Roman"/>
          <w:szCs w:val="21"/>
        </w:rPr>
        <w:t>试验条件</w:t>
      </w:r>
      <w:r>
        <w:rPr>
          <w:rFonts w:hint="eastAsia" w:ascii="Times New Roman" w:hAnsi="Times New Roman" w:eastAsia="宋体" w:cs="Times New Roman"/>
          <w:szCs w:val="21"/>
        </w:rPr>
        <w:t>、用系统额定电流</w:t>
      </w:r>
      <w:r>
        <w:rPr>
          <w:rFonts w:ascii="Times New Roman" w:hAnsi="Times New Roman" w:eastAsia="宋体" w:cs="Times New Roman"/>
          <w:szCs w:val="21"/>
        </w:rPr>
        <w:t>进行温升试验</w:t>
      </w:r>
      <w:r>
        <w:rPr>
          <w:rFonts w:hint="eastAsia" w:ascii="Times New Roman" w:hAnsi="Times New Roman" w:eastAsia="宋体" w:cs="Times New Roman"/>
          <w:szCs w:val="21"/>
        </w:rPr>
        <w:t>，单个插座的试验电流不超过其额定电流，在主线耦合器端头上测量温升。</w:t>
      </w:r>
    </w:p>
    <w:p>
      <w:pPr>
        <w:pStyle w:val="3"/>
      </w:pPr>
      <w:bookmarkStart w:id="43" w:name="_Toc159953670"/>
      <w:r>
        <w:t xml:space="preserve">5.3.1.3  </w:t>
      </w:r>
      <w:r>
        <w:rPr>
          <w:rFonts w:hint="eastAsia"/>
        </w:rPr>
        <w:t>机械强度</w:t>
      </w:r>
      <w:bookmarkEnd w:id="43"/>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按交货状态进行试验。</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试样要逐个地经受</w:t>
      </w:r>
      <w:r>
        <w:rPr>
          <w:rFonts w:ascii="Times New Roman" w:hAnsi="Times New Roman" w:eastAsia="宋体" w:cs="Times New Roman"/>
          <w:szCs w:val="21"/>
        </w:rPr>
        <w:t>GB/T 2423.7的试验Ec:粗率操作造成的冲击(主要用于设备型样品)中自由跌落程序2的试验。跌落的次数为25</w:t>
      </w:r>
      <w:r>
        <w:rPr>
          <w:rFonts w:hint="eastAsia" w:ascii="Times New Roman" w:hAnsi="Times New Roman" w:eastAsia="宋体" w:cs="Times New Roman"/>
          <w:szCs w:val="21"/>
        </w:rPr>
        <w:t>次。</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滚筒的旋转速度为</w:t>
      </w:r>
      <w:r>
        <w:rPr>
          <w:rFonts w:ascii="Times New Roman" w:hAnsi="Times New Roman" w:eastAsia="宋体" w:cs="Times New Roman"/>
          <w:szCs w:val="21"/>
        </w:rPr>
        <w:t>5 r/ min</w:t>
      </w:r>
      <w:r>
        <w:rPr>
          <w:rFonts w:hint="eastAsia" w:ascii="Times New Roman" w:hAnsi="Times New Roman" w:eastAsia="宋体" w:cs="Times New Roman"/>
          <w:szCs w:val="21"/>
        </w:rPr>
        <w:t>，</w:t>
      </w:r>
      <w:r>
        <w:rPr>
          <w:rFonts w:ascii="Times New Roman" w:hAnsi="Times New Roman" w:eastAsia="宋体" w:cs="Times New Roman"/>
          <w:szCs w:val="21"/>
        </w:rPr>
        <w:t>即试样每分钟跌落10次。</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试验后，按照</w:t>
      </w:r>
      <w:r>
        <w:rPr>
          <w:rFonts w:ascii="Times New Roman" w:hAnsi="Times New Roman" w:eastAsia="宋体" w:cs="Times New Roman"/>
          <w:szCs w:val="21"/>
        </w:rPr>
        <w:t>GB/T 2099.1-2021第10.5条</w:t>
      </w:r>
      <w:r>
        <w:rPr>
          <w:rFonts w:hint="eastAsia" w:ascii="Times New Roman" w:hAnsi="Times New Roman" w:eastAsia="宋体" w:cs="Times New Roman"/>
          <w:szCs w:val="21"/>
        </w:rPr>
        <w:t>对插座的保护门进行试验。</w:t>
      </w:r>
    </w:p>
    <w:p>
      <w:pPr>
        <w:pStyle w:val="3"/>
      </w:pPr>
      <w:bookmarkStart w:id="44" w:name="_Toc159953671"/>
      <w:r>
        <w:t xml:space="preserve">5.3.1.4  </w:t>
      </w:r>
      <w:r>
        <w:rPr>
          <w:rFonts w:hint="eastAsia"/>
        </w:rPr>
        <w:t>标识</w:t>
      </w:r>
      <w:bookmarkEnd w:id="44"/>
    </w:p>
    <w:p>
      <w:pPr>
        <w:spacing w:line="276" w:lineRule="auto"/>
        <w:ind w:firstLine="420" w:firstLineChars="200"/>
      </w:pPr>
      <w:r>
        <w:rPr>
          <w:rFonts w:hint="eastAsia" w:ascii="Times New Roman" w:hAnsi="Times New Roman" w:eastAsia="宋体" w:cs="Times New Roman"/>
          <w:szCs w:val="21"/>
        </w:rPr>
        <w:t>按照</w:t>
      </w:r>
      <w:r>
        <w:rPr>
          <w:rFonts w:ascii="Times New Roman" w:hAnsi="Times New Roman" w:eastAsia="宋体" w:cs="Times New Roman"/>
          <w:szCs w:val="21"/>
        </w:rPr>
        <w:t>GB/T 2099.1第</w:t>
      </w:r>
      <w:r>
        <w:rPr>
          <w:rFonts w:hint="eastAsia" w:ascii="Times New Roman" w:hAnsi="Times New Roman" w:eastAsia="宋体" w:cs="Times New Roman"/>
          <w:szCs w:val="21"/>
        </w:rPr>
        <w:t>8</w:t>
      </w:r>
      <w:r>
        <w:rPr>
          <w:rFonts w:ascii="Times New Roman" w:hAnsi="Times New Roman" w:eastAsia="宋体" w:cs="Times New Roman"/>
          <w:szCs w:val="21"/>
        </w:rPr>
        <w:t>.8</w:t>
      </w:r>
      <w:r>
        <w:rPr>
          <w:rFonts w:hint="eastAsia" w:ascii="Times New Roman" w:hAnsi="Times New Roman" w:eastAsia="宋体" w:cs="Times New Roman"/>
          <w:szCs w:val="21"/>
        </w:rPr>
        <w:t>条进行试验。</w:t>
      </w:r>
    </w:p>
    <w:p>
      <w:pPr>
        <w:pStyle w:val="3"/>
      </w:pPr>
      <w:bookmarkStart w:id="45" w:name="_Toc159953672"/>
      <w:r>
        <w:t xml:space="preserve">5.3.1.5  </w:t>
      </w:r>
      <w:r>
        <w:rPr>
          <w:rFonts w:hint="eastAsia"/>
        </w:rPr>
        <w:t>防护等级</w:t>
      </w:r>
      <w:bookmarkEnd w:id="45"/>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进行</w:t>
      </w:r>
      <w:r>
        <w:rPr>
          <w:rFonts w:ascii="Times New Roman" w:hAnsi="Times New Roman" w:eastAsia="宋体" w:cs="Times New Roman"/>
          <w:szCs w:val="21"/>
        </w:rPr>
        <w:t>GB/T 4208规定的相关试验</w:t>
      </w:r>
      <w:r>
        <w:rPr>
          <w:rFonts w:hint="eastAsia" w:ascii="Times New Roman" w:hAnsi="Times New Roman" w:eastAsia="宋体" w:cs="Times New Roman"/>
          <w:szCs w:val="21"/>
        </w:rPr>
        <w:t>。</w:t>
      </w:r>
    </w:p>
    <w:p>
      <w:pPr>
        <w:pStyle w:val="3"/>
      </w:pPr>
      <w:r>
        <w:rPr>
          <w:rFonts w:hint="eastAsia"/>
        </w:rPr>
        <w:t>5</w:t>
      </w:r>
      <w:r>
        <w:t xml:space="preserve">.3.1.6  </w:t>
      </w:r>
      <w:r>
        <w:rPr>
          <w:rFonts w:hint="eastAsia"/>
        </w:rPr>
        <w:t>耦合器防松脱</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按制造商声明安装后，对耦合器所连软线施加如表</w:t>
      </w:r>
      <w:r>
        <w:rPr>
          <w:rFonts w:ascii="Times New Roman" w:hAnsi="Times New Roman" w:eastAsia="宋体" w:cs="Times New Roman"/>
          <w:szCs w:val="21"/>
        </w:rPr>
        <w:t>2</w:t>
      </w:r>
      <w:r>
        <w:rPr>
          <w:rFonts w:hint="eastAsia" w:ascii="Times New Roman" w:hAnsi="Times New Roman" w:eastAsia="宋体" w:cs="Times New Roman"/>
          <w:szCs w:val="21"/>
        </w:rPr>
        <w:t>的拉力2</w:t>
      </w:r>
      <w:r>
        <w:rPr>
          <w:rFonts w:ascii="Times New Roman" w:hAnsi="Times New Roman" w:eastAsia="宋体" w:cs="Times New Roman"/>
          <w:szCs w:val="21"/>
        </w:rPr>
        <w:t>0</w:t>
      </w:r>
      <w:r>
        <w:rPr>
          <w:rFonts w:hint="eastAsia" w:ascii="Times New Roman" w:hAnsi="Times New Roman" w:eastAsia="宋体" w:cs="Times New Roman"/>
          <w:szCs w:val="21"/>
        </w:rPr>
        <w:t>次，拉力每次施加1</w:t>
      </w:r>
      <w:r>
        <w:rPr>
          <w:rFonts w:ascii="Times New Roman" w:hAnsi="Times New Roman" w:eastAsia="宋体" w:cs="Times New Roman"/>
          <w:szCs w:val="21"/>
        </w:rPr>
        <w:t>s</w:t>
      </w:r>
      <w:r>
        <w:rPr>
          <w:rFonts w:hint="eastAsia" w:ascii="Times New Roman" w:hAnsi="Times New Roman" w:eastAsia="宋体" w:cs="Times New Roman"/>
          <w:szCs w:val="21"/>
        </w:rPr>
        <w:t>，施力时不应用爆发力。</w:t>
      </w:r>
    </w:p>
    <w:p>
      <w:pPr>
        <w:spacing w:line="276" w:lineRule="auto"/>
        <w:ind w:firstLine="420" w:firstLineChars="200"/>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2 </w:t>
      </w:r>
      <w:r>
        <w:rPr>
          <w:rFonts w:hint="eastAsia" w:ascii="Times New Roman" w:hAnsi="Times New Roman" w:eastAsia="宋体" w:cs="Times New Roman"/>
          <w:szCs w:val="21"/>
        </w:rPr>
        <w:t>耦合器防松脱力值要求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横截面积（m</w:t>
            </w:r>
            <w:r>
              <w:rPr>
                <w:rFonts w:ascii="Times New Roman" w:hAnsi="Times New Roman" w:eastAsia="宋体" w:cs="Times New Roman"/>
                <w:szCs w:val="21"/>
              </w:rPr>
              <w:t>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w:t>
            </w:r>
          </w:p>
        </w:tc>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力值（N）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.5</w:t>
            </w:r>
          </w:p>
        </w:tc>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4" w:type="dxa"/>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.0</w:t>
            </w:r>
          </w:p>
        </w:tc>
        <w:tc>
          <w:tcPr>
            <w:tcW w:w="2074" w:type="dxa"/>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100</w:t>
            </w:r>
          </w:p>
        </w:tc>
      </w:tr>
    </w:tbl>
    <w:p>
      <w:pPr>
        <w:spacing w:line="276" w:lineRule="auto"/>
        <w:ind w:firstLine="420" w:firstLineChars="200"/>
        <w:rPr>
          <w:rFonts w:ascii="Times New Roman" w:hAnsi="Times New Roman" w:eastAsia="宋体" w:cs="Times New Roman"/>
          <w:szCs w:val="21"/>
        </w:rPr>
      </w:pPr>
    </w:p>
    <w:p>
      <w:pPr>
        <w:pStyle w:val="3"/>
      </w:pPr>
      <w:bookmarkStart w:id="46" w:name="_Toc159953673"/>
      <w:r>
        <w:t xml:space="preserve">5.3.2  </w:t>
      </w:r>
      <w:r>
        <w:rPr>
          <w:rFonts w:hint="eastAsia"/>
        </w:rPr>
        <w:t>桌面升降插座</w:t>
      </w:r>
      <w:bookmarkEnd w:id="46"/>
    </w:p>
    <w:p>
      <w:pPr>
        <w:pStyle w:val="3"/>
      </w:pPr>
      <w:bookmarkStart w:id="47" w:name="_Toc159953674"/>
      <w:r>
        <w:t xml:space="preserve">5.3.2.1  </w:t>
      </w:r>
      <w:r>
        <w:rPr>
          <w:rFonts w:hint="eastAsia"/>
        </w:rPr>
        <w:t>一般要求</w:t>
      </w:r>
      <w:bookmarkEnd w:id="47"/>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需提供相关标准的认证证书或委托报告。</w:t>
      </w:r>
    </w:p>
    <w:p>
      <w:pPr>
        <w:pStyle w:val="3"/>
      </w:pPr>
      <w:bookmarkStart w:id="48" w:name="_Toc159953675"/>
      <w:r>
        <w:t xml:space="preserve">5.3.2.2  </w:t>
      </w:r>
      <w:r>
        <w:rPr>
          <w:rFonts w:hint="eastAsia"/>
        </w:rPr>
        <w:t>升降寿命</w:t>
      </w:r>
      <w:bookmarkEnd w:id="48"/>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按制造商规定的方法进行升降操作5</w:t>
      </w:r>
      <w:r>
        <w:rPr>
          <w:rFonts w:ascii="Times New Roman" w:hAnsi="Times New Roman" w:eastAsia="宋体" w:cs="Times New Roman"/>
          <w:szCs w:val="21"/>
        </w:rPr>
        <w:t>000</w:t>
      </w:r>
      <w:r>
        <w:rPr>
          <w:rFonts w:hint="eastAsia" w:ascii="Times New Roman" w:hAnsi="Times New Roman" w:eastAsia="宋体" w:cs="Times New Roman"/>
          <w:szCs w:val="21"/>
        </w:rPr>
        <w:t>次（1</w:t>
      </w:r>
      <w:r>
        <w:rPr>
          <w:rFonts w:ascii="Times New Roman" w:hAnsi="Times New Roman" w:eastAsia="宋体" w:cs="Times New Roman"/>
          <w:szCs w:val="21"/>
        </w:rPr>
        <w:t>0000</w:t>
      </w:r>
      <w:r>
        <w:rPr>
          <w:rFonts w:hint="eastAsia" w:ascii="Times New Roman" w:hAnsi="Times New Roman" w:eastAsia="宋体" w:cs="Times New Roman"/>
          <w:szCs w:val="21"/>
        </w:rPr>
        <w:t>个行程）。</w:t>
      </w:r>
    </w:p>
    <w:p>
      <w:pPr>
        <w:pStyle w:val="3"/>
      </w:pPr>
      <w:bookmarkStart w:id="49" w:name="_Toc159953676"/>
      <w:r>
        <w:t xml:space="preserve">5.3.2.3  </w:t>
      </w:r>
      <w:r>
        <w:rPr>
          <w:rFonts w:hint="eastAsia"/>
        </w:rPr>
        <w:t>防夹功能</w:t>
      </w:r>
      <w:bookmarkEnd w:id="49"/>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将升降插座升至最高点，在插座下降行程位置放置障碍物（障碍物为儿童试验指），插座盖板与障碍物接触后，应能回退。</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在升降插座的盖板与基座之间均匀选取三点进行试验。</w:t>
      </w:r>
    </w:p>
    <w:p>
      <w:pPr>
        <w:pStyle w:val="3"/>
      </w:pPr>
      <w:bookmarkStart w:id="50" w:name="_Toc159953677"/>
      <w:r>
        <w:t xml:space="preserve">5.3.2.4  </w:t>
      </w:r>
      <w:r>
        <w:rPr>
          <w:rFonts w:hint="eastAsia"/>
        </w:rPr>
        <w:t>防夹力</w:t>
      </w:r>
      <w:bookmarkEnd w:id="50"/>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将升降插座升至最高点，在插座下降行程位置放置障碍物，插座盖板与障碍物接触过程中，测量插座施加到障碍物上的力值。</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在升降插座的盖板与基座之间均匀选取三点进行试验。</w:t>
      </w:r>
    </w:p>
    <w:p>
      <w:pPr>
        <w:pStyle w:val="3"/>
      </w:pPr>
      <w:bookmarkStart w:id="51" w:name="_Toc159953678"/>
      <w:r>
        <w:t xml:space="preserve">5.3.2.5  </w:t>
      </w:r>
      <w:r>
        <w:rPr>
          <w:rFonts w:hint="eastAsia"/>
        </w:rPr>
        <w:t>防夹反应时间</w:t>
      </w:r>
      <w:bookmarkEnd w:id="51"/>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将升降插座升至最高点，在插座下降行程位置放置障碍物，插座盖板与障碍物接触后，记录到产生回退动作的时间。</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在升降插座的盖板与基座之间均匀选取三点进行试验。</w:t>
      </w:r>
    </w:p>
    <w:p>
      <w:pPr>
        <w:pStyle w:val="3"/>
      </w:pPr>
      <w:bookmarkStart w:id="52" w:name="_Toc159953679"/>
      <w:r>
        <w:t xml:space="preserve">5.3.2.6  </w:t>
      </w:r>
      <w:r>
        <w:rPr>
          <w:rFonts w:hint="eastAsia"/>
        </w:rPr>
        <w:t>遇阻回退距离</w:t>
      </w:r>
      <w:bookmarkEnd w:id="52"/>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将插座升至最高点，在插座下降行程位置放置障碍物，插座盖板与障碍物接触后上升，记录上升距离。</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在升降插座的盖板与基座之间均匀选取三点进行试验。</w:t>
      </w:r>
    </w:p>
    <w:p>
      <w:pPr>
        <w:pStyle w:val="3"/>
      </w:pPr>
      <w:bookmarkStart w:id="53" w:name="_Toc159953680"/>
      <w:r>
        <w:t xml:space="preserve">5.3.2.7  </w:t>
      </w:r>
      <w:r>
        <w:rPr>
          <w:rFonts w:hint="eastAsia"/>
        </w:rPr>
        <w:t>非正常工作</w:t>
      </w:r>
      <w:bookmarkEnd w:id="53"/>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在升降插座上升过程中，用重物压住顶盖，使其在停转状态下工作5</w:t>
      </w:r>
      <w:r>
        <w:rPr>
          <w:rFonts w:ascii="Times New Roman" w:hAnsi="Times New Roman" w:eastAsia="宋体" w:cs="Times New Roman"/>
          <w:szCs w:val="21"/>
        </w:rPr>
        <w:t>min</w:t>
      </w:r>
      <w:r>
        <w:rPr>
          <w:rFonts w:hint="eastAsia" w:ascii="Times New Roman" w:hAnsi="Times New Roman" w:eastAsia="宋体" w:cs="Times New Roman"/>
          <w:szCs w:val="21"/>
        </w:rPr>
        <w:t>。</w:t>
      </w:r>
    </w:p>
    <w:p>
      <w:pPr>
        <w:pStyle w:val="3"/>
      </w:pPr>
      <w:bookmarkStart w:id="54" w:name="_Toc159953681"/>
      <w:r>
        <w:t xml:space="preserve">5.3.2.8  </w:t>
      </w:r>
      <w:r>
        <w:rPr>
          <w:rFonts w:hint="eastAsia"/>
        </w:rPr>
        <w:t>温升</w:t>
      </w:r>
      <w:bookmarkEnd w:id="54"/>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按照制造商声明的最大功率进行加载，使插座模块、U</w:t>
      </w:r>
      <w:r>
        <w:rPr>
          <w:rFonts w:ascii="Times New Roman" w:hAnsi="Times New Roman" w:eastAsia="宋体" w:cs="Times New Roman"/>
          <w:szCs w:val="21"/>
        </w:rPr>
        <w:t>SB</w:t>
      </w:r>
      <w:r>
        <w:rPr>
          <w:rFonts w:hint="eastAsia" w:ascii="Times New Roman" w:hAnsi="Times New Roman" w:eastAsia="宋体" w:cs="Times New Roman"/>
          <w:szCs w:val="21"/>
        </w:rPr>
        <w:t>模块、音响模块等全部模块都处于正常工作状态，测量端子或端头温升。</w:t>
      </w:r>
    </w:p>
    <w:p>
      <w:pPr>
        <w:pStyle w:val="3"/>
      </w:pPr>
      <w:bookmarkStart w:id="55" w:name="_Toc159953682"/>
      <w:r>
        <w:t xml:space="preserve">5.3.2.9  </w:t>
      </w:r>
      <w:r>
        <w:rPr>
          <w:rFonts w:hint="eastAsia"/>
        </w:rPr>
        <w:t>防护等级</w:t>
      </w:r>
      <w:bookmarkEnd w:id="55"/>
    </w:p>
    <w:p>
      <w:pPr>
        <w:spacing w:line="276" w:lineRule="auto"/>
        <w:ind w:firstLine="420" w:firstLineChars="200"/>
      </w:pPr>
      <w:r>
        <w:rPr>
          <w:rFonts w:hint="eastAsia" w:ascii="Times New Roman" w:hAnsi="Times New Roman" w:eastAsia="宋体" w:cs="Times New Roman"/>
          <w:szCs w:val="21"/>
        </w:rPr>
        <w:t>进行</w:t>
      </w:r>
      <w:r>
        <w:rPr>
          <w:rFonts w:ascii="Times New Roman" w:hAnsi="Times New Roman" w:eastAsia="宋体" w:cs="Times New Roman"/>
          <w:szCs w:val="21"/>
        </w:rPr>
        <w:t>GB/T 4208规定的相关试验。</w:t>
      </w:r>
    </w:p>
    <w:p>
      <w:pPr>
        <w:spacing w:line="276" w:lineRule="auto"/>
        <w:rPr>
          <w:highlight w:val="yellow"/>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pStyle w:val="2"/>
        <w:jc w:val="center"/>
      </w:pPr>
      <w:bookmarkStart w:id="56" w:name="_Toc159953683"/>
      <w:bookmarkStart w:id="57" w:name="_Toc53668325"/>
      <w:r>
        <w:rPr>
          <w:rFonts w:hint="eastAsia"/>
        </w:rPr>
        <w:t>参考文献</w:t>
      </w:r>
      <w:bookmarkEnd w:id="56"/>
      <w:bookmarkEnd w:id="57"/>
    </w:p>
    <w:p>
      <w:pPr>
        <w:rPr>
          <w:rFonts w:ascii="Times New Roman" w:hAnsi="Times New Roman" w:eastAsia="宋体" w:cs="Times New Roman"/>
        </w:rPr>
      </w:pPr>
      <w:r>
        <w:rPr>
          <w:rFonts w:ascii="Times New Roman" w:hAnsi="Times New Roman" w:eastAsia="宋体" w:cs="Times New Roman"/>
        </w:rPr>
        <w:t>[1] GB 4706.1-2005 家用和类似用途电器的安全 第1部分 通用要求</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 QB∕T 5271-2018 电动升降桌</w:t>
      </w:r>
    </w:p>
    <w:p>
      <w:pPr>
        <w:rPr>
          <w:rFonts w:ascii="Times New Roman" w:hAnsi="Times New Roman" w:eastAsia="宋体" w:cs="Times New Roman"/>
          <w:color w:val="000000" w:themeColor="text1"/>
          <w:szCs w:val="21"/>
          <w14:textFill>
            <w14:solidFill>
              <w14:schemeClr w14:val="tx1"/>
            </w14:solidFill>
          </w14:textFill>
        </w:rPr>
      </w:pPr>
      <w:r>
        <w:rPr>
          <w:sz w:val="21"/>
        </w:rPr>
        <mc:AlternateContent>
          <mc:Choice Requires="wps">
            <w:drawing>
              <wp:anchor distT="0" distB="0" distL="114300" distR="114300" simplePos="0" relativeHeight="251667456" behindDoc="0" locked="0" layoutInCell="1" allowOverlap="1">
                <wp:simplePos x="0" y="0"/>
                <wp:positionH relativeFrom="column">
                  <wp:posOffset>1250315</wp:posOffset>
                </wp:positionH>
                <wp:positionV relativeFrom="paragraph">
                  <wp:posOffset>1849755</wp:posOffset>
                </wp:positionV>
                <wp:extent cx="3013075" cy="6985"/>
                <wp:effectExtent l="0" t="4445" r="9525" b="7620"/>
                <wp:wrapNone/>
                <wp:docPr id="1" name="直接连接符 1"/>
                <wp:cNvGraphicFramePr/>
                <a:graphic xmlns:a="http://schemas.openxmlformats.org/drawingml/2006/main">
                  <a:graphicData uri="http://schemas.microsoft.com/office/word/2010/wordprocessingShape">
                    <wps:wsp>
                      <wps:cNvCnPr/>
                      <wps:spPr>
                        <a:xfrm flipV="1">
                          <a:off x="2393315" y="3510915"/>
                          <a:ext cx="3013075" cy="6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8.45pt;margin-top:145.65pt;height:0.55pt;width:237.25pt;z-index:251667456;mso-width-relative:page;mso-height-relative:page;" filled="f" stroked="t" coordsize="21600,21600" o:gfxdata="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9qbzdcAAAALAQAADwAAAAAAAAABACAAAAAiAAAAZHJzL2Rvd25yZXYueG1s&#10;UEsBAhQAFAAAAAgAh07iQMNdv9H5AQAAygMAAA4AAAAAAAAAAQAgAAAAJgEAAGRycy9lMm9Eb2Mu&#10;eG1sUEsFBgAAAAAGAAYAWQEAAJEFAAAAAA==&#10;">
                <v:fill on="f" focussize="0,0"/>
                <v:stroke weight="0.5pt" color="#000000 [3213]" miterlimit="8" joinstyle="miter"/>
                <v:imagedata o:title=""/>
                <o:lock v:ext="edit" aspectratio="f"/>
              </v:line>
            </w:pict>
          </mc:Fallback>
        </mc:AlternateContent>
      </w:r>
      <w:r>
        <w:rPr>
          <w:rFonts w:ascii="Times New Roman" w:hAnsi="Times New Roman" w:eastAsia="宋体" w:cs="Times New Roman"/>
          <w:szCs w:val="21"/>
        </w:rPr>
        <w:t xml:space="preserve">[3] T/ZZB 2585-2021 </w:t>
      </w:r>
      <w:r>
        <w:rPr>
          <w:rFonts w:hint="eastAsia" w:ascii="Times New Roman" w:hAnsi="Times New Roman" w:eastAsia="宋体" w:cs="Times New Roman"/>
          <w:szCs w:val="21"/>
        </w:rPr>
        <w:t>家用和类似用途电动升降插座</w:t>
      </w:r>
      <w:bookmarkStart w:id="58" w:name="_GoBack"/>
      <w:bookmarkEnd w:id="58"/>
    </w:p>
    <w:sectPr>
      <w:pgSz w:w="11906" w:h="16838"/>
      <w:pgMar w:top="1440" w:right="1800"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121307"/>
      <w:docPartObj>
        <w:docPartGallery w:val="AutoText"/>
      </w:docPartObj>
    </w:sdtPr>
    <w:sdtEndPr>
      <w:rPr>
        <w:rFonts w:ascii="Times New Roman" w:hAnsi="Times New Roman" w:cs="Times New Roman"/>
      </w:rPr>
    </w:sdtEndPr>
    <w:sdtContent>
      <w:p>
        <w:pPr>
          <w:pStyle w:val="9"/>
          <w:ind w:firstLine="420"/>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lang w:val="zh-CN"/>
          </w:rPr>
          <w:fldChar w:fldCharType="end"/>
        </w:r>
      </w:p>
    </w:sdtContent>
  </w:sdt>
  <w:p>
    <w:pPr>
      <w:pStyle w:val="9"/>
      <w:ind w:right="360"/>
      <w:rPr>
        <w:rStyle w:val="18"/>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706794"/>
      <w:docPartObj>
        <w:docPartGallery w:val="AutoText"/>
      </w:docPartObj>
    </w:sdtPr>
    <w:sdtEndPr>
      <w:rPr>
        <w:rFonts w:ascii="Times New Roman" w:hAnsi="Times New Roman" w:cs="Times New Roman"/>
      </w:rPr>
    </w:sdtEndPr>
    <w:sdt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958742"/>
      <w:docPartObj>
        <w:docPartGallery w:val="AutoText"/>
      </w:docPartObj>
    </w:sdtPr>
    <w:sdtEndPr>
      <w:rPr>
        <w:rFonts w:ascii="Times New Roman" w:hAnsi="Times New Roman" w:cs="Times New Roman"/>
      </w:rPr>
    </w:sdtEndPr>
    <w:sdtContent>
      <w:p>
        <w:pPr>
          <w:pStyle w:val="9"/>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T/CNLIC</w:t>
    </w:r>
    <w:r>
      <w:rPr>
        <w:rFonts w:ascii="黑体" w:hAnsi="黑体" w:eastAsia="黑体" w:cs="Times New Roman"/>
        <w:sz w:val="21"/>
      </w:rPr>
      <w:t xml:space="preserve"> XXXX</w:t>
    </w:r>
    <w:r>
      <w:rPr>
        <w:rFonts w:hint="eastAsia" w:ascii="黑体" w:hAnsi="黑体" w:eastAsia="黑体" w:cs="Times New Roman"/>
        <w:sz w:val="21"/>
      </w:rPr>
      <w:t>—202X</w:t>
    </w:r>
  </w:p>
  <w:p>
    <w:pPr>
      <w:pStyle w:val="10"/>
      <w:pBdr>
        <w:bottom w:val="none" w:color="auto" w:sz="0" w:space="0"/>
      </w:pBd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ascii="黑体" w:hAnsi="黑体" w:eastAsia="黑体" w:cs="Times New Roman"/>
        <w:sz w:val="21"/>
      </w:rPr>
      <w:t>XXXX</w:t>
    </w:r>
    <w:r>
      <w:rPr>
        <w:rFonts w:hint="eastAsia" w:ascii="黑体" w:hAnsi="黑体" w:eastAsia="黑体" w:cs="Times New Roman"/>
        <w:sz w:val="21"/>
      </w:rPr>
      <w:t>—202</w:t>
    </w:r>
    <w:r>
      <w:rPr>
        <w:rFonts w:ascii="黑体" w:hAnsi="黑体" w:eastAsia="黑体" w:cs="Times New Roman"/>
        <w:sz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 xml:space="preserve">T/CNLIC </w:t>
    </w:r>
    <w:r>
      <w:rPr>
        <w:rFonts w:hint="eastAsia" w:ascii="黑体" w:hAnsi="黑体" w:eastAsia="黑体" w:cs="Times New Roman"/>
        <w:sz w:val="21"/>
      </w:rPr>
      <w:t>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17F31EB"/>
    <w:multiLevelType w:val="multilevel"/>
    <w:tmpl w:val="517F31EB"/>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YjgwYzBmOWRlNjkwYTdlOTRhMWIxOWVlZTdmMjgifQ=="/>
  </w:docVars>
  <w:rsids>
    <w:rsidRoot w:val="00092222"/>
    <w:rsid w:val="00000577"/>
    <w:rsid w:val="00004B64"/>
    <w:rsid w:val="000071E7"/>
    <w:rsid w:val="00010063"/>
    <w:rsid w:val="00010E45"/>
    <w:rsid w:val="000129CC"/>
    <w:rsid w:val="00013010"/>
    <w:rsid w:val="000145BD"/>
    <w:rsid w:val="00015A14"/>
    <w:rsid w:val="00016E4B"/>
    <w:rsid w:val="000178AC"/>
    <w:rsid w:val="000200E2"/>
    <w:rsid w:val="00021686"/>
    <w:rsid w:val="00022E57"/>
    <w:rsid w:val="00024687"/>
    <w:rsid w:val="00024735"/>
    <w:rsid w:val="00025761"/>
    <w:rsid w:val="00027485"/>
    <w:rsid w:val="000307AA"/>
    <w:rsid w:val="00030BCD"/>
    <w:rsid w:val="00032644"/>
    <w:rsid w:val="00032F7F"/>
    <w:rsid w:val="000338CC"/>
    <w:rsid w:val="00034A02"/>
    <w:rsid w:val="00034D6A"/>
    <w:rsid w:val="00044FFA"/>
    <w:rsid w:val="00045AC5"/>
    <w:rsid w:val="000507B5"/>
    <w:rsid w:val="0005417E"/>
    <w:rsid w:val="00055507"/>
    <w:rsid w:val="00055918"/>
    <w:rsid w:val="000572D3"/>
    <w:rsid w:val="00057B94"/>
    <w:rsid w:val="0006043F"/>
    <w:rsid w:val="00060E3F"/>
    <w:rsid w:val="00061482"/>
    <w:rsid w:val="0006566F"/>
    <w:rsid w:val="00065E22"/>
    <w:rsid w:val="00066CA2"/>
    <w:rsid w:val="00066D5D"/>
    <w:rsid w:val="00067A8E"/>
    <w:rsid w:val="00067C34"/>
    <w:rsid w:val="00071AD9"/>
    <w:rsid w:val="00072C23"/>
    <w:rsid w:val="00074625"/>
    <w:rsid w:val="00074FBF"/>
    <w:rsid w:val="000775BF"/>
    <w:rsid w:val="00077A27"/>
    <w:rsid w:val="00080237"/>
    <w:rsid w:val="00082BEF"/>
    <w:rsid w:val="00083C5B"/>
    <w:rsid w:val="000853CE"/>
    <w:rsid w:val="0008637E"/>
    <w:rsid w:val="000864A8"/>
    <w:rsid w:val="00092222"/>
    <w:rsid w:val="00093DCA"/>
    <w:rsid w:val="00094064"/>
    <w:rsid w:val="00094F55"/>
    <w:rsid w:val="0009585D"/>
    <w:rsid w:val="000A147F"/>
    <w:rsid w:val="000A20EE"/>
    <w:rsid w:val="000A235F"/>
    <w:rsid w:val="000A2F32"/>
    <w:rsid w:val="000A6B7D"/>
    <w:rsid w:val="000A79FC"/>
    <w:rsid w:val="000B134C"/>
    <w:rsid w:val="000B20BD"/>
    <w:rsid w:val="000B2F32"/>
    <w:rsid w:val="000B42D8"/>
    <w:rsid w:val="000C115B"/>
    <w:rsid w:val="000C17D7"/>
    <w:rsid w:val="000C2D16"/>
    <w:rsid w:val="000C385A"/>
    <w:rsid w:val="000C385E"/>
    <w:rsid w:val="000C4308"/>
    <w:rsid w:val="000C7104"/>
    <w:rsid w:val="000C7600"/>
    <w:rsid w:val="000D1FAE"/>
    <w:rsid w:val="000D3001"/>
    <w:rsid w:val="000D3044"/>
    <w:rsid w:val="000D4D5F"/>
    <w:rsid w:val="000D53A1"/>
    <w:rsid w:val="000D5ACD"/>
    <w:rsid w:val="000D67AF"/>
    <w:rsid w:val="000E1C48"/>
    <w:rsid w:val="000E2A32"/>
    <w:rsid w:val="000E649B"/>
    <w:rsid w:val="000E7158"/>
    <w:rsid w:val="000F08EC"/>
    <w:rsid w:val="000F23D7"/>
    <w:rsid w:val="000F28E4"/>
    <w:rsid w:val="000F4DA0"/>
    <w:rsid w:val="000F6D53"/>
    <w:rsid w:val="000F700E"/>
    <w:rsid w:val="000F7C83"/>
    <w:rsid w:val="00102E32"/>
    <w:rsid w:val="00105575"/>
    <w:rsid w:val="00105807"/>
    <w:rsid w:val="00105F98"/>
    <w:rsid w:val="001116B7"/>
    <w:rsid w:val="001121AA"/>
    <w:rsid w:val="00115C77"/>
    <w:rsid w:val="001167FE"/>
    <w:rsid w:val="001207F9"/>
    <w:rsid w:val="00121BC5"/>
    <w:rsid w:val="00122EA5"/>
    <w:rsid w:val="0012336E"/>
    <w:rsid w:val="00123C57"/>
    <w:rsid w:val="00124512"/>
    <w:rsid w:val="00126890"/>
    <w:rsid w:val="00126A37"/>
    <w:rsid w:val="00130202"/>
    <w:rsid w:val="00131449"/>
    <w:rsid w:val="00131F64"/>
    <w:rsid w:val="00133310"/>
    <w:rsid w:val="001342CA"/>
    <w:rsid w:val="001362AF"/>
    <w:rsid w:val="00137015"/>
    <w:rsid w:val="00137DC1"/>
    <w:rsid w:val="001424A9"/>
    <w:rsid w:val="001468C7"/>
    <w:rsid w:val="00151EB1"/>
    <w:rsid w:val="001535EC"/>
    <w:rsid w:val="00154FE0"/>
    <w:rsid w:val="001554A3"/>
    <w:rsid w:val="00160338"/>
    <w:rsid w:val="00161870"/>
    <w:rsid w:val="00162F90"/>
    <w:rsid w:val="00163DB0"/>
    <w:rsid w:val="0016560D"/>
    <w:rsid w:val="00165B99"/>
    <w:rsid w:val="00165F7A"/>
    <w:rsid w:val="001672C9"/>
    <w:rsid w:val="00171999"/>
    <w:rsid w:val="00172FDE"/>
    <w:rsid w:val="0017361E"/>
    <w:rsid w:val="00174CE0"/>
    <w:rsid w:val="00174FD1"/>
    <w:rsid w:val="00176B45"/>
    <w:rsid w:val="00182872"/>
    <w:rsid w:val="00183AA5"/>
    <w:rsid w:val="00183FE5"/>
    <w:rsid w:val="00186874"/>
    <w:rsid w:val="0018778D"/>
    <w:rsid w:val="00190C4D"/>
    <w:rsid w:val="00191228"/>
    <w:rsid w:val="0019377D"/>
    <w:rsid w:val="00194695"/>
    <w:rsid w:val="001946C2"/>
    <w:rsid w:val="0019554A"/>
    <w:rsid w:val="001962BC"/>
    <w:rsid w:val="001974FC"/>
    <w:rsid w:val="001A2B62"/>
    <w:rsid w:val="001A31F2"/>
    <w:rsid w:val="001A3E26"/>
    <w:rsid w:val="001A4842"/>
    <w:rsid w:val="001B0250"/>
    <w:rsid w:val="001B04FC"/>
    <w:rsid w:val="001B091F"/>
    <w:rsid w:val="001B17B3"/>
    <w:rsid w:val="001B3353"/>
    <w:rsid w:val="001B3DFD"/>
    <w:rsid w:val="001B4129"/>
    <w:rsid w:val="001B4690"/>
    <w:rsid w:val="001B4DB2"/>
    <w:rsid w:val="001B5F0D"/>
    <w:rsid w:val="001B6921"/>
    <w:rsid w:val="001C1972"/>
    <w:rsid w:val="001C19EA"/>
    <w:rsid w:val="001C1C2A"/>
    <w:rsid w:val="001C53B1"/>
    <w:rsid w:val="001C6D5E"/>
    <w:rsid w:val="001D08A7"/>
    <w:rsid w:val="001D1C47"/>
    <w:rsid w:val="001D1EDD"/>
    <w:rsid w:val="001D5EA0"/>
    <w:rsid w:val="001D604B"/>
    <w:rsid w:val="001E06BC"/>
    <w:rsid w:val="001E0F6E"/>
    <w:rsid w:val="001E187F"/>
    <w:rsid w:val="001E41F0"/>
    <w:rsid w:val="001E494D"/>
    <w:rsid w:val="001E7BAE"/>
    <w:rsid w:val="001F0E3E"/>
    <w:rsid w:val="001F45EF"/>
    <w:rsid w:val="001F53B9"/>
    <w:rsid w:val="001F564A"/>
    <w:rsid w:val="001F5821"/>
    <w:rsid w:val="001F6918"/>
    <w:rsid w:val="001F6FB2"/>
    <w:rsid w:val="002002BC"/>
    <w:rsid w:val="0020125C"/>
    <w:rsid w:val="00203192"/>
    <w:rsid w:val="002039C5"/>
    <w:rsid w:val="002043EE"/>
    <w:rsid w:val="00204413"/>
    <w:rsid w:val="00204994"/>
    <w:rsid w:val="0020505C"/>
    <w:rsid w:val="0020710F"/>
    <w:rsid w:val="00207629"/>
    <w:rsid w:val="00207FAE"/>
    <w:rsid w:val="00207FD1"/>
    <w:rsid w:val="00211205"/>
    <w:rsid w:val="00211D2A"/>
    <w:rsid w:val="0021399E"/>
    <w:rsid w:val="00213A35"/>
    <w:rsid w:val="00213CA3"/>
    <w:rsid w:val="00215EDB"/>
    <w:rsid w:val="00221E37"/>
    <w:rsid w:val="00222214"/>
    <w:rsid w:val="00223712"/>
    <w:rsid w:val="00225A88"/>
    <w:rsid w:val="00225C92"/>
    <w:rsid w:val="0022632F"/>
    <w:rsid w:val="0022662C"/>
    <w:rsid w:val="00227BD1"/>
    <w:rsid w:val="00230E47"/>
    <w:rsid w:val="00231B88"/>
    <w:rsid w:val="00237EF8"/>
    <w:rsid w:val="0024080E"/>
    <w:rsid w:val="00240C22"/>
    <w:rsid w:val="00241F3E"/>
    <w:rsid w:val="002430AF"/>
    <w:rsid w:val="00244295"/>
    <w:rsid w:val="002446C4"/>
    <w:rsid w:val="00246AC6"/>
    <w:rsid w:val="002471C8"/>
    <w:rsid w:val="00250B4A"/>
    <w:rsid w:val="002537D9"/>
    <w:rsid w:val="00253814"/>
    <w:rsid w:val="0025401B"/>
    <w:rsid w:val="00254861"/>
    <w:rsid w:val="00257615"/>
    <w:rsid w:val="00260073"/>
    <w:rsid w:val="002611CB"/>
    <w:rsid w:val="0026587D"/>
    <w:rsid w:val="00265DD9"/>
    <w:rsid w:val="002679AC"/>
    <w:rsid w:val="00270D85"/>
    <w:rsid w:val="00272457"/>
    <w:rsid w:val="00272E6F"/>
    <w:rsid w:val="00273DAC"/>
    <w:rsid w:val="00276BA0"/>
    <w:rsid w:val="00281660"/>
    <w:rsid w:val="00282888"/>
    <w:rsid w:val="0028661C"/>
    <w:rsid w:val="00287E5B"/>
    <w:rsid w:val="002900EA"/>
    <w:rsid w:val="00292D56"/>
    <w:rsid w:val="0029518C"/>
    <w:rsid w:val="00297093"/>
    <w:rsid w:val="00297314"/>
    <w:rsid w:val="00297F64"/>
    <w:rsid w:val="002A15C7"/>
    <w:rsid w:val="002A1AA4"/>
    <w:rsid w:val="002A5265"/>
    <w:rsid w:val="002A62D8"/>
    <w:rsid w:val="002A6D04"/>
    <w:rsid w:val="002B071D"/>
    <w:rsid w:val="002B0F37"/>
    <w:rsid w:val="002B59FD"/>
    <w:rsid w:val="002B5BD1"/>
    <w:rsid w:val="002B741C"/>
    <w:rsid w:val="002B7C8D"/>
    <w:rsid w:val="002C1DA2"/>
    <w:rsid w:val="002C25D3"/>
    <w:rsid w:val="002C3446"/>
    <w:rsid w:val="002C3B2E"/>
    <w:rsid w:val="002C4E4D"/>
    <w:rsid w:val="002C5BC4"/>
    <w:rsid w:val="002C5C06"/>
    <w:rsid w:val="002D0994"/>
    <w:rsid w:val="002D13BD"/>
    <w:rsid w:val="002D3114"/>
    <w:rsid w:val="002D3C28"/>
    <w:rsid w:val="002D7000"/>
    <w:rsid w:val="002D7B01"/>
    <w:rsid w:val="002E1217"/>
    <w:rsid w:val="002E24A8"/>
    <w:rsid w:val="002E4D00"/>
    <w:rsid w:val="002E59FA"/>
    <w:rsid w:val="002E6402"/>
    <w:rsid w:val="002E6EC1"/>
    <w:rsid w:val="002F00BB"/>
    <w:rsid w:val="002F1D21"/>
    <w:rsid w:val="002F4D9D"/>
    <w:rsid w:val="002F6AF0"/>
    <w:rsid w:val="00300006"/>
    <w:rsid w:val="00301F7C"/>
    <w:rsid w:val="003026D4"/>
    <w:rsid w:val="003050D8"/>
    <w:rsid w:val="003051B9"/>
    <w:rsid w:val="003058FA"/>
    <w:rsid w:val="00305D9A"/>
    <w:rsid w:val="00306E30"/>
    <w:rsid w:val="00311453"/>
    <w:rsid w:val="00311BF0"/>
    <w:rsid w:val="00315D7E"/>
    <w:rsid w:val="00316306"/>
    <w:rsid w:val="00316BF1"/>
    <w:rsid w:val="00320E8A"/>
    <w:rsid w:val="003251FF"/>
    <w:rsid w:val="003254A4"/>
    <w:rsid w:val="003269B8"/>
    <w:rsid w:val="003269FC"/>
    <w:rsid w:val="00327AA2"/>
    <w:rsid w:val="00330465"/>
    <w:rsid w:val="00331143"/>
    <w:rsid w:val="003319D0"/>
    <w:rsid w:val="00331CC0"/>
    <w:rsid w:val="003327B9"/>
    <w:rsid w:val="0033323B"/>
    <w:rsid w:val="0033437F"/>
    <w:rsid w:val="00336D26"/>
    <w:rsid w:val="00336FDA"/>
    <w:rsid w:val="0034242E"/>
    <w:rsid w:val="0034265C"/>
    <w:rsid w:val="00342ACB"/>
    <w:rsid w:val="003454C8"/>
    <w:rsid w:val="003465FE"/>
    <w:rsid w:val="00347AD5"/>
    <w:rsid w:val="0035023E"/>
    <w:rsid w:val="00354520"/>
    <w:rsid w:val="00354A95"/>
    <w:rsid w:val="00355279"/>
    <w:rsid w:val="00356747"/>
    <w:rsid w:val="003621F4"/>
    <w:rsid w:val="003624A0"/>
    <w:rsid w:val="00367D13"/>
    <w:rsid w:val="00371788"/>
    <w:rsid w:val="0037417D"/>
    <w:rsid w:val="003753E8"/>
    <w:rsid w:val="003760DF"/>
    <w:rsid w:val="00376DBD"/>
    <w:rsid w:val="003809A1"/>
    <w:rsid w:val="00384C99"/>
    <w:rsid w:val="00385B2D"/>
    <w:rsid w:val="00385CA7"/>
    <w:rsid w:val="00387E73"/>
    <w:rsid w:val="00391003"/>
    <w:rsid w:val="00392C60"/>
    <w:rsid w:val="00392CF0"/>
    <w:rsid w:val="00392E65"/>
    <w:rsid w:val="003938A5"/>
    <w:rsid w:val="003938F8"/>
    <w:rsid w:val="00393D59"/>
    <w:rsid w:val="003954A1"/>
    <w:rsid w:val="00396149"/>
    <w:rsid w:val="00396885"/>
    <w:rsid w:val="003977BD"/>
    <w:rsid w:val="003A11C0"/>
    <w:rsid w:val="003A3B97"/>
    <w:rsid w:val="003A7214"/>
    <w:rsid w:val="003A783F"/>
    <w:rsid w:val="003A7B75"/>
    <w:rsid w:val="003B09A2"/>
    <w:rsid w:val="003B79A4"/>
    <w:rsid w:val="003C0BD8"/>
    <w:rsid w:val="003C2A71"/>
    <w:rsid w:val="003C5017"/>
    <w:rsid w:val="003C5E53"/>
    <w:rsid w:val="003D06F4"/>
    <w:rsid w:val="003D11ED"/>
    <w:rsid w:val="003D28BB"/>
    <w:rsid w:val="003D448B"/>
    <w:rsid w:val="003D6EC9"/>
    <w:rsid w:val="003E0802"/>
    <w:rsid w:val="003E0AE8"/>
    <w:rsid w:val="003E0D18"/>
    <w:rsid w:val="003E0DBC"/>
    <w:rsid w:val="003E15A9"/>
    <w:rsid w:val="003E2E11"/>
    <w:rsid w:val="003E3384"/>
    <w:rsid w:val="003E33D3"/>
    <w:rsid w:val="003E4922"/>
    <w:rsid w:val="003E56BB"/>
    <w:rsid w:val="003F7704"/>
    <w:rsid w:val="0040094C"/>
    <w:rsid w:val="00401399"/>
    <w:rsid w:val="00401A4E"/>
    <w:rsid w:val="00401D0B"/>
    <w:rsid w:val="00402047"/>
    <w:rsid w:val="0040226C"/>
    <w:rsid w:val="004036CC"/>
    <w:rsid w:val="00406655"/>
    <w:rsid w:val="00407845"/>
    <w:rsid w:val="004108B0"/>
    <w:rsid w:val="00411746"/>
    <w:rsid w:val="00413248"/>
    <w:rsid w:val="0041409C"/>
    <w:rsid w:val="00416E5D"/>
    <w:rsid w:val="00417755"/>
    <w:rsid w:val="0042049D"/>
    <w:rsid w:val="004208AF"/>
    <w:rsid w:val="0042137B"/>
    <w:rsid w:val="004226AF"/>
    <w:rsid w:val="004232D0"/>
    <w:rsid w:val="00427C0D"/>
    <w:rsid w:val="004316CC"/>
    <w:rsid w:val="0043212F"/>
    <w:rsid w:val="00432FA4"/>
    <w:rsid w:val="00434D08"/>
    <w:rsid w:val="004360B3"/>
    <w:rsid w:val="00436FAB"/>
    <w:rsid w:val="00437BE3"/>
    <w:rsid w:val="004405B1"/>
    <w:rsid w:val="004429FA"/>
    <w:rsid w:val="00451418"/>
    <w:rsid w:val="00453888"/>
    <w:rsid w:val="0045416F"/>
    <w:rsid w:val="00455B56"/>
    <w:rsid w:val="00457504"/>
    <w:rsid w:val="00462E6D"/>
    <w:rsid w:val="0046303B"/>
    <w:rsid w:val="00463926"/>
    <w:rsid w:val="00465FEC"/>
    <w:rsid w:val="004708C1"/>
    <w:rsid w:val="00471335"/>
    <w:rsid w:val="0047181C"/>
    <w:rsid w:val="004736D0"/>
    <w:rsid w:val="0047422C"/>
    <w:rsid w:val="00474544"/>
    <w:rsid w:val="004747C1"/>
    <w:rsid w:val="00480189"/>
    <w:rsid w:val="004818AD"/>
    <w:rsid w:val="00482270"/>
    <w:rsid w:val="0048294E"/>
    <w:rsid w:val="00483669"/>
    <w:rsid w:val="004854BB"/>
    <w:rsid w:val="0048616F"/>
    <w:rsid w:val="00490C24"/>
    <w:rsid w:val="004919FC"/>
    <w:rsid w:val="00491F68"/>
    <w:rsid w:val="004924A9"/>
    <w:rsid w:val="0049395E"/>
    <w:rsid w:val="00494976"/>
    <w:rsid w:val="0049522E"/>
    <w:rsid w:val="00497640"/>
    <w:rsid w:val="004A1BE4"/>
    <w:rsid w:val="004A2CEC"/>
    <w:rsid w:val="004A6377"/>
    <w:rsid w:val="004A7E22"/>
    <w:rsid w:val="004B00E6"/>
    <w:rsid w:val="004B0171"/>
    <w:rsid w:val="004B12E3"/>
    <w:rsid w:val="004B1BA5"/>
    <w:rsid w:val="004B2FB0"/>
    <w:rsid w:val="004B3103"/>
    <w:rsid w:val="004B3763"/>
    <w:rsid w:val="004B45A6"/>
    <w:rsid w:val="004B4750"/>
    <w:rsid w:val="004B4FCE"/>
    <w:rsid w:val="004B5192"/>
    <w:rsid w:val="004B699C"/>
    <w:rsid w:val="004B7CD9"/>
    <w:rsid w:val="004C0E60"/>
    <w:rsid w:val="004C47C8"/>
    <w:rsid w:val="004C4EAA"/>
    <w:rsid w:val="004C648C"/>
    <w:rsid w:val="004C770F"/>
    <w:rsid w:val="004D2147"/>
    <w:rsid w:val="004D4256"/>
    <w:rsid w:val="004D4C63"/>
    <w:rsid w:val="004D5E9E"/>
    <w:rsid w:val="004E1159"/>
    <w:rsid w:val="004E1652"/>
    <w:rsid w:val="004E1CAC"/>
    <w:rsid w:val="004E319E"/>
    <w:rsid w:val="004E3761"/>
    <w:rsid w:val="004E5FAB"/>
    <w:rsid w:val="004F045F"/>
    <w:rsid w:val="004F16F0"/>
    <w:rsid w:val="004F3FE7"/>
    <w:rsid w:val="004F577B"/>
    <w:rsid w:val="004F60C0"/>
    <w:rsid w:val="00501070"/>
    <w:rsid w:val="00501657"/>
    <w:rsid w:val="00501BB3"/>
    <w:rsid w:val="00503F9C"/>
    <w:rsid w:val="005051B7"/>
    <w:rsid w:val="0050711F"/>
    <w:rsid w:val="0050714B"/>
    <w:rsid w:val="005079D9"/>
    <w:rsid w:val="00510E77"/>
    <w:rsid w:val="0051102D"/>
    <w:rsid w:val="005130FD"/>
    <w:rsid w:val="00513178"/>
    <w:rsid w:val="00513370"/>
    <w:rsid w:val="00513573"/>
    <w:rsid w:val="00513A90"/>
    <w:rsid w:val="00514CF5"/>
    <w:rsid w:val="005164C1"/>
    <w:rsid w:val="00516A7C"/>
    <w:rsid w:val="00517257"/>
    <w:rsid w:val="005205C1"/>
    <w:rsid w:val="00522211"/>
    <w:rsid w:val="00522543"/>
    <w:rsid w:val="00523A52"/>
    <w:rsid w:val="00525E2E"/>
    <w:rsid w:val="005270B3"/>
    <w:rsid w:val="0052777E"/>
    <w:rsid w:val="00527E1E"/>
    <w:rsid w:val="00530881"/>
    <w:rsid w:val="00533A4C"/>
    <w:rsid w:val="00534159"/>
    <w:rsid w:val="005349AB"/>
    <w:rsid w:val="00534A3E"/>
    <w:rsid w:val="00534EE2"/>
    <w:rsid w:val="005447BB"/>
    <w:rsid w:val="00547B68"/>
    <w:rsid w:val="0055022C"/>
    <w:rsid w:val="00550825"/>
    <w:rsid w:val="00550BB7"/>
    <w:rsid w:val="005514C2"/>
    <w:rsid w:val="005521D8"/>
    <w:rsid w:val="00552674"/>
    <w:rsid w:val="00552A48"/>
    <w:rsid w:val="0055340A"/>
    <w:rsid w:val="005542E1"/>
    <w:rsid w:val="005552A6"/>
    <w:rsid w:val="00555C63"/>
    <w:rsid w:val="00560340"/>
    <w:rsid w:val="0056085F"/>
    <w:rsid w:val="00564EF7"/>
    <w:rsid w:val="00567488"/>
    <w:rsid w:val="00575F82"/>
    <w:rsid w:val="00576B7D"/>
    <w:rsid w:val="00576D34"/>
    <w:rsid w:val="005779E4"/>
    <w:rsid w:val="00580641"/>
    <w:rsid w:val="00581A1E"/>
    <w:rsid w:val="00583285"/>
    <w:rsid w:val="00583811"/>
    <w:rsid w:val="0058395D"/>
    <w:rsid w:val="00584166"/>
    <w:rsid w:val="0058593F"/>
    <w:rsid w:val="00586F03"/>
    <w:rsid w:val="00587240"/>
    <w:rsid w:val="005876DC"/>
    <w:rsid w:val="005906D9"/>
    <w:rsid w:val="0059070D"/>
    <w:rsid w:val="00591089"/>
    <w:rsid w:val="00591140"/>
    <w:rsid w:val="005915BF"/>
    <w:rsid w:val="0059181F"/>
    <w:rsid w:val="005933A9"/>
    <w:rsid w:val="00593E5C"/>
    <w:rsid w:val="005941A2"/>
    <w:rsid w:val="005949AC"/>
    <w:rsid w:val="00596AB8"/>
    <w:rsid w:val="005A1051"/>
    <w:rsid w:val="005A1B9E"/>
    <w:rsid w:val="005A39D3"/>
    <w:rsid w:val="005A4551"/>
    <w:rsid w:val="005A5732"/>
    <w:rsid w:val="005A598C"/>
    <w:rsid w:val="005A5E91"/>
    <w:rsid w:val="005A645A"/>
    <w:rsid w:val="005A7A17"/>
    <w:rsid w:val="005A7E67"/>
    <w:rsid w:val="005B13DF"/>
    <w:rsid w:val="005B14DA"/>
    <w:rsid w:val="005B18E2"/>
    <w:rsid w:val="005B4425"/>
    <w:rsid w:val="005B5330"/>
    <w:rsid w:val="005B7510"/>
    <w:rsid w:val="005B77A0"/>
    <w:rsid w:val="005B79DA"/>
    <w:rsid w:val="005C0743"/>
    <w:rsid w:val="005C1A78"/>
    <w:rsid w:val="005C20B2"/>
    <w:rsid w:val="005C2E7B"/>
    <w:rsid w:val="005C3170"/>
    <w:rsid w:val="005C37C6"/>
    <w:rsid w:val="005C4033"/>
    <w:rsid w:val="005C409F"/>
    <w:rsid w:val="005C4895"/>
    <w:rsid w:val="005D00EB"/>
    <w:rsid w:val="005D0E84"/>
    <w:rsid w:val="005D1A2B"/>
    <w:rsid w:val="005D2F07"/>
    <w:rsid w:val="005D3614"/>
    <w:rsid w:val="005D3764"/>
    <w:rsid w:val="005D38C5"/>
    <w:rsid w:val="005D61AB"/>
    <w:rsid w:val="005D61CC"/>
    <w:rsid w:val="005E06C8"/>
    <w:rsid w:val="005E10C9"/>
    <w:rsid w:val="005E4E39"/>
    <w:rsid w:val="005E4EBC"/>
    <w:rsid w:val="005E79B8"/>
    <w:rsid w:val="005F0690"/>
    <w:rsid w:val="005F1E39"/>
    <w:rsid w:val="005F4FC1"/>
    <w:rsid w:val="005F530E"/>
    <w:rsid w:val="005F5F08"/>
    <w:rsid w:val="005F7BD5"/>
    <w:rsid w:val="00601973"/>
    <w:rsid w:val="00603864"/>
    <w:rsid w:val="00604813"/>
    <w:rsid w:val="006050A6"/>
    <w:rsid w:val="0060550B"/>
    <w:rsid w:val="00605D9D"/>
    <w:rsid w:val="00605F93"/>
    <w:rsid w:val="00613AB0"/>
    <w:rsid w:val="00613C77"/>
    <w:rsid w:val="0061742B"/>
    <w:rsid w:val="006202E2"/>
    <w:rsid w:val="00620BF1"/>
    <w:rsid w:val="00620E71"/>
    <w:rsid w:val="00621C55"/>
    <w:rsid w:val="00621D41"/>
    <w:rsid w:val="00622276"/>
    <w:rsid w:val="006233EE"/>
    <w:rsid w:val="006235C5"/>
    <w:rsid w:val="00624243"/>
    <w:rsid w:val="0062457D"/>
    <w:rsid w:val="00627E42"/>
    <w:rsid w:val="006300BC"/>
    <w:rsid w:val="006306D7"/>
    <w:rsid w:val="00631936"/>
    <w:rsid w:val="00631D20"/>
    <w:rsid w:val="006333FF"/>
    <w:rsid w:val="0063598B"/>
    <w:rsid w:val="0063619C"/>
    <w:rsid w:val="00640147"/>
    <w:rsid w:val="00640F84"/>
    <w:rsid w:val="00642EB7"/>
    <w:rsid w:val="00643943"/>
    <w:rsid w:val="00643CDB"/>
    <w:rsid w:val="00644E7E"/>
    <w:rsid w:val="00645320"/>
    <w:rsid w:val="00646321"/>
    <w:rsid w:val="00650FE9"/>
    <w:rsid w:val="00653CA7"/>
    <w:rsid w:val="006555A0"/>
    <w:rsid w:val="00655753"/>
    <w:rsid w:val="006574D0"/>
    <w:rsid w:val="00660D0E"/>
    <w:rsid w:val="00661D57"/>
    <w:rsid w:val="00661DF5"/>
    <w:rsid w:val="006636CF"/>
    <w:rsid w:val="00666E1A"/>
    <w:rsid w:val="006676E3"/>
    <w:rsid w:val="00667C05"/>
    <w:rsid w:val="00667EEF"/>
    <w:rsid w:val="006730F1"/>
    <w:rsid w:val="00673CA8"/>
    <w:rsid w:val="006742A0"/>
    <w:rsid w:val="00675037"/>
    <w:rsid w:val="006752B7"/>
    <w:rsid w:val="00676035"/>
    <w:rsid w:val="0067634E"/>
    <w:rsid w:val="0067795A"/>
    <w:rsid w:val="00680A22"/>
    <w:rsid w:val="0068106F"/>
    <w:rsid w:val="006813AE"/>
    <w:rsid w:val="00681D66"/>
    <w:rsid w:val="0068220C"/>
    <w:rsid w:val="006830F5"/>
    <w:rsid w:val="00685E4C"/>
    <w:rsid w:val="00686B19"/>
    <w:rsid w:val="00686E11"/>
    <w:rsid w:val="0069050C"/>
    <w:rsid w:val="00691B45"/>
    <w:rsid w:val="00692613"/>
    <w:rsid w:val="00693EA2"/>
    <w:rsid w:val="0069406F"/>
    <w:rsid w:val="006946F8"/>
    <w:rsid w:val="00694E17"/>
    <w:rsid w:val="00694E1C"/>
    <w:rsid w:val="00697A78"/>
    <w:rsid w:val="006A1035"/>
    <w:rsid w:val="006A21B6"/>
    <w:rsid w:val="006A3CFB"/>
    <w:rsid w:val="006A4562"/>
    <w:rsid w:val="006A5AED"/>
    <w:rsid w:val="006A5D0C"/>
    <w:rsid w:val="006A65B7"/>
    <w:rsid w:val="006A663F"/>
    <w:rsid w:val="006B14B8"/>
    <w:rsid w:val="006B337D"/>
    <w:rsid w:val="006B6720"/>
    <w:rsid w:val="006C5342"/>
    <w:rsid w:val="006C5811"/>
    <w:rsid w:val="006C61C7"/>
    <w:rsid w:val="006C7B3C"/>
    <w:rsid w:val="006D148B"/>
    <w:rsid w:val="006D1893"/>
    <w:rsid w:val="006D2433"/>
    <w:rsid w:val="006D3AAF"/>
    <w:rsid w:val="006D3BC5"/>
    <w:rsid w:val="006D3E98"/>
    <w:rsid w:val="006D4AB6"/>
    <w:rsid w:val="006D649A"/>
    <w:rsid w:val="006D7C22"/>
    <w:rsid w:val="006E07B0"/>
    <w:rsid w:val="006E0F26"/>
    <w:rsid w:val="006E1B94"/>
    <w:rsid w:val="006E4FE6"/>
    <w:rsid w:val="006F11AC"/>
    <w:rsid w:val="006F18F8"/>
    <w:rsid w:val="006F2D1D"/>
    <w:rsid w:val="006F2D83"/>
    <w:rsid w:val="006F63CA"/>
    <w:rsid w:val="006F66EE"/>
    <w:rsid w:val="006F6782"/>
    <w:rsid w:val="00700DAC"/>
    <w:rsid w:val="0070521B"/>
    <w:rsid w:val="00712843"/>
    <w:rsid w:val="0071570D"/>
    <w:rsid w:val="007167A2"/>
    <w:rsid w:val="007172DE"/>
    <w:rsid w:val="0072173B"/>
    <w:rsid w:val="00722775"/>
    <w:rsid w:val="0072419D"/>
    <w:rsid w:val="00725000"/>
    <w:rsid w:val="007255EC"/>
    <w:rsid w:val="007268AD"/>
    <w:rsid w:val="00730636"/>
    <w:rsid w:val="00731049"/>
    <w:rsid w:val="007314ED"/>
    <w:rsid w:val="007319BF"/>
    <w:rsid w:val="00731A09"/>
    <w:rsid w:val="00731C33"/>
    <w:rsid w:val="00733474"/>
    <w:rsid w:val="007342B1"/>
    <w:rsid w:val="0073488E"/>
    <w:rsid w:val="00735383"/>
    <w:rsid w:val="007358DA"/>
    <w:rsid w:val="0073626B"/>
    <w:rsid w:val="0073714D"/>
    <w:rsid w:val="00737E4D"/>
    <w:rsid w:val="00740BCE"/>
    <w:rsid w:val="00742C87"/>
    <w:rsid w:val="00745343"/>
    <w:rsid w:val="00745B7D"/>
    <w:rsid w:val="007468BB"/>
    <w:rsid w:val="007510D5"/>
    <w:rsid w:val="00751E61"/>
    <w:rsid w:val="00753602"/>
    <w:rsid w:val="00755787"/>
    <w:rsid w:val="007568B9"/>
    <w:rsid w:val="007631EA"/>
    <w:rsid w:val="00764E73"/>
    <w:rsid w:val="0076656F"/>
    <w:rsid w:val="007714B1"/>
    <w:rsid w:val="00773DA8"/>
    <w:rsid w:val="007741FD"/>
    <w:rsid w:val="00775D4B"/>
    <w:rsid w:val="00777538"/>
    <w:rsid w:val="007800D4"/>
    <w:rsid w:val="00780E89"/>
    <w:rsid w:val="00781F78"/>
    <w:rsid w:val="00782173"/>
    <w:rsid w:val="00782DD6"/>
    <w:rsid w:val="0078366B"/>
    <w:rsid w:val="00783737"/>
    <w:rsid w:val="00783892"/>
    <w:rsid w:val="00787125"/>
    <w:rsid w:val="00790100"/>
    <w:rsid w:val="00790F84"/>
    <w:rsid w:val="00791E6B"/>
    <w:rsid w:val="00794975"/>
    <w:rsid w:val="00795A0E"/>
    <w:rsid w:val="00795AA5"/>
    <w:rsid w:val="00795ED0"/>
    <w:rsid w:val="00796DC1"/>
    <w:rsid w:val="00797397"/>
    <w:rsid w:val="00797B6D"/>
    <w:rsid w:val="007A0016"/>
    <w:rsid w:val="007A0AC9"/>
    <w:rsid w:val="007A218B"/>
    <w:rsid w:val="007A3A9D"/>
    <w:rsid w:val="007A5564"/>
    <w:rsid w:val="007A6DE1"/>
    <w:rsid w:val="007A7375"/>
    <w:rsid w:val="007B0DE8"/>
    <w:rsid w:val="007B26F8"/>
    <w:rsid w:val="007B2BDE"/>
    <w:rsid w:val="007B3CF7"/>
    <w:rsid w:val="007B548C"/>
    <w:rsid w:val="007C07AA"/>
    <w:rsid w:val="007C1481"/>
    <w:rsid w:val="007C17AA"/>
    <w:rsid w:val="007C20E3"/>
    <w:rsid w:val="007C265E"/>
    <w:rsid w:val="007C2A54"/>
    <w:rsid w:val="007C4C77"/>
    <w:rsid w:val="007C5760"/>
    <w:rsid w:val="007C7402"/>
    <w:rsid w:val="007C7615"/>
    <w:rsid w:val="007D1698"/>
    <w:rsid w:val="007D2E95"/>
    <w:rsid w:val="007D4007"/>
    <w:rsid w:val="007D6923"/>
    <w:rsid w:val="007D693E"/>
    <w:rsid w:val="007E1935"/>
    <w:rsid w:val="007E223F"/>
    <w:rsid w:val="007E2A63"/>
    <w:rsid w:val="007E32AA"/>
    <w:rsid w:val="007E4FF7"/>
    <w:rsid w:val="007E51D2"/>
    <w:rsid w:val="007E78D0"/>
    <w:rsid w:val="007F0E50"/>
    <w:rsid w:val="007F19F2"/>
    <w:rsid w:val="007F1A36"/>
    <w:rsid w:val="007F2E1D"/>
    <w:rsid w:val="007F5262"/>
    <w:rsid w:val="007F6E90"/>
    <w:rsid w:val="00802BFD"/>
    <w:rsid w:val="008045D4"/>
    <w:rsid w:val="00804AA2"/>
    <w:rsid w:val="008055F8"/>
    <w:rsid w:val="00806B48"/>
    <w:rsid w:val="0081235F"/>
    <w:rsid w:val="00812895"/>
    <w:rsid w:val="00814E8F"/>
    <w:rsid w:val="00817ABD"/>
    <w:rsid w:val="00820529"/>
    <w:rsid w:val="008242AC"/>
    <w:rsid w:val="00824F11"/>
    <w:rsid w:val="008304F4"/>
    <w:rsid w:val="0083063C"/>
    <w:rsid w:val="00830AC9"/>
    <w:rsid w:val="008324D0"/>
    <w:rsid w:val="0083518A"/>
    <w:rsid w:val="0083580F"/>
    <w:rsid w:val="00835978"/>
    <w:rsid w:val="00837CBB"/>
    <w:rsid w:val="00840265"/>
    <w:rsid w:val="0084155C"/>
    <w:rsid w:val="00846BA4"/>
    <w:rsid w:val="00847E29"/>
    <w:rsid w:val="00851171"/>
    <w:rsid w:val="00852326"/>
    <w:rsid w:val="00853A3E"/>
    <w:rsid w:val="00854EA9"/>
    <w:rsid w:val="00857D15"/>
    <w:rsid w:val="008611A2"/>
    <w:rsid w:val="008612D2"/>
    <w:rsid w:val="008626BB"/>
    <w:rsid w:val="0086620B"/>
    <w:rsid w:val="00867D1E"/>
    <w:rsid w:val="00871642"/>
    <w:rsid w:val="00871798"/>
    <w:rsid w:val="00873B24"/>
    <w:rsid w:val="00873DED"/>
    <w:rsid w:val="0087696D"/>
    <w:rsid w:val="00881A16"/>
    <w:rsid w:val="00883BC5"/>
    <w:rsid w:val="00884089"/>
    <w:rsid w:val="008847F1"/>
    <w:rsid w:val="00884ABC"/>
    <w:rsid w:val="00885B5A"/>
    <w:rsid w:val="00886331"/>
    <w:rsid w:val="0088732B"/>
    <w:rsid w:val="00890306"/>
    <w:rsid w:val="0089151C"/>
    <w:rsid w:val="008928FF"/>
    <w:rsid w:val="00892E74"/>
    <w:rsid w:val="0089556A"/>
    <w:rsid w:val="008A203C"/>
    <w:rsid w:val="008A2C1B"/>
    <w:rsid w:val="008A4891"/>
    <w:rsid w:val="008A528A"/>
    <w:rsid w:val="008A531D"/>
    <w:rsid w:val="008A76EE"/>
    <w:rsid w:val="008A7F48"/>
    <w:rsid w:val="008B0A85"/>
    <w:rsid w:val="008B1897"/>
    <w:rsid w:val="008B34A3"/>
    <w:rsid w:val="008B3755"/>
    <w:rsid w:val="008C04E0"/>
    <w:rsid w:val="008C3332"/>
    <w:rsid w:val="008C3934"/>
    <w:rsid w:val="008C4D6A"/>
    <w:rsid w:val="008D380E"/>
    <w:rsid w:val="008D437E"/>
    <w:rsid w:val="008D47D0"/>
    <w:rsid w:val="008D7408"/>
    <w:rsid w:val="008D7A95"/>
    <w:rsid w:val="008E112F"/>
    <w:rsid w:val="008E1385"/>
    <w:rsid w:val="008E1EB3"/>
    <w:rsid w:val="008E235B"/>
    <w:rsid w:val="008E2360"/>
    <w:rsid w:val="008E2F1D"/>
    <w:rsid w:val="008E4764"/>
    <w:rsid w:val="008E64E0"/>
    <w:rsid w:val="008E68E3"/>
    <w:rsid w:val="008E6CFE"/>
    <w:rsid w:val="008F478A"/>
    <w:rsid w:val="008F4F0F"/>
    <w:rsid w:val="008F5618"/>
    <w:rsid w:val="008F5C81"/>
    <w:rsid w:val="008F5CD0"/>
    <w:rsid w:val="008F5E70"/>
    <w:rsid w:val="008F781A"/>
    <w:rsid w:val="008F7A3E"/>
    <w:rsid w:val="008F7DDC"/>
    <w:rsid w:val="00903A97"/>
    <w:rsid w:val="00904D5A"/>
    <w:rsid w:val="00905E60"/>
    <w:rsid w:val="00906901"/>
    <w:rsid w:val="00906D78"/>
    <w:rsid w:val="0090767E"/>
    <w:rsid w:val="00910F80"/>
    <w:rsid w:val="0091127B"/>
    <w:rsid w:val="009143BA"/>
    <w:rsid w:val="00914E0D"/>
    <w:rsid w:val="00914F0E"/>
    <w:rsid w:val="0092097F"/>
    <w:rsid w:val="00922FEA"/>
    <w:rsid w:val="00923713"/>
    <w:rsid w:val="009255E4"/>
    <w:rsid w:val="00930B4E"/>
    <w:rsid w:val="00933A11"/>
    <w:rsid w:val="00934E6F"/>
    <w:rsid w:val="009354A2"/>
    <w:rsid w:val="009357DA"/>
    <w:rsid w:val="009364BE"/>
    <w:rsid w:val="0093656D"/>
    <w:rsid w:val="0093766D"/>
    <w:rsid w:val="00940BC3"/>
    <w:rsid w:val="00941E58"/>
    <w:rsid w:val="00942171"/>
    <w:rsid w:val="0094223A"/>
    <w:rsid w:val="0094578B"/>
    <w:rsid w:val="00957420"/>
    <w:rsid w:val="00957947"/>
    <w:rsid w:val="009602F7"/>
    <w:rsid w:val="00960CD2"/>
    <w:rsid w:val="00961854"/>
    <w:rsid w:val="009619A3"/>
    <w:rsid w:val="009637C5"/>
    <w:rsid w:val="00967148"/>
    <w:rsid w:val="0097149D"/>
    <w:rsid w:val="009809D8"/>
    <w:rsid w:val="00980B1E"/>
    <w:rsid w:val="00981125"/>
    <w:rsid w:val="009811BF"/>
    <w:rsid w:val="00983546"/>
    <w:rsid w:val="00984BCB"/>
    <w:rsid w:val="00991C46"/>
    <w:rsid w:val="0099287A"/>
    <w:rsid w:val="00993A1A"/>
    <w:rsid w:val="00993B2F"/>
    <w:rsid w:val="0099408F"/>
    <w:rsid w:val="009949B3"/>
    <w:rsid w:val="009A005D"/>
    <w:rsid w:val="009A0555"/>
    <w:rsid w:val="009A1468"/>
    <w:rsid w:val="009A1D11"/>
    <w:rsid w:val="009A2379"/>
    <w:rsid w:val="009A2EBB"/>
    <w:rsid w:val="009A3FA5"/>
    <w:rsid w:val="009A5D2F"/>
    <w:rsid w:val="009A7D12"/>
    <w:rsid w:val="009B3A4D"/>
    <w:rsid w:val="009B48DC"/>
    <w:rsid w:val="009B6EF0"/>
    <w:rsid w:val="009B7E1F"/>
    <w:rsid w:val="009C06C3"/>
    <w:rsid w:val="009C0FE1"/>
    <w:rsid w:val="009C3E98"/>
    <w:rsid w:val="009C44AC"/>
    <w:rsid w:val="009C47BB"/>
    <w:rsid w:val="009C4D13"/>
    <w:rsid w:val="009C4E73"/>
    <w:rsid w:val="009C748D"/>
    <w:rsid w:val="009D0324"/>
    <w:rsid w:val="009D1086"/>
    <w:rsid w:val="009D1249"/>
    <w:rsid w:val="009D2388"/>
    <w:rsid w:val="009D47D3"/>
    <w:rsid w:val="009D551D"/>
    <w:rsid w:val="009D77B3"/>
    <w:rsid w:val="009D78F3"/>
    <w:rsid w:val="009E0ABD"/>
    <w:rsid w:val="009E1639"/>
    <w:rsid w:val="009E3588"/>
    <w:rsid w:val="009E3D41"/>
    <w:rsid w:val="009E4C6A"/>
    <w:rsid w:val="009E67F9"/>
    <w:rsid w:val="009E7868"/>
    <w:rsid w:val="009F295E"/>
    <w:rsid w:val="009F3B45"/>
    <w:rsid w:val="009F46B8"/>
    <w:rsid w:val="009F5C00"/>
    <w:rsid w:val="00A0098D"/>
    <w:rsid w:val="00A00BB0"/>
    <w:rsid w:val="00A00C25"/>
    <w:rsid w:val="00A01AAC"/>
    <w:rsid w:val="00A021C3"/>
    <w:rsid w:val="00A02985"/>
    <w:rsid w:val="00A02A5E"/>
    <w:rsid w:val="00A03F48"/>
    <w:rsid w:val="00A05F01"/>
    <w:rsid w:val="00A06A2C"/>
    <w:rsid w:val="00A06FB5"/>
    <w:rsid w:val="00A10F8A"/>
    <w:rsid w:val="00A11268"/>
    <w:rsid w:val="00A121E3"/>
    <w:rsid w:val="00A12776"/>
    <w:rsid w:val="00A135AE"/>
    <w:rsid w:val="00A15DBF"/>
    <w:rsid w:val="00A16228"/>
    <w:rsid w:val="00A177B4"/>
    <w:rsid w:val="00A202B9"/>
    <w:rsid w:val="00A21122"/>
    <w:rsid w:val="00A225D7"/>
    <w:rsid w:val="00A231A5"/>
    <w:rsid w:val="00A2326D"/>
    <w:rsid w:val="00A239FD"/>
    <w:rsid w:val="00A268A0"/>
    <w:rsid w:val="00A26D2C"/>
    <w:rsid w:val="00A27180"/>
    <w:rsid w:val="00A273F6"/>
    <w:rsid w:val="00A33DB1"/>
    <w:rsid w:val="00A354A1"/>
    <w:rsid w:val="00A3558F"/>
    <w:rsid w:val="00A360AB"/>
    <w:rsid w:val="00A36D7E"/>
    <w:rsid w:val="00A370E0"/>
    <w:rsid w:val="00A37485"/>
    <w:rsid w:val="00A37E48"/>
    <w:rsid w:val="00A41CC8"/>
    <w:rsid w:val="00A442AB"/>
    <w:rsid w:val="00A44BAE"/>
    <w:rsid w:val="00A469C2"/>
    <w:rsid w:val="00A46AFB"/>
    <w:rsid w:val="00A515D3"/>
    <w:rsid w:val="00A51DEB"/>
    <w:rsid w:val="00A523AE"/>
    <w:rsid w:val="00A55C35"/>
    <w:rsid w:val="00A56213"/>
    <w:rsid w:val="00A56288"/>
    <w:rsid w:val="00A5764B"/>
    <w:rsid w:val="00A62444"/>
    <w:rsid w:val="00A6327D"/>
    <w:rsid w:val="00A637E0"/>
    <w:rsid w:val="00A642A0"/>
    <w:rsid w:val="00A64B50"/>
    <w:rsid w:val="00A65186"/>
    <w:rsid w:val="00A655C2"/>
    <w:rsid w:val="00A67935"/>
    <w:rsid w:val="00A72321"/>
    <w:rsid w:val="00A73CD5"/>
    <w:rsid w:val="00A756BB"/>
    <w:rsid w:val="00A76EA1"/>
    <w:rsid w:val="00A80A43"/>
    <w:rsid w:val="00A80A5C"/>
    <w:rsid w:val="00A81FB2"/>
    <w:rsid w:val="00A830B2"/>
    <w:rsid w:val="00A838A1"/>
    <w:rsid w:val="00A83EE1"/>
    <w:rsid w:val="00A84B0A"/>
    <w:rsid w:val="00A853E5"/>
    <w:rsid w:val="00A871D9"/>
    <w:rsid w:val="00A878B0"/>
    <w:rsid w:val="00A9133E"/>
    <w:rsid w:val="00A9152E"/>
    <w:rsid w:val="00A94028"/>
    <w:rsid w:val="00A94B3D"/>
    <w:rsid w:val="00A968A3"/>
    <w:rsid w:val="00A97A9A"/>
    <w:rsid w:val="00AA0217"/>
    <w:rsid w:val="00AA0862"/>
    <w:rsid w:val="00AA38D8"/>
    <w:rsid w:val="00AA43EC"/>
    <w:rsid w:val="00AA44B3"/>
    <w:rsid w:val="00AA58AD"/>
    <w:rsid w:val="00AA6CB8"/>
    <w:rsid w:val="00AB0D89"/>
    <w:rsid w:val="00AB156B"/>
    <w:rsid w:val="00AB37BB"/>
    <w:rsid w:val="00AB4062"/>
    <w:rsid w:val="00AB62EF"/>
    <w:rsid w:val="00AB63AD"/>
    <w:rsid w:val="00AB6DC0"/>
    <w:rsid w:val="00AB75B1"/>
    <w:rsid w:val="00AC09C4"/>
    <w:rsid w:val="00AC0FB5"/>
    <w:rsid w:val="00AC186F"/>
    <w:rsid w:val="00AC61ED"/>
    <w:rsid w:val="00AC7A13"/>
    <w:rsid w:val="00AD2B9D"/>
    <w:rsid w:val="00AD30FB"/>
    <w:rsid w:val="00AD31E5"/>
    <w:rsid w:val="00AD35FA"/>
    <w:rsid w:val="00AD4AEA"/>
    <w:rsid w:val="00AD603E"/>
    <w:rsid w:val="00AE25A8"/>
    <w:rsid w:val="00AE45A4"/>
    <w:rsid w:val="00AE4A86"/>
    <w:rsid w:val="00AE56CD"/>
    <w:rsid w:val="00AE778A"/>
    <w:rsid w:val="00AE78B9"/>
    <w:rsid w:val="00AF1E9A"/>
    <w:rsid w:val="00AF1EBB"/>
    <w:rsid w:val="00AF3697"/>
    <w:rsid w:val="00AF424E"/>
    <w:rsid w:val="00AF435E"/>
    <w:rsid w:val="00AF4FD6"/>
    <w:rsid w:val="00AF60CF"/>
    <w:rsid w:val="00B00AEF"/>
    <w:rsid w:val="00B01070"/>
    <w:rsid w:val="00B04B29"/>
    <w:rsid w:val="00B05CE4"/>
    <w:rsid w:val="00B0697A"/>
    <w:rsid w:val="00B06ED9"/>
    <w:rsid w:val="00B079CB"/>
    <w:rsid w:val="00B1054E"/>
    <w:rsid w:val="00B11F97"/>
    <w:rsid w:val="00B12497"/>
    <w:rsid w:val="00B13170"/>
    <w:rsid w:val="00B13568"/>
    <w:rsid w:val="00B13876"/>
    <w:rsid w:val="00B14946"/>
    <w:rsid w:val="00B178E4"/>
    <w:rsid w:val="00B20F1D"/>
    <w:rsid w:val="00B21BFD"/>
    <w:rsid w:val="00B21C10"/>
    <w:rsid w:val="00B21C51"/>
    <w:rsid w:val="00B239EE"/>
    <w:rsid w:val="00B24782"/>
    <w:rsid w:val="00B25A6E"/>
    <w:rsid w:val="00B3187B"/>
    <w:rsid w:val="00B31BA3"/>
    <w:rsid w:val="00B32EAD"/>
    <w:rsid w:val="00B33D8F"/>
    <w:rsid w:val="00B366EA"/>
    <w:rsid w:val="00B37202"/>
    <w:rsid w:val="00B40E59"/>
    <w:rsid w:val="00B448BA"/>
    <w:rsid w:val="00B45C09"/>
    <w:rsid w:val="00B46ED2"/>
    <w:rsid w:val="00B503DA"/>
    <w:rsid w:val="00B5321A"/>
    <w:rsid w:val="00B53901"/>
    <w:rsid w:val="00B54DE5"/>
    <w:rsid w:val="00B54F4D"/>
    <w:rsid w:val="00B55A7A"/>
    <w:rsid w:val="00B5649E"/>
    <w:rsid w:val="00B56C1B"/>
    <w:rsid w:val="00B60C83"/>
    <w:rsid w:val="00B61A4F"/>
    <w:rsid w:val="00B625D3"/>
    <w:rsid w:val="00B62827"/>
    <w:rsid w:val="00B63331"/>
    <w:rsid w:val="00B63A42"/>
    <w:rsid w:val="00B6437C"/>
    <w:rsid w:val="00B65A4E"/>
    <w:rsid w:val="00B714B8"/>
    <w:rsid w:val="00B73408"/>
    <w:rsid w:val="00B7580C"/>
    <w:rsid w:val="00B75E3B"/>
    <w:rsid w:val="00B77A23"/>
    <w:rsid w:val="00B82616"/>
    <w:rsid w:val="00B832E1"/>
    <w:rsid w:val="00B838C3"/>
    <w:rsid w:val="00B869F2"/>
    <w:rsid w:val="00B8723E"/>
    <w:rsid w:val="00B90387"/>
    <w:rsid w:val="00B92E60"/>
    <w:rsid w:val="00B9302B"/>
    <w:rsid w:val="00B9492F"/>
    <w:rsid w:val="00B953B2"/>
    <w:rsid w:val="00B95BAB"/>
    <w:rsid w:val="00B96819"/>
    <w:rsid w:val="00B96FFE"/>
    <w:rsid w:val="00BA018E"/>
    <w:rsid w:val="00BA300D"/>
    <w:rsid w:val="00BA35D9"/>
    <w:rsid w:val="00BA3D1A"/>
    <w:rsid w:val="00BA621F"/>
    <w:rsid w:val="00BA6C88"/>
    <w:rsid w:val="00BB1218"/>
    <w:rsid w:val="00BB1A86"/>
    <w:rsid w:val="00BB256A"/>
    <w:rsid w:val="00BB45A4"/>
    <w:rsid w:val="00BB4ED2"/>
    <w:rsid w:val="00BB71A5"/>
    <w:rsid w:val="00BB7AED"/>
    <w:rsid w:val="00BC0484"/>
    <w:rsid w:val="00BC0D8D"/>
    <w:rsid w:val="00BC0EF9"/>
    <w:rsid w:val="00BC1157"/>
    <w:rsid w:val="00BC3837"/>
    <w:rsid w:val="00BC3F4D"/>
    <w:rsid w:val="00BC5294"/>
    <w:rsid w:val="00BC60B9"/>
    <w:rsid w:val="00BD008B"/>
    <w:rsid w:val="00BD119C"/>
    <w:rsid w:val="00BD3397"/>
    <w:rsid w:val="00BD3C56"/>
    <w:rsid w:val="00BD3D73"/>
    <w:rsid w:val="00BD4251"/>
    <w:rsid w:val="00BD4949"/>
    <w:rsid w:val="00BD5E21"/>
    <w:rsid w:val="00BE0116"/>
    <w:rsid w:val="00BE1111"/>
    <w:rsid w:val="00BE16A6"/>
    <w:rsid w:val="00BE1F20"/>
    <w:rsid w:val="00BE22FA"/>
    <w:rsid w:val="00BE2533"/>
    <w:rsid w:val="00BE3860"/>
    <w:rsid w:val="00BE7D2E"/>
    <w:rsid w:val="00BF0073"/>
    <w:rsid w:val="00BF09A7"/>
    <w:rsid w:val="00BF282C"/>
    <w:rsid w:val="00BF3004"/>
    <w:rsid w:val="00BF423B"/>
    <w:rsid w:val="00BF5437"/>
    <w:rsid w:val="00BF71CB"/>
    <w:rsid w:val="00C00E50"/>
    <w:rsid w:val="00C05E64"/>
    <w:rsid w:val="00C062C4"/>
    <w:rsid w:val="00C0722D"/>
    <w:rsid w:val="00C11337"/>
    <w:rsid w:val="00C13A3B"/>
    <w:rsid w:val="00C1520D"/>
    <w:rsid w:val="00C158FB"/>
    <w:rsid w:val="00C17A6E"/>
    <w:rsid w:val="00C21E0F"/>
    <w:rsid w:val="00C2354D"/>
    <w:rsid w:val="00C261AD"/>
    <w:rsid w:val="00C26F67"/>
    <w:rsid w:val="00C278B8"/>
    <w:rsid w:val="00C27FAA"/>
    <w:rsid w:val="00C30A3E"/>
    <w:rsid w:val="00C30B55"/>
    <w:rsid w:val="00C35AD9"/>
    <w:rsid w:val="00C43442"/>
    <w:rsid w:val="00C4433B"/>
    <w:rsid w:val="00C4519D"/>
    <w:rsid w:val="00C4629A"/>
    <w:rsid w:val="00C46933"/>
    <w:rsid w:val="00C54C1F"/>
    <w:rsid w:val="00C561C1"/>
    <w:rsid w:val="00C565DD"/>
    <w:rsid w:val="00C57264"/>
    <w:rsid w:val="00C60234"/>
    <w:rsid w:val="00C609AF"/>
    <w:rsid w:val="00C61731"/>
    <w:rsid w:val="00C625AE"/>
    <w:rsid w:val="00C625B0"/>
    <w:rsid w:val="00C64A4A"/>
    <w:rsid w:val="00C65FB5"/>
    <w:rsid w:val="00C6635D"/>
    <w:rsid w:val="00C70CF3"/>
    <w:rsid w:val="00C70F76"/>
    <w:rsid w:val="00C71C01"/>
    <w:rsid w:val="00C740E4"/>
    <w:rsid w:val="00C75CAD"/>
    <w:rsid w:val="00C75CD2"/>
    <w:rsid w:val="00C760F7"/>
    <w:rsid w:val="00C76C8E"/>
    <w:rsid w:val="00C77A93"/>
    <w:rsid w:val="00C80259"/>
    <w:rsid w:val="00C80C57"/>
    <w:rsid w:val="00C819DE"/>
    <w:rsid w:val="00C836E5"/>
    <w:rsid w:val="00C8392B"/>
    <w:rsid w:val="00C83B35"/>
    <w:rsid w:val="00C86D83"/>
    <w:rsid w:val="00C87C53"/>
    <w:rsid w:val="00C900AF"/>
    <w:rsid w:val="00C926C1"/>
    <w:rsid w:val="00C92ACA"/>
    <w:rsid w:val="00C93F1B"/>
    <w:rsid w:val="00C94A00"/>
    <w:rsid w:val="00C94B61"/>
    <w:rsid w:val="00C94B68"/>
    <w:rsid w:val="00C95320"/>
    <w:rsid w:val="00C97B83"/>
    <w:rsid w:val="00CA0DA6"/>
    <w:rsid w:val="00CA1C34"/>
    <w:rsid w:val="00CA1F59"/>
    <w:rsid w:val="00CA7F1E"/>
    <w:rsid w:val="00CB012E"/>
    <w:rsid w:val="00CB01EA"/>
    <w:rsid w:val="00CC19D6"/>
    <w:rsid w:val="00CC1ABF"/>
    <w:rsid w:val="00CC431B"/>
    <w:rsid w:val="00CC6FF3"/>
    <w:rsid w:val="00CC7866"/>
    <w:rsid w:val="00CD2869"/>
    <w:rsid w:val="00CD3F59"/>
    <w:rsid w:val="00CD4EFA"/>
    <w:rsid w:val="00CD52DF"/>
    <w:rsid w:val="00CD789D"/>
    <w:rsid w:val="00CD7BA3"/>
    <w:rsid w:val="00CE224B"/>
    <w:rsid w:val="00CE3EA4"/>
    <w:rsid w:val="00CE3F4A"/>
    <w:rsid w:val="00CE4017"/>
    <w:rsid w:val="00CE4622"/>
    <w:rsid w:val="00CE4B75"/>
    <w:rsid w:val="00CE545F"/>
    <w:rsid w:val="00CE680D"/>
    <w:rsid w:val="00CF0825"/>
    <w:rsid w:val="00CF1339"/>
    <w:rsid w:val="00CF2964"/>
    <w:rsid w:val="00CF3E70"/>
    <w:rsid w:val="00CF425F"/>
    <w:rsid w:val="00CF6217"/>
    <w:rsid w:val="00CF6625"/>
    <w:rsid w:val="00D004A6"/>
    <w:rsid w:val="00D008CB"/>
    <w:rsid w:val="00D01CB2"/>
    <w:rsid w:val="00D04F4B"/>
    <w:rsid w:val="00D06F02"/>
    <w:rsid w:val="00D077EF"/>
    <w:rsid w:val="00D11440"/>
    <w:rsid w:val="00D116C0"/>
    <w:rsid w:val="00D1253B"/>
    <w:rsid w:val="00D13369"/>
    <w:rsid w:val="00D138F8"/>
    <w:rsid w:val="00D14686"/>
    <w:rsid w:val="00D1654F"/>
    <w:rsid w:val="00D1710E"/>
    <w:rsid w:val="00D17B34"/>
    <w:rsid w:val="00D22B12"/>
    <w:rsid w:val="00D24049"/>
    <w:rsid w:val="00D25870"/>
    <w:rsid w:val="00D2612D"/>
    <w:rsid w:val="00D27773"/>
    <w:rsid w:val="00D3081C"/>
    <w:rsid w:val="00D30C51"/>
    <w:rsid w:val="00D31BFA"/>
    <w:rsid w:val="00D31CC7"/>
    <w:rsid w:val="00D32874"/>
    <w:rsid w:val="00D3556C"/>
    <w:rsid w:val="00D37788"/>
    <w:rsid w:val="00D4013F"/>
    <w:rsid w:val="00D415F0"/>
    <w:rsid w:val="00D43AFB"/>
    <w:rsid w:val="00D46333"/>
    <w:rsid w:val="00D4799C"/>
    <w:rsid w:val="00D5098A"/>
    <w:rsid w:val="00D527E5"/>
    <w:rsid w:val="00D54129"/>
    <w:rsid w:val="00D54A3A"/>
    <w:rsid w:val="00D54E81"/>
    <w:rsid w:val="00D54EF4"/>
    <w:rsid w:val="00D60A77"/>
    <w:rsid w:val="00D614B7"/>
    <w:rsid w:val="00D62461"/>
    <w:rsid w:val="00D665F0"/>
    <w:rsid w:val="00D666F0"/>
    <w:rsid w:val="00D66988"/>
    <w:rsid w:val="00D671C1"/>
    <w:rsid w:val="00D67434"/>
    <w:rsid w:val="00D71C70"/>
    <w:rsid w:val="00D728DF"/>
    <w:rsid w:val="00D73D42"/>
    <w:rsid w:val="00D76AAC"/>
    <w:rsid w:val="00D77D37"/>
    <w:rsid w:val="00D814E6"/>
    <w:rsid w:val="00D819B8"/>
    <w:rsid w:val="00D81B09"/>
    <w:rsid w:val="00D81E48"/>
    <w:rsid w:val="00D84783"/>
    <w:rsid w:val="00D8481C"/>
    <w:rsid w:val="00D84BDD"/>
    <w:rsid w:val="00D869D9"/>
    <w:rsid w:val="00D90717"/>
    <w:rsid w:val="00D92C38"/>
    <w:rsid w:val="00D933B1"/>
    <w:rsid w:val="00D95DFE"/>
    <w:rsid w:val="00D96760"/>
    <w:rsid w:val="00DA03ED"/>
    <w:rsid w:val="00DA0904"/>
    <w:rsid w:val="00DA3D5A"/>
    <w:rsid w:val="00DA5EE6"/>
    <w:rsid w:val="00DA7FB2"/>
    <w:rsid w:val="00DB4CA9"/>
    <w:rsid w:val="00DB5F07"/>
    <w:rsid w:val="00DB6510"/>
    <w:rsid w:val="00DB755A"/>
    <w:rsid w:val="00DB7874"/>
    <w:rsid w:val="00DC0F88"/>
    <w:rsid w:val="00DC1512"/>
    <w:rsid w:val="00DC250C"/>
    <w:rsid w:val="00DC3152"/>
    <w:rsid w:val="00DC5C87"/>
    <w:rsid w:val="00DC77D1"/>
    <w:rsid w:val="00DD1919"/>
    <w:rsid w:val="00DD3A36"/>
    <w:rsid w:val="00DD51AC"/>
    <w:rsid w:val="00DE1680"/>
    <w:rsid w:val="00DE1EC5"/>
    <w:rsid w:val="00DE379C"/>
    <w:rsid w:val="00DE58EF"/>
    <w:rsid w:val="00DF2AC1"/>
    <w:rsid w:val="00DF2D5F"/>
    <w:rsid w:val="00DF37A5"/>
    <w:rsid w:val="00DF4290"/>
    <w:rsid w:val="00DF4C7A"/>
    <w:rsid w:val="00DF4FD3"/>
    <w:rsid w:val="00DF54EB"/>
    <w:rsid w:val="00DF728E"/>
    <w:rsid w:val="00E00B90"/>
    <w:rsid w:val="00E00FED"/>
    <w:rsid w:val="00E01426"/>
    <w:rsid w:val="00E032F7"/>
    <w:rsid w:val="00E034F6"/>
    <w:rsid w:val="00E03754"/>
    <w:rsid w:val="00E03B55"/>
    <w:rsid w:val="00E04B6E"/>
    <w:rsid w:val="00E1064B"/>
    <w:rsid w:val="00E11237"/>
    <w:rsid w:val="00E12655"/>
    <w:rsid w:val="00E13C1B"/>
    <w:rsid w:val="00E13FD6"/>
    <w:rsid w:val="00E158DE"/>
    <w:rsid w:val="00E16273"/>
    <w:rsid w:val="00E168C4"/>
    <w:rsid w:val="00E16DCB"/>
    <w:rsid w:val="00E201A2"/>
    <w:rsid w:val="00E20F8A"/>
    <w:rsid w:val="00E21C3D"/>
    <w:rsid w:val="00E2244B"/>
    <w:rsid w:val="00E22689"/>
    <w:rsid w:val="00E22F1A"/>
    <w:rsid w:val="00E23CF0"/>
    <w:rsid w:val="00E24120"/>
    <w:rsid w:val="00E25201"/>
    <w:rsid w:val="00E256F6"/>
    <w:rsid w:val="00E30AC5"/>
    <w:rsid w:val="00E30F3A"/>
    <w:rsid w:val="00E31CC0"/>
    <w:rsid w:val="00E32A28"/>
    <w:rsid w:val="00E32C0A"/>
    <w:rsid w:val="00E336F6"/>
    <w:rsid w:val="00E35781"/>
    <w:rsid w:val="00E35B59"/>
    <w:rsid w:val="00E37492"/>
    <w:rsid w:val="00E4044D"/>
    <w:rsid w:val="00E41594"/>
    <w:rsid w:val="00E437DA"/>
    <w:rsid w:val="00E460D1"/>
    <w:rsid w:val="00E47F57"/>
    <w:rsid w:val="00E50B19"/>
    <w:rsid w:val="00E50DFC"/>
    <w:rsid w:val="00E520B9"/>
    <w:rsid w:val="00E52CD9"/>
    <w:rsid w:val="00E53013"/>
    <w:rsid w:val="00E5317D"/>
    <w:rsid w:val="00E53639"/>
    <w:rsid w:val="00E53712"/>
    <w:rsid w:val="00E55442"/>
    <w:rsid w:val="00E5767C"/>
    <w:rsid w:val="00E57EDC"/>
    <w:rsid w:val="00E624E7"/>
    <w:rsid w:val="00E6281A"/>
    <w:rsid w:val="00E62A66"/>
    <w:rsid w:val="00E62FBF"/>
    <w:rsid w:val="00E6377B"/>
    <w:rsid w:val="00E6499D"/>
    <w:rsid w:val="00E64C79"/>
    <w:rsid w:val="00E66014"/>
    <w:rsid w:val="00E67870"/>
    <w:rsid w:val="00E67C44"/>
    <w:rsid w:val="00E70B43"/>
    <w:rsid w:val="00E71793"/>
    <w:rsid w:val="00E71F91"/>
    <w:rsid w:val="00E74682"/>
    <w:rsid w:val="00E74DBE"/>
    <w:rsid w:val="00E7708E"/>
    <w:rsid w:val="00E77E82"/>
    <w:rsid w:val="00E804C6"/>
    <w:rsid w:val="00E85A04"/>
    <w:rsid w:val="00E85EBE"/>
    <w:rsid w:val="00E90664"/>
    <w:rsid w:val="00E92284"/>
    <w:rsid w:val="00E9734E"/>
    <w:rsid w:val="00EA08D3"/>
    <w:rsid w:val="00EA0AC0"/>
    <w:rsid w:val="00EA11F4"/>
    <w:rsid w:val="00EA2F1C"/>
    <w:rsid w:val="00EA6C1C"/>
    <w:rsid w:val="00EB0146"/>
    <w:rsid w:val="00EB2832"/>
    <w:rsid w:val="00EB2D6F"/>
    <w:rsid w:val="00EB55C1"/>
    <w:rsid w:val="00EB5828"/>
    <w:rsid w:val="00EB5D91"/>
    <w:rsid w:val="00EB6070"/>
    <w:rsid w:val="00EB776C"/>
    <w:rsid w:val="00EC04C3"/>
    <w:rsid w:val="00EC102A"/>
    <w:rsid w:val="00EC2467"/>
    <w:rsid w:val="00EC4B88"/>
    <w:rsid w:val="00EC50CF"/>
    <w:rsid w:val="00EC5E7D"/>
    <w:rsid w:val="00EC618F"/>
    <w:rsid w:val="00EC671E"/>
    <w:rsid w:val="00ED0EE8"/>
    <w:rsid w:val="00ED213B"/>
    <w:rsid w:val="00ED2F26"/>
    <w:rsid w:val="00ED334E"/>
    <w:rsid w:val="00ED58B5"/>
    <w:rsid w:val="00ED63ED"/>
    <w:rsid w:val="00EE0E56"/>
    <w:rsid w:val="00EE1DD7"/>
    <w:rsid w:val="00EE4C87"/>
    <w:rsid w:val="00EE53A8"/>
    <w:rsid w:val="00EE6AA8"/>
    <w:rsid w:val="00EE6CBC"/>
    <w:rsid w:val="00EF2468"/>
    <w:rsid w:val="00EF2A00"/>
    <w:rsid w:val="00EF2B96"/>
    <w:rsid w:val="00EF4F7D"/>
    <w:rsid w:val="00EF6668"/>
    <w:rsid w:val="00EF7737"/>
    <w:rsid w:val="00F01DA2"/>
    <w:rsid w:val="00F02F10"/>
    <w:rsid w:val="00F02FD1"/>
    <w:rsid w:val="00F03CC3"/>
    <w:rsid w:val="00F044FC"/>
    <w:rsid w:val="00F061F1"/>
    <w:rsid w:val="00F0658A"/>
    <w:rsid w:val="00F06601"/>
    <w:rsid w:val="00F0708F"/>
    <w:rsid w:val="00F116F2"/>
    <w:rsid w:val="00F1170B"/>
    <w:rsid w:val="00F12AEB"/>
    <w:rsid w:val="00F14F46"/>
    <w:rsid w:val="00F14FC4"/>
    <w:rsid w:val="00F16BE0"/>
    <w:rsid w:val="00F17477"/>
    <w:rsid w:val="00F1753A"/>
    <w:rsid w:val="00F20DCD"/>
    <w:rsid w:val="00F210AE"/>
    <w:rsid w:val="00F22AFA"/>
    <w:rsid w:val="00F2384E"/>
    <w:rsid w:val="00F24CD5"/>
    <w:rsid w:val="00F2549B"/>
    <w:rsid w:val="00F26D98"/>
    <w:rsid w:val="00F27162"/>
    <w:rsid w:val="00F27ABA"/>
    <w:rsid w:val="00F328B5"/>
    <w:rsid w:val="00F3486B"/>
    <w:rsid w:val="00F34E14"/>
    <w:rsid w:val="00F359DE"/>
    <w:rsid w:val="00F424EE"/>
    <w:rsid w:val="00F436D7"/>
    <w:rsid w:val="00F44387"/>
    <w:rsid w:val="00F44750"/>
    <w:rsid w:val="00F453DE"/>
    <w:rsid w:val="00F471C8"/>
    <w:rsid w:val="00F4760B"/>
    <w:rsid w:val="00F477A0"/>
    <w:rsid w:val="00F5104A"/>
    <w:rsid w:val="00F51AF8"/>
    <w:rsid w:val="00F52478"/>
    <w:rsid w:val="00F54BA5"/>
    <w:rsid w:val="00F5545A"/>
    <w:rsid w:val="00F56F97"/>
    <w:rsid w:val="00F5749D"/>
    <w:rsid w:val="00F620D3"/>
    <w:rsid w:val="00F62576"/>
    <w:rsid w:val="00F6346D"/>
    <w:rsid w:val="00F63659"/>
    <w:rsid w:val="00F6696F"/>
    <w:rsid w:val="00F66F33"/>
    <w:rsid w:val="00F67CD2"/>
    <w:rsid w:val="00F67E71"/>
    <w:rsid w:val="00F70B15"/>
    <w:rsid w:val="00F744A3"/>
    <w:rsid w:val="00F7557D"/>
    <w:rsid w:val="00F75E7D"/>
    <w:rsid w:val="00F77A5D"/>
    <w:rsid w:val="00F77AFF"/>
    <w:rsid w:val="00F81867"/>
    <w:rsid w:val="00F81AAC"/>
    <w:rsid w:val="00F83CD6"/>
    <w:rsid w:val="00F84314"/>
    <w:rsid w:val="00F846FF"/>
    <w:rsid w:val="00F85454"/>
    <w:rsid w:val="00F85673"/>
    <w:rsid w:val="00F85D16"/>
    <w:rsid w:val="00F85F11"/>
    <w:rsid w:val="00F86D70"/>
    <w:rsid w:val="00F86EB5"/>
    <w:rsid w:val="00F873C8"/>
    <w:rsid w:val="00F877AA"/>
    <w:rsid w:val="00F923B0"/>
    <w:rsid w:val="00F941FE"/>
    <w:rsid w:val="00F9513F"/>
    <w:rsid w:val="00F95B5B"/>
    <w:rsid w:val="00F967E4"/>
    <w:rsid w:val="00FA3093"/>
    <w:rsid w:val="00FA350C"/>
    <w:rsid w:val="00FA3DC5"/>
    <w:rsid w:val="00FA459C"/>
    <w:rsid w:val="00FA4D33"/>
    <w:rsid w:val="00FB0463"/>
    <w:rsid w:val="00FB2185"/>
    <w:rsid w:val="00FB33F4"/>
    <w:rsid w:val="00FB4BEC"/>
    <w:rsid w:val="00FB4C98"/>
    <w:rsid w:val="00FB5007"/>
    <w:rsid w:val="00FB54DB"/>
    <w:rsid w:val="00FB68CB"/>
    <w:rsid w:val="00FC07A9"/>
    <w:rsid w:val="00FC2230"/>
    <w:rsid w:val="00FC3295"/>
    <w:rsid w:val="00FC47AF"/>
    <w:rsid w:val="00FC576D"/>
    <w:rsid w:val="00FC69E8"/>
    <w:rsid w:val="00FC7025"/>
    <w:rsid w:val="00FD0EC9"/>
    <w:rsid w:val="00FD185A"/>
    <w:rsid w:val="00FD4AAF"/>
    <w:rsid w:val="00FD7C8A"/>
    <w:rsid w:val="00FE0823"/>
    <w:rsid w:val="00FE14B1"/>
    <w:rsid w:val="00FE76D2"/>
    <w:rsid w:val="00FF0529"/>
    <w:rsid w:val="00FF0E9E"/>
    <w:rsid w:val="00FF3011"/>
    <w:rsid w:val="00FF4683"/>
    <w:rsid w:val="00FF5073"/>
    <w:rsid w:val="00FF5D15"/>
    <w:rsid w:val="00FF5F60"/>
    <w:rsid w:val="15D252B6"/>
    <w:rsid w:val="2295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240" w:after="240"/>
      <w:jc w:val="left"/>
      <w:outlineLvl w:val="0"/>
    </w:pPr>
    <w:rPr>
      <w:rFonts w:ascii="黑体" w:hAnsi="黑体" w:eastAsia="黑体"/>
      <w:bCs/>
      <w:kern w:val="44"/>
      <w:szCs w:val="44"/>
    </w:rPr>
  </w:style>
  <w:style w:type="paragraph" w:styleId="3">
    <w:name w:val="heading 2"/>
    <w:basedOn w:val="1"/>
    <w:next w:val="1"/>
    <w:link w:val="53"/>
    <w:unhideWhenUsed/>
    <w:qFormat/>
    <w:uiPriority w:val="9"/>
    <w:pPr>
      <w:keepNext/>
      <w:keepLines/>
      <w:spacing w:before="120" w:after="120"/>
      <w:jc w:val="left"/>
      <w:outlineLvl w:val="1"/>
    </w:pPr>
    <w:rPr>
      <w:rFonts w:ascii="黑体" w:hAnsi="黑体" w:eastAsia="黑体" w:cstheme="majorBidi"/>
      <w:bCs/>
      <w:szCs w:val="32"/>
    </w:rPr>
  </w:style>
  <w:style w:type="paragraph" w:styleId="4">
    <w:name w:val="heading 3"/>
    <w:basedOn w:val="1"/>
    <w:next w:val="1"/>
    <w:link w:val="54"/>
    <w:unhideWhenUsed/>
    <w:qFormat/>
    <w:uiPriority w:val="9"/>
    <w:pPr>
      <w:keepNext/>
      <w:keepLines/>
      <w:spacing w:before="120" w:after="120"/>
      <w:jc w:val="left"/>
      <w:outlineLvl w:val="2"/>
    </w:pPr>
    <w:rPr>
      <w:rFonts w:ascii="黑体" w:hAnsi="黑体" w:eastAsia="黑体"/>
      <w:bCs/>
      <w:szCs w:val="32"/>
    </w:rPr>
  </w:style>
  <w:style w:type="paragraph" w:styleId="5">
    <w:name w:val="heading 4"/>
    <w:basedOn w:val="1"/>
    <w:next w:val="1"/>
    <w:link w:val="59"/>
    <w:autoRedefine/>
    <w:unhideWhenUsed/>
    <w:qFormat/>
    <w:uiPriority w:val="9"/>
    <w:pPr>
      <w:keepNext/>
      <w:keepLines/>
      <w:spacing w:before="120" w:after="120"/>
      <w:jc w:val="left"/>
      <w:outlineLvl w:val="3"/>
    </w:pPr>
    <w:rPr>
      <w:rFonts w:ascii="黑体" w:hAnsi="黑体" w:eastAsia="黑体" w:cstheme="majorBidi"/>
      <w:bCs/>
      <w:szCs w:val="28"/>
    </w:rPr>
  </w:style>
  <w:style w:type="character" w:default="1" w:styleId="17">
    <w:name w:val="Default Paragraph Font"/>
    <w:autoRedefine/>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48"/>
    <w:uiPriority w:val="99"/>
    <w:pPr>
      <w:spacing w:line="300" w:lineRule="auto"/>
      <w:ind w:firstLine="425"/>
      <w:jc w:val="left"/>
    </w:pPr>
    <w:rPr>
      <w:rFonts w:ascii="Times New Roman" w:hAnsi="Times New Roman" w:eastAsia="宋体" w:cs="Times New Roman"/>
      <w:kern w:val="0"/>
      <w:szCs w:val="20"/>
    </w:rPr>
  </w:style>
  <w:style w:type="paragraph" w:styleId="7">
    <w:name w:val="Date"/>
    <w:basedOn w:val="1"/>
    <w:next w:val="1"/>
    <w:link w:val="51"/>
    <w:semiHidden/>
    <w:unhideWhenUsed/>
    <w:uiPriority w:val="99"/>
    <w:pPr>
      <w:ind w:left="100" w:leftChars="2500"/>
    </w:pPr>
  </w:style>
  <w:style w:type="paragraph" w:styleId="8">
    <w:name w:val="Balloon Text"/>
    <w:basedOn w:val="1"/>
    <w:link w:val="49"/>
    <w:semiHidden/>
    <w:unhideWhenUsed/>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tabs>
        <w:tab w:val="right" w:leader="dot" w:pos="8297"/>
      </w:tabs>
      <w:spacing w:line="360" w:lineRule="auto"/>
    </w:pPr>
    <w:rPr>
      <w:rFonts w:ascii="Times New Roman" w:hAnsi="Times New Roman" w:eastAsia="宋体" w:cs="Times New Roman"/>
      <w:color w:val="000000" w:themeColor="text1"/>
      <w14:textFill>
        <w14:solidFill>
          <w14:schemeClr w14:val="tx1"/>
        </w14:solidFill>
      </w14:textFill>
    </w:rPr>
  </w:style>
  <w:style w:type="paragraph" w:styleId="12">
    <w:name w:val="toc 2"/>
    <w:basedOn w:val="1"/>
    <w:next w:val="1"/>
    <w:autoRedefine/>
    <w:unhideWhenUsed/>
    <w:uiPriority w:val="39"/>
    <w:pPr>
      <w:tabs>
        <w:tab w:val="right" w:leader="dot" w:pos="8297"/>
      </w:tabs>
    </w:pPr>
  </w:style>
  <w:style w:type="paragraph" w:styleId="1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62"/>
    <w:semiHidden/>
    <w:unhideWhenUsed/>
    <w:uiPriority w:val="99"/>
    <w:pPr>
      <w:spacing w:line="240" w:lineRule="auto"/>
      <w:ind w:firstLine="0"/>
    </w:pPr>
    <w:rPr>
      <w:rFonts w:asciiTheme="minorHAnsi" w:hAnsiTheme="minorHAnsi" w:eastAsiaTheme="minorEastAsia" w:cstheme="minorBidi"/>
      <w:b/>
      <w:bCs/>
      <w:kern w:val="2"/>
      <w:szCs w:val="22"/>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uiPriority w:val="0"/>
    <w:rPr>
      <w:rFonts w:ascii="Times New Roman" w:hAnsi="Times New Roman" w:eastAsia="宋体"/>
      <w:sz w:val="18"/>
    </w:rPr>
  </w:style>
  <w:style w:type="character" w:styleId="19">
    <w:name w:val="Hyperlink"/>
    <w:uiPriority w:val="99"/>
    <w:rPr>
      <w:color w:val="0000FF"/>
      <w:spacing w:val="0"/>
      <w:w w:val="100"/>
      <w:szCs w:val="21"/>
      <w:u w:val="single"/>
    </w:rPr>
  </w:style>
  <w:style w:type="character" w:styleId="20">
    <w:name w:val="annotation reference"/>
    <w:uiPriority w:val="99"/>
    <w:rPr>
      <w:sz w:val="21"/>
    </w:rPr>
  </w:style>
  <w:style w:type="paragraph" w:customStyle="1" w:styleId="21">
    <w:name w:val="段"/>
    <w:link w:val="2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2">
    <w:name w:val="段 Char"/>
    <w:link w:val="21"/>
    <w:uiPriority w:val="0"/>
    <w:rPr>
      <w:rFonts w:ascii="宋体" w:hAnsi="Times New Roman" w:eastAsia="宋体" w:cs="Times New Roman"/>
      <w:kern w:val="0"/>
      <w:szCs w:val="20"/>
    </w:rPr>
  </w:style>
  <w:style w:type="paragraph" w:customStyle="1" w:styleId="23">
    <w:name w:val="1"/>
    <w:basedOn w:val="1"/>
    <w:next w:val="1"/>
    <w:autoRedefine/>
    <w:uiPriority w:val="39"/>
    <w:pPr>
      <w:tabs>
        <w:tab w:val="right" w:leader="dot" w:pos="9241"/>
      </w:tabs>
    </w:pPr>
    <w:rPr>
      <w:rFonts w:ascii="宋体" w:hAnsi="Times New Roman" w:eastAsia="宋体" w:cs="Times New Roman"/>
      <w:szCs w:val="21"/>
    </w:rPr>
  </w:style>
  <w:style w:type="paragraph" w:styleId="24">
    <w:name w:val="List Paragraph"/>
    <w:basedOn w:val="1"/>
    <w:qFormat/>
    <w:uiPriority w:val="34"/>
    <w:pPr>
      <w:ind w:firstLine="420" w:firstLineChars="200"/>
    </w:pPr>
  </w:style>
  <w:style w:type="paragraph" w:customStyle="1" w:styleId="25">
    <w:name w:val="一级条标题"/>
    <w:next w:val="21"/>
    <w:link w:val="50"/>
    <w:uiPriority w:val="99"/>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6">
    <w:name w:val="章标题"/>
    <w:next w:val="21"/>
    <w:qFormat/>
    <w:uiPriority w:val="99"/>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7">
    <w:name w:val="二级条标题"/>
    <w:basedOn w:val="25"/>
    <w:next w:val="21"/>
    <w:qFormat/>
    <w:uiPriority w:val="99"/>
    <w:pPr>
      <w:numPr>
        <w:ilvl w:val="2"/>
      </w:numPr>
      <w:spacing w:before="50" w:after="50"/>
      <w:outlineLvl w:val="3"/>
    </w:pPr>
  </w:style>
  <w:style w:type="paragraph" w:customStyle="1" w:styleId="28">
    <w:name w:val="四级条标题"/>
    <w:basedOn w:val="1"/>
    <w:next w:val="21"/>
    <w:qFormat/>
    <w:uiPriority w:val="99"/>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29">
    <w:name w:val="五级条标题"/>
    <w:basedOn w:val="28"/>
    <w:next w:val="21"/>
    <w:qFormat/>
    <w:uiPriority w:val="99"/>
    <w:pPr>
      <w:numPr>
        <w:ilvl w:val="5"/>
      </w:numPr>
      <w:outlineLvl w:val="6"/>
    </w:pPr>
  </w:style>
  <w:style w:type="character" w:customStyle="1" w:styleId="30">
    <w:name w:val="页眉 字符"/>
    <w:basedOn w:val="17"/>
    <w:link w:val="10"/>
    <w:qFormat/>
    <w:uiPriority w:val="99"/>
    <w:rPr>
      <w:sz w:val="18"/>
      <w:szCs w:val="18"/>
    </w:rPr>
  </w:style>
  <w:style w:type="character" w:customStyle="1" w:styleId="31">
    <w:name w:val="页脚 字符"/>
    <w:basedOn w:val="17"/>
    <w:link w:val="9"/>
    <w:autoRedefine/>
    <w:qFormat/>
    <w:uiPriority w:val="99"/>
    <w:rPr>
      <w:sz w:val="18"/>
      <w:szCs w:val="18"/>
    </w:rPr>
  </w:style>
  <w:style w:type="paragraph" w:customStyle="1" w:styleId="32">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33">
    <w:name w:val="数字编号列项（二级）"/>
    <w:uiPriority w:val="0"/>
    <w:pPr>
      <w:numPr>
        <w:ilvl w:val="1"/>
        <w:numId w:val="2"/>
      </w:numPr>
      <w:jc w:val="both"/>
    </w:pPr>
    <w:rPr>
      <w:rFonts w:ascii="宋体" w:hAnsi="Times New Roman" w:eastAsia="宋体" w:cs="Times New Roman"/>
      <w:kern w:val="0"/>
      <w:sz w:val="21"/>
      <w:szCs w:val="20"/>
      <w:lang w:val="en-US" w:eastAsia="zh-CN" w:bidi="ar-SA"/>
    </w:rPr>
  </w:style>
  <w:style w:type="paragraph" w:customStyle="1" w:styleId="34">
    <w:name w:val="字母编号列项（一级）"/>
    <w:uiPriority w:val="0"/>
    <w:pPr>
      <w:numPr>
        <w:ilvl w:val="0"/>
        <w:numId w:val="2"/>
      </w:numPr>
      <w:jc w:val="both"/>
    </w:pPr>
    <w:rPr>
      <w:rFonts w:ascii="宋体" w:hAnsi="Times New Roman" w:eastAsia="宋体" w:cs="Times New Roman"/>
      <w:kern w:val="0"/>
      <w:sz w:val="21"/>
      <w:szCs w:val="20"/>
      <w:lang w:val="en-US" w:eastAsia="zh-CN" w:bidi="ar-SA"/>
    </w:rPr>
  </w:style>
  <w:style w:type="character" w:customStyle="1" w:styleId="35">
    <w:name w:val="发布"/>
    <w:qFormat/>
    <w:uiPriority w:val="0"/>
    <w:rPr>
      <w:rFonts w:ascii="黑体" w:eastAsia="黑体"/>
      <w:spacing w:val="22"/>
      <w:w w:val="100"/>
      <w:position w:val="3"/>
      <w:sz w:val="28"/>
    </w:rPr>
  </w:style>
  <w:style w:type="paragraph" w:customStyle="1" w:styleId="3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spacing w:val="20"/>
      <w:w w:val="148"/>
      <w:kern w:val="0"/>
      <w:sz w:val="52"/>
      <w:szCs w:val="20"/>
      <w:lang w:val="en-US" w:eastAsia="zh-CN" w:bidi="ar-SA"/>
    </w:rPr>
  </w:style>
  <w:style w:type="paragraph" w:customStyle="1" w:styleId="37">
    <w:name w:val="封面标准名"/>
    <w:next w:val="1"/>
    <w:qFormat/>
    <w:uiPriority w:val="0"/>
    <w:pPr>
      <w:ind w:right="-113"/>
      <w:jc w:val="center"/>
      <w:outlineLvl w:val="0"/>
    </w:pPr>
    <w:rPr>
      <w:rFonts w:ascii="黑体" w:hAnsi="Times New Roman" w:eastAsia="黑体" w:cs="Times New Roman"/>
      <w:kern w:val="0"/>
      <w:sz w:val="52"/>
      <w:szCs w:val="20"/>
      <w:lang w:val="en-US" w:eastAsia="zh-CN" w:bidi="ar-SA"/>
    </w:rPr>
  </w:style>
  <w:style w:type="paragraph" w:customStyle="1" w:styleId="38">
    <w:name w:val="封面标准头"/>
    <w:next w:val="1"/>
    <w:qFormat/>
    <w:uiPriority w:val="0"/>
    <w:pPr>
      <w:ind w:left="113" w:right="-284"/>
      <w:jc w:val="center"/>
    </w:pPr>
    <w:rPr>
      <w:rFonts w:ascii="黑体" w:hAnsi="Times New Roman" w:eastAsia="黑体" w:cs="Times New Roman"/>
      <w:spacing w:val="40"/>
      <w:kern w:val="0"/>
      <w:position w:val="-8"/>
      <w:sz w:val="52"/>
      <w:szCs w:val="20"/>
      <w:lang w:val="en-US" w:eastAsia="zh-CN" w:bidi="ar-SA"/>
    </w:rPr>
  </w:style>
  <w:style w:type="paragraph" w:customStyle="1" w:styleId="39">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40">
    <w:name w:val="封面标准英文名称"/>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41">
    <w:name w:val="标准书眉_奇数页"/>
    <w:next w:val="1"/>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42">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43">
    <w:name w:val="封面标准文稿类别"/>
    <w:autoRedefine/>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44">
    <w:name w:val="实施日期"/>
    <w:basedOn w:val="1"/>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45">
    <w:name w:val="发布部门"/>
    <w:next w:val="21"/>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customStyle="1" w:styleId="46">
    <w:name w:val="发布日期"/>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character" w:customStyle="1" w:styleId="47">
    <w:name w:val="标题 1 字符"/>
    <w:basedOn w:val="17"/>
    <w:link w:val="2"/>
    <w:autoRedefine/>
    <w:qFormat/>
    <w:uiPriority w:val="9"/>
    <w:rPr>
      <w:rFonts w:ascii="黑体" w:hAnsi="黑体" w:eastAsia="黑体"/>
      <w:bCs/>
      <w:kern w:val="44"/>
      <w:szCs w:val="44"/>
    </w:rPr>
  </w:style>
  <w:style w:type="character" w:customStyle="1" w:styleId="48">
    <w:name w:val="批注文字 字符"/>
    <w:basedOn w:val="17"/>
    <w:link w:val="6"/>
    <w:autoRedefine/>
    <w:qFormat/>
    <w:uiPriority w:val="99"/>
    <w:rPr>
      <w:rFonts w:ascii="Times New Roman" w:hAnsi="Times New Roman" w:eastAsia="宋体" w:cs="Times New Roman"/>
      <w:kern w:val="0"/>
      <w:szCs w:val="20"/>
    </w:rPr>
  </w:style>
  <w:style w:type="character" w:customStyle="1" w:styleId="49">
    <w:name w:val="批注框文本 字符"/>
    <w:basedOn w:val="17"/>
    <w:link w:val="8"/>
    <w:semiHidden/>
    <w:uiPriority w:val="99"/>
    <w:rPr>
      <w:sz w:val="18"/>
      <w:szCs w:val="18"/>
    </w:rPr>
  </w:style>
  <w:style w:type="character" w:customStyle="1" w:styleId="50">
    <w:name w:val="一级条标题 Char"/>
    <w:link w:val="25"/>
    <w:locked/>
    <w:uiPriority w:val="99"/>
    <w:rPr>
      <w:rFonts w:ascii="黑体" w:hAnsi="Times New Roman" w:eastAsia="黑体" w:cs="Times New Roman"/>
      <w:kern w:val="0"/>
      <w:szCs w:val="21"/>
    </w:rPr>
  </w:style>
  <w:style w:type="character" w:customStyle="1" w:styleId="51">
    <w:name w:val="日期 字符"/>
    <w:basedOn w:val="17"/>
    <w:link w:val="7"/>
    <w:semiHidden/>
    <w:uiPriority w:val="99"/>
  </w:style>
  <w:style w:type="paragraph" w:customStyle="1" w:styleId="52">
    <w:name w:val="封面标准名称"/>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character" w:customStyle="1" w:styleId="53">
    <w:name w:val="标题 2 字符"/>
    <w:basedOn w:val="17"/>
    <w:link w:val="3"/>
    <w:uiPriority w:val="9"/>
    <w:rPr>
      <w:rFonts w:ascii="黑体" w:hAnsi="黑体" w:eastAsia="黑体" w:cstheme="majorBidi"/>
      <w:bCs/>
      <w:szCs w:val="32"/>
    </w:rPr>
  </w:style>
  <w:style w:type="character" w:customStyle="1" w:styleId="54">
    <w:name w:val="标题 3 字符"/>
    <w:basedOn w:val="17"/>
    <w:link w:val="4"/>
    <w:uiPriority w:val="9"/>
    <w:rPr>
      <w:rFonts w:ascii="黑体" w:hAnsi="黑体" w:eastAsia="黑体"/>
      <w:bCs/>
      <w:szCs w:val="32"/>
    </w:rPr>
  </w:style>
  <w:style w:type="paragraph" w:customStyle="1" w:styleId="55">
    <w:name w:val="P46"/>
    <w:basedOn w:val="42"/>
    <w:uiPriority w:val="0"/>
    <w:pPr>
      <w:kinsoku/>
      <w:overflowPunct/>
      <w:autoSpaceDE/>
      <w:autoSpaceDN/>
      <w:spacing w:before="307" w:line="0" w:lineRule="atLeast"/>
    </w:pPr>
    <w:rPr>
      <w:rFonts w:cs="Calibri"/>
    </w:rPr>
  </w:style>
  <w:style w:type="paragraph" w:customStyle="1" w:styleId="56">
    <w:name w:val="P42"/>
    <w:basedOn w:val="46"/>
    <w:uiPriority w:val="0"/>
    <w:pPr>
      <w:framePr w:w="0" w:hRule="auto" w:hSpace="0" w:vSpace="0" w:wrap="auto" w:hAnchor="text" w:yAlign="inline" w:anchorLock="0"/>
      <w:spacing w:line="359" w:lineRule="exact"/>
      <w:jc w:val="both"/>
    </w:pPr>
    <w:rPr>
      <w:rFonts w:cs="Calibri"/>
    </w:rPr>
  </w:style>
  <w:style w:type="paragraph" w:customStyle="1" w:styleId="57">
    <w:name w:val="P43"/>
    <w:basedOn w:val="46"/>
    <w:uiPriority w:val="0"/>
    <w:pPr>
      <w:framePr w:w="0" w:hRule="auto" w:hSpace="0" w:vSpace="0" w:wrap="auto" w:hAnchor="text" w:yAlign="inline" w:anchorLock="0"/>
      <w:spacing w:line="359" w:lineRule="exact"/>
      <w:jc w:val="both"/>
    </w:pPr>
    <w:rPr>
      <w:rFonts w:ascii="黑体" w:hAnsi="黑体" w:cs="Calibri"/>
      <w:sz w:val="32"/>
    </w:rPr>
  </w:style>
  <w:style w:type="paragraph" w:customStyle="1" w:styleId="58">
    <w:name w:val="P3"/>
    <w:basedOn w:val="1"/>
    <w:uiPriority w:val="0"/>
    <w:rPr>
      <w:rFonts w:ascii="黑体" w:hAnsi="黑体" w:eastAsia="黑体" w:cs="Calibri"/>
      <w:kern w:val="0"/>
      <w:sz w:val="28"/>
      <w:szCs w:val="20"/>
    </w:rPr>
  </w:style>
  <w:style w:type="character" w:customStyle="1" w:styleId="59">
    <w:name w:val="标题 4 字符"/>
    <w:basedOn w:val="17"/>
    <w:link w:val="5"/>
    <w:uiPriority w:val="9"/>
    <w:rPr>
      <w:rFonts w:ascii="黑体" w:hAnsi="黑体" w:eastAsia="黑体" w:cstheme="majorBidi"/>
      <w:bCs/>
      <w:szCs w:val="28"/>
    </w:rPr>
  </w:style>
  <w:style w:type="paragraph" w:customStyle="1" w:styleId="60">
    <w:name w:val="三级条标题"/>
    <w:basedOn w:val="27"/>
    <w:next w:val="21"/>
    <w:qFormat/>
    <w:uiPriority w:val="99"/>
    <w:pPr>
      <w:numPr>
        <w:ilvl w:val="0"/>
        <w:numId w:val="0"/>
      </w:numPr>
      <w:spacing w:before="0" w:beforeLines="0" w:after="0" w:afterLines="0"/>
      <w:jc w:val="both"/>
      <w:outlineLvl w:val="4"/>
    </w:pPr>
  </w:style>
  <w:style w:type="paragraph" w:customStyle="1" w:styleId="61">
    <w:name w:val="一级无"/>
    <w:basedOn w:val="25"/>
    <w:uiPriority w:val="99"/>
    <w:pPr>
      <w:numPr>
        <w:ilvl w:val="0"/>
        <w:numId w:val="0"/>
      </w:numPr>
      <w:spacing w:beforeLines="0" w:afterLines="0"/>
    </w:pPr>
    <w:rPr>
      <w:rFonts w:ascii="宋体" w:eastAsia="宋体" w:cs="宋体"/>
    </w:rPr>
  </w:style>
  <w:style w:type="character" w:customStyle="1" w:styleId="62">
    <w:name w:val="批注主题 字符"/>
    <w:basedOn w:val="48"/>
    <w:link w:val="14"/>
    <w:semiHidden/>
    <w:uiPriority w:val="99"/>
    <w:rPr>
      <w:rFonts w:ascii="Times New Roman" w:hAnsi="Times New Roman" w:eastAsia="宋体" w:cs="Times New Roman"/>
      <w:b/>
      <w:bCs/>
      <w:kern w:val="0"/>
      <w:szCs w:val="20"/>
    </w:rPr>
  </w:style>
  <w:style w:type="paragraph" w:customStyle="1" w:styleId="63">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8D6AD-6E32-4B35-9984-6272B25E1D5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683</Words>
  <Characters>3897</Characters>
  <Lines>32</Lines>
  <Paragraphs>9</Paragraphs>
  <TotalTime>6346</TotalTime>
  <ScaleCrop>false</ScaleCrop>
  <LinksUpToDate>false</LinksUpToDate>
  <CharactersWithSpaces>4571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2022-05-07T03:59:00Z</dcterms:created>
  <dc:creator>wang lake</dc:creator>
  <cp:lastModifiedBy>唐雪瑾</cp:lastModifiedBy>
  <cp:lastPrinted>2019-12-24T07:29:00Z</cp:lastPrinted>
  <dcterms:modified xsi:type="dcterms:W3CDTF">2024-03-23T11:03:13Z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49D6D02479D44B3BB0A2613F7CE4D3F1_12</vt:lpwstr>
  </property>
</Properties>
</file>