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bookmarkStart w:id="26" w:name="_GoBack"/>
      <w:bookmarkEnd w:id="26"/>
      <w:r>
        <w:rPr>
          <w:b/>
          <w:color w:val="000000"/>
          <w:sz w:val="32"/>
        </w:rPr>
        <w:t>《人造革与合成革工业绿色园区 评价通则</w:t>
      </w:r>
      <w:r>
        <w:rPr>
          <w:b/>
          <w:sz w:val="32"/>
        </w:rPr>
        <w:t>》</w:t>
      </w:r>
    </w:p>
    <w:p>
      <w:pPr>
        <w:jc w:val="center"/>
        <w:rPr>
          <w:b/>
          <w:color w:val="000000"/>
          <w:sz w:val="32"/>
        </w:rPr>
      </w:pPr>
      <w:r>
        <w:rPr>
          <w:b/>
          <w:color w:val="000000"/>
          <w:sz w:val="32"/>
        </w:rPr>
        <w:t>团体标准编制说明</w:t>
      </w:r>
    </w:p>
    <w:p/>
    <w:p>
      <w:pPr>
        <w:pStyle w:val="10"/>
        <w:spacing w:line="440" w:lineRule="exact"/>
        <w:ind w:firstLine="0"/>
        <w:outlineLvl w:val="0"/>
        <w:rPr>
          <w:rFonts w:ascii="Times New Roman" w:eastAsia="宋体"/>
          <w:b/>
          <w:kern w:val="0"/>
          <w:sz w:val="24"/>
          <w:szCs w:val="24"/>
        </w:rPr>
      </w:pPr>
      <w:bookmarkStart w:id="0" w:name="_Toc132710489"/>
      <w:r>
        <w:rPr>
          <w:rFonts w:ascii="Times New Roman" w:eastAsia="宋体"/>
          <w:b/>
          <w:kern w:val="0"/>
          <w:sz w:val="24"/>
          <w:szCs w:val="24"/>
        </w:rPr>
        <w:t xml:space="preserve">1 </w:t>
      </w:r>
      <w:r>
        <w:rPr>
          <w:rFonts w:hint="eastAsia" w:ascii="Times New Roman" w:eastAsia="宋体"/>
          <w:b/>
          <w:kern w:val="0"/>
          <w:sz w:val="24"/>
          <w:szCs w:val="24"/>
        </w:rPr>
        <w:t>工作简况</w:t>
      </w:r>
      <w:bookmarkEnd w:id="0"/>
    </w:p>
    <w:p>
      <w:pPr>
        <w:pStyle w:val="3"/>
        <w:spacing w:before="120" w:after="0" w:line="360" w:lineRule="auto"/>
        <w:rPr>
          <w:rFonts w:ascii="Times New Roman" w:hAnsi="Times New Roman"/>
          <w:color w:val="000000"/>
          <w:kern w:val="0"/>
          <w:sz w:val="24"/>
          <w:szCs w:val="24"/>
        </w:rPr>
      </w:pPr>
      <w:bookmarkStart w:id="1" w:name="_Toc132710490"/>
      <w:r>
        <w:rPr>
          <w:rFonts w:ascii="Times New Roman" w:hAnsi="Times New Roman"/>
          <w:color w:val="000000"/>
          <w:kern w:val="0"/>
          <w:sz w:val="24"/>
          <w:szCs w:val="24"/>
        </w:rPr>
        <w:t>1.1任务来源</w:t>
      </w:r>
      <w:bookmarkEnd w:id="1"/>
    </w:p>
    <w:p>
      <w:pPr>
        <w:widowControl/>
        <w:spacing w:line="440" w:lineRule="exact"/>
        <w:ind w:firstLine="480" w:firstLineChars="200"/>
        <w:jc w:val="left"/>
        <w:rPr>
          <w:kern w:val="0"/>
          <w:sz w:val="24"/>
        </w:rPr>
      </w:pPr>
      <w:r>
        <w:rPr>
          <w:rFonts w:hint="eastAsia"/>
          <w:kern w:val="0"/>
          <w:sz w:val="24"/>
        </w:rPr>
        <w:t>根据</w:t>
      </w:r>
      <w:r>
        <w:rPr>
          <w:kern w:val="0"/>
          <w:sz w:val="24"/>
        </w:rPr>
        <w:t>中国轻工业联合会</w:t>
      </w:r>
      <w:r>
        <w:rPr>
          <w:rFonts w:hint="eastAsia"/>
          <w:kern w:val="0"/>
          <w:sz w:val="24"/>
        </w:rPr>
        <w:t>文件《关于下达&lt;绿色设计产品评价技术规范 商用和面机&gt;</w:t>
      </w:r>
      <w:r>
        <w:rPr>
          <w:kern w:val="0"/>
          <w:sz w:val="24"/>
        </w:rPr>
        <w:t>等</w:t>
      </w:r>
      <w:r>
        <w:rPr>
          <w:rFonts w:hint="eastAsia"/>
          <w:kern w:val="0"/>
          <w:sz w:val="24"/>
        </w:rPr>
        <w:t>11</w:t>
      </w:r>
      <w:r>
        <w:rPr>
          <w:kern w:val="0"/>
          <w:sz w:val="24"/>
        </w:rPr>
        <w:t>项中国轻工业联合会团体标准</w:t>
      </w:r>
      <w:r>
        <w:rPr>
          <w:rFonts w:hint="eastAsia"/>
          <w:kern w:val="0"/>
          <w:sz w:val="24"/>
        </w:rPr>
        <w:t>计划的通知》</w:t>
      </w:r>
      <w:r>
        <w:rPr>
          <w:kern w:val="0"/>
          <w:sz w:val="24"/>
        </w:rPr>
        <w:t>（中轻联</w:t>
      </w:r>
      <w:r>
        <w:rPr>
          <w:rFonts w:hint="eastAsia"/>
          <w:kern w:val="0"/>
          <w:sz w:val="24"/>
        </w:rPr>
        <w:t>标准</w:t>
      </w:r>
      <w:r>
        <w:rPr>
          <w:kern w:val="0"/>
          <w:sz w:val="24"/>
        </w:rPr>
        <w:t>[20</w:t>
      </w:r>
      <w:r>
        <w:rPr>
          <w:rFonts w:hint="eastAsia"/>
          <w:kern w:val="0"/>
          <w:sz w:val="24"/>
        </w:rPr>
        <w:t>22</w:t>
      </w:r>
      <w:r>
        <w:rPr>
          <w:kern w:val="0"/>
          <w:sz w:val="24"/>
        </w:rPr>
        <w:t>]</w:t>
      </w:r>
      <w:r>
        <w:rPr>
          <w:rFonts w:hint="eastAsia"/>
          <w:kern w:val="0"/>
          <w:sz w:val="24"/>
        </w:rPr>
        <w:t>139</w:t>
      </w:r>
      <w:r>
        <w:rPr>
          <w:kern w:val="0"/>
          <w:sz w:val="24"/>
        </w:rPr>
        <w:t>号）</w:t>
      </w:r>
      <w:r>
        <w:rPr>
          <w:rFonts w:hint="eastAsia"/>
          <w:kern w:val="0"/>
          <w:sz w:val="24"/>
        </w:rPr>
        <w:t>，本标准项目名称为“聚氨酯超细纤维合成革产品碳足迹核算指南”，制定计划号：2022013</w:t>
      </w:r>
      <w:r>
        <w:rPr>
          <w:kern w:val="0"/>
          <w:sz w:val="24"/>
        </w:rPr>
        <w:t>。</w:t>
      </w:r>
    </w:p>
    <w:p>
      <w:pPr>
        <w:widowControl/>
        <w:spacing w:line="440" w:lineRule="exact"/>
        <w:ind w:firstLine="480" w:firstLineChars="200"/>
        <w:jc w:val="left"/>
        <w:rPr>
          <w:kern w:val="0"/>
          <w:sz w:val="24"/>
        </w:rPr>
      </w:pPr>
      <w:r>
        <w:rPr>
          <w:kern w:val="0"/>
          <w:sz w:val="24"/>
        </w:rPr>
        <w:t>《</w:t>
      </w:r>
      <w:r>
        <w:rPr>
          <w:rFonts w:hint="eastAsia"/>
          <w:kern w:val="0"/>
          <w:sz w:val="24"/>
        </w:rPr>
        <w:t>聚氨酯超细纤维合成革产品碳足迹核算指南</w:t>
      </w:r>
      <w:r>
        <w:rPr>
          <w:kern w:val="0"/>
          <w:sz w:val="24"/>
        </w:rPr>
        <w:t>》由中国轻工业联合会提出并归口，由</w:t>
      </w:r>
      <w:r>
        <w:rPr>
          <w:rFonts w:hint="eastAsia"/>
          <w:kern w:val="0"/>
          <w:sz w:val="24"/>
        </w:rPr>
        <w:t>上海华峰超纤科技股份有限公司、北京市科学技术研究院资源环境研究所</w:t>
      </w:r>
      <w:r>
        <w:rPr>
          <w:kern w:val="0"/>
          <w:sz w:val="24"/>
        </w:rPr>
        <w:t xml:space="preserve">等负责制定。 </w:t>
      </w:r>
    </w:p>
    <w:p>
      <w:pPr>
        <w:pStyle w:val="3"/>
        <w:spacing w:before="120" w:after="0" w:line="360" w:lineRule="auto"/>
        <w:rPr>
          <w:rFonts w:ascii="Times New Roman" w:hAnsi="Times New Roman"/>
          <w:color w:val="000000"/>
          <w:kern w:val="0"/>
          <w:sz w:val="24"/>
          <w:szCs w:val="24"/>
        </w:rPr>
      </w:pPr>
      <w:bookmarkStart w:id="2" w:name="_Toc132710491"/>
      <w:r>
        <w:rPr>
          <w:rFonts w:ascii="Times New Roman" w:hAnsi="Times New Roman"/>
          <w:color w:val="000000"/>
          <w:kern w:val="0"/>
          <w:sz w:val="24"/>
          <w:szCs w:val="24"/>
        </w:rPr>
        <w:t>1.2主要工作过程</w:t>
      </w:r>
      <w:bookmarkEnd w:id="2"/>
    </w:p>
    <w:p>
      <w:pPr>
        <w:spacing w:line="440" w:lineRule="exact"/>
        <w:ind w:firstLine="480" w:firstLineChars="200"/>
        <w:rPr>
          <w:kern w:val="0"/>
          <w:sz w:val="24"/>
        </w:rPr>
      </w:pPr>
      <w:r>
        <w:rPr>
          <w:kern w:val="0"/>
          <w:sz w:val="24"/>
        </w:rPr>
        <w:t>根据中国轻工业联合会文件（</w:t>
      </w:r>
      <w:r>
        <w:rPr>
          <w:rFonts w:hint="eastAsia"/>
          <w:kern w:val="0"/>
          <w:sz w:val="24"/>
        </w:rPr>
        <w:t>中轻联标准[2022]139号</w:t>
      </w:r>
      <w:r>
        <w:rPr>
          <w:kern w:val="0"/>
          <w:sz w:val="24"/>
        </w:rPr>
        <w:t>）要求，成立了由</w:t>
      </w:r>
      <w:r>
        <w:rPr>
          <w:rFonts w:hint="eastAsia"/>
          <w:kern w:val="0"/>
          <w:sz w:val="24"/>
        </w:rPr>
        <w:t>上海华峰超纤科技股份有限公司、北京市科学技术研究院资源环境研究所</w:t>
      </w:r>
      <w:r>
        <w:rPr>
          <w:kern w:val="0"/>
          <w:sz w:val="24"/>
        </w:rPr>
        <w:t>等参加</w:t>
      </w:r>
      <w:r>
        <w:rPr>
          <w:sz w:val="24"/>
        </w:rPr>
        <w:t>的</w:t>
      </w:r>
      <w:r>
        <w:rPr>
          <w:kern w:val="0"/>
          <w:sz w:val="24"/>
        </w:rPr>
        <w:t>《</w:t>
      </w:r>
      <w:r>
        <w:rPr>
          <w:rFonts w:hint="eastAsia"/>
          <w:kern w:val="0"/>
          <w:sz w:val="24"/>
        </w:rPr>
        <w:t>聚氨酯超细纤维合成革产品碳足迹核算指南</w:t>
      </w:r>
      <w:r>
        <w:rPr>
          <w:kern w:val="0"/>
          <w:sz w:val="24"/>
        </w:rPr>
        <w:t>》团体标准制定工作组，由</w:t>
      </w:r>
      <w:r>
        <w:rPr>
          <w:rFonts w:hint="eastAsia"/>
          <w:kern w:val="0"/>
          <w:sz w:val="24"/>
        </w:rPr>
        <w:t>上海华峰超纤科技股份有限公司</w:t>
      </w:r>
      <w:r>
        <w:rPr>
          <w:kern w:val="0"/>
          <w:sz w:val="24"/>
        </w:rPr>
        <w:t>协调工作组职责分工，</w:t>
      </w:r>
      <w:r>
        <w:rPr>
          <w:rFonts w:hint="eastAsia"/>
          <w:kern w:val="0"/>
          <w:sz w:val="24"/>
        </w:rPr>
        <w:t>北京市科学技术研究院资源环境研究所</w:t>
      </w:r>
      <w:r>
        <w:rPr>
          <w:kern w:val="0"/>
          <w:sz w:val="24"/>
        </w:rPr>
        <w:t>承担主要编制工作。具体编制过程如下：</w:t>
      </w:r>
    </w:p>
    <w:p>
      <w:pPr>
        <w:spacing w:line="440" w:lineRule="exact"/>
        <w:ind w:firstLine="480" w:firstLineChars="200"/>
        <w:rPr>
          <w:kern w:val="0"/>
          <w:sz w:val="24"/>
        </w:rPr>
      </w:pPr>
      <w:r>
        <w:rPr>
          <w:rFonts w:hint="eastAsia"/>
          <w:kern w:val="0"/>
          <w:sz w:val="24"/>
        </w:rPr>
        <w:t>（1）起草阶段</w:t>
      </w:r>
    </w:p>
    <w:p>
      <w:pPr>
        <w:spacing w:line="440" w:lineRule="exact"/>
        <w:ind w:firstLine="480" w:firstLineChars="200"/>
        <w:rPr>
          <w:kern w:val="0"/>
          <w:sz w:val="24"/>
        </w:rPr>
      </w:pPr>
      <w:r>
        <w:rPr>
          <w:kern w:val="0"/>
          <w:sz w:val="24"/>
        </w:rPr>
        <w:t>20</w:t>
      </w:r>
      <w:r>
        <w:rPr>
          <w:rFonts w:hint="eastAsia"/>
          <w:kern w:val="0"/>
          <w:sz w:val="24"/>
        </w:rPr>
        <w:t>22年6</w:t>
      </w:r>
      <w:r>
        <w:rPr>
          <w:kern w:val="0"/>
          <w:sz w:val="24"/>
        </w:rPr>
        <w:t>月，</w:t>
      </w:r>
      <w:r>
        <w:rPr>
          <w:rFonts w:hint="eastAsia"/>
          <w:kern w:val="0"/>
          <w:sz w:val="24"/>
        </w:rPr>
        <w:t>成立标准制定工作组</w:t>
      </w:r>
      <w:r>
        <w:rPr>
          <w:kern w:val="0"/>
          <w:sz w:val="24"/>
        </w:rPr>
        <w:t>；</w:t>
      </w:r>
    </w:p>
    <w:p>
      <w:pPr>
        <w:spacing w:line="440" w:lineRule="exact"/>
        <w:ind w:firstLine="480" w:firstLineChars="200"/>
        <w:rPr>
          <w:kern w:val="0"/>
          <w:sz w:val="24"/>
        </w:rPr>
      </w:pPr>
      <w:r>
        <w:rPr>
          <w:kern w:val="0"/>
          <w:sz w:val="24"/>
        </w:rPr>
        <w:t>20</w:t>
      </w:r>
      <w:r>
        <w:rPr>
          <w:rFonts w:hint="eastAsia"/>
          <w:kern w:val="0"/>
          <w:sz w:val="24"/>
        </w:rPr>
        <w:t>22</w:t>
      </w:r>
      <w:r>
        <w:rPr>
          <w:kern w:val="0"/>
          <w:sz w:val="24"/>
        </w:rPr>
        <w:t>年</w:t>
      </w:r>
      <w:r>
        <w:rPr>
          <w:rFonts w:hint="eastAsia"/>
          <w:kern w:val="0"/>
          <w:sz w:val="24"/>
        </w:rPr>
        <w:t>7-8</w:t>
      </w:r>
      <w:r>
        <w:rPr>
          <w:kern w:val="0"/>
          <w:sz w:val="24"/>
        </w:rPr>
        <w:t>月，通过文献、资料调研，</w:t>
      </w:r>
      <w:r>
        <w:rPr>
          <w:rFonts w:hint="eastAsia"/>
          <w:kern w:val="0"/>
          <w:sz w:val="24"/>
        </w:rPr>
        <w:t>工作组查阅了国内外相关标准，</w:t>
      </w:r>
      <w:r>
        <w:rPr>
          <w:kern w:val="0"/>
          <w:sz w:val="24"/>
        </w:rPr>
        <w:t>完成前期准备工作；</w:t>
      </w:r>
    </w:p>
    <w:p>
      <w:pPr>
        <w:spacing w:line="440" w:lineRule="exact"/>
        <w:ind w:firstLine="480" w:firstLineChars="200"/>
        <w:rPr>
          <w:rFonts w:hint="eastAsia"/>
          <w:kern w:val="0"/>
          <w:sz w:val="24"/>
        </w:rPr>
      </w:pPr>
      <w:r>
        <w:rPr>
          <w:kern w:val="0"/>
          <w:sz w:val="24"/>
        </w:rPr>
        <w:t>20</w:t>
      </w:r>
      <w:r>
        <w:rPr>
          <w:rFonts w:hint="eastAsia"/>
          <w:kern w:val="0"/>
          <w:sz w:val="24"/>
        </w:rPr>
        <w:t>22</w:t>
      </w:r>
      <w:r>
        <w:rPr>
          <w:kern w:val="0"/>
          <w:sz w:val="24"/>
        </w:rPr>
        <w:t>年</w:t>
      </w:r>
      <w:r>
        <w:rPr>
          <w:rFonts w:hint="eastAsia"/>
          <w:kern w:val="0"/>
          <w:sz w:val="24"/>
        </w:rPr>
        <w:t>9-10</w:t>
      </w:r>
      <w:r>
        <w:rPr>
          <w:kern w:val="0"/>
          <w:sz w:val="24"/>
        </w:rPr>
        <w:t>月，</w:t>
      </w:r>
      <w:r>
        <w:rPr>
          <w:rFonts w:hint="eastAsia"/>
          <w:kern w:val="0"/>
          <w:sz w:val="24"/>
        </w:rPr>
        <w:t>研究分析聚氨酯超细纤维合成革产品碳排放情况，草拟了</w:t>
      </w:r>
      <w:r>
        <w:rPr>
          <w:kern w:val="0"/>
          <w:sz w:val="24"/>
        </w:rPr>
        <w:t>《</w:t>
      </w:r>
      <w:r>
        <w:rPr>
          <w:rFonts w:hint="eastAsia"/>
          <w:kern w:val="0"/>
          <w:sz w:val="24"/>
        </w:rPr>
        <w:t>聚氨酯超细纤维合成革产品碳足迹核算指南</w:t>
      </w:r>
      <w:r>
        <w:rPr>
          <w:kern w:val="0"/>
          <w:sz w:val="24"/>
        </w:rPr>
        <w:t>》</w:t>
      </w:r>
      <w:r>
        <w:rPr>
          <w:rFonts w:hint="eastAsia"/>
          <w:kern w:val="0"/>
          <w:sz w:val="24"/>
        </w:rPr>
        <w:t>（工作组讨论稿）</w:t>
      </w:r>
      <w:r>
        <w:rPr>
          <w:kern w:val="0"/>
          <w:sz w:val="24"/>
        </w:rPr>
        <w:t>；</w:t>
      </w:r>
    </w:p>
    <w:p>
      <w:pPr>
        <w:spacing w:line="440" w:lineRule="exact"/>
        <w:ind w:firstLine="480" w:firstLineChars="200"/>
        <w:rPr>
          <w:rFonts w:hint="eastAsia"/>
          <w:kern w:val="0"/>
          <w:sz w:val="24"/>
        </w:rPr>
      </w:pPr>
      <w:r>
        <w:rPr>
          <w:rFonts w:hint="eastAsia"/>
          <w:kern w:val="0"/>
          <w:sz w:val="24"/>
        </w:rPr>
        <w:t>2023年6月6日，标准工作组在江苏苏州召开了标准制定讨论会，与会代表对标准工作组讨论稿进行了深入讨论，提出多项修改意见和建议；</w:t>
      </w:r>
    </w:p>
    <w:p>
      <w:pPr>
        <w:spacing w:line="440" w:lineRule="exact"/>
        <w:ind w:firstLine="480" w:firstLineChars="200"/>
        <w:rPr>
          <w:kern w:val="0"/>
          <w:sz w:val="24"/>
        </w:rPr>
      </w:pPr>
    </w:p>
    <w:p>
      <w:pPr>
        <w:spacing w:line="440" w:lineRule="exact"/>
        <w:ind w:firstLine="480" w:firstLineChars="200"/>
        <w:rPr>
          <w:kern w:val="0"/>
          <w:sz w:val="24"/>
        </w:rPr>
      </w:pPr>
      <w:r>
        <w:rPr>
          <w:rFonts w:hint="eastAsia"/>
          <w:kern w:val="0"/>
          <w:sz w:val="24"/>
        </w:rPr>
        <w:t>（2）征求意见阶段</w:t>
      </w:r>
    </w:p>
    <w:p>
      <w:pPr>
        <w:spacing w:line="440" w:lineRule="exact"/>
        <w:ind w:firstLine="480" w:firstLineChars="200"/>
        <w:rPr>
          <w:kern w:val="0"/>
          <w:sz w:val="24"/>
        </w:rPr>
      </w:pPr>
    </w:p>
    <w:p>
      <w:pPr>
        <w:spacing w:line="440" w:lineRule="exact"/>
        <w:ind w:firstLine="480" w:firstLineChars="200"/>
        <w:rPr>
          <w:kern w:val="0"/>
          <w:sz w:val="24"/>
        </w:rPr>
      </w:pPr>
      <w:r>
        <w:rPr>
          <w:rFonts w:hint="eastAsia"/>
          <w:kern w:val="0"/>
          <w:sz w:val="24"/>
        </w:rPr>
        <w:t>（3）审查阶段</w:t>
      </w:r>
    </w:p>
    <w:p>
      <w:pPr>
        <w:spacing w:line="440" w:lineRule="exact"/>
        <w:ind w:firstLine="480" w:firstLineChars="200"/>
        <w:rPr>
          <w:kern w:val="0"/>
          <w:sz w:val="24"/>
        </w:rPr>
      </w:pPr>
    </w:p>
    <w:p>
      <w:pPr>
        <w:spacing w:line="440" w:lineRule="exact"/>
        <w:ind w:firstLine="480" w:firstLineChars="200"/>
        <w:rPr>
          <w:kern w:val="0"/>
          <w:sz w:val="24"/>
        </w:rPr>
      </w:pPr>
      <w:r>
        <w:rPr>
          <w:rFonts w:hint="eastAsia"/>
          <w:kern w:val="0"/>
          <w:sz w:val="24"/>
        </w:rPr>
        <w:t>（4）报批阶段</w:t>
      </w:r>
    </w:p>
    <w:p>
      <w:pPr>
        <w:spacing w:line="440" w:lineRule="exact"/>
        <w:ind w:firstLine="480" w:firstLineChars="200"/>
        <w:rPr>
          <w:kern w:val="0"/>
          <w:sz w:val="24"/>
        </w:rPr>
      </w:pPr>
    </w:p>
    <w:p>
      <w:pPr>
        <w:pStyle w:val="3"/>
        <w:spacing w:before="120" w:after="0" w:line="360" w:lineRule="auto"/>
        <w:rPr>
          <w:rFonts w:ascii="Times New Roman" w:hAnsi="Times New Roman"/>
          <w:color w:val="000000"/>
          <w:kern w:val="0"/>
          <w:sz w:val="24"/>
          <w:szCs w:val="24"/>
        </w:rPr>
      </w:pPr>
      <w:bookmarkStart w:id="3" w:name="_Toc132710492"/>
      <w:r>
        <w:rPr>
          <w:rFonts w:ascii="Times New Roman" w:hAnsi="Times New Roman"/>
          <w:color w:val="000000"/>
          <w:kern w:val="0"/>
          <w:sz w:val="24"/>
          <w:szCs w:val="24"/>
        </w:rPr>
        <w:t>1.</w:t>
      </w:r>
      <w:r>
        <w:rPr>
          <w:rFonts w:hint="eastAsia" w:ascii="Times New Roman" w:hAnsi="Times New Roman"/>
          <w:color w:val="000000"/>
          <w:kern w:val="0"/>
          <w:sz w:val="24"/>
          <w:szCs w:val="24"/>
        </w:rPr>
        <w:t>3主要参加单位和工作组成员及其所做的工作等</w:t>
      </w:r>
      <w:bookmarkEnd w:id="3"/>
    </w:p>
    <w:p>
      <w:pPr>
        <w:spacing w:line="440" w:lineRule="exact"/>
        <w:ind w:firstLine="480" w:firstLineChars="200"/>
        <w:rPr>
          <w:kern w:val="0"/>
          <w:sz w:val="24"/>
        </w:rPr>
      </w:pPr>
    </w:p>
    <w:p>
      <w:pPr>
        <w:spacing w:line="440" w:lineRule="exact"/>
        <w:ind w:firstLine="480" w:firstLineChars="200"/>
        <w:rPr>
          <w:kern w:val="0"/>
          <w:sz w:val="24"/>
        </w:rPr>
      </w:pPr>
    </w:p>
    <w:p>
      <w:pPr>
        <w:pStyle w:val="10"/>
        <w:spacing w:line="440" w:lineRule="exact"/>
        <w:ind w:firstLine="0"/>
        <w:outlineLvl w:val="0"/>
        <w:rPr>
          <w:rFonts w:ascii="Times New Roman" w:eastAsia="宋体"/>
          <w:b/>
          <w:kern w:val="0"/>
          <w:sz w:val="24"/>
          <w:szCs w:val="24"/>
        </w:rPr>
      </w:pPr>
      <w:bookmarkStart w:id="4" w:name="_Toc132710493"/>
      <w:r>
        <w:rPr>
          <w:rFonts w:ascii="Times New Roman" w:eastAsia="宋体"/>
          <w:b/>
          <w:kern w:val="0"/>
          <w:sz w:val="24"/>
          <w:szCs w:val="24"/>
        </w:rPr>
        <w:t>2</w:t>
      </w:r>
      <w:r>
        <w:rPr>
          <w:rFonts w:hint="eastAsia" w:ascii="Times New Roman" w:eastAsia="宋体"/>
          <w:b/>
          <w:kern w:val="0"/>
          <w:sz w:val="24"/>
          <w:szCs w:val="24"/>
        </w:rPr>
        <w:t xml:space="preserve"> 标准编制原则、确定标准主要内容的依据</w:t>
      </w:r>
      <w:bookmarkEnd w:id="4"/>
    </w:p>
    <w:p>
      <w:pPr>
        <w:autoSpaceDE w:val="0"/>
        <w:autoSpaceDN w:val="0"/>
        <w:adjustRightInd w:val="0"/>
        <w:spacing w:line="440" w:lineRule="exact"/>
        <w:ind w:firstLine="480" w:firstLineChars="200"/>
        <w:jc w:val="left"/>
        <w:rPr>
          <w:kern w:val="0"/>
          <w:sz w:val="24"/>
        </w:rPr>
      </w:pPr>
      <w:r>
        <w:rPr>
          <w:rFonts w:hint="eastAsia"/>
          <w:kern w:val="0"/>
          <w:sz w:val="24"/>
        </w:rPr>
        <w:t>（1）本标准将依据GB/T 24040—2008环境管理生命周期评价原则与框架、GB/T 24044—2008环境管理生命周期评价要求与指南、GB/T 32150—2015工业企业温室气体排放核算和报告通则进行编制，本标准的制定工作遵循“统一性、协调性、适用性、一致性、规范性”的原则，按照GB/T 1.1—2020《标准化工作导则第1 部分：标准化文件的结构和起草规则》给出的规则编写。</w:t>
      </w:r>
    </w:p>
    <w:p>
      <w:pPr>
        <w:autoSpaceDE w:val="0"/>
        <w:autoSpaceDN w:val="0"/>
        <w:adjustRightInd w:val="0"/>
        <w:spacing w:after="156" w:afterLines="50" w:line="440" w:lineRule="exact"/>
        <w:ind w:firstLine="480" w:firstLineChars="200"/>
        <w:jc w:val="left"/>
        <w:rPr>
          <w:kern w:val="0"/>
          <w:sz w:val="24"/>
        </w:rPr>
      </w:pPr>
      <w:r>
        <w:rPr>
          <w:rFonts w:hint="eastAsia"/>
          <w:kern w:val="0"/>
          <w:sz w:val="24"/>
        </w:rPr>
        <w:t>（2）本标准积极配合《国家标准化发展纲要》行动计划以及我国将建立健全碳达峰碳中和标准计量体系的政策方针，结合聚氨酯超细纤维合成革产品制造具体情况，制定聚氨酯超细纤维合成革产品的碳足迹核算的目标、核算范围、功能单位、系统边界、数据收集与处理、核算、报告等内容。</w:t>
      </w:r>
    </w:p>
    <w:p>
      <w:pPr>
        <w:pStyle w:val="10"/>
        <w:spacing w:line="440" w:lineRule="exact"/>
        <w:ind w:firstLine="0"/>
        <w:outlineLvl w:val="0"/>
        <w:rPr>
          <w:rFonts w:ascii="Times New Roman" w:eastAsia="宋体"/>
          <w:b/>
          <w:kern w:val="0"/>
          <w:sz w:val="24"/>
          <w:szCs w:val="24"/>
        </w:rPr>
      </w:pPr>
      <w:bookmarkStart w:id="5" w:name="_Toc132710494"/>
      <w:r>
        <w:rPr>
          <w:rFonts w:ascii="Times New Roman" w:eastAsia="宋体"/>
          <w:b/>
          <w:kern w:val="0"/>
          <w:sz w:val="24"/>
          <w:szCs w:val="24"/>
        </w:rPr>
        <w:t xml:space="preserve">3 </w:t>
      </w:r>
      <w:r>
        <w:rPr>
          <w:rFonts w:hint="eastAsia" w:ascii="Times New Roman" w:eastAsia="宋体"/>
          <w:b/>
          <w:kern w:val="0"/>
          <w:sz w:val="24"/>
          <w:szCs w:val="24"/>
        </w:rPr>
        <w:t>国内外相关标准研究</w:t>
      </w:r>
      <w:bookmarkEnd w:id="5"/>
    </w:p>
    <w:p>
      <w:pPr>
        <w:autoSpaceDE w:val="0"/>
        <w:autoSpaceDN w:val="0"/>
        <w:adjustRightInd w:val="0"/>
        <w:spacing w:line="440" w:lineRule="exact"/>
        <w:ind w:firstLine="480" w:firstLineChars="200"/>
        <w:jc w:val="left"/>
        <w:rPr>
          <w:kern w:val="0"/>
          <w:sz w:val="24"/>
        </w:rPr>
      </w:pPr>
      <w:bookmarkStart w:id="6" w:name="OLE_LINK1"/>
      <w:r>
        <w:rPr>
          <w:rFonts w:hint="eastAsia"/>
          <w:kern w:val="0"/>
          <w:sz w:val="24"/>
        </w:rPr>
        <w:t>国外关于碳足迹的标准制定相对成熟，许多国家或组织均开发并出台了针对不同系统层级的碳足迹核算标准，所以目前碳足迹标准种类较多。在产品层级，主要的国际标准有三个：《PAS2050:2011产品与服务生命周期温室气体排放的评价规范》(BSI.,2011)、《产品生命周期核算与报告标准》(GHGP rotocol)(WRI,WBCSD,2011)以及《ISO14067产品碳足迹量化与交流的要求与指导技术规范》(ISO,2018)。具体涉及的行业主要有：塑料（ISO22526-2:2020、ISO22526-3:2020、ISO/DIS 22526-4）、海鲜食品（ISO 22948：2020）、皮革（DINEN16887\NF G52-026*NF EN 16887:2017）和图像技术（ISO 20294:2018、ISO 16759:2013）等多个行业。</w:t>
      </w:r>
    </w:p>
    <w:p>
      <w:pPr>
        <w:autoSpaceDE w:val="0"/>
        <w:autoSpaceDN w:val="0"/>
        <w:adjustRightInd w:val="0"/>
        <w:spacing w:after="156" w:afterLines="50" w:line="440" w:lineRule="exact"/>
        <w:ind w:firstLine="480" w:firstLineChars="200"/>
        <w:jc w:val="left"/>
        <w:rPr>
          <w:kern w:val="0"/>
          <w:sz w:val="24"/>
        </w:rPr>
      </w:pPr>
      <w:r>
        <w:rPr>
          <w:rFonts w:hint="eastAsia"/>
          <w:kern w:val="0"/>
          <w:sz w:val="24"/>
        </w:rPr>
        <w:t>我国现有关于评价产品碳足迹的标准方法中，主要是针对电子信息产品、电子电气产品、通信产品、新能源汽车、家用电器、服装、纺织品、塑料等，其中包括国家标准：《塑料 生物基塑料的碳足迹和环境足迹 第1部分：通则》（GB/T 41638.1—2022）；行业标准：《产品碳足迹 产品种类规则 液晶电视机》（SJ/T 11718—2018）、《产品碳足迹 产品种类规则 液晶显示器》（SJ/T 11717—2018）、《通信产品碳足迹评估技术要求第1部分：移动通信手持机》（YD/T 3048.1.1—2016）、《通信产品碳足迹评估技术要求第2部分：以太网交换机》（YD/T 3048.2.2—2016）；地方标准：《产品碳足迹核算通则》（DB31/T 1071—2017）、《电子信息产品碳足迹核算指南》（DB11/T1860—2021）、《电子电气产品评价技术规范第1 部分：移动用户终端》（DB44/T 1449.1—2014）、《家用电器碳足迹评价导则》（DB44/T 1503—2014）、《产品碳足迹评价技术规范 服装》（DB4403/T 281—2022）、《产品碳足迹评价技术规范 微型计算机》（DB4403/T 282—2022）、《产品碳足迹评价技术规范 家用纺织品》（DB4403/T 283—2022）、《产品碳足迹评价技术规范 乳制品》（DB4403/T 284—2022）、《产品碳足迹评价技术规范 手机》（DB4403/T 285—2022）、《产品碳足迹评价技术规范 印刷品》（DB4403/T 286—2022）；团体标准：《新能源汽车使用碳足迹评价通则》（T/XJBXT/XJBX00X—2022）、《锂离子电池产品碳足迹评价导则》（T/DZJN 77—2022）、《铅蓄电池产品碳足迹评价导则》（T/DZJN90—2022）。</w:t>
      </w:r>
    </w:p>
    <w:bookmarkEnd w:id="6"/>
    <w:p>
      <w:pPr>
        <w:pStyle w:val="10"/>
        <w:spacing w:line="440" w:lineRule="exact"/>
        <w:ind w:firstLine="0"/>
        <w:outlineLvl w:val="0"/>
        <w:rPr>
          <w:rFonts w:ascii="Times New Roman"/>
          <w:b/>
          <w:kern w:val="0"/>
          <w:sz w:val="24"/>
          <w:szCs w:val="24"/>
        </w:rPr>
      </w:pPr>
      <w:bookmarkStart w:id="7" w:name="_Toc132710495"/>
      <w:r>
        <w:rPr>
          <w:rFonts w:hint="eastAsia" w:ascii="Times New Roman" w:eastAsia="宋体"/>
          <w:b/>
          <w:kern w:val="0"/>
          <w:sz w:val="24"/>
          <w:szCs w:val="24"/>
        </w:rPr>
        <w:t>4</w:t>
      </w:r>
      <w:r>
        <w:rPr>
          <w:rFonts w:ascii="Times New Roman" w:eastAsia="宋体"/>
          <w:b/>
          <w:kern w:val="0"/>
          <w:sz w:val="24"/>
          <w:szCs w:val="24"/>
        </w:rPr>
        <w:t xml:space="preserve"> 标准的主要内容及说明</w:t>
      </w:r>
      <w:bookmarkEnd w:id="7"/>
    </w:p>
    <w:p>
      <w:pPr>
        <w:pStyle w:val="3"/>
        <w:spacing w:before="120" w:after="0" w:line="360" w:lineRule="auto"/>
        <w:rPr>
          <w:rFonts w:ascii="Times New Roman" w:hAnsi="Times New Roman"/>
          <w:color w:val="000000"/>
          <w:kern w:val="0"/>
          <w:sz w:val="24"/>
          <w:szCs w:val="24"/>
        </w:rPr>
      </w:pPr>
      <w:bookmarkStart w:id="8" w:name="_Toc132710496"/>
      <w:r>
        <w:rPr>
          <w:rFonts w:hint="eastAsia" w:ascii="Times New Roman" w:hAnsi="Times New Roman"/>
          <w:color w:val="000000"/>
          <w:kern w:val="0"/>
          <w:sz w:val="24"/>
          <w:szCs w:val="24"/>
        </w:rPr>
        <w:t>4.1标准适用范围</w:t>
      </w:r>
      <w:bookmarkEnd w:id="8"/>
    </w:p>
    <w:p>
      <w:pPr>
        <w:spacing w:line="440" w:lineRule="exact"/>
        <w:ind w:firstLine="480"/>
        <w:rPr>
          <w:color w:val="000000"/>
          <w:sz w:val="24"/>
        </w:rPr>
      </w:pPr>
      <w:r>
        <w:rPr>
          <w:rFonts w:hint="eastAsia"/>
          <w:color w:val="000000"/>
          <w:sz w:val="24"/>
        </w:rPr>
        <w:t>本标准规定了聚氨酯超细纤维合成革产品碳足迹核算的目标、核算范围、功能单位、系统边界、数据收集与处理、核算、报告等内容，可指导聚氨酯超细纤维合成革产品碳足迹核算活动。</w:t>
      </w:r>
    </w:p>
    <w:p>
      <w:pPr>
        <w:pStyle w:val="3"/>
        <w:spacing w:before="120" w:after="0" w:line="360" w:lineRule="auto"/>
        <w:rPr>
          <w:rFonts w:ascii="Times New Roman" w:hAnsi="Times New Roman"/>
          <w:color w:val="000000"/>
          <w:kern w:val="0"/>
          <w:sz w:val="24"/>
          <w:szCs w:val="24"/>
        </w:rPr>
      </w:pPr>
      <w:bookmarkStart w:id="9" w:name="_Toc132710497"/>
      <w:r>
        <w:rPr>
          <w:rFonts w:hint="eastAsia" w:ascii="Times New Roman" w:hAnsi="Times New Roman"/>
          <w:color w:val="000000"/>
          <w:kern w:val="0"/>
          <w:sz w:val="24"/>
          <w:szCs w:val="24"/>
        </w:rPr>
        <w:t>4.2 规范性引用文件</w:t>
      </w:r>
      <w:bookmarkEnd w:id="9"/>
    </w:p>
    <w:p>
      <w:pPr>
        <w:spacing w:line="440" w:lineRule="exact"/>
        <w:ind w:firstLine="480"/>
        <w:rPr>
          <w:color w:val="000000"/>
          <w:sz w:val="24"/>
        </w:rPr>
      </w:pPr>
      <w:r>
        <w:rPr>
          <w:rFonts w:hint="eastAsia"/>
          <w:color w:val="000000"/>
          <w:sz w:val="24"/>
        </w:rPr>
        <w:t>根据标准技术内容的需要，本标准引用了部分现行的相关国家标准作为本标准的延伸技术规定，引用文件的管理规定和技术要求视为本标准的一部分。</w:t>
      </w:r>
    </w:p>
    <w:p>
      <w:pPr>
        <w:pStyle w:val="3"/>
        <w:spacing w:before="120" w:after="0" w:line="360" w:lineRule="auto"/>
        <w:rPr>
          <w:rFonts w:ascii="Times New Roman" w:hAnsi="Times New Roman"/>
          <w:color w:val="000000"/>
          <w:kern w:val="0"/>
          <w:sz w:val="24"/>
          <w:szCs w:val="24"/>
        </w:rPr>
      </w:pPr>
      <w:bookmarkStart w:id="10" w:name="_Toc132710498"/>
      <w:r>
        <w:rPr>
          <w:rFonts w:hint="eastAsia" w:ascii="Times New Roman" w:hAnsi="Times New Roman"/>
          <w:color w:val="000000"/>
          <w:kern w:val="0"/>
          <w:sz w:val="24"/>
          <w:szCs w:val="24"/>
        </w:rPr>
        <w:t>4.3 术语和定义</w:t>
      </w:r>
      <w:bookmarkEnd w:id="10"/>
    </w:p>
    <w:p>
      <w:pPr>
        <w:spacing w:line="440" w:lineRule="exact"/>
        <w:ind w:firstLine="480"/>
        <w:rPr>
          <w:color w:val="000000"/>
          <w:sz w:val="24"/>
        </w:rPr>
      </w:pPr>
      <w:r>
        <w:rPr>
          <w:rFonts w:hint="eastAsia"/>
          <w:color w:val="000000"/>
          <w:sz w:val="24"/>
        </w:rPr>
        <w:t>GB/T 24040、GB/T 24044、GB/T 32150界定的以及下列术语和定义适用于本标准。同时，针对聚氨酯超细纤维合成革行业，界定了合成革、超细纤维合成革两个行业术语，针对产品碳足迹核算方法，界定了产品碳足迹、功能单位、单元过程三个术语定义，以便在使用本标准方法的时候更好的理解相关内容。</w:t>
      </w:r>
    </w:p>
    <w:p>
      <w:pPr>
        <w:pStyle w:val="3"/>
        <w:spacing w:before="120" w:after="0" w:line="360" w:lineRule="auto"/>
        <w:rPr>
          <w:rFonts w:ascii="Times New Roman" w:hAnsi="Times New Roman"/>
          <w:color w:val="000000"/>
          <w:kern w:val="0"/>
          <w:sz w:val="24"/>
          <w:szCs w:val="24"/>
        </w:rPr>
      </w:pPr>
      <w:bookmarkStart w:id="11" w:name="_Toc132710499"/>
      <w:r>
        <w:rPr>
          <w:rFonts w:hint="eastAsia" w:ascii="Times New Roman" w:hAnsi="Times New Roman"/>
          <w:color w:val="000000"/>
          <w:kern w:val="0"/>
          <w:sz w:val="24"/>
          <w:szCs w:val="24"/>
        </w:rPr>
        <w:t>4.4 核算范围</w:t>
      </w:r>
      <w:bookmarkEnd w:id="11"/>
    </w:p>
    <w:p>
      <w:pPr>
        <w:spacing w:line="440" w:lineRule="exact"/>
        <w:ind w:firstLine="480"/>
        <w:rPr>
          <w:color w:val="000000"/>
          <w:sz w:val="24"/>
        </w:rPr>
      </w:pPr>
      <w:r>
        <w:rPr>
          <w:rFonts w:hint="eastAsia"/>
          <w:color w:val="000000"/>
          <w:sz w:val="24"/>
        </w:rPr>
        <w:t>规定确定产品碳足迹核算范围的产品（系统）范围、时间范围以及温室气体范围。其中，产品（系统）范围要明确产品名称、型号、功能、功能单位和系统边界，时间范围要选择核算碳足迹有代表性的时间段，温室气体包括二氧化碳（CO</w:t>
      </w:r>
      <w:r>
        <w:rPr>
          <w:rFonts w:hint="eastAsia"/>
          <w:color w:val="000000"/>
          <w:sz w:val="24"/>
          <w:vertAlign w:val="subscript"/>
        </w:rPr>
        <w:t>2</w:t>
      </w:r>
      <w:r>
        <w:rPr>
          <w:rFonts w:hint="eastAsia"/>
          <w:color w:val="000000"/>
          <w:sz w:val="24"/>
        </w:rPr>
        <w:t>）、甲烷（CH</w:t>
      </w:r>
      <w:r>
        <w:rPr>
          <w:rFonts w:hint="eastAsia"/>
          <w:color w:val="000000"/>
          <w:sz w:val="24"/>
          <w:vertAlign w:val="subscript"/>
        </w:rPr>
        <w:t>4</w:t>
      </w:r>
      <w:r>
        <w:rPr>
          <w:rFonts w:hint="eastAsia"/>
          <w:color w:val="000000"/>
          <w:sz w:val="24"/>
        </w:rPr>
        <w:t>）、氧化亚氮（N</w:t>
      </w:r>
      <w:r>
        <w:rPr>
          <w:rFonts w:hint="eastAsia"/>
          <w:color w:val="000000"/>
          <w:sz w:val="24"/>
          <w:vertAlign w:val="subscript"/>
        </w:rPr>
        <w:t>2</w:t>
      </w:r>
      <w:r>
        <w:rPr>
          <w:rFonts w:hint="eastAsia"/>
          <w:color w:val="000000"/>
          <w:sz w:val="24"/>
        </w:rPr>
        <w:t>O）、氢氟碳化合物（HFCs）、全氟碳化合物（PFCs）、六氟化硫（SF</w:t>
      </w:r>
      <w:r>
        <w:rPr>
          <w:rFonts w:hint="eastAsia"/>
          <w:color w:val="000000"/>
          <w:sz w:val="24"/>
          <w:vertAlign w:val="subscript"/>
        </w:rPr>
        <w:t>6</w:t>
      </w:r>
      <w:r>
        <w:rPr>
          <w:rFonts w:hint="eastAsia"/>
          <w:color w:val="000000"/>
          <w:sz w:val="24"/>
        </w:rPr>
        <w:t>）和三氟化氮（NF</w:t>
      </w:r>
      <w:r>
        <w:rPr>
          <w:rFonts w:hint="eastAsia"/>
          <w:color w:val="000000"/>
          <w:sz w:val="24"/>
          <w:vertAlign w:val="subscript"/>
        </w:rPr>
        <w:t>3</w:t>
      </w:r>
      <w:r>
        <w:rPr>
          <w:rFonts w:hint="eastAsia"/>
          <w:color w:val="000000"/>
          <w:sz w:val="24"/>
        </w:rPr>
        <w:t>）。</w:t>
      </w:r>
    </w:p>
    <w:p>
      <w:pPr>
        <w:pStyle w:val="3"/>
        <w:spacing w:before="120" w:after="0" w:line="360" w:lineRule="auto"/>
        <w:rPr>
          <w:rFonts w:ascii="Times New Roman" w:hAnsi="Times New Roman"/>
          <w:color w:val="000000"/>
          <w:kern w:val="0"/>
          <w:sz w:val="24"/>
          <w:szCs w:val="24"/>
        </w:rPr>
      </w:pPr>
      <w:bookmarkStart w:id="12" w:name="_Toc132710500"/>
      <w:r>
        <w:rPr>
          <w:rFonts w:hint="eastAsia" w:ascii="Times New Roman" w:hAnsi="Times New Roman"/>
          <w:color w:val="000000"/>
          <w:kern w:val="0"/>
          <w:sz w:val="24"/>
          <w:szCs w:val="24"/>
        </w:rPr>
        <w:t>4.5 功能单位</w:t>
      </w:r>
      <w:bookmarkEnd w:id="12"/>
    </w:p>
    <w:p>
      <w:pPr>
        <w:spacing w:line="440" w:lineRule="exact"/>
        <w:ind w:firstLine="480"/>
        <w:rPr>
          <w:color w:val="000000"/>
          <w:sz w:val="24"/>
        </w:rPr>
      </w:pPr>
      <w:r>
        <w:rPr>
          <w:rFonts w:hint="eastAsia"/>
          <w:color w:val="000000"/>
          <w:sz w:val="24"/>
        </w:rPr>
        <w:t>结合聚氨酯超细纤维合成革行业对产品的单位的划分，可将功能单位定为1万米聚氨酯超细纤维合成革。</w:t>
      </w:r>
    </w:p>
    <w:p>
      <w:pPr>
        <w:pStyle w:val="3"/>
        <w:spacing w:before="120" w:after="0" w:line="360" w:lineRule="auto"/>
        <w:rPr>
          <w:rFonts w:ascii="Times New Roman" w:hAnsi="Times New Roman"/>
          <w:color w:val="000000"/>
          <w:kern w:val="0"/>
          <w:sz w:val="24"/>
          <w:szCs w:val="24"/>
        </w:rPr>
      </w:pPr>
      <w:bookmarkStart w:id="13" w:name="_Toc132710501"/>
      <w:r>
        <w:rPr>
          <w:rFonts w:hint="eastAsia" w:ascii="Times New Roman" w:hAnsi="Times New Roman"/>
          <w:color w:val="000000"/>
          <w:kern w:val="0"/>
          <w:sz w:val="24"/>
          <w:szCs w:val="24"/>
        </w:rPr>
        <w:t>4.6 系统边界</w:t>
      </w:r>
      <w:bookmarkEnd w:id="13"/>
    </w:p>
    <w:p>
      <w:pPr>
        <w:spacing w:line="440" w:lineRule="exact"/>
        <w:ind w:firstLine="480"/>
        <w:rPr>
          <w:rFonts w:hint="eastAsia"/>
          <w:color w:val="000000"/>
          <w:sz w:val="24"/>
        </w:rPr>
      </w:pPr>
      <w:r>
        <w:rPr>
          <w:rFonts w:hint="eastAsia"/>
          <w:color w:val="000000"/>
          <w:sz w:val="24"/>
        </w:rPr>
        <w:t>由于聚氨酯超细纤维合成革属于工业中间品，因此，核算产品碳足迹时，不考虑产品使用阶段的温室气体排放。原材料获取阶段、运输阶段和产品制造阶段是聚氨酯超细纤维合成革产品的主要温室气体排放阶段，因此，本文件核算产品碳足迹应核算以上三个阶段。</w:t>
      </w:r>
    </w:p>
    <w:p>
      <w:pPr>
        <w:spacing w:line="440" w:lineRule="exact"/>
        <w:ind w:firstLine="480"/>
        <w:rPr>
          <w:color w:val="000000"/>
          <w:sz w:val="24"/>
        </w:rPr>
      </w:pPr>
      <w:r>
        <w:rPr>
          <w:rFonts w:hint="eastAsia"/>
          <w:color w:val="000000"/>
          <w:sz w:val="24"/>
        </w:rPr>
        <w:t>原材料获取阶段，即各类原料、辅料和包装材料的获取。运输阶段指主要原辅材料从材料生产厂到聚氨酯超细纤维合成革制造工厂的实际运输环节。产品制造阶段主要考虑聚氨酯超细纤维合成革生产企业在产品生产中投入的能源、污染防治过程所带来的影响。产品制造阶段可包括：纺丝原料生产、纺丝、非织造布、聚氨酯树脂合成、浸渍减量、干法、后整理、DMF回收。可根据实际生产情况，选择不同的生产工艺。</w:t>
      </w:r>
    </w:p>
    <w:p>
      <w:pPr>
        <w:pStyle w:val="3"/>
        <w:spacing w:before="120" w:after="0" w:line="360" w:lineRule="auto"/>
        <w:rPr>
          <w:rFonts w:ascii="Times New Roman" w:hAnsi="Times New Roman"/>
          <w:color w:val="000000"/>
          <w:kern w:val="0"/>
          <w:sz w:val="24"/>
          <w:szCs w:val="24"/>
        </w:rPr>
      </w:pPr>
      <w:bookmarkStart w:id="14" w:name="_Toc132710502"/>
      <w:r>
        <w:rPr>
          <w:rFonts w:hint="eastAsia" w:ascii="Times New Roman" w:hAnsi="Times New Roman"/>
          <w:color w:val="000000"/>
          <w:kern w:val="0"/>
          <w:sz w:val="24"/>
          <w:szCs w:val="24"/>
        </w:rPr>
        <w:t>4.7 数据收集与处理</w:t>
      </w:r>
      <w:bookmarkEnd w:id="14"/>
    </w:p>
    <w:p>
      <w:pPr>
        <w:spacing w:line="440" w:lineRule="exact"/>
        <w:jc w:val="left"/>
        <w:rPr>
          <w:color w:val="000000"/>
          <w:sz w:val="24"/>
        </w:rPr>
      </w:pPr>
      <w:r>
        <w:rPr>
          <w:rFonts w:hint="eastAsia"/>
          <w:color w:val="000000"/>
          <w:sz w:val="24"/>
        </w:rPr>
        <w:t>4.7.1 总则</w:t>
      </w:r>
    </w:p>
    <w:p>
      <w:pPr>
        <w:spacing w:line="440" w:lineRule="exact"/>
        <w:ind w:firstLine="480"/>
        <w:rPr>
          <w:color w:val="000000"/>
          <w:sz w:val="24"/>
        </w:rPr>
      </w:pPr>
      <w:r>
        <w:rPr>
          <w:rFonts w:hint="eastAsia"/>
          <w:color w:val="000000"/>
          <w:sz w:val="24"/>
        </w:rPr>
        <w:t>数据收集与处理过程中，相关数据应满足技术代表性、时间代表性、地理代表性、数据完整性和数据一致性。数据要反映实际生产技术情况，即体现实际工艺流程、技术和设备类型、原料与能耗类型、生产规模等因素的影响；排放因子等相关参数的选择考虑单元过程所处的地理位置；原料、辅料、能耗、包装、原料与产品运输等数据需采用企业实际生产统计记录，环境排放数据优先采用环境监测报告；所有数据均有相关的数据来源和数据处理算法；估算或引用文献的数据需在报告中说明。</w:t>
      </w:r>
    </w:p>
    <w:p>
      <w:pPr>
        <w:spacing w:line="440" w:lineRule="exact"/>
        <w:ind w:firstLine="480"/>
        <w:rPr>
          <w:color w:val="000000"/>
          <w:sz w:val="24"/>
        </w:rPr>
      </w:pPr>
      <w:r>
        <w:rPr>
          <w:rFonts w:hint="eastAsia"/>
          <w:color w:val="000000"/>
          <w:sz w:val="24"/>
        </w:rPr>
        <w:t>活动水平数据优先采用直接计量、测量获得的原始数据，其次采用通过原始数据折算获得的二次数据，以上数据均不可获得时可采用来自相似单元过程的替代数据。使用阶段可使用统计数据、设计数据或估算数据。</w:t>
      </w:r>
    </w:p>
    <w:p>
      <w:pPr>
        <w:spacing w:line="440" w:lineRule="exact"/>
        <w:ind w:firstLine="480"/>
        <w:rPr>
          <w:color w:val="000000"/>
          <w:sz w:val="24"/>
        </w:rPr>
      </w:pPr>
      <w:r>
        <w:rPr>
          <w:rFonts w:hint="eastAsia"/>
          <w:color w:val="000000"/>
          <w:sz w:val="24"/>
        </w:rPr>
        <w:t>同时，在边界设置或数据收集时，应尽量避免进行数据分配。若发现至少有一个过程的输入和输出包含多个产品，则总排放量需要在产品生命周期内进行分配。在产品碳足迹核算过程中，可规定一套数据取舍准则，舍弃产品碳足迹影响较小的因素，简化数据收集过程。小于产品重量1%的原辅料引起的排放可舍弃，同类原辅料应按合计重量判断，但总共舍弃的重量不宜超过产品重量的5%。产品生产、使用等过程中人员产生的温室气体排放可舍弃。</w:t>
      </w:r>
    </w:p>
    <w:p>
      <w:pPr>
        <w:spacing w:line="440" w:lineRule="exact"/>
        <w:jc w:val="left"/>
        <w:rPr>
          <w:color w:val="000000"/>
          <w:sz w:val="24"/>
        </w:rPr>
      </w:pPr>
      <w:r>
        <w:rPr>
          <w:rFonts w:hint="eastAsia"/>
          <w:color w:val="000000"/>
          <w:sz w:val="24"/>
        </w:rPr>
        <w:t>4.7.2 原材料获取阶段</w:t>
      </w:r>
    </w:p>
    <w:p>
      <w:pPr>
        <w:spacing w:line="440" w:lineRule="exact"/>
        <w:ind w:firstLine="480"/>
        <w:rPr>
          <w:color w:val="000000"/>
          <w:sz w:val="24"/>
        </w:rPr>
      </w:pPr>
      <w:r>
        <w:rPr>
          <w:rFonts w:hint="eastAsia"/>
          <w:color w:val="000000"/>
          <w:sz w:val="24"/>
        </w:rPr>
        <w:t>在原材料获取阶段应收集各种原辅料投入量。</w:t>
      </w:r>
    </w:p>
    <w:p>
      <w:pPr>
        <w:spacing w:line="440" w:lineRule="exact"/>
        <w:jc w:val="left"/>
        <w:rPr>
          <w:color w:val="000000"/>
          <w:sz w:val="24"/>
        </w:rPr>
      </w:pPr>
      <w:r>
        <w:rPr>
          <w:rFonts w:hint="eastAsia"/>
          <w:color w:val="000000"/>
          <w:sz w:val="24"/>
        </w:rPr>
        <w:t>4.7.3 原材料运输阶段</w:t>
      </w:r>
    </w:p>
    <w:p>
      <w:pPr>
        <w:spacing w:line="440" w:lineRule="exact"/>
        <w:ind w:firstLine="480"/>
        <w:rPr>
          <w:rFonts w:hint="eastAsia"/>
          <w:color w:val="000000"/>
          <w:sz w:val="24"/>
        </w:rPr>
      </w:pPr>
      <w:r>
        <w:rPr>
          <w:rFonts w:hint="eastAsia"/>
          <w:color w:val="000000"/>
          <w:sz w:val="24"/>
        </w:rPr>
        <w:t>在原材料运输阶段应收集各种原辅料运输量和运输距离。</w:t>
      </w:r>
    </w:p>
    <w:p>
      <w:pPr>
        <w:spacing w:line="440" w:lineRule="exact"/>
        <w:jc w:val="left"/>
        <w:rPr>
          <w:color w:val="000000"/>
          <w:sz w:val="24"/>
        </w:rPr>
      </w:pPr>
      <w:r>
        <w:rPr>
          <w:rFonts w:hint="eastAsia"/>
          <w:color w:val="000000"/>
          <w:sz w:val="24"/>
        </w:rPr>
        <w:t>4.7.4 产品制造阶段</w:t>
      </w:r>
    </w:p>
    <w:p>
      <w:pPr>
        <w:spacing w:line="440" w:lineRule="exact"/>
        <w:ind w:firstLine="480"/>
        <w:rPr>
          <w:color w:val="000000"/>
          <w:sz w:val="24"/>
        </w:rPr>
      </w:pPr>
      <w:r>
        <w:rPr>
          <w:rFonts w:hint="eastAsia"/>
          <w:color w:val="000000"/>
          <w:sz w:val="24"/>
        </w:rPr>
        <w:t>在产品制造阶段应收集产品生产过程、所产生的废气、废水、废弃物处理相关过程的数据。</w:t>
      </w:r>
    </w:p>
    <w:p>
      <w:pPr>
        <w:pStyle w:val="3"/>
        <w:spacing w:before="120" w:after="0" w:line="360" w:lineRule="auto"/>
        <w:rPr>
          <w:rFonts w:ascii="Times New Roman" w:hAnsi="Times New Roman"/>
          <w:color w:val="000000"/>
          <w:kern w:val="0"/>
          <w:sz w:val="24"/>
          <w:szCs w:val="24"/>
        </w:rPr>
      </w:pPr>
      <w:bookmarkStart w:id="15" w:name="_Toc132710503"/>
      <w:r>
        <w:rPr>
          <w:rFonts w:hint="eastAsia" w:ascii="Times New Roman" w:hAnsi="Times New Roman"/>
          <w:color w:val="000000"/>
          <w:kern w:val="0"/>
          <w:sz w:val="24"/>
          <w:szCs w:val="24"/>
        </w:rPr>
        <w:t>4.8 产品碳足迹核算</w:t>
      </w:r>
      <w:bookmarkEnd w:id="15"/>
    </w:p>
    <w:p>
      <w:pPr>
        <w:spacing w:line="440" w:lineRule="exact"/>
        <w:ind w:firstLine="480"/>
        <w:rPr>
          <w:color w:val="000000"/>
          <w:sz w:val="24"/>
        </w:rPr>
      </w:pPr>
      <w:r>
        <w:rPr>
          <w:rFonts w:hint="eastAsia"/>
          <w:color w:val="000000"/>
          <w:sz w:val="24"/>
        </w:rPr>
        <w:t>规定了聚氨酯超细纤维合成革产品碳足迹的核算应包括原材料获取阶段、运输阶段和产品制造阶段涉及的所有单元过程，以及计算使用的公式。</w:t>
      </w:r>
    </w:p>
    <w:p>
      <w:pPr>
        <w:spacing w:line="440" w:lineRule="exact"/>
        <w:ind w:firstLine="480"/>
        <w:rPr>
          <w:color w:val="000000"/>
          <w:sz w:val="24"/>
        </w:rPr>
      </w:pPr>
      <w:r>
        <w:rPr>
          <w:rFonts w:hint="eastAsia"/>
          <w:color w:val="000000"/>
          <w:sz w:val="24"/>
        </w:rPr>
        <w:t>同时规定了原材料获取阶段排放、原材料运输阶段排放、化石燃料燃烧排放、净购入电力排放、净购入热力排放、废水处理排放等6个方面的温室气体排放计算公式。其中，化石燃料燃烧排放计算过程包括化石燃料燃烧活动水平数据和化石燃料排放因子；净购入电力排放计算过程包括电力活动水平数据和电力排放因子；净购入热力排放计算过程包括热力活动水平数据和热力排放因子；废水处理排放计算过程包括甲烷活动水平数据和甲烷排放因子（或甲烷全球变暖潜势值），而在计算甲烷活动水平数据时，则需要计算废水厌氧处理去除有机物总量。</w:t>
      </w:r>
    </w:p>
    <w:p>
      <w:pPr>
        <w:pStyle w:val="3"/>
        <w:spacing w:before="120" w:after="0" w:line="360" w:lineRule="auto"/>
        <w:rPr>
          <w:rFonts w:ascii="Times New Roman" w:hAnsi="Times New Roman"/>
          <w:color w:val="000000"/>
          <w:kern w:val="0"/>
          <w:sz w:val="24"/>
          <w:szCs w:val="24"/>
        </w:rPr>
      </w:pPr>
      <w:bookmarkStart w:id="16" w:name="_Toc132710504"/>
      <w:r>
        <w:rPr>
          <w:rFonts w:hint="eastAsia" w:ascii="Times New Roman" w:hAnsi="Times New Roman"/>
          <w:color w:val="000000"/>
          <w:kern w:val="0"/>
          <w:sz w:val="24"/>
          <w:szCs w:val="24"/>
        </w:rPr>
        <w:t>4.9 产品碳足迹核算报告</w:t>
      </w:r>
      <w:bookmarkEnd w:id="16"/>
    </w:p>
    <w:p>
      <w:pPr>
        <w:spacing w:line="440" w:lineRule="exact"/>
        <w:ind w:firstLine="480"/>
        <w:rPr>
          <w:color w:val="000000"/>
          <w:sz w:val="24"/>
        </w:rPr>
      </w:pPr>
      <w:r>
        <w:rPr>
          <w:rFonts w:hint="eastAsia"/>
          <w:color w:val="000000"/>
          <w:sz w:val="24"/>
        </w:rPr>
        <w:t>规定聚氨酯超细纤维合成革产品碳足迹核算报告应包括的内容及报告参考模板。报告模板主要包括以下五部分：基本信息、概述、数据收集与处理、核算过程和结果、结论和不确定性说明。</w:t>
      </w:r>
    </w:p>
    <w:p>
      <w:pPr>
        <w:pStyle w:val="10"/>
        <w:spacing w:line="440" w:lineRule="exact"/>
        <w:ind w:firstLine="0"/>
        <w:outlineLvl w:val="0"/>
        <w:rPr>
          <w:rFonts w:ascii="Times New Roman" w:eastAsia="宋体"/>
          <w:b/>
          <w:kern w:val="0"/>
          <w:sz w:val="24"/>
          <w:szCs w:val="24"/>
        </w:rPr>
      </w:pPr>
      <w:bookmarkStart w:id="17" w:name="_Toc132710505"/>
      <w:r>
        <w:rPr>
          <w:rFonts w:hint="eastAsia" w:ascii="Times New Roman" w:eastAsia="宋体"/>
          <w:b/>
          <w:kern w:val="0"/>
          <w:sz w:val="24"/>
          <w:szCs w:val="24"/>
        </w:rPr>
        <w:t>5主要验证情况分析</w:t>
      </w:r>
      <w:bookmarkEnd w:id="17"/>
    </w:p>
    <w:p>
      <w:pPr>
        <w:spacing w:line="440" w:lineRule="exact"/>
        <w:ind w:firstLine="480"/>
        <w:rPr>
          <w:rFonts w:hint="eastAsia"/>
          <w:color w:val="000000"/>
          <w:sz w:val="24"/>
        </w:rPr>
      </w:pPr>
      <w:r>
        <w:rPr>
          <w:rFonts w:hint="eastAsia"/>
          <w:color w:val="000000"/>
          <w:sz w:val="24"/>
        </w:rPr>
        <w:t>上海华峰超纤材料股份有限公司生产的产品名称为：聚氨酯超细纤维合成革，产品型号为：LAEDANA，产品参数为：G130B3018-120P02-ZHB0（1.2mm）。运用本文件中的核算方法，选取清单数据收集周期为2021年3月-2022年3月，功能单位为1平方米聚氨酯超细纤维合成革（人造革与合成革常用单位为1万米，真皮常用单位为1平方米，企业计划与真皮产品作对比，因此功能单位选用了1平方米，其他核算方法均保持一致）。</w:t>
      </w:r>
    </w:p>
    <w:p>
      <w:pPr>
        <w:spacing w:line="440" w:lineRule="exact"/>
        <w:ind w:firstLine="480"/>
        <w:rPr>
          <w:rFonts w:hint="eastAsia"/>
          <w:color w:val="000000"/>
          <w:sz w:val="24"/>
        </w:rPr>
      </w:pPr>
      <w:r>
        <w:rPr>
          <w:rFonts w:hint="eastAsia"/>
          <w:color w:val="000000"/>
          <w:sz w:val="24"/>
        </w:rPr>
        <w:t>企业该产品制造阶段包括：纺丝、非织造布、聚氨酯树脂合成、浸渍减量、干法、DMF回收。投入原材料主要包括：尼龙6、PTMEG、己二酸、丁二醇、己二醇、乙二醇、MDI、PC-20聚碳酸酯等。辅料主要包括：聚乙烯、色母粒、DMF、TOL甲苯、HF-10、PW-932A、JSB-05、TS-909、油剂8897/8907D/SK色浆、605水性表面处理剂、62水性表面处理剂等。包装材料输入为聚乙烯塑料膜。原辅材料运输阶段考虑了主要材料尼龙6、PTMEG、己二酸等从供应商工厂运输至上海市金山区亭卫南路888号的碳排放。聚氨酯超细纤维合成革生产阶段能源输入为电力、水、蒸汽和柴油。</w:t>
      </w:r>
    </w:p>
    <w:p>
      <w:pPr>
        <w:spacing w:line="440" w:lineRule="exact"/>
        <w:ind w:firstLine="480"/>
        <w:rPr>
          <w:rFonts w:hint="eastAsia"/>
          <w:color w:val="000000"/>
          <w:sz w:val="24"/>
        </w:rPr>
      </w:pPr>
      <w:r>
        <w:rPr>
          <w:rFonts w:hint="eastAsia"/>
          <w:color w:val="000000"/>
          <w:sz w:val="24"/>
        </w:rPr>
        <w:t>应用本文件中所述方法，得到了1平方米聚氨酯超细纤维产品温室气体排放值，如下表所示。</w:t>
      </w:r>
    </w:p>
    <w:tbl>
      <w:tblPr>
        <w:tblStyle w:val="28"/>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1134"/>
        <w:gridCol w:w="1884"/>
        <w:gridCol w:w="1420"/>
        <w:gridCol w:w="1658"/>
        <w:gridCol w:w="118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522" w:type="dxa"/>
            <w:gridSpan w:val="6"/>
            <w:tcBorders>
              <w:top w:val="single" w:color="auto" w:sz="4" w:space="0"/>
              <w:bottom w:val="single" w:color="auto" w:sz="4" w:space="0"/>
            </w:tcBorders>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每平方米聚氨酯超细纤维合成革产品碳足迹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42" w:type="dxa"/>
            <w:tcBorders>
              <w:top w:val="single" w:color="auto" w:sz="4" w:space="0"/>
            </w:tcBorders>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影响指标</w:t>
            </w:r>
          </w:p>
        </w:tc>
        <w:tc>
          <w:tcPr>
            <w:tcW w:w="1134" w:type="dxa"/>
            <w:tcBorders>
              <w:top w:val="single" w:color="auto" w:sz="4" w:space="0"/>
            </w:tcBorders>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单位</w:t>
            </w:r>
          </w:p>
        </w:tc>
        <w:tc>
          <w:tcPr>
            <w:tcW w:w="1884" w:type="dxa"/>
            <w:tcBorders>
              <w:top w:val="single" w:color="auto" w:sz="4" w:space="0"/>
            </w:tcBorders>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原材料获取阶段</w:t>
            </w:r>
          </w:p>
        </w:tc>
        <w:tc>
          <w:tcPr>
            <w:tcW w:w="1420" w:type="dxa"/>
            <w:tcBorders>
              <w:top w:val="single" w:color="auto" w:sz="4" w:space="0"/>
            </w:tcBorders>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运输阶段</w:t>
            </w:r>
          </w:p>
        </w:tc>
        <w:tc>
          <w:tcPr>
            <w:tcW w:w="1658" w:type="dxa"/>
            <w:tcBorders>
              <w:top w:val="single" w:color="auto" w:sz="4" w:space="0"/>
            </w:tcBorders>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产品制造阶段</w:t>
            </w:r>
          </w:p>
        </w:tc>
        <w:tc>
          <w:tcPr>
            <w:tcW w:w="1184" w:type="dxa"/>
            <w:tcBorders>
              <w:top w:val="single" w:color="auto" w:sz="4" w:space="0"/>
            </w:tcBorders>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总值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42" w:type="dxa"/>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GWP</w:t>
            </w:r>
          </w:p>
        </w:tc>
        <w:tc>
          <w:tcPr>
            <w:tcW w:w="1134" w:type="dxa"/>
            <w:vAlign w:val="center"/>
          </w:tcPr>
          <w:p>
            <w:pPr>
              <w:numPr>
                <w:ilvl w:val="0"/>
                <w:numId w:val="0"/>
              </w:numPr>
              <w:tabs>
                <w:tab w:val="left" w:pos="360"/>
              </w:tabs>
              <w:ind w:left="0" w:firstLine="0"/>
              <w:jc w:val="center"/>
              <w:rPr>
                <w:rFonts w:ascii="宋体"/>
                <w:color w:val="000000"/>
                <w:sz w:val="22"/>
              </w:rPr>
            </w:pPr>
            <w:r>
              <w:rPr>
                <w:rFonts w:hint="eastAsia" w:ascii="宋体"/>
                <w:sz w:val="22"/>
              </w:rPr>
              <w:t>kg</w:t>
            </w:r>
            <w:r>
              <w:rPr>
                <w:rFonts w:ascii="宋体"/>
                <w:sz w:val="22"/>
              </w:rPr>
              <w:t>CO</w:t>
            </w:r>
            <w:r>
              <w:rPr>
                <w:rFonts w:ascii="宋体"/>
                <w:sz w:val="22"/>
                <w:vertAlign w:val="subscript"/>
              </w:rPr>
              <w:t>2</w:t>
            </w:r>
            <w:r>
              <w:rPr>
                <w:rFonts w:ascii="宋体"/>
                <w:sz w:val="22"/>
              </w:rPr>
              <w:t>e</w:t>
            </w:r>
          </w:p>
        </w:tc>
        <w:tc>
          <w:tcPr>
            <w:tcW w:w="1884" w:type="dxa"/>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3.669</w:t>
            </w:r>
          </w:p>
        </w:tc>
        <w:tc>
          <w:tcPr>
            <w:tcW w:w="1420" w:type="dxa"/>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3.174</w:t>
            </w:r>
          </w:p>
        </w:tc>
        <w:tc>
          <w:tcPr>
            <w:tcW w:w="1658" w:type="dxa"/>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0.062</w:t>
            </w:r>
          </w:p>
        </w:tc>
        <w:tc>
          <w:tcPr>
            <w:tcW w:w="1184" w:type="dxa"/>
            <w:vAlign w:val="center"/>
          </w:tcPr>
          <w:p>
            <w:pPr>
              <w:numPr>
                <w:ilvl w:val="0"/>
                <w:numId w:val="0"/>
              </w:numPr>
              <w:tabs>
                <w:tab w:val="left" w:pos="360"/>
              </w:tabs>
              <w:ind w:left="0" w:firstLine="0"/>
              <w:jc w:val="center"/>
              <w:rPr>
                <w:rFonts w:ascii="宋体"/>
                <w:color w:val="000000"/>
                <w:sz w:val="22"/>
              </w:rPr>
            </w:pPr>
            <w:r>
              <w:rPr>
                <w:rFonts w:hint="eastAsia" w:ascii="宋体"/>
                <w:color w:val="000000"/>
                <w:sz w:val="22"/>
              </w:rPr>
              <w:t>6.905</w:t>
            </w:r>
          </w:p>
        </w:tc>
      </w:tr>
    </w:tbl>
    <w:p>
      <w:pPr>
        <w:spacing w:line="440" w:lineRule="exact"/>
        <w:ind w:firstLine="480"/>
        <w:rPr>
          <w:color w:val="000000"/>
          <w:sz w:val="24"/>
        </w:rPr>
      </w:pPr>
    </w:p>
    <w:p>
      <w:pPr>
        <w:pStyle w:val="10"/>
        <w:spacing w:line="440" w:lineRule="exact"/>
        <w:ind w:firstLine="0"/>
        <w:outlineLvl w:val="0"/>
        <w:rPr>
          <w:rFonts w:ascii="Times New Roman" w:eastAsia="宋体"/>
          <w:b/>
          <w:kern w:val="0"/>
          <w:sz w:val="24"/>
          <w:szCs w:val="24"/>
        </w:rPr>
      </w:pPr>
      <w:bookmarkStart w:id="18" w:name="_Toc132710506"/>
      <w:r>
        <w:rPr>
          <w:rFonts w:ascii="Times New Roman" w:eastAsia="宋体"/>
          <w:b/>
          <w:kern w:val="0"/>
          <w:sz w:val="24"/>
          <w:szCs w:val="24"/>
        </w:rPr>
        <w:t>6</w:t>
      </w:r>
      <w:r>
        <w:rPr>
          <w:rFonts w:hint="eastAsia" w:ascii="Times New Roman" w:eastAsia="宋体"/>
          <w:b/>
          <w:kern w:val="0"/>
          <w:sz w:val="24"/>
          <w:szCs w:val="24"/>
        </w:rPr>
        <w:t>标准中</w:t>
      </w:r>
      <w:r>
        <w:rPr>
          <w:rFonts w:ascii="Times New Roman" w:eastAsia="宋体"/>
          <w:b/>
          <w:kern w:val="0"/>
          <w:sz w:val="24"/>
          <w:szCs w:val="24"/>
        </w:rPr>
        <w:t>涉及专利</w:t>
      </w:r>
      <w:r>
        <w:rPr>
          <w:rFonts w:hint="eastAsia" w:ascii="Times New Roman" w:eastAsia="宋体"/>
          <w:b/>
          <w:kern w:val="0"/>
          <w:sz w:val="24"/>
          <w:szCs w:val="24"/>
        </w:rPr>
        <w:t>的</w:t>
      </w:r>
      <w:r>
        <w:rPr>
          <w:rFonts w:ascii="Times New Roman" w:eastAsia="宋体"/>
          <w:b/>
          <w:kern w:val="0"/>
          <w:sz w:val="24"/>
          <w:szCs w:val="24"/>
        </w:rPr>
        <w:t>情况</w:t>
      </w:r>
      <w:bookmarkEnd w:id="18"/>
    </w:p>
    <w:p>
      <w:pPr>
        <w:spacing w:line="440" w:lineRule="exact"/>
        <w:ind w:firstLine="480"/>
        <w:rPr>
          <w:color w:val="000000"/>
          <w:sz w:val="24"/>
        </w:rPr>
      </w:pPr>
      <w:r>
        <w:rPr>
          <w:color w:val="000000"/>
          <w:sz w:val="24"/>
        </w:rPr>
        <w:t>本标准不涉及相关专利</w:t>
      </w:r>
      <w:r>
        <w:rPr>
          <w:rFonts w:hint="eastAsia"/>
          <w:color w:val="000000"/>
          <w:sz w:val="24"/>
        </w:rPr>
        <w:t>问题。</w:t>
      </w:r>
    </w:p>
    <w:p>
      <w:pPr>
        <w:pStyle w:val="10"/>
        <w:spacing w:line="440" w:lineRule="exact"/>
        <w:ind w:firstLine="0"/>
        <w:outlineLvl w:val="0"/>
        <w:rPr>
          <w:rFonts w:hAnsi="仿宋_GB2312" w:cs="仿宋_GB2312"/>
          <w:bCs/>
        </w:rPr>
      </w:pPr>
      <w:bookmarkStart w:id="19" w:name="_Toc132710507"/>
      <w:r>
        <w:rPr>
          <w:rFonts w:hint="eastAsia" w:ascii="Times New Roman" w:eastAsia="宋体"/>
          <w:b/>
          <w:kern w:val="0"/>
          <w:sz w:val="24"/>
          <w:szCs w:val="24"/>
        </w:rPr>
        <w:t>7预期达到的社会效益、对产业发展的作用等情况</w:t>
      </w:r>
      <w:bookmarkEnd w:id="19"/>
    </w:p>
    <w:p>
      <w:pPr>
        <w:spacing w:line="440" w:lineRule="exact"/>
        <w:ind w:firstLine="480"/>
        <w:rPr>
          <w:color w:val="000000"/>
          <w:sz w:val="24"/>
        </w:rPr>
      </w:pPr>
      <w:r>
        <w:rPr>
          <w:rFonts w:hint="eastAsia"/>
          <w:color w:val="000000"/>
          <w:sz w:val="24"/>
        </w:rPr>
        <w:t>2020 年9 月22 日，国家主席习近平在第七十五届联合国大会一般性辩论上，向全世界郑重宣布——中国“二氧化碳排放力争于2030 年前达到峰值，努力争取2060 年前实现碳中和”。2021 年10月10 日，中共中央、国务院印发了《国家标准化发展纲要》，提出完善绿色发展标准化保障，提出要实施碳达峰、碳中和标准化提升工程，建立健全碳达峰、碳中和标准，持续优化生态系统建设和保护标准，推进自然资源节约集约利用，构建自然资源标准体系，筑牢绿色生产标准基础，强化绿色消费标准引领。</w:t>
      </w:r>
    </w:p>
    <w:p>
      <w:pPr>
        <w:spacing w:line="440" w:lineRule="exact"/>
        <w:ind w:firstLine="480"/>
        <w:rPr>
          <w:color w:val="000000"/>
          <w:sz w:val="24"/>
        </w:rPr>
      </w:pPr>
      <w:r>
        <w:rPr>
          <w:rFonts w:hint="eastAsia"/>
          <w:color w:val="000000"/>
          <w:sz w:val="24"/>
        </w:rPr>
        <w:t>“双碳”目标的实现，具体到产品层面，即是产品碳排放的减少。本标准实施后，聚氨酯超细纤维合成革企业通过对产品进行全生命周期碳足迹核算，可获得单位产品的碳排放信息，了解产品全生命周期各个过程的碳足迹贡献，有的放矢地提出降低碳排放的建议，协同供应链采取行动来降低碳排放，还可帮助企业有效应对绿色贸易壁垒，引导企业低碳转型升级。同时产品碳足迹核算向消费者传达了产品的温室气体排放信息，可以引导消费者低碳消费。</w:t>
      </w:r>
    </w:p>
    <w:p>
      <w:pPr>
        <w:pStyle w:val="10"/>
        <w:spacing w:line="440" w:lineRule="exact"/>
        <w:ind w:firstLine="0"/>
        <w:outlineLvl w:val="0"/>
        <w:rPr>
          <w:rFonts w:ascii="Times New Roman" w:eastAsia="宋体"/>
          <w:b/>
          <w:kern w:val="0"/>
          <w:sz w:val="24"/>
          <w:szCs w:val="24"/>
        </w:rPr>
      </w:pPr>
      <w:bookmarkStart w:id="20" w:name="_Toc132710508"/>
      <w:r>
        <w:rPr>
          <w:rFonts w:hint="eastAsia" w:ascii="Times New Roman" w:eastAsia="宋体"/>
          <w:b/>
          <w:kern w:val="0"/>
          <w:sz w:val="24"/>
          <w:szCs w:val="24"/>
        </w:rPr>
        <w:t>8采用国际标准和国外先进标准情况，与国际、国外同类标准水平的对比情况，国内外关键指标对比分析或与测试的国外样品、样机的相关数据对比情况</w:t>
      </w:r>
      <w:bookmarkEnd w:id="20"/>
    </w:p>
    <w:p>
      <w:pPr>
        <w:widowControl/>
        <w:spacing w:line="440" w:lineRule="exact"/>
        <w:ind w:firstLine="480" w:firstLineChars="200"/>
        <w:rPr>
          <w:color w:val="000000"/>
          <w:sz w:val="24"/>
        </w:rPr>
      </w:pPr>
      <w:r>
        <w:rPr>
          <w:color w:val="000000"/>
          <w:sz w:val="24"/>
        </w:rPr>
        <w:t>标准制定小组查阅了国外文献和相关标准，未发现与之有关的相关标准和文献资料，因此，本标准在制定过程中未采用任何国际标准和国外先进标准。</w:t>
      </w:r>
    </w:p>
    <w:p>
      <w:pPr>
        <w:pStyle w:val="10"/>
        <w:spacing w:line="440" w:lineRule="exact"/>
        <w:ind w:firstLine="0"/>
        <w:outlineLvl w:val="0"/>
        <w:rPr>
          <w:rFonts w:ascii="Times New Roman" w:eastAsia="宋体"/>
          <w:b/>
          <w:kern w:val="0"/>
          <w:sz w:val="24"/>
          <w:szCs w:val="24"/>
        </w:rPr>
      </w:pPr>
      <w:bookmarkStart w:id="21" w:name="_Toc132710509"/>
      <w:r>
        <w:rPr>
          <w:rFonts w:hint="eastAsia" w:ascii="Times New Roman" w:eastAsia="宋体"/>
          <w:b/>
          <w:kern w:val="0"/>
          <w:sz w:val="24"/>
          <w:szCs w:val="24"/>
        </w:rPr>
        <w:t>9在标准体系中的位置，与现行相关法律、法规、规章及相关标准，特别是强制性标准的协调性</w:t>
      </w:r>
      <w:bookmarkEnd w:id="21"/>
    </w:p>
    <w:p>
      <w:pPr>
        <w:widowControl/>
        <w:spacing w:line="440" w:lineRule="exact"/>
        <w:ind w:firstLine="480" w:firstLineChars="200"/>
        <w:rPr>
          <w:color w:val="000000"/>
          <w:sz w:val="24"/>
        </w:rPr>
      </w:pPr>
      <w:r>
        <w:rPr>
          <w:color w:val="000000"/>
          <w:sz w:val="24"/>
        </w:rPr>
        <w:t>本标准与相关法律、法规、规章和强制性标准无抵触，重视与相关标准的协调。</w:t>
      </w:r>
    </w:p>
    <w:p>
      <w:pPr>
        <w:pStyle w:val="10"/>
        <w:spacing w:line="440" w:lineRule="exact"/>
        <w:ind w:firstLine="0"/>
        <w:outlineLvl w:val="0"/>
        <w:rPr>
          <w:rFonts w:ascii="Times New Roman" w:eastAsia="宋体"/>
          <w:b/>
          <w:color w:val="000000"/>
          <w:sz w:val="24"/>
          <w:szCs w:val="24"/>
        </w:rPr>
      </w:pPr>
      <w:bookmarkStart w:id="22" w:name="_Toc132710510"/>
      <w:r>
        <w:rPr>
          <w:rFonts w:hint="eastAsia" w:ascii="Times New Roman" w:eastAsia="宋体"/>
          <w:b/>
          <w:color w:val="000000"/>
          <w:sz w:val="24"/>
          <w:szCs w:val="24"/>
        </w:rPr>
        <w:t>10</w:t>
      </w:r>
      <w:r>
        <w:rPr>
          <w:rFonts w:ascii="Times New Roman" w:eastAsia="宋体"/>
          <w:b/>
          <w:color w:val="000000"/>
          <w:sz w:val="24"/>
          <w:szCs w:val="24"/>
        </w:rPr>
        <w:t>重大分歧意见的处理经过和依据</w:t>
      </w:r>
      <w:bookmarkEnd w:id="22"/>
    </w:p>
    <w:p>
      <w:pPr>
        <w:widowControl/>
        <w:spacing w:line="440" w:lineRule="exact"/>
        <w:ind w:firstLine="480" w:firstLineChars="200"/>
        <w:rPr>
          <w:color w:val="000000"/>
          <w:sz w:val="24"/>
        </w:rPr>
      </w:pPr>
      <w:r>
        <w:rPr>
          <w:color w:val="000000"/>
          <w:sz w:val="24"/>
        </w:rPr>
        <w:t>本标准制定过程中无重大分歧意见。</w:t>
      </w:r>
    </w:p>
    <w:p>
      <w:pPr>
        <w:pStyle w:val="10"/>
        <w:spacing w:line="440" w:lineRule="exact"/>
        <w:ind w:firstLine="0"/>
        <w:outlineLvl w:val="0"/>
        <w:rPr>
          <w:rFonts w:ascii="Times New Roman" w:eastAsia="宋体"/>
          <w:b/>
          <w:color w:val="000000"/>
          <w:sz w:val="24"/>
          <w:szCs w:val="24"/>
        </w:rPr>
      </w:pPr>
      <w:bookmarkStart w:id="23" w:name="_Toc132710511"/>
      <w:r>
        <w:rPr>
          <w:rFonts w:hint="eastAsia" w:ascii="Times New Roman" w:eastAsia="宋体"/>
          <w:b/>
          <w:color w:val="000000"/>
          <w:sz w:val="24"/>
          <w:szCs w:val="24"/>
        </w:rPr>
        <w:t>11</w:t>
      </w:r>
      <w:r>
        <w:rPr>
          <w:rFonts w:ascii="Times New Roman" w:eastAsia="宋体"/>
          <w:b/>
          <w:color w:val="000000"/>
          <w:sz w:val="24"/>
          <w:szCs w:val="24"/>
        </w:rPr>
        <w:t xml:space="preserve"> 贯彻标准的要求和措施建议</w:t>
      </w:r>
      <w:bookmarkEnd w:id="23"/>
    </w:p>
    <w:p>
      <w:pPr>
        <w:widowControl/>
        <w:spacing w:line="440" w:lineRule="exact"/>
        <w:ind w:firstLine="480" w:firstLineChars="200"/>
        <w:rPr>
          <w:color w:val="000000"/>
          <w:sz w:val="24"/>
        </w:rPr>
      </w:pPr>
      <w:r>
        <w:rPr>
          <w:color w:val="000000"/>
          <w:sz w:val="24"/>
        </w:rPr>
        <w:t>建议本标准自发布之日起</w:t>
      </w:r>
      <w:r>
        <w:rPr>
          <w:rFonts w:hint="eastAsia"/>
          <w:color w:val="000000"/>
          <w:sz w:val="24"/>
        </w:rPr>
        <w:t>1</w:t>
      </w:r>
      <w:r>
        <w:rPr>
          <w:color w:val="000000"/>
          <w:sz w:val="24"/>
        </w:rPr>
        <w:t>个月后为实施日期。</w:t>
      </w:r>
    </w:p>
    <w:p>
      <w:pPr>
        <w:pStyle w:val="10"/>
        <w:spacing w:line="440" w:lineRule="exact"/>
        <w:ind w:firstLine="0"/>
        <w:outlineLvl w:val="0"/>
        <w:rPr>
          <w:rFonts w:ascii="Times New Roman" w:eastAsia="宋体"/>
          <w:b/>
          <w:color w:val="000000"/>
          <w:sz w:val="24"/>
          <w:szCs w:val="24"/>
        </w:rPr>
      </w:pPr>
      <w:bookmarkStart w:id="24" w:name="_Toc132710512"/>
      <w:r>
        <w:rPr>
          <w:rFonts w:hint="eastAsia" w:ascii="Times New Roman" w:eastAsia="宋体"/>
          <w:b/>
          <w:color w:val="000000"/>
          <w:sz w:val="24"/>
          <w:szCs w:val="24"/>
        </w:rPr>
        <w:t>12 废止现行相关标准的建议</w:t>
      </w:r>
      <w:bookmarkEnd w:id="24"/>
    </w:p>
    <w:p>
      <w:pPr>
        <w:widowControl/>
        <w:spacing w:line="440" w:lineRule="exact"/>
        <w:ind w:firstLine="480" w:firstLineChars="200"/>
        <w:rPr>
          <w:color w:val="000000"/>
          <w:sz w:val="24"/>
        </w:rPr>
      </w:pPr>
      <w:r>
        <w:rPr>
          <w:rFonts w:hint="eastAsia"/>
          <w:color w:val="000000"/>
          <w:sz w:val="24"/>
        </w:rPr>
        <w:t>无。</w:t>
      </w:r>
    </w:p>
    <w:p>
      <w:pPr>
        <w:pStyle w:val="10"/>
        <w:spacing w:line="440" w:lineRule="exact"/>
        <w:ind w:firstLine="0"/>
        <w:outlineLvl w:val="0"/>
        <w:rPr>
          <w:rFonts w:ascii="Times New Roman" w:eastAsia="宋体"/>
          <w:b/>
          <w:color w:val="000000"/>
          <w:sz w:val="24"/>
          <w:szCs w:val="24"/>
        </w:rPr>
      </w:pPr>
      <w:bookmarkStart w:id="25" w:name="_Toc132710513"/>
      <w:r>
        <w:rPr>
          <w:rFonts w:hint="eastAsia" w:ascii="Times New Roman" w:eastAsia="宋体"/>
          <w:b/>
          <w:color w:val="000000"/>
          <w:sz w:val="24"/>
          <w:szCs w:val="24"/>
        </w:rPr>
        <w:t>13 其他应予说明的事项</w:t>
      </w:r>
      <w:bookmarkEnd w:id="25"/>
    </w:p>
    <w:p>
      <w:pPr>
        <w:widowControl/>
        <w:spacing w:line="440" w:lineRule="exact"/>
        <w:ind w:firstLine="480" w:firstLineChars="200"/>
      </w:pPr>
      <w:r>
        <w:rPr>
          <w:rFonts w:hint="eastAsia"/>
          <w:color w:val="000000"/>
          <w:sz w:val="24"/>
        </w:rPr>
        <w:t>无。</w:t>
      </w:r>
    </w:p>
    <w:sectPr>
      <w:footerReference r:id="rId3" w:type="default"/>
      <w:type w:val="continuous"/>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865159"/>
      <w:docPartObj>
        <w:docPartGallery w:val="AutoText"/>
      </w:docPartObj>
    </w:sdtPr>
    <w:sdtContent>
      <w:p>
        <w:pPr>
          <w:pStyle w:val="15"/>
          <w:jc w:val="center"/>
        </w:pPr>
        <w:r>
          <w:fldChar w:fldCharType="begin"/>
        </w:r>
        <w:r>
          <w:instrText xml:space="preserve">PAGE   \* MERGEFORMAT</w:instrText>
        </w:r>
        <w:r>
          <w:fldChar w:fldCharType="separate"/>
        </w:r>
        <w:r>
          <w:rPr>
            <w:lang w:val="zh-CN"/>
          </w:rPr>
          <w:t>6</w:t>
        </w:r>
        <w:r>
          <w:fldChar w:fldCharType="end"/>
        </w: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0"/>
      <w:lvlText w:val="（%2）"/>
      <w:lvlJc w:val="left"/>
      <w:pPr>
        <w:ind w:left="284" w:firstLine="0"/>
      </w:pPr>
      <w:rPr>
        <w:rFonts w:hint="eastAsia"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lvlText w:val="（%3）"/>
      <w:lvlJc w:val="left"/>
      <w:pPr>
        <w:ind w:left="426" w:firstLine="0"/>
      </w:pPr>
      <w:rPr>
        <w:rFonts w:hint="eastAsia"/>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0E"/>
    <w:rsid w:val="0000141E"/>
    <w:rsid w:val="0000351C"/>
    <w:rsid w:val="00007488"/>
    <w:rsid w:val="00010CFA"/>
    <w:rsid w:val="00010ED8"/>
    <w:rsid w:val="00011B3A"/>
    <w:rsid w:val="000248D9"/>
    <w:rsid w:val="00030B31"/>
    <w:rsid w:val="00056CB9"/>
    <w:rsid w:val="00060E39"/>
    <w:rsid w:val="000729A7"/>
    <w:rsid w:val="000741C6"/>
    <w:rsid w:val="00077DE8"/>
    <w:rsid w:val="000847B1"/>
    <w:rsid w:val="00092F44"/>
    <w:rsid w:val="00096A76"/>
    <w:rsid w:val="000A7F2D"/>
    <w:rsid w:val="000C4E42"/>
    <w:rsid w:val="000D0B36"/>
    <w:rsid w:val="000D6AF4"/>
    <w:rsid w:val="000F7089"/>
    <w:rsid w:val="001073BC"/>
    <w:rsid w:val="001165E4"/>
    <w:rsid w:val="0012386C"/>
    <w:rsid w:val="0012492D"/>
    <w:rsid w:val="00126BFD"/>
    <w:rsid w:val="00133064"/>
    <w:rsid w:val="00136D3A"/>
    <w:rsid w:val="00143204"/>
    <w:rsid w:val="00146417"/>
    <w:rsid w:val="00161176"/>
    <w:rsid w:val="0016243C"/>
    <w:rsid w:val="001671B6"/>
    <w:rsid w:val="0017706D"/>
    <w:rsid w:val="0018757C"/>
    <w:rsid w:val="0019165A"/>
    <w:rsid w:val="00192FE7"/>
    <w:rsid w:val="00196C4D"/>
    <w:rsid w:val="001A0CF7"/>
    <w:rsid w:val="001A4C4D"/>
    <w:rsid w:val="001B4F9E"/>
    <w:rsid w:val="001C13F3"/>
    <w:rsid w:val="001C7910"/>
    <w:rsid w:val="001D7A40"/>
    <w:rsid w:val="001E7222"/>
    <w:rsid w:val="001F656A"/>
    <w:rsid w:val="001F7BDF"/>
    <w:rsid w:val="002012E8"/>
    <w:rsid w:val="00210B24"/>
    <w:rsid w:val="0021214E"/>
    <w:rsid w:val="00217539"/>
    <w:rsid w:val="002353E9"/>
    <w:rsid w:val="002416F9"/>
    <w:rsid w:val="002438BF"/>
    <w:rsid w:val="00244F69"/>
    <w:rsid w:val="00245D22"/>
    <w:rsid w:val="0024728A"/>
    <w:rsid w:val="00261FC7"/>
    <w:rsid w:val="0026436B"/>
    <w:rsid w:val="00264881"/>
    <w:rsid w:val="00265247"/>
    <w:rsid w:val="00270C21"/>
    <w:rsid w:val="00287846"/>
    <w:rsid w:val="0029487D"/>
    <w:rsid w:val="002A3C2E"/>
    <w:rsid w:val="002B01D4"/>
    <w:rsid w:val="002C02AC"/>
    <w:rsid w:val="002D3F2C"/>
    <w:rsid w:val="002D742B"/>
    <w:rsid w:val="002E1062"/>
    <w:rsid w:val="002E1E38"/>
    <w:rsid w:val="002E3344"/>
    <w:rsid w:val="002E7C30"/>
    <w:rsid w:val="002F15F6"/>
    <w:rsid w:val="002F47F5"/>
    <w:rsid w:val="00327BC6"/>
    <w:rsid w:val="00333F80"/>
    <w:rsid w:val="00336678"/>
    <w:rsid w:val="00345CF7"/>
    <w:rsid w:val="00360129"/>
    <w:rsid w:val="00364AB3"/>
    <w:rsid w:val="00377295"/>
    <w:rsid w:val="00383721"/>
    <w:rsid w:val="003A511C"/>
    <w:rsid w:val="003B440F"/>
    <w:rsid w:val="003B4785"/>
    <w:rsid w:val="003C55E8"/>
    <w:rsid w:val="003D083B"/>
    <w:rsid w:val="003D1C44"/>
    <w:rsid w:val="003E25E4"/>
    <w:rsid w:val="003E34BC"/>
    <w:rsid w:val="003F51DA"/>
    <w:rsid w:val="004012A3"/>
    <w:rsid w:val="0040171B"/>
    <w:rsid w:val="004144E7"/>
    <w:rsid w:val="004165DD"/>
    <w:rsid w:val="00417B1E"/>
    <w:rsid w:val="00423C24"/>
    <w:rsid w:val="0042779A"/>
    <w:rsid w:val="004325A3"/>
    <w:rsid w:val="00454FFB"/>
    <w:rsid w:val="00457843"/>
    <w:rsid w:val="0046775D"/>
    <w:rsid w:val="004A53DF"/>
    <w:rsid w:val="004B108E"/>
    <w:rsid w:val="004B3041"/>
    <w:rsid w:val="004B7235"/>
    <w:rsid w:val="004C6440"/>
    <w:rsid w:val="004C72E3"/>
    <w:rsid w:val="004C7AD9"/>
    <w:rsid w:val="004E0312"/>
    <w:rsid w:val="004E3903"/>
    <w:rsid w:val="004E5A32"/>
    <w:rsid w:val="004E725E"/>
    <w:rsid w:val="004F3D88"/>
    <w:rsid w:val="004F5636"/>
    <w:rsid w:val="00506D70"/>
    <w:rsid w:val="00507B64"/>
    <w:rsid w:val="00510B25"/>
    <w:rsid w:val="00513FDA"/>
    <w:rsid w:val="0051526D"/>
    <w:rsid w:val="0051568C"/>
    <w:rsid w:val="0051594F"/>
    <w:rsid w:val="0051786E"/>
    <w:rsid w:val="005250CE"/>
    <w:rsid w:val="005348F7"/>
    <w:rsid w:val="00540E33"/>
    <w:rsid w:val="00554DBC"/>
    <w:rsid w:val="00562BB2"/>
    <w:rsid w:val="00574E60"/>
    <w:rsid w:val="00586CC4"/>
    <w:rsid w:val="00593649"/>
    <w:rsid w:val="00594D4F"/>
    <w:rsid w:val="005A098D"/>
    <w:rsid w:val="005A4972"/>
    <w:rsid w:val="005B7FAE"/>
    <w:rsid w:val="005C225C"/>
    <w:rsid w:val="005D0284"/>
    <w:rsid w:val="005E2115"/>
    <w:rsid w:val="005F5FDB"/>
    <w:rsid w:val="005F73DE"/>
    <w:rsid w:val="005F7C6B"/>
    <w:rsid w:val="006218AD"/>
    <w:rsid w:val="00623EEF"/>
    <w:rsid w:val="00632231"/>
    <w:rsid w:val="0063291B"/>
    <w:rsid w:val="006379E7"/>
    <w:rsid w:val="0064593F"/>
    <w:rsid w:val="006463B4"/>
    <w:rsid w:val="00667EEB"/>
    <w:rsid w:val="0067526A"/>
    <w:rsid w:val="00677210"/>
    <w:rsid w:val="006801AD"/>
    <w:rsid w:val="0068105F"/>
    <w:rsid w:val="006814AA"/>
    <w:rsid w:val="00690635"/>
    <w:rsid w:val="006914D5"/>
    <w:rsid w:val="00692248"/>
    <w:rsid w:val="006A5257"/>
    <w:rsid w:val="006A6CC5"/>
    <w:rsid w:val="006A7230"/>
    <w:rsid w:val="006B1303"/>
    <w:rsid w:val="006B4046"/>
    <w:rsid w:val="006C51B1"/>
    <w:rsid w:val="006C6748"/>
    <w:rsid w:val="006D0E6C"/>
    <w:rsid w:val="006D2713"/>
    <w:rsid w:val="00704983"/>
    <w:rsid w:val="00710091"/>
    <w:rsid w:val="0071141E"/>
    <w:rsid w:val="007212A8"/>
    <w:rsid w:val="007239D1"/>
    <w:rsid w:val="00742A92"/>
    <w:rsid w:val="00754C99"/>
    <w:rsid w:val="00756D17"/>
    <w:rsid w:val="00780A01"/>
    <w:rsid w:val="00785004"/>
    <w:rsid w:val="0079228C"/>
    <w:rsid w:val="007954E7"/>
    <w:rsid w:val="007A1C9A"/>
    <w:rsid w:val="007A2E0C"/>
    <w:rsid w:val="007B0C88"/>
    <w:rsid w:val="007B4794"/>
    <w:rsid w:val="007F4442"/>
    <w:rsid w:val="00801911"/>
    <w:rsid w:val="00812DA9"/>
    <w:rsid w:val="00815E94"/>
    <w:rsid w:val="0082084C"/>
    <w:rsid w:val="008225D5"/>
    <w:rsid w:val="00823B8E"/>
    <w:rsid w:val="0082525E"/>
    <w:rsid w:val="00827C1E"/>
    <w:rsid w:val="00830EF1"/>
    <w:rsid w:val="00836279"/>
    <w:rsid w:val="00841FA2"/>
    <w:rsid w:val="00844F57"/>
    <w:rsid w:val="00847318"/>
    <w:rsid w:val="00855CF1"/>
    <w:rsid w:val="00860EC1"/>
    <w:rsid w:val="008615B2"/>
    <w:rsid w:val="00863D4E"/>
    <w:rsid w:val="008671C8"/>
    <w:rsid w:val="008676DA"/>
    <w:rsid w:val="00892795"/>
    <w:rsid w:val="008957C8"/>
    <w:rsid w:val="008A7518"/>
    <w:rsid w:val="008D1690"/>
    <w:rsid w:val="008D3CDB"/>
    <w:rsid w:val="008E1156"/>
    <w:rsid w:val="008E5F7A"/>
    <w:rsid w:val="0091418A"/>
    <w:rsid w:val="009334DE"/>
    <w:rsid w:val="00940DAE"/>
    <w:rsid w:val="00941ACF"/>
    <w:rsid w:val="00960FCE"/>
    <w:rsid w:val="00966D27"/>
    <w:rsid w:val="00975675"/>
    <w:rsid w:val="00987F6A"/>
    <w:rsid w:val="0099748A"/>
    <w:rsid w:val="009A36B5"/>
    <w:rsid w:val="009B011E"/>
    <w:rsid w:val="009C6899"/>
    <w:rsid w:val="009C7060"/>
    <w:rsid w:val="009C7AAC"/>
    <w:rsid w:val="009E72A7"/>
    <w:rsid w:val="009F1DA6"/>
    <w:rsid w:val="009F2E7C"/>
    <w:rsid w:val="009F666F"/>
    <w:rsid w:val="00A05E67"/>
    <w:rsid w:val="00A06023"/>
    <w:rsid w:val="00A13A98"/>
    <w:rsid w:val="00A20586"/>
    <w:rsid w:val="00A2189A"/>
    <w:rsid w:val="00A23DDD"/>
    <w:rsid w:val="00A276EA"/>
    <w:rsid w:val="00A370D9"/>
    <w:rsid w:val="00A40823"/>
    <w:rsid w:val="00A41D4E"/>
    <w:rsid w:val="00A47871"/>
    <w:rsid w:val="00A60839"/>
    <w:rsid w:val="00A60B00"/>
    <w:rsid w:val="00A645EE"/>
    <w:rsid w:val="00A73EC3"/>
    <w:rsid w:val="00A93129"/>
    <w:rsid w:val="00A97959"/>
    <w:rsid w:val="00AA3521"/>
    <w:rsid w:val="00AB15C6"/>
    <w:rsid w:val="00AC030E"/>
    <w:rsid w:val="00AC6BC4"/>
    <w:rsid w:val="00AE1723"/>
    <w:rsid w:val="00AE409B"/>
    <w:rsid w:val="00AE4373"/>
    <w:rsid w:val="00AF152D"/>
    <w:rsid w:val="00AF78B0"/>
    <w:rsid w:val="00B031B2"/>
    <w:rsid w:val="00B14D94"/>
    <w:rsid w:val="00B26FA3"/>
    <w:rsid w:val="00B30445"/>
    <w:rsid w:val="00B3384D"/>
    <w:rsid w:val="00B3718B"/>
    <w:rsid w:val="00B40D9F"/>
    <w:rsid w:val="00B443B8"/>
    <w:rsid w:val="00B5509D"/>
    <w:rsid w:val="00B63A23"/>
    <w:rsid w:val="00B758DA"/>
    <w:rsid w:val="00B82F07"/>
    <w:rsid w:val="00B83B02"/>
    <w:rsid w:val="00B872B5"/>
    <w:rsid w:val="00B9103C"/>
    <w:rsid w:val="00B92711"/>
    <w:rsid w:val="00B950D3"/>
    <w:rsid w:val="00B977FD"/>
    <w:rsid w:val="00BA03FF"/>
    <w:rsid w:val="00BA2425"/>
    <w:rsid w:val="00BA2652"/>
    <w:rsid w:val="00BA59AA"/>
    <w:rsid w:val="00BA7793"/>
    <w:rsid w:val="00BB3889"/>
    <w:rsid w:val="00BC6F1E"/>
    <w:rsid w:val="00BD0A93"/>
    <w:rsid w:val="00BD7F00"/>
    <w:rsid w:val="00BE277E"/>
    <w:rsid w:val="00BE3978"/>
    <w:rsid w:val="00BE64BF"/>
    <w:rsid w:val="00C31317"/>
    <w:rsid w:val="00C35374"/>
    <w:rsid w:val="00C50B40"/>
    <w:rsid w:val="00C5144E"/>
    <w:rsid w:val="00C53427"/>
    <w:rsid w:val="00C60019"/>
    <w:rsid w:val="00C60B7B"/>
    <w:rsid w:val="00C60E44"/>
    <w:rsid w:val="00C61D14"/>
    <w:rsid w:val="00C6601B"/>
    <w:rsid w:val="00C66ADB"/>
    <w:rsid w:val="00C720F0"/>
    <w:rsid w:val="00C857E4"/>
    <w:rsid w:val="00C867BB"/>
    <w:rsid w:val="00C94CD0"/>
    <w:rsid w:val="00CA5E23"/>
    <w:rsid w:val="00CC3600"/>
    <w:rsid w:val="00CD0220"/>
    <w:rsid w:val="00CD6B18"/>
    <w:rsid w:val="00CF1C39"/>
    <w:rsid w:val="00CF3E2B"/>
    <w:rsid w:val="00D10C04"/>
    <w:rsid w:val="00D17BBC"/>
    <w:rsid w:val="00D21E4B"/>
    <w:rsid w:val="00D25955"/>
    <w:rsid w:val="00D318FF"/>
    <w:rsid w:val="00D42E2E"/>
    <w:rsid w:val="00D47C0B"/>
    <w:rsid w:val="00D62912"/>
    <w:rsid w:val="00D711DF"/>
    <w:rsid w:val="00D715C6"/>
    <w:rsid w:val="00D87084"/>
    <w:rsid w:val="00D933CF"/>
    <w:rsid w:val="00D96EA3"/>
    <w:rsid w:val="00DB62CF"/>
    <w:rsid w:val="00DB6C9B"/>
    <w:rsid w:val="00DC04C3"/>
    <w:rsid w:val="00DC059C"/>
    <w:rsid w:val="00DC1B12"/>
    <w:rsid w:val="00DF0A88"/>
    <w:rsid w:val="00E04663"/>
    <w:rsid w:val="00E239E5"/>
    <w:rsid w:val="00E23BDE"/>
    <w:rsid w:val="00E26DF1"/>
    <w:rsid w:val="00E36CDB"/>
    <w:rsid w:val="00E37898"/>
    <w:rsid w:val="00E40020"/>
    <w:rsid w:val="00E416CD"/>
    <w:rsid w:val="00E43409"/>
    <w:rsid w:val="00E5402C"/>
    <w:rsid w:val="00E63C14"/>
    <w:rsid w:val="00E63C25"/>
    <w:rsid w:val="00E736D6"/>
    <w:rsid w:val="00E85878"/>
    <w:rsid w:val="00E95E9C"/>
    <w:rsid w:val="00EA09D1"/>
    <w:rsid w:val="00EA0AF7"/>
    <w:rsid w:val="00EA24E8"/>
    <w:rsid w:val="00EA5218"/>
    <w:rsid w:val="00EC1F61"/>
    <w:rsid w:val="00ED0A97"/>
    <w:rsid w:val="00ED3CD0"/>
    <w:rsid w:val="00ED7278"/>
    <w:rsid w:val="00EE260B"/>
    <w:rsid w:val="00EE6CD5"/>
    <w:rsid w:val="00EF7271"/>
    <w:rsid w:val="00EF7A07"/>
    <w:rsid w:val="00F04670"/>
    <w:rsid w:val="00F1167F"/>
    <w:rsid w:val="00F1305F"/>
    <w:rsid w:val="00F243C6"/>
    <w:rsid w:val="00F372B9"/>
    <w:rsid w:val="00F50469"/>
    <w:rsid w:val="00F61459"/>
    <w:rsid w:val="00F70AFD"/>
    <w:rsid w:val="00F81115"/>
    <w:rsid w:val="00F820B7"/>
    <w:rsid w:val="00F86419"/>
    <w:rsid w:val="00F964F3"/>
    <w:rsid w:val="00FB27B3"/>
    <w:rsid w:val="00FB65A2"/>
    <w:rsid w:val="00FC4CB1"/>
    <w:rsid w:val="00FE02A3"/>
    <w:rsid w:val="00FF012A"/>
    <w:rsid w:val="00FF322F"/>
    <w:rsid w:val="18D32A02"/>
    <w:rsid w:val="3462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4"/>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3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36"/>
    <w:unhideWhenUsed/>
    <w:qFormat/>
    <w:uiPriority w:val="0"/>
    <w:pPr>
      <w:keepNext/>
      <w:keepLines/>
      <w:spacing w:before="280" w:after="290" w:line="376" w:lineRule="auto"/>
      <w:outlineLvl w:val="3"/>
    </w:pPr>
    <w:rPr>
      <w:rFonts w:ascii="Cambria" w:hAnsi="Cambria"/>
      <w:b/>
      <w:bCs/>
      <w:sz w:val="28"/>
      <w:szCs w:val="28"/>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index 8"/>
    <w:basedOn w:val="1"/>
    <w:next w:val="1"/>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uiPriority w:val="0"/>
    <w:pPr>
      <w:ind w:left="1050" w:hanging="210"/>
      <w:jc w:val="left"/>
    </w:pPr>
    <w:rPr>
      <w:rFonts w:ascii="Calibri" w:hAnsi="Calibri"/>
      <w:sz w:val="20"/>
      <w:szCs w:val="20"/>
    </w:rPr>
  </w:style>
  <w:style w:type="paragraph" w:styleId="9">
    <w:name w:val="index 6"/>
    <w:basedOn w:val="1"/>
    <w:next w:val="1"/>
    <w:uiPriority w:val="0"/>
    <w:pPr>
      <w:ind w:left="1260" w:hanging="210"/>
      <w:jc w:val="left"/>
    </w:pPr>
    <w:rPr>
      <w:rFonts w:ascii="Calibri" w:hAnsi="Calibri"/>
      <w:sz w:val="20"/>
      <w:szCs w:val="20"/>
    </w:rPr>
  </w:style>
  <w:style w:type="paragraph" w:styleId="10">
    <w:name w:val="Body Text Indent"/>
    <w:basedOn w:val="1"/>
    <w:uiPriority w:val="0"/>
    <w:pPr>
      <w:ind w:firstLine="570"/>
    </w:pPr>
    <w:rPr>
      <w:rFonts w:ascii="仿宋_GB2312" w:eastAsia="仿宋_GB2312"/>
      <w:sz w:val="28"/>
      <w:szCs w:val="20"/>
    </w:rPr>
  </w:style>
  <w:style w:type="paragraph" w:styleId="11">
    <w:name w:val="index 4"/>
    <w:basedOn w:val="1"/>
    <w:next w:val="1"/>
    <w:uiPriority w:val="0"/>
    <w:pPr>
      <w:ind w:left="840" w:hanging="210"/>
      <w:jc w:val="left"/>
    </w:pPr>
    <w:rPr>
      <w:rFonts w:ascii="Calibri" w:hAnsi="Calibri"/>
      <w:sz w:val="20"/>
      <w:szCs w:val="20"/>
    </w:rPr>
  </w:style>
  <w:style w:type="paragraph" w:styleId="12">
    <w:name w:val="index 3"/>
    <w:basedOn w:val="1"/>
    <w:next w:val="1"/>
    <w:uiPriority w:val="0"/>
    <w:pPr>
      <w:ind w:left="630" w:hanging="210"/>
      <w:jc w:val="left"/>
    </w:pPr>
    <w:rPr>
      <w:rFonts w:ascii="Calibri" w:hAnsi="Calibri"/>
      <w:sz w:val="20"/>
      <w:szCs w:val="20"/>
    </w:rPr>
  </w:style>
  <w:style w:type="paragraph" w:styleId="13">
    <w:name w:val="Date"/>
    <w:basedOn w:val="1"/>
    <w:next w:val="1"/>
    <w:uiPriority w:val="0"/>
    <w:pPr>
      <w:ind w:left="100" w:leftChars="2500"/>
    </w:pPr>
  </w:style>
  <w:style w:type="paragraph" w:styleId="14">
    <w:name w:val="Balloon Text"/>
    <w:basedOn w:val="1"/>
    <w:link w:val="139"/>
    <w:uiPriority w:val="0"/>
    <w:rPr>
      <w:sz w:val="18"/>
      <w:szCs w:val="18"/>
    </w:rPr>
  </w:style>
  <w:style w:type="paragraph" w:styleId="15">
    <w:name w:val="footer"/>
    <w:basedOn w:val="1"/>
    <w:link w:val="34"/>
    <w:uiPriority w:val="99"/>
    <w:pPr>
      <w:snapToGrid w:val="0"/>
      <w:ind w:right="210" w:rightChars="100"/>
      <w:jc w:val="right"/>
    </w:pPr>
    <w:rPr>
      <w:sz w:val="18"/>
      <w:szCs w:val="18"/>
    </w:rPr>
  </w:style>
  <w:style w:type="paragraph" w:styleId="16">
    <w:name w:val="header"/>
    <w:basedOn w:val="1"/>
    <w:link w:val="37"/>
    <w:uiPriority w:val="0"/>
    <w:pPr>
      <w:snapToGrid w:val="0"/>
      <w:jc w:val="left"/>
    </w:pPr>
    <w:rPr>
      <w:sz w:val="18"/>
      <w:szCs w:val="18"/>
    </w:rPr>
  </w:style>
  <w:style w:type="paragraph" w:styleId="17">
    <w:name w:val="toc 1"/>
    <w:basedOn w:val="1"/>
    <w:next w:val="1"/>
    <w:uiPriority w:val="39"/>
  </w:style>
  <w:style w:type="paragraph" w:styleId="18">
    <w:name w:val="index heading"/>
    <w:basedOn w:val="1"/>
    <w:next w:val="19"/>
    <w:uiPriority w:val="0"/>
    <w:pPr>
      <w:spacing w:before="120" w:after="120"/>
      <w:jc w:val="center"/>
    </w:pPr>
    <w:rPr>
      <w:rFonts w:ascii="Calibri" w:hAnsi="Calibri"/>
      <w:b/>
      <w:bCs/>
      <w:iCs/>
      <w:szCs w:val="20"/>
    </w:rPr>
  </w:style>
  <w:style w:type="paragraph" w:styleId="19">
    <w:name w:val="index 1"/>
    <w:basedOn w:val="1"/>
    <w:next w:val="20"/>
    <w:uiPriority w:val="0"/>
    <w:pPr>
      <w:tabs>
        <w:tab w:val="right" w:leader="dot" w:pos="9299"/>
      </w:tabs>
      <w:jc w:val="left"/>
    </w:pPr>
    <w:rPr>
      <w:rFonts w:ascii="宋体"/>
      <w:szCs w:val="21"/>
    </w:rPr>
  </w:style>
  <w:style w:type="paragraph" w:customStyle="1" w:styleId="20">
    <w:name w:val="段"/>
    <w:link w:val="39"/>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1">
    <w:name w:val="footnote text"/>
    <w:basedOn w:val="1"/>
    <w:uiPriority w:val="0"/>
    <w:pPr>
      <w:tabs>
        <w:tab w:val="left" w:pos="0"/>
      </w:tabs>
      <w:snapToGrid w:val="0"/>
      <w:ind w:left="720" w:hanging="357"/>
      <w:jc w:val="left"/>
    </w:pPr>
    <w:rPr>
      <w:rFonts w:ascii="宋体"/>
      <w:sz w:val="18"/>
      <w:szCs w:val="18"/>
    </w:rPr>
  </w:style>
  <w:style w:type="paragraph" w:styleId="22">
    <w:name w:val="index 7"/>
    <w:basedOn w:val="1"/>
    <w:next w:val="1"/>
    <w:uiPriority w:val="0"/>
    <w:pPr>
      <w:ind w:left="1470" w:hanging="210"/>
      <w:jc w:val="left"/>
    </w:pPr>
    <w:rPr>
      <w:rFonts w:ascii="Calibri" w:hAnsi="Calibri"/>
      <w:sz w:val="20"/>
      <w:szCs w:val="20"/>
    </w:rPr>
  </w:style>
  <w:style w:type="paragraph" w:styleId="23">
    <w:name w:val="index 9"/>
    <w:basedOn w:val="1"/>
    <w:next w:val="1"/>
    <w:uiPriority w:val="0"/>
    <w:pPr>
      <w:ind w:left="1890" w:hanging="210"/>
      <w:jc w:val="left"/>
    </w:pPr>
    <w:rPr>
      <w:rFonts w:ascii="Calibri" w:hAnsi="Calibri"/>
      <w:sz w:val="20"/>
      <w:szCs w:val="20"/>
    </w:rPr>
  </w:style>
  <w:style w:type="paragraph" w:styleId="24">
    <w:name w:val="toc 2"/>
    <w:basedOn w:val="1"/>
    <w:next w:val="1"/>
    <w:uiPriority w:val="39"/>
    <w:pPr>
      <w:ind w:left="420" w:leftChars="200"/>
    </w:pPr>
  </w:style>
  <w:style w:type="paragraph" w:styleId="25">
    <w:name w:val="HTML Preformatted"/>
    <w:basedOn w:val="1"/>
    <w:uiPriority w:val="0"/>
    <w:pPr>
      <w:tabs>
        <w:tab w:val="left" w:pos="360"/>
      </w:tabs>
    </w:pPr>
    <w:rPr>
      <w:rFonts w:ascii="Courier New" w:hAnsi="Courier New" w:cs="Courier New"/>
      <w:sz w:val="20"/>
      <w:szCs w:val="20"/>
    </w:rPr>
  </w:style>
  <w:style w:type="paragraph" w:styleId="26">
    <w:name w:val="index 2"/>
    <w:basedOn w:val="1"/>
    <w:next w:val="1"/>
    <w:uiPriority w:val="0"/>
    <w:pPr>
      <w:ind w:left="420" w:hanging="210"/>
      <w:jc w:val="left"/>
    </w:pPr>
    <w:rPr>
      <w:rFonts w:ascii="Calibri" w:hAnsi="Calibri"/>
      <w:sz w:val="20"/>
      <w:szCs w:val="20"/>
    </w:rPr>
  </w:style>
  <w:style w:type="table" w:styleId="28">
    <w:name w:val="Table Grid"/>
    <w:basedOn w:val="27"/>
    <w:uiPriority w:val="59"/>
    <w:pPr>
      <w:numPr>
        <w:numId w:val="1"/>
      </w:numPr>
      <w:tabs>
        <w:tab w:val="left" w:pos="360"/>
      </w:tabs>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Times New Roman" w:hAnsi="Times New Roman" w:eastAsia="宋体"/>
      <w:sz w:val="18"/>
    </w:rPr>
  </w:style>
  <w:style w:type="character" w:styleId="32">
    <w:name w:val="Hyperlink"/>
    <w:uiPriority w:val="99"/>
    <w:rPr>
      <w:color w:val="0000FF"/>
      <w:spacing w:val="0"/>
      <w:w w:val="100"/>
      <w:szCs w:val="21"/>
      <w:u w:val="single"/>
      <w:lang w:val="en-US" w:eastAsia="zh-CN"/>
    </w:rPr>
  </w:style>
  <w:style w:type="character" w:customStyle="1" w:styleId="33">
    <w:name w:val="已访问的超链接1"/>
    <w:uiPriority w:val="0"/>
    <w:rPr>
      <w:color w:val="800080"/>
      <w:u w:val="single"/>
    </w:rPr>
  </w:style>
  <w:style w:type="character" w:customStyle="1" w:styleId="34">
    <w:name w:val="页脚 Char"/>
    <w:link w:val="15"/>
    <w:qFormat/>
    <w:uiPriority w:val="99"/>
    <w:rPr>
      <w:rFonts w:eastAsia="宋体"/>
      <w:kern w:val="2"/>
      <w:sz w:val="18"/>
      <w:szCs w:val="18"/>
      <w:lang w:val="en-US" w:eastAsia="zh-CN" w:bidi="ar-SA"/>
    </w:rPr>
  </w:style>
  <w:style w:type="character" w:customStyle="1" w:styleId="35">
    <w:name w:val="首示例 Char"/>
    <w:link w:val="36"/>
    <w:uiPriority w:val="0"/>
    <w:rPr>
      <w:rFonts w:ascii="宋体" w:hAnsi="宋体"/>
      <w:kern w:val="2"/>
      <w:sz w:val="18"/>
      <w:szCs w:val="18"/>
    </w:rPr>
  </w:style>
  <w:style w:type="paragraph" w:customStyle="1" w:styleId="36">
    <w:name w:val="首示例"/>
    <w:next w:val="20"/>
    <w:link w:val="35"/>
    <w:qFormat/>
    <w:uiPriority w:val="0"/>
    <w:pPr>
      <w:tabs>
        <w:tab w:val="left" w:pos="360"/>
      </w:tabs>
    </w:pPr>
    <w:rPr>
      <w:rFonts w:ascii="宋体" w:hAnsi="宋体" w:eastAsia="宋体" w:cs="Times New Roman"/>
      <w:kern w:val="2"/>
      <w:sz w:val="18"/>
      <w:szCs w:val="18"/>
      <w:lang w:val="en-US" w:eastAsia="zh-CN" w:bidi="ar-SA"/>
    </w:rPr>
  </w:style>
  <w:style w:type="character" w:customStyle="1" w:styleId="37">
    <w:name w:val="页眉 Char"/>
    <w:link w:val="16"/>
    <w:uiPriority w:val="0"/>
    <w:rPr>
      <w:kern w:val="2"/>
      <w:sz w:val="18"/>
      <w:szCs w:val="18"/>
    </w:rPr>
  </w:style>
  <w:style w:type="character" w:customStyle="1" w:styleId="38">
    <w:name w:val="发布"/>
    <w:uiPriority w:val="0"/>
    <w:rPr>
      <w:rFonts w:ascii="黑体" w:eastAsia="黑体"/>
      <w:spacing w:val="85"/>
      <w:w w:val="100"/>
      <w:position w:val="3"/>
      <w:sz w:val="28"/>
      <w:szCs w:val="28"/>
    </w:rPr>
  </w:style>
  <w:style w:type="character" w:customStyle="1" w:styleId="39">
    <w:name w:val="段 Char"/>
    <w:link w:val="20"/>
    <w:uiPriority w:val="0"/>
    <w:rPr>
      <w:rFonts w:ascii="宋体"/>
      <w:sz w:val="21"/>
      <w:lang w:val="en-US" w:eastAsia="zh-CN" w:bidi="ar-SA"/>
    </w:rPr>
  </w:style>
  <w:style w:type="character" w:customStyle="1" w:styleId="40">
    <w:name w:val="附录公式 Char"/>
    <w:basedOn w:val="39"/>
    <w:link w:val="41"/>
    <w:uiPriority w:val="0"/>
    <w:rPr>
      <w:rFonts w:ascii="宋体"/>
      <w:sz w:val="21"/>
      <w:lang w:val="en-US" w:eastAsia="zh-CN" w:bidi="ar-SA"/>
    </w:rPr>
  </w:style>
  <w:style w:type="paragraph" w:customStyle="1" w:styleId="41">
    <w:name w:val="附录公式"/>
    <w:basedOn w:val="20"/>
    <w:next w:val="20"/>
    <w:link w:val="40"/>
    <w:qFormat/>
    <w:uiPriority w:val="0"/>
  </w:style>
  <w:style w:type="paragraph" w:customStyle="1" w:styleId="42">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3">
    <w:name w:val="参考文献、索引标题"/>
    <w:basedOn w:val="1"/>
    <w:next w:val="20"/>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4">
    <w:name w:val="章标题"/>
    <w:next w:val="20"/>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5">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46">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7">
    <w:name w:val="附录公式编号制表符"/>
    <w:basedOn w:val="1"/>
    <w:next w:val="20"/>
    <w:qFormat/>
    <w:uiPriority w:val="0"/>
    <w:pPr>
      <w:widowControl/>
      <w:tabs>
        <w:tab w:val="center" w:pos="4201"/>
        <w:tab w:val="right" w:leader="dot" w:pos="9298"/>
      </w:tabs>
      <w:autoSpaceDE w:val="0"/>
      <w:autoSpaceDN w:val="0"/>
    </w:pPr>
    <w:rPr>
      <w:rFonts w:ascii="宋体"/>
      <w:kern w:val="0"/>
      <w:szCs w:val="20"/>
    </w:rPr>
  </w:style>
  <w:style w:type="paragraph" w:customStyle="1" w:styleId="48">
    <w:name w:val="二级无"/>
    <w:basedOn w:val="49"/>
    <w:uiPriority w:val="0"/>
    <w:pPr>
      <w:spacing w:before="0" w:beforeLines="0" w:after="0" w:afterLines="0"/>
      <w:ind w:left="0"/>
    </w:pPr>
    <w:rPr>
      <w:rFonts w:ascii="宋体" w:eastAsia="宋体"/>
    </w:rPr>
  </w:style>
  <w:style w:type="paragraph" w:customStyle="1" w:styleId="49">
    <w:name w:val="二级条标题"/>
    <w:basedOn w:val="50"/>
    <w:next w:val="20"/>
    <w:uiPriority w:val="0"/>
    <w:pPr>
      <w:numPr>
        <w:ilvl w:val="0"/>
        <w:numId w:val="0"/>
      </w:numPr>
      <w:spacing w:before="50" w:after="50"/>
      <w:ind w:left="426"/>
      <w:outlineLvl w:val="3"/>
    </w:pPr>
  </w:style>
  <w:style w:type="paragraph" w:customStyle="1" w:styleId="50">
    <w:name w:val="一级条标题"/>
    <w:next w:val="20"/>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1">
    <w:name w:val="编号列项（三级）"/>
    <w:uiPriority w:val="0"/>
    <w:rPr>
      <w:rFonts w:ascii="宋体" w:hAnsi="Times New Roman" w:eastAsia="宋体" w:cs="Times New Roman"/>
      <w:sz w:val="21"/>
      <w:lang w:val="en-US" w:eastAsia="zh-CN" w:bidi="ar-SA"/>
    </w:rPr>
  </w:style>
  <w:style w:type="paragraph" w:customStyle="1" w:styleId="52">
    <w:name w:val="条文脚注"/>
    <w:basedOn w:val="21"/>
    <w:uiPriority w:val="0"/>
    <w:pPr>
      <w:ind w:left="0" w:firstLine="0"/>
      <w:jc w:val="both"/>
    </w:pPr>
  </w:style>
  <w:style w:type="paragraph" w:customStyle="1" w:styleId="53">
    <w:name w:val="附录标题"/>
    <w:basedOn w:val="20"/>
    <w:next w:val="20"/>
    <w:uiPriority w:val="0"/>
    <w:pPr>
      <w:ind w:firstLine="0" w:firstLineChars="0"/>
      <w:jc w:val="center"/>
    </w:pPr>
    <w:rPr>
      <w:rFonts w:ascii="黑体" w:eastAsia="黑体"/>
    </w:rPr>
  </w:style>
  <w:style w:type="paragraph" w:customStyle="1" w:styleId="54">
    <w:name w:val="目次、标准名称标题"/>
    <w:basedOn w:val="1"/>
    <w:next w:val="20"/>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5">
    <w:name w:val="正文公式编号制表符"/>
    <w:basedOn w:val="20"/>
    <w:next w:val="20"/>
    <w:qFormat/>
    <w:uiPriority w:val="0"/>
    <w:pPr>
      <w:ind w:firstLine="0" w:firstLineChars="0"/>
    </w:pPr>
  </w:style>
  <w:style w:type="paragraph" w:customStyle="1" w:styleId="56">
    <w:name w:val="附录四级条标题"/>
    <w:basedOn w:val="57"/>
    <w:next w:val="20"/>
    <w:uiPriority w:val="0"/>
    <w:pPr>
      <w:tabs>
        <w:tab w:val="left" w:pos="360"/>
      </w:tabs>
      <w:outlineLvl w:val="5"/>
    </w:pPr>
  </w:style>
  <w:style w:type="paragraph" w:customStyle="1" w:styleId="57">
    <w:name w:val="附录三级条标题"/>
    <w:basedOn w:val="58"/>
    <w:next w:val="20"/>
    <w:uiPriority w:val="0"/>
    <w:pPr>
      <w:tabs>
        <w:tab w:val="left" w:pos="360"/>
      </w:tabs>
      <w:outlineLvl w:val="4"/>
    </w:pPr>
  </w:style>
  <w:style w:type="paragraph" w:customStyle="1" w:styleId="58">
    <w:name w:val="附录二级条标题"/>
    <w:basedOn w:val="1"/>
    <w:next w:val="20"/>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9">
    <w:name w:val="三级无"/>
    <w:basedOn w:val="60"/>
    <w:uiPriority w:val="0"/>
    <w:pPr>
      <w:spacing w:before="0" w:beforeLines="0" w:after="0" w:afterLines="0"/>
    </w:pPr>
    <w:rPr>
      <w:rFonts w:ascii="宋体" w:eastAsia="宋体"/>
    </w:rPr>
  </w:style>
  <w:style w:type="paragraph" w:customStyle="1" w:styleId="60">
    <w:name w:val="三级条标题"/>
    <w:basedOn w:val="49"/>
    <w:next w:val="20"/>
    <w:uiPriority w:val="0"/>
    <w:pPr>
      <w:ind w:left="0"/>
      <w:outlineLvl w:val="4"/>
    </w:pPr>
  </w:style>
  <w:style w:type="paragraph" w:customStyle="1" w:styleId="61">
    <w:name w:val="封面一致性程度标识"/>
    <w:basedOn w:val="62"/>
    <w:uiPriority w:val="0"/>
    <w:pPr>
      <w:framePr/>
      <w:spacing w:before="440"/>
    </w:pPr>
    <w:rPr>
      <w:rFonts w:ascii="宋体" w:eastAsia="宋体"/>
    </w:rPr>
  </w:style>
  <w:style w:type="paragraph" w:customStyle="1" w:styleId="62">
    <w:name w:val="封面标准英文名称"/>
    <w:basedOn w:val="63"/>
    <w:uiPriority w:val="0"/>
    <w:pPr>
      <w:framePr/>
      <w:spacing w:before="370" w:line="400" w:lineRule="exact"/>
    </w:pPr>
    <w:rPr>
      <w:rFonts w:ascii="Times New Roman"/>
      <w:sz w:val="28"/>
      <w:szCs w:val="28"/>
    </w:rPr>
  </w:style>
  <w:style w:type="paragraph" w:customStyle="1" w:styleId="63">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4">
    <w:name w:val="示例×："/>
    <w:basedOn w:val="44"/>
    <w:qFormat/>
    <w:uiPriority w:val="0"/>
    <w:pPr>
      <w:spacing w:before="0" w:beforeLines="0" w:after="0" w:afterLines="0"/>
      <w:ind w:firstLine="363"/>
      <w:outlineLvl w:val="9"/>
    </w:pPr>
    <w:rPr>
      <w:rFonts w:ascii="宋体" w:eastAsia="宋体"/>
      <w:sz w:val="18"/>
      <w:szCs w:val="18"/>
    </w:rPr>
  </w:style>
  <w:style w:type="paragraph" w:customStyle="1" w:styleId="65">
    <w:name w:val="封面一致性程度标识2"/>
    <w:basedOn w:val="61"/>
    <w:uiPriority w:val="0"/>
    <w:pPr>
      <w:framePr w:y="4469"/>
    </w:pPr>
  </w:style>
  <w:style w:type="paragraph" w:customStyle="1" w:styleId="66">
    <w:name w:val="附录五级无"/>
    <w:basedOn w:val="67"/>
    <w:uiPriority w:val="0"/>
    <w:pPr>
      <w:spacing w:before="0" w:beforeLines="0" w:after="0" w:afterLines="0"/>
    </w:pPr>
    <w:rPr>
      <w:rFonts w:ascii="宋体" w:eastAsia="宋体"/>
      <w:szCs w:val="21"/>
    </w:rPr>
  </w:style>
  <w:style w:type="paragraph" w:customStyle="1" w:styleId="67">
    <w:name w:val="附录五级条标题"/>
    <w:basedOn w:val="56"/>
    <w:next w:val="20"/>
    <w:uiPriority w:val="0"/>
    <w:pPr>
      <w:outlineLvl w:val="6"/>
    </w:pPr>
  </w:style>
  <w:style w:type="paragraph" w:customStyle="1" w:styleId="68">
    <w:name w:val="四级条标题"/>
    <w:basedOn w:val="60"/>
    <w:next w:val="20"/>
    <w:uiPriority w:val="0"/>
    <w:pPr>
      <w:outlineLvl w:val="5"/>
    </w:pPr>
  </w:style>
  <w:style w:type="paragraph" w:customStyle="1" w:styleId="69">
    <w:name w:val="注："/>
    <w:next w:val="20"/>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0">
    <w:name w:val="附录四级无"/>
    <w:basedOn w:val="56"/>
    <w:uiPriority w:val="0"/>
    <w:pPr>
      <w:tabs>
        <w:tab w:val="clear" w:pos="360"/>
      </w:tabs>
      <w:spacing w:before="0" w:beforeLines="0" w:after="0" w:afterLines="0"/>
    </w:pPr>
    <w:rPr>
      <w:rFonts w:ascii="宋体" w:eastAsia="宋体"/>
      <w:szCs w:val="21"/>
    </w:rPr>
  </w:style>
  <w:style w:type="paragraph" w:customStyle="1" w:styleId="71">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2">
    <w:name w:val="其他发布部门"/>
    <w:basedOn w:val="73"/>
    <w:uiPriority w:val="0"/>
    <w:pPr>
      <w:framePr w:y="15310"/>
      <w:spacing w:line="0" w:lineRule="atLeast"/>
    </w:pPr>
    <w:rPr>
      <w:rFonts w:ascii="黑体" w:eastAsia="黑体"/>
      <w:b w:val="0"/>
    </w:rPr>
  </w:style>
  <w:style w:type="paragraph" w:customStyle="1" w:styleId="73">
    <w:name w:val="发布部门"/>
    <w:next w:val="20"/>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列项◆（三级）"/>
    <w:basedOn w:val="1"/>
    <w:uiPriority w:val="0"/>
    <w:pPr>
      <w:tabs>
        <w:tab w:val="left" w:pos="1678"/>
      </w:tabs>
      <w:ind w:left="1678" w:hanging="414"/>
    </w:pPr>
    <w:rPr>
      <w:rFonts w:ascii="宋体"/>
      <w:szCs w:val="21"/>
    </w:rPr>
  </w:style>
  <w:style w:type="paragraph" w:customStyle="1" w:styleId="75">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6">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正文图标题"/>
    <w:next w:val="20"/>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78">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9">
    <w:name w:val="附录章标题"/>
    <w:next w:val="20"/>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1">
    <w:name w:val="注：（正文）"/>
    <w:basedOn w:val="69"/>
    <w:next w:val="20"/>
    <w:uiPriority w:val="0"/>
  </w:style>
  <w:style w:type="paragraph" w:customStyle="1" w:styleId="82">
    <w:name w:val="附录图标号"/>
    <w:basedOn w:val="1"/>
    <w:uiPriority w:val="0"/>
    <w:pPr>
      <w:keepNext/>
      <w:pageBreakBefore/>
      <w:widowControl/>
      <w:spacing w:line="14" w:lineRule="exact"/>
      <w:ind w:firstLine="363"/>
      <w:jc w:val="center"/>
      <w:outlineLvl w:val="0"/>
    </w:pPr>
    <w:rPr>
      <w:color w:val="FFFFFF"/>
    </w:rPr>
  </w:style>
  <w:style w:type="paragraph" w:customStyle="1" w:styleId="83">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84">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85">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6">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styleId="87">
    <w:name w:val="List Paragraph"/>
    <w:basedOn w:val="1"/>
    <w:qFormat/>
    <w:uiPriority w:val="34"/>
    <w:pPr>
      <w:ind w:firstLine="420" w:firstLineChars="200"/>
    </w:pPr>
    <w:rPr>
      <w:rFonts w:ascii="Calibri" w:hAnsi="Calibri"/>
      <w:szCs w:val="22"/>
    </w:rPr>
  </w:style>
  <w:style w:type="paragraph" w:customStyle="1" w:styleId="88">
    <w:name w:val="附录一级无"/>
    <w:basedOn w:val="89"/>
    <w:uiPriority w:val="0"/>
    <w:pPr>
      <w:spacing w:before="0" w:beforeLines="0" w:after="0" w:afterLines="0"/>
    </w:pPr>
    <w:rPr>
      <w:rFonts w:ascii="宋体" w:eastAsia="宋体"/>
      <w:szCs w:val="21"/>
    </w:rPr>
  </w:style>
  <w:style w:type="paragraph" w:customStyle="1" w:styleId="89">
    <w:name w:val="附录一级条标题"/>
    <w:basedOn w:val="79"/>
    <w:next w:val="20"/>
    <w:uiPriority w:val="0"/>
    <w:pPr>
      <w:autoSpaceDN w:val="0"/>
      <w:spacing w:before="50" w:beforeLines="50" w:after="50" w:afterLines="50"/>
      <w:outlineLvl w:val="2"/>
    </w:pPr>
  </w:style>
  <w:style w:type="paragraph" w:customStyle="1" w:styleId="90">
    <w:name w:val="注×："/>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1">
    <w:name w:val="标准书眉一"/>
    <w:uiPriority w:val="0"/>
    <w:pPr>
      <w:jc w:val="both"/>
    </w:pPr>
    <w:rPr>
      <w:rFonts w:ascii="Times New Roman" w:hAnsi="Times New Roman" w:eastAsia="宋体" w:cs="Times New Roman"/>
      <w:lang w:val="en-US" w:eastAsia="zh-CN" w:bidi="ar-SA"/>
    </w:rPr>
  </w:style>
  <w:style w:type="paragraph" w:customStyle="1" w:styleId="92">
    <w:name w:val="封面标准英文名称2"/>
    <w:basedOn w:val="62"/>
    <w:uiPriority w:val="0"/>
    <w:pPr>
      <w:framePr w:y="4469"/>
    </w:pPr>
  </w:style>
  <w:style w:type="paragraph" w:customStyle="1" w:styleId="93">
    <w:name w:val="标准书眉_偶数页"/>
    <w:basedOn w:val="78"/>
    <w:next w:val="1"/>
    <w:uiPriority w:val="0"/>
    <w:pPr>
      <w:jc w:val="left"/>
    </w:pPr>
  </w:style>
  <w:style w:type="paragraph" w:customStyle="1" w:styleId="94">
    <w:name w:val="图表脚注说明"/>
    <w:basedOn w:val="1"/>
    <w:uiPriority w:val="0"/>
    <w:pPr>
      <w:ind w:left="544" w:hanging="181"/>
    </w:pPr>
    <w:rPr>
      <w:rFonts w:ascii="宋体"/>
      <w:sz w:val="18"/>
      <w:szCs w:val="18"/>
    </w:rPr>
  </w:style>
  <w:style w:type="paragraph" w:customStyle="1" w:styleId="95">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6">
    <w:name w:val="终结线"/>
    <w:basedOn w:val="1"/>
    <w:uiPriority w:val="0"/>
    <w:pPr>
      <w:framePr w:hSpace="181" w:vSpace="181" w:wrap="around" w:vAnchor="text" w:hAnchor="margin" w:xAlign="center" w:y="285"/>
    </w:pPr>
  </w:style>
  <w:style w:type="paragraph" w:customStyle="1" w:styleId="97">
    <w:name w:val="注×：（正文）"/>
    <w:uiPriority w:val="0"/>
    <w:pPr>
      <w:ind w:left="811" w:hanging="448"/>
      <w:jc w:val="both"/>
    </w:pPr>
    <w:rPr>
      <w:rFonts w:ascii="宋体" w:hAnsi="Times New Roman" w:eastAsia="宋体" w:cs="Times New Roman"/>
      <w:sz w:val="18"/>
      <w:szCs w:val="18"/>
      <w:lang w:val="en-US" w:eastAsia="zh-CN" w:bidi="ar-SA"/>
    </w:rPr>
  </w:style>
  <w:style w:type="paragraph" w:customStyle="1" w:styleId="98">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99">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0">
    <w:name w:val="数字编号列项（二级）"/>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101">
    <w:name w:val="列项——（一级）"/>
    <w:uiPriority w:val="0"/>
    <w:pPr>
      <w:widowControl w:val="0"/>
      <w:ind w:left="833" w:hanging="408"/>
      <w:jc w:val="both"/>
    </w:pPr>
    <w:rPr>
      <w:rFonts w:ascii="宋体" w:hAnsi="Times New Roman" w:eastAsia="宋体" w:cs="Times New Roman"/>
      <w:sz w:val="21"/>
      <w:lang w:val="en-US" w:eastAsia="zh-CN" w:bidi="ar-SA"/>
    </w:rPr>
  </w:style>
  <w:style w:type="paragraph" w:customStyle="1" w:styleId="102">
    <w:name w:val="列项●（二级）"/>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03">
    <w:name w:val="封面标准文稿类别"/>
    <w:basedOn w:val="61"/>
    <w:uiPriority w:val="0"/>
    <w:pPr>
      <w:framePr/>
      <w:spacing w:after="160" w:line="240" w:lineRule="auto"/>
    </w:pPr>
    <w:rPr>
      <w:sz w:val="24"/>
    </w:rPr>
  </w:style>
  <w:style w:type="paragraph" w:customStyle="1" w:styleId="104">
    <w:name w:val="其他实施日期"/>
    <w:basedOn w:val="105"/>
    <w:uiPriority w:val="0"/>
    <w:pPr>
      <w:framePr/>
    </w:pPr>
  </w:style>
  <w:style w:type="paragraph" w:customStyle="1" w:styleId="105">
    <w:name w:val="实施日期"/>
    <w:basedOn w:val="86"/>
    <w:uiPriority w:val="0"/>
    <w:pPr>
      <w:framePr w:vAnchor="page" w:hAnchor="text"/>
      <w:jc w:val="right"/>
    </w:pPr>
  </w:style>
  <w:style w:type="paragraph" w:customStyle="1" w:styleId="106">
    <w:name w:val="五级条标题"/>
    <w:basedOn w:val="68"/>
    <w:next w:val="20"/>
    <w:uiPriority w:val="0"/>
    <w:pPr>
      <w:numPr>
        <w:ilvl w:val="5"/>
      </w:numPr>
      <w:outlineLvl w:val="6"/>
    </w:pPr>
  </w:style>
  <w:style w:type="paragraph" w:customStyle="1" w:styleId="107">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参考文献"/>
    <w:basedOn w:val="1"/>
    <w:next w:val="20"/>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9">
    <w:name w:val="字母编号列项（一级）"/>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110">
    <w:name w:val="示例"/>
    <w:next w:val="83"/>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1">
    <w:name w:val="封面标准文稿编辑信息"/>
    <w:basedOn w:val="103"/>
    <w:uiPriority w:val="0"/>
    <w:pPr>
      <w:framePr/>
      <w:spacing w:before="180" w:line="180" w:lineRule="exact"/>
    </w:pPr>
    <w:rPr>
      <w:sz w:val="21"/>
    </w:rPr>
  </w:style>
  <w:style w:type="paragraph" w:customStyle="1" w:styleId="112">
    <w:name w:val="封面正文"/>
    <w:uiPriority w:val="0"/>
    <w:pPr>
      <w:jc w:val="both"/>
    </w:pPr>
    <w:rPr>
      <w:rFonts w:ascii="Times New Roman" w:hAnsi="Times New Roman" w:eastAsia="宋体" w:cs="Times New Roman"/>
      <w:lang w:val="en-US" w:eastAsia="zh-CN" w:bidi="ar-SA"/>
    </w:rPr>
  </w:style>
  <w:style w:type="paragraph" w:customStyle="1" w:styleId="113">
    <w:name w:val="前言、引言标题"/>
    <w:next w:val="20"/>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附录标识"/>
    <w:basedOn w:val="1"/>
    <w:next w:val="20"/>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5">
    <w:name w:val="图标脚注说明"/>
    <w:basedOn w:val="20"/>
    <w:uiPriority w:val="0"/>
    <w:pPr>
      <w:ind w:left="840" w:hanging="420" w:firstLineChars="0"/>
    </w:pPr>
    <w:rPr>
      <w:sz w:val="18"/>
      <w:szCs w:val="18"/>
    </w:rPr>
  </w:style>
  <w:style w:type="paragraph" w:customStyle="1" w:styleId="116">
    <w:name w:val="附录表标号"/>
    <w:basedOn w:val="1"/>
    <w:next w:val="20"/>
    <w:uiPriority w:val="0"/>
    <w:pPr>
      <w:spacing w:line="14" w:lineRule="exact"/>
      <w:ind w:left="811" w:hanging="448"/>
      <w:jc w:val="center"/>
      <w:outlineLvl w:val="0"/>
    </w:pPr>
    <w:rPr>
      <w:color w:val="FFFFFF"/>
    </w:rPr>
  </w:style>
  <w:style w:type="paragraph" w:customStyle="1" w:styleId="117">
    <w:name w:val="图的脚注"/>
    <w:next w:val="2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18">
    <w:name w:val="附录表标题"/>
    <w:basedOn w:val="1"/>
    <w:next w:val="20"/>
    <w:uiPriority w:val="0"/>
    <w:pPr>
      <w:tabs>
        <w:tab w:val="left" w:pos="180"/>
      </w:tabs>
      <w:spacing w:before="50" w:beforeLines="50" w:after="50" w:afterLines="50"/>
      <w:jc w:val="center"/>
    </w:pPr>
    <w:rPr>
      <w:rFonts w:ascii="黑体" w:eastAsia="黑体"/>
      <w:szCs w:val="21"/>
    </w:rPr>
  </w:style>
  <w:style w:type="paragraph" w:customStyle="1" w:styleId="119">
    <w:name w:val="附录二级无"/>
    <w:basedOn w:val="58"/>
    <w:uiPriority w:val="0"/>
    <w:pPr>
      <w:tabs>
        <w:tab w:val="clear" w:pos="360"/>
      </w:tabs>
      <w:spacing w:before="0" w:beforeLines="0" w:after="0" w:afterLines="0"/>
    </w:pPr>
    <w:rPr>
      <w:rFonts w:ascii="宋体" w:eastAsia="宋体"/>
      <w:szCs w:val="21"/>
    </w:rPr>
  </w:style>
  <w:style w:type="paragraph" w:customStyle="1" w:styleId="120">
    <w:name w:val="五级无"/>
    <w:basedOn w:val="106"/>
    <w:uiPriority w:val="0"/>
    <w:pPr>
      <w:spacing w:before="0" w:beforeLines="0" w:after="0" w:afterLines="0"/>
    </w:pPr>
    <w:rPr>
      <w:rFonts w:ascii="宋体" w:eastAsia="宋体"/>
    </w:rPr>
  </w:style>
  <w:style w:type="paragraph" w:customStyle="1" w:styleId="121">
    <w:name w:val="附录三级无"/>
    <w:basedOn w:val="57"/>
    <w:uiPriority w:val="0"/>
    <w:pPr>
      <w:tabs>
        <w:tab w:val="clear" w:pos="360"/>
      </w:tabs>
      <w:spacing w:before="0" w:beforeLines="0" w:after="0" w:afterLines="0"/>
    </w:pPr>
    <w:rPr>
      <w:rFonts w:ascii="宋体" w:eastAsia="宋体"/>
      <w:szCs w:val="21"/>
    </w:rPr>
  </w:style>
  <w:style w:type="paragraph" w:customStyle="1" w:styleId="122">
    <w:name w:val="附录图标题"/>
    <w:basedOn w:val="1"/>
    <w:next w:val="20"/>
    <w:uiPriority w:val="0"/>
    <w:pPr>
      <w:tabs>
        <w:tab w:val="left" w:pos="363"/>
      </w:tabs>
      <w:spacing w:before="50" w:beforeLines="50" w:after="50" w:afterLines="50"/>
      <w:jc w:val="center"/>
    </w:pPr>
    <w:rPr>
      <w:rFonts w:ascii="黑体" w:eastAsia="黑体"/>
      <w:szCs w:val="21"/>
    </w:rPr>
  </w:style>
  <w:style w:type="paragraph" w:customStyle="1" w:styleId="123">
    <w:name w:val="列出段落1"/>
    <w:basedOn w:val="1"/>
    <w:uiPriority w:val="0"/>
    <w:pPr>
      <w:ind w:firstLine="420" w:firstLineChars="200"/>
    </w:pPr>
    <w:rPr>
      <w:rFonts w:ascii="Calibri" w:hAnsi="Calibri"/>
      <w:szCs w:val="22"/>
    </w:rPr>
  </w:style>
  <w:style w:type="paragraph" w:customStyle="1" w:styleId="124">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25">
    <w:name w:val="其他标准标志"/>
    <w:basedOn w:val="95"/>
    <w:uiPriority w:val="0"/>
    <w:pPr>
      <w:framePr w:w="6101" w:vAnchor="page" w:hAnchor="page" w:x="4673" w:y="942"/>
    </w:pPr>
    <w:rPr>
      <w:w w:val="130"/>
    </w:rPr>
  </w:style>
  <w:style w:type="paragraph" w:customStyle="1" w:styleId="126">
    <w:name w:val="示例后文字"/>
    <w:basedOn w:val="20"/>
    <w:next w:val="20"/>
    <w:qFormat/>
    <w:uiPriority w:val="0"/>
    <w:pPr>
      <w:ind w:firstLine="360"/>
    </w:pPr>
    <w:rPr>
      <w:sz w:val="18"/>
    </w:rPr>
  </w:style>
  <w:style w:type="paragraph" w:customStyle="1" w:styleId="127">
    <w:name w:val="四级无"/>
    <w:basedOn w:val="68"/>
    <w:uiPriority w:val="0"/>
    <w:pPr>
      <w:spacing w:before="0" w:beforeLines="0" w:after="0" w:afterLines="0"/>
    </w:pPr>
    <w:rPr>
      <w:rFonts w:ascii="宋体" w:eastAsia="宋体"/>
    </w:rPr>
  </w:style>
  <w:style w:type="paragraph" w:customStyle="1" w:styleId="128">
    <w:name w:val="一级无"/>
    <w:basedOn w:val="50"/>
    <w:uiPriority w:val="0"/>
    <w:pPr>
      <w:spacing w:before="0" w:beforeLines="0" w:after="0" w:afterLines="0"/>
    </w:pPr>
    <w:rPr>
      <w:rFonts w:ascii="宋体" w:eastAsia="宋体"/>
    </w:rPr>
  </w:style>
  <w:style w:type="paragraph" w:customStyle="1" w:styleId="129">
    <w:name w:val="正文表标题"/>
    <w:next w:val="20"/>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0">
    <w:name w:val="其他发布日期"/>
    <w:basedOn w:val="86"/>
    <w:uiPriority w:val="0"/>
    <w:pPr>
      <w:framePr w:vAnchor="page" w:hAnchor="text" w:x="1419"/>
    </w:pPr>
  </w:style>
  <w:style w:type="paragraph" w:customStyle="1" w:styleId="131">
    <w:name w:val="封面标准名称2"/>
    <w:basedOn w:val="63"/>
    <w:uiPriority w:val="0"/>
    <w:pPr>
      <w:framePr w:y="4469"/>
      <w:spacing w:before="630" w:beforeLines="630"/>
    </w:pPr>
  </w:style>
  <w:style w:type="paragraph" w:customStyle="1" w:styleId="132">
    <w:name w:val="封面标准文稿类别2"/>
    <w:basedOn w:val="103"/>
    <w:uiPriority w:val="0"/>
    <w:pPr>
      <w:framePr w:y="4469"/>
    </w:pPr>
  </w:style>
  <w:style w:type="paragraph" w:customStyle="1" w:styleId="133">
    <w:name w:val="封面标准文稿编辑信息2"/>
    <w:basedOn w:val="111"/>
    <w:uiPriority w:val="0"/>
    <w:pPr>
      <w:framePr w:y="4469"/>
    </w:pPr>
  </w:style>
  <w:style w:type="character" w:customStyle="1" w:styleId="134">
    <w:name w:val="标题 2 Char"/>
    <w:link w:val="3"/>
    <w:uiPriority w:val="0"/>
    <w:rPr>
      <w:rFonts w:ascii="Cambria" w:hAnsi="Cambria" w:eastAsia="宋体" w:cs="Times New Roman"/>
      <w:b/>
      <w:bCs/>
      <w:kern w:val="2"/>
      <w:sz w:val="32"/>
      <w:szCs w:val="32"/>
    </w:rPr>
  </w:style>
  <w:style w:type="character" w:customStyle="1" w:styleId="135">
    <w:name w:val="标题 3 Char"/>
    <w:link w:val="4"/>
    <w:uiPriority w:val="0"/>
    <w:rPr>
      <w:b/>
      <w:bCs/>
      <w:kern w:val="2"/>
      <w:sz w:val="32"/>
      <w:szCs w:val="32"/>
    </w:rPr>
  </w:style>
  <w:style w:type="character" w:customStyle="1" w:styleId="136">
    <w:name w:val="标题 4 Char"/>
    <w:link w:val="5"/>
    <w:uiPriority w:val="0"/>
    <w:rPr>
      <w:rFonts w:ascii="Cambria" w:hAnsi="Cambria" w:eastAsia="宋体" w:cs="Times New Roman"/>
      <w:b/>
      <w:bCs/>
      <w:kern w:val="2"/>
      <w:sz w:val="28"/>
      <w:szCs w:val="28"/>
    </w:rPr>
  </w:style>
  <w:style w:type="character" w:customStyle="1" w:styleId="137">
    <w:name w:val="标题 1 Char"/>
    <w:basedOn w:val="29"/>
    <w:link w:val="2"/>
    <w:uiPriority w:val="0"/>
    <w:rPr>
      <w:b/>
      <w:bCs/>
      <w:kern w:val="44"/>
      <w:sz w:val="44"/>
      <w:szCs w:val="44"/>
    </w:rPr>
  </w:style>
  <w:style w:type="paragraph" w:customStyle="1" w:styleId="13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39">
    <w:name w:val="批注框文本 Char"/>
    <w:basedOn w:val="29"/>
    <w:link w:val="14"/>
    <w:uiPriority w:val="0"/>
    <w:rPr>
      <w:kern w:val="2"/>
      <w:sz w:val="18"/>
      <w:szCs w:val="18"/>
    </w:rPr>
  </w:style>
  <w:style w:type="table" w:customStyle="1" w:styleId="140">
    <w:name w:val="网格型1"/>
    <w:basedOn w:val="2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网格型2"/>
    <w:basedOn w:val="2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C340DC-A337-496B-B514-D0B99DCE78CF}">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1160</Words>
  <Characters>6613</Characters>
  <Lines>55</Lines>
  <Paragraphs>15</Paragraphs>
  <TotalTime>58</TotalTime>
  <ScaleCrop>false</ScaleCrop>
  <LinksUpToDate>false</LinksUpToDate>
  <CharactersWithSpaces>7758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2023-07-20T09:56:00Z</dcterms:created>
  <dc:creator>user</dc:creator>
  <cp:lastModifiedBy>北京老田</cp:lastModifiedBy>
  <cp:lastPrinted>2023-06-05T03:32:00Z</cp:lastPrinted>
  <dcterms:modified xsi:type="dcterms:W3CDTF">2023-08-02T05:47:21Z</dcterms:modified>
  <dc:title>《聚氨酯合成革  节能环保技术要求》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