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21" w:firstLineChars="100"/>
        <w:jc w:val="both"/>
        <w:rPr>
          <w:rFonts w:ascii="黑体" w:hAnsi="黑体" w:eastAsia="黑体" w:cs="Times New Roman"/>
          <w:b/>
          <w:color w:val="000000"/>
          <w:sz w:val="32"/>
        </w:rPr>
      </w:pPr>
      <w:bookmarkStart w:id="0" w:name="_Toc81405803"/>
      <w:r>
        <w:rPr>
          <w:rFonts w:ascii="黑体" w:hAnsi="黑体" w:eastAsia="黑体" w:cs="Times New Roman"/>
          <w:b/>
          <w:color w:val="000000"/>
          <w:sz w:val="32"/>
        </w:rPr>
        <w:t>《 人造革与合成革</w:t>
      </w:r>
      <w:r>
        <w:rPr>
          <w:rFonts w:hint="eastAsia" w:ascii="黑体" w:hAnsi="黑体" w:eastAsia="黑体" w:cs="Times New Roman"/>
          <w:b/>
          <w:color w:val="000000"/>
          <w:sz w:val="32"/>
        </w:rPr>
        <w:t xml:space="preserve"> 温室气体排放</w:t>
      </w:r>
      <w:r>
        <w:rPr>
          <w:rFonts w:ascii="黑体" w:hAnsi="黑体" w:eastAsia="黑体" w:cs="Times New Roman"/>
          <w:b/>
          <w:color w:val="000000"/>
          <w:sz w:val="32"/>
        </w:rPr>
        <w:t>核算与报告通用技术要求》</w:t>
      </w:r>
    </w:p>
    <w:p>
      <w:pPr>
        <w:spacing w:line="360" w:lineRule="auto"/>
        <w:ind w:firstLine="1928" w:firstLineChars="600"/>
        <w:jc w:val="both"/>
        <w:rPr>
          <w:rFonts w:ascii="黑体" w:hAnsi="黑体" w:eastAsia="黑体" w:cs="Times New Roman"/>
          <w:b/>
          <w:color w:val="000000"/>
          <w:sz w:val="32"/>
        </w:rPr>
      </w:pPr>
      <w:r>
        <w:rPr>
          <w:rFonts w:hint="eastAsia" w:ascii="黑体" w:hAnsi="黑体" w:eastAsia="黑体" w:cs="Times New Roman"/>
          <w:b/>
          <w:color w:val="000000"/>
          <w:sz w:val="32"/>
        </w:rPr>
        <w:t>中国轻工业联合会团体标准</w:t>
      </w:r>
      <w:r>
        <w:rPr>
          <w:rFonts w:ascii="黑体" w:hAnsi="黑体" w:eastAsia="黑体" w:cs="Times New Roman"/>
          <w:b/>
          <w:color w:val="000000"/>
          <w:sz w:val="32"/>
        </w:rPr>
        <w:t>编制说明</w:t>
      </w:r>
    </w:p>
    <w:p>
      <w:pPr>
        <w:spacing w:line="360" w:lineRule="auto"/>
        <w:ind w:firstLine="3534" w:firstLineChars="1100"/>
        <w:jc w:val="both"/>
        <w:rPr>
          <w:rFonts w:ascii="Times New Roman" w:hAnsi="Times New Roman" w:eastAsia="仿宋_GB2312" w:cs="Times New Roman"/>
          <w:b/>
          <w:color w:val="000000"/>
          <w:sz w:val="32"/>
        </w:rPr>
      </w:pPr>
      <w:r>
        <w:rPr>
          <w:rFonts w:ascii="Times New Roman" w:hAnsi="Times New Roman" w:eastAsia="仿宋_GB2312" w:cs="Times New Roman"/>
          <w:b/>
          <w:color w:val="000000"/>
          <w:sz w:val="32"/>
        </w:rPr>
        <w:t>（</w:t>
      </w:r>
      <w:r>
        <w:rPr>
          <w:rFonts w:hint="eastAsia" w:ascii="Times New Roman" w:hAnsi="Times New Roman" w:eastAsia="仿宋_GB2312" w:cs="Times New Roman"/>
          <w:b/>
          <w:color w:val="000000"/>
          <w:sz w:val="32"/>
          <w:lang w:eastAsia="zh-CN"/>
        </w:rPr>
        <w:t>征求意见</w:t>
      </w:r>
      <w:r>
        <w:rPr>
          <w:rFonts w:ascii="Times New Roman" w:hAnsi="Times New Roman" w:eastAsia="仿宋_GB2312" w:cs="Times New Roman"/>
          <w:b/>
          <w:color w:val="000000"/>
          <w:sz w:val="32"/>
        </w:rPr>
        <w:t>稿）</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1 工作简况</w:t>
      </w:r>
    </w:p>
    <w:p>
      <w:pPr>
        <w:pStyle w:val="2"/>
        <w:spacing w:before="0" w:after="0"/>
        <w:ind w:firstLine="482" w:firstLineChars="200"/>
        <w:rPr>
          <w:rFonts w:ascii="仿宋_GB2312" w:hAnsi="仿宋_GB2312" w:eastAsia="仿宋_GB2312" w:cs="仿宋_GB2312"/>
        </w:rPr>
      </w:pPr>
      <w:r>
        <w:rPr>
          <w:rFonts w:hint="eastAsia" w:ascii="仿宋_GB2312" w:hAnsi="仿宋_GB2312" w:eastAsia="仿宋_GB2312" w:cs="仿宋_GB2312"/>
        </w:rPr>
        <w:t>1.1 任务来源</w:t>
      </w:r>
      <w:bookmarkEnd w:id="0"/>
    </w:p>
    <w:p>
      <w:pPr>
        <w:spacing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根据中国轻工业联合会中轻联标准[202</w:t>
      </w:r>
      <w:r>
        <w:rPr>
          <w:rFonts w:ascii="仿宋_GB2312" w:hAnsi="仿宋_GB2312" w:eastAsia="仿宋_GB2312" w:cs="仿宋_GB2312"/>
        </w:rPr>
        <w:t>2</w:t>
      </w:r>
      <w:r>
        <w:rPr>
          <w:rFonts w:hint="eastAsia" w:ascii="仿宋_GB2312" w:hAnsi="仿宋_GB2312" w:eastAsia="仿宋_GB2312" w:cs="仿宋_GB2312"/>
        </w:rPr>
        <w:t xml:space="preserve">] </w:t>
      </w:r>
      <w:r>
        <w:rPr>
          <w:rFonts w:ascii="仿宋_GB2312" w:hAnsi="仿宋_GB2312" w:eastAsia="仿宋_GB2312" w:cs="仿宋_GB2312"/>
        </w:rPr>
        <w:t>89</w:t>
      </w:r>
      <w:r>
        <w:rPr>
          <w:rFonts w:hint="eastAsia" w:ascii="仿宋_GB2312" w:hAnsi="仿宋_GB2312" w:eastAsia="仿宋_GB2312" w:cs="仿宋_GB2312"/>
        </w:rPr>
        <w:t>号文件《关于下达〈轻工业</w:t>
      </w:r>
      <w:r>
        <w:rPr>
          <w:rFonts w:ascii="仿宋_GB2312" w:hAnsi="仿宋_GB2312" w:eastAsia="仿宋_GB2312" w:cs="仿宋_GB2312"/>
        </w:rPr>
        <w:t>企业</w:t>
      </w:r>
      <w:r>
        <w:rPr>
          <w:rFonts w:hint="eastAsia" w:ascii="仿宋_GB2312" w:hAnsi="仿宋_GB2312" w:eastAsia="仿宋_GB2312" w:cs="仿宋_GB2312"/>
        </w:rPr>
        <w:t>品牌</w:t>
      </w:r>
      <w:r>
        <w:rPr>
          <w:rFonts w:ascii="仿宋_GB2312" w:hAnsi="仿宋_GB2312" w:eastAsia="仿宋_GB2312" w:cs="仿宋_GB2312"/>
        </w:rPr>
        <w:t>竞争力</w:t>
      </w:r>
      <w:r>
        <w:rPr>
          <w:rFonts w:hint="eastAsia" w:ascii="仿宋_GB2312" w:hAnsi="仿宋_GB2312" w:eastAsia="仿宋_GB2312" w:cs="仿宋_GB2312"/>
        </w:rPr>
        <w:t>评价〉等8项中国轻工业联合会团体标准计划的通知》，计划编号：20</w:t>
      </w:r>
      <w:r>
        <w:rPr>
          <w:rFonts w:ascii="仿宋_GB2312" w:hAnsi="仿宋_GB2312" w:eastAsia="仿宋_GB2312" w:cs="仿宋_GB2312"/>
        </w:rPr>
        <w:t>220003</w:t>
      </w:r>
      <w:r>
        <w:rPr>
          <w:rFonts w:hint="eastAsia" w:ascii="仿宋_GB2312" w:hAnsi="仿宋_GB2312" w:eastAsia="仿宋_GB2312" w:cs="仿宋_GB2312"/>
        </w:rPr>
        <w:t>，项目名称“人造革</w:t>
      </w:r>
      <w:r>
        <w:rPr>
          <w:rFonts w:ascii="仿宋_GB2312" w:hAnsi="仿宋_GB2312" w:eastAsia="仿宋_GB2312" w:cs="仿宋_GB2312"/>
        </w:rPr>
        <w:t>与合成革温室气体排放核算与</w:t>
      </w:r>
      <w:r>
        <w:rPr>
          <w:rFonts w:hint="eastAsia" w:ascii="仿宋_GB2312" w:hAnsi="仿宋_GB2312" w:eastAsia="仿宋_GB2312" w:cs="仿宋_GB2312"/>
        </w:rPr>
        <w:t>报告</w:t>
      </w:r>
      <w:r>
        <w:rPr>
          <w:rFonts w:ascii="仿宋_GB2312" w:hAnsi="仿宋_GB2312" w:eastAsia="仿宋_GB2312" w:cs="仿宋_GB2312"/>
        </w:rPr>
        <w:t>通用技术要求</w:t>
      </w:r>
      <w:r>
        <w:rPr>
          <w:rFonts w:hint="eastAsia" w:ascii="仿宋_GB2312" w:hAnsi="仿宋_GB2312" w:eastAsia="仿宋_GB2312" w:cs="仿宋_GB2312"/>
        </w:rPr>
        <w:t>”进行制定，主要起草单位：</w:t>
      </w:r>
      <w:r>
        <w:rPr>
          <w:rFonts w:hint="eastAsia" w:ascii="仿宋_GB2312" w:hAnsi="仿宋_GB2312" w:eastAsia="仿宋_GB2312" w:cs="仿宋_GB2312"/>
          <w:highlight w:val="none"/>
        </w:rPr>
        <w:t>浙江</w:t>
      </w:r>
      <w:r>
        <w:rPr>
          <w:rFonts w:ascii="仿宋_GB2312" w:hAnsi="仿宋_GB2312" w:eastAsia="仿宋_GB2312" w:cs="仿宋_GB2312"/>
          <w:highlight w:val="none"/>
        </w:rPr>
        <w:t>禾欣新材料有限公司、北京市科学技术研究院资源环境研究所</w:t>
      </w:r>
      <w:r>
        <w:rPr>
          <w:rFonts w:hint="eastAsia" w:ascii="仿宋_GB2312" w:hAnsi="仿宋_GB2312" w:eastAsia="仿宋_GB2312" w:cs="仿宋_GB2312"/>
          <w:highlight w:val="none"/>
        </w:rPr>
        <w:t>等，</w:t>
      </w:r>
      <w:r>
        <w:rPr>
          <w:rFonts w:hint="eastAsia" w:ascii="仿宋_GB2312" w:hAnsi="仿宋_GB2312" w:eastAsia="仿宋_GB2312" w:cs="仿宋_GB2312"/>
        </w:rPr>
        <w:t>本项目计划完成时间</w:t>
      </w:r>
      <w:r>
        <w:rPr>
          <w:rFonts w:hint="eastAsia" w:ascii="仿宋_GB2312" w:hAnsi="仿宋_GB2312" w:eastAsia="仿宋_GB2312" w:cs="仿宋_GB2312"/>
          <w:highlight w:val="none"/>
        </w:rPr>
        <w:t>为2023年1</w:t>
      </w:r>
      <w:r>
        <w:rPr>
          <w:rFonts w:ascii="仿宋_GB2312" w:hAnsi="仿宋_GB2312" w:eastAsia="仿宋_GB2312" w:cs="仿宋_GB2312"/>
          <w:highlight w:val="none"/>
        </w:rPr>
        <w:t>2月</w:t>
      </w:r>
      <w:r>
        <w:rPr>
          <w:rFonts w:hint="eastAsia" w:ascii="仿宋_GB2312" w:hAnsi="仿宋_GB2312" w:eastAsia="仿宋_GB2312" w:cs="仿宋_GB2312"/>
          <w:highlight w:val="none"/>
        </w:rPr>
        <w:t>。</w:t>
      </w:r>
    </w:p>
    <w:p>
      <w:pPr>
        <w:pStyle w:val="2"/>
        <w:spacing w:before="0" w:after="0"/>
        <w:ind w:firstLine="482" w:firstLineChars="200"/>
        <w:rPr>
          <w:rFonts w:eastAsia="仿宋_GB2312"/>
        </w:rPr>
      </w:pPr>
      <w:bookmarkStart w:id="1" w:name="_Toc81405804"/>
      <w:bookmarkStart w:id="2" w:name="_Toc433188503"/>
      <w:bookmarkStart w:id="3" w:name="_Toc433188127"/>
      <w:bookmarkStart w:id="4" w:name="_Toc433189801"/>
      <w:r>
        <w:rPr>
          <w:rFonts w:hint="eastAsia" w:eastAsia="仿宋_GB2312"/>
        </w:rPr>
        <w:t>1.</w:t>
      </w:r>
      <w:r>
        <w:rPr>
          <w:rFonts w:eastAsia="仿宋_GB2312"/>
        </w:rPr>
        <w:t>2 主要工作过程</w:t>
      </w:r>
      <w:bookmarkEnd w:id="1"/>
    </w:p>
    <w:p>
      <w:pPr>
        <w:spacing w:line="360" w:lineRule="auto"/>
        <w:ind w:firstLine="361" w:firstLineChars="150"/>
        <w:rPr>
          <w:rFonts w:ascii="仿宋_GB2312" w:hAnsi="仿宋_GB2312" w:eastAsia="仿宋_GB2312" w:cs="仿宋_GB2312"/>
          <w:b/>
          <w:bCs/>
          <w:szCs w:val="21"/>
        </w:rPr>
      </w:pPr>
      <w:r>
        <w:rPr>
          <w:rFonts w:hint="eastAsia" w:ascii="仿宋_GB2312" w:hAnsi="仿宋_GB2312" w:eastAsia="仿宋_GB2312" w:cs="仿宋_GB2312"/>
          <w:b/>
          <w:bCs/>
          <w:szCs w:val="21"/>
        </w:rPr>
        <w:t>（1）起草阶段</w:t>
      </w:r>
    </w:p>
    <w:p>
      <w:pPr>
        <w:snapToGrid w:val="0"/>
        <w:spacing w:line="360" w:lineRule="auto"/>
        <w:ind w:firstLine="480" w:firstLineChars="200"/>
        <w:rPr>
          <w:rFonts w:ascii="仿宋_GB2312" w:hAnsi="仿宋_GB2312" w:eastAsia="仿宋_GB2312" w:cs="仿宋_GB2312"/>
        </w:rPr>
      </w:pPr>
      <w:r>
        <w:rPr>
          <w:rFonts w:hint="eastAsia" w:ascii="仿宋_GB2312" w:hAnsi="仿宋_GB2312" w:eastAsia="仿宋_GB2312" w:cs="仿宋_GB2312"/>
          <w:szCs w:val="21"/>
        </w:rPr>
        <w:t>2022年3月25日</w:t>
      </w:r>
      <w:r>
        <w:rPr>
          <w:rFonts w:ascii="仿宋_GB2312" w:hAnsi="仿宋_GB2312" w:eastAsia="仿宋_GB2312" w:cs="仿宋_GB2312"/>
          <w:szCs w:val="21"/>
        </w:rPr>
        <w:t>，中国轻工业联合会印发通知，《</w:t>
      </w:r>
      <w:r>
        <w:rPr>
          <w:rFonts w:hint="eastAsia" w:ascii="仿宋_GB2312" w:hAnsi="仿宋_GB2312" w:eastAsia="仿宋_GB2312" w:cs="仿宋_GB2312"/>
        </w:rPr>
        <w:t>人造革</w:t>
      </w:r>
      <w:r>
        <w:rPr>
          <w:rFonts w:ascii="仿宋_GB2312" w:hAnsi="仿宋_GB2312" w:eastAsia="仿宋_GB2312" w:cs="仿宋_GB2312"/>
        </w:rPr>
        <w:t>与合成革温室气体排放核算与</w:t>
      </w:r>
      <w:r>
        <w:rPr>
          <w:rFonts w:hint="eastAsia" w:ascii="仿宋_GB2312" w:hAnsi="仿宋_GB2312" w:eastAsia="仿宋_GB2312" w:cs="仿宋_GB2312"/>
        </w:rPr>
        <w:t>报告</w:t>
      </w:r>
      <w:r>
        <w:rPr>
          <w:rFonts w:ascii="仿宋_GB2312" w:hAnsi="仿宋_GB2312" w:eastAsia="仿宋_GB2312" w:cs="仿宋_GB2312"/>
        </w:rPr>
        <w:t>通用技术要求</w:t>
      </w:r>
      <w:r>
        <w:rPr>
          <w:rFonts w:ascii="仿宋_GB2312" w:hAnsi="仿宋_GB2312" w:eastAsia="仿宋_GB2312" w:cs="仿宋_GB2312"/>
          <w:szCs w:val="21"/>
        </w:rPr>
        <w:t>》</w:t>
      </w:r>
      <w:r>
        <w:rPr>
          <w:rFonts w:hint="eastAsia" w:ascii="仿宋_GB2312" w:hAnsi="仿宋_GB2312" w:eastAsia="仿宋_GB2312" w:cs="仿宋_GB2312"/>
          <w:szCs w:val="21"/>
        </w:rPr>
        <w:t>团体</w:t>
      </w:r>
      <w:r>
        <w:rPr>
          <w:rFonts w:ascii="仿宋_GB2312" w:hAnsi="仿宋_GB2312" w:eastAsia="仿宋_GB2312" w:cs="仿宋_GB2312"/>
          <w:szCs w:val="21"/>
        </w:rPr>
        <w:t>标准项目获得立项。</w:t>
      </w:r>
      <w:r>
        <w:rPr>
          <w:rFonts w:hint="eastAsia" w:ascii="仿宋_GB2312" w:hAnsi="仿宋_GB2312" w:eastAsia="仿宋_GB2312" w:cs="仿宋_GB2312"/>
          <w:szCs w:val="21"/>
        </w:rPr>
        <w:t>根据项目</w:t>
      </w:r>
      <w:r>
        <w:rPr>
          <w:rFonts w:ascii="仿宋_GB2312" w:hAnsi="仿宋_GB2312" w:eastAsia="仿宋_GB2312" w:cs="仿宋_GB2312"/>
          <w:szCs w:val="21"/>
        </w:rPr>
        <w:t>推进计划</w:t>
      </w:r>
      <w:r>
        <w:rPr>
          <w:rFonts w:hint="eastAsia" w:ascii="仿宋_GB2312" w:hAnsi="仿宋_GB2312" w:eastAsia="仿宋_GB2312" w:cs="仿宋_GB2312"/>
          <w:szCs w:val="21"/>
        </w:rPr>
        <w:t>，</w:t>
      </w:r>
      <w:r>
        <w:rPr>
          <w:rFonts w:ascii="仿宋_GB2312" w:hAnsi="仿宋_GB2312" w:eastAsia="仿宋_GB2312" w:cs="仿宋_GB2312"/>
          <w:szCs w:val="21"/>
        </w:rPr>
        <w:t>由</w:t>
      </w:r>
      <w:r>
        <w:rPr>
          <w:rFonts w:hint="eastAsia" w:ascii="仿宋_GB2312" w:hAnsi="仿宋_GB2312" w:eastAsia="仿宋_GB2312" w:cs="仿宋_GB2312"/>
          <w:szCs w:val="21"/>
        </w:rPr>
        <w:t>浙江禾欣新材料有限公司、</w:t>
      </w:r>
      <w:r>
        <w:rPr>
          <w:rFonts w:ascii="仿宋_GB2312" w:hAnsi="仿宋_GB2312" w:eastAsia="仿宋_GB2312" w:cs="仿宋_GB2312"/>
        </w:rPr>
        <w:t>北京市科学技术研究院资源环境研究所</w:t>
      </w:r>
      <w:r>
        <w:rPr>
          <w:rFonts w:hint="eastAsia" w:ascii="仿宋_GB2312" w:hAnsi="仿宋_GB2312" w:eastAsia="仿宋_GB2312" w:cs="仿宋_GB2312"/>
        </w:rPr>
        <w:t>等相关</w:t>
      </w:r>
      <w:r>
        <w:rPr>
          <w:rFonts w:ascii="仿宋_GB2312" w:hAnsi="仿宋_GB2312" w:eastAsia="仿宋_GB2312" w:cs="仿宋_GB2312"/>
        </w:rPr>
        <w:t>工作人员，组建了标准起草</w:t>
      </w:r>
      <w:r>
        <w:rPr>
          <w:rFonts w:hint="eastAsia" w:ascii="仿宋_GB2312" w:hAnsi="仿宋_GB2312" w:eastAsia="仿宋_GB2312" w:cs="仿宋_GB2312"/>
        </w:rPr>
        <w:t>工作</w:t>
      </w:r>
      <w:r>
        <w:rPr>
          <w:rFonts w:ascii="仿宋_GB2312" w:hAnsi="仿宋_GB2312" w:eastAsia="仿宋_GB2312" w:cs="仿宋_GB2312"/>
        </w:rPr>
        <w:t>组，确立了标准制定的原则、基本思路以及后续的工作安排和分工等。</w:t>
      </w:r>
    </w:p>
    <w:p>
      <w:pPr>
        <w:snapToGrid w:val="0"/>
        <w:spacing w:line="360" w:lineRule="auto"/>
        <w:ind w:firstLine="480" w:firstLineChars="200"/>
        <w:rPr>
          <w:rFonts w:ascii="仿宋_GB2312" w:hAnsi="仿宋_GB2312" w:eastAsia="仿宋_GB2312" w:cs="仿宋_GB2312"/>
        </w:rPr>
      </w:pPr>
      <w:r>
        <w:rPr>
          <w:rFonts w:ascii="仿宋_GB2312" w:hAnsi="仿宋_GB2312" w:eastAsia="仿宋_GB2312" w:cs="仿宋_GB2312"/>
        </w:rPr>
        <w:t>2022</w:t>
      </w:r>
      <w:r>
        <w:rPr>
          <w:rFonts w:hint="eastAsia" w:ascii="仿宋_GB2312" w:hAnsi="仿宋_GB2312" w:eastAsia="仿宋_GB2312" w:cs="仿宋_GB2312"/>
        </w:rPr>
        <w:t>年4-7月</w:t>
      </w:r>
      <w:r>
        <w:rPr>
          <w:rFonts w:ascii="仿宋_GB2312" w:hAnsi="仿宋_GB2312" w:eastAsia="仿宋_GB2312" w:cs="仿宋_GB2312"/>
        </w:rPr>
        <w:t>，起草组对</w:t>
      </w:r>
      <w:r>
        <w:rPr>
          <w:rFonts w:hint="eastAsia" w:ascii="仿宋_GB2312" w:hAnsi="仿宋_GB2312" w:eastAsia="仿宋_GB2312" w:cs="仿宋_GB2312"/>
        </w:rPr>
        <w:t>已经</w:t>
      </w:r>
      <w:r>
        <w:rPr>
          <w:rFonts w:ascii="仿宋_GB2312" w:hAnsi="仿宋_GB2312" w:eastAsia="仿宋_GB2312" w:cs="仿宋_GB2312"/>
        </w:rPr>
        <w:t>发布</w:t>
      </w:r>
      <w:r>
        <w:rPr>
          <w:rFonts w:hint="eastAsia" w:ascii="仿宋_GB2312" w:hAnsi="仿宋_GB2312" w:eastAsia="仿宋_GB2312" w:cs="仿宋_GB2312"/>
        </w:rPr>
        <w:t>的</w:t>
      </w:r>
      <w:r>
        <w:rPr>
          <w:rFonts w:ascii="仿宋_GB2312" w:hAnsi="仿宋_GB2312" w:eastAsia="仿宋_GB2312" w:cs="仿宋_GB2312"/>
        </w:rPr>
        <w:t>人造革合成革行业</w:t>
      </w:r>
      <w:r>
        <w:rPr>
          <w:rFonts w:hint="eastAsia" w:ascii="仿宋_GB2312" w:hAnsi="仿宋_GB2312" w:eastAsia="仿宋_GB2312" w:cs="仿宋_GB2312"/>
        </w:rPr>
        <w:t>发展</w:t>
      </w:r>
      <w:r>
        <w:rPr>
          <w:rFonts w:ascii="仿宋_GB2312" w:hAnsi="仿宋_GB2312" w:eastAsia="仿宋_GB2312" w:cs="仿宋_GB2312"/>
        </w:rPr>
        <w:t>现状、产业政策、</w:t>
      </w:r>
      <w:r>
        <w:rPr>
          <w:rFonts w:hint="eastAsia" w:ascii="仿宋_GB2312" w:hAnsi="仿宋_GB2312" w:eastAsia="仿宋_GB2312" w:cs="仿宋_GB2312"/>
        </w:rPr>
        <w:t>行业</w:t>
      </w:r>
      <w:r>
        <w:rPr>
          <w:rFonts w:ascii="仿宋_GB2312" w:hAnsi="仿宋_GB2312" w:eastAsia="仿宋_GB2312" w:cs="仿宋_GB2312"/>
        </w:rPr>
        <w:t>其他标准、温室其他排放核算方法</w:t>
      </w:r>
      <w:r>
        <w:rPr>
          <w:rFonts w:hint="eastAsia" w:ascii="仿宋_GB2312" w:hAnsi="仿宋_GB2312" w:eastAsia="仿宋_GB2312" w:cs="仿宋_GB2312"/>
        </w:rPr>
        <w:t>、</w:t>
      </w:r>
      <w:r>
        <w:rPr>
          <w:rFonts w:ascii="仿宋_GB2312" w:hAnsi="仿宋_GB2312" w:eastAsia="仿宋_GB2312" w:cs="仿宋_GB2312"/>
        </w:rPr>
        <w:t>报告指南等相关法律法规、</w:t>
      </w:r>
      <w:r>
        <w:rPr>
          <w:rFonts w:hint="eastAsia" w:ascii="仿宋_GB2312" w:hAnsi="仿宋_GB2312" w:eastAsia="仿宋_GB2312" w:cs="仿宋_GB2312"/>
        </w:rPr>
        <w:t>国家</w:t>
      </w:r>
      <w:r>
        <w:rPr>
          <w:rFonts w:ascii="仿宋_GB2312" w:hAnsi="仿宋_GB2312" w:eastAsia="仿宋_GB2312" w:cs="仿宋_GB2312"/>
        </w:rPr>
        <w:t>标准、行业标准以及其他相关技术文件资料进行收集、整理和梳理分析，深入了解了行业</w:t>
      </w:r>
      <w:r>
        <w:rPr>
          <w:rFonts w:hint="eastAsia" w:ascii="仿宋_GB2312" w:hAnsi="仿宋_GB2312" w:eastAsia="仿宋_GB2312" w:cs="仿宋_GB2312"/>
        </w:rPr>
        <w:t>发展</w:t>
      </w:r>
      <w:r>
        <w:rPr>
          <w:rFonts w:ascii="仿宋_GB2312" w:hAnsi="仿宋_GB2312" w:eastAsia="仿宋_GB2312" w:cs="仿宋_GB2312"/>
        </w:rPr>
        <w:t>、温室气体排放</w:t>
      </w:r>
      <w:r>
        <w:rPr>
          <w:rFonts w:hint="eastAsia" w:ascii="仿宋_GB2312" w:hAnsi="仿宋_GB2312" w:eastAsia="仿宋_GB2312" w:cs="仿宋_GB2312"/>
        </w:rPr>
        <w:t>等</w:t>
      </w:r>
      <w:r>
        <w:rPr>
          <w:rFonts w:ascii="仿宋_GB2312" w:hAnsi="仿宋_GB2312" w:eastAsia="仿宋_GB2312" w:cs="仿宋_GB2312"/>
        </w:rPr>
        <w:t>相关情况，为标准的制定奠定了基础。</w:t>
      </w:r>
    </w:p>
    <w:p>
      <w:pPr>
        <w:snapToGrid w:val="0"/>
        <w:spacing w:line="360" w:lineRule="auto"/>
        <w:ind w:firstLine="480" w:firstLineChars="200"/>
        <w:rPr>
          <w:rFonts w:ascii="仿宋_GB2312" w:hAnsi="仿宋_GB2312" w:eastAsia="仿宋_GB2312" w:cs="仿宋_GB2312"/>
          <w:highlight w:val="none"/>
        </w:rPr>
      </w:pPr>
      <w:bookmarkStart w:id="27" w:name="_GoBack"/>
      <w:r>
        <w:rPr>
          <w:rFonts w:hint="eastAsia" w:ascii="仿宋_GB2312" w:hAnsi="仿宋_GB2312" w:eastAsia="仿宋_GB2312" w:cs="仿宋_GB2312"/>
          <w:highlight w:val="none"/>
        </w:rPr>
        <w:t>2022年7-12月</w:t>
      </w:r>
      <w:r>
        <w:rPr>
          <w:rFonts w:ascii="仿宋_GB2312" w:hAnsi="仿宋_GB2312" w:eastAsia="仿宋_GB2312" w:cs="仿宋_GB2312"/>
          <w:highlight w:val="none"/>
        </w:rPr>
        <w:t>，根据前期</w:t>
      </w:r>
      <w:r>
        <w:rPr>
          <w:rFonts w:hint="eastAsia" w:ascii="仿宋_GB2312" w:hAnsi="仿宋_GB2312" w:eastAsia="仿宋_GB2312" w:cs="仿宋_GB2312"/>
          <w:highlight w:val="none"/>
        </w:rPr>
        <w:t>材料</w:t>
      </w:r>
      <w:r>
        <w:rPr>
          <w:rFonts w:ascii="仿宋_GB2312" w:hAnsi="仿宋_GB2312" w:eastAsia="仿宋_GB2312" w:cs="仿宋_GB2312"/>
          <w:highlight w:val="none"/>
        </w:rPr>
        <w:t>梳理情况，选择典型的人造革合成革企业进行</w:t>
      </w:r>
      <w:r>
        <w:rPr>
          <w:rFonts w:hint="eastAsia" w:ascii="仿宋_GB2312" w:hAnsi="仿宋_GB2312" w:eastAsia="仿宋_GB2312" w:cs="仿宋_GB2312"/>
          <w:highlight w:val="none"/>
        </w:rPr>
        <w:t>函件</w:t>
      </w:r>
      <w:r>
        <w:rPr>
          <w:rFonts w:ascii="仿宋_GB2312" w:hAnsi="仿宋_GB2312" w:eastAsia="仿宋_GB2312" w:cs="仿宋_GB2312"/>
          <w:highlight w:val="none"/>
        </w:rPr>
        <w:t>或现场调研</w:t>
      </w:r>
      <w:r>
        <w:rPr>
          <w:rFonts w:hint="eastAsia" w:ascii="仿宋_GB2312" w:hAnsi="仿宋_GB2312" w:eastAsia="仿宋_GB2312" w:cs="仿宋_GB2312"/>
          <w:highlight w:val="none"/>
        </w:rPr>
        <w:t>，</w:t>
      </w:r>
      <w:r>
        <w:rPr>
          <w:rFonts w:ascii="仿宋_GB2312" w:hAnsi="仿宋_GB2312" w:eastAsia="仿宋_GB2312" w:cs="仿宋_GB2312"/>
          <w:highlight w:val="none"/>
        </w:rPr>
        <w:t>针对人造革合成革企业的生产现状、生产工艺、能源消耗情况、可再生能源使用情况</w:t>
      </w:r>
      <w:r>
        <w:rPr>
          <w:rFonts w:hint="eastAsia" w:ascii="仿宋_GB2312" w:hAnsi="仿宋_GB2312" w:eastAsia="仿宋_GB2312" w:cs="仿宋_GB2312"/>
          <w:highlight w:val="none"/>
        </w:rPr>
        <w:t>、</w:t>
      </w:r>
      <w:r>
        <w:rPr>
          <w:rFonts w:ascii="仿宋_GB2312" w:hAnsi="仿宋_GB2312" w:eastAsia="仿宋_GB2312" w:cs="仿宋_GB2312"/>
          <w:highlight w:val="none"/>
        </w:rPr>
        <w:t>温室气体核算和报告情况等</w:t>
      </w:r>
      <w:r>
        <w:rPr>
          <w:rFonts w:hint="eastAsia" w:ascii="仿宋_GB2312" w:hAnsi="仿宋_GB2312" w:eastAsia="仿宋_GB2312" w:cs="仿宋_GB2312"/>
          <w:highlight w:val="none"/>
        </w:rPr>
        <w:t>进行</w:t>
      </w:r>
      <w:r>
        <w:rPr>
          <w:rFonts w:ascii="仿宋_GB2312" w:hAnsi="仿宋_GB2312" w:eastAsia="仿宋_GB2312" w:cs="仿宋_GB2312"/>
          <w:highlight w:val="none"/>
        </w:rPr>
        <w:t>调研，收集</w:t>
      </w:r>
      <w:r>
        <w:rPr>
          <w:rFonts w:hint="eastAsia" w:ascii="仿宋_GB2312" w:hAnsi="仿宋_GB2312" w:eastAsia="仿宋_GB2312" w:cs="仿宋_GB2312"/>
          <w:highlight w:val="none"/>
        </w:rPr>
        <w:t>实际</w:t>
      </w:r>
      <w:r>
        <w:rPr>
          <w:rFonts w:ascii="仿宋_GB2312" w:hAnsi="仿宋_GB2312" w:eastAsia="仿宋_GB2312" w:cs="仿宋_GB2312"/>
          <w:highlight w:val="none"/>
        </w:rPr>
        <w:t>生产数据进行汇总整理。</w:t>
      </w:r>
    </w:p>
    <w:p>
      <w:pPr>
        <w:snapToGrid w:val="0"/>
        <w:spacing w:line="360" w:lineRule="auto"/>
        <w:ind w:firstLine="48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r>
        <w:rPr>
          <w:rFonts w:ascii="仿宋_GB2312" w:hAnsi="仿宋_GB2312" w:eastAsia="仿宋_GB2312" w:cs="仿宋_GB2312"/>
          <w:szCs w:val="21"/>
          <w:highlight w:val="none"/>
        </w:rPr>
        <w:t>023年</w:t>
      </w:r>
      <w:r>
        <w:rPr>
          <w:rFonts w:hint="eastAsia" w:ascii="仿宋_GB2312" w:hAnsi="仿宋_GB2312" w:eastAsia="仿宋_GB2312" w:cs="仿宋_GB2312"/>
          <w:szCs w:val="21"/>
          <w:highlight w:val="none"/>
        </w:rPr>
        <w:t>1-</w:t>
      </w:r>
      <w:r>
        <w:rPr>
          <w:rFonts w:ascii="仿宋_GB2312" w:hAnsi="仿宋_GB2312" w:eastAsia="仿宋_GB2312" w:cs="仿宋_GB2312"/>
          <w:szCs w:val="21"/>
          <w:highlight w:val="none"/>
        </w:rPr>
        <w:t>6月</w:t>
      </w: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根据资料整理和生产现状调研情况</w:t>
      </w: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分析人造革与合成革企业温室气体排放核查边界</w:t>
      </w: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温室气体排放主要来源以及具体的核算方法</w:t>
      </w: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编制完成《</w:t>
      </w:r>
      <w:r>
        <w:rPr>
          <w:rFonts w:hint="eastAsia" w:ascii="仿宋_GB2312" w:hAnsi="仿宋_GB2312" w:eastAsia="仿宋_GB2312" w:cs="仿宋_GB2312"/>
          <w:highlight w:val="none"/>
        </w:rPr>
        <w:t>人造革</w:t>
      </w:r>
      <w:r>
        <w:rPr>
          <w:rFonts w:ascii="仿宋_GB2312" w:hAnsi="仿宋_GB2312" w:eastAsia="仿宋_GB2312" w:cs="仿宋_GB2312"/>
          <w:highlight w:val="none"/>
        </w:rPr>
        <w:t>与合成革温室气体排放核算与</w:t>
      </w:r>
      <w:r>
        <w:rPr>
          <w:rFonts w:hint="eastAsia" w:ascii="仿宋_GB2312" w:hAnsi="仿宋_GB2312" w:eastAsia="仿宋_GB2312" w:cs="仿宋_GB2312"/>
          <w:highlight w:val="none"/>
        </w:rPr>
        <w:t>报告</w:t>
      </w:r>
      <w:r>
        <w:rPr>
          <w:rFonts w:ascii="仿宋_GB2312" w:hAnsi="仿宋_GB2312" w:eastAsia="仿宋_GB2312" w:cs="仿宋_GB2312"/>
          <w:highlight w:val="none"/>
        </w:rPr>
        <w:t>通用技术要求</w:t>
      </w:r>
      <w:r>
        <w:rPr>
          <w:rFonts w:ascii="仿宋_GB2312" w:hAnsi="仿宋_GB2312" w:eastAsia="仿宋_GB2312" w:cs="仿宋_GB2312"/>
          <w:szCs w:val="21"/>
          <w:highlight w:val="none"/>
        </w:rPr>
        <w:t>》</w:t>
      </w:r>
      <w:r>
        <w:rPr>
          <w:rFonts w:hint="eastAsia" w:ascii="仿宋_GB2312" w:hAnsi="仿宋_GB2312" w:eastAsia="仿宋_GB2312" w:cs="仿宋_GB2312"/>
          <w:szCs w:val="21"/>
          <w:highlight w:val="none"/>
        </w:rPr>
        <w:t>（初稿）。</w:t>
      </w:r>
    </w:p>
    <w:p>
      <w:pPr>
        <w:snapToGrid w:val="0"/>
        <w:spacing w:line="360" w:lineRule="auto"/>
        <w:ind w:firstLine="480" w:firstLineChars="200"/>
        <w:rPr>
          <w:rFonts w:hint="eastAsia" w:ascii="仿宋_GB2312" w:hAnsi="仿宋_GB2312" w:eastAsia="仿宋_GB2312" w:cs="仿宋_GB2312"/>
          <w:szCs w:val="21"/>
        </w:rPr>
      </w:pPr>
      <w:r>
        <w:rPr>
          <w:rFonts w:hint="eastAsia" w:ascii="仿宋_GB2312" w:hAnsi="仿宋_GB2312" w:eastAsia="仿宋_GB2312" w:cs="仿宋_GB2312"/>
          <w:szCs w:val="21"/>
          <w:highlight w:val="none"/>
        </w:rPr>
        <w:t>2</w:t>
      </w:r>
      <w:r>
        <w:rPr>
          <w:rFonts w:ascii="仿宋_GB2312" w:hAnsi="仿宋_GB2312" w:eastAsia="仿宋_GB2312" w:cs="仿宋_GB2312"/>
          <w:szCs w:val="21"/>
          <w:highlight w:val="none"/>
        </w:rPr>
        <w:t>023年</w:t>
      </w:r>
      <w:r>
        <w:rPr>
          <w:rFonts w:hint="eastAsia" w:ascii="仿宋_GB2312" w:hAnsi="仿宋_GB2312" w:eastAsia="仿宋_GB2312" w:cs="仿宋_GB2312"/>
          <w:szCs w:val="21"/>
          <w:highlight w:val="none"/>
        </w:rPr>
        <w:t>6月6日，工作组在苏州召开了中国轻工业联合会团体标准制定工作会，会上对标准初稿进行了讨论，提出了完善和修改建议。</w:t>
      </w:r>
      <w:bookmarkEnd w:id="27"/>
    </w:p>
    <w:bookmarkEnd w:id="2"/>
    <w:bookmarkEnd w:id="3"/>
    <w:bookmarkEnd w:id="4"/>
    <w:p>
      <w:pPr>
        <w:numPr>
          <w:ilvl w:val="0"/>
          <w:numId w:val="3"/>
        </w:numPr>
        <w:spacing w:line="360" w:lineRule="auto"/>
        <w:ind w:left="480" w:leftChars="200"/>
        <w:rPr>
          <w:rFonts w:ascii="仿宋_GB2312" w:hAnsi="仿宋_GB2312" w:eastAsia="仿宋_GB2312" w:cs="仿宋_GB2312"/>
          <w:b/>
          <w:bCs/>
          <w:szCs w:val="21"/>
        </w:rPr>
      </w:pPr>
      <w:bookmarkStart w:id="5" w:name="_Toc81405805"/>
      <w:r>
        <w:rPr>
          <w:rFonts w:hint="eastAsia" w:ascii="仿宋_GB2312" w:hAnsi="仿宋_GB2312" w:eastAsia="仿宋_GB2312" w:cs="仿宋_GB2312"/>
          <w:b/>
          <w:bCs/>
          <w:szCs w:val="21"/>
        </w:rPr>
        <w:t>征求意见阶段</w:t>
      </w:r>
    </w:p>
    <w:p>
      <w:pPr>
        <w:spacing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szCs w:val="21"/>
        </w:rPr>
        <w:t xml:space="preserve"> </w:t>
      </w:r>
    </w:p>
    <w:p>
      <w:pPr>
        <w:numPr>
          <w:ilvl w:val="0"/>
          <w:numId w:val="3"/>
        </w:numPr>
        <w:spacing w:line="360" w:lineRule="auto"/>
        <w:ind w:firstLine="48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审查阶段</w:t>
      </w:r>
    </w:p>
    <w:p>
      <w:pPr>
        <w:spacing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w:t>
      </w:r>
    </w:p>
    <w:p>
      <w:pPr>
        <w:numPr>
          <w:ilvl w:val="0"/>
          <w:numId w:val="3"/>
        </w:numPr>
        <w:spacing w:line="360" w:lineRule="auto"/>
        <w:ind w:firstLine="48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报批阶段</w:t>
      </w:r>
    </w:p>
    <w:p>
      <w:pPr>
        <w:spacing w:line="360" w:lineRule="auto"/>
        <w:rPr>
          <w:rFonts w:ascii="仿宋_GB2312" w:hAnsi="仿宋_GB2312" w:eastAsia="仿宋_GB2312" w:cs="仿宋_GB2312"/>
        </w:rPr>
      </w:pPr>
      <w:r>
        <w:rPr>
          <w:rFonts w:hint="eastAsia" w:ascii="仿宋_GB2312" w:hAnsi="仿宋_GB2312" w:eastAsia="仿宋_GB2312" w:cs="仿宋_GB2312"/>
          <w:b/>
          <w:bCs/>
          <w:szCs w:val="21"/>
        </w:rPr>
        <w:t xml:space="preserve">   </w:t>
      </w:r>
      <w:r>
        <w:rPr>
          <w:rFonts w:hint="eastAsia" w:ascii="仿宋_GB2312" w:hAnsi="仿宋_GB2312" w:eastAsia="仿宋_GB2312" w:cs="仿宋_GB2312"/>
        </w:rPr>
        <w:t xml:space="preserve">  </w:t>
      </w:r>
      <w:r>
        <w:rPr>
          <w:rFonts w:ascii="仿宋_GB2312" w:hAnsi="仿宋_GB2312" w:eastAsia="仿宋_GB2312" w:cs="仿宋_GB2312"/>
        </w:rPr>
        <w:t xml:space="preserve">   </w:t>
      </w:r>
    </w:p>
    <w:p>
      <w:pPr>
        <w:spacing w:line="360" w:lineRule="auto"/>
        <w:ind w:firstLine="482" w:firstLineChars="200"/>
        <w:rPr>
          <w:rFonts w:ascii="仿宋_GB2312" w:hAnsi="仿宋_GB2312" w:eastAsia="仿宋_GB2312" w:cs="仿宋_GB2312"/>
          <w:b/>
          <w:szCs w:val="21"/>
        </w:rPr>
      </w:pPr>
      <w:r>
        <w:rPr>
          <w:rFonts w:hint="eastAsia" w:ascii="仿宋_GB2312" w:hAnsi="仿宋_GB2312" w:eastAsia="仿宋_GB2312" w:cs="仿宋_GB2312"/>
          <w:b/>
          <w:szCs w:val="21"/>
        </w:rPr>
        <w:t>1.3 主要参加单位和工作组成员及其所做的工作等</w:t>
      </w:r>
    </w:p>
    <w:p>
      <w:pPr>
        <w:snapToGrid w:val="0"/>
        <w:spacing w:line="360" w:lineRule="auto"/>
        <w:ind w:firstLine="482" w:firstLineChars="200"/>
        <w:rPr>
          <w:rFonts w:ascii="仿宋_GB2312" w:hAnsi="仿宋_GB2312" w:eastAsia="仿宋_GB2312" w:cs="仿宋_GB2312"/>
          <w:b/>
          <w:szCs w:val="21"/>
        </w:rPr>
      </w:pP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2  标准编制原则和主要内容的论据，解决的主要问题</w:t>
      </w:r>
    </w:p>
    <w:p>
      <w:pPr>
        <w:pStyle w:val="2"/>
        <w:spacing w:before="0" w:after="0"/>
        <w:ind w:firstLine="482" w:firstLineChars="200"/>
        <w:rPr>
          <w:rFonts w:eastAsia="仿宋_GB2312"/>
          <w:bCs w:val="0"/>
        </w:rPr>
      </w:pPr>
      <w:r>
        <w:rPr>
          <w:rFonts w:hint="eastAsia" w:eastAsia="仿宋_GB2312"/>
          <w:bCs w:val="0"/>
        </w:rPr>
        <w:t>2.1</w:t>
      </w:r>
      <w:r>
        <w:rPr>
          <w:rFonts w:eastAsia="仿宋_GB2312"/>
          <w:bCs w:val="0"/>
        </w:rPr>
        <w:t xml:space="preserve"> </w:t>
      </w:r>
      <w:bookmarkEnd w:id="5"/>
      <w:r>
        <w:rPr>
          <w:rFonts w:hint="eastAsia" w:eastAsia="仿宋_GB2312"/>
          <w:bCs w:val="0"/>
        </w:rPr>
        <w:t>标准编制原则</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2.1.1 协调</w:t>
      </w:r>
      <w:r>
        <w:rPr>
          <w:rFonts w:ascii="Times New Roman" w:hAnsi="Times New Roman" w:eastAsia="仿宋_GB2312"/>
          <w:sz w:val="24"/>
          <w:szCs w:val="24"/>
        </w:rPr>
        <w:t>性原则</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本标准在编制过程中，有关条款直接引用了现有国家标准或行业标准的内容，尽量避免重复，力求简化。内容上力求突出人造革与合成革行业</w:t>
      </w:r>
      <w:r>
        <w:rPr>
          <w:rFonts w:hint="eastAsia" w:ascii="Times New Roman" w:hAnsi="Times New Roman" w:eastAsia="仿宋_GB2312" w:cs="Times New Roman"/>
        </w:rPr>
        <w:t>温室气体核算要求</w:t>
      </w:r>
      <w:r>
        <w:rPr>
          <w:rFonts w:ascii="Times New Roman" w:hAnsi="Times New Roman" w:eastAsia="仿宋_GB2312" w:cs="Times New Roman"/>
        </w:rPr>
        <w:t>和报告编制要求，层次上尽量体现与各标准之间的衔接。</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 xml:space="preserve">.1.2 </w:t>
      </w:r>
      <w:r>
        <w:rPr>
          <w:rFonts w:hint="eastAsia" w:ascii="Times New Roman" w:hAnsi="Times New Roman" w:eastAsia="仿宋_GB2312"/>
          <w:sz w:val="24"/>
          <w:szCs w:val="24"/>
        </w:rPr>
        <w:t>适用性原则</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随着国家</w:t>
      </w:r>
      <w:r>
        <w:rPr>
          <w:rFonts w:ascii="Times New Roman" w:hAnsi="Times New Roman" w:eastAsia="仿宋_GB2312" w:cs="Times New Roman"/>
        </w:rPr>
        <w:t>双碳领域“30 60”</w:t>
      </w:r>
      <w:r>
        <w:rPr>
          <w:rFonts w:hint="eastAsia" w:ascii="Times New Roman" w:hAnsi="Times New Roman" w:eastAsia="仿宋_GB2312" w:cs="Times New Roman"/>
        </w:rPr>
        <w:t>目标</w:t>
      </w:r>
      <w:r>
        <w:rPr>
          <w:rFonts w:ascii="Times New Roman" w:hAnsi="Times New Roman" w:eastAsia="仿宋_GB2312" w:cs="Times New Roman"/>
        </w:rPr>
        <w:t>的提出，各行业碳达峰碳中和工作</w:t>
      </w:r>
      <w:r>
        <w:rPr>
          <w:rFonts w:hint="eastAsia" w:ascii="Times New Roman" w:hAnsi="Times New Roman" w:eastAsia="仿宋_GB2312" w:cs="Times New Roman"/>
        </w:rPr>
        <w:t>的持续</w:t>
      </w:r>
      <w:r>
        <w:rPr>
          <w:rFonts w:ascii="Times New Roman" w:hAnsi="Times New Roman" w:eastAsia="仿宋_GB2312" w:cs="Times New Roman"/>
        </w:rPr>
        <w:t>推进，人造革与合成革行业是</w:t>
      </w:r>
      <w:r>
        <w:rPr>
          <w:rFonts w:hint="eastAsia" w:ascii="Times New Roman" w:hAnsi="Times New Roman" w:eastAsia="仿宋_GB2312" w:cs="Times New Roman"/>
        </w:rPr>
        <w:t>中国</w:t>
      </w:r>
      <w:r>
        <w:rPr>
          <w:rFonts w:ascii="Times New Roman" w:hAnsi="Times New Roman" w:eastAsia="仿宋_GB2312" w:cs="Times New Roman"/>
        </w:rPr>
        <w:t>轻工业领域的</w:t>
      </w:r>
      <w:r>
        <w:rPr>
          <w:rFonts w:hint="eastAsia" w:ascii="Times New Roman" w:hAnsi="Times New Roman" w:eastAsia="仿宋_GB2312" w:cs="Times New Roman"/>
        </w:rPr>
        <w:t>传统</w:t>
      </w:r>
      <w:r>
        <w:rPr>
          <w:rFonts w:ascii="Times New Roman" w:hAnsi="Times New Roman" w:eastAsia="仿宋_GB2312" w:cs="Times New Roman"/>
        </w:rPr>
        <w:t>行业，</w:t>
      </w:r>
      <w:r>
        <w:rPr>
          <w:rFonts w:hint="eastAsia" w:ascii="Times New Roman" w:hAnsi="Times New Roman" w:eastAsia="仿宋_GB2312" w:cs="Times New Roman"/>
        </w:rPr>
        <w:t>需要</w:t>
      </w:r>
      <w:r>
        <w:rPr>
          <w:rFonts w:ascii="Times New Roman" w:hAnsi="Times New Roman" w:eastAsia="仿宋_GB2312" w:cs="Times New Roman"/>
        </w:rPr>
        <w:t>积极</w:t>
      </w:r>
      <w:r>
        <w:rPr>
          <w:rFonts w:hint="eastAsia" w:ascii="Times New Roman" w:hAnsi="Times New Roman" w:eastAsia="仿宋_GB2312" w:cs="Times New Roman"/>
        </w:rPr>
        <w:t>跟进</w:t>
      </w:r>
      <w:r>
        <w:rPr>
          <w:rFonts w:ascii="Times New Roman" w:hAnsi="Times New Roman" w:eastAsia="仿宋_GB2312" w:cs="Times New Roman"/>
        </w:rPr>
        <w:t>行业温室气体</w:t>
      </w:r>
      <w:r>
        <w:rPr>
          <w:rFonts w:hint="eastAsia" w:ascii="Times New Roman" w:hAnsi="Times New Roman" w:eastAsia="仿宋_GB2312" w:cs="Times New Roman"/>
        </w:rPr>
        <w:t>排放</w:t>
      </w:r>
      <w:r>
        <w:rPr>
          <w:rFonts w:ascii="Times New Roman" w:hAnsi="Times New Roman" w:eastAsia="仿宋_GB2312" w:cs="Times New Roman"/>
        </w:rPr>
        <w:t>情况，</w:t>
      </w:r>
      <w:r>
        <w:rPr>
          <w:rFonts w:hint="eastAsia" w:ascii="Times New Roman" w:hAnsi="Times New Roman" w:eastAsia="仿宋_GB2312" w:cs="Times New Roman"/>
        </w:rPr>
        <w:t>立足</w:t>
      </w:r>
      <w:r>
        <w:rPr>
          <w:rFonts w:ascii="Times New Roman" w:hAnsi="Times New Roman" w:eastAsia="仿宋_GB2312" w:cs="Times New Roman"/>
        </w:rPr>
        <w:t>行业特征，制定符合行业需求的温室气体</w:t>
      </w:r>
      <w:r>
        <w:rPr>
          <w:rFonts w:hint="eastAsia" w:ascii="Times New Roman" w:hAnsi="Times New Roman" w:eastAsia="仿宋_GB2312" w:cs="Times New Roman"/>
        </w:rPr>
        <w:t>排放</w:t>
      </w:r>
      <w:r>
        <w:rPr>
          <w:rFonts w:ascii="Times New Roman" w:hAnsi="Times New Roman" w:eastAsia="仿宋_GB2312" w:cs="Times New Roman"/>
        </w:rPr>
        <w:t>核算</w:t>
      </w:r>
      <w:r>
        <w:rPr>
          <w:rFonts w:hint="eastAsia" w:ascii="Times New Roman" w:hAnsi="Times New Roman" w:eastAsia="仿宋_GB2312" w:cs="Times New Roman"/>
        </w:rPr>
        <w:t>和</w:t>
      </w:r>
      <w:r>
        <w:rPr>
          <w:rFonts w:ascii="Times New Roman" w:hAnsi="Times New Roman" w:eastAsia="仿宋_GB2312" w:cs="Times New Roman"/>
        </w:rPr>
        <w:t>报告</w:t>
      </w:r>
      <w:r>
        <w:rPr>
          <w:rFonts w:hint="eastAsia" w:ascii="Times New Roman" w:hAnsi="Times New Roman" w:eastAsia="仿宋_GB2312" w:cs="Times New Roman"/>
        </w:rPr>
        <w:t>要求。</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2.1.3 指导性原则</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本</w:t>
      </w:r>
      <w:r>
        <w:rPr>
          <w:rFonts w:ascii="Times New Roman" w:hAnsi="Times New Roman" w:eastAsia="仿宋_GB2312" w:cs="Times New Roman"/>
        </w:rPr>
        <w:t>标准</w:t>
      </w:r>
      <w:r>
        <w:rPr>
          <w:rFonts w:hint="eastAsia" w:ascii="Times New Roman" w:hAnsi="Times New Roman" w:eastAsia="仿宋_GB2312" w:cs="Times New Roman"/>
        </w:rPr>
        <w:t>规范</w:t>
      </w:r>
      <w:r>
        <w:rPr>
          <w:rFonts w:ascii="Times New Roman" w:hAnsi="Times New Roman" w:eastAsia="仿宋_GB2312" w:cs="Times New Roman"/>
        </w:rPr>
        <w:t>了人造革与合成革企业的</w:t>
      </w:r>
      <w:r>
        <w:rPr>
          <w:rFonts w:hint="eastAsia" w:ascii="Times New Roman" w:hAnsi="Times New Roman" w:eastAsia="仿宋_GB2312" w:cs="Times New Roman"/>
        </w:rPr>
        <w:t>温室气体</w:t>
      </w:r>
      <w:r>
        <w:rPr>
          <w:rFonts w:ascii="Times New Roman" w:hAnsi="Times New Roman" w:eastAsia="仿宋_GB2312" w:cs="Times New Roman"/>
        </w:rPr>
        <w:t>排放核算数据获取程序、方法和支撑材料要求，明确了排放单位数据核算和报告边界，完善了数据监测、报送的规范性要求，</w:t>
      </w:r>
      <w:r>
        <w:rPr>
          <w:rFonts w:hint="eastAsia" w:ascii="Times New Roman" w:hAnsi="Times New Roman" w:eastAsia="仿宋_GB2312" w:cs="Times New Roman"/>
        </w:rPr>
        <w:t>核算</w:t>
      </w:r>
      <w:r>
        <w:rPr>
          <w:rFonts w:ascii="Times New Roman" w:hAnsi="Times New Roman" w:eastAsia="仿宋_GB2312" w:cs="Times New Roman"/>
        </w:rPr>
        <w:t>过程明确可</w:t>
      </w:r>
      <w:r>
        <w:rPr>
          <w:rFonts w:hint="eastAsia" w:ascii="Times New Roman" w:hAnsi="Times New Roman" w:eastAsia="仿宋_GB2312" w:cs="Times New Roman"/>
        </w:rPr>
        <w:t>行</w:t>
      </w:r>
      <w:r>
        <w:rPr>
          <w:rFonts w:ascii="Times New Roman" w:hAnsi="Times New Roman" w:eastAsia="仿宋_GB2312" w:cs="Times New Roman"/>
        </w:rPr>
        <w:t>，</w:t>
      </w:r>
      <w:r>
        <w:rPr>
          <w:rFonts w:hint="eastAsia" w:ascii="Times New Roman" w:hAnsi="Times New Roman" w:eastAsia="仿宋_GB2312" w:cs="Times New Roman"/>
        </w:rPr>
        <w:t>确保</w:t>
      </w:r>
      <w:r>
        <w:rPr>
          <w:rFonts w:ascii="Times New Roman" w:hAnsi="Times New Roman" w:eastAsia="仿宋_GB2312" w:cs="Times New Roman"/>
        </w:rPr>
        <w:t>核算数据来源可溯</w:t>
      </w:r>
      <w:r>
        <w:rPr>
          <w:rFonts w:hint="eastAsia" w:ascii="Times New Roman" w:hAnsi="Times New Roman" w:eastAsia="仿宋_GB2312" w:cs="Times New Roman"/>
        </w:rPr>
        <w:t>、结果</w:t>
      </w:r>
      <w:r>
        <w:rPr>
          <w:rFonts w:ascii="Times New Roman" w:hAnsi="Times New Roman" w:eastAsia="仿宋_GB2312" w:cs="Times New Roman"/>
        </w:rPr>
        <w:t>可信。</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2.1.4 激励性原则</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规范</w:t>
      </w:r>
      <w:r>
        <w:rPr>
          <w:rFonts w:ascii="Times New Roman" w:hAnsi="Times New Roman" w:eastAsia="仿宋_GB2312" w:cs="Times New Roman"/>
        </w:rPr>
        <w:t>的温室气体核算方法，可以</w:t>
      </w:r>
      <w:r>
        <w:rPr>
          <w:rFonts w:hint="eastAsia" w:ascii="Times New Roman" w:hAnsi="Times New Roman" w:eastAsia="仿宋_GB2312" w:cs="Times New Roman"/>
        </w:rPr>
        <w:t>作为</w:t>
      </w:r>
      <w:r>
        <w:rPr>
          <w:rFonts w:ascii="Times New Roman" w:hAnsi="Times New Roman" w:eastAsia="仿宋_GB2312" w:cs="Times New Roman"/>
        </w:rPr>
        <w:t>企业温室气体核算的</w:t>
      </w:r>
      <w:r>
        <w:rPr>
          <w:rFonts w:hint="eastAsia" w:ascii="Times New Roman" w:hAnsi="Times New Roman" w:eastAsia="仿宋_GB2312" w:cs="Times New Roman"/>
        </w:rPr>
        <w:t>有效</w:t>
      </w:r>
      <w:r>
        <w:rPr>
          <w:rFonts w:ascii="Times New Roman" w:hAnsi="Times New Roman" w:eastAsia="仿宋_GB2312" w:cs="Times New Roman"/>
        </w:rPr>
        <w:t>手段，推动人造革与合成革企业更加规范、</w:t>
      </w:r>
      <w:r>
        <w:rPr>
          <w:rFonts w:hint="eastAsia" w:ascii="Times New Roman" w:hAnsi="Times New Roman" w:eastAsia="仿宋_GB2312" w:cs="Times New Roman"/>
        </w:rPr>
        <w:t>有效地对</w:t>
      </w:r>
      <w:r>
        <w:rPr>
          <w:rFonts w:ascii="Times New Roman" w:hAnsi="Times New Roman" w:eastAsia="仿宋_GB2312" w:cs="Times New Roman"/>
        </w:rPr>
        <w:t>自身温室气体排放情况进行跟踪和核算，</w:t>
      </w:r>
      <w:r>
        <w:rPr>
          <w:rFonts w:hint="eastAsia" w:ascii="Times New Roman" w:hAnsi="Times New Roman" w:eastAsia="仿宋_GB2312" w:cs="Times New Roman"/>
        </w:rPr>
        <w:t>捋清温室气体</w:t>
      </w:r>
      <w:r>
        <w:rPr>
          <w:rFonts w:ascii="Times New Roman" w:hAnsi="Times New Roman" w:eastAsia="仿宋_GB2312" w:cs="Times New Roman"/>
        </w:rPr>
        <w:t>排放脉络，为企业</w:t>
      </w:r>
      <w:r>
        <w:rPr>
          <w:rFonts w:hint="eastAsia" w:ascii="Times New Roman" w:hAnsi="Times New Roman" w:eastAsia="仿宋_GB2312" w:cs="Times New Roman"/>
        </w:rPr>
        <w:t>找到</w:t>
      </w:r>
      <w:r>
        <w:rPr>
          <w:rFonts w:ascii="Times New Roman" w:hAnsi="Times New Roman" w:eastAsia="仿宋_GB2312" w:cs="Times New Roman"/>
        </w:rPr>
        <w:t>适宜的碳减排路径，实现碳达峰碳中和目标提供工具基础。</w:t>
      </w:r>
    </w:p>
    <w:p>
      <w:pPr>
        <w:pStyle w:val="2"/>
        <w:spacing w:before="0" w:after="0"/>
        <w:ind w:firstLine="482" w:firstLineChars="200"/>
        <w:rPr>
          <w:rFonts w:eastAsia="仿宋_GB2312"/>
        </w:rPr>
      </w:pPr>
      <w:bookmarkStart w:id="6" w:name="_Toc81405809"/>
      <w:bookmarkStart w:id="7" w:name="_Toc433189808"/>
      <w:bookmarkStart w:id="8" w:name="_Toc433188129"/>
      <w:bookmarkStart w:id="9" w:name="_Toc433188505"/>
      <w:bookmarkStart w:id="10" w:name="_Toc433188128"/>
      <w:bookmarkStart w:id="11" w:name="_Toc433188504"/>
      <w:bookmarkStart w:id="12" w:name="_Toc433189807"/>
      <w:r>
        <w:rPr>
          <w:rFonts w:hint="eastAsia" w:eastAsia="仿宋_GB2312"/>
        </w:rPr>
        <w:t xml:space="preserve">2.2 </w:t>
      </w:r>
      <w:bookmarkEnd w:id="6"/>
      <w:r>
        <w:rPr>
          <w:rFonts w:hint="eastAsia" w:eastAsia="仿宋_GB2312"/>
        </w:rPr>
        <w:t>标准编制解决</w:t>
      </w:r>
      <w:r>
        <w:rPr>
          <w:rFonts w:eastAsia="仿宋_GB2312"/>
        </w:rPr>
        <w:t>的主要问题</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标准</w:t>
      </w:r>
      <w:r>
        <w:rPr>
          <w:rFonts w:ascii="Times New Roman" w:hAnsi="Times New Roman" w:eastAsia="仿宋_GB2312" w:cs="Times New Roman"/>
        </w:rPr>
        <w:t>参考了</w:t>
      </w:r>
      <w:r>
        <w:rPr>
          <w:rFonts w:hint="eastAsia" w:ascii="Times New Roman" w:hAnsi="Times New Roman" w:eastAsia="仿宋_GB2312" w:cs="Times New Roman"/>
        </w:rPr>
        <w:t>国内</w:t>
      </w:r>
      <w:r>
        <w:rPr>
          <w:rFonts w:ascii="Times New Roman" w:hAnsi="Times New Roman" w:eastAsia="仿宋_GB2312" w:cs="Times New Roman"/>
        </w:rPr>
        <w:t>已发布的</w:t>
      </w:r>
      <w:r>
        <w:rPr>
          <w:rFonts w:hint="eastAsia" w:ascii="Times New Roman" w:hAnsi="Times New Roman" w:eastAsia="仿宋_GB2312" w:cs="Times New Roman"/>
        </w:rPr>
        <w:t>其他</w:t>
      </w:r>
      <w:r>
        <w:rPr>
          <w:rFonts w:ascii="Times New Roman" w:hAnsi="Times New Roman" w:eastAsia="仿宋_GB2312" w:cs="Times New Roman"/>
        </w:rPr>
        <w:t>行业温室</w:t>
      </w:r>
      <w:r>
        <w:rPr>
          <w:rFonts w:hint="eastAsia" w:ascii="Times New Roman" w:hAnsi="Times New Roman" w:eastAsia="仿宋_GB2312" w:cs="Times New Roman"/>
        </w:rPr>
        <w:t>其他</w:t>
      </w:r>
      <w:r>
        <w:rPr>
          <w:rFonts w:ascii="Times New Roman" w:hAnsi="Times New Roman" w:eastAsia="仿宋_GB2312" w:cs="Times New Roman"/>
        </w:rPr>
        <w:t>核算标准，根据行业调研、标准调研、</w:t>
      </w:r>
      <w:r>
        <w:rPr>
          <w:rFonts w:hint="eastAsia" w:ascii="Times New Roman" w:hAnsi="Times New Roman" w:eastAsia="仿宋_GB2312" w:cs="Times New Roman"/>
        </w:rPr>
        <w:t>实地</w:t>
      </w:r>
      <w:r>
        <w:rPr>
          <w:rFonts w:ascii="Times New Roman" w:hAnsi="Times New Roman" w:eastAsia="仿宋_GB2312" w:cs="Times New Roman"/>
        </w:rPr>
        <w:t>调研和函件调研等妨碍，归纳和总结行业内典型企业</w:t>
      </w:r>
      <w:r>
        <w:rPr>
          <w:rFonts w:hint="eastAsia" w:ascii="Times New Roman" w:hAnsi="Times New Roman" w:eastAsia="仿宋_GB2312" w:cs="Times New Roman"/>
        </w:rPr>
        <w:t>现阶段主要温室气体</w:t>
      </w:r>
      <w:r>
        <w:rPr>
          <w:rFonts w:ascii="Times New Roman" w:hAnsi="Times New Roman" w:eastAsia="仿宋_GB2312" w:cs="Times New Roman"/>
        </w:rPr>
        <w:t>排放</w:t>
      </w:r>
      <w:r>
        <w:rPr>
          <w:rFonts w:hint="eastAsia" w:ascii="Times New Roman" w:hAnsi="Times New Roman" w:eastAsia="仿宋_GB2312" w:cs="Times New Roman"/>
        </w:rPr>
        <w:t>节点</w:t>
      </w:r>
      <w:r>
        <w:rPr>
          <w:rFonts w:ascii="Times New Roman" w:hAnsi="Times New Roman" w:eastAsia="仿宋_GB2312" w:cs="Times New Roman"/>
        </w:rPr>
        <w:t>、温室气体类型、</w:t>
      </w:r>
      <w:r>
        <w:rPr>
          <w:rFonts w:hint="eastAsia" w:ascii="Times New Roman" w:hAnsi="Times New Roman" w:eastAsia="仿宋_GB2312" w:cs="Times New Roman"/>
        </w:rPr>
        <w:t>各类型</w:t>
      </w:r>
      <w:r>
        <w:rPr>
          <w:rFonts w:ascii="Times New Roman" w:hAnsi="Times New Roman" w:eastAsia="仿宋_GB2312" w:cs="Times New Roman"/>
        </w:rPr>
        <w:t>温室气体对应的核算主流方法</w:t>
      </w:r>
      <w:r>
        <w:rPr>
          <w:rFonts w:hint="eastAsia" w:ascii="Times New Roman" w:hAnsi="Times New Roman" w:eastAsia="仿宋_GB2312" w:cs="Times New Roman"/>
        </w:rPr>
        <w:t>，结合</w:t>
      </w:r>
      <w:r>
        <w:rPr>
          <w:rFonts w:ascii="Times New Roman" w:hAnsi="Times New Roman" w:eastAsia="仿宋_GB2312" w:cs="Times New Roman"/>
        </w:rPr>
        <w:t>企业实际核算过程中需要解决的疑问，</w:t>
      </w:r>
      <w:r>
        <w:rPr>
          <w:rFonts w:hint="eastAsia" w:ascii="Times New Roman" w:hAnsi="Times New Roman" w:eastAsia="仿宋_GB2312" w:cs="Times New Roman"/>
        </w:rPr>
        <w:t>构建了适用于</w:t>
      </w:r>
      <w:r>
        <w:rPr>
          <w:rFonts w:ascii="Times New Roman" w:hAnsi="Times New Roman" w:eastAsia="仿宋_GB2312" w:cs="Times New Roman"/>
        </w:rPr>
        <w:t>人造革与合成革行业</w:t>
      </w:r>
      <w:r>
        <w:rPr>
          <w:rFonts w:hint="eastAsia" w:ascii="Times New Roman" w:hAnsi="Times New Roman" w:eastAsia="仿宋_GB2312" w:cs="Times New Roman"/>
        </w:rPr>
        <w:t>的</w:t>
      </w:r>
      <w:r>
        <w:rPr>
          <w:rFonts w:ascii="Times New Roman" w:hAnsi="Times New Roman" w:eastAsia="仿宋_GB2312" w:cs="Times New Roman"/>
        </w:rPr>
        <w:t>温室气体排放核算</w:t>
      </w:r>
      <w:r>
        <w:rPr>
          <w:rFonts w:hint="eastAsia" w:ascii="Times New Roman" w:hAnsi="Times New Roman" w:eastAsia="仿宋_GB2312" w:cs="Times New Roman"/>
        </w:rPr>
        <w:t>和报告</w:t>
      </w:r>
      <w:r>
        <w:rPr>
          <w:rFonts w:ascii="Times New Roman" w:hAnsi="Times New Roman" w:eastAsia="仿宋_GB2312" w:cs="Times New Roman"/>
        </w:rPr>
        <w:t>要求。</w:t>
      </w:r>
    </w:p>
    <w:p>
      <w:pPr>
        <w:pStyle w:val="2"/>
        <w:spacing w:before="0" w:after="0"/>
        <w:ind w:firstLine="482" w:firstLineChars="200"/>
        <w:rPr>
          <w:rFonts w:eastAsia="仿宋_GB2312"/>
        </w:rPr>
      </w:pPr>
      <w:r>
        <w:rPr>
          <w:rFonts w:hint="eastAsia" w:eastAsia="仿宋_GB2312"/>
        </w:rPr>
        <w:t>2.</w:t>
      </w:r>
      <w:r>
        <w:rPr>
          <w:rFonts w:eastAsia="仿宋_GB2312"/>
        </w:rPr>
        <w:t>3</w:t>
      </w:r>
      <w:r>
        <w:rPr>
          <w:rFonts w:hint="eastAsia" w:eastAsia="仿宋_GB2312"/>
        </w:rPr>
        <w:t xml:space="preserve"> 国内外相关政策</w:t>
      </w:r>
      <w:r>
        <w:rPr>
          <w:rFonts w:eastAsia="仿宋_GB2312"/>
        </w:rPr>
        <w:t>标准要求</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习近平总书记在第七十五届联合国大会一般性辩论上庄严宣誓，“中国将提高国家自主贡献力度，采取更加有力的政策和措施，二氧化碳排放力争于</w:t>
      </w:r>
      <w:r>
        <w:rPr>
          <w:rFonts w:ascii="Times New Roman" w:hAnsi="Times New Roman" w:eastAsia="仿宋_GB2312" w:cs="Times New Roman"/>
        </w:rPr>
        <w:t>2030年前达到峰值，努力争取2060年前实现碳中</w:t>
      </w:r>
      <w:r>
        <w:rPr>
          <w:rFonts w:hint="eastAsia" w:ascii="Times New Roman" w:hAnsi="Times New Roman" w:eastAsia="仿宋_GB2312" w:cs="Times New Roman"/>
        </w:rPr>
        <w:t>和”。</w:t>
      </w:r>
      <w:r>
        <w:rPr>
          <w:rFonts w:ascii="Times New Roman" w:hAnsi="Times New Roman" w:eastAsia="仿宋_GB2312" w:cs="Times New Roman"/>
        </w:rPr>
        <w:t>十九届五中全</w:t>
      </w:r>
      <w:r>
        <w:rPr>
          <w:rFonts w:hint="eastAsia" w:ascii="Times New Roman" w:hAnsi="Times New Roman" w:eastAsia="仿宋_GB2312" w:cs="Times New Roman"/>
        </w:rPr>
        <w:t>会将“碳排放达峰后稳中有降”纳入</w:t>
      </w:r>
      <w:r>
        <w:rPr>
          <w:rFonts w:ascii="Times New Roman" w:hAnsi="Times New Roman" w:eastAsia="仿宋_GB2312" w:cs="Times New Roman"/>
        </w:rPr>
        <w:t>2035年基本实现社会主义现代</w:t>
      </w:r>
      <w:r>
        <w:rPr>
          <w:rFonts w:hint="eastAsia" w:ascii="Times New Roman" w:hAnsi="Times New Roman" w:eastAsia="仿宋_GB2312" w:cs="Times New Roman"/>
        </w:rPr>
        <w:t>化的远景目标，这是党中央、国务院统筹国际国内两个大局作出的重大战略部署。对应国家</w:t>
      </w:r>
      <w:r>
        <w:rPr>
          <w:rFonts w:ascii="Times New Roman" w:hAnsi="Times New Roman" w:eastAsia="仿宋_GB2312" w:cs="Times New Roman"/>
        </w:rPr>
        <w:t>的</w:t>
      </w:r>
      <w:r>
        <w:rPr>
          <w:rFonts w:hint="eastAsia" w:ascii="Times New Roman" w:hAnsi="Times New Roman" w:eastAsia="仿宋_GB2312" w:cs="Times New Roman"/>
        </w:rPr>
        <w:t>“双碳”目标</w:t>
      </w:r>
      <w:r>
        <w:rPr>
          <w:rFonts w:ascii="Times New Roman" w:hAnsi="Times New Roman" w:eastAsia="仿宋_GB2312" w:cs="Times New Roman"/>
        </w:rPr>
        <w:t>，国家发改委、生态环境部先后发布了《</w:t>
      </w:r>
      <w:r>
        <w:rPr>
          <w:rFonts w:hint="eastAsia" w:ascii="Times New Roman" w:hAnsi="Times New Roman" w:eastAsia="仿宋_GB2312" w:cs="Times New Roman"/>
        </w:rPr>
        <w:t>国家</w:t>
      </w:r>
      <w:r>
        <w:rPr>
          <w:rFonts w:ascii="Times New Roman" w:hAnsi="Times New Roman" w:eastAsia="仿宋_GB2312" w:cs="Times New Roman"/>
        </w:rPr>
        <w:t>应对气候</w:t>
      </w:r>
      <w:r>
        <w:rPr>
          <w:rFonts w:hint="eastAsia" w:ascii="Times New Roman" w:hAnsi="Times New Roman" w:eastAsia="仿宋_GB2312" w:cs="Times New Roman"/>
        </w:rPr>
        <w:t>变化</w:t>
      </w:r>
      <w:r>
        <w:rPr>
          <w:rFonts w:ascii="Times New Roman" w:hAnsi="Times New Roman" w:eastAsia="仿宋_GB2312" w:cs="Times New Roman"/>
        </w:rPr>
        <w:t>规划（</w:t>
      </w:r>
      <w:r>
        <w:rPr>
          <w:rFonts w:hint="eastAsia" w:ascii="Times New Roman" w:hAnsi="Times New Roman" w:eastAsia="仿宋_GB2312" w:cs="Times New Roman"/>
        </w:rPr>
        <w:t>2014—2020年</w:t>
      </w:r>
      <w:r>
        <w:rPr>
          <w:rFonts w:ascii="Times New Roman" w:hAnsi="Times New Roman" w:eastAsia="仿宋_GB2312" w:cs="Times New Roman"/>
        </w:rPr>
        <w:t>）</w:t>
      </w:r>
      <w:r>
        <w:rPr>
          <w:rFonts w:hint="eastAsia" w:ascii="Times New Roman" w:hAnsi="Times New Roman" w:eastAsia="仿宋_GB2312" w:cs="Times New Roman"/>
        </w:rPr>
        <w:t>》《工业</w:t>
      </w:r>
      <w:r>
        <w:rPr>
          <w:rFonts w:ascii="Times New Roman" w:hAnsi="Times New Roman" w:eastAsia="仿宋_GB2312" w:cs="Times New Roman"/>
        </w:rPr>
        <w:t>应对气候变化行动方案（</w:t>
      </w:r>
      <w:r>
        <w:rPr>
          <w:rFonts w:hint="eastAsia" w:ascii="Times New Roman" w:hAnsi="Times New Roman" w:eastAsia="仿宋_GB2312" w:cs="Times New Roman"/>
        </w:rPr>
        <w:t>2012—2020</w:t>
      </w:r>
      <w:r>
        <w:rPr>
          <w:rFonts w:ascii="Times New Roman" w:hAnsi="Times New Roman" w:eastAsia="仿宋_GB2312" w:cs="Times New Roman"/>
        </w:rPr>
        <w:t>）</w:t>
      </w:r>
      <w:r>
        <w:rPr>
          <w:rFonts w:hint="eastAsia" w:ascii="Times New Roman" w:hAnsi="Times New Roman" w:eastAsia="仿宋_GB2312" w:cs="Times New Roman"/>
        </w:rPr>
        <w:t>年》《国家院</w:t>
      </w:r>
      <w:r>
        <w:rPr>
          <w:rFonts w:ascii="Times New Roman" w:hAnsi="Times New Roman" w:eastAsia="仿宋_GB2312" w:cs="Times New Roman"/>
        </w:rPr>
        <w:t>关于印发“</w:t>
      </w:r>
      <w:r>
        <w:rPr>
          <w:rFonts w:hint="eastAsia" w:ascii="Times New Roman" w:hAnsi="Times New Roman" w:eastAsia="仿宋_GB2312" w:cs="Times New Roman"/>
        </w:rPr>
        <w:t>十三五</w:t>
      </w:r>
      <w:r>
        <w:rPr>
          <w:rFonts w:ascii="Times New Roman" w:hAnsi="Times New Roman" w:eastAsia="仿宋_GB2312" w:cs="Times New Roman"/>
        </w:rPr>
        <w:t>”</w:t>
      </w:r>
      <w:r>
        <w:rPr>
          <w:rFonts w:hint="eastAsia" w:ascii="Times New Roman" w:hAnsi="Times New Roman" w:eastAsia="仿宋_GB2312" w:cs="Times New Roman"/>
        </w:rPr>
        <w:t>控制温室气体</w:t>
      </w:r>
      <w:r>
        <w:rPr>
          <w:rFonts w:ascii="Times New Roman" w:hAnsi="Times New Roman" w:eastAsia="仿宋_GB2312" w:cs="Times New Roman"/>
        </w:rPr>
        <w:t>排放工作方案的通知》</w:t>
      </w:r>
      <w:r>
        <w:rPr>
          <w:rFonts w:hint="eastAsia" w:ascii="Times New Roman" w:hAnsi="Times New Roman" w:eastAsia="仿宋_GB2312" w:cs="Times New Roman"/>
        </w:rPr>
        <w:t>等</w:t>
      </w:r>
      <w:r>
        <w:rPr>
          <w:rFonts w:ascii="Times New Roman" w:hAnsi="Times New Roman" w:eastAsia="仿宋_GB2312" w:cs="Times New Roman"/>
        </w:rPr>
        <w:t>多项有关政策。</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国家</w:t>
      </w:r>
      <w:r>
        <w:rPr>
          <w:rFonts w:ascii="Times New Roman" w:hAnsi="Times New Roman" w:eastAsia="仿宋_GB2312" w:cs="Times New Roman"/>
        </w:rPr>
        <w:t>发改委分三个批次共发布</w:t>
      </w:r>
      <w:r>
        <w:rPr>
          <w:rFonts w:hint="eastAsia" w:ascii="Times New Roman" w:hAnsi="Times New Roman" w:eastAsia="仿宋_GB2312" w:cs="Times New Roman"/>
        </w:rPr>
        <w:t>的24个</w:t>
      </w:r>
      <w:r>
        <w:rPr>
          <w:rFonts w:ascii="Times New Roman" w:hAnsi="Times New Roman" w:eastAsia="仿宋_GB2312" w:cs="Times New Roman"/>
        </w:rPr>
        <w:t>行业</w:t>
      </w:r>
      <w:r>
        <w:rPr>
          <w:rFonts w:hint="eastAsia" w:ascii="Times New Roman" w:hAnsi="Times New Roman" w:eastAsia="仿宋_GB2312" w:cs="Times New Roman"/>
        </w:rPr>
        <w:t>（包括</w:t>
      </w:r>
      <w:r>
        <w:rPr>
          <w:rFonts w:ascii="Times New Roman" w:hAnsi="Times New Roman" w:eastAsia="仿宋_GB2312" w:cs="Times New Roman"/>
        </w:rPr>
        <w:t>发电、电网、钢铁、化工、电解铝、镁冶炼、平板玻璃、水泥、陶瓷、民航、煤炭生产、石油天然气生产、石油化工和独立焦化、</w:t>
      </w:r>
      <w:r>
        <w:rPr>
          <w:rFonts w:hint="eastAsia" w:ascii="Times New Roman" w:hAnsi="Times New Roman" w:eastAsia="仿宋_GB2312" w:cs="Times New Roman"/>
        </w:rPr>
        <w:t>造纸</w:t>
      </w:r>
      <w:r>
        <w:rPr>
          <w:rFonts w:ascii="Times New Roman" w:hAnsi="Times New Roman" w:eastAsia="仿宋_GB2312" w:cs="Times New Roman"/>
        </w:rPr>
        <w:t>和纸制品、其他有色金属冶炼、电子设备制造、机械设备制造、矿山企业、食品、烟草及酒、饮料</w:t>
      </w:r>
      <w:r>
        <w:rPr>
          <w:rFonts w:hint="eastAsia" w:ascii="Times New Roman" w:hAnsi="Times New Roman" w:eastAsia="仿宋_GB2312" w:cs="Times New Roman"/>
        </w:rPr>
        <w:t>和精制茶、</w:t>
      </w:r>
      <w:r>
        <w:rPr>
          <w:rFonts w:ascii="Times New Roman" w:hAnsi="Times New Roman" w:eastAsia="仿宋_GB2312" w:cs="Times New Roman"/>
        </w:rPr>
        <w:t>公共建筑运营单位、陆上交通、氟化工企业</w:t>
      </w:r>
      <w:r>
        <w:rPr>
          <w:rFonts w:hint="eastAsia" w:ascii="Times New Roman" w:hAnsi="Times New Roman" w:eastAsia="仿宋_GB2312" w:cs="Times New Roman"/>
        </w:rPr>
        <w:t>以及</w:t>
      </w:r>
      <w:r>
        <w:rPr>
          <w:rFonts w:ascii="Times New Roman" w:hAnsi="Times New Roman" w:eastAsia="仿宋_GB2312" w:cs="Times New Roman"/>
        </w:rPr>
        <w:t>工业其他企业</w:t>
      </w:r>
      <w:r>
        <w:rPr>
          <w:rFonts w:hint="eastAsia" w:ascii="Times New Roman" w:hAnsi="Times New Roman" w:eastAsia="仿宋_GB2312" w:cs="Times New Roman"/>
        </w:rPr>
        <w:t>）企业</w:t>
      </w:r>
      <w:r>
        <w:rPr>
          <w:rFonts w:ascii="Times New Roman" w:hAnsi="Times New Roman" w:eastAsia="仿宋_GB2312" w:cs="Times New Roman"/>
        </w:rPr>
        <w:t>温室气体排放核算方法与报告指南（</w:t>
      </w:r>
      <w:r>
        <w:rPr>
          <w:rFonts w:hint="eastAsia" w:ascii="Times New Roman" w:hAnsi="Times New Roman" w:eastAsia="仿宋_GB2312" w:cs="Times New Roman"/>
        </w:rPr>
        <w:t>试行</w:t>
      </w:r>
      <w:r>
        <w:rPr>
          <w:rFonts w:ascii="Times New Roman" w:hAnsi="Times New Roman" w:eastAsia="仿宋_GB2312" w:cs="Times New Roman"/>
        </w:rPr>
        <w:t>）</w:t>
      </w:r>
      <w:r>
        <w:rPr>
          <w:rFonts w:hint="eastAsia" w:ascii="Times New Roman" w:hAnsi="Times New Roman" w:eastAsia="仿宋_GB2312" w:cs="Times New Roman"/>
        </w:rPr>
        <w:t>等</w:t>
      </w:r>
      <w:r>
        <w:rPr>
          <w:rFonts w:ascii="Times New Roman" w:hAnsi="Times New Roman" w:eastAsia="仿宋_GB2312" w:cs="Times New Roman"/>
        </w:rPr>
        <w:t>相关政策标准文件</w:t>
      </w:r>
      <w:r>
        <w:rPr>
          <w:rFonts w:hint="eastAsia" w:ascii="Times New Roman" w:hAnsi="Times New Roman" w:eastAsia="仿宋_GB2312" w:cs="Times New Roman"/>
        </w:rPr>
        <w:t>是当时</w:t>
      </w:r>
      <w:r>
        <w:rPr>
          <w:rFonts w:ascii="Times New Roman" w:hAnsi="Times New Roman" w:eastAsia="仿宋_GB2312" w:cs="Times New Roman"/>
        </w:rPr>
        <w:t>我国温室气体排放管理</w:t>
      </w:r>
      <w:r>
        <w:rPr>
          <w:rFonts w:hint="eastAsia" w:ascii="Times New Roman" w:hAnsi="Times New Roman" w:eastAsia="仿宋_GB2312" w:cs="Times New Roman"/>
        </w:rPr>
        <w:t>的重要</w:t>
      </w:r>
      <w:r>
        <w:rPr>
          <w:rFonts w:ascii="Times New Roman" w:hAnsi="Times New Roman" w:eastAsia="仿宋_GB2312" w:cs="Times New Roman"/>
        </w:rPr>
        <w:t>参考</w:t>
      </w:r>
      <w:r>
        <w:rPr>
          <w:rFonts w:hint="eastAsia" w:ascii="Times New Roman" w:hAnsi="Times New Roman" w:eastAsia="仿宋_GB2312" w:cs="Times New Roman"/>
        </w:rPr>
        <w:t>文件</w:t>
      </w:r>
      <w:r>
        <w:rPr>
          <w:rFonts w:ascii="Times New Roman" w:hAnsi="Times New Roman" w:eastAsia="仿宋_GB2312" w:cs="Times New Roman"/>
        </w:rPr>
        <w:t>。</w:t>
      </w:r>
      <w:r>
        <w:rPr>
          <w:rFonts w:hint="eastAsia" w:ascii="Times New Roman" w:hAnsi="Times New Roman" w:eastAsia="仿宋_GB2312" w:cs="Times New Roman"/>
        </w:rPr>
        <w:t>2</w:t>
      </w:r>
      <w:r>
        <w:rPr>
          <w:rFonts w:ascii="Times New Roman" w:hAnsi="Times New Roman" w:eastAsia="仿宋_GB2312" w:cs="Times New Roman"/>
        </w:rPr>
        <w:t>016</w:t>
      </w:r>
      <w:r>
        <w:rPr>
          <w:rFonts w:hint="eastAsia" w:ascii="Times New Roman" w:hAnsi="Times New Roman" w:eastAsia="仿宋_GB2312" w:cs="Times New Roman"/>
        </w:rPr>
        <w:t>年1月</w:t>
      </w:r>
      <w:r>
        <w:rPr>
          <w:rFonts w:ascii="Times New Roman" w:hAnsi="Times New Roman" w:eastAsia="仿宋_GB2312" w:cs="Times New Roman"/>
        </w:rPr>
        <w:t>开始，国家标准委首次发布</w:t>
      </w:r>
      <w:r>
        <w:rPr>
          <w:rFonts w:hint="eastAsia" w:ascii="Times New Roman" w:hAnsi="Times New Roman" w:eastAsia="仿宋_GB2312" w:cs="Times New Roman"/>
        </w:rPr>
        <w:t>温室气体</w:t>
      </w:r>
      <w:r>
        <w:rPr>
          <w:rFonts w:ascii="Times New Roman" w:hAnsi="Times New Roman" w:eastAsia="仿宋_GB2312" w:cs="Times New Roman"/>
        </w:rPr>
        <w:t>管理的国家标准包括《</w:t>
      </w:r>
      <w:r>
        <w:rPr>
          <w:rFonts w:hint="eastAsia" w:ascii="Times New Roman" w:hAnsi="Times New Roman" w:eastAsia="仿宋_GB2312" w:cs="Times New Roman"/>
        </w:rPr>
        <w:t>工业企业</w:t>
      </w:r>
      <w:r>
        <w:rPr>
          <w:rFonts w:ascii="Times New Roman" w:hAnsi="Times New Roman" w:eastAsia="仿宋_GB2312" w:cs="Times New Roman"/>
        </w:rPr>
        <w:t>温室气体</w:t>
      </w:r>
      <w:r>
        <w:rPr>
          <w:rFonts w:hint="eastAsia" w:ascii="Times New Roman" w:hAnsi="Times New Roman" w:eastAsia="仿宋_GB2312" w:cs="Times New Roman"/>
        </w:rPr>
        <w:t>排放</w:t>
      </w:r>
      <w:r>
        <w:rPr>
          <w:rFonts w:ascii="Times New Roman" w:hAnsi="Times New Roman" w:eastAsia="仿宋_GB2312" w:cs="Times New Roman"/>
        </w:rPr>
        <w:t>核算和报告通则》</w:t>
      </w:r>
      <w:r>
        <w:rPr>
          <w:rFonts w:hint="eastAsia" w:ascii="Times New Roman" w:hAnsi="Times New Roman" w:eastAsia="仿宋_GB2312" w:cs="Times New Roman"/>
        </w:rPr>
        <w:t>（GB/T 32150-2015）以及</w:t>
      </w:r>
      <w:r>
        <w:rPr>
          <w:rFonts w:ascii="Times New Roman" w:hAnsi="Times New Roman" w:eastAsia="仿宋_GB2312" w:cs="Times New Roman"/>
        </w:rPr>
        <w:t>发电、钢铁、水泥等</w:t>
      </w:r>
      <w:r>
        <w:rPr>
          <w:rFonts w:hint="eastAsia" w:ascii="Times New Roman" w:hAnsi="Times New Roman" w:eastAsia="仿宋_GB2312" w:cs="Times New Roman"/>
        </w:rPr>
        <w:t>10个</w:t>
      </w:r>
      <w:r>
        <w:rPr>
          <w:rFonts w:ascii="Times New Roman" w:hAnsi="Times New Roman" w:eastAsia="仿宋_GB2312" w:cs="Times New Roman"/>
        </w:rPr>
        <w:t>重点行业的温室气体排放核算方法和报告要求。</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人造革</w:t>
      </w:r>
      <w:r>
        <w:rPr>
          <w:rFonts w:ascii="Times New Roman" w:hAnsi="Times New Roman" w:eastAsia="仿宋_GB2312" w:cs="Times New Roman"/>
        </w:rPr>
        <w:t>与合成革行业作为轻工业的典型行业，还未</w:t>
      </w:r>
      <w:r>
        <w:rPr>
          <w:rFonts w:hint="eastAsia" w:ascii="Times New Roman" w:hAnsi="Times New Roman" w:eastAsia="仿宋_GB2312" w:cs="Times New Roman"/>
        </w:rPr>
        <w:t>有</w:t>
      </w:r>
      <w:r>
        <w:rPr>
          <w:rFonts w:ascii="Times New Roman" w:hAnsi="Times New Roman" w:eastAsia="仿宋_GB2312" w:cs="Times New Roman"/>
        </w:rPr>
        <w:t>对应的温室气体核</w:t>
      </w:r>
      <w:r>
        <w:rPr>
          <w:rFonts w:hint="eastAsia" w:ascii="Times New Roman" w:hAnsi="Times New Roman" w:eastAsia="仿宋_GB2312" w:cs="Times New Roman"/>
        </w:rPr>
        <w:t>算</w:t>
      </w:r>
      <w:r>
        <w:rPr>
          <w:rFonts w:ascii="Times New Roman" w:hAnsi="Times New Roman" w:eastAsia="仿宋_GB2312" w:cs="Times New Roman"/>
        </w:rPr>
        <w:t>和报告相关技术标准要求</w:t>
      </w:r>
      <w:r>
        <w:rPr>
          <w:rFonts w:hint="eastAsia" w:ascii="Times New Roman" w:hAnsi="Times New Roman" w:eastAsia="仿宋_GB2312" w:cs="Times New Roman"/>
        </w:rPr>
        <w:t>，</w:t>
      </w:r>
      <w:r>
        <w:rPr>
          <w:rFonts w:ascii="Times New Roman" w:hAnsi="Times New Roman" w:eastAsia="仿宋_GB2312" w:cs="Times New Roman"/>
        </w:rPr>
        <w:t>主要以《</w:t>
      </w:r>
      <w:r>
        <w:rPr>
          <w:rFonts w:hint="eastAsia" w:ascii="Times New Roman" w:hAnsi="Times New Roman" w:eastAsia="仿宋_GB2312" w:cs="Times New Roman"/>
        </w:rPr>
        <w:t>工业企业</w:t>
      </w:r>
      <w:r>
        <w:rPr>
          <w:rFonts w:ascii="Times New Roman" w:hAnsi="Times New Roman" w:eastAsia="仿宋_GB2312" w:cs="Times New Roman"/>
        </w:rPr>
        <w:t>温室气体</w:t>
      </w:r>
      <w:r>
        <w:rPr>
          <w:rFonts w:hint="eastAsia" w:ascii="Times New Roman" w:hAnsi="Times New Roman" w:eastAsia="仿宋_GB2312" w:cs="Times New Roman"/>
        </w:rPr>
        <w:t>排放</w:t>
      </w:r>
      <w:r>
        <w:rPr>
          <w:rFonts w:ascii="Times New Roman" w:hAnsi="Times New Roman" w:eastAsia="仿宋_GB2312" w:cs="Times New Roman"/>
        </w:rPr>
        <w:t>核算和报告通则</w:t>
      </w:r>
      <w:r>
        <w:rPr>
          <w:rFonts w:hint="eastAsia" w:ascii="Times New Roman" w:hAnsi="Times New Roman" w:eastAsia="仿宋_GB2312" w:cs="Times New Roman"/>
        </w:rPr>
        <w:t>》(GB/T 32150-2015)</w:t>
      </w:r>
      <w:r>
        <w:rPr>
          <w:rFonts w:hint="eastAsia" w:ascii="仿宋_GB2312" w:hAnsi="仿宋_GB2312" w:eastAsia="仿宋_GB2312" w:cs="仿宋_GB2312"/>
          <w:szCs w:val="21"/>
        </w:rPr>
        <w:t>工业</w:t>
      </w:r>
      <w:r>
        <w:rPr>
          <w:rFonts w:ascii="仿宋_GB2312" w:hAnsi="仿宋_GB2312" w:eastAsia="仿宋_GB2312" w:cs="仿宋_GB2312"/>
          <w:szCs w:val="21"/>
        </w:rPr>
        <w:t>其他</w:t>
      </w:r>
      <w:r>
        <w:rPr>
          <w:rFonts w:hint="eastAsia" w:ascii="仿宋_GB2312" w:hAnsi="仿宋_GB2312" w:eastAsia="仿宋_GB2312" w:cs="仿宋_GB2312"/>
          <w:szCs w:val="21"/>
        </w:rPr>
        <w:t>行业</w:t>
      </w:r>
      <w:r>
        <w:rPr>
          <w:rFonts w:ascii="仿宋_GB2312" w:hAnsi="仿宋_GB2312" w:eastAsia="仿宋_GB2312" w:cs="仿宋_GB2312"/>
          <w:szCs w:val="21"/>
        </w:rPr>
        <w:t>企业温室气体核算方法和报告指南（</w:t>
      </w:r>
      <w:r>
        <w:rPr>
          <w:rFonts w:hint="eastAsia" w:ascii="仿宋_GB2312" w:hAnsi="仿宋_GB2312" w:eastAsia="仿宋_GB2312" w:cs="仿宋_GB2312"/>
          <w:szCs w:val="21"/>
        </w:rPr>
        <w:t>试行</w:t>
      </w:r>
      <w:r>
        <w:rPr>
          <w:rFonts w:ascii="仿宋_GB2312" w:hAnsi="仿宋_GB2312" w:eastAsia="仿宋_GB2312" w:cs="仿宋_GB2312"/>
          <w:szCs w:val="21"/>
        </w:rPr>
        <w:t>）》</w:t>
      </w:r>
      <w:r>
        <w:rPr>
          <w:rFonts w:hint="eastAsia" w:ascii="仿宋_GB2312" w:hAnsi="仿宋_GB2312" w:eastAsia="仿宋_GB2312" w:cs="仿宋_GB2312"/>
          <w:szCs w:val="21"/>
        </w:rPr>
        <w:t>或</w:t>
      </w:r>
      <w:r>
        <w:rPr>
          <w:rFonts w:ascii="仿宋_GB2312" w:hAnsi="仿宋_GB2312" w:eastAsia="仿宋_GB2312" w:cs="仿宋_GB2312"/>
          <w:szCs w:val="21"/>
        </w:rPr>
        <w:t>地方发布的有关标准</w:t>
      </w:r>
      <w:r>
        <w:rPr>
          <w:rFonts w:hint="eastAsia" w:ascii="Times New Roman" w:hAnsi="Times New Roman" w:eastAsia="仿宋_GB2312" w:cs="Times New Roman"/>
        </w:rPr>
        <w:t>等</w:t>
      </w:r>
      <w:r>
        <w:rPr>
          <w:rFonts w:ascii="仿宋_GB2312" w:hAnsi="仿宋_GB2312" w:eastAsia="仿宋_GB2312" w:cs="仿宋_GB2312"/>
          <w:szCs w:val="21"/>
        </w:rPr>
        <w:t>进行温室气体的核查和报告</w:t>
      </w:r>
      <w:r>
        <w:rPr>
          <w:rFonts w:hint="eastAsia" w:ascii="仿宋_GB2312" w:hAnsi="仿宋_GB2312" w:eastAsia="仿宋_GB2312" w:cs="仿宋_GB2312"/>
          <w:szCs w:val="21"/>
        </w:rPr>
        <w:t>。</w:t>
      </w:r>
    </w:p>
    <w:bookmarkEnd w:id="7"/>
    <w:bookmarkEnd w:id="8"/>
    <w:bookmarkEnd w:id="9"/>
    <w:p>
      <w:pPr>
        <w:pStyle w:val="2"/>
        <w:spacing w:before="0" w:after="0"/>
        <w:ind w:firstLine="482" w:firstLineChars="200"/>
        <w:rPr>
          <w:rFonts w:eastAsia="仿宋_GB2312"/>
          <w:bCs w:val="0"/>
        </w:rPr>
      </w:pPr>
      <w:bookmarkStart w:id="13" w:name="_Toc433189811"/>
      <w:bookmarkStart w:id="14" w:name="_Toc433188508"/>
      <w:bookmarkStart w:id="15" w:name="_Toc433188132"/>
      <w:bookmarkStart w:id="16" w:name="_Toc81405816"/>
      <w:bookmarkStart w:id="17" w:name="_Toc445983416"/>
      <w:r>
        <w:rPr>
          <w:rFonts w:hint="eastAsia" w:eastAsia="仿宋_GB2312"/>
          <w:bCs w:val="0"/>
        </w:rPr>
        <w:t>2.</w:t>
      </w:r>
      <w:r>
        <w:rPr>
          <w:rFonts w:eastAsia="仿宋_GB2312"/>
          <w:bCs w:val="0"/>
        </w:rPr>
        <w:t>4 主要技术内容</w:t>
      </w:r>
      <w:bookmarkEnd w:id="13"/>
      <w:bookmarkEnd w:id="14"/>
      <w:bookmarkEnd w:id="15"/>
      <w:r>
        <w:rPr>
          <w:rFonts w:eastAsia="仿宋_GB2312"/>
          <w:bCs w:val="0"/>
        </w:rPr>
        <w:t>及说明</w:t>
      </w:r>
      <w:bookmarkEnd w:id="16"/>
    </w:p>
    <w:p>
      <w:pPr>
        <w:pStyle w:val="3"/>
        <w:spacing w:before="0" w:after="0" w:line="360" w:lineRule="auto"/>
        <w:ind w:firstLine="482" w:firstLineChars="200"/>
        <w:rPr>
          <w:rFonts w:ascii="Times New Roman" w:hAnsi="Times New Roman" w:eastAsia="仿宋_GB2312"/>
          <w:bCs w:val="0"/>
          <w:sz w:val="24"/>
          <w:szCs w:val="24"/>
        </w:rPr>
      </w:pPr>
      <w:bookmarkStart w:id="18" w:name="_Toc81405817"/>
      <w:r>
        <w:rPr>
          <w:rFonts w:hint="eastAsia" w:ascii="Times New Roman" w:hAnsi="Times New Roman" w:eastAsia="仿宋_GB2312"/>
          <w:bCs w:val="0"/>
          <w:sz w:val="24"/>
          <w:szCs w:val="24"/>
        </w:rPr>
        <w:t>2.4.1</w:t>
      </w:r>
      <w:r>
        <w:rPr>
          <w:rFonts w:ascii="Times New Roman" w:hAnsi="Times New Roman" w:eastAsia="仿宋_GB2312"/>
          <w:bCs w:val="0"/>
          <w:sz w:val="24"/>
          <w:szCs w:val="24"/>
        </w:rPr>
        <w:t>范围</w:t>
      </w:r>
      <w:bookmarkEnd w:id="18"/>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本文件规定了人造革与合成革生产企业温室气体排放量的核算和报告的相关术语、核算边界、核算步骤与核算方法、数据质量管理、报告通用技术内容和格式等内容。</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本文件适用于人造革与合成革企业温室气体排放量的核算和报告，人造革合成革及其制成品的生产企业可按照本文件提供的方法开展核查，并编制企业温室气体排放报告。</w:t>
      </w:r>
    </w:p>
    <w:p>
      <w:pPr>
        <w:pStyle w:val="3"/>
        <w:spacing w:before="0" w:after="0" w:line="360" w:lineRule="auto"/>
        <w:ind w:firstLine="482" w:firstLineChars="200"/>
        <w:rPr>
          <w:rFonts w:ascii="Times New Roman" w:hAnsi="Times New Roman" w:eastAsia="仿宋_GB2312"/>
          <w:bCs w:val="0"/>
          <w:sz w:val="24"/>
          <w:szCs w:val="24"/>
        </w:rPr>
      </w:pPr>
      <w:bookmarkStart w:id="19" w:name="_Toc81405818"/>
      <w:r>
        <w:rPr>
          <w:rFonts w:hint="eastAsia" w:ascii="Times New Roman" w:hAnsi="Times New Roman" w:eastAsia="仿宋_GB2312"/>
          <w:bCs w:val="0"/>
          <w:sz w:val="24"/>
          <w:szCs w:val="24"/>
        </w:rPr>
        <w:t>2.4.2</w:t>
      </w:r>
      <w:r>
        <w:rPr>
          <w:rFonts w:ascii="Times New Roman" w:hAnsi="Times New Roman" w:eastAsia="仿宋_GB2312"/>
          <w:bCs w:val="0"/>
          <w:sz w:val="24"/>
          <w:szCs w:val="24"/>
        </w:rPr>
        <w:t>规范性引用文件</w:t>
      </w:r>
      <w:bookmarkEnd w:id="19"/>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根据标准技术内容的需要，本标准引用了部分现行的相关国家标准、行业标准以及相关国家法规作为本标准的延伸技术规定，引用文件的管理规定和技术要求视为本标准的一部分。</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本</w:t>
      </w:r>
      <w:r>
        <w:rPr>
          <w:rFonts w:ascii="Times New Roman" w:hAnsi="Times New Roman" w:eastAsia="仿宋_GB2312" w:cs="Times New Roman"/>
        </w:rPr>
        <w:t>标准</w:t>
      </w:r>
      <w:r>
        <w:rPr>
          <w:rFonts w:hint="eastAsia" w:ascii="Times New Roman" w:hAnsi="Times New Roman" w:eastAsia="仿宋_GB2312" w:cs="Times New Roman"/>
        </w:rPr>
        <w:t>涉及</w:t>
      </w:r>
      <w:r>
        <w:rPr>
          <w:rFonts w:ascii="Times New Roman" w:hAnsi="Times New Roman" w:eastAsia="仿宋_GB2312" w:cs="Times New Roman"/>
        </w:rPr>
        <w:t>的规范性</w:t>
      </w:r>
      <w:r>
        <w:rPr>
          <w:rFonts w:hint="eastAsia" w:ascii="Times New Roman" w:hAnsi="Times New Roman" w:eastAsia="仿宋_GB2312" w:cs="Times New Roman"/>
        </w:rPr>
        <w:t>引用</w:t>
      </w:r>
      <w:r>
        <w:rPr>
          <w:rFonts w:ascii="Times New Roman" w:hAnsi="Times New Roman" w:eastAsia="仿宋_GB2312" w:cs="Times New Roman"/>
        </w:rPr>
        <w:t>文件主要为原料热量</w:t>
      </w:r>
      <w:r>
        <w:rPr>
          <w:rFonts w:hint="eastAsia" w:ascii="Times New Roman" w:hAnsi="Times New Roman" w:eastAsia="仿宋_GB2312" w:cs="Times New Roman"/>
        </w:rPr>
        <w:t>、热值</w:t>
      </w:r>
      <w:r>
        <w:rPr>
          <w:rFonts w:ascii="Times New Roman" w:hAnsi="Times New Roman" w:eastAsia="仿宋_GB2312" w:cs="Times New Roman"/>
        </w:rPr>
        <w:t>测定，能源计量与管理</w:t>
      </w:r>
      <w:r>
        <w:rPr>
          <w:rFonts w:hint="eastAsia" w:ascii="Times New Roman" w:hAnsi="Times New Roman" w:eastAsia="仿宋_GB2312" w:cs="Times New Roman"/>
        </w:rPr>
        <w:t>等</w:t>
      </w:r>
      <w:r>
        <w:rPr>
          <w:rFonts w:ascii="Times New Roman" w:hAnsi="Times New Roman" w:eastAsia="仿宋_GB2312" w:cs="Times New Roman"/>
        </w:rPr>
        <w:t>相关要求。</w:t>
      </w:r>
      <w:r>
        <w:rPr>
          <w:rFonts w:hint="eastAsia" w:ascii="Times New Roman" w:hAnsi="Times New Roman" w:eastAsia="仿宋_GB2312" w:cs="Times New Roman"/>
        </w:rPr>
        <w:t>具体包括</w:t>
      </w:r>
      <w:r>
        <w:rPr>
          <w:rFonts w:ascii="Times New Roman" w:hAnsi="Times New Roman" w:eastAsia="仿宋_GB2312" w:cs="Times New Roman"/>
        </w:rPr>
        <w:t>以下几个方面。</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GB/T 213     煤的发热量测定方法</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GB/T 384     石油产品热值测定法</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GB 17167     用能单位能源计量器具配备和管理通则</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GB/T 22723   天然气能量的测定</w:t>
      </w:r>
    </w:p>
    <w:p>
      <w:pPr>
        <w:pStyle w:val="3"/>
        <w:spacing w:before="0" w:after="0" w:line="360" w:lineRule="auto"/>
        <w:ind w:firstLine="482" w:firstLineChars="200"/>
        <w:rPr>
          <w:rFonts w:ascii="Times New Roman" w:hAnsi="Times New Roman" w:eastAsia="仿宋_GB2312"/>
          <w:bCs w:val="0"/>
          <w:sz w:val="24"/>
          <w:szCs w:val="24"/>
        </w:rPr>
      </w:pPr>
      <w:bookmarkStart w:id="20" w:name="_Toc81405819"/>
      <w:r>
        <w:rPr>
          <w:rFonts w:hint="eastAsia" w:ascii="Times New Roman" w:hAnsi="Times New Roman" w:eastAsia="仿宋_GB2312"/>
          <w:bCs w:val="0"/>
          <w:sz w:val="24"/>
          <w:szCs w:val="24"/>
        </w:rPr>
        <w:t>2.4.3</w:t>
      </w:r>
      <w:r>
        <w:rPr>
          <w:rFonts w:ascii="Times New Roman" w:hAnsi="Times New Roman" w:eastAsia="仿宋_GB2312"/>
          <w:bCs w:val="0"/>
          <w:sz w:val="24"/>
          <w:szCs w:val="24"/>
        </w:rPr>
        <w:t>术语与定义</w:t>
      </w:r>
      <w:bookmarkEnd w:id="20"/>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根据本标准的内容，给出了人造革与合成革行业</w:t>
      </w:r>
      <w:r>
        <w:rPr>
          <w:rFonts w:hint="eastAsia" w:ascii="Times New Roman" w:hAnsi="Times New Roman" w:eastAsia="仿宋_GB2312" w:cs="Times New Roman"/>
        </w:rPr>
        <w:t>术语</w:t>
      </w:r>
      <w:r>
        <w:rPr>
          <w:rFonts w:ascii="Times New Roman" w:hAnsi="Times New Roman" w:eastAsia="仿宋_GB2312" w:cs="Times New Roman"/>
        </w:rPr>
        <w:t>、</w:t>
      </w:r>
      <w:r>
        <w:rPr>
          <w:rFonts w:hint="eastAsia" w:ascii="Times New Roman" w:hAnsi="Times New Roman" w:eastAsia="仿宋_GB2312" w:cs="Times New Roman"/>
        </w:rPr>
        <w:t>温室气体</w:t>
      </w:r>
      <w:r>
        <w:rPr>
          <w:rFonts w:ascii="Times New Roman" w:hAnsi="Times New Roman" w:eastAsia="仿宋_GB2312" w:cs="Times New Roman"/>
        </w:rPr>
        <w:t>、核算边界</w:t>
      </w:r>
      <w:r>
        <w:rPr>
          <w:rFonts w:hint="eastAsia" w:ascii="Times New Roman" w:hAnsi="Times New Roman" w:eastAsia="仿宋_GB2312" w:cs="Times New Roman"/>
        </w:rPr>
        <w:t>、</w:t>
      </w:r>
      <w:r>
        <w:rPr>
          <w:rFonts w:ascii="Times New Roman" w:hAnsi="Times New Roman" w:eastAsia="仿宋_GB2312" w:cs="Times New Roman"/>
        </w:rPr>
        <w:t>核算过程等</w:t>
      </w:r>
      <w:r>
        <w:rPr>
          <w:rFonts w:hint="eastAsia" w:ascii="Times New Roman" w:hAnsi="Times New Roman" w:eastAsia="仿宋_GB2312" w:cs="Times New Roman"/>
        </w:rPr>
        <w:t>相关</w:t>
      </w:r>
      <w:r>
        <w:rPr>
          <w:rFonts w:ascii="Times New Roman" w:hAnsi="Times New Roman" w:eastAsia="仿宋_GB2312" w:cs="Times New Roman"/>
        </w:rPr>
        <w:t>术语和定义，并进行了相应的解释。规范性引用文件中的术语和定义，视为本标准的一部分，不再重复。</w:t>
      </w:r>
    </w:p>
    <w:p>
      <w:pPr>
        <w:pStyle w:val="3"/>
        <w:spacing w:before="0" w:after="0" w:line="360" w:lineRule="auto"/>
        <w:ind w:firstLine="482" w:firstLineChars="200"/>
        <w:rPr>
          <w:rFonts w:ascii="Times New Roman" w:hAnsi="Times New Roman" w:eastAsia="仿宋_GB2312"/>
          <w:bCs w:val="0"/>
          <w:sz w:val="24"/>
          <w:szCs w:val="24"/>
        </w:rPr>
      </w:pPr>
      <w:bookmarkStart w:id="21" w:name="_Toc81405820"/>
      <w:r>
        <w:rPr>
          <w:rFonts w:hint="eastAsia" w:ascii="Times New Roman" w:hAnsi="Times New Roman" w:eastAsia="仿宋_GB2312"/>
          <w:bCs w:val="0"/>
          <w:sz w:val="24"/>
          <w:szCs w:val="24"/>
        </w:rPr>
        <w:t>2.4.</w:t>
      </w:r>
      <w:bookmarkEnd w:id="21"/>
      <w:r>
        <w:rPr>
          <w:rFonts w:hint="eastAsia" w:ascii="Times New Roman" w:hAnsi="Times New Roman" w:eastAsia="仿宋_GB2312"/>
          <w:bCs w:val="0"/>
          <w:sz w:val="24"/>
          <w:szCs w:val="24"/>
        </w:rPr>
        <w:t>4核算边界</w:t>
      </w:r>
    </w:p>
    <w:p>
      <w:pPr>
        <w:snapToGrid w:val="0"/>
        <w:spacing w:line="360" w:lineRule="auto"/>
        <w:ind w:firstLine="480" w:firstLineChars="200"/>
        <w:rPr>
          <w:rFonts w:hint="eastAsia" w:ascii="Times New Roman" w:hAnsi="Times New Roman" w:eastAsia="仿宋_GB2312" w:cs="Times New Roman"/>
        </w:rPr>
      </w:pPr>
      <w:r>
        <w:rPr>
          <w:rFonts w:hint="eastAsia" w:ascii="Times New Roman" w:hAnsi="Times New Roman" w:eastAsia="仿宋_GB2312" w:cs="Times New Roman"/>
        </w:rPr>
        <w:t>报告主体应以企业法人或视同法人的独立核算单位为边界，核算和报告其生产系统产生的温室气体排放。生产系统包括主要生产系统、辅助生产系统及直接为生产服务的附属生产系统。其中辅助生产系统包括动力、供水、供电、采暖、制冷、化验、机修、库房、运输等；附属生产系统包括生产组织协调系统和厂内为生产服务的部门和单位（如职工食堂、浴室等）。</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如果报告主体还从事人造革合成革产品生产以外的其他生产服务活动，并存在本部分未涵盖的温室气体排放环节，则应参考其他相关行业的企业温室气体排放核算与报告要求进行核算并汇总报告</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人造革合成革企业根据其产品及生产过程的不同，其温室气体核算和报告范围包括以下部分或全部排放：化石燃料燃烧产生的二氧化碳排放、企业购入的电力和热力产生的二氧化碳排放、废水厌氧处理过程中产生的甲烷排放、输出的电力和热力排放。</w:t>
      </w:r>
    </w:p>
    <w:p>
      <w:pPr>
        <w:snapToGrid w:val="0"/>
        <w:spacing w:line="360" w:lineRule="auto"/>
        <w:rPr>
          <w:rFonts w:ascii="Times New Roman" w:hAnsi="Times New Roman" w:eastAsia="仿宋_GB2312" w:cs="Times New Roman"/>
        </w:rPr>
      </w:pPr>
      <w:r>
        <w:object>
          <v:shape id="_x0000_i1025" o:spt="75" type="#_x0000_t75" style="height:327pt;width:455.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snapToGrid w:val="0"/>
        <w:spacing w:line="360" w:lineRule="auto"/>
        <w:ind w:firstLine="480" w:firstLineChars="200"/>
        <w:jc w:val="center"/>
        <w:rPr>
          <w:rFonts w:ascii="Times New Roman" w:hAnsi="Times New Roman" w:eastAsia="仿宋_GB2312" w:cs="Times New Roman"/>
        </w:rPr>
      </w:pPr>
      <w:r>
        <w:rPr>
          <w:rFonts w:hint="eastAsia" w:ascii="Times New Roman" w:hAnsi="Times New Roman" w:eastAsia="仿宋_GB2312" w:cs="Times New Roman"/>
        </w:rPr>
        <w:t>图2-1 人造革合成革企业温室气体排放核算边界示意图</w:t>
      </w:r>
    </w:p>
    <w:p>
      <w:pPr>
        <w:pStyle w:val="3"/>
        <w:spacing w:before="0" w:after="0" w:line="360" w:lineRule="auto"/>
        <w:ind w:firstLine="482" w:firstLineChars="200"/>
        <w:rPr>
          <w:rFonts w:ascii="Times New Roman" w:hAnsi="Times New Roman" w:eastAsia="仿宋_GB2312"/>
          <w:sz w:val="24"/>
          <w:szCs w:val="24"/>
        </w:rPr>
      </w:pPr>
      <w:bookmarkStart w:id="22" w:name="_Toc81405821"/>
      <w:r>
        <w:rPr>
          <w:rFonts w:hint="eastAsia" w:ascii="Times New Roman" w:hAnsi="Times New Roman" w:eastAsia="仿宋_GB2312"/>
          <w:sz w:val="24"/>
          <w:szCs w:val="24"/>
        </w:rPr>
        <w:t>2.4.</w:t>
      </w:r>
      <w:bookmarkEnd w:id="22"/>
      <w:r>
        <w:rPr>
          <w:rFonts w:ascii="Times New Roman" w:hAnsi="Times New Roman" w:eastAsia="仿宋_GB2312"/>
          <w:sz w:val="24"/>
          <w:szCs w:val="24"/>
        </w:rPr>
        <w:t>5</w:t>
      </w:r>
      <w:r>
        <w:rPr>
          <w:rFonts w:hint="eastAsia" w:ascii="Times New Roman" w:hAnsi="Times New Roman" w:eastAsia="仿宋_GB2312"/>
          <w:sz w:val="24"/>
          <w:szCs w:val="24"/>
        </w:rPr>
        <w:t>核算步骤</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报告主体进行企业温室气体排放核算和报告的完整工作流程包括以下步骤：</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 确定企业核算边界</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b) 识别排放源；</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c) 收集活动数据；</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d) 选择和获取排放因子数据；</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e) 分别计算燃料燃烧排放量、企业购入和输出的电力及热力所对应的排放量、废水处理排放量；</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f) 汇总计算企业温室气体排放量。</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2.4.6核算方法</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人造革合成革</w:t>
      </w:r>
      <w:r>
        <w:rPr>
          <w:rFonts w:ascii="Times New Roman" w:hAnsi="Times New Roman" w:eastAsia="仿宋_GB2312" w:cs="Times New Roman"/>
        </w:rPr>
        <w:t>企业温室气体排放总量等于核算边界内所有的燃料燃烧排放量、购入电力及热力排放量、废水处理排放量</w:t>
      </w:r>
      <w:r>
        <w:rPr>
          <w:rFonts w:hint="eastAsia" w:ascii="Times New Roman" w:hAnsi="Times New Roman" w:eastAsia="仿宋_GB2312" w:cs="Times New Roman"/>
        </w:rPr>
        <w:t>之和</w:t>
      </w:r>
      <w:r>
        <w:rPr>
          <w:rFonts w:ascii="Times New Roman" w:hAnsi="Times New Roman" w:eastAsia="仿宋_GB2312" w:cs="Times New Roman"/>
        </w:rPr>
        <w:t>，扣除输出的电力及热力产生的排放量</w:t>
      </w:r>
      <w:r>
        <w:rPr>
          <w:rFonts w:hint="eastAsia" w:ascii="Times New Roman" w:hAnsi="Times New Roman" w:eastAsia="仿宋_GB2312" w:cs="Times New Roman"/>
        </w:rPr>
        <w:t>，按</w:t>
      </w:r>
      <w:r>
        <w:rPr>
          <w:rFonts w:ascii="Times New Roman" w:hAnsi="Times New Roman" w:eastAsia="仿宋_GB2312" w:cs="Times New Roman"/>
        </w:rPr>
        <w:t>式</w:t>
      </w:r>
      <w:r>
        <w:rPr>
          <w:rFonts w:hint="eastAsia" w:ascii="Times New Roman" w:hAnsi="Times New Roman" w:eastAsia="仿宋_GB2312" w:cs="Times New Roman"/>
        </w:rPr>
        <w:t>（1）计算</w:t>
      </w:r>
      <w:r>
        <w:rPr>
          <w:rFonts w:ascii="Times New Roman" w:hAnsi="Times New Roman" w:eastAsia="仿宋_GB2312" w:cs="Times New Roman"/>
        </w:rPr>
        <w:t>：</w:t>
      </w:r>
    </w:p>
    <w:p>
      <w:pPr>
        <w:tabs>
          <w:tab w:val="center" w:pos="4820"/>
          <w:tab w:val="right" w:leader="dot" w:pos="9298"/>
        </w:tabs>
        <w:autoSpaceDE w:val="0"/>
        <w:autoSpaceDN w:val="0"/>
        <w:ind w:firstLine="1560" w:firstLineChars="650"/>
        <w:jc w:val="center"/>
      </w:pP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hint="eastAsia" w:ascii="Cambria Math" w:hAnsi="Cambria Math"/>
              </w:rPr>
              <m:t>燃烧</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hint="eastAsia" w:ascii="Cambria Math" w:hAnsi="Cambria Math"/>
              </w:rPr>
              <m:t>购入电</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hint="eastAsia" w:ascii="Cambria Math" w:hAnsi="Cambria Math"/>
              </w:rPr>
              <m:t>购入热</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hint="eastAsia" w:ascii="Cambria Math" w:hAnsi="Cambria Math"/>
              </w:rPr>
              <m:t>废水</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hint="eastAsia" w:ascii="Cambria Math" w:hAnsi="Cambria Math"/>
              </w:rPr>
              <m:t>输出电</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E</m:t>
            </m:r>
            <m:ctrlPr>
              <w:rPr>
                <w:rFonts w:ascii="Cambria Math" w:hAnsi="Cambria Math"/>
              </w:rPr>
            </m:ctrlPr>
          </m:e>
          <m:sub>
            <m:r>
              <m:rPr>
                <m:sty m:val="p"/>
              </m:rPr>
              <w:rPr>
                <w:rFonts w:hint="eastAsia" w:ascii="Cambria Math" w:hAnsi="Cambria Math"/>
              </w:rPr>
              <m:t>输出热力</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hint="eastAsia" w:ascii="Cambria Math" w:hAnsi="Cambria Math"/>
              </w:rPr>
              <m:t>回收</m:t>
            </m:r>
            <m:ctrlPr>
              <w:rPr>
                <w:rFonts w:ascii="Cambria Math" w:hAnsi="Cambria Math"/>
              </w:rPr>
            </m:ctrlPr>
          </m:sub>
        </m:sSub>
      </m:oMath>
      <w:r>
        <w:tab/>
      </w:r>
      <w:r>
        <w:rPr>
          <w:rFonts w:hint="eastAsia"/>
        </w:rPr>
        <w:t>（1）</w:t>
      </w:r>
    </w:p>
    <w:p>
      <w:pPr>
        <w:tabs>
          <w:tab w:val="right" w:leader="dot" w:pos="8880"/>
        </w:tabs>
        <w:autoSpaceDE w:val="0"/>
        <w:autoSpaceDN w:val="0"/>
        <w:ind w:left="1560" w:leftChars="650"/>
        <w:rPr>
          <w:rFonts w:hint="eastAsia"/>
        </w:rPr>
      </w:pPr>
    </w:p>
    <w:p>
      <w:pPr>
        <w:pStyle w:val="351"/>
        <w:ind w:firstLine="480"/>
        <w:rPr>
          <w:rFonts w:eastAsia="仿宋_GB2312"/>
          <w:sz w:val="24"/>
          <w:szCs w:val="24"/>
        </w:rPr>
      </w:pPr>
      <w:r>
        <w:rPr>
          <w:rFonts w:hint="eastAsia" w:eastAsia="仿宋_GB2312"/>
          <w:sz w:val="24"/>
          <w:szCs w:val="24"/>
        </w:rPr>
        <w:t>式中</w:t>
      </w:r>
      <w:r>
        <w:rPr>
          <w:rFonts w:eastAsia="仿宋_GB2312"/>
          <w:sz w:val="24"/>
          <w:szCs w:val="24"/>
        </w:rPr>
        <w:t>：</w:t>
      </w:r>
    </w:p>
    <w:p>
      <w:pPr>
        <w:pStyle w:val="351"/>
        <w:ind w:firstLine="480"/>
        <w:rPr>
          <w:rFonts w:eastAsia="仿宋_GB2312"/>
          <w:sz w:val="24"/>
          <w:szCs w:val="24"/>
        </w:rPr>
      </w:pPr>
      <w:r>
        <w:rPr>
          <w:rFonts w:hint="eastAsia" w:eastAsia="仿宋_GB2312"/>
          <w:sz w:val="24"/>
          <w:szCs w:val="24"/>
        </w:rPr>
        <w:t>E</w:t>
      </w:r>
      <w:r>
        <w:rPr>
          <w:rFonts w:eastAsia="仿宋_GB2312"/>
          <w:sz w:val="24"/>
          <w:szCs w:val="24"/>
        </w:rPr>
        <w:t xml:space="preserve">     —</w:t>
      </w:r>
      <w:r>
        <w:rPr>
          <w:rFonts w:eastAsia="仿宋_GB2312"/>
          <w:sz w:val="24"/>
          <w:szCs w:val="24"/>
        </w:rPr>
        <w:sym w:font="Symbol" w:char="F0BE"/>
      </w:r>
      <w:r>
        <w:rPr>
          <w:rFonts w:hint="eastAsia" w:eastAsia="仿宋_GB2312"/>
          <w:sz w:val="24"/>
          <w:szCs w:val="24"/>
        </w:rPr>
        <w:t>报告</w:t>
      </w:r>
      <w:r>
        <w:rPr>
          <w:rFonts w:eastAsia="仿宋_GB2312"/>
          <w:sz w:val="24"/>
          <w:szCs w:val="24"/>
        </w:rPr>
        <w:t>主体温室气体排放总量，单位为吨二氧化碳当量（tCO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pStyle w:val="351"/>
        <w:ind w:firstLine="480"/>
        <w:rPr>
          <w:rFonts w:eastAsia="仿宋_GB2312"/>
          <w:sz w:val="24"/>
          <w:szCs w:val="24"/>
        </w:rPr>
      </w:pPr>
      <w:r>
        <w:rPr>
          <w:rFonts w:hint="eastAsia" w:eastAsia="仿宋_GB2312"/>
          <w:sz w:val="24"/>
          <w:szCs w:val="24"/>
        </w:rPr>
        <w:t>E</w:t>
      </w:r>
      <w:r>
        <w:rPr>
          <w:rFonts w:hint="eastAsia" w:eastAsia="仿宋_GB2312"/>
          <w:sz w:val="24"/>
          <w:szCs w:val="24"/>
          <w:vertAlign w:val="subscript"/>
        </w:rPr>
        <w:t>燃烧</w:t>
      </w:r>
      <w:r>
        <w:rPr>
          <w:rFonts w:eastAsia="仿宋_GB2312"/>
          <w:sz w:val="24"/>
          <w:szCs w:val="24"/>
        </w:rPr>
        <w:t xml:space="preserve">   —</w:t>
      </w:r>
      <w:r>
        <w:rPr>
          <w:rFonts w:eastAsia="仿宋_GB2312"/>
          <w:sz w:val="24"/>
          <w:szCs w:val="24"/>
        </w:rPr>
        <w:sym w:font="Symbol" w:char="F0BE"/>
      </w:r>
      <w:r>
        <w:rPr>
          <w:rFonts w:hint="eastAsia" w:eastAsia="仿宋_GB2312"/>
          <w:sz w:val="24"/>
          <w:szCs w:val="24"/>
        </w:rPr>
        <w:t>报告</w:t>
      </w:r>
      <w:r>
        <w:rPr>
          <w:rFonts w:eastAsia="仿宋_GB2312"/>
          <w:sz w:val="24"/>
          <w:szCs w:val="24"/>
        </w:rPr>
        <w:t>主体</w:t>
      </w:r>
      <w:r>
        <w:rPr>
          <w:rFonts w:hint="eastAsia" w:eastAsia="仿宋_GB2312"/>
          <w:sz w:val="24"/>
          <w:szCs w:val="24"/>
        </w:rPr>
        <w:t>化石燃料燃烧</w:t>
      </w:r>
      <w:r>
        <w:rPr>
          <w:rFonts w:eastAsia="仿宋_GB2312"/>
          <w:sz w:val="24"/>
          <w:szCs w:val="24"/>
        </w:rPr>
        <w:t>二氧化碳排放量，单位为吨二氧化碳当量（tCO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pStyle w:val="351"/>
        <w:ind w:firstLine="480"/>
        <w:rPr>
          <w:rFonts w:eastAsia="仿宋_GB2312"/>
          <w:sz w:val="24"/>
          <w:szCs w:val="24"/>
        </w:rPr>
      </w:pPr>
      <w:r>
        <w:rPr>
          <w:rFonts w:hint="eastAsia" w:eastAsia="仿宋_GB2312"/>
          <w:sz w:val="24"/>
          <w:szCs w:val="24"/>
        </w:rPr>
        <w:t>E</w:t>
      </w:r>
      <w:r>
        <w:rPr>
          <w:rFonts w:hint="eastAsia" w:eastAsia="仿宋_GB2312"/>
          <w:sz w:val="24"/>
          <w:szCs w:val="24"/>
          <w:vertAlign w:val="subscript"/>
        </w:rPr>
        <w:t>购入</w:t>
      </w:r>
      <w:r>
        <w:rPr>
          <w:rFonts w:eastAsia="仿宋_GB2312"/>
          <w:sz w:val="24"/>
          <w:szCs w:val="24"/>
          <w:vertAlign w:val="subscript"/>
        </w:rPr>
        <w:t>电</w:t>
      </w:r>
      <w:r>
        <w:rPr>
          <w:rFonts w:eastAsia="仿宋_GB2312"/>
          <w:sz w:val="24"/>
          <w:szCs w:val="24"/>
        </w:rPr>
        <w:t xml:space="preserve">  —</w:t>
      </w:r>
      <w:r>
        <w:rPr>
          <w:rFonts w:eastAsia="仿宋_GB2312"/>
          <w:sz w:val="24"/>
          <w:szCs w:val="24"/>
        </w:rPr>
        <w:sym w:font="Symbol" w:char="F0BE"/>
      </w:r>
      <w:r>
        <w:rPr>
          <w:rFonts w:hint="eastAsia" w:eastAsia="仿宋_GB2312"/>
          <w:sz w:val="24"/>
          <w:szCs w:val="24"/>
        </w:rPr>
        <w:t>报告</w:t>
      </w:r>
      <w:r>
        <w:rPr>
          <w:rFonts w:eastAsia="仿宋_GB2312"/>
          <w:sz w:val="24"/>
          <w:szCs w:val="24"/>
        </w:rPr>
        <w:t>主体</w:t>
      </w:r>
      <w:r>
        <w:rPr>
          <w:rFonts w:hint="eastAsia" w:eastAsia="仿宋_GB2312"/>
          <w:sz w:val="24"/>
          <w:szCs w:val="24"/>
        </w:rPr>
        <w:t>购入</w:t>
      </w:r>
      <w:r>
        <w:rPr>
          <w:rFonts w:eastAsia="仿宋_GB2312"/>
          <w:sz w:val="24"/>
          <w:szCs w:val="24"/>
        </w:rPr>
        <w:t>电力对应的二氧化碳排放量，单位为吨二氧化碳当量（tCO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pStyle w:val="351"/>
        <w:ind w:firstLine="480"/>
        <w:rPr>
          <w:rFonts w:eastAsia="仿宋_GB2312"/>
          <w:sz w:val="24"/>
          <w:szCs w:val="24"/>
        </w:rPr>
      </w:pPr>
      <w:r>
        <w:rPr>
          <w:rFonts w:hint="eastAsia" w:eastAsia="仿宋_GB2312"/>
          <w:sz w:val="24"/>
          <w:szCs w:val="24"/>
        </w:rPr>
        <w:t>E</w:t>
      </w:r>
      <w:r>
        <w:rPr>
          <w:rFonts w:hint="eastAsia" w:eastAsia="仿宋_GB2312"/>
          <w:sz w:val="24"/>
          <w:szCs w:val="24"/>
          <w:vertAlign w:val="subscript"/>
        </w:rPr>
        <w:t>购入</w:t>
      </w:r>
      <w:r>
        <w:rPr>
          <w:rFonts w:eastAsia="仿宋_GB2312"/>
          <w:sz w:val="24"/>
          <w:szCs w:val="24"/>
          <w:vertAlign w:val="subscript"/>
        </w:rPr>
        <w:t>热</w:t>
      </w:r>
      <w:r>
        <w:rPr>
          <w:rFonts w:eastAsia="仿宋_GB2312"/>
          <w:sz w:val="24"/>
          <w:szCs w:val="24"/>
        </w:rPr>
        <w:t xml:space="preserve">  —</w:t>
      </w:r>
      <w:r>
        <w:rPr>
          <w:rFonts w:eastAsia="仿宋_GB2312"/>
          <w:sz w:val="24"/>
          <w:szCs w:val="24"/>
        </w:rPr>
        <w:sym w:font="Symbol" w:char="F0BE"/>
      </w:r>
      <w:r>
        <w:rPr>
          <w:rFonts w:hint="eastAsia" w:eastAsia="仿宋_GB2312"/>
          <w:sz w:val="24"/>
          <w:szCs w:val="24"/>
        </w:rPr>
        <w:t>报告</w:t>
      </w:r>
      <w:r>
        <w:rPr>
          <w:rFonts w:eastAsia="仿宋_GB2312"/>
          <w:sz w:val="24"/>
          <w:szCs w:val="24"/>
        </w:rPr>
        <w:t>主体</w:t>
      </w:r>
      <w:r>
        <w:rPr>
          <w:rFonts w:hint="eastAsia" w:eastAsia="仿宋_GB2312"/>
          <w:sz w:val="24"/>
          <w:szCs w:val="24"/>
        </w:rPr>
        <w:t>购入热力</w:t>
      </w:r>
      <w:r>
        <w:rPr>
          <w:rFonts w:eastAsia="仿宋_GB2312"/>
          <w:sz w:val="24"/>
          <w:szCs w:val="24"/>
        </w:rPr>
        <w:t>对应的二氧化碳排放量，单位为吨二氧化碳当量（tCO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pStyle w:val="351"/>
        <w:ind w:firstLine="480"/>
        <w:rPr>
          <w:rFonts w:eastAsia="仿宋_GB2312"/>
          <w:sz w:val="24"/>
          <w:szCs w:val="24"/>
        </w:rPr>
      </w:pPr>
      <w:r>
        <w:rPr>
          <w:rFonts w:hint="eastAsia" w:eastAsia="仿宋_GB2312"/>
          <w:sz w:val="24"/>
          <w:szCs w:val="24"/>
        </w:rPr>
        <w:t>E</w:t>
      </w:r>
      <w:r>
        <w:rPr>
          <w:rFonts w:hint="eastAsia" w:eastAsia="仿宋_GB2312"/>
          <w:sz w:val="24"/>
          <w:szCs w:val="24"/>
          <w:vertAlign w:val="subscript"/>
        </w:rPr>
        <w:t>废水</w:t>
      </w:r>
      <w:r>
        <w:rPr>
          <w:rFonts w:eastAsia="仿宋_GB2312"/>
          <w:sz w:val="24"/>
          <w:szCs w:val="24"/>
        </w:rPr>
        <w:t xml:space="preserve">   —</w:t>
      </w:r>
      <w:r>
        <w:rPr>
          <w:rFonts w:eastAsia="仿宋_GB2312"/>
          <w:sz w:val="24"/>
          <w:szCs w:val="24"/>
        </w:rPr>
        <w:sym w:font="Symbol" w:char="F0BE"/>
      </w:r>
      <w:r>
        <w:rPr>
          <w:rFonts w:hint="eastAsia" w:eastAsia="仿宋_GB2312"/>
          <w:sz w:val="24"/>
          <w:szCs w:val="24"/>
        </w:rPr>
        <w:t>报告</w:t>
      </w:r>
      <w:r>
        <w:rPr>
          <w:rFonts w:eastAsia="仿宋_GB2312"/>
          <w:sz w:val="24"/>
          <w:szCs w:val="24"/>
        </w:rPr>
        <w:t>主体</w:t>
      </w:r>
      <w:r>
        <w:rPr>
          <w:rFonts w:hint="eastAsia" w:eastAsia="仿宋_GB2312"/>
          <w:sz w:val="24"/>
          <w:szCs w:val="24"/>
        </w:rPr>
        <w:t>废水处理产生</w:t>
      </w:r>
      <w:r>
        <w:rPr>
          <w:rFonts w:eastAsia="仿宋_GB2312"/>
          <w:sz w:val="24"/>
          <w:szCs w:val="24"/>
        </w:rPr>
        <w:t>的温室气体排放量，单位为吨二氧化碳当量（tCO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pStyle w:val="351"/>
        <w:ind w:firstLine="480"/>
        <w:rPr>
          <w:rFonts w:eastAsia="仿宋_GB2312"/>
          <w:sz w:val="24"/>
          <w:szCs w:val="24"/>
        </w:rPr>
      </w:pPr>
      <w:r>
        <w:rPr>
          <w:rFonts w:hint="eastAsia" w:eastAsia="仿宋_GB2312"/>
          <w:sz w:val="24"/>
          <w:szCs w:val="24"/>
        </w:rPr>
        <w:t>E</w:t>
      </w:r>
      <w:r>
        <w:rPr>
          <w:rFonts w:hint="eastAsia" w:eastAsia="仿宋_GB2312"/>
          <w:sz w:val="24"/>
          <w:szCs w:val="24"/>
          <w:vertAlign w:val="subscript"/>
        </w:rPr>
        <w:t>输出</w:t>
      </w:r>
      <w:r>
        <w:rPr>
          <w:rFonts w:eastAsia="仿宋_GB2312"/>
          <w:sz w:val="24"/>
          <w:szCs w:val="24"/>
          <w:vertAlign w:val="subscript"/>
        </w:rPr>
        <w:t>电</w:t>
      </w:r>
      <w:r>
        <w:rPr>
          <w:rFonts w:eastAsia="仿宋_GB2312"/>
          <w:sz w:val="24"/>
          <w:szCs w:val="24"/>
        </w:rPr>
        <w:t xml:space="preserve">  —</w:t>
      </w:r>
      <w:r>
        <w:rPr>
          <w:rFonts w:eastAsia="仿宋_GB2312"/>
          <w:sz w:val="24"/>
          <w:szCs w:val="24"/>
        </w:rPr>
        <w:sym w:font="Symbol" w:char="F0BE"/>
      </w:r>
      <w:r>
        <w:rPr>
          <w:rFonts w:hint="eastAsia" w:eastAsia="仿宋_GB2312"/>
          <w:sz w:val="24"/>
          <w:szCs w:val="24"/>
        </w:rPr>
        <w:t>报告</w:t>
      </w:r>
      <w:r>
        <w:rPr>
          <w:rFonts w:eastAsia="仿宋_GB2312"/>
          <w:sz w:val="24"/>
          <w:szCs w:val="24"/>
        </w:rPr>
        <w:t>主体</w:t>
      </w:r>
      <w:r>
        <w:rPr>
          <w:rFonts w:hint="eastAsia" w:eastAsia="仿宋_GB2312"/>
          <w:sz w:val="24"/>
          <w:szCs w:val="24"/>
        </w:rPr>
        <w:t>输出</w:t>
      </w:r>
      <w:r>
        <w:rPr>
          <w:rFonts w:eastAsia="仿宋_GB2312"/>
          <w:sz w:val="24"/>
          <w:szCs w:val="24"/>
        </w:rPr>
        <w:t>的电力对应的温室气体排放量，单位为吨二氧化碳当量（tCO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pStyle w:val="351"/>
        <w:ind w:firstLine="480"/>
        <w:rPr>
          <w:rFonts w:eastAsia="仿宋_GB2312"/>
          <w:sz w:val="24"/>
          <w:szCs w:val="24"/>
        </w:rPr>
      </w:pPr>
      <w:r>
        <w:rPr>
          <w:rFonts w:hint="eastAsia" w:eastAsia="仿宋_GB2312"/>
          <w:sz w:val="24"/>
          <w:szCs w:val="24"/>
        </w:rPr>
        <w:t>E</w:t>
      </w:r>
      <w:r>
        <w:rPr>
          <w:rFonts w:hint="eastAsia" w:eastAsia="仿宋_GB2312"/>
          <w:sz w:val="24"/>
          <w:szCs w:val="24"/>
          <w:vertAlign w:val="subscript"/>
        </w:rPr>
        <w:t>输出</w:t>
      </w:r>
      <w:r>
        <w:rPr>
          <w:rFonts w:eastAsia="仿宋_GB2312"/>
          <w:sz w:val="24"/>
          <w:szCs w:val="24"/>
          <w:vertAlign w:val="subscript"/>
        </w:rPr>
        <w:t>热</w:t>
      </w:r>
      <w:r>
        <w:rPr>
          <w:rFonts w:eastAsia="仿宋_GB2312"/>
          <w:sz w:val="24"/>
          <w:szCs w:val="24"/>
        </w:rPr>
        <w:t xml:space="preserve"> —</w:t>
      </w:r>
      <w:r>
        <w:rPr>
          <w:rFonts w:eastAsia="仿宋_GB2312"/>
          <w:sz w:val="24"/>
          <w:szCs w:val="24"/>
        </w:rPr>
        <w:sym w:font="Symbol" w:char="F0BE"/>
      </w:r>
      <w:r>
        <w:rPr>
          <w:rFonts w:hint="eastAsia" w:eastAsia="仿宋_GB2312"/>
          <w:sz w:val="24"/>
          <w:szCs w:val="24"/>
        </w:rPr>
        <w:t>报告</w:t>
      </w:r>
      <w:r>
        <w:rPr>
          <w:rFonts w:eastAsia="仿宋_GB2312"/>
          <w:sz w:val="24"/>
          <w:szCs w:val="24"/>
        </w:rPr>
        <w:t>主体</w:t>
      </w:r>
      <w:r>
        <w:rPr>
          <w:rFonts w:hint="eastAsia" w:eastAsia="仿宋_GB2312"/>
          <w:sz w:val="24"/>
          <w:szCs w:val="24"/>
        </w:rPr>
        <w:t>输出</w:t>
      </w:r>
      <w:r>
        <w:rPr>
          <w:rFonts w:eastAsia="仿宋_GB2312"/>
          <w:sz w:val="24"/>
          <w:szCs w:val="24"/>
        </w:rPr>
        <w:t>的</w:t>
      </w:r>
      <w:r>
        <w:rPr>
          <w:rFonts w:hint="eastAsia" w:eastAsia="仿宋_GB2312"/>
          <w:sz w:val="24"/>
          <w:szCs w:val="24"/>
        </w:rPr>
        <w:t>热力</w:t>
      </w:r>
      <w:r>
        <w:rPr>
          <w:rFonts w:eastAsia="仿宋_GB2312"/>
          <w:sz w:val="24"/>
          <w:szCs w:val="24"/>
        </w:rPr>
        <w:t>对应的温室气体排放量，单位为吨二氧化碳当量（tCO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pStyle w:val="351"/>
        <w:ind w:firstLine="480"/>
        <w:rPr>
          <w:rFonts w:eastAsia="仿宋_GB2312"/>
          <w:sz w:val="24"/>
          <w:szCs w:val="24"/>
        </w:rPr>
      </w:pPr>
      <w:r>
        <w:rPr>
          <w:rFonts w:eastAsia="仿宋_GB2312"/>
          <w:sz w:val="24"/>
          <w:szCs w:val="24"/>
        </w:rPr>
        <w:t>R</w:t>
      </w:r>
      <w:r>
        <w:rPr>
          <w:rFonts w:hint="eastAsia" w:eastAsia="仿宋_GB2312"/>
          <w:sz w:val="24"/>
          <w:szCs w:val="24"/>
          <w:vertAlign w:val="subscript"/>
        </w:rPr>
        <w:t>回收</w:t>
      </w:r>
      <w:r>
        <w:rPr>
          <w:rFonts w:hint="eastAsia" w:eastAsia="仿宋_GB2312"/>
          <w:sz w:val="24"/>
          <w:szCs w:val="24"/>
        </w:rPr>
        <w:t xml:space="preserve">    </w:t>
      </w:r>
      <w:r>
        <w:rPr>
          <w:rFonts w:eastAsia="仿宋_GB2312"/>
          <w:sz w:val="24"/>
          <w:szCs w:val="24"/>
        </w:rPr>
        <w:t>—</w:t>
      </w:r>
      <w:r>
        <w:rPr>
          <w:rFonts w:eastAsia="仿宋_GB2312"/>
          <w:sz w:val="24"/>
          <w:szCs w:val="24"/>
        </w:rPr>
        <w:sym w:font="Symbol" w:char="F0BE"/>
      </w:r>
      <w:r>
        <w:rPr>
          <w:rFonts w:hint="eastAsia" w:eastAsia="仿宋_GB2312"/>
          <w:sz w:val="24"/>
          <w:szCs w:val="24"/>
        </w:rPr>
        <w:t>报告主体捕集及</w:t>
      </w:r>
      <w:r>
        <w:rPr>
          <w:rFonts w:eastAsia="仿宋_GB2312"/>
          <w:sz w:val="24"/>
          <w:szCs w:val="24"/>
        </w:rPr>
        <w:t>利用的温室气体</w:t>
      </w:r>
      <w:r>
        <w:rPr>
          <w:rFonts w:hint="eastAsia" w:eastAsia="仿宋_GB2312"/>
          <w:sz w:val="24"/>
          <w:szCs w:val="24"/>
        </w:rPr>
        <w:t>总</w:t>
      </w:r>
      <w:r>
        <w:rPr>
          <w:rFonts w:eastAsia="仿宋_GB2312"/>
          <w:sz w:val="24"/>
          <w:szCs w:val="24"/>
        </w:rPr>
        <w:t>量，单位为吨二氧化碳当量（tCO</w:t>
      </w:r>
      <w:r>
        <w:rPr>
          <w:rFonts w:eastAsia="仿宋_GB2312"/>
          <w:sz w:val="24"/>
          <w:szCs w:val="24"/>
          <w:vertAlign w:val="subscript"/>
        </w:rPr>
        <w:t>2</w:t>
      </w:r>
      <w:r>
        <w:rPr>
          <w:rFonts w:eastAsia="仿宋_GB2312"/>
          <w:sz w:val="24"/>
          <w:szCs w:val="24"/>
        </w:rPr>
        <w:t>e）</w:t>
      </w:r>
      <w:r>
        <w:rPr>
          <w:rFonts w:hint="eastAsia" w:eastAsia="仿宋_GB2312"/>
          <w:sz w:val="24"/>
          <w:szCs w:val="24"/>
        </w:rPr>
        <w:t>；</w:t>
      </w:r>
    </w:p>
    <w:p>
      <w:pPr>
        <w:snapToGrid w:val="0"/>
        <w:spacing w:line="360" w:lineRule="auto"/>
        <w:ind w:firstLine="480" w:firstLineChars="200"/>
        <w:rPr>
          <w:rFonts w:hint="eastAsia" w:ascii="Times New Roman" w:hAnsi="Times New Roman" w:eastAsia="仿宋_GB2312" w:cs="Times New Roman"/>
        </w:rPr>
      </w:pPr>
    </w:p>
    <w:p>
      <w:pPr>
        <w:pStyle w:val="3"/>
        <w:spacing w:before="0" w:after="0" w:line="360" w:lineRule="auto"/>
        <w:ind w:firstLine="482" w:firstLineChars="200"/>
        <w:rPr>
          <w:rFonts w:ascii="Times New Roman" w:hAnsi="Times New Roman" w:eastAsia="仿宋_GB2312"/>
          <w:sz w:val="24"/>
          <w:szCs w:val="24"/>
        </w:rPr>
      </w:pPr>
      <w:bookmarkStart w:id="23" w:name="_Toc81405822"/>
      <w:r>
        <w:rPr>
          <w:rFonts w:hint="eastAsia" w:ascii="Times New Roman" w:hAnsi="Times New Roman" w:eastAsia="仿宋_GB2312"/>
          <w:sz w:val="24"/>
          <w:szCs w:val="24"/>
        </w:rPr>
        <w:t>2.4.6.1</w:t>
      </w:r>
      <w:bookmarkEnd w:id="23"/>
      <w:r>
        <w:rPr>
          <w:rFonts w:hint="eastAsia" w:ascii="Times New Roman" w:hAnsi="Times New Roman" w:eastAsia="仿宋_GB2312"/>
          <w:sz w:val="24"/>
          <w:szCs w:val="24"/>
        </w:rPr>
        <w:t>燃料</w:t>
      </w:r>
      <w:r>
        <w:rPr>
          <w:rFonts w:ascii="Times New Roman" w:hAnsi="Times New Roman" w:eastAsia="仿宋_GB2312"/>
          <w:sz w:val="24"/>
          <w:szCs w:val="24"/>
        </w:rPr>
        <w:t>燃烧的排放</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人造革</w:t>
      </w:r>
      <w:r>
        <w:rPr>
          <w:rFonts w:ascii="Times New Roman" w:hAnsi="Times New Roman" w:eastAsia="仿宋_GB2312" w:cs="Times New Roman"/>
        </w:rPr>
        <w:t>合成革企业生产过程中</w:t>
      </w:r>
      <w:r>
        <w:rPr>
          <w:rFonts w:hint="eastAsia" w:ascii="Times New Roman" w:hAnsi="Times New Roman" w:eastAsia="仿宋_GB2312" w:cs="Times New Roman"/>
        </w:rPr>
        <w:t>化石燃料</w:t>
      </w:r>
      <w:r>
        <w:rPr>
          <w:rFonts w:ascii="Times New Roman" w:hAnsi="Times New Roman" w:eastAsia="仿宋_GB2312" w:cs="Times New Roman"/>
        </w:rPr>
        <w:t>燃烧产生的二氧化碳排放量是核算期内企业各种</w:t>
      </w:r>
      <w:r>
        <w:rPr>
          <w:rFonts w:hint="eastAsia" w:ascii="Times New Roman" w:hAnsi="Times New Roman" w:eastAsia="仿宋_GB2312" w:cs="Times New Roman"/>
        </w:rPr>
        <w:t>化石燃料</w:t>
      </w:r>
      <w:r>
        <w:rPr>
          <w:rFonts w:ascii="Times New Roman" w:hAnsi="Times New Roman" w:eastAsia="仿宋_GB2312" w:cs="Times New Roman"/>
        </w:rPr>
        <w:t>燃烧产生的二氧化碳排放量的</w:t>
      </w:r>
      <w:r>
        <w:rPr>
          <w:rFonts w:hint="eastAsia" w:ascii="Times New Roman" w:hAnsi="Times New Roman" w:eastAsia="仿宋_GB2312" w:cs="Times New Roman"/>
        </w:rPr>
        <w:t>总和</w:t>
      </w:r>
      <w:r>
        <w:rPr>
          <w:rFonts w:ascii="Times New Roman" w:hAnsi="Times New Roman" w:eastAsia="仿宋_GB2312" w:cs="Times New Roman"/>
        </w:rPr>
        <w:t>，按式（</w:t>
      </w:r>
      <w:r>
        <w:rPr>
          <w:rFonts w:hint="eastAsia" w:ascii="Times New Roman" w:hAnsi="Times New Roman" w:eastAsia="仿宋_GB2312" w:cs="Times New Roman"/>
        </w:rPr>
        <w:t>2</w:t>
      </w:r>
      <w:r>
        <w:rPr>
          <w:rFonts w:ascii="Times New Roman" w:hAnsi="Times New Roman" w:eastAsia="仿宋_GB2312" w:cs="Times New Roman"/>
        </w:rPr>
        <w:t>）</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right" w:leader="dot" w:pos="9354"/>
        </w:tabs>
        <w:spacing w:before="163" w:beforeLines="50" w:after="163" w:afterLines="50"/>
        <w:ind w:firstLine="3888" w:firstLineChars="1620"/>
        <w:rPr>
          <w:rFonts w:ascii="黑体" w:eastAsia="黑体"/>
        </w:rPr>
      </w:pPr>
      <m:oMath>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r>
              <m:rPr>
                <m:sty m:val="p"/>
              </m:rPr>
              <w:rPr>
                <w:rFonts w:hint="eastAsia" w:ascii="Cambria Math" w:hAnsi="Cambria Math" w:eastAsia="黑体"/>
              </w:rPr>
              <m:t>燃烧</m:t>
            </m:r>
            <m:ctrlPr>
              <w:rPr>
                <w:rFonts w:ascii="Cambria Math" w:hAnsi="Cambria Math" w:eastAsia="黑体"/>
              </w:rPr>
            </m:ctrlPr>
          </m:sub>
        </m:sSub>
        <m:r>
          <m:rPr>
            <m:sty m:val="p"/>
          </m:rPr>
          <w:rPr>
            <w:rFonts w:ascii="Cambria Math" w:hAnsi="Cambria Math" w:eastAsia="黑体"/>
          </w:rPr>
          <m:t>=</m:t>
        </m:r>
        <m:nary>
          <m:naryPr>
            <m:chr m:val="∑"/>
            <m:limLoc m:val="subSup"/>
            <m:ctrlPr>
              <w:rPr>
                <w:rFonts w:ascii="Cambria Math" w:hAnsi="Cambria Math" w:eastAsia="黑体"/>
              </w:rPr>
            </m:ctrlPr>
          </m:naryPr>
          <m:sub>
            <m:r>
              <w:rPr>
                <w:rFonts w:ascii="Cambria Math" w:hAnsi="Cambria Math" w:eastAsia="黑体"/>
              </w:rPr>
              <m:t>i=1</m:t>
            </m:r>
            <m:ctrlPr>
              <w:rPr>
                <w:rFonts w:ascii="Cambria Math" w:hAnsi="Cambria Math" w:eastAsia="黑体"/>
              </w:rPr>
            </m:ctrlPr>
          </m:sub>
          <m:sup>
            <m:r>
              <w:rPr>
                <w:rFonts w:ascii="Cambria Math" w:hAnsi="Cambria Math" w:eastAsia="黑体"/>
              </w:rPr>
              <m:t>n</m:t>
            </m:r>
            <m:ctrlPr>
              <w:rPr>
                <w:rFonts w:ascii="Cambria Math" w:hAnsi="Cambria Math" w:eastAsia="黑体"/>
              </w:rPr>
            </m:ctrlPr>
          </m:sup>
          <m:e>
            <m:d>
              <m:dPr>
                <m:ctrlPr>
                  <w:rPr>
                    <w:rFonts w:ascii="Cambria Math" w:hAnsi="Cambria Math" w:eastAsia="黑体"/>
                  </w:rPr>
                </m:ctrlPr>
              </m:dPr>
              <m:e>
                <m:sSub>
                  <m:sSubPr>
                    <m:ctrlPr>
                      <w:rPr>
                        <w:rFonts w:ascii="Cambria Math" w:hAnsi="Cambria Math" w:eastAsia="黑体"/>
                        <w:i/>
                      </w:rPr>
                    </m:ctrlPr>
                  </m:sSubPr>
                  <m:e>
                    <m:r>
                      <w:rPr>
                        <w:rFonts w:ascii="Cambria Math" w:hAnsi="Cambria Math" w:eastAsia="黑体"/>
                      </w:rPr>
                      <m:t>AD</m:t>
                    </m:r>
                    <m:ctrlPr>
                      <w:rPr>
                        <w:rFonts w:ascii="Cambria Math" w:hAnsi="Cambria Math" w:eastAsia="黑体"/>
                        <w:i/>
                      </w:rPr>
                    </m:ctrlPr>
                  </m:e>
                  <m:sub>
                    <m:r>
                      <w:rPr>
                        <w:rFonts w:ascii="Cambria Math" w:hAnsi="Cambria Math" w:eastAsia="黑体"/>
                      </w:rPr>
                      <m:t>i</m:t>
                    </m:r>
                    <m:ctrlPr>
                      <w:rPr>
                        <w:rFonts w:ascii="Cambria Math" w:hAnsi="Cambria Math" w:eastAsia="黑体"/>
                        <w:i/>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EF</m:t>
                    </m:r>
                    <m:ctrlPr>
                      <w:rPr>
                        <w:rFonts w:ascii="Cambria Math" w:hAnsi="Cambria Math" w:eastAsia="黑体"/>
                        <w:i/>
                      </w:rPr>
                    </m:ctrlPr>
                  </m:e>
                  <m:sub>
                    <m:r>
                      <w:rPr>
                        <w:rFonts w:ascii="Cambria Math" w:hAnsi="Cambria Math" w:eastAsia="黑体"/>
                      </w:rPr>
                      <m:t>i</m:t>
                    </m:r>
                    <m:ctrlPr>
                      <w:rPr>
                        <w:rFonts w:ascii="Cambria Math" w:hAnsi="Cambria Math" w:eastAsia="黑体"/>
                        <w:i/>
                      </w:rPr>
                    </m:ctrlPr>
                  </m:sub>
                </m:sSub>
                <m:ctrlPr>
                  <w:rPr>
                    <w:rFonts w:ascii="Cambria Math" w:hAnsi="Cambria Math" w:eastAsia="黑体"/>
                  </w:rPr>
                </m:ctrlPr>
              </m:e>
            </m:d>
            <m:ctrlPr>
              <w:rPr>
                <w:rFonts w:ascii="Cambria Math" w:hAnsi="Cambria Math" w:eastAsia="黑体"/>
              </w:rPr>
            </m:ctrlPr>
          </m:e>
        </m:nary>
      </m:oMath>
      <w:r>
        <w:rPr>
          <w:rFonts w:ascii="黑体" w:eastAsia="黑体"/>
        </w:rPr>
        <w:tab/>
      </w:r>
      <w:r>
        <w:rPr>
          <w:rFonts w:hint="eastAsia" w:ascii="黑体" w:eastAsia="黑体"/>
        </w:rPr>
        <w:t>(</w:t>
      </w:r>
      <w:r>
        <w:rPr>
          <w:rFonts w:ascii="黑体" w:eastAsia="黑体"/>
        </w:rPr>
        <w:t>2</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i/>
          <w:iCs/>
        </w:rPr>
        <w:t>E</w:t>
      </w:r>
      <w:r>
        <w:rPr>
          <w:rFonts w:hint="eastAsia" w:ascii="Times New Roman" w:hAnsi="Times New Roman" w:eastAsia="仿宋_GB2312" w:cs="Times New Roman"/>
          <w:i/>
          <w:iCs/>
          <w:vertAlign w:val="subscript"/>
        </w:rPr>
        <w:t>燃烧</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w:t>
      </w:r>
      <w:r>
        <w:rPr>
          <w:rFonts w:ascii="Times New Roman" w:hAnsi="Times New Roman" w:eastAsia="仿宋_GB2312" w:cs="Times New Roman"/>
        </w:rPr>
        <w:t>期内消耗的化石燃料</w:t>
      </w:r>
      <w:r>
        <w:rPr>
          <w:rFonts w:hint="eastAsia" w:ascii="Times New Roman" w:hAnsi="Times New Roman" w:eastAsia="仿宋_GB2312" w:cs="Times New Roman"/>
        </w:rPr>
        <w:t>燃烧</w:t>
      </w:r>
      <w:r>
        <w:rPr>
          <w:rFonts w:ascii="Times New Roman" w:hAnsi="Times New Roman" w:eastAsia="仿宋_GB2312" w:cs="Times New Roman"/>
        </w:rPr>
        <w:t>产生的二氧化碳排放量，单位为吨二氧化碳当量（tCO</w:t>
      </w:r>
      <w:r>
        <w:rPr>
          <w:rFonts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AD</w:t>
      </w:r>
      <w:r>
        <w:rPr>
          <w:rFonts w:ascii="Times New Roman" w:hAnsi="Times New Roman" w:eastAsia="仿宋_GB2312" w:cs="Times New Roman"/>
          <w:i/>
          <w:iCs/>
          <w:vertAlign w:val="subscript"/>
        </w:rPr>
        <w:t>i</w:t>
      </w:r>
      <w:r>
        <w:rPr>
          <w:rFonts w:ascii="Times New Roman" w:hAnsi="Times New Roman" w:eastAsia="仿宋_GB2312" w:cs="Times New Roman"/>
          <w:i/>
          <w:iCs/>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核算期</w:t>
      </w:r>
      <w:r>
        <w:rPr>
          <w:rFonts w:ascii="Times New Roman" w:hAnsi="Times New Roman" w:eastAsia="仿宋_GB2312" w:cs="Times New Roman"/>
        </w:rPr>
        <w:t>内消耗的第i种燃料的活动数据，单位为</w:t>
      </w:r>
      <w:r>
        <w:rPr>
          <w:rFonts w:hint="eastAsia" w:ascii="Times New Roman" w:hAnsi="Times New Roman" w:eastAsia="仿宋_GB2312" w:cs="Times New Roman"/>
        </w:rPr>
        <w:t>吉</w:t>
      </w:r>
      <w:r>
        <w:rPr>
          <w:rFonts w:ascii="Times New Roman" w:hAnsi="Times New Roman" w:eastAsia="仿宋_GB2312" w:cs="Times New Roman"/>
        </w:rPr>
        <w:t>焦（GJ）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i/>
          <w:iCs/>
        </w:rPr>
        <w:t>E</w:t>
      </w:r>
      <w:r>
        <w:rPr>
          <w:rFonts w:ascii="Times New Roman" w:hAnsi="Times New Roman" w:eastAsia="仿宋_GB2312" w:cs="Times New Roman"/>
          <w:i/>
          <w:iCs/>
        </w:rPr>
        <w:t>F</w:t>
      </w:r>
      <w:r>
        <w:rPr>
          <w:rFonts w:hint="eastAsia" w:ascii="Times New Roman" w:hAnsi="Times New Roman" w:eastAsia="仿宋_GB2312" w:cs="Times New Roman"/>
          <w:i/>
          <w:iCs/>
          <w:vertAlign w:val="subscript"/>
        </w:rPr>
        <w:t>i</w:t>
      </w:r>
      <w:r>
        <w:rPr>
          <w:rFonts w:ascii="Times New Roman" w:hAnsi="Times New Roman" w:eastAsia="仿宋_GB2312" w:cs="Times New Roman"/>
          <w:vertAlign w:val="subscript"/>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 xml:space="preserve"> 第i</w:t>
      </w:r>
      <w:r>
        <w:rPr>
          <w:rFonts w:ascii="Times New Roman" w:hAnsi="Times New Roman" w:eastAsia="仿宋_GB2312" w:cs="Times New Roman"/>
        </w:rPr>
        <w:t>种燃料的二氧化碳排放因子，单位为吨二氧化碳</w:t>
      </w:r>
      <w:r>
        <w:rPr>
          <w:rFonts w:hint="eastAsia" w:ascii="Times New Roman" w:hAnsi="Times New Roman" w:eastAsia="仿宋_GB2312" w:cs="Times New Roman"/>
        </w:rPr>
        <w:t>每</w:t>
      </w:r>
      <w:r>
        <w:rPr>
          <w:rFonts w:ascii="Times New Roman" w:hAnsi="Times New Roman" w:eastAsia="仿宋_GB2312" w:cs="Times New Roman"/>
        </w:rPr>
        <w:t>吉焦（tCO</w:t>
      </w:r>
      <w:r>
        <w:rPr>
          <w:rFonts w:ascii="Times New Roman" w:hAnsi="Times New Roman" w:eastAsia="仿宋_GB2312" w:cs="Times New Roman"/>
          <w:vertAlign w:val="subscript"/>
        </w:rPr>
        <w:t>2</w:t>
      </w:r>
      <w:r>
        <w:rPr>
          <w:rFonts w:ascii="Times New Roman" w:hAnsi="Times New Roman" w:eastAsia="仿宋_GB2312" w:cs="Times New Roman"/>
        </w:rPr>
        <w:t>e/GJ）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i    —</w:t>
      </w:r>
      <w:r>
        <w:rPr>
          <w:rFonts w:ascii="Times New Roman" w:hAnsi="Times New Roman" w:eastAsia="仿宋_GB2312" w:cs="Times New Roman"/>
        </w:rPr>
        <w:sym w:font="Symbol" w:char="F0BE"/>
      </w:r>
      <w:r>
        <w:rPr>
          <w:rFonts w:hint="eastAsia" w:ascii="Times New Roman" w:hAnsi="Times New Roman" w:eastAsia="仿宋_GB2312" w:cs="Times New Roman"/>
        </w:rPr>
        <w:t>化石燃料</w:t>
      </w:r>
      <w:r>
        <w:rPr>
          <w:rFonts w:ascii="Times New Roman" w:hAnsi="Times New Roman" w:eastAsia="仿宋_GB2312" w:cs="Times New Roman"/>
        </w:rPr>
        <w:t>类型代号</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人造革</w:t>
      </w:r>
      <w:r>
        <w:rPr>
          <w:rFonts w:ascii="Times New Roman" w:hAnsi="Times New Roman" w:eastAsia="仿宋_GB2312" w:cs="Times New Roman"/>
        </w:rPr>
        <w:t>合成革企业</w:t>
      </w:r>
      <w:r>
        <w:rPr>
          <w:rFonts w:hint="eastAsia" w:ascii="Times New Roman" w:hAnsi="Times New Roman" w:eastAsia="仿宋_GB2312" w:cs="Times New Roman"/>
        </w:rPr>
        <w:t>核算</w:t>
      </w:r>
      <w:r>
        <w:rPr>
          <w:rFonts w:ascii="Times New Roman" w:hAnsi="Times New Roman" w:eastAsia="仿宋_GB2312" w:cs="Times New Roman"/>
        </w:rPr>
        <w:t>期内燃料燃烧</w:t>
      </w:r>
      <w:r>
        <w:rPr>
          <w:rFonts w:hint="eastAsia" w:ascii="Times New Roman" w:hAnsi="Times New Roman" w:eastAsia="仿宋_GB2312" w:cs="Times New Roman"/>
        </w:rPr>
        <w:t>的</w:t>
      </w:r>
      <w:r>
        <w:rPr>
          <w:rFonts w:ascii="Times New Roman" w:hAnsi="Times New Roman" w:eastAsia="仿宋_GB2312" w:cs="Times New Roman"/>
        </w:rPr>
        <w:t>活动数据</w:t>
      </w:r>
      <w:r>
        <w:rPr>
          <w:rFonts w:hint="eastAsia" w:ascii="Times New Roman" w:hAnsi="Times New Roman" w:eastAsia="仿宋_GB2312" w:cs="Times New Roman"/>
        </w:rPr>
        <w:t>为</w:t>
      </w:r>
      <w:r>
        <w:rPr>
          <w:rFonts w:ascii="Times New Roman" w:hAnsi="Times New Roman" w:eastAsia="仿宋_GB2312" w:cs="Times New Roman"/>
        </w:rPr>
        <w:t>各种燃料活动数据的</w:t>
      </w:r>
      <w:r>
        <w:rPr>
          <w:rFonts w:hint="eastAsia" w:ascii="Times New Roman" w:hAnsi="Times New Roman" w:eastAsia="仿宋_GB2312" w:cs="Times New Roman"/>
        </w:rPr>
        <w:t>总和</w:t>
      </w:r>
      <w:r>
        <w:rPr>
          <w:rFonts w:ascii="Times New Roman" w:hAnsi="Times New Roman" w:eastAsia="仿宋_GB2312" w:cs="Times New Roman"/>
        </w:rPr>
        <w:t>，是各种燃料的消耗量与平均</w:t>
      </w:r>
      <w:r>
        <w:rPr>
          <w:rFonts w:hint="eastAsia" w:ascii="Times New Roman" w:hAnsi="Times New Roman" w:eastAsia="仿宋_GB2312" w:cs="Times New Roman"/>
        </w:rPr>
        <w:t>低位发热量</w:t>
      </w:r>
      <w:r>
        <w:rPr>
          <w:rFonts w:ascii="Times New Roman" w:hAnsi="Times New Roman" w:eastAsia="仿宋_GB2312" w:cs="Times New Roman"/>
        </w:rPr>
        <w:t>的</w:t>
      </w:r>
      <w:r>
        <w:rPr>
          <w:rFonts w:hint="eastAsia" w:ascii="Times New Roman" w:hAnsi="Times New Roman" w:eastAsia="仿宋_GB2312" w:cs="Times New Roman"/>
        </w:rPr>
        <w:t>乘积</w:t>
      </w:r>
      <w:r>
        <w:rPr>
          <w:rFonts w:ascii="Times New Roman" w:hAnsi="Times New Roman" w:eastAsia="仿宋_GB2312" w:cs="Times New Roman"/>
        </w:rPr>
        <w:t>，</w:t>
      </w:r>
      <w:r>
        <w:rPr>
          <w:rFonts w:hint="eastAsia" w:ascii="Times New Roman" w:hAnsi="Times New Roman" w:eastAsia="仿宋_GB2312" w:cs="Times New Roman"/>
        </w:rPr>
        <w:t>按</w:t>
      </w:r>
      <w:r>
        <w:rPr>
          <w:rFonts w:ascii="Times New Roman" w:hAnsi="Times New Roman" w:eastAsia="仿宋_GB2312" w:cs="Times New Roman"/>
        </w:rPr>
        <w:t>式（</w:t>
      </w:r>
      <w:r>
        <w:rPr>
          <w:rFonts w:hint="eastAsia" w:ascii="Times New Roman" w:hAnsi="Times New Roman" w:eastAsia="仿宋_GB2312" w:cs="Times New Roman"/>
        </w:rPr>
        <w:t>3</w:t>
      </w:r>
      <w:r>
        <w:rPr>
          <w:rFonts w:ascii="Times New Roman" w:hAnsi="Times New Roman" w:eastAsia="仿宋_GB2312" w:cs="Times New Roman"/>
        </w:rPr>
        <w:t>）</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center" w:pos="4800"/>
          <w:tab w:val="right" w:leader="dot" w:pos="8880"/>
        </w:tabs>
        <w:snapToGrid w:val="0"/>
        <w:spacing w:line="360" w:lineRule="auto"/>
        <w:ind w:left="357" w:firstLine="120" w:firstLineChars="50"/>
        <w:rPr>
          <w:rFonts w:ascii="Times New Roman" w:hAnsi="Times New Roman" w:eastAsia="仿宋_GB2312" w:cs="Times New Roman"/>
        </w:rPr>
      </w:pPr>
      <w:r>
        <w:rPr>
          <w:rFonts w:ascii="Times New Roman" w:hAnsi="Times New Roman" w:eastAsia="仿宋_GB2312" w:cs="Times New Roman"/>
        </w:rPr>
        <w:tab/>
      </w:r>
      <m:oMath>
        <m:sSub>
          <m:sSubPr>
            <m:ctrlPr>
              <w:rPr>
                <w:rFonts w:ascii="Cambria Math" w:hAnsi="Cambria Math" w:eastAsia="仿宋_GB2312" w:cs="Times New Roman"/>
              </w:rPr>
            </m:ctrlPr>
          </m:sSubPr>
          <m:e>
            <m:r>
              <w:rPr>
                <w:rFonts w:ascii="Cambria Math" w:hAnsi="Cambria Math" w:eastAsia="仿宋_GB2312" w:cs="Times New Roman"/>
              </w:rPr>
              <m:t>AD</m:t>
            </m:r>
            <m:ctrlPr>
              <w:rPr>
                <w:rFonts w:ascii="Cambria Math" w:hAnsi="Cambria Math" w:eastAsia="仿宋_GB2312" w:cs="Times New Roman"/>
              </w:rPr>
            </m:ctrlPr>
          </m:e>
          <m:sub>
            <m:r>
              <w:rPr>
                <w:rFonts w:ascii="Cambria Math" w:hAnsi="Cambria Math" w:eastAsia="仿宋_GB2312" w:cs="Times New Roman"/>
              </w:rPr>
              <m:t>i</m:t>
            </m:r>
            <m:ctrlPr>
              <w:rPr>
                <w:rFonts w:ascii="Cambria Math" w:hAnsi="Cambria Math" w:eastAsia="仿宋_GB2312" w:cs="Times New Roman"/>
              </w:rPr>
            </m:ctrlPr>
          </m:sub>
        </m:sSub>
        <m:r>
          <m:rPr>
            <m:sty m:val="p"/>
          </m:rPr>
          <w:rPr>
            <w:rFonts w:ascii="Cambria Math" w:hAnsi="Cambria Math" w:eastAsia="仿宋_GB2312" w:cs="Times New Roman"/>
          </w:rPr>
          <m:t>=</m:t>
        </m:r>
        <m:sSub>
          <m:sSubPr>
            <m:ctrlPr>
              <w:rPr>
                <w:rFonts w:ascii="Cambria Math" w:hAnsi="Cambria Math" w:eastAsia="仿宋_GB2312" w:cs="Times New Roman"/>
              </w:rPr>
            </m:ctrlPr>
          </m:sSubPr>
          <m:e>
            <m:r>
              <w:rPr>
                <w:rFonts w:ascii="Cambria Math" w:hAnsi="Cambria Math" w:eastAsia="仿宋_GB2312" w:cs="Times New Roman"/>
              </w:rPr>
              <m:t>NCV</m:t>
            </m:r>
            <m:ctrlPr>
              <w:rPr>
                <w:rFonts w:ascii="Cambria Math" w:hAnsi="Cambria Math" w:eastAsia="仿宋_GB2312" w:cs="Times New Roman"/>
              </w:rPr>
            </m:ctrlPr>
          </m:e>
          <m:sub>
            <m:r>
              <w:rPr>
                <w:rFonts w:ascii="Cambria Math" w:hAnsi="Cambria Math" w:eastAsia="仿宋_GB2312" w:cs="Times New Roman"/>
              </w:rPr>
              <m:t>I</m:t>
            </m:r>
            <m:ctrlPr>
              <w:rPr>
                <w:rFonts w:ascii="Cambria Math" w:hAnsi="Cambria Math" w:eastAsia="仿宋_GB2312" w:cs="Times New Roman"/>
              </w:rPr>
            </m:ctrlPr>
          </m:sub>
        </m:sSub>
        <m:r>
          <m:rPr>
            <m:sty m:val="p"/>
          </m:rPr>
          <w:rPr>
            <w:rFonts w:ascii="Cambria Math" w:hAnsi="Cambria Math" w:eastAsia="仿宋_GB2312" w:cs="Times New Roman"/>
          </w:rPr>
          <m:t>×</m:t>
        </m:r>
        <m:sSub>
          <m:sSubPr>
            <m:ctrlPr>
              <w:rPr>
                <w:rFonts w:ascii="Cambria Math" w:hAnsi="Cambria Math" w:eastAsia="仿宋_GB2312" w:cs="Times New Roman"/>
              </w:rPr>
            </m:ctrlPr>
          </m:sSubPr>
          <m:e>
            <m:r>
              <w:rPr>
                <w:rFonts w:ascii="Cambria Math" w:hAnsi="Cambria Math" w:eastAsia="仿宋_GB2312" w:cs="Times New Roman"/>
              </w:rPr>
              <m:t>FC</m:t>
            </m:r>
            <m:ctrlPr>
              <w:rPr>
                <w:rFonts w:ascii="Cambria Math" w:hAnsi="Cambria Math" w:eastAsia="仿宋_GB2312" w:cs="Times New Roman"/>
              </w:rPr>
            </m:ctrlPr>
          </m:e>
          <m:sub>
            <m:r>
              <w:rPr>
                <w:rFonts w:ascii="Cambria Math" w:hAnsi="Cambria Math" w:eastAsia="仿宋_GB2312" w:cs="Times New Roman"/>
              </w:rPr>
              <m:t>I</m:t>
            </m:r>
            <m:ctrlPr>
              <w:rPr>
                <w:rFonts w:ascii="Cambria Math" w:hAnsi="Cambria Math" w:eastAsia="仿宋_GB2312" w:cs="Times New Roman"/>
              </w:rPr>
            </m:ctrlPr>
          </m:sub>
        </m:sSub>
      </m:oMath>
      <w:r>
        <w:rPr>
          <w:rFonts w:hint="eastAsia" w:ascii="Times New Roman" w:hAnsi="Times New Roman" w:eastAsia="仿宋_GB2312" w:cs="Times New Roman"/>
        </w:rPr>
        <w:t xml:space="preserve"> </w:t>
      </w:r>
      <w:r>
        <w:rPr>
          <w:rFonts w:ascii="黑体" w:eastAsia="黑体"/>
        </w:rPr>
        <w:tab/>
      </w:r>
      <w:r>
        <w:rPr>
          <w:rFonts w:hint="eastAsia" w:ascii="黑体" w:eastAsia="黑体"/>
        </w:rPr>
        <w:t>（3）</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AD</w:t>
      </w:r>
      <w:r>
        <w:rPr>
          <w:rFonts w:ascii="Times New Roman" w:hAnsi="Times New Roman" w:eastAsia="仿宋_GB2312" w:cs="Times New Roman"/>
          <w:i/>
          <w:iCs/>
          <w:vertAlign w:val="subscript"/>
        </w:rPr>
        <w:t xml:space="preserve">i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ascii="Times New Roman" w:hAnsi="Times New Roman" w:eastAsia="仿宋_GB2312" w:cs="Times New Roman"/>
        </w:rPr>
        <w:t xml:space="preserve"> </w:t>
      </w:r>
      <w:r>
        <w:rPr>
          <w:rFonts w:hint="eastAsia" w:ascii="Times New Roman" w:hAnsi="Times New Roman" w:eastAsia="仿宋_GB2312" w:cs="Times New Roman"/>
        </w:rPr>
        <w:t>核算期</w:t>
      </w:r>
      <w:r>
        <w:rPr>
          <w:rFonts w:ascii="Times New Roman" w:hAnsi="Times New Roman" w:eastAsia="仿宋_GB2312" w:cs="Times New Roman"/>
        </w:rPr>
        <w:t>内消耗的第i种燃料的活动数据，单位为</w:t>
      </w:r>
      <w:r>
        <w:rPr>
          <w:rFonts w:hint="eastAsia" w:ascii="Times New Roman" w:hAnsi="Times New Roman" w:eastAsia="仿宋_GB2312" w:cs="Times New Roman"/>
        </w:rPr>
        <w:t>吉</w:t>
      </w:r>
      <w:r>
        <w:rPr>
          <w:rFonts w:ascii="Times New Roman" w:hAnsi="Times New Roman" w:eastAsia="仿宋_GB2312" w:cs="Times New Roman"/>
        </w:rPr>
        <w:t>焦（GJ）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NCV</w:t>
      </w:r>
      <w:r>
        <w:rPr>
          <w:rFonts w:hint="eastAsia" w:ascii="Times New Roman" w:hAnsi="Times New Roman" w:eastAsia="仿宋_GB2312" w:cs="Times New Roman"/>
          <w:i/>
          <w:iCs/>
          <w:vertAlign w:val="subscript"/>
        </w:rPr>
        <w:t>i</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 xml:space="preserve"> 核算期内第i种化石燃料的平均低位发热量，对固体或液体燃料，单位为吉焦每吨 (GJ/t)；对气体燃料.单位为吉焦每万标立方米（</w:t>
      </w:r>
      <w:r>
        <w:rPr>
          <w:rFonts w:ascii="Times New Roman" w:hAnsi="Times New Roman" w:eastAsia="仿宋_GB2312" w:cs="Times New Roman"/>
        </w:rPr>
        <w:t>GJ/10</w:t>
      </w:r>
      <w:r>
        <w:rPr>
          <w:rFonts w:ascii="Times New Roman" w:hAnsi="Times New Roman" w:eastAsia="仿宋_GB2312" w:cs="Times New Roman"/>
          <w:vertAlign w:val="superscript"/>
        </w:rPr>
        <w:t>4</w:t>
      </w:r>
      <w:r>
        <w:rPr>
          <w:rFonts w:ascii="Times New Roman" w:hAnsi="Times New Roman" w:eastAsia="仿宋_GB2312" w:cs="Times New Roman"/>
        </w:rPr>
        <w:t>Nm</w:t>
      </w:r>
      <w:r>
        <w:rPr>
          <w:rFonts w:ascii="Times New Roman" w:hAnsi="Times New Roman" w:eastAsia="仿宋_GB2312" w:cs="Times New Roman"/>
          <w:vertAlign w:val="superscript"/>
        </w:rPr>
        <w:t>3</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FC</w:t>
      </w:r>
      <w:r>
        <w:rPr>
          <w:rFonts w:hint="eastAsia" w:ascii="Times New Roman" w:hAnsi="Times New Roman" w:eastAsia="仿宋_GB2312" w:cs="Times New Roman"/>
          <w:i/>
          <w:iCs/>
          <w:vertAlign w:val="subscript"/>
        </w:rPr>
        <w:t>i</w:t>
      </w:r>
      <w:r>
        <w:rPr>
          <w:rFonts w:ascii="Times New Roman" w:hAnsi="Times New Roman" w:eastAsia="仿宋_GB2312" w:cs="Times New Roman"/>
          <w:vertAlign w:val="subscript"/>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 xml:space="preserve"> 核算期内第i种化石燃料的净消耗量。对固体或液体燃料，单位为吨（</w:t>
      </w:r>
      <w:r>
        <w:rPr>
          <w:rFonts w:ascii="Times New Roman" w:hAnsi="Times New Roman" w:eastAsia="仿宋_GB2312" w:cs="Times New Roman"/>
        </w:rPr>
        <w:t>t)</w:t>
      </w:r>
      <w:r>
        <w:rPr>
          <w:rFonts w:hint="eastAsia" w:ascii="Times New Roman" w:hAnsi="Times New Roman" w:eastAsia="仿宋_GB2312" w:cs="Times New Roman"/>
        </w:rPr>
        <w:t>；对气体燃料，单位为万标立方米（</w:t>
      </w:r>
      <w:r>
        <w:rPr>
          <w:rFonts w:ascii="Times New Roman" w:hAnsi="Times New Roman" w:eastAsia="仿宋_GB2312" w:cs="Times New Roman"/>
        </w:rPr>
        <w:t>10</w:t>
      </w:r>
      <w:r>
        <w:rPr>
          <w:rFonts w:ascii="Times New Roman" w:hAnsi="Times New Roman" w:eastAsia="仿宋_GB2312" w:cs="Times New Roman"/>
          <w:vertAlign w:val="superscript"/>
        </w:rPr>
        <w:t>4</w:t>
      </w:r>
      <w:r>
        <w:rPr>
          <w:rFonts w:ascii="Times New Roman" w:hAnsi="Times New Roman" w:eastAsia="仿宋_GB2312" w:cs="Times New Roman"/>
        </w:rPr>
        <w:t>Nm</w:t>
      </w:r>
      <w:r>
        <w:rPr>
          <w:rFonts w:ascii="Times New Roman" w:hAnsi="Times New Roman" w:eastAsia="仿宋_GB2312" w:cs="Times New Roman"/>
          <w:vertAlign w:val="superscript"/>
        </w:rPr>
        <w:t>3</w:t>
      </w:r>
      <w:r>
        <w:rPr>
          <w:rFonts w:ascii="Times New Roman" w:hAnsi="Times New Roman" w:eastAsia="仿宋_GB2312" w:cs="Times New Roman"/>
        </w:rPr>
        <w:t>)</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企业化石燃料</w:t>
      </w:r>
      <w:r>
        <w:rPr>
          <w:rFonts w:ascii="Times New Roman" w:hAnsi="Times New Roman" w:eastAsia="仿宋_GB2312" w:cs="Times New Roman"/>
        </w:rPr>
        <w:t>的消耗量，应根据企业能源消费台账或者统计报表来确</w:t>
      </w:r>
      <w:r>
        <w:rPr>
          <w:rFonts w:hint="eastAsia" w:ascii="Times New Roman" w:hAnsi="Times New Roman" w:eastAsia="仿宋_GB2312" w:cs="Times New Roman"/>
        </w:rPr>
        <w:t>。燃料</w:t>
      </w:r>
      <w:r>
        <w:rPr>
          <w:rFonts w:ascii="Times New Roman" w:hAnsi="Times New Roman" w:eastAsia="仿宋_GB2312" w:cs="Times New Roman"/>
        </w:rPr>
        <w:t>消耗量具体计算</w:t>
      </w:r>
      <w:r>
        <w:rPr>
          <w:rFonts w:hint="eastAsia" w:ascii="Times New Roman" w:hAnsi="Times New Roman" w:eastAsia="仿宋_GB2312" w:cs="Times New Roman"/>
        </w:rPr>
        <w:t>仪器</w:t>
      </w:r>
      <w:r>
        <w:rPr>
          <w:rFonts w:ascii="Times New Roman" w:hAnsi="Times New Roman" w:eastAsia="仿宋_GB2312" w:cs="Times New Roman"/>
        </w:rPr>
        <w:t>的标准应符合</w:t>
      </w:r>
      <w:r>
        <w:rPr>
          <w:rFonts w:hint="eastAsia" w:ascii="Times New Roman" w:hAnsi="Times New Roman" w:eastAsia="仿宋_GB2312" w:cs="Times New Roman"/>
        </w:rPr>
        <w:t>GB 17167的相关</w:t>
      </w:r>
      <w:r>
        <w:rPr>
          <w:rFonts w:ascii="Times New Roman" w:hAnsi="Times New Roman" w:eastAsia="仿宋_GB2312" w:cs="Times New Roman"/>
        </w:rPr>
        <w:t>规定。</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企业</w:t>
      </w:r>
      <w:r>
        <w:rPr>
          <w:rFonts w:ascii="Times New Roman" w:hAnsi="Times New Roman" w:eastAsia="仿宋_GB2312" w:cs="Times New Roman"/>
        </w:rPr>
        <w:t>可遵循</w:t>
      </w:r>
      <w:r>
        <w:rPr>
          <w:rFonts w:hint="eastAsia" w:ascii="Times New Roman" w:hAnsi="Times New Roman" w:eastAsia="仿宋_GB2312" w:cs="Times New Roman"/>
        </w:rPr>
        <w:t>GB/T</w:t>
      </w:r>
      <w:r>
        <w:rPr>
          <w:rFonts w:ascii="Times New Roman" w:hAnsi="Times New Roman" w:eastAsia="仿宋_GB2312" w:cs="Times New Roman"/>
        </w:rPr>
        <w:t xml:space="preserve"> 213</w:t>
      </w:r>
      <w:r>
        <w:rPr>
          <w:rFonts w:hint="eastAsia" w:ascii="Times New Roman" w:hAnsi="Times New Roman" w:eastAsia="仿宋_GB2312" w:cs="Times New Roman"/>
        </w:rPr>
        <w:t>、GB/T 384、GB/T 22723等</w:t>
      </w:r>
      <w:r>
        <w:rPr>
          <w:rFonts w:ascii="Times New Roman" w:hAnsi="Times New Roman" w:eastAsia="仿宋_GB2312" w:cs="Times New Roman"/>
        </w:rPr>
        <w:t>相关标准，委托有资质的单位进行实测，也可</w:t>
      </w:r>
      <w:r>
        <w:rPr>
          <w:rFonts w:hint="eastAsia" w:ascii="Times New Roman" w:hAnsi="Times New Roman" w:eastAsia="仿宋_GB2312" w:cs="Times New Roman"/>
        </w:rPr>
        <w:t>标准文件中给出的</w:t>
      </w:r>
      <w:r>
        <w:rPr>
          <w:rFonts w:ascii="Times New Roman" w:hAnsi="Times New Roman" w:eastAsia="仿宋_GB2312" w:cs="Times New Roman"/>
        </w:rPr>
        <w:t>推荐值</w:t>
      </w:r>
      <w:r>
        <w:rPr>
          <w:rFonts w:hint="eastAsia" w:ascii="Times New Roman" w:hAnsi="Times New Roman" w:eastAsia="仿宋_GB2312" w:cs="Times New Roman"/>
        </w:rPr>
        <w:t>（列于后续资料性附录B）</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燃料</w:t>
      </w:r>
      <w:r>
        <w:rPr>
          <w:rFonts w:ascii="Times New Roman" w:hAnsi="Times New Roman" w:eastAsia="仿宋_GB2312" w:cs="Times New Roman"/>
        </w:rPr>
        <w:t>燃烧的二氧化碳排放因子按式（</w:t>
      </w:r>
      <w:r>
        <w:rPr>
          <w:rFonts w:hint="eastAsia" w:ascii="Times New Roman" w:hAnsi="Times New Roman" w:eastAsia="仿宋_GB2312" w:cs="Times New Roman"/>
        </w:rPr>
        <w:t>4</w:t>
      </w:r>
      <w:r>
        <w:rPr>
          <w:rFonts w:ascii="Times New Roman" w:hAnsi="Times New Roman" w:eastAsia="仿宋_GB2312" w:cs="Times New Roman"/>
        </w:rPr>
        <w:t>）</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center" w:pos="4201"/>
          <w:tab w:val="decimal" w:pos="4536"/>
          <w:tab w:val="right" w:leader="dot" w:pos="9298"/>
        </w:tabs>
        <w:autoSpaceDE w:val="0"/>
        <w:autoSpaceDN w:val="0"/>
        <w:ind w:firstLine="4212" w:firstLineChars="1755"/>
      </w:pPr>
      <m:oMath>
        <m:sSub>
          <m:sSubPr>
            <m:ctrlPr>
              <w:rPr>
                <w:rFonts w:ascii="Cambria Math" w:hAnsi="Cambria Math"/>
                <w:i/>
              </w:rPr>
            </m:ctrlPr>
          </m:sSubPr>
          <m:e>
            <m:r>
              <w:rPr>
                <w:rFonts w:ascii="Cambria Math" w:hAnsi="Cambria Math"/>
              </w:rPr>
              <m:t>EF</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CC</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OF</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44</m:t>
            </m:r>
            <m:ctrlPr>
              <w:rPr>
                <w:rFonts w:ascii="Cambria Math" w:hAnsi="Cambria Math"/>
                <w:i/>
              </w:rPr>
            </m:ctrlPr>
          </m:num>
          <m:den>
            <m:r>
              <w:rPr>
                <w:rFonts w:ascii="Cambria Math" w:hAnsi="Cambria Math"/>
              </w:rPr>
              <m:t>22</m:t>
            </m:r>
            <m:ctrlPr>
              <w:rPr>
                <w:rFonts w:ascii="Cambria Math" w:hAnsi="Cambria Math"/>
                <w:i/>
              </w:rPr>
            </m:ctrlPr>
          </m:den>
        </m:f>
      </m:oMath>
      <w:r>
        <w:tab/>
      </w:r>
      <w:r>
        <w:rPr>
          <w:rFonts w:hint="eastAsia"/>
        </w:rPr>
        <w:t>(</w:t>
      </w:r>
      <w:r>
        <w:t>4</w:t>
      </w:r>
      <w:r>
        <w:rPr>
          <w:rFonts w:hint="eastAsia"/>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EF</w:t>
      </w:r>
      <w:r>
        <w:rPr>
          <w:rFonts w:ascii="Times New Roman" w:hAnsi="Times New Roman" w:eastAsia="仿宋_GB2312" w:cs="Times New Roman"/>
          <w:i/>
          <w:iCs/>
          <w:vertAlign w:val="subscript"/>
        </w:rPr>
        <w:t>i</w:t>
      </w:r>
      <w:r>
        <w:rPr>
          <w:rFonts w:ascii="Times New Roman" w:hAnsi="Times New Roman" w:eastAsia="仿宋_GB2312" w:cs="Times New Roman"/>
          <w:vertAlign w:val="subscript"/>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第</w:t>
      </w:r>
      <w:r>
        <w:rPr>
          <w:rFonts w:ascii="Times New Roman" w:hAnsi="Times New Roman" w:eastAsia="仿宋_GB2312" w:cs="Times New Roman"/>
        </w:rPr>
        <w:t>i种燃料的二氧化碳排放因子，单位为吨二氧化碳每吉焦（tCO</w:t>
      </w:r>
      <w:r>
        <w:rPr>
          <w:rFonts w:ascii="Times New Roman" w:hAnsi="Times New Roman" w:eastAsia="仿宋_GB2312" w:cs="Times New Roman"/>
          <w:vertAlign w:val="subscript"/>
        </w:rPr>
        <w:t>2</w:t>
      </w:r>
      <w:r>
        <w:rPr>
          <w:rFonts w:ascii="Times New Roman" w:hAnsi="Times New Roman" w:eastAsia="仿宋_GB2312" w:cs="Times New Roman"/>
        </w:rPr>
        <w:t>/GJ）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CC</w:t>
      </w:r>
      <w:r>
        <w:rPr>
          <w:rFonts w:ascii="Times New Roman" w:hAnsi="Times New Roman" w:eastAsia="仿宋_GB2312" w:cs="Times New Roman"/>
          <w:i/>
          <w:iCs/>
          <w:vertAlign w:val="subscript"/>
        </w:rPr>
        <w:t>i</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第</w:t>
      </w:r>
      <w:r>
        <w:rPr>
          <w:rFonts w:ascii="Times New Roman" w:hAnsi="Times New Roman" w:eastAsia="仿宋_GB2312" w:cs="Times New Roman"/>
        </w:rPr>
        <w:t>i种燃料的</w:t>
      </w:r>
      <w:r>
        <w:rPr>
          <w:rFonts w:hint="eastAsia" w:ascii="Times New Roman" w:hAnsi="Times New Roman" w:eastAsia="仿宋_GB2312" w:cs="Times New Roman"/>
        </w:rPr>
        <w:t>单位</w:t>
      </w:r>
      <w:r>
        <w:rPr>
          <w:rFonts w:ascii="Times New Roman" w:hAnsi="Times New Roman" w:eastAsia="仿宋_GB2312" w:cs="Times New Roman"/>
        </w:rPr>
        <w:t>热值含碳量，单位为吨碳没吉焦（tC/GJ）</w:t>
      </w:r>
      <w:r>
        <w:rPr>
          <w:rFonts w:hint="eastAsia" w:ascii="Times New Roman" w:hAnsi="Times New Roman" w:eastAsia="仿宋_GB2312" w:cs="Times New Roman"/>
        </w:rPr>
        <w:t>，可</w:t>
      </w:r>
      <w:r>
        <w:rPr>
          <w:rFonts w:ascii="Times New Roman" w:hAnsi="Times New Roman" w:eastAsia="仿宋_GB2312" w:cs="Times New Roman"/>
        </w:rPr>
        <w:t>参考表</w:t>
      </w:r>
      <w:r>
        <w:rPr>
          <w:rFonts w:hint="eastAsia" w:ascii="Times New Roman" w:hAnsi="Times New Roman" w:eastAsia="仿宋_GB2312" w:cs="Times New Roman"/>
        </w:rPr>
        <w:t>附录B；</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OF</w:t>
      </w:r>
      <w:r>
        <w:rPr>
          <w:rFonts w:ascii="Times New Roman" w:hAnsi="Times New Roman" w:eastAsia="仿宋_GB2312" w:cs="Times New Roman"/>
          <w:i/>
          <w:iCs/>
          <w:vertAlign w:val="subscript"/>
        </w:rPr>
        <w:t>i</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第</w:t>
      </w:r>
      <w:r>
        <w:rPr>
          <w:rFonts w:ascii="Times New Roman" w:hAnsi="Times New Roman" w:eastAsia="仿宋_GB2312" w:cs="Times New Roman"/>
        </w:rPr>
        <w:t>i种燃料的</w:t>
      </w:r>
      <w:r>
        <w:rPr>
          <w:rFonts w:hint="eastAsia" w:ascii="Times New Roman" w:hAnsi="Times New Roman" w:eastAsia="仿宋_GB2312" w:cs="Times New Roman"/>
        </w:rPr>
        <w:t>碳氧化</w:t>
      </w:r>
      <w:r>
        <w:rPr>
          <w:rFonts w:ascii="Times New Roman" w:hAnsi="Times New Roman" w:eastAsia="仿宋_GB2312" w:cs="Times New Roman"/>
        </w:rPr>
        <w:t>率</w:t>
      </w:r>
      <w:r>
        <w:rPr>
          <w:rFonts w:hint="eastAsia" w:ascii="Times New Roman" w:hAnsi="Times New Roman" w:eastAsia="仿宋_GB2312" w:cs="Times New Roman"/>
        </w:rPr>
        <w:t>，可附录B；</w:t>
      </w:r>
    </w:p>
    <w:p>
      <w:pPr>
        <w:snapToGrid w:val="0"/>
        <w:spacing w:line="360" w:lineRule="auto"/>
        <w:ind w:firstLine="480" w:firstLineChars="200"/>
        <w:rPr>
          <w:rFonts w:ascii="Times New Roman" w:hAnsi="Times New Roman" w:eastAsia="仿宋_GB2312" w:cs="Times New Roman"/>
        </w:rPr>
      </w:pPr>
      <m:oMath>
        <m:f>
          <m:fPr>
            <m:ctrlPr>
              <w:rPr>
                <w:rFonts w:ascii="Cambria Math" w:hAnsi="Cambria Math" w:eastAsia="仿宋_GB2312" w:cs="Times New Roman"/>
              </w:rPr>
            </m:ctrlPr>
          </m:fPr>
          <m:num>
            <m:r>
              <m:rPr>
                <m:nor/>
                <m:sty m:val="p"/>
              </m:rPr>
              <w:rPr>
                <w:rFonts w:ascii="Times New Roman" w:hAnsi="Times New Roman" w:eastAsia="仿宋_GB2312" w:cs="Times New Roman"/>
              </w:rPr>
              <m:t>44</m:t>
            </m:r>
            <m:ctrlPr>
              <w:rPr>
                <w:rFonts w:ascii="Cambria Math" w:hAnsi="Cambria Math" w:eastAsia="仿宋_GB2312" w:cs="Times New Roman"/>
              </w:rPr>
            </m:ctrlPr>
          </m:num>
          <m:den>
            <m:r>
              <m:rPr>
                <m:nor/>
                <m:sty m:val="p"/>
              </m:rPr>
              <w:rPr>
                <w:rFonts w:ascii="Times New Roman" w:hAnsi="Times New Roman" w:eastAsia="仿宋_GB2312" w:cs="Times New Roman"/>
              </w:rPr>
              <m:t>12</m:t>
            </m:r>
            <m:ctrlPr>
              <w:rPr>
                <w:rFonts w:ascii="Cambria Math" w:hAnsi="Cambria Math" w:eastAsia="仿宋_GB2312" w:cs="Times New Roman"/>
              </w:rPr>
            </m:ctrlPr>
          </m:den>
        </m:f>
      </m:oMath>
      <w:r>
        <w:rPr>
          <w:rFonts w:hint="eastAsia" w:ascii="Times New Roman" w:hAnsi="Times New Roman" w:eastAsia="仿宋_GB2312" w:cs="Times New Roman"/>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二氧化碳与</w:t>
      </w:r>
      <w:r>
        <w:rPr>
          <w:rFonts w:ascii="Times New Roman" w:hAnsi="Times New Roman" w:eastAsia="仿宋_GB2312" w:cs="Times New Roman"/>
        </w:rPr>
        <w:t>碳</w:t>
      </w:r>
      <w:r>
        <w:rPr>
          <w:rFonts w:hint="eastAsia" w:ascii="Times New Roman" w:hAnsi="Times New Roman" w:eastAsia="仿宋_GB2312" w:cs="Times New Roman"/>
        </w:rPr>
        <w:t>的</w:t>
      </w:r>
      <w:r>
        <w:rPr>
          <w:rFonts w:ascii="Times New Roman" w:hAnsi="Times New Roman" w:eastAsia="仿宋_GB2312" w:cs="Times New Roman"/>
        </w:rPr>
        <w:t>相对分子质量之比</w:t>
      </w:r>
      <w:r>
        <w:rPr>
          <w:rFonts w:hint="eastAsia" w:ascii="Times New Roman" w:hAnsi="Times New Roman" w:eastAsia="仿宋_GB2312" w:cs="Times New Roman"/>
        </w:rPr>
        <w:t>。</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2.4.6.</w:t>
      </w:r>
      <w:r>
        <w:rPr>
          <w:rFonts w:ascii="Times New Roman" w:hAnsi="Times New Roman" w:eastAsia="仿宋_GB2312"/>
          <w:sz w:val="24"/>
          <w:szCs w:val="24"/>
        </w:rPr>
        <w:t>2</w:t>
      </w:r>
      <w:r>
        <w:rPr>
          <w:rFonts w:hint="eastAsia" w:ascii="Times New Roman" w:hAnsi="Times New Roman" w:eastAsia="仿宋_GB2312"/>
          <w:sz w:val="24"/>
          <w:szCs w:val="24"/>
        </w:rPr>
        <w:t>购入和</w:t>
      </w:r>
      <w:r>
        <w:rPr>
          <w:rFonts w:ascii="Times New Roman" w:hAnsi="Times New Roman" w:eastAsia="仿宋_GB2312"/>
          <w:sz w:val="24"/>
          <w:szCs w:val="24"/>
        </w:rPr>
        <w:t>输出的</w:t>
      </w:r>
      <w:r>
        <w:rPr>
          <w:rFonts w:hint="eastAsia" w:ascii="Times New Roman" w:hAnsi="Times New Roman" w:eastAsia="仿宋_GB2312"/>
          <w:sz w:val="24"/>
          <w:szCs w:val="24"/>
        </w:rPr>
        <w:t>电力</w:t>
      </w:r>
      <w:r>
        <w:rPr>
          <w:rFonts w:ascii="Times New Roman" w:hAnsi="Times New Roman" w:eastAsia="仿宋_GB2312"/>
          <w:sz w:val="24"/>
          <w:szCs w:val="24"/>
        </w:rPr>
        <w:t>、热力产生的排放</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企业购入</w:t>
      </w:r>
      <w:r>
        <w:rPr>
          <w:rFonts w:ascii="Times New Roman" w:hAnsi="Times New Roman" w:eastAsia="仿宋_GB2312" w:cs="Times New Roman"/>
        </w:rPr>
        <w:t>和输出电力、热力所对应的电力或者热力生产环节二氧化碳排放量按照式（</w:t>
      </w:r>
      <w:r>
        <w:rPr>
          <w:rFonts w:hint="eastAsia" w:ascii="Times New Roman" w:hAnsi="Times New Roman" w:eastAsia="仿宋_GB2312" w:cs="Times New Roman"/>
        </w:rPr>
        <w:t>5</w:t>
      </w:r>
      <w:r>
        <w:rPr>
          <w:rFonts w:ascii="Times New Roman" w:hAnsi="Times New Roman" w:eastAsia="仿宋_GB2312" w:cs="Times New Roman"/>
        </w:rPr>
        <w:t>）</w:t>
      </w:r>
      <w:r>
        <w:rPr>
          <w:rFonts w:hint="eastAsia" w:ascii="Times New Roman" w:hAnsi="Times New Roman" w:eastAsia="仿宋_GB2312" w:cs="Times New Roman"/>
        </w:rPr>
        <w:t>～式</w:t>
      </w:r>
      <w:r>
        <w:rPr>
          <w:rFonts w:ascii="Times New Roman" w:hAnsi="Times New Roman" w:eastAsia="仿宋_GB2312" w:cs="Times New Roman"/>
        </w:rPr>
        <w:t>（8）</w:t>
      </w:r>
      <w:r>
        <w:rPr>
          <w:rFonts w:hint="eastAsia" w:ascii="Times New Roman" w:hAnsi="Times New Roman" w:eastAsia="仿宋_GB2312" w:cs="Times New Roman"/>
        </w:rPr>
        <w:t>进行</w:t>
      </w:r>
      <w:r>
        <w:rPr>
          <w:rFonts w:ascii="Times New Roman" w:hAnsi="Times New Roman" w:eastAsia="仿宋_GB2312" w:cs="Times New Roman"/>
        </w:rPr>
        <w:t>计算：</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企业</w:t>
      </w:r>
      <w:r>
        <w:rPr>
          <w:rFonts w:ascii="Times New Roman" w:hAnsi="Times New Roman" w:eastAsia="仿宋_GB2312" w:cs="Times New Roman"/>
        </w:rPr>
        <w:t>核算期内购入和输出的电力活动数据</w:t>
      </w:r>
      <w:r>
        <w:rPr>
          <w:rFonts w:hint="eastAsia" w:ascii="Times New Roman" w:hAnsi="Times New Roman" w:eastAsia="仿宋_GB2312" w:cs="Times New Roman"/>
        </w:rPr>
        <w:t>以</w:t>
      </w:r>
      <w:r>
        <w:rPr>
          <w:rFonts w:ascii="Times New Roman" w:hAnsi="Times New Roman" w:eastAsia="仿宋_GB2312" w:cs="Times New Roman"/>
        </w:rPr>
        <w:t>企业电表记录度数为准，</w:t>
      </w:r>
      <w:r>
        <w:rPr>
          <w:rFonts w:hint="eastAsia" w:ascii="Times New Roman" w:hAnsi="Times New Roman" w:eastAsia="仿宋_GB2312" w:cs="Times New Roman"/>
        </w:rPr>
        <w:t>也</w:t>
      </w:r>
      <w:r>
        <w:rPr>
          <w:rFonts w:ascii="Times New Roman" w:hAnsi="Times New Roman" w:eastAsia="仿宋_GB2312" w:cs="Times New Roman"/>
        </w:rPr>
        <w:t>可采用供应商提供的电费发</w:t>
      </w:r>
      <w:r>
        <w:rPr>
          <w:rFonts w:hint="eastAsia" w:ascii="Times New Roman" w:hAnsi="Times New Roman" w:eastAsia="仿宋_GB2312" w:cs="Times New Roman"/>
        </w:rPr>
        <w:t>票</w:t>
      </w:r>
      <w:r>
        <w:rPr>
          <w:rFonts w:ascii="Times New Roman" w:hAnsi="Times New Roman" w:eastAsia="仿宋_GB2312" w:cs="Times New Roman"/>
        </w:rPr>
        <w:t>或者结算单</w:t>
      </w:r>
      <w:r>
        <w:rPr>
          <w:rFonts w:hint="eastAsia" w:ascii="Times New Roman" w:hAnsi="Times New Roman" w:eastAsia="仿宋_GB2312" w:cs="Times New Roman"/>
        </w:rPr>
        <w:t>等</w:t>
      </w:r>
      <w:r>
        <w:rPr>
          <w:rFonts w:ascii="Times New Roman" w:hAnsi="Times New Roman" w:eastAsia="仿宋_GB2312" w:cs="Times New Roman"/>
        </w:rPr>
        <w:t>结算凭证</w:t>
      </w:r>
      <w:r>
        <w:rPr>
          <w:rFonts w:hint="eastAsia" w:ascii="Times New Roman" w:hAnsi="Times New Roman" w:eastAsia="仿宋_GB2312" w:cs="Times New Roman"/>
        </w:rPr>
        <w:t>中相应的</w:t>
      </w:r>
      <w:r>
        <w:rPr>
          <w:rFonts w:ascii="Times New Roman" w:hAnsi="Times New Roman" w:eastAsia="仿宋_GB2312" w:cs="Times New Roman"/>
        </w:rPr>
        <w:t>数据。</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企业</w:t>
      </w:r>
      <w:r>
        <w:rPr>
          <w:rFonts w:ascii="Times New Roman" w:hAnsi="Times New Roman" w:eastAsia="仿宋_GB2312" w:cs="Times New Roman"/>
        </w:rPr>
        <w:t>核算期内购入和输出的热力量，活动数据</w:t>
      </w:r>
      <w:r>
        <w:rPr>
          <w:rFonts w:hint="eastAsia" w:ascii="Times New Roman" w:hAnsi="Times New Roman" w:eastAsia="仿宋_GB2312" w:cs="Times New Roman"/>
        </w:rPr>
        <w:t>以</w:t>
      </w:r>
      <w:r>
        <w:rPr>
          <w:rFonts w:ascii="Times New Roman" w:hAnsi="Times New Roman" w:eastAsia="仿宋_GB2312" w:cs="Times New Roman"/>
        </w:rPr>
        <w:t>企业热力表记录的度数为准，也可采用供应商提供的热力费发票</w:t>
      </w:r>
      <w:r>
        <w:rPr>
          <w:rFonts w:hint="eastAsia" w:ascii="Times New Roman" w:hAnsi="Times New Roman" w:eastAsia="仿宋_GB2312" w:cs="Times New Roman"/>
        </w:rPr>
        <w:t>或者</w:t>
      </w:r>
      <w:r>
        <w:rPr>
          <w:rFonts w:ascii="Times New Roman" w:hAnsi="Times New Roman" w:eastAsia="仿宋_GB2312" w:cs="Times New Roman"/>
        </w:rPr>
        <w:t>结算单等结算凭证</w:t>
      </w:r>
      <w:r>
        <w:rPr>
          <w:rFonts w:hint="eastAsia" w:ascii="Times New Roman" w:hAnsi="Times New Roman" w:eastAsia="仿宋_GB2312" w:cs="Times New Roman"/>
        </w:rPr>
        <w:t>中相应的</w:t>
      </w:r>
      <w:r>
        <w:rPr>
          <w:rFonts w:ascii="Times New Roman" w:hAnsi="Times New Roman" w:eastAsia="仿宋_GB2312" w:cs="Times New Roman"/>
        </w:rPr>
        <w:t>数据。</w:t>
      </w:r>
    </w:p>
    <w:p>
      <w:pPr>
        <w:tabs>
          <w:tab w:val="right" w:leader="dot" w:pos="9354"/>
        </w:tabs>
        <w:ind w:firstLine="3888" w:firstLineChars="1620"/>
        <w:rPr>
          <w:rFonts w:ascii="黑体" w:eastAsia="黑体"/>
        </w:rPr>
      </w:pPr>
      <m:oMath>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r>
              <m:rPr>
                <m:sty m:val="p"/>
              </m:rPr>
              <w:rPr>
                <w:rFonts w:hint="eastAsia" w:ascii="Cambria Math" w:hAnsi="Cambria Math" w:eastAsia="黑体"/>
              </w:rPr>
              <m:t>购入</m:t>
            </m:r>
            <m:r>
              <m:rPr>
                <m:sty m:val="p"/>
              </m:rPr>
              <w:rPr>
                <w:rFonts w:ascii="Cambria Math" w:hAnsi="Cambria Math" w:eastAsia="黑体"/>
              </w:rPr>
              <m:t>电</m:t>
            </m:r>
            <m:ctrlPr>
              <w:rPr>
                <w:rFonts w:ascii="Cambria Math" w:hAnsi="Cambria Math" w:eastAsia="黑体"/>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AD</m:t>
            </m:r>
            <m:ctrlPr>
              <w:rPr>
                <w:rFonts w:ascii="Cambria Math" w:hAnsi="Cambria Math" w:eastAsia="黑体"/>
              </w:rPr>
            </m:ctrlPr>
          </m:e>
          <m:sub>
            <m:r>
              <m:rPr>
                <m:sty m:val="p"/>
              </m:rPr>
              <w:rPr>
                <w:rFonts w:hint="eastAsia" w:ascii="Cambria Math" w:hAnsi="Cambria Math" w:eastAsia="黑体"/>
              </w:rPr>
              <m:t>购入电</m:t>
            </m:r>
            <m:ctrlPr>
              <w:rPr>
                <w:rFonts w:ascii="Cambria Math" w:hAnsi="Cambria Math" w:eastAsia="黑体"/>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EF</m:t>
            </m:r>
            <m:ctrlPr>
              <w:rPr>
                <w:rFonts w:ascii="Cambria Math" w:hAnsi="Cambria Math" w:eastAsia="黑体"/>
                <w:i/>
              </w:rPr>
            </m:ctrlPr>
          </m:e>
          <m:sub>
            <m:r>
              <m:rPr>
                <m:sty m:val="p"/>
              </m:rPr>
              <w:rPr>
                <w:rFonts w:hint="eastAsia" w:ascii="Cambria Math" w:hAnsi="Cambria Math" w:eastAsia="黑体"/>
              </w:rPr>
              <m:t>电力</m:t>
            </m:r>
            <m:ctrlPr>
              <w:rPr>
                <w:rFonts w:ascii="Cambria Math" w:hAnsi="Cambria Math" w:eastAsia="黑体"/>
                <w:i/>
              </w:rPr>
            </m:ctrlPr>
          </m:sub>
        </m:sSub>
      </m:oMath>
      <w:r>
        <w:rPr>
          <w:rFonts w:ascii="黑体" w:eastAsia="黑体"/>
        </w:rPr>
        <w:tab/>
      </w:r>
      <w:r>
        <w:rPr>
          <w:rFonts w:hint="eastAsia" w:ascii="黑体" w:eastAsia="黑体"/>
        </w:rPr>
        <w:t>(</w:t>
      </w:r>
      <w:r>
        <w:rPr>
          <w:rFonts w:ascii="黑体" w:eastAsia="黑体"/>
        </w:rPr>
        <w:t>5</w:t>
      </w:r>
      <w:r>
        <w:rPr>
          <w:rFonts w:hint="eastAsia" w:ascii="黑体" w:eastAsia="黑体"/>
        </w:rPr>
        <w:t>)</w:t>
      </w:r>
    </w:p>
    <w:p>
      <w:pPr>
        <w:tabs>
          <w:tab w:val="right" w:leader="dot" w:pos="9354"/>
        </w:tabs>
        <w:ind w:firstLine="3888" w:firstLineChars="1620"/>
        <w:rPr>
          <w:rFonts w:ascii="黑体" w:eastAsia="黑体"/>
        </w:rPr>
      </w:pPr>
      <m:oMath>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r>
              <m:rPr>
                <m:sty m:val="p"/>
              </m:rPr>
              <w:rPr>
                <w:rFonts w:hint="eastAsia" w:ascii="Cambria Math" w:hAnsi="Cambria Math" w:eastAsia="黑体"/>
              </w:rPr>
              <m:t>购入热</m:t>
            </m:r>
            <m:ctrlPr>
              <w:rPr>
                <w:rFonts w:ascii="Cambria Math" w:hAnsi="Cambria Math" w:eastAsia="黑体"/>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AD</m:t>
            </m:r>
            <m:ctrlPr>
              <w:rPr>
                <w:rFonts w:ascii="Cambria Math" w:hAnsi="Cambria Math" w:eastAsia="黑体"/>
              </w:rPr>
            </m:ctrlPr>
          </m:e>
          <m:sub>
            <m:r>
              <m:rPr>
                <m:sty m:val="p"/>
              </m:rPr>
              <w:rPr>
                <w:rFonts w:hint="eastAsia" w:ascii="Cambria Math" w:hAnsi="Cambria Math" w:eastAsia="黑体"/>
              </w:rPr>
              <m:t>购入热</m:t>
            </m:r>
            <m:ctrlPr>
              <w:rPr>
                <w:rFonts w:ascii="Cambria Math" w:hAnsi="Cambria Math" w:eastAsia="黑体"/>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EF</m:t>
            </m:r>
            <m:ctrlPr>
              <w:rPr>
                <w:rFonts w:ascii="Cambria Math" w:hAnsi="Cambria Math" w:eastAsia="黑体"/>
                <w:i/>
              </w:rPr>
            </m:ctrlPr>
          </m:e>
          <m:sub>
            <m:r>
              <m:rPr>
                <m:sty m:val="p"/>
              </m:rPr>
              <w:rPr>
                <w:rFonts w:hint="eastAsia" w:ascii="Cambria Math" w:hAnsi="Cambria Math" w:eastAsia="黑体"/>
              </w:rPr>
              <m:t>热力</m:t>
            </m:r>
            <m:ctrlPr>
              <w:rPr>
                <w:rFonts w:ascii="Cambria Math" w:hAnsi="Cambria Math" w:eastAsia="黑体"/>
                <w:i/>
              </w:rPr>
            </m:ctrlPr>
          </m:sub>
        </m:sSub>
      </m:oMath>
      <w:r>
        <w:rPr>
          <w:rFonts w:ascii="黑体" w:eastAsia="黑体"/>
        </w:rPr>
        <w:tab/>
      </w:r>
      <w:r>
        <w:rPr>
          <w:rFonts w:hint="eastAsia" w:ascii="黑体" w:eastAsia="黑体"/>
        </w:rPr>
        <w:t>(</w:t>
      </w:r>
      <w:r>
        <w:rPr>
          <w:rFonts w:ascii="黑体" w:eastAsia="黑体"/>
        </w:rPr>
        <w:t>6</w:t>
      </w:r>
      <w:r>
        <w:rPr>
          <w:rFonts w:hint="eastAsia" w:ascii="黑体" w:eastAsia="黑体"/>
        </w:rPr>
        <w:t>)</w:t>
      </w:r>
    </w:p>
    <w:p>
      <w:pPr>
        <w:tabs>
          <w:tab w:val="right" w:leader="dot" w:pos="9354"/>
        </w:tabs>
        <w:ind w:firstLine="3888" w:firstLineChars="1620"/>
        <w:rPr>
          <w:rFonts w:ascii="黑体" w:eastAsia="黑体"/>
        </w:rPr>
      </w:pPr>
      <m:oMath>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r>
              <m:rPr>
                <m:sty m:val="p"/>
              </m:rPr>
              <w:rPr>
                <w:rFonts w:hint="eastAsia" w:ascii="Cambria Math" w:hAnsi="Cambria Math" w:eastAsia="黑体"/>
              </w:rPr>
              <m:t>输出电</m:t>
            </m:r>
            <m:ctrlPr>
              <w:rPr>
                <w:rFonts w:ascii="Cambria Math" w:hAnsi="Cambria Math" w:eastAsia="黑体"/>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AD</m:t>
            </m:r>
            <m:ctrlPr>
              <w:rPr>
                <w:rFonts w:ascii="Cambria Math" w:hAnsi="Cambria Math" w:eastAsia="黑体"/>
              </w:rPr>
            </m:ctrlPr>
          </m:e>
          <m:sub>
            <m:r>
              <m:rPr>
                <m:sty m:val="p"/>
              </m:rPr>
              <w:rPr>
                <w:rFonts w:hint="eastAsia" w:ascii="Cambria Math" w:hAnsi="Cambria Math" w:eastAsia="黑体"/>
              </w:rPr>
              <m:t>输出电</m:t>
            </m:r>
            <m:ctrlPr>
              <w:rPr>
                <w:rFonts w:ascii="Cambria Math" w:hAnsi="Cambria Math" w:eastAsia="黑体"/>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EF</m:t>
            </m:r>
            <m:ctrlPr>
              <w:rPr>
                <w:rFonts w:ascii="Cambria Math" w:hAnsi="Cambria Math" w:eastAsia="黑体"/>
                <w:i/>
              </w:rPr>
            </m:ctrlPr>
          </m:e>
          <m:sub>
            <m:r>
              <m:rPr>
                <m:sty m:val="p"/>
              </m:rPr>
              <w:rPr>
                <w:rFonts w:hint="eastAsia" w:ascii="Cambria Math" w:hAnsi="Cambria Math" w:eastAsia="黑体"/>
              </w:rPr>
              <m:t>电力</m:t>
            </m:r>
            <m:ctrlPr>
              <w:rPr>
                <w:rFonts w:ascii="Cambria Math" w:hAnsi="Cambria Math" w:eastAsia="黑体"/>
                <w:i/>
              </w:rPr>
            </m:ctrlPr>
          </m:sub>
        </m:sSub>
      </m:oMath>
      <w:r>
        <w:rPr>
          <w:rFonts w:ascii="黑体" w:eastAsia="黑体"/>
        </w:rPr>
        <w:tab/>
      </w:r>
      <w:r>
        <w:rPr>
          <w:rFonts w:hint="eastAsia" w:ascii="黑体" w:eastAsia="黑体"/>
        </w:rPr>
        <w:t>(</w:t>
      </w:r>
      <w:r>
        <w:rPr>
          <w:rFonts w:ascii="黑体" w:eastAsia="黑体"/>
        </w:rPr>
        <w:t>7</w:t>
      </w:r>
      <w:r>
        <w:rPr>
          <w:rFonts w:hint="eastAsia" w:ascii="黑体" w:eastAsia="黑体"/>
        </w:rPr>
        <w:t>)</w:t>
      </w:r>
    </w:p>
    <w:p>
      <w:pPr>
        <w:tabs>
          <w:tab w:val="right" w:leader="dot" w:pos="9354"/>
        </w:tabs>
        <w:ind w:firstLine="3888" w:firstLineChars="1620"/>
        <w:rPr>
          <w:rFonts w:ascii="黑体" w:eastAsia="黑体"/>
        </w:rPr>
      </w:pPr>
      <m:oMath>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r>
              <m:rPr>
                <m:sty m:val="p"/>
              </m:rPr>
              <w:rPr>
                <w:rFonts w:hint="eastAsia" w:ascii="Cambria Math" w:hAnsi="Cambria Math" w:eastAsia="黑体"/>
              </w:rPr>
              <m:t>输出</m:t>
            </m:r>
            <m:r>
              <m:rPr>
                <m:sty m:val="p"/>
              </m:rPr>
              <w:rPr>
                <w:rFonts w:ascii="Cambria Math" w:hAnsi="Cambria Math" w:eastAsia="黑体"/>
              </w:rPr>
              <m:t>热</m:t>
            </m:r>
            <m:ctrlPr>
              <w:rPr>
                <w:rFonts w:ascii="Cambria Math" w:hAnsi="Cambria Math" w:eastAsia="黑体"/>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AD</m:t>
            </m:r>
            <m:ctrlPr>
              <w:rPr>
                <w:rFonts w:ascii="Cambria Math" w:hAnsi="Cambria Math" w:eastAsia="黑体"/>
              </w:rPr>
            </m:ctrlPr>
          </m:e>
          <m:sub>
            <m:r>
              <m:rPr>
                <m:sty m:val="p"/>
              </m:rPr>
              <w:rPr>
                <w:rFonts w:hint="eastAsia" w:ascii="Cambria Math" w:hAnsi="Cambria Math" w:eastAsia="黑体"/>
              </w:rPr>
              <m:t>输出</m:t>
            </m:r>
            <m:r>
              <m:rPr>
                <m:sty m:val="p"/>
              </m:rPr>
              <w:rPr>
                <w:rFonts w:ascii="Cambria Math" w:hAnsi="Cambria Math" w:eastAsia="黑体"/>
              </w:rPr>
              <m:t>热</m:t>
            </m:r>
            <m:ctrlPr>
              <w:rPr>
                <w:rFonts w:ascii="Cambria Math" w:hAnsi="Cambria Math" w:eastAsia="黑体"/>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EF</m:t>
            </m:r>
            <m:ctrlPr>
              <w:rPr>
                <w:rFonts w:ascii="Cambria Math" w:hAnsi="Cambria Math" w:eastAsia="黑体"/>
                <w:i/>
              </w:rPr>
            </m:ctrlPr>
          </m:e>
          <m:sub>
            <m:r>
              <m:rPr>
                <m:sty m:val="p"/>
              </m:rPr>
              <w:rPr>
                <w:rFonts w:hint="eastAsia" w:ascii="Cambria Math" w:hAnsi="Cambria Math" w:eastAsia="黑体"/>
              </w:rPr>
              <m:t>热力</m:t>
            </m:r>
            <m:ctrlPr>
              <w:rPr>
                <w:rFonts w:ascii="Cambria Math" w:hAnsi="Cambria Math" w:eastAsia="黑体"/>
                <w:i/>
              </w:rPr>
            </m:ctrlPr>
          </m:sub>
        </m:sSub>
      </m:oMath>
      <w:r>
        <w:rPr>
          <w:rFonts w:ascii="黑体" w:eastAsia="黑体"/>
        </w:rPr>
        <w:tab/>
      </w:r>
      <w:r>
        <w:rPr>
          <w:rFonts w:hint="eastAsia" w:ascii="黑体" w:eastAsia="黑体"/>
        </w:rPr>
        <w:t>(</w:t>
      </w:r>
      <w:r>
        <w:rPr>
          <w:rFonts w:ascii="黑体" w:eastAsia="黑体"/>
        </w:rPr>
        <w:t>8</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E</w:t>
      </w:r>
      <w:r>
        <w:rPr>
          <w:rFonts w:hint="eastAsia" w:ascii="Times New Roman" w:hAnsi="Times New Roman" w:eastAsia="仿宋_GB2312" w:cs="Times New Roman"/>
          <w:vertAlign w:val="subscript"/>
        </w:rPr>
        <w:t>购入电</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w:t>
      </w:r>
      <w:r>
        <w:rPr>
          <w:rFonts w:ascii="Times New Roman" w:hAnsi="Times New Roman" w:eastAsia="仿宋_GB2312" w:cs="Times New Roman"/>
        </w:rPr>
        <w:t>期内</w:t>
      </w:r>
      <w:r>
        <w:rPr>
          <w:rFonts w:hint="eastAsia" w:ascii="Times New Roman" w:hAnsi="Times New Roman" w:eastAsia="仿宋_GB2312" w:cs="Times New Roman"/>
        </w:rPr>
        <w:t>电力消费</w:t>
      </w:r>
      <w:r>
        <w:rPr>
          <w:rFonts w:ascii="Times New Roman" w:hAnsi="Times New Roman" w:eastAsia="仿宋_GB2312" w:cs="Times New Roman"/>
        </w:rPr>
        <w:t>的二氧化碳排放量，单位为吨二氧化碳当量（tCO</w:t>
      </w:r>
      <w:r>
        <w:rPr>
          <w:rFonts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E</w:t>
      </w:r>
      <w:r>
        <w:rPr>
          <w:rFonts w:hint="eastAsia" w:ascii="Times New Roman" w:hAnsi="Times New Roman" w:eastAsia="仿宋_GB2312" w:cs="Times New Roman"/>
          <w:vertAlign w:val="subscript"/>
        </w:rPr>
        <w:t>购入热</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w:t>
      </w:r>
      <w:r>
        <w:rPr>
          <w:rFonts w:ascii="Times New Roman" w:hAnsi="Times New Roman" w:eastAsia="仿宋_GB2312" w:cs="Times New Roman"/>
        </w:rPr>
        <w:t>期内</w:t>
      </w:r>
      <w:r>
        <w:rPr>
          <w:rFonts w:hint="eastAsia" w:ascii="Times New Roman" w:hAnsi="Times New Roman" w:eastAsia="仿宋_GB2312" w:cs="Times New Roman"/>
        </w:rPr>
        <w:t>热力消费</w:t>
      </w:r>
      <w:r>
        <w:rPr>
          <w:rFonts w:ascii="Times New Roman" w:hAnsi="Times New Roman" w:eastAsia="仿宋_GB2312" w:cs="Times New Roman"/>
        </w:rPr>
        <w:t>的二氧化碳排放量，单位为吨二氧化碳当量（tCO</w:t>
      </w:r>
      <w:r>
        <w:rPr>
          <w:rFonts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E</w:t>
      </w:r>
      <w:r>
        <w:rPr>
          <w:rFonts w:hint="eastAsia" w:ascii="Times New Roman" w:hAnsi="Times New Roman" w:eastAsia="仿宋_GB2312" w:cs="Times New Roman"/>
          <w:vertAlign w:val="subscript"/>
        </w:rPr>
        <w:t>输出电</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w:t>
      </w:r>
      <w:r>
        <w:rPr>
          <w:rFonts w:ascii="Times New Roman" w:hAnsi="Times New Roman" w:eastAsia="仿宋_GB2312" w:cs="Times New Roman"/>
        </w:rPr>
        <w:t>期内</w:t>
      </w:r>
      <w:r>
        <w:rPr>
          <w:rFonts w:hint="eastAsia" w:ascii="Times New Roman" w:hAnsi="Times New Roman" w:eastAsia="仿宋_GB2312" w:cs="Times New Roman"/>
        </w:rPr>
        <w:t>输出</w:t>
      </w:r>
      <w:r>
        <w:rPr>
          <w:rFonts w:ascii="Times New Roman" w:hAnsi="Times New Roman" w:eastAsia="仿宋_GB2312" w:cs="Times New Roman"/>
        </w:rPr>
        <w:t>的</w:t>
      </w:r>
      <w:r>
        <w:rPr>
          <w:rFonts w:hint="eastAsia" w:ascii="Times New Roman" w:hAnsi="Times New Roman" w:eastAsia="仿宋_GB2312" w:cs="Times New Roman"/>
        </w:rPr>
        <w:t>电力对应</w:t>
      </w:r>
      <w:r>
        <w:rPr>
          <w:rFonts w:ascii="Times New Roman" w:hAnsi="Times New Roman" w:eastAsia="仿宋_GB2312" w:cs="Times New Roman"/>
        </w:rPr>
        <w:t>的二氧化碳排放量，单位为吨二氧化碳当量（tCO</w:t>
      </w:r>
      <w:r>
        <w:rPr>
          <w:rFonts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E</w:t>
      </w:r>
      <w:r>
        <w:rPr>
          <w:rFonts w:hint="eastAsia" w:ascii="Times New Roman" w:hAnsi="Times New Roman" w:eastAsia="仿宋_GB2312" w:cs="Times New Roman"/>
          <w:vertAlign w:val="subscript"/>
        </w:rPr>
        <w:t>输出热</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w:t>
      </w:r>
      <w:r>
        <w:rPr>
          <w:rFonts w:ascii="Times New Roman" w:hAnsi="Times New Roman" w:eastAsia="仿宋_GB2312" w:cs="Times New Roman"/>
        </w:rPr>
        <w:t>期内</w:t>
      </w:r>
      <w:r>
        <w:rPr>
          <w:rFonts w:hint="eastAsia" w:ascii="Times New Roman" w:hAnsi="Times New Roman" w:eastAsia="仿宋_GB2312" w:cs="Times New Roman"/>
        </w:rPr>
        <w:t>输出</w:t>
      </w:r>
      <w:r>
        <w:rPr>
          <w:rFonts w:ascii="Times New Roman" w:hAnsi="Times New Roman" w:eastAsia="仿宋_GB2312" w:cs="Times New Roman"/>
        </w:rPr>
        <w:t>的热力对应的二氧化碳排放量，单位为吨二氧化碳当量（tCO</w:t>
      </w:r>
      <w:r>
        <w:rPr>
          <w:rFonts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AD</w:t>
      </w:r>
      <w:r>
        <w:rPr>
          <w:rFonts w:hint="eastAsia" w:ascii="Times New Roman" w:hAnsi="Times New Roman" w:eastAsia="仿宋_GB2312" w:cs="Times New Roman"/>
          <w:vertAlign w:val="subscript"/>
        </w:rPr>
        <w:t>购入</w:t>
      </w:r>
      <w:r>
        <w:rPr>
          <w:rFonts w:ascii="Times New Roman" w:hAnsi="Times New Roman" w:eastAsia="仿宋_GB2312" w:cs="Times New Roman"/>
          <w:vertAlign w:val="subscript"/>
        </w:rPr>
        <w:t>电</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核算和</w:t>
      </w:r>
      <w:r>
        <w:rPr>
          <w:rFonts w:ascii="Times New Roman" w:hAnsi="Times New Roman" w:eastAsia="仿宋_GB2312" w:cs="Times New Roman"/>
        </w:rPr>
        <w:t>报告年度内的购入电量，单位为兆瓦时（MWh）</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AD</w:t>
      </w:r>
      <w:r>
        <w:rPr>
          <w:rFonts w:hint="eastAsia" w:ascii="Times New Roman" w:hAnsi="Times New Roman" w:eastAsia="仿宋_GB2312" w:cs="Times New Roman"/>
          <w:vertAlign w:val="subscript"/>
        </w:rPr>
        <w:t>购入热</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核算和</w:t>
      </w:r>
      <w:r>
        <w:rPr>
          <w:rFonts w:ascii="Times New Roman" w:hAnsi="Times New Roman" w:eastAsia="仿宋_GB2312" w:cs="Times New Roman"/>
        </w:rPr>
        <w:t>报告年度内的购入</w:t>
      </w:r>
      <w:r>
        <w:rPr>
          <w:rFonts w:hint="eastAsia" w:ascii="Times New Roman" w:hAnsi="Times New Roman" w:eastAsia="仿宋_GB2312" w:cs="Times New Roman"/>
        </w:rPr>
        <w:t>热量</w:t>
      </w:r>
      <w:r>
        <w:rPr>
          <w:rFonts w:ascii="Times New Roman" w:hAnsi="Times New Roman" w:eastAsia="仿宋_GB2312" w:cs="Times New Roman"/>
        </w:rPr>
        <w:t>，单位为</w:t>
      </w:r>
      <w:r>
        <w:rPr>
          <w:rFonts w:hint="eastAsia" w:ascii="Times New Roman" w:hAnsi="Times New Roman" w:eastAsia="仿宋_GB2312" w:cs="Times New Roman"/>
        </w:rPr>
        <w:t>吉焦</w:t>
      </w:r>
      <w:r>
        <w:rPr>
          <w:rFonts w:ascii="Times New Roman" w:hAnsi="Times New Roman" w:eastAsia="仿宋_GB2312" w:cs="Times New Roman"/>
        </w:rPr>
        <w:t>（GJ）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AD</w:t>
      </w:r>
      <w:r>
        <w:rPr>
          <w:rFonts w:hint="eastAsia" w:ascii="Times New Roman" w:hAnsi="Times New Roman" w:eastAsia="仿宋_GB2312" w:cs="Times New Roman"/>
          <w:vertAlign w:val="subscript"/>
        </w:rPr>
        <w:t>输出</w:t>
      </w:r>
      <w:r>
        <w:rPr>
          <w:rFonts w:ascii="Times New Roman" w:hAnsi="Times New Roman" w:eastAsia="仿宋_GB2312" w:cs="Times New Roman"/>
          <w:vertAlign w:val="subscript"/>
        </w:rPr>
        <w:t>电</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核算和</w:t>
      </w:r>
      <w:r>
        <w:rPr>
          <w:rFonts w:ascii="Times New Roman" w:hAnsi="Times New Roman" w:eastAsia="仿宋_GB2312" w:cs="Times New Roman"/>
        </w:rPr>
        <w:t>报告年度内的</w:t>
      </w:r>
      <w:r>
        <w:rPr>
          <w:rFonts w:hint="eastAsia" w:ascii="Times New Roman" w:hAnsi="Times New Roman" w:eastAsia="仿宋_GB2312" w:cs="Times New Roman"/>
        </w:rPr>
        <w:t>输出</w:t>
      </w:r>
      <w:r>
        <w:rPr>
          <w:rFonts w:ascii="Times New Roman" w:hAnsi="Times New Roman" w:eastAsia="仿宋_GB2312" w:cs="Times New Roman"/>
        </w:rPr>
        <w:t>电量，单位为兆瓦时（MWh）</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AD</w:t>
      </w:r>
      <w:r>
        <w:rPr>
          <w:rFonts w:hint="eastAsia" w:ascii="Times New Roman" w:hAnsi="Times New Roman" w:eastAsia="仿宋_GB2312" w:cs="Times New Roman"/>
          <w:vertAlign w:val="subscript"/>
        </w:rPr>
        <w:t>输出热</w:t>
      </w:r>
      <w:r>
        <w:rPr>
          <w:rFonts w:ascii="Times New Roman" w:hAnsi="Times New Roman" w:eastAsia="仿宋_GB2312" w:cs="Times New Roman"/>
        </w:rPr>
        <w:t>—</w:t>
      </w:r>
      <w:r>
        <w:rPr>
          <w:rFonts w:ascii="Times New Roman" w:hAnsi="Times New Roman" w:eastAsia="仿宋_GB2312" w:cs="Times New Roman"/>
        </w:rPr>
        <w:sym w:font="Symbol" w:char="F0BE"/>
      </w:r>
      <w:r>
        <w:rPr>
          <w:rFonts w:hint="eastAsia" w:ascii="Times New Roman" w:hAnsi="Times New Roman" w:eastAsia="仿宋_GB2312" w:cs="Times New Roman"/>
        </w:rPr>
        <w:t>核算和</w:t>
      </w:r>
      <w:r>
        <w:rPr>
          <w:rFonts w:ascii="Times New Roman" w:hAnsi="Times New Roman" w:eastAsia="仿宋_GB2312" w:cs="Times New Roman"/>
        </w:rPr>
        <w:t>报告年度内的</w:t>
      </w:r>
      <w:r>
        <w:rPr>
          <w:rFonts w:hint="eastAsia" w:ascii="Times New Roman" w:hAnsi="Times New Roman" w:eastAsia="仿宋_GB2312" w:cs="Times New Roman"/>
        </w:rPr>
        <w:t>输出热力</w:t>
      </w:r>
      <w:r>
        <w:rPr>
          <w:rFonts w:ascii="Times New Roman" w:hAnsi="Times New Roman" w:eastAsia="仿宋_GB2312" w:cs="Times New Roman"/>
        </w:rPr>
        <w:t>，单位为</w:t>
      </w:r>
      <w:r>
        <w:rPr>
          <w:rFonts w:hint="eastAsia" w:ascii="Times New Roman" w:hAnsi="Times New Roman" w:eastAsia="仿宋_GB2312" w:cs="Times New Roman"/>
        </w:rPr>
        <w:t>吉焦</w:t>
      </w:r>
      <w:r>
        <w:rPr>
          <w:rFonts w:ascii="Times New Roman" w:hAnsi="Times New Roman" w:eastAsia="仿宋_GB2312" w:cs="Times New Roman"/>
        </w:rPr>
        <w:t>（GJ）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EF</w:t>
      </w:r>
      <w:r>
        <w:rPr>
          <w:rFonts w:hint="eastAsia" w:ascii="Times New Roman" w:hAnsi="Times New Roman" w:eastAsia="仿宋_GB2312" w:cs="Times New Roman"/>
          <w:vertAlign w:val="subscript"/>
        </w:rPr>
        <w:t>电力</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电力消费</w:t>
      </w:r>
      <w:r>
        <w:rPr>
          <w:rFonts w:ascii="Times New Roman" w:hAnsi="Times New Roman" w:eastAsia="仿宋_GB2312" w:cs="Times New Roman"/>
        </w:rPr>
        <w:t>的二氧化碳排放因子，单位为吨二氧化碳每</w:t>
      </w:r>
      <w:r>
        <w:rPr>
          <w:rFonts w:hint="eastAsia" w:ascii="Times New Roman" w:hAnsi="Times New Roman" w:eastAsia="仿宋_GB2312" w:cs="Times New Roman"/>
        </w:rPr>
        <w:t>兆瓦时</w:t>
      </w:r>
      <w:r>
        <w:rPr>
          <w:rFonts w:ascii="Times New Roman" w:hAnsi="Times New Roman" w:eastAsia="仿宋_GB2312" w:cs="Times New Roman"/>
        </w:rPr>
        <w:t>（tCO</w:t>
      </w:r>
      <w:r>
        <w:rPr>
          <w:rFonts w:ascii="Times New Roman" w:hAnsi="Times New Roman" w:eastAsia="仿宋_GB2312" w:cs="Times New Roman"/>
          <w:vertAlign w:val="subscript"/>
        </w:rPr>
        <w:t>2</w:t>
      </w:r>
      <w:r>
        <w:rPr>
          <w:rFonts w:ascii="Times New Roman" w:hAnsi="Times New Roman" w:eastAsia="仿宋_GB2312" w:cs="Times New Roman"/>
        </w:rPr>
        <w:t>/MWh）</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EF</w:t>
      </w:r>
      <w:r>
        <w:rPr>
          <w:rFonts w:hint="eastAsia" w:ascii="Times New Roman" w:hAnsi="Times New Roman" w:eastAsia="仿宋_GB2312" w:cs="Times New Roman"/>
          <w:vertAlign w:val="subscript"/>
        </w:rPr>
        <w:t>热力</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热力消费</w:t>
      </w:r>
      <w:r>
        <w:rPr>
          <w:rFonts w:ascii="Times New Roman" w:hAnsi="Times New Roman" w:eastAsia="仿宋_GB2312" w:cs="Times New Roman"/>
        </w:rPr>
        <w:t>的二氧化碳排放因子，单位为吨二氧化碳每吉焦（tCO</w:t>
      </w:r>
      <w:r>
        <w:rPr>
          <w:rFonts w:ascii="Times New Roman" w:hAnsi="Times New Roman" w:eastAsia="仿宋_GB2312" w:cs="Times New Roman"/>
          <w:vertAlign w:val="subscript"/>
        </w:rPr>
        <w:t>2</w:t>
      </w:r>
      <w:r>
        <w:rPr>
          <w:rFonts w:ascii="Times New Roman" w:hAnsi="Times New Roman" w:eastAsia="仿宋_GB2312" w:cs="Times New Roman"/>
        </w:rPr>
        <w:t>/GJ）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以</w:t>
      </w:r>
      <w:r>
        <w:rPr>
          <w:rFonts w:ascii="Times New Roman" w:hAnsi="Times New Roman" w:eastAsia="仿宋_GB2312" w:cs="Times New Roman"/>
        </w:rPr>
        <w:t>质量</w:t>
      </w:r>
      <w:r>
        <w:rPr>
          <w:rFonts w:hint="eastAsia" w:ascii="Times New Roman" w:hAnsi="Times New Roman" w:eastAsia="仿宋_GB2312" w:cs="Times New Roman"/>
        </w:rPr>
        <w:t>计量</w:t>
      </w:r>
      <w:r>
        <w:rPr>
          <w:rFonts w:ascii="Times New Roman" w:hAnsi="Times New Roman" w:eastAsia="仿宋_GB2312" w:cs="Times New Roman"/>
        </w:rPr>
        <w:t>的热水可按式（</w:t>
      </w:r>
      <w:r>
        <w:rPr>
          <w:rFonts w:hint="eastAsia" w:ascii="Times New Roman" w:hAnsi="Times New Roman" w:eastAsia="仿宋_GB2312" w:cs="Times New Roman"/>
        </w:rPr>
        <w:t>9</w:t>
      </w:r>
      <w:r>
        <w:rPr>
          <w:rFonts w:ascii="Times New Roman" w:hAnsi="Times New Roman" w:eastAsia="仿宋_GB2312" w:cs="Times New Roman"/>
        </w:rPr>
        <w:t>）</w:t>
      </w:r>
      <w:r>
        <w:rPr>
          <w:rFonts w:hint="eastAsia" w:ascii="Times New Roman" w:hAnsi="Times New Roman" w:eastAsia="仿宋_GB2312" w:cs="Times New Roman"/>
        </w:rPr>
        <w:t>转换</w:t>
      </w:r>
      <w:r>
        <w:rPr>
          <w:rFonts w:ascii="Times New Roman" w:hAnsi="Times New Roman" w:eastAsia="仿宋_GB2312" w:cs="Times New Roman"/>
        </w:rPr>
        <w:t>为热量单位：</w:t>
      </w:r>
    </w:p>
    <w:p>
      <w:pPr>
        <w:tabs>
          <w:tab w:val="center" w:pos="4201"/>
          <w:tab w:val="decimal" w:pos="4536"/>
          <w:tab w:val="right" w:leader="dot" w:pos="9298"/>
        </w:tabs>
        <w:autoSpaceDE w:val="0"/>
        <w:autoSpaceDN w:val="0"/>
        <w:ind w:firstLine="2752" w:firstLineChars="1147"/>
      </w:pPr>
      <m:oMath>
        <m:sSub>
          <m:sSubPr>
            <m:ctrlPr>
              <w:rPr>
                <w:rFonts w:ascii="Cambria Math" w:hAnsi="Cambria Math"/>
              </w:rPr>
            </m:ctrlPr>
          </m:sSubPr>
          <m:e>
            <m:r>
              <w:rPr>
                <w:rFonts w:ascii="Cambria Math" w:hAnsi="Cambria Math"/>
              </w:rPr>
              <m:t>AD</m:t>
            </m:r>
            <m:ctrlPr>
              <w:rPr>
                <w:rFonts w:ascii="Cambria Math" w:hAnsi="Cambria Math"/>
              </w:rPr>
            </m:ctrlPr>
          </m:e>
          <m:sub>
            <m:r>
              <m:rPr>
                <m:sty m:val="p"/>
              </m:rPr>
              <w:rPr>
                <w:rFonts w:hint="eastAsia" w:ascii="Cambria Math" w:hAnsi="Cambria Math"/>
              </w:rPr>
              <m:t>热水</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w:rPr>
                <w:rFonts w:ascii="Cambria Math" w:hAnsi="Cambria Math"/>
              </w:rPr>
              <m:t>Ma</m:t>
            </m:r>
            <m:ctrlPr>
              <w:rPr>
                <w:rFonts w:ascii="Cambria Math" w:hAnsi="Cambria Math"/>
                <w:i/>
              </w:rPr>
            </m:ctrlPr>
          </m:e>
          <m:sub>
            <m:r>
              <w:rPr>
                <w:rFonts w:ascii="Cambria Math" w:hAnsi="Cambria Math"/>
              </w:rPr>
              <m:t>w</m:t>
            </m:r>
            <m:ctrlPr>
              <w:rPr>
                <w:rFonts w:ascii="Cambria Math" w:hAnsi="Cambria Math"/>
                <w:i/>
              </w:rPr>
            </m:ctrlPr>
          </m:sub>
        </m:sSub>
        <m:r>
          <w:rPr>
            <w:rFonts w:ascii="Cambria Math" w:hAnsi="Cambria Math"/>
          </w:rPr>
          <m:t>×</m:t>
        </m:r>
        <m:r>
          <m:rPr>
            <m:sty m:val="p"/>
          </m:rPr>
          <w:rPr>
            <w:rFonts w:hint="eastAsia" w:ascii="Cambria Math" w:hAnsi="Cambria Math"/>
          </w:rPr>
          <m:t>（</m:t>
        </m:r>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w</m:t>
            </m:r>
            <m:ctrlPr>
              <w:rPr>
                <w:rFonts w:ascii="Cambria Math" w:hAnsi="Cambria Math"/>
              </w:rPr>
            </m:ctrlPr>
          </m:sub>
        </m:sSub>
        <m:r>
          <m:rPr>
            <m:sty m:val="p"/>
          </m:rPr>
          <w:rPr>
            <w:rFonts w:ascii="Cambria Math" w:hAnsi="Cambria Math"/>
          </w:rPr>
          <m:t>-20</m:t>
        </m:r>
        <m:r>
          <m:rPr>
            <m:sty m:val="p"/>
          </m:rPr>
          <w:rPr>
            <w:rFonts w:hint="eastAsia" w:ascii="Cambria Math" w:hAnsi="Cambria Math"/>
          </w:rPr>
          <m:t>）</m:t>
        </m:r>
        <m:r>
          <m:rPr>
            <m:sty m:val="p"/>
          </m:rPr>
          <w:rPr>
            <w:rFonts w:ascii="Cambria Math" w:hAnsi="Cambria Math"/>
          </w:rPr>
          <m:t>×4.1868×</m:t>
        </m:r>
        <m:sSup>
          <m:sSupPr>
            <m:ctrlPr>
              <w:rPr>
                <w:rFonts w:ascii="Cambria Math" w:hAnsi="Cambria Math"/>
              </w:rPr>
            </m:ctrlPr>
          </m:sSupPr>
          <m:e>
            <m:r>
              <w:rPr>
                <w:rFonts w:ascii="Cambria Math" w:hAnsi="Cambria Math"/>
              </w:rPr>
              <m:t>10</m:t>
            </m:r>
            <m:ctrlPr>
              <w:rPr>
                <w:rFonts w:ascii="Cambria Math" w:hAnsi="Cambria Math"/>
              </w:rPr>
            </m:ctrlPr>
          </m:e>
          <m:sup>
            <m:r>
              <w:rPr>
                <w:rFonts w:ascii="Cambria Math" w:hAnsi="Cambria Math"/>
              </w:rPr>
              <m:t>-3</m:t>
            </m:r>
            <m:ctrlPr>
              <w:rPr>
                <w:rFonts w:ascii="Cambria Math" w:hAnsi="Cambria Math"/>
              </w:rPr>
            </m:ctrlPr>
          </m:sup>
        </m:sSup>
      </m:oMath>
      <w:r>
        <w:tab/>
      </w:r>
      <w:r>
        <w:rPr>
          <w:rFonts w:hint="eastAsia"/>
        </w:rPr>
        <w:t>(</w:t>
      </w:r>
      <w:r>
        <w:t>9</w:t>
      </w:r>
      <w:r>
        <w:rPr>
          <w:rFonts w:hint="eastAsia"/>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AD</w:t>
      </w:r>
      <w:r>
        <w:rPr>
          <w:rFonts w:hint="eastAsia" w:ascii="Times New Roman" w:hAnsi="Times New Roman" w:eastAsia="仿宋_GB2312" w:cs="Times New Roman"/>
          <w:vertAlign w:val="subscript"/>
        </w:rPr>
        <w:t>热水</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热水的</w:t>
      </w:r>
      <w:r>
        <w:rPr>
          <w:rFonts w:ascii="Times New Roman" w:hAnsi="Times New Roman" w:eastAsia="仿宋_GB2312" w:cs="Times New Roman"/>
        </w:rPr>
        <w:t>热量，单位为</w:t>
      </w:r>
      <w:r>
        <w:rPr>
          <w:rFonts w:hint="eastAsia" w:ascii="Times New Roman" w:hAnsi="Times New Roman" w:eastAsia="仿宋_GB2312" w:cs="Times New Roman"/>
        </w:rPr>
        <w:t>吉</w:t>
      </w:r>
      <w:r>
        <w:rPr>
          <w:rFonts w:ascii="Times New Roman" w:hAnsi="Times New Roman" w:eastAsia="仿宋_GB2312" w:cs="Times New Roman"/>
        </w:rPr>
        <w:t>焦（GJ）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M</w:t>
      </w:r>
      <w:r>
        <w:rPr>
          <w:rFonts w:ascii="Times New Roman" w:hAnsi="Times New Roman" w:eastAsia="仿宋_GB2312" w:cs="Times New Roman"/>
          <w:vertAlign w:val="subscript"/>
        </w:rPr>
        <w:t>a</w:t>
      </w:r>
      <w:r>
        <w:rPr>
          <w:rFonts w:hint="eastAsia" w:ascii="Times New Roman" w:hAnsi="Times New Roman" w:eastAsia="仿宋_GB2312" w:cs="Times New Roman"/>
          <w:vertAlign w:val="subscript"/>
        </w:rPr>
        <w:t>w</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热水的质量</w:t>
      </w:r>
      <w:r>
        <w:rPr>
          <w:rFonts w:ascii="Times New Roman" w:hAnsi="Times New Roman" w:eastAsia="仿宋_GB2312" w:cs="Times New Roman"/>
        </w:rPr>
        <w:t>，单位为</w:t>
      </w:r>
      <w:r>
        <w:rPr>
          <w:rFonts w:hint="eastAsia" w:ascii="Times New Roman" w:hAnsi="Times New Roman" w:eastAsia="仿宋_GB2312" w:cs="Times New Roman"/>
        </w:rPr>
        <w:t>吨</w:t>
      </w:r>
      <w:r>
        <w:rPr>
          <w:rFonts w:ascii="Times New Roman" w:hAnsi="Times New Roman" w:eastAsia="仿宋_GB2312" w:cs="Times New Roman"/>
        </w:rPr>
        <w:t>（t）</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T</w:t>
      </w:r>
      <w:r>
        <w:rPr>
          <w:rFonts w:hint="eastAsia" w:ascii="Times New Roman" w:hAnsi="Times New Roman" w:eastAsia="仿宋_GB2312" w:cs="Times New Roman"/>
          <w:vertAlign w:val="subscript"/>
        </w:rPr>
        <w:t>w</w:t>
      </w:r>
      <w:r>
        <w:rPr>
          <w:rFonts w:ascii="Times New Roman" w:hAnsi="Times New Roman" w:eastAsia="仿宋_GB2312" w:cs="Times New Roman"/>
          <w:vertAlign w:val="subscript"/>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热水的温度</w:t>
      </w:r>
      <w:r>
        <w:rPr>
          <w:rFonts w:ascii="Times New Roman" w:hAnsi="Times New Roman" w:eastAsia="仿宋_GB2312" w:cs="Times New Roman"/>
        </w:rPr>
        <w:t>，单位为</w:t>
      </w:r>
      <w:r>
        <w:rPr>
          <w:rFonts w:hint="eastAsia" w:ascii="Times New Roman" w:hAnsi="Times New Roman" w:eastAsia="仿宋_GB2312" w:cs="Times New Roman"/>
        </w:rPr>
        <w:t>摄氏度</w:t>
      </w:r>
      <w:r>
        <w:rPr>
          <w:rFonts w:ascii="Times New Roman" w:hAnsi="Times New Roman" w:eastAsia="仿宋_GB2312" w:cs="Times New Roman"/>
        </w:rPr>
        <w:t>（</w:t>
      </w:r>
      <w:r>
        <w:rPr>
          <w:rFonts w:hint="eastAsia" w:ascii="Times New Roman" w:hAnsi="Times New Roman" w:eastAsia="仿宋_GB2312" w:cs="Times New Roman"/>
        </w:rPr>
        <w:t>℃</w:t>
      </w:r>
      <w:r>
        <w:rPr>
          <w:rFonts w:ascii="Times New Roman" w:hAnsi="Times New Roman" w:eastAsia="仿宋_GB2312" w:cs="Times New Roman"/>
        </w:rPr>
        <w:t>）</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4.1868—</w:t>
      </w:r>
      <w:r>
        <w:rPr>
          <w:rFonts w:ascii="Times New Roman" w:hAnsi="Times New Roman" w:eastAsia="仿宋_GB2312" w:cs="Times New Roman"/>
        </w:rPr>
        <w:sym w:font="Symbol" w:char="F0BE"/>
      </w:r>
      <w:r>
        <w:rPr>
          <w:rFonts w:hint="eastAsia" w:ascii="Times New Roman" w:hAnsi="Times New Roman" w:eastAsia="仿宋_GB2312" w:cs="Times New Roman"/>
        </w:rPr>
        <w:t>水</w:t>
      </w:r>
      <w:r>
        <w:rPr>
          <w:rFonts w:ascii="Times New Roman" w:hAnsi="Times New Roman" w:eastAsia="仿宋_GB2312" w:cs="Times New Roman"/>
        </w:rPr>
        <w:t>在常温常压下的</w:t>
      </w:r>
      <w:r>
        <w:rPr>
          <w:rFonts w:hint="eastAsia" w:ascii="Times New Roman" w:hAnsi="Times New Roman" w:eastAsia="仿宋_GB2312" w:cs="Times New Roman"/>
        </w:rPr>
        <w:t>比热</w:t>
      </w:r>
      <w:r>
        <w:rPr>
          <w:rFonts w:ascii="Times New Roman" w:hAnsi="Times New Roman" w:eastAsia="仿宋_GB2312" w:cs="Times New Roman"/>
        </w:rPr>
        <w:t>，单位为千焦</w:t>
      </w:r>
      <w:r>
        <w:rPr>
          <w:rFonts w:hint="eastAsia" w:ascii="Times New Roman" w:hAnsi="Times New Roman" w:eastAsia="仿宋_GB2312" w:cs="Times New Roman"/>
        </w:rPr>
        <w:t>每</w:t>
      </w:r>
      <w:r>
        <w:rPr>
          <w:rFonts w:ascii="Times New Roman" w:hAnsi="Times New Roman" w:eastAsia="仿宋_GB2312" w:cs="Times New Roman"/>
        </w:rPr>
        <w:t>千克摄氏度</w:t>
      </w:r>
      <w:r>
        <w:rPr>
          <w:rFonts w:hint="eastAsia" w:ascii="Times New Roman" w:hAnsi="Times New Roman" w:eastAsia="仿宋_GB2312" w:cs="Times New Roman"/>
        </w:rPr>
        <w:t>[</w:t>
      </w:r>
      <w:r>
        <w:rPr>
          <w:rFonts w:ascii="Times New Roman" w:hAnsi="Times New Roman" w:eastAsia="仿宋_GB2312" w:cs="Times New Roman"/>
        </w:rPr>
        <w:t>kJ/(kg</w:t>
      </w:r>
      <w:r>
        <w:rPr>
          <w:rFonts w:hint="eastAsia" w:ascii="Times New Roman" w:hAnsi="Times New Roman" w:eastAsia="仿宋_GB2312" w:cs="Times New Roman"/>
        </w:rPr>
        <w:t>·℃</w:t>
      </w:r>
      <w:r>
        <w:rPr>
          <w:rFonts w:ascii="Times New Roman" w:hAnsi="Times New Roman" w:eastAsia="仿宋_GB2312" w:cs="Times New Roman"/>
        </w:rPr>
        <w:t>)</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以</w:t>
      </w:r>
      <w:r>
        <w:rPr>
          <w:rFonts w:ascii="Times New Roman" w:hAnsi="Times New Roman" w:eastAsia="仿宋_GB2312" w:cs="Times New Roman"/>
        </w:rPr>
        <w:t>质量为单位的蒸汽可按式（</w:t>
      </w:r>
      <w:r>
        <w:rPr>
          <w:rFonts w:hint="eastAsia" w:ascii="Times New Roman" w:hAnsi="Times New Roman" w:eastAsia="仿宋_GB2312" w:cs="Times New Roman"/>
        </w:rPr>
        <w:t>10</w:t>
      </w:r>
      <w:r>
        <w:rPr>
          <w:rFonts w:ascii="Times New Roman" w:hAnsi="Times New Roman" w:eastAsia="仿宋_GB2312" w:cs="Times New Roman"/>
        </w:rPr>
        <w:t>）</w:t>
      </w:r>
      <w:r>
        <w:rPr>
          <w:rFonts w:hint="eastAsia" w:ascii="Times New Roman" w:hAnsi="Times New Roman" w:eastAsia="仿宋_GB2312" w:cs="Times New Roman"/>
        </w:rPr>
        <w:t>转换</w:t>
      </w:r>
      <w:r>
        <w:rPr>
          <w:rFonts w:ascii="Times New Roman" w:hAnsi="Times New Roman" w:eastAsia="仿宋_GB2312" w:cs="Times New Roman"/>
        </w:rPr>
        <w:t>为热量单位：</w:t>
      </w:r>
    </w:p>
    <w:p>
      <w:pPr>
        <w:tabs>
          <w:tab w:val="center" w:pos="4201"/>
          <w:tab w:val="right" w:leader="dot" w:pos="9298"/>
        </w:tabs>
        <w:autoSpaceDE w:val="0"/>
        <w:autoSpaceDN w:val="0"/>
        <w:ind w:firstLine="2752" w:firstLineChars="1147"/>
      </w:pPr>
      <m:oMath>
        <m:sSub>
          <m:sSubPr>
            <m:ctrlPr>
              <w:rPr>
                <w:rFonts w:ascii="Cambria Math" w:hAnsi="Cambria Math"/>
              </w:rPr>
            </m:ctrlPr>
          </m:sSubPr>
          <m:e>
            <m:r>
              <w:rPr>
                <w:rFonts w:ascii="Cambria Math" w:hAnsi="Cambria Math"/>
              </w:rPr>
              <m:t>AD</m:t>
            </m:r>
            <m:ctrlPr>
              <w:rPr>
                <w:rFonts w:ascii="Cambria Math" w:hAnsi="Cambria Math"/>
              </w:rPr>
            </m:ctrlPr>
          </m:e>
          <m:sub>
            <m:r>
              <m:rPr>
                <m:sty m:val="p"/>
              </m:rPr>
              <w:rPr>
                <w:rFonts w:hint="eastAsia" w:ascii="Cambria Math" w:hAnsi="Cambria Math"/>
              </w:rPr>
              <m:t>蒸汽</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w:rPr>
                <w:rFonts w:ascii="Cambria Math" w:hAnsi="Cambria Math"/>
              </w:rPr>
              <m:t>Ma</m:t>
            </m:r>
            <m:ctrlPr>
              <w:rPr>
                <w:rFonts w:ascii="Cambria Math" w:hAnsi="Cambria Math"/>
                <w:i/>
              </w:rPr>
            </m:ctrlPr>
          </m:e>
          <m:sub>
            <m:r>
              <m:rPr>
                <m:sty m:val="p"/>
              </m:rPr>
              <w:rPr>
                <w:rFonts w:ascii="Cambria Math" w:hAnsi="Cambria Math"/>
              </w:rPr>
              <m:t>st</m:t>
            </m:r>
            <m:ctrlPr>
              <w:rPr>
                <w:rFonts w:ascii="Cambria Math" w:hAnsi="Cambria Math"/>
                <w:i/>
              </w:rPr>
            </m:ctrlPr>
          </m:sub>
        </m:sSub>
        <m:r>
          <w:rPr>
            <w:rFonts w:ascii="Cambria Math" w:hAnsi="Cambria Math"/>
          </w:rPr>
          <m:t>×</m:t>
        </m:r>
        <m:r>
          <m:rPr>
            <m:sty m:val="p"/>
          </m:rPr>
          <w:rPr>
            <w:rFonts w:hint="eastAsia" w:ascii="Cambria Math" w:hAnsi="Cambria Math"/>
          </w:rPr>
          <m:t>（</m:t>
        </m:r>
        <m:sSub>
          <m:sSubPr>
            <m:ctrlPr>
              <w:rPr>
                <w:rFonts w:ascii="Cambria Math" w:hAnsi="Cambria Math"/>
              </w:rPr>
            </m:ctrlPr>
          </m:sSubPr>
          <m:e>
            <m:r>
              <w:rPr>
                <w:rFonts w:ascii="Cambria Math" w:hAnsi="Cambria Math"/>
              </w:rPr>
              <m:t>En</m:t>
            </m:r>
            <m:ctrlPr>
              <w:rPr>
                <w:rFonts w:ascii="Cambria Math" w:hAnsi="Cambria Math"/>
              </w:rPr>
            </m:ctrlPr>
          </m:e>
          <m:sub>
            <m:r>
              <w:rPr>
                <w:rFonts w:ascii="Cambria Math" w:hAnsi="Cambria Math"/>
              </w:rPr>
              <m:t>st</m:t>
            </m:r>
            <m:ctrlPr>
              <w:rPr>
                <w:rFonts w:ascii="Cambria Math" w:hAnsi="Cambria Math"/>
              </w:rPr>
            </m:ctrlPr>
          </m:sub>
        </m:sSub>
        <m:r>
          <m:rPr>
            <m:sty m:val="p"/>
          </m:rPr>
          <w:rPr>
            <w:rFonts w:ascii="Cambria Math" w:hAnsi="Cambria Math"/>
          </w:rPr>
          <m:t>-83.74</m:t>
        </m:r>
        <m:r>
          <m:rPr>
            <m:sty m:val="p"/>
          </m:rPr>
          <w:rPr>
            <w:rFonts w:hint="eastAsia"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10</m:t>
            </m:r>
            <m:ctrlPr>
              <w:rPr>
                <w:rFonts w:ascii="Cambria Math" w:hAnsi="Cambria Math"/>
              </w:rPr>
            </m:ctrlPr>
          </m:e>
          <m:sup>
            <m:r>
              <w:rPr>
                <w:rFonts w:ascii="Cambria Math" w:hAnsi="Cambria Math"/>
              </w:rPr>
              <m:t>-3</m:t>
            </m:r>
            <m:ctrlPr>
              <w:rPr>
                <w:rFonts w:ascii="Cambria Math" w:hAnsi="Cambria Math"/>
              </w:rPr>
            </m:ctrlPr>
          </m:sup>
        </m:sSup>
      </m:oMath>
      <w:r>
        <w:tab/>
      </w:r>
      <w:r>
        <w:rPr>
          <w:rFonts w:hint="eastAsia"/>
        </w:rPr>
        <w:t>(</w:t>
      </w:r>
      <w:r>
        <w:t>10</w:t>
      </w:r>
      <w:r>
        <w:rPr>
          <w:rFonts w:hint="eastAsia"/>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AD</w:t>
      </w:r>
      <w:r>
        <w:rPr>
          <w:rFonts w:hint="eastAsia" w:ascii="Times New Roman" w:hAnsi="Times New Roman" w:eastAsia="仿宋_GB2312" w:cs="Times New Roman"/>
          <w:vertAlign w:val="subscript"/>
        </w:rPr>
        <w:t>蒸汽</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蒸汽的</w:t>
      </w:r>
      <w:r>
        <w:rPr>
          <w:rFonts w:ascii="Times New Roman" w:hAnsi="Times New Roman" w:eastAsia="仿宋_GB2312" w:cs="Times New Roman"/>
        </w:rPr>
        <w:t>热量，单位为</w:t>
      </w:r>
      <w:r>
        <w:rPr>
          <w:rFonts w:hint="eastAsia" w:ascii="Times New Roman" w:hAnsi="Times New Roman" w:eastAsia="仿宋_GB2312" w:cs="Times New Roman"/>
        </w:rPr>
        <w:t>吉</w:t>
      </w:r>
      <w:r>
        <w:rPr>
          <w:rFonts w:ascii="Times New Roman" w:hAnsi="Times New Roman" w:eastAsia="仿宋_GB2312" w:cs="Times New Roman"/>
        </w:rPr>
        <w:t>焦（GJ）</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Ma</w:t>
      </w:r>
      <w:r>
        <w:rPr>
          <w:rFonts w:ascii="Times New Roman" w:hAnsi="Times New Roman" w:eastAsia="仿宋_GB2312" w:cs="Times New Roman"/>
          <w:vertAlign w:val="subscript"/>
        </w:rPr>
        <w:t>st</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蒸汽的质量</w:t>
      </w:r>
      <w:r>
        <w:rPr>
          <w:rFonts w:ascii="Times New Roman" w:hAnsi="Times New Roman" w:eastAsia="仿宋_GB2312" w:cs="Times New Roman"/>
        </w:rPr>
        <w:t>，单位为</w:t>
      </w:r>
      <w:r>
        <w:rPr>
          <w:rFonts w:hint="eastAsia" w:ascii="Times New Roman" w:hAnsi="Times New Roman" w:eastAsia="仿宋_GB2312" w:cs="Times New Roman"/>
        </w:rPr>
        <w:t>吨</w:t>
      </w:r>
      <w:r>
        <w:rPr>
          <w:rFonts w:ascii="Times New Roman" w:hAnsi="Times New Roman" w:eastAsia="仿宋_GB2312" w:cs="Times New Roman"/>
        </w:rPr>
        <w:t>（t）</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En</w:t>
      </w:r>
      <w:r>
        <w:rPr>
          <w:rFonts w:ascii="Times New Roman" w:hAnsi="Times New Roman" w:eastAsia="仿宋_GB2312" w:cs="Times New Roman"/>
          <w:vertAlign w:val="subscript"/>
        </w:rPr>
        <w:t>st</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蒸汽</w:t>
      </w:r>
      <w:r>
        <w:rPr>
          <w:rFonts w:ascii="Times New Roman" w:hAnsi="Times New Roman" w:eastAsia="仿宋_GB2312" w:cs="Times New Roman"/>
        </w:rPr>
        <w:t>所对应的温度、压力下每千克蒸汽的热焓，单位为千焦没千克</w:t>
      </w:r>
      <w:r>
        <w:rPr>
          <w:rFonts w:hint="eastAsia" w:ascii="Times New Roman" w:hAnsi="Times New Roman" w:eastAsia="仿宋_GB2312" w:cs="Times New Roman"/>
        </w:rPr>
        <w:t>（</w:t>
      </w:r>
      <w:r>
        <w:rPr>
          <w:rFonts w:ascii="Times New Roman" w:hAnsi="Times New Roman" w:eastAsia="仿宋_GB2312" w:cs="Times New Roman"/>
        </w:rPr>
        <w:t>kJ/kg</w:t>
      </w:r>
      <w:r>
        <w:rPr>
          <w:rFonts w:hint="eastAsia" w:ascii="Times New Roman" w:hAnsi="Times New Roman" w:eastAsia="仿宋_GB2312" w:cs="Times New Roman"/>
        </w:rPr>
        <w:t>），饱和蒸汽</w:t>
      </w:r>
      <w:r>
        <w:rPr>
          <w:rFonts w:ascii="Times New Roman" w:hAnsi="Times New Roman" w:eastAsia="仿宋_GB2312" w:cs="Times New Roman"/>
        </w:rPr>
        <w:t>和过热蒸汽的热焓可分别查阅</w:t>
      </w:r>
      <w:r>
        <w:rPr>
          <w:rFonts w:hint="eastAsia" w:ascii="Times New Roman" w:hAnsi="Times New Roman" w:eastAsia="仿宋_GB2312" w:cs="Times New Roman"/>
        </w:rPr>
        <w:t>附件B中给出的参考数据。</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电力排放因子</w:t>
      </w:r>
      <w:r>
        <w:rPr>
          <w:rFonts w:ascii="Times New Roman" w:hAnsi="Times New Roman" w:eastAsia="仿宋_GB2312" w:cs="Times New Roman"/>
        </w:rPr>
        <w:t>采用国家主管</w:t>
      </w:r>
      <w:r>
        <w:rPr>
          <w:rFonts w:hint="eastAsia" w:ascii="Times New Roman" w:hAnsi="Times New Roman" w:eastAsia="仿宋_GB2312" w:cs="Times New Roman"/>
        </w:rPr>
        <w:t>部门</w:t>
      </w:r>
      <w:r>
        <w:rPr>
          <w:rFonts w:ascii="Times New Roman" w:hAnsi="Times New Roman" w:eastAsia="仿宋_GB2312" w:cs="Times New Roman"/>
        </w:rPr>
        <w:t>公布的电网排放因子。</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热力</w:t>
      </w:r>
      <w:r>
        <w:rPr>
          <w:rFonts w:ascii="Times New Roman" w:hAnsi="Times New Roman" w:eastAsia="仿宋_GB2312" w:cs="Times New Roman"/>
        </w:rPr>
        <w:t>排放因子可</w:t>
      </w:r>
      <w:r>
        <w:rPr>
          <w:rFonts w:hint="eastAsia" w:ascii="Times New Roman" w:hAnsi="Times New Roman" w:eastAsia="仿宋_GB2312" w:cs="Times New Roman"/>
        </w:rPr>
        <w:t>采取推荐值0.11</w:t>
      </w:r>
      <w:r>
        <w:rPr>
          <w:rFonts w:ascii="Times New Roman" w:hAnsi="Times New Roman" w:eastAsia="仿宋_GB2312" w:cs="Times New Roman"/>
        </w:rPr>
        <w:t xml:space="preserve"> tCO</w:t>
      </w:r>
      <w:r>
        <w:rPr>
          <w:rFonts w:ascii="Times New Roman" w:hAnsi="Times New Roman" w:eastAsia="仿宋_GB2312" w:cs="Times New Roman"/>
          <w:vertAlign w:val="subscript"/>
        </w:rPr>
        <w:t>2</w:t>
      </w:r>
      <w:r>
        <w:rPr>
          <w:rFonts w:ascii="Times New Roman" w:hAnsi="Times New Roman" w:eastAsia="仿宋_GB2312" w:cs="Times New Roman"/>
        </w:rPr>
        <w:t>/GJ</w:t>
      </w:r>
      <w:r>
        <w:rPr>
          <w:rFonts w:hint="eastAsia" w:ascii="Times New Roman" w:hAnsi="Times New Roman" w:eastAsia="仿宋_GB2312" w:cs="Times New Roman"/>
        </w:rPr>
        <w:t>。</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2.4.6.3废水处理</w:t>
      </w:r>
      <w:r>
        <w:rPr>
          <w:rFonts w:ascii="Times New Roman" w:hAnsi="Times New Roman" w:eastAsia="仿宋_GB2312"/>
          <w:sz w:val="24"/>
          <w:szCs w:val="24"/>
        </w:rPr>
        <w:t>的排放</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人造革</w:t>
      </w:r>
      <w:r>
        <w:rPr>
          <w:rFonts w:ascii="Times New Roman" w:hAnsi="Times New Roman" w:eastAsia="仿宋_GB2312" w:cs="Times New Roman"/>
        </w:rPr>
        <w:t>合成革企业在生产过程中产生的工业废水</w:t>
      </w:r>
      <w:r>
        <w:rPr>
          <w:rFonts w:hint="eastAsia" w:ascii="Times New Roman" w:hAnsi="Times New Roman" w:eastAsia="仿宋_GB2312" w:cs="Times New Roman"/>
        </w:rPr>
        <w:t>经</w:t>
      </w:r>
      <w:r>
        <w:rPr>
          <w:rFonts w:ascii="Times New Roman" w:hAnsi="Times New Roman" w:eastAsia="仿宋_GB2312" w:cs="Times New Roman"/>
        </w:rPr>
        <w:t>厌氧处理会产生甲烷。废水</w:t>
      </w:r>
      <w:r>
        <w:rPr>
          <w:rFonts w:hint="eastAsia" w:ascii="Times New Roman" w:hAnsi="Times New Roman" w:eastAsia="仿宋_GB2312" w:cs="Times New Roman"/>
        </w:rPr>
        <w:t>处理</w:t>
      </w:r>
      <w:r>
        <w:rPr>
          <w:rFonts w:ascii="Times New Roman" w:hAnsi="Times New Roman" w:eastAsia="仿宋_GB2312" w:cs="Times New Roman"/>
        </w:rPr>
        <w:t>产生的温室气体排放量按式（</w:t>
      </w:r>
      <w:r>
        <w:rPr>
          <w:rFonts w:hint="eastAsia" w:ascii="Times New Roman" w:hAnsi="Times New Roman" w:eastAsia="仿宋_GB2312" w:cs="Times New Roman"/>
        </w:rPr>
        <w:t>1</w:t>
      </w:r>
      <w:r>
        <w:rPr>
          <w:rFonts w:ascii="Times New Roman" w:hAnsi="Times New Roman" w:eastAsia="仿宋_GB2312" w:cs="Times New Roman"/>
        </w:rPr>
        <w:t>1）</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right" w:leader="dot" w:pos="9354"/>
        </w:tabs>
        <w:spacing w:before="163" w:beforeLines="50" w:after="163" w:afterLines="50"/>
        <w:ind w:firstLine="3888" w:firstLineChars="1620"/>
        <w:rPr>
          <w:rFonts w:ascii="黑体" w:eastAsia="黑体"/>
        </w:rPr>
      </w:pPr>
      <m:oMath>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r>
              <m:rPr>
                <m:sty m:val="p"/>
              </m:rPr>
              <w:rPr>
                <w:rFonts w:hint="eastAsia" w:ascii="Cambria Math" w:hAnsi="Cambria Math" w:eastAsia="黑体"/>
              </w:rPr>
              <m:t>废水</m:t>
            </m:r>
            <m:ctrlPr>
              <w:rPr>
                <w:rFonts w:ascii="Cambria Math" w:hAnsi="Cambria Math" w:eastAsia="黑体"/>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sSub>
              <m:sSubPr>
                <m:ctrlPr>
                  <w:rPr>
                    <w:rFonts w:ascii="Cambria Math" w:hAnsi="Cambria Math" w:eastAsia="黑体"/>
                  </w:rPr>
                </m:ctrlPr>
              </m:sSubPr>
              <m:e>
                <m:r>
                  <m:rPr>
                    <m:sty m:val="p"/>
                  </m:rPr>
                  <w:rPr>
                    <w:rFonts w:ascii="Cambria Math" w:hAnsi="Cambria Math" w:eastAsia="黑体"/>
                  </w:rPr>
                  <m:t>CH</m:t>
                </m:r>
                <m:ctrlPr>
                  <w:rPr>
                    <w:rFonts w:ascii="Cambria Math" w:hAnsi="Cambria Math" w:eastAsia="黑体"/>
                  </w:rPr>
                </m:ctrlPr>
              </m:e>
              <m:sub>
                <m:r>
                  <w:rPr>
                    <w:rFonts w:ascii="Cambria Math" w:hAnsi="Cambria Math" w:eastAsia="黑体"/>
                  </w:rPr>
                  <m:t>4</m:t>
                </m:r>
                <m:ctrlPr>
                  <w:rPr>
                    <w:rFonts w:ascii="Cambria Math" w:hAnsi="Cambria Math" w:eastAsia="黑体"/>
                  </w:rPr>
                </m:ctrlPr>
              </m:sub>
            </m:sSub>
            <m:ctrlPr>
              <w:rPr>
                <w:rFonts w:ascii="Cambria Math" w:hAnsi="Cambria Math" w:eastAsia="黑体"/>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GWP</m:t>
            </m:r>
            <m:ctrlPr>
              <w:rPr>
                <w:rFonts w:ascii="Cambria Math" w:hAnsi="Cambria Math" w:eastAsia="黑体"/>
                <w:i/>
              </w:rPr>
            </m:ctrlPr>
          </m:e>
          <m:sub>
            <m:sSub>
              <m:sSubPr>
                <m:ctrlPr>
                  <w:rPr>
                    <w:rFonts w:ascii="Cambria Math" w:hAnsi="Cambria Math" w:eastAsia="黑体"/>
                  </w:rPr>
                </m:ctrlPr>
              </m:sSubPr>
              <m:e>
                <m:r>
                  <m:rPr>
                    <m:sty m:val="p"/>
                  </m:rPr>
                  <w:rPr>
                    <w:rFonts w:ascii="Cambria Math" w:hAnsi="Cambria Math" w:eastAsia="黑体"/>
                  </w:rPr>
                  <m:t>CH</m:t>
                </m:r>
                <m:ctrlPr>
                  <w:rPr>
                    <w:rFonts w:ascii="Cambria Math" w:hAnsi="Cambria Math" w:eastAsia="黑体"/>
                  </w:rPr>
                </m:ctrlPr>
              </m:e>
              <m:sub>
                <m:r>
                  <w:rPr>
                    <w:rFonts w:ascii="Cambria Math" w:hAnsi="Cambria Math" w:eastAsia="黑体"/>
                  </w:rPr>
                  <m:t>4</m:t>
                </m:r>
                <m:ctrlPr>
                  <w:rPr>
                    <w:rFonts w:ascii="Cambria Math" w:hAnsi="Cambria Math" w:eastAsia="黑体"/>
                  </w:rPr>
                </m:ctrlPr>
              </m:sub>
            </m:sSub>
            <m:ctrlPr>
              <w:rPr>
                <w:rFonts w:ascii="Cambria Math" w:hAnsi="Cambria Math" w:eastAsia="黑体"/>
                <w:i/>
              </w:rPr>
            </m:ctrlPr>
          </m:sub>
        </m:sSub>
      </m:oMath>
      <w:r>
        <w:rPr>
          <w:rFonts w:ascii="黑体" w:eastAsia="黑体"/>
        </w:rPr>
        <w:tab/>
      </w:r>
      <w:r>
        <w:rPr>
          <w:rFonts w:hint="eastAsia" w:ascii="黑体" w:eastAsia="黑体"/>
        </w:rPr>
        <w:t>(</w:t>
      </w:r>
      <w:r>
        <w:rPr>
          <w:rFonts w:ascii="黑体" w:eastAsia="黑体"/>
        </w:rPr>
        <w:t>11</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E</w:t>
      </w:r>
      <w:r>
        <w:rPr>
          <w:rFonts w:hint="eastAsia" w:ascii="Times New Roman" w:hAnsi="Times New Roman" w:eastAsia="仿宋_GB2312" w:cs="Times New Roman"/>
          <w:i/>
          <w:iCs/>
          <w:vertAlign w:val="subscript"/>
        </w:rPr>
        <w:t>废水</w:t>
      </w:r>
      <w:r>
        <w:rPr>
          <w:rFonts w:ascii="Times New Roman" w:hAnsi="Times New Roman" w:eastAsia="仿宋_GB2312" w:cs="Times New Roman"/>
          <w:i/>
          <w:iCs/>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废水厌氧</w:t>
      </w:r>
      <w:r>
        <w:rPr>
          <w:rFonts w:ascii="Times New Roman" w:hAnsi="Times New Roman" w:eastAsia="仿宋_GB2312" w:cs="Times New Roman"/>
        </w:rPr>
        <w:t>处理过程产生的温室气体排放量，单位为吨二氧化碳当量（tCO</w:t>
      </w:r>
      <w:r>
        <w:rPr>
          <w:rFonts w:ascii="Times New Roman" w:hAnsi="Times New Roman" w:eastAsia="仿宋_GB2312" w:cs="Times New Roman"/>
          <w:vertAlign w:val="subscript"/>
        </w:rPr>
        <w:t>2</w:t>
      </w:r>
      <w:r>
        <w:rPr>
          <w:rFonts w:ascii="Times New Roman" w:hAnsi="Times New Roman" w:eastAsia="仿宋_GB2312" w:cs="Times New Roman"/>
        </w:rPr>
        <w:t>e）</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E</w:t>
      </w:r>
      <w:r>
        <w:rPr>
          <w:rFonts w:hint="eastAsia" w:ascii="Times New Roman" w:hAnsi="Times New Roman" w:eastAsia="仿宋_GB2312" w:cs="Times New Roman"/>
          <w:i/>
          <w:iCs/>
          <w:vertAlign w:val="subscript"/>
        </w:rPr>
        <w:t>C</w:t>
      </w:r>
      <w:r>
        <w:rPr>
          <w:rFonts w:ascii="Times New Roman" w:hAnsi="Times New Roman" w:eastAsia="仿宋_GB2312" w:cs="Times New Roman"/>
          <w:i/>
          <w:iCs/>
          <w:vertAlign w:val="subscript"/>
        </w:rPr>
        <w:t>H4</w:t>
      </w:r>
      <w:r>
        <w:rPr>
          <w:rFonts w:ascii="Times New Roman" w:hAnsi="Times New Roman" w:eastAsia="仿宋_GB2312" w:cs="Times New Roman"/>
          <w:i/>
          <w:iCs/>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核算期内废水</w:t>
      </w:r>
      <w:r>
        <w:rPr>
          <w:rFonts w:ascii="Times New Roman" w:hAnsi="Times New Roman" w:eastAsia="仿宋_GB2312" w:cs="Times New Roman"/>
        </w:rPr>
        <w:t>厌氧处理排放的甲烷量，单位为吨（</w:t>
      </w:r>
      <w:r>
        <w:rPr>
          <w:rFonts w:hint="eastAsia" w:ascii="Times New Roman" w:hAnsi="Times New Roman" w:eastAsia="仿宋_GB2312" w:cs="Times New Roman"/>
        </w:rPr>
        <w:t>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GWP</w:t>
      </w:r>
      <w:r>
        <w:rPr>
          <w:rFonts w:ascii="Times New Roman" w:hAnsi="Times New Roman" w:eastAsia="仿宋_GB2312" w:cs="Times New Roman"/>
          <w:i/>
          <w:iCs/>
          <w:vertAlign w:val="subscript"/>
        </w:rPr>
        <w:t>CH4</w:t>
      </w:r>
      <w:r>
        <w:rPr>
          <w:rFonts w:ascii="Times New Roman" w:hAnsi="Times New Roman" w:eastAsia="仿宋_GB2312" w:cs="Times New Roman"/>
          <w:i/>
          <w:iCs/>
        </w:rPr>
        <w:t xml:space="preserve"> </w:t>
      </w:r>
      <w:r>
        <w:rPr>
          <w:rFonts w:ascii="Times New Roman" w:hAnsi="Times New Roman" w:eastAsia="仿宋_GB2312" w:cs="Times New Roman"/>
        </w:rPr>
        <w:t>—</w:t>
      </w:r>
      <w:r>
        <w:rPr>
          <w:rFonts w:ascii="Times New Roman" w:hAnsi="Times New Roman" w:eastAsia="仿宋_GB2312" w:cs="Times New Roman"/>
        </w:rPr>
        <w:sym w:font="Symbol" w:char="F0BE"/>
      </w:r>
      <w:r>
        <w:rPr>
          <w:rFonts w:hint="eastAsia" w:ascii="Times New Roman" w:hAnsi="Times New Roman" w:eastAsia="仿宋_GB2312" w:cs="Times New Roman"/>
        </w:rPr>
        <w:t>甲烷</w:t>
      </w:r>
      <w:r>
        <w:rPr>
          <w:rFonts w:ascii="Times New Roman" w:hAnsi="Times New Roman" w:eastAsia="仿宋_GB2312" w:cs="Times New Roman"/>
        </w:rPr>
        <w:t>的全球变暖潜势</w:t>
      </w:r>
      <w:r>
        <w:rPr>
          <w:rFonts w:hint="eastAsia" w:ascii="Times New Roman" w:hAnsi="Times New Roman" w:eastAsia="仿宋_GB2312" w:cs="Times New Roman"/>
        </w:rPr>
        <w:t>值</w:t>
      </w:r>
      <w:r>
        <w:rPr>
          <w:rFonts w:ascii="Times New Roman" w:hAnsi="Times New Roman" w:eastAsia="仿宋_GB2312" w:cs="Times New Roman"/>
        </w:rPr>
        <w:t>，</w:t>
      </w:r>
      <w:r>
        <w:rPr>
          <w:rFonts w:hint="eastAsia" w:ascii="Times New Roman" w:hAnsi="Times New Roman" w:eastAsia="仿宋_GB2312" w:cs="Times New Roman"/>
        </w:rPr>
        <w:t>取21。</w:t>
      </w:r>
    </w:p>
    <w:p>
      <w:pPr>
        <w:snapToGrid w:val="0"/>
        <w:spacing w:line="360" w:lineRule="auto"/>
        <w:ind w:firstLine="480" w:firstLineChars="200"/>
      </w:pPr>
      <w:r>
        <w:rPr>
          <w:rFonts w:hint="eastAsia" w:ascii="Times New Roman" w:hAnsi="Times New Roman" w:eastAsia="仿宋_GB2312" w:cs="Times New Roman"/>
        </w:rPr>
        <w:t>甲烷</w:t>
      </w:r>
      <w:r>
        <w:rPr>
          <w:rFonts w:ascii="Times New Roman" w:hAnsi="Times New Roman" w:eastAsia="仿宋_GB2312" w:cs="Times New Roman"/>
        </w:rPr>
        <w:t>排放量按式</w:t>
      </w:r>
      <w:r>
        <w:rPr>
          <w:rFonts w:hint="eastAsia" w:ascii="Times New Roman" w:hAnsi="Times New Roman" w:eastAsia="仿宋_GB2312" w:cs="Times New Roman"/>
        </w:rPr>
        <w:t>（1</w:t>
      </w:r>
      <w:r>
        <w:rPr>
          <w:rFonts w:ascii="Times New Roman" w:hAnsi="Times New Roman" w:eastAsia="仿宋_GB2312" w:cs="Times New Roman"/>
        </w:rPr>
        <w:t>2</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right" w:leader="dot" w:pos="9354"/>
        </w:tabs>
        <w:spacing w:before="163" w:beforeLines="50" w:after="163" w:afterLines="50"/>
        <w:ind w:firstLine="3888" w:firstLineChars="1620"/>
        <w:rPr>
          <w:rFonts w:ascii="黑体" w:eastAsia="黑体"/>
        </w:rPr>
      </w:pPr>
      <m:oMath>
        <m:sSub>
          <m:sSubPr>
            <m:ctrlPr>
              <w:rPr>
                <w:rFonts w:ascii="Cambria Math" w:hAnsi="Cambria Math" w:eastAsia="黑体"/>
              </w:rPr>
            </m:ctrlPr>
          </m:sSubPr>
          <m:e>
            <m:r>
              <w:rPr>
                <w:rFonts w:ascii="Cambria Math" w:hAnsi="Cambria Math" w:eastAsia="黑体"/>
              </w:rPr>
              <m:t>E</m:t>
            </m:r>
            <m:ctrlPr>
              <w:rPr>
                <w:rFonts w:ascii="Cambria Math" w:hAnsi="Cambria Math" w:eastAsia="黑体"/>
              </w:rPr>
            </m:ctrlPr>
          </m:e>
          <m:sub>
            <m:sSub>
              <m:sSubPr>
                <m:ctrlPr>
                  <w:rPr>
                    <w:rFonts w:ascii="Cambria Math" w:hAnsi="Cambria Math" w:eastAsia="黑体"/>
                  </w:rPr>
                </m:ctrlPr>
              </m:sSubPr>
              <m:e>
                <m:r>
                  <m:rPr>
                    <m:sty m:val="p"/>
                  </m:rPr>
                  <w:rPr>
                    <w:rFonts w:ascii="Cambria Math" w:hAnsi="Cambria Math" w:eastAsia="黑体"/>
                  </w:rPr>
                  <m:t>CH</m:t>
                </m:r>
                <m:ctrlPr>
                  <w:rPr>
                    <w:rFonts w:ascii="Cambria Math" w:hAnsi="Cambria Math" w:eastAsia="黑体"/>
                  </w:rPr>
                </m:ctrlPr>
              </m:e>
              <m:sub>
                <m:r>
                  <w:rPr>
                    <w:rFonts w:ascii="Cambria Math" w:hAnsi="Cambria Math" w:eastAsia="黑体"/>
                  </w:rPr>
                  <m:t>4</m:t>
                </m:r>
                <m:ctrlPr>
                  <w:rPr>
                    <w:rFonts w:ascii="Cambria Math" w:hAnsi="Cambria Math" w:eastAsia="黑体"/>
                  </w:rPr>
                </m:ctrlPr>
              </m:sub>
            </m:sSub>
            <m:ctrlPr>
              <w:rPr>
                <w:rFonts w:ascii="Cambria Math" w:hAnsi="Cambria Math" w:eastAsia="黑体"/>
              </w:rPr>
            </m:ctrlPr>
          </m:sub>
        </m:sSub>
        <m:r>
          <m:rPr>
            <m:sty m:val="p"/>
          </m:rPr>
          <w:rPr>
            <w:rFonts w:ascii="Cambria Math" w:hAnsi="Cambria Math" w:eastAsia="黑体"/>
          </w:rPr>
          <m:t>=TOW</m:t>
        </m:r>
        <m:r>
          <w:rPr>
            <w:rFonts w:ascii="Cambria Math" w:hAnsi="Cambria Math" w:eastAsia="黑体"/>
          </w:rPr>
          <m:t>×EF-R</m:t>
        </m:r>
      </m:oMath>
      <w:r>
        <w:rPr>
          <w:rFonts w:ascii="黑体" w:eastAsia="黑体"/>
        </w:rPr>
        <w:tab/>
      </w:r>
      <w:r>
        <w:rPr>
          <w:rFonts w:hint="eastAsia" w:ascii="黑体" w:eastAsia="黑体"/>
        </w:rPr>
        <w:t>(</w:t>
      </w:r>
      <w:r>
        <w:rPr>
          <w:rFonts w:ascii="黑体" w:eastAsia="黑体"/>
        </w:rPr>
        <w:t>12</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E</w:t>
      </w:r>
      <w:r>
        <w:rPr>
          <w:rFonts w:hint="eastAsia" w:ascii="Times New Roman" w:hAnsi="Times New Roman" w:eastAsia="仿宋_GB2312" w:cs="Times New Roman"/>
          <w:i/>
          <w:iCs/>
          <w:vertAlign w:val="subscript"/>
        </w:rPr>
        <w:t>C</w:t>
      </w:r>
      <w:r>
        <w:rPr>
          <w:rFonts w:ascii="Times New Roman" w:hAnsi="Times New Roman" w:eastAsia="仿宋_GB2312" w:cs="Times New Roman"/>
          <w:i/>
          <w:iCs/>
          <w:vertAlign w:val="subscript"/>
        </w:rPr>
        <w:t>H4</w:t>
      </w:r>
      <w:r>
        <w:rPr>
          <w:rFonts w:ascii="Times New Roman" w:hAnsi="Times New Roman" w:eastAsia="仿宋_GB2312" w:cs="Times New Roman"/>
          <w:vertAlign w:val="subscript"/>
        </w:rPr>
        <w:t xml:space="preserve"> </w:t>
      </w:r>
      <w:r>
        <w:rPr>
          <w:rFonts w:ascii="Times New Roman" w:hAnsi="Times New Roman" w:eastAsia="仿宋_GB2312" w:cs="Times New Roman"/>
        </w:rPr>
        <w:t>—</w:t>
      </w:r>
      <w:r>
        <w:rPr>
          <w:rFonts w:ascii="Times New Roman" w:hAnsi="Times New Roman" w:eastAsia="仿宋_GB2312" w:cs="Times New Roman"/>
        </w:rPr>
        <w:sym w:font="Symbol" w:char="F0BE"/>
      </w:r>
      <w:r>
        <w:rPr>
          <w:rFonts w:hint="eastAsia" w:ascii="Times New Roman" w:hAnsi="Times New Roman" w:eastAsia="仿宋_GB2312" w:cs="Times New Roman"/>
        </w:rPr>
        <w:t>核算期内废水</w:t>
      </w:r>
      <w:r>
        <w:rPr>
          <w:rFonts w:ascii="Times New Roman" w:hAnsi="Times New Roman" w:eastAsia="仿宋_GB2312" w:cs="Times New Roman"/>
        </w:rPr>
        <w:t>厌氧处理排放的甲烷量，单位为吨（</w:t>
      </w:r>
      <w:r>
        <w:rPr>
          <w:rFonts w:hint="eastAsia" w:ascii="Times New Roman" w:hAnsi="Times New Roman" w:eastAsia="仿宋_GB2312" w:cs="Times New Roman"/>
        </w:rPr>
        <w:t>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TOW—</w:t>
      </w:r>
      <w:r>
        <w:rPr>
          <w:rFonts w:ascii="Times New Roman" w:hAnsi="Times New Roman" w:eastAsia="仿宋_GB2312" w:cs="Times New Roman"/>
        </w:rPr>
        <w:sym w:font="Symbol" w:char="F0BE"/>
      </w:r>
      <w:r>
        <w:rPr>
          <w:rFonts w:hint="eastAsia" w:ascii="Times New Roman" w:hAnsi="Times New Roman" w:eastAsia="仿宋_GB2312" w:cs="Times New Roman"/>
        </w:rPr>
        <w:t>废水厌氧</w:t>
      </w:r>
      <w:r>
        <w:rPr>
          <w:rFonts w:ascii="Times New Roman" w:hAnsi="Times New Roman" w:eastAsia="仿宋_GB2312" w:cs="Times New Roman"/>
        </w:rPr>
        <w:t>处理去除有机物的总量，单位为吨化学需氧量（tCOD</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EF</w:t>
      </w:r>
      <w:r>
        <w:rPr>
          <w:rFonts w:ascii="Times New Roman" w:hAnsi="Times New Roman" w:eastAsia="仿宋_GB2312" w:cs="Times New Roman"/>
        </w:rPr>
        <w:t>—</w:t>
      </w:r>
      <w:r>
        <w:rPr>
          <w:rFonts w:ascii="Times New Roman" w:hAnsi="Times New Roman" w:eastAsia="仿宋_GB2312" w:cs="Times New Roman"/>
        </w:rPr>
        <w:sym w:font="Symbol" w:char="F0BE"/>
      </w:r>
      <w:r>
        <w:rPr>
          <w:rFonts w:hint="eastAsia" w:ascii="Times New Roman" w:hAnsi="Times New Roman" w:eastAsia="仿宋_GB2312" w:cs="Times New Roman"/>
        </w:rPr>
        <w:t>甲烷排放</w:t>
      </w:r>
      <w:r>
        <w:rPr>
          <w:rFonts w:ascii="Times New Roman" w:hAnsi="Times New Roman" w:eastAsia="仿宋_GB2312" w:cs="Times New Roman"/>
        </w:rPr>
        <w:t>因子，单位为吨甲烷每吨化学需氧量，单位为吨（tCH</w:t>
      </w:r>
      <w:r>
        <w:rPr>
          <w:rFonts w:ascii="Times New Roman" w:hAnsi="Times New Roman" w:eastAsia="仿宋_GB2312" w:cs="Times New Roman"/>
          <w:vertAlign w:val="subscript"/>
        </w:rPr>
        <w:t>4</w:t>
      </w:r>
      <w:r>
        <w:rPr>
          <w:rFonts w:ascii="Times New Roman" w:hAnsi="Times New Roman" w:eastAsia="仿宋_GB2312" w:cs="Times New Roman"/>
        </w:rPr>
        <w:t>/tCOD</w:t>
      </w:r>
      <w:r>
        <w:rPr>
          <w:rFonts w:hint="eastAsia" w:ascii="Times New Roman" w:hAnsi="Times New Roman" w:eastAsia="仿宋_GB2312" w:cs="Times New Roman"/>
        </w:rPr>
        <w:t>）；</w:t>
      </w:r>
    </w:p>
    <w:p>
      <w:pPr>
        <w:snapToGrid w:val="0"/>
        <w:spacing w:line="360" w:lineRule="auto"/>
        <w:ind w:right="-360" w:rightChars="-150" w:firstLine="480" w:firstLineChars="200"/>
        <w:rPr>
          <w:rFonts w:ascii="Times New Roman" w:hAnsi="Times New Roman" w:eastAsia="仿宋_GB2312" w:cs="Times New Roman"/>
        </w:rPr>
      </w:pPr>
      <w:r>
        <w:rPr>
          <w:rFonts w:ascii="Times New Roman" w:hAnsi="Times New Roman" w:eastAsia="仿宋_GB2312" w:cs="Times New Roman"/>
        </w:rPr>
        <w:t>R —</w:t>
      </w:r>
      <w:r>
        <w:rPr>
          <w:rFonts w:ascii="Times New Roman" w:hAnsi="Times New Roman" w:eastAsia="仿宋_GB2312" w:cs="Times New Roman"/>
        </w:rPr>
        <w:sym w:font="Symbol" w:char="F0BE"/>
      </w:r>
      <w:r>
        <w:rPr>
          <w:rFonts w:hint="eastAsia" w:ascii="Times New Roman" w:hAnsi="Times New Roman" w:eastAsia="仿宋_GB2312" w:cs="Times New Roman"/>
        </w:rPr>
        <w:t>甲烷回收量</w:t>
      </w:r>
      <w:r>
        <w:rPr>
          <w:rFonts w:ascii="Times New Roman" w:hAnsi="Times New Roman" w:eastAsia="仿宋_GB2312" w:cs="Times New Roman"/>
        </w:rPr>
        <w:t>，单位为吨（</w:t>
      </w:r>
      <w:r>
        <w:rPr>
          <w:rFonts w:hint="eastAsia" w:ascii="Times New Roman" w:hAnsi="Times New Roman" w:eastAsia="仿宋_GB2312" w:cs="Times New Roman"/>
        </w:rPr>
        <w:t>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废水</w:t>
      </w:r>
      <w:r>
        <w:rPr>
          <w:rFonts w:ascii="Times New Roman" w:hAnsi="Times New Roman" w:eastAsia="仿宋_GB2312" w:cs="Times New Roman"/>
        </w:rPr>
        <w:t>厌氧处理去除的有机物总量根据核算期内厌氧处理的废水量、厌氧处理系统进口废水的</w:t>
      </w:r>
      <w:r>
        <w:rPr>
          <w:rFonts w:hint="eastAsia" w:ascii="Times New Roman" w:hAnsi="Times New Roman" w:eastAsia="仿宋_GB2312" w:cs="Times New Roman"/>
        </w:rPr>
        <w:t>COD浓度</w:t>
      </w:r>
      <w:r>
        <w:rPr>
          <w:rFonts w:ascii="Times New Roman" w:hAnsi="Times New Roman" w:eastAsia="仿宋_GB2312" w:cs="Times New Roman"/>
        </w:rPr>
        <w:t>和厌氧处理系统出口的</w:t>
      </w:r>
      <w:r>
        <w:rPr>
          <w:rFonts w:hint="eastAsia" w:ascii="Times New Roman" w:hAnsi="Times New Roman" w:eastAsia="仿宋_GB2312" w:cs="Times New Roman"/>
        </w:rPr>
        <w:t>COD浓度</w:t>
      </w:r>
      <w:r>
        <w:rPr>
          <w:rFonts w:ascii="Times New Roman" w:hAnsi="Times New Roman" w:eastAsia="仿宋_GB2312" w:cs="Times New Roman"/>
        </w:rPr>
        <w:t>来确定。厌氧</w:t>
      </w:r>
      <w:r>
        <w:rPr>
          <w:rFonts w:hint="eastAsia" w:ascii="Times New Roman" w:hAnsi="Times New Roman" w:eastAsia="仿宋_GB2312" w:cs="Times New Roman"/>
        </w:rPr>
        <w:t>处理</w:t>
      </w:r>
      <w:r>
        <w:rPr>
          <w:rFonts w:ascii="Times New Roman" w:hAnsi="Times New Roman" w:eastAsia="仿宋_GB2312" w:cs="Times New Roman"/>
        </w:rPr>
        <w:t>的废水量采用废水站统计的数据，</w:t>
      </w:r>
      <w:r>
        <w:rPr>
          <w:rFonts w:hint="eastAsia" w:ascii="Times New Roman" w:hAnsi="Times New Roman" w:eastAsia="仿宋_GB2312" w:cs="Times New Roman"/>
        </w:rPr>
        <w:t>厌氧</w:t>
      </w:r>
      <w:r>
        <w:rPr>
          <w:rFonts w:ascii="Times New Roman" w:hAnsi="Times New Roman" w:eastAsia="仿宋_GB2312" w:cs="Times New Roman"/>
        </w:rPr>
        <w:t>处理系统进口废水</w:t>
      </w:r>
      <w:r>
        <w:rPr>
          <w:rFonts w:hint="eastAsia" w:ascii="Times New Roman" w:hAnsi="Times New Roman" w:eastAsia="仿宋_GB2312" w:cs="Times New Roman"/>
        </w:rPr>
        <w:t>COD浓度</w:t>
      </w:r>
      <w:r>
        <w:rPr>
          <w:rFonts w:ascii="Times New Roman" w:hAnsi="Times New Roman" w:eastAsia="仿宋_GB2312" w:cs="Times New Roman"/>
        </w:rPr>
        <w:t>和厌氧处理系统出口</w:t>
      </w:r>
      <w:r>
        <w:rPr>
          <w:rFonts w:hint="eastAsia" w:ascii="Times New Roman" w:hAnsi="Times New Roman" w:eastAsia="仿宋_GB2312" w:cs="Times New Roman"/>
        </w:rPr>
        <w:t>COD浓度</w:t>
      </w:r>
      <w:r>
        <w:rPr>
          <w:rFonts w:ascii="Times New Roman" w:hAnsi="Times New Roman" w:eastAsia="仿宋_GB2312" w:cs="Times New Roman"/>
        </w:rPr>
        <w:t>采用检测</w:t>
      </w:r>
      <w:r>
        <w:rPr>
          <w:rFonts w:hint="eastAsia" w:ascii="Times New Roman" w:hAnsi="Times New Roman" w:eastAsia="仿宋_GB2312" w:cs="Times New Roman"/>
        </w:rPr>
        <w:t>COD浓度</w:t>
      </w:r>
      <w:r>
        <w:rPr>
          <w:rFonts w:ascii="Times New Roman" w:hAnsi="Times New Roman" w:eastAsia="仿宋_GB2312" w:cs="Times New Roman"/>
        </w:rPr>
        <w:t>的</w:t>
      </w:r>
      <w:r>
        <w:rPr>
          <w:rFonts w:hint="eastAsia" w:ascii="Times New Roman" w:hAnsi="Times New Roman" w:eastAsia="仿宋_GB2312" w:cs="Times New Roman"/>
        </w:rPr>
        <w:t>年</w:t>
      </w:r>
      <w:r>
        <w:rPr>
          <w:rFonts w:ascii="Times New Roman" w:hAnsi="Times New Roman" w:eastAsia="仿宋_GB2312" w:cs="Times New Roman"/>
        </w:rPr>
        <w:t>平均值。按</w:t>
      </w:r>
      <w:r>
        <w:rPr>
          <w:rFonts w:hint="eastAsia" w:ascii="Times New Roman" w:hAnsi="Times New Roman" w:eastAsia="仿宋_GB2312" w:cs="Times New Roman"/>
        </w:rPr>
        <w:t>式</w:t>
      </w:r>
      <w:r>
        <w:rPr>
          <w:rFonts w:ascii="Times New Roman" w:hAnsi="Times New Roman" w:eastAsia="仿宋_GB2312" w:cs="Times New Roman"/>
        </w:rPr>
        <w:t>（</w:t>
      </w:r>
      <w:r>
        <w:rPr>
          <w:rFonts w:hint="eastAsia" w:ascii="Times New Roman" w:hAnsi="Times New Roman" w:eastAsia="仿宋_GB2312" w:cs="Times New Roman"/>
        </w:rPr>
        <w:t>1</w:t>
      </w:r>
      <w:r>
        <w:rPr>
          <w:rFonts w:ascii="Times New Roman" w:hAnsi="Times New Roman" w:eastAsia="仿宋_GB2312" w:cs="Times New Roman"/>
        </w:rPr>
        <w:t>3）</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right" w:leader="dot" w:pos="9354"/>
        </w:tabs>
        <w:spacing w:before="163" w:beforeLines="50" w:after="163" w:afterLines="50"/>
        <w:ind w:firstLine="2520" w:firstLineChars="1050"/>
        <w:rPr>
          <w:rFonts w:ascii="黑体" w:eastAsia="黑体"/>
        </w:rPr>
      </w:pPr>
      <m:oMath>
        <m:r>
          <w:rPr>
            <w:rFonts w:ascii="Cambria Math" w:hAnsi="Cambria Math" w:eastAsia="黑体"/>
          </w:rPr>
          <m:t>TOW</m:t>
        </m:r>
        <m:r>
          <m:rPr>
            <m:sty m:val="p"/>
          </m:rPr>
          <w:rPr>
            <w:rFonts w:ascii="Cambria Math" w:hAnsi="Cambria Math" w:eastAsia="黑体"/>
          </w:rPr>
          <m:t>=W×</m:t>
        </m:r>
        <m:r>
          <m:rPr>
            <m:sty m:val="p"/>
          </m:rPr>
          <w:rPr>
            <w:rFonts w:hint="eastAsia" w:ascii="Cambria Math" w:hAnsi="Cambria Math" w:eastAsia="黑体"/>
          </w:rPr>
          <m:t>（</m:t>
        </m:r>
        <m:sSub>
          <m:sSubPr>
            <m:ctrlPr>
              <w:rPr>
                <w:rFonts w:ascii="Cambria Math" w:hAnsi="Cambria Math" w:eastAsia="黑体"/>
              </w:rPr>
            </m:ctrlPr>
          </m:sSubPr>
          <m:e>
            <m:r>
              <w:rPr>
                <w:rFonts w:ascii="Cambria Math" w:hAnsi="Cambria Math" w:eastAsia="黑体"/>
              </w:rPr>
              <m:t>COD</m:t>
            </m:r>
            <m:ctrlPr>
              <w:rPr>
                <w:rFonts w:ascii="Cambria Math" w:hAnsi="Cambria Math" w:eastAsia="黑体"/>
              </w:rPr>
            </m:ctrlPr>
          </m:e>
          <m:sub>
            <m:r>
              <w:rPr>
                <w:rFonts w:ascii="Cambria Math" w:hAnsi="Cambria Math" w:eastAsia="黑体"/>
              </w:rPr>
              <m:t>in</m:t>
            </m:r>
            <m:ctrlPr>
              <w:rPr>
                <w:rFonts w:ascii="Cambria Math" w:hAnsi="Cambria Math" w:eastAsia="黑体"/>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COD</m:t>
            </m:r>
            <m:ctrlPr>
              <w:rPr>
                <w:rFonts w:ascii="Cambria Math" w:hAnsi="Cambria Math" w:eastAsia="黑体"/>
              </w:rPr>
            </m:ctrlPr>
          </m:e>
          <m:sub>
            <m:r>
              <w:rPr>
                <w:rFonts w:ascii="Cambria Math" w:hAnsi="Cambria Math" w:eastAsia="黑体"/>
              </w:rPr>
              <m:t>out</m:t>
            </m:r>
            <m:ctrlPr>
              <w:rPr>
                <w:rFonts w:ascii="Cambria Math" w:hAnsi="Cambria Math" w:eastAsia="黑体"/>
              </w:rPr>
            </m:ctrlPr>
          </m:sub>
        </m:sSub>
        <m:r>
          <m:rPr>
            <m:sty m:val="p"/>
          </m:rPr>
          <w:rPr>
            <w:rFonts w:hint="eastAsia" w:ascii="Cambria Math" w:hAnsi="Cambria Math" w:eastAsia="黑体"/>
          </w:rPr>
          <m:t>）</m:t>
        </m:r>
        <m:r>
          <w:rPr>
            <w:rFonts w:ascii="Cambria Math" w:hAnsi="Cambria Math" w:eastAsia="黑体"/>
          </w:rPr>
          <m:t>×</m:t>
        </m:r>
        <m:sSup>
          <m:sSupPr>
            <m:ctrlPr>
              <w:rPr>
                <w:rFonts w:ascii="Cambria Math" w:hAnsi="Cambria Math" w:eastAsia="黑体"/>
                <w:i/>
              </w:rPr>
            </m:ctrlPr>
          </m:sSupPr>
          <m:e>
            <m:r>
              <w:rPr>
                <w:rFonts w:ascii="Cambria Math" w:hAnsi="Cambria Math" w:eastAsia="黑体"/>
              </w:rPr>
              <m:t>10</m:t>
            </m:r>
            <m:ctrlPr>
              <w:rPr>
                <w:rFonts w:ascii="Cambria Math" w:hAnsi="Cambria Math" w:eastAsia="黑体"/>
                <w:i/>
              </w:rPr>
            </m:ctrlPr>
          </m:e>
          <m:sup>
            <m:r>
              <w:rPr>
                <w:rFonts w:ascii="Cambria Math" w:hAnsi="Cambria Math" w:eastAsia="黑体"/>
              </w:rPr>
              <m:t>-3</m:t>
            </m:r>
            <m:ctrlPr>
              <w:rPr>
                <w:rFonts w:ascii="Cambria Math" w:hAnsi="Cambria Math" w:eastAsia="黑体"/>
                <w:i/>
              </w:rPr>
            </m:ctrlPr>
          </m:sup>
        </m:sSup>
      </m:oMath>
      <w:r>
        <w:rPr>
          <w:rFonts w:ascii="黑体" w:eastAsia="黑体"/>
        </w:rPr>
        <w:tab/>
      </w:r>
      <w:r>
        <w:rPr>
          <w:rFonts w:hint="eastAsia" w:ascii="黑体" w:eastAsia="黑体"/>
        </w:rPr>
        <w:t>(</w:t>
      </w:r>
      <w:r>
        <w:rPr>
          <w:rFonts w:ascii="黑体" w:eastAsia="黑体"/>
        </w:rPr>
        <w:t>13</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TOW</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废水厌氧</w:t>
      </w:r>
      <w:r>
        <w:rPr>
          <w:rFonts w:ascii="Times New Roman" w:hAnsi="Times New Roman" w:eastAsia="仿宋_GB2312" w:cs="Times New Roman"/>
        </w:rPr>
        <w:t>处理去除有机物的总量，单位为吨化学需氧量（tCOD</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W    —</w:t>
      </w:r>
      <w:r>
        <w:rPr>
          <w:rFonts w:ascii="Times New Roman" w:hAnsi="Times New Roman" w:eastAsia="仿宋_GB2312" w:cs="Times New Roman"/>
        </w:rPr>
        <w:sym w:font="Symbol" w:char="F0BE"/>
      </w:r>
      <w:r>
        <w:rPr>
          <w:rFonts w:hint="eastAsia" w:ascii="Times New Roman" w:hAnsi="Times New Roman" w:eastAsia="仿宋_GB2312" w:cs="Times New Roman"/>
        </w:rPr>
        <w:t>厌氧</w:t>
      </w:r>
      <w:r>
        <w:rPr>
          <w:rFonts w:ascii="Times New Roman" w:hAnsi="Times New Roman" w:eastAsia="仿宋_GB2312" w:cs="Times New Roman"/>
        </w:rPr>
        <w:t>处理的废水量，单位为</w:t>
      </w:r>
      <w:r>
        <w:rPr>
          <w:rFonts w:hint="eastAsia" w:ascii="Times New Roman" w:hAnsi="Times New Roman" w:eastAsia="仿宋_GB2312" w:cs="Times New Roman"/>
        </w:rPr>
        <w:t>（</w:t>
      </w:r>
      <w:r>
        <w:rPr>
          <w:rFonts w:ascii="Times New Roman" w:hAnsi="Times New Roman" w:eastAsia="仿宋_GB2312" w:cs="Times New Roman"/>
        </w:rPr>
        <w:t>m³），</w:t>
      </w:r>
      <w:r>
        <w:rPr>
          <w:rFonts w:hint="eastAsia" w:ascii="Times New Roman" w:hAnsi="Times New Roman" w:eastAsia="仿宋_GB2312" w:cs="Times New Roman"/>
        </w:rPr>
        <w:t>采用</w:t>
      </w:r>
      <w:r>
        <w:rPr>
          <w:rFonts w:ascii="Times New Roman" w:hAnsi="Times New Roman" w:eastAsia="仿宋_GB2312" w:cs="Times New Roman"/>
        </w:rPr>
        <w:t>企业计量数据</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COD</w:t>
      </w:r>
      <w:r>
        <w:rPr>
          <w:rFonts w:ascii="Times New Roman" w:hAnsi="Times New Roman" w:eastAsia="仿宋_GB2312" w:cs="Times New Roman"/>
          <w:i/>
          <w:iCs/>
          <w:vertAlign w:val="subscript"/>
        </w:rPr>
        <w:t>in</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厌氧处理</w:t>
      </w:r>
      <w:r>
        <w:rPr>
          <w:rFonts w:ascii="Times New Roman" w:hAnsi="Times New Roman" w:eastAsia="仿宋_GB2312" w:cs="Times New Roman"/>
        </w:rPr>
        <w:t>系统进口废水的每立方米千克化学需氧量（</w:t>
      </w:r>
      <w:r>
        <w:rPr>
          <w:rFonts w:hint="eastAsia" w:ascii="Times New Roman" w:hAnsi="Times New Roman" w:eastAsia="仿宋_GB2312" w:cs="Times New Roman"/>
        </w:rPr>
        <w:t>kg</w:t>
      </w:r>
      <w:r>
        <w:rPr>
          <w:rFonts w:ascii="Times New Roman" w:hAnsi="Times New Roman" w:eastAsia="仿宋_GB2312" w:cs="Times New Roman"/>
        </w:rPr>
        <w:t>COD/m³），</w:t>
      </w:r>
      <w:r>
        <w:rPr>
          <w:rFonts w:hint="eastAsia" w:ascii="Times New Roman" w:hAnsi="Times New Roman" w:eastAsia="仿宋_GB2312" w:cs="Times New Roman"/>
        </w:rPr>
        <w:t>采用检测值</w:t>
      </w:r>
      <w:r>
        <w:rPr>
          <w:rFonts w:ascii="Times New Roman" w:hAnsi="Times New Roman" w:eastAsia="仿宋_GB2312" w:cs="Times New Roman"/>
        </w:rPr>
        <w:t>的</w:t>
      </w:r>
      <w:r>
        <w:rPr>
          <w:rFonts w:hint="eastAsia" w:ascii="Times New Roman" w:hAnsi="Times New Roman" w:eastAsia="仿宋_GB2312" w:cs="Times New Roman"/>
        </w:rPr>
        <w:t>年平均值；</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COD</w:t>
      </w:r>
      <w:r>
        <w:rPr>
          <w:rFonts w:ascii="Times New Roman" w:hAnsi="Times New Roman" w:eastAsia="仿宋_GB2312" w:cs="Times New Roman"/>
          <w:i/>
          <w:iCs/>
          <w:vertAlign w:val="subscript"/>
        </w:rPr>
        <w:t>out</w:t>
      </w:r>
      <w:r>
        <w:rPr>
          <w:rFonts w:ascii="Times New Roman" w:hAnsi="Times New Roman" w:eastAsia="仿宋_GB2312" w:cs="Times New Roman"/>
          <w:vertAlign w:val="subscript"/>
        </w:rPr>
        <w:t xml:space="preserve"> </w:t>
      </w:r>
      <w:r>
        <w:rPr>
          <w:rFonts w:ascii="Times New Roman" w:hAnsi="Times New Roman" w:eastAsia="仿宋_GB2312" w:cs="Times New Roman"/>
        </w:rPr>
        <w:t>—</w:t>
      </w:r>
      <w:r>
        <w:rPr>
          <w:rFonts w:ascii="Times New Roman" w:hAnsi="Times New Roman" w:eastAsia="仿宋_GB2312" w:cs="Times New Roman"/>
        </w:rPr>
        <w:sym w:font="Symbol" w:char="F0BE"/>
      </w:r>
      <w:r>
        <w:rPr>
          <w:rFonts w:hint="eastAsia" w:ascii="Times New Roman" w:hAnsi="Times New Roman" w:eastAsia="仿宋_GB2312" w:cs="Times New Roman"/>
        </w:rPr>
        <w:t>厌氧处理</w:t>
      </w:r>
      <w:r>
        <w:rPr>
          <w:rFonts w:ascii="Times New Roman" w:hAnsi="Times New Roman" w:eastAsia="仿宋_GB2312" w:cs="Times New Roman"/>
        </w:rPr>
        <w:t>系统</w:t>
      </w:r>
      <w:r>
        <w:rPr>
          <w:rFonts w:hint="eastAsia" w:ascii="Times New Roman" w:hAnsi="Times New Roman" w:eastAsia="仿宋_GB2312" w:cs="Times New Roman"/>
        </w:rPr>
        <w:t>出口</w:t>
      </w:r>
      <w:r>
        <w:rPr>
          <w:rFonts w:ascii="Times New Roman" w:hAnsi="Times New Roman" w:eastAsia="仿宋_GB2312" w:cs="Times New Roman"/>
        </w:rPr>
        <w:t>废水的每立方米千克化学需氧量（</w:t>
      </w:r>
      <w:r>
        <w:rPr>
          <w:rFonts w:hint="eastAsia" w:ascii="Times New Roman" w:hAnsi="Times New Roman" w:eastAsia="仿宋_GB2312" w:cs="Times New Roman"/>
        </w:rPr>
        <w:t>kg</w:t>
      </w:r>
      <w:r>
        <w:rPr>
          <w:rFonts w:ascii="Times New Roman" w:hAnsi="Times New Roman" w:eastAsia="仿宋_GB2312" w:cs="Times New Roman"/>
        </w:rPr>
        <w:t>COD/m³），</w:t>
      </w:r>
      <w:r>
        <w:rPr>
          <w:rFonts w:hint="eastAsia" w:ascii="Times New Roman" w:hAnsi="Times New Roman" w:eastAsia="仿宋_GB2312" w:cs="Times New Roman"/>
        </w:rPr>
        <w:t>采用检测值</w:t>
      </w:r>
      <w:r>
        <w:rPr>
          <w:rFonts w:ascii="Times New Roman" w:hAnsi="Times New Roman" w:eastAsia="仿宋_GB2312" w:cs="Times New Roman"/>
        </w:rPr>
        <w:t>的</w:t>
      </w:r>
      <w:r>
        <w:rPr>
          <w:rFonts w:hint="eastAsia" w:ascii="Times New Roman" w:hAnsi="Times New Roman" w:eastAsia="仿宋_GB2312" w:cs="Times New Roman"/>
        </w:rPr>
        <w:t>年平均值；</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各</w:t>
      </w:r>
      <w:r>
        <w:rPr>
          <w:rFonts w:ascii="Times New Roman" w:hAnsi="Times New Roman" w:eastAsia="仿宋_GB2312" w:cs="Times New Roman"/>
        </w:rPr>
        <w:t>化学需氧量浓度检测值可以是企业</w:t>
      </w:r>
      <w:r>
        <w:rPr>
          <w:rFonts w:hint="eastAsia" w:ascii="Times New Roman" w:hAnsi="Times New Roman" w:eastAsia="仿宋_GB2312" w:cs="Times New Roman"/>
        </w:rPr>
        <w:t>自测</w:t>
      </w:r>
      <w:r>
        <w:rPr>
          <w:rFonts w:ascii="Times New Roman" w:hAnsi="Times New Roman" w:eastAsia="仿宋_GB2312" w:cs="Times New Roman"/>
        </w:rPr>
        <w:t>或委托第三方检测数据。</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甲烷</w:t>
      </w:r>
      <w:r>
        <w:rPr>
          <w:rFonts w:ascii="Times New Roman" w:hAnsi="Times New Roman" w:eastAsia="仿宋_GB2312" w:cs="Times New Roman"/>
        </w:rPr>
        <w:t>回收量</w:t>
      </w:r>
      <w:r>
        <w:rPr>
          <w:rFonts w:hint="eastAsia" w:ascii="Times New Roman" w:hAnsi="Times New Roman" w:eastAsia="仿宋_GB2312" w:cs="Times New Roman"/>
        </w:rPr>
        <w:t>采用</w:t>
      </w:r>
      <w:r>
        <w:rPr>
          <w:rFonts w:ascii="Times New Roman" w:hAnsi="Times New Roman" w:eastAsia="仿宋_GB2312" w:cs="Times New Roman"/>
        </w:rPr>
        <w:t>企业计量数据，或根据企业台账、统计报表来确定。</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甲烷排放因子采用</w:t>
      </w:r>
      <w:r>
        <w:rPr>
          <w:rFonts w:ascii="Times New Roman" w:hAnsi="Times New Roman" w:eastAsia="仿宋_GB2312" w:cs="Times New Roman"/>
        </w:rPr>
        <w:t>式（</w:t>
      </w:r>
      <w:r>
        <w:rPr>
          <w:rFonts w:hint="eastAsia" w:ascii="Times New Roman" w:hAnsi="Times New Roman" w:eastAsia="仿宋_GB2312" w:cs="Times New Roman"/>
        </w:rPr>
        <w:t>1</w:t>
      </w:r>
      <w:r>
        <w:rPr>
          <w:rFonts w:ascii="Times New Roman" w:hAnsi="Times New Roman" w:eastAsia="仿宋_GB2312" w:cs="Times New Roman"/>
        </w:rPr>
        <w:t>4）</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right" w:leader="dot" w:pos="9354"/>
        </w:tabs>
        <w:spacing w:before="163" w:beforeLines="50" w:after="163" w:afterLines="50"/>
        <w:ind w:firstLine="3888" w:firstLineChars="1620"/>
        <w:rPr>
          <w:rFonts w:ascii="黑体" w:eastAsia="黑体"/>
        </w:rPr>
      </w:pPr>
      <m:oMath>
        <m:r>
          <m:rPr>
            <m:sty m:val="p"/>
          </m:rPr>
          <w:rPr>
            <w:rFonts w:ascii="Cambria Math" w:hAnsi="Cambria Math" w:eastAsia="黑体"/>
          </w:rPr>
          <m:t>EF=</m:t>
        </m:r>
        <m:sSub>
          <m:sSubPr>
            <m:ctrlPr>
              <w:rPr>
                <w:rFonts w:ascii="Cambria Math" w:hAnsi="Cambria Math" w:eastAsia="黑体"/>
              </w:rPr>
            </m:ctrlPr>
          </m:sSubPr>
          <m:e>
            <m:r>
              <w:rPr>
                <w:rFonts w:ascii="Cambria Math" w:hAnsi="Cambria Math" w:eastAsia="黑体"/>
              </w:rPr>
              <m:t>B</m:t>
            </m:r>
            <m:ctrlPr>
              <w:rPr>
                <w:rFonts w:ascii="Cambria Math" w:hAnsi="Cambria Math" w:eastAsia="黑体"/>
              </w:rPr>
            </m:ctrlPr>
          </m:e>
          <m:sub>
            <m:r>
              <w:rPr>
                <w:rFonts w:ascii="Cambria Math" w:hAnsi="Cambria Math" w:eastAsia="黑体"/>
              </w:rPr>
              <m:t>0</m:t>
            </m:r>
            <m:ctrlPr>
              <w:rPr>
                <w:rFonts w:ascii="Cambria Math" w:hAnsi="Cambria Math" w:eastAsia="黑体"/>
              </w:rPr>
            </m:ctrlPr>
          </m:sub>
        </m:sSub>
        <m:r>
          <w:rPr>
            <w:rFonts w:ascii="Cambria Math" w:hAnsi="Cambria Math" w:eastAsia="黑体"/>
          </w:rPr>
          <m:t>×MCF</m:t>
        </m:r>
      </m:oMath>
      <w:r>
        <w:rPr>
          <w:rFonts w:ascii="黑体" w:eastAsia="黑体"/>
        </w:rPr>
        <w:tab/>
      </w:r>
      <w:r>
        <w:rPr>
          <w:rFonts w:hint="eastAsia" w:ascii="黑体" w:eastAsia="黑体"/>
        </w:rPr>
        <w:t>(</w:t>
      </w:r>
      <w:r>
        <w:rPr>
          <w:rFonts w:ascii="黑体" w:eastAsia="黑体"/>
        </w:rPr>
        <w:t>14</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EF   —</w:t>
      </w:r>
      <w:r>
        <w:rPr>
          <w:rFonts w:ascii="Times New Roman" w:hAnsi="Times New Roman" w:eastAsia="仿宋_GB2312" w:cs="Times New Roman"/>
        </w:rPr>
        <w:sym w:font="Symbol" w:char="F0BE"/>
      </w:r>
      <w:r>
        <w:rPr>
          <w:rFonts w:hint="eastAsia" w:ascii="Times New Roman" w:hAnsi="Times New Roman" w:eastAsia="仿宋_GB2312" w:cs="Times New Roman"/>
        </w:rPr>
        <w:t>甲烷</w:t>
      </w:r>
      <w:r>
        <w:rPr>
          <w:rFonts w:ascii="Times New Roman" w:hAnsi="Times New Roman" w:eastAsia="仿宋_GB2312" w:cs="Times New Roman"/>
        </w:rPr>
        <w:t>排放因子，单位为吨甲烷没吨化学需要量，单位为吨（tCH4/tCOD</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B</w:t>
      </w:r>
      <w:r>
        <w:rPr>
          <w:rFonts w:ascii="Times New Roman" w:hAnsi="Times New Roman" w:eastAsia="仿宋_GB2312" w:cs="Times New Roman"/>
          <w:i/>
          <w:iCs/>
          <w:vertAlign w:val="subscript"/>
        </w:rPr>
        <w:t>0</w:t>
      </w:r>
      <w:r>
        <w:rPr>
          <w:rFonts w:ascii="Times New Roman" w:hAnsi="Times New Roman" w:eastAsia="仿宋_GB2312" w:cs="Times New Roman"/>
          <w:vertAlign w:val="subscript"/>
        </w:rPr>
        <w:t xml:space="preserve"> </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废水厌氧</w:t>
      </w:r>
      <w:r>
        <w:rPr>
          <w:rFonts w:ascii="Times New Roman" w:hAnsi="Times New Roman" w:eastAsia="仿宋_GB2312" w:cs="Times New Roman"/>
        </w:rPr>
        <w:t>处理系统的甲烷生产潜力，单位为吨甲烷每吨化学需氧量（tCH</w:t>
      </w:r>
      <w:r>
        <w:rPr>
          <w:rFonts w:ascii="Times New Roman" w:hAnsi="Times New Roman" w:eastAsia="仿宋_GB2312" w:cs="Times New Roman"/>
          <w:vertAlign w:val="subscript"/>
        </w:rPr>
        <w:t>4</w:t>
      </w:r>
      <w:r>
        <w:rPr>
          <w:rFonts w:ascii="Times New Roman" w:hAnsi="Times New Roman" w:eastAsia="仿宋_GB2312" w:cs="Times New Roman"/>
        </w:rPr>
        <w:t>/tCOD）</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i/>
          <w:iCs/>
        </w:rPr>
        <w:t>MCF</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甲烷修正</w:t>
      </w:r>
      <w:r>
        <w:rPr>
          <w:rFonts w:ascii="Times New Roman" w:hAnsi="Times New Roman" w:eastAsia="仿宋_GB2312" w:cs="Times New Roman"/>
        </w:rPr>
        <w:t>因子，无量纲</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对于废水厌氧</w:t>
      </w:r>
      <w:r>
        <w:rPr>
          <w:rFonts w:ascii="Times New Roman" w:hAnsi="Times New Roman" w:eastAsia="仿宋_GB2312" w:cs="Times New Roman"/>
        </w:rPr>
        <w:t>处理系统的甲烷生产潜力，</w:t>
      </w:r>
      <w:r>
        <w:rPr>
          <w:rFonts w:hint="eastAsia" w:ascii="Times New Roman" w:hAnsi="Times New Roman" w:eastAsia="仿宋_GB2312" w:cs="Times New Roman"/>
        </w:rPr>
        <w:t>优先</w:t>
      </w:r>
      <w:r>
        <w:rPr>
          <w:rFonts w:ascii="Times New Roman" w:hAnsi="Times New Roman" w:eastAsia="仿宋_GB2312" w:cs="Times New Roman"/>
        </w:rPr>
        <w:t>使用国家公布的数据，如果没有，则采用本文件的推荐值</w:t>
      </w:r>
      <w:r>
        <w:rPr>
          <w:rFonts w:hint="eastAsia" w:ascii="Times New Roman" w:hAnsi="Times New Roman" w:eastAsia="仿宋_GB2312" w:cs="Times New Roman"/>
        </w:rPr>
        <w:t>0.25</w:t>
      </w:r>
      <w:r>
        <w:rPr>
          <w:rFonts w:ascii="Times New Roman" w:hAnsi="Times New Roman" w:eastAsia="仿宋_GB2312" w:cs="Times New Roman"/>
        </w:rPr>
        <w:t>kg CH</w:t>
      </w:r>
      <w:r>
        <w:rPr>
          <w:rFonts w:ascii="Times New Roman" w:hAnsi="Times New Roman" w:eastAsia="仿宋_GB2312" w:cs="Times New Roman"/>
          <w:vertAlign w:val="subscript"/>
        </w:rPr>
        <w:t>4</w:t>
      </w:r>
      <w:r>
        <w:rPr>
          <w:rFonts w:ascii="Times New Roman" w:hAnsi="Times New Roman" w:eastAsia="仿宋_GB2312" w:cs="Times New Roman"/>
        </w:rPr>
        <w:t>/kg COD</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对于甲烷</w:t>
      </w:r>
      <w:r>
        <w:rPr>
          <w:rFonts w:ascii="Times New Roman" w:hAnsi="Times New Roman" w:eastAsia="仿宋_GB2312" w:cs="Times New Roman"/>
        </w:rPr>
        <w:t>修正因子</w:t>
      </w:r>
      <w:r>
        <w:rPr>
          <w:rFonts w:hint="eastAsia" w:ascii="Times New Roman" w:hAnsi="Times New Roman" w:eastAsia="仿宋_GB2312" w:cs="Times New Roman"/>
        </w:rPr>
        <w:t>MCF，</w:t>
      </w:r>
      <w:r>
        <w:rPr>
          <w:rFonts w:ascii="Times New Roman" w:hAnsi="Times New Roman" w:eastAsia="仿宋_GB2312" w:cs="Times New Roman"/>
        </w:rPr>
        <w:t>具备条件的企业</w:t>
      </w:r>
      <w:r>
        <w:rPr>
          <w:rFonts w:hint="eastAsia" w:ascii="Times New Roman" w:hAnsi="Times New Roman" w:eastAsia="仿宋_GB2312" w:cs="Times New Roman"/>
        </w:rPr>
        <w:t>可</w:t>
      </w:r>
      <w:r>
        <w:rPr>
          <w:rFonts w:ascii="Times New Roman" w:hAnsi="Times New Roman" w:eastAsia="仿宋_GB2312" w:cs="Times New Roman"/>
        </w:rPr>
        <w:t>开展实测，或</w:t>
      </w:r>
      <w:r>
        <w:rPr>
          <w:rFonts w:hint="eastAsia" w:ascii="Times New Roman" w:hAnsi="Times New Roman" w:eastAsia="仿宋_GB2312" w:cs="Times New Roman"/>
        </w:rPr>
        <w:t>委托</w:t>
      </w:r>
      <w:r>
        <w:rPr>
          <w:rFonts w:ascii="Times New Roman" w:hAnsi="Times New Roman" w:eastAsia="仿宋_GB2312" w:cs="Times New Roman"/>
        </w:rPr>
        <w:t>有资质的专业机构进行检测，或采用本文件的推荐值</w:t>
      </w:r>
      <w:r>
        <w:rPr>
          <w:rFonts w:hint="eastAsia" w:ascii="Times New Roman" w:hAnsi="Times New Roman" w:eastAsia="仿宋_GB2312" w:cs="Times New Roman"/>
        </w:rPr>
        <w:t>0.3</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如果</w:t>
      </w:r>
      <w:r>
        <w:rPr>
          <w:rFonts w:ascii="Times New Roman" w:hAnsi="Times New Roman" w:eastAsia="仿宋_GB2312" w:cs="Times New Roman"/>
        </w:rPr>
        <w:t>企业对废水厌氧系统</w:t>
      </w:r>
      <w:r>
        <w:rPr>
          <w:rFonts w:hint="eastAsia" w:ascii="Times New Roman" w:hAnsi="Times New Roman" w:eastAsia="仿宋_GB2312" w:cs="Times New Roman"/>
        </w:rPr>
        <w:t>产生</w:t>
      </w:r>
      <w:r>
        <w:rPr>
          <w:rFonts w:ascii="Times New Roman" w:hAnsi="Times New Roman" w:eastAsia="仿宋_GB2312" w:cs="Times New Roman"/>
        </w:rPr>
        <w:t>的甲烷进行了收集，</w:t>
      </w:r>
      <w:r>
        <w:rPr>
          <w:rFonts w:hint="eastAsia" w:ascii="Times New Roman" w:hAnsi="Times New Roman" w:eastAsia="仿宋_GB2312" w:cs="Times New Roman"/>
        </w:rPr>
        <w:t>以</w:t>
      </w:r>
      <w:r>
        <w:rPr>
          <w:rFonts w:ascii="Times New Roman" w:hAnsi="Times New Roman" w:eastAsia="仿宋_GB2312" w:cs="Times New Roman"/>
        </w:rPr>
        <w:t>火炬点燃的形式进行处理，则</w:t>
      </w:r>
      <w:r>
        <w:rPr>
          <w:rFonts w:hint="eastAsia" w:ascii="Times New Roman" w:hAnsi="Times New Roman" w:eastAsia="仿宋_GB2312" w:cs="Times New Roman"/>
        </w:rPr>
        <w:t>需</w:t>
      </w:r>
      <w:r>
        <w:rPr>
          <w:rFonts w:ascii="Times New Roman" w:hAnsi="Times New Roman" w:eastAsia="仿宋_GB2312" w:cs="Times New Roman"/>
        </w:rPr>
        <w:t>按照</w:t>
      </w:r>
      <w:r>
        <w:rPr>
          <w:rFonts w:hint="eastAsia" w:ascii="Times New Roman" w:hAnsi="Times New Roman" w:eastAsia="仿宋_GB2312" w:cs="Times New Roman"/>
        </w:rPr>
        <w:t>式（15）计算</w:t>
      </w:r>
      <w:r>
        <w:rPr>
          <w:rFonts w:ascii="Times New Roman" w:hAnsi="Times New Roman" w:eastAsia="仿宋_GB2312" w:cs="Times New Roman"/>
        </w:rPr>
        <w:t>甲烷燃烧后排放</w:t>
      </w:r>
      <w:r>
        <w:rPr>
          <w:rFonts w:hint="eastAsia" w:ascii="Times New Roman" w:hAnsi="Times New Roman" w:eastAsia="仿宋_GB2312" w:cs="Times New Roman"/>
        </w:rPr>
        <w:t>的</w:t>
      </w:r>
      <w:r>
        <w:rPr>
          <w:rFonts w:ascii="Times New Roman" w:hAnsi="Times New Roman" w:eastAsia="仿宋_GB2312" w:cs="Times New Roman"/>
        </w:rPr>
        <w:t>温室气体</w:t>
      </w:r>
      <w:r>
        <w:rPr>
          <w:rFonts w:hint="eastAsia" w:ascii="Times New Roman" w:hAnsi="Times New Roman" w:eastAsia="仿宋_GB2312" w:cs="Times New Roman"/>
        </w:rPr>
        <w:t>量。</w:t>
      </w:r>
    </w:p>
    <w:p>
      <w:pPr>
        <w:tabs>
          <w:tab w:val="right" w:leader="dot" w:pos="9354"/>
        </w:tabs>
        <w:spacing w:before="163" w:beforeLines="50" w:after="163" w:afterLines="50"/>
        <w:ind w:firstLine="2692" w:firstLineChars="1122"/>
        <w:rPr>
          <w:rFonts w:ascii="黑体" w:eastAsia="黑体"/>
        </w:rPr>
      </w:pPr>
      <m:oMath>
        <m:sSub>
          <m:sSubPr>
            <m:ctrlPr>
              <w:rPr>
                <w:rFonts w:ascii="Cambria Math" w:hAnsi="Cambria Math" w:eastAsia="黑体"/>
                <w:i/>
              </w:rPr>
            </m:ctrlPr>
          </m:sSubPr>
          <m:e>
            <m:r>
              <w:rPr>
                <w:rFonts w:ascii="Cambria Math" w:hAnsi="Cambria Math" w:eastAsia="黑体"/>
              </w:rPr>
              <m:t>E</m:t>
            </m:r>
            <m:ctrlPr>
              <w:rPr>
                <w:rFonts w:ascii="Cambria Math" w:hAnsi="Cambria Math" w:eastAsia="黑体"/>
                <w:i/>
              </w:rPr>
            </m:ctrlPr>
          </m:e>
          <m:sub>
            <m:r>
              <m:rPr>
                <m:sty m:val="p"/>
              </m:rPr>
              <w:rPr>
                <w:rFonts w:hint="eastAsia" w:ascii="Cambria Math" w:hAnsi="Cambria Math" w:eastAsia="黑体"/>
              </w:rPr>
              <m:t>火炬</m:t>
            </m:r>
            <m:ctrlPr>
              <w:rPr>
                <w:rFonts w:ascii="Cambria Math" w:hAnsi="Cambria Math" w:eastAsia="黑体"/>
                <w:i/>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Q</m:t>
            </m:r>
            <m:ctrlPr>
              <w:rPr>
                <w:rFonts w:ascii="Cambria Math" w:hAnsi="Cambria Math" w:eastAsia="黑体"/>
              </w:rPr>
            </m:ctrlPr>
          </m:e>
          <m:sub>
            <m:r>
              <m:rPr>
                <m:sty m:val="p"/>
              </m:rPr>
              <w:rPr>
                <w:rFonts w:hint="eastAsia" w:ascii="Cambria Math" w:hAnsi="Cambria Math" w:eastAsia="黑体"/>
              </w:rPr>
              <m:t>火炬</m:t>
            </m:r>
            <m:ctrlPr>
              <w:rPr>
                <w:rFonts w:ascii="Cambria Math" w:hAnsi="Cambria Math" w:eastAsia="黑体"/>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CC</m:t>
            </m:r>
            <m:ctrlPr>
              <w:rPr>
                <w:rFonts w:ascii="Cambria Math" w:hAnsi="Cambria Math" w:eastAsia="黑体"/>
                <w:i/>
              </w:rPr>
            </m:ctrlPr>
          </m:e>
          <m:sub>
            <m:sSub>
              <m:sSubPr>
                <m:ctrlPr>
                  <w:rPr>
                    <w:rFonts w:ascii="Cambria Math" w:hAnsi="Cambria Math" w:eastAsia="黑体"/>
                    <w:i/>
                  </w:rPr>
                </m:ctrlPr>
              </m:sSubPr>
              <m:e>
                <m:r>
                  <w:rPr>
                    <w:rFonts w:ascii="Cambria Math" w:hAnsi="Cambria Math" w:eastAsia="黑体"/>
                  </w:rPr>
                  <m:t>CH</m:t>
                </m:r>
                <m:ctrlPr>
                  <w:rPr>
                    <w:rFonts w:ascii="Cambria Math" w:hAnsi="Cambria Math" w:eastAsia="黑体"/>
                    <w:i/>
                  </w:rPr>
                </m:ctrlPr>
              </m:e>
              <m:sub>
                <m:r>
                  <w:rPr>
                    <w:rFonts w:ascii="Cambria Math" w:hAnsi="Cambria Math" w:eastAsia="黑体"/>
                  </w:rPr>
                  <m:t>4</m:t>
                </m:r>
                <m:ctrlPr>
                  <w:rPr>
                    <w:rFonts w:ascii="Cambria Math" w:hAnsi="Cambria Math" w:eastAsia="黑体"/>
                    <w:i/>
                  </w:rPr>
                </m:ctrlPr>
              </m:sub>
            </m:sSub>
            <m:ctrlPr>
              <w:rPr>
                <w:rFonts w:ascii="Cambria Math" w:hAnsi="Cambria Math" w:eastAsia="黑体"/>
                <w:i/>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OF</m:t>
            </m:r>
            <m:ctrlPr>
              <w:rPr>
                <w:rFonts w:ascii="Cambria Math" w:hAnsi="Cambria Math" w:eastAsia="黑体"/>
                <w:i/>
              </w:rPr>
            </m:ctrlPr>
          </m:e>
          <m:sub>
            <m:r>
              <m:rPr>
                <m:sty m:val="p"/>
              </m:rPr>
              <w:rPr>
                <w:rFonts w:hint="eastAsia" w:ascii="Cambria Math" w:hAnsi="Cambria Math" w:eastAsia="黑体"/>
              </w:rPr>
              <m:t>火炬</m:t>
            </m:r>
            <m:ctrlPr>
              <w:rPr>
                <w:rFonts w:ascii="Cambria Math" w:hAnsi="Cambria Math" w:eastAsia="黑体"/>
                <w:i/>
              </w:rPr>
            </m:ctrlPr>
          </m:sub>
        </m:sSub>
        <m:r>
          <w:rPr>
            <w:rFonts w:ascii="Cambria Math" w:hAnsi="Cambria Math" w:eastAsia="黑体"/>
          </w:rPr>
          <m:t>×</m:t>
        </m:r>
        <m:f>
          <m:fPr>
            <m:ctrlPr>
              <w:rPr>
                <w:rFonts w:ascii="Cambria Math" w:hAnsi="Cambria Math" w:eastAsia="黑体"/>
                <w:i/>
              </w:rPr>
            </m:ctrlPr>
          </m:fPr>
          <m:num>
            <m:r>
              <w:rPr>
                <w:rFonts w:ascii="Cambria Math" w:hAnsi="Cambria Math" w:eastAsia="黑体"/>
              </w:rPr>
              <m:t>44</m:t>
            </m:r>
            <m:ctrlPr>
              <w:rPr>
                <w:rFonts w:ascii="Cambria Math" w:hAnsi="Cambria Math" w:eastAsia="黑体"/>
                <w:i/>
              </w:rPr>
            </m:ctrlPr>
          </m:num>
          <m:den>
            <m:r>
              <w:rPr>
                <w:rFonts w:ascii="Cambria Math" w:hAnsi="Cambria Math" w:eastAsia="黑体"/>
              </w:rPr>
              <m:t>12</m:t>
            </m:r>
            <m:ctrlPr>
              <w:rPr>
                <w:rFonts w:ascii="Cambria Math" w:hAnsi="Cambria Math" w:eastAsia="黑体"/>
                <w:i/>
              </w:rPr>
            </m:ctrlPr>
          </m:den>
        </m:f>
      </m:oMath>
      <w:r>
        <w:rPr>
          <w:rFonts w:ascii="黑体" w:eastAsia="黑体"/>
        </w:rPr>
        <w:tab/>
      </w:r>
      <w:r>
        <w:rPr>
          <w:rFonts w:hint="eastAsia" w:ascii="黑体" w:eastAsia="黑体"/>
        </w:rPr>
        <w:t>(</w:t>
      </w:r>
      <w:r>
        <w:rPr>
          <w:rFonts w:ascii="黑体" w:eastAsia="黑体"/>
        </w:rPr>
        <w:t>15</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sSub>
          <m:sSubPr>
            <m:ctrlPr>
              <w:rPr>
                <w:rFonts w:ascii="Cambria Math" w:hAnsi="Cambria Math" w:eastAsia="仿宋_GB2312" w:cs="Times New Roman"/>
              </w:rPr>
            </m:ctrlPr>
          </m:sSubPr>
          <m:e>
            <m:r>
              <w:rPr>
                <w:rFonts w:ascii="Cambria Math" w:hAnsi="Cambria Math" w:eastAsia="仿宋_GB2312" w:cs="Times New Roman"/>
              </w:rPr>
              <m:t>E</m:t>
            </m:r>
            <m:ctrlPr>
              <w:rPr>
                <w:rFonts w:ascii="Cambria Math" w:hAnsi="Cambria Math" w:eastAsia="仿宋_GB2312" w:cs="Times New Roman"/>
              </w:rPr>
            </m:ctrlPr>
          </m:e>
          <m:sub>
            <m:r>
              <m:rPr>
                <m:sty m:val="p"/>
              </m:rPr>
              <w:rPr>
                <w:rFonts w:hint="eastAsia" w:ascii="Cambria Math" w:hAnsi="Cambria Math" w:eastAsia="仿宋_GB2312" w:cs="Times New Roman"/>
              </w:rPr>
              <m:t>火炬</m:t>
            </m:r>
            <m:ctrlPr>
              <w:rPr>
                <w:rFonts w:ascii="Cambria Math" w:hAnsi="Cambria Math" w:eastAsia="仿宋_GB2312" w:cs="Times New Roman"/>
              </w:rPr>
            </m:ctrlPr>
          </m:sub>
        </m:sSub>
      </m:oMath>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甲烷火炬</w:t>
      </w:r>
      <w:r>
        <w:rPr>
          <w:rFonts w:ascii="Times New Roman" w:hAnsi="Times New Roman" w:eastAsia="仿宋_GB2312" w:cs="Times New Roman"/>
        </w:rPr>
        <w:t>燃烧</w:t>
      </w:r>
      <w:r>
        <w:rPr>
          <w:rFonts w:hint="eastAsia" w:ascii="Times New Roman" w:hAnsi="Times New Roman" w:eastAsia="仿宋_GB2312" w:cs="Times New Roman"/>
        </w:rPr>
        <w:t>产生</w:t>
      </w:r>
      <w:r>
        <w:rPr>
          <w:rFonts w:ascii="Times New Roman" w:hAnsi="Times New Roman" w:eastAsia="仿宋_GB2312" w:cs="Times New Roman"/>
        </w:rPr>
        <w:t>的二氧化碳排放量，单位为吨</w:t>
      </w:r>
      <w:r>
        <w:rPr>
          <w:rFonts w:hint="eastAsia" w:ascii="Times New Roman" w:hAnsi="Times New Roman" w:eastAsia="仿宋_GB2312" w:cs="Times New Roman"/>
        </w:rPr>
        <w:t>二氧化碳当量</w:t>
      </w:r>
      <w:r>
        <w:rPr>
          <w:rFonts w:ascii="Times New Roman" w:hAnsi="Times New Roman" w:eastAsia="仿宋_GB2312" w:cs="Times New Roman"/>
        </w:rPr>
        <w:t>（tCO2e</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sSub>
          <m:sSubPr>
            <m:ctrlPr>
              <w:rPr>
                <w:rFonts w:ascii="Cambria Math" w:hAnsi="Cambria Math" w:eastAsia="仿宋_GB2312" w:cs="Times New Roman"/>
              </w:rPr>
            </m:ctrlPr>
          </m:sSubPr>
          <m:e>
            <m:r>
              <w:rPr>
                <w:rFonts w:ascii="Cambria Math" w:hAnsi="Cambria Math" w:eastAsia="仿宋_GB2312" w:cs="Times New Roman"/>
              </w:rPr>
              <m:t>Q</m:t>
            </m:r>
            <m:ctrlPr>
              <w:rPr>
                <w:rFonts w:ascii="Cambria Math" w:hAnsi="Cambria Math" w:eastAsia="仿宋_GB2312" w:cs="Times New Roman"/>
              </w:rPr>
            </m:ctrlPr>
          </m:e>
          <m:sub>
            <m:r>
              <m:rPr>
                <m:sty m:val="p"/>
              </m:rPr>
              <w:rPr>
                <w:rFonts w:hint="eastAsia" w:ascii="Cambria Math" w:hAnsi="Cambria Math" w:eastAsia="仿宋_GB2312" w:cs="Times New Roman"/>
              </w:rPr>
              <m:t>火炬</m:t>
            </m:r>
            <m:ctrlPr>
              <w:rPr>
                <w:rFonts w:ascii="Cambria Math" w:hAnsi="Cambria Math" w:eastAsia="仿宋_GB2312" w:cs="Times New Roman"/>
              </w:rPr>
            </m:ctrlPr>
          </m:sub>
        </m:sSub>
      </m:oMath>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废水厌氧</w:t>
      </w:r>
      <w:r>
        <w:rPr>
          <w:rFonts w:ascii="Times New Roman" w:hAnsi="Times New Roman" w:eastAsia="仿宋_GB2312" w:cs="Times New Roman"/>
        </w:rPr>
        <w:t>系统产生的</w:t>
      </w:r>
      <w:r>
        <w:rPr>
          <w:rFonts w:hint="eastAsia" w:ascii="Times New Roman" w:hAnsi="Times New Roman" w:eastAsia="仿宋_GB2312" w:cs="Times New Roman"/>
        </w:rPr>
        <w:t>废气体积</w:t>
      </w:r>
      <w:r>
        <w:rPr>
          <w:rFonts w:ascii="Times New Roman" w:hAnsi="Times New Roman" w:eastAsia="仿宋_GB2312" w:cs="Times New Roman"/>
        </w:rPr>
        <w:t>总量，单位为万</w:t>
      </w:r>
      <w:r>
        <w:rPr>
          <w:rFonts w:hint="eastAsia" w:ascii="Times New Roman" w:hAnsi="Times New Roman" w:eastAsia="仿宋_GB2312" w:cs="Times New Roman"/>
        </w:rPr>
        <w:t>标准</w:t>
      </w:r>
      <w:r>
        <w:rPr>
          <w:rFonts w:ascii="Times New Roman" w:hAnsi="Times New Roman" w:eastAsia="仿宋_GB2312" w:cs="Times New Roman"/>
        </w:rPr>
        <w:t>立方米（</w:t>
      </w:r>
      <w:r>
        <w:rPr>
          <w:rFonts w:hint="eastAsia" w:ascii="Times New Roman" w:hAnsi="Times New Roman" w:eastAsia="仿宋_GB2312" w:cs="Times New Roman"/>
        </w:rPr>
        <w:t>104</w:t>
      </w:r>
      <w:r>
        <w:rPr>
          <w:rFonts w:ascii="Times New Roman" w:hAnsi="Times New Roman" w:eastAsia="仿宋_GB2312" w:cs="Times New Roman"/>
        </w:rPr>
        <w:t>Nm³）</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sSub>
          <m:sSubPr>
            <m:ctrlPr>
              <w:rPr>
                <w:rFonts w:ascii="Cambria Math" w:hAnsi="Cambria Math" w:eastAsia="仿宋_GB2312" w:cs="Times New Roman"/>
              </w:rPr>
            </m:ctrlPr>
          </m:sSubPr>
          <m:e>
            <m:r>
              <w:rPr>
                <w:rFonts w:ascii="Cambria Math" w:hAnsi="Cambria Math" w:eastAsia="仿宋_GB2312" w:cs="Times New Roman"/>
              </w:rPr>
              <m:t>CC</m:t>
            </m:r>
            <m:ctrlPr>
              <w:rPr>
                <w:rFonts w:ascii="Cambria Math" w:hAnsi="Cambria Math" w:eastAsia="仿宋_GB2312" w:cs="Times New Roman"/>
              </w:rPr>
            </m:ctrlPr>
          </m:e>
          <m:sub>
            <m:sSub>
              <m:sSubPr>
                <m:ctrlPr>
                  <w:rPr>
                    <w:rFonts w:ascii="Cambria Math" w:hAnsi="Cambria Math" w:eastAsia="仿宋_GB2312" w:cs="Times New Roman"/>
                  </w:rPr>
                </m:ctrlPr>
              </m:sSubPr>
              <m:e>
                <m:r>
                  <w:rPr>
                    <w:rFonts w:ascii="Cambria Math" w:hAnsi="Cambria Math" w:eastAsia="仿宋_GB2312" w:cs="Times New Roman"/>
                  </w:rPr>
                  <m:t>CH</m:t>
                </m:r>
                <m:ctrlPr>
                  <w:rPr>
                    <w:rFonts w:ascii="Cambria Math" w:hAnsi="Cambria Math" w:eastAsia="仿宋_GB2312" w:cs="Times New Roman"/>
                  </w:rPr>
                </m:ctrlPr>
              </m:e>
              <m:sub>
                <m:r>
                  <m:rPr>
                    <m:sty m:val="p"/>
                  </m:rPr>
                  <w:rPr>
                    <w:rFonts w:ascii="Cambria Math" w:hAnsi="Cambria Math" w:eastAsia="仿宋_GB2312" w:cs="Times New Roman"/>
                  </w:rPr>
                  <m:t>4</m:t>
                </m:r>
                <m:ctrlPr>
                  <w:rPr>
                    <w:rFonts w:ascii="Cambria Math" w:hAnsi="Cambria Math" w:eastAsia="仿宋_GB2312" w:cs="Times New Roman"/>
                  </w:rPr>
                </m:ctrlPr>
              </m:sub>
            </m:sSub>
            <m:ctrlPr>
              <w:rPr>
                <w:rFonts w:ascii="Cambria Math" w:hAnsi="Cambria Math" w:eastAsia="仿宋_GB2312" w:cs="Times New Roman"/>
              </w:rPr>
            </m:ctrlPr>
          </m:sub>
        </m:sSub>
      </m:oMath>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废水</w:t>
      </w:r>
      <w:r>
        <w:rPr>
          <w:rFonts w:ascii="Times New Roman" w:hAnsi="Times New Roman" w:eastAsia="仿宋_GB2312" w:cs="Times New Roman"/>
        </w:rPr>
        <w:t>厌氧系统排放的</w:t>
      </w:r>
      <w:r>
        <w:rPr>
          <w:rFonts w:hint="eastAsia" w:ascii="Times New Roman" w:hAnsi="Times New Roman" w:eastAsia="仿宋_GB2312" w:cs="Times New Roman"/>
        </w:rPr>
        <w:t>废气</w:t>
      </w:r>
      <w:r>
        <w:rPr>
          <w:rFonts w:ascii="Times New Roman" w:hAnsi="Times New Roman" w:eastAsia="仿宋_GB2312" w:cs="Times New Roman"/>
        </w:rPr>
        <w:t>中</w:t>
      </w:r>
      <w:r>
        <w:rPr>
          <w:rFonts w:hint="eastAsia" w:ascii="Times New Roman" w:hAnsi="Times New Roman" w:eastAsia="仿宋_GB2312" w:cs="Times New Roman"/>
        </w:rPr>
        <w:t>甲烷</w:t>
      </w:r>
      <w:r>
        <w:rPr>
          <w:rFonts w:ascii="Times New Roman" w:hAnsi="Times New Roman" w:eastAsia="仿宋_GB2312" w:cs="Times New Roman"/>
        </w:rPr>
        <w:t>的含碳量，单位为</w:t>
      </w:r>
      <w:r>
        <w:rPr>
          <w:rFonts w:hint="eastAsia" w:ascii="Times New Roman" w:hAnsi="Times New Roman" w:eastAsia="仿宋_GB2312" w:cs="Times New Roman"/>
        </w:rPr>
        <w:t>吨</w:t>
      </w:r>
      <w:r>
        <w:rPr>
          <w:rFonts w:ascii="Times New Roman" w:hAnsi="Times New Roman" w:eastAsia="仿宋_GB2312" w:cs="Times New Roman"/>
        </w:rPr>
        <w:t>碳</w:t>
      </w:r>
      <w:r>
        <w:rPr>
          <w:rFonts w:hint="eastAsia" w:ascii="Times New Roman" w:hAnsi="Times New Roman" w:eastAsia="仿宋_GB2312" w:cs="Times New Roman"/>
        </w:rPr>
        <w:t>/万</w:t>
      </w:r>
      <w:r>
        <w:rPr>
          <w:rFonts w:ascii="Times New Roman" w:hAnsi="Times New Roman" w:eastAsia="仿宋_GB2312" w:cs="Times New Roman"/>
        </w:rPr>
        <w:t>标准立方米（</w:t>
      </w:r>
      <w:r>
        <w:rPr>
          <w:rFonts w:hint="eastAsia" w:ascii="Times New Roman" w:hAnsi="Times New Roman" w:eastAsia="仿宋_GB2312" w:cs="Times New Roman"/>
        </w:rPr>
        <w:t>t</w:t>
      </w:r>
      <w:r>
        <w:rPr>
          <w:rFonts w:ascii="Times New Roman" w:hAnsi="Times New Roman" w:eastAsia="仿宋_GB2312" w:cs="Times New Roman"/>
        </w:rPr>
        <w:t>C/</w:t>
      </w:r>
      <w:r>
        <w:rPr>
          <w:rFonts w:hint="eastAsia" w:ascii="Times New Roman" w:hAnsi="Times New Roman" w:eastAsia="仿宋_GB2312" w:cs="Times New Roman"/>
        </w:rPr>
        <w:t>104</w:t>
      </w:r>
      <w:r>
        <w:rPr>
          <w:rFonts w:ascii="Times New Roman" w:hAnsi="Times New Roman" w:eastAsia="仿宋_GB2312" w:cs="Times New Roman"/>
        </w:rPr>
        <w:t>Nm³）</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sSub>
          <m:sSubPr>
            <m:ctrlPr>
              <w:rPr>
                <w:rFonts w:ascii="Cambria Math" w:hAnsi="Cambria Math" w:eastAsia="仿宋_GB2312" w:cs="Times New Roman"/>
              </w:rPr>
            </m:ctrlPr>
          </m:sSubPr>
          <m:e>
            <m:r>
              <w:rPr>
                <w:rFonts w:ascii="Cambria Math" w:hAnsi="Cambria Math" w:eastAsia="仿宋_GB2312" w:cs="Times New Roman"/>
              </w:rPr>
              <m:t>OF</m:t>
            </m:r>
            <m:ctrlPr>
              <w:rPr>
                <w:rFonts w:ascii="Cambria Math" w:hAnsi="Cambria Math" w:eastAsia="仿宋_GB2312" w:cs="Times New Roman"/>
              </w:rPr>
            </m:ctrlPr>
          </m:e>
          <m:sub>
            <m:r>
              <m:rPr>
                <m:sty m:val="p"/>
              </m:rPr>
              <w:rPr>
                <w:rFonts w:hint="eastAsia" w:ascii="Cambria Math" w:hAnsi="Cambria Math" w:eastAsia="仿宋_GB2312" w:cs="Times New Roman"/>
              </w:rPr>
              <m:t>火炬</m:t>
            </m:r>
            <m:ctrlPr>
              <w:rPr>
                <w:rFonts w:ascii="Cambria Math" w:hAnsi="Cambria Math" w:eastAsia="仿宋_GB2312" w:cs="Times New Roman"/>
              </w:rPr>
            </m:ctrlPr>
          </m:sub>
        </m:sSub>
      </m:oMath>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甲烷</w:t>
      </w:r>
      <w:r>
        <w:rPr>
          <w:rFonts w:ascii="Times New Roman" w:hAnsi="Times New Roman" w:eastAsia="仿宋_GB2312" w:cs="Times New Roman"/>
        </w:rPr>
        <w:t>火炬燃烧</w:t>
      </w:r>
      <w:r>
        <w:rPr>
          <w:rFonts w:hint="eastAsia" w:ascii="Times New Roman" w:hAnsi="Times New Roman" w:eastAsia="仿宋_GB2312" w:cs="Times New Roman"/>
        </w:rPr>
        <w:t>的</w:t>
      </w:r>
      <w:r>
        <w:rPr>
          <w:rFonts w:ascii="Times New Roman" w:hAnsi="Times New Roman" w:eastAsia="仿宋_GB2312" w:cs="Times New Roman"/>
        </w:rPr>
        <w:t>碳氧化率，</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甲烷</w:t>
      </w:r>
      <w:r>
        <w:rPr>
          <w:rFonts w:ascii="Times New Roman" w:hAnsi="Times New Roman" w:eastAsia="仿宋_GB2312" w:cs="Times New Roman"/>
        </w:rPr>
        <w:t>含碳量计算，</w:t>
      </w:r>
      <w:r>
        <w:rPr>
          <w:rFonts w:hint="eastAsia" w:ascii="Times New Roman" w:hAnsi="Times New Roman" w:eastAsia="仿宋_GB2312" w:cs="Times New Roman"/>
        </w:rPr>
        <w:t>遵循GB/T 12208、GB/T 13610等</w:t>
      </w:r>
      <w:r>
        <w:rPr>
          <w:rFonts w:ascii="Times New Roman" w:hAnsi="Times New Roman" w:eastAsia="仿宋_GB2312" w:cs="Times New Roman"/>
        </w:rPr>
        <w:t>相关标准</w:t>
      </w:r>
      <w:r>
        <w:rPr>
          <w:rFonts w:hint="eastAsia" w:ascii="Times New Roman" w:hAnsi="Times New Roman" w:eastAsia="仿宋_GB2312" w:cs="Times New Roman"/>
        </w:rPr>
        <w:t>，</w:t>
      </w:r>
      <w:r>
        <w:rPr>
          <w:rFonts w:ascii="Times New Roman" w:hAnsi="Times New Roman" w:eastAsia="仿宋_GB2312" w:cs="Times New Roman"/>
        </w:rPr>
        <w:t>按照式（</w:t>
      </w:r>
      <w:r>
        <w:rPr>
          <w:rFonts w:hint="eastAsia" w:ascii="Times New Roman" w:hAnsi="Times New Roman" w:eastAsia="仿宋_GB2312" w:cs="Times New Roman"/>
        </w:rPr>
        <w:t>16</w:t>
      </w:r>
      <w:r>
        <w:rPr>
          <w:rFonts w:ascii="Times New Roman" w:hAnsi="Times New Roman" w:eastAsia="仿宋_GB2312" w:cs="Times New Roman"/>
        </w:rPr>
        <w:t>）</w:t>
      </w:r>
      <w:r>
        <w:rPr>
          <w:rFonts w:hint="eastAsia" w:ascii="Times New Roman" w:hAnsi="Times New Roman" w:eastAsia="仿宋_GB2312" w:cs="Times New Roman"/>
        </w:rPr>
        <w:t>计算</w:t>
      </w:r>
      <w:r>
        <w:rPr>
          <w:rFonts w:ascii="Times New Roman" w:hAnsi="Times New Roman" w:eastAsia="仿宋_GB2312" w:cs="Times New Roman"/>
        </w:rPr>
        <w:t>。</w:t>
      </w:r>
    </w:p>
    <w:p>
      <w:pPr>
        <w:tabs>
          <w:tab w:val="right" w:leader="dot" w:pos="9354"/>
        </w:tabs>
        <w:spacing w:before="163" w:beforeLines="50" w:after="163" w:afterLines="50"/>
        <w:ind w:firstLine="3259" w:firstLineChars="1164"/>
        <w:rPr>
          <w:rFonts w:ascii="黑体" w:eastAsia="黑体"/>
        </w:rPr>
      </w:pPr>
      <m:oMath>
        <m:sSub>
          <m:sSubPr>
            <m:ctrlPr>
              <w:rPr>
                <w:rFonts w:ascii="Cambria Math" w:hAnsi="Cambria Math" w:eastAsia="黑体"/>
                <w:i/>
                <w:sz w:val="28"/>
              </w:rPr>
            </m:ctrlPr>
          </m:sSubPr>
          <m:e>
            <m:r>
              <w:rPr>
                <w:rFonts w:ascii="Cambria Math" w:hAnsi="Cambria Math" w:eastAsia="黑体"/>
                <w:sz w:val="28"/>
              </w:rPr>
              <m:t>CC</m:t>
            </m:r>
            <m:ctrlPr>
              <w:rPr>
                <w:rFonts w:ascii="Cambria Math" w:hAnsi="Cambria Math" w:eastAsia="黑体"/>
                <w:i/>
                <w:sz w:val="28"/>
              </w:rPr>
            </m:ctrlPr>
          </m:e>
          <m:sub>
            <m:sSub>
              <m:sSubPr>
                <m:ctrlPr>
                  <w:rPr>
                    <w:rFonts w:ascii="Cambria Math" w:hAnsi="Cambria Math" w:eastAsia="黑体"/>
                    <w:i/>
                    <w:sz w:val="28"/>
                  </w:rPr>
                </m:ctrlPr>
              </m:sSubPr>
              <m:e>
                <m:r>
                  <w:rPr>
                    <w:rFonts w:ascii="Cambria Math" w:hAnsi="Cambria Math" w:eastAsia="黑体"/>
                    <w:sz w:val="28"/>
                  </w:rPr>
                  <m:t>CH</m:t>
                </m:r>
                <m:ctrlPr>
                  <w:rPr>
                    <w:rFonts w:ascii="Cambria Math" w:hAnsi="Cambria Math" w:eastAsia="黑体"/>
                    <w:i/>
                    <w:sz w:val="28"/>
                  </w:rPr>
                </m:ctrlPr>
              </m:e>
              <m:sub>
                <m:r>
                  <w:rPr>
                    <w:rFonts w:ascii="Cambria Math" w:hAnsi="Cambria Math" w:eastAsia="黑体"/>
                    <w:sz w:val="28"/>
                  </w:rPr>
                  <m:t>4</m:t>
                </m:r>
                <m:ctrlPr>
                  <w:rPr>
                    <w:rFonts w:ascii="Cambria Math" w:hAnsi="Cambria Math" w:eastAsia="黑体"/>
                    <w:i/>
                    <w:sz w:val="28"/>
                  </w:rPr>
                </m:ctrlPr>
              </m:sub>
            </m:sSub>
            <m:ctrlPr>
              <w:rPr>
                <w:rFonts w:ascii="Cambria Math" w:hAnsi="Cambria Math" w:eastAsia="黑体"/>
                <w:i/>
                <w:sz w:val="28"/>
              </w:rPr>
            </m:ctrlPr>
          </m:sub>
        </m:sSub>
        <m:r>
          <m:rPr>
            <m:sty m:val="p"/>
          </m:rPr>
          <w:rPr>
            <w:rFonts w:ascii="Cambria Math" w:hAnsi="Cambria Math" w:eastAsia="黑体"/>
            <w:sz w:val="28"/>
          </w:rPr>
          <m:t>=</m:t>
        </m:r>
        <m:f>
          <m:fPr>
            <m:ctrlPr>
              <w:rPr>
                <w:rFonts w:ascii="Cambria Math" w:hAnsi="Cambria Math" w:eastAsia="黑体"/>
                <w:sz w:val="28"/>
              </w:rPr>
            </m:ctrlPr>
          </m:fPr>
          <m:num>
            <m:r>
              <w:rPr>
                <w:rFonts w:ascii="Cambria Math" w:hAnsi="Cambria Math" w:eastAsia="黑体"/>
                <w:sz w:val="28"/>
              </w:rPr>
              <m:t>12×φ×10</m:t>
            </m:r>
            <m:ctrlPr>
              <w:rPr>
                <w:rFonts w:ascii="Cambria Math" w:hAnsi="Cambria Math" w:eastAsia="黑体"/>
                <w:sz w:val="28"/>
              </w:rPr>
            </m:ctrlPr>
          </m:num>
          <m:den>
            <m:r>
              <w:rPr>
                <w:rFonts w:ascii="Cambria Math" w:hAnsi="Cambria Math" w:eastAsia="黑体"/>
                <w:sz w:val="28"/>
              </w:rPr>
              <m:t>22.4</m:t>
            </m:r>
            <m:ctrlPr>
              <w:rPr>
                <w:rFonts w:ascii="Cambria Math" w:hAnsi="Cambria Math" w:eastAsia="黑体"/>
                <w:sz w:val="28"/>
              </w:rPr>
            </m:ctrlPr>
          </m:den>
        </m:f>
      </m:oMath>
      <w:r>
        <w:rPr>
          <w:rFonts w:ascii="黑体" w:eastAsia="黑体"/>
        </w:rPr>
        <w:tab/>
      </w:r>
      <w:r>
        <w:rPr>
          <w:rFonts w:hint="eastAsia" w:ascii="黑体" w:eastAsia="黑体"/>
        </w:rPr>
        <w:t>(</w:t>
      </w:r>
      <w:r>
        <w:rPr>
          <w:rFonts w:ascii="黑体" w:eastAsia="黑体"/>
        </w:rPr>
        <w:t>16</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sSub>
          <m:sSubPr>
            <m:ctrlPr>
              <w:rPr>
                <w:rFonts w:ascii="Cambria Math" w:hAnsi="Cambria Math" w:eastAsia="仿宋_GB2312" w:cs="Times New Roman"/>
              </w:rPr>
            </m:ctrlPr>
          </m:sSubPr>
          <m:e>
            <m:r>
              <w:rPr>
                <w:rFonts w:ascii="Cambria Math" w:hAnsi="Cambria Math" w:eastAsia="仿宋_GB2312" w:cs="Times New Roman"/>
              </w:rPr>
              <m:t>CC</m:t>
            </m:r>
            <m:ctrlPr>
              <w:rPr>
                <w:rFonts w:ascii="Cambria Math" w:hAnsi="Cambria Math" w:eastAsia="仿宋_GB2312" w:cs="Times New Roman"/>
              </w:rPr>
            </m:ctrlPr>
          </m:e>
          <m:sub>
            <m:sSub>
              <m:sSubPr>
                <m:ctrlPr>
                  <w:rPr>
                    <w:rFonts w:ascii="Cambria Math" w:hAnsi="Cambria Math" w:eastAsia="仿宋_GB2312" w:cs="Times New Roman"/>
                  </w:rPr>
                </m:ctrlPr>
              </m:sSubPr>
              <m:e>
                <m:r>
                  <w:rPr>
                    <w:rFonts w:ascii="Cambria Math" w:hAnsi="Cambria Math" w:eastAsia="仿宋_GB2312" w:cs="Times New Roman"/>
                  </w:rPr>
                  <m:t>CH</m:t>
                </m:r>
                <m:ctrlPr>
                  <w:rPr>
                    <w:rFonts w:ascii="Cambria Math" w:hAnsi="Cambria Math" w:eastAsia="仿宋_GB2312" w:cs="Times New Roman"/>
                  </w:rPr>
                </m:ctrlPr>
              </m:e>
              <m:sub>
                <m:r>
                  <m:rPr>
                    <m:sty m:val="p"/>
                  </m:rPr>
                  <w:rPr>
                    <w:rFonts w:ascii="Cambria Math" w:hAnsi="Cambria Math" w:eastAsia="仿宋_GB2312" w:cs="Times New Roman"/>
                  </w:rPr>
                  <m:t>4</m:t>
                </m:r>
                <m:ctrlPr>
                  <w:rPr>
                    <w:rFonts w:ascii="Cambria Math" w:hAnsi="Cambria Math" w:eastAsia="仿宋_GB2312" w:cs="Times New Roman"/>
                  </w:rPr>
                </m:ctrlPr>
              </m:sub>
            </m:sSub>
            <m:ctrlPr>
              <w:rPr>
                <w:rFonts w:ascii="Cambria Math" w:hAnsi="Cambria Math" w:eastAsia="仿宋_GB2312" w:cs="Times New Roman"/>
              </w:rPr>
            </m:ctrlPr>
          </m:sub>
        </m:sSub>
      </m:oMath>
      <w:r>
        <w:rPr>
          <w:rFonts w:hint="eastAsia" w:ascii="Times New Roman" w:hAnsi="Times New Roman" w:eastAsia="仿宋_GB2312" w:cs="Times New Roman"/>
        </w:rPr>
        <w:t xml:space="preserve">  </w:t>
      </w:r>
      <w:r>
        <w:rPr>
          <w:rFonts w:ascii="Times New Roman" w:hAnsi="Times New Roman" w:eastAsia="仿宋_GB2312" w:cs="Times New Roman"/>
        </w:rPr>
        <w:t>—</w:t>
      </w:r>
      <w:r>
        <w:rPr>
          <w:rFonts w:ascii="Times New Roman" w:hAnsi="Times New Roman" w:eastAsia="仿宋_GB2312" w:cs="Times New Roman"/>
        </w:rPr>
        <w:sym w:font="Symbol" w:char="F0BE"/>
      </w:r>
      <w:r>
        <w:rPr>
          <w:rFonts w:hint="eastAsia" w:ascii="Times New Roman" w:hAnsi="Times New Roman" w:eastAsia="仿宋_GB2312" w:cs="Times New Roman"/>
        </w:rPr>
        <w:t>厌氧废气中甲烷的总含碳量，单位为碳每万立方米（</w:t>
      </w:r>
      <w:r>
        <w:rPr>
          <w:rFonts w:ascii="Times New Roman" w:hAnsi="Times New Roman" w:eastAsia="仿宋_GB2312" w:cs="Times New Roman"/>
        </w:rPr>
        <w:t>tC/</w:t>
      </w:r>
      <w:r>
        <w:rPr>
          <w:rFonts w:hint="eastAsia" w:ascii="Times New Roman" w:hAnsi="Times New Roman" w:eastAsia="仿宋_GB2312" w:cs="Times New Roman"/>
        </w:rPr>
        <w:t>10</w:t>
      </w:r>
      <w:r>
        <w:rPr>
          <w:rFonts w:hint="eastAsia" w:ascii="Times New Roman" w:hAnsi="Times New Roman" w:eastAsia="仿宋_GB2312" w:cs="Times New Roman"/>
          <w:vertAlign w:val="superscript"/>
        </w:rPr>
        <w:t>4</w:t>
      </w:r>
      <w:r>
        <w:rPr>
          <w:rFonts w:ascii="Times New Roman" w:hAnsi="Times New Roman" w:eastAsia="仿宋_GB2312" w:cs="Times New Roman"/>
        </w:rPr>
        <w:t>Nm³</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r>
          <m:rPr>
            <m:sty m:val="p"/>
          </m:rPr>
          <w:rPr>
            <w:rFonts w:ascii="Cambria Math" w:hAnsi="Cambria Math" w:eastAsia="仿宋_GB2312" w:cs="Times New Roman"/>
          </w:rPr>
          <m:t>φ</m:t>
        </m:r>
      </m:oMath>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厌氧废气</w:t>
      </w:r>
      <w:r>
        <w:rPr>
          <w:rFonts w:ascii="Times New Roman" w:hAnsi="Times New Roman" w:eastAsia="仿宋_GB2312" w:cs="Times New Roman"/>
        </w:rPr>
        <w:t>中甲烷的体积分数</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12</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hint="eastAsia" w:ascii="Times New Roman" w:hAnsi="Times New Roman" w:eastAsia="仿宋_GB2312" w:cs="Times New Roman"/>
        </w:rPr>
        <w:t>碳的摩尔</w:t>
      </w:r>
      <w:r>
        <w:rPr>
          <w:rFonts w:ascii="Times New Roman" w:hAnsi="Times New Roman" w:eastAsia="仿宋_GB2312" w:cs="Times New Roman"/>
        </w:rPr>
        <w:t>质量，单位为g/mol</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22.4  —</w:t>
      </w:r>
      <w:r>
        <w:rPr>
          <w:rFonts w:ascii="Times New Roman" w:hAnsi="Times New Roman" w:eastAsia="仿宋_GB2312" w:cs="Times New Roman"/>
        </w:rPr>
        <w:sym w:font="Symbol" w:char="F0BE"/>
      </w:r>
      <w:r>
        <w:rPr>
          <w:rFonts w:hint="eastAsia" w:ascii="Times New Roman" w:hAnsi="Times New Roman" w:eastAsia="仿宋_GB2312" w:cs="Times New Roman"/>
        </w:rPr>
        <w:t>气体</w:t>
      </w:r>
      <w:r>
        <w:rPr>
          <w:rFonts w:ascii="Times New Roman" w:hAnsi="Times New Roman" w:eastAsia="仿宋_GB2312" w:cs="Times New Roman"/>
        </w:rPr>
        <w:t>摩尔体积常数，单位为</w:t>
      </w:r>
      <w:r>
        <w:rPr>
          <w:rFonts w:hint="eastAsia" w:ascii="Times New Roman" w:hAnsi="Times New Roman" w:eastAsia="仿宋_GB2312" w:cs="Times New Roman"/>
        </w:rPr>
        <w:t>L/</w:t>
      </w:r>
      <w:r>
        <w:rPr>
          <w:rFonts w:ascii="Times New Roman" w:hAnsi="Times New Roman" w:eastAsia="仿宋_GB2312" w:cs="Times New Roman"/>
        </w:rPr>
        <w:t>mol）</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甲烷</w:t>
      </w:r>
      <w:r>
        <w:rPr>
          <w:rFonts w:ascii="Times New Roman" w:hAnsi="Times New Roman" w:eastAsia="仿宋_GB2312" w:cs="Times New Roman"/>
        </w:rPr>
        <w:t>火炬燃烧</w:t>
      </w:r>
      <w:r>
        <w:rPr>
          <w:rFonts w:hint="eastAsia" w:ascii="Times New Roman" w:hAnsi="Times New Roman" w:eastAsia="仿宋_GB2312" w:cs="Times New Roman"/>
        </w:rPr>
        <w:t>的</w:t>
      </w:r>
      <w:r>
        <w:rPr>
          <w:rFonts w:ascii="Times New Roman" w:hAnsi="Times New Roman" w:eastAsia="仿宋_GB2312" w:cs="Times New Roman"/>
        </w:rPr>
        <w:t>碳氧化率，如无实测数据可取缺省值</w:t>
      </w:r>
      <w:r>
        <w:rPr>
          <w:rFonts w:hint="eastAsia" w:ascii="Times New Roman" w:hAnsi="Times New Roman" w:eastAsia="仿宋_GB2312" w:cs="Times New Roman"/>
        </w:rPr>
        <w:t>98%。</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2.4.6.</w:t>
      </w:r>
      <w:r>
        <w:rPr>
          <w:rFonts w:ascii="Times New Roman" w:hAnsi="Times New Roman" w:eastAsia="仿宋_GB2312"/>
          <w:sz w:val="24"/>
          <w:szCs w:val="24"/>
        </w:rPr>
        <w:t>4</w:t>
      </w:r>
      <w:r>
        <w:rPr>
          <w:rFonts w:hint="eastAsia" w:ascii="Times New Roman" w:hAnsi="Times New Roman" w:eastAsia="仿宋_GB2312"/>
          <w:sz w:val="24"/>
          <w:szCs w:val="24"/>
        </w:rPr>
        <w:t>温室气体回收</w:t>
      </w:r>
    </w:p>
    <w:p>
      <w:pPr>
        <w:snapToGrid w:val="0"/>
        <w:spacing w:line="360" w:lineRule="auto"/>
        <w:ind w:firstLine="480" w:firstLineChars="200"/>
        <w:rPr>
          <w:rFonts w:ascii="Cambria Math" w:hAnsi="Cambria Math" w:eastAsia="仿宋_GB2312" w:cs="Times New Roman"/>
        </w:rPr>
      </w:pPr>
      <w:r>
        <w:rPr>
          <w:rFonts w:hint="eastAsia" w:ascii="Cambria Math" w:hAnsi="Cambria Math" w:eastAsia="仿宋_GB2312" w:cs="Times New Roman"/>
        </w:rPr>
        <w:t>企业通过</w:t>
      </w:r>
      <w:r>
        <w:rPr>
          <w:rFonts w:ascii="Cambria Math" w:hAnsi="Cambria Math" w:eastAsia="仿宋_GB2312" w:cs="Times New Roman"/>
        </w:rPr>
        <w:t>捕集和利用</w:t>
      </w:r>
      <w:r>
        <w:rPr>
          <w:rFonts w:hint="eastAsia" w:ascii="Cambria Math" w:hAnsi="Cambria Math" w:eastAsia="仿宋_GB2312" w:cs="Times New Roman"/>
        </w:rPr>
        <w:t>回收</w:t>
      </w:r>
      <w:r>
        <w:rPr>
          <w:rFonts w:ascii="Cambria Math" w:hAnsi="Cambria Math" w:eastAsia="仿宋_GB2312" w:cs="Times New Roman"/>
        </w:rPr>
        <w:t>的温室气体排放量</w:t>
      </w:r>
      <w:r>
        <w:rPr>
          <w:rFonts w:hint="eastAsia" w:ascii="Cambria Math" w:hAnsi="Cambria Math" w:eastAsia="仿宋_GB2312" w:cs="Times New Roman"/>
        </w:rPr>
        <w:t>,需要</w:t>
      </w:r>
      <w:r>
        <w:rPr>
          <w:rFonts w:ascii="Cambria Math" w:hAnsi="Cambria Math" w:eastAsia="仿宋_GB2312" w:cs="Times New Roman"/>
        </w:rPr>
        <w:t>在核查</w:t>
      </w:r>
      <w:r>
        <w:rPr>
          <w:rFonts w:hint="eastAsia" w:ascii="Cambria Math" w:hAnsi="Cambria Math" w:eastAsia="仿宋_GB2312" w:cs="Times New Roman"/>
        </w:rPr>
        <w:t>排放</w:t>
      </w:r>
      <w:r>
        <w:rPr>
          <w:rFonts w:ascii="Cambria Math" w:hAnsi="Cambria Math" w:eastAsia="仿宋_GB2312" w:cs="Times New Roman"/>
        </w:rPr>
        <w:t>总量时予以扣除</w:t>
      </w:r>
      <w:r>
        <w:rPr>
          <w:rFonts w:hint="eastAsia" w:ascii="Cambria Math" w:hAnsi="Cambria Math" w:eastAsia="仿宋_GB2312" w:cs="Times New Roman"/>
        </w:rPr>
        <w:t>。捕集</w:t>
      </w:r>
      <w:r>
        <w:rPr>
          <w:rFonts w:ascii="Cambria Math" w:hAnsi="Cambria Math" w:eastAsia="仿宋_GB2312" w:cs="Times New Roman"/>
        </w:rPr>
        <w:t>和利用量的统计，</w:t>
      </w:r>
      <w:r>
        <w:rPr>
          <w:rFonts w:hint="eastAsia" w:ascii="Cambria Math" w:hAnsi="Cambria Math" w:eastAsia="仿宋_GB2312" w:cs="Times New Roman"/>
        </w:rPr>
        <w:t>根据</w:t>
      </w:r>
      <w:r>
        <w:rPr>
          <w:rFonts w:ascii="Cambria Math" w:hAnsi="Cambria Math" w:eastAsia="仿宋_GB2312" w:cs="Times New Roman"/>
        </w:rPr>
        <w:t>具体的回收利用方</w:t>
      </w:r>
      <w:r>
        <w:rPr>
          <w:rFonts w:hint="eastAsia" w:ascii="Cambria Math" w:hAnsi="Cambria Math" w:eastAsia="仿宋_GB2312" w:cs="Times New Roman"/>
        </w:rPr>
        <w:t>式</w:t>
      </w:r>
      <w:r>
        <w:rPr>
          <w:rFonts w:ascii="Cambria Math" w:hAnsi="Cambria Math" w:eastAsia="仿宋_GB2312" w:cs="Times New Roman"/>
        </w:rPr>
        <w:t>，按照实际回收量进行核算</w:t>
      </w:r>
      <w:r>
        <w:rPr>
          <w:rFonts w:hint="eastAsia" w:ascii="Cambria Math" w:hAnsi="Cambria Math" w:eastAsia="仿宋_GB2312" w:cs="Times New Roman"/>
        </w:rPr>
        <w:t>,具体</w:t>
      </w:r>
      <w:r>
        <w:rPr>
          <w:rFonts w:ascii="Cambria Math" w:hAnsi="Cambria Math" w:eastAsia="仿宋_GB2312" w:cs="Times New Roman"/>
        </w:rPr>
        <w:t>计算。</w:t>
      </w:r>
    </w:p>
    <w:p>
      <w:pPr>
        <w:tabs>
          <w:tab w:val="right" w:leader="dot" w:pos="9354"/>
        </w:tabs>
        <w:spacing w:before="163" w:beforeLines="50" w:after="163" w:afterLines="50"/>
        <w:ind w:firstLine="3259" w:firstLineChars="1358"/>
        <w:rPr>
          <w:rFonts w:ascii="黑体" w:eastAsia="黑体"/>
        </w:rPr>
      </w:pPr>
      <m:oMath>
        <m:sSub>
          <m:sSubPr>
            <m:ctrlPr>
              <w:rPr>
                <w:rFonts w:ascii="Cambria Math" w:hAnsi="Cambria Math" w:eastAsia="黑体"/>
                <w:i/>
              </w:rPr>
            </m:ctrlPr>
          </m:sSubPr>
          <m:e>
            <m:r>
              <w:rPr>
                <w:rFonts w:ascii="Cambria Math" w:hAnsi="Cambria Math" w:eastAsia="黑体"/>
              </w:rPr>
              <m:t>R</m:t>
            </m:r>
            <m:ctrlPr>
              <w:rPr>
                <w:rFonts w:ascii="Cambria Math" w:hAnsi="Cambria Math" w:eastAsia="黑体"/>
                <w:i/>
              </w:rPr>
            </m:ctrlPr>
          </m:e>
          <m:sub>
            <m:r>
              <m:rPr>
                <m:sty m:val="p"/>
              </m:rPr>
              <w:rPr>
                <w:rFonts w:hint="eastAsia" w:ascii="Cambria Math" w:hAnsi="Cambria Math" w:eastAsia="黑体"/>
              </w:rPr>
              <m:t>回收</m:t>
            </m:r>
            <m:ctrlPr>
              <w:rPr>
                <w:rFonts w:ascii="Cambria Math" w:hAnsi="Cambria Math" w:eastAsia="黑体"/>
                <w:i/>
              </w:rPr>
            </m:ctrlPr>
          </m:sub>
        </m:sSub>
        <m:r>
          <m:rPr>
            <m:sty m:val="p"/>
          </m:rPr>
          <w:rPr>
            <w:rFonts w:ascii="Cambria Math" w:hAnsi="Cambria Math" w:eastAsia="黑体"/>
          </w:rPr>
          <m:t>=</m:t>
        </m:r>
        <m:sSub>
          <m:sSubPr>
            <m:ctrlPr>
              <w:rPr>
                <w:rFonts w:ascii="Cambria Math" w:hAnsi="Cambria Math" w:eastAsia="黑体"/>
              </w:rPr>
            </m:ctrlPr>
          </m:sSubPr>
          <m:e>
            <m:r>
              <w:rPr>
                <w:rFonts w:ascii="Cambria Math" w:hAnsi="Cambria Math" w:eastAsia="黑体"/>
              </w:rPr>
              <m:t>Q</m:t>
            </m:r>
            <m:ctrlPr>
              <w:rPr>
                <w:rFonts w:ascii="Cambria Math" w:hAnsi="Cambria Math" w:eastAsia="黑体"/>
              </w:rPr>
            </m:ctrlPr>
          </m:e>
          <m:sub>
            <m:r>
              <m:rPr>
                <m:sty m:val="p"/>
              </m:rPr>
              <w:rPr>
                <w:rFonts w:hint="eastAsia" w:ascii="Cambria Math" w:hAnsi="Cambria Math" w:eastAsia="黑体"/>
              </w:rPr>
              <m:t>回收</m:t>
            </m:r>
            <m:ctrlPr>
              <w:rPr>
                <w:rFonts w:ascii="Cambria Math" w:hAnsi="Cambria Math" w:eastAsia="黑体"/>
              </w:rPr>
            </m:ctrlPr>
          </m:sub>
        </m:sSub>
        <m:r>
          <w:rPr>
            <w:rFonts w:ascii="Cambria Math" w:hAnsi="Cambria Math" w:eastAsia="黑体"/>
          </w:rPr>
          <m:t>×</m:t>
        </m:r>
        <m:sSub>
          <m:sSubPr>
            <m:ctrlPr>
              <w:rPr>
                <w:rFonts w:ascii="Cambria Math" w:hAnsi="Cambria Math" w:eastAsia="黑体"/>
                <w:i/>
              </w:rPr>
            </m:ctrlPr>
          </m:sSubPr>
          <m:e>
            <m:r>
              <w:rPr>
                <w:rFonts w:ascii="Cambria Math" w:hAnsi="Cambria Math" w:eastAsia="黑体"/>
              </w:rPr>
              <m:t>PUR</m:t>
            </m:r>
            <m:ctrlPr>
              <w:rPr>
                <w:rFonts w:ascii="Cambria Math" w:hAnsi="Cambria Math" w:eastAsia="黑体"/>
                <w:i/>
              </w:rPr>
            </m:ctrlPr>
          </m:e>
          <m:sub>
            <m:sSub>
              <m:sSubPr>
                <m:ctrlPr>
                  <w:rPr>
                    <w:rFonts w:ascii="Cambria Math" w:hAnsi="Cambria Math" w:eastAsia="黑体"/>
                    <w:i/>
                  </w:rPr>
                </m:ctrlPr>
              </m:sSubPr>
              <m:e>
                <m:r>
                  <w:rPr>
                    <w:rFonts w:ascii="Cambria Math" w:hAnsi="Cambria Math" w:eastAsia="黑体"/>
                  </w:rPr>
                  <m:t>CO</m:t>
                </m:r>
                <m:ctrlPr>
                  <w:rPr>
                    <w:rFonts w:ascii="Cambria Math" w:hAnsi="Cambria Math" w:eastAsia="黑体"/>
                    <w:i/>
                  </w:rPr>
                </m:ctrlPr>
              </m:e>
              <m:sub>
                <m:r>
                  <w:rPr>
                    <w:rFonts w:ascii="Cambria Math" w:hAnsi="Cambria Math" w:eastAsia="黑体"/>
                  </w:rPr>
                  <m:t>2</m:t>
                </m:r>
                <m:ctrlPr>
                  <w:rPr>
                    <w:rFonts w:ascii="Cambria Math" w:hAnsi="Cambria Math" w:eastAsia="黑体"/>
                    <w:i/>
                  </w:rPr>
                </m:ctrlPr>
              </m:sub>
            </m:sSub>
            <m:ctrlPr>
              <w:rPr>
                <w:rFonts w:ascii="Cambria Math" w:hAnsi="Cambria Math" w:eastAsia="黑体"/>
                <w:i/>
              </w:rPr>
            </m:ctrlPr>
          </m:sub>
        </m:sSub>
        <m:r>
          <w:rPr>
            <w:rFonts w:ascii="Cambria Math" w:hAnsi="Cambria Math" w:eastAsia="黑体"/>
          </w:rPr>
          <m:t>×19.7</m:t>
        </m:r>
      </m:oMath>
      <w:r>
        <w:rPr>
          <w:rFonts w:ascii="黑体" w:eastAsia="黑体"/>
        </w:rPr>
        <w:tab/>
      </w:r>
      <w:r>
        <w:rPr>
          <w:rFonts w:hint="eastAsia" w:ascii="黑体" w:eastAsia="黑体"/>
        </w:rPr>
        <w:t>(</w:t>
      </w:r>
      <w:r>
        <w:rPr>
          <w:rFonts w:ascii="黑体" w:eastAsia="黑体"/>
        </w:rPr>
        <w:t>17</w:t>
      </w:r>
      <w:r>
        <w:rPr>
          <w:rFonts w:hint="eastAsia" w:ascii="黑体" w:eastAsia="黑体"/>
        </w:rPr>
        <w:t>)</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式中</w:t>
      </w:r>
      <w:r>
        <w:rPr>
          <w:rFonts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sSub>
          <m:sSubPr>
            <m:ctrlPr>
              <w:rPr>
                <w:rFonts w:ascii="Cambria Math" w:hAnsi="Cambria Math" w:eastAsia="仿宋_GB2312" w:cs="Times New Roman"/>
              </w:rPr>
            </m:ctrlPr>
          </m:sSubPr>
          <m:e>
            <m:r>
              <w:rPr>
                <w:rFonts w:ascii="Cambria Math" w:hAnsi="Cambria Math" w:eastAsia="仿宋_GB2312" w:cs="Times New Roman"/>
              </w:rPr>
              <m:t>R</m:t>
            </m:r>
            <m:ctrlPr>
              <w:rPr>
                <w:rFonts w:ascii="Cambria Math" w:hAnsi="Cambria Math" w:eastAsia="仿宋_GB2312" w:cs="Times New Roman"/>
              </w:rPr>
            </m:ctrlPr>
          </m:e>
          <m:sub>
            <m:r>
              <m:rPr>
                <m:sty m:val="p"/>
              </m:rPr>
              <w:rPr>
                <w:rFonts w:hint="eastAsia" w:ascii="Cambria Math" w:hAnsi="Cambria Math" w:eastAsia="仿宋_GB2312" w:cs="Times New Roman"/>
              </w:rPr>
              <m:t>回收</m:t>
            </m:r>
            <m:ctrlPr>
              <w:rPr>
                <w:rFonts w:ascii="Cambria Math" w:hAnsi="Cambria Math" w:eastAsia="仿宋_GB2312" w:cs="Times New Roman"/>
              </w:rPr>
            </m:ctrlPr>
          </m:sub>
        </m:sSub>
      </m:oMath>
      <w:r>
        <w:rPr>
          <w:rFonts w:hint="eastAsia" w:ascii="Times New Roman" w:hAnsi="Times New Roman" w:eastAsia="仿宋_GB2312" w:cs="Times New Roman"/>
        </w:rPr>
        <w:t xml:space="preserve">   </w:t>
      </w:r>
      <w:r>
        <w:rPr>
          <w:rFonts w:ascii="Times New Roman" w:hAnsi="Times New Roman" w:eastAsia="仿宋_GB2312" w:cs="Times New Roman"/>
        </w:rPr>
        <w:t>—</w:t>
      </w:r>
      <w:r>
        <w:rPr>
          <w:rFonts w:ascii="Times New Roman" w:hAnsi="Times New Roman" w:eastAsia="仿宋_GB2312" w:cs="Times New Roman"/>
        </w:rPr>
        <w:sym w:font="Symbol" w:char="F0BE"/>
      </w:r>
      <w:r>
        <w:rPr>
          <w:rFonts w:ascii="Times New Roman" w:hAnsi="Times New Roman" w:eastAsia="仿宋_GB2312" w:cs="Times New Roman"/>
        </w:rPr>
        <w:t>CO</w:t>
      </w:r>
      <w:r>
        <w:rPr>
          <w:rFonts w:ascii="Times New Roman" w:hAnsi="Times New Roman" w:eastAsia="仿宋_GB2312" w:cs="Times New Roman"/>
          <w:vertAlign w:val="subscript"/>
        </w:rPr>
        <w:t>2</w:t>
      </w:r>
      <w:r>
        <w:rPr>
          <w:rFonts w:hint="eastAsia" w:ascii="Times New Roman" w:hAnsi="Times New Roman" w:eastAsia="仿宋_GB2312" w:cs="Times New Roman"/>
        </w:rPr>
        <w:t>回收</w:t>
      </w:r>
      <w:r>
        <w:rPr>
          <w:rFonts w:ascii="Times New Roman" w:hAnsi="Times New Roman" w:eastAsia="仿宋_GB2312" w:cs="Times New Roman"/>
        </w:rPr>
        <w:t>利用量，单位</w:t>
      </w:r>
      <w:r>
        <w:rPr>
          <w:rFonts w:hint="eastAsia" w:ascii="Times New Roman" w:hAnsi="Times New Roman" w:eastAsia="仿宋_GB2312" w:cs="Times New Roman"/>
        </w:rPr>
        <w:t>为吨</w:t>
      </w:r>
      <w:r>
        <w:rPr>
          <w:rFonts w:ascii="Times New Roman" w:hAnsi="Times New Roman" w:eastAsia="仿宋_GB2312" w:cs="Times New Roman"/>
        </w:rPr>
        <w:t>二氧化碳当量</w:t>
      </w:r>
      <w:r>
        <w:rPr>
          <w:rFonts w:hint="eastAsia" w:ascii="Times New Roman" w:hAnsi="Times New Roman" w:eastAsia="仿宋_GB2312" w:cs="Times New Roman"/>
        </w:rPr>
        <w:t>（</w:t>
      </w:r>
      <w:r>
        <w:rPr>
          <w:rFonts w:ascii="Times New Roman" w:hAnsi="Times New Roman" w:eastAsia="仿宋_GB2312" w:cs="Times New Roman"/>
        </w:rPr>
        <w:t>tCO</w:t>
      </w:r>
      <w:r>
        <w:rPr>
          <w:rFonts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Q</w:t>
      </w:r>
      <w:r>
        <w:rPr>
          <w:rFonts w:hint="eastAsia" w:ascii="Times New Roman" w:hAnsi="Times New Roman" w:eastAsia="仿宋_GB2312" w:cs="Times New Roman"/>
        </w:rPr>
        <w:t xml:space="preserve">回收      </w:t>
      </w:r>
      <w:r>
        <w:rPr>
          <w:rFonts w:ascii="Times New Roman" w:hAnsi="Times New Roman" w:eastAsia="仿宋_GB2312" w:cs="Times New Roman"/>
        </w:rPr>
        <w:t>—</w:t>
      </w:r>
      <w:r>
        <w:rPr>
          <w:rFonts w:ascii="Times New Roman" w:hAnsi="Times New Roman" w:eastAsia="仿宋_GB2312" w:cs="Times New Roman"/>
        </w:rPr>
        <w:sym w:font="Symbol" w:char="F0BE"/>
      </w:r>
      <w:r>
        <w:rPr>
          <w:rFonts w:hint="eastAsia" w:ascii="Times New Roman" w:hAnsi="Times New Roman" w:eastAsia="仿宋_GB2312" w:cs="Times New Roman"/>
        </w:rPr>
        <w:t>回收</w:t>
      </w:r>
      <w:r>
        <w:rPr>
          <w:rFonts w:ascii="Times New Roman" w:hAnsi="Times New Roman" w:eastAsia="仿宋_GB2312" w:cs="Times New Roman"/>
        </w:rPr>
        <w:t>的CO</w:t>
      </w:r>
      <w:r>
        <w:rPr>
          <w:rFonts w:ascii="Times New Roman" w:hAnsi="Times New Roman" w:eastAsia="仿宋_GB2312" w:cs="Times New Roman"/>
          <w:vertAlign w:val="subscript"/>
        </w:rPr>
        <w:t>2</w:t>
      </w:r>
      <w:r>
        <w:rPr>
          <w:rFonts w:hint="eastAsia" w:ascii="Times New Roman" w:hAnsi="Times New Roman" w:eastAsia="仿宋_GB2312" w:cs="Times New Roman"/>
        </w:rPr>
        <w:t>气体</w:t>
      </w:r>
      <w:r>
        <w:rPr>
          <w:rFonts w:ascii="Times New Roman" w:hAnsi="Times New Roman" w:eastAsia="仿宋_GB2312" w:cs="Times New Roman"/>
        </w:rPr>
        <w:t>体积，单位万</w:t>
      </w:r>
      <w:r>
        <w:rPr>
          <w:rFonts w:hint="eastAsia" w:ascii="Times New Roman" w:hAnsi="Times New Roman" w:eastAsia="仿宋_GB2312" w:cs="Times New Roman"/>
        </w:rPr>
        <w:t>标准</w:t>
      </w:r>
      <w:r>
        <w:rPr>
          <w:rFonts w:ascii="Times New Roman" w:hAnsi="Times New Roman" w:eastAsia="仿宋_GB2312" w:cs="Times New Roman"/>
        </w:rPr>
        <w:t>立方米（</w:t>
      </w:r>
      <w:r>
        <w:rPr>
          <w:rFonts w:hint="eastAsia" w:ascii="Times New Roman" w:hAnsi="Times New Roman" w:eastAsia="仿宋_GB2312" w:cs="Times New Roman"/>
        </w:rPr>
        <w:t>10</w:t>
      </w:r>
      <w:r>
        <w:rPr>
          <w:rFonts w:hint="eastAsia" w:ascii="Times New Roman" w:hAnsi="Times New Roman" w:eastAsia="仿宋_GB2312" w:cs="Times New Roman"/>
          <w:vertAlign w:val="superscript"/>
        </w:rPr>
        <w:t>4</w:t>
      </w:r>
      <w:r>
        <w:rPr>
          <w:rFonts w:hint="eastAsia" w:ascii="Times New Roman" w:hAnsi="Times New Roman" w:eastAsia="仿宋_GB2312" w:cs="Times New Roman"/>
        </w:rPr>
        <w:t>N</w:t>
      </w:r>
      <w:r>
        <w:rPr>
          <w:rFonts w:ascii="Times New Roman" w:hAnsi="Times New Roman" w:eastAsia="仿宋_GB2312" w:cs="Times New Roman"/>
        </w:rPr>
        <w:t>m³）</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m:oMath>
        <m:sSub>
          <m:sSubPr>
            <m:ctrlPr>
              <w:rPr>
                <w:rFonts w:ascii="Cambria Math" w:hAnsi="Cambria Math" w:eastAsia="仿宋_GB2312" w:cs="Times New Roman"/>
              </w:rPr>
            </m:ctrlPr>
          </m:sSubPr>
          <m:e>
            <m:r>
              <w:rPr>
                <w:rFonts w:ascii="Cambria Math" w:hAnsi="Cambria Math" w:eastAsia="仿宋_GB2312" w:cs="Times New Roman"/>
              </w:rPr>
              <m:t>PUR</m:t>
            </m:r>
            <m:ctrlPr>
              <w:rPr>
                <w:rFonts w:ascii="Cambria Math" w:hAnsi="Cambria Math" w:eastAsia="仿宋_GB2312" w:cs="Times New Roman"/>
              </w:rPr>
            </m:ctrlPr>
          </m:e>
          <m:sub>
            <m:sSub>
              <m:sSubPr>
                <m:ctrlPr>
                  <w:rPr>
                    <w:rFonts w:ascii="Cambria Math" w:hAnsi="Cambria Math" w:eastAsia="仿宋_GB2312" w:cs="Times New Roman"/>
                  </w:rPr>
                </m:ctrlPr>
              </m:sSubPr>
              <m:e>
                <m:r>
                  <w:rPr>
                    <w:rFonts w:ascii="Cambria Math" w:hAnsi="Cambria Math" w:eastAsia="仿宋_GB2312" w:cs="Times New Roman"/>
                  </w:rPr>
                  <m:t>CO</m:t>
                </m:r>
                <m:ctrlPr>
                  <w:rPr>
                    <w:rFonts w:ascii="Cambria Math" w:hAnsi="Cambria Math" w:eastAsia="仿宋_GB2312" w:cs="Times New Roman"/>
                  </w:rPr>
                </m:ctrlPr>
              </m:e>
              <m:sub>
                <m:r>
                  <m:rPr>
                    <m:sty m:val="p"/>
                  </m:rPr>
                  <w:rPr>
                    <w:rFonts w:ascii="Cambria Math" w:hAnsi="Cambria Math" w:eastAsia="仿宋_GB2312" w:cs="Times New Roman"/>
                  </w:rPr>
                  <m:t>2</m:t>
                </m:r>
                <m:ctrlPr>
                  <w:rPr>
                    <w:rFonts w:ascii="Cambria Math" w:hAnsi="Cambria Math" w:eastAsia="仿宋_GB2312" w:cs="Times New Roman"/>
                  </w:rPr>
                </m:ctrlPr>
              </m:sub>
            </m:sSub>
            <m:ctrlPr>
              <w:rPr>
                <w:rFonts w:ascii="Cambria Math" w:hAnsi="Cambria Math" w:eastAsia="仿宋_GB2312" w:cs="Times New Roman"/>
              </w:rPr>
            </m:ctrlPr>
          </m:sub>
        </m:sSub>
      </m:oMath>
      <w:r>
        <w:rPr>
          <w:rFonts w:hint="eastAsia" w:ascii="Times New Roman" w:hAnsi="Times New Roman" w:eastAsia="仿宋_GB2312" w:cs="Times New Roman"/>
        </w:rPr>
        <w:t xml:space="preserve"> </w:t>
      </w:r>
      <w:r>
        <w:rPr>
          <w:rFonts w:ascii="Times New Roman" w:hAnsi="Times New Roman" w:eastAsia="仿宋_GB2312" w:cs="Times New Roman"/>
        </w:rPr>
        <w:t>—</w:t>
      </w:r>
      <w:r>
        <w:rPr>
          <w:rFonts w:ascii="Times New Roman" w:hAnsi="Times New Roman" w:eastAsia="仿宋_GB2312" w:cs="Times New Roman"/>
        </w:rPr>
        <w:sym w:font="Symbol" w:char="F0BE"/>
      </w:r>
      <w:r>
        <w:rPr>
          <w:rFonts w:ascii="Times New Roman" w:hAnsi="Times New Roman" w:eastAsia="仿宋_GB2312" w:cs="Times New Roman"/>
        </w:rPr>
        <w:t xml:space="preserve"> CO</w:t>
      </w:r>
      <w:r>
        <w:rPr>
          <w:rFonts w:ascii="Times New Roman" w:hAnsi="Times New Roman" w:eastAsia="仿宋_GB2312" w:cs="Times New Roman"/>
          <w:vertAlign w:val="subscript"/>
        </w:rPr>
        <w:t>2</w:t>
      </w:r>
      <w:r>
        <w:rPr>
          <w:rFonts w:hint="eastAsia" w:ascii="Times New Roman" w:hAnsi="Times New Roman" w:eastAsia="仿宋_GB2312" w:cs="Times New Roman"/>
        </w:rPr>
        <w:t>气体</w:t>
      </w:r>
      <w:r>
        <w:rPr>
          <w:rFonts w:ascii="Times New Roman" w:hAnsi="Times New Roman" w:eastAsia="仿宋_GB2312" w:cs="Times New Roman"/>
        </w:rPr>
        <w:t>纯度，取值</w:t>
      </w:r>
      <w:r>
        <w:rPr>
          <w:rFonts w:hint="eastAsia" w:ascii="Times New Roman" w:hAnsi="Times New Roman" w:eastAsia="仿宋_GB2312" w:cs="Times New Roman"/>
        </w:rPr>
        <w:t>范围</w:t>
      </w:r>
      <w:r>
        <w:rPr>
          <w:rFonts w:ascii="Times New Roman" w:hAnsi="Times New Roman" w:eastAsia="仿宋_GB2312" w:cs="Times New Roman"/>
        </w:rPr>
        <w:t>为</w:t>
      </w:r>
      <w:r>
        <w:rPr>
          <w:rFonts w:hint="eastAsia" w:ascii="Times New Roman" w:hAnsi="Times New Roman" w:eastAsia="仿宋_GB2312" w:cs="Times New Roman"/>
        </w:rPr>
        <w:t>0~1；</w:t>
      </w:r>
      <w:r>
        <w:rPr>
          <w:rFonts w:ascii="Times New Roman" w:hAnsi="Times New Roman" w:eastAsia="仿宋_GB2312" w:cs="Times New Roman"/>
        </w:rPr>
        <w:t xml:space="preserve"> </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19.7</w:t>
      </w:r>
      <w:r>
        <w:rPr>
          <w:rFonts w:ascii="Times New Roman" w:hAnsi="Times New Roman" w:eastAsia="仿宋_GB2312" w:cs="Times New Roman"/>
        </w:rPr>
        <w:t xml:space="preserve">    —</w:t>
      </w:r>
      <w:r>
        <w:rPr>
          <w:rFonts w:ascii="Times New Roman" w:hAnsi="Times New Roman" w:eastAsia="仿宋_GB2312" w:cs="Times New Roman"/>
        </w:rPr>
        <w:sym w:font="Symbol" w:char="F0BE"/>
      </w:r>
      <w:r>
        <w:rPr>
          <w:rFonts w:ascii="Times New Roman" w:hAnsi="Times New Roman" w:eastAsia="仿宋_GB2312" w:cs="Times New Roman"/>
        </w:rPr>
        <w:t xml:space="preserve"> CO</w:t>
      </w:r>
      <w:r>
        <w:rPr>
          <w:rFonts w:ascii="Times New Roman" w:hAnsi="Times New Roman" w:eastAsia="仿宋_GB2312" w:cs="Times New Roman"/>
          <w:vertAlign w:val="subscript"/>
        </w:rPr>
        <w:t>2</w:t>
      </w:r>
      <w:r>
        <w:rPr>
          <w:rFonts w:hint="eastAsia" w:ascii="Times New Roman" w:hAnsi="Times New Roman" w:eastAsia="仿宋_GB2312" w:cs="Times New Roman"/>
        </w:rPr>
        <w:t>气体在</w:t>
      </w:r>
      <w:r>
        <w:rPr>
          <w:rFonts w:ascii="Times New Roman" w:hAnsi="Times New Roman" w:eastAsia="仿宋_GB2312" w:cs="Times New Roman"/>
        </w:rPr>
        <w:t>标况下的密度，单位</w:t>
      </w:r>
      <w:r>
        <w:rPr>
          <w:rFonts w:hint="eastAsia" w:ascii="Times New Roman" w:hAnsi="Times New Roman" w:eastAsia="仿宋_GB2312" w:cs="Times New Roman"/>
        </w:rPr>
        <w:t>为吨二氧化碳</w:t>
      </w:r>
      <w:r>
        <w:rPr>
          <w:rFonts w:ascii="Times New Roman" w:hAnsi="Times New Roman" w:eastAsia="仿宋_GB2312" w:cs="Times New Roman"/>
        </w:rPr>
        <w:t>当量</w:t>
      </w:r>
      <w:r>
        <w:rPr>
          <w:rFonts w:hint="eastAsia" w:ascii="Times New Roman" w:hAnsi="Times New Roman" w:eastAsia="仿宋_GB2312" w:cs="Times New Roman"/>
        </w:rPr>
        <w:t>每</w:t>
      </w:r>
      <w:r>
        <w:rPr>
          <w:rFonts w:ascii="Times New Roman" w:hAnsi="Times New Roman" w:eastAsia="仿宋_GB2312" w:cs="Times New Roman"/>
        </w:rPr>
        <w:t>标准立方米（tCO</w:t>
      </w:r>
      <w:r>
        <w:rPr>
          <w:rFonts w:ascii="Times New Roman" w:hAnsi="Times New Roman" w:eastAsia="仿宋_GB2312" w:cs="Times New Roman"/>
          <w:vertAlign w:val="subscript"/>
        </w:rPr>
        <w:t>2</w:t>
      </w:r>
      <w:r>
        <w:rPr>
          <w:rFonts w:ascii="Times New Roman" w:hAnsi="Times New Roman" w:eastAsia="仿宋_GB2312" w:cs="Times New Roman"/>
        </w:rPr>
        <w:t>e/</w:t>
      </w:r>
      <w:r>
        <w:rPr>
          <w:rFonts w:hint="eastAsia" w:ascii="Times New Roman" w:hAnsi="Times New Roman" w:eastAsia="仿宋_GB2312" w:cs="Times New Roman"/>
        </w:rPr>
        <w:t>10</w:t>
      </w:r>
      <w:r>
        <w:rPr>
          <w:rFonts w:hint="eastAsia" w:ascii="Times New Roman" w:hAnsi="Times New Roman" w:eastAsia="仿宋_GB2312" w:cs="Times New Roman"/>
          <w:vertAlign w:val="superscript"/>
        </w:rPr>
        <w:t>4</w:t>
      </w:r>
      <w:r>
        <w:rPr>
          <w:rFonts w:hint="eastAsia" w:ascii="Times New Roman" w:hAnsi="Times New Roman" w:eastAsia="仿宋_GB2312" w:cs="Times New Roman"/>
        </w:rPr>
        <w:t>N</w:t>
      </w:r>
      <w:r>
        <w:rPr>
          <w:rFonts w:ascii="Times New Roman" w:hAnsi="Times New Roman" w:eastAsia="仿宋_GB2312" w:cs="Times New Roman"/>
        </w:rPr>
        <w:t>m³）</w:t>
      </w:r>
      <w:r>
        <w:rPr>
          <w:rFonts w:hint="eastAsia" w:ascii="Times New Roman" w:hAnsi="Times New Roman" w:eastAsia="仿宋_GB2312" w:cs="Times New Roman"/>
        </w:rPr>
        <w:t>。</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2.4.</w:t>
      </w:r>
      <w:r>
        <w:rPr>
          <w:rFonts w:ascii="Times New Roman" w:hAnsi="Times New Roman" w:eastAsia="仿宋_GB2312"/>
          <w:sz w:val="24"/>
          <w:szCs w:val="24"/>
        </w:rPr>
        <w:t>7</w:t>
      </w:r>
      <w:r>
        <w:rPr>
          <w:rFonts w:hint="eastAsia" w:ascii="Times New Roman" w:hAnsi="Times New Roman" w:eastAsia="仿宋_GB2312"/>
          <w:sz w:val="24"/>
          <w:szCs w:val="24"/>
        </w:rPr>
        <w:t xml:space="preserve"> 数据质量</w:t>
      </w:r>
      <w:r>
        <w:rPr>
          <w:rFonts w:ascii="Times New Roman" w:hAnsi="Times New Roman" w:eastAsia="仿宋_GB2312"/>
          <w:sz w:val="24"/>
          <w:szCs w:val="24"/>
        </w:rPr>
        <w:t>管理</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报告主体应加强温室气体数据质量管理工作，至少包括：</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a)</w:t>
      </w:r>
      <w:r>
        <w:rPr>
          <w:rFonts w:ascii="Times New Roman" w:hAnsi="Times New Roman" w:eastAsia="仿宋_GB2312" w:cs="Times New Roman"/>
        </w:rPr>
        <w:tab/>
      </w:r>
      <w:r>
        <w:rPr>
          <w:rFonts w:ascii="Times New Roman" w:hAnsi="Times New Roman" w:eastAsia="仿宋_GB2312" w:cs="Times New Roman"/>
        </w:rPr>
        <w:t>建立企业温室气体排放核算和报告的规章制度，包括负责机构和人员、工作流程和内容、工作周期和时间节点等；指定专职人员负责企业温室气体排放核算和报告工作；</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b)</w:t>
      </w:r>
      <w:r>
        <w:rPr>
          <w:rFonts w:ascii="Times New Roman" w:hAnsi="Times New Roman" w:eastAsia="仿宋_GB2312" w:cs="Times New Roman"/>
        </w:rPr>
        <w:tab/>
      </w:r>
      <w:r>
        <w:rPr>
          <w:rFonts w:ascii="Times New Roman" w:hAnsi="Times New Roman" w:eastAsia="仿宋_GB2312" w:cs="Times New Roman"/>
        </w:rPr>
        <w:t>根据各种类型的温室气体排放源的重要程度对其进行等级划分，并建立企业温室气体排放源一览表，对于不同等级的排放源的活动水平税局和排放因子数据的获取提出相应的要求；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c)</w:t>
      </w:r>
      <w:r>
        <w:rPr>
          <w:rFonts w:ascii="Times New Roman" w:hAnsi="Times New Roman" w:eastAsia="仿宋_GB2312" w:cs="Times New Roman"/>
        </w:rPr>
        <w:tab/>
      </w:r>
      <w:r>
        <w:rPr>
          <w:rFonts w:ascii="Times New Roman" w:hAnsi="Times New Roman" w:eastAsia="仿宋_GB2312" w:cs="Times New Roman"/>
        </w:rPr>
        <w:t>对现有监测条件进行评估，不断提高监测能力，并制定相应的监测计划，包括对活动水平数据的监测和对燃料低位发热量等参数的监测；定期对计量器具、检测设备和在线监测仪表进行维护管理，并记录存档；</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d)</w:t>
      </w:r>
      <w:r>
        <w:rPr>
          <w:rFonts w:ascii="Times New Roman" w:hAnsi="Times New Roman" w:eastAsia="仿宋_GB2312" w:cs="Times New Roman"/>
        </w:rPr>
        <w:tab/>
      </w:r>
      <w:r>
        <w:rPr>
          <w:rFonts w:ascii="Times New Roman" w:hAnsi="Times New Roman" w:eastAsia="仿宋_GB2312" w:cs="Times New Roman"/>
        </w:rPr>
        <w:t>建立健全温室气体数据记录管理体系，包括数据来源，数据获取时间以及相关责任人等信息的记录管理；</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e)</w:t>
      </w:r>
      <w:r>
        <w:rPr>
          <w:rFonts w:ascii="Times New Roman" w:hAnsi="Times New Roman" w:eastAsia="仿宋_GB2312" w:cs="Times New Roman"/>
        </w:rPr>
        <w:tab/>
      </w:r>
      <w:r>
        <w:rPr>
          <w:rFonts w:ascii="Times New Roman" w:hAnsi="Times New Roman" w:eastAsia="仿宋_GB2312" w:cs="Times New Roman"/>
        </w:rPr>
        <w:t>建立企业温室气体排放报告内部审核制度，定期对温室气体排放数据进行交叉校验，对可能产生的数据误差风险进行识别，并提出相应的解决方案。</w:t>
      </w:r>
    </w:p>
    <w:p>
      <w:pPr>
        <w:pStyle w:val="3"/>
        <w:spacing w:before="0" w:after="0" w:line="360" w:lineRule="auto"/>
        <w:ind w:firstLine="482" w:firstLineChars="200"/>
        <w:rPr>
          <w:rFonts w:ascii="Times New Roman" w:hAnsi="Times New Roman" w:eastAsia="仿宋_GB2312"/>
          <w:sz w:val="24"/>
          <w:szCs w:val="24"/>
        </w:rPr>
      </w:pPr>
      <w:r>
        <w:rPr>
          <w:rFonts w:hint="eastAsia" w:ascii="Times New Roman" w:hAnsi="Times New Roman" w:eastAsia="仿宋_GB2312"/>
          <w:sz w:val="24"/>
          <w:szCs w:val="24"/>
        </w:rPr>
        <w:t>2.4.</w:t>
      </w:r>
      <w:r>
        <w:rPr>
          <w:rFonts w:ascii="Times New Roman" w:hAnsi="Times New Roman" w:eastAsia="仿宋_GB2312"/>
          <w:sz w:val="24"/>
          <w:szCs w:val="24"/>
        </w:rPr>
        <w:t>8</w:t>
      </w:r>
      <w:r>
        <w:rPr>
          <w:rFonts w:hint="eastAsia" w:ascii="Times New Roman" w:hAnsi="Times New Roman" w:eastAsia="仿宋_GB2312"/>
          <w:sz w:val="24"/>
          <w:szCs w:val="24"/>
        </w:rPr>
        <w:t xml:space="preserve"> 报告</w:t>
      </w:r>
      <w:r>
        <w:rPr>
          <w:rFonts w:ascii="Times New Roman" w:hAnsi="Times New Roman" w:eastAsia="仿宋_GB2312"/>
          <w:sz w:val="24"/>
          <w:szCs w:val="24"/>
        </w:rPr>
        <w:t>内容和格式</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报告主体基本信息应包括报告主体名称、单位性质、报告年度、所属行业、统一社会信用代码、法定代表人、填报负责人和联系人信息等。</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报告主体应在报告在核算期内温室气体排放总量，并分别报告燃料燃烧排放量、过程排放量、废水处理排放量、购入和输出电力及热力产生的排放量。</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报告主体应报告企业生产所使用的各种燃料的消耗量和相应的低位发热量，废水处理量；废水厌氧池进、出口化学需氧量，购入和输出电量、热力量，并说明这些数据的来源。</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报告主体如果还从事人造革合成革以外的产品生产活动，并存在本文件未涵盖的温室气体排放环节，则应参考其他相关行业的企业温室气体排放核算和报告标准，报告其活动水平数据及来源。</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报告主体应报告企业生产使用的各种燃料的单位热值含碳量和碳氧化率数据，废水处理排放因子，核算采用的电力排放因子和热力排放因子等数据及其来源（采用本文件的推荐值或实测值）。</w:t>
      </w:r>
    </w:p>
    <w:p/>
    <w:bookmarkEnd w:id="10"/>
    <w:bookmarkEnd w:id="11"/>
    <w:bookmarkEnd w:id="12"/>
    <w:bookmarkEnd w:id="17"/>
    <w:p>
      <w:pPr>
        <w:spacing w:line="360" w:lineRule="auto"/>
        <w:ind w:firstLine="482" w:firstLineChars="200"/>
        <w:outlineLvl w:val="0"/>
        <w:rPr>
          <w:rFonts w:ascii="仿宋_GB2312" w:hAnsi="仿宋_GB2312" w:eastAsia="仿宋_GB2312" w:cs="仿宋_GB2312"/>
          <w:b/>
          <w:bCs/>
        </w:rPr>
      </w:pPr>
      <w:bookmarkStart w:id="24" w:name="_Toc414277155"/>
      <w:bookmarkStart w:id="25" w:name="_Toc445983420"/>
      <w:bookmarkStart w:id="26" w:name="_Toc81405830"/>
      <w:r>
        <w:rPr>
          <w:rFonts w:hint="eastAsia" w:ascii="仿宋_GB2312" w:hAnsi="仿宋_GB2312" w:eastAsia="仿宋_GB2312" w:cs="仿宋_GB2312"/>
          <w:b/>
          <w:bCs/>
        </w:rPr>
        <w:t>3  主要验证情况分析</w:t>
      </w:r>
    </w:p>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highlight w:val="yellow"/>
        </w:rPr>
        <w:t>本标准编制</w:t>
      </w:r>
      <w:r>
        <w:rPr>
          <w:rFonts w:ascii="Times New Roman" w:hAnsi="Times New Roman" w:eastAsia="仿宋_GB2312" w:cs="Times New Roman"/>
          <w:highlight w:val="yellow"/>
        </w:rPr>
        <w:t>形成后</w:t>
      </w:r>
      <w:r>
        <w:rPr>
          <w:rFonts w:hint="eastAsia" w:ascii="Times New Roman" w:hAnsi="Times New Roman" w:eastAsia="仿宋_GB2312" w:cs="Times New Roman"/>
          <w:highlight w:val="yellow"/>
        </w:rPr>
        <w:t>，起草工作组选择4家</w:t>
      </w:r>
      <w:r>
        <w:rPr>
          <w:rFonts w:ascii="Times New Roman" w:hAnsi="Times New Roman" w:eastAsia="仿宋_GB2312" w:cs="Times New Roman"/>
          <w:highlight w:val="yellow"/>
        </w:rPr>
        <w:t>典型的</w:t>
      </w:r>
      <w:r>
        <w:rPr>
          <w:rFonts w:hint="eastAsia" w:ascii="Times New Roman" w:hAnsi="Times New Roman" w:eastAsia="仿宋_GB2312" w:cs="Times New Roman"/>
          <w:highlight w:val="yellow"/>
        </w:rPr>
        <w:t>不同种类的</w:t>
      </w:r>
      <w:r>
        <w:rPr>
          <w:rFonts w:ascii="Times New Roman" w:hAnsi="Times New Roman" w:eastAsia="仿宋_GB2312" w:cs="Times New Roman"/>
          <w:highlight w:val="yellow"/>
        </w:rPr>
        <w:t>人造革合成革制造</w:t>
      </w:r>
      <w:r>
        <w:rPr>
          <w:rFonts w:hint="eastAsia" w:ascii="Times New Roman" w:hAnsi="Times New Roman" w:eastAsia="仿宋_GB2312" w:cs="Times New Roman"/>
          <w:highlight w:val="yellow"/>
        </w:rPr>
        <w:t>企业温室气体核查情况进行验证，</w:t>
      </w:r>
      <w:r>
        <w:rPr>
          <w:rFonts w:ascii="Times New Roman" w:hAnsi="Times New Roman" w:eastAsia="仿宋_GB2312" w:cs="Times New Roman"/>
          <w:highlight w:val="yellow"/>
        </w:rPr>
        <w:t>验证标准的适用性。</w:t>
      </w:r>
    </w:p>
    <w:p>
      <w:pPr>
        <w:snapToGrid w:val="0"/>
        <w:spacing w:line="360" w:lineRule="auto"/>
        <w:jc w:val="center"/>
        <w:rPr>
          <w:rFonts w:hint="eastAsia" w:ascii="Times New Roman" w:hAnsi="Times New Roman" w:eastAsia="仿宋_GB2312" w:cs="Times New Roman"/>
        </w:rPr>
      </w:pPr>
      <w:r>
        <w:rPr>
          <w:rFonts w:ascii="Times New Roman" w:hAnsi="Times New Roman" w:eastAsia="仿宋_GB2312" w:cs="Times New Roman"/>
        </w:rPr>
        <w:t>表</w:t>
      </w:r>
      <w:r>
        <w:rPr>
          <w:rFonts w:hint="eastAsia" w:ascii="Times New Roman" w:hAnsi="Times New Roman" w:eastAsia="仿宋_GB2312" w:cs="Times New Roman"/>
        </w:rPr>
        <w:t>3-</w:t>
      </w:r>
      <w:r>
        <w:rPr>
          <w:rFonts w:ascii="Times New Roman" w:hAnsi="Times New Roman" w:eastAsia="仿宋_GB2312" w:cs="Times New Roman"/>
        </w:rPr>
        <w:t>1 典型人造革合成革企业温室气体核查情况验证</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65"/>
        <w:gridCol w:w="1012"/>
        <w:gridCol w:w="1012"/>
        <w:gridCol w:w="1012"/>
        <w:gridCol w:w="1012"/>
        <w:gridCol w:w="1012"/>
        <w:gridCol w:w="969"/>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企业编号</w:t>
            </w:r>
          </w:p>
        </w:tc>
        <w:tc>
          <w:tcPr>
            <w:tcW w:w="7394" w:type="dxa"/>
            <w:gridSpan w:val="7"/>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温室气体排放（吨C</w:t>
            </w:r>
            <w:r>
              <w:rPr>
                <w:rFonts w:ascii="Times New Roman" w:hAnsi="Times New Roman" w:eastAsia="仿宋_GB2312" w:cs="Times New Roman"/>
                <w:sz w:val="21"/>
                <w:szCs w:val="21"/>
              </w:rPr>
              <w:t>O</w:t>
            </w:r>
            <w:r>
              <w:rPr>
                <w:rFonts w:ascii="Times New Roman" w:hAnsi="Times New Roman" w:eastAsia="仿宋_GB2312" w:cs="Times New Roman"/>
                <w:sz w:val="21"/>
                <w:szCs w:val="21"/>
                <w:vertAlign w:val="subscript"/>
              </w:rPr>
              <w:t>2</w:t>
            </w:r>
            <w:r>
              <w:rPr>
                <w:rFonts w:ascii="Times New Roman" w:hAnsi="Times New Roman" w:eastAsia="仿宋_GB2312" w:cs="Times New Roman"/>
                <w:sz w:val="21"/>
                <w:szCs w:val="21"/>
              </w:rPr>
              <w:t>e</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年</w:t>
            </w:r>
            <w:r>
              <w:rPr>
                <w:rFonts w:hint="eastAsia" w:ascii="Times New Roman" w:hAnsi="Times New Roman" w:eastAsia="仿宋_GB2312" w:cs="Times New Roman"/>
                <w:sz w:val="21"/>
                <w:szCs w:val="21"/>
              </w:rPr>
              <w:t>）</w:t>
            </w:r>
          </w:p>
        </w:tc>
        <w:tc>
          <w:tcPr>
            <w:tcW w:w="1012" w:type="dxa"/>
            <w:vMerge w:val="restart"/>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温室气体排放强度（吨C</w:t>
            </w:r>
            <w:r>
              <w:rPr>
                <w:rFonts w:ascii="Times New Roman" w:hAnsi="Times New Roman" w:eastAsia="仿宋_GB2312" w:cs="Times New Roman"/>
                <w:sz w:val="21"/>
                <w:szCs w:val="21"/>
              </w:rPr>
              <w:t>O</w:t>
            </w:r>
            <w:r>
              <w:rPr>
                <w:rFonts w:ascii="Times New Roman" w:hAnsi="Times New Roman" w:eastAsia="仿宋_GB2312" w:cs="Times New Roman"/>
                <w:sz w:val="21"/>
                <w:szCs w:val="21"/>
                <w:vertAlign w:val="subscript"/>
              </w:rPr>
              <w:t>2</w:t>
            </w:r>
            <w:r>
              <w:rPr>
                <w:rFonts w:ascii="Times New Roman" w:hAnsi="Times New Roman" w:eastAsia="仿宋_GB2312" w:cs="Times New Roman"/>
                <w:sz w:val="21"/>
                <w:szCs w:val="21"/>
              </w:rPr>
              <w:t>e</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万m</w:t>
            </w:r>
            <w:r>
              <w:rPr>
                <w:rFonts w:hint="eastAsia" w:ascii="Times New Roman" w:hAnsi="Times New Roman" w:eastAsia="仿宋_GB2312"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widowControl w:val="0"/>
              <w:snapToGrid w:val="0"/>
              <w:spacing w:line="360" w:lineRule="auto"/>
              <w:jc w:val="center"/>
              <w:rPr>
                <w:rFonts w:hint="eastAsia" w:ascii="Times New Roman" w:hAnsi="Times New Roman" w:eastAsia="仿宋_GB2312" w:cs="Times New Roman"/>
                <w:sz w:val="21"/>
                <w:szCs w:val="21"/>
              </w:rPr>
            </w:pPr>
          </w:p>
        </w:tc>
        <w:tc>
          <w:tcPr>
            <w:tcW w:w="1365"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化石燃料燃烧</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外购电力</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外购热力</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废水厌氧处理</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输出电力</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输出热力</w:t>
            </w:r>
          </w:p>
        </w:tc>
        <w:tc>
          <w:tcPr>
            <w:tcW w:w="969"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二氧化碳回收利用</w:t>
            </w:r>
          </w:p>
        </w:tc>
        <w:tc>
          <w:tcPr>
            <w:tcW w:w="1012" w:type="dxa"/>
            <w:vMerge w:val="continue"/>
            <w:vAlign w:val="center"/>
          </w:tcPr>
          <w:p>
            <w:pPr>
              <w:widowControl w:val="0"/>
              <w:snapToGrid w:val="0"/>
              <w:spacing w:line="360" w:lineRule="auto"/>
              <w:jc w:val="center"/>
              <w:rPr>
                <w:rFonts w:hint="eastAsia"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A</w:t>
            </w:r>
          </w:p>
        </w:tc>
        <w:tc>
          <w:tcPr>
            <w:tcW w:w="1365"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xml:space="preserve">柴油 </w:t>
            </w:r>
            <w:r>
              <w:rPr>
                <w:rFonts w:ascii="Times New Roman" w:hAnsi="Times New Roman" w:eastAsia="仿宋_GB2312" w:cs="Times New Roman"/>
                <w:sz w:val="21"/>
                <w:szCs w:val="21"/>
              </w:rPr>
              <w:t>7</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w:t>
            </w:r>
            <w:r>
              <w:rPr>
                <w:rFonts w:ascii="Times New Roman" w:hAnsi="Times New Roman" w:eastAsia="仿宋_GB2312" w:cs="Times New Roman"/>
                <w:sz w:val="21"/>
                <w:szCs w:val="21"/>
              </w:rPr>
              <w:t>988</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4</w:t>
            </w:r>
            <w:r>
              <w:rPr>
                <w:rFonts w:ascii="Times New Roman" w:hAnsi="Times New Roman" w:eastAsia="仿宋_GB2312" w:cs="Times New Roman"/>
                <w:sz w:val="21"/>
                <w:szCs w:val="21"/>
              </w:rPr>
              <w:t>094</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969"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ascii="Times New Roman" w:hAnsi="Times New Roman" w:eastAsia="仿宋_GB2312" w:cs="Times New Roman"/>
                <w:sz w:val="21"/>
                <w:szCs w:val="21"/>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B</w:t>
            </w:r>
          </w:p>
        </w:tc>
        <w:tc>
          <w:tcPr>
            <w:tcW w:w="1365"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4</w:t>
            </w:r>
            <w:r>
              <w:rPr>
                <w:rFonts w:ascii="Times New Roman" w:hAnsi="Times New Roman" w:eastAsia="仿宋_GB2312" w:cs="Times New Roman"/>
                <w:sz w:val="21"/>
                <w:szCs w:val="21"/>
              </w:rPr>
              <w:t>133</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w:t>
            </w:r>
            <w:r>
              <w:rPr>
                <w:rFonts w:ascii="Times New Roman" w:hAnsi="Times New Roman" w:eastAsia="仿宋_GB2312" w:cs="Times New Roman"/>
                <w:sz w:val="21"/>
                <w:szCs w:val="21"/>
              </w:rPr>
              <w:t>2151</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969"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ascii="Times New Roman" w:hAnsi="Times New Roman" w:eastAsia="仿宋_GB2312" w:cs="Times New Roman"/>
                <w:sz w:val="21"/>
                <w:szCs w:val="21"/>
              </w:rPr>
              <w:t>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C</w:t>
            </w:r>
          </w:p>
        </w:tc>
        <w:tc>
          <w:tcPr>
            <w:tcW w:w="1365"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ascii="Times New Roman" w:hAnsi="Times New Roman" w:eastAsia="仿宋_GB2312" w:cs="Times New Roman"/>
                <w:sz w:val="21"/>
                <w:szCs w:val="21"/>
              </w:rPr>
              <w:t>天然气</w:t>
            </w:r>
            <w:r>
              <w:rPr>
                <w:rFonts w:hint="eastAsia" w:ascii="Times New Roman" w:hAnsi="Times New Roman" w:eastAsia="仿宋_GB2312" w:cs="Times New Roman"/>
                <w:sz w:val="21"/>
                <w:szCs w:val="21"/>
              </w:rPr>
              <w:t>2</w:t>
            </w:r>
            <w:r>
              <w:rPr>
                <w:rFonts w:ascii="Times New Roman" w:hAnsi="Times New Roman" w:eastAsia="仿宋_GB2312" w:cs="Times New Roman"/>
                <w:sz w:val="21"/>
                <w:szCs w:val="21"/>
              </w:rPr>
              <w:t>2078</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w:t>
            </w:r>
            <w:r>
              <w:rPr>
                <w:rFonts w:ascii="Times New Roman" w:hAnsi="Times New Roman" w:eastAsia="仿宋_GB2312" w:cs="Times New Roman"/>
                <w:sz w:val="21"/>
                <w:szCs w:val="21"/>
              </w:rPr>
              <w:t>76419</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4</w:t>
            </w:r>
            <w:r>
              <w:rPr>
                <w:rFonts w:ascii="Times New Roman" w:hAnsi="Times New Roman" w:eastAsia="仿宋_GB2312" w:cs="Times New Roman"/>
                <w:sz w:val="21"/>
                <w:szCs w:val="21"/>
              </w:rPr>
              <w:t>00843</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969"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ascii="Times New Roman" w:hAnsi="Times New Roman" w:eastAsia="仿宋_GB2312" w:cs="Times New Roman"/>
                <w:sz w:val="21"/>
                <w:szCs w:val="21"/>
              </w:rPr>
              <w:t>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D</w:t>
            </w:r>
          </w:p>
        </w:tc>
        <w:tc>
          <w:tcPr>
            <w:tcW w:w="1365"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天然气、汽油、柴油6</w:t>
            </w:r>
            <w:r>
              <w:rPr>
                <w:rFonts w:ascii="Times New Roman" w:hAnsi="Times New Roman" w:eastAsia="仿宋_GB2312" w:cs="Times New Roman"/>
                <w:sz w:val="21"/>
                <w:szCs w:val="21"/>
              </w:rPr>
              <w:t>827</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w:t>
            </w:r>
            <w:r>
              <w:rPr>
                <w:rFonts w:ascii="Times New Roman" w:hAnsi="Times New Roman" w:eastAsia="仿宋_GB2312" w:cs="Times New Roman"/>
                <w:sz w:val="21"/>
                <w:szCs w:val="21"/>
              </w:rPr>
              <w:t>4962</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969"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p>
        </w:tc>
        <w:tc>
          <w:tcPr>
            <w:tcW w:w="1012" w:type="dxa"/>
            <w:vAlign w:val="center"/>
          </w:tcPr>
          <w:p>
            <w:pPr>
              <w:widowControl w:val="0"/>
              <w:snapToGrid w:val="0"/>
              <w:spacing w:line="360" w:lineRule="auto"/>
              <w:jc w:val="center"/>
              <w:rPr>
                <w:rFonts w:hint="eastAsia" w:ascii="Times New Roman" w:hAnsi="Times New Roman" w:eastAsia="仿宋_GB2312" w:cs="Times New Roman"/>
                <w:sz w:val="21"/>
                <w:szCs w:val="21"/>
              </w:rPr>
            </w:pPr>
            <w:r>
              <w:rPr>
                <w:rFonts w:ascii="Times New Roman" w:hAnsi="Times New Roman" w:eastAsia="仿宋_GB2312" w:cs="Times New Roman"/>
                <w:sz w:val="21"/>
                <w:szCs w:val="21"/>
              </w:rPr>
              <w:t>2.28</w:t>
            </w:r>
          </w:p>
        </w:tc>
      </w:tr>
    </w:tbl>
    <w:p>
      <w:pPr>
        <w:snapToGrid w:val="0"/>
        <w:spacing w:line="360" w:lineRule="auto"/>
        <w:ind w:firstLine="480" w:firstLineChars="200"/>
        <w:rPr>
          <w:rFonts w:ascii="Times New Roman" w:hAnsi="Times New Roman" w:eastAsia="仿宋_GB2312" w:cs="Times New Roman"/>
        </w:rPr>
      </w:pPr>
      <w:r>
        <w:rPr>
          <w:rFonts w:hint="eastAsia" w:ascii="Times New Roman" w:hAnsi="Times New Roman" w:eastAsia="仿宋_GB2312" w:cs="Times New Roman"/>
        </w:rPr>
        <w:t>经过验证</w:t>
      </w:r>
      <w:r>
        <w:rPr>
          <w:rFonts w:ascii="Times New Roman" w:hAnsi="Times New Roman" w:eastAsia="仿宋_GB2312" w:cs="Times New Roman"/>
        </w:rPr>
        <w:t>，本文</w:t>
      </w:r>
      <w:r>
        <w:rPr>
          <w:rFonts w:hint="eastAsia" w:ascii="Times New Roman" w:hAnsi="Times New Roman" w:eastAsia="仿宋_GB2312" w:cs="Times New Roman"/>
        </w:rPr>
        <w:t>件可以</w:t>
      </w:r>
      <w:r>
        <w:rPr>
          <w:rFonts w:ascii="Times New Roman" w:hAnsi="Times New Roman" w:eastAsia="仿宋_GB2312" w:cs="Times New Roman"/>
        </w:rPr>
        <w:t>识别</w:t>
      </w:r>
      <w:r>
        <w:rPr>
          <w:rFonts w:hint="eastAsia" w:ascii="Times New Roman" w:hAnsi="Times New Roman" w:eastAsia="仿宋_GB2312" w:cs="Times New Roman"/>
        </w:rPr>
        <w:t>人造革</w:t>
      </w:r>
      <w:r>
        <w:rPr>
          <w:rFonts w:ascii="Times New Roman" w:hAnsi="Times New Roman" w:eastAsia="仿宋_GB2312" w:cs="Times New Roman"/>
        </w:rPr>
        <w:t>与合成革企业各类主要的温室气体排放源和温室气体</w:t>
      </w:r>
      <w:r>
        <w:rPr>
          <w:rFonts w:hint="eastAsia" w:ascii="Times New Roman" w:hAnsi="Times New Roman" w:eastAsia="仿宋_GB2312" w:cs="Times New Roman"/>
        </w:rPr>
        <w:t>种类</w:t>
      </w:r>
      <w:r>
        <w:rPr>
          <w:rFonts w:ascii="Times New Roman" w:hAnsi="Times New Roman" w:eastAsia="仿宋_GB2312" w:cs="Times New Roman"/>
        </w:rPr>
        <w:t>；本文件中提出的</w:t>
      </w:r>
      <w:r>
        <w:rPr>
          <w:rFonts w:hint="eastAsia" w:ascii="Times New Roman" w:hAnsi="Times New Roman" w:eastAsia="仿宋_GB2312" w:cs="Times New Roman"/>
        </w:rPr>
        <w:t>温室气体</w:t>
      </w:r>
      <w:r>
        <w:rPr>
          <w:rFonts w:ascii="Times New Roman" w:hAnsi="Times New Roman" w:eastAsia="仿宋_GB2312" w:cs="Times New Roman"/>
        </w:rPr>
        <w:t>核算有关</w:t>
      </w:r>
      <w:r>
        <w:rPr>
          <w:rFonts w:hint="eastAsia" w:ascii="Times New Roman" w:hAnsi="Times New Roman" w:eastAsia="仿宋_GB2312" w:cs="Times New Roman"/>
        </w:rPr>
        <w:t>活动</w:t>
      </w:r>
      <w:r>
        <w:rPr>
          <w:rFonts w:ascii="Times New Roman" w:hAnsi="Times New Roman" w:eastAsia="仿宋_GB2312" w:cs="Times New Roman"/>
        </w:rPr>
        <w:t>数据、排放因子等参数，企业可依托现有统计计量基础</w:t>
      </w:r>
      <w:r>
        <w:rPr>
          <w:rFonts w:hint="eastAsia" w:ascii="Times New Roman" w:hAnsi="Times New Roman" w:eastAsia="仿宋_GB2312" w:cs="Times New Roman"/>
        </w:rPr>
        <w:t>或者选取标准</w:t>
      </w:r>
      <w:r>
        <w:rPr>
          <w:rFonts w:ascii="Times New Roman" w:hAnsi="Times New Roman" w:eastAsia="仿宋_GB2312" w:cs="Times New Roman"/>
        </w:rPr>
        <w:t>中提出的缺省值进行获取</w:t>
      </w:r>
      <w:r>
        <w:rPr>
          <w:rFonts w:hint="eastAsia" w:ascii="Times New Roman" w:hAnsi="Times New Roman" w:eastAsia="仿宋_GB2312" w:cs="Times New Roman"/>
        </w:rPr>
        <w:t>；企业</w:t>
      </w:r>
      <w:r>
        <w:rPr>
          <w:rFonts w:ascii="Times New Roman" w:hAnsi="Times New Roman" w:eastAsia="仿宋_GB2312" w:cs="Times New Roman"/>
        </w:rPr>
        <w:t>可通过本标准</w:t>
      </w:r>
      <w:r>
        <w:rPr>
          <w:rFonts w:hint="eastAsia" w:ascii="Times New Roman" w:hAnsi="Times New Roman" w:eastAsia="仿宋_GB2312" w:cs="Times New Roman"/>
        </w:rPr>
        <w:t>中</w:t>
      </w:r>
      <w:r>
        <w:rPr>
          <w:rFonts w:ascii="Times New Roman" w:hAnsi="Times New Roman" w:eastAsia="仿宋_GB2312" w:cs="Times New Roman"/>
        </w:rPr>
        <w:t>规定的核算方法</w:t>
      </w:r>
      <w:r>
        <w:rPr>
          <w:rFonts w:hint="eastAsia" w:ascii="Times New Roman" w:hAnsi="Times New Roman" w:eastAsia="仿宋_GB2312" w:cs="Times New Roman"/>
        </w:rPr>
        <w:t>，</w:t>
      </w:r>
      <w:r>
        <w:rPr>
          <w:rFonts w:ascii="Times New Roman" w:hAnsi="Times New Roman" w:eastAsia="仿宋_GB2312" w:cs="Times New Roman"/>
        </w:rPr>
        <w:t>核算企业核算边界内的温室气体</w:t>
      </w:r>
      <w:r>
        <w:rPr>
          <w:rFonts w:hint="eastAsia" w:ascii="Times New Roman" w:hAnsi="Times New Roman" w:eastAsia="仿宋_GB2312" w:cs="Times New Roman"/>
        </w:rPr>
        <w:t>排放</w:t>
      </w:r>
      <w:r>
        <w:rPr>
          <w:rFonts w:ascii="Times New Roman" w:hAnsi="Times New Roman" w:eastAsia="仿宋_GB2312" w:cs="Times New Roman"/>
        </w:rPr>
        <w:t>量</w:t>
      </w:r>
      <w:r>
        <w:rPr>
          <w:rFonts w:hint="eastAsia" w:ascii="Times New Roman" w:hAnsi="Times New Roman" w:eastAsia="仿宋_GB2312" w:cs="Times New Roman"/>
        </w:rPr>
        <w:t>。本标准验证结果基本可以满足制定本标准的需要。各项要求合理，可靠。目前，人造革合成革企业的温室气体排放来源主要为化石燃料燃烧和购入的电力及热力排放。对于废水厌氧处理的温室气体排放及温室气体的回收利用，企业在实际核查过程中还未涉及。鉴于人造革合成革企业的废水排放量较大且部分工序废水浓度较高，其厌氧处理过程中的甲烷排放量是企业温室气体排放量的一个重要来源，因此需要将这部分纳入到标准的核查范围。实际企业调研中发现，部分人造革合成革企业已经开始着手研究二氧化碳气体的固定和利用，且部分学术论文中也提及了有关利用二氧化碳作为原料生产对应合成革产品的实验，因此本标准中将温室气体回收部分的碳减排量作为核查企业温室气体排放的核减量。</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4  标准中涉及专利的情况</w:t>
      </w:r>
    </w:p>
    <w:p>
      <w:pPr>
        <w:pStyle w:val="18"/>
        <w:spacing w:line="360" w:lineRule="auto"/>
        <w:ind w:left="480"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本标准属于</w:t>
      </w:r>
      <w:r>
        <w:rPr>
          <w:rFonts w:ascii="仿宋_GB2312" w:hAnsi="仿宋_GB2312" w:eastAsia="仿宋_GB2312" w:cs="仿宋_GB2312"/>
          <w:sz w:val="24"/>
        </w:rPr>
        <w:t>温室气体核算方法标准，不涉及</w:t>
      </w:r>
      <w:r>
        <w:rPr>
          <w:rFonts w:hint="eastAsia" w:ascii="仿宋_GB2312" w:hAnsi="仿宋_GB2312" w:eastAsia="仿宋_GB2312" w:cs="仿宋_GB2312"/>
          <w:sz w:val="24"/>
        </w:rPr>
        <w:t>技术</w:t>
      </w:r>
      <w:r>
        <w:rPr>
          <w:rFonts w:ascii="仿宋_GB2312" w:hAnsi="仿宋_GB2312" w:eastAsia="仿宋_GB2312" w:cs="仿宋_GB2312"/>
          <w:sz w:val="24"/>
        </w:rPr>
        <w:t>内容和国内</w:t>
      </w:r>
      <w:r>
        <w:rPr>
          <w:rFonts w:hint="eastAsia" w:ascii="仿宋_GB2312" w:hAnsi="仿宋_GB2312" w:eastAsia="仿宋_GB2312" w:cs="仿宋_GB2312"/>
          <w:sz w:val="24"/>
        </w:rPr>
        <w:t>外相关的专利。</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5  预期达到的社会效益、对产业发展的作用等情况</w:t>
      </w:r>
    </w:p>
    <w:p>
      <w:pPr>
        <w:pStyle w:val="128"/>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人造革</w:t>
      </w:r>
      <w:r>
        <w:rPr>
          <w:rFonts w:ascii="仿宋_GB2312" w:hAnsi="仿宋_GB2312" w:eastAsia="仿宋_GB2312" w:cs="仿宋_GB2312"/>
          <w:szCs w:val="21"/>
        </w:rPr>
        <w:t>与合成革行业</w:t>
      </w:r>
      <w:r>
        <w:rPr>
          <w:rFonts w:hint="eastAsia" w:ascii="仿宋_GB2312" w:hAnsi="仿宋_GB2312" w:eastAsia="仿宋_GB2312" w:cs="仿宋_GB2312"/>
          <w:szCs w:val="21"/>
        </w:rPr>
        <w:t>是</w:t>
      </w:r>
      <w:r>
        <w:rPr>
          <w:rFonts w:ascii="仿宋_GB2312" w:hAnsi="仿宋_GB2312" w:eastAsia="仿宋_GB2312" w:cs="仿宋_GB2312"/>
          <w:szCs w:val="21"/>
        </w:rPr>
        <w:t>我国轻工行业中的</w:t>
      </w:r>
      <w:r>
        <w:rPr>
          <w:rFonts w:hint="eastAsia" w:ascii="仿宋_GB2312" w:hAnsi="仿宋_GB2312" w:eastAsia="仿宋_GB2312" w:cs="仿宋_GB2312"/>
          <w:szCs w:val="21"/>
        </w:rPr>
        <w:t>典型</w:t>
      </w:r>
      <w:r>
        <w:rPr>
          <w:rFonts w:ascii="仿宋_GB2312" w:hAnsi="仿宋_GB2312" w:eastAsia="仿宋_GB2312" w:cs="仿宋_GB2312"/>
          <w:szCs w:val="21"/>
        </w:rPr>
        <w:t>行业，</w:t>
      </w:r>
      <w:r>
        <w:rPr>
          <w:rFonts w:hint="eastAsia" w:ascii="仿宋_GB2312" w:hAnsi="仿宋_GB2312" w:eastAsia="仿宋_GB2312" w:cs="仿宋_GB2312"/>
          <w:szCs w:val="21"/>
        </w:rPr>
        <w:t>已有40余年的生产历史，2022年产量近280万吨，是世界最大的生产及销售国家。为了适应</w:t>
      </w:r>
      <w:r>
        <w:rPr>
          <w:rFonts w:ascii="仿宋_GB2312" w:hAnsi="仿宋_GB2312" w:eastAsia="仿宋_GB2312" w:cs="仿宋_GB2312"/>
          <w:szCs w:val="21"/>
        </w:rPr>
        <w:t>国家的</w:t>
      </w:r>
      <w:r>
        <w:rPr>
          <w:rFonts w:hint="eastAsia" w:ascii="仿宋_GB2312" w:hAnsi="仿宋_GB2312" w:eastAsia="仿宋_GB2312" w:cs="仿宋_GB2312"/>
          <w:szCs w:val="21"/>
        </w:rPr>
        <w:t>“双碳”控制</w:t>
      </w:r>
      <w:r>
        <w:rPr>
          <w:rFonts w:ascii="仿宋_GB2312" w:hAnsi="仿宋_GB2312" w:eastAsia="仿宋_GB2312" w:cs="仿宋_GB2312"/>
          <w:szCs w:val="21"/>
        </w:rPr>
        <w:t>目标，践行绿色发展理念，</w:t>
      </w:r>
      <w:r>
        <w:rPr>
          <w:rFonts w:hint="eastAsia" w:ascii="仿宋_GB2312" w:hAnsi="仿宋_GB2312" w:eastAsia="仿宋_GB2312" w:cs="仿宋_GB2312"/>
          <w:szCs w:val="21"/>
        </w:rPr>
        <w:t>规范</w:t>
      </w:r>
      <w:r>
        <w:rPr>
          <w:rFonts w:ascii="仿宋_GB2312" w:hAnsi="仿宋_GB2312" w:eastAsia="仿宋_GB2312" w:cs="仿宋_GB2312"/>
          <w:szCs w:val="21"/>
        </w:rPr>
        <w:t>人造革</w:t>
      </w:r>
      <w:r>
        <w:rPr>
          <w:rFonts w:hint="eastAsia" w:ascii="仿宋_GB2312" w:hAnsi="仿宋_GB2312" w:eastAsia="仿宋_GB2312" w:cs="仿宋_GB2312"/>
          <w:szCs w:val="21"/>
        </w:rPr>
        <w:t>与</w:t>
      </w:r>
      <w:r>
        <w:rPr>
          <w:rFonts w:ascii="仿宋_GB2312" w:hAnsi="仿宋_GB2312" w:eastAsia="仿宋_GB2312" w:cs="仿宋_GB2312"/>
          <w:szCs w:val="21"/>
        </w:rPr>
        <w:t>合成革行业的</w:t>
      </w:r>
      <w:r>
        <w:rPr>
          <w:rFonts w:hint="eastAsia" w:ascii="仿宋_GB2312" w:hAnsi="仿宋_GB2312" w:eastAsia="仿宋_GB2312" w:cs="仿宋_GB2312"/>
          <w:szCs w:val="21"/>
        </w:rPr>
        <w:t>温室气体</w:t>
      </w:r>
      <w:r>
        <w:rPr>
          <w:rFonts w:ascii="仿宋_GB2312" w:hAnsi="仿宋_GB2312" w:eastAsia="仿宋_GB2312" w:cs="仿宋_GB2312"/>
          <w:szCs w:val="21"/>
        </w:rPr>
        <w:t>核查</w:t>
      </w:r>
      <w:r>
        <w:rPr>
          <w:rFonts w:hint="eastAsia" w:ascii="仿宋_GB2312" w:hAnsi="仿宋_GB2312" w:eastAsia="仿宋_GB2312" w:cs="仿宋_GB2312"/>
          <w:szCs w:val="21"/>
        </w:rPr>
        <w:t>过程</w:t>
      </w:r>
      <w:r>
        <w:rPr>
          <w:rFonts w:ascii="仿宋_GB2312" w:hAnsi="仿宋_GB2312" w:eastAsia="仿宋_GB2312" w:cs="仿宋_GB2312"/>
          <w:szCs w:val="21"/>
        </w:rPr>
        <w:t>，有利于</w:t>
      </w:r>
      <w:r>
        <w:rPr>
          <w:rFonts w:hint="eastAsia" w:ascii="仿宋_GB2312" w:hAnsi="仿宋_GB2312" w:eastAsia="仿宋_GB2312" w:cs="仿宋_GB2312"/>
          <w:szCs w:val="21"/>
        </w:rPr>
        <w:t>摸清行业</w:t>
      </w:r>
      <w:r>
        <w:rPr>
          <w:rFonts w:ascii="仿宋_GB2312" w:hAnsi="仿宋_GB2312" w:eastAsia="仿宋_GB2312" w:cs="仿宋_GB2312"/>
          <w:szCs w:val="21"/>
        </w:rPr>
        <w:t>内温室气体排放</w:t>
      </w:r>
      <w:r>
        <w:rPr>
          <w:rFonts w:hint="eastAsia" w:ascii="仿宋_GB2312" w:hAnsi="仿宋_GB2312" w:eastAsia="仿宋_GB2312" w:cs="仿宋_GB2312"/>
          <w:szCs w:val="21"/>
        </w:rPr>
        <w:t>底数</w:t>
      </w:r>
      <w:r>
        <w:rPr>
          <w:rFonts w:ascii="仿宋_GB2312" w:hAnsi="仿宋_GB2312" w:eastAsia="仿宋_GB2312" w:cs="仿宋_GB2312"/>
          <w:szCs w:val="21"/>
        </w:rPr>
        <w:t>，为</w:t>
      </w:r>
      <w:r>
        <w:rPr>
          <w:rFonts w:hint="eastAsia" w:ascii="仿宋_GB2312" w:hAnsi="仿宋_GB2312" w:eastAsia="仿宋_GB2312" w:cs="仿宋_GB2312"/>
          <w:szCs w:val="21"/>
        </w:rPr>
        <w:t>后期</w:t>
      </w:r>
      <w:r>
        <w:rPr>
          <w:rFonts w:ascii="仿宋_GB2312" w:hAnsi="仿宋_GB2312" w:eastAsia="仿宋_GB2312" w:cs="仿宋_GB2312"/>
          <w:szCs w:val="21"/>
        </w:rPr>
        <w:t>行业相关温室气体</w:t>
      </w:r>
      <w:r>
        <w:rPr>
          <w:rFonts w:hint="eastAsia" w:ascii="仿宋_GB2312" w:hAnsi="仿宋_GB2312" w:eastAsia="仿宋_GB2312" w:cs="仿宋_GB2312"/>
          <w:szCs w:val="21"/>
        </w:rPr>
        <w:t>强度</w:t>
      </w:r>
      <w:r>
        <w:rPr>
          <w:rFonts w:ascii="仿宋_GB2312" w:hAnsi="仿宋_GB2312" w:eastAsia="仿宋_GB2312" w:cs="仿宋_GB2312"/>
          <w:szCs w:val="21"/>
        </w:rPr>
        <w:t>核算、温室气体减排</w:t>
      </w:r>
      <w:r>
        <w:rPr>
          <w:rFonts w:hint="eastAsia" w:ascii="仿宋_GB2312" w:hAnsi="仿宋_GB2312" w:eastAsia="仿宋_GB2312" w:cs="仿宋_GB2312"/>
          <w:szCs w:val="21"/>
        </w:rPr>
        <w:t>技术</w:t>
      </w:r>
      <w:r>
        <w:rPr>
          <w:rFonts w:ascii="仿宋_GB2312" w:hAnsi="仿宋_GB2312" w:eastAsia="仿宋_GB2312" w:cs="仿宋_GB2312"/>
          <w:szCs w:val="21"/>
        </w:rPr>
        <w:t>研究等提供</w:t>
      </w:r>
      <w:r>
        <w:rPr>
          <w:rFonts w:hint="eastAsia" w:ascii="仿宋_GB2312" w:hAnsi="仿宋_GB2312" w:eastAsia="仿宋_GB2312" w:cs="仿宋_GB2312"/>
          <w:szCs w:val="21"/>
        </w:rPr>
        <w:t>支撑</w:t>
      </w:r>
      <w:r>
        <w:rPr>
          <w:rFonts w:ascii="仿宋_GB2312" w:hAnsi="仿宋_GB2312" w:eastAsia="仿宋_GB2312" w:cs="仿宋_GB2312"/>
          <w:szCs w:val="21"/>
        </w:rPr>
        <w:t>。</w:t>
      </w:r>
    </w:p>
    <w:p>
      <w:pPr>
        <w:pStyle w:val="128"/>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目前，</w:t>
      </w:r>
      <w:r>
        <w:rPr>
          <w:rFonts w:ascii="仿宋_GB2312" w:hAnsi="仿宋_GB2312" w:eastAsia="仿宋_GB2312" w:cs="仿宋_GB2312"/>
          <w:szCs w:val="21"/>
        </w:rPr>
        <w:t>全国还未发布</w:t>
      </w:r>
      <w:r>
        <w:rPr>
          <w:rFonts w:hint="eastAsia" w:ascii="仿宋_GB2312" w:hAnsi="仿宋_GB2312" w:eastAsia="仿宋_GB2312" w:cs="仿宋_GB2312"/>
          <w:szCs w:val="21"/>
        </w:rPr>
        <w:t>针对</w:t>
      </w:r>
      <w:r>
        <w:rPr>
          <w:rFonts w:ascii="仿宋_GB2312" w:hAnsi="仿宋_GB2312" w:eastAsia="仿宋_GB2312" w:cs="仿宋_GB2312"/>
          <w:szCs w:val="21"/>
        </w:rPr>
        <w:t>人造革与合成革</w:t>
      </w:r>
      <w:r>
        <w:rPr>
          <w:rFonts w:hint="eastAsia" w:ascii="仿宋_GB2312" w:hAnsi="仿宋_GB2312" w:eastAsia="仿宋_GB2312" w:cs="仿宋_GB2312"/>
          <w:szCs w:val="21"/>
        </w:rPr>
        <w:t>行业</w:t>
      </w:r>
      <w:r>
        <w:rPr>
          <w:rFonts w:ascii="仿宋_GB2312" w:hAnsi="仿宋_GB2312" w:eastAsia="仿宋_GB2312" w:cs="仿宋_GB2312"/>
          <w:szCs w:val="21"/>
        </w:rPr>
        <w:t>的温室气体核算</w:t>
      </w:r>
      <w:r>
        <w:rPr>
          <w:rFonts w:hint="eastAsia" w:ascii="仿宋_GB2312" w:hAnsi="仿宋_GB2312" w:eastAsia="仿宋_GB2312" w:cs="仿宋_GB2312"/>
          <w:szCs w:val="21"/>
        </w:rPr>
        <w:t>方法</w:t>
      </w:r>
      <w:r>
        <w:rPr>
          <w:rFonts w:ascii="仿宋_GB2312" w:hAnsi="仿宋_GB2312" w:eastAsia="仿宋_GB2312" w:cs="仿宋_GB2312"/>
          <w:szCs w:val="21"/>
        </w:rPr>
        <w:t>和</w:t>
      </w:r>
      <w:r>
        <w:rPr>
          <w:rFonts w:hint="eastAsia" w:ascii="仿宋_GB2312" w:hAnsi="仿宋_GB2312" w:eastAsia="仿宋_GB2312" w:cs="仿宋_GB2312"/>
          <w:szCs w:val="21"/>
        </w:rPr>
        <w:t>报告</w:t>
      </w:r>
      <w:r>
        <w:rPr>
          <w:rFonts w:ascii="仿宋_GB2312" w:hAnsi="仿宋_GB2312" w:eastAsia="仿宋_GB2312" w:cs="仿宋_GB2312"/>
          <w:szCs w:val="21"/>
        </w:rPr>
        <w:t>编制要求，</w:t>
      </w:r>
      <w:r>
        <w:rPr>
          <w:rFonts w:hint="eastAsia" w:ascii="仿宋_GB2312" w:hAnsi="仿宋_GB2312" w:eastAsia="仿宋_GB2312" w:cs="仿宋_GB2312"/>
          <w:szCs w:val="21"/>
        </w:rPr>
        <w:t>大多数行业</w:t>
      </w:r>
      <w:r>
        <w:rPr>
          <w:rFonts w:ascii="仿宋_GB2312" w:hAnsi="仿宋_GB2312" w:eastAsia="仿宋_GB2312" w:cs="仿宋_GB2312"/>
          <w:szCs w:val="21"/>
        </w:rPr>
        <w:t>内企业并未对温室气体的排放情况进行核算。</w:t>
      </w:r>
      <w:r>
        <w:rPr>
          <w:rFonts w:hint="eastAsia" w:ascii="仿宋_GB2312" w:hAnsi="仿宋_GB2312" w:eastAsia="仿宋_GB2312" w:cs="仿宋_GB2312"/>
          <w:szCs w:val="21"/>
        </w:rPr>
        <w:t>部分行业</w:t>
      </w:r>
      <w:r>
        <w:rPr>
          <w:rFonts w:ascii="仿宋_GB2312" w:hAnsi="仿宋_GB2312" w:eastAsia="仿宋_GB2312" w:cs="仿宋_GB2312"/>
          <w:szCs w:val="21"/>
        </w:rPr>
        <w:t>头部企业</w:t>
      </w:r>
      <w:r>
        <w:rPr>
          <w:rFonts w:hint="eastAsia" w:ascii="仿宋_GB2312" w:hAnsi="仿宋_GB2312" w:eastAsia="仿宋_GB2312" w:cs="仿宋_GB2312"/>
          <w:szCs w:val="21"/>
        </w:rPr>
        <w:t>为推进</w:t>
      </w:r>
      <w:r>
        <w:rPr>
          <w:rFonts w:ascii="仿宋_GB2312" w:hAnsi="仿宋_GB2312" w:eastAsia="仿宋_GB2312" w:cs="仿宋_GB2312"/>
          <w:szCs w:val="21"/>
        </w:rPr>
        <w:t>绿色制造，提高自身</w:t>
      </w:r>
      <w:r>
        <w:rPr>
          <w:rFonts w:hint="eastAsia" w:ascii="仿宋_GB2312" w:hAnsi="仿宋_GB2312" w:eastAsia="仿宋_GB2312" w:cs="仿宋_GB2312"/>
          <w:szCs w:val="21"/>
        </w:rPr>
        <w:t>绿色</w:t>
      </w:r>
      <w:r>
        <w:rPr>
          <w:rFonts w:ascii="仿宋_GB2312" w:hAnsi="仿宋_GB2312" w:eastAsia="仿宋_GB2312" w:cs="仿宋_GB2312"/>
          <w:szCs w:val="21"/>
        </w:rPr>
        <w:t>发展水平</w:t>
      </w:r>
      <w:r>
        <w:rPr>
          <w:rFonts w:hint="eastAsia" w:ascii="仿宋_GB2312" w:hAnsi="仿宋_GB2312" w:eastAsia="仿宋_GB2312" w:cs="仿宋_GB2312"/>
          <w:szCs w:val="21"/>
        </w:rPr>
        <w:t>或</w:t>
      </w:r>
      <w:r>
        <w:rPr>
          <w:rFonts w:ascii="仿宋_GB2312" w:hAnsi="仿宋_GB2312" w:eastAsia="仿宋_GB2312" w:cs="仿宋_GB2312"/>
          <w:szCs w:val="21"/>
        </w:rPr>
        <w:t>基于地方管理部门相关要求，对自身温室气体排放情况进行核查</w:t>
      </w:r>
      <w:r>
        <w:rPr>
          <w:rFonts w:hint="eastAsia" w:ascii="仿宋_GB2312" w:hAnsi="仿宋_GB2312" w:eastAsia="仿宋_GB2312" w:cs="仿宋_GB2312"/>
          <w:szCs w:val="21"/>
        </w:rPr>
        <w:t>，</w:t>
      </w:r>
      <w:r>
        <w:rPr>
          <w:rFonts w:ascii="仿宋_GB2312" w:hAnsi="仿宋_GB2312" w:eastAsia="仿宋_GB2312" w:cs="仿宋_GB2312"/>
          <w:szCs w:val="21"/>
        </w:rPr>
        <w:t>核查以</w:t>
      </w:r>
      <w:r>
        <w:rPr>
          <w:rFonts w:hint="eastAsia" w:ascii="仿宋_GB2312" w:hAnsi="仿宋_GB2312" w:eastAsia="仿宋_GB2312" w:cs="仿宋_GB2312"/>
          <w:szCs w:val="21"/>
        </w:rPr>
        <w:t>国家</w:t>
      </w:r>
      <w:r>
        <w:rPr>
          <w:rFonts w:ascii="仿宋_GB2312" w:hAnsi="仿宋_GB2312" w:eastAsia="仿宋_GB2312" w:cs="仿宋_GB2312"/>
          <w:szCs w:val="21"/>
        </w:rPr>
        <w:t>《</w:t>
      </w:r>
      <w:r>
        <w:rPr>
          <w:rFonts w:hint="eastAsia" w:ascii="仿宋_GB2312" w:hAnsi="仿宋_GB2312" w:eastAsia="仿宋_GB2312" w:cs="仿宋_GB2312"/>
          <w:szCs w:val="21"/>
        </w:rPr>
        <w:t>工业</w:t>
      </w:r>
      <w:r>
        <w:rPr>
          <w:rFonts w:ascii="仿宋_GB2312" w:hAnsi="仿宋_GB2312" w:eastAsia="仿宋_GB2312" w:cs="仿宋_GB2312"/>
          <w:szCs w:val="21"/>
        </w:rPr>
        <w:t>其他</w:t>
      </w:r>
      <w:r>
        <w:rPr>
          <w:rFonts w:hint="eastAsia" w:ascii="仿宋_GB2312" w:hAnsi="仿宋_GB2312" w:eastAsia="仿宋_GB2312" w:cs="仿宋_GB2312"/>
          <w:szCs w:val="21"/>
        </w:rPr>
        <w:t>行业</w:t>
      </w:r>
      <w:r>
        <w:rPr>
          <w:rFonts w:ascii="仿宋_GB2312" w:hAnsi="仿宋_GB2312" w:eastAsia="仿宋_GB2312" w:cs="仿宋_GB2312"/>
          <w:szCs w:val="21"/>
        </w:rPr>
        <w:t>企业温室气体核算方法和报告指南（</w:t>
      </w:r>
      <w:r>
        <w:rPr>
          <w:rFonts w:hint="eastAsia" w:ascii="仿宋_GB2312" w:hAnsi="仿宋_GB2312" w:eastAsia="仿宋_GB2312" w:cs="仿宋_GB2312"/>
          <w:szCs w:val="21"/>
        </w:rPr>
        <w:t>试行</w:t>
      </w:r>
      <w:r>
        <w:rPr>
          <w:rFonts w:ascii="仿宋_GB2312" w:hAnsi="仿宋_GB2312" w:eastAsia="仿宋_GB2312" w:cs="仿宋_GB2312"/>
          <w:szCs w:val="21"/>
        </w:rPr>
        <w:t>）》</w:t>
      </w:r>
      <w:r>
        <w:rPr>
          <w:rFonts w:hint="eastAsia" w:ascii="仿宋_GB2312" w:hAnsi="仿宋_GB2312" w:eastAsia="仿宋_GB2312" w:cs="仿宋_GB2312"/>
          <w:szCs w:val="21"/>
        </w:rPr>
        <w:t>或</w:t>
      </w:r>
      <w:r>
        <w:rPr>
          <w:rFonts w:ascii="仿宋_GB2312" w:hAnsi="仿宋_GB2312" w:eastAsia="仿宋_GB2312" w:cs="仿宋_GB2312"/>
          <w:szCs w:val="21"/>
        </w:rPr>
        <w:t>地方</w:t>
      </w:r>
      <w:r>
        <w:rPr>
          <w:rFonts w:hint="eastAsia" w:ascii="仿宋_GB2312" w:hAnsi="仿宋_GB2312" w:eastAsia="仿宋_GB2312" w:cs="仿宋_GB2312"/>
          <w:szCs w:val="21"/>
        </w:rPr>
        <w:t>类似</w:t>
      </w:r>
      <w:r>
        <w:rPr>
          <w:rFonts w:ascii="仿宋_GB2312" w:hAnsi="仿宋_GB2312" w:eastAsia="仿宋_GB2312" w:cs="仿宋_GB2312"/>
          <w:szCs w:val="21"/>
        </w:rPr>
        <w:t>标准</w:t>
      </w:r>
      <w:r>
        <w:rPr>
          <w:rFonts w:hint="eastAsia" w:ascii="仿宋_GB2312" w:hAnsi="仿宋_GB2312" w:eastAsia="仿宋_GB2312" w:cs="仿宋_GB2312"/>
          <w:szCs w:val="21"/>
        </w:rPr>
        <w:t>作为</w:t>
      </w:r>
      <w:r>
        <w:rPr>
          <w:rFonts w:ascii="仿宋_GB2312" w:hAnsi="仿宋_GB2312" w:eastAsia="仿宋_GB2312" w:cs="仿宋_GB2312"/>
          <w:szCs w:val="21"/>
        </w:rPr>
        <w:t>参考进行</w:t>
      </w:r>
      <w:r>
        <w:rPr>
          <w:rFonts w:hint="eastAsia" w:ascii="仿宋_GB2312" w:hAnsi="仿宋_GB2312" w:eastAsia="仿宋_GB2312" w:cs="仿宋_GB2312"/>
          <w:szCs w:val="21"/>
        </w:rPr>
        <w:t>核算</w:t>
      </w:r>
      <w:r>
        <w:rPr>
          <w:rFonts w:ascii="仿宋_GB2312" w:hAnsi="仿宋_GB2312" w:eastAsia="仿宋_GB2312" w:cs="仿宋_GB2312"/>
          <w:szCs w:val="21"/>
        </w:rPr>
        <w:t>和编制，</w:t>
      </w:r>
      <w:r>
        <w:rPr>
          <w:rFonts w:hint="eastAsia" w:ascii="仿宋_GB2312" w:hAnsi="仿宋_GB2312" w:eastAsia="仿宋_GB2312" w:cs="仿宋_GB2312"/>
          <w:szCs w:val="21"/>
        </w:rPr>
        <w:t>绝大多数</w:t>
      </w:r>
      <w:r>
        <w:rPr>
          <w:rFonts w:ascii="仿宋_GB2312" w:hAnsi="仿宋_GB2312" w:eastAsia="仿宋_GB2312" w:cs="仿宋_GB2312"/>
          <w:szCs w:val="21"/>
        </w:rPr>
        <w:t>只针对能源使用</w:t>
      </w:r>
      <w:r>
        <w:rPr>
          <w:rFonts w:hint="eastAsia" w:ascii="仿宋_GB2312" w:hAnsi="仿宋_GB2312" w:eastAsia="仿宋_GB2312" w:cs="仿宋_GB2312"/>
          <w:szCs w:val="21"/>
        </w:rPr>
        <w:t>部分</w:t>
      </w:r>
      <w:r>
        <w:rPr>
          <w:rFonts w:ascii="仿宋_GB2312" w:hAnsi="仿宋_GB2312" w:eastAsia="仿宋_GB2312" w:cs="仿宋_GB2312"/>
          <w:szCs w:val="21"/>
        </w:rPr>
        <w:t>进行核查，</w:t>
      </w:r>
      <w:r>
        <w:rPr>
          <w:rFonts w:hint="eastAsia" w:ascii="仿宋_GB2312" w:hAnsi="仿宋_GB2312" w:eastAsia="仿宋_GB2312" w:cs="仿宋_GB2312"/>
          <w:szCs w:val="21"/>
        </w:rPr>
        <w:t>不能很好地反映</w:t>
      </w:r>
      <w:r>
        <w:rPr>
          <w:rFonts w:ascii="仿宋_GB2312" w:hAnsi="仿宋_GB2312" w:eastAsia="仿宋_GB2312" w:cs="仿宋_GB2312"/>
          <w:szCs w:val="21"/>
        </w:rPr>
        <w:t>行业的实际情况，</w:t>
      </w:r>
      <w:r>
        <w:rPr>
          <w:rFonts w:hint="eastAsia" w:ascii="仿宋_GB2312" w:hAnsi="仿宋_GB2312" w:eastAsia="仿宋_GB2312" w:cs="仿宋_GB2312"/>
          <w:szCs w:val="21"/>
        </w:rPr>
        <w:t>核查</w:t>
      </w:r>
      <w:r>
        <w:rPr>
          <w:rFonts w:ascii="仿宋_GB2312" w:hAnsi="仿宋_GB2312" w:eastAsia="仿宋_GB2312" w:cs="仿宋_GB2312"/>
          <w:szCs w:val="21"/>
        </w:rPr>
        <w:t>数据质量还有待提高。</w:t>
      </w:r>
    </w:p>
    <w:p>
      <w:pPr>
        <w:pStyle w:val="128"/>
        <w:spacing w:line="360" w:lineRule="auto"/>
        <w:ind w:firstLine="480" w:firstLineChars="200"/>
        <w:rPr>
          <w:rFonts w:ascii="仿宋_GB2312" w:hAnsi="仿宋_GB2312" w:eastAsia="仿宋_GB2312" w:cs="仿宋_GB2312"/>
          <w:szCs w:val="21"/>
        </w:rPr>
      </w:pPr>
      <w:r>
        <w:rPr>
          <w:rFonts w:hint="eastAsia" w:ascii="仿宋_GB2312" w:hAnsi="仿宋_GB2312" w:eastAsia="仿宋_GB2312" w:cs="仿宋_GB2312"/>
          <w:szCs w:val="21"/>
        </w:rPr>
        <w:t>本标准的</w:t>
      </w:r>
      <w:r>
        <w:rPr>
          <w:rFonts w:ascii="仿宋_GB2312" w:hAnsi="仿宋_GB2312" w:eastAsia="仿宋_GB2312" w:cs="仿宋_GB2312"/>
          <w:szCs w:val="21"/>
        </w:rPr>
        <w:t>制定和发布，可填补人造革与合成革行业温室气体排放标准的</w:t>
      </w:r>
      <w:r>
        <w:rPr>
          <w:rFonts w:hint="eastAsia" w:ascii="仿宋_GB2312" w:hAnsi="仿宋_GB2312" w:eastAsia="仿宋_GB2312" w:cs="仿宋_GB2312"/>
          <w:szCs w:val="21"/>
        </w:rPr>
        <w:t>缺失、</w:t>
      </w:r>
      <w:r>
        <w:rPr>
          <w:rFonts w:ascii="仿宋_GB2312" w:hAnsi="仿宋_GB2312" w:eastAsia="仿宋_GB2312" w:cs="仿宋_GB2312"/>
          <w:szCs w:val="21"/>
        </w:rPr>
        <w:t>核算方法的不统一等问题</w:t>
      </w:r>
      <w:r>
        <w:rPr>
          <w:rFonts w:hint="eastAsia" w:ascii="仿宋_GB2312" w:hAnsi="仿宋_GB2312" w:eastAsia="仿宋_GB2312" w:cs="仿宋_GB2312"/>
          <w:szCs w:val="21"/>
        </w:rPr>
        <w:t>；有利于</w:t>
      </w:r>
      <w:r>
        <w:rPr>
          <w:rFonts w:ascii="仿宋_GB2312" w:hAnsi="仿宋_GB2312" w:eastAsia="仿宋_GB2312" w:cs="仿宋_GB2312"/>
          <w:szCs w:val="21"/>
        </w:rPr>
        <w:t>行业</w:t>
      </w:r>
      <w:r>
        <w:rPr>
          <w:rFonts w:hint="eastAsia" w:ascii="仿宋_GB2312" w:hAnsi="仿宋_GB2312" w:eastAsia="仿宋_GB2312" w:cs="仿宋_GB2312"/>
          <w:szCs w:val="21"/>
        </w:rPr>
        <w:t>探索</w:t>
      </w:r>
      <w:r>
        <w:rPr>
          <w:rFonts w:ascii="仿宋_GB2312" w:hAnsi="仿宋_GB2312" w:eastAsia="仿宋_GB2312" w:cs="仿宋_GB2312"/>
          <w:szCs w:val="21"/>
        </w:rPr>
        <w:t>发展低碳产业链，</w:t>
      </w:r>
      <w:r>
        <w:rPr>
          <w:rFonts w:hint="eastAsia" w:ascii="仿宋_GB2312" w:hAnsi="仿宋_GB2312" w:eastAsia="仿宋_GB2312" w:cs="仿宋_GB2312"/>
          <w:szCs w:val="21"/>
        </w:rPr>
        <w:t>后期</w:t>
      </w:r>
      <w:r>
        <w:rPr>
          <w:rFonts w:ascii="仿宋_GB2312" w:hAnsi="仿宋_GB2312" w:eastAsia="仿宋_GB2312" w:cs="仿宋_GB2312"/>
          <w:szCs w:val="21"/>
        </w:rPr>
        <w:t>全国碳交易市场发展成熟后，</w:t>
      </w:r>
      <w:r>
        <w:rPr>
          <w:rFonts w:hint="eastAsia" w:ascii="仿宋_GB2312" w:hAnsi="仿宋_GB2312" w:eastAsia="仿宋_GB2312" w:cs="仿宋_GB2312"/>
          <w:szCs w:val="21"/>
        </w:rPr>
        <w:t>指导</w:t>
      </w:r>
      <w:r>
        <w:rPr>
          <w:rFonts w:ascii="仿宋_GB2312" w:hAnsi="仿宋_GB2312" w:eastAsia="仿宋_GB2312" w:cs="仿宋_GB2312"/>
          <w:szCs w:val="21"/>
        </w:rPr>
        <w:t>人造革与合成革企业</w:t>
      </w:r>
      <w:r>
        <w:rPr>
          <w:rFonts w:hint="eastAsia" w:ascii="仿宋_GB2312" w:hAnsi="仿宋_GB2312" w:eastAsia="仿宋_GB2312" w:cs="仿宋_GB2312"/>
          <w:szCs w:val="21"/>
        </w:rPr>
        <w:t>有效</w:t>
      </w:r>
      <w:r>
        <w:rPr>
          <w:rFonts w:ascii="仿宋_GB2312" w:hAnsi="仿宋_GB2312" w:eastAsia="仿宋_GB2312" w:cs="仿宋_GB2312"/>
          <w:szCs w:val="21"/>
        </w:rPr>
        <w:t>参与碳市场交易</w:t>
      </w:r>
      <w:r>
        <w:rPr>
          <w:rFonts w:hint="eastAsia" w:ascii="仿宋_GB2312" w:hAnsi="仿宋_GB2312" w:eastAsia="仿宋_GB2312" w:cs="仿宋_GB2312"/>
          <w:szCs w:val="21"/>
        </w:rPr>
        <w:t>；有利于</w:t>
      </w:r>
      <w:r>
        <w:rPr>
          <w:rFonts w:ascii="仿宋_GB2312" w:hAnsi="仿宋_GB2312" w:eastAsia="仿宋_GB2312" w:cs="仿宋_GB2312"/>
          <w:szCs w:val="21"/>
        </w:rPr>
        <w:t>摸清行业温室气体排放的</w:t>
      </w:r>
      <w:r>
        <w:rPr>
          <w:rFonts w:hint="eastAsia" w:ascii="仿宋_GB2312" w:hAnsi="仿宋_GB2312" w:eastAsia="仿宋_GB2312" w:cs="仿宋_GB2312"/>
          <w:szCs w:val="21"/>
        </w:rPr>
        <w:t>底数</w:t>
      </w:r>
      <w:r>
        <w:rPr>
          <w:rFonts w:ascii="仿宋_GB2312" w:hAnsi="仿宋_GB2312" w:eastAsia="仿宋_GB2312" w:cs="仿宋_GB2312"/>
          <w:szCs w:val="21"/>
        </w:rPr>
        <w:t>、特点和排放规律，</w:t>
      </w:r>
      <w:r>
        <w:rPr>
          <w:rFonts w:hint="eastAsia" w:ascii="仿宋_GB2312" w:hAnsi="仿宋_GB2312" w:eastAsia="仿宋_GB2312" w:cs="仿宋_GB2312"/>
          <w:szCs w:val="21"/>
        </w:rPr>
        <w:t>助力</w:t>
      </w:r>
      <w:r>
        <w:rPr>
          <w:rFonts w:ascii="仿宋_GB2312" w:hAnsi="仿宋_GB2312" w:eastAsia="仿宋_GB2312" w:cs="仿宋_GB2312"/>
          <w:szCs w:val="21"/>
        </w:rPr>
        <w:t>提升行业的绿色低碳水平</w:t>
      </w:r>
      <w:r>
        <w:rPr>
          <w:rFonts w:hint="eastAsia" w:ascii="仿宋_GB2312" w:hAnsi="仿宋_GB2312" w:eastAsia="仿宋_GB2312" w:cs="仿宋_GB2312"/>
          <w:szCs w:val="21"/>
        </w:rPr>
        <w:t>。</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6  采用国际标准和国外先进标准情况，与国际、国外同类标准水平的对比情况，国内外关键指标对比分析或与测试的国外样品、样机的相关数据对比情况</w:t>
      </w:r>
    </w:p>
    <w:p>
      <w:pPr>
        <w:pStyle w:val="18"/>
        <w:spacing w:line="360" w:lineRule="auto"/>
        <w:ind w:left="480"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本标准没有采用国际标准。</w:t>
      </w:r>
    </w:p>
    <w:p>
      <w:pPr>
        <w:pStyle w:val="18"/>
        <w:spacing w:line="360" w:lineRule="auto"/>
        <w:ind w:left="480"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本标准制定过程中未查到同类国际、国外标准。</w:t>
      </w:r>
    </w:p>
    <w:p>
      <w:pPr>
        <w:pStyle w:val="18"/>
        <w:spacing w:line="360" w:lineRule="auto"/>
        <w:ind w:left="480"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本标准制定过程中未测试国外的样品。</w:t>
      </w:r>
    </w:p>
    <w:p>
      <w:pPr>
        <w:pStyle w:val="18"/>
        <w:spacing w:line="360" w:lineRule="auto"/>
        <w:ind w:left="480"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本标准水平为国内领先水平。</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7  在标准体系中的位置，与现行相关法律、法规、规章及相关标准，特别是强制性标准的协调性</w:t>
      </w:r>
    </w:p>
    <w:p>
      <w:pPr>
        <w:spacing w:line="360" w:lineRule="auto"/>
        <w:ind w:firstLine="480" w:firstLineChars="200"/>
        <w:rPr>
          <w:rFonts w:ascii="仿宋_GB2312" w:hAnsi="仿宋_GB2312" w:eastAsia="仿宋_GB2312" w:cs="仿宋_GB2312"/>
          <w:bCs/>
        </w:rPr>
      </w:pPr>
      <w:r>
        <w:rPr>
          <w:rFonts w:hint="eastAsia" w:ascii="仿宋_GB2312" w:hAnsi="仿宋_GB2312" w:eastAsia="仿宋_GB2312" w:cs="仿宋_GB2312"/>
          <w:bCs/>
        </w:rPr>
        <w:t>本标准属于节能与综合利用领域标准体系大类</w:t>
      </w:r>
      <w:r>
        <w:rPr>
          <w:rFonts w:ascii="仿宋_GB2312" w:hAnsi="仿宋_GB2312" w:eastAsia="仿宋_GB2312" w:cs="仿宋_GB2312"/>
          <w:bCs/>
        </w:rPr>
        <w:t>中</w:t>
      </w:r>
      <w:r>
        <w:rPr>
          <w:rFonts w:hint="eastAsia" w:ascii="仿宋_GB2312" w:hAnsi="仿宋_GB2312" w:eastAsia="仿宋_GB2312" w:cs="仿宋_GB2312"/>
          <w:bCs/>
        </w:rPr>
        <w:t>温室气体管理</w:t>
      </w:r>
      <w:r>
        <w:rPr>
          <w:rFonts w:ascii="仿宋_GB2312" w:hAnsi="仿宋_GB2312" w:eastAsia="仿宋_GB2312" w:cs="仿宋_GB2312"/>
          <w:bCs/>
        </w:rPr>
        <w:t>标准分体系</w:t>
      </w:r>
      <w:r>
        <w:rPr>
          <w:rFonts w:hint="eastAsia" w:ascii="仿宋_GB2312" w:hAnsi="仿宋_GB2312" w:eastAsia="仿宋_GB2312" w:cs="仿宋_GB2312"/>
          <w:bCs/>
        </w:rPr>
        <w:t>，对应</w:t>
      </w:r>
      <w:r>
        <w:rPr>
          <w:rFonts w:ascii="仿宋_GB2312" w:hAnsi="仿宋_GB2312" w:eastAsia="仿宋_GB2312" w:cs="仿宋_GB2312"/>
          <w:bCs/>
        </w:rPr>
        <w:t>其中的</w:t>
      </w:r>
      <w:r>
        <w:rPr>
          <w:rFonts w:hint="eastAsia" w:ascii="仿宋_GB2312" w:hAnsi="仿宋_GB2312" w:eastAsia="仿宋_GB2312" w:cs="仿宋_GB2312"/>
          <w:bCs/>
        </w:rPr>
        <w:t xml:space="preserve"> 技术</w:t>
      </w:r>
      <w:r>
        <w:rPr>
          <w:rFonts w:ascii="仿宋_GB2312" w:hAnsi="仿宋_GB2312" w:eastAsia="仿宋_GB2312" w:cs="仿宋_GB2312"/>
          <w:bCs/>
        </w:rPr>
        <w:t>层面标准</w:t>
      </w:r>
      <w:r>
        <w:rPr>
          <w:rFonts w:hint="eastAsia" w:ascii="仿宋_GB2312" w:hAnsi="仿宋_GB2312" w:eastAsia="仿宋_GB2312" w:cs="仿宋_GB2312"/>
          <w:bCs/>
        </w:rPr>
        <w:t>。本标准与现行相关法律、法规、规章及相关标准协调一致。</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8 重大分歧意见的处理经过和依据</w:t>
      </w:r>
    </w:p>
    <w:p>
      <w:pPr>
        <w:pStyle w:val="18"/>
        <w:spacing w:line="360" w:lineRule="auto"/>
        <w:ind w:left="480" w:firstLine="480" w:firstLineChars="200"/>
        <w:rPr>
          <w:rFonts w:ascii="仿宋_GB2312" w:hAnsi="仿宋_GB2312" w:eastAsia="仿宋_GB2312" w:cs="仿宋_GB2312"/>
          <w:sz w:val="24"/>
        </w:rPr>
      </w:pPr>
      <w:r>
        <w:rPr>
          <w:rFonts w:hint="eastAsia" w:ascii="仿宋_GB2312" w:hAnsi="仿宋_GB2312" w:eastAsia="仿宋_GB2312" w:cs="仿宋_GB2312"/>
          <w:sz w:val="24"/>
        </w:rPr>
        <w:t>无。</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9 贯彻标准的要求和措施建议</w:t>
      </w:r>
    </w:p>
    <w:p>
      <w:pPr>
        <w:pStyle w:val="18"/>
        <w:spacing w:line="360" w:lineRule="auto"/>
        <w:ind w:left="480"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建议本标准批准发布</w:t>
      </w:r>
      <w:r>
        <w:rPr>
          <w:rFonts w:hint="eastAsia" w:ascii="仿宋_GB2312" w:hAnsi="仿宋_GB2312" w:eastAsia="仿宋_GB2312" w:cs="仿宋_GB2312"/>
          <w:sz w:val="24"/>
          <w:highlight w:val="yellow"/>
        </w:rPr>
        <w:t>6</w:t>
      </w:r>
      <w:r>
        <w:rPr>
          <w:rFonts w:hint="eastAsia" w:ascii="仿宋_GB2312" w:hAnsi="仿宋_GB2312" w:eastAsia="仿宋_GB2312" w:cs="仿宋_GB2312"/>
          <w:sz w:val="24"/>
        </w:rPr>
        <w:t>个月后实施。</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10  废止现行相关标准的建议</w:t>
      </w:r>
    </w:p>
    <w:p>
      <w:pPr>
        <w:spacing w:line="360" w:lineRule="auto"/>
        <w:ind w:firstLine="960" w:firstLineChars="400"/>
        <w:outlineLvl w:val="0"/>
        <w:rPr>
          <w:rFonts w:ascii="仿宋_GB2312" w:hAnsi="仿宋_GB2312" w:eastAsia="仿宋_GB2312" w:cs="仿宋_GB2312"/>
        </w:rPr>
      </w:pPr>
      <w:r>
        <w:rPr>
          <w:rFonts w:hint="eastAsia" w:ascii="仿宋_GB2312" w:hAnsi="仿宋_GB2312" w:eastAsia="仿宋_GB2312" w:cs="仿宋_GB2312"/>
        </w:rPr>
        <w:t>无</w:t>
      </w:r>
    </w:p>
    <w:p>
      <w:pPr>
        <w:spacing w:line="360" w:lineRule="auto"/>
        <w:ind w:firstLine="482" w:firstLineChars="200"/>
        <w:outlineLvl w:val="0"/>
        <w:rPr>
          <w:rFonts w:ascii="仿宋_GB2312" w:hAnsi="仿宋_GB2312" w:eastAsia="仿宋_GB2312" w:cs="仿宋_GB2312"/>
          <w:b/>
          <w:bCs/>
        </w:rPr>
      </w:pPr>
      <w:r>
        <w:rPr>
          <w:rFonts w:hint="eastAsia" w:ascii="仿宋_GB2312" w:hAnsi="仿宋_GB2312" w:eastAsia="仿宋_GB2312" w:cs="仿宋_GB2312"/>
          <w:b/>
          <w:bCs/>
        </w:rPr>
        <w:t>11  其他应予说明的事项</w:t>
      </w:r>
    </w:p>
    <w:p>
      <w:pPr>
        <w:spacing w:line="360" w:lineRule="auto"/>
        <w:ind w:firstLine="960" w:firstLineChars="400"/>
        <w:outlineLvl w:val="0"/>
        <w:rPr>
          <w:rFonts w:ascii="仿宋_GB2312" w:hAnsi="仿宋_GB2312" w:eastAsia="仿宋_GB2312" w:cs="仿宋_GB2312"/>
        </w:rPr>
      </w:pPr>
      <w:r>
        <w:rPr>
          <w:rFonts w:hint="eastAsia" w:ascii="仿宋_GB2312" w:hAnsi="仿宋_GB2312" w:eastAsia="仿宋_GB2312" w:cs="仿宋_GB2312"/>
        </w:rPr>
        <w:t>无</w:t>
      </w:r>
    </w:p>
    <w:p>
      <w:pPr>
        <w:spacing w:line="360" w:lineRule="auto"/>
        <w:jc w:val="right"/>
        <w:outlineLvl w:val="0"/>
        <w:rPr>
          <w:rFonts w:ascii="仿宋_GB2312" w:eastAsia="仿宋_GB2312"/>
          <w:b/>
          <w:szCs w:val="21"/>
        </w:rPr>
      </w:pPr>
      <w:r>
        <w:rPr>
          <w:rFonts w:hint="eastAsia" w:ascii="仿宋_GB2312" w:eastAsia="仿宋_GB2312"/>
          <w:b/>
          <w:szCs w:val="21"/>
        </w:rPr>
        <w:t xml:space="preserve">                   </w:t>
      </w:r>
    </w:p>
    <w:p>
      <w:pPr>
        <w:spacing w:line="360" w:lineRule="auto"/>
        <w:ind w:right="420" w:firstLine="4800" w:firstLineChars="2000"/>
        <w:jc w:val="right"/>
        <w:outlineLvl w:val="0"/>
        <w:rPr>
          <w:rFonts w:ascii="仿宋_GB2312" w:eastAsia="仿宋_GB2312"/>
          <w:szCs w:val="21"/>
        </w:rPr>
      </w:pPr>
      <w:r>
        <w:rPr>
          <w:rFonts w:hint="eastAsia" w:ascii="仿宋_GB2312" w:eastAsia="仿宋_GB2312"/>
          <w:szCs w:val="21"/>
        </w:rPr>
        <w:t>团体标准起草工作组</w:t>
      </w:r>
    </w:p>
    <w:p>
      <w:pPr>
        <w:spacing w:line="360" w:lineRule="auto"/>
        <w:ind w:right="420" w:firstLine="3734" w:firstLineChars="1556"/>
        <w:jc w:val="right"/>
        <w:outlineLvl w:val="0"/>
        <w:rPr>
          <w:rFonts w:eastAsia="仿宋_GB2312"/>
        </w:rPr>
      </w:pPr>
      <w:r>
        <w:rPr>
          <w:rFonts w:hint="eastAsia" w:ascii="仿宋_GB2312" w:eastAsia="仿宋_GB2312"/>
          <w:szCs w:val="21"/>
        </w:rPr>
        <w:t xml:space="preserve">           202</w:t>
      </w:r>
      <w:r>
        <w:rPr>
          <w:rFonts w:ascii="仿宋_GB2312" w:eastAsia="仿宋_GB2312"/>
          <w:szCs w:val="21"/>
        </w:rPr>
        <w:t>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30</w:t>
      </w:r>
      <w:r>
        <w:rPr>
          <w:rFonts w:hint="eastAsia" w:ascii="仿宋_GB2312" w:eastAsia="仿宋_GB2312"/>
          <w:szCs w:val="21"/>
        </w:rPr>
        <w:t xml:space="preserve">日  </w:t>
      </w:r>
      <w:r>
        <w:rPr>
          <w:szCs w:val="21"/>
        </w:rPr>
        <w:t xml:space="preserve">  </w:t>
      </w:r>
    </w:p>
    <w:bookmarkEnd w:id="24"/>
    <w:bookmarkEnd w:id="25"/>
    <w:bookmarkEnd w:id="26"/>
    <w:p>
      <w:pPr>
        <w:pStyle w:val="2"/>
        <w:spacing w:before="0" w:after="0"/>
        <w:ind w:firstLine="482" w:firstLineChars="200"/>
        <w:rPr>
          <w:rFonts w:eastAsia="仿宋_GB2312"/>
        </w:rPr>
      </w:pPr>
    </w:p>
    <w:sectPr>
      <w:headerReference r:id="rId3" w:type="first"/>
      <w:footerReference r:id="rId5" w:type="first"/>
      <w:footerReference r:id="rId4" w:type="default"/>
      <w:pgSz w:w="11906" w:h="16838"/>
      <w:pgMar w:top="720" w:right="1226" w:bottom="1440" w:left="1560" w:header="851" w:footer="992" w:gutter="0"/>
      <w:pgNumType w:start="1"/>
      <w:cols w:space="425" w:num="1"/>
      <w:titlePg/>
      <w:docGrid w:type="lines" w:linePitch="32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汉仪仿宋简">
    <w:altName w:val="仿宋_GB2312"/>
    <w:panose1 w:val="00000000000000000000"/>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 w:name="PMingLiU">
    <w:panose1 w:val="02020300000000000000"/>
    <w:charset w:val="88"/>
    <w:family w:val="auto"/>
    <w:pitch w:val="default"/>
    <w:sig w:usb0="00000003" w:usb1="082E0000" w:usb2="00000016" w:usb3="00000000" w:csb0="00100001" w:csb1="00000000"/>
  </w:font>
  <w:font w:name="”“Times New Roman”“">
    <w:altName w:val="宋体"/>
    <w:panose1 w:val="00000000000000000000"/>
    <w:charset w:val="86"/>
    <w:family w:val="roma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A00002EF" w:usb1="420020EB" w:usb2="00000000" w:usb3="00000000" w:csb0="2000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128209"/>
    </w:sdtPr>
    <w:sdtContent>
      <w:p>
        <w:pPr>
          <w:pStyle w:val="26"/>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1</w:t>
    </w:r>
    <w:r>
      <w:rPr>
        <w:lang w:val="zh-CN"/>
      </w:rP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17C3"/>
    <w:multiLevelType w:val="multilevel"/>
    <w:tmpl w:val="2C5917C3"/>
    <w:lvl w:ilvl="0" w:tentative="0">
      <w:start w:val="1"/>
      <w:numFmt w:val="none"/>
      <w:pStyle w:val="59"/>
      <w:suff w:val="nothing"/>
      <w:lvlText w:val="%1——"/>
      <w:lvlJc w:val="left"/>
      <w:pPr>
        <w:ind w:left="1543" w:hanging="408"/>
      </w:pPr>
      <w:rPr>
        <w:rFonts w:hint="eastAsia"/>
      </w:rPr>
    </w:lvl>
    <w:lvl w:ilvl="1" w:tentative="0">
      <w:start w:val="1"/>
      <w:numFmt w:val="bullet"/>
      <w:pStyle w:val="60"/>
      <w:lvlText w:val=""/>
      <w:lvlJc w:val="left"/>
      <w:pPr>
        <w:tabs>
          <w:tab w:val="left" w:pos="-1508"/>
        </w:tabs>
        <w:ind w:left="-1004" w:hanging="413"/>
      </w:pPr>
      <w:rPr>
        <w:rFonts w:hint="default" w:ascii="Symbol" w:hAnsi="Symbol"/>
        <w:color w:val="auto"/>
      </w:rPr>
    </w:lvl>
    <w:lvl w:ilvl="2" w:tentative="0">
      <w:start w:val="1"/>
      <w:numFmt w:val="bullet"/>
      <w:pStyle w:val="61"/>
      <w:lvlText w:val=""/>
      <w:lvlJc w:val="left"/>
      <w:pPr>
        <w:tabs>
          <w:tab w:val="left" w:pos="-590"/>
        </w:tabs>
        <w:ind w:left="-590" w:hanging="414"/>
      </w:pPr>
      <w:rPr>
        <w:rFonts w:hint="default" w:ascii="Symbol" w:hAnsi="Symbol"/>
        <w:color w:val="auto"/>
      </w:rPr>
    </w:lvl>
    <w:lvl w:ilvl="3" w:tentative="0">
      <w:start w:val="1"/>
      <w:numFmt w:val="decimal"/>
      <w:lvlText w:val="%4."/>
      <w:lvlJc w:val="left"/>
      <w:pPr>
        <w:tabs>
          <w:tab w:val="left" w:pos="-197"/>
        </w:tabs>
        <w:ind w:left="-384" w:hanging="528"/>
      </w:pPr>
      <w:rPr>
        <w:rFonts w:hint="eastAsia"/>
      </w:rPr>
    </w:lvl>
    <w:lvl w:ilvl="4" w:tentative="0">
      <w:start w:val="1"/>
      <w:numFmt w:val="lowerLetter"/>
      <w:lvlText w:val="%5)"/>
      <w:lvlJc w:val="left"/>
      <w:pPr>
        <w:tabs>
          <w:tab w:val="left" w:pos="115"/>
        </w:tabs>
        <w:ind w:left="-72" w:hanging="528"/>
      </w:pPr>
      <w:rPr>
        <w:rFonts w:hint="eastAsia"/>
      </w:rPr>
    </w:lvl>
    <w:lvl w:ilvl="5" w:tentative="0">
      <w:start w:val="1"/>
      <w:numFmt w:val="lowerRoman"/>
      <w:lvlText w:val="%6."/>
      <w:lvlJc w:val="right"/>
      <w:pPr>
        <w:tabs>
          <w:tab w:val="left" w:pos="427"/>
        </w:tabs>
        <w:ind w:left="240" w:hanging="528"/>
      </w:pPr>
      <w:rPr>
        <w:rFonts w:hint="eastAsia"/>
      </w:rPr>
    </w:lvl>
    <w:lvl w:ilvl="6" w:tentative="0">
      <w:start w:val="1"/>
      <w:numFmt w:val="decimal"/>
      <w:lvlText w:val="%7."/>
      <w:lvlJc w:val="left"/>
      <w:pPr>
        <w:tabs>
          <w:tab w:val="left" w:pos="739"/>
        </w:tabs>
        <w:ind w:left="552" w:hanging="528"/>
      </w:pPr>
      <w:rPr>
        <w:rFonts w:hint="eastAsia"/>
      </w:rPr>
    </w:lvl>
    <w:lvl w:ilvl="7" w:tentative="0">
      <w:start w:val="1"/>
      <w:numFmt w:val="lowerLetter"/>
      <w:lvlText w:val="%8)"/>
      <w:lvlJc w:val="left"/>
      <w:pPr>
        <w:tabs>
          <w:tab w:val="left" w:pos="1051"/>
        </w:tabs>
        <w:ind w:left="864" w:hanging="528"/>
      </w:pPr>
      <w:rPr>
        <w:rFonts w:hint="eastAsia"/>
      </w:rPr>
    </w:lvl>
    <w:lvl w:ilvl="8" w:tentative="0">
      <w:start w:val="1"/>
      <w:numFmt w:val="lowerRoman"/>
      <w:lvlText w:val="%9."/>
      <w:lvlJc w:val="right"/>
      <w:pPr>
        <w:tabs>
          <w:tab w:val="left" w:pos="1363"/>
        </w:tabs>
        <w:ind w:left="1176" w:hanging="528"/>
      </w:pPr>
      <w:rPr>
        <w:rFonts w:hint="eastAsia"/>
      </w:rPr>
    </w:lvl>
  </w:abstractNum>
  <w:abstractNum w:abstractNumId="1">
    <w:nsid w:val="39924640"/>
    <w:multiLevelType w:val="singleLevel"/>
    <w:tmpl w:val="39924640"/>
    <w:lvl w:ilvl="0" w:tentative="0">
      <w:start w:val="2"/>
      <w:numFmt w:val="decimal"/>
      <w:suff w:val="nothing"/>
      <w:lvlText w:val="（%1）"/>
      <w:lvlJc w:val="left"/>
    </w:lvl>
  </w:abstractNum>
  <w:abstractNum w:abstractNumId="2">
    <w:nsid w:val="646260FA"/>
    <w:multiLevelType w:val="multilevel"/>
    <w:tmpl w:val="646260FA"/>
    <w:lvl w:ilvl="0" w:tentative="0">
      <w:start w:val="1"/>
      <w:numFmt w:val="decimal"/>
      <w:pStyle w:val="338"/>
      <w:suff w:val="nothing"/>
      <w:lvlText w:val="表%1　"/>
      <w:lvlJc w:val="left"/>
      <w:pPr>
        <w:ind w:left="5246" w:firstLine="0"/>
      </w:pPr>
      <w:rPr>
        <w:rFonts w:hint="default" w:ascii="Times New Roman" w:hAnsi="Times New Roman" w:eastAsia="宋体" w:cs="Times New Roman"/>
        <w:b w:val="0"/>
        <w:i w:val="0"/>
        <w:sz w:val="21"/>
        <w:lang w:val="en-US"/>
      </w:rPr>
    </w:lvl>
    <w:lvl w:ilvl="1" w:tentative="0">
      <w:start w:val="1"/>
      <w:numFmt w:val="decimal"/>
      <w:lvlText w:val="%1.%2"/>
      <w:lvlJc w:val="left"/>
      <w:pPr>
        <w:tabs>
          <w:tab w:val="left" w:pos="9358"/>
        </w:tabs>
        <w:ind w:left="9358" w:hanging="567"/>
      </w:pPr>
      <w:rPr>
        <w:rFonts w:hint="eastAsia"/>
      </w:rPr>
    </w:lvl>
    <w:lvl w:ilvl="2" w:tentative="0">
      <w:start w:val="1"/>
      <w:numFmt w:val="decimal"/>
      <w:lvlText w:val="%1.%2.%3"/>
      <w:lvlJc w:val="left"/>
      <w:pPr>
        <w:tabs>
          <w:tab w:val="left" w:pos="9784"/>
        </w:tabs>
        <w:ind w:left="9784" w:hanging="567"/>
      </w:pPr>
      <w:rPr>
        <w:rFonts w:hint="eastAsia"/>
      </w:rPr>
    </w:lvl>
    <w:lvl w:ilvl="3" w:tentative="0">
      <w:start w:val="1"/>
      <w:numFmt w:val="decimal"/>
      <w:lvlText w:val="%1.%2.%3.%4"/>
      <w:lvlJc w:val="left"/>
      <w:pPr>
        <w:tabs>
          <w:tab w:val="left" w:pos="10350"/>
        </w:tabs>
        <w:ind w:left="10350" w:hanging="708"/>
      </w:pPr>
      <w:rPr>
        <w:rFonts w:hint="eastAsia"/>
      </w:rPr>
    </w:lvl>
    <w:lvl w:ilvl="4" w:tentative="0">
      <w:start w:val="1"/>
      <w:numFmt w:val="decimal"/>
      <w:lvlText w:val="%1.%2.%3.%4.%5"/>
      <w:lvlJc w:val="left"/>
      <w:pPr>
        <w:tabs>
          <w:tab w:val="left" w:pos="10917"/>
        </w:tabs>
        <w:ind w:left="10917" w:hanging="850"/>
      </w:pPr>
      <w:rPr>
        <w:rFonts w:hint="eastAsia"/>
      </w:rPr>
    </w:lvl>
    <w:lvl w:ilvl="5" w:tentative="0">
      <w:start w:val="1"/>
      <w:numFmt w:val="decimal"/>
      <w:lvlText w:val="%1.%2.%3.%4.%5.%6"/>
      <w:lvlJc w:val="left"/>
      <w:pPr>
        <w:tabs>
          <w:tab w:val="left" w:pos="11626"/>
        </w:tabs>
        <w:ind w:left="11626" w:hanging="1134"/>
      </w:pPr>
      <w:rPr>
        <w:rFonts w:hint="eastAsia"/>
      </w:rPr>
    </w:lvl>
    <w:lvl w:ilvl="6" w:tentative="0">
      <w:start w:val="1"/>
      <w:numFmt w:val="decimal"/>
      <w:lvlText w:val="%1.%2.%3.%4.%5.%6.%7"/>
      <w:lvlJc w:val="left"/>
      <w:pPr>
        <w:tabs>
          <w:tab w:val="left" w:pos="12193"/>
        </w:tabs>
        <w:ind w:left="12193" w:hanging="1276"/>
      </w:pPr>
      <w:rPr>
        <w:rFonts w:hint="eastAsia"/>
      </w:rPr>
    </w:lvl>
    <w:lvl w:ilvl="7" w:tentative="0">
      <w:start w:val="1"/>
      <w:numFmt w:val="decimal"/>
      <w:lvlText w:val="%1.%2.%3.%4.%5.%6.%7.%8"/>
      <w:lvlJc w:val="left"/>
      <w:pPr>
        <w:tabs>
          <w:tab w:val="left" w:pos="12760"/>
        </w:tabs>
        <w:ind w:left="12760" w:hanging="1418"/>
      </w:pPr>
      <w:rPr>
        <w:rFonts w:hint="eastAsia"/>
      </w:rPr>
    </w:lvl>
    <w:lvl w:ilvl="8" w:tentative="0">
      <w:start w:val="1"/>
      <w:numFmt w:val="decimal"/>
      <w:lvlText w:val="%1.%2.%3.%4.%5.%6.%7.%8.%9"/>
      <w:lvlJc w:val="left"/>
      <w:pPr>
        <w:tabs>
          <w:tab w:val="left" w:pos="13468"/>
        </w:tabs>
        <w:ind w:left="13468"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Yzc1OTVmZTA5NWEwMGI4MGU4YmY4NjQ4NzI2ZmIifQ=="/>
  </w:docVars>
  <w:rsids>
    <w:rsidRoot w:val="004B57F1"/>
    <w:rsid w:val="000003D4"/>
    <w:rsid w:val="0000118F"/>
    <w:rsid w:val="000013AB"/>
    <w:rsid w:val="000026A8"/>
    <w:rsid w:val="00002B6E"/>
    <w:rsid w:val="00002CE5"/>
    <w:rsid w:val="00002EA0"/>
    <w:rsid w:val="0000305A"/>
    <w:rsid w:val="0000346F"/>
    <w:rsid w:val="000036C8"/>
    <w:rsid w:val="00003879"/>
    <w:rsid w:val="00003971"/>
    <w:rsid w:val="00003E15"/>
    <w:rsid w:val="0000453F"/>
    <w:rsid w:val="00005166"/>
    <w:rsid w:val="00005779"/>
    <w:rsid w:val="00005D4C"/>
    <w:rsid w:val="000060A8"/>
    <w:rsid w:val="0000666B"/>
    <w:rsid w:val="00006A68"/>
    <w:rsid w:val="0000732E"/>
    <w:rsid w:val="00007A56"/>
    <w:rsid w:val="00007E60"/>
    <w:rsid w:val="00010683"/>
    <w:rsid w:val="00010819"/>
    <w:rsid w:val="000117B5"/>
    <w:rsid w:val="00011FDD"/>
    <w:rsid w:val="000139B5"/>
    <w:rsid w:val="00013CB9"/>
    <w:rsid w:val="0001433D"/>
    <w:rsid w:val="000149B2"/>
    <w:rsid w:val="00016C84"/>
    <w:rsid w:val="00016F84"/>
    <w:rsid w:val="00017F97"/>
    <w:rsid w:val="00020D78"/>
    <w:rsid w:val="00021BA0"/>
    <w:rsid w:val="00022F8D"/>
    <w:rsid w:val="0002346C"/>
    <w:rsid w:val="000239A6"/>
    <w:rsid w:val="00023C90"/>
    <w:rsid w:val="00023DE2"/>
    <w:rsid w:val="0002478A"/>
    <w:rsid w:val="00024885"/>
    <w:rsid w:val="000258FF"/>
    <w:rsid w:val="00026ACC"/>
    <w:rsid w:val="0003001D"/>
    <w:rsid w:val="0003018F"/>
    <w:rsid w:val="000301F8"/>
    <w:rsid w:val="000316CE"/>
    <w:rsid w:val="000319B0"/>
    <w:rsid w:val="0003268D"/>
    <w:rsid w:val="00033537"/>
    <w:rsid w:val="000337F9"/>
    <w:rsid w:val="00033A54"/>
    <w:rsid w:val="00034046"/>
    <w:rsid w:val="000340C9"/>
    <w:rsid w:val="00034DFD"/>
    <w:rsid w:val="00035491"/>
    <w:rsid w:val="0003555B"/>
    <w:rsid w:val="00035C63"/>
    <w:rsid w:val="00035EF8"/>
    <w:rsid w:val="00036DEC"/>
    <w:rsid w:val="000373D0"/>
    <w:rsid w:val="0003766E"/>
    <w:rsid w:val="000413CD"/>
    <w:rsid w:val="00041610"/>
    <w:rsid w:val="0004196B"/>
    <w:rsid w:val="00041C82"/>
    <w:rsid w:val="0004238E"/>
    <w:rsid w:val="00042488"/>
    <w:rsid w:val="00043B6A"/>
    <w:rsid w:val="000447BF"/>
    <w:rsid w:val="00045A61"/>
    <w:rsid w:val="00045D34"/>
    <w:rsid w:val="00046342"/>
    <w:rsid w:val="000463F2"/>
    <w:rsid w:val="00046814"/>
    <w:rsid w:val="00047056"/>
    <w:rsid w:val="00047210"/>
    <w:rsid w:val="00047B74"/>
    <w:rsid w:val="00047C50"/>
    <w:rsid w:val="00047D78"/>
    <w:rsid w:val="00051DE4"/>
    <w:rsid w:val="00051E97"/>
    <w:rsid w:val="000520C7"/>
    <w:rsid w:val="00052CEF"/>
    <w:rsid w:val="00053759"/>
    <w:rsid w:val="0005437A"/>
    <w:rsid w:val="00054610"/>
    <w:rsid w:val="00054674"/>
    <w:rsid w:val="000553B8"/>
    <w:rsid w:val="00055DC2"/>
    <w:rsid w:val="00056282"/>
    <w:rsid w:val="00056562"/>
    <w:rsid w:val="000566E0"/>
    <w:rsid w:val="0005693B"/>
    <w:rsid w:val="00056F48"/>
    <w:rsid w:val="00057827"/>
    <w:rsid w:val="0005786D"/>
    <w:rsid w:val="00057A6E"/>
    <w:rsid w:val="00057E09"/>
    <w:rsid w:val="00060230"/>
    <w:rsid w:val="00060F36"/>
    <w:rsid w:val="0006177C"/>
    <w:rsid w:val="000631E0"/>
    <w:rsid w:val="00063465"/>
    <w:rsid w:val="00063479"/>
    <w:rsid w:val="0006387C"/>
    <w:rsid w:val="00064899"/>
    <w:rsid w:val="000650CB"/>
    <w:rsid w:val="000653A8"/>
    <w:rsid w:val="00066F10"/>
    <w:rsid w:val="000727B1"/>
    <w:rsid w:val="00072E82"/>
    <w:rsid w:val="0007460F"/>
    <w:rsid w:val="00074F92"/>
    <w:rsid w:val="000751EB"/>
    <w:rsid w:val="00075CB6"/>
    <w:rsid w:val="00075E10"/>
    <w:rsid w:val="0007671C"/>
    <w:rsid w:val="00076C21"/>
    <w:rsid w:val="0008109D"/>
    <w:rsid w:val="00081EEE"/>
    <w:rsid w:val="00082181"/>
    <w:rsid w:val="000827A5"/>
    <w:rsid w:val="00082D4F"/>
    <w:rsid w:val="0008336C"/>
    <w:rsid w:val="00083826"/>
    <w:rsid w:val="00083A0F"/>
    <w:rsid w:val="00083C66"/>
    <w:rsid w:val="00084A54"/>
    <w:rsid w:val="00084A5C"/>
    <w:rsid w:val="00084D2D"/>
    <w:rsid w:val="00084DA1"/>
    <w:rsid w:val="00084DEC"/>
    <w:rsid w:val="0008542F"/>
    <w:rsid w:val="000854CC"/>
    <w:rsid w:val="0008559F"/>
    <w:rsid w:val="00086088"/>
    <w:rsid w:val="0008625A"/>
    <w:rsid w:val="00086D5A"/>
    <w:rsid w:val="00087423"/>
    <w:rsid w:val="000902F0"/>
    <w:rsid w:val="000904C7"/>
    <w:rsid w:val="00090A74"/>
    <w:rsid w:val="00090FE7"/>
    <w:rsid w:val="0009100F"/>
    <w:rsid w:val="000914D7"/>
    <w:rsid w:val="00091B3D"/>
    <w:rsid w:val="00091FAC"/>
    <w:rsid w:val="0009204E"/>
    <w:rsid w:val="00092A51"/>
    <w:rsid w:val="00092C49"/>
    <w:rsid w:val="00093A63"/>
    <w:rsid w:val="00094E30"/>
    <w:rsid w:val="00095168"/>
    <w:rsid w:val="00095CA3"/>
    <w:rsid w:val="00095EDE"/>
    <w:rsid w:val="00096FD2"/>
    <w:rsid w:val="000970C0"/>
    <w:rsid w:val="00097FDD"/>
    <w:rsid w:val="000A071F"/>
    <w:rsid w:val="000A1E07"/>
    <w:rsid w:val="000A20BE"/>
    <w:rsid w:val="000A21B9"/>
    <w:rsid w:val="000A2A1A"/>
    <w:rsid w:val="000A2AB4"/>
    <w:rsid w:val="000A347C"/>
    <w:rsid w:val="000A5581"/>
    <w:rsid w:val="000A5F3B"/>
    <w:rsid w:val="000A6934"/>
    <w:rsid w:val="000A6B9C"/>
    <w:rsid w:val="000A6C0D"/>
    <w:rsid w:val="000A6EE4"/>
    <w:rsid w:val="000A73B0"/>
    <w:rsid w:val="000A7B14"/>
    <w:rsid w:val="000A7B6C"/>
    <w:rsid w:val="000A7CC5"/>
    <w:rsid w:val="000A7CF5"/>
    <w:rsid w:val="000A7DCF"/>
    <w:rsid w:val="000B0430"/>
    <w:rsid w:val="000B0B0F"/>
    <w:rsid w:val="000B10E0"/>
    <w:rsid w:val="000B1507"/>
    <w:rsid w:val="000B1C3A"/>
    <w:rsid w:val="000B1D97"/>
    <w:rsid w:val="000B3A42"/>
    <w:rsid w:val="000B4DD4"/>
    <w:rsid w:val="000B59FC"/>
    <w:rsid w:val="000B62F6"/>
    <w:rsid w:val="000B7D7B"/>
    <w:rsid w:val="000C01A5"/>
    <w:rsid w:val="000C0298"/>
    <w:rsid w:val="000C0466"/>
    <w:rsid w:val="000C08B9"/>
    <w:rsid w:val="000C1929"/>
    <w:rsid w:val="000C1E75"/>
    <w:rsid w:val="000C217A"/>
    <w:rsid w:val="000C28FD"/>
    <w:rsid w:val="000C2960"/>
    <w:rsid w:val="000C2F03"/>
    <w:rsid w:val="000C35CE"/>
    <w:rsid w:val="000C3A32"/>
    <w:rsid w:val="000C3A71"/>
    <w:rsid w:val="000C49D4"/>
    <w:rsid w:val="000C5027"/>
    <w:rsid w:val="000C5EAC"/>
    <w:rsid w:val="000C5EE8"/>
    <w:rsid w:val="000C62C0"/>
    <w:rsid w:val="000C6C58"/>
    <w:rsid w:val="000C7465"/>
    <w:rsid w:val="000D086F"/>
    <w:rsid w:val="000D08AA"/>
    <w:rsid w:val="000D0A27"/>
    <w:rsid w:val="000D0D36"/>
    <w:rsid w:val="000D13C5"/>
    <w:rsid w:val="000D1816"/>
    <w:rsid w:val="000D1E7E"/>
    <w:rsid w:val="000D2766"/>
    <w:rsid w:val="000D2801"/>
    <w:rsid w:val="000D289F"/>
    <w:rsid w:val="000D294C"/>
    <w:rsid w:val="000D2EB0"/>
    <w:rsid w:val="000D30F8"/>
    <w:rsid w:val="000D3F33"/>
    <w:rsid w:val="000D3F50"/>
    <w:rsid w:val="000D4076"/>
    <w:rsid w:val="000D47D1"/>
    <w:rsid w:val="000D4814"/>
    <w:rsid w:val="000D4AA1"/>
    <w:rsid w:val="000D5794"/>
    <w:rsid w:val="000D6005"/>
    <w:rsid w:val="000D6EA8"/>
    <w:rsid w:val="000D77EA"/>
    <w:rsid w:val="000E04C2"/>
    <w:rsid w:val="000E05DA"/>
    <w:rsid w:val="000E1280"/>
    <w:rsid w:val="000E12B2"/>
    <w:rsid w:val="000E2446"/>
    <w:rsid w:val="000E296A"/>
    <w:rsid w:val="000E2DA2"/>
    <w:rsid w:val="000E4699"/>
    <w:rsid w:val="000E4835"/>
    <w:rsid w:val="000E496C"/>
    <w:rsid w:val="000E4B8C"/>
    <w:rsid w:val="000E4D94"/>
    <w:rsid w:val="000E5380"/>
    <w:rsid w:val="000E548A"/>
    <w:rsid w:val="000E7139"/>
    <w:rsid w:val="000E71D0"/>
    <w:rsid w:val="000E7725"/>
    <w:rsid w:val="000E779B"/>
    <w:rsid w:val="000F0DF0"/>
    <w:rsid w:val="000F110B"/>
    <w:rsid w:val="000F14AE"/>
    <w:rsid w:val="000F16CD"/>
    <w:rsid w:val="000F1D0B"/>
    <w:rsid w:val="000F1D4A"/>
    <w:rsid w:val="000F27A6"/>
    <w:rsid w:val="000F2D47"/>
    <w:rsid w:val="000F2F5E"/>
    <w:rsid w:val="000F3016"/>
    <w:rsid w:val="000F3366"/>
    <w:rsid w:val="000F351B"/>
    <w:rsid w:val="000F3945"/>
    <w:rsid w:val="000F4106"/>
    <w:rsid w:val="000F48E3"/>
    <w:rsid w:val="000F4E2B"/>
    <w:rsid w:val="000F4F90"/>
    <w:rsid w:val="000F50DD"/>
    <w:rsid w:val="000F54F6"/>
    <w:rsid w:val="000F593E"/>
    <w:rsid w:val="000F6B5B"/>
    <w:rsid w:val="000F759C"/>
    <w:rsid w:val="000F7BCA"/>
    <w:rsid w:val="000F7D22"/>
    <w:rsid w:val="0010025D"/>
    <w:rsid w:val="00100898"/>
    <w:rsid w:val="00101D8B"/>
    <w:rsid w:val="00102D4A"/>
    <w:rsid w:val="00103F0F"/>
    <w:rsid w:val="00104329"/>
    <w:rsid w:val="00104B01"/>
    <w:rsid w:val="00105856"/>
    <w:rsid w:val="00105DB7"/>
    <w:rsid w:val="00105F63"/>
    <w:rsid w:val="0010678D"/>
    <w:rsid w:val="00107FEC"/>
    <w:rsid w:val="00110367"/>
    <w:rsid w:val="001106BE"/>
    <w:rsid w:val="00110BE0"/>
    <w:rsid w:val="00110EBB"/>
    <w:rsid w:val="001112B3"/>
    <w:rsid w:val="00111422"/>
    <w:rsid w:val="0011204A"/>
    <w:rsid w:val="00112339"/>
    <w:rsid w:val="0011278A"/>
    <w:rsid w:val="001131A0"/>
    <w:rsid w:val="001131D3"/>
    <w:rsid w:val="001135E6"/>
    <w:rsid w:val="001136D1"/>
    <w:rsid w:val="001145E4"/>
    <w:rsid w:val="00115999"/>
    <w:rsid w:val="00115E12"/>
    <w:rsid w:val="0011650E"/>
    <w:rsid w:val="001168A6"/>
    <w:rsid w:val="00117AE0"/>
    <w:rsid w:val="00120B0D"/>
    <w:rsid w:val="00120D95"/>
    <w:rsid w:val="00120E2D"/>
    <w:rsid w:val="00121256"/>
    <w:rsid w:val="0012167F"/>
    <w:rsid w:val="00121C2B"/>
    <w:rsid w:val="001224DB"/>
    <w:rsid w:val="00122957"/>
    <w:rsid w:val="00122AAE"/>
    <w:rsid w:val="001232EF"/>
    <w:rsid w:val="00124700"/>
    <w:rsid w:val="00124843"/>
    <w:rsid w:val="00124A85"/>
    <w:rsid w:val="0012563A"/>
    <w:rsid w:val="001305DB"/>
    <w:rsid w:val="00130EEF"/>
    <w:rsid w:val="001318BD"/>
    <w:rsid w:val="00132C8E"/>
    <w:rsid w:val="00133D5C"/>
    <w:rsid w:val="001341A8"/>
    <w:rsid w:val="0013470B"/>
    <w:rsid w:val="00134894"/>
    <w:rsid w:val="00135410"/>
    <w:rsid w:val="00136A06"/>
    <w:rsid w:val="00137C05"/>
    <w:rsid w:val="00140A85"/>
    <w:rsid w:val="00141262"/>
    <w:rsid w:val="0014174F"/>
    <w:rsid w:val="001425EB"/>
    <w:rsid w:val="001425F6"/>
    <w:rsid w:val="001428A5"/>
    <w:rsid w:val="00143852"/>
    <w:rsid w:val="00143C6A"/>
    <w:rsid w:val="001443E2"/>
    <w:rsid w:val="00144AEE"/>
    <w:rsid w:val="00144D8E"/>
    <w:rsid w:val="00144FF7"/>
    <w:rsid w:val="00145026"/>
    <w:rsid w:val="00145225"/>
    <w:rsid w:val="00145231"/>
    <w:rsid w:val="00146036"/>
    <w:rsid w:val="00146431"/>
    <w:rsid w:val="0014697E"/>
    <w:rsid w:val="001469E4"/>
    <w:rsid w:val="00147668"/>
    <w:rsid w:val="0015003B"/>
    <w:rsid w:val="00150048"/>
    <w:rsid w:val="00150AC4"/>
    <w:rsid w:val="001513E1"/>
    <w:rsid w:val="00151FF8"/>
    <w:rsid w:val="001528E2"/>
    <w:rsid w:val="001529CB"/>
    <w:rsid w:val="00153349"/>
    <w:rsid w:val="0015384D"/>
    <w:rsid w:val="001539BC"/>
    <w:rsid w:val="00153D8A"/>
    <w:rsid w:val="00154267"/>
    <w:rsid w:val="001549E4"/>
    <w:rsid w:val="001564AA"/>
    <w:rsid w:val="00156572"/>
    <w:rsid w:val="00156B78"/>
    <w:rsid w:val="00156B9A"/>
    <w:rsid w:val="001572C3"/>
    <w:rsid w:val="00157566"/>
    <w:rsid w:val="001611AC"/>
    <w:rsid w:val="00161B1C"/>
    <w:rsid w:val="00162569"/>
    <w:rsid w:val="00162E2D"/>
    <w:rsid w:val="00162F6B"/>
    <w:rsid w:val="00163665"/>
    <w:rsid w:val="00163A2F"/>
    <w:rsid w:val="00163E4C"/>
    <w:rsid w:val="001644C2"/>
    <w:rsid w:val="0016459B"/>
    <w:rsid w:val="00164C01"/>
    <w:rsid w:val="00164EE2"/>
    <w:rsid w:val="001657B1"/>
    <w:rsid w:val="00165949"/>
    <w:rsid w:val="00165B1B"/>
    <w:rsid w:val="00165E2E"/>
    <w:rsid w:val="00166646"/>
    <w:rsid w:val="0016697A"/>
    <w:rsid w:val="00166B4A"/>
    <w:rsid w:val="00166BCF"/>
    <w:rsid w:val="00166C9F"/>
    <w:rsid w:val="00166EA4"/>
    <w:rsid w:val="001674CF"/>
    <w:rsid w:val="0016769C"/>
    <w:rsid w:val="00171275"/>
    <w:rsid w:val="00171365"/>
    <w:rsid w:val="0017179A"/>
    <w:rsid w:val="00171BCF"/>
    <w:rsid w:val="00172441"/>
    <w:rsid w:val="00173326"/>
    <w:rsid w:val="00173804"/>
    <w:rsid w:val="001743CA"/>
    <w:rsid w:val="001746E6"/>
    <w:rsid w:val="00174FCC"/>
    <w:rsid w:val="001750C6"/>
    <w:rsid w:val="001759F0"/>
    <w:rsid w:val="00176A98"/>
    <w:rsid w:val="00176BBB"/>
    <w:rsid w:val="00176C5C"/>
    <w:rsid w:val="00177863"/>
    <w:rsid w:val="0017793D"/>
    <w:rsid w:val="00177B05"/>
    <w:rsid w:val="00177F14"/>
    <w:rsid w:val="001809F9"/>
    <w:rsid w:val="001812E0"/>
    <w:rsid w:val="00181EEB"/>
    <w:rsid w:val="00182ECE"/>
    <w:rsid w:val="00184712"/>
    <w:rsid w:val="0018665E"/>
    <w:rsid w:val="00187106"/>
    <w:rsid w:val="001872E1"/>
    <w:rsid w:val="00187568"/>
    <w:rsid w:val="001877CB"/>
    <w:rsid w:val="00187C16"/>
    <w:rsid w:val="00190011"/>
    <w:rsid w:val="001901CE"/>
    <w:rsid w:val="0019112B"/>
    <w:rsid w:val="001911DA"/>
    <w:rsid w:val="001911F0"/>
    <w:rsid w:val="00191C15"/>
    <w:rsid w:val="00191D34"/>
    <w:rsid w:val="00191D70"/>
    <w:rsid w:val="00191E15"/>
    <w:rsid w:val="00191F75"/>
    <w:rsid w:val="00191FDA"/>
    <w:rsid w:val="0019360A"/>
    <w:rsid w:val="00193D8D"/>
    <w:rsid w:val="00194C82"/>
    <w:rsid w:val="0019544B"/>
    <w:rsid w:val="00195642"/>
    <w:rsid w:val="00195708"/>
    <w:rsid w:val="00196D5C"/>
    <w:rsid w:val="001976CA"/>
    <w:rsid w:val="0019788E"/>
    <w:rsid w:val="00197FCB"/>
    <w:rsid w:val="001A04F3"/>
    <w:rsid w:val="001A0E1E"/>
    <w:rsid w:val="001A0F22"/>
    <w:rsid w:val="001A1562"/>
    <w:rsid w:val="001A157B"/>
    <w:rsid w:val="001A15B6"/>
    <w:rsid w:val="001A172B"/>
    <w:rsid w:val="001A19E5"/>
    <w:rsid w:val="001A2B7B"/>
    <w:rsid w:val="001A36EA"/>
    <w:rsid w:val="001A4248"/>
    <w:rsid w:val="001A4DC0"/>
    <w:rsid w:val="001A52C5"/>
    <w:rsid w:val="001A53D6"/>
    <w:rsid w:val="001A5A22"/>
    <w:rsid w:val="001A5DB6"/>
    <w:rsid w:val="001A67B2"/>
    <w:rsid w:val="001A7031"/>
    <w:rsid w:val="001A71B6"/>
    <w:rsid w:val="001A7D9B"/>
    <w:rsid w:val="001B00A4"/>
    <w:rsid w:val="001B00AF"/>
    <w:rsid w:val="001B07D0"/>
    <w:rsid w:val="001B0A37"/>
    <w:rsid w:val="001B0D73"/>
    <w:rsid w:val="001B103D"/>
    <w:rsid w:val="001B11A7"/>
    <w:rsid w:val="001B1335"/>
    <w:rsid w:val="001B2DF1"/>
    <w:rsid w:val="001B3428"/>
    <w:rsid w:val="001B35A2"/>
    <w:rsid w:val="001B4A04"/>
    <w:rsid w:val="001B5279"/>
    <w:rsid w:val="001B5E11"/>
    <w:rsid w:val="001B6136"/>
    <w:rsid w:val="001B65AD"/>
    <w:rsid w:val="001B66F6"/>
    <w:rsid w:val="001B6A1D"/>
    <w:rsid w:val="001B6B53"/>
    <w:rsid w:val="001B6B71"/>
    <w:rsid w:val="001B7BDF"/>
    <w:rsid w:val="001B7CD9"/>
    <w:rsid w:val="001B7E23"/>
    <w:rsid w:val="001C0328"/>
    <w:rsid w:val="001C0897"/>
    <w:rsid w:val="001C1C76"/>
    <w:rsid w:val="001C2831"/>
    <w:rsid w:val="001C2AB5"/>
    <w:rsid w:val="001C2E32"/>
    <w:rsid w:val="001C3533"/>
    <w:rsid w:val="001C372C"/>
    <w:rsid w:val="001C3F5C"/>
    <w:rsid w:val="001C4191"/>
    <w:rsid w:val="001C439D"/>
    <w:rsid w:val="001C4600"/>
    <w:rsid w:val="001C46CB"/>
    <w:rsid w:val="001C46F4"/>
    <w:rsid w:val="001C5181"/>
    <w:rsid w:val="001C5FD3"/>
    <w:rsid w:val="001C613E"/>
    <w:rsid w:val="001C66C9"/>
    <w:rsid w:val="001C769D"/>
    <w:rsid w:val="001C792C"/>
    <w:rsid w:val="001C7945"/>
    <w:rsid w:val="001D09EA"/>
    <w:rsid w:val="001D0BC2"/>
    <w:rsid w:val="001D0D50"/>
    <w:rsid w:val="001D2656"/>
    <w:rsid w:val="001D2A10"/>
    <w:rsid w:val="001D2A7A"/>
    <w:rsid w:val="001D3305"/>
    <w:rsid w:val="001D42E3"/>
    <w:rsid w:val="001D49C8"/>
    <w:rsid w:val="001D4E2D"/>
    <w:rsid w:val="001D5188"/>
    <w:rsid w:val="001D6A11"/>
    <w:rsid w:val="001D6FC7"/>
    <w:rsid w:val="001D7391"/>
    <w:rsid w:val="001D7CA1"/>
    <w:rsid w:val="001D7ED2"/>
    <w:rsid w:val="001E0731"/>
    <w:rsid w:val="001E1D3E"/>
    <w:rsid w:val="001E27BB"/>
    <w:rsid w:val="001E2907"/>
    <w:rsid w:val="001E2EF6"/>
    <w:rsid w:val="001E2F1A"/>
    <w:rsid w:val="001E2F65"/>
    <w:rsid w:val="001E489E"/>
    <w:rsid w:val="001E4D05"/>
    <w:rsid w:val="001E6E57"/>
    <w:rsid w:val="001F06FB"/>
    <w:rsid w:val="001F091C"/>
    <w:rsid w:val="001F169A"/>
    <w:rsid w:val="001F16AA"/>
    <w:rsid w:val="001F2F5F"/>
    <w:rsid w:val="001F315A"/>
    <w:rsid w:val="001F3259"/>
    <w:rsid w:val="001F3B03"/>
    <w:rsid w:val="001F3B10"/>
    <w:rsid w:val="001F507A"/>
    <w:rsid w:val="001F526E"/>
    <w:rsid w:val="001F52FE"/>
    <w:rsid w:val="001F5CFC"/>
    <w:rsid w:val="001F6A28"/>
    <w:rsid w:val="00200399"/>
    <w:rsid w:val="0020050B"/>
    <w:rsid w:val="00200994"/>
    <w:rsid w:val="002023F0"/>
    <w:rsid w:val="00202DBB"/>
    <w:rsid w:val="00203101"/>
    <w:rsid w:val="00203379"/>
    <w:rsid w:val="00203AED"/>
    <w:rsid w:val="00203CC5"/>
    <w:rsid w:val="0020493D"/>
    <w:rsid w:val="00204A00"/>
    <w:rsid w:val="00205C98"/>
    <w:rsid w:val="00205CB4"/>
    <w:rsid w:val="002061DE"/>
    <w:rsid w:val="00206224"/>
    <w:rsid w:val="00206964"/>
    <w:rsid w:val="00206F64"/>
    <w:rsid w:val="00207318"/>
    <w:rsid w:val="002100B4"/>
    <w:rsid w:val="00210CD4"/>
    <w:rsid w:val="002116C5"/>
    <w:rsid w:val="002116C9"/>
    <w:rsid w:val="00211B8D"/>
    <w:rsid w:val="0021362D"/>
    <w:rsid w:val="00213F14"/>
    <w:rsid w:val="00214075"/>
    <w:rsid w:val="002147CC"/>
    <w:rsid w:val="00215416"/>
    <w:rsid w:val="0021629C"/>
    <w:rsid w:val="00217AD8"/>
    <w:rsid w:val="00217E4C"/>
    <w:rsid w:val="00220191"/>
    <w:rsid w:val="00220E21"/>
    <w:rsid w:val="00220EBB"/>
    <w:rsid w:val="002214EA"/>
    <w:rsid w:val="002215DE"/>
    <w:rsid w:val="00221C21"/>
    <w:rsid w:val="00221E27"/>
    <w:rsid w:val="002228AC"/>
    <w:rsid w:val="00222CCE"/>
    <w:rsid w:val="00222D16"/>
    <w:rsid w:val="00222D2C"/>
    <w:rsid w:val="00222D6A"/>
    <w:rsid w:val="00223303"/>
    <w:rsid w:val="002234E3"/>
    <w:rsid w:val="00223570"/>
    <w:rsid w:val="00223A15"/>
    <w:rsid w:val="00223D22"/>
    <w:rsid w:val="00225146"/>
    <w:rsid w:val="0022526A"/>
    <w:rsid w:val="0022528C"/>
    <w:rsid w:val="002252E2"/>
    <w:rsid w:val="00227F0E"/>
    <w:rsid w:val="002301EB"/>
    <w:rsid w:val="00230205"/>
    <w:rsid w:val="002302D9"/>
    <w:rsid w:val="0023037B"/>
    <w:rsid w:val="002310C9"/>
    <w:rsid w:val="002310D7"/>
    <w:rsid w:val="00231C48"/>
    <w:rsid w:val="002331A0"/>
    <w:rsid w:val="00233798"/>
    <w:rsid w:val="0023393B"/>
    <w:rsid w:val="00234840"/>
    <w:rsid w:val="00234A09"/>
    <w:rsid w:val="002354A0"/>
    <w:rsid w:val="0023587D"/>
    <w:rsid w:val="00235C40"/>
    <w:rsid w:val="00235F1A"/>
    <w:rsid w:val="00236373"/>
    <w:rsid w:val="00236C0C"/>
    <w:rsid w:val="00236E79"/>
    <w:rsid w:val="00236F6B"/>
    <w:rsid w:val="00237170"/>
    <w:rsid w:val="002374BB"/>
    <w:rsid w:val="00237F9C"/>
    <w:rsid w:val="00237FD6"/>
    <w:rsid w:val="00240536"/>
    <w:rsid w:val="00240630"/>
    <w:rsid w:val="00240880"/>
    <w:rsid w:val="00240CA0"/>
    <w:rsid w:val="0024151C"/>
    <w:rsid w:val="00242046"/>
    <w:rsid w:val="0024285B"/>
    <w:rsid w:val="00242E0C"/>
    <w:rsid w:val="0024426F"/>
    <w:rsid w:val="002445FB"/>
    <w:rsid w:val="00244DC3"/>
    <w:rsid w:val="00244E31"/>
    <w:rsid w:val="00245388"/>
    <w:rsid w:val="002467EA"/>
    <w:rsid w:val="00246B00"/>
    <w:rsid w:val="00247855"/>
    <w:rsid w:val="00250C25"/>
    <w:rsid w:val="00250D73"/>
    <w:rsid w:val="00250DD9"/>
    <w:rsid w:val="00251267"/>
    <w:rsid w:val="00251756"/>
    <w:rsid w:val="00251833"/>
    <w:rsid w:val="00251ED7"/>
    <w:rsid w:val="00252FE9"/>
    <w:rsid w:val="00253591"/>
    <w:rsid w:val="0025387D"/>
    <w:rsid w:val="00254897"/>
    <w:rsid w:val="002549BD"/>
    <w:rsid w:val="00254F52"/>
    <w:rsid w:val="0025583E"/>
    <w:rsid w:val="00255BA4"/>
    <w:rsid w:val="002577EA"/>
    <w:rsid w:val="00257B63"/>
    <w:rsid w:val="00257DD0"/>
    <w:rsid w:val="00260176"/>
    <w:rsid w:val="0026190D"/>
    <w:rsid w:val="002619A7"/>
    <w:rsid w:val="00262232"/>
    <w:rsid w:val="00262706"/>
    <w:rsid w:val="00262E82"/>
    <w:rsid w:val="00264A77"/>
    <w:rsid w:val="00264DBD"/>
    <w:rsid w:val="00266082"/>
    <w:rsid w:val="00266AEA"/>
    <w:rsid w:val="00266C81"/>
    <w:rsid w:val="00266F31"/>
    <w:rsid w:val="002677A2"/>
    <w:rsid w:val="002678A1"/>
    <w:rsid w:val="002704CF"/>
    <w:rsid w:val="0027054B"/>
    <w:rsid w:val="002718D7"/>
    <w:rsid w:val="0027311C"/>
    <w:rsid w:val="0027375A"/>
    <w:rsid w:val="00273DCA"/>
    <w:rsid w:val="00273EE2"/>
    <w:rsid w:val="002747D0"/>
    <w:rsid w:val="00275771"/>
    <w:rsid w:val="00275C77"/>
    <w:rsid w:val="0027681F"/>
    <w:rsid w:val="002770AB"/>
    <w:rsid w:val="002802BD"/>
    <w:rsid w:val="00280631"/>
    <w:rsid w:val="00280ADA"/>
    <w:rsid w:val="002828B9"/>
    <w:rsid w:val="00282BA9"/>
    <w:rsid w:val="00283495"/>
    <w:rsid w:val="00283A9F"/>
    <w:rsid w:val="00283BD7"/>
    <w:rsid w:val="002840A2"/>
    <w:rsid w:val="00284314"/>
    <w:rsid w:val="00284459"/>
    <w:rsid w:val="00286839"/>
    <w:rsid w:val="0028686B"/>
    <w:rsid w:val="002871B3"/>
    <w:rsid w:val="00287A29"/>
    <w:rsid w:val="00290331"/>
    <w:rsid w:val="00290F6E"/>
    <w:rsid w:val="00291016"/>
    <w:rsid w:val="00292067"/>
    <w:rsid w:val="00292A4B"/>
    <w:rsid w:val="00293E36"/>
    <w:rsid w:val="00293E44"/>
    <w:rsid w:val="00293F2C"/>
    <w:rsid w:val="00294955"/>
    <w:rsid w:val="00294990"/>
    <w:rsid w:val="00294DF2"/>
    <w:rsid w:val="002953D3"/>
    <w:rsid w:val="002956EF"/>
    <w:rsid w:val="00296061"/>
    <w:rsid w:val="00296D2C"/>
    <w:rsid w:val="002977DD"/>
    <w:rsid w:val="00297FA0"/>
    <w:rsid w:val="002A0076"/>
    <w:rsid w:val="002A03B9"/>
    <w:rsid w:val="002A1A54"/>
    <w:rsid w:val="002A1AAC"/>
    <w:rsid w:val="002A246A"/>
    <w:rsid w:val="002A292B"/>
    <w:rsid w:val="002A33EF"/>
    <w:rsid w:val="002A37FB"/>
    <w:rsid w:val="002A3FFC"/>
    <w:rsid w:val="002A4659"/>
    <w:rsid w:val="002A4E1F"/>
    <w:rsid w:val="002A53AD"/>
    <w:rsid w:val="002A579C"/>
    <w:rsid w:val="002A7001"/>
    <w:rsid w:val="002A7685"/>
    <w:rsid w:val="002B1652"/>
    <w:rsid w:val="002B21AD"/>
    <w:rsid w:val="002B24AD"/>
    <w:rsid w:val="002B2C3C"/>
    <w:rsid w:val="002B38B1"/>
    <w:rsid w:val="002B3BDE"/>
    <w:rsid w:val="002B4788"/>
    <w:rsid w:val="002B4F19"/>
    <w:rsid w:val="002B5B7C"/>
    <w:rsid w:val="002B5F0B"/>
    <w:rsid w:val="002B62B1"/>
    <w:rsid w:val="002B6A1A"/>
    <w:rsid w:val="002B6B7C"/>
    <w:rsid w:val="002B71E0"/>
    <w:rsid w:val="002B7335"/>
    <w:rsid w:val="002B73F9"/>
    <w:rsid w:val="002B7500"/>
    <w:rsid w:val="002B784D"/>
    <w:rsid w:val="002C00C1"/>
    <w:rsid w:val="002C01A7"/>
    <w:rsid w:val="002C0C37"/>
    <w:rsid w:val="002C10CC"/>
    <w:rsid w:val="002C177D"/>
    <w:rsid w:val="002C1E79"/>
    <w:rsid w:val="002C2D05"/>
    <w:rsid w:val="002C2FE6"/>
    <w:rsid w:val="002C3005"/>
    <w:rsid w:val="002C3874"/>
    <w:rsid w:val="002C5146"/>
    <w:rsid w:val="002C55A8"/>
    <w:rsid w:val="002C5837"/>
    <w:rsid w:val="002C6F3B"/>
    <w:rsid w:val="002C7298"/>
    <w:rsid w:val="002C785A"/>
    <w:rsid w:val="002D0B3F"/>
    <w:rsid w:val="002D0D1A"/>
    <w:rsid w:val="002D2115"/>
    <w:rsid w:val="002D28AA"/>
    <w:rsid w:val="002D2DC3"/>
    <w:rsid w:val="002D3102"/>
    <w:rsid w:val="002D37F2"/>
    <w:rsid w:val="002D387C"/>
    <w:rsid w:val="002D404D"/>
    <w:rsid w:val="002D41BF"/>
    <w:rsid w:val="002D44AA"/>
    <w:rsid w:val="002D54F4"/>
    <w:rsid w:val="002D633C"/>
    <w:rsid w:val="002E009D"/>
    <w:rsid w:val="002E0BA1"/>
    <w:rsid w:val="002E175E"/>
    <w:rsid w:val="002E1E0F"/>
    <w:rsid w:val="002E2876"/>
    <w:rsid w:val="002E33E5"/>
    <w:rsid w:val="002E4464"/>
    <w:rsid w:val="002E49C4"/>
    <w:rsid w:val="002E4F6A"/>
    <w:rsid w:val="002E6457"/>
    <w:rsid w:val="002E669B"/>
    <w:rsid w:val="002E6DEC"/>
    <w:rsid w:val="002F0589"/>
    <w:rsid w:val="002F0D31"/>
    <w:rsid w:val="002F0FAD"/>
    <w:rsid w:val="002F1941"/>
    <w:rsid w:val="002F26EC"/>
    <w:rsid w:val="002F2C0F"/>
    <w:rsid w:val="002F3960"/>
    <w:rsid w:val="002F4166"/>
    <w:rsid w:val="002F4D13"/>
    <w:rsid w:val="002F4D58"/>
    <w:rsid w:val="002F4DA0"/>
    <w:rsid w:val="002F5C61"/>
    <w:rsid w:val="002F6561"/>
    <w:rsid w:val="002F6593"/>
    <w:rsid w:val="002F7613"/>
    <w:rsid w:val="002F7F97"/>
    <w:rsid w:val="0030088D"/>
    <w:rsid w:val="00300D40"/>
    <w:rsid w:val="00302307"/>
    <w:rsid w:val="003033BD"/>
    <w:rsid w:val="0030409D"/>
    <w:rsid w:val="0030411F"/>
    <w:rsid w:val="00304353"/>
    <w:rsid w:val="00304525"/>
    <w:rsid w:val="0030498D"/>
    <w:rsid w:val="00304F7E"/>
    <w:rsid w:val="00305C57"/>
    <w:rsid w:val="00305E18"/>
    <w:rsid w:val="00305FF7"/>
    <w:rsid w:val="00306129"/>
    <w:rsid w:val="00306521"/>
    <w:rsid w:val="003067FD"/>
    <w:rsid w:val="003068C5"/>
    <w:rsid w:val="00311027"/>
    <w:rsid w:val="00311622"/>
    <w:rsid w:val="00311786"/>
    <w:rsid w:val="003117B6"/>
    <w:rsid w:val="0031352D"/>
    <w:rsid w:val="00313762"/>
    <w:rsid w:val="003137B2"/>
    <w:rsid w:val="00313D24"/>
    <w:rsid w:val="00313D58"/>
    <w:rsid w:val="00314529"/>
    <w:rsid w:val="0031503E"/>
    <w:rsid w:val="003171A3"/>
    <w:rsid w:val="00317346"/>
    <w:rsid w:val="003179D9"/>
    <w:rsid w:val="0032101D"/>
    <w:rsid w:val="003214A7"/>
    <w:rsid w:val="00321809"/>
    <w:rsid w:val="00322167"/>
    <w:rsid w:val="00322627"/>
    <w:rsid w:val="00322979"/>
    <w:rsid w:val="003231DF"/>
    <w:rsid w:val="003237AD"/>
    <w:rsid w:val="00323DBB"/>
    <w:rsid w:val="00324F82"/>
    <w:rsid w:val="003254D8"/>
    <w:rsid w:val="00325833"/>
    <w:rsid w:val="00326195"/>
    <w:rsid w:val="003266B5"/>
    <w:rsid w:val="0032685E"/>
    <w:rsid w:val="003271A2"/>
    <w:rsid w:val="0033049E"/>
    <w:rsid w:val="00330676"/>
    <w:rsid w:val="003308A8"/>
    <w:rsid w:val="003310FD"/>
    <w:rsid w:val="003312DA"/>
    <w:rsid w:val="00331378"/>
    <w:rsid w:val="003316A4"/>
    <w:rsid w:val="00332F83"/>
    <w:rsid w:val="00333387"/>
    <w:rsid w:val="0033338B"/>
    <w:rsid w:val="00333801"/>
    <w:rsid w:val="00333884"/>
    <w:rsid w:val="00333D23"/>
    <w:rsid w:val="00333D31"/>
    <w:rsid w:val="003340C4"/>
    <w:rsid w:val="00334F8A"/>
    <w:rsid w:val="003367DC"/>
    <w:rsid w:val="003375E9"/>
    <w:rsid w:val="00340476"/>
    <w:rsid w:val="00340480"/>
    <w:rsid w:val="00340504"/>
    <w:rsid w:val="00340FFE"/>
    <w:rsid w:val="003422FC"/>
    <w:rsid w:val="0034264C"/>
    <w:rsid w:val="00342A83"/>
    <w:rsid w:val="00343349"/>
    <w:rsid w:val="00343703"/>
    <w:rsid w:val="00343D50"/>
    <w:rsid w:val="0034453B"/>
    <w:rsid w:val="00344F4A"/>
    <w:rsid w:val="00344FC9"/>
    <w:rsid w:val="0034507D"/>
    <w:rsid w:val="00345727"/>
    <w:rsid w:val="003460B5"/>
    <w:rsid w:val="00346117"/>
    <w:rsid w:val="00346D54"/>
    <w:rsid w:val="00350371"/>
    <w:rsid w:val="00350A5E"/>
    <w:rsid w:val="00350E3B"/>
    <w:rsid w:val="003517DA"/>
    <w:rsid w:val="00351FF0"/>
    <w:rsid w:val="003522AC"/>
    <w:rsid w:val="00353C3C"/>
    <w:rsid w:val="00353E42"/>
    <w:rsid w:val="003543C9"/>
    <w:rsid w:val="00355B69"/>
    <w:rsid w:val="00356D01"/>
    <w:rsid w:val="00357505"/>
    <w:rsid w:val="00357C7F"/>
    <w:rsid w:val="00357C87"/>
    <w:rsid w:val="00360BE6"/>
    <w:rsid w:val="00361071"/>
    <w:rsid w:val="003610B2"/>
    <w:rsid w:val="00361379"/>
    <w:rsid w:val="00361AE9"/>
    <w:rsid w:val="00362515"/>
    <w:rsid w:val="003627EA"/>
    <w:rsid w:val="00362CCB"/>
    <w:rsid w:val="00363019"/>
    <w:rsid w:val="00364260"/>
    <w:rsid w:val="0036435C"/>
    <w:rsid w:val="003647F3"/>
    <w:rsid w:val="00364C70"/>
    <w:rsid w:val="0036545E"/>
    <w:rsid w:val="00365594"/>
    <w:rsid w:val="00365B0B"/>
    <w:rsid w:val="00366115"/>
    <w:rsid w:val="00366593"/>
    <w:rsid w:val="00366EB1"/>
    <w:rsid w:val="00367528"/>
    <w:rsid w:val="00367803"/>
    <w:rsid w:val="00367A3C"/>
    <w:rsid w:val="00367BF7"/>
    <w:rsid w:val="0037009D"/>
    <w:rsid w:val="00370A70"/>
    <w:rsid w:val="00371552"/>
    <w:rsid w:val="00371DC9"/>
    <w:rsid w:val="00372EE4"/>
    <w:rsid w:val="0037327B"/>
    <w:rsid w:val="00373551"/>
    <w:rsid w:val="0037383D"/>
    <w:rsid w:val="00373A2A"/>
    <w:rsid w:val="00373AF8"/>
    <w:rsid w:val="00373B29"/>
    <w:rsid w:val="00373BCF"/>
    <w:rsid w:val="00375786"/>
    <w:rsid w:val="00375A37"/>
    <w:rsid w:val="00375AC3"/>
    <w:rsid w:val="003764B9"/>
    <w:rsid w:val="0037664C"/>
    <w:rsid w:val="00376737"/>
    <w:rsid w:val="003769B5"/>
    <w:rsid w:val="00376B8E"/>
    <w:rsid w:val="003770E2"/>
    <w:rsid w:val="00377870"/>
    <w:rsid w:val="00377F1D"/>
    <w:rsid w:val="0038031C"/>
    <w:rsid w:val="00380522"/>
    <w:rsid w:val="003807F2"/>
    <w:rsid w:val="00380915"/>
    <w:rsid w:val="00382125"/>
    <w:rsid w:val="00382163"/>
    <w:rsid w:val="0038332F"/>
    <w:rsid w:val="003835EF"/>
    <w:rsid w:val="0038363D"/>
    <w:rsid w:val="003838D6"/>
    <w:rsid w:val="00383A53"/>
    <w:rsid w:val="00384013"/>
    <w:rsid w:val="00384D69"/>
    <w:rsid w:val="00385423"/>
    <w:rsid w:val="0038654F"/>
    <w:rsid w:val="00386A49"/>
    <w:rsid w:val="00387210"/>
    <w:rsid w:val="00387A14"/>
    <w:rsid w:val="00387CE5"/>
    <w:rsid w:val="00390408"/>
    <w:rsid w:val="003905F8"/>
    <w:rsid w:val="00390ACD"/>
    <w:rsid w:val="00391063"/>
    <w:rsid w:val="00391C8C"/>
    <w:rsid w:val="00391F2C"/>
    <w:rsid w:val="0039264C"/>
    <w:rsid w:val="003927FA"/>
    <w:rsid w:val="00392BC7"/>
    <w:rsid w:val="00393D4A"/>
    <w:rsid w:val="00393DE3"/>
    <w:rsid w:val="00394817"/>
    <w:rsid w:val="003965DF"/>
    <w:rsid w:val="003974D9"/>
    <w:rsid w:val="003A00E7"/>
    <w:rsid w:val="003A0479"/>
    <w:rsid w:val="003A12C9"/>
    <w:rsid w:val="003A22C6"/>
    <w:rsid w:val="003A2E61"/>
    <w:rsid w:val="003A3190"/>
    <w:rsid w:val="003A3196"/>
    <w:rsid w:val="003A4482"/>
    <w:rsid w:val="003A4BB5"/>
    <w:rsid w:val="003A5365"/>
    <w:rsid w:val="003A6AE4"/>
    <w:rsid w:val="003A6BB9"/>
    <w:rsid w:val="003A6D96"/>
    <w:rsid w:val="003A7CD3"/>
    <w:rsid w:val="003A7E87"/>
    <w:rsid w:val="003B028D"/>
    <w:rsid w:val="003B1800"/>
    <w:rsid w:val="003B1BD5"/>
    <w:rsid w:val="003B1FA9"/>
    <w:rsid w:val="003B2BA2"/>
    <w:rsid w:val="003B2E19"/>
    <w:rsid w:val="003B332A"/>
    <w:rsid w:val="003B4226"/>
    <w:rsid w:val="003B461D"/>
    <w:rsid w:val="003B4E6E"/>
    <w:rsid w:val="003B4F29"/>
    <w:rsid w:val="003B59A1"/>
    <w:rsid w:val="003B5EFE"/>
    <w:rsid w:val="003B5F12"/>
    <w:rsid w:val="003B7218"/>
    <w:rsid w:val="003C02DF"/>
    <w:rsid w:val="003C0345"/>
    <w:rsid w:val="003C0950"/>
    <w:rsid w:val="003C1EAF"/>
    <w:rsid w:val="003C2164"/>
    <w:rsid w:val="003C2935"/>
    <w:rsid w:val="003C3E26"/>
    <w:rsid w:val="003C47A4"/>
    <w:rsid w:val="003C6750"/>
    <w:rsid w:val="003C6877"/>
    <w:rsid w:val="003C71D4"/>
    <w:rsid w:val="003C74B5"/>
    <w:rsid w:val="003C7989"/>
    <w:rsid w:val="003C7A7F"/>
    <w:rsid w:val="003D0006"/>
    <w:rsid w:val="003D02E6"/>
    <w:rsid w:val="003D1005"/>
    <w:rsid w:val="003D13C6"/>
    <w:rsid w:val="003D1C44"/>
    <w:rsid w:val="003D1FB0"/>
    <w:rsid w:val="003D24DF"/>
    <w:rsid w:val="003D30FF"/>
    <w:rsid w:val="003D310E"/>
    <w:rsid w:val="003D368B"/>
    <w:rsid w:val="003D38B2"/>
    <w:rsid w:val="003D3C86"/>
    <w:rsid w:val="003D4C5D"/>
    <w:rsid w:val="003D588C"/>
    <w:rsid w:val="003D596E"/>
    <w:rsid w:val="003D5F71"/>
    <w:rsid w:val="003D6E3D"/>
    <w:rsid w:val="003D721E"/>
    <w:rsid w:val="003E03B9"/>
    <w:rsid w:val="003E0632"/>
    <w:rsid w:val="003E1AF2"/>
    <w:rsid w:val="003E2BEB"/>
    <w:rsid w:val="003E2C39"/>
    <w:rsid w:val="003E3080"/>
    <w:rsid w:val="003E38B4"/>
    <w:rsid w:val="003E3EAB"/>
    <w:rsid w:val="003E3F73"/>
    <w:rsid w:val="003E4549"/>
    <w:rsid w:val="003E47C3"/>
    <w:rsid w:val="003E4C82"/>
    <w:rsid w:val="003E4E44"/>
    <w:rsid w:val="003E51BC"/>
    <w:rsid w:val="003E5D54"/>
    <w:rsid w:val="003E61B2"/>
    <w:rsid w:val="003E6F2A"/>
    <w:rsid w:val="003E7B91"/>
    <w:rsid w:val="003E7E04"/>
    <w:rsid w:val="003F0210"/>
    <w:rsid w:val="003F03DA"/>
    <w:rsid w:val="003F050A"/>
    <w:rsid w:val="003F0803"/>
    <w:rsid w:val="003F16FD"/>
    <w:rsid w:val="003F1D1E"/>
    <w:rsid w:val="003F1DF9"/>
    <w:rsid w:val="003F1F2F"/>
    <w:rsid w:val="003F29A1"/>
    <w:rsid w:val="003F2C8A"/>
    <w:rsid w:val="003F3379"/>
    <w:rsid w:val="003F37ED"/>
    <w:rsid w:val="003F4553"/>
    <w:rsid w:val="003F4E83"/>
    <w:rsid w:val="003F6031"/>
    <w:rsid w:val="003F6137"/>
    <w:rsid w:val="003F669C"/>
    <w:rsid w:val="003F672C"/>
    <w:rsid w:val="003F6954"/>
    <w:rsid w:val="003F6ABA"/>
    <w:rsid w:val="003F6FB1"/>
    <w:rsid w:val="003F72A1"/>
    <w:rsid w:val="00400B2A"/>
    <w:rsid w:val="00400E58"/>
    <w:rsid w:val="004011A5"/>
    <w:rsid w:val="00401492"/>
    <w:rsid w:val="00401820"/>
    <w:rsid w:val="004021E5"/>
    <w:rsid w:val="0040303B"/>
    <w:rsid w:val="004036CB"/>
    <w:rsid w:val="004054B9"/>
    <w:rsid w:val="004061BE"/>
    <w:rsid w:val="0040670F"/>
    <w:rsid w:val="00406FE2"/>
    <w:rsid w:val="00407066"/>
    <w:rsid w:val="0040734B"/>
    <w:rsid w:val="00407983"/>
    <w:rsid w:val="00407A31"/>
    <w:rsid w:val="00407F03"/>
    <w:rsid w:val="00407F0B"/>
    <w:rsid w:val="00411507"/>
    <w:rsid w:val="00411672"/>
    <w:rsid w:val="00411846"/>
    <w:rsid w:val="00412BFD"/>
    <w:rsid w:val="00413B80"/>
    <w:rsid w:val="00413DC5"/>
    <w:rsid w:val="0041430D"/>
    <w:rsid w:val="00414897"/>
    <w:rsid w:val="0041500E"/>
    <w:rsid w:val="004154C0"/>
    <w:rsid w:val="00415774"/>
    <w:rsid w:val="00415E6A"/>
    <w:rsid w:val="00416C19"/>
    <w:rsid w:val="00417F04"/>
    <w:rsid w:val="004201C3"/>
    <w:rsid w:val="00420313"/>
    <w:rsid w:val="004208EC"/>
    <w:rsid w:val="00421975"/>
    <w:rsid w:val="00421ACB"/>
    <w:rsid w:val="00421E74"/>
    <w:rsid w:val="004220FB"/>
    <w:rsid w:val="00423284"/>
    <w:rsid w:val="00423506"/>
    <w:rsid w:val="0042361A"/>
    <w:rsid w:val="00423A28"/>
    <w:rsid w:val="00423A79"/>
    <w:rsid w:val="0042427B"/>
    <w:rsid w:val="00424A10"/>
    <w:rsid w:val="00424E35"/>
    <w:rsid w:val="00426416"/>
    <w:rsid w:val="00426636"/>
    <w:rsid w:val="00426C81"/>
    <w:rsid w:val="00426F75"/>
    <w:rsid w:val="0042742E"/>
    <w:rsid w:val="00427C5F"/>
    <w:rsid w:val="004302B5"/>
    <w:rsid w:val="0043181C"/>
    <w:rsid w:val="004318C3"/>
    <w:rsid w:val="00432198"/>
    <w:rsid w:val="0043418F"/>
    <w:rsid w:val="00434288"/>
    <w:rsid w:val="00435041"/>
    <w:rsid w:val="004353B2"/>
    <w:rsid w:val="004355E1"/>
    <w:rsid w:val="00435CA7"/>
    <w:rsid w:val="00436089"/>
    <w:rsid w:val="004360B9"/>
    <w:rsid w:val="00436527"/>
    <w:rsid w:val="00436C69"/>
    <w:rsid w:val="00437124"/>
    <w:rsid w:val="00437FA4"/>
    <w:rsid w:val="00440F6A"/>
    <w:rsid w:val="004411CC"/>
    <w:rsid w:val="004416DD"/>
    <w:rsid w:val="004428AC"/>
    <w:rsid w:val="004429DF"/>
    <w:rsid w:val="00442AC6"/>
    <w:rsid w:val="0044315A"/>
    <w:rsid w:val="0044380E"/>
    <w:rsid w:val="00443D53"/>
    <w:rsid w:val="00444C39"/>
    <w:rsid w:val="00444DAF"/>
    <w:rsid w:val="004458E7"/>
    <w:rsid w:val="00445F29"/>
    <w:rsid w:val="004477DC"/>
    <w:rsid w:val="00447990"/>
    <w:rsid w:val="004500A6"/>
    <w:rsid w:val="004525CA"/>
    <w:rsid w:val="00453839"/>
    <w:rsid w:val="00453A00"/>
    <w:rsid w:val="0045495B"/>
    <w:rsid w:val="00455025"/>
    <w:rsid w:val="004550CC"/>
    <w:rsid w:val="0045561E"/>
    <w:rsid w:val="0045579F"/>
    <w:rsid w:val="004576E3"/>
    <w:rsid w:val="00457DC8"/>
    <w:rsid w:val="00457FDD"/>
    <w:rsid w:val="004631EB"/>
    <w:rsid w:val="004633B6"/>
    <w:rsid w:val="004638B6"/>
    <w:rsid w:val="00463E74"/>
    <w:rsid w:val="00464915"/>
    <w:rsid w:val="00464B4B"/>
    <w:rsid w:val="004650CD"/>
    <w:rsid w:val="004655B7"/>
    <w:rsid w:val="0046664A"/>
    <w:rsid w:val="004667A4"/>
    <w:rsid w:val="00466914"/>
    <w:rsid w:val="004679AF"/>
    <w:rsid w:val="00470ABF"/>
    <w:rsid w:val="00470D91"/>
    <w:rsid w:val="00471C35"/>
    <w:rsid w:val="004720EB"/>
    <w:rsid w:val="0047229C"/>
    <w:rsid w:val="00472BB5"/>
    <w:rsid w:val="00473103"/>
    <w:rsid w:val="00473A89"/>
    <w:rsid w:val="0047459E"/>
    <w:rsid w:val="00475E79"/>
    <w:rsid w:val="00475F53"/>
    <w:rsid w:val="004760BA"/>
    <w:rsid w:val="004770A3"/>
    <w:rsid w:val="00477AE1"/>
    <w:rsid w:val="00477F10"/>
    <w:rsid w:val="004811BF"/>
    <w:rsid w:val="00482585"/>
    <w:rsid w:val="00482DD6"/>
    <w:rsid w:val="00483DD6"/>
    <w:rsid w:val="00484C3A"/>
    <w:rsid w:val="00485557"/>
    <w:rsid w:val="00485B87"/>
    <w:rsid w:val="00486574"/>
    <w:rsid w:val="00486619"/>
    <w:rsid w:val="00486B08"/>
    <w:rsid w:val="00486B73"/>
    <w:rsid w:val="004872E4"/>
    <w:rsid w:val="0048730E"/>
    <w:rsid w:val="004873C8"/>
    <w:rsid w:val="00487415"/>
    <w:rsid w:val="00490C4D"/>
    <w:rsid w:val="00491007"/>
    <w:rsid w:val="0049136E"/>
    <w:rsid w:val="00491E44"/>
    <w:rsid w:val="00492462"/>
    <w:rsid w:val="004929AB"/>
    <w:rsid w:val="00492ED3"/>
    <w:rsid w:val="0049334E"/>
    <w:rsid w:val="0049354D"/>
    <w:rsid w:val="004939EE"/>
    <w:rsid w:val="00493C46"/>
    <w:rsid w:val="00493C4A"/>
    <w:rsid w:val="00494243"/>
    <w:rsid w:val="0049456D"/>
    <w:rsid w:val="00494C63"/>
    <w:rsid w:val="00494CD3"/>
    <w:rsid w:val="00495A1A"/>
    <w:rsid w:val="00495EB9"/>
    <w:rsid w:val="00496BEE"/>
    <w:rsid w:val="00497203"/>
    <w:rsid w:val="004974D7"/>
    <w:rsid w:val="004978E3"/>
    <w:rsid w:val="00497FDE"/>
    <w:rsid w:val="004A01E7"/>
    <w:rsid w:val="004A262A"/>
    <w:rsid w:val="004A2D90"/>
    <w:rsid w:val="004A2DFB"/>
    <w:rsid w:val="004A32D2"/>
    <w:rsid w:val="004A34C1"/>
    <w:rsid w:val="004A359B"/>
    <w:rsid w:val="004A3942"/>
    <w:rsid w:val="004A46BC"/>
    <w:rsid w:val="004A48BF"/>
    <w:rsid w:val="004A53FF"/>
    <w:rsid w:val="004A577C"/>
    <w:rsid w:val="004A5927"/>
    <w:rsid w:val="004A5B1C"/>
    <w:rsid w:val="004A67A5"/>
    <w:rsid w:val="004A7704"/>
    <w:rsid w:val="004B1042"/>
    <w:rsid w:val="004B115F"/>
    <w:rsid w:val="004B1476"/>
    <w:rsid w:val="004B177B"/>
    <w:rsid w:val="004B21B5"/>
    <w:rsid w:val="004B24EA"/>
    <w:rsid w:val="004B271C"/>
    <w:rsid w:val="004B3366"/>
    <w:rsid w:val="004B48D6"/>
    <w:rsid w:val="004B49B9"/>
    <w:rsid w:val="004B4CA2"/>
    <w:rsid w:val="004B5206"/>
    <w:rsid w:val="004B57F1"/>
    <w:rsid w:val="004B57FF"/>
    <w:rsid w:val="004B5851"/>
    <w:rsid w:val="004B6823"/>
    <w:rsid w:val="004B6927"/>
    <w:rsid w:val="004B6DC5"/>
    <w:rsid w:val="004B6FCC"/>
    <w:rsid w:val="004B7255"/>
    <w:rsid w:val="004B7489"/>
    <w:rsid w:val="004B7DED"/>
    <w:rsid w:val="004C1096"/>
    <w:rsid w:val="004C14D5"/>
    <w:rsid w:val="004C2A1A"/>
    <w:rsid w:val="004C2AE5"/>
    <w:rsid w:val="004C2B3F"/>
    <w:rsid w:val="004C2DAE"/>
    <w:rsid w:val="004C36F0"/>
    <w:rsid w:val="004C40F0"/>
    <w:rsid w:val="004C42A0"/>
    <w:rsid w:val="004C49DE"/>
    <w:rsid w:val="004C5020"/>
    <w:rsid w:val="004C53BA"/>
    <w:rsid w:val="004C5B0B"/>
    <w:rsid w:val="004C6333"/>
    <w:rsid w:val="004C685D"/>
    <w:rsid w:val="004C6DE4"/>
    <w:rsid w:val="004C7E00"/>
    <w:rsid w:val="004C7FBF"/>
    <w:rsid w:val="004D03F0"/>
    <w:rsid w:val="004D04BE"/>
    <w:rsid w:val="004D119B"/>
    <w:rsid w:val="004D17FE"/>
    <w:rsid w:val="004D24C5"/>
    <w:rsid w:val="004D301D"/>
    <w:rsid w:val="004D3982"/>
    <w:rsid w:val="004D5153"/>
    <w:rsid w:val="004D5369"/>
    <w:rsid w:val="004D568C"/>
    <w:rsid w:val="004D59A0"/>
    <w:rsid w:val="004D5D80"/>
    <w:rsid w:val="004D5DB5"/>
    <w:rsid w:val="004D7B99"/>
    <w:rsid w:val="004D7C7A"/>
    <w:rsid w:val="004E00E1"/>
    <w:rsid w:val="004E0AE0"/>
    <w:rsid w:val="004E107F"/>
    <w:rsid w:val="004E1213"/>
    <w:rsid w:val="004E13E8"/>
    <w:rsid w:val="004E1BCE"/>
    <w:rsid w:val="004E2696"/>
    <w:rsid w:val="004E2A57"/>
    <w:rsid w:val="004E2C27"/>
    <w:rsid w:val="004E30D3"/>
    <w:rsid w:val="004E35F8"/>
    <w:rsid w:val="004E381C"/>
    <w:rsid w:val="004E41AC"/>
    <w:rsid w:val="004E45AB"/>
    <w:rsid w:val="004E52F8"/>
    <w:rsid w:val="004E5AB6"/>
    <w:rsid w:val="004E6D4C"/>
    <w:rsid w:val="004E700B"/>
    <w:rsid w:val="004E707A"/>
    <w:rsid w:val="004E7A54"/>
    <w:rsid w:val="004E7FBE"/>
    <w:rsid w:val="004F0208"/>
    <w:rsid w:val="004F1137"/>
    <w:rsid w:val="004F16C9"/>
    <w:rsid w:val="004F24A5"/>
    <w:rsid w:val="004F3DA5"/>
    <w:rsid w:val="004F496C"/>
    <w:rsid w:val="004F4C49"/>
    <w:rsid w:val="004F4DC1"/>
    <w:rsid w:val="004F4FA1"/>
    <w:rsid w:val="004F53C3"/>
    <w:rsid w:val="004F605D"/>
    <w:rsid w:val="004F7064"/>
    <w:rsid w:val="005002C8"/>
    <w:rsid w:val="005005C3"/>
    <w:rsid w:val="0050084C"/>
    <w:rsid w:val="00501E4B"/>
    <w:rsid w:val="00502694"/>
    <w:rsid w:val="005027A0"/>
    <w:rsid w:val="005032EA"/>
    <w:rsid w:val="00503350"/>
    <w:rsid w:val="00503AB5"/>
    <w:rsid w:val="00503D37"/>
    <w:rsid w:val="00505540"/>
    <w:rsid w:val="005064F6"/>
    <w:rsid w:val="00506F90"/>
    <w:rsid w:val="005073A7"/>
    <w:rsid w:val="00507482"/>
    <w:rsid w:val="00507AA2"/>
    <w:rsid w:val="0051071B"/>
    <w:rsid w:val="005107A6"/>
    <w:rsid w:val="00511AE8"/>
    <w:rsid w:val="00511E69"/>
    <w:rsid w:val="0051234D"/>
    <w:rsid w:val="00512AC5"/>
    <w:rsid w:val="00512AE9"/>
    <w:rsid w:val="00512ED6"/>
    <w:rsid w:val="00512F0E"/>
    <w:rsid w:val="005137F2"/>
    <w:rsid w:val="00513FC5"/>
    <w:rsid w:val="00514954"/>
    <w:rsid w:val="00514E31"/>
    <w:rsid w:val="00515624"/>
    <w:rsid w:val="005157D7"/>
    <w:rsid w:val="00517921"/>
    <w:rsid w:val="00520147"/>
    <w:rsid w:val="0052036B"/>
    <w:rsid w:val="00522FD5"/>
    <w:rsid w:val="00523257"/>
    <w:rsid w:val="00523C9C"/>
    <w:rsid w:val="005247B3"/>
    <w:rsid w:val="00525474"/>
    <w:rsid w:val="00525E69"/>
    <w:rsid w:val="005266DB"/>
    <w:rsid w:val="00526BC6"/>
    <w:rsid w:val="00527331"/>
    <w:rsid w:val="00527A90"/>
    <w:rsid w:val="00527DEA"/>
    <w:rsid w:val="005301B6"/>
    <w:rsid w:val="00530513"/>
    <w:rsid w:val="00530BB7"/>
    <w:rsid w:val="00530EA3"/>
    <w:rsid w:val="005318C9"/>
    <w:rsid w:val="005332C4"/>
    <w:rsid w:val="005332FE"/>
    <w:rsid w:val="00533423"/>
    <w:rsid w:val="00533581"/>
    <w:rsid w:val="005348D4"/>
    <w:rsid w:val="00534EFC"/>
    <w:rsid w:val="00535127"/>
    <w:rsid w:val="005358D2"/>
    <w:rsid w:val="00536FD3"/>
    <w:rsid w:val="0053774D"/>
    <w:rsid w:val="005377E8"/>
    <w:rsid w:val="00540E96"/>
    <w:rsid w:val="00541F4D"/>
    <w:rsid w:val="00541F62"/>
    <w:rsid w:val="005420A3"/>
    <w:rsid w:val="005425B1"/>
    <w:rsid w:val="005428CC"/>
    <w:rsid w:val="00542A3C"/>
    <w:rsid w:val="005442D9"/>
    <w:rsid w:val="005442FC"/>
    <w:rsid w:val="0054459E"/>
    <w:rsid w:val="005445A3"/>
    <w:rsid w:val="0054467E"/>
    <w:rsid w:val="0054502A"/>
    <w:rsid w:val="00546A54"/>
    <w:rsid w:val="005471B6"/>
    <w:rsid w:val="005475FB"/>
    <w:rsid w:val="00547674"/>
    <w:rsid w:val="005509B4"/>
    <w:rsid w:val="00550A2C"/>
    <w:rsid w:val="00550FC9"/>
    <w:rsid w:val="00551B7D"/>
    <w:rsid w:val="00552884"/>
    <w:rsid w:val="00552E47"/>
    <w:rsid w:val="00552FED"/>
    <w:rsid w:val="00553180"/>
    <w:rsid w:val="00553567"/>
    <w:rsid w:val="00554239"/>
    <w:rsid w:val="0055488C"/>
    <w:rsid w:val="00554F67"/>
    <w:rsid w:val="0055546D"/>
    <w:rsid w:val="005558EF"/>
    <w:rsid w:val="00556215"/>
    <w:rsid w:val="00556FFC"/>
    <w:rsid w:val="0056021A"/>
    <w:rsid w:val="00560714"/>
    <w:rsid w:val="00560B9B"/>
    <w:rsid w:val="00560E18"/>
    <w:rsid w:val="00561C36"/>
    <w:rsid w:val="00562E38"/>
    <w:rsid w:val="00562EE3"/>
    <w:rsid w:val="00562F68"/>
    <w:rsid w:val="0056319A"/>
    <w:rsid w:val="00563A4A"/>
    <w:rsid w:val="005646A4"/>
    <w:rsid w:val="00564A14"/>
    <w:rsid w:val="0056606D"/>
    <w:rsid w:val="00566489"/>
    <w:rsid w:val="00566C8B"/>
    <w:rsid w:val="00567890"/>
    <w:rsid w:val="00567B01"/>
    <w:rsid w:val="00567DDB"/>
    <w:rsid w:val="00570C51"/>
    <w:rsid w:val="00570E38"/>
    <w:rsid w:val="005711D7"/>
    <w:rsid w:val="00572325"/>
    <w:rsid w:val="00572364"/>
    <w:rsid w:val="00572FFC"/>
    <w:rsid w:val="005731A6"/>
    <w:rsid w:val="005731A9"/>
    <w:rsid w:val="00573235"/>
    <w:rsid w:val="0057325C"/>
    <w:rsid w:val="0057327D"/>
    <w:rsid w:val="0057381D"/>
    <w:rsid w:val="00573B4D"/>
    <w:rsid w:val="005740B2"/>
    <w:rsid w:val="00574331"/>
    <w:rsid w:val="0057491C"/>
    <w:rsid w:val="00575AA0"/>
    <w:rsid w:val="00576229"/>
    <w:rsid w:val="00577137"/>
    <w:rsid w:val="00577892"/>
    <w:rsid w:val="00581416"/>
    <w:rsid w:val="00582B56"/>
    <w:rsid w:val="0058306F"/>
    <w:rsid w:val="005833AB"/>
    <w:rsid w:val="00583B51"/>
    <w:rsid w:val="00583B57"/>
    <w:rsid w:val="0058442F"/>
    <w:rsid w:val="00584539"/>
    <w:rsid w:val="005848C7"/>
    <w:rsid w:val="00584DB9"/>
    <w:rsid w:val="00584E3E"/>
    <w:rsid w:val="00585353"/>
    <w:rsid w:val="00585386"/>
    <w:rsid w:val="00585B24"/>
    <w:rsid w:val="00585D32"/>
    <w:rsid w:val="00585E50"/>
    <w:rsid w:val="00586B65"/>
    <w:rsid w:val="00586D97"/>
    <w:rsid w:val="005874D0"/>
    <w:rsid w:val="00587769"/>
    <w:rsid w:val="005910ED"/>
    <w:rsid w:val="005912E0"/>
    <w:rsid w:val="00591820"/>
    <w:rsid w:val="005918B4"/>
    <w:rsid w:val="00592107"/>
    <w:rsid w:val="005934FD"/>
    <w:rsid w:val="00593614"/>
    <w:rsid w:val="005937FA"/>
    <w:rsid w:val="00594362"/>
    <w:rsid w:val="005946F1"/>
    <w:rsid w:val="005947F6"/>
    <w:rsid w:val="00595518"/>
    <w:rsid w:val="005957A5"/>
    <w:rsid w:val="00596A85"/>
    <w:rsid w:val="00596FB9"/>
    <w:rsid w:val="0059792A"/>
    <w:rsid w:val="005A0854"/>
    <w:rsid w:val="005A0B52"/>
    <w:rsid w:val="005A2420"/>
    <w:rsid w:val="005A2A71"/>
    <w:rsid w:val="005A3002"/>
    <w:rsid w:val="005A33AB"/>
    <w:rsid w:val="005A33B2"/>
    <w:rsid w:val="005A3441"/>
    <w:rsid w:val="005A3692"/>
    <w:rsid w:val="005A38BD"/>
    <w:rsid w:val="005A3E8A"/>
    <w:rsid w:val="005A4A6E"/>
    <w:rsid w:val="005A5A88"/>
    <w:rsid w:val="005A62A9"/>
    <w:rsid w:val="005A68ED"/>
    <w:rsid w:val="005A6C34"/>
    <w:rsid w:val="005A709F"/>
    <w:rsid w:val="005A75B5"/>
    <w:rsid w:val="005A7665"/>
    <w:rsid w:val="005A793F"/>
    <w:rsid w:val="005B062D"/>
    <w:rsid w:val="005B10E1"/>
    <w:rsid w:val="005B124E"/>
    <w:rsid w:val="005B13F5"/>
    <w:rsid w:val="005B226A"/>
    <w:rsid w:val="005B268B"/>
    <w:rsid w:val="005B2EAA"/>
    <w:rsid w:val="005B2F48"/>
    <w:rsid w:val="005B30AB"/>
    <w:rsid w:val="005B324D"/>
    <w:rsid w:val="005B386F"/>
    <w:rsid w:val="005B4D58"/>
    <w:rsid w:val="005B516A"/>
    <w:rsid w:val="005B59F5"/>
    <w:rsid w:val="005B5D91"/>
    <w:rsid w:val="005B6349"/>
    <w:rsid w:val="005B6482"/>
    <w:rsid w:val="005B7611"/>
    <w:rsid w:val="005B791C"/>
    <w:rsid w:val="005C06F9"/>
    <w:rsid w:val="005C0BB4"/>
    <w:rsid w:val="005C1C05"/>
    <w:rsid w:val="005C223B"/>
    <w:rsid w:val="005C34AC"/>
    <w:rsid w:val="005C5BB6"/>
    <w:rsid w:val="005C5D9F"/>
    <w:rsid w:val="005C640B"/>
    <w:rsid w:val="005C648B"/>
    <w:rsid w:val="005C7096"/>
    <w:rsid w:val="005C7311"/>
    <w:rsid w:val="005C7640"/>
    <w:rsid w:val="005D07E3"/>
    <w:rsid w:val="005D18FE"/>
    <w:rsid w:val="005D45BD"/>
    <w:rsid w:val="005D472A"/>
    <w:rsid w:val="005D4F27"/>
    <w:rsid w:val="005D543D"/>
    <w:rsid w:val="005D69D2"/>
    <w:rsid w:val="005D6E81"/>
    <w:rsid w:val="005D70BC"/>
    <w:rsid w:val="005D79F0"/>
    <w:rsid w:val="005E0325"/>
    <w:rsid w:val="005E09AC"/>
    <w:rsid w:val="005E0DE3"/>
    <w:rsid w:val="005E11E6"/>
    <w:rsid w:val="005E182D"/>
    <w:rsid w:val="005E18CD"/>
    <w:rsid w:val="005E1A3C"/>
    <w:rsid w:val="005E1BC7"/>
    <w:rsid w:val="005E2BD4"/>
    <w:rsid w:val="005E2F0A"/>
    <w:rsid w:val="005E322D"/>
    <w:rsid w:val="005E34ED"/>
    <w:rsid w:val="005E383A"/>
    <w:rsid w:val="005E3884"/>
    <w:rsid w:val="005E3B5E"/>
    <w:rsid w:val="005E3F44"/>
    <w:rsid w:val="005E44F8"/>
    <w:rsid w:val="005E46F7"/>
    <w:rsid w:val="005E58D9"/>
    <w:rsid w:val="005E5BF4"/>
    <w:rsid w:val="005E602E"/>
    <w:rsid w:val="005E75EA"/>
    <w:rsid w:val="005F2752"/>
    <w:rsid w:val="005F2824"/>
    <w:rsid w:val="005F2C00"/>
    <w:rsid w:val="005F3DF1"/>
    <w:rsid w:val="005F40FE"/>
    <w:rsid w:val="005F4281"/>
    <w:rsid w:val="005F480B"/>
    <w:rsid w:val="005F48A7"/>
    <w:rsid w:val="005F4AA6"/>
    <w:rsid w:val="005F4D6F"/>
    <w:rsid w:val="005F5097"/>
    <w:rsid w:val="005F54EA"/>
    <w:rsid w:val="005F5FC9"/>
    <w:rsid w:val="005F638E"/>
    <w:rsid w:val="005F6F83"/>
    <w:rsid w:val="005F76C3"/>
    <w:rsid w:val="006005B1"/>
    <w:rsid w:val="00600D4B"/>
    <w:rsid w:val="00601396"/>
    <w:rsid w:val="00602026"/>
    <w:rsid w:val="0060350A"/>
    <w:rsid w:val="00603AED"/>
    <w:rsid w:val="00604696"/>
    <w:rsid w:val="00604D3E"/>
    <w:rsid w:val="00605789"/>
    <w:rsid w:val="00605DB8"/>
    <w:rsid w:val="00606294"/>
    <w:rsid w:val="006068A6"/>
    <w:rsid w:val="0060705C"/>
    <w:rsid w:val="00607413"/>
    <w:rsid w:val="00607ED0"/>
    <w:rsid w:val="00611E75"/>
    <w:rsid w:val="0061240B"/>
    <w:rsid w:val="006125C8"/>
    <w:rsid w:val="006127F4"/>
    <w:rsid w:val="00613392"/>
    <w:rsid w:val="00614073"/>
    <w:rsid w:val="00614981"/>
    <w:rsid w:val="00614CAE"/>
    <w:rsid w:val="006159B5"/>
    <w:rsid w:val="0061681D"/>
    <w:rsid w:val="00616AD0"/>
    <w:rsid w:val="00617061"/>
    <w:rsid w:val="0062030B"/>
    <w:rsid w:val="0062065C"/>
    <w:rsid w:val="006210D5"/>
    <w:rsid w:val="00621214"/>
    <w:rsid w:val="006218C7"/>
    <w:rsid w:val="006222CA"/>
    <w:rsid w:val="00622AEF"/>
    <w:rsid w:val="00622CBB"/>
    <w:rsid w:val="00623466"/>
    <w:rsid w:val="00623729"/>
    <w:rsid w:val="00623B1E"/>
    <w:rsid w:val="00623E96"/>
    <w:rsid w:val="00624892"/>
    <w:rsid w:val="00624A48"/>
    <w:rsid w:val="0062587B"/>
    <w:rsid w:val="00626BEE"/>
    <w:rsid w:val="006301AB"/>
    <w:rsid w:val="00630334"/>
    <w:rsid w:val="006327F4"/>
    <w:rsid w:val="00633239"/>
    <w:rsid w:val="006335DE"/>
    <w:rsid w:val="006339CB"/>
    <w:rsid w:val="00633AD9"/>
    <w:rsid w:val="00633C5C"/>
    <w:rsid w:val="006346EC"/>
    <w:rsid w:val="0063509C"/>
    <w:rsid w:val="00635777"/>
    <w:rsid w:val="00635ED2"/>
    <w:rsid w:val="00635F74"/>
    <w:rsid w:val="00637EA4"/>
    <w:rsid w:val="00640EFE"/>
    <w:rsid w:val="00641155"/>
    <w:rsid w:val="00641AB0"/>
    <w:rsid w:val="00641B08"/>
    <w:rsid w:val="00641D92"/>
    <w:rsid w:val="006424B2"/>
    <w:rsid w:val="006427FF"/>
    <w:rsid w:val="00642F97"/>
    <w:rsid w:val="006432FA"/>
    <w:rsid w:val="00643330"/>
    <w:rsid w:val="00643790"/>
    <w:rsid w:val="006439CB"/>
    <w:rsid w:val="00643FAB"/>
    <w:rsid w:val="00645397"/>
    <w:rsid w:val="00645C05"/>
    <w:rsid w:val="00646432"/>
    <w:rsid w:val="006467D5"/>
    <w:rsid w:val="00647105"/>
    <w:rsid w:val="0064793F"/>
    <w:rsid w:val="00650184"/>
    <w:rsid w:val="006516B3"/>
    <w:rsid w:val="00651778"/>
    <w:rsid w:val="00651E61"/>
    <w:rsid w:val="006523A8"/>
    <w:rsid w:val="00652458"/>
    <w:rsid w:val="0065322E"/>
    <w:rsid w:val="006536BD"/>
    <w:rsid w:val="0065392D"/>
    <w:rsid w:val="00653F91"/>
    <w:rsid w:val="00654238"/>
    <w:rsid w:val="00654B17"/>
    <w:rsid w:val="00654CB0"/>
    <w:rsid w:val="00654EDF"/>
    <w:rsid w:val="00655356"/>
    <w:rsid w:val="0065739E"/>
    <w:rsid w:val="006604F3"/>
    <w:rsid w:val="00660A57"/>
    <w:rsid w:val="00660D8C"/>
    <w:rsid w:val="00660E73"/>
    <w:rsid w:val="006621A3"/>
    <w:rsid w:val="00662B75"/>
    <w:rsid w:val="00663253"/>
    <w:rsid w:val="00663DC3"/>
    <w:rsid w:val="00663FC6"/>
    <w:rsid w:val="006640D1"/>
    <w:rsid w:val="00664961"/>
    <w:rsid w:val="0066496F"/>
    <w:rsid w:val="00664AF2"/>
    <w:rsid w:val="00664EDB"/>
    <w:rsid w:val="00665447"/>
    <w:rsid w:val="006666B8"/>
    <w:rsid w:val="0066681C"/>
    <w:rsid w:val="006669ED"/>
    <w:rsid w:val="00666C04"/>
    <w:rsid w:val="006670B8"/>
    <w:rsid w:val="00667808"/>
    <w:rsid w:val="00667832"/>
    <w:rsid w:val="00667ABF"/>
    <w:rsid w:val="00667FE3"/>
    <w:rsid w:val="00670CF7"/>
    <w:rsid w:val="00670F1F"/>
    <w:rsid w:val="00671B58"/>
    <w:rsid w:val="00671B66"/>
    <w:rsid w:val="0067262A"/>
    <w:rsid w:val="00672A7E"/>
    <w:rsid w:val="00672C2D"/>
    <w:rsid w:val="00673C7F"/>
    <w:rsid w:val="0067426B"/>
    <w:rsid w:val="00674A38"/>
    <w:rsid w:val="00674F7E"/>
    <w:rsid w:val="00675034"/>
    <w:rsid w:val="006750C9"/>
    <w:rsid w:val="006757F9"/>
    <w:rsid w:val="00675CA6"/>
    <w:rsid w:val="006763CD"/>
    <w:rsid w:val="00676903"/>
    <w:rsid w:val="00676A6D"/>
    <w:rsid w:val="00676D32"/>
    <w:rsid w:val="006775C7"/>
    <w:rsid w:val="00680B4A"/>
    <w:rsid w:val="00680BA9"/>
    <w:rsid w:val="00680D35"/>
    <w:rsid w:val="00680EE3"/>
    <w:rsid w:val="00681057"/>
    <w:rsid w:val="00682A7D"/>
    <w:rsid w:val="006834F5"/>
    <w:rsid w:val="006846F7"/>
    <w:rsid w:val="00685419"/>
    <w:rsid w:val="006865A4"/>
    <w:rsid w:val="006867ED"/>
    <w:rsid w:val="00686A53"/>
    <w:rsid w:val="00687880"/>
    <w:rsid w:val="006903D6"/>
    <w:rsid w:val="006905EC"/>
    <w:rsid w:val="006910C1"/>
    <w:rsid w:val="0069144D"/>
    <w:rsid w:val="00691CBA"/>
    <w:rsid w:val="006920B8"/>
    <w:rsid w:val="006921E7"/>
    <w:rsid w:val="00692513"/>
    <w:rsid w:val="00692E5E"/>
    <w:rsid w:val="00693298"/>
    <w:rsid w:val="00693970"/>
    <w:rsid w:val="0069413A"/>
    <w:rsid w:val="0069422E"/>
    <w:rsid w:val="006953F4"/>
    <w:rsid w:val="0069611C"/>
    <w:rsid w:val="00696776"/>
    <w:rsid w:val="0069692D"/>
    <w:rsid w:val="0069706B"/>
    <w:rsid w:val="006970AA"/>
    <w:rsid w:val="00697896"/>
    <w:rsid w:val="006A0E22"/>
    <w:rsid w:val="006A155C"/>
    <w:rsid w:val="006A224C"/>
    <w:rsid w:val="006A3052"/>
    <w:rsid w:val="006A3712"/>
    <w:rsid w:val="006A3F29"/>
    <w:rsid w:val="006A4201"/>
    <w:rsid w:val="006A42D7"/>
    <w:rsid w:val="006A46BB"/>
    <w:rsid w:val="006A4730"/>
    <w:rsid w:val="006A4C52"/>
    <w:rsid w:val="006A78C6"/>
    <w:rsid w:val="006A7F84"/>
    <w:rsid w:val="006B06A0"/>
    <w:rsid w:val="006B1206"/>
    <w:rsid w:val="006B19E3"/>
    <w:rsid w:val="006B1F60"/>
    <w:rsid w:val="006B2AAF"/>
    <w:rsid w:val="006B2AC0"/>
    <w:rsid w:val="006B2E1C"/>
    <w:rsid w:val="006B3517"/>
    <w:rsid w:val="006B476E"/>
    <w:rsid w:val="006B4EA9"/>
    <w:rsid w:val="006B54E0"/>
    <w:rsid w:val="006B558A"/>
    <w:rsid w:val="006B6B4D"/>
    <w:rsid w:val="006B7595"/>
    <w:rsid w:val="006B7901"/>
    <w:rsid w:val="006B792D"/>
    <w:rsid w:val="006B7C36"/>
    <w:rsid w:val="006C014E"/>
    <w:rsid w:val="006C0501"/>
    <w:rsid w:val="006C0823"/>
    <w:rsid w:val="006C1703"/>
    <w:rsid w:val="006C2009"/>
    <w:rsid w:val="006C241D"/>
    <w:rsid w:val="006C260B"/>
    <w:rsid w:val="006C2D9F"/>
    <w:rsid w:val="006C317E"/>
    <w:rsid w:val="006C374E"/>
    <w:rsid w:val="006C3A40"/>
    <w:rsid w:val="006C3CBE"/>
    <w:rsid w:val="006C3D89"/>
    <w:rsid w:val="006C441D"/>
    <w:rsid w:val="006C5650"/>
    <w:rsid w:val="006C61B4"/>
    <w:rsid w:val="006C6C9C"/>
    <w:rsid w:val="006C6D75"/>
    <w:rsid w:val="006C6E5B"/>
    <w:rsid w:val="006C7DF8"/>
    <w:rsid w:val="006D0A71"/>
    <w:rsid w:val="006D0BFE"/>
    <w:rsid w:val="006D261F"/>
    <w:rsid w:val="006D2717"/>
    <w:rsid w:val="006D2B00"/>
    <w:rsid w:val="006D40FF"/>
    <w:rsid w:val="006D416C"/>
    <w:rsid w:val="006D4A49"/>
    <w:rsid w:val="006D66E0"/>
    <w:rsid w:val="006D68A2"/>
    <w:rsid w:val="006D695D"/>
    <w:rsid w:val="006D6AE9"/>
    <w:rsid w:val="006D6C2A"/>
    <w:rsid w:val="006E00AB"/>
    <w:rsid w:val="006E05F3"/>
    <w:rsid w:val="006E231C"/>
    <w:rsid w:val="006E2E79"/>
    <w:rsid w:val="006E357F"/>
    <w:rsid w:val="006E3EB4"/>
    <w:rsid w:val="006E4529"/>
    <w:rsid w:val="006E4E43"/>
    <w:rsid w:val="006E5119"/>
    <w:rsid w:val="006E567F"/>
    <w:rsid w:val="006E68B7"/>
    <w:rsid w:val="006E7100"/>
    <w:rsid w:val="006E7221"/>
    <w:rsid w:val="006E7256"/>
    <w:rsid w:val="006E77AA"/>
    <w:rsid w:val="006E7947"/>
    <w:rsid w:val="006F0D02"/>
    <w:rsid w:val="006F0E56"/>
    <w:rsid w:val="006F1256"/>
    <w:rsid w:val="006F1A36"/>
    <w:rsid w:val="006F1A8C"/>
    <w:rsid w:val="006F1C83"/>
    <w:rsid w:val="006F22DF"/>
    <w:rsid w:val="006F29AD"/>
    <w:rsid w:val="006F31D7"/>
    <w:rsid w:val="006F35F1"/>
    <w:rsid w:val="006F36B2"/>
    <w:rsid w:val="006F459D"/>
    <w:rsid w:val="006F5AD6"/>
    <w:rsid w:val="006F6096"/>
    <w:rsid w:val="006F6851"/>
    <w:rsid w:val="006F7864"/>
    <w:rsid w:val="00700112"/>
    <w:rsid w:val="0070070D"/>
    <w:rsid w:val="0070075C"/>
    <w:rsid w:val="007015D4"/>
    <w:rsid w:val="0070189B"/>
    <w:rsid w:val="00702A1C"/>
    <w:rsid w:val="00702FCC"/>
    <w:rsid w:val="00703DC7"/>
    <w:rsid w:val="00705F5A"/>
    <w:rsid w:val="00706E0C"/>
    <w:rsid w:val="00707187"/>
    <w:rsid w:val="00707712"/>
    <w:rsid w:val="00710E24"/>
    <w:rsid w:val="00711356"/>
    <w:rsid w:val="00711474"/>
    <w:rsid w:val="00711A5E"/>
    <w:rsid w:val="00712285"/>
    <w:rsid w:val="00712D9A"/>
    <w:rsid w:val="00712DBE"/>
    <w:rsid w:val="00712F9D"/>
    <w:rsid w:val="0071322A"/>
    <w:rsid w:val="007133EC"/>
    <w:rsid w:val="00714002"/>
    <w:rsid w:val="00714668"/>
    <w:rsid w:val="00715B25"/>
    <w:rsid w:val="00716DCD"/>
    <w:rsid w:val="007170C3"/>
    <w:rsid w:val="00717304"/>
    <w:rsid w:val="00717501"/>
    <w:rsid w:val="007175B4"/>
    <w:rsid w:val="00717B01"/>
    <w:rsid w:val="00720437"/>
    <w:rsid w:val="0072062E"/>
    <w:rsid w:val="00720634"/>
    <w:rsid w:val="00720F44"/>
    <w:rsid w:val="00721240"/>
    <w:rsid w:val="00721476"/>
    <w:rsid w:val="00721A9C"/>
    <w:rsid w:val="00723563"/>
    <w:rsid w:val="00723567"/>
    <w:rsid w:val="00723B3E"/>
    <w:rsid w:val="007240D5"/>
    <w:rsid w:val="00724951"/>
    <w:rsid w:val="00724E4A"/>
    <w:rsid w:val="0072633A"/>
    <w:rsid w:val="00726C0C"/>
    <w:rsid w:val="00726CB4"/>
    <w:rsid w:val="0072718A"/>
    <w:rsid w:val="00727504"/>
    <w:rsid w:val="00727B3F"/>
    <w:rsid w:val="00730197"/>
    <w:rsid w:val="007301FC"/>
    <w:rsid w:val="00730524"/>
    <w:rsid w:val="007307C8"/>
    <w:rsid w:val="00730C25"/>
    <w:rsid w:val="00731846"/>
    <w:rsid w:val="00731881"/>
    <w:rsid w:val="0073196A"/>
    <w:rsid w:val="00731DEF"/>
    <w:rsid w:val="007320CB"/>
    <w:rsid w:val="00732814"/>
    <w:rsid w:val="007328E2"/>
    <w:rsid w:val="00732D21"/>
    <w:rsid w:val="00733502"/>
    <w:rsid w:val="007344DC"/>
    <w:rsid w:val="00734A5A"/>
    <w:rsid w:val="00734CB5"/>
    <w:rsid w:val="00734F0D"/>
    <w:rsid w:val="007367C8"/>
    <w:rsid w:val="0073764F"/>
    <w:rsid w:val="00740CA3"/>
    <w:rsid w:val="00741DCB"/>
    <w:rsid w:val="00742B75"/>
    <w:rsid w:val="007447DE"/>
    <w:rsid w:val="0074499F"/>
    <w:rsid w:val="0074528F"/>
    <w:rsid w:val="00745A39"/>
    <w:rsid w:val="007460FF"/>
    <w:rsid w:val="0074617A"/>
    <w:rsid w:val="007461EE"/>
    <w:rsid w:val="00746FC1"/>
    <w:rsid w:val="007502A8"/>
    <w:rsid w:val="007502DF"/>
    <w:rsid w:val="0075065E"/>
    <w:rsid w:val="00751650"/>
    <w:rsid w:val="0075313D"/>
    <w:rsid w:val="007534EB"/>
    <w:rsid w:val="007536C6"/>
    <w:rsid w:val="0075370B"/>
    <w:rsid w:val="00754742"/>
    <w:rsid w:val="00756009"/>
    <w:rsid w:val="00756619"/>
    <w:rsid w:val="00756AC2"/>
    <w:rsid w:val="00757241"/>
    <w:rsid w:val="0075782C"/>
    <w:rsid w:val="0076066D"/>
    <w:rsid w:val="00760F41"/>
    <w:rsid w:val="00760FE3"/>
    <w:rsid w:val="0076123E"/>
    <w:rsid w:val="00761683"/>
    <w:rsid w:val="00761E7A"/>
    <w:rsid w:val="007621E4"/>
    <w:rsid w:val="007622AE"/>
    <w:rsid w:val="007628C3"/>
    <w:rsid w:val="0076375A"/>
    <w:rsid w:val="00763915"/>
    <w:rsid w:val="007639C6"/>
    <w:rsid w:val="00763AFC"/>
    <w:rsid w:val="00763FAC"/>
    <w:rsid w:val="0076427F"/>
    <w:rsid w:val="007649E9"/>
    <w:rsid w:val="00764ABC"/>
    <w:rsid w:val="00764BAA"/>
    <w:rsid w:val="00766545"/>
    <w:rsid w:val="007668EB"/>
    <w:rsid w:val="00766C6E"/>
    <w:rsid w:val="00767023"/>
    <w:rsid w:val="00767078"/>
    <w:rsid w:val="00767DD8"/>
    <w:rsid w:val="007700BE"/>
    <w:rsid w:val="007706B8"/>
    <w:rsid w:val="00770DAF"/>
    <w:rsid w:val="00772CD2"/>
    <w:rsid w:val="00774C96"/>
    <w:rsid w:val="00775271"/>
    <w:rsid w:val="007754DA"/>
    <w:rsid w:val="00775618"/>
    <w:rsid w:val="00775727"/>
    <w:rsid w:val="00775804"/>
    <w:rsid w:val="00775AF1"/>
    <w:rsid w:val="00775F02"/>
    <w:rsid w:val="00776110"/>
    <w:rsid w:val="007771D2"/>
    <w:rsid w:val="00777752"/>
    <w:rsid w:val="007802BE"/>
    <w:rsid w:val="007803A7"/>
    <w:rsid w:val="00780CCF"/>
    <w:rsid w:val="00780F3F"/>
    <w:rsid w:val="00781362"/>
    <w:rsid w:val="00781B86"/>
    <w:rsid w:val="00781DE3"/>
    <w:rsid w:val="00781F55"/>
    <w:rsid w:val="00781FE6"/>
    <w:rsid w:val="0078220D"/>
    <w:rsid w:val="007822F9"/>
    <w:rsid w:val="00782993"/>
    <w:rsid w:val="00782E8B"/>
    <w:rsid w:val="00783716"/>
    <w:rsid w:val="00783931"/>
    <w:rsid w:val="00785606"/>
    <w:rsid w:val="007857C3"/>
    <w:rsid w:val="00785A64"/>
    <w:rsid w:val="0078607E"/>
    <w:rsid w:val="0078684C"/>
    <w:rsid w:val="00786FA5"/>
    <w:rsid w:val="00787063"/>
    <w:rsid w:val="0078742F"/>
    <w:rsid w:val="00787799"/>
    <w:rsid w:val="00787F1B"/>
    <w:rsid w:val="00790816"/>
    <w:rsid w:val="007924AC"/>
    <w:rsid w:val="00792531"/>
    <w:rsid w:val="0079275C"/>
    <w:rsid w:val="00792DDB"/>
    <w:rsid w:val="00792E47"/>
    <w:rsid w:val="00793109"/>
    <w:rsid w:val="00793341"/>
    <w:rsid w:val="0079542B"/>
    <w:rsid w:val="007957A3"/>
    <w:rsid w:val="007968A2"/>
    <w:rsid w:val="00796ED1"/>
    <w:rsid w:val="007973A2"/>
    <w:rsid w:val="00797A15"/>
    <w:rsid w:val="00797E2F"/>
    <w:rsid w:val="007A0462"/>
    <w:rsid w:val="007A06D6"/>
    <w:rsid w:val="007A07D3"/>
    <w:rsid w:val="007A0ADF"/>
    <w:rsid w:val="007A10AC"/>
    <w:rsid w:val="007A12B4"/>
    <w:rsid w:val="007A13C6"/>
    <w:rsid w:val="007A1630"/>
    <w:rsid w:val="007A3079"/>
    <w:rsid w:val="007A3456"/>
    <w:rsid w:val="007A36A0"/>
    <w:rsid w:val="007A3F61"/>
    <w:rsid w:val="007A53C7"/>
    <w:rsid w:val="007A5616"/>
    <w:rsid w:val="007A5FDE"/>
    <w:rsid w:val="007A6848"/>
    <w:rsid w:val="007A68EF"/>
    <w:rsid w:val="007A6BEC"/>
    <w:rsid w:val="007A6C3B"/>
    <w:rsid w:val="007A71C4"/>
    <w:rsid w:val="007A7CA5"/>
    <w:rsid w:val="007B06D8"/>
    <w:rsid w:val="007B0CF2"/>
    <w:rsid w:val="007B1958"/>
    <w:rsid w:val="007B1E33"/>
    <w:rsid w:val="007B2248"/>
    <w:rsid w:val="007B2C54"/>
    <w:rsid w:val="007B2E85"/>
    <w:rsid w:val="007B303E"/>
    <w:rsid w:val="007B345D"/>
    <w:rsid w:val="007B3630"/>
    <w:rsid w:val="007B37DF"/>
    <w:rsid w:val="007B3AB8"/>
    <w:rsid w:val="007B3BCD"/>
    <w:rsid w:val="007B3E2A"/>
    <w:rsid w:val="007B4245"/>
    <w:rsid w:val="007B4550"/>
    <w:rsid w:val="007B47C3"/>
    <w:rsid w:val="007B4871"/>
    <w:rsid w:val="007B52C4"/>
    <w:rsid w:val="007B5590"/>
    <w:rsid w:val="007B586E"/>
    <w:rsid w:val="007B628B"/>
    <w:rsid w:val="007B66DE"/>
    <w:rsid w:val="007B685C"/>
    <w:rsid w:val="007B73B2"/>
    <w:rsid w:val="007B74B8"/>
    <w:rsid w:val="007B74FF"/>
    <w:rsid w:val="007C017E"/>
    <w:rsid w:val="007C1022"/>
    <w:rsid w:val="007C191B"/>
    <w:rsid w:val="007C2642"/>
    <w:rsid w:val="007C2C04"/>
    <w:rsid w:val="007C2F7B"/>
    <w:rsid w:val="007C3676"/>
    <w:rsid w:val="007C37ED"/>
    <w:rsid w:val="007C39FE"/>
    <w:rsid w:val="007C3A4D"/>
    <w:rsid w:val="007C3B28"/>
    <w:rsid w:val="007C3C91"/>
    <w:rsid w:val="007C3E5B"/>
    <w:rsid w:val="007C503C"/>
    <w:rsid w:val="007C525A"/>
    <w:rsid w:val="007C58BF"/>
    <w:rsid w:val="007C6E4F"/>
    <w:rsid w:val="007C6E65"/>
    <w:rsid w:val="007C6E9E"/>
    <w:rsid w:val="007C75F7"/>
    <w:rsid w:val="007C76A2"/>
    <w:rsid w:val="007C7B63"/>
    <w:rsid w:val="007C7F5B"/>
    <w:rsid w:val="007C7FC3"/>
    <w:rsid w:val="007D0717"/>
    <w:rsid w:val="007D080C"/>
    <w:rsid w:val="007D0B8C"/>
    <w:rsid w:val="007D100A"/>
    <w:rsid w:val="007D21A9"/>
    <w:rsid w:val="007D2E17"/>
    <w:rsid w:val="007D3385"/>
    <w:rsid w:val="007D38D0"/>
    <w:rsid w:val="007D3B5B"/>
    <w:rsid w:val="007D4584"/>
    <w:rsid w:val="007D4C1B"/>
    <w:rsid w:val="007D5349"/>
    <w:rsid w:val="007D6E90"/>
    <w:rsid w:val="007D75E1"/>
    <w:rsid w:val="007D7722"/>
    <w:rsid w:val="007E0573"/>
    <w:rsid w:val="007E1335"/>
    <w:rsid w:val="007E14A5"/>
    <w:rsid w:val="007E195E"/>
    <w:rsid w:val="007E1CA9"/>
    <w:rsid w:val="007E28D5"/>
    <w:rsid w:val="007E3461"/>
    <w:rsid w:val="007E39D8"/>
    <w:rsid w:val="007E5308"/>
    <w:rsid w:val="007E540E"/>
    <w:rsid w:val="007E5426"/>
    <w:rsid w:val="007E5E3F"/>
    <w:rsid w:val="007E5FFF"/>
    <w:rsid w:val="007E77E5"/>
    <w:rsid w:val="007E7B18"/>
    <w:rsid w:val="007F0175"/>
    <w:rsid w:val="007F0313"/>
    <w:rsid w:val="007F1042"/>
    <w:rsid w:val="007F11FE"/>
    <w:rsid w:val="007F1CF4"/>
    <w:rsid w:val="007F1D42"/>
    <w:rsid w:val="007F207C"/>
    <w:rsid w:val="007F29F3"/>
    <w:rsid w:val="007F2BA3"/>
    <w:rsid w:val="007F3B7A"/>
    <w:rsid w:val="007F4574"/>
    <w:rsid w:val="007F459E"/>
    <w:rsid w:val="007F540B"/>
    <w:rsid w:val="007F5868"/>
    <w:rsid w:val="007F619D"/>
    <w:rsid w:val="007F6F4D"/>
    <w:rsid w:val="007F72EB"/>
    <w:rsid w:val="00800012"/>
    <w:rsid w:val="008013C1"/>
    <w:rsid w:val="00801AC1"/>
    <w:rsid w:val="00802887"/>
    <w:rsid w:val="0080332A"/>
    <w:rsid w:val="008037D2"/>
    <w:rsid w:val="00803997"/>
    <w:rsid w:val="00803BA2"/>
    <w:rsid w:val="00803F63"/>
    <w:rsid w:val="00803F77"/>
    <w:rsid w:val="00804154"/>
    <w:rsid w:val="00804B7D"/>
    <w:rsid w:val="00804BD2"/>
    <w:rsid w:val="0080601F"/>
    <w:rsid w:val="00806770"/>
    <w:rsid w:val="0080682C"/>
    <w:rsid w:val="00806DD2"/>
    <w:rsid w:val="00807D31"/>
    <w:rsid w:val="00810B57"/>
    <w:rsid w:val="00810DC8"/>
    <w:rsid w:val="00812255"/>
    <w:rsid w:val="008128FE"/>
    <w:rsid w:val="00812AD7"/>
    <w:rsid w:val="00813E42"/>
    <w:rsid w:val="008154CD"/>
    <w:rsid w:val="0081574F"/>
    <w:rsid w:val="00815A5D"/>
    <w:rsid w:val="00815B0D"/>
    <w:rsid w:val="008169D5"/>
    <w:rsid w:val="0081788F"/>
    <w:rsid w:val="00817DCF"/>
    <w:rsid w:val="00820D00"/>
    <w:rsid w:val="00820F9D"/>
    <w:rsid w:val="008211E2"/>
    <w:rsid w:val="0082143A"/>
    <w:rsid w:val="00821582"/>
    <w:rsid w:val="00821664"/>
    <w:rsid w:val="008234ED"/>
    <w:rsid w:val="00823C95"/>
    <w:rsid w:val="008246DF"/>
    <w:rsid w:val="00825BA9"/>
    <w:rsid w:val="008273E8"/>
    <w:rsid w:val="008274DA"/>
    <w:rsid w:val="008274E6"/>
    <w:rsid w:val="00827806"/>
    <w:rsid w:val="008305C2"/>
    <w:rsid w:val="00830A9E"/>
    <w:rsid w:val="00830C44"/>
    <w:rsid w:val="00830F68"/>
    <w:rsid w:val="008321FA"/>
    <w:rsid w:val="00832946"/>
    <w:rsid w:val="00833CA2"/>
    <w:rsid w:val="00833DFE"/>
    <w:rsid w:val="008347E6"/>
    <w:rsid w:val="00834950"/>
    <w:rsid w:val="00834954"/>
    <w:rsid w:val="00836A56"/>
    <w:rsid w:val="00837F59"/>
    <w:rsid w:val="00840AEB"/>
    <w:rsid w:val="00840EFF"/>
    <w:rsid w:val="00841568"/>
    <w:rsid w:val="00841A2D"/>
    <w:rsid w:val="0084204D"/>
    <w:rsid w:val="008427EA"/>
    <w:rsid w:val="00842DFB"/>
    <w:rsid w:val="00843563"/>
    <w:rsid w:val="00844372"/>
    <w:rsid w:val="00845190"/>
    <w:rsid w:val="00845E5C"/>
    <w:rsid w:val="00846BC4"/>
    <w:rsid w:val="00847512"/>
    <w:rsid w:val="00847E3E"/>
    <w:rsid w:val="00850A57"/>
    <w:rsid w:val="00850ABF"/>
    <w:rsid w:val="008510AE"/>
    <w:rsid w:val="008511AA"/>
    <w:rsid w:val="00851437"/>
    <w:rsid w:val="00851803"/>
    <w:rsid w:val="00851D0B"/>
    <w:rsid w:val="0085240E"/>
    <w:rsid w:val="008527C3"/>
    <w:rsid w:val="00852D50"/>
    <w:rsid w:val="0085424E"/>
    <w:rsid w:val="00854B79"/>
    <w:rsid w:val="00854D65"/>
    <w:rsid w:val="0085538C"/>
    <w:rsid w:val="00855628"/>
    <w:rsid w:val="00855DDD"/>
    <w:rsid w:val="00856366"/>
    <w:rsid w:val="00856EAB"/>
    <w:rsid w:val="00856FF3"/>
    <w:rsid w:val="00857FB4"/>
    <w:rsid w:val="00860A20"/>
    <w:rsid w:val="00861AC9"/>
    <w:rsid w:val="00862509"/>
    <w:rsid w:val="00862FC4"/>
    <w:rsid w:val="00863C0C"/>
    <w:rsid w:val="00864083"/>
    <w:rsid w:val="008640C3"/>
    <w:rsid w:val="0086426E"/>
    <w:rsid w:val="00864428"/>
    <w:rsid w:val="00865635"/>
    <w:rsid w:val="008657F6"/>
    <w:rsid w:val="00865D4C"/>
    <w:rsid w:val="0086604B"/>
    <w:rsid w:val="00866244"/>
    <w:rsid w:val="00866803"/>
    <w:rsid w:val="00867A5F"/>
    <w:rsid w:val="00867EBC"/>
    <w:rsid w:val="00867FDC"/>
    <w:rsid w:val="0087031A"/>
    <w:rsid w:val="00870B23"/>
    <w:rsid w:val="008720AF"/>
    <w:rsid w:val="00872109"/>
    <w:rsid w:val="008724BA"/>
    <w:rsid w:val="00872A3D"/>
    <w:rsid w:val="00873151"/>
    <w:rsid w:val="008738AA"/>
    <w:rsid w:val="00873EAF"/>
    <w:rsid w:val="00873F4A"/>
    <w:rsid w:val="00874818"/>
    <w:rsid w:val="00874DEF"/>
    <w:rsid w:val="008752E9"/>
    <w:rsid w:val="00875A59"/>
    <w:rsid w:val="00876909"/>
    <w:rsid w:val="0087695F"/>
    <w:rsid w:val="00876F9A"/>
    <w:rsid w:val="00877043"/>
    <w:rsid w:val="008770D4"/>
    <w:rsid w:val="0087764C"/>
    <w:rsid w:val="00877BEF"/>
    <w:rsid w:val="00877F8E"/>
    <w:rsid w:val="00880B16"/>
    <w:rsid w:val="00881A3E"/>
    <w:rsid w:val="00881FC2"/>
    <w:rsid w:val="00882417"/>
    <w:rsid w:val="00882496"/>
    <w:rsid w:val="008830F0"/>
    <w:rsid w:val="008836DE"/>
    <w:rsid w:val="00883CF2"/>
    <w:rsid w:val="008840F9"/>
    <w:rsid w:val="00884969"/>
    <w:rsid w:val="0088543A"/>
    <w:rsid w:val="00885545"/>
    <w:rsid w:val="00885CA5"/>
    <w:rsid w:val="008866EC"/>
    <w:rsid w:val="00886715"/>
    <w:rsid w:val="0088739C"/>
    <w:rsid w:val="008878FA"/>
    <w:rsid w:val="00887DA2"/>
    <w:rsid w:val="0089053B"/>
    <w:rsid w:val="00891CE4"/>
    <w:rsid w:val="00892612"/>
    <w:rsid w:val="00892A15"/>
    <w:rsid w:val="0089360D"/>
    <w:rsid w:val="0089377D"/>
    <w:rsid w:val="008939FD"/>
    <w:rsid w:val="00893A02"/>
    <w:rsid w:val="00893DCD"/>
    <w:rsid w:val="00894377"/>
    <w:rsid w:val="00894609"/>
    <w:rsid w:val="00894A35"/>
    <w:rsid w:val="00894BEC"/>
    <w:rsid w:val="008952ED"/>
    <w:rsid w:val="00895A81"/>
    <w:rsid w:val="00896E82"/>
    <w:rsid w:val="008972E9"/>
    <w:rsid w:val="00897E8F"/>
    <w:rsid w:val="008A0C7D"/>
    <w:rsid w:val="008A1085"/>
    <w:rsid w:val="008A1E23"/>
    <w:rsid w:val="008A2236"/>
    <w:rsid w:val="008A2A07"/>
    <w:rsid w:val="008A3B60"/>
    <w:rsid w:val="008A3D6D"/>
    <w:rsid w:val="008A49BC"/>
    <w:rsid w:val="008A49CE"/>
    <w:rsid w:val="008A605E"/>
    <w:rsid w:val="008A689D"/>
    <w:rsid w:val="008A6D8C"/>
    <w:rsid w:val="008B0476"/>
    <w:rsid w:val="008B121E"/>
    <w:rsid w:val="008B1441"/>
    <w:rsid w:val="008B171C"/>
    <w:rsid w:val="008B2A3C"/>
    <w:rsid w:val="008B31DA"/>
    <w:rsid w:val="008B3278"/>
    <w:rsid w:val="008B329F"/>
    <w:rsid w:val="008B390C"/>
    <w:rsid w:val="008B3B12"/>
    <w:rsid w:val="008B3F07"/>
    <w:rsid w:val="008B54ED"/>
    <w:rsid w:val="008B677B"/>
    <w:rsid w:val="008B6BA0"/>
    <w:rsid w:val="008B6CC1"/>
    <w:rsid w:val="008B7234"/>
    <w:rsid w:val="008B75B7"/>
    <w:rsid w:val="008C055C"/>
    <w:rsid w:val="008C063E"/>
    <w:rsid w:val="008C12CB"/>
    <w:rsid w:val="008C1DB1"/>
    <w:rsid w:val="008C2799"/>
    <w:rsid w:val="008C2B2E"/>
    <w:rsid w:val="008C32E8"/>
    <w:rsid w:val="008C3667"/>
    <w:rsid w:val="008C3713"/>
    <w:rsid w:val="008C424C"/>
    <w:rsid w:val="008C4499"/>
    <w:rsid w:val="008C4A96"/>
    <w:rsid w:val="008C606C"/>
    <w:rsid w:val="008C6D25"/>
    <w:rsid w:val="008C7A52"/>
    <w:rsid w:val="008C7B3B"/>
    <w:rsid w:val="008D1563"/>
    <w:rsid w:val="008D24D3"/>
    <w:rsid w:val="008D306B"/>
    <w:rsid w:val="008D33A0"/>
    <w:rsid w:val="008D38FF"/>
    <w:rsid w:val="008D39FC"/>
    <w:rsid w:val="008D4241"/>
    <w:rsid w:val="008D43D9"/>
    <w:rsid w:val="008D7593"/>
    <w:rsid w:val="008D7D3F"/>
    <w:rsid w:val="008E0109"/>
    <w:rsid w:val="008E03D6"/>
    <w:rsid w:val="008E12D5"/>
    <w:rsid w:val="008E1494"/>
    <w:rsid w:val="008E178F"/>
    <w:rsid w:val="008E2BED"/>
    <w:rsid w:val="008E3363"/>
    <w:rsid w:val="008E35D8"/>
    <w:rsid w:val="008E391B"/>
    <w:rsid w:val="008E4A04"/>
    <w:rsid w:val="008E4C84"/>
    <w:rsid w:val="008E5124"/>
    <w:rsid w:val="008E53A7"/>
    <w:rsid w:val="008E557E"/>
    <w:rsid w:val="008E5B10"/>
    <w:rsid w:val="008E61CC"/>
    <w:rsid w:val="008E63B0"/>
    <w:rsid w:val="008E69B4"/>
    <w:rsid w:val="008E6E68"/>
    <w:rsid w:val="008E71A4"/>
    <w:rsid w:val="008E7399"/>
    <w:rsid w:val="008E7560"/>
    <w:rsid w:val="008E7BC2"/>
    <w:rsid w:val="008E7E03"/>
    <w:rsid w:val="008F04DD"/>
    <w:rsid w:val="008F19BC"/>
    <w:rsid w:val="008F2032"/>
    <w:rsid w:val="008F245A"/>
    <w:rsid w:val="008F2639"/>
    <w:rsid w:val="008F2829"/>
    <w:rsid w:val="008F2EC8"/>
    <w:rsid w:val="008F4436"/>
    <w:rsid w:val="008F45FB"/>
    <w:rsid w:val="008F4901"/>
    <w:rsid w:val="008F5D59"/>
    <w:rsid w:val="00900608"/>
    <w:rsid w:val="00900939"/>
    <w:rsid w:val="00900E46"/>
    <w:rsid w:val="00901008"/>
    <w:rsid w:val="00901BDD"/>
    <w:rsid w:val="009023F4"/>
    <w:rsid w:val="009026EC"/>
    <w:rsid w:val="00902929"/>
    <w:rsid w:val="00902A8C"/>
    <w:rsid w:val="00902C5A"/>
    <w:rsid w:val="0090323F"/>
    <w:rsid w:val="00904B5D"/>
    <w:rsid w:val="00904D10"/>
    <w:rsid w:val="00904E86"/>
    <w:rsid w:val="00905046"/>
    <w:rsid w:val="0090510D"/>
    <w:rsid w:val="00905DB2"/>
    <w:rsid w:val="00906E7A"/>
    <w:rsid w:val="009074AE"/>
    <w:rsid w:val="00907C1F"/>
    <w:rsid w:val="00907F5B"/>
    <w:rsid w:val="0091047A"/>
    <w:rsid w:val="0091098C"/>
    <w:rsid w:val="00910E51"/>
    <w:rsid w:val="00911386"/>
    <w:rsid w:val="009113B3"/>
    <w:rsid w:val="0091228A"/>
    <w:rsid w:val="0091249E"/>
    <w:rsid w:val="00912607"/>
    <w:rsid w:val="0091322D"/>
    <w:rsid w:val="0091325D"/>
    <w:rsid w:val="0091364D"/>
    <w:rsid w:val="00913A41"/>
    <w:rsid w:val="00914236"/>
    <w:rsid w:val="00914490"/>
    <w:rsid w:val="0091461C"/>
    <w:rsid w:val="00915A9E"/>
    <w:rsid w:val="00915C76"/>
    <w:rsid w:val="00915EF8"/>
    <w:rsid w:val="0091657C"/>
    <w:rsid w:val="00916B88"/>
    <w:rsid w:val="00920A8C"/>
    <w:rsid w:val="00920EE1"/>
    <w:rsid w:val="00921167"/>
    <w:rsid w:val="0092151A"/>
    <w:rsid w:val="0092174C"/>
    <w:rsid w:val="00921750"/>
    <w:rsid w:val="0092381D"/>
    <w:rsid w:val="00923D5D"/>
    <w:rsid w:val="00923D68"/>
    <w:rsid w:val="009240AA"/>
    <w:rsid w:val="009240BA"/>
    <w:rsid w:val="0092474C"/>
    <w:rsid w:val="00924CB5"/>
    <w:rsid w:val="0092506C"/>
    <w:rsid w:val="00925716"/>
    <w:rsid w:val="00925942"/>
    <w:rsid w:val="00926C9D"/>
    <w:rsid w:val="00927105"/>
    <w:rsid w:val="009272F4"/>
    <w:rsid w:val="00927651"/>
    <w:rsid w:val="00930811"/>
    <w:rsid w:val="00930EB1"/>
    <w:rsid w:val="009314C6"/>
    <w:rsid w:val="00931D68"/>
    <w:rsid w:val="00932BA4"/>
    <w:rsid w:val="0093337A"/>
    <w:rsid w:val="00933E06"/>
    <w:rsid w:val="00933E68"/>
    <w:rsid w:val="00933FD0"/>
    <w:rsid w:val="009340B7"/>
    <w:rsid w:val="00934AE9"/>
    <w:rsid w:val="00934B3A"/>
    <w:rsid w:val="009351F0"/>
    <w:rsid w:val="009357A6"/>
    <w:rsid w:val="00935851"/>
    <w:rsid w:val="00935AB8"/>
    <w:rsid w:val="009364EB"/>
    <w:rsid w:val="00937820"/>
    <w:rsid w:val="00937888"/>
    <w:rsid w:val="0093798F"/>
    <w:rsid w:val="00937FCC"/>
    <w:rsid w:val="00940304"/>
    <w:rsid w:val="00940FA5"/>
    <w:rsid w:val="00941895"/>
    <w:rsid w:val="009419D6"/>
    <w:rsid w:val="00942976"/>
    <w:rsid w:val="009429B8"/>
    <w:rsid w:val="00943148"/>
    <w:rsid w:val="00943378"/>
    <w:rsid w:val="009444AD"/>
    <w:rsid w:val="0094490E"/>
    <w:rsid w:val="009450AF"/>
    <w:rsid w:val="00945491"/>
    <w:rsid w:val="009459B4"/>
    <w:rsid w:val="00945D99"/>
    <w:rsid w:val="00946317"/>
    <w:rsid w:val="009463C0"/>
    <w:rsid w:val="00946440"/>
    <w:rsid w:val="00946DFD"/>
    <w:rsid w:val="00947B09"/>
    <w:rsid w:val="00947D05"/>
    <w:rsid w:val="00947E51"/>
    <w:rsid w:val="00950EBE"/>
    <w:rsid w:val="00951077"/>
    <w:rsid w:val="009510B0"/>
    <w:rsid w:val="009521BA"/>
    <w:rsid w:val="009524E9"/>
    <w:rsid w:val="00952689"/>
    <w:rsid w:val="0095276B"/>
    <w:rsid w:val="009527B1"/>
    <w:rsid w:val="009528E9"/>
    <w:rsid w:val="00953FF8"/>
    <w:rsid w:val="009546C5"/>
    <w:rsid w:val="00954AF9"/>
    <w:rsid w:val="0095619F"/>
    <w:rsid w:val="009568BA"/>
    <w:rsid w:val="00956BC3"/>
    <w:rsid w:val="0095732D"/>
    <w:rsid w:val="009573B0"/>
    <w:rsid w:val="009573C5"/>
    <w:rsid w:val="00957879"/>
    <w:rsid w:val="00960A24"/>
    <w:rsid w:val="00960DAC"/>
    <w:rsid w:val="0096116A"/>
    <w:rsid w:val="009611D2"/>
    <w:rsid w:val="00962A19"/>
    <w:rsid w:val="009635A7"/>
    <w:rsid w:val="00963CF0"/>
    <w:rsid w:val="00963DFF"/>
    <w:rsid w:val="009657D0"/>
    <w:rsid w:val="0096607A"/>
    <w:rsid w:val="00966379"/>
    <w:rsid w:val="00966885"/>
    <w:rsid w:val="009709E9"/>
    <w:rsid w:val="00970C8F"/>
    <w:rsid w:val="00970D14"/>
    <w:rsid w:val="009710D4"/>
    <w:rsid w:val="0097115F"/>
    <w:rsid w:val="00971240"/>
    <w:rsid w:val="009713CF"/>
    <w:rsid w:val="00971609"/>
    <w:rsid w:val="009716DB"/>
    <w:rsid w:val="00971729"/>
    <w:rsid w:val="00973018"/>
    <w:rsid w:val="00973178"/>
    <w:rsid w:val="0097428C"/>
    <w:rsid w:val="0097446F"/>
    <w:rsid w:val="00975255"/>
    <w:rsid w:val="00975515"/>
    <w:rsid w:val="00975882"/>
    <w:rsid w:val="009758F3"/>
    <w:rsid w:val="00975E91"/>
    <w:rsid w:val="00976621"/>
    <w:rsid w:val="00976D20"/>
    <w:rsid w:val="009778A4"/>
    <w:rsid w:val="0097795B"/>
    <w:rsid w:val="00977D66"/>
    <w:rsid w:val="00977D8C"/>
    <w:rsid w:val="009801EC"/>
    <w:rsid w:val="00980705"/>
    <w:rsid w:val="00980D4B"/>
    <w:rsid w:val="00980F65"/>
    <w:rsid w:val="00981529"/>
    <w:rsid w:val="00982B55"/>
    <w:rsid w:val="0098307A"/>
    <w:rsid w:val="00983669"/>
    <w:rsid w:val="00984409"/>
    <w:rsid w:val="0098498C"/>
    <w:rsid w:val="00984E89"/>
    <w:rsid w:val="0098576C"/>
    <w:rsid w:val="00985AD8"/>
    <w:rsid w:val="00985B1E"/>
    <w:rsid w:val="009864EE"/>
    <w:rsid w:val="009865E8"/>
    <w:rsid w:val="00986F71"/>
    <w:rsid w:val="009870AF"/>
    <w:rsid w:val="00990620"/>
    <w:rsid w:val="0099159F"/>
    <w:rsid w:val="00992382"/>
    <w:rsid w:val="00992530"/>
    <w:rsid w:val="009928A3"/>
    <w:rsid w:val="009937DA"/>
    <w:rsid w:val="009941DB"/>
    <w:rsid w:val="00994581"/>
    <w:rsid w:val="00994730"/>
    <w:rsid w:val="00995C16"/>
    <w:rsid w:val="0099621E"/>
    <w:rsid w:val="00996CFE"/>
    <w:rsid w:val="00997B0D"/>
    <w:rsid w:val="00997CB4"/>
    <w:rsid w:val="009A0365"/>
    <w:rsid w:val="009A03F3"/>
    <w:rsid w:val="009A058F"/>
    <w:rsid w:val="009A0774"/>
    <w:rsid w:val="009A1D2D"/>
    <w:rsid w:val="009A24F7"/>
    <w:rsid w:val="009A3637"/>
    <w:rsid w:val="009A37CA"/>
    <w:rsid w:val="009A38E8"/>
    <w:rsid w:val="009A39EE"/>
    <w:rsid w:val="009A485B"/>
    <w:rsid w:val="009A53D2"/>
    <w:rsid w:val="009A6225"/>
    <w:rsid w:val="009A66DC"/>
    <w:rsid w:val="009A7314"/>
    <w:rsid w:val="009A7739"/>
    <w:rsid w:val="009B0B55"/>
    <w:rsid w:val="009B0C8E"/>
    <w:rsid w:val="009B0D53"/>
    <w:rsid w:val="009B10E2"/>
    <w:rsid w:val="009B18F2"/>
    <w:rsid w:val="009B244E"/>
    <w:rsid w:val="009B2C96"/>
    <w:rsid w:val="009B378A"/>
    <w:rsid w:val="009B3B48"/>
    <w:rsid w:val="009B4578"/>
    <w:rsid w:val="009B49F7"/>
    <w:rsid w:val="009B4E9B"/>
    <w:rsid w:val="009B52F5"/>
    <w:rsid w:val="009B5317"/>
    <w:rsid w:val="009B67E1"/>
    <w:rsid w:val="009B6F29"/>
    <w:rsid w:val="009B7452"/>
    <w:rsid w:val="009B7B2D"/>
    <w:rsid w:val="009C0698"/>
    <w:rsid w:val="009C0D7D"/>
    <w:rsid w:val="009C1307"/>
    <w:rsid w:val="009C2557"/>
    <w:rsid w:val="009C2870"/>
    <w:rsid w:val="009C2E02"/>
    <w:rsid w:val="009C3280"/>
    <w:rsid w:val="009C3A5F"/>
    <w:rsid w:val="009C3B2B"/>
    <w:rsid w:val="009C4907"/>
    <w:rsid w:val="009C4A82"/>
    <w:rsid w:val="009C51BF"/>
    <w:rsid w:val="009C5259"/>
    <w:rsid w:val="009C70AF"/>
    <w:rsid w:val="009C76F2"/>
    <w:rsid w:val="009C7C22"/>
    <w:rsid w:val="009D1A68"/>
    <w:rsid w:val="009D22AE"/>
    <w:rsid w:val="009D24D1"/>
    <w:rsid w:val="009D2842"/>
    <w:rsid w:val="009D2B99"/>
    <w:rsid w:val="009D320A"/>
    <w:rsid w:val="009D35F5"/>
    <w:rsid w:val="009D44AA"/>
    <w:rsid w:val="009D4573"/>
    <w:rsid w:val="009D47FE"/>
    <w:rsid w:val="009D6C7A"/>
    <w:rsid w:val="009D7A25"/>
    <w:rsid w:val="009E012D"/>
    <w:rsid w:val="009E0459"/>
    <w:rsid w:val="009E0C84"/>
    <w:rsid w:val="009E104B"/>
    <w:rsid w:val="009E1C9C"/>
    <w:rsid w:val="009E227A"/>
    <w:rsid w:val="009E3403"/>
    <w:rsid w:val="009E386A"/>
    <w:rsid w:val="009E3A55"/>
    <w:rsid w:val="009E3B7D"/>
    <w:rsid w:val="009E67B7"/>
    <w:rsid w:val="009E710B"/>
    <w:rsid w:val="009E73B3"/>
    <w:rsid w:val="009F03B4"/>
    <w:rsid w:val="009F0BE9"/>
    <w:rsid w:val="009F1954"/>
    <w:rsid w:val="009F1B43"/>
    <w:rsid w:val="009F1BB2"/>
    <w:rsid w:val="009F1C17"/>
    <w:rsid w:val="009F20D8"/>
    <w:rsid w:val="009F2687"/>
    <w:rsid w:val="009F3AF6"/>
    <w:rsid w:val="009F51B1"/>
    <w:rsid w:val="009F5A99"/>
    <w:rsid w:val="009F5C8D"/>
    <w:rsid w:val="009F6954"/>
    <w:rsid w:val="00A00500"/>
    <w:rsid w:val="00A01081"/>
    <w:rsid w:val="00A011D5"/>
    <w:rsid w:val="00A0208E"/>
    <w:rsid w:val="00A02480"/>
    <w:rsid w:val="00A024AD"/>
    <w:rsid w:val="00A02FD9"/>
    <w:rsid w:val="00A0302A"/>
    <w:rsid w:val="00A03A7A"/>
    <w:rsid w:val="00A03B3F"/>
    <w:rsid w:val="00A03BC9"/>
    <w:rsid w:val="00A040C8"/>
    <w:rsid w:val="00A05F23"/>
    <w:rsid w:val="00A060AC"/>
    <w:rsid w:val="00A07899"/>
    <w:rsid w:val="00A07FE8"/>
    <w:rsid w:val="00A100A7"/>
    <w:rsid w:val="00A105DF"/>
    <w:rsid w:val="00A11271"/>
    <w:rsid w:val="00A1188F"/>
    <w:rsid w:val="00A119CF"/>
    <w:rsid w:val="00A121F4"/>
    <w:rsid w:val="00A124F1"/>
    <w:rsid w:val="00A125EB"/>
    <w:rsid w:val="00A12948"/>
    <w:rsid w:val="00A146AE"/>
    <w:rsid w:val="00A1483E"/>
    <w:rsid w:val="00A14B4E"/>
    <w:rsid w:val="00A14F4E"/>
    <w:rsid w:val="00A152FF"/>
    <w:rsid w:val="00A15B8A"/>
    <w:rsid w:val="00A16560"/>
    <w:rsid w:val="00A167C0"/>
    <w:rsid w:val="00A17BA0"/>
    <w:rsid w:val="00A20262"/>
    <w:rsid w:val="00A202FD"/>
    <w:rsid w:val="00A20BF5"/>
    <w:rsid w:val="00A2104C"/>
    <w:rsid w:val="00A21F9F"/>
    <w:rsid w:val="00A226E3"/>
    <w:rsid w:val="00A22DBB"/>
    <w:rsid w:val="00A23B47"/>
    <w:rsid w:val="00A23F39"/>
    <w:rsid w:val="00A245A3"/>
    <w:rsid w:val="00A247D5"/>
    <w:rsid w:val="00A24AAC"/>
    <w:rsid w:val="00A2591E"/>
    <w:rsid w:val="00A2668A"/>
    <w:rsid w:val="00A2738B"/>
    <w:rsid w:val="00A275D2"/>
    <w:rsid w:val="00A27A81"/>
    <w:rsid w:val="00A307FF"/>
    <w:rsid w:val="00A31921"/>
    <w:rsid w:val="00A31DF6"/>
    <w:rsid w:val="00A322E0"/>
    <w:rsid w:val="00A331D2"/>
    <w:rsid w:val="00A334B6"/>
    <w:rsid w:val="00A33A1E"/>
    <w:rsid w:val="00A33EB4"/>
    <w:rsid w:val="00A34429"/>
    <w:rsid w:val="00A34501"/>
    <w:rsid w:val="00A36350"/>
    <w:rsid w:val="00A367BF"/>
    <w:rsid w:val="00A36E4D"/>
    <w:rsid w:val="00A36E54"/>
    <w:rsid w:val="00A3780F"/>
    <w:rsid w:val="00A37927"/>
    <w:rsid w:val="00A37968"/>
    <w:rsid w:val="00A40BF3"/>
    <w:rsid w:val="00A41BA6"/>
    <w:rsid w:val="00A4216E"/>
    <w:rsid w:val="00A4248A"/>
    <w:rsid w:val="00A42880"/>
    <w:rsid w:val="00A43F6C"/>
    <w:rsid w:val="00A4436C"/>
    <w:rsid w:val="00A444E8"/>
    <w:rsid w:val="00A47CA2"/>
    <w:rsid w:val="00A50C2E"/>
    <w:rsid w:val="00A51676"/>
    <w:rsid w:val="00A51A55"/>
    <w:rsid w:val="00A5258B"/>
    <w:rsid w:val="00A52A17"/>
    <w:rsid w:val="00A5368E"/>
    <w:rsid w:val="00A5424E"/>
    <w:rsid w:val="00A5532F"/>
    <w:rsid w:val="00A55614"/>
    <w:rsid w:val="00A5599D"/>
    <w:rsid w:val="00A5657B"/>
    <w:rsid w:val="00A56D63"/>
    <w:rsid w:val="00A5728E"/>
    <w:rsid w:val="00A57A1F"/>
    <w:rsid w:val="00A57C8C"/>
    <w:rsid w:val="00A6072B"/>
    <w:rsid w:val="00A60AAC"/>
    <w:rsid w:val="00A60AEB"/>
    <w:rsid w:val="00A60F82"/>
    <w:rsid w:val="00A6173E"/>
    <w:rsid w:val="00A62414"/>
    <w:rsid w:val="00A6252A"/>
    <w:rsid w:val="00A62CA7"/>
    <w:rsid w:val="00A633FB"/>
    <w:rsid w:val="00A636A3"/>
    <w:rsid w:val="00A6440A"/>
    <w:rsid w:val="00A660C4"/>
    <w:rsid w:val="00A661E3"/>
    <w:rsid w:val="00A66217"/>
    <w:rsid w:val="00A664AF"/>
    <w:rsid w:val="00A66550"/>
    <w:rsid w:val="00A66A6C"/>
    <w:rsid w:val="00A66C29"/>
    <w:rsid w:val="00A66F0E"/>
    <w:rsid w:val="00A67342"/>
    <w:rsid w:val="00A67428"/>
    <w:rsid w:val="00A707CA"/>
    <w:rsid w:val="00A70DEA"/>
    <w:rsid w:val="00A71184"/>
    <w:rsid w:val="00A7153E"/>
    <w:rsid w:val="00A7184E"/>
    <w:rsid w:val="00A72691"/>
    <w:rsid w:val="00A72B70"/>
    <w:rsid w:val="00A7346B"/>
    <w:rsid w:val="00A74184"/>
    <w:rsid w:val="00A7425E"/>
    <w:rsid w:val="00A7430E"/>
    <w:rsid w:val="00A75171"/>
    <w:rsid w:val="00A8021F"/>
    <w:rsid w:val="00A811D3"/>
    <w:rsid w:val="00A8159E"/>
    <w:rsid w:val="00A81AF6"/>
    <w:rsid w:val="00A821B4"/>
    <w:rsid w:val="00A8237A"/>
    <w:rsid w:val="00A82B49"/>
    <w:rsid w:val="00A83417"/>
    <w:rsid w:val="00A83783"/>
    <w:rsid w:val="00A839DB"/>
    <w:rsid w:val="00A83CD9"/>
    <w:rsid w:val="00A84577"/>
    <w:rsid w:val="00A849D7"/>
    <w:rsid w:val="00A84DF5"/>
    <w:rsid w:val="00A84F91"/>
    <w:rsid w:val="00A850E2"/>
    <w:rsid w:val="00A86666"/>
    <w:rsid w:val="00A866CA"/>
    <w:rsid w:val="00A86CE7"/>
    <w:rsid w:val="00A90044"/>
    <w:rsid w:val="00A906ED"/>
    <w:rsid w:val="00A924B0"/>
    <w:rsid w:val="00A94274"/>
    <w:rsid w:val="00A94D8E"/>
    <w:rsid w:val="00A9595D"/>
    <w:rsid w:val="00A960F4"/>
    <w:rsid w:val="00A962FE"/>
    <w:rsid w:val="00A97A5E"/>
    <w:rsid w:val="00AA037C"/>
    <w:rsid w:val="00AA0FF1"/>
    <w:rsid w:val="00AA1050"/>
    <w:rsid w:val="00AA1620"/>
    <w:rsid w:val="00AA1883"/>
    <w:rsid w:val="00AA1ACD"/>
    <w:rsid w:val="00AA1FE9"/>
    <w:rsid w:val="00AA2178"/>
    <w:rsid w:val="00AA218D"/>
    <w:rsid w:val="00AA2752"/>
    <w:rsid w:val="00AA341F"/>
    <w:rsid w:val="00AA3DEA"/>
    <w:rsid w:val="00AA425F"/>
    <w:rsid w:val="00AA522D"/>
    <w:rsid w:val="00AA5D7D"/>
    <w:rsid w:val="00AA5F3E"/>
    <w:rsid w:val="00AA6297"/>
    <w:rsid w:val="00AA6703"/>
    <w:rsid w:val="00AA72E2"/>
    <w:rsid w:val="00AA7363"/>
    <w:rsid w:val="00AA7603"/>
    <w:rsid w:val="00AB15C0"/>
    <w:rsid w:val="00AB29E6"/>
    <w:rsid w:val="00AB40BD"/>
    <w:rsid w:val="00AB456E"/>
    <w:rsid w:val="00AB4C3A"/>
    <w:rsid w:val="00AB4C48"/>
    <w:rsid w:val="00AB51D7"/>
    <w:rsid w:val="00AB582E"/>
    <w:rsid w:val="00AB634D"/>
    <w:rsid w:val="00AB78F9"/>
    <w:rsid w:val="00AC2340"/>
    <w:rsid w:val="00AC2509"/>
    <w:rsid w:val="00AC2C27"/>
    <w:rsid w:val="00AC317E"/>
    <w:rsid w:val="00AC33BF"/>
    <w:rsid w:val="00AC36A4"/>
    <w:rsid w:val="00AC3F07"/>
    <w:rsid w:val="00AC5CDF"/>
    <w:rsid w:val="00AC6291"/>
    <w:rsid w:val="00AC62EB"/>
    <w:rsid w:val="00AC6A0B"/>
    <w:rsid w:val="00AC6B66"/>
    <w:rsid w:val="00AC7765"/>
    <w:rsid w:val="00AC7B40"/>
    <w:rsid w:val="00AD0198"/>
    <w:rsid w:val="00AD0C3F"/>
    <w:rsid w:val="00AD1974"/>
    <w:rsid w:val="00AD1F3C"/>
    <w:rsid w:val="00AD30CF"/>
    <w:rsid w:val="00AD311F"/>
    <w:rsid w:val="00AD34E9"/>
    <w:rsid w:val="00AD36A4"/>
    <w:rsid w:val="00AD373A"/>
    <w:rsid w:val="00AD3A02"/>
    <w:rsid w:val="00AD3EB2"/>
    <w:rsid w:val="00AD3FD7"/>
    <w:rsid w:val="00AD4012"/>
    <w:rsid w:val="00AD4DD1"/>
    <w:rsid w:val="00AD4FE2"/>
    <w:rsid w:val="00AD614D"/>
    <w:rsid w:val="00AD635C"/>
    <w:rsid w:val="00AD64F2"/>
    <w:rsid w:val="00AD662A"/>
    <w:rsid w:val="00AD6CB7"/>
    <w:rsid w:val="00AD75FA"/>
    <w:rsid w:val="00AE001E"/>
    <w:rsid w:val="00AE05D5"/>
    <w:rsid w:val="00AE09C7"/>
    <w:rsid w:val="00AE0AD6"/>
    <w:rsid w:val="00AE1819"/>
    <w:rsid w:val="00AE1BEC"/>
    <w:rsid w:val="00AE1F5E"/>
    <w:rsid w:val="00AE223E"/>
    <w:rsid w:val="00AE25CA"/>
    <w:rsid w:val="00AE4E1E"/>
    <w:rsid w:val="00AE5154"/>
    <w:rsid w:val="00AE6174"/>
    <w:rsid w:val="00AE7393"/>
    <w:rsid w:val="00AE7965"/>
    <w:rsid w:val="00AF02CF"/>
    <w:rsid w:val="00AF11CD"/>
    <w:rsid w:val="00AF21EA"/>
    <w:rsid w:val="00AF26CB"/>
    <w:rsid w:val="00AF2A76"/>
    <w:rsid w:val="00AF3C7F"/>
    <w:rsid w:val="00AF4337"/>
    <w:rsid w:val="00AF46B8"/>
    <w:rsid w:val="00AF4E83"/>
    <w:rsid w:val="00AF4FBA"/>
    <w:rsid w:val="00AF72F3"/>
    <w:rsid w:val="00B00361"/>
    <w:rsid w:val="00B0098F"/>
    <w:rsid w:val="00B009CC"/>
    <w:rsid w:val="00B00AFF"/>
    <w:rsid w:val="00B01F61"/>
    <w:rsid w:val="00B0212D"/>
    <w:rsid w:val="00B0261C"/>
    <w:rsid w:val="00B02C6A"/>
    <w:rsid w:val="00B02F0D"/>
    <w:rsid w:val="00B03125"/>
    <w:rsid w:val="00B03D9F"/>
    <w:rsid w:val="00B0442E"/>
    <w:rsid w:val="00B0449A"/>
    <w:rsid w:val="00B0483F"/>
    <w:rsid w:val="00B04FBE"/>
    <w:rsid w:val="00B05E71"/>
    <w:rsid w:val="00B0600D"/>
    <w:rsid w:val="00B06DCC"/>
    <w:rsid w:val="00B07356"/>
    <w:rsid w:val="00B07D8F"/>
    <w:rsid w:val="00B10483"/>
    <w:rsid w:val="00B10667"/>
    <w:rsid w:val="00B11E5A"/>
    <w:rsid w:val="00B126E6"/>
    <w:rsid w:val="00B12923"/>
    <w:rsid w:val="00B129BC"/>
    <w:rsid w:val="00B12AC0"/>
    <w:rsid w:val="00B12D0B"/>
    <w:rsid w:val="00B12D61"/>
    <w:rsid w:val="00B12F94"/>
    <w:rsid w:val="00B136A2"/>
    <w:rsid w:val="00B13789"/>
    <w:rsid w:val="00B13A2B"/>
    <w:rsid w:val="00B14036"/>
    <w:rsid w:val="00B1578D"/>
    <w:rsid w:val="00B16774"/>
    <w:rsid w:val="00B16E6F"/>
    <w:rsid w:val="00B17717"/>
    <w:rsid w:val="00B17D1D"/>
    <w:rsid w:val="00B17E0C"/>
    <w:rsid w:val="00B2020E"/>
    <w:rsid w:val="00B21098"/>
    <w:rsid w:val="00B210D7"/>
    <w:rsid w:val="00B21499"/>
    <w:rsid w:val="00B21A97"/>
    <w:rsid w:val="00B23641"/>
    <w:rsid w:val="00B2370B"/>
    <w:rsid w:val="00B23CF4"/>
    <w:rsid w:val="00B240C4"/>
    <w:rsid w:val="00B249C4"/>
    <w:rsid w:val="00B25775"/>
    <w:rsid w:val="00B2577A"/>
    <w:rsid w:val="00B2598E"/>
    <w:rsid w:val="00B27E13"/>
    <w:rsid w:val="00B306AD"/>
    <w:rsid w:val="00B30815"/>
    <w:rsid w:val="00B31012"/>
    <w:rsid w:val="00B324DE"/>
    <w:rsid w:val="00B33415"/>
    <w:rsid w:val="00B33418"/>
    <w:rsid w:val="00B33AD4"/>
    <w:rsid w:val="00B3414E"/>
    <w:rsid w:val="00B345AB"/>
    <w:rsid w:val="00B35400"/>
    <w:rsid w:val="00B35E9E"/>
    <w:rsid w:val="00B35F9E"/>
    <w:rsid w:val="00B37135"/>
    <w:rsid w:val="00B3726C"/>
    <w:rsid w:val="00B410D2"/>
    <w:rsid w:val="00B418E8"/>
    <w:rsid w:val="00B42777"/>
    <w:rsid w:val="00B43024"/>
    <w:rsid w:val="00B43E64"/>
    <w:rsid w:val="00B441A4"/>
    <w:rsid w:val="00B448EF"/>
    <w:rsid w:val="00B502F5"/>
    <w:rsid w:val="00B5078A"/>
    <w:rsid w:val="00B50825"/>
    <w:rsid w:val="00B508CC"/>
    <w:rsid w:val="00B50C3F"/>
    <w:rsid w:val="00B5167E"/>
    <w:rsid w:val="00B52637"/>
    <w:rsid w:val="00B526CC"/>
    <w:rsid w:val="00B53A8B"/>
    <w:rsid w:val="00B53E68"/>
    <w:rsid w:val="00B549F7"/>
    <w:rsid w:val="00B55874"/>
    <w:rsid w:val="00B55D7C"/>
    <w:rsid w:val="00B560E0"/>
    <w:rsid w:val="00B56124"/>
    <w:rsid w:val="00B5628D"/>
    <w:rsid w:val="00B5633A"/>
    <w:rsid w:val="00B56A95"/>
    <w:rsid w:val="00B60354"/>
    <w:rsid w:val="00B624FF"/>
    <w:rsid w:val="00B62AD0"/>
    <w:rsid w:val="00B64099"/>
    <w:rsid w:val="00B64B26"/>
    <w:rsid w:val="00B64D45"/>
    <w:rsid w:val="00B65B7B"/>
    <w:rsid w:val="00B65D21"/>
    <w:rsid w:val="00B6650C"/>
    <w:rsid w:val="00B66D94"/>
    <w:rsid w:val="00B66E6E"/>
    <w:rsid w:val="00B70451"/>
    <w:rsid w:val="00B70C91"/>
    <w:rsid w:val="00B7166B"/>
    <w:rsid w:val="00B71F5C"/>
    <w:rsid w:val="00B72591"/>
    <w:rsid w:val="00B72811"/>
    <w:rsid w:val="00B72DEB"/>
    <w:rsid w:val="00B7391B"/>
    <w:rsid w:val="00B74284"/>
    <w:rsid w:val="00B74A4B"/>
    <w:rsid w:val="00B755C6"/>
    <w:rsid w:val="00B75B0D"/>
    <w:rsid w:val="00B75BC2"/>
    <w:rsid w:val="00B769C6"/>
    <w:rsid w:val="00B7782B"/>
    <w:rsid w:val="00B77FB4"/>
    <w:rsid w:val="00B804E0"/>
    <w:rsid w:val="00B80AC7"/>
    <w:rsid w:val="00B8222E"/>
    <w:rsid w:val="00B8280A"/>
    <w:rsid w:val="00B83A38"/>
    <w:rsid w:val="00B84A5B"/>
    <w:rsid w:val="00B84C10"/>
    <w:rsid w:val="00B84FD8"/>
    <w:rsid w:val="00B8528D"/>
    <w:rsid w:val="00B858EB"/>
    <w:rsid w:val="00B85CC5"/>
    <w:rsid w:val="00B85F21"/>
    <w:rsid w:val="00B85F70"/>
    <w:rsid w:val="00B866E8"/>
    <w:rsid w:val="00B86BDA"/>
    <w:rsid w:val="00B86D21"/>
    <w:rsid w:val="00B876C5"/>
    <w:rsid w:val="00B87F7D"/>
    <w:rsid w:val="00B90534"/>
    <w:rsid w:val="00B90604"/>
    <w:rsid w:val="00B90B38"/>
    <w:rsid w:val="00B9115E"/>
    <w:rsid w:val="00B91532"/>
    <w:rsid w:val="00B91B8E"/>
    <w:rsid w:val="00B928F4"/>
    <w:rsid w:val="00B92F61"/>
    <w:rsid w:val="00B93A68"/>
    <w:rsid w:val="00B93E0F"/>
    <w:rsid w:val="00B93EC2"/>
    <w:rsid w:val="00B9473D"/>
    <w:rsid w:val="00B948A2"/>
    <w:rsid w:val="00B94D09"/>
    <w:rsid w:val="00B94DE8"/>
    <w:rsid w:val="00B951BD"/>
    <w:rsid w:val="00B95373"/>
    <w:rsid w:val="00B95706"/>
    <w:rsid w:val="00B95774"/>
    <w:rsid w:val="00B958B2"/>
    <w:rsid w:val="00B95F9F"/>
    <w:rsid w:val="00B9633E"/>
    <w:rsid w:val="00B9648E"/>
    <w:rsid w:val="00B971B7"/>
    <w:rsid w:val="00B97571"/>
    <w:rsid w:val="00B97780"/>
    <w:rsid w:val="00B9791F"/>
    <w:rsid w:val="00B97E21"/>
    <w:rsid w:val="00BA05E8"/>
    <w:rsid w:val="00BA08EA"/>
    <w:rsid w:val="00BA1CB6"/>
    <w:rsid w:val="00BA278A"/>
    <w:rsid w:val="00BA2C70"/>
    <w:rsid w:val="00BA2D64"/>
    <w:rsid w:val="00BA49A7"/>
    <w:rsid w:val="00BA5707"/>
    <w:rsid w:val="00BA5FD3"/>
    <w:rsid w:val="00BA6991"/>
    <w:rsid w:val="00BA6AF5"/>
    <w:rsid w:val="00BA7220"/>
    <w:rsid w:val="00BA7664"/>
    <w:rsid w:val="00BA7FE9"/>
    <w:rsid w:val="00BB0AD6"/>
    <w:rsid w:val="00BB0C95"/>
    <w:rsid w:val="00BB0E64"/>
    <w:rsid w:val="00BB10FC"/>
    <w:rsid w:val="00BB1483"/>
    <w:rsid w:val="00BB17D8"/>
    <w:rsid w:val="00BB1B90"/>
    <w:rsid w:val="00BB1C9B"/>
    <w:rsid w:val="00BB22BB"/>
    <w:rsid w:val="00BB2C94"/>
    <w:rsid w:val="00BB30B6"/>
    <w:rsid w:val="00BB3D39"/>
    <w:rsid w:val="00BB49AB"/>
    <w:rsid w:val="00BB4E4B"/>
    <w:rsid w:val="00BB5C31"/>
    <w:rsid w:val="00BB60BF"/>
    <w:rsid w:val="00BB62D9"/>
    <w:rsid w:val="00BB6B40"/>
    <w:rsid w:val="00BB6FE6"/>
    <w:rsid w:val="00BB7453"/>
    <w:rsid w:val="00BC0727"/>
    <w:rsid w:val="00BC18F4"/>
    <w:rsid w:val="00BC27D2"/>
    <w:rsid w:val="00BC3389"/>
    <w:rsid w:val="00BC3C24"/>
    <w:rsid w:val="00BC3F2F"/>
    <w:rsid w:val="00BC3FB7"/>
    <w:rsid w:val="00BC45FD"/>
    <w:rsid w:val="00BC50DA"/>
    <w:rsid w:val="00BC5867"/>
    <w:rsid w:val="00BC5E2F"/>
    <w:rsid w:val="00BC73A1"/>
    <w:rsid w:val="00BC75F7"/>
    <w:rsid w:val="00BC7B48"/>
    <w:rsid w:val="00BD047F"/>
    <w:rsid w:val="00BD084E"/>
    <w:rsid w:val="00BD0AA7"/>
    <w:rsid w:val="00BD0CF3"/>
    <w:rsid w:val="00BD0FA4"/>
    <w:rsid w:val="00BD1280"/>
    <w:rsid w:val="00BD263F"/>
    <w:rsid w:val="00BD34BF"/>
    <w:rsid w:val="00BD39CB"/>
    <w:rsid w:val="00BD4F4A"/>
    <w:rsid w:val="00BD51B2"/>
    <w:rsid w:val="00BD5414"/>
    <w:rsid w:val="00BD5519"/>
    <w:rsid w:val="00BD5766"/>
    <w:rsid w:val="00BD63E8"/>
    <w:rsid w:val="00BD6672"/>
    <w:rsid w:val="00BD7417"/>
    <w:rsid w:val="00BD7A1D"/>
    <w:rsid w:val="00BE07A4"/>
    <w:rsid w:val="00BE0B2C"/>
    <w:rsid w:val="00BE21AC"/>
    <w:rsid w:val="00BE2548"/>
    <w:rsid w:val="00BE2741"/>
    <w:rsid w:val="00BE2DDA"/>
    <w:rsid w:val="00BE38E2"/>
    <w:rsid w:val="00BE4153"/>
    <w:rsid w:val="00BE4B04"/>
    <w:rsid w:val="00BE4B5F"/>
    <w:rsid w:val="00BE4DD6"/>
    <w:rsid w:val="00BE4FC3"/>
    <w:rsid w:val="00BE50BB"/>
    <w:rsid w:val="00BE5EA9"/>
    <w:rsid w:val="00BE6490"/>
    <w:rsid w:val="00BE6A79"/>
    <w:rsid w:val="00BE6B08"/>
    <w:rsid w:val="00BE6DF2"/>
    <w:rsid w:val="00BE7043"/>
    <w:rsid w:val="00BE7129"/>
    <w:rsid w:val="00BE7433"/>
    <w:rsid w:val="00BE7765"/>
    <w:rsid w:val="00BF0BD0"/>
    <w:rsid w:val="00BF0C6A"/>
    <w:rsid w:val="00BF0F89"/>
    <w:rsid w:val="00BF10EA"/>
    <w:rsid w:val="00BF2498"/>
    <w:rsid w:val="00BF3896"/>
    <w:rsid w:val="00BF3F0B"/>
    <w:rsid w:val="00BF4095"/>
    <w:rsid w:val="00BF4F0F"/>
    <w:rsid w:val="00BF6182"/>
    <w:rsid w:val="00BF6836"/>
    <w:rsid w:val="00BF6B24"/>
    <w:rsid w:val="00BF771E"/>
    <w:rsid w:val="00BF7E27"/>
    <w:rsid w:val="00BF7F4C"/>
    <w:rsid w:val="00BF7FD7"/>
    <w:rsid w:val="00C00042"/>
    <w:rsid w:val="00C00361"/>
    <w:rsid w:val="00C00A7E"/>
    <w:rsid w:val="00C00FED"/>
    <w:rsid w:val="00C01611"/>
    <w:rsid w:val="00C01AE8"/>
    <w:rsid w:val="00C02686"/>
    <w:rsid w:val="00C030E3"/>
    <w:rsid w:val="00C03487"/>
    <w:rsid w:val="00C0494F"/>
    <w:rsid w:val="00C04DFA"/>
    <w:rsid w:val="00C064AE"/>
    <w:rsid w:val="00C0656A"/>
    <w:rsid w:val="00C066EF"/>
    <w:rsid w:val="00C07058"/>
    <w:rsid w:val="00C0717E"/>
    <w:rsid w:val="00C073D3"/>
    <w:rsid w:val="00C0784B"/>
    <w:rsid w:val="00C07983"/>
    <w:rsid w:val="00C079DB"/>
    <w:rsid w:val="00C10406"/>
    <w:rsid w:val="00C105A1"/>
    <w:rsid w:val="00C1082E"/>
    <w:rsid w:val="00C10E28"/>
    <w:rsid w:val="00C11015"/>
    <w:rsid w:val="00C111E6"/>
    <w:rsid w:val="00C1168C"/>
    <w:rsid w:val="00C11BB2"/>
    <w:rsid w:val="00C122EB"/>
    <w:rsid w:val="00C13142"/>
    <w:rsid w:val="00C14305"/>
    <w:rsid w:val="00C1454E"/>
    <w:rsid w:val="00C1488C"/>
    <w:rsid w:val="00C148DF"/>
    <w:rsid w:val="00C14A43"/>
    <w:rsid w:val="00C151B6"/>
    <w:rsid w:val="00C15A5B"/>
    <w:rsid w:val="00C166A4"/>
    <w:rsid w:val="00C16800"/>
    <w:rsid w:val="00C16D84"/>
    <w:rsid w:val="00C17197"/>
    <w:rsid w:val="00C201AC"/>
    <w:rsid w:val="00C20957"/>
    <w:rsid w:val="00C220E7"/>
    <w:rsid w:val="00C2291D"/>
    <w:rsid w:val="00C22B49"/>
    <w:rsid w:val="00C2400E"/>
    <w:rsid w:val="00C24264"/>
    <w:rsid w:val="00C24271"/>
    <w:rsid w:val="00C242F3"/>
    <w:rsid w:val="00C2451B"/>
    <w:rsid w:val="00C2462C"/>
    <w:rsid w:val="00C24711"/>
    <w:rsid w:val="00C24889"/>
    <w:rsid w:val="00C25084"/>
    <w:rsid w:val="00C27988"/>
    <w:rsid w:val="00C27994"/>
    <w:rsid w:val="00C3414C"/>
    <w:rsid w:val="00C34164"/>
    <w:rsid w:val="00C3433D"/>
    <w:rsid w:val="00C34F88"/>
    <w:rsid w:val="00C3516A"/>
    <w:rsid w:val="00C35263"/>
    <w:rsid w:val="00C3558F"/>
    <w:rsid w:val="00C37673"/>
    <w:rsid w:val="00C37D65"/>
    <w:rsid w:val="00C401B3"/>
    <w:rsid w:val="00C403AC"/>
    <w:rsid w:val="00C40B48"/>
    <w:rsid w:val="00C40B53"/>
    <w:rsid w:val="00C40B85"/>
    <w:rsid w:val="00C4152B"/>
    <w:rsid w:val="00C41842"/>
    <w:rsid w:val="00C41C5B"/>
    <w:rsid w:val="00C427C3"/>
    <w:rsid w:val="00C4374A"/>
    <w:rsid w:val="00C43E36"/>
    <w:rsid w:val="00C4413C"/>
    <w:rsid w:val="00C442ED"/>
    <w:rsid w:val="00C444D9"/>
    <w:rsid w:val="00C447C8"/>
    <w:rsid w:val="00C457AA"/>
    <w:rsid w:val="00C45B86"/>
    <w:rsid w:val="00C464A0"/>
    <w:rsid w:val="00C466BB"/>
    <w:rsid w:val="00C46B97"/>
    <w:rsid w:val="00C474A2"/>
    <w:rsid w:val="00C47DB3"/>
    <w:rsid w:val="00C50C9E"/>
    <w:rsid w:val="00C50CDC"/>
    <w:rsid w:val="00C51073"/>
    <w:rsid w:val="00C517D6"/>
    <w:rsid w:val="00C524E6"/>
    <w:rsid w:val="00C5291E"/>
    <w:rsid w:val="00C52C19"/>
    <w:rsid w:val="00C53046"/>
    <w:rsid w:val="00C5308D"/>
    <w:rsid w:val="00C53453"/>
    <w:rsid w:val="00C5361F"/>
    <w:rsid w:val="00C549A3"/>
    <w:rsid w:val="00C572FE"/>
    <w:rsid w:val="00C6165F"/>
    <w:rsid w:val="00C61BA7"/>
    <w:rsid w:val="00C61F5D"/>
    <w:rsid w:val="00C62004"/>
    <w:rsid w:val="00C62349"/>
    <w:rsid w:val="00C62948"/>
    <w:rsid w:val="00C62B4F"/>
    <w:rsid w:val="00C62BD5"/>
    <w:rsid w:val="00C63120"/>
    <w:rsid w:val="00C64386"/>
    <w:rsid w:val="00C644A0"/>
    <w:rsid w:val="00C65A0A"/>
    <w:rsid w:val="00C666DA"/>
    <w:rsid w:val="00C66CED"/>
    <w:rsid w:val="00C66FB7"/>
    <w:rsid w:val="00C671F7"/>
    <w:rsid w:val="00C6724B"/>
    <w:rsid w:val="00C7013A"/>
    <w:rsid w:val="00C7024A"/>
    <w:rsid w:val="00C70748"/>
    <w:rsid w:val="00C70D0D"/>
    <w:rsid w:val="00C70E63"/>
    <w:rsid w:val="00C710F1"/>
    <w:rsid w:val="00C7116A"/>
    <w:rsid w:val="00C71990"/>
    <w:rsid w:val="00C71AEB"/>
    <w:rsid w:val="00C72DD6"/>
    <w:rsid w:val="00C73592"/>
    <w:rsid w:val="00C73987"/>
    <w:rsid w:val="00C7464C"/>
    <w:rsid w:val="00C74A02"/>
    <w:rsid w:val="00C74A82"/>
    <w:rsid w:val="00C74AAC"/>
    <w:rsid w:val="00C74FAD"/>
    <w:rsid w:val="00C7710B"/>
    <w:rsid w:val="00C77143"/>
    <w:rsid w:val="00C7762E"/>
    <w:rsid w:val="00C77E49"/>
    <w:rsid w:val="00C8130F"/>
    <w:rsid w:val="00C82E00"/>
    <w:rsid w:val="00C83729"/>
    <w:rsid w:val="00C83B11"/>
    <w:rsid w:val="00C83B21"/>
    <w:rsid w:val="00C8408C"/>
    <w:rsid w:val="00C852A4"/>
    <w:rsid w:val="00C8587F"/>
    <w:rsid w:val="00C86636"/>
    <w:rsid w:val="00C86995"/>
    <w:rsid w:val="00C86B3F"/>
    <w:rsid w:val="00C87110"/>
    <w:rsid w:val="00C87522"/>
    <w:rsid w:val="00C87658"/>
    <w:rsid w:val="00C913DE"/>
    <w:rsid w:val="00C914DA"/>
    <w:rsid w:val="00C915F9"/>
    <w:rsid w:val="00C91714"/>
    <w:rsid w:val="00C9261E"/>
    <w:rsid w:val="00C931B5"/>
    <w:rsid w:val="00C93EA7"/>
    <w:rsid w:val="00C93F28"/>
    <w:rsid w:val="00C94794"/>
    <w:rsid w:val="00C94B86"/>
    <w:rsid w:val="00C94BE8"/>
    <w:rsid w:val="00C95347"/>
    <w:rsid w:val="00C95AD7"/>
    <w:rsid w:val="00C96C7E"/>
    <w:rsid w:val="00C96EA2"/>
    <w:rsid w:val="00C97167"/>
    <w:rsid w:val="00C97FFC"/>
    <w:rsid w:val="00CA0CB8"/>
    <w:rsid w:val="00CA147C"/>
    <w:rsid w:val="00CA1FEF"/>
    <w:rsid w:val="00CA20E9"/>
    <w:rsid w:val="00CA3110"/>
    <w:rsid w:val="00CA31AE"/>
    <w:rsid w:val="00CA3BCD"/>
    <w:rsid w:val="00CA4A3D"/>
    <w:rsid w:val="00CA5668"/>
    <w:rsid w:val="00CA6679"/>
    <w:rsid w:val="00CA678B"/>
    <w:rsid w:val="00CA6F8F"/>
    <w:rsid w:val="00CA6FEC"/>
    <w:rsid w:val="00CA713E"/>
    <w:rsid w:val="00CA7A25"/>
    <w:rsid w:val="00CA7AA5"/>
    <w:rsid w:val="00CA7BD7"/>
    <w:rsid w:val="00CA7C57"/>
    <w:rsid w:val="00CA7CAA"/>
    <w:rsid w:val="00CB04E3"/>
    <w:rsid w:val="00CB0CE2"/>
    <w:rsid w:val="00CB11C8"/>
    <w:rsid w:val="00CB30A2"/>
    <w:rsid w:val="00CB39CE"/>
    <w:rsid w:val="00CB427A"/>
    <w:rsid w:val="00CB4F00"/>
    <w:rsid w:val="00CB5292"/>
    <w:rsid w:val="00CB6596"/>
    <w:rsid w:val="00CB6A95"/>
    <w:rsid w:val="00CB6AFF"/>
    <w:rsid w:val="00CB735C"/>
    <w:rsid w:val="00CB7C87"/>
    <w:rsid w:val="00CC08C4"/>
    <w:rsid w:val="00CC09C2"/>
    <w:rsid w:val="00CC146F"/>
    <w:rsid w:val="00CC1995"/>
    <w:rsid w:val="00CC19BF"/>
    <w:rsid w:val="00CC1BA1"/>
    <w:rsid w:val="00CC274D"/>
    <w:rsid w:val="00CC2E05"/>
    <w:rsid w:val="00CC2FE4"/>
    <w:rsid w:val="00CC308C"/>
    <w:rsid w:val="00CC3B8E"/>
    <w:rsid w:val="00CC471D"/>
    <w:rsid w:val="00CC4A7C"/>
    <w:rsid w:val="00CC5A29"/>
    <w:rsid w:val="00CC6730"/>
    <w:rsid w:val="00CC6CD2"/>
    <w:rsid w:val="00CC6D7F"/>
    <w:rsid w:val="00CC707C"/>
    <w:rsid w:val="00CC714A"/>
    <w:rsid w:val="00CC71AF"/>
    <w:rsid w:val="00CC7460"/>
    <w:rsid w:val="00CC77C8"/>
    <w:rsid w:val="00CC7A00"/>
    <w:rsid w:val="00CC7F47"/>
    <w:rsid w:val="00CD01A5"/>
    <w:rsid w:val="00CD1239"/>
    <w:rsid w:val="00CD20CF"/>
    <w:rsid w:val="00CD3961"/>
    <w:rsid w:val="00CD4061"/>
    <w:rsid w:val="00CD4E9A"/>
    <w:rsid w:val="00CD5931"/>
    <w:rsid w:val="00CD6ACF"/>
    <w:rsid w:val="00CD70D8"/>
    <w:rsid w:val="00CD722F"/>
    <w:rsid w:val="00CD7273"/>
    <w:rsid w:val="00CD7640"/>
    <w:rsid w:val="00CD76D2"/>
    <w:rsid w:val="00CE087F"/>
    <w:rsid w:val="00CE1210"/>
    <w:rsid w:val="00CE26E3"/>
    <w:rsid w:val="00CE2FC0"/>
    <w:rsid w:val="00CE470E"/>
    <w:rsid w:val="00CE4B7A"/>
    <w:rsid w:val="00CE5765"/>
    <w:rsid w:val="00CE6875"/>
    <w:rsid w:val="00CE6A60"/>
    <w:rsid w:val="00CE6E53"/>
    <w:rsid w:val="00CF0A93"/>
    <w:rsid w:val="00CF0E6B"/>
    <w:rsid w:val="00CF0F98"/>
    <w:rsid w:val="00CF119B"/>
    <w:rsid w:val="00CF17C9"/>
    <w:rsid w:val="00CF2B23"/>
    <w:rsid w:val="00CF2CE9"/>
    <w:rsid w:val="00CF2EFA"/>
    <w:rsid w:val="00CF34CC"/>
    <w:rsid w:val="00CF3C17"/>
    <w:rsid w:val="00CF3E03"/>
    <w:rsid w:val="00CF468A"/>
    <w:rsid w:val="00CF4B47"/>
    <w:rsid w:val="00CF6451"/>
    <w:rsid w:val="00CF6CA3"/>
    <w:rsid w:val="00CF703A"/>
    <w:rsid w:val="00CF77D5"/>
    <w:rsid w:val="00CF7CE0"/>
    <w:rsid w:val="00D004A9"/>
    <w:rsid w:val="00D00BBB"/>
    <w:rsid w:val="00D00DBE"/>
    <w:rsid w:val="00D00E25"/>
    <w:rsid w:val="00D01201"/>
    <w:rsid w:val="00D01245"/>
    <w:rsid w:val="00D016ED"/>
    <w:rsid w:val="00D01851"/>
    <w:rsid w:val="00D01B28"/>
    <w:rsid w:val="00D0214A"/>
    <w:rsid w:val="00D02C22"/>
    <w:rsid w:val="00D04434"/>
    <w:rsid w:val="00D04650"/>
    <w:rsid w:val="00D0543E"/>
    <w:rsid w:val="00D0556A"/>
    <w:rsid w:val="00D059AE"/>
    <w:rsid w:val="00D05D07"/>
    <w:rsid w:val="00D05DDF"/>
    <w:rsid w:val="00D05E74"/>
    <w:rsid w:val="00D073B9"/>
    <w:rsid w:val="00D07941"/>
    <w:rsid w:val="00D1036F"/>
    <w:rsid w:val="00D10CD7"/>
    <w:rsid w:val="00D129A2"/>
    <w:rsid w:val="00D134D6"/>
    <w:rsid w:val="00D13929"/>
    <w:rsid w:val="00D1434B"/>
    <w:rsid w:val="00D144A6"/>
    <w:rsid w:val="00D153E1"/>
    <w:rsid w:val="00D17A25"/>
    <w:rsid w:val="00D17B0F"/>
    <w:rsid w:val="00D205B1"/>
    <w:rsid w:val="00D212C7"/>
    <w:rsid w:val="00D21779"/>
    <w:rsid w:val="00D217F4"/>
    <w:rsid w:val="00D21897"/>
    <w:rsid w:val="00D21C21"/>
    <w:rsid w:val="00D22955"/>
    <w:rsid w:val="00D23691"/>
    <w:rsid w:val="00D239E0"/>
    <w:rsid w:val="00D241B5"/>
    <w:rsid w:val="00D244F7"/>
    <w:rsid w:val="00D25093"/>
    <w:rsid w:val="00D25AC1"/>
    <w:rsid w:val="00D26FBB"/>
    <w:rsid w:val="00D27C06"/>
    <w:rsid w:val="00D27C13"/>
    <w:rsid w:val="00D27ECD"/>
    <w:rsid w:val="00D30707"/>
    <w:rsid w:val="00D30DFB"/>
    <w:rsid w:val="00D31330"/>
    <w:rsid w:val="00D31B6F"/>
    <w:rsid w:val="00D31CEB"/>
    <w:rsid w:val="00D32308"/>
    <w:rsid w:val="00D336D8"/>
    <w:rsid w:val="00D34963"/>
    <w:rsid w:val="00D34E70"/>
    <w:rsid w:val="00D3506C"/>
    <w:rsid w:val="00D35BFB"/>
    <w:rsid w:val="00D35EE4"/>
    <w:rsid w:val="00D3625D"/>
    <w:rsid w:val="00D36CBF"/>
    <w:rsid w:val="00D37309"/>
    <w:rsid w:val="00D3744F"/>
    <w:rsid w:val="00D37BAC"/>
    <w:rsid w:val="00D40BA3"/>
    <w:rsid w:val="00D4123D"/>
    <w:rsid w:val="00D41D98"/>
    <w:rsid w:val="00D41E96"/>
    <w:rsid w:val="00D41E9A"/>
    <w:rsid w:val="00D4220A"/>
    <w:rsid w:val="00D422E9"/>
    <w:rsid w:val="00D42F75"/>
    <w:rsid w:val="00D434F8"/>
    <w:rsid w:val="00D43CC4"/>
    <w:rsid w:val="00D447B2"/>
    <w:rsid w:val="00D44D52"/>
    <w:rsid w:val="00D45736"/>
    <w:rsid w:val="00D47A59"/>
    <w:rsid w:val="00D507E5"/>
    <w:rsid w:val="00D5447A"/>
    <w:rsid w:val="00D545EF"/>
    <w:rsid w:val="00D57AF3"/>
    <w:rsid w:val="00D57F05"/>
    <w:rsid w:val="00D619D2"/>
    <w:rsid w:val="00D61B89"/>
    <w:rsid w:val="00D620A9"/>
    <w:rsid w:val="00D620AD"/>
    <w:rsid w:val="00D622A2"/>
    <w:rsid w:val="00D62B59"/>
    <w:rsid w:val="00D632B4"/>
    <w:rsid w:val="00D635EC"/>
    <w:rsid w:val="00D63D18"/>
    <w:rsid w:val="00D63D64"/>
    <w:rsid w:val="00D64459"/>
    <w:rsid w:val="00D65A07"/>
    <w:rsid w:val="00D67B4E"/>
    <w:rsid w:val="00D7052E"/>
    <w:rsid w:val="00D70BBC"/>
    <w:rsid w:val="00D7113F"/>
    <w:rsid w:val="00D73E8F"/>
    <w:rsid w:val="00D741A1"/>
    <w:rsid w:val="00D7436C"/>
    <w:rsid w:val="00D74588"/>
    <w:rsid w:val="00D770DC"/>
    <w:rsid w:val="00D80176"/>
    <w:rsid w:val="00D80956"/>
    <w:rsid w:val="00D80A99"/>
    <w:rsid w:val="00D81348"/>
    <w:rsid w:val="00D81A0E"/>
    <w:rsid w:val="00D81E1A"/>
    <w:rsid w:val="00D83073"/>
    <w:rsid w:val="00D8390D"/>
    <w:rsid w:val="00D83D3D"/>
    <w:rsid w:val="00D848CE"/>
    <w:rsid w:val="00D84DC1"/>
    <w:rsid w:val="00D86120"/>
    <w:rsid w:val="00D8651D"/>
    <w:rsid w:val="00D86D7C"/>
    <w:rsid w:val="00D86DD1"/>
    <w:rsid w:val="00D87288"/>
    <w:rsid w:val="00D90068"/>
    <w:rsid w:val="00D907A6"/>
    <w:rsid w:val="00D91FED"/>
    <w:rsid w:val="00D9245D"/>
    <w:rsid w:val="00D92B2E"/>
    <w:rsid w:val="00D92BAC"/>
    <w:rsid w:val="00D92FC1"/>
    <w:rsid w:val="00D932A3"/>
    <w:rsid w:val="00D93F25"/>
    <w:rsid w:val="00D941D7"/>
    <w:rsid w:val="00D943D2"/>
    <w:rsid w:val="00D943E5"/>
    <w:rsid w:val="00D94640"/>
    <w:rsid w:val="00D9464B"/>
    <w:rsid w:val="00D94D58"/>
    <w:rsid w:val="00D97343"/>
    <w:rsid w:val="00D9743F"/>
    <w:rsid w:val="00D97A2A"/>
    <w:rsid w:val="00D97D58"/>
    <w:rsid w:val="00D97FDA"/>
    <w:rsid w:val="00DA043F"/>
    <w:rsid w:val="00DA0583"/>
    <w:rsid w:val="00DA11E6"/>
    <w:rsid w:val="00DA144B"/>
    <w:rsid w:val="00DA15E2"/>
    <w:rsid w:val="00DA1AF9"/>
    <w:rsid w:val="00DA241F"/>
    <w:rsid w:val="00DA2620"/>
    <w:rsid w:val="00DA299B"/>
    <w:rsid w:val="00DA31C9"/>
    <w:rsid w:val="00DA3B70"/>
    <w:rsid w:val="00DA4201"/>
    <w:rsid w:val="00DA4857"/>
    <w:rsid w:val="00DA4B47"/>
    <w:rsid w:val="00DA4FA9"/>
    <w:rsid w:val="00DA52DF"/>
    <w:rsid w:val="00DA6CA9"/>
    <w:rsid w:val="00DA6ED0"/>
    <w:rsid w:val="00DA795E"/>
    <w:rsid w:val="00DA7EBC"/>
    <w:rsid w:val="00DA7F40"/>
    <w:rsid w:val="00DB0E1A"/>
    <w:rsid w:val="00DB119B"/>
    <w:rsid w:val="00DB2183"/>
    <w:rsid w:val="00DB2582"/>
    <w:rsid w:val="00DB2E3A"/>
    <w:rsid w:val="00DB3E35"/>
    <w:rsid w:val="00DB4CD2"/>
    <w:rsid w:val="00DB548A"/>
    <w:rsid w:val="00DB59D3"/>
    <w:rsid w:val="00DB5CA7"/>
    <w:rsid w:val="00DB5FBB"/>
    <w:rsid w:val="00DB650A"/>
    <w:rsid w:val="00DB6541"/>
    <w:rsid w:val="00DB69D0"/>
    <w:rsid w:val="00DB6A20"/>
    <w:rsid w:val="00DB73A8"/>
    <w:rsid w:val="00DB7591"/>
    <w:rsid w:val="00DC163A"/>
    <w:rsid w:val="00DC1DF1"/>
    <w:rsid w:val="00DC1E80"/>
    <w:rsid w:val="00DC24D3"/>
    <w:rsid w:val="00DC28AC"/>
    <w:rsid w:val="00DC2FF4"/>
    <w:rsid w:val="00DC3A98"/>
    <w:rsid w:val="00DC50AC"/>
    <w:rsid w:val="00DC6281"/>
    <w:rsid w:val="00DC640F"/>
    <w:rsid w:val="00DC744B"/>
    <w:rsid w:val="00DC7AED"/>
    <w:rsid w:val="00DC7C5D"/>
    <w:rsid w:val="00DD0F68"/>
    <w:rsid w:val="00DD1D29"/>
    <w:rsid w:val="00DD1F52"/>
    <w:rsid w:val="00DD2098"/>
    <w:rsid w:val="00DD26C4"/>
    <w:rsid w:val="00DD28B4"/>
    <w:rsid w:val="00DD56CA"/>
    <w:rsid w:val="00DD6090"/>
    <w:rsid w:val="00DD755A"/>
    <w:rsid w:val="00DD75F9"/>
    <w:rsid w:val="00DD77D9"/>
    <w:rsid w:val="00DE068B"/>
    <w:rsid w:val="00DE0A2F"/>
    <w:rsid w:val="00DE162C"/>
    <w:rsid w:val="00DE1BFC"/>
    <w:rsid w:val="00DE1F17"/>
    <w:rsid w:val="00DE2101"/>
    <w:rsid w:val="00DE2940"/>
    <w:rsid w:val="00DE356B"/>
    <w:rsid w:val="00DE3ABE"/>
    <w:rsid w:val="00DE4FF4"/>
    <w:rsid w:val="00DE50B4"/>
    <w:rsid w:val="00DE5814"/>
    <w:rsid w:val="00DE6817"/>
    <w:rsid w:val="00DE6DF3"/>
    <w:rsid w:val="00DE7C41"/>
    <w:rsid w:val="00DF0316"/>
    <w:rsid w:val="00DF04D8"/>
    <w:rsid w:val="00DF0A1B"/>
    <w:rsid w:val="00DF0AAE"/>
    <w:rsid w:val="00DF1E1B"/>
    <w:rsid w:val="00DF20BF"/>
    <w:rsid w:val="00DF2F47"/>
    <w:rsid w:val="00DF5BCE"/>
    <w:rsid w:val="00DF5C21"/>
    <w:rsid w:val="00DF5FD7"/>
    <w:rsid w:val="00DF61E0"/>
    <w:rsid w:val="00DF648C"/>
    <w:rsid w:val="00DF68E6"/>
    <w:rsid w:val="00DF6B00"/>
    <w:rsid w:val="00DF6C14"/>
    <w:rsid w:val="00DF7610"/>
    <w:rsid w:val="00E00512"/>
    <w:rsid w:val="00E005AD"/>
    <w:rsid w:val="00E00ACA"/>
    <w:rsid w:val="00E00B7C"/>
    <w:rsid w:val="00E00BAA"/>
    <w:rsid w:val="00E012C8"/>
    <w:rsid w:val="00E01462"/>
    <w:rsid w:val="00E01561"/>
    <w:rsid w:val="00E019B2"/>
    <w:rsid w:val="00E01F54"/>
    <w:rsid w:val="00E01FA3"/>
    <w:rsid w:val="00E01FB8"/>
    <w:rsid w:val="00E021B3"/>
    <w:rsid w:val="00E02391"/>
    <w:rsid w:val="00E02AD5"/>
    <w:rsid w:val="00E02CDD"/>
    <w:rsid w:val="00E04E46"/>
    <w:rsid w:val="00E058F9"/>
    <w:rsid w:val="00E05D68"/>
    <w:rsid w:val="00E069FC"/>
    <w:rsid w:val="00E06B31"/>
    <w:rsid w:val="00E07221"/>
    <w:rsid w:val="00E079F4"/>
    <w:rsid w:val="00E10C00"/>
    <w:rsid w:val="00E111D6"/>
    <w:rsid w:val="00E112C5"/>
    <w:rsid w:val="00E117AD"/>
    <w:rsid w:val="00E11D72"/>
    <w:rsid w:val="00E1215F"/>
    <w:rsid w:val="00E12969"/>
    <w:rsid w:val="00E14492"/>
    <w:rsid w:val="00E147A0"/>
    <w:rsid w:val="00E14D2F"/>
    <w:rsid w:val="00E14DA0"/>
    <w:rsid w:val="00E16167"/>
    <w:rsid w:val="00E16688"/>
    <w:rsid w:val="00E170D7"/>
    <w:rsid w:val="00E17338"/>
    <w:rsid w:val="00E17568"/>
    <w:rsid w:val="00E175D2"/>
    <w:rsid w:val="00E17791"/>
    <w:rsid w:val="00E179FC"/>
    <w:rsid w:val="00E200F8"/>
    <w:rsid w:val="00E2010D"/>
    <w:rsid w:val="00E209E1"/>
    <w:rsid w:val="00E21302"/>
    <w:rsid w:val="00E21F2B"/>
    <w:rsid w:val="00E227D5"/>
    <w:rsid w:val="00E22BF8"/>
    <w:rsid w:val="00E230BA"/>
    <w:rsid w:val="00E25017"/>
    <w:rsid w:val="00E26397"/>
    <w:rsid w:val="00E26A2F"/>
    <w:rsid w:val="00E27B4C"/>
    <w:rsid w:val="00E27F4A"/>
    <w:rsid w:val="00E3023A"/>
    <w:rsid w:val="00E30447"/>
    <w:rsid w:val="00E3059F"/>
    <w:rsid w:val="00E30B38"/>
    <w:rsid w:val="00E30C19"/>
    <w:rsid w:val="00E30C20"/>
    <w:rsid w:val="00E313B8"/>
    <w:rsid w:val="00E319AF"/>
    <w:rsid w:val="00E31DC5"/>
    <w:rsid w:val="00E31F19"/>
    <w:rsid w:val="00E321BB"/>
    <w:rsid w:val="00E322DC"/>
    <w:rsid w:val="00E32516"/>
    <w:rsid w:val="00E329D5"/>
    <w:rsid w:val="00E32B96"/>
    <w:rsid w:val="00E32E28"/>
    <w:rsid w:val="00E32EE0"/>
    <w:rsid w:val="00E33D9F"/>
    <w:rsid w:val="00E33EF7"/>
    <w:rsid w:val="00E33F5D"/>
    <w:rsid w:val="00E34E45"/>
    <w:rsid w:val="00E353CE"/>
    <w:rsid w:val="00E35EB1"/>
    <w:rsid w:val="00E360D2"/>
    <w:rsid w:val="00E36EAB"/>
    <w:rsid w:val="00E36F8B"/>
    <w:rsid w:val="00E37326"/>
    <w:rsid w:val="00E3782E"/>
    <w:rsid w:val="00E379B7"/>
    <w:rsid w:val="00E37DD0"/>
    <w:rsid w:val="00E37FEA"/>
    <w:rsid w:val="00E404E0"/>
    <w:rsid w:val="00E40639"/>
    <w:rsid w:val="00E40CE1"/>
    <w:rsid w:val="00E41B70"/>
    <w:rsid w:val="00E41CC1"/>
    <w:rsid w:val="00E41DA0"/>
    <w:rsid w:val="00E42298"/>
    <w:rsid w:val="00E436F3"/>
    <w:rsid w:val="00E438E5"/>
    <w:rsid w:val="00E44261"/>
    <w:rsid w:val="00E44C51"/>
    <w:rsid w:val="00E44D61"/>
    <w:rsid w:val="00E45CF4"/>
    <w:rsid w:val="00E4648C"/>
    <w:rsid w:val="00E476EE"/>
    <w:rsid w:val="00E47B8F"/>
    <w:rsid w:val="00E5062E"/>
    <w:rsid w:val="00E5081C"/>
    <w:rsid w:val="00E508ED"/>
    <w:rsid w:val="00E50954"/>
    <w:rsid w:val="00E50AE7"/>
    <w:rsid w:val="00E51A38"/>
    <w:rsid w:val="00E520D9"/>
    <w:rsid w:val="00E52600"/>
    <w:rsid w:val="00E529FF"/>
    <w:rsid w:val="00E52E15"/>
    <w:rsid w:val="00E53F34"/>
    <w:rsid w:val="00E5443A"/>
    <w:rsid w:val="00E54E41"/>
    <w:rsid w:val="00E55A7F"/>
    <w:rsid w:val="00E55D82"/>
    <w:rsid w:val="00E56516"/>
    <w:rsid w:val="00E56F82"/>
    <w:rsid w:val="00E577DB"/>
    <w:rsid w:val="00E57A64"/>
    <w:rsid w:val="00E60A38"/>
    <w:rsid w:val="00E60A3A"/>
    <w:rsid w:val="00E60E4E"/>
    <w:rsid w:val="00E60E58"/>
    <w:rsid w:val="00E60E93"/>
    <w:rsid w:val="00E6144E"/>
    <w:rsid w:val="00E61489"/>
    <w:rsid w:val="00E6168A"/>
    <w:rsid w:val="00E622A4"/>
    <w:rsid w:val="00E62671"/>
    <w:rsid w:val="00E6270B"/>
    <w:rsid w:val="00E636FF"/>
    <w:rsid w:val="00E63771"/>
    <w:rsid w:val="00E64ACC"/>
    <w:rsid w:val="00E64E31"/>
    <w:rsid w:val="00E64EBD"/>
    <w:rsid w:val="00E65290"/>
    <w:rsid w:val="00E653B7"/>
    <w:rsid w:val="00E65DC5"/>
    <w:rsid w:val="00E661D6"/>
    <w:rsid w:val="00E6627C"/>
    <w:rsid w:val="00E66421"/>
    <w:rsid w:val="00E66BDD"/>
    <w:rsid w:val="00E67A85"/>
    <w:rsid w:val="00E67CD6"/>
    <w:rsid w:val="00E67E77"/>
    <w:rsid w:val="00E7205E"/>
    <w:rsid w:val="00E7208F"/>
    <w:rsid w:val="00E72394"/>
    <w:rsid w:val="00E7257A"/>
    <w:rsid w:val="00E74061"/>
    <w:rsid w:val="00E7593D"/>
    <w:rsid w:val="00E75A52"/>
    <w:rsid w:val="00E75A5D"/>
    <w:rsid w:val="00E76C62"/>
    <w:rsid w:val="00E77B24"/>
    <w:rsid w:val="00E77BA3"/>
    <w:rsid w:val="00E8056B"/>
    <w:rsid w:val="00E80730"/>
    <w:rsid w:val="00E80BEA"/>
    <w:rsid w:val="00E817FD"/>
    <w:rsid w:val="00E818F8"/>
    <w:rsid w:val="00E81D7C"/>
    <w:rsid w:val="00E82256"/>
    <w:rsid w:val="00E826FA"/>
    <w:rsid w:val="00E82CEF"/>
    <w:rsid w:val="00E8385F"/>
    <w:rsid w:val="00E83ADA"/>
    <w:rsid w:val="00E83B57"/>
    <w:rsid w:val="00E83F01"/>
    <w:rsid w:val="00E85E36"/>
    <w:rsid w:val="00E8617E"/>
    <w:rsid w:val="00E864EB"/>
    <w:rsid w:val="00E86B03"/>
    <w:rsid w:val="00E8722A"/>
    <w:rsid w:val="00E873F8"/>
    <w:rsid w:val="00E87E20"/>
    <w:rsid w:val="00E90A40"/>
    <w:rsid w:val="00E90A4B"/>
    <w:rsid w:val="00E90C4B"/>
    <w:rsid w:val="00E9138D"/>
    <w:rsid w:val="00E9195F"/>
    <w:rsid w:val="00E919F0"/>
    <w:rsid w:val="00E91DC8"/>
    <w:rsid w:val="00E924AC"/>
    <w:rsid w:val="00E9420F"/>
    <w:rsid w:val="00E944B4"/>
    <w:rsid w:val="00E94587"/>
    <w:rsid w:val="00E94670"/>
    <w:rsid w:val="00E94EAF"/>
    <w:rsid w:val="00E9623C"/>
    <w:rsid w:val="00E96A60"/>
    <w:rsid w:val="00E97E30"/>
    <w:rsid w:val="00EA05E1"/>
    <w:rsid w:val="00EA0688"/>
    <w:rsid w:val="00EA1928"/>
    <w:rsid w:val="00EA1A59"/>
    <w:rsid w:val="00EA2DD9"/>
    <w:rsid w:val="00EA2F2A"/>
    <w:rsid w:val="00EA344D"/>
    <w:rsid w:val="00EA3E80"/>
    <w:rsid w:val="00EA4178"/>
    <w:rsid w:val="00EA42C6"/>
    <w:rsid w:val="00EA497E"/>
    <w:rsid w:val="00EA55A0"/>
    <w:rsid w:val="00EA5B05"/>
    <w:rsid w:val="00EA63E0"/>
    <w:rsid w:val="00EA65A2"/>
    <w:rsid w:val="00EA6696"/>
    <w:rsid w:val="00EA689F"/>
    <w:rsid w:val="00EA6B8C"/>
    <w:rsid w:val="00EA6B9E"/>
    <w:rsid w:val="00EA7B29"/>
    <w:rsid w:val="00EA7F1D"/>
    <w:rsid w:val="00EB006D"/>
    <w:rsid w:val="00EB08FF"/>
    <w:rsid w:val="00EB1238"/>
    <w:rsid w:val="00EB16F8"/>
    <w:rsid w:val="00EB241E"/>
    <w:rsid w:val="00EB2979"/>
    <w:rsid w:val="00EB3857"/>
    <w:rsid w:val="00EB4585"/>
    <w:rsid w:val="00EB45B2"/>
    <w:rsid w:val="00EB6391"/>
    <w:rsid w:val="00EB6847"/>
    <w:rsid w:val="00EB6C8C"/>
    <w:rsid w:val="00EB6CBD"/>
    <w:rsid w:val="00EB7AD2"/>
    <w:rsid w:val="00EB7AED"/>
    <w:rsid w:val="00EB7C66"/>
    <w:rsid w:val="00EC1007"/>
    <w:rsid w:val="00EC199F"/>
    <w:rsid w:val="00EC1B29"/>
    <w:rsid w:val="00EC2D9D"/>
    <w:rsid w:val="00EC3D95"/>
    <w:rsid w:val="00EC3DEF"/>
    <w:rsid w:val="00EC4220"/>
    <w:rsid w:val="00EC6002"/>
    <w:rsid w:val="00EC68C0"/>
    <w:rsid w:val="00ED0B6F"/>
    <w:rsid w:val="00ED11FD"/>
    <w:rsid w:val="00ED2958"/>
    <w:rsid w:val="00ED4034"/>
    <w:rsid w:val="00ED4A6B"/>
    <w:rsid w:val="00ED518D"/>
    <w:rsid w:val="00ED5D1C"/>
    <w:rsid w:val="00ED5FA1"/>
    <w:rsid w:val="00ED728A"/>
    <w:rsid w:val="00EE0A2F"/>
    <w:rsid w:val="00EE0D54"/>
    <w:rsid w:val="00EE2671"/>
    <w:rsid w:val="00EE267B"/>
    <w:rsid w:val="00EE2860"/>
    <w:rsid w:val="00EE341D"/>
    <w:rsid w:val="00EE4007"/>
    <w:rsid w:val="00EE41DA"/>
    <w:rsid w:val="00EE454A"/>
    <w:rsid w:val="00EE5193"/>
    <w:rsid w:val="00EE77A8"/>
    <w:rsid w:val="00EE79B5"/>
    <w:rsid w:val="00EE7D86"/>
    <w:rsid w:val="00EE7DB1"/>
    <w:rsid w:val="00EF079D"/>
    <w:rsid w:val="00EF0B26"/>
    <w:rsid w:val="00EF0B69"/>
    <w:rsid w:val="00EF0CEB"/>
    <w:rsid w:val="00EF1129"/>
    <w:rsid w:val="00EF19F0"/>
    <w:rsid w:val="00EF1F77"/>
    <w:rsid w:val="00EF31B7"/>
    <w:rsid w:val="00EF3BA0"/>
    <w:rsid w:val="00EF4085"/>
    <w:rsid w:val="00EF4858"/>
    <w:rsid w:val="00EF4E21"/>
    <w:rsid w:val="00EF6AF8"/>
    <w:rsid w:val="00EF6FB0"/>
    <w:rsid w:val="00EF704F"/>
    <w:rsid w:val="00EF7A5C"/>
    <w:rsid w:val="00EF7CC0"/>
    <w:rsid w:val="00F00000"/>
    <w:rsid w:val="00F003DC"/>
    <w:rsid w:val="00F00A7C"/>
    <w:rsid w:val="00F01213"/>
    <w:rsid w:val="00F012F9"/>
    <w:rsid w:val="00F01696"/>
    <w:rsid w:val="00F01BAA"/>
    <w:rsid w:val="00F0286C"/>
    <w:rsid w:val="00F047ED"/>
    <w:rsid w:val="00F04C89"/>
    <w:rsid w:val="00F05069"/>
    <w:rsid w:val="00F05C47"/>
    <w:rsid w:val="00F05C78"/>
    <w:rsid w:val="00F05CDE"/>
    <w:rsid w:val="00F0625E"/>
    <w:rsid w:val="00F06B09"/>
    <w:rsid w:val="00F07DF5"/>
    <w:rsid w:val="00F1044C"/>
    <w:rsid w:val="00F10BCB"/>
    <w:rsid w:val="00F1141D"/>
    <w:rsid w:val="00F11446"/>
    <w:rsid w:val="00F11B4A"/>
    <w:rsid w:val="00F11E5E"/>
    <w:rsid w:val="00F11E9E"/>
    <w:rsid w:val="00F12955"/>
    <w:rsid w:val="00F12B7C"/>
    <w:rsid w:val="00F13147"/>
    <w:rsid w:val="00F133B5"/>
    <w:rsid w:val="00F1395F"/>
    <w:rsid w:val="00F14793"/>
    <w:rsid w:val="00F159D1"/>
    <w:rsid w:val="00F15C39"/>
    <w:rsid w:val="00F15DE1"/>
    <w:rsid w:val="00F162EC"/>
    <w:rsid w:val="00F164FB"/>
    <w:rsid w:val="00F16B4E"/>
    <w:rsid w:val="00F20EB1"/>
    <w:rsid w:val="00F21AD4"/>
    <w:rsid w:val="00F220B2"/>
    <w:rsid w:val="00F23136"/>
    <w:rsid w:val="00F238A6"/>
    <w:rsid w:val="00F23B21"/>
    <w:rsid w:val="00F23D28"/>
    <w:rsid w:val="00F246B8"/>
    <w:rsid w:val="00F24841"/>
    <w:rsid w:val="00F24D95"/>
    <w:rsid w:val="00F25088"/>
    <w:rsid w:val="00F255E7"/>
    <w:rsid w:val="00F25938"/>
    <w:rsid w:val="00F25A93"/>
    <w:rsid w:val="00F25FE0"/>
    <w:rsid w:val="00F266B3"/>
    <w:rsid w:val="00F26BCD"/>
    <w:rsid w:val="00F26F56"/>
    <w:rsid w:val="00F27DB3"/>
    <w:rsid w:val="00F316A6"/>
    <w:rsid w:val="00F31865"/>
    <w:rsid w:val="00F32538"/>
    <w:rsid w:val="00F32EB1"/>
    <w:rsid w:val="00F333A8"/>
    <w:rsid w:val="00F334E9"/>
    <w:rsid w:val="00F33C7B"/>
    <w:rsid w:val="00F34528"/>
    <w:rsid w:val="00F35820"/>
    <w:rsid w:val="00F36B05"/>
    <w:rsid w:val="00F36DF4"/>
    <w:rsid w:val="00F37559"/>
    <w:rsid w:val="00F379A1"/>
    <w:rsid w:val="00F37DC9"/>
    <w:rsid w:val="00F40056"/>
    <w:rsid w:val="00F40686"/>
    <w:rsid w:val="00F41E71"/>
    <w:rsid w:val="00F42CEE"/>
    <w:rsid w:val="00F43712"/>
    <w:rsid w:val="00F4432E"/>
    <w:rsid w:val="00F444C8"/>
    <w:rsid w:val="00F450A5"/>
    <w:rsid w:val="00F45B8B"/>
    <w:rsid w:val="00F47437"/>
    <w:rsid w:val="00F474AE"/>
    <w:rsid w:val="00F508BA"/>
    <w:rsid w:val="00F50C3E"/>
    <w:rsid w:val="00F51009"/>
    <w:rsid w:val="00F51ADF"/>
    <w:rsid w:val="00F52ADD"/>
    <w:rsid w:val="00F54354"/>
    <w:rsid w:val="00F54752"/>
    <w:rsid w:val="00F549E7"/>
    <w:rsid w:val="00F54CE7"/>
    <w:rsid w:val="00F5555C"/>
    <w:rsid w:val="00F55A0D"/>
    <w:rsid w:val="00F56107"/>
    <w:rsid w:val="00F567BC"/>
    <w:rsid w:val="00F56816"/>
    <w:rsid w:val="00F56CAF"/>
    <w:rsid w:val="00F57C8C"/>
    <w:rsid w:val="00F57CC8"/>
    <w:rsid w:val="00F57D24"/>
    <w:rsid w:val="00F57DCA"/>
    <w:rsid w:val="00F57E40"/>
    <w:rsid w:val="00F609F0"/>
    <w:rsid w:val="00F60F8F"/>
    <w:rsid w:val="00F6136D"/>
    <w:rsid w:val="00F6150C"/>
    <w:rsid w:val="00F61BF4"/>
    <w:rsid w:val="00F63860"/>
    <w:rsid w:val="00F63B17"/>
    <w:rsid w:val="00F642A2"/>
    <w:rsid w:val="00F64B20"/>
    <w:rsid w:val="00F64F57"/>
    <w:rsid w:val="00F66BAA"/>
    <w:rsid w:val="00F66E28"/>
    <w:rsid w:val="00F66FAC"/>
    <w:rsid w:val="00F67FB2"/>
    <w:rsid w:val="00F7114D"/>
    <w:rsid w:val="00F7155E"/>
    <w:rsid w:val="00F726A5"/>
    <w:rsid w:val="00F72FBD"/>
    <w:rsid w:val="00F7393B"/>
    <w:rsid w:val="00F768C5"/>
    <w:rsid w:val="00F777ED"/>
    <w:rsid w:val="00F7797C"/>
    <w:rsid w:val="00F800FB"/>
    <w:rsid w:val="00F8057E"/>
    <w:rsid w:val="00F807D1"/>
    <w:rsid w:val="00F80CD9"/>
    <w:rsid w:val="00F81455"/>
    <w:rsid w:val="00F814B5"/>
    <w:rsid w:val="00F817D1"/>
    <w:rsid w:val="00F81883"/>
    <w:rsid w:val="00F83197"/>
    <w:rsid w:val="00F8323E"/>
    <w:rsid w:val="00F83C22"/>
    <w:rsid w:val="00F84106"/>
    <w:rsid w:val="00F8454D"/>
    <w:rsid w:val="00F84898"/>
    <w:rsid w:val="00F850C9"/>
    <w:rsid w:val="00F85144"/>
    <w:rsid w:val="00F8534A"/>
    <w:rsid w:val="00F85965"/>
    <w:rsid w:val="00F85D04"/>
    <w:rsid w:val="00F86A3E"/>
    <w:rsid w:val="00F9008D"/>
    <w:rsid w:val="00F907CC"/>
    <w:rsid w:val="00F9097C"/>
    <w:rsid w:val="00F91D6C"/>
    <w:rsid w:val="00F92158"/>
    <w:rsid w:val="00F93195"/>
    <w:rsid w:val="00F93533"/>
    <w:rsid w:val="00F93917"/>
    <w:rsid w:val="00F93DF7"/>
    <w:rsid w:val="00F94B4A"/>
    <w:rsid w:val="00F94C6A"/>
    <w:rsid w:val="00F952B2"/>
    <w:rsid w:val="00F95689"/>
    <w:rsid w:val="00F958A2"/>
    <w:rsid w:val="00F96032"/>
    <w:rsid w:val="00F96321"/>
    <w:rsid w:val="00F970B7"/>
    <w:rsid w:val="00F97393"/>
    <w:rsid w:val="00F975C1"/>
    <w:rsid w:val="00F97B9B"/>
    <w:rsid w:val="00F97CD1"/>
    <w:rsid w:val="00FA03AD"/>
    <w:rsid w:val="00FA0617"/>
    <w:rsid w:val="00FA080E"/>
    <w:rsid w:val="00FA1B56"/>
    <w:rsid w:val="00FA2024"/>
    <w:rsid w:val="00FA2066"/>
    <w:rsid w:val="00FA2518"/>
    <w:rsid w:val="00FA31F4"/>
    <w:rsid w:val="00FA32F5"/>
    <w:rsid w:val="00FA4218"/>
    <w:rsid w:val="00FA42C3"/>
    <w:rsid w:val="00FA499E"/>
    <w:rsid w:val="00FA54FF"/>
    <w:rsid w:val="00FA607C"/>
    <w:rsid w:val="00FA60E7"/>
    <w:rsid w:val="00FA7729"/>
    <w:rsid w:val="00FA7748"/>
    <w:rsid w:val="00FA7C3E"/>
    <w:rsid w:val="00FA7FB6"/>
    <w:rsid w:val="00FB190A"/>
    <w:rsid w:val="00FB1A69"/>
    <w:rsid w:val="00FB1A85"/>
    <w:rsid w:val="00FB1D3F"/>
    <w:rsid w:val="00FB204F"/>
    <w:rsid w:val="00FB2B33"/>
    <w:rsid w:val="00FB34BA"/>
    <w:rsid w:val="00FB36CD"/>
    <w:rsid w:val="00FB3942"/>
    <w:rsid w:val="00FB3BCB"/>
    <w:rsid w:val="00FB474F"/>
    <w:rsid w:val="00FB4B05"/>
    <w:rsid w:val="00FB567A"/>
    <w:rsid w:val="00FB5EB6"/>
    <w:rsid w:val="00FB63D4"/>
    <w:rsid w:val="00FB67BE"/>
    <w:rsid w:val="00FB6CA7"/>
    <w:rsid w:val="00FB6EB0"/>
    <w:rsid w:val="00FC05FA"/>
    <w:rsid w:val="00FC119A"/>
    <w:rsid w:val="00FC121D"/>
    <w:rsid w:val="00FC17A5"/>
    <w:rsid w:val="00FC2701"/>
    <w:rsid w:val="00FC4C87"/>
    <w:rsid w:val="00FC4CF3"/>
    <w:rsid w:val="00FC5DE1"/>
    <w:rsid w:val="00FC603E"/>
    <w:rsid w:val="00FC67B7"/>
    <w:rsid w:val="00FC67E8"/>
    <w:rsid w:val="00FC6D41"/>
    <w:rsid w:val="00FC6F78"/>
    <w:rsid w:val="00FC7107"/>
    <w:rsid w:val="00FC7161"/>
    <w:rsid w:val="00FC7ACA"/>
    <w:rsid w:val="00FC7D37"/>
    <w:rsid w:val="00FD11FF"/>
    <w:rsid w:val="00FD132E"/>
    <w:rsid w:val="00FD1973"/>
    <w:rsid w:val="00FD1CC6"/>
    <w:rsid w:val="00FD2062"/>
    <w:rsid w:val="00FD2208"/>
    <w:rsid w:val="00FD23CA"/>
    <w:rsid w:val="00FD2454"/>
    <w:rsid w:val="00FD24CA"/>
    <w:rsid w:val="00FD2541"/>
    <w:rsid w:val="00FD26A8"/>
    <w:rsid w:val="00FD3545"/>
    <w:rsid w:val="00FD365E"/>
    <w:rsid w:val="00FD3732"/>
    <w:rsid w:val="00FD3803"/>
    <w:rsid w:val="00FD41C8"/>
    <w:rsid w:val="00FD487D"/>
    <w:rsid w:val="00FD540A"/>
    <w:rsid w:val="00FD5802"/>
    <w:rsid w:val="00FD5FCE"/>
    <w:rsid w:val="00FD65E3"/>
    <w:rsid w:val="00FD68A9"/>
    <w:rsid w:val="00FD6D68"/>
    <w:rsid w:val="00FD6DD7"/>
    <w:rsid w:val="00FE035C"/>
    <w:rsid w:val="00FE1A4E"/>
    <w:rsid w:val="00FE1A84"/>
    <w:rsid w:val="00FE2A1E"/>
    <w:rsid w:val="00FE2E6D"/>
    <w:rsid w:val="00FE2FD0"/>
    <w:rsid w:val="00FE337F"/>
    <w:rsid w:val="00FE4290"/>
    <w:rsid w:val="00FE4526"/>
    <w:rsid w:val="00FE4E30"/>
    <w:rsid w:val="00FE6392"/>
    <w:rsid w:val="00FE6706"/>
    <w:rsid w:val="00FE7198"/>
    <w:rsid w:val="00FE7BFE"/>
    <w:rsid w:val="00FF0828"/>
    <w:rsid w:val="00FF1142"/>
    <w:rsid w:val="00FF1325"/>
    <w:rsid w:val="00FF133F"/>
    <w:rsid w:val="00FF15A3"/>
    <w:rsid w:val="00FF20BC"/>
    <w:rsid w:val="00FF2161"/>
    <w:rsid w:val="00FF243C"/>
    <w:rsid w:val="00FF2662"/>
    <w:rsid w:val="00FF3950"/>
    <w:rsid w:val="00FF3D28"/>
    <w:rsid w:val="00FF3EDC"/>
    <w:rsid w:val="00FF40FD"/>
    <w:rsid w:val="00FF4131"/>
    <w:rsid w:val="00FF4B67"/>
    <w:rsid w:val="00FF5249"/>
    <w:rsid w:val="00FF55F8"/>
    <w:rsid w:val="00FF5CEE"/>
    <w:rsid w:val="00FF6023"/>
    <w:rsid w:val="00FF667C"/>
    <w:rsid w:val="00FF6732"/>
    <w:rsid w:val="00FF689C"/>
    <w:rsid w:val="00FF6AD2"/>
    <w:rsid w:val="00FF6EAB"/>
    <w:rsid w:val="00FF7B54"/>
    <w:rsid w:val="00FF7C0E"/>
    <w:rsid w:val="00FF7C28"/>
    <w:rsid w:val="00FF7EDA"/>
    <w:rsid w:val="063425F6"/>
    <w:rsid w:val="1DD81478"/>
    <w:rsid w:val="26C21E39"/>
    <w:rsid w:val="2B611CE7"/>
    <w:rsid w:val="50AB27E1"/>
    <w:rsid w:val="70FA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0" w:semiHidden="0" w:name="toc 3"/>
    <w:lsdException w:qFormat="1" w:uiPriority="0" w:semiHidden="0" w:name="toc 4"/>
    <w:lsdException w:uiPriority="0" w:semiHidden="0" w:name="toc 5"/>
    <w:lsdException w:qFormat="1" w:uiPriority="0" w:semiHidden="0" w:name="toc 6"/>
    <w:lsdException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53"/>
    <w:qFormat/>
    <w:uiPriority w:val="0"/>
    <w:pPr>
      <w:keepNext/>
      <w:keepLines/>
      <w:spacing w:before="120" w:after="120" w:line="360" w:lineRule="auto"/>
      <w:outlineLvl w:val="0"/>
    </w:pPr>
    <w:rPr>
      <w:rFonts w:ascii="Times New Roman" w:hAnsi="Times New Roman" w:eastAsia="黑体" w:cs="Times New Roman"/>
      <w:b/>
      <w:bCs/>
      <w:kern w:val="44"/>
    </w:rPr>
  </w:style>
  <w:style w:type="paragraph" w:styleId="3">
    <w:name w:val="heading 2"/>
    <w:basedOn w:val="1"/>
    <w:next w:val="1"/>
    <w:link w:val="56"/>
    <w:unhideWhenUsed/>
    <w:qFormat/>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54"/>
    <w:unhideWhenUsed/>
    <w:qFormat/>
    <w:uiPriority w:val="0"/>
    <w:pPr>
      <w:keepNext/>
      <w:keepLines/>
      <w:spacing w:before="260" w:after="260" w:line="416" w:lineRule="auto"/>
      <w:outlineLvl w:val="2"/>
    </w:pPr>
    <w:rPr>
      <w:rFonts w:cs="Times New Roman"/>
      <w:b/>
      <w:bCs/>
      <w:sz w:val="32"/>
      <w:szCs w:val="32"/>
    </w:rPr>
  </w:style>
  <w:style w:type="paragraph" w:styleId="5">
    <w:name w:val="heading 4"/>
    <w:basedOn w:val="4"/>
    <w:next w:val="1"/>
    <w:link w:val="73"/>
    <w:qFormat/>
    <w:uiPriority w:val="0"/>
    <w:pPr>
      <w:spacing w:before="0" w:after="0" w:line="360" w:lineRule="auto"/>
      <w:outlineLvl w:val="3"/>
    </w:pPr>
    <w:rPr>
      <w:rFonts w:ascii="Times New Roman" w:hAnsi="Times New Roman"/>
      <w:b w:val="0"/>
      <w:sz w:val="21"/>
      <w:szCs w:val="24"/>
    </w:rPr>
  </w:style>
  <w:style w:type="paragraph" w:styleId="6">
    <w:name w:val="heading 5"/>
    <w:basedOn w:val="1"/>
    <w:next w:val="1"/>
    <w:link w:val="74"/>
    <w:qFormat/>
    <w:uiPriority w:val="0"/>
    <w:pPr>
      <w:keepNext/>
      <w:keepLines/>
      <w:widowControl w:val="0"/>
      <w:tabs>
        <w:tab w:val="left" w:pos="1440"/>
      </w:tabs>
      <w:spacing w:before="280" w:after="290" w:line="374" w:lineRule="auto"/>
      <w:ind w:left="1008" w:hanging="1008"/>
      <w:jc w:val="both"/>
      <w:outlineLvl w:val="4"/>
    </w:pPr>
    <w:rPr>
      <w:rFonts w:ascii="Times New Roman" w:hAnsi="Times New Roman" w:cs="Times New Roman"/>
      <w:b/>
      <w:spacing w:val="6"/>
      <w:sz w:val="28"/>
      <w:szCs w:val="20"/>
    </w:rPr>
  </w:style>
  <w:style w:type="paragraph" w:styleId="7">
    <w:name w:val="heading 6"/>
    <w:basedOn w:val="1"/>
    <w:next w:val="8"/>
    <w:link w:val="76"/>
    <w:qFormat/>
    <w:uiPriority w:val="0"/>
    <w:pPr>
      <w:keepNext/>
      <w:keepLines/>
      <w:widowControl w:val="0"/>
      <w:tabs>
        <w:tab w:val="left" w:pos="1440"/>
      </w:tabs>
      <w:spacing w:before="240" w:after="64" w:line="319" w:lineRule="auto"/>
      <w:ind w:left="1152" w:hanging="1152"/>
      <w:jc w:val="both"/>
      <w:outlineLvl w:val="5"/>
    </w:pPr>
    <w:rPr>
      <w:rFonts w:ascii="Arial" w:hAnsi="Arial" w:eastAsia="黑体" w:cs="Times New Roman"/>
      <w:b/>
      <w:spacing w:val="6"/>
      <w:szCs w:val="20"/>
    </w:rPr>
  </w:style>
  <w:style w:type="paragraph" w:styleId="9">
    <w:name w:val="heading 7"/>
    <w:basedOn w:val="1"/>
    <w:next w:val="1"/>
    <w:link w:val="77"/>
    <w:qFormat/>
    <w:uiPriority w:val="0"/>
    <w:pPr>
      <w:keepNext/>
      <w:keepLines/>
      <w:widowControl w:val="0"/>
      <w:spacing w:before="240" w:after="64" w:line="319" w:lineRule="auto"/>
      <w:jc w:val="both"/>
      <w:outlineLvl w:val="6"/>
    </w:pPr>
    <w:rPr>
      <w:rFonts w:ascii="Times New Roman" w:hAnsi="Times New Roman" w:cs="Times New Roman"/>
      <w:b/>
      <w:bCs/>
      <w:kern w:val="2"/>
    </w:rPr>
  </w:style>
  <w:style w:type="paragraph" w:styleId="10">
    <w:name w:val="heading 8"/>
    <w:basedOn w:val="1"/>
    <w:next w:val="1"/>
    <w:link w:val="78"/>
    <w:qFormat/>
    <w:uiPriority w:val="0"/>
    <w:pPr>
      <w:keepNext/>
      <w:keepLines/>
      <w:widowControl w:val="0"/>
      <w:spacing w:before="240" w:after="64" w:line="319" w:lineRule="auto"/>
      <w:jc w:val="both"/>
      <w:outlineLvl w:val="7"/>
    </w:pPr>
    <w:rPr>
      <w:rFonts w:ascii="Arial" w:hAnsi="Arial" w:eastAsia="黑体" w:cs="Times New Roman"/>
      <w:kern w:val="2"/>
    </w:rPr>
  </w:style>
  <w:style w:type="paragraph" w:styleId="11">
    <w:name w:val="heading 9"/>
    <w:basedOn w:val="1"/>
    <w:next w:val="8"/>
    <w:link w:val="79"/>
    <w:qFormat/>
    <w:uiPriority w:val="0"/>
    <w:pPr>
      <w:keepNext/>
      <w:keepLines/>
      <w:widowControl w:val="0"/>
      <w:tabs>
        <w:tab w:val="left" w:pos="1584"/>
      </w:tabs>
      <w:spacing w:before="240" w:after="64" w:line="319" w:lineRule="auto"/>
      <w:ind w:left="1584" w:hanging="1584"/>
      <w:jc w:val="both"/>
      <w:outlineLvl w:val="8"/>
    </w:pPr>
    <w:rPr>
      <w:rFonts w:ascii="Arial" w:hAnsi="Arial" w:eastAsia="黑体" w:cs="Times New Roman"/>
      <w:spacing w:val="6"/>
      <w:sz w:val="21"/>
      <w:szCs w:val="20"/>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8">
    <w:name w:val="Normal Indent"/>
    <w:basedOn w:val="1"/>
    <w:link w:val="75"/>
    <w:unhideWhenUsed/>
    <w:qFormat/>
    <w:uiPriority w:val="99"/>
    <w:pPr>
      <w:widowControl w:val="0"/>
      <w:adjustRightInd w:val="0"/>
      <w:snapToGrid w:val="0"/>
      <w:spacing w:line="312" w:lineRule="auto"/>
      <w:ind w:firstLine="560" w:firstLineChars="200"/>
      <w:jc w:val="both"/>
    </w:pPr>
    <w:rPr>
      <w:rFonts w:ascii="Arial" w:hAnsi="Arial" w:cs="Times New Roman"/>
      <w:spacing w:val="6"/>
      <w:sz w:val="28"/>
      <w:szCs w:val="20"/>
    </w:rPr>
  </w:style>
  <w:style w:type="paragraph" w:styleId="12">
    <w:name w:val="toc 7"/>
    <w:basedOn w:val="1"/>
    <w:next w:val="1"/>
    <w:unhideWhenUsed/>
    <w:uiPriority w:val="0"/>
    <w:pPr>
      <w:widowControl w:val="0"/>
      <w:ind w:left="2520" w:leftChars="1200"/>
      <w:jc w:val="both"/>
    </w:pPr>
    <w:rPr>
      <w:rFonts w:ascii="Times New Roman" w:hAnsi="Times New Roman" w:cs="Times New Roman"/>
      <w:kern w:val="2"/>
      <w:sz w:val="21"/>
      <w:szCs w:val="22"/>
    </w:rPr>
  </w:style>
  <w:style w:type="paragraph" w:styleId="13">
    <w:name w:val="caption"/>
    <w:basedOn w:val="1"/>
    <w:next w:val="1"/>
    <w:link w:val="126"/>
    <w:qFormat/>
    <w:uiPriority w:val="0"/>
    <w:pPr>
      <w:widowControl w:val="0"/>
      <w:jc w:val="both"/>
    </w:pPr>
    <w:rPr>
      <w:rFonts w:ascii="Cambria" w:hAnsi="Cambria" w:eastAsia="黑体" w:cs="Times New Roman"/>
      <w:kern w:val="2"/>
      <w:sz w:val="20"/>
      <w:szCs w:val="20"/>
    </w:rPr>
  </w:style>
  <w:style w:type="paragraph" w:styleId="14">
    <w:name w:val="Document Map"/>
    <w:basedOn w:val="1"/>
    <w:link w:val="62"/>
    <w:unhideWhenUsed/>
    <w:qFormat/>
    <w:uiPriority w:val="0"/>
    <w:rPr>
      <w:sz w:val="18"/>
      <w:szCs w:val="18"/>
    </w:rPr>
  </w:style>
  <w:style w:type="paragraph" w:styleId="15">
    <w:name w:val="annotation text"/>
    <w:basedOn w:val="1"/>
    <w:link w:val="81"/>
    <w:unhideWhenUsed/>
    <w:uiPriority w:val="99"/>
  </w:style>
  <w:style w:type="paragraph" w:styleId="16">
    <w:name w:val="Body Text 3"/>
    <w:basedOn w:val="1"/>
    <w:link w:val="122"/>
    <w:unhideWhenUsed/>
    <w:uiPriority w:val="0"/>
    <w:pPr>
      <w:widowControl w:val="0"/>
      <w:jc w:val="center"/>
    </w:pPr>
    <w:rPr>
      <w:rFonts w:ascii="Times New Roman" w:hAnsi="Times New Roman" w:cs="Times New Roman"/>
      <w:kern w:val="2"/>
      <w:szCs w:val="20"/>
    </w:rPr>
  </w:style>
  <w:style w:type="paragraph" w:styleId="17">
    <w:name w:val="Body Text"/>
    <w:basedOn w:val="1"/>
    <w:link w:val="99"/>
    <w:unhideWhenUsed/>
    <w:qFormat/>
    <w:uiPriority w:val="0"/>
    <w:pPr>
      <w:widowControl w:val="0"/>
      <w:ind w:right="-154"/>
      <w:jc w:val="both"/>
    </w:pPr>
    <w:rPr>
      <w:rFonts w:hAnsi="Times New Roman" w:cs="Times New Roman"/>
      <w:kern w:val="2"/>
      <w:sz w:val="28"/>
      <w:szCs w:val="20"/>
    </w:rPr>
  </w:style>
  <w:style w:type="paragraph" w:styleId="18">
    <w:name w:val="Body Text Indent"/>
    <w:basedOn w:val="1"/>
    <w:link w:val="86"/>
    <w:unhideWhenUsed/>
    <w:uiPriority w:val="0"/>
    <w:pPr>
      <w:widowControl w:val="0"/>
      <w:spacing w:after="120"/>
      <w:ind w:left="420" w:leftChars="200"/>
      <w:jc w:val="both"/>
    </w:pPr>
    <w:rPr>
      <w:rFonts w:ascii="Times New Roman" w:hAnsi="Times New Roman" w:cs="Times New Roman"/>
      <w:sz w:val="20"/>
    </w:rPr>
  </w:style>
  <w:style w:type="paragraph" w:styleId="19">
    <w:name w:val="toc 5"/>
    <w:basedOn w:val="1"/>
    <w:next w:val="1"/>
    <w:unhideWhenUsed/>
    <w:uiPriority w:val="0"/>
    <w:pPr>
      <w:widowControl w:val="0"/>
      <w:ind w:left="1680" w:leftChars="800"/>
      <w:jc w:val="both"/>
    </w:pPr>
    <w:rPr>
      <w:rFonts w:ascii="Times New Roman" w:hAnsi="Times New Roman" w:cs="Times New Roman"/>
      <w:kern w:val="2"/>
      <w:sz w:val="21"/>
      <w:szCs w:val="22"/>
    </w:rPr>
  </w:style>
  <w:style w:type="paragraph" w:styleId="20">
    <w:name w:val="toc 3"/>
    <w:basedOn w:val="1"/>
    <w:next w:val="1"/>
    <w:unhideWhenUsed/>
    <w:uiPriority w:val="0"/>
    <w:pPr>
      <w:widowControl w:val="0"/>
      <w:ind w:left="840" w:leftChars="400"/>
      <w:jc w:val="both"/>
    </w:pPr>
    <w:rPr>
      <w:rFonts w:ascii="Times New Roman" w:hAnsi="Times New Roman" w:cs="Times New Roman"/>
      <w:kern w:val="2"/>
      <w:sz w:val="21"/>
      <w:szCs w:val="22"/>
    </w:rPr>
  </w:style>
  <w:style w:type="paragraph" w:styleId="21">
    <w:name w:val="Plain Text"/>
    <w:basedOn w:val="1"/>
    <w:link w:val="119"/>
    <w:unhideWhenUsed/>
    <w:uiPriority w:val="0"/>
    <w:pPr>
      <w:widowControl w:val="0"/>
      <w:jc w:val="both"/>
    </w:pPr>
    <w:rPr>
      <w:rFonts w:hAnsi="Courier New" w:cs="Courier New"/>
      <w:sz w:val="20"/>
      <w:szCs w:val="21"/>
    </w:rPr>
  </w:style>
  <w:style w:type="paragraph" w:styleId="22">
    <w:name w:val="toc 8"/>
    <w:basedOn w:val="1"/>
    <w:next w:val="1"/>
    <w:unhideWhenUsed/>
    <w:qFormat/>
    <w:uiPriority w:val="0"/>
    <w:pPr>
      <w:widowControl w:val="0"/>
      <w:ind w:left="2940" w:leftChars="1400"/>
      <w:jc w:val="both"/>
    </w:pPr>
    <w:rPr>
      <w:rFonts w:ascii="Times New Roman" w:hAnsi="Times New Roman" w:cs="Times New Roman"/>
      <w:kern w:val="2"/>
      <w:sz w:val="21"/>
      <w:szCs w:val="22"/>
    </w:rPr>
  </w:style>
  <w:style w:type="paragraph" w:styleId="23">
    <w:name w:val="Date"/>
    <w:basedOn w:val="1"/>
    <w:next w:val="1"/>
    <w:link w:val="97"/>
    <w:unhideWhenUsed/>
    <w:qFormat/>
    <w:uiPriority w:val="99"/>
    <w:pPr>
      <w:widowControl w:val="0"/>
      <w:ind w:left="100" w:leftChars="2500"/>
      <w:jc w:val="both"/>
    </w:pPr>
    <w:rPr>
      <w:rFonts w:ascii="Times New Roman" w:hAnsi="Times New Roman" w:cs="Times New Roman"/>
      <w:kern w:val="2"/>
      <w:sz w:val="21"/>
    </w:rPr>
  </w:style>
  <w:style w:type="paragraph" w:styleId="24">
    <w:name w:val="Body Text Indent 2"/>
    <w:basedOn w:val="1"/>
    <w:link w:val="92"/>
    <w:unhideWhenUsed/>
    <w:qFormat/>
    <w:uiPriority w:val="0"/>
    <w:pPr>
      <w:widowControl w:val="0"/>
      <w:spacing w:after="120" w:line="480" w:lineRule="auto"/>
      <w:ind w:left="420" w:leftChars="200"/>
      <w:jc w:val="both"/>
    </w:pPr>
    <w:rPr>
      <w:rFonts w:ascii="Times New Roman" w:hAnsi="Times New Roman" w:cs="Times New Roman"/>
      <w:kern w:val="2"/>
      <w:sz w:val="21"/>
    </w:rPr>
  </w:style>
  <w:style w:type="paragraph" w:styleId="25">
    <w:name w:val="Balloon Text"/>
    <w:basedOn w:val="1"/>
    <w:link w:val="55"/>
    <w:unhideWhenUsed/>
    <w:qFormat/>
    <w:uiPriority w:val="0"/>
    <w:rPr>
      <w:rFonts w:cs="Times New Roman"/>
      <w:sz w:val="18"/>
      <w:szCs w:val="18"/>
    </w:rPr>
  </w:style>
  <w:style w:type="paragraph" w:styleId="26">
    <w:name w:val="footer"/>
    <w:basedOn w:val="1"/>
    <w:link w:val="58"/>
    <w:unhideWhenUsed/>
    <w:qFormat/>
    <w:uiPriority w:val="99"/>
    <w:pPr>
      <w:tabs>
        <w:tab w:val="center" w:pos="4153"/>
        <w:tab w:val="right" w:pos="8306"/>
      </w:tabs>
      <w:snapToGrid w:val="0"/>
    </w:pPr>
    <w:rPr>
      <w:rFonts w:cs="Times New Roman"/>
      <w:sz w:val="18"/>
      <w:szCs w:val="18"/>
    </w:rPr>
  </w:style>
  <w:style w:type="paragraph" w:styleId="27">
    <w:name w:val="header"/>
    <w:basedOn w:val="1"/>
    <w:link w:val="57"/>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8">
    <w:name w:val="toc 1"/>
    <w:basedOn w:val="1"/>
    <w:next w:val="1"/>
    <w:unhideWhenUsed/>
    <w:qFormat/>
    <w:uiPriority w:val="39"/>
    <w:pPr>
      <w:tabs>
        <w:tab w:val="right" w:leader="dot" w:pos="8296"/>
      </w:tabs>
    </w:pPr>
    <w:rPr>
      <w:sz w:val="21"/>
    </w:rPr>
  </w:style>
  <w:style w:type="paragraph" w:styleId="29">
    <w:name w:val="toc 4"/>
    <w:basedOn w:val="1"/>
    <w:next w:val="1"/>
    <w:unhideWhenUsed/>
    <w:qFormat/>
    <w:uiPriority w:val="0"/>
    <w:pPr>
      <w:widowControl w:val="0"/>
      <w:ind w:left="1260" w:leftChars="600"/>
      <w:jc w:val="both"/>
    </w:pPr>
    <w:rPr>
      <w:rFonts w:ascii="Times New Roman" w:hAnsi="Times New Roman" w:cs="Times New Roman"/>
      <w:kern w:val="2"/>
      <w:sz w:val="21"/>
      <w:szCs w:val="22"/>
    </w:rPr>
  </w:style>
  <w:style w:type="paragraph" w:styleId="30">
    <w:name w:val="Subtitle"/>
    <w:basedOn w:val="1"/>
    <w:next w:val="1"/>
    <w:link w:val="165"/>
    <w:qFormat/>
    <w:uiPriority w:val="0"/>
    <w:pPr>
      <w:widowControl w:val="0"/>
      <w:spacing w:before="240" w:after="60" w:line="312" w:lineRule="auto"/>
      <w:ind w:firstLine="200" w:firstLineChars="200"/>
      <w:jc w:val="center"/>
      <w:outlineLvl w:val="1"/>
    </w:pPr>
    <w:rPr>
      <w:rFonts w:ascii="Cambria" w:hAnsi="Cambria" w:cs="Times New Roman"/>
      <w:b/>
      <w:bCs/>
      <w:kern w:val="28"/>
      <w:sz w:val="32"/>
      <w:szCs w:val="32"/>
    </w:rPr>
  </w:style>
  <w:style w:type="paragraph" w:styleId="31">
    <w:name w:val="footnote text"/>
    <w:basedOn w:val="1"/>
    <w:link w:val="63"/>
    <w:qFormat/>
    <w:uiPriority w:val="0"/>
    <w:pPr>
      <w:widowControl w:val="0"/>
      <w:snapToGrid w:val="0"/>
    </w:pPr>
    <w:rPr>
      <w:rFonts w:ascii="Times New Roman" w:hAnsi="Times New Roman" w:cs="Times New Roman"/>
      <w:kern w:val="2"/>
      <w:sz w:val="18"/>
      <w:szCs w:val="18"/>
    </w:rPr>
  </w:style>
  <w:style w:type="paragraph" w:styleId="32">
    <w:name w:val="toc 6"/>
    <w:basedOn w:val="1"/>
    <w:next w:val="1"/>
    <w:unhideWhenUsed/>
    <w:qFormat/>
    <w:uiPriority w:val="0"/>
    <w:pPr>
      <w:widowControl w:val="0"/>
      <w:ind w:left="2100" w:leftChars="1000"/>
      <w:jc w:val="both"/>
    </w:pPr>
    <w:rPr>
      <w:rFonts w:ascii="Times New Roman" w:hAnsi="Times New Roman" w:cs="Times New Roman"/>
      <w:kern w:val="2"/>
      <w:sz w:val="21"/>
      <w:szCs w:val="22"/>
    </w:rPr>
  </w:style>
  <w:style w:type="paragraph" w:styleId="33">
    <w:name w:val="Body Text Indent 3"/>
    <w:basedOn w:val="1"/>
    <w:link w:val="111"/>
    <w:unhideWhenUsed/>
    <w:qFormat/>
    <w:uiPriority w:val="0"/>
    <w:pPr>
      <w:widowControl w:val="0"/>
      <w:spacing w:after="120"/>
      <w:ind w:left="420" w:leftChars="200"/>
      <w:jc w:val="both"/>
    </w:pPr>
    <w:rPr>
      <w:rFonts w:ascii="Times New Roman" w:hAnsi="Times New Roman" w:cs="Times New Roman"/>
      <w:kern w:val="2"/>
      <w:sz w:val="16"/>
      <w:szCs w:val="16"/>
    </w:rPr>
  </w:style>
  <w:style w:type="paragraph" w:styleId="34">
    <w:name w:val="toc 2"/>
    <w:basedOn w:val="1"/>
    <w:next w:val="1"/>
    <w:unhideWhenUsed/>
    <w:qFormat/>
    <w:uiPriority w:val="39"/>
    <w:pPr>
      <w:ind w:left="200" w:leftChars="200"/>
    </w:pPr>
    <w:rPr>
      <w:sz w:val="21"/>
    </w:rPr>
  </w:style>
  <w:style w:type="paragraph" w:styleId="35">
    <w:name w:val="toc 9"/>
    <w:basedOn w:val="1"/>
    <w:next w:val="1"/>
    <w:unhideWhenUsed/>
    <w:qFormat/>
    <w:uiPriority w:val="0"/>
    <w:pPr>
      <w:widowControl w:val="0"/>
      <w:ind w:left="3360" w:leftChars="1600"/>
      <w:jc w:val="both"/>
    </w:pPr>
    <w:rPr>
      <w:rFonts w:ascii="Times New Roman" w:hAnsi="Times New Roman" w:cs="Times New Roman"/>
      <w:kern w:val="2"/>
      <w:sz w:val="21"/>
      <w:szCs w:val="22"/>
    </w:rPr>
  </w:style>
  <w:style w:type="paragraph" w:styleId="36">
    <w:name w:val="Body Text 2"/>
    <w:basedOn w:val="1"/>
    <w:link w:val="117"/>
    <w:unhideWhenUsed/>
    <w:qFormat/>
    <w:uiPriority w:val="0"/>
    <w:pPr>
      <w:widowControl w:val="0"/>
      <w:adjustRightInd w:val="0"/>
      <w:snapToGrid w:val="0"/>
      <w:spacing w:line="240" w:lineRule="atLeast"/>
      <w:jc w:val="both"/>
    </w:pPr>
    <w:rPr>
      <w:rFonts w:ascii="Times New Roman" w:hAnsi="Times New Roman" w:cs="Times New Roman"/>
      <w:color w:val="0000FF"/>
      <w:kern w:val="2"/>
      <w:sz w:val="18"/>
      <w:szCs w:val="20"/>
    </w:rPr>
  </w:style>
  <w:style w:type="paragraph" w:styleId="37">
    <w:name w:val="Normal (Web)"/>
    <w:basedOn w:val="1"/>
    <w:unhideWhenUsed/>
    <w:qFormat/>
    <w:uiPriority w:val="99"/>
    <w:pPr>
      <w:spacing w:before="100" w:beforeAutospacing="1" w:after="100" w:afterAutospacing="1"/>
    </w:pPr>
  </w:style>
  <w:style w:type="paragraph" w:styleId="38">
    <w:name w:val="Title"/>
    <w:basedOn w:val="1"/>
    <w:next w:val="1"/>
    <w:link w:val="171"/>
    <w:qFormat/>
    <w:uiPriority w:val="0"/>
    <w:pPr>
      <w:widowControl w:val="0"/>
      <w:spacing w:before="240" w:after="60" w:line="360" w:lineRule="auto"/>
      <w:ind w:firstLine="200" w:firstLineChars="200"/>
      <w:jc w:val="center"/>
      <w:outlineLvl w:val="0"/>
    </w:pPr>
    <w:rPr>
      <w:rFonts w:ascii="Cambria" w:hAnsi="Cambria" w:cs="Times New Roman"/>
      <w:b/>
      <w:bCs/>
      <w:sz w:val="32"/>
      <w:szCs w:val="32"/>
    </w:rPr>
  </w:style>
  <w:style w:type="paragraph" w:styleId="39">
    <w:name w:val="annotation subject"/>
    <w:basedOn w:val="15"/>
    <w:next w:val="15"/>
    <w:link w:val="80"/>
    <w:qFormat/>
    <w:uiPriority w:val="0"/>
    <w:pPr>
      <w:widowControl w:val="0"/>
    </w:pPr>
    <w:rPr>
      <w:rFonts w:ascii="Calibri" w:hAnsi="Calibri" w:cs="Times New Roman"/>
      <w:b/>
      <w:bCs/>
      <w:kern w:val="2"/>
      <w:sz w:val="21"/>
      <w:szCs w:val="22"/>
    </w:rPr>
  </w:style>
  <w:style w:type="paragraph" w:styleId="40">
    <w:name w:val="Body Text First Indent"/>
    <w:basedOn w:val="17"/>
    <w:link w:val="108"/>
    <w:unhideWhenUsed/>
    <w:qFormat/>
    <w:uiPriority w:val="0"/>
    <w:pPr>
      <w:spacing w:after="120"/>
      <w:ind w:right="0" w:firstLine="420" w:firstLineChars="100"/>
    </w:pPr>
  </w:style>
  <w:style w:type="paragraph" w:styleId="41">
    <w:name w:val="Body Text First Indent 2"/>
    <w:basedOn w:val="18"/>
    <w:link w:val="89"/>
    <w:unhideWhenUsed/>
    <w:qFormat/>
    <w:uiPriority w:val="99"/>
    <w:pPr>
      <w:ind w:firstLine="420" w:firstLineChars="200"/>
    </w:pPr>
    <w:rPr>
      <w:kern w:val="2"/>
      <w:sz w:val="21"/>
    </w:rPr>
  </w:style>
  <w:style w:type="table" w:styleId="43">
    <w:name w:val="Table Grid"/>
    <w:basedOn w:val="4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rPr>
  </w:style>
  <w:style w:type="character" w:styleId="46">
    <w:name w:val="page number"/>
    <w:basedOn w:val="44"/>
    <w:qFormat/>
    <w:uiPriority w:val="0"/>
  </w:style>
  <w:style w:type="character" w:styleId="47">
    <w:name w:val="FollowedHyperlink"/>
    <w:basedOn w:val="44"/>
    <w:semiHidden/>
    <w:unhideWhenUsed/>
    <w:qFormat/>
    <w:uiPriority w:val="99"/>
    <w:rPr>
      <w:color w:val="800080" w:themeColor="followedHyperlink"/>
      <w:u w:val="single"/>
      <w14:textFill>
        <w14:solidFill>
          <w14:schemeClr w14:val="folHlink"/>
        </w14:solidFill>
      </w14:textFill>
    </w:rPr>
  </w:style>
  <w:style w:type="character" w:styleId="48">
    <w:name w:val="Emphasis"/>
    <w:qFormat/>
    <w:uiPriority w:val="0"/>
    <w:rPr>
      <w:i/>
      <w:iCs/>
    </w:rPr>
  </w:style>
  <w:style w:type="character" w:styleId="49">
    <w:name w:val="Hyperlink"/>
    <w:unhideWhenUsed/>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paragraph" w:styleId="52">
    <w:name w:val="List Paragraph"/>
    <w:basedOn w:val="1"/>
    <w:qFormat/>
    <w:uiPriority w:val="34"/>
    <w:pPr>
      <w:ind w:firstLine="420" w:firstLineChars="200"/>
    </w:pPr>
  </w:style>
  <w:style w:type="character" w:customStyle="1" w:styleId="53">
    <w:name w:val="标题 1 Char4"/>
    <w:link w:val="2"/>
    <w:qFormat/>
    <w:uiPriority w:val="0"/>
    <w:rPr>
      <w:rFonts w:ascii="Times New Roman" w:hAnsi="Times New Roman" w:eastAsia="黑体"/>
      <w:b/>
      <w:bCs/>
      <w:kern w:val="44"/>
      <w:sz w:val="24"/>
      <w:szCs w:val="24"/>
    </w:rPr>
  </w:style>
  <w:style w:type="character" w:customStyle="1" w:styleId="54">
    <w:name w:val="标题 3 Char1"/>
    <w:link w:val="4"/>
    <w:qFormat/>
    <w:uiPriority w:val="9"/>
    <w:rPr>
      <w:rFonts w:ascii="宋体" w:hAnsi="宋体" w:eastAsia="宋体" w:cs="宋体"/>
      <w:b/>
      <w:bCs/>
      <w:kern w:val="0"/>
      <w:sz w:val="32"/>
      <w:szCs w:val="32"/>
    </w:rPr>
  </w:style>
  <w:style w:type="character" w:customStyle="1" w:styleId="55">
    <w:name w:val="批注框文本 Char1"/>
    <w:link w:val="25"/>
    <w:qFormat/>
    <w:uiPriority w:val="0"/>
    <w:rPr>
      <w:rFonts w:ascii="宋体" w:hAnsi="宋体" w:eastAsia="宋体" w:cs="宋体"/>
      <w:kern w:val="0"/>
      <w:sz w:val="18"/>
      <w:szCs w:val="18"/>
    </w:rPr>
  </w:style>
  <w:style w:type="character" w:customStyle="1" w:styleId="56">
    <w:name w:val="标题 2 Char1"/>
    <w:link w:val="3"/>
    <w:qFormat/>
    <w:uiPriority w:val="9"/>
    <w:rPr>
      <w:rFonts w:ascii="Cambria" w:hAnsi="Cambria" w:eastAsia="宋体" w:cs="Times New Roman"/>
      <w:b/>
      <w:bCs/>
      <w:kern w:val="0"/>
      <w:sz w:val="32"/>
      <w:szCs w:val="32"/>
    </w:rPr>
  </w:style>
  <w:style w:type="character" w:customStyle="1" w:styleId="57">
    <w:name w:val="页眉 Char2"/>
    <w:link w:val="27"/>
    <w:qFormat/>
    <w:uiPriority w:val="0"/>
    <w:rPr>
      <w:rFonts w:ascii="宋体" w:hAnsi="宋体" w:eastAsia="宋体" w:cs="宋体"/>
      <w:kern w:val="0"/>
      <w:sz w:val="18"/>
      <w:szCs w:val="18"/>
    </w:rPr>
  </w:style>
  <w:style w:type="character" w:customStyle="1" w:styleId="58">
    <w:name w:val="页脚 Char2"/>
    <w:link w:val="26"/>
    <w:qFormat/>
    <w:uiPriority w:val="99"/>
    <w:rPr>
      <w:rFonts w:ascii="宋体" w:hAnsi="宋体" w:eastAsia="宋体" w:cs="宋体"/>
      <w:kern w:val="0"/>
      <w:sz w:val="18"/>
      <w:szCs w:val="18"/>
    </w:rPr>
  </w:style>
  <w:style w:type="paragraph" w:customStyle="1" w:styleId="59">
    <w:name w:val="列项——（一级）"/>
    <w:qFormat/>
    <w:uiPriority w:val="0"/>
    <w:pPr>
      <w:widowControl w:val="0"/>
      <w:numPr>
        <w:ilvl w:val="0"/>
        <w:numId w:val="1"/>
      </w:numPr>
      <w:ind w:left="833"/>
      <w:jc w:val="both"/>
    </w:pPr>
    <w:rPr>
      <w:rFonts w:ascii="宋体" w:hAnsi="Times New Roman" w:eastAsia="宋体" w:cs="Times New Roman"/>
      <w:sz w:val="21"/>
      <w:lang w:val="en-US" w:eastAsia="zh-CN" w:bidi="ar-SA"/>
    </w:rPr>
  </w:style>
  <w:style w:type="paragraph" w:customStyle="1" w:styleId="60">
    <w:name w:val="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widowControl w:val="0"/>
      <w:numPr>
        <w:ilvl w:val="2"/>
        <w:numId w:val="1"/>
      </w:numPr>
      <w:jc w:val="both"/>
    </w:pPr>
    <w:rPr>
      <w:rFonts w:hAnsi="Times New Roman" w:cs="Times New Roman"/>
      <w:kern w:val="2"/>
      <w:sz w:val="21"/>
      <w:szCs w:val="21"/>
    </w:rPr>
  </w:style>
  <w:style w:type="character" w:customStyle="1" w:styleId="62">
    <w:name w:val="文档结构图 Char4"/>
    <w:basedOn w:val="44"/>
    <w:link w:val="14"/>
    <w:semiHidden/>
    <w:qFormat/>
    <w:uiPriority w:val="99"/>
    <w:rPr>
      <w:rFonts w:ascii="宋体" w:hAnsi="宋体" w:cs="宋体"/>
      <w:sz w:val="18"/>
      <w:szCs w:val="18"/>
    </w:rPr>
  </w:style>
  <w:style w:type="character" w:customStyle="1" w:styleId="63">
    <w:name w:val="脚注文本 Char2"/>
    <w:basedOn w:val="44"/>
    <w:link w:val="31"/>
    <w:semiHidden/>
    <w:qFormat/>
    <w:uiPriority w:val="0"/>
    <w:rPr>
      <w:rFonts w:ascii="Times New Roman" w:hAnsi="Times New Roman"/>
      <w:kern w:val="2"/>
      <w:sz w:val="18"/>
      <w:szCs w:val="18"/>
    </w:rPr>
  </w:style>
  <w:style w:type="character" w:customStyle="1" w:styleId="64">
    <w:name w:val="标题 4 字符"/>
    <w:basedOn w:val="44"/>
    <w:semiHidden/>
    <w:qFormat/>
    <w:uiPriority w:val="9"/>
    <w:rPr>
      <w:rFonts w:asciiTheme="majorHAnsi" w:hAnsiTheme="majorHAnsi" w:eastAsiaTheme="majorEastAsia" w:cstheme="majorBidi"/>
      <w:b/>
      <w:bCs/>
      <w:sz w:val="28"/>
      <w:szCs w:val="28"/>
    </w:rPr>
  </w:style>
  <w:style w:type="character" w:customStyle="1" w:styleId="65">
    <w:name w:val="标题 5 字符"/>
    <w:basedOn w:val="44"/>
    <w:semiHidden/>
    <w:qFormat/>
    <w:uiPriority w:val="9"/>
    <w:rPr>
      <w:rFonts w:ascii="宋体" w:hAnsi="宋体" w:cs="宋体"/>
      <w:b/>
      <w:bCs/>
      <w:sz w:val="28"/>
      <w:szCs w:val="28"/>
    </w:rPr>
  </w:style>
  <w:style w:type="character" w:customStyle="1" w:styleId="66">
    <w:name w:val="标题 6 字符"/>
    <w:basedOn w:val="44"/>
    <w:semiHidden/>
    <w:qFormat/>
    <w:uiPriority w:val="9"/>
    <w:rPr>
      <w:rFonts w:asciiTheme="majorHAnsi" w:hAnsiTheme="majorHAnsi" w:eastAsiaTheme="majorEastAsia" w:cstheme="majorBidi"/>
      <w:b/>
      <w:bCs/>
      <w:sz w:val="24"/>
      <w:szCs w:val="24"/>
    </w:rPr>
  </w:style>
  <w:style w:type="character" w:customStyle="1" w:styleId="67">
    <w:name w:val="标题 7 字符"/>
    <w:basedOn w:val="44"/>
    <w:semiHidden/>
    <w:qFormat/>
    <w:uiPriority w:val="9"/>
    <w:rPr>
      <w:rFonts w:ascii="宋体" w:hAnsi="宋体" w:cs="宋体"/>
      <w:b/>
      <w:bCs/>
      <w:sz w:val="24"/>
      <w:szCs w:val="24"/>
    </w:rPr>
  </w:style>
  <w:style w:type="character" w:customStyle="1" w:styleId="68">
    <w:name w:val="标题 8 字符"/>
    <w:basedOn w:val="44"/>
    <w:semiHidden/>
    <w:qFormat/>
    <w:uiPriority w:val="9"/>
    <w:rPr>
      <w:rFonts w:asciiTheme="majorHAnsi" w:hAnsiTheme="majorHAnsi" w:eastAsiaTheme="majorEastAsia" w:cstheme="majorBidi"/>
      <w:sz w:val="24"/>
      <w:szCs w:val="24"/>
    </w:rPr>
  </w:style>
  <w:style w:type="character" w:customStyle="1" w:styleId="69">
    <w:name w:val="标题 9 字符"/>
    <w:basedOn w:val="44"/>
    <w:semiHidden/>
    <w:qFormat/>
    <w:uiPriority w:val="9"/>
    <w:rPr>
      <w:rFonts w:asciiTheme="majorHAnsi" w:hAnsiTheme="majorHAnsi" w:eastAsiaTheme="majorEastAsia" w:cstheme="majorBidi"/>
      <w:sz w:val="21"/>
      <w:szCs w:val="21"/>
    </w:rPr>
  </w:style>
  <w:style w:type="character" w:customStyle="1" w:styleId="70">
    <w:name w:val="标题 1 Char3"/>
    <w:qFormat/>
    <w:uiPriority w:val="0"/>
    <w:rPr>
      <w:rFonts w:ascii="Times New Roman" w:hAnsi="Times New Roman" w:eastAsia="宋体" w:cs="Times New Roman"/>
      <w:b/>
      <w:bCs/>
      <w:kern w:val="44"/>
      <w:sz w:val="44"/>
      <w:szCs w:val="44"/>
    </w:rPr>
  </w:style>
  <w:style w:type="character" w:customStyle="1" w:styleId="71">
    <w:name w:val="标题 2 Char"/>
    <w:qFormat/>
    <w:uiPriority w:val="0"/>
    <w:rPr>
      <w:rFonts w:ascii="Cambria" w:hAnsi="Cambria" w:eastAsia="宋体" w:cs="Times New Roman"/>
      <w:b/>
      <w:bCs/>
      <w:sz w:val="32"/>
      <w:szCs w:val="32"/>
    </w:rPr>
  </w:style>
  <w:style w:type="character" w:customStyle="1" w:styleId="72">
    <w:name w:val="标题 3 Char"/>
    <w:qFormat/>
    <w:uiPriority w:val="0"/>
    <w:rPr>
      <w:rFonts w:ascii="Times New Roman" w:hAnsi="Times New Roman"/>
      <w:b/>
      <w:bCs/>
      <w:kern w:val="2"/>
      <w:sz w:val="32"/>
      <w:szCs w:val="32"/>
    </w:rPr>
  </w:style>
  <w:style w:type="character" w:customStyle="1" w:styleId="73">
    <w:name w:val="标题 4 Char"/>
    <w:link w:val="5"/>
    <w:qFormat/>
    <w:uiPriority w:val="0"/>
    <w:rPr>
      <w:rFonts w:ascii="Times New Roman" w:hAnsi="Times New Roman"/>
      <w:bCs/>
      <w:sz w:val="21"/>
      <w:szCs w:val="24"/>
    </w:rPr>
  </w:style>
  <w:style w:type="character" w:customStyle="1" w:styleId="74">
    <w:name w:val="标题 5 Char"/>
    <w:link w:val="6"/>
    <w:qFormat/>
    <w:uiPriority w:val="0"/>
    <w:rPr>
      <w:rFonts w:ascii="Times New Roman" w:hAnsi="Times New Roman"/>
      <w:b/>
      <w:spacing w:val="6"/>
      <w:sz w:val="28"/>
    </w:rPr>
  </w:style>
  <w:style w:type="character" w:customStyle="1" w:styleId="75">
    <w:name w:val="正文缩进 Char"/>
    <w:link w:val="8"/>
    <w:qFormat/>
    <w:locked/>
    <w:uiPriority w:val="99"/>
    <w:rPr>
      <w:rFonts w:ascii="Arial" w:hAnsi="Arial"/>
      <w:spacing w:val="6"/>
      <w:sz w:val="28"/>
    </w:rPr>
  </w:style>
  <w:style w:type="character" w:customStyle="1" w:styleId="76">
    <w:name w:val="标题 6 Char"/>
    <w:link w:val="7"/>
    <w:qFormat/>
    <w:uiPriority w:val="0"/>
    <w:rPr>
      <w:rFonts w:ascii="Arial" w:hAnsi="Arial" w:eastAsia="黑体"/>
      <w:b/>
      <w:spacing w:val="6"/>
      <w:sz w:val="24"/>
    </w:rPr>
  </w:style>
  <w:style w:type="character" w:customStyle="1" w:styleId="77">
    <w:name w:val="标题 7 Char"/>
    <w:link w:val="9"/>
    <w:qFormat/>
    <w:uiPriority w:val="0"/>
    <w:rPr>
      <w:rFonts w:ascii="Times New Roman" w:hAnsi="Times New Roman"/>
      <w:b/>
      <w:bCs/>
      <w:kern w:val="2"/>
      <w:sz w:val="24"/>
      <w:szCs w:val="24"/>
    </w:rPr>
  </w:style>
  <w:style w:type="character" w:customStyle="1" w:styleId="78">
    <w:name w:val="标题 8 Char"/>
    <w:link w:val="10"/>
    <w:qFormat/>
    <w:uiPriority w:val="0"/>
    <w:rPr>
      <w:rFonts w:ascii="Arial" w:hAnsi="Arial" w:eastAsia="黑体"/>
      <w:kern w:val="2"/>
      <w:sz w:val="24"/>
      <w:szCs w:val="24"/>
    </w:rPr>
  </w:style>
  <w:style w:type="character" w:customStyle="1" w:styleId="79">
    <w:name w:val="标题 9 Char"/>
    <w:link w:val="11"/>
    <w:qFormat/>
    <w:uiPriority w:val="0"/>
    <w:rPr>
      <w:rFonts w:ascii="Arial" w:hAnsi="Arial" w:eastAsia="黑体"/>
      <w:spacing w:val="6"/>
      <w:sz w:val="21"/>
    </w:rPr>
  </w:style>
  <w:style w:type="character" w:customStyle="1" w:styleId="80">
    <w:name w:val="批注主题 Char3"/>
    <w:link w:val="39"/>
    <w:qFormat/>
    <w:uiPriority w:val="0"/>
    <w:rPr>
      <w:b/>
      <w:bCs/>
      <w:kern w:val="2"/>
      <w:sz w:val="21"/>
      <w:szCs w:val="22"/>
    </w:rPr>
  </w:style>
  <w:style w:type="character" w:customStyle="1" w:styleId="81">
    <w:name w:val="批注文字 Char2"/>
    <w:basedOn w:val="44"/>
    <w:link w:val="15"/>
    <w:qFormat/>
    <w:uiPriority w:val="0"/>
    <w:rPr>
      <w:rFonts w:ascii="宋体" w:hAnsi="宋体" w:cs="宋体"/>
      <w:sz w:val="24"/>
      <w:szCs w:val="24"/>
    </w:rPr>
  </w:style>
  <w:style w:type="character" w:customStyle="1" w:styleId="82">
    <w:name w:val="批注主题 字符"/>
    <w:basedOn w:val="81"/>
    <w:semiHidden/>
    <w:qFormat/>
    <w:uiPriority w:val="99"/>
    <w:rPr>
      <w:rFonts w:ascii="宋体" w:hAnsi="宋体" w:cs="宋体"/>
      <w:b/>
      <w:bCs/>
      <w:sz w:val="24"/>
      <w:szCs w:val="24"/>
    </w:rPr>
  </w:style>
  <w:style w:type="character" w:customStyle="1" w:styleId="83">
    <w:name w:val="批注文字 Char"/>
    <w:qFormat/>
    <w:uiPriority w:val="99"/>
    <w:rPr>
      <w:kern w:val="2"/>
      <w:sz w:val="21"/>
      <w:szCs w:val="22"/>
    </w:rPr>
  </w:style>
  <w:style w:type="character" w:customStyle="1" w:styleId="84">
    <w:name w:val="页眉 Char"/>
    <w:qFormat/>
    <w:uiPriority w:val="99"/>
    <w:rPr>
      <w:sz w:val="18"/>
      <w:szCs w:val="18"/>
    </w:rPr>
  </w:style>
  <w:style w:type="character" w:customStyle="1" w:styleId="85">
    <w:name w:val="正文首行缩进 2 Char1"/>
    <w:basedOn w:val="86"/>
    <w:semiHidden/>
    <w:qFormat/>
    <w:locked/>
    <w:uiPriority w:val="99"/>
    <w:rPr>
      <w:rFonts w:ascii="Times New Roman" w:hAnsi="Times New Roman"/>
      <w:szCs w:val="24"/>
    </w:rPr>
  </w:style>
  <w:style w:type="character" w:customStyle="1" w:styleId="86">
    <w:name w:val="正文文本缩进 Char2"/>
    <w:link w:val="18"/>
    <w:qFormat/>
    <w:locked/>
    <w:uiPriority w:val="0"/>
    <w:rPr>
      <w:rFonts w:ascii="Times New Roman" w:hAnsi="Times New Roman"/>
      <w:szCs w:val="24"/>
    </w:rPr>
  </w:style>
  <w:style w:type="character" w:customStyle="1" w:styleId="87">
    <w:name w:val="正文文本缩进 字符"/>
    <w:basedOn w:val="44"/>
    <w:semiHidden/>
    <w:qFormat/>
    <w:uiPriority w:val="99"/>
    <w:rPr>
      <w:rFonts w:ascii="宋体" w:hAnsi="宋体" w:cs="宋体"/>
      <w:sz w:val="24"/>
      <w:szCs w:val="24"/>
    </w:rPr>
  </w:style>
  <w:style w:type="character" w:customStyle="1" w:styleId="88">
    <w:name w:val="正文首行缩进 2 字符"/>
    <w:basedOn w:val="87"/>
    <w:semiHidden/>
    <w:qFormat/>
    <w:uiPriority w:val="99"/>
    <w:rPr>
      <w:rFonts w:ascii="宋体" w:hAnsi="宋体" w:cs="宋体"/>
      <w:sz w:val="24"/>
      <w:szCs w:val="24"/>
    </w:rPr>
  </w:style>
  <w:style w:type="character" w:customStyle="1" w:styleId="89">
    <w:name w:val="正文首行缩进 2 Char"/>
    <w:basedOn w:val="90"/>
    <w:link w:val="41"/>
    <w:qFormat/>
    <w:uiPriority w:val="99"/>
    <w:rPr>
      <w:rFonts w:ascii="Times New Roman" w:hAnsi="Times New Roman"/>
      <w:kern w:val="2"/>
      <w:sz w:val="21"/>
      <w:szCs w:val="24"/>
    </w:rPr>
  </w:style>
  <w:style w:type="character" w:customStyle="1" w:styleId="90">
    <w:name w:val="正文文本缩进 Char"/>
    <w:link w:val="91"/>
    <w:qFormat/>
    <w:uiPriority w:val="0"/>
    <w:rPr>
      <w:kern w:val="2"/>
      <w:sz w:val="21"/>
      <w:szCs w:val="22"/>
    </w:rPr>
  </w:style>
  <w:style w:type="paragraph" w:customStyle="1" w:styleId="91">
    <w:name w:val="正文文本缩进1"/>
    <w:basedOn w:val="1"/>
    <w:link w:val="90"/>
    <w:qFormat/>
    <w:uiPriority w:val="0"/>
    <w:pPr>
      <w:widowControl w:val="0"/>
      <w:autoSpaceDE w:val="0"/>
      <w:autoSpaceDN w:val="0"/>
      <w:adjustRightInd w:val="0"/>
      <w:snapToGrid w:val="0"/>
      <w:spacing w:line="312" w:lineRule="auto"/>
      <w:ind w:firstLine="200" w:firstLineChars="200"/>
      <w:jc w:val="center"/>
    </w:pPr>
    <w:rPr>
      <w:rFonts w:ascii="Calibri" w:hAnsi="Calibri" w:cs="Times New Roman"/>
      <w:kern w:val="2"/>
      <w:sz w:val="21"/>
      <w:szCs w:val="22"/>
    </w:rPr>
  </w:style>
  <w:style w:type="character" w:customStyle="1" w:styleId="92">
    <w:name w:val="正文文本缩进 2 Char"/>
    <w:link w:val="24"/>
    <w:qFormat/>
    <w:uiPriority w:val="0"/>
    <w:rPr>
      <w:rFonts w:ascii="Times New Roman" w:hAnsi="Times New Roman"/>
      <w:kern w:val="2"/>
      <w:sz w:val="21"/>
      <w:szCs w:val="24"/>
    </w:rPr>
  </w:style>
  <w:style w:type="character" w:customStyle="1" w:styleId="93">
    <w:name w:val="正文文本缩进 2 字符"/>
    <w:basedOn w:val="44"/>
    <w:semiHidden/>
    <w:qFormat/>
    <w:uiPriority w:val="99"/>
    <w:rPr>
      <w:rFonts w:ascii="宋体" w:hAnsi="宋体" w:cs="宋体"/>
      <w:sz w:val="24"/>
      <w:szCs w:val="24"/>
    </w:rPr>
  </w:style>
  <w:style w:type="character" w:customStyle="1" w:styleId="94">
    <w:name w:val="lff段落 Char"/>
    <w:link w:val="95"/>
    <w:qFormat/>
    <w:uiPriority w:val="0"/>
    <w:rPr>
      <w:rFonts w:eastAsia="仿宋_GB2312"/>
      <w:kern w:val="2"/>
      <w:sz w:val="24"/>
      <w:lang w:val="zh-CN"/>
    </w:rPr>
  </w:style>
  <w:style w:type="paragraph" w:customStyle="1" w:styleId="95">
    <w:name w:val="lff段落"/>
    <w:basedOn w:val="1"/>
    <w:link w:val="94"/>
    <w:qFormat/>
    <w:uiPriority w:val="0"/>
    <w:pPr>
      <w:widowControl w:val="0"/>
      <w:spacing w:line="360" w:lineRule="auto"/>
      <w:ind w:firstLine="480" w:firstLineChars="200"/>
      <w:jc w:val="both"/>
    </w:pPr>
    <w:rPr>
      <w:rFonts w:ascii="Calibri" w:hAnsi="Calibri" w:eastAsia="仿宋_GB2312" w:cs="Times New Roman"/>
      <w:kern w:val="2"/>
      <w:szCs w:val="20"/>
      <w:lang w:val="zh-CN"/>
    </w:rPr>
  </w:style>
  <w:style w:type="character" w:customStyle="1" w:styleId="96">
    <w:name w:val="文档结构图 Char3"/>
    <w:qFormat/>
    <w:uiPriority w:val="0"/>
    <w:rPr>
      <w:rFonts w:ascii="宋体" w:eastAsia="宋体"/>
      <w:sz w:val="16"/>
      <w:szCs w:val="16"/>
    </w:rPr>
  </w:style>
  <w:style w:type="character" w:customStyle="1" w:styleId="97">
    <w:name w:val="日期 Char2"/>
    <w:link w:val="23"/>
    <w:qFormat/>
    <w:uiPriority w:val="99"/>
    <w:rPr>
      <w:rFonts w:ascii="Times New Roman" w:hAnsi="Times New Roman"/>
      <w:kern w:val="2"/>
      <w:sz w:val="21"/>
      <w:szCs w:val="24"/>
    </w:rPr>
  </w:style>
  <w:style w:type="character" w:customStyle="1" w:styleId="98">
    <w:name w:val="日期 字符"/>
    <w:basedOn w:val="44"/>
    <w:semiHidden/>
    <w:qFormat/>
    <w:uiPriority w:val="99"/>
    <w:rPr>
      <w:rFonts w:ascii="宋体" w:hAnsi="宋体" w:cs="宋体"/>
      <w:sz w:val="24"/>
      <w:szCs w:val="24"/>
    </w:rPr>
  </w:style>
  <w:style w:type="character" w:customStyle="1" w:styleId="99">
    <w:name w:val="正文文本 Char"/>
    <w:link w:val="17"/>
    <w:qFormat/>
    <w:uiPriority w:val="0"/>
    <w:rPr>
      <w:rFonts w:ascii="宋体" w:hAnsi="Times New Roman"/>
      <w:kern w:val="2"/>
      <w:sz w:val="28"/>
    </w:rPr>
  </w:style>
  <w:style w:type="character" w:customStyle="1" w:styleId="100">
    <w:name w:val="正文文本 字符"/>
    <w:basedOn w:val="44"/>
    <w:qFormat/>
    <w:uiPriority w:val="0"/>
    <w:rPr>
      <w:rFonts w:ascii="宋体" w:hAnsi="宋体" w:cs="宋体"/>
      <w:sz w:val="24"/>
      <w:szCs w:val="24"/>
    </w:rPr>
  </w:style>
  <w:style w:type="character" w:customStyle="1" w:styleId="101">
    <w:name w:val="页脚 Char"/>
    <w:qFormat/>
    <w:uiPriority w:val="99"/>
    <w:rPr>
      <w:sz w:val="18"/>
      <w:szCs w:val="18"/>
    </w:rPr>
  </w:style>
  <w:style w:type="character" w:customStyle="1" w:styleId="102">
    <w:name w:val="lff Char"/>
    <w:basedOn w:val="44"/>
    <w:link w:val="103"/>
    <w:qFormat/>
    <w:locked/>
    <w:uiPriority w:val="0"/>
  </w:style>
  <w:style w:type="paragraph" w:customStyle="1" w:styleId="103">
    <w:name w:val="lff"/>
    <w:basedOn w:val="1"/>
    <w:next w:val="39"/>
    <w:link w:val="102"/>
    <w:qFormat/>
    <w:uiPriority w:val="0"/>
    <w:pPr>
      <w:widowControl w:val="0"/>
      <w:jc w:val="both"/>
    </w:pPr>
    <w:rPr>
      <w:rFonts w:ascii="Calibri" w:hAnsi="Calibri" w:cs="Times New Roman"/>
      <w:sz w:val="20"/>
      <w:szCs w:val="20"/>
    </w:rPr>
  </w:style>
  <w:style w:type="character" w:customStyle="1" w:styleId="104">
    <w:name w:val="font31"/>
    <w:qFormat/>
    <w:uiPriority w:val="0"/>
    <w:rPr>
      <w:rFonts w:hint="default" w:ascii="Times New Roman" w:hAnsi="Times New Roman" w:cs="Times New Roman"/>
      <w:color w:val="000000"/>
      <w:sz w:val="22"/>
      <w:szCs w:val="22"/>
      <w:u w:val="none"/>
    </w:rPr>
  </w:style>
  <w:style w:type="character" w:customStyle="1" w:styleId="105">
    <w:name w:val="Char Char12"/>
    <w:qFormat/>
    <w:uiPriority w:val="0"/>
    <w:rPr>
      <w:rFonts w:ascii="Times New Roman" w:hAnsi="Times New Roman" w:eastAsia="宋体" w:cs="Times New Roman"/>
      <w:b/>
      <w:bCs/>
      <w:kern w:val="44"/>
      <w:sz w:val="44"/>
      <w:szCs w:val="44"/>
    </w:rPr>
  </w:style>
  <w:style w:type="character" w:customStyle="1" w:styleId="106">
    <w:name w:val="正文首行缩进 Char"/>
    <w:basedOn w:val="99"/>
    <w:semiHidden/>
    <w:qFormat/>
    <w:uiPriority w:val="0"/>
    <w:rPr>
      <w:rFonts w:ascii="宋体" w:hAnsi="Times New Roman"/>
      <w:kern w:val="2"/>
      <w:sz w:val="28"/>
    </w:rPr>
  </w:style>
  <w:style w:type="character" w:customStyle="1" w:styleId="107">
    <w:name w:val="正文首行缩进 字符"/>
    <w:basedOn w:val="100"/>
    <w:semiHidden/>
    <w:qFormat/>
    <w:uiPriority w:val="99"/>
    <w:rPr>
      <w:rFonts w:ascii="宋体" w:hAnsi="宋体" w:cs="宋体"/>
      <w:sz w:val="24"/>
      <w:szCs w:val="24"/>
    </w:rPr>
  </w:style>
  <w:style w:type="character" w:customStyle="1" w:styleId="108">
    <w:name w:val="正文首行缩进 Char1"/>
    <w:basedOn w:val="99"/>
    <w:link w:val="40"/>
    <w:qFormat/>
    <w:locked/>
    <w:uiPriority w:val="0"/>
    <w:rPr>
      <w:rFonts w:ascii="宋体" w:hAnsi="Times New Roman"/>
      <w:kern w:val="2"/>
      <w:sz w:val="28"/>
    </w:rPr>
  </w:style>
  <w:style w:type="character" w:customStyle="1" w:styleId="109">
    <w:name w:val="样式5 Char"/>
    <w:link w:val="110"/>
    <w:qFormat/>
    <w:locked/>
    <w:uiPriority w:val="0"/>
    <w:rPr>
      <w:rFonts w:ascii="Times New Roman" w:hAnsi="Times New Roman" w:eastAsia="仿宋_GB2312"/>
      <w:kern w:val="2"/>
      <w:sz w:val="24"/>
      <w:szCs w:val="24"/>
    </w:rPr>
  </w:style>
  <w:style w:type="paragraph" w:customStyle="1" w:styleId="110">
    <w:name w:val="样式5"/>
    <w:basedOn w:val="1"/>
    <w:link w:val="109"/>
    <w:qFormat/>
    <w:uiPriority w:val="0"/>
    <w:pPr>
      <w:widowControl w:val="0"/>
      <w:spacing w:line="360" w:lineRule="auto"/>
      <w:ind w:firstLine="480" w:firstLineChars="200"/>
      <w:jc w:val="both"/>
    </w:pPr>
    <w:rPr>
      <w:rFonts w:ascii="Times New Roman" w:hAnsi="Times New Roman" w:eastAsia="仿宋_GB2312" w:cs="Times New Roman"/>
      <w:kern w:val="2"/>
    </w:rPr>
  </w:style>
  <w:style w:type="character" w:customStyle="1" w:styleId="111">
    <w:name w:val="正文文本缩进 3 Char"/>
    <w:link w:val="33"/>
    <w:qFormat/>
    <w:uiPriority w:val="0"/>
    <w:rPr>
      <w:rFonts w:ascii="Times New Roman" w:hAnsi="Times New Roman"/>
      <w:kern w:val="2"/>
      <w:sz w:val="16"/>
      <w:szCs w:val="16"/>
    </w:rPr>
  </w:style>
  <w:style w:type="character" w:customStyle="1" w:styleId="112">
    <w:name w:val="正文文本缩进 3 字符"/>
    <w:basedOn w:val="44"/>
    <w:semiHidden/>
    <w:qFormat/>
    <w:uiPriority w:val="99"/>
    <w:rPr>
      <w:rFonts w:ascii="宋体" w:hAnsi="宋体" w:cs="宋体"/>
      <w:sz w:val="16"/>
      <w:szCs w:val="16"/>
    </w:rPr>
  </w:style>
  <w:style w:type="character" w:customStyle="1" w:styleId="113">
    <w:name w:val="样式1 Char"/>
    <w:link w:val="114"/>
    <w:qFormat/>
    <w:locked/>
    <w:uiPriority w:val="0"/>
    <w:rPr>
      <w:rFonts w:ascii="Times New Roman" w:hAnsi="Times New Roman"/>
      <w:kern w:val="2"/>
      <w:sz w:val="21"/>
    </w:rPr>
  </w:style>
  <w:style w:type="paragraph" w:customStyle="1" w:styleId="114">
    <w:name w:val="样式1"/>
    <w:basedOn w:val="1"/>
    <w:next w:val="1"/>
    <w:link w:val="113"/>
    <w:qFormat/>
    <w:uiPriority w:val="0"/>
    <w:pPr>
      <w:widowControl w:val="0"/>
      <w:adjustRightInd w:val="0"/>
      <w:snapToGrid w:val="0"/>
      <w:spacing w:before="40"/>
      <w:jc w:val="center"/>
    </w:pPr>
    <w:rPr>
      <w:rFonts w:ascii="Times New Roman" w:hAnsi="Times New Roman" w:cs="Times New Roman"/>
      <w:kern w:val="2"/>
      <w:sz w:val="21"/>
      <w:szCs w:val="20"/>
    </w:rPr>
  </w:style>
  <w:style w:type="character" w:customStyle="1" w:styleId="115">
    <w:name w:val="纯文本 Char"/>
    <w:semiHidden/>
    <w:qFormat/>
    <w:uiPriority w:val="0"/>
    <w:rPr>
      <w:rFonts w:ascii="宋体" w:hAnsi="Courier New" w:cs="Courier New"/>
      <w:kern w:val="2"/>
      <w:sz w:val="21"/>
      <w:szCs w:val="21"/>
    </w:rPr>
  </w:style>
  <w:style w:type="character" w:customStyle="1" w:styleId="116">
    <w:name w:val="font01"/>
    <w:qFormat/>
    <w:uiPriority w:val="0"/>
    <w:rPr>
      <w:rFonts w:hint="eastAsia" w:ascii="宋体" w:hAnsi="宋体" w:eastAsia="宋体" w:cs="宋体"/>
      <w:color w:val="000000"/>
      <w:sz w:val="22"/>
      <w:szCs w:val="22"/>
      <w:u w:val="none"/>
    </w:rPr>
  </w:style>
  <w:style w:type="character" w:customStyle="1" w:styleId="117">
    <w:name w:val="正文文本 2 Char1"/>
    <w:link w:val="36"/>
    <w:qFormat/>
    <w:uiPriority w:val="0"/>
    <w:rPr>
      <w:rFonts w:ascii="Times New Roman" w:hAnsi="Times New Roman"/>
      <w:color w:val="0000FF"/>
      <w:kern w:val="2"/>
      <w:sz w:val="18"/>
    </w:rPr>
  </w:style>
  <w:style w:type="character" w:customStyle="1" w:styleId="118">
    <w:name w:val="正文文本 2 字符"/>
    <w:basedOn w:val="44"/>
    <w:semiHidden/>
    <w:qFormat/>
    <w:uiPriority w:val="99"/>
    <w:rPr>
      <w:rFonts w:ascii="宋体" w:hAnsi="宋体" w:cs="宋体"/>
      <w:sz w:val="24"/>
      <w:szCs w:val="24"/>
    </w:rPr>
  </w:style>
  <w:style w:type="character" w:customStyle="1" w:styleId="119">
    <w:name w:val="纯文本 Char1"/>
    <w:link w:val="21"/>
    <w:qFormat/>
    <w:locked/>
    <w:uiPriority w:val="0"/>
    <w:rPr>
      <w:rFonts w:ascii="宋体" w:hAnsi="Courier New" w:cs="Courier New"/>
      <w:szCs w:val="21"/>
    </w:rPr>
  </w:style>
  <w:style w:type="character" w:customStyle="1" w:styleId="120">
    <w:name w:val="纯文本 字符"/>
    <w:basedOn w:val="44"/>
    <w:semiHidden/>
    <w:qFormat/>
    <w:uiPriority w:val="99"/>
    <w:rPr>
      <w:rFonts w:hAnsi="Courier New" w:cs="Courier New" w:asciiTheme="minorEastAsia" w:eastAsiaTheme="minorEastAsia"/>
      <w:sz w:val="24"/>
      <w:szCs w:val="24"/>
    </w:rPr>
  </w:style>
  <w:style w:type="character" w:customStyle="1" w:styleId="121">
    <w:name w:val="font21"/>
    <w:qFormat/>
    <w:uiPriority w:val="0"/>
    <w:rPr>
      <w:rFonts w:hint="eastAsia" w:ascii="宋体" w:hAnsi="宋体" w:eastAsia="宋体" w:cs="宋体"/>
      <w:color w:val="000000"/>
      <w:sz w:val="22"/>
      <w:szCs w:val="22"/>
      <w:u w:val="none"/>
      <w:vertAlign w:val="superscript"/>
    </w:rPr>
  </w:style>
  <w:style w:type="character" w:customStyle="1" w:styleId="122">
    <w:name w:val="正文文本 3 Char"/>
    <w:link w:val="16"/>
    <w:qFormat/>
    <w:uiPriority w:val="0"/>
    <w:rPr>
      <w:rFonts w:ascii="Times New Roman" w:hAnsi="Times New Roman"/>
      <w:kern w:val="2"/>
      <w:sz w:val="24"/>
    </w:rPr>
  </w:style>
  <w:style w:type="character" w:customStyle="1" w:styleId="123">
    <w:name w:val="正文文本 3 字符"/>
    <w:basedOn w:val="44"/>
    <w:semiHidden/>
    <w:qFormat/>
    <w:uiPriority w:val="99"/>
    <w:rPr>
      <w:rFonts w:ascii="宋体" w:hAnsi="宋体" w:cs="宋体"/>
      <w:sz w:val="16"/>
      <w:szCs w:val="16"/>
    </w:rPr>
  </w:style>
  <w:style w:type="character" w:customStyle="1" w:styleId="124">
    <w:name w:val="批注框文本 Char"/>
    <w:qFormat/>
    <w:uiPriority w:val="0"/>
    <w:rPr>
      <w:kern w:val="2"/>
      <w:sz w:val="18"/>
      <w:szCs w:val="18"/>
    </w:rPr>
  </w:style>
  <w:style w:type="character" w:customStyle="1" w:styleId="125">
    <w:name w:val="font11"/>
    <w:qFormat/>
    <w:uiPriority w:val="0"/>
    <w:rPr>
      <w:rFonts w:hint="eastAsia" w:ascii="宋体" w:hAnsi="宋体" w:eastAsia="宋体" w:cs="宋体"/>
      <w:color w:val="000000"/>
      <w:sz w:val="22"/>
      <w:szCs w:val="22"/>
      <w:u w:val="none"/>
    </w:rPr>
  </w:style>
  <w:style w:type="character" w:customStyle="1" w:styleId="126">
    <w:name w:val="题注 Char"/>
    <w:link w:val="13"/>
    <w:qFormat/>
    <w:uiPriority w:val="0"/>
    <w:rPr>
      <w:rFonts w:ascii="Cambria" w:hAnsi="Cambria" w:eastAsia="黑体"/>
      <w:kern w:val="2"/>
    </w:rPr>
  </w:style>
  <w:style w:type="paragraph" w:customStyle="1" w:styleId="127">
    <w:name w:val="列出段落1"/>
    <w:basedOn w:val="1"/>
    <w:qFormat/>
    <w:uiPriority w:val="0"/>
    <w:pPr>
      <w:widowControl w:val="0"/>
      <w:ind w:firstLine="420" w:firstLineChars="200"/>
      <w:jc w:val="both"/>
    </w:pPr>
    <w:rPr>
      <w:rFonts w:hint="eastAsia" w:ascii="Times New Roman" w:hAnsi="Times New Roman" w:eastAsia="仿宋_GB2312" w:cs="Times New Roman"/>
      <w:kern w:val="2"/>
      <w:sz w:val="32"/>
      <w:szCs w:val="20"/>
    </w:rPr>
  </w:style>
  <w:style w:type="paragraph" w:customStyle="1" w:styleId="1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9">
    <w:name w:val="水平衡"/>
    <w:basedOn w:val="21"/>
    <w:qFormat/>
    <w:uiPriority w:val="0"/>
    <w:pPr>
      <w:autoSpaceDE w:val="0"/>
      <w:autoSpaceDN w:val="0"/>
      <w:adjustRightInd w:val="0"/>
      <w:snapToGrid w:val="0"/>
    </w:pPr>
    <w:rPr>
      <w:rFonts w:ascii="Arial" w:hAnsi="Arial" w:cs="Arial"/>
      <w:spacing w:val="-10"/>
      <w:szCs w:val="20"/>
    </w:rPr>
  </w:style>
  <w:style w:type="paragraph" w:customStyle="1" w:styleId="130">
    <w:name w:val="编号正文缩进"/>
    <w:basedOn w:val="1"/>
    <w:qFormat/>
    <w:uiPriority w:val="0"/>
    <w:pPr>
      <w:widowControl w:val="0"/>
      <w:tabs>
        <w:tab w:val="left" w:pos="198"/>
      </w:tabs>
      <w:ind w:firstLine="454"/>
      <w:jc w:val="both"/>
    </w:pPr>
    <w:rPr>
      <w:rFonts w:ascii="Times New Roman" w:hAnsi="Times New Roman" w:cs="Times New Roman"/>
      <w:kern w:val="2"/>
      <w:sz w:val="21"/>
      <w:szCs w:val="20"/>
    </w:rPr>
  </w:style>
  <w:style w:type="paragraph" w:customStyle="1" w:styleId="131">
    <w:name w:val="简单回函地址"/>
    <w:basedOn w:val="1"/>
    <w:qFormat/>
    <w:uiPriority w:val="0"/>
    <w:pPr>
      <w:widowControl w:val="0"/>
      <w:jc w:val="both"/>
    </w:pPr>
    <w:rPr>
      <w:rFonts w:ascii="Times New Roman" w:hAnsi="Times New Roman" w:cs="Times New Roman"/>
      <w:kern w:val="2"/>
      <w:sz w:val="21"/>
      <w:szCs w:val="22"/>
    </w:rPr>
  </w:style>
  <w:style w:type="paragraph" w:customStyle="1" w:styleId="132">
    <w:name w:val="样式 小四 左 行距: 1.5 倍行距"/>
    <w:basedOn w:val="1"/>
    <w:qFormat/>
    <w:uiPriority w:val="0"/>
    <w:pPr>
      <w:widowControl w:val="0"/>
      <w:snapToGrid w:val="0"/>
      <w:spacing w:line="360" w:lineRule="auto"/>
      <w:ind w:firstLine="420" w:firstLineChars="200"/>
    </w:pPr>
    <w:rPr>
      <w:rFonts w:ascii="Times New Roman" w:hAnsi="Times New Roman"/>
      <w:kern w:val="2"/>
      <w:sz w:val="21"/>
      <w:szCs w:val="20"/>
    </w:rPr>
  </w:style>
  <w:style w:type="paragraph" w:customStyle="1" w:styleId="133">
    <w:name w:val="p0"/>
    <w:basedOn w:val="1"/>
    <w:qFormat/>
    <w:uiPriority w:val="0"/>
    <w:pPr>
      <w:jc w:val="both"/>
    </w:pPr>
    <w:rPr>
      <w:rFonts w:hint="eastAsia" w:ascii="Times New Roman" w:hAnsi="Times New Roman" w:cs="Times New Roman"/>
      <w:kern w:val="2"/>
      <w:sz w:val="21"/>
    </w:rPr>
  </w:style>
  <w:style w:type="paragraph" w:customStyle="1" w:styleId="134">
    <w:name w:val="Char Char Char Char Char Char Char"/>
    <w:basedOn w:val="1"/>
    <w:qFormat/>
    <w:uiPriority w:val="0"/>
    <w:pPr>
      <w:widowControl w:val="0"/>
      <w:jc w:val="both"/>
    </w:pPr>
    <w:rPr>
      <w:rFonts w:ascii="Times New Roman" w:hAnsi="Times New Roman" w:cs="Times New Roman"/>
      <w:kern w:val="2"/>
      <w:sz w:val="21"/>
    </w:rPr>
  </w:style>
  <w:style w:type="paragraph" w:customStyle="1" w:styleId="135">
    <w:name w:val="样式2"/>
    <w:basedOn w:val="1"/>
    <w:qFormat/>
    <w:uiPriority w:val="0"/>
    <w:pPr>
      <w:widowControl w:val="0"/>
      <w:autoSpaceDE w:val="0"/>
      <w:autoSpaceDN w:val="0"/>
      <w:adjustRightInd w:val="0"/>
      <w:spacing w:afterLines="50"/>
      <w:jc w:val="center"/>
    </w:pPr>
    <w:rPr>
      <w:rFonts w:hAnsi="Times New Roman" w:cs="Times New Roman"/>
      <w:szCs w:val="22"/>
    </w:rPr>
  </w:style>
  <w:style w:type="paragraph" w:customStyle="1" w:styleId="136">
    <w:name w:val="Char Char Char Char Char Char1 Char"/>
    <w:basedOn w:val="1"/>
    <w:qFormat/>
    <w:uiPriority w:val="0"/>
    <w:pPr>
      <w:widowControl w:val="0"/>
      <w:adjustRightInd w:val="0"/>
      <w:jc w:val="both"/>
      <w:textAlignment w:val="baseline"/>
    </w:pPr>
    <w:rPr>
      <w:rFonts w:ascii="Times New Roman" w:hAnsi="Times New Roman" w:cs="Times New Roman"/>
      <w:kern w:val="2"/>
      <w:sz w:val="21"/>
      <w:szCs w:val="20"/>
    </w:rPr>
  </w:style>
  <w:style w:type="paragraph" w:customStyle="1" w:styleId="137">
    <w:name w:val="样式 (西文) Times New Roman (中文) 仿宋_GB2312 小四 行距: 1.5 倍行距 首行缩进: ..."/>
    <w:basedOn w:val="1"/>
    <w:qFormat/>
    <w:uiPriority w:val="0"/>
    <w:pPr>
      <w:widowControl w:val="0"/>
      <w:spacing w:line="360" w:lineRule="auto"/>
      <w:ind w:firstLine="480" w:firstLineChars="200"/>
      <w:jc w:val="both"/>
    </w:pPr>
    <w:rPr>
      <w:rFonts w:ascii="Times New Roman" w:hAnsi="Times New Roman"/>
      <w:kern w:val="2"/>
      <w:szCs w:val="20"/>
    </w:rPr>
  </w:style>
  <w:style w:type="paragraph" w:customStyle="1" w:styleId="138">
    <w:name w:val="图表标题"/>
    <w:next w:val="1"/>
    <w:link w:val="139"/>
    <w:qFormat/>
    <w:uiPriority w:val="0"/>
    <w:pPr>
      <w:spacing w:beforeLines="50"/>
      <w:jc w:val="center"/>
    </w:pPr>
    <w:rPr>
      <w:rFonts w:ascii="黑体" w:hAnsi="Times New Roman" w:eastAsia="黑体" w:cs="Times New Roman"/>
      <w:sz w:val="21"/>
      <w:szCs w:val="22"/>
      <w:lang w:val="en-US" w:eastAsia="zh-CN" w:bidi="ar-SA"/>
    </w:rPr>
  </w:style>
  <w:style w:type="character" w:customStyle="1" w:styleId="139">
    <w:name w:val="图表标题 Char"/>
    <w:link w:val="138"/>
    <w:qFormat/>
    <w:uiPriority w:val="0"/>
    <w:rPr>
      <w:rFonts w:ascii="黑体" w:hAnsi="Times New Roman" w:eastAsia="黑体"/>
      <w:sz w:val="21"/>
      <w:szCs w:val="22"/>
    </w:rPr>
  </w:style>
  <w:style w:type="paragraph" w:customStyle="1" w:styleId="140">
    <w:name w:val="默认段落字体 Para Char"/>
    <w:basedOn w:val="1"/>
    <w:next w:val="1"/>
    <w:qFormat/>
    <w:uiPriority w:val="0"/>
    <w:pPr>
      <w:widowControl w:val="0"/>
      <w:spacing w:line="480" w:lineRule="exact"/>
      <w:ind w:firstLine="200" w:firstLineChars="200"/>
    </w:pPr>
    <w:rPr>
      <w:rFonts w:eastAsia="汉鼎简书宋"/>
      <w:kern w:val="2"/>
      <w:sz w:val="28"/>
    </w:rPr>
  </w:style>
  <w:style w:type="paragraph" w:customStyle="1" w:styleId="141">
    <w:name w:val="xl26"/>
    <w:basedOn w:val="1"/>
    <w:qFormat/>
    <w:uiPriority w:val="0"/>
    <w:pPr>
      <w:pBdr>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sz w:val="21"/>
      <w:szCs w:val="22"/>
    </w:rPr>
  </w:style>
  <w:style w:type="paragraph" w:customStyle="1" w:styleId="142">
    <w:name w:val="样式 标题 3 + 段前: 0.5 行"/>
    <w:qFormat/>
    <w:uiPriority w:val="0"/>
    <w:pPr>
      <w:widowControl w:val="0"/>
      <w:adjustRightInd w:val="0"/>
      <w:snapToGrid w:val="0"/>
      <w:spacing w:beforeLines="50" w:line="273" w:lineRule="auto"/>
      <w:ind w:firstLine="200" w:firstLineChars="200"/>
      <w:jc w:val="both"/>
      <w:outlineLvl w:val="2"/>
    </w:pPr>
    <w:rPr>
      <w:rFonts w:ascii="楷体_GB2312" w:hAnsi="Times New Roman" w:eastAsia="仿宋_GB2312" w:cs="Times New Roman"/>
      <w:b/>
      <w:kern w:val="2"/>
      <w:sz w:val="28"/>
      <w:szCs w:val="28"/>
      <w:lang w:val="en-US" w:eastAsia="zh-CN" w:bidi="ar-SA"/>
    </w:rPr>
  </w:style>
  <w:style w:type="paragraph" w:customStyle="1" w:styleId="143">
    <w:name w:val="样式 标题 2 + (西文) Times New Roman (中文) 宋体 五号 非加粗 段前: 5 磅 段后: 5..."/>
    <w:basedOn w:val="3"/>
    <w:qFormat/>
    <w:uiPriority w:val="0"/>
    <w:pPr>
      <w:widowControl w:val="0"/>
      <w:spacing w:before="100" w:after="100" w:line="240" w:lineRule="auto"/>
      <w:jc w:val="both"/>
    </w:pPr>
    <w:rPr>
      <w:rFonts w:ascii="Times New Roman" w:hAnsi="Times New Roman" w:eastAsia="黑体" w:cs="宋体"/>
      <w:b w:val="0"/>
      <w:bCs w:val="0"/>
      <w:kern w:val="2"/>
      <w:sz w:val="21"/>
      <w:szCs w:val="21"/>
    </w:rPr>
  </w:style>
  <w:style w:type="paragraph" w:customStyle="1" w:styleId="144">
    <w:name w:val="表内容"/>
    <w:basedOn w:val="1"/>
    <w:link w:val="145"/>
    <w:uiPriority w:val="0"/>
    <w:pPr>
      <w:widowControl w:val="0"/>
      <w:adjustRightInd w:val="0"/>
      <w:snapToGrid w:val="0"/>
      <w:jc w:val="center"/>
    </w:pPr>
    <w:rPr>
      <w:rFonts w:ascii="Times New Roman" w:hAnsi="Times New Roman" w:cs="Times New Roman"/>
      <w:snapToGrid w:val="0"/>
      <w:sz w:val="21"/>
      <w:szCs w:val="21"/>
    </w:rPr>
  </w:style>
  <w:style w:type="character" w:customStyle="1" w:styleId="145">
    <w:name w:val="表内容 Char"/>
    <w:link w:val="144"/>
    <w:uiPriority w:val="0"/>
    <w:rPr>
      <w:rFonts w:ascii="Times New Roman" w:hAnsi="Times New Roman"/>
      <w:snapToGrid w:val="0"/>
      <w:sz w:val="21"/>
      <w:szCs w:val="21"/>
    </w:rPr>
  </w:style>
  <w:style w:type="character" w:customStyle="1" w:styleId="146">
    <w:name w:val="表标题 Char"/>
    <w:link w:val="147"/>
    <w:uiPriority w:val="0"/>
    <w:rPr>
      <w:bCs/>
      <w:sz w:val="21"/>
      <w:szCs w:val="18"/>
    </w:rPr>
  </w:style>
  <w:style w:type="paragraph" w:customStyle="1" w:styleId="147">
    <w:name w:val="表标题"/>
    <w:basedOn w:val="1"/>
    <w:link w:val="146"/>
    <w:uiPriority w:val="0"/>
    <w:pPr>
      <w:widowControl w:val="0"/>
      <w:adjustRightInd w:val="0"/>
      <w:snapToGrid w:val="0"/>
      <w:spacing w:before="360" w:after="360" w:line="360" w:lineRule="auto"/>
      <w:jc w:val="center"/>
    </w:pPr>
    <w:rPr>
      <w:rFonts w:ascii="Calibri" w:hAnsi="Calibri" w:cs="Times New Roman"/>
      <w:bCs/>
      <w:sz w:val="21"/>
      <w:szCs w:val="18"/>
    </w:rPr>
  </w:style>
  <w:style w:type="character" w:customStyle="1" w:styleId="148">
    <w:name w:val="表头 Char"/>
    <w:link w:val="149"/>
    <w:qFormat/>
    <w:uiPriority w:val="0"/>
    <w:rPr>
      <w:b/>
    </w:rPr>
  </w:style>
  <w:style w:type="paragraph" w:customStyle="1" w:styleId="149">
    <w:name w:val="表头"/>
    <w:basedOn w:val="1"/>
    <w:link w:val="148"/>
    <w:qFormat/>
    <w:uiPriority w:val="0"/>
    <w:pPr>
      <w:keepNext/>
      <w:widowControl w:val="0"/>
      <w:topLinePunct/>
      <w:spacing w:before="280" w:after="40"/>
      <w:ind w:firstLine="200" w:firstLineChars="200"/>
      <w:jc w:val="center"/>
      <w:textAlignment w:val="baseline"/>
      <w:outlineLvl w:val="0"/>
    </w:pPr>
    <w:rPr>
      <w:rFonts w:ascii="Calibri" w:hAnsi="Calibri" w:cs="Times New Roman"/>
      <w:b/>
      <w:sz w:val="20"/>
      <w:szCs w:val="20"/>
    </w:rPr>
  </w:style>
  <w:style w:type="paragraph" w:customStyle="1" w:styleId="150">
    <w:name w:val="Char Char Char Char Char Char Char Char Char Char Char Char Char"/>
    <w:basedOn w:val="1"/>
    <w:qFormat/>
    <w:uiPriority w:val="0"/>
    <w:pPr>
      <w:widowControl w:val="0"/>
      <w:jc w:val="both"/>
    </w:pPr>
    <w:rPr>
      <w:rFonts w:ascii="Times New Roman" w:hAnsi="Times New Roman" w:cs="Times New Roman"/>
      <w:snapToGrid w:val="0"/>
      <w:szCs w:val="18"/>
    </w:rPr>
  </w:style>
  <w:style w:type="paragraph" w:customStyle="1" w:styleId="151">
    <w:name w:val="文档结构图1"/>
    <w:basedOn w:val="1"/>
    <w:link w:val="336"/>
    <w:qFormat/>
    <w:uiPriority w:val="0"/>
    <w:pPr>
      <w:widowControl w:val="0"/>
      <w:spacing w:line="360" w:lineRule="auto"/>
      <w:ind w:firstLine="200" w:firstLineChars="200"/>
      <w:jc w:val="both"/>
    </w:pPr>
    <w:rPr>
      <w:rFonts w:hAnsi="Calibri" w:cs="Times New Roman"/>
      <w:kern w:val="2"/>
      <w:sz w:val="18"/>
      <w:szCs w:val="18"/>
    </w:rPr>
  </w:style>
  <w:style w:type="paragraph" w:customStyle="1" w:styleId="152">
    <w:name w:val="Table"/>
    <w:basedOn w:val="1"/>
    <w:link w:val="153"/>
    <w:qFormat/>
    <w:uiPriority w:val="0"/>
    <w:pPr>
      <w:widowControl w:val="0"/>
      <w:adjustRightInd w:val="0"/>
      <w:snapToGrid w:val="0"/>
      <w:spacing w:afterLines="80"/>
      <w:jc w:val="center"/>
    </w:pPr>
    <w:rPr>
      <w:rFonts w:ascii="Times New Roman" w:hAnsi="Times New Roman" w:eastAsia="黑体" w:cs="Times New Roman"/>
      <w:b/>
      <w:color w:val="000000"/>
      <w:szCs w:val="22"/>
    </w:rPr>
  </w:style>
  <w:style w:type="character" w:customStyle="1" w:styleId="153">
    <w:name w:val="Table Char"/>
    <w:link w:val="152"/>
    <w:qFormat/>
    <w:uiPriority w:val="0"/>
    <w:rPr>
      <w:rFonts w:ascii="Times New Roman" w:hAnsi="Times New Roman" w:eastAsia="黑体"/>
      <w:b/>
      <w:color w:val="000000"/>
      <w:sz w:val="24"/>
      <w:szCs w:val="22"/>
    </w:rPr>
  </w:style>
  <w:style w:type="paragraph" w:customStyle="1" w:styleId="154">
    <w:name w:val="正文格式"/>
    <w:qFormat/>
    <w:uiPriority w:val="0"/>
    <w:pPr>
      <w:spacing w:line="360" w:lineRule="auto"/>
      <w:ind w:firstLine="544" w:firstLineChars="200"/>
    </w:pPr>
    <w:rPr>
      <w:rFonts w:ascii="Times New Roman" w:hAnsi="Times New Roman" w:eastAsia="宋体" w:cs="Times New Roman"/>
      <w:kern w:val="2"/>
      <w:sz w:val="24"/>
      <w:lang w:val="en-US" w:eastAsia="zh-CN" w:bidi="ar-SA"/>
    </w:rPr>
  </w:style>
  <w:style w:type="character" w:customStyle="1" w:styleId="155">
    <w:name w:val="页眉 Char1"/>
    <w:qFormat/>
    <w:uiPriority w:val="0"/>
    <w:rPr>
      <w:sz w:val="18"/>
      <w:szCs w:val="18"/>
    </w:rPr>
  </w:style>
  <w:style w:type="character" w:customStyle="1" w:styleId="156">
    <w:name w:val="标题 1 Char1"/>
    <w:qFormat/>
    <w:uiPriority w:val="0"/>
    <w:rPr>
      <w:rFonts w:ascii="Times New Roman" w:hAnsi="Times New Roman" w:eastAsia="黑体" w:cs="Times New Roman"/>
      <w:bCs/>
      <w:kern w:val="44"/>
      <w:szCs w:val="21"/>
    </w:rPr>
  </w:style>
  <w:style w:type="character" w:customStyle="1" w:styleId="157">
    <w:name w:val="公式 Char"/>
    <w:link w:val="158"/>
    <w:qFormat/>
    <w:uiPriority w:val="0"/>
    <w:rPr>
      <w:rFonts w:eastAsia="黑体"/>
      <w:color w:val="000000"/>
      <w:kern w:val="22"/>
      <w:szCs w:val="21"/>
    </w:rPr>
  </w:style>
  <w:style w:type="paragraph" w:customStyle="1" w:styleId="158">
    <w:name w:val="公式"/>
    <w:basedOn w:val="1"/>
    <w:link w:val="157"/>
    <w:qFormat/>
    <w:uiPriority w:val="0"/>
    <w:pPr>
      <w:widowControl w:val="0"/>
      <w:tabs>
        <w:tab w:val="center" w:pos="3360"/>
        <w:tab w:val="right" w:pos="7140"/>
      </w:tabs>
      <w:topLinePunct/>
      <w:adjustRightInd w:val="0"/>
      <w:spacing w:line="360" w:lineRule="auto"/>
      <w:ind w:firstLine="200" w:firstLineChars="200"/>
      <w:jc w:val="both"/>
    </w:pPr>
    <w:rPr>
      <w:rFonts w:ascii="Calibri" w:hAnsi="Calibri" w:eastAsia="黑体" w:cs="Times New Roman"/>
      <w:color w:val="000000"/>
      <w:kern w:val="22"/>
      <w:sz w:val="20"/>
      <w:szCs w:val="21"/>
    </w:rPr>
  </w:style>
  <w:style w:type="character" w:customStyle="1" w:styleId="159">
    <w:name w:val="文档结构图 Char1"/>
    <w:qFormat/>
    <w:uiPriority w:val="0"/>
    <w:rPr>
      <w:rFonts w:ascii="宋体" w:hAnsi="Calibri"/>
      <w:sz w:val="18"/>
      <w:szCs w:val="18"/>
    </w:rPr>
  </w:style>
  <w:style w:type="character" w:customStyle="1" w:styleId="160">
    <w:name w:val="文档结构图 字符1"/>
    <w:qFormat/>
    <w:uiPriority w:val="0"/>
    <w:rPr>
      <w:rFonts w:ascii="Microsoft YaHei UI" w:hAnsi="Calibri" w:eastAsia="Microsoft YaHei UI" w:cs="Times New Roman"/>
      <w:sz w:val="18"/>
      <w:szCs w:val="18"/>
    </w:rPr>
  </w:style>
  <w:style w:type="character" w:customStyle="1" w:styleId="161">
    <w:name w:val="页码1"/>
    <w:qFormat/>
    <w:uiPriority w:val="0"/>
  </w:style>
  <w:style w:type="character" w:customStyle="1" w:styleId="162">
    <w:name w:val="样式 正文文本 + Char"/>
    <w:qFormat/>
    <w:uiPriority w:val="0"/>
    <w:rPr>
      <w:rFonts w:eastAsia="宋体"/>
      <w:sz w:val="21"/>
      <w:szCs w:val="19"/>
      <w:lang w:val="en-US" w:eastAsia="zh-CN"/>
    </w:rPr>
  </w:style>
  <w:style w:type="character" w:customStyle="1" w:styleId="163">
    <w:name w:val="表格文字 Char"/>
    <w:link w:val="164"/>
    <w:qFormat/>
    <w:uiPriority w:val="0"/>
    <w:rPr>
      <w:rFonts w:eastAsia="仿宋_GB2312"/>
      <w:sz w:val="24"/>
      <w:szCs w:val="24"/>
    </w:rPr>
  </w:style>
  <w:style w:type="paragraph" w:customStyle="1" w:styleId="164">
    <w:name w:val="表格文字"/>
    <w:basedOn w:val="1"/>
    <w:link w:val="163"/>
    <w:qFormat/>
    <w:uiPriority w:val="0"/>
    <w:pPr>
      <w:widowControl w:val="0"/>
      <w:spacing w:line="480" w:lineRule="exact"/>
      <w:ind w:firstLine="200" w:firstLineChars="200"/>
      <w:jc w:val="center"/>
    </w:pPr>
    <w:rPr>
      <w:rFonts w:ascii="Calibri" w:hAnsi="Calibri" w:eastAsia="仿宋_GB2312" w:cs="Times New Roman"/>
    </w:rPr>
  </w:style>
  <w:style w:type="character" w:customStyle="1" w:styleId="165">
    <w:name w:val="副标题 Char"/>
    <w:link w:val="30"/>
    <w:qFormat/>
    <w:uiPriority w:val="0"/>
    <w:rPr>
      <w:rFonts w:ascii="Cambria" w:hAnsi="Cambria"/>
      <w:b/>
      <w:bCs/>
      <w:kern w:val="28"/>
      <w:sz w:val="32"/>
      <w:szCs w:val="32"/>
    </w:rPr>
  </w:style>
  <w:style w:type="character" w:customStyle="1" w:styleId="166">
    <w:name w:val="副标题 字符"/>
    <w:basedOn w:val="44"/>
    <w:qFormat/>
    <w:uiPriority w:val="11"/>
    <w:rPr>
      <w:rFonts w:asciiTheme="minorHAnsi" w:hAnsiTheme="minorHAnsi" w:eastAsiaTheme="minorEastAsia" w:cstheme="minorBidi"/>
      <w:b/>
      <w:bCs/>
      <w:kern w:val="28"/>
      <w:sz w:val="32"/>
      <w:szCs w:val="32"/>
    </w:rPr>
  </w:style>
  <w:style w:type="character" w:customStyle="1" w:styleId="167">
    <w:name w:val="副标题 Char1"/>
    <w:uiPriority w:val="0"/>
    <w:rPr>
      <w:rFonts w:ascii="Cambria" w:hAnsi="Cambria" w:cs="Times New Roman"/>
      <w:b/>
      <w:bCs/>
      <w:kern w:val="28"/>
      <w:sz w:val="32"/>
      <w:szCs w:val="32"/>
    </w:rPr>
  </w:style>
  <w:style w:type="character" w:customStyle="1" w:styleId="168">
    <w:name w:val="副标题 字符1"/>
    <w:uiPriority w:val="0"/>
    <w:rPr>
      <w:b/>
      <w:bCs/>
      <w:kern w:val="28"/>
      <w:sz w:val="32"/>
      <w:szCs w:val="32"/>
    </w:rPr>
  </w:style>
  <w:style w:type="character" w:customStyle="1" w:styleId="169">
    <w:name w:val="图表内容 Char"/>
    <w:link w:val="170"/>
    <w:qFormat/>
    <w:uiPriority w:val="0"/>
    <w:rPr>
      <w:kern w:val="21"/>
      <w:sz w:val="17"/>
      <w:szCs w:val="17"/>
    </w:rPr>
  </w:style>
  <w:style w:type="paragraph" w:customStyle="1" w:styleId="170">
    <w:name w:val="图表内容"/>
    <w:basedOn w:val="1"/>
    <w:link w:val="169"/>
    <w:qFormat/>
    <w:uiPriority w:val="0"/>
    <w:pPr>
      <w:adjustRightInd w:val="0"/>
      <w:spacing w:line="360" w:lineRule="auto"/>
      <w:ind w:firstLine="200" w:firstLineChars="200"/>
      <w:jc w:val="center"/>
    </w:pPr>
    <w:rPr>
      <w:rFonts w:ascii="Calibri" w:hAnsi="Calibri" w:cs="Times New Roman"/>
      <w:kern w:val="21"/>
      <w:sz w:val="17"/>
      <w:szCs w:val="17"/>
    </w:rPr>
  </w:style>
  <w:style w:type="character" w:customStyle="1" w:styleId="171">
    <w:name w:val="标题 Char"/>
    <w:link w:val="38"/>
    <w:qFormat/>
    <w:uiPriority w:val="0"/>
    <w:rPr>
      <w:rFonts w:ascii="Cambria" w:hAnsi="Cambria"/>
      <w:b/>
      <w:bCs/>
      <w:sz w:val="32"/>
      <w:szCs w:val="32"/>
    </w:rPr>
  </w:style>
  <w:style w:type="character" w:customStyle="1" w:styleId="172">
    <w:name w:val="标题 字符"/>
    <w:basedOn w:val="44"/>
    <w:qFormat/>
    <w:uiPriority w:val="10"/>
    <w:rPr>
      <w:rFonts w:asciiTheme="majorHAnsi" w:hAnsiTheme="majorHAnsi" w:eastAsiaTheme="majorEastAsia" w:cstheme="majorBidi"/>
      <w:b/>
      <w:bCs/>
      <w:sz w:val="32"/>
      <w:szCs w:val="32"/>
    </w:rPr>
  </w:style>
  <w:style w:type="character" w:customStyle="1" w:styleId="173">
    <w:name w:val="标题 Char1"/>
    <w:qFormat/>
    <w:uiPriority w:val="0"/>
    <w:rPr>
      <w:rFonts w:ascii="Cambria" w:hAnsi="Cambria" w:cs="Times New Roman"/>
      <w:b/>
      <w:bCs/>
      <w:kern w:val="2"/>
      <w:sz w:val="32"/>
      <w:szCs w:val="32"/>
    </w:rPr>
  </w:style>
  <w:style w:type="character" w:customStyle="1" w:styleId="174">
    <w:name w:val="标题 字符1"/>
    <w:qFormat/>
    <w:uiPriority w:val="0"/>
    <w:rPr>
      <w:rFonts w:ascii="等线 Light" w:hAnsi="等线 Light" w:eastAsia="等线 Light" w:cs="Times New Roman"/>
      <w:b/>
      <w:bCs/>
      <w:sz w:val="32"/>
      <w:szCs w:val="32"/>
    </w:rPr>
  </w:style>
  <w:style w:type="character" w:customStyle="1" w:styleId="175">
    <w:name w:val="表格内容 Char"/>
    <w:link w:val="176"/>
    <w:qFormat/>
    <w:uiPriority w:val="0"/>
    <w:rPr>
      <w:sz w:val="17"/>
    </w:rPr>
  </w:style>
  <w:style w:type="paragraph" w:customStyle="1" w:styleId="176">
    <w:name w:val="表格内容"/>
    <w:basedOn w:val="1"/>
    <w:link w:val="175"/>
    <w:qFormat/>
    <w:uiPriority w:val="0"/>
    <w:pPr>
      <w:widowControl w:val="0"/>
      <w:adjustRightInd w:val="0"/>
      <w:snapToGrid w:val="0"/>
      <w:spacing w:line="360" w:lineRule="auto"/>
      <w:ind w:firstLine="200" w:firstLineChars="200"/>
      <w:jc w:val="center"/>
    </w:pPr>
    <w:rPr>
      <w:rFonts w:ascii="Calibri" w:hAnsi="Calibri" w:cs="Times New Roman"/>
      <w:sz w:val="17"/>
      <w:szCs w:val="20"/>
    </w:rPr>
  </w:style>
  <w:style w:type="character" w:customStyle="1" w:styleId="177">
    <w:name w:val="正文文本 字符1"/>
    <w:qFormat/>
    <w:uiPriority w:val="0"/>
    <w:rPr>
      <w:rFonts w:ascii="Calibri" w:hAnsi="Calibri" w:eastAsia="宋体" w:cs="Times New Roman"/>
    </w:rPr>
  </w:style>
  <w:style w:type="character" w:customStyle="1" w:styleId="178">
    <w:name w:val="公式说明 Char"/>
    <w:link w:val="179"/>
    <w:qFormat/>
    <w:uiPriority w:val="0"/>
    <w:rPr>
      <w:kern w:val="22"/>
      <w:szCs w:val="21"/>
    </w:rPr>
  </w:style>
  <w:style w:type="paragraph" w:customStyle="1" w:styleId="179">
    <w:name w:val="公式说明"/>
    <w:basedOn w:val="1"/>
    <w:link w:val="178"/>
    <w:qFormat/>
    <w:uiPriority w:val="0"/>
    <w:pPr>
      <w:widowControl w:val="0"/>
      <w:tabs>
        <w:tab w:val="left" w:pos="1890"/>
      </w:tabs>
      <w:topLinePunct/>
      <w:adjustRightInd w:val="0"/>
      <w:spacing w:line="360" w:lineRule="auto"/>
      <w:ind w:left="200" w:leftChars="200" w:firstLine="200" w:firstLineChars="200"/>
      <w:jc w:val="both"/>
    </w:pPr>
    <w:rPr>
      <w:rFonts w:ascii="Calibri" w:hAnsi="Calibri" w:cs="Times New Roman"/>
      <w:kern w:val="22"/>
      <w:sz w:val="20"/>
      <w:szCs w:val="21"/>
    </w:rPr>
  </w:style>
  <w:style w:type="character" w:customStyle="1" w:styleId="180">
    <w:name w:val="标题 3 Char9"/>
    <w:qFormat/>
    <w:uiPriority w:val="0"/>
    <w:rPr>
      <w:rFonts w:ascii="Calibri" w:hAnsi="Calibri" w:eastAsia="宋体"/>
      <w:b/>
      <w:bCs/>
      <w:kern w:val="2"/>
      <w:sz w:val="32"/>
      <w:szCs w:val="32"/>
    </w:rPr>
  </w:style>
  <w:style w:type="character" w:customStyle="1" w:styleId="181">
    <w:name w:val="占位符文本1"/>
    <w:qFormat/>
    <w:uiPriority w:val="0"/>
    <w:rPr>
      <w:color w:val="808080"/>
    </w:rPr>
  </w:style>
  <w:style w:type="character" w:customStyle="1" w:styleId="182">
    <w:name w:val="m"/>
    <w:basedOn w:val="44"/>
    <w:qFormat/>
    <w:uiPriority w:val="0"/>
  </w:style>
  <w:style w:type="character" w:customStyle="1" w:styleId="183">
    <w:name w:val="参考文献 Char"/>
    <w:link w:val="184"/>
    <w:qFormat/>
    <w:uiPriority w:val="0"/>
    <w:rPr>
      <w:kern w:val="22"/>
      <w:sz w:val="18"/>
      <w:szCs w:val="18"/>
    </w:rPr>
  </w:style>
  <w:style w:type="paragraph" w:customStyle="1" w:styleId="184">
    <w:name w:val="参考文献"/>
    <w:basedOn w:val="1"/>
    <w:link w:val="183"/>
    <w:qFormat/>
    <w:uiPriority w:val="0"/>
    <w:pPr>
      <w:widowControl w:val="0"/>
      <w:topLinePunct/>
      <w:adjustRightInd w:val="0"/>
      <w:spacing w:before="120" w:line="300" w:lineRule="exact"/>
      <w:ind w:firstLine="200" w:firstLineChars="200"/>
      <w:jc w:val="both"/>
    </w:pPr>
    <w:rPr>
      <w:rFonts w:ascii="Calibri" w:hAnsi="Calibri" w:cs="Times New Roman"/>
      <w:kern w:val="22"/>
      <w:sz w:val="18"/>
      <w:szCs w:val="18"/>
    </w:rPr>
  </w:style>
  <w:style w:type="paragraph" w:customStyle="1" w:styleId="185">
    <w:name w:val="正文文本 21"/>
    <w:basedOn w:val="1"/>
    <w:link w:val="332"/>
    <w:qFormat/>
    <w:uiPriority w:val="0"/>
    <w:pPr>
      <w:widowControl w:val="0"/>
      <w:spacing w:after="120" w:line="480" w:lineRule="auto"/>
      <w:ind w:firstLine="200" w:firstLineChars="200"/>
      <w:jc w:val="both"/>
    </w:pPr>
    <w:rPr>
      <w:rFonts w:ascii="Times New Roman" w:hAnsi="Times New Roman" w:cs="Times New Roman"/>
      <w:sz w:val="20"/>
    </w:rPr>
  </w:style>
  <w:style w:type="paragraph" w:customStyle="1" w:styleId="186">
    <w:name w:val="批注主题1"/>
    <w:basedOn w:val="15"/>
    <w:next w:val="15"/>
    <w:link w:val="333"/>
    <w:qFormat/>
    <w:uiPriority w:val="0"/>
    <w:pPr>
      <w:widowControl w:val="0"/>
      <w:spacing w:line="360" w:lineRule="auto"/>
      <w:ind w:firstLine="200" w:firstLineChars="200"/>
    </w:pPr>
    <w:rPr>
      <w:rFonts w:ascii="等线" w:hAnsi="等线" w:eastAsia="等线" w:cs="Times New Roman"/>
      <w:b/>
      <w:bCs/>
      <w:sz w:val="20"/>
      <w:szCs w:val="20"/>
    </w:rPr>
  </w:style>
  <w:style w:type="character" w:customStyle="1" w:styleId="187">
    <w:name w:val="彩色网格 - 强调文字颜色 1 Char"/>
    <w:link w:val="188"/>
    <w:qFormat/>
    <w:uiPriority w:val="0"/>
    <w:rPr>
      <w:rFonts w:eastAsia="仿宋_GB2312"/>
    </w:rPr>
  </w:style>
  <w:style w:type="paragraph" w:customStyle="1" w:styleId="188">
    <w:name w:val="彩色网格 - 强调文字颜色 11"/>
    <w:basedOn w:val="189"/>
    <w:next w:val="1"/>
    <w:link w:val="187"/>
    <w:qFormat/>
    <w:uiPriority w:val="0"/>
    <w:rPr>
      <w:rFonts w:ascii="Calibri" w:hAnsi="Calibri" w:eastAsia="仿宋_GB2312"/>
      <w:sz w:val="20"/>
    </w:rPr>
  </w:style>
  <w:style w:type="paragraph" w:customStyle="1" w:styleId="189">
    <w:name w:val="表格备注"/>
    <w:basedOn w:val="1"/>
    <w:link w:val="190"/>
    <w:qFormat/>
    <w:uiPriority w:val="0"/>
    <w:pPr>
      <w:widowControl w:val="0"/>
      <w:adjustRightInd w:val="0"/>
      <w:snapToGrid w:val="0"/>
      <w:spacing w:line="360" w:lineRule="auto"/>
      <w:ind w:firstLine="200" w:firstLineChars="200"/>
      <w:jc w:val="both"/>
    </w:pPr>
    <w:rPr>
      <w:rFonts w:ascii="Times New Roman" w:hAnsi="Times New Roman" w:cs="Times New Roman"/>
      <w:sz w:val="16"/>
      <w:szCs w:val="20"/>
    </w:rPr>
  </w:style>
  <w:style w:type="character" w:customStyle="1" w:styleId="190">
    <w:name w:val="表格备注 Char"/>
    <w:link w:val="189"/>
    <w:qFormat/>
    <w:uiPriority w:val="0"/>
    <w:rPr>
      <w:rFonts w:ascii="Times New Roman" w:hAnsi="Times New Roman"/>
      <w:sz w:val="16"/>
    </w:rPr>
  </w:style>
  <w:style w:type="character" w:customStyle="1" w:styleId="191">
    <w:name w:val="标题 2 Char2"/>
    <w:qFormat/>
    <w:uiPriority w:val="0"/>
    <w:rPr>
      <w:rFonts w:ascii="Cambria" w:hAnsi="Cambria" w:eastAsia="宋体"/>
      <w:b/>
      <w:bCs/>
      <w:kern w:val="2"/>
      <w:sz w:val="32"/>
      <w:szCs w:val="32"/>
    </w:rPr>
  </w:style>
  <w:style w:type="character" w:customStyle="1" w:styleId="192">
    <w:name w:val="_正文段落 Char"/>
    <w:link w:val="193"/>
    <w:qFormat/>
    <w:uiPriority w:val="0"/>
    <w:rPr>
      <w:sz w:val="24"/>
      <w:szCs w:val="24"/>
    </w:rPr>
  </w:style>
  <w:style w:type="paragraph" w:customStyle="1" w:styleId="193">
    <w:name w:val="_正文段落"/>
    <w:basedOn w:val="1"/>
    <w:link w:val="192"/>
    <w:qFormat/>
    <w:uiPriority w:val="0"/>
    <w:pPr>
      <w:widowControl w:val="0"/>
      <w:spacing w:beforeLines="15" w:afterLines="30" w:line="360" w:lineRule="auto"/>
      <w:ind w:firstLine="200" w:firstLineChars="200"/>
      <w:jc w:val="both"/>
    </w:pPr>
    <w:rPr>
      <w:rFonts w:ascii="Calibri" w:hAnsi="Calibri" w:cs="Times New Roman"/>
    </w:rPr>
  </w:style>
  <w:style w:type="character" w:customStyle="1" w:styleId="194">
    <w:name w:val="我的表格 Char"/>
    <w:link w:val="195"/>
    <w:qFormat/>
    <w:uiPriority w:val="0"/>
    <w:rPr>
      <w:rFonts w:ascii="仿宋_GB2312" w:hAnsi="仿宋_GB2312" w:eastAsia="仿宋_GB2312"/>
      <w:szCs w:val="21"/>
    </w:rPr>
  </w:style>
  <w:style w:type="paragraph" w:customStyle="1" w:styleId="195">
    <w:name w:val="我的表格"/>
    <w:basedOn w:val="1"/>
    <w:link w:val="194"/>
    <w:qFormat/>
    <w:uiPriority w:val="0"/>
    <w:pPr>
      <w:widowControl w:val="0"/>
      <w:autoSpaceDE w:val="0"/>
      <w:autoSpaceDN w:val="0"/>
      <w:adjustRightInd w:val="0"/>
      <w:spacing w:line="360" w:lineRule="auto"/>
      <w:ind w:firstLine="200" w:firstLineChars="200"/>
      <w:jc w:val="center"/>
    </w:pPr>
    <w:rPr>
      <w:rFonts w:ascii="仿宋_GB2312" w:hAnsi="仿宋_GB2312" w:eastAsia="仿宋_GB2312" w:cs="Times New Roman"/>
      <w:sz w:val="20"/>
      <w:szCs w:val="21"/>
    </w:rPr>
  </w:style>
  <w:style w:type="character" w:customStyle="1" w:styleId="196">
    <w:name w:val="标题 4 Char1"/>
    <w:qFormat/>
    <w:uiPriority w:val="0"/>
    <w:rPr>
      <w:rFonts w:ascii="Cambria" w:hAnsi="Cambria" w:eastAsia="宋体"/>
      <w:b/>
      <w:bCs/>
      <w:kern w:val="2"/>
      <w:sz w:val="28"/>
      <w:szCs w:val="28"/>
    </w:rPr>
  </w:style>
  <w:style w:type="character" w:customStyle="1" w:styleId="197">
    <w:name w:val="标题 1 Char2"/>
    <w:qFormat/>
    <w:uiPriority w:val="0"/>
    <w:rPr>
      <w:rFonts w:ascii="Calibri" w:hAnsi="Calibri" w:eastAsia="宋体"/>
      <w:b/>
      <w:bCs/>
      <w:kern w:val="44"/>
      <w:sz w:val="44"/>
      <w:szCs w:val="44"/>
    </w:rPr>
  </w:style>
  <w:style w:type="character" w:customStyle="1" w:styleId="198">
    <w:name w:val="批注主题 Char1"/>
    <w:qFormat/>
    <w:uiPriority w:val="0"/>
    <w:rPr>
      <w:rFonts w:ascii="Calibri" w:hAnsi="Calibri"/>
      <w:b/>
      <w:bCs/>
    </w:rPr>
  </w:style>
  <w:style w:type="character" w:customStyle="1" w:styleId="199">
    <w:name w:val="批注主题 字符1"/>
    <w:qFormat/>
    <w:uiPriority w:val="0"/>
    <w:rPr>
      <w:b/>
      <w:bCs/>
    </w:rPr>
  </w:style>
  <w:style w:type="character" w:customStyle="1" w:styleId="200">
    <w:name w:val="附录 Char"/>
    <w:link w:val="201"/>
    <w:qFormat/>
    <w:uiPriority w:val="0"/>
    <w:rPr>
      <w:rFonts w:ascii="黑体" w:eastAsia="黑体"/>
      <w:shd w:val="clear" w:color="FFFFFF" w:fill="FFFFFF"/>
    </w:rPr>
  </w:style>
  <w:style w:type="paragraph" w:customStyle="1" w:styleId="201">
    <w:name w:val="附录"/>
    <w:basedOn w:val="1"/>
    <w:link w:val="200"/>
    <w:qFormat/>
    <w:uiPriority w:val="0"/>
    <w:pPr>
      <w:keepNext/>
      <w:shd w:val="clear" w:color="FFFFFF" w:fill="FFFFFF"/>
      <w:tabs>
        <w:tab w:val="left" w:pos="6405"/>
      </w:tabs>
      <w:spacing w:before="640" w:after="280" w:line="360" w:lineRule="auto"/>
      <w:ind w:firstLine="200" w:firstLineChars="200"/>
      <w:jc w:val="center"/>
      <w:outlineLvl w:val="0"/>
    </w:pPr>
    <w:rPr>
      <w:rFonts w:ascii="黑体" w:hAnsi="Calibri" w:eastAsia="黑体" w:cs="Times New Roman"/>
      <w:sz w:val="20"/>
      <w:szCs w:val="20"/>
      <w:shd w:val="clear" w:color="FFFFFF" w:fill="FFFFFF"/>
    </w:rPr>
  </w:style>
  <w:style w:type="character" w:customStyle="1" w:styleId="202">
    <w:name w:val="批注引用1"/>
    <w:qFormat/>
    <w:uiPriority w:val="0"/>
    <w:rPr>
      <w:sz w:val="21"/>
      <w:szCs w:val="21"/>
    </w:rPr>
  </w:style>
  <w:style w:type="character" w:customStyle="1" w:styleId="203">
    <w:name w:val="定义 Char"/>
    <w:link w:val="204"/>
    <w:qFormat/>
    <w:uiPriority w:val="0"/>
    <w:rPr>
      <w:rFonts w:eastAsia="黑体"/>
      <w:sz w:val="28"/>
    </w:rPr>
  </w:style>
  <w:style w:type="paragraph" w:customStyle="1" w:styleId="204">
    <w:name w:val="定义"/>
    <w:basedOn w:val="1"/>
    <w:next w:val="1"/>
    <w:link w:val="203"/>
    <w:qFormat/>
    <w:uiPriority w:val="0"/>
    <w:pPr>
      <w:widowControl w:val="0"/>
      <w:adjustRightInd w:val="0"/>
      <w:snapToGrid w:val="0"/>
      <w:spacing w:line="560" w:lineRule="exact"/>
      <w:ind w:firstLine="200" w:firstLineChars="200"/>
      <w:jc w:val="both"/>
    </w:pPr>
    <w:rPr>
      <w:rFonts w:ascii="Calibri" w:hAnsi="Calibri" w:eastAsia="黑体" w:cs="Times New Roman"/>
      <w:sz w:val="28"/>
      <w:szCs w:val="20"/>
    </w:rPr>
  </w:style>
  <w:style w:type="character" w:customStyle="1" w:styleId="205">
    <w:name w:val="图表说明 Char"/>
    <w:link w:val="206"/>
    <w:qFormat/>
    <w:uiPriority w:val="0"/>
    <w:rPr>
      <w:kern w:val="21"/>
      <w:sz w:val="16"/>
    </w:rPr>
  </w:style>
  <w:style w:type="paragraph" w:customStyle="1" w:styleId="206">
    <w:name w:val="图表说明"/>
    <w:basedOn w:val="1"/>
    <w:link w:val="205"/>
    <w:qFormat/>
    <w:uiPriority w:val="0"/>
    <w:pPr>
      <w:topLinePunct/>
      <w:adjustRightInd w:val="0"/>
      <w:spacing w:line="240" w:lineRule="exact"/>
      <w:ind w:firstLine="200" w:firstLineChars="200"/>
      <w:jc w:val="both"/>
    </w:pPr>
    <w:rPr>
      <w:rFonts w:ascii="Calibri" w:hAnsi="Calibri" w:cs="Times New Roman"/>
      <w:kern w:val="21"/>
      <w:sz w:val="16"/>
      <w:szCs w:val="20"/>
    </w:rPr>
  </w:style>
  <w:style w:type="character" w:customStyle="1" w:styleId="207">
    <w:name w:val="书籍标题1"/>
    <w:qFormat/>
    <w:uiPriority w:val="0"/>
    <w:rPr>
      <w:b/>
      <w:bCs/>
      <w:smallCaps/>
      <w:spacing w:val="5"/>
    </w:rPr>
  </w:style>
  <w:style w:type="paragraph" w:customStyle="1" w:styleId="208">
    <w:name w:val="日期1"/>
    <w:basedOn w:val="1"/>
    <w:next w:val="1"/>
    <w:link w:val="335"/>
    <w:qFormat/>
    <w:uiPriority w:val="0"/>
    <w:pPr>
      <w:widowControl w:val="0"/>
      <w:spacing w:line="360" w:lineRule="auto"/>
      <w:ind w:left="100" w:leftChars="2500" w:firstLine="200" w:firstLineChars="200"/>
      <w:jc w:val="both"/>
    </w:pPr>
    <w:rPr>
      <w:rFonts w:ascii="Calibri" w:hAnsi="Calibri" w:cs="Times New Roman"/>
      <w:sz w:val="20"/>
      <w:szCs w:val="20"/>
    </w:rPr>
  </w:style>
  <w:style w:type="character" w:customStyle="1" w:styleId="209">
    <w:name w:val="实例内容 Char"/>
    <w:link w:val="210"/>
    <w:qFormat/>
    <w:uiPriority w:val="0"/>
    <w:rPr>
      <w:rFonts w:eastAsia="汉仪仿宋简"/>
      <w:szCs w:val="21"/>
    </w:rPr>
  </w:style>
  <w:style w:type="paragraph" w:customStyle="1" w:styleId="210">
    <w:name w:val="实例内容"/>
    <w:basedOn w:val="1"/>
    <w:link w:val="209"/>
    <w:qFormat/>
    <w:uiPriority w:val="0"/>
    <w:pPr>
      <w:pBdr>
        <w:left w:val="single" w:color="008000" w:sz="4" w:space="4"/>
        <w:bottom w:val="single" w:color="008000" w:sz="4" w:space="1"/>
        <w:right w:val="single" w:color="008000" w:sz="4" w:space="4"/>
      </w:pBdr>
      <w:adjustRightInd w:val="0"/>
      <w:spacing w:line="360" w:lineRule="auto"/>
      <w:ind w:left="113" w:right="113" w:firstLine="425" w:firstLineChars="200"/>
      <w:jc w:val="both"/>
    </w:pPr>
    <w:rPr>
      <w:rFonts w:ascii="Calibri" w:hAnsi="Calibri" w:eastAsia="汉仪仿宋简" w:cs="Times New Roman"/>
      <w:sz w:val="20"/>
      <w:szCs w:val="21"/>
    </w:rPr>
  </w:style>
  <w:style w:type="character" w:customStyle="1" w:styleId="211">
    <w:name w:val="表体 Char"/>
    <w:link w:val="212"/>
    <w:qFormat/>
    <w:uiPriority w:val="0"/>
    <w:rPr>
      <w:rFonts w:eastAsia="仿宋_GB2312"/>
      <w:color w:val="000000"/>
      <w:kern w:val="24"/>
    </w:rPr>
  </w:style>
  <w:style w:type="paragraph" w:customStyle="1" w:styleId="212">
    <w:name w:val="表体"/>
    <w:basedOn w:val="1"/>
    <w:link w:val="211"/>
    <w:qFormat/>
    <w:uiPriority w:val="0"/>
    <w:pPr>
      <w:widowControl w:val="0"/>
      <w:overflowPunct w:val="0"/>
      <w:adjustRightInd w:val="0"/>
      <w:snapToGrid w:val="0"/>
      <w:spacing w:line="360" w:lineRule="auto"/>
      <w:ind w:firstLine="200" w:firstLineChars="200"/>
      <w:jc w:val="center"/>
      <w:textAlignment w:val="baseline"/>
    </w:pPr>
    <w:rPr>
      <w:rFonts w:ascii="Calibri" w:hAnsi="Calibri" w:eastAsia="仿宋_GB2312" w:cs="Times New Roman"/>
      <w:color w:val="000000"/>
      <w:kern w:val="24"/>
      <w:sz w:val="20"/>
      <w:szCs w:val="20"/>
    </w:rPr>
  </w:style>
  <w:style w:type="character" w:customStyle="1" w:styleId="213">
    <w:name w:val="apple-converted-space"/>
    <w:basedOn w:val="44"/>
    <w:uiPriority w:val="0"/>
  </w:style>
  <w:style w:type="character" w:customStyle="1" w:styleId="214">
    <w:name w:val="实例标题 Char"/>
    <w:link w:val="215"/>
    <w:qFormat/>
    <w:uiPriority w:val="0"/>
    <w:rPr>
      <w:rFonts w:ascii="Arial" w:hAnsi="Arial" w:eastAsia="汉仪大宋简"/>
      <w:kern w:val="20"/>
      <w:szCs w:val="21"/>
      <w:shd w:val="pct20" w:color="auto" w:fill="auto"/>
    </w:rPr>
  </w:style>
  <w:style w:type="paragraph" w:customStyle="1" w:styleId="215">
    <w:name w:val="实例标题"/>
    <w:basedOn w:val="1"/>
    <w:link w:val="214"/>
    <w:qFormat/>
    <w:uiPriority w:val="0"/>
    <w:pPr>
      <w:pBdr>
        <w:top w:val="single" w:color="008000" w:sz="4" w:space="1"/>
        <w:left w:val="single" w:color="008000" w:sz="4" w:space="4"/>
        <w:right w:val="single" w:color="008000" w:sz="4" w:space="4"/>
      </w:pBdr>
      <w:shd w:val="pct20" w:color="auto" w:fill="auto"/>
      <w:adjustRightInd w:val="0"/>
      <w:spacing w:line="480" w:lineRule="auto"/>
      <w:ind w:left="113" w:right="113" w:firstLine="200" w:firstLineChars="200"/>
      <w:jc w:val="both"/>
    </w:pPr>
    <w:rPr>
      <w:rFonts w:ascii="Arial" w:hAnsi="Arial" w:eastAsia="汉仪大宋简" w:cs="Times New Roman"/>
      <w:kern w:val="20"/>
      <w:sz w:val="20"/>
      <w:szCs w:val="21"/>
      <w:shd w:val="pct20" w:color="auto" w:fill="auto"/>
    </w:rPr>
  </w:style>
  <w:style w:type="paragraph" w:customStyle="1" w:styleId="216">
    <w:name w:val="xl8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17">
    <w:name w:val="xl96"/>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18">
    <w:name w:val="xl115"/>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textAlignment w:val="bottom"/>
    </w:pPr>
    <w:rPr>
      <w:rFonts w:ascii="Arial" w:hAnsi="Arial" w:cs="Arial"/>
      <w:b/>
      <w:bCs/>
      <w:sz w:val="20"/>
      <w:szCs w:val="20"/>
    </w:rPr>
  </w:style>
  <w:style w:type="paragraph" w:customStyle="1" w:styleId="219">
    <w:name w:val="xl101"/>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20">
    <w:name w:val="xl64"/>
    <w:basedOn w:val="1"/>
    <w:qFormat/>
    <w:uiPriority w:val="0"/>
    <w:pPr>
      <w:spacing w:before="100" w:beforeAutospacing="1" w:after="100" w:afterAutospacing="1" w:line="360" w:lineRule="auto"/>
      <w:ind w:firstLine="200" w:firstLineChars="200"/>
      <w:jc w:val="center"/>
    </w:pPr>
  </w:style>
  <w:style w:type="paragraph" w:customStyle="1" w:styleId="221">
    <w:name w:val="xl109"/>
    <w:basedOn w:val="1"/>
    <w:qFormat/>
    <w:uiPriority w:val="0"/>
    <w:pPr>
      <w:shd w:val="clear" w:color="000000" w:fill="C0C0C0"/>
      <w:spacing w:before="100" w:beforeAutospacing="1" w:after="100" w:afterAutospacing="1" w:line="360" w:lineRule="auto"/>
      <w:ind w:firstLine="200" w:firstLineChars="200"/>
      <w:jc w:val="center"/>
    </w:pPr>
    <w:rPr>
      <w:b/>
      <w:bCs/>
      <w:sz w:val="28"/>
      <w:szCs w:val="28"/>
    </w:rPr>
  </w:style>
  <w:style w:type="paragraph" w:customStyle="1" w:styleId="222">
    <w:name w:val="Char Char4"/>
    <w:basedOn w:val="1"/>
    <w:uiPriority w:val="0"/>
    <w:pPr>
      <w:spacing w:after="160" w:line="240" w:lineRule="exact"/>
      <w:ind w:firstLine="200" w:firstLineChars="200"/>
    </w:pPr>
    <w:rPr>
      <w:rFonts w:ascii="Verdana" w:hAnsi="Verdana" w:eastAsia="PMingLiU" w:cs="Times New Roman"/>
      <w:sz w:val="20"/>
      <w:szCs w:val="20"/>
      <w:lang w:eastAsia="en-US"/>
    </w:rPr>
  </w:style>
  <w:style w:type="paragraph" w:customStyle="1" w:styleId="223">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24">
    <w:name w:val="xl106"/>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25">
    <w:name w:val="xl113"/>
    <w:basedOn w:val="1"/>
    <w:uiPriority w:val="0"/>
    <w:pPr>
      <w:shd w:val="clear" w:color="000000" w:fill="C0C0C0"/>
      <w:spacing w:before="100" w:beforeAutospacing="1" w:after="100" w:afterAutospacing="1" w:line="360" w:lineRule="auto"/>
      <w:ind w:firstLine="200" w:firstLineChars="200"/>
      <w:jc w:val="center"/>
    </w:pPr>
    <w:rPr>
      <w:rFonts w:ascii="Arial" w:hAnsi="Arial" w:cs="Arial"/>
      <w:sz w:val="20"/>
      <w:szCs w:val="20"/>
    </w:rPr>
  </w:style>
  <w:style w:type="paragraph" w:customStyle="1" w:styleId="226">
    <w:name w:val="xl67"/>
    <w:basedOn w:val="1"/>
    <w:qFormat/>
    <w:uiPriority w:val="0"/>
    <w:pPr>
      <w:spacing w:before="100" w:beforeAutospacing="1" w:after="100" w:afterAutospacing="1" w:line="360" w:lineRule="auto"/>
      <w:ind w:firstLine="200" w:firstLineChars="200"/>
      <w:textAlignment w:val="bottom"/>
    </w:pPr>
    <w:rPr>
      <w:rFonts w:ascii="Arial" w:hAnsi="Arial" w:cs="Arial"/>
      <w:sz w:val="20"/>
      <w:szCs w:val="20"/>
    </w:rPr>
  </w:style>
  <w:style w:type="character" w:customStyle="1" w:styleId="227">
    <w:name w:val="正文文本 Char1"/>
    <w:qFormat/>
    <w:uiPriority w:val="0"/>
    <w:rPr>
      <w:rFonts w:ascii="Calibri" w:hAnsi="Calibri" w:eastAsia="宋体" w:cs="Times New Roman"/>
    </w:rPr>
  </w:style>
  <w:style w:type="paragraph" w:customStyle="1" w:styleId="228">
    <w:name w:val="xl9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29">
    <w:name w:val="普通(网站)1"/>
    <w:basedOn w:val="1"/>
    <w:qFormat/>
    <w:uiPriority w:val="0"/>
    <w:pPr>
      <w:spacing w:before="100" w:beforeAutospacing="1" w:after="100" w:afterAutospacing="1" w:line="360" w:lineRule="auto"/>
      <w:ind w:firstLine="200" w:firstLineChars="200"/>
    </w:pPr>
  </w:style>
  <w:style w:type="paragraph" w:customStyle="1" w:styleId="230">
    <w:name w:val="修订版本号"/>
    <w:qFormat/>
    <w:uiPriority w:val="0"/>
    <w:rPr>
      <w:rFonts w:ascii="Times New Roman" w:hAnsi="Times New Roman" w:eastAsia="宋体" w:cs="Times New Roman"/>
      <w:szCs w:val="24"/>
      <w:lang w:val="en-US" w:eastAsia="zh-CN" w:bidi="ar-SA"/>
    </w:rPr>
  </w:style>
  <w:style w:type="paragraph" w:customStyle="1" w:styleId="231">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sz w:val="20"/>
      <w:szCs w:val="20"/>
    </w:rPr>
  </w:style>
  <w:style w:type="paragraph" w:customStyle="1" w:styleId="232">
    <w:name w:val="xl60"/>
    <w:basedOn w:val="1"/>
    <w:qFormat/>
    <w:uiPriority w:val="0"/>
    <w:pPr>
      <w:pBdr>
        <w:left w:val="single" w:color="auto" w:sz="8" w:space="0"/>
        <w:right w:val="single" w:color="auto" w:sz="4" w:space="0"/>
      </w:pBdr>
      <w:spacing w:before="100" w:beforeAutospacing="1" w:after="100" w:afterAutospacing="1" w:line="360" w:lineRule="auto"/>
      <w:ind w:firstLine="200" w:firstLineChars="200"/>
      <w:jc w:val="center"/>
      <w:textAlignment w:val="top"/>
    </w:pPr>
    <w:rPr>
      <w:rFonts w:ascii="Times New Roman" w:hAnsi="Times New Roman" w:cs="Times New Roman"/>
    </w:rPr>
  </w:style>
  <w:style w:type="paragraph" w:customStyle="1" w:styleId="233">
    <w:name w:val="Char Char2 Char Char1"/>
    <w:basedOn w:val="1"/>
    <w:qFormat/>
    <w:uiPriority w:val="0"/>
    <w:pPr>
      <w:widowControl w:val="0"/>
      <w:spacing w:line="360" w:lineRule="auto"/>
      <w:ind w:firstLine="200" w:firstLineChars="200"/>
      <w:jc w:val="both"/>
    </w:pPr>
    <w:rPr>
      <w:rFonts w:ascii="Times New Roman" w:hAnsi="Times New Roman" w:cs="Times New Roman"/>
      <w:kern w:val="2"/>
      <w:sz w:val="21"/>
    </w:rPr>
  </w:style>
  <w:style w:type="paragraph" w:customStyle="1" w:styleId="234">
    <w:name w:val="xl75"/>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Arial" w:hAnsi="Arial" w:cs="Arial"/>
      <w:sz w:val="20"/>
      <w:szCs w:val="20"/>
    </w:rPr>
  </w:style>
  <w:style w:type="paragraph" w:customStyle="1" w:styleId="235">
    <w:name w:val="xl87"/>
    <w:basedOn w:val="1"/>
    <w:qFormat/>
    <w:uiPriority w:val="0"/>
    <w:pPr>
      <w:shd w:val="clear" w:color="000000" w:fill="FFFFF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36">
    <w:name w:val="xl104"/>
    <w:basedOn w:val="1"/>
    <w:qFormat/>
    <w:uiPriority w:val="0"/>
    <w:pPr>
      <w:shd w:val="clear" w:color="000000" w:fill="BFBFBF"/>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37">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character" w:customStyle="1" w:styleId="238">
    <w:name w:val="批注文字 字符1"/>
    <w:qFormat/>
    <w:uiPriority w:val="0"/>
    <w:rPr>
      <w:rFonts w:ascii="Calibri" w:hAnsi="Calibri" w:eastAsia="宋体" w:cs="Times New Roman"/>
    </w:rPr>
  </w:style>
  <w:style w:type="character" w:customStyle="1" w:styleId="239">
    <w:name w:val="批注文字 Char1"/>
    <w:qFormat/>
    <w:uiPriority w:val="0"/>
    <w:rPr>
      <w:rFonts w:ascii="Calibri" w:hAnsi="Calibri" w:eastAsia="宋体" w:cs="Times New Roman"/>
    </w:rPr>
  </w:style>
  <w:style w:type="paragraph" w:customStyle="1" w:styleId="240">
    <w:name w:val="xl116"/>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b/>
      <w:bCs/>
      <w:sz w:val="20"/>
      <w:szCs w:val="20"/>
    </w:rPr>
  </w:style>
  <w:style w:type="paragraph" w:customStyle="1" w:styleId="241">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style>
  <w:style w:type="paragraph" w:customStyle="1" w:styleId="242">
    <w:name w:val="xl110"/>
    <w:basedOn w:val="1"/>
    <w:qFormat/>
    <w:uiPriority w:val="0"/>
    <w:pPr>
      <w:shd w:val="clear" w:color="000000" w:fill="C0C0C0"/>
      <w:spacing w:before="100" w:beforeAutospacing="1" w:after="100" w:afterAutospacing="1" w:line="360" w:lineRule="auto"/>
      <w:ind w:firstLine="200" w:firstLineChars="200"/>
      <w:jc w:val="center"/>
    </w:pPr>
    <w:rPr>
      <w:b/>
      <w:bCs/>
      <w:sz w:val="20"/>
      <w:szCs w:val="20"/>
    </w:rPr>
  </w:style>
  <w:style w:type="paragraph" w:customStyle="1" w:styleId="243">
    <w:name w:val="xl114"/>
    <w:basedOn w:val="1"/>
    <w:uiPriority w:val="0"/>
    <w:pPr>
      <w:shd w:val="clear" w:color="000000" w:fill="C0C0C0"/>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4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sz w:val="20"/>
      <w:szCs w:val="20"/>
    </w:rPr>
  </w:style>
  <w:style w:type="character" w:customStyle="1" w:styleId="245">
    <w:name w:val="文档结构图 Char2"/>
    <w:qFormat/>
    <w:uiPriority w:val="0"/>
    <w:rPr>
      <w:rFonts w:ascii="宋体" w:hAnsi="Calibri" w:eastAsia="宋体" w:cs="Times New Roman"/>
      <w:sz w:val="18"/>
      <w:szCs w:val="18"/>
    </w:rPr>
  </w:style>
  <w:style w:type="paragraph" w:customStyle="1" w:styleId="246">
    <w:name w:val="xl10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Arial" w:hAnsi="Arial" w:cs="Arial"/>
      <w:sz w:val="20"/>
      <w:szCs w:val="20"/>
    </w:rPr>
  </w:style>
  <w:style w:type="paragraph" w:customStyle="1" w:styleId="247">
    <w:name w:val="样式 (中文) 仿宋_GB2312 黑色 居中  行距:单倍行距"/>
    <w:basedOn w:val="1"/>
    <w:qFormat/>
    <w:uiPriority w:val="0"/>
    <w:pPr>
      <w:widowControl w:val="0"/>
      <w:spacing w:line="360" w:lineRule="auto"/>
      <w:ind w:firstLine="200" w:firstLineChars="200"/>
      <w:jc w:val="center"/>
    </w:pPr>
    <w:rPr>
      <w:rFonts w:ascii="Times New Roman" w:hAnsi="Times New Roman" w:eastAsia="仿宋_GB2312"/>
      <w:color w:val="000000"/>
      <w:sz w:val="21"/>
      <w:szCs w:val="20"/>
    </w:rPr>
  </w:style>
  <w:style w:type="paragraph" w:customStyle="1" w:styleId="248">
    <w:name w:val="TOC 标题1"/>
    <w:basedOn w:val="2"/>
    <w:next w:val="1"/>
    <w:qFormat/>
    <w:uiPriority w:val="0"/>
    <w:pPr>
      <w:tabs>
        <w:tab w:val="left" w:pos="432"/>
      </w:tabs>
      <w:snapToGrid w:val="0"/>
      <w:spacing w:beforeLines="50" w:after="0" w:line="276" w:lineRule="auto"/>
      <w:ind w:left="431" w:hanging="431"/>
      <w:outlineLvl w:val="9"/>
    </w:pPr>
    <w:rPr>
      <w:rFonts w:ascii="Cambria" w:hAnsi="Cambria"/>
      <w:b w:val="0"/>
      <w:color w:val="365F91"/>
      <w:kern w:val="0"/>
      <w:sz w:val="28"/>
      <w:szCs w:val="28"/>
    </w:rPr>
  </w:style>
  <w:style w:type="paragraph" w:customStyle="1" w:styleId="249">
    <w:name w:val="xl7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right"/>
      <w:textAlignment w:val="bottom"/>
    </w:pPr>
    <w:rPr>
      <w:rFonts w:ascii="Arial" w:hAnsi="Arial" w:cs="Arial"/>
      <w:sz w:val="20"/>
      <w:szCs w:val="20"/>
    </w:rPr>
  </w:style>
  <w:style w:type="paragraph" w:customStyle="1" w:styleId="250">
    <w:name w:val="表格"/>
    <w:basedOn w:val="1"/>
    <w:next w:val="1"/>
    <w:qFormat/>
    <w:uiPriority w:val="0"/>
    <w:pPr>
      <w:widowControl w:val="0"/>
      <w:adjustRightInd w:val="0"/>
      <w:spacing w:line="400" w:lineRule="exact"/>
      <w:ind w:firstLine="567" w:firstLineChars="200"/>
      <w:jc w:val="center"/>
      <w:textAlignment w:val="baseline"/>
    </w:pPr>
    <w:rPr>
      <w:rFonts w:ascii="Times New Roman" w:hAnsi="Times New Roman" w:cs="Times New Roman"/>
      <w:sz w:val="20"/>
      <w:szCs w:val="20"/>
    </w:rPr>
  </w:style>
  <w:style w:type="paragraph" w:customStyle="1" w:styleId="251">
    <w:name w:val="xl90"/>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rFonts w:ascii="Arial" w:hAnsi="Arial" w:cs="Arial"/>
      <w:sz w:val="20"/>
      <w:szCs w:val="20"/>
    </w:rPr>
  </w:style>
  <w:style w:type="paragraph" w:customStyle="1" w:styleId="252">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53">
    <w:name w:val="xl91"/>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54">
    <w:name w:val="font5"/>
    <w:basedOn w:val="1"/>
    <w:qFormat/>
    <w:uiPriority w:val="0"/>
    <w:pPr>
      <w:spacing w:before="100" w:beforeAutospacing="1" w:after="100" w:afterAutospacing="1" w:line="360" w:lineRule="auto"/>
      <w:ind w:firstLine="200" w:firstLineChars="200"/>
    </w:pPr>
    <w:rPr>
      <w:rFonts w:ascii="Arial" w:hAnsi="Arial" w:cs="Arial"/>
      <w:sz w:val="20"/>
      <w:szCs w:val="20"/>
    </w:rPr>
  </w:style>
  <w:style w:type="paragraph" w:customStyle="1" w:styleId="255">
    <w:name w:val="修订1"/>
    <w:uiPriority w:val="99"/>
    <w:rPr>
      <w:rFonts w:ascii="Calibri" w:hAnsi="Calibri" w:eastAsia="宋体" w:cs="Times New Roman"/>
      <w:kern w:val="2"/>
      <w:sz w:val="21"/>
      <w:szCs w:val="22"/>
      <w:lang w:val="en-US" w:eastAsia="zh-CN" w:bidi="ar-SA"/>
    </w:rPr>
  </w:style>
  <w:style w:type="paragraph" w:customStyle="1" w:styleId="256">
    <w:name w:val="xl76"/>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pPr>
    <w:rPr>
      <w:sz w:val="20"/>
      <w:szCs w:val="20"/>
    </w:rPr>
  </w:style>
  <w:style w:type="paragraph" w:customStyle="1" w:styleId="257">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bottom"/>
    </w:pPr>
    <w:rPr>
      <w:sz w:val="20"/>
      <w:szCs w:val="20"/>
    </w:rPr>
  </w:style>
  <w:style w:type="paragraph" w:customStyle="1" w:styleId="258">
    <w:name w:val="xl111"/>
    <w:basedOn w:val="1"/>
    <w:uiPriority w:val="0"/>
    <w:pPr>
      <w:shd w:val="clear" w:color="000000" w:fill="C0C0C0"/>
      <w:spacing w:before="100" w:beforeAutospacing="1" w:after="100" w:afterAutospacing="1" w:line="360" w:lineRule="auto"/>
      <w:ind w:firstLine="200" w:firstLineChars="200"/>
    </w:pPr>
  </w:style>
  <w:style w:type="character" w:customStyle="1" w:styleId="259">
    <w:name w:val="批注主题 Char2"/>
    <w:qFormat/>
    <w:uiPriority w:val="0"/>
    <w:rPr>
      <w:rFonts w:ascii="Calibri" w:hAnsi="Calibri" w:eastAsia="宋体" w:cs="Times New Roman"/>
      <w:b/>
      <w:bCs/>
    </w:rPr>
  </w:style>
  <w:style w:type="paragraph" w:customStyle="1" w:styleId="260">
    <w:name w:val="xl9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61">
    <w:name w:val="xl89"/>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62">
    <w:name w:val="font6"/>
    <w:basedOn w:val="1"/>
    <w:qFormat/>
    <w:uiPriority w:val="0"/>
    <w:pPr>
      <w:spacing w:before="100" w:beforeAutospacing="1" w:after="100" w:afterAutospacing="1" w:line="360" w:lineRule="auto"/>
      <w:ind w:firstLine="200" w:firstLineChars="200"/>
    </w:pPr>
    <w:rPr>
      <w:sz w:val="18"/>
      <w:szCs w:val="18"/>
    </w:rPr>
  </w:style>
  <w:style w:type="paragraph" w:customStyle="1" w:styleId="263">
    <w:name w:val="font13"/>
    <w:basedOn w:val="1"/>
    <w:qFormat/>
    <w:uiPriority w:val="0"/>
    <w:pP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64">
    <w:name w:val="xl7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sz w:val="20"/>
      <w:szCs w:val="20"/>
    </w:rPr>
  </w:style>
  <w:style w:type="paragraph" w:customStyle="1" w:styleId="265">
    <w:name w:val="xl98"/>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66">
    <w:name w:val="xl97"/>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b/>
      <w:bCs/>
      <w:sz w:val="20"/>
      <w:szCs w:val="20"/>
    </w:rPr>
  </w:style>
  <w:style w:type="paragraph" w:customStyle="1" w:styleId="267">
    <w:name w:val="xl7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68">
    <w:name w:val="xl68"/>
    <w:basedOn w:val="1"/>
    <w:qFormat/>
    <w:uiPriority w:val="0"/>
    <w:pPr>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69">
    <w:name w:val="xl72"/>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70">
    <w:name w:val="font12"/>
    <w:basedOn w:val="1"/>
    <w:uiPriority w:val="0"/>
    <w:pP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1">
    <w:name w:val="修订11"/>
    <w:qFormat/>
    <w:uiPriority w:val="0"/>
    <w:rPr>
      <w:rFonts w:ascii="Times New Roman" w:hAnsi="Times New Roman" w:eastAsia="宋体" w:cs="Times New Roman"/>
      <w:lang w:val="en-US" w:eastAsia="zh-CN" w:bidi="ar-SA"/>
    </w:rPr>
  </w:style>
  <w:style w:type="paragraph" w:customStyle="1" w:styleId="27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style>
  <w:style w:type="paragraph" w:customStyle="1" w:styleId="273">
    <w:name w:val="xl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5">
    <w:name w:val="Char"/>
    <w:basedOn w:val="1"/>
    <w:qFormat/>
    <w:uiPriority w:val="0"/>
    <w:pPr>
      <w:adjustRightInd w:val="0"/>
      <w:snapToGrid w:val="0"/>
      <w:spacing w:beforeLines="50" w:after="160" w:line="360" w:lineRule="exact"/>
      <w:ind w:firstLine="496" w:firstLineChars="200"/>
    </w:pPr>
    <w:rPr>
      <w:rFonts w:cs="”“Times New Roman”“"/>
      <w:color w:val="000000"/>
      <w:spacing w:val="4"/>
      <w:lang w:eastAsia="en-US"/>
    </w:rPr>
  </w:style>
  <w:style w:type="paragraph" w:customStyle="1" w:styleId="276">
    <w:name w:val="font9"/>
    <w:basedOn w:val="1"/>
    <w:uiPriority w:val="0"/>
    <w:pPr>
      <w:spacing w:before="100" w:beforeAutospacing="1" w:after="100" w:afterAutospacing="1" w:line="360" w:lineRule="auto"/>
      <w:ind w:firstLine="200" w:firstLineChars="200"/>
    </w:pPr>
    <w:rPr>
      <w:b/>
      <w:bCs/>
      <w:sz w:val="20"/>
      <w:szCs w:val="20"/>
    </w:rPr>
  </w:style>
  <w:style w:type="paragraph" w:customStyle="1" w:styleId="277">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78">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Arial" w:hAnsi="Arial" w:cs="Arial"/>
      <w:sz w:val="20"/>
      <w:szCs w:val="20"/>
    </w:rPr>
  </w:style>
  <w:style w:type="paragraph" w:customStyle="1" w:styleId="279">
    <w:name w:val="xl95"/>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0">
    <w:name w:val="xl73"/>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1">
    <w:name w:val="Char1 Char Char Char"/>
    <w:basedOn w:val="1"/>
    <w:qFormat/>
    <w:uiPriority w:val="0"/>
    <w:pPr>
      <w:widowControl w:val="0"/>
      <w:spacing w:line="360" w:lineRule="auto"/>
      <w:ind w:firstLine="200" w:firstLineChars="200"/>
      <w:jc w:val="both"/>
    </w:pPr>
    <w:rPr>
      <w:rFonts w:ascii="Times New Roman" w:hAnsi="Times New Roman" w:cs="Times New Roman"/>
      <w:kern w:val="2"/>
      <w:sz w:val="21"/>
    </w:rPr>
  </w:style>
  <w:style w:type="paragraph" w:customStyle="1" w:styleId="282">
    <w:name w:val="环评报告书"/>
    <w:basedOn w:val="5"/>
    <w:uiPriority w:val="0"/>
    <w:pPr>
      <w:tabs>
        <w:tab w:val="left" w:pos="840"/>
      </w:tabs>
      <w:ind w:firstLine="200" w:firstLineChars="200"/>
      <w:textAlignment w:val="baseline"/>
      <w:outlineLvl w:val="9"/>
    </w:pPr>
    <w:rPr>
      <w:rFonts w:eastAsia="长城楷体"/>
    </w:rPr>
  </w:style>
  <w:style w:type="paragraph" w:customStyle="1" w:styleId="283">
    <w:name w:val="font7"/>
    <w:basedOn w:val="1"/>
    <w:qFormat/>
    <w:uiPriority w:val="0"/>
    <w:pPr>
      <w:spacing w:before="100" w:beforeAutospacing="1" w:after="100" w:afterAutospacing="1" w:line="360" w:lineRule="auto"/>
      <w:ind w:firstLine="200" w:firstLineChars="200"/>
    </w:pPr>
    <w:rPr>
      <w:sz w:val="18"/>
      <w:szCs w:val="18"/>
    </w:rPr>
  </w:style>
  <w:style w:type="paragraph" w:customStyle="1" w:styleId="284">
    <w:name w:val="font10"/>
    <w:basedOn w:val="1"/>
    <w:qFormat/>
    <w:uiPriority w:val="0"/>
    <w:pPr>
      <w:spacing w:before="100" w:beforeAutospacing="1" w:after="100" w:afterAutospacing="1" w:line="360" w:lineRule="auto"/>
      <w:ind w:firstLine="200" w:firstLineChars="200"/>
    </w:pPr>
    <w:rPr>
      <w:sz w:val="18"/>
      <w:szCs w:val="18"/>
    </w:rPr>
  </w:style>
  <w:style w:type="paragraph" w:customStyle="1" w:styleId="285">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b/>
      <w:bCs/>
      <w:sz w:val="20"/>
      <w:szCs w:val="20"/>
    </w:rPr>
  </w:style>
  <w:style w:type="paragraph" w:customStyle="1" w:styleId="286">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sz w:val="20"/>
      <w:szCs w:val="20"/>
    </w:rPr>
  </w:style>
  <w:style w:type="paragraph" w:customStyle="1" w:styleId="287">
    <w:name w:val="xl112"/>
    <w:basedOn w:val="1"/>
    <w:qFormat/>
    <w:uiPriority w:val="0"/>
    <w:pPr>
      <w:shd w:val="clear" w:color="000000" w:fill="C0C0C0"/>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8">
    <w:name w:val="列表1"/>
    <w:basedOn w:val="1"/>
    <w:uiPriority w:val="0"/>
    <w:pPr>
      <w:widowControl w:val="0"/>
      <w:adjustRightInd w:val="0"/>
      <w:spacing w:before="60" w:after="60" w:line="360" w:lineRule="auto"/>
      <w:ind w:firstLine="567" w:firstLineChars="200"/>
      <w:jc w:val="both"/>
      <w:textAlignment w:val="baseline"/>
    </w:pPr>
    <w:rPr>
      <w:rFonts w:ascii="Times New Roman" w:hAnsi="Times New Roman" w:cs="Times New Roman"/>
      <w:szCs w:val="20"/>
    </w:rPr>
  </w:style>
  <w:style w:type="paragraph" w:customStyle="1" w:styleId="289">
    <w:name w:val="xl105"/>
    <w:basedOn w:val="1"/>
    <w:qFormat/>
    <w:uiPriority w:val="0"/>
    <w:pPr>
      <w:pBdr>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b/>
      <w:bCs/>
      <w:sz w:val="20"/>
      <w:szCs w:val="20"/>
    </w:rPr>
  </w:style>
  <w:style w:type="paragraph" w:customStyle="1" w:styleId="290">
    <w:name w:val="xl66"/>
    <w:basedOn w:val="1"/>
    <w:qFormat/>
    <w:uiPriority w:val="0"/>
    <w:pPr>
      <w:spacing w:before="100" w:beforeAutospacing="1" w:after="100" w:afterAutospacing="1" w:line="360" w:lineRule="auto"/>
      <w:ind w:firstLine="200" w:firstLineChars="200"/>
      <w:jc w:val="center"/>
    </w:pPr>
  </w:style>
  <w:style w:type="paragraph" w:customStyle="1" w:styleId="291">
    <w:name w:val="xl108"/>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2">
    <w:name w:val="font8"/>
    <w:basedOn w:val="1"/>
    <w:qFormat/>
    <w:uiPriority w:val="0"/>
    <w:pPr>
      <w:spacing w:before="100" w:beforeAutospacing="1" w:after="100" w:afterAutospacing="1" w:line="360" w:lineRule="auto"/>
      <w:ind w:firstLine="200" w:firstLineChars="200"/>
    </w:pPr>
    <w:rPr>
      <w:sz w:val="20"/>
      <w:szCs w:val="20"/>
    </w:rPr>
  </w:style>
  <w:style w:type="paragraph" w:customStyle="1" w:styleId="293">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w:hAnsi="Arial" w:cs="Arial"/>
      <w:sz w:val="20"/>
      <w:szCs w:val="20"/>
    </w:rPr>
  </w:style>
  <w:style w:type="paragraph" w:customStyle="1" w:styleId="294">
    <w:name w:val="正文表格"/>
    <w:basedOn w:val="1"/>
    <w:uiPriority w:val="0"/>
    <w:pPr>
      <w:keepNext/>
      <w:keepLines/>
      <w:widowControl w:val="0"/>
      <w:tabs>
        <w:tab w:val="center" w:pos="6804"/>
      </w:tabs>
      <w:overflowPunct w:val="0"/>
      <w:adjustRightInd w:val="0"/>
      <w:spacing w:before="80" w:line="360" w:lineRule="auto"/>
      <w:ind w:firstLine="200" w:firstLineChars="200"/>
      <w:jc w:val="center"/>
      <w:textAlignment w:val="bottom"/>
    </w:pPr>
    <w:rPr>
      <w:rFonts w:ascii="Times New Roman" w:hAnsi="Times New Roman" w:cs="Times New Roman"/>
      <w:szCs w:val="20"/>
    </w:rPr>
  </w:style>
  <w:style w:type="paragraph" w:customStyle="1" w:styleId="295">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6">
    <w:name w:val="xl74"/>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7">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sz w:val="20"/>
      <w:szCs w:val="20"/>
    </w:rPr>
  </w:style>
  <w:style w:type="paragraph" w:customStyle="1" w:styleId="298">
    <w:name w:val="_Style 296"/>
    <w:unhideWhenUsed/>
    <w:qFormat/>
    <w:uiPriority w:val="0"/>
    <w:rPr>
      <w:rFonts w:ascii="宋体" w:hAnsi="宋体" w:eastAsia="宋体" w:cs="宋体"/>
      <w:sz w:val="24"/>
      <w:szCs w:val="24"/>
      <w:lang w:val="en-US" w:eastAsia="zh-CN" w:bidi="ar-SA"/>
    </w:rPr>
  </w:style>
  <w:style w:type="paragraph" w:customStyle="1" w:styleId="299">
    <w:name w:val="批注文字1"/>
    <w:basedOn w:val="1"/>
    <w:next w:val="15"/>
    <w:qFormat/>
    <w:uiPriority w:val="0"/>
    <w:pPr>
      <w:widowControl w:val="0"/>
      <w:spacing w:line="360" w:lineRule="auto"/>
      <w:ind w:firstLine="200" w:firstLineChars="200"/>
    </w:pPr>
    <w:rPr>
      <w:rFonts w:ascii="等线" w:hAnsi="等线" w:eastAsia="等线" w:cs="Times New Roman"/>
      <w:kern w:val="2"/>
      <w:sz w:val="21"/>
      <w:szCs w:val="22"/>
    </w:rPr>
  </w:style>
  <w:style w:type="paragraph" w:customStyle="1" w:styleId="300">
    <w:name w:val="TOC 标题2"/>
    <w:basedOn w:val="2"/>
    <w:next w:val="1"/>
    <w:unhideWhenUsed/>
    <w:qFormat/>
    <w:uiPriority w:val="39"/>
    <w:pPr>
      <w:spacing w:before="0" w:after="0" w:line="259" w:lineRule="auto"/>
      <w:outlineLvl w:val="9"/>
    </w:pPr>
    <w:rPr>
      <w:rFonts w:ascii="等线 Light" w:hAnsi="等线 Light" w:eastAsia="等线 Light"/>
      <w:b w:val="0"/>
      <w:bCs w:val="0"/>
      <w:color w:val="2F5496"/>
      <w:kern w:val="0"/>
      <w:sz w:val="32"/>
      <w:szCs w:val="32"/>
    </w:rPr>
  </w:style>
  <w:style w:type="character" w:styleId="301">
    <w:name w:val="Placeholder Text"/>
    <w:semiHidden/>
    <w:qFormat/>
    <w:uiPriority w:val="99"/>
    <w:rPr>
      <w:color w:val="808080"/>
    </w:rPr>
  </w:style>
  <w:style w:type="character" w:customStyle="1" w:styleId="302">
    <w:name w:val="书籍标题2"/>
    <w:qFormat/>
    <w:uiPriority w:val="33"/>
    <w:rPr>
      <w:rFonts w:ascii="宋体" w:hAnsi="宋体"/>
      <w:b/>
    </w:rPr>
  </w:style>
  <w:style w:type="character" w:customStyle="1" w:styleId="303">
    <w:name w:val="脚注文本 Char"/>
    <w:uiPriority w:val="0"/>
    <w:rPr>
      <w:rFonts w:ascii="Calibri" w:hAnsi="Calibri"/>
      <w:sz w:val="18"/>
      <w:szCs w:val="18"/>
    </w:rPr>
  </w:style>
  <w:style w:type="paragraph" w:customStyle="1" w:styleId="304">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305">
    <w:name w:val="@他1"/>
    <w:unhideWhenUsed/>
    <w:qFormat/>
    <w:uiPriority w:val="0"/>
    <w:rPr>
      <w:color w:val="2B579A"/>
      <w:shd w:val="clear" w:color="auto" w:fill="E6E6E6"/>
    </w:rPr>
  </w:style>
  <w:style w:type="paragraph" w:customStyle="1" w:styleId="306">
    <w:name w:val="char"/>
    <w:basedOn w:val="1"/>
    <w:uiPriority w:val="0"/>
    <w:pPr>
      <w:spacing w:beforeLines="50" w:line="360" w:lineRule="exact"/>
      <w:ind w:firstLine="496" w:firstLineChars="200"/>
      <w:jc w:val="both"/>
    </w:pPr>
    <w:rPr>
      <w:rFonts w:ascii="Times New Roman" w:hAnsi="Times New Roman" w:cs="Times New Roman"/>
      <w:color w:val="FF0000"/>
      <w:spacing w:val="4"/>
    </w:rPr>
  </w:style>
  <w:style w:type="paragraph" w:customStyle="1" w:styleId="307">
    <w:name w:val="MTDisplayEquation"/>
    <w:basedOn w:val="1"/>
    <w:next w:val="1"/>
    <w:link w:val="308"/>
    <w:qFormat/>
    <w:uiPriority w:val="0"/>
    <w:pPr>
      <w:widowControl w:val="0"/>
      <w:tabs>
        <w:tab w:val="center" w:pos="4160"/>
        <w:tab w:val="right" w:pos="8320"/>
      </w:tabs>
      <w:spacing w:line="360" w:lineRule="exact"/>
      <w:ind w:firstLine="420" w:firstLineChars="200"/>
      <w:jc w:val="both"/>
    </w:pPr>
    <w:rPr>
      <w:rFonts w:ascii="Times New Roman" w:hAnsi="Times New Roman" w:cs="Times New Roman"/>
      <w:kern w:val="2"/>
      <w:sz w:val="21"/>
      <w:szCs w:val="20"/>
    </w:rPr>
  </w:style>
  <w:style w:type="character" w:customStyle="1" w:styleId="308">
    <w:name w:val="MTDisplayEquation Char"/>
    <w:link w:val="307"/>
    <w:qFormat/>
    <w:uiPriority w:val="0"/>
    <w:rPr>
      <w:rFonts w:ascii="Times New Roman" w:hAnsi="Times New Roman"/>
      <w:kern w:val="2"/>
      <w:sz w:val="21"/>
    </w:rPr>
  </w:style>
  <w:style w:type="character" w:customStyle="1" w:styleId="309">
    <w:name w:val="日期 Char1"/>
    <w:semiHidden/>
    <w:uiPriority w:val="99"/>
    <w:rPr>
      <w:rFonts w:ascii="Calibri" w:hAnsi="Calibri" w:eastAsia="宋体"/>
      <w:kern w:val="2"/>
      <w:sz w:val="21"/>
      <w:szCs w:val="22"/>
    </w:rPr>
  </w:style>
  <w:style w:type="character" w:customStyle="1" w:styleId="310">
    <w:name w:val="页脚 Char1"/>
    <w:qFormat/>
    <w:uiPriority w:val="99"/>
    <w:rPr>
      <w:sz w:val="18"/>
      <w:szCs w:val="18"/>
    </w:rPr>
  </w:style>
  <w:style w:type="paragraph" w:customStyle="1" w:styleId="311">
    <w:name w:val="图表"/>
    <w:basedOn w:val="1"/>
    <w:next w:val="1"/>
    <w:qFormat/>
    <w:uiPriority w:val="0"/>
    <w:pPr>
      <w:framePr w:wrap="notBeside" w:vAnchor="text" w:hAnchor="text" w:y="1"/>
      <w:jc w:val="center"/>
    </w:pPr>
    <w:rPr>
      <w:rFonts w:ascii="Times New Roman" w:hAnsi="Times New Roman" w:cs="Times New Roman"/>
      <w:snapToGrid w:val="0"/>
      <w:color w:val="000000"/>
      <w:sz w:val="21"/>
      <w:szCs w:val="30"/>
    </w:rPr>
  </w:style>
  <w:style w:type="character" w:customStyle="1" w:styleId="312">
    <w:name w:val="标题 6 Char1"/>
    <w:qFormat/>
    <w:uiPriority w:val="0"/>
    <w:rPr>
      <w:rFonts w:ascii="Cambria" w:hAnsi="Cambria"/>
      <w:b/>
      <w:sz w:val="24"/>
    </w:rPr>
  </w:style>
  <w:style w:type="character" w:customStyle="1" w:styleId="313">
    <w:name w:val="批注引用2"/>
    <w:qFormat/>
    <w:uiPriority w:val="0"/>
    <w:rPr>
      <w:sz w:val="21"/>
    </w:rPr>
  </w:style>
  <w:style w:type="character" w:customStyle="1" w:styleId="314">
    <w:name w:val="副标题 Char2"/>
    <w:uiPriority w:val="0"/>
    <w:rPr>
      <w:rFonts w:ascii="Cambria" w:hAnsi="Cambria"/>
      <w:b/>
      <w:kern w:val="28"/>
      <w:sz w:val="32"/>
    </w:rPr>
  </w:style>
  <w:style w:type="character" w:customStyle="1" w:styleId="315">
    <w:name w:val="占位符文本2"/>
    <w:qFormat/>
    <w:uiPriority w:val="0"/>
    <w:rPr>
      <w:color w:val="808080"/>
    </w:rPr>
  </w:style>
  <w:style w:type="character" w:customStyle="1" w:styleId="316">
    <w:name w:val="标题 9 Char1"/>
    <w:qFormat/>
    <w:uiPriority w:val="0"/>
    <w:rPr>
      <w:rFonts w:eastAsia="仿宋_GB2312"/>
      <w:color w:val="000000"/>
      <w:kern w:val="22"/>
    </w:rPr>
  </w:style>
  <w:style w:type="character" w:customStyle="1" w:styleId="317">
    <w:name w:val="font61"/>
    <w:qFormat/>
    <w:uiPriority w:val="0"/>
    <w:rPr>
      <w:rFonts w:hint="eastAsia" w:ascii="仿宋_GB2312" w:eastAsia="仿宋_GB2312"/>
      <w:color w:val="auto"/>
      <w:sz w:val="20"/>
      <w:u w:val="none"/>
    </w:rPr>
  </w:style>
  <w:style w:type="character" w:customStyle="1" w:styleId="318">
    <w:name w:val="标题 8 Char1"/>
    <w:qFormat/>
    <w:uiPriority w:val="0"/>
    <w:rPr>
      <w:rFonts w:ascii="Arial" w:hAnsi="Arial" w:eastAsia="黑体"/>
      <w:color w:val="000000"/>
      <w:kern w:val="22"/>
      <w:sz w:val="24"/>
    </w:rPr>
  </w:style>
  <w:style w:type="character" w:customStyle="1" w:styleId="319">
    <w:name w:val="标题 5 Char1"/>
    <w:qFormat/>
    <w:uiPriority w:val="0"/>
    <w:rPr>
      <w:rFonts w:ascii="Calibri" w:hAnsi="Calibri"/>
      <w:b/>
      <w:sz w:val="28"/>
    </w:rPr>
  </w:style>
  <w:style w:type="character" w:customStyle="1" w:styleId="320">
    <w:name w:val="标题 Char2"/>
    <w:qFormat/>
    <w:uiPriority w:val="0"/>
    <w:rPr>
      <w:rFonts w:ascii="Cambria" w:hAnsi="Cambria"/>
      <w:b/>
      <w:sz w:val="32"/>
    </w:rPr>
  </w:style>
  <w:style w:type="character" w:customStyle="1" w:styleId="321">
    <w:name w:val="MTEquationSection"/>
    <w:qFormat/>
    <w:uiPriority w:val="0"/>
    <w:rPr>
      <w:rFonts w:eastAsia="黑体"/>
      <w:vanish/>
      <w:color w:val="FF0000"/>
      <w:sz w:val="32"/>
      <w:szCs w:val="32"/>
    </w:rPr>
  </w:style>
  <w:style w:type="character" w:customStyle="1" w:styleId="322">
    <w:name w:val="脚注文本 Char1"/>
    <w:qFormat/>
    <w:uiPriority w:val="0"/>
    <w:rPr>
      <w:rFonts w:ascii="Calibri" w:hAnsi="Calibri"/>
      <w:sz w:val="18"/>
    </w:rPr>
  </w:style>
  <w:style w:type="character" w:customStyle="1" w:styleId="323">
    <w:name w:val="书籍标题21"/>
    <w:uiPriority w:val="0"/>
    <w:rPr>
      <w:rFonts w:ascii="宋体" w:hAnsi="宋体"/>
      <w:b/>
    </w:rPr>
  </w:style>
  <w:style w:type="character" w:customStyle="1" w:styleId="324">
    <w:name w:val="标题 7 Char1"/>
    <w:qFormat/>
    <w:uiPriority w:val="0"/>
    <w:rPr>
      <w:rFonts w:ascii="Calibri" w:hAnsi="Calibri"/>
      <w:b/>
      <w:sz w:val="24"/>
    </w:rPr>
  </w:style>
  <w:style w:type="paragraph" w:customStyle="1" w:styleId="325">
    <w:name w:val="批注主题2"/>
    <w:basedOn w:val="15"/>
    <w:next w:val="15"/>
    <w:qFormat/>
    <w:uiPriority w:val="0"/>
    <w:pPr>
      <w:widowControl w:val="0"/>
      <w:spacing w:line="360" w:lineRule="auto"/>
      <w:ind w:firstLine="200" w:firstLineChars="200"/>
    </w:pPr>
    <w:rPr>
      <w:rFonts w:ascii="Calibri" w:hAnsi="Calibri" w:cs="Times New Roman"/>
      <w:b/>
      <w:sz w:val="20"/>
      <w:szCs w:val="20"/>
    </w:rPr>
  </w:style>
  <w:style w:type="paragraph" w:customStyle="1" w:styleId="326">
    <w:name w:val="_Style 28"/>
    <w:next w:val="1"/>
    <w:uiPriority w:val="0"/>
    <w:pPr>
      <w:widowControl w:val="0"/>
      <w:spacing w:line="360" w:lineRule="exact"/>
      <w:jc w:val="both"/>
    </w:pPr>
    <w:rPr>
      <w:rFonts w:ascii="Times New Roman" w:hAnsi="Times New Roman" w:eastAsia="宋体" w:cs="Times New Roman"/>
      <w:kern w:val="2"/>
      <w:sz w:val="21"/>
      <w:lang w:val="en-US" w:eastAsia="zh-CN" w:bidi="ar-SA"/>
    </w:rPr>
  </w:style>
  <w:style w:type="paragraph" w:customStyle="1" w:styleId="327">
    <w:name w:val="TOC 标题21"/>
    <w:basedOn w:val="2"/>
    <w:next w:val="1"/>
    <w:qFormat/>
    <w:uiPriority w:val="0"/>
    <w:pPr>
      <w:spacing w:beforeLines="50" w:after="0" w:line="257" w:lineRule="auto"/>
      <w:outlineLvl w:val="9"/>
    </w:pPr>
    <w:rPr>
      <w:rFonts w:ascii="等线 Light" w:hAnsi="等线 Light" w:eastAsia="等线 Light"/>
      <w:b w:val="0"/>
      <w:bCs w:val="0"/>
      <w:color w:val="2F5496"/>
      <w:kern w:val="0"/>
      <w:sz w:val="32"/>
      <w:szCs w:val="20"/>
    </w:rPr>
  </w:style>
  <w:style w:type="paragraph" w:customStyle="1" w:styleId="328">
    <w:name w:val="修订2"/>
    <w:qFormat/>
    <w:uiPriority w:val="0"/>
    <w:pPr>
      <w:spacing w:line="360" w:lineRule="exact"/>
      <w:jc w:val="both"/>
    </w:pPr>
    <w:rPr>
      <w:rFonts w:ascii="Calibri" w:hAnsi="Calibri" w:eastAsia="宋体" w:cs="Times New Roman"/>
      <w:lang w:val="en-US" w:eastAsia="zh-CN" w:bidi="ar-SA"/>
    </w:rPr>
  </w:style>
  <w:style w:type="paragraph" w:customStyle="1" w:styleId="329">
    <w:name w:val="列出段落2"/>
    <w:basedOn w:val="1"/>
    <w:qFormat/>
    <w:uiPriority w:val="99"/>
    <w:pPr>
      <w:widowControl w:val="0"/>
      <w:spacing w:line="360" w:lineRule="exact"/>
      <w:ind w:firstLine="420" w:firstLineChars="200"/>
      <w:jc w:val="both"/>
    </w:pPr>
    <w:rPr>
      <w:rFonts w:ascii="Times New Roman" w:hAnsi="Times New Roman" w:cs="Times New Roman"/>
      <w:kern w:val="2"/>
      <w:sz w:val="21"/>
      <w:szCs w:val="20"/>
    </w:rPr>
  </w:style>
  <w:style w:type="paragraph" w:customStyle="1" w:styleId="330">
    <w:name w:val="文档结构图2"/>
    <w:basedOn w:val="1"/>
    <w:uiPriority w:val="0"/>
    <w:pPr>
      <w:widowControl w:val="0"/>
      <w:spacing w:line="360" w:lineRule="auto"/>
      <w:ind w:firstLine="200" w:firstLineChars="200"/>
      <w:jc w:val="both"/>
    </w:pPr>
    <w:rPr>
      <w:rFonts w:hAnsi="Calibri" w:cs="Times New Roman"/>
      <w:sz w:val="18"/>
      <w:szCs w:val="20"/>
    </w:rPr>
  </w:style>
  <w:style w:type="paragraph" w:customStyle="1" w:styleId="331">
    <w:name w:val="1"/>
    <w:uiPriority w:val="0"/>
    <w:pPr>
      <w:widowControl w:val="0"/>
      <w:spacing w:line="360" w:lineRule="exact"/>
      <w:jc w:val="both"/>
    </w:pPr>
    <w:rPr>
      <w:rFonts w:ascii="Times New Roman" w:hAnsi="Times New Roman" w:eastAsia="宋体" w:cs="Times New Roman"/>
      <w:kern w:val="2"/>
      <w:sz w:val="21"/>
      <w:lang w:val="en-US" w:eastAsia="zh-CN" w:bidi="ar-SA"/>
    </w:rPr>
  </w:style>
  <w:style w:type="character" w:customStyle="1" w:styleId="332">
    <w:name w:val="正文文本 2 Char"/>
    <w:link w:val="185"/>
    <w:uiPriority w:val="0"/>
    <w:rPr>
      <w:rFonts w:ascii="Times New Roman" w:hAnsi="Times New Roman"/>
      <w:szCs w:val="24"/>
    </w:rPr>
  </w:style>
  <w:style w:type="character" w:customStyle="1" w:styleId="333">
    <w:name w:val="批注主题 Char"/>
    <w:link w:val="186"/>
    <w:uiPriority w:val="0"/>
    <w:rPr>
      <w:rFonts w:ascii="等线" w:hAnsi="等线" w:eastAsia="等线"/>
      <w:b/>
      <w:bCs/>
    </w:rPr>
  </w:style>
  <w:style w:type="character" w:customStyle="1" w:styleId="334">
    <w:name w:val="正文文本缩进 Char1"/>
    <w:basedOn w:val="44"/>
    <w:uiPriority w:val="0"/>
  </w:style>
  <w:style w:type="character" w:customStyle="1" w:styleId="335">
    <w:name w:val="日期 Char"/>
    <w:link w:val="208"/>
    <w:uiPriority w:val="0"/>
  </w:style>
  <w:style w:type="character" w:customStyle="1" w:styleId="336">
    <w:name w:val="文档结构图 Char"/>
    <w:link w:val="151"/>
    <w:uiPriority w:val="0"/>
    <w:rPr>
      <w:rFonts w:ascii="宋体"/>
      <w:kern w:val="2"/>
      <w:sz w:val="18"/>
      <w:szCs w:val="18"/>
    </w:rPr>
  </w:style>
  <w:style w:type="character" w:customStyle="1" w:styleId="337">
    <w:name w:val="标题 1 Char"/>
    <w:uiPriority w:val="0"/>
    <w:rPr>
      <w:b/>
      <w:kern w:val="44"/>
      <w:sz w:val="44"/>
    </w:rPr>
  </w:style>
  <w:style w:type="paragraph" w:customStyle="1" w:styleId="338">
    <w:name w:val="正文表标题"/>
    <w:next w:val="1"/>
    <w:qFormat/>
    <w:uiPriority w:val="0"/>
    <w:pPr>
      <w:numPr>
        <w:ilvl w:val="0"/>
        <w:numId w:val="2"/>
      </w:numPr>
      <w:jc w:val="center"/>
    </w:pPr>
    <w:rPr>
      <w:rFonts w:ascii="楷体_GB2312" w:hAnsi="Times New Roman" w:eastAsia="楷体_GB2312" w:cs="Times New Roman"/>
      <w:sz w:val="21"/>
      <w:lang w:val="en-US" w:eastAsia="zh-CN" w:bidi="ar-SA"/>
    </w:rPr>
  </w:style>
  <w:style w:type="paragraph" w:customStyle="1" w:styleId="339">
    <w:name w:val="表文"/>
    <w:basedOn w:val="1"/>
    <w:qFormat/>
    <w:uiPriority w:val="0"/>
    <w:pPr>
      <w:spacing w:line="360" w:lineRule="auto"/>
      <w:jc w:val="center"/>
    </w:pPr>
    <w:rPr>
      <w:rFonts w:ascii="Times New Roman" w:hAnsi="Times New Roman" w:cs="Times New Roman"/>
      <w:kern w:val="2"/>
      <w:sz w:val="18"/>
      <w:szCs w:val="21"/>
    </w:rPr>
  </w:style>
  <w:style w:type="character" w:customStyle="1" w:styleId="340">
    <w:name w:val="fontstyle01"/>
    <w:basedOn w:val="44"/>
    <w:uiPriority w:val="0"/>
    <w:rPr>
      <w:rFonts w:hint="eastAsia" w:ascii="宋体" w:hAnsi="宋体" w:eastAsia="宋体"/>
      <w:color w:val="000000"/>
      <w:sz w:val="22"/>
      <w:szCs w:val="22"/>
    </w:rPr>
  </w:style>
  <w:style w:type="paragraph" w:customStyle="1" w:styleId="341">
    <w:name w:val="3333"/>
    <w:basedOn w:val="4"/>
    <w:link w:val="342"/>
    <w:qFormat/>
    <w:uiPriority w:val="0"/>
    <w:pPr>
      <w:widowControl w:val="0"/>
      <w:spacing w:before="0" w:after="0" w:line="360" w:lineRule="auto"/>
      <w:ind w:firstLine="200" w:firstLineChars="200"/>
      <w:jc w:val="both"/>
    </w:pPr>
    <w:rPr>
      <w:rFonts w:ascii="Times New Roman" w:hAnsi="Times New Roman"/>
      <w:kern w:val="2"/>
      <w:sz w:val="24"/>
      <w:lang w:val="zh-CN"/>
    </w:rPr>
  </w:style>
  <w:style w:type="character" w:customStyle="1" w:styleId="342">
    <w:name w:val="3333 字符"/>
    <w:basedOn w:val="44"/>
    <w:link w:val="341"/>
    <w:uiPriority w:val="0"/>
    <w:rPr>
      <w:rFonts w:ascii="Times New Roman" w:hAnsi="Times New Roman"/>
      <w:b/>
      <w:bCs/>
      <w:kern w:val="2"/>
      <w:sz w:val="24"/>
      <w:szCs w:val="32"/>
      <w:lang w:val="zh-CN"/>
    </w:rPr>
  </w:style>
  <w:style w:type="paragraph" w:customStyle="1" w:styleId="343">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一级条标题"/>
    <w:next w:val="1"/>
    <w:link w:val="345"/>
    <w:qFormat/>
    <w:uiPriority w:val="0"/>
    <w:pPr>
      <w:outlineLvl w:val="2"/>
    </w:pPr>
    <w:rPr>
      <w:rFonts w:ascii="Times New Roman" w:hAnsi="Times New Roman" w:eastAsia="黑体" w:cs="Times New Roman"/>
      <w:sz w:val="21"/>
      <w:lang w:val="en-US" w:eastAsia="zh-CN" w:bidi="ar-SA"/>
    </w:rPr>
  </w:style>
  <w:style w:type="character" w:customStyle="1" w:styleId="345">
    <w:name w:val="一级条标题 Char"/>
    <w:link w:val="344"/>
    <w:uiPriority w:val="0"/>
    <w:rPr>
      <w:rFonts w:ascii="Times New Roman" w:hAnsi="Times New Roman" w:eastAsia="黑体"/>
      <w:sz w:val="21"/>
    </w:rPr>
  </w:style>
  <w:style w:type="paragraph" w:customStyle="1" w:styleId="346">
    <w:name w:val="二级条标题"/>
    <w:basedOn w:val="344"/>
    <w:next w:val="1"/>
    <w:qFormat/>
    <w:uiPriority w:val="0"/>
    <w:pPr>
      <w:ind w:left="2100" w:hanging="420"/>
      <w:outlineLvl w:val="3"/>
    </w:pPr>
    <w:rPr>
      <w:lang w:val="zh-CN"/>
    </w:rPr>
  </w:style>
  <w:style w:type="paragraph" w:customStyle="1" w:styleId="347">
    <w:name w:val="三级条标题"/>
    <w:basedOn w:val="346"/>
    <w:next w:val="1"/>
    <w:qFormat/>
    <w:uiPriority w:val="0"/>
    <w:pPr>
      <w:ind w:left="2520"/>
      <w:outlineLvl w:val="4"/>
    </w:pPr>
  </w:style>
  <w:style w:type="paragraph" w:customStyle="1" w:styleId="348">
    <w:name w:val="四级条标题"/>
    <w:basedOn w:val="347"/>
    <w:next w:val="1"/>
    <w:uiPriority w:val="0"/>
    <w:pPr>
      <w:ind w:left="2940"/>
      <w:outlineLvl w:val="5"/>
    </w:pPr>
  </w:style>
  <w:style w:type="paragraph" w:customStyle="1" w:styleId="349">
    <w:name w:val="五级条标题"/>
    <w:basedOn w:val="348"/>
    <w:next w:val="1"/>
    <w:uiPriority w:val="0"/>
    <w:pPr>
      <w:ind w:left="3360"/>
      <w:outlineLvl w:val="6"/>
    </w:pPr>
  </w:style>
  <w:style w:type="character" w:customStyle="1" w:styleId="350">
    <w:name w:val="000 字符"/>
    <w:link w:val="351"/>
    <w:uiPriority w:val="0"/>
    <w:rPr>
      <w:lang w:val="en-US" w:eastAsia="zh-CN"/>
    </w:rPr>
  </w:style>
  <w:style w:type="paragraph" w:customStyle="1" w:styleId="351">
    <w:name w:val="000"/>
    <w:basedOn w:val="1"/>
    <w:link w:val="350"/>
    <w:qFormat/>
    <w:uiPriority w:val="0"/>
    <w:pPr>
      <w:autoSpaceDE w:val="0"/>
      <w:autoSpaceDN w:val="0"/>
      <w:spacing w:line="360" w:lineRule="exact"/>
      <w:ind w:firstLine="420" w:firstLineChars="200"/>
      <w:jc w:val="both"/>
    </w:pPr>
    <w:rPr>
      <w:rFonts w:ascii="Times New Roman" w:hAnsi="Times New Roman" w:cs="Times New Roman"/>
      <w:sz w:val="20"/>
      <w:szCs w:val="20"/>
    </w:rPr>
  </w:style>
  <w:style w:type="paragraph" w:customStyle="1" w:styleId="352">
    <w:name w:val="标准文件_段"/>
    <w:link w:val="353"/>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3">
    <w:name w:val="标准文件_段 Char"/>
    <w:link w:val="352"/>
    <w:uiPriority w:val="0"/>
    <w:rPr>
      <w:rFonts w:ascii="宋体"/>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FDF72-960D-4750-A70A-30032D7D27D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1581</Words>
  <Characters>9016</Characters>
  <Lines>75</Lines>
  <Paragraphs>21</Paragraphs>
  <TotalTime>2</TotalTime>
  <ScaleCrop>false</ScaleCrop>
  <LinksUpToDate>false</LinksUpToDate>
  <CharactersWithSpaces>10576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2023-07-30T10:52:00Z</dcterms:created>
  <dc:creator>admin</dc:creator>
  <cp:lastModifiedBy>北京老田</cp:lastModifiedBy>
  <cp:lastPrinted>2018-04-17T05:47:00Z</cp:lastPrinted>
  <dcterms:modified xsi:type="dcterms:W3CDTF">2023-08-02T05:46:39Z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CF10B69C09C8427CB980CCC4E5231B25_13</vt:lpwstr>
  </property>
</Properties>
</file>