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3"/>
        <w:framePr w:w="2220" w:h="1023" w:hRule="exact" w:wrap="around"/>
        <w:rPr>
          <w:rFonts w:ascii="Times New Roman" w:hAnsi="Times New Roman"/>
        </w:rPr>
      </w:pPr>
      <w:r>
        <w:rPr>
          <w:rFonts w:ascii="Times New Roman" w:hAnsi="Times New Roman"/>
        </w:rPr>
        <w:t>ICS</w:t>
      </w:r>
      <w:r>
        <w:rPr>
          <w:rFonts w:ascii="Times New Roman" w:hAnsi="Times New Roman" w:eastAsia="MS Mincho"/>
        </w:rPr>
        <w:t> </w:t>
      </w:r>
      <w:r>
        <w:rPr>
          <w:rFonts w:ascii="Times New Roman" w:hAnsi="Times New Roman"/>
        </w:rPr>
        <w:t>97.180</w:t>
      </w:r>
    </w:p>
    <w:p>
      <w:pPr>
        <w:pStyle w:val="173"/>
        <w:framePr w:w="2220" w:h="1023" w:hRule="exact" w:wrap="around"/>
        <w:rPr>
          <w:rFonts w:ascii="Times New Roman" w:hAnsi="Times New Roman"/>
        </w:rPr>
      </w:pPr>
      <w:r>
        <w:rPr>
          <w:rFonts w:ascii="Times New Roman" w:hAnsi="Times New Roman"/>
        </w:rPr>
        <w:t>CCS Y 62</w:t>
      </w:r>
    </w:p>
    <w:p>
      <w:pPr>
        <w:pStyle w:val="116"/>
        <w:framePr w:wrap="around"/>
        <w:rPr>
          <w:rFonts w:ascii="Times New Roman" w:hAnsi="Times New Roman"/>
          <w:b w:val="0"/>
        </w:rPr>
      </w:pPr>
    </w:p>
    <w:p>
      <w:pPr>
        <w:pStyle w:val="117"/>
        <w:framePr w:wrap="around"/>
        <w:rPr>
          <w:rFonts w:ascii="Times New Roman" w:hAnsi="Times New Roman"/>
          <w:b w:val="0"/>
        </w:rPr>
      </w:pPr>
      <w:r>
        <w:rPr>
          <w:rFonts w:ascii="Times New Roman" w:hAnsi="Times New Roman"/>
          <w:b w:val="0"/>
        </w:rPr>
        <w:t>团体标准</w:t>
      </w:r>
    </w:p>
    <w:p>
      <w:pPr>
        <w:pStyle w:val="97"/>
        <w:framePr w:wrap="around"/>
        <w:rPr>
          <w:rFonts w:ascii="Times New Roman" w:hAnsi="Times New Roman" w:eastAsia="宋体"/>
        </w:rPr>
      </w:pPr>
      <w:r>
        <w:rPr>
          <w:rFonts w:ascii="Times New Roman" w:hAnsi="Times New Roman" w:eastAsia="宋体"/>
        </w:rPr>
        <w:t>T/CNLIC  XXXX—</w:t>
      </w:r>
      <w:bookmarkStart w:id="0" w:name="StdNo2"/>
      <w:r>
        <w:rPr>
          <w:rFonts w:ascii="Times New Roman" w:hAnsi="Times New Roman" w:eastAsia="宋体"/>
        </w:rPr>
        <w:fldChar w:fldCharType="begin">
          <w:ffData>
            <w:name w:val="StdNo2"/>
            <w:enabled/>
            <w:calcOnExit w:val="0"/>
            <w:textInput>
              <w:default w:val="XXXX"/>
              <w:maxLength w:val="4"/>
            </w:textInput>
          </w:ffData>
        </w:fldChar>
      </w:r>
      <w:r>
        <w:rPr>
          <w:rFonts w:ascii="Times New Roman" w:hAnsi="Times New Roman" w:eastAsia="宋体"/>
        </w:rPr>
        <w:instrText xml:space="preserve"> FORMTEXT </w:instrText>
      </w:r>
      <w:r>
        <w:rPr>
          <w:rFonts w:ascii="Times New Roman" w:hAnsi="Times New Roman" w:eastAsia="宋体"/>
        </w:rPr>
        <w:fldChar w:fldCharType="separate"/>
      </w:r>
      <w:r>
        <w:rPr>
          <w:rFonts w:ascii="Times New Roman" w:hAnsi="Times New Roman" w:eastAsia="宋体"/>
        </w:rPr>
        <w:t>XXXX</w:t>
      </w:r>
      <w:r>
        <w:rPr>
          <w:rFonts w:ascii="Times New Roman" w:hAnsi="Times New Roman" w:eastAsia="宋体"/>
        </w:rPr>
        <w:fldChar w:fldCharType="end"/>
      </w:r>
      <w:bookmarkEnd w:id="0"/>
    </w:p>
    <w:tbl>
      <w:tblPr>
        <w:tblStyle w:val="4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126"/>
              <w:framePr w:wrap="around"/>
              <w:rPr>
                <w:rFonts w:ascii="Times New Roman" w:hAnsi="Times New Roman"/>
              </w:rPr>
            </w:pPr>
            <w:bookmarkStart w:id="1" w:name="DT"/>
            <w:r>
              <w:rPr>
                <w:rFonts w:ascii="Times New Roman" w:hAnsi="Times New Roman"/>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1521460</wp:posOffset>
                      </wp:positionV>
                      <wp:extent cx="1143000" cy="228600"/>
                      <wp:effectExtent l="0" t="1270" r="3175" b="0"/>
                      <wp:wrapNone/>
                      <wp:docPr id="10"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119.8pt;height:18pt;width:90pt;z-index:-25165414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FTog2AAAAAsBAAAPAAAAAAAAAAEAIAAAACIA&#10;AABkcnMvZG93bnJldi54bWxQSwECFAAUAAAACACHTuJANuEU0gkCAAAhBAAADgAAAAAAAAABACAA&#10;AAAnAQAAZHJzL2Uyb0RvYy54bWxQSwUGAAAAAAYABgBZAQAAogUAAAAA&#10;">
                      <v:fill on="t" focussize="0,0"/>
                      <v:stroke on="f"/>
                      <v:imagedata o:title=""/>
                      <o:lock v:ext="edit" aspectratio="f"/>
                    </v:rect>
                  </w:pict>
                </mc:Fallback>
              </mc:AlternateContent>
            </w:r>
            <w:bookmarkEnd w:id="1"/>
          </w:p>
        </w:tc>
      </w:tr>
    </w:tbl>
    <w:p>
      <w:pPr>
        <w:pStyle w:val="97"/>
        <w:framePr w:wrap="around"/>
        <w:rPr>
          <w:rFonts w:ascii="Times New Roman" w:hAnsi="Times New Roman" w:eastAsia="宋体"/>
        </w:rPr>
      </w:pPr>
    </w:p>
    <w:p>
      <w:pPr>
        <w:pStyle w:val="97"/>
        <w:framePr w:wrap="around"/>
        <w:rPr>
          <w:rFonts w:ascii="Times New Roman" w:hAnsi="Times New Roman" w:eastAsia="宋体"/>
        </w:rPr>
      </w:pPr>
    </w:p>
    <w:p>
      <w:pPr>
        <w:pStyle w:val="128"/>
        <w:framePr w:w="10426" w:wrap="around" w:x="1081" w:y="6179"/>
        <w:rPr>
          <w:color w:val="000000"/>
        </w:rPr>
      </w:pPr>
      <w:bookmarkStart w:id="40" w:name="_GoBack"/>
      <w:r>
        <w:rPr>
          <w:rFonts w:hint="eastAsia"/>
          <w:color w:val="000000"/>
        </w:rPr>
        <w:t>无化学阻垢剂饮用水处理器水效</w:t>
      </w:r>
    </w:p>
    <w:p>
      <w:pPr>
        <w:pStyle w:val="128"/>
        <w:framePr w:w="10426" w:wrap="around" w:x="1081" w:y="6179"/>
        <w:rPr>
          <w:rFonts w:ascii="Times New Roman" w:hAnsi="Times New Roman"/>
        </w:rPr>
      </w:pPr>
      <w:r>
        <w:rPr>
          <w:rFonts w:hint="eastAsia"/>
          <w:color w:val="000000"/>
        </w:rPr>
        <w:t>性能评价规范</w:t>
      </w:r>
    </w:p>
    <w:bookmarkEnd w:id="40"/>
    <w:p>
      <w:pPr>
        <w:pStyle w:val="128"/>
        <w:framePr w:w="10426" w:wrap="around" w:x="1081" w:y="6179"/>
        <w:rPr>
          <w:rFonts w:ascii="Times New Roman" w:hAnsi="Times New Roman"/>
        </w:rPr>
      </w:pPr>
    </w:p>
    <w:p>
      <w:pPr>
        <w:pStyle w:val="129"/>
        <w:framePr w:w="10426" w:wrap="around" w:x="1081" w:y="6179"/>
        <w:rPr>
          <w:rFonts w:hAnsi="Times New Roman" w:eastAsia="Arial Unicode MS"/>
          <w:b/>
          <w:bCs/>
        </w:rPr>
      </w:pPr>
      <w:r>
        <w:rPr>
          <w:rFonts w:hAnsi="Times New Roman"/>
          <w:color w:val="333333"/>
          <w:szCs w:val="21"/>
          <w:shd w:val="clear" w:color="auto" w:fill="FFFFFF"/>
        </w:rPr>
        <w:t>Water saving drinking water processor without chemical scale inhibitor</w:t>
      </w:r>
    </w:p>
    <w:p>
      <w:pPr>
        <w:pStyle w:val="129"/>
        <w:framePr w:w="10426" w:wrap="around" w:x="1081" w:y="6179"/>
        <w:rPr>
          <w:rFonts w:hAnsi="Times New Roman" w:eastAsia="Arial Unicode MS"/>
          <w:b/>
          <w:bCs/>
        </w:rPr>
      </w:pPr>
    </w:p>
    <w:p>
      <w:pPr>
        <w:pStyle w:val="129"/>
        <w:framePr w:w="10426" w:wrap="around" w:x="1081" w:y="6179"/>
        <w:rPr>
          <w:rFonts w:hAnsi="Times New Roman" w:eastAsia="宋体"/>
        </w:rPr>
      </w:pPr>
      <w:r>
        <w:rPr>
          <w:rFonts w:hAnsi="Times New Roman"/>
        </w:rPr>
        <w:t>(</w:t>
      </w:r>
      <w:r>
        <w:rPr>
          <w:rFonts w:hint="eastAsia" w:hAnsi="Times New Roman"/>
        </w:rPr>
        <w:t>送审稿</w:t>
      </w:r>
      <w:r>
        <w:rPr>
          <w:rFonts w:hAnsi="Times New Roman"/>
        </w:rPr>
        <w:t>)</w:t>
      </w:r>
    </w:p>
    <w:p>
      <w:pPr>
        <w:pStyle w:val="180"/>
        <w:framePr w:wrap="around" w:hAnchor="page" w:x="1292"/>
        <w:rPr>
          <w:rFonts w:ascii="Times New Roman" w:hAnsi="Times New Roman" w:eastAsia="宋体"/>
        </w:rPr>
      </w:pPr>
      <w:bookmarkStart w:id="2" w:name="FY"/>
      <w:r>
        <w:rPr>
          <w:rFonts w:ascii="Times New Roman" w:hAnsi="Times New Roman" w:eastAsia="宋体"/>
        </w:rPr>
        <w:fldChar w:fldCharType="begin">
          <w:ffData>
            <w:name w:val="FY"/>
            <w:enabled/>
            <w:calcOnExit w:val="0"/>
            <w:entryMacro w:val="ShowHelp8"/>
            <w:textInput>
              <w:default w:val="XXXX"/>
              <w:maxLength w:val="4"/>
            </w:textInput>
          </w:ffData>
        </w:fldChar>
      </w:r>
      <w:r>
        <w:rPr>
          <w:rFonts w:ascii="Times New Roman" w:hAnsi="Times New Roman" w:eastAsia="宋体"/>
        </w:rPr>
        <w:instrText xml:space="preserve"> FORMTEXT </w:instrText>
      </w:r>
      <w:r>
        <w:rPr>
          <w:rFonts w:ascii="Times New Roman" w:hAnsi="Times New Roman" w:eastAsia="宋体"/>
        </w:rPr>
        <w:fldChar w:fldCharType="separate"/>
      </w:r>
      <w:r>
        <w:rPr>
          <w:rFonts w:ascii="Times New Roman" w:hAnsi="Times New Roman" w:eastAsia="宋体"/>
        </w:rPr>
        <w:t>XXXX</w:t>
      </w:r>
      <w:r>
        <w:rPr>
          <w:rFonts w:ascii="Times New Roman" w:hAnsi="Times New Roman" w:eastAsia="宋体"/>
        </w:rPr>
        <w:fldChar w:fldCharType="end"/>
      </w:r>
      <w:bookmarkEnd w:id="2"/>
      <w:r>
        <w:rPr>
          <w:rFonts w:ascii="Times New Roman" w:hAnsi="Times New Roman" w:eastAsia="宋体"/>
        </w:rPr>
        <w:t xml:space="preserve"> - </w:t>
      </w:r>
      <w:bookmarkStart w:id="3" w:name="FM"/>
      <w:r>
        <w:rPr>
          <w:rFonts w:ascii="Times New Roman" w:hAnsi="Times New Roman" w:eastAsia="宋体"/>
        </w:rPr>
        <w:fldChar w:fldCharType="begin">
          <w:ffData>
            <w:name w:val="FM"/>
            <w:enabled/>
            <w:calcOnExit w:val="0"/>
            <w:entryMacro w:val="ShowHelp8"/>
            <w:textInput>
              <w:default w:val="XX"/>
              <w:maxLength w:val="2"/>
            </w:textInput>
          </w:ffData>
        </w:fldChar>
      </w:r>
      <w:r>
        <w:rPr>
          <w:rFonts w:ascii="Times New Roman" w:hAnsi="Times New Roman" w:eastAsia="宋体"/>
        </w:rPr>
        <w:instrText xml:space="preserve"> FORMTEXT </w:instrText>
      </w:r>
      <w:r>
        <w:rPr>
          <w:rFonts w:ascii="Times New Roman" w:hAnsi="Times New Roman" w:eastAsia="宋体"/>
        </w:rPr>
        <w:fldChar w:fldCharType="separate"/>
      </w:r>
      <w:r>
        <w:rPr>
          <w:rFonts w:ascii="Times New Roman" w:hAnsi="Times New Roman" w:eastAsia="宋体"/>
        </w:rPr>
        <w:t>XX</w:t>
      </w:r>
      <w:r>
        <w:rPr>
          <w:rFonts w:ascii="Times New Roman" w:hAnsi="Times New Roman" w:eastAsia="宋体"/>
        </w:rPr>
        <w:fldChar w:fldCharType="end"/>
      </w:r>
      <w:bookmarkEnd w:id="3"/>
      <w:r>
        <w:rPr>
          <w:rFonts w:ascii="Times New Roman" w:hAnsi="Times New Roman" w:eastAsia="宋体"/>
        </w:rPr>
        <w:t xml:space="preserve"> - </w:t>
      </w:r>
      <w:bookmarkStart w:id="4" w:name="FD"/>
      <w:r>
        <w:rPr>
          <w:rFonts w:ascii="Times New Roman" w:hAnsi="Times New Roman" w:eastAsia="宋体"/>
        </w:rPr>
        <w:fldChar w:fldCharType="begin">
          <w:ffData>
            <w:name w:val="FD"/>
            <w:enabled/>
            <w:calcOnExit w:val="0"/>
            <w:entryMacro w:val="ShowHelp8"/>
            <w:textInput>
              <w:default w:val="XX"/>
              <w:maxLength w:val="2"/>
            </w:textInput>
          </w:ffData>
        </w:fldChar>
      </w:r>
      <w:r>
        <w:rPr>
          <w:rFonts w:ascii="Times New Roman" w:hAnsi="Times New Roman" w:eastAsia="宋体"/>
        </w:rPr>
        <w:instrText xml:space="preserve"> FORMTEXT </w:instrText>
      </w:r>
      <w:r>
        <w:rPr>
          <w:rFonts w:ascii="Times New Roman" w:hAnsi="Times New Roman" w:eastAsia="宋体"/>
        </w:rPr>
        <w:fldChar w:fldCharType="separate"/>
      </w:r>
      <w:r>
        <w:rPr>
          <w:rFonts w:ascii="Times New Roman" w:hAnsi="Times New Roman" w:eastAsia="宋体"/>
        </w:rPr>
        <w:t>XX</w:t>
      </w:r>
      <w:r>
        <w:rPr>
          <w:rFonts w:ascii="Times New Roman" w:hAnsi="Times New Roman" w:eastAsia="宋体"/>
        </w:rPr>
        <w:fldChar w:fldCharType="end"/>
      </w:r>
      <w:bookmarkEnd w:id="4"/>
      <w:r>
        <w:rPr>
          <w:rFonts w:ascii="Times New Roman" w:hAnsi="Times New Roman" w:eastAsia="宋体"/>
        </w:rPr>
        <w:t>发布</w:t>
      </w:r>
      <w:r>
        <w:rPr>
          <w:rFonts w:ascii="Times New Roman" w:hAnsi="Times New Roman" w:eastAsia="宋体"/>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9525" t="12700" r="13970" b="6350"/>
                <wp:wrapNone/>
                <wp:docPr id="9"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YdrPNYAAAALAQAADwAAAAAAAAABACAAAAAiAAAAZHJzL2Rvd25y&#10;ZXYueG1sUEsBAhQAFAAAAAgAh07iQAWJPR7HAQAAnwMAAA4AAAAAAAAAAQAgAAAAJQEAAGRycy9l&#10;Mm9Eb2MueG1sUEsFBgAAAAAGAAYAWQEAAF4FAAAAAA==&#10;">
                <v:fill on="f" focussize="0,0"/>
                <v:stroke color="#000000" joinstyle="round"/>
                <v:imagedata o:title=""/>
                <o:lock v:ext="edit" aspectratio="f"/>
                <w10:anchorlock/>
              </v:line>
            </w:pict>
          </mc:Fallback>
        </mc:AlternateContent>
      </w:r>
    </w:p>
    <w:p>
      <w:pPr>
        <w:pStyle w:val="181"/>
        <w:framePr w:wrap="around" w:hAnchor="page" w:x="6936"/>
        <w:rPr>
          <w:rFonts w:ascii="Times New Roman" w:hAnsi="Times New Roman" w:eastAsia="宋体"/>
        </w:rPr>
      </w:pPr>
      <w:bookmarkStart w:id="5" w:name="SY"/>
      <w:r>
        <w:rPr>
          <w:rFonts w:ascii="Times New Roman" w:hAnsi="Times New Roman" w:eastAsia="宋体"/>
        </w:rPr>
        <w:fldChar w:fldCharType="begin">
          <w:ffData>
            <w:name w:val="SY"/>
            <w:enabled/>
            <w:calcOnExit w:val="0"/>
            <w:entryMacro w:val="ShowHelp9"/>
            <w:textInput>
              <w:default w:val="XXXX"/>
              <w:maxLength w:val="4"/>
            </w:textInput>
          </w:ffData>
        </w:fldChar>
      </w:r>
      <w:r>
        <w:rPr>
          <w:rFonts w:ascii="Times New Roman" w:hAnsi="Times New Roman" w:eastAsia="宋体"/>
        </w:rPr>
        <w:instrText xml:space="preserve"> FORMTEXT </w:instrText>
      </w:r>
      <w:r>
        <w:rPr>
          <w:rFonts w:ascii="Times New Roman" w:hAnsi="Times New Roman" w:eastAsia="宋体"/>
        </w:rPr>
        <w:fldChar w:fldCharType="separate"/>
      </w:r>
      <w:r>
        <w:rPr>
          <w:rFonts w:ascii="Times New Roman" w:hAnsi="Times New Roman" w:eastAsia="宋体"/>
        </w:rPr>
        <w:t>XXXX</w:t>
      </w:r>
      <w:r>
        <w:rPr>
          <w:rFonts w:ascii="Times New Roman" w:hAnsi="Times New Roman" w:eastAsia="宋体"/>
        </w:rPr>
        <w:fldChar w:fldCharType="end"/>
      </w:r>
      <w:bookmarkEnd w:id="5"/>
      <w:r>
        <w:rPr>
          <w:rFonts w:ascii="Times New Roman" w:hAnsi="Times New Roman" w:eastAsia="宋体"/>
        </w:rPr>
        <w:t xml:space="preserve"> - </w:t>
      </w:r>
      <w:bookmarkStart w:id="6" w:name="SM"/>
      <w:r>
        <w:rPr>
          <w:rFonts w:ascii="Times New Roman" w:hAnsi="Times New Roman" w:eastAsia="宋体"/>
        </w:rPr>
        <w:fldChar w:fldCharType="begin">
          <w:ffData>
            <w:name w:val="SM"/>
            <w:enabled/>
            <w:calcOnExit w:val="0"/>
            <w:entryMacro w:val="ShowHelp9"/>
            <w:textInput>
              <w:default w:val="XX"/>
              <w:maxLength w:val="2"/>
            </w:textInput>
          </w:ffData>
        </w:fldChar>
      </w:r>
      <w:r>
        <w:rPr>
          <w:rFonts w:ascii="Times New Roman" w:hAnsi="Times New Roman" w:eastAsia="宋体"/>
        </w:rPr>
        <w:instrText xml:space="preserve"> FORMTEXT </w:instrText>
      </w:r>
      <w:r>
        <w:rPr>
          <w:rFonts w:ascii="Times New Roman" w:hAnsi="Times New Roman" w:eastAsia="宋体"/>
        </w:rPr>
        <w:fldChar w:fldCharType="separate"/>
      </w:r>
      <w:r>
        <w:rPr>
          <w:rFonts w:ascii="Times New Roman" w:hAnsi="Times New Roman" w:eastAsia="宋体"/>
        </w:rPr>
        <w:t>XX</w:t>
      </w:r>
      <w:r>
        <w:rPr>
          <w:rFonts w:ascii="Times New Roman" w:hAnsi="Times New Roman" w:eastAsia="宋体"/>
        </w:rPr>
        <w:fldChar w:fldCharType="end"/>
      </w:r>
      <w:bookmarkEnd w:id="6"/>
      <w:r>
        <w:rPr>
          <w:rFonts w:ascii="Times New Roman" w:hAnsi="Times New Roman" w:eastAsia="宋体"/>
        </w:rPr>
        <w:t xml:space="preserve"> - </w:t>
      </w:r>
      <w:bookmarkStart w:id="7" w:name="SD"/>
      <w:r>
        <w:rPr>
          <w:rFonts w:ascii="Times New Roman" w:hAnsi="Times New Roman" w:eastAsia="宋体"/>
        </w:rPr>
        <w:fldChar w:fldCharType="begin">
          <w:ffData>
            <w:name w:val="SD"/>
            <w:enabled/>
            <w:calcOnExit w:val="0"/>
            <w:entryMacro w:val="ShowHelp9"/>
            <w:textInput>
              <w:default w:val="XX"/>
              <w:maxLength w:val="2"/>
            </w:textInput>
          </w:ffData>
        </w:fldChar>
      </w:r>
      <w:r>
        <w:rPr>
          <w:rFonts w:ascii="Times New Roman" w:hAnsi="Times New Roman" w:eastAsia="宋体"/>
        </w:rPr>
        <w:instrText xml:space="preserve"> FORMTEXT </w:instrText>
      </w:r>
      <w:r>
        <w:rPr>
          <w:rFonts w:ascii="Times New Roman" w:hAnsi="Times New Roman" w:eastAsia="宋体"/>
        </w:rPr>
        <w:fldChar w:fldCharType="separate"/>
      </w:r>
      <w:r>
        <w:rPr>
          <w:rFonts w:ascii="Times New Roman" w:hAnsi="Times New Roman" w:eastAsia="宋体"/>
        </w:rPr>
        <w:t>XX</w:t>
      </w:r>
      <w:r>
        <w:rPr>
          <w:rFonts w:ascii="Times New Roman" w:hAnsi="Times New Roman" w:eastAsia="宋体"/>
        </w:rPr>
        <w:fldChar w:fldCharType="end"/>
      </w:r>
      <w:bookmarkEnd w:id="7"/>
      <w:r>
        <w:rPr>
          <w:rFonts w:ascii="Times New Roman" w:hAnsi="Times New Roman" w:eastAsia="宋体"/>
        </w:rPr>
        <w:t>实施</w:t>
      </w:r>
    </w:p>
    <w:p>
      <w:pPr>
        <w:pStyle w:val="87"/>
        <w:ind w:firstLine="400"/>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7" w:header="0" w:footer="0" w:gutter="0"/>
          <w:pgNumType w:start="1"/>
          <w:cols w:space="425" w:num="1"/>
          <w:docGrid w:type="lines" w:linePitch="312" w:charSpace="0"/>
        </w:sectPr>
      </w:pPr>
      <w:r>
        <w:rPr>
          <w:rFonts w:ascii="Times New Roman" w:hAnsi="Times New Roman"/>
        </w:rPr>
        <mc:AlternateContent>
          <mc:Choice Requires="wpg">
            <w:drawing>
              <wp:anchor distT="0" distB="0" distL="114300" distR="114300" simplePos="0" relativeHeight="251659264" behindDoc="0" locked="0" layoutInCell="1" allowOverlap="1">
                <wp:simplePos x="0" y="0"/>
                <wp:positionH relativeFrom="column">
                  <wp:posOffset>-1496695</wp:posOffset>
                </wp:positionH>
                <wp:positionV relativeFrom="paragraph">
                  <wp:posOffset>8997315</wp:posOffset>
                </wp:positionV>
                <wp:extent cx="6120130" cy="596900"/>
                <wp:effectExtent l="0" t="0" r="0" b="0"/>
                <wp:wrapNone/>
                <wp:docPr id="6" name="组合 13"/>
                <wp:cNvGraphicFramePr/>
                <a:graphic xmlns:a="http://schemas.openxmlformats.org/drawingml/2006/main">
                  <a:graphicData uri="http://schemas.microsoft.com/office/word/2010/wordprocessingGroup">
                    <wpg:wgp>
                      <wpg:cNvGrpSpPr/>
                      <wpg:grpSpPr>
                        <a:xfrm>
                          <a:off x="0" y="0"/>
                          <a:ext cx="6120130" cy="596900"/>
                          <a:chOff x="3959" y="15071"/>
                          <a:chExt cx="9638" cy="940"/>
                        </a:xfrm>
                      </wpg:grpSpPr>
                      <wps:wsp>
                        <wps:cNvPr id="7" name="fmFrame7"/>
                        <wps:cNvSpPr txBox="1">
                          <a:spLocks noChangeArrowheads="1"/>
                        </wps:cNvSpPr>
                        <wps:spPr bwMode="auto">
                          <a:xfrm>
                            <a:off x="3959" y="15075"/>
                            <a:ext cx="9638" cy="936"/>
                          </a:xfrm>
                          <a:prstGeom prst="rect">
                            <a:avLst/>
                          </a:prstGeom>
                          <a:solidFill>
                            <a:srgbClr val="FFFFFF"/>
                          </a:solidFill>
                          <a:ln>
                            <a:noFill/>
                          </a:ln>
                        </wps:spPr>
                        <wps:txbx>
                          <w:txbxContent>
                            <w:p>
                              <w:pPr>
                                <w:pStyle w:val="124"/>
                                <w:spacing w:line="400" w:lineRule="exact"/>
                                <w:ind w:right="2426" w:rightChars="1011"/>
                                <w:jc w:val="distribute"/>
                                <w:rPr>
                                  <w:b w:val="0"/>
                                  <w:spacing w:val="-14"/>
                                  <w:sz w:val="36"/>
                                  <w:szCs w:val="32"/>
                                </w:rPr>
                              </w:pPr>
                              <w:r>
                                <w:rPr>
                                  <w:rFonts w:hint="eastAsia"/>
                                  <w:b w:val="0"/>
                                  <w:spacing w:val="-12"/>
                                  <w:sz w:val="36"/>
                                  <w:szCs w:val="32"/>
                                </w:rPr>
                                <w:t>中 国 轻 工 业 联 合 会</w:t>
                              </w:r>
                            </w:p>
                          </w:txbxContent>
                        </wps:txbx>
                        <wps:bodyPr rot="0" vert="horz" wrap="square" lIns="0" tIns="0" rIns="0" bIns="0" anchor="t" anchorCtr="0" upright="1">
                          <a:noAutofit/>
                        </wps:bodyPr>
                      </wps:wsp>
                      <wps:wsp>
                        <wps:cNvPr id="8" name="文本框 15"/>
                        <wps:cNvSpPr txBox="1">
                          <a:spLocks noChangeArrowheads="1"/>
                        </wps:cNvSpPr>
                        <wps:spPr bwMode="auto">
                          <a:xfrm>
                            <a:off x="11720" y="15071"/>
                            <a:ext cx="1155" cy="624"/>
                          </a:xfrm>
                          <a:prstGeom prst="rect">
                            <a:avLst/>
                          </a:prstGeom>
                          <a:noFill/>
                          <a:ln>
                            <a:noFill/>
                          </a:ln>
                        </wps:spPr>
                        <wps:txbx>
                          <w:txbxContent>
                            <w:p>
                              <w:pPr>
                                <w:rPr>
                                  <w:sz w:val="28"/>
                                  <w:szCs w:val="28"/>
                                </w:rPr>
                              </w:pPr>
                              <w:r>
                                <w:rPr>
                                  <w:rFonts w:hint="eastAsia" w:ascii="宋体"/>
                                  <w:spacing w:val="-14"/>
                                  <w:w w:val="135"/>
                                  <w:sz w:val="28"/>
                                  <w:szCs w:val="28"/>
                                </w:rPr>
                                <w:t>发布</w:t>
                              </w:r>
                            </w:p>
                          </w:txbxContent>
                        </wps:txbx>
                        <wps:bodyPr rot="0" vert="horz" wrap="square" lIns="91440" tIns="45720" rIns="91440" bIns="45720" anchor="t" anchorCtr="0" upright="1">
                          <a:noAutofit/>
                        </wps:bodyPr>
                      </wps:wsp>
                    </wpg:wgp>
                  </a:graphicData>
                </a:graphic>
              </wp:anchor>
            </w:drawing>
          </mc:Choice>
          <mc:Fallback>
            <w:pict>
              <v:group id="组合 13" o:spid="_x0000_s1026" o:spt="203" style="position:absolute;left:0pt;margin-left:-117.85pt;margin-top:708.45pt;height:47pt;width:481.9pt;z-index:251659264;mso-width-relative:page;mso-height-relative:page;" coordorigin="3959,15071" coordsize="9638,940" o:gfxdata="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H/5J3gAAAA4BAAAPAAAAAAAAAAEAIAAAACIAAABkcnMv&#10;ZG93bnJldi54bWxQSwECFAAUAAAACACHTuJAzNHX2eECAACXBwAADgAAAAAAAAABACAAAAAtAQAA&#10;ZHJzL2Uyb0RvYy54bWxQSwUGAAAAAAYABgBZAQAAgAYAAAAA&#10;">
                <o:lock v:ext="edit" aspectratio="f"/>
                <v:shape id="fmFrame7" o:spid="_x0000_s1026" o:spt="202" type="#_x0000_t202" style="position:absolute;left:3959;top:15075;height:936;width:9638;" fillcolor="#FFFFFF" filled="t" stroked="f" coordsize="21600,21600" o:gfxdata="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a0CF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pPr>
                          <w:pStyle w:val="124"/>
                          <w:spacing w:line="400" w:lineRule="exact"/>
                          <w:ind w:right="2426" w:rightChars="1011"/>
                          <w:jc w:val="distribute"/>
                          <w:rPr>
                            <w:b w:val="0"/>
                            <w:spacing w:val="-14"/>
                            <w:sz w:val="36"/>
                            <w:szCs w:val="32"/>
                          </w:rPr>
                        </w:pPr>
                        <w:r>
                          <w:rPr>
                            <w:rFonts w:hint="eastAsia"/>
                            <w:b w:val="0"/>
                            <w:spacing w:val="-12"/>
                            <w:sz w:val="36"/>
                            <w:szCs w:val="32"/>
                          </w:rPr>
                          <w:t>中 国 轻 工 业 联 合 会</w:t>
                        </w:r>
                      </w:p>
                    </w:txbxContent>
                  </v:textbox>
                </v:shape>
                <v:shape id="文本框 15" o:spid="_x0000_s1026" o:spt="202" type="#_x0000_t202" style="position:absolute;left:11720;top:15071;height:624;width:1155;"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sz w:val="28"/>
                            <w:szCs w:val="28"/>
                          </w:rPr>
                        </w:pPr>
                        <w:r>
                          <w:rPr>
                            <w:rFonts w:hint="eastAsia" w:ascii="宋体"/>
                            <w:spacing w:val="-14"/>
                            <w:w w:val="135"/>
                            <w:sz w:val="28"/>
                            <w:szCs w:val="28"/>
                          </w:rPr>
                          <w:t>发布</w:t>
                        </w:r>
                      </w:p>
                    </w:txbxContent>
                  </v:textbox>
                </v:shape>
              </v:group>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-1596390</wp:posOffset>
                </wp:positionH>
                <wp:positionV relativeFrom="paragraph">
                  <wp:posOffset>2022475</wp:posOffset>
                </wp:positionV>
                <wp:extent cx="6120130" cy="0"/>
                <wp:effectExtent l="0" t="0" r="13970" b="1905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25.7pt;margin-top:159.25pt;height:0pt;width:481.9pt;z-index:251661312;mso-width-relative:page;mso-height-relative:page;" filled="f" stroked="t" coordsize="21600,21600" o:gfxdata="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JwKP3YAAAADAEAAA8AAAAAAAAAAQAgAAAAIgAAAGRycy9k&#10;b3ducmV2LnhtbFBLAQIUABQAAAAIAIdO4kA5VAJiyQEAAJ8DAAAOAAAAAAAAAAEAIAAAACcBAABk&#10;cnMvZTJvRG9jLnhtbFBLBQYAAAAABgAGAFkBAABiBQAAAAA=&#10;">
                <v:fill on="f" focussize="0,0"/>
                <v:stroke color="#000000" joinstyle="round"/>
                <v:imagedata o:title=""/>
                <o:lock v:ext="edit" aspectratio="f"/>
              </v:line>
            </w:pict>
          </mc:Fallback>
        </mc:AlternateContent>
      </w:r>
    </w:p>
    <w:p>
      <w:pPr>
        <w:pStyle w:val="100"/>
        <w:rPr>
          <w:rFonts w:ascii="Times New Roman" w:hAnsi="Times New Roman" w:eastAsia="宋体"/>
        </w:rPr>
      </w:pPr>
      <w:bookmarkStart w:id="8" w:name="_Toc446924883"/>
      <w:bookmarkStart w:id="9" w:name="_Toc447198882"/>
      <w:bookmarkStart w:id="10" w:name="_Toc447198478"/>
      <w:bookmarkStart w:id="11" w:name="_Toc447118972"/>
      <w:bookmarkStart w:id="12" w:name="_Toc77079502"/>
      <w:bookmarkStart w:id="13" w:name="_Toc530380744"/>
      <w:r>
        <w:rPr>
          <w:rFonts w:ascii="Times New Roman" w:hAnsi="Times New Roman" w:eastAsia="宋体"/>
        </w:rPr>
        <w:t>目</w:t>
      </w:r>
      <w:bookmarkStart w:id="14" w:name="BKML"/>
      <w:r>
        <w:rPr>
          <w:rFonts w:ascii="Times New Roman" w:hAnsi="Times New Roman" w:eastAsia="宋体"/>
        </w:rPr>
        <w:t>  次</w:t>
      </w:r>
      <w:bookmarkEnd w:id="14"/>
    </w:p>
    <w:p>
      <w:pPr>
        <w:pStyle w:val="33"/>
        <w:spacing w:before="81" w:after="81"/>
        <w:rPr>
          <w:rFonts w:asciiTheme="minorHAnsi" w:hAnsiTheme="minorHAnsi" w:eastAsiaTheme="minorEastAsia" w:cstheme="minorBidi"/>
          <w:kern w:val="2"/>
          <w:sz w:val="21"/>
          <w:szCs w:val="22"/>
        </w:rPr>
      </w:pPr>
      <w:r>
        <w:rPr>
          <w:rFonts w:ascii="Times New Roman" w:hAnsi="Times New Roman"/>
        </w:rPr>
        <w:fldChar w:fldCharType="begin"/>
      </w:r>
      <w:r>
        <w:rPr>
          <w:rFonts w:ascii="Times New Roman" w:hAnsi="Times New Roman"/>
        </w:rPr>
        <w:instrText xml:space="preserve"> TOC \h \z \t "章标题,1,参考文献,1,附录标识,1,前言、引言标题,1" </w:instrText>
      </w:r>
      <w:r>
        <w:rPr>
          <w:rFonts w:ascii="Times New Roman" w:hAnsi="Times New Roman"/>
        </w:rPr>
        <w:fldChar w:fldCharType="separate"/>
      </w:r>
      <w:r>
        <w:fldChar w:fldCharType="begin"/>
      </w:r>
      <w:r>
        <w:instrText xml:space="preserve"> HYPERLINK \l "_Toc118719013" </w:instrText>
      </w:r>
      <w:r>
        <w:fldChar w:fldCharType="separate"/>
      </w:r>
      <w:r>
        <w:rPr>
          <w:rStyle w:val="61"/>
          <w:rFonts w:ascii="Times New Roman" w:hAnsi="Times New Roman"/>
        </w:rPr>
        <w:t>1</w:t>
      </w:r>
      <w:r>
        <w:rPr>
          <w:rStyle w:val="61"/>
          <w:rFonts w:hint="eastAsia" w:ascii="Times New Roman" w:hAnsi="Times New Roman"/>
        </w:rPr>
        <w:t>范围</w:t>
      </w:r>
      <w:r>
        <w:tab/>
      </w:r>
      <w:r>
        <w:fldChar w:fldCharType="begin"/>
      </w:r>
      <w:r>
        <w:instrText xml:space="preserve"> PAGEREF _Toc118719013 \h </w:instrText>
      </w:r>
      <w:r>
        <w:fldChar w:fldCharType="separate"/>
      </w:r>
      <w:r>
        <w:t>2</w:t>
      </w:r>
      <w:r>
        <w:fldChar w:fldCharType="end"/>
      </w:r>
      <w:r>
        <w:fldChar w:fldCharType="end"/>
      </w:r>
    </w:p>
    <w:p>
      <w:pPr>
        <w:pStyle w:val="33"/>
        <w:spacing w:before="81" w:after="81"/>
        <w:rPr>
          <w:rFonts w:asciiTheme="minorHAnsi" w:hAnsiTheme="minorHAnsi" w:eastAsiaTheme="minorEastAsia" w:cstheme="minorBidi"/>
          <w:kern w:val="2"/>
          <w:sz w:val="21"/>
          <w:szCs w:val="22"/>
        </w:rPr>
      </w:pPr>
      <w:r>
        <w:fldChar w:fldCharType="begin"/>
      </w:r>
      <w:r>
        <w:instrText xml:space="preserve"> HYPERLINK \l "_Toc118719014" </w:instrText>
      </w:r>
      <w:r>
        <w:fldChar w:fldCharType="separate"/>
      </w:r>
      <w:r>
        <w:rPr>
          <w:rStyle w:val="61"/>
          <w:rFonts w:ascii="Times New Roman" w:hAnsi="Times New Roman"/>
        </w:rPr>
        <w:t>2</w:t>
      </w:r>
      <w:r>
        <w:rPr>
          <w:rStyle w:val="61"/>
          <w:rFonts w:hint="eastAsia" w:ascii="Times New Roman" w:hAnsi="Times New Roman"/>
        </w:rPr>
        <w:t>规范性引用文件</w:t>
      </w:r>
      <w:r>
        <w:tab/>
      </w:r>
      <w:r>
        <w:fldChar w:fldCharType="begin"/>
      </w:r>
      <w:r>
        <w:instrText xml:space="preserve"> PAGEREF _Toc118719014 \h </w:instrText>
      </w:r>
      <w:r>
        <w:fldChar w:fldCharType="separate"/>
      </w:r>
      <w:r>
        <w:t>2</w:t>
      </w:r>
      <w:r>
        <w:fldChar w:fldCharType="end"/>
      </w:r>
      <w:r>
        <w:fldChar w:fldCharType="end"/>
      </w:r>
    </w:p>
    <w:p>
      <w:pPr>
        <w:pStyle w:val="33"/>
        <w:spacing w:before="81" w:after="81"/>
        <w:rPr>
          <w:rFonts w:asciiTheme="minorHAnsi" w:hAnsiTheme="minorHAnsi" w:eastAsiaTheme="minorEastAsia" w:cstheme="minorBidi"/>
          <w:kern w:val="2"/>
          <w:sz w:val="21"/>
          <w:szCs w:val="22"/>
        </w:rPr>
      </w:pPr>
      <w:r>
        <w:fldChar w:fldCharType="begin"/>
      </w:r>
      <w:r>
        <w:instrText xml:space="preserve"> HYPERLINK \l "_Toc118719015" </w:instrText>
      </w:r>
      <w:r>
        <w:fldChar w:fldCharType="separate"/>
      </w:r>
      <w:r>
        <w:rPr>
          <w:rStyle w:val="61"/>
          <w:rFonts w:ascii="Times New Roman" w:hAnsi="Times New Roman"/>
        </w:rPr>
        <w:t xml:space="preserve">3 </w:t>
      </w:r>
      <w:r>
        <w:rPr>
          <w:rStyle w:val="61"/>
          <w:rFonts w:hint="eastAsia" w:ascii="Times New Roman" w:hAnsi="Times New Roman"/>
        </w:rPr>
        <w:t>术语和定义</w:t>
      </w:r>
      <w:r>
        <w:tab/>
      </w:r>
      <w:r>
        <w:fldChar w:fldCharType="begin"/>
      </w:r>
      <w:r>
        <w:instrText xml:space="preserve"> PAGEREF _Toc118719015 \h </w:instrText>
      </w:r>
      <w:r>
        <w:fldChar w:fldCharType="separate"/>
      </w:r>
      <w:r>
        <w:t>2</w:t>
      </w:r>
      <w:r>
        <w:fldChar w:fldCharType="end"/>
      </w:r>
      <w:r>
        <w:fldChar w:fldCharType="end"/>
      </w:r>
    </w:p>
    <w:p>
      <w:pPr>
        <w:pStyle w:val="33"/>
        <w:spacing w:before="81" w:after="81"/>
        <w:rPr>
          <w:rFonts w:asciiTheme="minorHAnsi" w:hAnsiTheme="minorHAnsi" w:eastAsiaTheme="minorEastAsia" w:cstheme="minorBidi"/>
          <w:kern w:val="2"/>
          <w:sz w:val="21"/>
          <w:szCs w:val="22"/>
        </w:rPr>
      </w:pPr>
      <w:r>
        <w:fldChar w:fldCharType="begin"/>
      </w:r>
      <w:r>
        <w:instrText xml:space="preserve"> HYPERLINK \l "_Toc118719016" </w:instrText>
      </w:r>
      <w:r>
        <w:fldChar w:fldCharType="separate"/>
      </w:r>
      <w:r>
        <w:rPr>
          <w:rStyle w:val="61"/>
          <w:rFonts w:ascii="Times New Roman" w:hAnsi="Times New Roman"/>
        </w:rPr>
        <w:t xml:space="preserve">4 </w:t>
      </w:r>
      <w:r>
        <w:rPr>
          <w:rStyle w:val="61"/>
          <w:rFonts w:hint="eastAsia" w:ascii="Times New Roman" w:hAnsi="Times New Roman"/>
        </w:rPr>
        <w:t>卫生要求</w:t>
      </w:r>
      <w:r>
        <w:tab/>
      </w:r>
      <w:r>
        <w:fldChar w:fldCharType="begin"/>
      </w:r>
      <w:r>
        <w:instrText xml:space="preserve"> PAGEREF _Toc118719016 \h </w:instrText>
      </w:r>
      <w:r>
        <w:fldChar w:fldCharType="separate"/>
      </w:r>
      <w:r>
        <w:t>2</w:t>
      </w:r>
      <w:r>
        <w:fldChar w:fldCharType="end"/>
      </w:r>
      <w:r>
        <w:fldChar w:fldCharType="end"/>
      </w:r>
    </w:p>
    <w:p>
      <w:pPr>
        <w:pStyle w:val="33"/>
        <w:spacing w:before="81" w:after="81"/>
        <w:rPr>
          <w:rFonts w:asciiTheme="minorHAnsi" w:hAnsiTheme="minorHAnsi" w:eastAsiaTheme="minorEastAsia" w:cstheme="minorBidi"/>
          <w:kern w:val="2"/>
          <w:sz w:val="21"/>
          <w:szCs w:val="22"/>
        </w:rPr>
      </w:pPr>
      <w:r>
        <w:fldChar w:fldCharType="begin"/>
      </w:r>
      <w:r>
        <w:instrText xml:space="preserve"> HYPERLINK \l "_Toc118719017" </w:instrText>
      </w:r>
      <w:r>
        <w:fldChar w:fldCharType="separate"/>
      </w:r>
      <w:r>
        <w:rPr>
          <w:rStyle w:val="61"/>
          <w:rFonts w:ascii="Times New Roman" w:hAnsi="Times New Roman"/>
        </w:rPr>
        <w:t>5</w:t>
      </w:r>
      <w:r>
        <w:rPr>
          <w:rStyle w:val="61"/>
          <w:rFonts w:hint="eastAsia" w:ascii="Times New Roman" w:hAnsi="Times New Roman"/>
        </w:rPr>
        <w:t>试验方法</w:t>
      </w:r>
      <w:r>
        <w:tab/>
      </w:r>
      <w:r>
        <w:fldChar w:fldCharType="begin"/>
      </w:r>
      <w:r>
        <w:instrText xml:space="preserve"> PAGEREF _Toc118719017 \h </w:instrText>
      </w:r>
      <w:r>
        <w:fldChar w:fldCharType="separate"/>
      </w:r>
      <w:r>
        <w:t>5</w:t>
      </w:r>
      <w:r>
        <w:fldChar w:fldCharType="end"/>
      </w:r>
      <w:r>
        <w:fldChar w:fldCharType="end"/>
      </w:r>
    </w:p>
    <w:p>
      <w:pPr>
        <w:pStyle w:val="33"/>
        <w:spacing w:before="81" w:after="81"/>
        <w:ind w:right="240"/>
        <w:rPr>
          <w:rFonts w:ascii="Times New Roman" w:hAnsi="Times New Roman"/>
        </w:rPr>
        <w:sectPr>
          <w:headerReference r:id="rId9" w:type="first"/>
          <w:pgSz w:w="11906" w:h="16838"/>
          <w:pgMar w:top="567" w:right="1134" w:bottom="1134" w:left="1418" w:header="1021" w:footer="1134" w:gutter="0"/>
          <w:pgNumType w:start="1"/>
          <w:cols w:space="425" w:num="1"/>
          <w:formProt w:val="0"/>
          <w:titlePg/>
          <w:docGrid w:type="lines" w:linePitch="326" w:charSpace="0"/>
        </w:sectPr>
      </w:pPr>
      <w:r>
        <w:rPr>
          <w:rFonts w:ascii="Times New Roman" w:hAnsi="Times New Roman"/>
          <w:kern w:val="2"/>
          <w:sz w:val="21"/>
        </w:rPr>
        <w:fldChar w:fldCharType="end"/>
      </w:r>
    </w:p>
    <w:p>
      <w:pPr>
        <w:pStyle w:val="162"/>
        <w:rPr>
          <w:rFonts w:ascii="Times New Roman" w:hAnsi="Times New Roman"/>
        </w:rPr>
      </w:pPr>
      <w:bookmarkStart w:id="15" w:name="_Toc118719012"/>
      <w:r>
        <w:rPr>
          <w:rFonts w:ascii="Times New Roman" w:hAnsi="Times New Roman"/>
        </w:rPr>
        <w:t>前</w:t>
      </w:r>
      <w:bookmarkStart w:id="16" w:name="BKQY"/>
      <w:r>
        <w:rPr>
          <w:rFonts w:ascii="Times New Roman" w:hAnsi="Times New Roman"/>
        </w:rPr>
        <w:t>  言</w:t>
      </w:r>
      <w:bookmarkEnd w:id="8"/>
      <w:bookmarkEnd w:id="9"/>
      <w:bookmarkEnd w:id="10"/>
      <w:bookmarkEnd w:id="11"/>
      <w:bookmarkEnd w:id="12"/>
      <w:bookmarkEnd w:id="13"/>
      <w:bookmarkEnd w:id="15"/>
      <w:bookmarkEnd w:id="16"/>
    </w:p>
    <w:p>
      <w:pPr>
        <w:pStyle w:val="87"/>
        <w:spacing w:line="360" w:lineRule="auto"/>
        <w:rPr>
          <w:rFonts w:ascii="Times New Roman" w:hAnsi="Times New Roman"/>
          <w:sz w:val="21"/>
          <w:szCs w:val="21"/>
        </w:rPr>
      </w:pPr>
      <w:r>
        <w:rPr>
          <w:rFonts w:ascii="Times New Roman" w:hAnsi="Times New Roman"/>
          <w:sz w:val="21"/>
          <w:szCs w:val="21"/>
        </w:rPr>
        <w:t>本文件按照GB/T 1.1—2020《标准化工作导则第1部分：标准化文件的结构和起草规则》的规则起草。</w:t>
      </w:r>
    </w:p>
    <w:p>
      <w:pPr>
        <w:pStyle w:val="87"/>
        <w:spacing w:line="360" w:lineRule="auto"/>
        <w:ind w:firstLineChars="0"/>
        <w:rPr>
          <w:rFonts w:ascii="Times New Roman" w:hAnsi="Times New Roman"/>
          <w:sz w:val="21"/>
          <w:szCs w:val="21"/>
        </w:rPr>
      </w:pPr>
      <w:r>
        <w:rPr>
          <w:rFonts w:ascii="Times New Roman" w:hAnsi="Times New Roman"/>
          <w:sz w:val="21"/>
          <w:szCs w:val="21"/>
        </w:rPr>
        <w:t>本文件由中国家用电器研究院提出。</w:t>
      </w:r>
    </w:p>
    <w:p>
      <w:pPr>
        <w:pStyle w:val="87"/>
        <w:spacing w:line="360" w:lineRule="auto"/>
        <w:ind w:firstLineChars="0"/>
        <w:rPr>
          <w:rFonts w:ascii="Times New Roman" w:hAnsi="Times New Roman"/>
          <w:sz w:val="21"/>
          <w:szCs w:val="21"/>
        </w:rPr>
      </w:pPr>
      <w:r>
        <w:rPr>
          <w:rFonts w:ascii="Times New Roman" w:hAnsi="Times New Roman"/>
          <w:sz w:val="21"/>
          <w:szCs w:val="21"/>
        </w:rPr>
        <w:t>本文件由中国轻工业联合会归口。</w:t>
      </w:r>
    </w:p>
    <w:p>
      <w:pPr>
        <w:pStyle w:val="87"/>
        <w:spacing w:line="360" w:lineRule="auto"/>
        <w:ind w:firstLine="410" w:firstLineChars="0"/>
        <w:rPr>
          <w:rFonts w:ascii="Times New Roman" w:hAnsi="Times New Roman"/>
          <w:sz w:val="21"/>
          <w:szCs w:val="21"/>
        </w:rPr>
      </w:pPr>
      <w:r>
        <w:rPr>
          <w:rFonts w:ascii="Times New Roman" w:hAnsi="Times New Roman"/>
          <w:sz w:val="21"/>
          <w:szCs w:val="21"/>
        </w:rPr>
        <w:t xml:space="preserve">本文件主要起草单位： </w:t>
      </w:r>
      <w:r>
        <w:rPr>
          <w:rFonts w:hint="eastAsia" w:ascii="Times New Roman" w:hAnsi="Times New Roman"/>
          <w:sz w:val="21"/>
          <w:szCs w:val="21"/>
        </w:rPr>
        <w:t>佛山市美的清湖净水设备有限公司、中国家用电器研究院</w:t>
      </w:r>
    </w:p>
    <w:p>
      <w:pPr>
        <w:pStyle w:val="87"/>
        <w:spacing w:line="360" w:lineRule="auto"/>
        <w:ind w:firstLineChars="0"/>
        <w:rPr>
          <w:rFonts w:ascii="Times New Roman" w:hAnsi="Times New Roman"/>
          <w:sz w:val="21"/>
          <w:szCs w:val="21"/>
        </w:rPr>
      </w:pPr>
      <w:r>
        <w:rPr>
          <w:rFonts w:ascii="Times New Roman" w:hAnsi="Times New Roman"/>
          <w:sz w:val="21"/>
          <w:szCs w:val="21"/>
        </w:rPr>
        <w:t xml:space="preserve">本文件主要起草人： </w:t>
      </w:r>
      <w:r>
        <w:rPr>
          <w:rFonts w:hint="eastAsia" w:ascii="Times New Roman" w:hAnsi="Times New Roman"/>
          <w:sz w:val="21"/>
          <w:szCs w:val="21"/>
        </w:rPr>
        <w:t>孙倩、孙天厚</w:t>
      </w:r>
    </w:p>
    <w:p>
      <w:pPr>
        <w:pStyle w:val="87"/>
        <w:spacing w:line="360" w:lineRule="auto"/>
        <w:ind w:firstLineChars="0"/>
        <w:rPr>
          <w:rFonts w:ascii="Times New Roman" w:hAnsi="Times New Roman"/>
          <w:sz w:val="21"/>
          <w:szCs w:val="21"/>
        </w:rPr>
      </w:pPr>
      <w:r>
        <w:rPr>
          <w:rFonts w:ascii="Times New Roman" w:hAnsi="Times New Roman"/>
        </w:rPr>
        <w:t>本文件为首次发布。</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100"/>
        <w:spacing w:line="360" w:lineRule="auto"/>
        <w:rPr>
          <w:rFonts w:ascii="Times New Roman" w:hAnsi="Times New Roman"/>
        </w:rPr>
      </w:pPr>
      <w:r>
        <w:rPr>
          <w:rFonts w:hint="eastAsia"/>
          <w:color w:val="000000"/>
        </w:rPr>
        <w:t>无化学阻垢剂饮用水处理器水效性能评价规范</w:t>
      </w:r>
    </w:p>
    <w:p>
      <w:pPr>
        <w:pStyle w:val="95"/>
        <w:numPr>
          <w:ilvl w:val="0"/>
          <w:numId w:val="0"/>
        </w:numPr>
        <w:spacing w:before="163" w:beforeLines="50" w:after="163" w:afterLines="50" w:line="360" w:lineRule="auto"/>
        <w:rPr>
          <w:rFonts w:ascii="Times New Roman" w:hAnsi="Times New Roman"/>
        </w:rPr>
      </w:pPr>
      <w:bookmarkStart w:id="17" w:name="_Toc118719013"/>
      <w:bookmarkStart w:id="18" w:name="_Toc77079504"/>
      <w:bookmarkStart w:id="19" w:name="_Toc530380745"/>
      <w:bookmarkStart w:id="20" w:name="_Toc447118973"/>
      <w:bookmarkStart w:id="21" w:name="_Toc447198479"/>
      <w:bookmarkStart w:id="22" w:name="_Toc447198883"/>
      <w:bookmarkStart w:id="23" w:name="_Toc446924884"/>
      <w:r>
        <w:rPr>
          <w:rFonts w:ascii="Times New Roman" w:hAnsi="Times New Roman"/>
        </w:rPr>
        <w:t>1范围</w:t>
      </w:r>
      <w:bookmarkEnd w:id="17"/>
      <w:bookmarkEnd w:id="18"/>
      <w:bookmarkEnd w:id="19"/>
    </w:p>
    <w:p>
      <w:pPr>
        <w:pStyle w:val="96"/>
        <w:numPr>
          <w:ilvl w:val="0"/>
          <w:numId w:val="0"/>
        </w:numPr>
        <w:spacing w:before="0" w:beforeLines="0" w:after="0" w:afterLines="0" w:line="360" w:lineRule="auto"/>
        <w:ind w:firstLine="420" w:firstLineChars="200"/>
        <w:outlineLvl w:val="9"/>
        <w:rPr>
          <w:rFonts w:ascii="Times New Roman" w:hAnsi="Times New Roman" w:eastAsia="宋体"/>
        </w:rPr>
      </w:pPr>
      <w:r>
        <w:rPr>
          <w:rFonts w:ascii="Times New Roman" w:hAnsi="Times New Roman" w:eastAsia="宋体"/>
        </w:rPr>
        <w:t>本文件规定了</w:t>
      </w:r>
      <w:r>
        <w:rPr>
          <w:rFonts w:hint="eastAsia" w:ascii="Times New Roman" w:hAnsi="Times New Roman" w:eastAsia="宋体"/>
        </w:rPr>
        <w:t>无化学阻垢剂饮用水处理器水效性能评价规范</w:t>
      </w:r>
      <w:r>
        <w:rPr>
          <w:rFonts w:ascii="Times New Roman" w:hAnsi="Times New Roman" w:eastAsia="宋体"/>
        </w:rPr>
        <w:t>。</w:t>
      </w:r>
    </w:p>
    <w:p>
      <w:pPr>
        <w:pStyle w:val="96"/>
        <w:numPr>
          <w:ilvl w:val="0"/>
          <w:numId w:val="0"/>
        </w:numPr>
        <w:spacing w:before="0" w:beforeLines="0" w:after="0" w:afterLines="0" w:line="360" w:lineRule="auto"/>
        <w:ind w:firstLine="420" w:firstLineChars="200"/>
        <w:outlineLvl w:val="9"/>
        <w:rPr>
          <w:rFonts w:ascii="Times New Roman" w:hAnsi="Times New Roman" w:eastAsia="宋体"/>
        </w:rPr>
      </w:pPr>
      <w:r>
        <w:rPr>
          <w:rFonts w:ascii="Times New Roman" w:hAnsi="Times New Roman" w:eastAsia="宋体"/>
        </w:rPr>
        <w:t>本文件适用</w:t>
      </w:r>
      <w:r>
        <w:rPr>
          <w:rFonts w:ascii="Times New Roman" w:hAnsi="Times New Roman" w:eastAsia="宋体"/>
          <w:lang w:bidi="en-US"/>
        </w:rPr>
        <w:t>于GB/T30307和GB/T30306中的产品。</w:t>
      </w:r>
    </w:p>
    <w:p>
      <w:pPr>
        <w:pStyle w:val="96"/>
        <w:numPr>
          <w:ilvl w:val="0"/>
          <w:numId w:val="0"/>
        </w:numPr>
        <w:spacing w:before="0" w:beforeLines="0" w:after="0" w:afterLines="0" w:line="360" w:lineRule="auto"/>
        <w:ind w:firstLine="420" w:firstLineChars="200"/>
        <w:outlineLvl w:val="9"/>
        <w:rPr>
          <w:rFonts w:ascii="Times New Roman" w:hAnsi="Times New Roman" w:eastAsia="宋体"/>
        </w:rPr>
      </w:pPr>
      <w:r>
        <w:rPr>
          <w:rFonts w:ascii="Times New Roman" w:hAnsi="Times New Roman" w:eastAsia="宋体"/>
          <w:lang w:bidi="en-US"/>
        </w:rPr>
        <w:t>其他产品具有水处理功能的部分及</w:t>
      </w:r>
      <w:r>
        <w:rPr>
          <w:rFonts w:ascii="Times New Roman" w:hAnsi="Times New Roman" w:eastAsia="宋体"/>
        </w:rPr>
        <w:t>滤芯</w:t>
      </w:r>
      <w:r>
        <w:rPr>
          <w:rFonts w:ascii="Times New Roman" w:hAnsi="Times New Roman" w:eastAsia="宋体"/>
          <w:lang w:bidi="en-US"/>
        </w:rPr>
        <w:t>可参照本文件执行。</w:t>
      </w:r>
    </w:p>
    <w:p>
      <w:pPr>
        <w:pStyle w:val="95"/>
        <w:numPr>
          <w:ilvl w:val="0"/>
          <w:numId w:val="0"/>
        </w:numPr>
        <w:spacing w:before="163" w:beforeLines="50" w:after="163" w:afterLines="50" w:line="360" w:lineRule="auto"/>
        <w:rPr>
          <w:rFonts w:ascii="Times New Roman" w:hAnsi="Times New Roman"/>
        </w:rPr>
      </w:pPr>
      <w:bookmarkStart w:id="24" w:name="_Toc77079505"/>
      <w:bookmarkStart w:id="25" w:name="_Toc118719014"/>
      <w:bookmarkStart w:id="26" w:name="_Toc530380746"/>
      <w:r>
        <w:rPr>
          <w:rFonts w:ascii="Times New Roman" w:hAnsi="Times New Roman"/>
        </w:rPr>
        <w:t>2规范性引用文件</w:t>
      </w:r>
      <w:bookmarkEnd w:id="24"/>
      <w:bookmarkEnd w:id="25"/>
      <w:bookmarkEnd w:id="26"/>
    </w:p>
    <w:p>
      <w:pPr>
        <w:pStyle w:val="96"/>
        <w:numPr>
          <w:ilvl w:val="0"/>
          <w:numId w:val="0"/>
        </w:numPr>
        <w:spacing w:before="0" w:beforeLines="0" w:after="0" w:afterLines="0" w:line="360" w:lineRule="auto"/>
        <w:ind w:firstLine="420" w:firstLineChars="200"/>
        <w:outlineLvl w:val="9"/>
        <w:rPr>
          <w:rFonts w:ascii="Times New Roman" w:hAnsi="Times New Roman" w:eastAsia="宋体"/>
        </w:rPr>
      </w:pPr>
      <w:r>
        <w:rPr>
          <w:rFonts w:ascii="Times New Roman" w:hAnsi="Times New Roman" w:eastAsia="宋体"/>
        </w:rPr>
        <w:t>下列文件对于本文件中的内容通过文中的规范性引用而构成文本必不可少的条款。其中，注日期的引用文件，仅该日期对应的版本适用于本文件。不注日期的引用文件，其最新版本（包括所有的修改单）适用于本文件。</w:t>
      </w:r>
    </w:p>
    <w:p>
      <w:pPr>
        <w:pStyle w:val="87"/>
        <w:spacing w:line="440" w:lineRule="exact"/>
        <w:ind w:firstLine="400"/>
        <w:rPr>
          <w:rFonts w:ascii="Times New Roman"/>
          <w:color w:val="000000"/>
        </w:rPr>
      </w:pPr>
      <w:bookmarkStart w:id="27" w:name="_Toc118719015"/>
      <w:r>
        <w:rPr>
          <w:rFonts w:ascii="Times New Roman"/>
          <w:color w:val="000000"/>
        </w:rPr>
        <w:t>GB/T 191 包装储运图示标志</w:t>
      </w:r>
    </w:p>
    <w:p>
      <w:pPr>
        <w:pStyle w:val="87"/>
        <w:spacing w:line="440" w:lineRule="exact"/>
        <w:ind w:firstLine="400"/>
        <w:rPr>
          <w:rFonts w:ascii="Times New Roman"/>
          <w:color w:val="000000"/>
        </w:rPr>
      </w:pPr>
      <w:r>
        <w:rPr>
          <w:rFonts w:ascii="Times New Roman"/>
          <w:color w:val="000000"/>
        </w:rPr>
        <w:t>GB/T 1019</w:t>
      </w:r>
      <w:r>
        <w:rPr>
          <w:rFonts w:hint="eastAsia" w:ascii="Times New Roman"/>
          <w:color w:val="000000"/>
        </w:rPr>
        <w:t xml:space="preserve"> </w:t>
      </w:r>
      <w:r>
        <w:rPr>
          <w:rFonts w:ascii="Times New Roman"/>
          <w:color w:val="000000"/>
        </w:rPr>
        <w:t>家用和类似用途电器包装通则</w:t>
      </w:r>
    </w:p>
    <w:p>
      <w:pPr>
        <w:pStyle w:val="87"/>
        <w:spacing w:line="440" w:lineRule="exact"/>
        <w:ind w:firstLine="400"/>
        <w:rPr>
          <w:rFonts w:ascii="Times New Roman"/>
          <w:color w:val="000000"/>
        </w:rPr>
      </w:pPr>
      <w:r>
        <w:rPr>
          <w:rFonts w:hint="eastAsia" w:ascii="Times New Roman"/>
          <w:color w:val="000000"/>
        </w:rPr>
        <w:t xml:space="preserve">GB/T 2828.1  计数抽样检验程序 </w:t>
      </w:r>
      <w:r>
        <w:rPr>
          <w:rFonts w:ascii="Times New Roman"/>
          <w:color w:val="000000"/>
        </w:rPr>
        <w:t xml:space="preserve"> </w:t>
      </w:r>
      <w:r>
        <w:rPr>
          <w:rFonts w:hint="eastAsia" w:ascii="Times New Roman"/>
          <w:color w:val="000000"/>
        </w:rPr>
        <w:t>第1部分：按接收质量限(AQL)检索的逐批检验抽样计划</w:t>
      </w:r>
    </w:p>
    <w:p>
      <w:pPr>
        <w:pStyle w:val="87"/>
        <w:spacing w:line="440" w:lineRule="exact"/>
        <w:ind w:firstLine="400"/>
        <w:rPr>
          <w:rFonts w:ascii="Times New Roman"/>
          <w:color w:val="000000"/>
        </w:rPr>
      </w:pPr>
      <w:r>
        <w:rPr>
          <w:rFonts w:ascii="Times New Roman"/>
          <w:color w:val="000000"/>
        </w:rPr>
        <w:t xml:space="preserve">GB/T 5296.2 消费品使用说明  第2部分：家用和类似用途电器 </w:t>
      </w:r>
    </w:p>
    <w:p>
      <w:pPr>
        <w:pStyle w:val="87"/>
        <w:spacing w:line="440" w:lineRule="exact"/>
        <w:ind w:firstLine="400"/>
        <w:rPr>
          <w:rFonts w:ascii="Times New Roman"/>
          <w:color w:val="000000"/>
        </w:rPr>
      </w:pPr>
      <w:r>
        <w:rPr>
          <w:rFonts w:ascii="Times New Roman"/>
          <w:color w:val="000000"/>
        </w:rPr>
        <w:t>GB 5749  生活饮用水卫生标准</w:t>
      </w:r>
    </w:p>
    <w:p>
      <w:pPr>
        <w:pStyle w:val="87"/>
        <w:ind w:firstLine="400"/>
        <w:rPr>
          <w:rFonts w:ascii="Times New Roman"/>
          <w:color w:val="000000"/>
        </w:rPr>
      </w:pPr>
      <w:r>
        <w:rPr>
          <w:rFonts w:ascii="Times New Roman"/>
          <w:color w:val="000000"/>
        </w:rPr>
        <w:t>GB/T 5750</w:t>
      </w:r>
      <w:r>
        <w:rPr>
          <w:rFonts w:hint="eastAsia" w:ascii="Times New Roman"/>
          <w:color w:val="000000"/>
        </w:rPr>
        <w:t>（所有部分）</w:t>
      </w:r>
      <w:r>
        <w:rPr>
          <w:rFonts w:ascii="Times New Roman"/>
          <w:color w:val="000000"/>
        </w:rPr>
        <w:t xml:space="preserve"> 生活饮用水标准检验方法</w:t>
      </w:r>
    </w:p>
    <w:p>
      <w:pPr>
        <w:pStyle w:val="87"/>
        <w:spacing w:line="440" w:lineRule="exact"/>
        <w:ind w:firstLine="400"/>
        <w:rPr>
          <w:rFonts w:ascii="Times New Roman"/>
          <w:color w:val="000000"/>
        </w:rPr>
      </w:pPr>
      <w:r>
        <w:rPr>
          <w:rFonts w:ascii="Times New Roman"/>
          <w:color w:val="000000"/>
        </w:rPr>
        <w:t>GB/T 17218 饮用水化学处理剂卫生安全性评价</w:t>
      </w:r>
    </w:p>
    <w:p>
      <w:pPr>
        <w:pStyle w:val="87"/>
        <w:spacing w:line="440" w:lineRule="exact"/>
        <w:ind w:firstLine="400"/>
        <w:rPr>
          <w:rFonts w:ascii="Times New Roman"/>
          <w:color w:val="000000"/>
        </w:rPr>
      </w:pPr>
      <w:r>
        <w:rPr>
          <w:rFonts w:ascii="Times New Roman"/>
          <w:color w:val="000000"/>
        </w:rPr>
        <w:t>GB/T 17219  生活饮用水输配水设备及防护材料安全性评价标准</w:t>
      </w:r>
    </w:p>
    <w:p>
      <w:pPr>
        <w:pStyle w:val="87"/>
        <w:spacing w:line="440" w:lineRule="exact"/>
        <w:ind w:firstLine="400"/>
        <w:rPr>
          <w:rFonts w:ascii="Times New Roman"/>
          <w:color w:val="000000"/>
        </w:rPr>
      </w:pPr>
      <w:r>
        <w:rPr>
          <w:rFonts w:ascii="Times New Roman"/>
          <w:color w:val="000000"/>
        </w:rPr>
        <w:t>GB/T 30306 家用和类似用途水处理滤芯</w:t>
      </w:r>
    </w:p>
    <w:p>
      <w:pPr>
        <w:pStyle w:val="87"/>
        <w:spacing w:line="440" w:lineRule="exact"/>
        <w:ind w:firstLine="400"/>
        <w:rPr>
          <w:rFonts w:ascii="Times New Roman"/>
          <w:color w:val="000000"/>
        </w:rPr>
      </w:pPr>
      <w:r>
        <w:rPr>
          <w:rFonts w:hint="eastAsia" w:ascii="Times New Roman"/>
          <w:color w:val="000000"/>
        </w:rPr>
        <w:t xml:space="preserve">GB 34914 </w:t>
      </w:r>
      <w:r>
        <w:rPr>
          <w:color w:val="000000"/>
          <w:szCs w:val="21"/>
        </w:rPr>
        <w:t>净水机水效限定值及水效等级</w:t>
      </w:r>
    </w:p>
    <w:p>
      <w:pPr>
        <w:pStyle w:val="87"/>
        <w:spacing w:line="440" w:lineRule="exact"/>
        <w:ind w:firstLine="400"/>
        <w:rPr>
          <w:rFonts w:ascii="Times New Roman"/>
          <w:color w:val="000000"/>
        </w:rPr>
      </w:pPr>
      <w:r>
        <w:rPr>
          <w:rFonts w:ascii="Times New Roman"/>
          <w:color w:val="000000"/>
        </w:rPr>
        <w:t>CJ/T 94 饮用净水水质标准</w:t>
      </w:r>
    </w:p>
    <w:p>
      <w:pPr>
        <w:pStyle w:val="87"/>
        <w:spacing w:line="440" w:lineRule="exact"/>
        <w:ind w:firstLine="400"/>
        <w:rPr>
          <w:rFonts w:ascii="Times New Roman"/>
          <w:color w:val="000000"/>
        </w:rPr>
      </w:pPr>
      <w:r>
        <w:rPr>
          <w:rFonts w:ascii="Times New Roman"/>
          <w:color w:val="000000"/>
        </w:rPr>
        <w:t>生活饮用水输配水设备及防护材料卫生安全评价规范（2001）</w:t>
      </w:r>
      <w:r>
        <w:rPr>
          <w:rFonts w:hint="eastAsia" w:ascii="Times New Roman"/>
          <w:color w:val="000000"/>
        </w:rPr>
        <w:t>（</w:t>
      </w:r>
      <w:r>
        <w:rPr>
          <w:rFonts w:ascii="Times New Roman"/>
          <w:color w:val="000000"/>
        </w:rPr>
        <w:t>卫生部</w:t>
      </w:r>
      <w:r>
        <w:rPr>
          <w:rFonts w:hint="eastAsia" w:ascii="Times New Roman"/>
          <w:color w:val="000000"/>
        </w:rPr>
        <w:t>）</w:t>
      </w:r>
    </w:p>
    <w:p>
      <w:pPr>
        <w:pStyle w:val="87"/>
        <w:spacing w:line="440" w:lineRule="exact"/>
        <w:ind w:firstLine="0" w:firstLineChars="0"/>
        <w:rPr>
          <w:rFonts w:ascii="Times New Roman"/>
          <w:color w:val="000000"/>
        </w:rPr>
      </w:pPr>
      <w:r>
        <w:rPr>
          <w:rFonts w:hint="eastAsia" w:ascii="Times New Roman"/>
          <w:color w:val="000000"/>
        </w:rPr>
        <w:t>《涉及饮用水卫生安全产品标签说明书管理规范》（国卫办监督发〔2013〕13号）</w:t>
      </w:r>
    </w:p>
    <w:p>
      <w:pPr>
        <w:pStyle w:val="87"/>
        <w:spacing w:line="440" w:lineRule="exact"/>
        <w:ind w:firstLine="0" w:firstLineChars="0"/>
        <w:rPr>
          <w:rFonts w:ascii="Times New Roman"/>
          <w:color w:val="000000"/>
        </w:rPr>
      </w:pPr>
      <w:r>
        <w:rPr>
          <w:rFonts w:hint="eastAsia" w:ascii="Times New Roman"/>
          <w:color w:val="000000"/>
        </w:rPr>
        <w:t>《生活饮用水水质处理器卫生安全与功能评价规范——反渗透处理装置》（2001）（卫生部）</w:t>
      </w:r>
    </w:p>
    <w:p>
      <w:pPr>
        <w:pStyle w:val="95"/>
        <w:numPr>
          <w:ilvl w:val="0"/>
          <w:numId w:val="0"/>
        </w:numPr>
        <w:spacing w:before="163" w:beforeLines="50" w:after="163" w:afterLines="50" w:line="360" w:lineRule="auto"/>
        <w:rPr>
          <w:rFonts w:ascii="Times New Roman" w:hAnsi="Times New Roman"/>
        </w:rPr>
      </w:pPr>
      <w:r>
        <w:rPr>
          <w:rFonts w:ascii="Times New Roman" w:hAnsi="Times New Roman"/>
        </w:rPr>
        <w:t>3 术语和定义</w:t>
      </w:r>
      <w:bookmarkEnd w:id="27"/>
    </w:p>
    <w:bookmarkEnd w:id="20"/>
    <w:bookmarkEnd w:id="21"/>
    <w:bookmarkEnd w:id="22"/>
    <w:bookmarkEnd w:id="23"/>
    <w:p>
      <w:pPr>
        <w:widowControl w:val="0"/>
        <w:rPr>
          <w:rFonts w:ascii="黑体" w:eastAsia="黑体"/>
          <w:color w:val="000000"/>
          <w:kern w:val="2"/>
          <w:sz w:val="21"/>
        </w:rPr>
      </w:pPr>
      <w:r>
        <w:rPr>
          <w:rFonts w:hint="eastAsia" w:ascii="黑体" w:eastAsia="黑体"/>
          <w:color w:val="000000"/>
          <w:kern w:val="2"/>
          <w:sz w:val="21"/>
        </w:rPr>
        <w:t>3.1</w:t>
      </w:r>
    </w:p>
    <w:p>
      <w:pPr>
        <w:widowControl w:val="0"/>
        <w:ind w:firstLine="420" w:firstLineChars="200"/>
        <w:rPr>
          <w:rFonts w:ascii="Arial" w:hAnsi="Arial" w:eastAsia="黑体" w:cs="Arial"/>
          <w:color w:val="000000"/>
          <w:kern w:val="2"/>
          <w:sz w:val="21"/>
        </w:rPr>
      </w:pPr>
      <w:r>
        <w:rPr>
          <w:rFonts w:hint="eastAsia" w:ascii="黑体" w:eastAsia="黑体"/>
          <w:color w:val="000000"/>
          <w:kern w:val="2"/>
          <w:sz w:val="21"/>
        </w:rPr>
        <w:t xml:space="preserve">无化学阻垢剂饮用水处理器 </w:t>
      </w:r>
      <w:r>
        <w:rPr>
          <w:rFonts w:ascii="Arial" w:hAnsi="Arial" w:eastAsia="黑体" w:cs="Arial"/>
          <w:color w:val="000000"/>
          <w:kern w:val="2"/>
          <w:sz w:val="21"/>
        </w:rPr>
        <w:t>Drinking water treatment units without scale inhibitor</w:t>
      </w:r>
    </w:p>
    <w:p>
      <w:pPr>
        <w:autoSpaceDE w:val="0"/>
        <w:autoSpaceDN w:val="0"/>
        <w:spacing w:line="440" w:lineRule="exact"/>
        <w:ind w:firstLine="420" w:firstLineChars="200"/>
        <w:jc w:val="both"/>
        <w:rPr>
          <w:rFonts w:ascii="Times New Roman" w:hAnsi="Times New Roman"/>
          <w:color w:val="000000"/>
          <w:sz w:val="21"/>
          <w:szCs w:val="20"/>
        </w:rPr>
      </w:pPr>
      <w:r>
        <w:rPr>
          <w:rFonts w:hint="eastAsia" w:ascii="Times New Roman" w:hAnsi="Times New Roman"/>
          <w:color w:val="000000"/>
          <w:sz w:val="21"/>
          <w:szCs w:val="20"/>
        </w:rPr>
        <w:t>水效等级达到国家标准的且未使用化学阻垢剂和含化学阻垢剂滤芯的反渗透及纳滤净水器。</w:t>
      </w:r>
    </w:p>
    <w:p>
      <w:pPr>
        <w:autoSpaceDE w:val="0"/>
        <w:autoSpaceDN w:val="0"/>
        <w:spacing w:line="440" w:lineRule="exact"/>
        <w:ind w:firstLine="450" w:firstLineChars="250"/>
        <w:jc w:val="both"/>
        <w:rPr>
          <w:rFonts w:ascii="Times New Roman" w:hAnsi="Times New Roman"/>
          <w:color w:val="000000"/>
          <w:sz w:val="18"/>
          <w:szCs w:val="18"/>
        </w:rPr>
      </w:pPr>
      <w:r>
        <w:rPr>
          <w:rFonts w:hint="eastAsia" w:ascii="Times New Roman" w:hAnsi="Times New Roman"/>
          <w:color w:val="000000"/>
          <w:sz w:val="18"/>
          <w:szCs w:val="18"/>
        </w:rPr>
        <w:t>注：饮用水处理器，也称“零添加阻垢剂净水器”、“净水器”“零添加化学阻垢剂净水器”等。</w:t>
      </w:r>
    </w:p>
    <w:p>
      <w:pPr>
        <w:widowControl w:val="0"/>
        <w:spacing w:before="163" w:beforeLines="50" w:after="163" w:afterLines="50"/>
        <w:rPr>
          <w:rFonts w:ascii="黑体" w:hAnsi="黑体" w:eastAsia="黑体" w:cs="黑体"/>
          <w:color w:val="000000"/>
          <w:kern w:val="2"/>
          <w:sz w:val="21"/>
        </w:rPr>
      </w:pPr>
      <w:r>
        <w:rPr>
          <w:rFonts w:hint="eastAsia" w:ascii="黑体" w:hAnsi="黑体" w:eastAsia="黑体" w:cs="黑体"/>
          <w:color w:val="000000"/>
          <w:kern w:val="2"/>
          <w:sz w:val="21"/>
        </w:rPr>
        <w:t>4技术要求</w:t>
      </w:r>
    </w:p>
    <w:p>
      <w:pPr>
        <w:widowControl w:val="0"/>
        <w:rPr>
          <w:rFonts w:ascii="黑体" w:eastAsia="黑体"/>
          <w:color w:val="000000"/>
          <w:kern w:val="2"/>
          <w:sz w:val="21"/>
        </w:rPr>
      </w:pPr>
      <w:r>
        <w:rPr>
          <w:rFonts w:hint="eastAsia" w:ascii="黑体" w:eastAsia="黑体"/>
          <w:color w:val="000000"/>
          <w:kern w:val="2"/>
          <w:sz w:val="21"/>
        </w:rPr>
        <w:t>4.</w:t>
      </w:r>
      <w:r>
        <w:rPr>
          <w:rFonts w:ascii="黑体" w:eastAsia="黑体"/>
          <w:color w:val="000000"/>
          <w:kern w:val="2"/>
          <w:sz w:val="21"/>
        </w:rPr>
        <w:t>1</w:t>
      </w:r>
      <w:r>
        <w:rPr>
          <w:rFonts w:hint="eastAsia" w:ascii="黑体" w:eastAsia="黑体"/>
          <w:color w:val="000000"/>
          <w:kern w:val="2"/>
          <w:sz w:val="21"/>
        </w:rPr>
        <w:t>与水接触材料卫生安全要求</w:t>
      </w:r>
    </w:p>
    <w:p>
      <w:pPr>
        <w:widowControl w:val="0"/>
        <w:rPr>
          <w:rFonts w:ascii="黑体" w:eastAsia="黑体"/>
          <w:color w:val="000000"/>
          <w:kern w:val="2"/>
          <w:sz w:val="21"/>
        </w:rPr>
      </w:pPr>
      <w:r>
        <w:rPr>
          <w:rFonts w:hint="eastAsia" w:ascii="黑体" w:eastAsia="黑体"/>
          <w:color w:val="000000"/>
          <w:kern w:val="2"/>
          <w:sz w:val="21"/>
        </w:rPr>
        <w:t>4.</w:t>
      </w:r>
      <w:r>
        <w:rPr>
          <w:rFonts w:ascii="黑体" w:eastAsia="黑体"/>
          <w:color w:val="000000"/>
          <w:kern w:val="2"/>
          <w:sz w:val="21"/>
        </w:rPr>
        <w:t>1</w:t>
      </w:r>
      <w:r>
        <w:rPr>
          <w:rFonts w:hint="eastAsia" w:ascii="黑体" w:eastAsia="黑体"/>
          <w:color w:val="000000"/>
          <w:kern w:val="2"/>
          <w:sz w:val="21"/>
        </w:rPr>
        <w:t>.1材料及部件要求</w:t>
      </w:r>
    </w:p>
    <w:p>
      <w:pPr>
        <w:autoSpaceDE w:val="0"/>
        <w:autoSpaceDN w:val="0"/>
        <w:spacing w:line="440" w:lineRule="exact"/>
        <w:ind w:firstLine="420" w:firstLineChars="200"/>
        <w:jc w:val="both"/>
        <w:rPr>
          <w:rFonts w:ascii="Times New Roman" w:hAnsi="Times New Roman"/>
          <w:color w:val="000000"/>
          <w:sz w:val="21"/>
          <w:szCs w:val="20"/>
        </w:rPr>
      </w:pPr>
      <w:r>
        <w:rPr>
          <w:rFonts w:ascii="Times New Roman" w:hAnsi="Times New Roman"/>
          <w:color w:val="000000"/>
          <w:sz w:val="21"/>
          <w:szCs w:val="20"/>
        </w:rPr>
        <w:t>材料及部件应符合以下要求：</w:t>
      </w:r>
    </w:p>
    <w:p>
      <w:pPr>
        <w:autoSpaceDE w:val="0"/>
        <w:autoSpaceDN w:val="0"/>
        <w:spacing w:line="440" w:lineRule="exact"/>
        <w:ind w:firstLine="420" w:firstLineChars="200"/>
        <w:jc w:val="both"/>
        <w:rPr>
          <w:rFonts w:ascii="Times New Roman" w:hAnsi="Times New Roman"/>
          <w:color w:val="000000"/>
          <w:sz w:val="21"/>
          <w:szCs w:val="20"/>
        </w:rPr>
      </w:pPr>
      <w:r>
        <w:rPr>
          <w:rFonts w:ascii="Times New Roman" w:hAnsi="Times New Roman"/>
          <w:color w:val="000000"/>
          <w:sz w:val="21"/>
          <w:szCs w:val="20"/>
        </w:rPr>
        <w:t>a）</w:t>
      </w:r>
      <w:r>
        <w:rPr>
          <w:rFonts w:hint="eastAsia" w:ascii="Times New Roman" w:hAnsi="Times New Roman"/>
          <w:color w:val="000000"/>
          <w:sz w:val="21"/>
          <w:szCs w:val="20"/>
        </w:rPr>
        <w:t>处理器</w:t>
      </w:r>
      <w:r>
        <w:rPr>
          <w:rFonts w:ascii="Times New Roman" w:hAnsi="Times New Roman"/>
          <w:color w:val="000000"/>
          <w:sz w:val="21"/>
          <w:szCs w:val="20"/>
        </w:rPr>
        <w:t>中与水接触材料，包括成型部件及水处理材料应符合GB/T 17219的要求。</w:t>
      </w:r>
    </w:p>
    <w:p>
      <w:pPr>
        <w:autoSpaceDE w:val="0"/>
        <w:autoSpaceDN w:val="0"/>
        <w:spacing w:line="440" w:lineRule="exact"/>
        <w:ind w:firstLine="420" w:firstLineChars="200"/>
        <w:jc w:val="both"/>
        <w:rPr>
          <w:rFonts w:ascii="Times New Roman" w:hAnsi="Times New Roman"/>
          <w:color w:val="000000"/>
          <w:sz w:val="21"/>
          <w:szCs w:val="20"/>
        </w:rPr>
      </w:pPr>
      <w:r>
        <w:rPr>
          <w:rFonts w:ascii="Times New Roman" w:hAnsi="Times New Roman"/>
          <w:color w:val="000000"/>
          <w:sz w:val="21"/>
          <w:szCs w:val="20"/>
        </w:rPr>
        <w:t>b）</w:t>
      </w:r>
      <w:r>
        <w:rPr>
          <w:rFonts w:hint="eastAsia" w:ascii="Times New Roman" w:hAnsi="Times New Roman"/>
          <w:color w:val="000000"/>
          <w:sz w:val="21"/>
          <w:szCs w:val="20"/>
        </w:rPr>
        <w:t>处理器中</w:t>
      </w:r>
      <w:r>
        <w:rPr>
          <w:rFonts w:ascii="Times New Roman" w:hAnsi="Times New Roman"/>
          <w:color w:val="000000"/>
          <w:sz w:val="21"/>
          <w:szCs w:val="20"/>
        </w:rPr>
        <w:t>滤芯应符合GB/T 30306的要求。</w:t>
      </w:r>
    </w:p>
    <w:p>
      <w:pPr>
        <w:widowControl w:val="0"/>
        <w:rPr>
          <w:rFonts w:ascii="黑体" w:eastAsia="黑体"/>
          <w:color w:val="000000"/>
          <w:kern w:val="2"/>
          <w:sz w:val="21"/>
        </w:rPr>
      </w:pPr>
      <w:r>
        <w:rPr>
          <w:rFonts w:hint="eastAsia" w:ascii="黑体" w:eastAsia="黑体"/>
          <w:color w:val="000000"/>
          <w:kern w:val="2"/>
          <w:sz w:val="21"/>
        </w:rPr>
        <w:t>4.</w:t>
      </w:r>
      <w:r>
        <w:rPr>
          <w:rFonts w:ascii="黑体" w:eastAsia="黑体"/>
          <w:color w:val="000000"/>
          <w:kern w:val="2"/>
          <w:sz w:val="21"/>
        </w:rPr>
        <w:t>1</w:t>
      </w:r>
      <w:r>
        <w:rPr>
          <w:rFonts w:hint="eastAsia" w:ascii="黑体" w:eastAsia="黑体"/>
          <w:color w:val="000000"/>
          <w:kern w:val="2"/>
          <w:sz w:val="21"/>
        </w:rPr>
        <w:t>.2化学处理剂要求</w:t>
      </w:r>
    </w:p>
    <w:p>
      <w:pPr>
        <w:autoSpaceDE w:val="0"/>
        <w:autoSpaceDN w:val="0"/>
        <w:spacing w:line="440" w:lineRule="exact"/>
        <w:ind w:firstLine="420" w:firstLineChars="200"/>
        <w:jc w:val="both"/>
        <w:rPr>
          <w:rFonts w:ascii="Times New Roman" w:hAnsi="Times New Roman"/>
          <w:color w:val="000000"/>
          <w:sz w:val="21"/>
          <w:szCs w:val="20"/>
        </w:rPr>
      </w:pPr>
      <w:r>
        <w:rPr>
          <w:rFonts w:hint="eastAsia" w:ascii="Times New Roman" w:hAnsi="Times New Roman"/>
          <w:color w:val="000000"/>
          <w:sz w:val="21"/>
          <w:szCs w:val="20"/>
        </w:rPr>
        <w:t>处理器不应使用化学阻垢剂，如使用其他</w:t>
      </w:r>
      <w:r>
        <w:rPr>
          <w:rFonts w:ascii="Times New Roman" w:hAnsi="Times New Roman"/>
          <w:color w:val="000000"/>
          <w:sz w:val="21"/>
          <w:szCs w:val="20"/>
        </w:rPr>
        <w:t>化学处理剂</w:t>
      </w:r>
      <w:r>
        <w:rPr>
          <w:rFonts w:hint="eastAsia" w:ascii="Times New Roman" w:hAnsi="Times New Roman"/>
          <w:color w:val="000000"/>
          <w:sz w:val="21"/>
          <w:szCs w:val="20"/>
        </w:rPr>
        <w:t>，应</w:t>
      </w:r>
      <w:r>
        <w:rPr>
          <w:rFonts w:ascii="Times New Roman" w:hAnsi="Times New Roman"/>
          <w:color w:val="000000"/>
          <w:sz w:val="21"/>
          <w:szCs w:val="20"/>
        </w:rPr>
        <w:t>符合GB/T 17218的要求。</w:t>
      </w:r>
    </w:p>
    <w:p>
      <w:pPr>
        <w:widowControl w:val="0"/>
        <w:rPr>
          <w:rFonts w:ascii="黑体" w:eastAsia="黑体"/>
          <w:color w:val="000000"/>
          <w:kern w:val="2"/>
          <w:sz w:val="21"/>
        </w:rPr>
      </w:pPr>
      <w:r>
        <w:rPr>
          <w:rFonts w:hint="eastAsia" w:ascii="黑体" w:eastAsia="黑体"/>
          <w:color w:val="000000"/>
          <w:kern w:val="2"/>
          <w:sz w:val="21"/>
        </w:rPr>
        <w:t>4.</w:t>
      </w:r>
      <w:r>
        <w:rPr>
          <w:rFonts w:ascii="黑体" w:eastAsia="黑体"/>
          <w:color w:val="000000"/>
          <w:kern w:val="2"/>
          <w:sz w:val="21"/>
        </w:rPr>
        <w:t>1</w:t>
      </w:r>
      <w:r>
        <w:rPr>
          <w:rFonts w:hint="eastAsia" w:ascii="黑体" w:eastAsia="黑体"/>
          <w:color w:val="000000"/>
          <w:kern w:val="2"/>
          <w:sz w:val="21"/>
        </w:rPr>
        <w:t xml:space="preserve">.3整机卫生要求 </w:t>
      </w:r>
    </w:p>
    <w:p>
      <w:pPr>
        <w:autoSpaceDE w:val="0"/>
        <w:autoSpaceDN w:val="0"/>
        <w:spacing w:line="440" w:lineRule="exact"/>
        <w:ind w:firstLine="420" w:firstLineChars="200"/>
        <w:jc w:val="both"/>
        <w:rPr>
          <w:rFonts w:ascii="黑体" w:hAnsi="黑体" w:eastAsia="黑体"/>
          <w:color w:val="000000"/>
          <w:sz w:val="21"/>
          <w:szCs w:val="20"/>
        </w:rPr>
      </w:pPr>
      <w:r>
        <w:rPr>
          <w:rFonts w:hint="eastAsia" w:ascii="Times New Roman" w:hAnsi="Times New Roman"/>
          <w:color w:val="000000"/>
          <w:sz w:val="21"/>
          <w:szCs w:val="20"/>
        </w:rPr>
        <w:t>处理器的整机卫生安全应符合表1要求，并应符合《</w:t>
      </w:r>
      <w:r>
        <w:rPr>
          <w:rFonts w:ascii="Times New Roman" w:hAnsi="Times New Roman"/>
          <w:color w:val="000000"/>
          <w:sz w:val="21"/>
          <w:szCs w:val="20"/>
        </w:rPr>
        <w:t>生活饮用水水质处理器卫生安全与功能评价规范——反渗透处理装置</w:t>
      </w:r>
      <w:r>
        <w:rPr>
          <w:rFonts w:hint="eastAsia" w:ascii="Times New Roman" w:hAnsi="Times New Roman"/>
          <w:color w:val="000000"/>
          <w:sz w:val="21"/>
          <w:szCs w:val="20"/>
        </w:rPr>
        <w:t>》</w:t>
      </w:r>
      <w:r>
        <w:rPr>
          <w:rFonts w:ascii="Times New Roman" w:hAnsi="Times New Roman"/>
          <w:color w:val="000000"/>
          <w:sz w:val="21"/>
          <w:szCs w:val="20"/>
        </w:rPr>
        <w:t>（2001）</w:t>
      </w:r>
      <w:r>
        <w:rPr>
          <w:rFonts w:hint="eastAsia" w:ascii="Times New Roman" w:hAnsi="Times New Roman"/>
          <w:color w:val="000000"/>
          <w:sz w:val="21"/>
          <w:szCs w:val="20"/>
        </w:rPr>
        <w:t>（</w:t>
      </w:r>
      <w:r>
        <w:rPr>
          <w:rFonts w:ascii="Times New Roman" w:hAnsi="Times New Roman"/>
          <w:color w:val="000000"/>
          <w:sz w:val="21"/>
          <w:szCs w:val="20"/>
        </w:rPr>
        <w:t>卫生部</w:t>
      </w:r>
      <w:r>
        <w:rPr>
          <w:rFonts w:hint="eastAsia" w:ascii="Times New Roman" w:hAnsi="Times New Roman"/>
          <w:color w:val="000000"/>
          <w:sz w:val="21"/>
          <w:szCs w:val="20"/>
        </w:rPr>
        <w:t>）的规定。</w:t>
      </w:r>
      <w:r>
        <w:rPr>
          <w:rFonts w:ascii="宋体" w:hAnsi="Times New Roman" w:cs="Arial"/>
          <w:color w:val="000000"/>
          <w:sz w:val="21"/>
          <w:szCs w:val="20"/>
        </w:rPr>
        <w:t xml:space="preserve"> </w:t>
      </w:r>
      <w:r>
        <w:rPr>
          <w:rFonts w:ascii="黑体" w:hAnsi="黑体" w:eastAsia="黑体"/>
          <w:color w:val="000000"/>
          <w:sz w:val="21"/>
          <w:szCs w:val="20"/>
        </w:rPr>
        <w:t xml:space="preserve"> </w:t>
      </w:r>
    </w:p>
    <w:p>
      <w:pPr>
        <w:widowControl w:val="0"/>
        <w:ind w:right="51" w:firstLine="420" w:firstLineChars="200"/>
        <w:jc w:val="center"/>
        <w:rPr>
          <w:rFonts w:ascii="黑体" w:hAnsi="黑体" w:eastAsia="黑体"/>
          <w:color w:val="000000"/>
          <w:kern w:val="2"/>
          <w:sz w:val="21"/>
        </w:rPr>
      </w:pPr>
      <w:r>
        <w:rPr>
          <w:rFonts w:ascii="黑体" w:hAnsi="黑体" w:eastAsia="黑体"/>
          <w:color w:val="000000"/>
          <w:kern w:val="2"/>
          <w:sz w:val="21"/>
        </w:rPr>
        <w:t xml:space="preserve">表1 </w:t>
      </w:r>
      <w:r>
        <w:rPr>
          <w:rFonts w:hint="eastAsia" w:ascii="黑体" w:hAnsi="黑体" w:eastAsia="黑体"/>
          <w:color w:val="000000"/>
          <w:kern w:val="2"/>
          <w:sz w:val="21"/>
        </w:rPr>
        <w:t>处理器卫生安全试验检测项目和卫生要求</w:t>
      </w:r>
    </w:p>
    <w:p>
      <w:pPr>
        <w:widowControl w:val="0"/>
        <w:ind w:right="51" w:firstLine="420" w:firstLineChars="200"/>
        <w:jc w:val="right"/>
        <w:rPr>
          <w:rFonts w:ascii="黑体" w:hAnsi="黑体" w:eastAsia="黑体"/>
          <w:color w:val="000000"/>
          <w:kern w:val="2"/>
          <w:sz w:val="21"/>
        </w:rPr>
      </w:pPr>
      <w:r>
        <w:rPr>
          <w:rFonts w:hint="eastAsia" w:ascii="宋体" w:hAnsi="宋体"/>
          <w:color w:val="000000"/>
          <w:kern w:val="2"/>
          <w:sz w:val="21"/>
        </w:rPr>
        <w:t>单位为毫克每升（mg/L）</w:t>
      </w:r>
    </w:p>
    <w:tbl>
      <w:tblPr>
        <w:tblStyle w:val="49"/>
        <w:tblpPr w:leftFromText="180" w:rightFromText="180" w:vertAnchor="text" w:horzAnchor="page" w:tblpX="1438"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433"/>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widowControl w:val="0"/>
              <w:autoSpaceDE w:val="0"/>
              <w:autoSpaceDN w:val="0"/>
              <w:adjustRightInd w:val="0"/>
              <w:spacing w:line="276" w:lineRule="auto"/>
              <w:jc w:val="center"/>
              <w:rPr>
                <w:rFonts w:ascii="黑体" w:hAnsi="黑体" w:eastAsia="黑体"/>
                <w:color w:val="000000"/>
                <w:kern w:val="2"/>
                <w:sz w:val="18"/>
                <w:szCs w:val="18"/>
              </w:rPr>
            </w:pPr>
            <w:r>
              <w:rPr>
                <w:rFonts w:hint="eastAsia" w:ascii="黑体" w:hAnsi="黑体" w:eastAsia="黑体"/>
                <w:color w:val="000000"/>
                <w:kern w:val="2"/>
                <w:sz w:val="18"/>
                <w:szCs w:val="18"/>
              </w:rPr>
              <w:t>序号</w:t>
            </w:r>
          </w:p>
        </w:tc>
        <w:tc>
          <w:tcPr>
            <w:tcW w:w="3433" w:type="dxa"/>
            <w:vAlign w:val="center"/>
          </w:tcPr>
          <w:p>
            <w:pPr>
              <w:widowControl w:val="0"/>
              <w:autoSpaceDE w:val="0"/>
              <w:autoSpaceDN w:val="0"/>
              <w:adjustRightInd w:val="0"/>
              <w:spacing w:line="276" w:lineRule="auto"/>
              <w:jc w:val="center"/>
              <w:rPr>
                <w:rFonts w:ascii="黑体" w:hAnsi="黑体" w:eastAsia="黑体"/>
                <w:color w:val="000000"/>
                <w:kern w:val="2"/>
                <w:sz w:val="18"/>
                <w:szCs w:val="18"/>
              </w:rPr>
            </w:pPr>
            <w:r>
              <w:rPr>
                <w:rFonts w:hint="eastAsia" w:ascii="黑体" w:hAnsi="黑体" w:eastAsia="黑体"/>
                <w:color w:val="000000"/>
                <w:kern w:val="2"/>
                <w:sz w:val="18"/>
                <w:szCs w:val="18"/>
              </w:rPr>
              <w:t>检测项目</w:t>
            </w:r>
          </w:p>
        </w:tc>
        <w:tc>
          <w:tcPr>
            <w:tcW w:w="5250" w:type="dxa"/>
            <w:vAlign w:val="center"/>
          </w:tcPr>
          <w:p>
            <w:pPr>
              <w:widowControl w:val="0"/>
              <w:autoSpaceDE w:val="0"/>
              <w:autoSpaceDN w:val="0"/>
              <w:adjustRightInd w:val="0"/>
              <w:spacing w:line="276" w:lineRule="auto"/>
              <w:jc w:val="center"/>
              <w:rPr>
                <w:b/>
                <w:color w:val="000000"/>
                <w:sz w:val="18"/>
                <w:szCs w:val="18"/>
              </w:rPr>
            </w:pPr>
            <w:r>
              <w:rPr>
                <w:rFonts w:hint="eastAsia" w:ascii="黑体" w:hAnsi="黑体" w:eastAsia="黑体"/>
                <w:color w:val="000000"/>
                <w:kern w:val="2"/>
                <w:sz w:val="18"/>
                <w:szCs w:val="18"/>
              </w:rPr>
              <w:t>技术</w:t>
            </w:r>
            <w:r>
              <w:rPr>
                <w:rFonts w:ascii="黑体" w:hAnsi="黑体" w:eastAsia="黑体"/>
                <w:color w:val="000000"/>
                <w:kern w:val="2"/>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widowControl w:val="0"/>
              <w:autoSpaceDE w:val="0"/>
              <w:autoSpaceDN w:val="0"/>
              <w:adjustRightInd w:val="0"/>
              <w:spacing w:line="276" w:lineRule="auto"/>
              <w:jc w:val="center"/>
              <w:rPr>
                <w:color w:val="000000"/>
                <w:sz w:val="18"/>
                <w:szCs w:val="18"/>
              </w:rPr>
            </w:pPr>
            <w:r>
              <w:rPr>
                <w:rFonts w:hint="eastAsia"/>
                <w:color w:val="000000"/>
                <w:sz w:val="18"/>
                <w:szCs w:val="18"/>
              </w:rPr>
              <w:t>1</w:t>
            </w:r>
          </w:p>
        </w:tc>
        <w:tc>
          <w:tcPr>
            <w:tcW w:w="3433" w:type="dxa"/>
            <w:vAlign w:val="center"/>
          </w:tcPr>
          <w:p>
            <w:pPr>
              <w:widowControl w:val="0"/>
              <w:autoSpaceDE w:val="0"/>
              <w:autoSpaceDN w:val="0"/>
              <w:adjustRightInd w:val="0"/>
              <w:spacing w:line="276" w:lineRule="auto"/>
              <w:jc w:val="center"/>
              <w:rPr>
                <w:color w:val="000000"/>
                <w:sz w:val="18"/>
                <w:szCs w:val="18"/>
              </w:rPr>
            </w:pPr>
            <w:r>
              <w:rPr>
                <w:color w:val="000000"/>
                <w:sz w:val="18"/>
                <w:szCs w:val="18"/>
              </w:rPr>
              <w:t>化学阻垢剂（磷酸盐）溶出量</w:t>
            </w:r>
          </w:p>
        </w:tc>
        <w:tc>
          <w:tcPr>
            <w:tcW w:w="5250" w:type="dxa"/>
            <w:vAlign w:val="center"/>
          </w:tcPr>
          <w:p>
            <w:pPr>
              <w:widowControl w:val="0"/>
              <w:autoSpaceDE w:val="0"/>
              <w:autoSpaceDN w:val="0"/>
              <w:adjustRightInd w:val="0"/>
              <w:spacing w:line="276" w:lineRule="auto"/>
              <w:jc w:val="center"/>
              <w:rPr>
                <w:color w:val="000000"/>
                <w:sz w:val="18"/>
                <w:szCs w:val="18"/>
              </w:rPr>
            </w:pPr>
            <w:r>
              <w:rPr>
                <w:color w:val="000000"/>
                <w:sz w:val="18"/>
                <w:szCs w:val="18"/>
              </w:rPr>
              <w:t>增加量</w:t>
            </w:r>
            <w:r>
              <w:rPr>
                <w:rFonts w:hint="eastAsia"/>
                <w:color w:val="000000"/>
                <w:sz w:val="18"/>
                <w:szCs w:val="18"/>
              </w:rPr>
              <w:t>≤</w:t>
            </w:r>
            <w:r>
              <w:rPr>
                <w:color w:val="000000"/>
                <w:sz w:val="18"/>
                <w:szCs w:val="18"/>
              </w:rPr>
              <w:t>0</w:t>
            </w:r>
            <w:r>
              <w:rPr>
                <w:rFonts w:hint="eastAsia"/>
                <w:color w:val="000000"/>
                <w:sz w:val="18"/>
                <w:szCs w:val="18"/>
              </w:rPr>
              <w:t>.</w:t>
            </w:r>
            <w:r>
              <w:rPr>
                <w:color w:val="000000"/>
                <w:sz w:val="18"/>
                <w:szCs w:val="18"/>
              </w:rPr>
              <w:t>1</w:t>
            </w:r>
            <w:r>
              <w:rPr>
                <w:rFonts w:hint="eastAsia"/>
                <w:color w:val="000000"/>
                <w:sz w:val="18"/>
                <w:szCs w:val="18"/>
              </w:rPr>
              <w:t xml:space="preserve"> mg/L</w:t>
            </w:r>
          </w:p>
        </w:tc>
      </w:tr>
    </w:tbl>
    <w:p>
      <w:pPr>
        <w:widowControl w:val="0"/>
        <w:rPr>
          <w:rFonts w:ascii="黑体" w:eastAsia="黑体"/>
          <w:color w:val="000000"/>
          <w:kern w:val="2"/>
          <w:sz w:val="21"/>
        </w:rPr>
      </w:pPr>
      <w:r>
        <w:rPr>
          <w:rFonts w:hint="eastAsia" w:ascii="黑体" w:eastAsia="黑体"/>
          <w:color w:val="000000"/>
          <w:kern w:val="2"/>
          <w:sz w:val="21"/>
        </w:rPr>
        <w:t>4.</w:t>
      </w:r>
      <w:r>
        <w:rPr>
          <w:rFonts w:ascii="黑体" w:eastAsia="黑体"/>
          <w:color w:val="000000"/>
          <w:kern w:val="2"/>
          <w:sz w:val="21"/>
        </w:rPr>
        <w:t>2</w:t>
      </w:r>
      <w:r>
        <w:rPr>
          <w:rFonts w:hint="eastAsia" w:ascii="黑体" w:eastAsia="黑体"/>
          <w:color w:val="000000"/>
          <w:kern w:val="2"/>
          <w:sz w:val="21"/>
        </w:rPr>
        <w:t>出水水质</w:t>
      </w:r>
    </w:p>
    <w:p>
      <w:pPr>
        <w:widowControl w:val="0"/>
        <w:ind w:right="51" w:firstLine="420" w:firstLineChars="200"/>
        <w:jc w:val="both"/>
        <w:rPr>
          <w:rFonts w:ascii="Times New Roman"/>
          <w:color w:val="000000"/>
          <w:kern w:val="2"/>
          <w:sz w:val="21"/>
        </w:rPr>
      </w:pPr>
      <w:r>
        <w:rPr>
          <w:rFonts w:hint="eastAsia" w:ascii="Times New Roman" w:hAnsi="Times New Roman"/>
          <w:color w:val="000000"/>
          <w:kern w:val="2"/>
          <w:sz w:val="21"/>
        </w:rPr>
        <w:t>a)按照</w:t>
      </w:r>
      <w:r>
        <w:rPr>
          <w:rFonts w:ascii="Times New Roman" w:hAnsi="Times New Roman"/>
          <w:color w:val="000000"/>
          <w:kern w:val="2"/>
          <w:sz w:val="21"/>
        </w:rPr>
        <w:t>5.3</w:t>
      </w:r>
      <w:r>
        <w:rPr>
          <w:rFonts w:hint="eastAsia" w:ascii="Times New Roman" w:hAnsi="Times New Roman"/>
          <w:color w:val="000000"/>
          <w:kern w:val="2"/>
          <w:sz w:val="21"/>
        </w:rPr>
        <w:t>规定方法测试，反渗透和纳滤</w:t>
      </w:r>
      <w:r>
        <w:rPr>
          <w:rFonts w:hint="eastAsia" w:ascii="Times New Roman"/>
          <w:color w:val="000000"/>
          <w:kern w:val="2"/>
          <w:sz w:val="21"/>
        </w:rPr>
        <w:t>处理器的出水水质应分别满足</w:t>
      </w:r>
      <w:r>
        <w:rPr>
          <w:rFonts w:hint="eastAsia" w:ascii="Times New Roman" w:hAnsi="Times New Roman" w:cs="Arial"/>
          <w:color w:val="000000"/>
          <w:kern w:val="2"/>
          <w:sz w:val="21"/>
          <w:szCs w:val="20"/>
        </w:rPr>
        <w:t>《生活饮用水水质处理器卫生安全与功能评价规范—反渗透处理装置》（2001）、GB 5749-2006《生活饮用水卫生标准》</w:t>
      </w:r>
      <w:r>
        <w:rPr>
          <w:rFonts w:hint="eastAsia" w:ascii="Times New Roman"/>
          <w:color w:val="000000"/>
          <w:kern w:val="2"/>
          <w:sz w:val="21"/>
        </w:rPr>
        <w:t>和CJ/T 94的要求。</w:t>
      </w:r>
    </w:p>
    <w:p>
      <w:pPr>
        <w:widowControl w:val="0"/>
        <w:ind w:right="51" w:firstLine="420" w:firstLineChars="200"/>
        <w:jc w:val="both"/>
        <w:rPr>
          <w:rFonts w:ascii="Times New Roman"/>
          <w:color w:val="000000"/>
          <w:kern w:val="2"/>
          <w:sz w:val="21"/>
        </w:rPr>
      </w:pPr>
      <w:r>
        <w:rPr>
          <w:rFonts w:hint="eastAsia" w:ascii="Times New Roman"/>
          <w:color w:val="000000"/>
          <w:kern w:val="2"/>
          <w:sz w:val="21"/>
        </w:rPr>
        <w:t>b)出水水质化学阻垢剂（磷酸盐）浓度≤0.1 mg/L。</w:t>
      </w:r>
    </w:p>
    <w:p>
      <w:pPr>
        <w:widowControl w:val="0"/>
        <w:rPr>
          <w:rFonts w:ascii="黑体" w:eastAsia="黑体"/>
          <w:color w:val="000000"/>
          <w:kern w:val="2"/>
          <w:sz w:val="21"/>
        </w:rPr>
      </w:pPr>
      <w:r>
        <w:rPr>
          <w:rFonts w:hint="eastAsia" w:ascii="黑体" w:eastAsia="黑体"/>
          <w:color w:val="000000"/>
          <w:kern w:val="2"/>
          <w:sz w:val="21"/>
        </w:rPr>
        <w:t>4.</w:t>
      </w:r>
      <w:r>
        <w:rPr>
          <w:rFonts w:ascii="黑体" w:eastAsia="黑体"/>
          <w:color w:val="000000"/>
          <w:kern w:val="2"/>
          <w:sz w:val="21"/>
        </w:rPr>
        <w:t>3</w:t>
      </w:r>
      <w:r>
        <w:rPr>
          <w:rFonts w:hint="eastAsia" w:ascii="黑体" w:eastAsia="黑体"/>
          <w:color w:val="000000"/>
          <w:kern w:val="2"/>
          <w:sz w:val="21"/>
        </w:rPr>
        <w:t>浓缩水水质</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s="Arial"/>
          <w:color w:val="000000"/>
          <w:kern w:val="2"/>
          <w:sz w:val="21"/>
          <w:szCs w:val="20"/>
        </w:rPr>
        <w:t>按照</w:t>
      </w:r>
      <w:r>
        <w:rPr>
          <w:rFonts w:ascii="Times New Roman" w:hAnsi="Times New Roman" w:cs="Arial"/>
          <w:color w:val="000000"/>
          <w:kern w:val="2"/>
          <w:sz w:val="21"/>
          <w:szCs w:val="20"/>
        </w:rPr>
        <w:t>5.4</w:t>
      </w:r>
      <w:r>
        <w:rPr>
          <w:rFonts w:hint="eastAsia" w:ascii="Times New Roman" w:hAnsi="Times New Roman" w:cs="Arial"/>
          <w:color w:val="000000"/>
          <w:kern w:val="2"/>
          <w:sz w:val="21"/>
          <w:szCs w:val="20"/>
        </w:rPr>
        <w:t>规定方法测试，</w:t>
      </w:r>
      <w:r>
        <w:rPr>
          <w:rFonts w:hint="eastAsia" w:ascii="Times New Roman" w:hAnsi="Times New Roman"/>
          <w:color w:val="000000"/>
          <w:kern w:val="2"/>
          <w:sz w:val="21"/>
        </w:rPr>
        <w:t>不含阻垢剂产品浓缩水水质中磷酸盐（六偏磷酸钠、三聚磷酸钠、焦磷酸钠、磷酸等）浓度不大于</w:t>
      </w:r>
      <w:r>
        <w:rPr>
          <w:rFonts w:ascii="Times New Roman" w:hAnsi="Times New Roman"/>
          <w:color w:val="000000"/>
          <w:kern w:val="2"/>
          <w:sz w:val="21"/>
        </w:rPr>
        <w:t>0.1</w:t>
      </w:r>
      <w:r>
        <w:rPr>
          <w:rFonts w:hint="eastAsia" w:ascii="Times New Roman" w:hAnsi="Times New Roman"/>
          <w:color w:val="000000"/>
          <w:kern w:val="2"/>
          <w:sz w:val="21"/>
        </w:rPr>
        <w:t>mg/</w:t>
      </w:r>
      <w:r>
        <w:rPr>
          <w:rFonts w:ascii="Times New Roman" w:hAnsi="Times New Roman"/>
          <w:color w:val="000000"/>
          <w:kern w:val="2"/>
          <w:sz w:val="21"/>
        </w:rPr>
        <w:t>L</w:t>
      </w:r>
      <w:r>
        <w:rPr>
          <w:rFonts w:hint="eastAsia" w:ascii="Times New Roman" w:hAnsi="Times New Roman"/>
          <w:color w:val="000000"/>
          <w:kern w:val="2"/>
          <w:sz w:val="21"/>
        </w:rPr>
        <w:t>；</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olor w:val="000000"/>
          <w:kern w:val="2"/>
          <w:sz w:val="21"/>
        </w:rPr>
        <w:t>含阻垢剂产品浓缩水磷酸盐浓度（六偏磷酸钠、三聚磷酸钠、焦磷酸钠、磷酸等）浓度大于</w:t>
      </w:r>
      <w:r>
        <w:rPr>
          <w:rFonts w:ascii="Times New Roman" w:hAnsi="Times New Roman"/>
          <w:color w:val="000000"/>
          <w:kern w:val="2"/>
          <w:sz w:val="21"/>
        </w:rPr>
        <w:t>0.1mg/L</w:t>
      </w:r>
      <w:r>
        <w:rPr>
          <w:rFonts w:hint="eastAsia" w:ascii="Times New Roman" w:hAnsi="Times New Roman"/>
          <w:color w:val="000000"/>
          <w:kern w:val="2"/>
          <w:sz w:val="21"/>
        </w:rPr>
        <w:t>；</w:t>
      </w:r>
    </w:p>
    <w:p>
      <w:pPr>
        <w:widowControl w:val="0"/>
        <w:rPr>
          <w:rFonts w:ascii="黑体" w:eastAsia="黑体"/>
          <w:color w:val="000000"/>
          <w:kern w:val="2"/>
          <w:sz w:val="21"/>
        </w:rPr>
      </w:pPr>
      <w:r>
        <w:rPr>
          <w:rFonts w:hint="eastAsia" w:ascii="黑体" w:eastAsia="黑体"/>
          <w:color w:val="000000"/>
          <w:kern w:val="2"/>
          <w:sz w:val="21"/>
        </w:rPr>
        <w:t>4.</w:t>
      </w:r>
      <w:r>
        <w:rPr>
          <w:rFonts w:ascii="黑体" w:eastAsia="黑体"/>
          <w:color w:val="000000"/>
          <w:kern w:val="2"/>
          <w:sz w:val="21"/>
        </w:rPr>
        <w:t>4</w:t>
      </w:r>
      <w:r>
        <w:rPr>
          <w:rFonts w:hint="eastAsia" w:ascii="黑体" w:eastAsia="黑体"/>
          <w:color w:val="000000"/>
          <w:kern w:val="2"/>
          <w:sz w:val="21"/>
        </w:rPr>
        <w:t>节水等级</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s="Arial"/>
          <w:color w:val="000000"/>
          <w:kern w:val="2"/>
          <w:sz w:val="21"/>
          <w:szCs w:val="20"/>
        </w:rPr>
        <w:t>按照</w:t>
      </w:r>
      <w:r>
        <w:rPr>
          <w:rFonts w:ascii="Times New Roman" w:hAnsi="Times New Roman" w:cs="Arial"/>
          <w:color w:val="000000"/>
          <w:kern w:val="2"/>
          <w:sz w:val="21"/>
          <w:szCs w:val="20"/>
        </w:rPr>
        <w:t>5.5</w:t>
      </w:r>
      <w:r>
        <w:rPr>
          <w:rFonts w:hint="eastAsia" w:ascii="Times New Roman" w:hAnsi="Times New Roman" w:cs="Arial"/>
          <w:color w:val="000000"/>
          <w:kern w:val="2"/>
          <w:sz w:val="21"/>
          <w:szCs w:val="20"/>
        </w:rPr>
        <w:t>规定方法测试，节水指标</w:t>
      </w:r>
      <w:r>
        <w:rPr>
          <w:rFonts w:hint="eastAsia" w:ascii="Times New Roman" w:hAnsi="Times New Roman"/>
          <w:color w:val="000000"/>
          <w:kern w:val="2"/>
          <w:sz w:val="21"/>
        </w:rPr>
        <w:t>应符合</w:t>
      </w:r>
      <w:r>
        <w:rPr>
          <w:rFonts w:ascii="Times New Roman" w:hAnsi="Times New Roman"/>
          <w:color w:val="000000"/>
          <w:kern w:val="2"/>
          <w:sz w:val="21"/>
        </w:rPr>
        <w:t>GB 34914</w:t>
      </w:r>
      <w:r>
        <w:rPr>
          <w:rFonts w:hint="eastAsia" w:ascii="Times New Roman" w:hAnsi="Times New Roman"/>
          <w:color w:val="000000"/>
          <w:kern w:val="2"/>
          <w:sz w:val="21"/>
        </w:rPr>
        <w:t>的要求。同时根据产品是否添加了阻垢剂来判定节水等级。</w:t>
      </w:r>
    </w:p>
    <w:tbl>
      <w:tblPr>
        <w:tblStyle w:val="49"/>
        <w:tblpPr w:leftFromText="180" w:rightFromText="180" w:vertAnchor="text" w:horzAnchor="page" w:tblpX="1574" w:tblpY="258"/>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558"/>
        <w:gridCol w:w="1984"/>
        <w:gridCol w:w="198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36" w:type="dxa"/>
            <w:shd w:val="clear" w:color="auto" w:fill="auto"/>
            <w:noWrap/>
            <w:vAlign w:val="center"/>
          </w:tcPr>
          <w:p>
            <w:pPr>
              <w:widowControl w:val="0"/>
              <w:ind w:right="51"/>
              <w:jc w:val="center"/>
              <w:rPr>
                <w:rFonts w:ascii="Times New Roman" w:hAnsi="Times New Roman"/>
                <w:b/>
                <w:bCs/>
                <w:color w:val="000000"/>
                <w:kern w:val="2"/>
                <w:sz w:val="21"/>
              </w:rPr>
            </w:pPr>
            <w:r>
              <w:rPr>
                <w:rFonts w:hint="eastAsia" w:ascii="Times New Roman" w:hAnsi="Times New Roman"/>
                <w:b/>
                <w:bCs/>
                <w:color w:val="000000"/>
                <w:kern w:val="2"/>
                <w:sz w:val="21"/>
              </w:rPr>
              <w:t>节水等级</w:t>
            </w:r>
          </w:p>
        </w:tc>
        <w:tc>
          <w:tcPr>
            <w:tcW w:w="2558" w:type="dxa"/>
            <w:shd w:val="clear" w:color="auto" w:fill="auto"/>
            <w:noWrap/>
          </w:tcPr>
          <w:p>
            <w:pPr>
              <w:widowControl w:val="0"/>
              <w:ind w:right="51"/>
              <w:jc w:val="center"/>
              <w:rPr>
                <w:rFonts w:ascii="Times New Roman" w:hAnsi="Times New Roman"/>
                <w:b/>
                <w:bCs/>
                <w:color w:val="000000"/>
                <w:kern w:val="2"/>
                <w:sz w:val="21"/>
              </w:rPr>
            </w:pPr>
            <w:r>
              <w:rPr>
                <w:rFonts w:hint="eastAsia" w:ascii="Times New Roman" w:hAnsi="Times New Roman"/>
                <w:b/>
                <w:bCs/>
                <w:color w:val="000000"/>
                <w:kern w:val="2"/>
                <w:sz w:val="21"/>
              </w:rPr>
              <w:t>浓缩水磷酸盐浓度</w:t>
            </w:r>
            <w:r>
              <w:rPr>
                <w:rFonts w:hint="eastAsia" w:ascii="Times New Roman" w:hAnsi="Times New Roman"/>
                <w:bCs/>
                <w:color w:val="000000"/>
                <w:kern w:val="2"/>
                <w:sz w:val="21"/>
              </w:rPr>
              <w:t>(</w:t>
            </w:r>
            <w:r>
              <w:rPr>
                <w:rFonts w:ascii="Times New Roman" w:hAnsi="Times New Roman"/>
                <w:color w:val="000000"/>
                <w:kern w:val="2"/>
                <w:sz w:val="21"/>
              </w:rPr>
              <w:t xml:space="preserve"> mg/L</w:t>
            </w:r>
            <w:r>
              <w:rPr>
                <w:rFonts w:hint="eastAsia" w:ascii="Times New Roman" w:hAnsi="Times New Roman"/>
                <w:bCs/>
                <w:color w:val="000000"/>
                <w:kern w:val="2"/>
                <w:sz w:val="21"/>
              </w:rPr>
              <w:t>)</w:t>
            </w:r>
          </w:p>
        </w:tc>
        <w:tc>
          <w:tcPr>
            <w:tcW w:w="3969" w:type="dxa"/>
            <w:gridSpan w:val="2"/>
            <w:shd w:val="clear" w:color="auto" w:fill="auto"/>
            <w:noWrap/>
          </w:tcPr>
          <w:p>
            <w:pPr>
              <w:widowControl w:val="0"/>
              <w:ind w:right="51" w:firstLine="422" w:firstLineChars="200"/>
              <w:jc w:val="center"/>
              <w:rPr>
                <w:rFonts w:ascii="Times New Roman" w:hAnsi="Times New Roman"/>
                <w:b/>
                <w:bCs/>
                <w:color w:val="000000"/>
                <w:kern w:val="2"/>
                <w:sz w:val="21"/>
              </w:rPr>
            </w:pPr>
            <w:r>
              <w:rPr>
                <w:rFonts w:hint="eastAsia" w:ascii="Times New Roman" w:hAnsi="Times New Roman"/>
                <w:b/>
                <w:bCs/>
                <w:color w:val="000000"/>
                <w:kern w:val="2"/>
                <w:sz w:val="21"/>
              </w:rPr>
              <w:t>技术要求</w:t>
            </w:r>
          </w:p>
        </w:tc>
        <w:tc>
          <w:tcPr>
            <w:tcW w:w="1614" w:type="dxa"/>
            <w:shd w:val="clear" w:color="auto" w:fill="auto"/>
            <w:noWrap/>
          </w:tcPr>
          <w:p>
            <w:pPr>
              <w:widowControl w:val="0"/>
              <w:ind w:right="51"/>
              <w:jc w:val="center"/>
              <w:rPr>
                <w:rFonts w:ascii="Times New Roman" w:hAnsi="Times New Roman"/>
                <w:b/>
                <w:bCs/>
                <w:color w:val="000000"/>
                <w:kern w:val="2"/>
                <w:sz w:val="21"/>
              </w:rPr>
            </w:pPr>
            <w:r>
              <w:rPr>
                <w:rFonts w:hint="eastAsia" w:ascii="Times New Roman" w:hAnsi="Times New Roman"/>
                <w:b/>
                <w:bCs/>
                <w:color w:val="000000"/>
                <w:kern w:val="2"/>
                <w:sz w:val="21"/>
              </w:rPr>
              <w:t>对应水效等级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36" w:type="dxa"/>
            <w:shd w:val="clear" w:color="auto" w:fill="auto"/>
            <w:noWrap/>
            <w:vAlign w:val="center"/>
          </w:tcPr>
          <w:p>
            <w:pPr>
              <w:widowControl w:val="0"/>
              <w:ind w:right="51"/>
              <w:jc w:val="center"/>
              <w:rPr>
                <w:rFonts w:ascii="Times New Roman" w:hAnsi="Times New Roman"/>
                <w:color w:val="000000"/>
                <w:kern w:val="2"/>
                <w:sz w:val="21"/>
              </w:rPr>
            </w:pPr>
            <w:r>
              <w:rPr>
                <w:rFonts w:hint="eastAsia" w:ascii="Times New Roman" w:hAnsi="Times New Roman"/>
                <w:color w:val="000000"/>
                <w:kern w:val="2"/>
                <w:sz w:val="21"/>
              </w:rPr>
              <w:t>六星节水</w:t>
            </w: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C≤0.1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净水产水率≥65%</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总净水量≥4000L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36" w:type="dxa"/>
            <w:vMerge w:val="restart"/>
            <w:shd w:val="clear" w:color="auto" w:fill="auto"/>
            <w:noWrap/>
            <w:vAlign w:val="center"/>
          </w:tcPr>
          <w:p>
            <w:pPr>
              <w:widowControl w:val="0"/>
              <w:ind w:right="51"/>
              <w:jc w:val="center"/>
              <w:rPr>
                <w:rFonts w:ascii="Times New Roman" w:hAnsi="Times New Roman"/>
                <w:color w:val="000000"/>
                <w:kern w:val="2"/>
                <w:sz w:val="21"/>
              </w:rPr>
            </w:pPr>
            <w:r>
              <w:rPr>
                <w:rFonts w:hint="eastAsia" w:ascii="Times New Roman" w:hAnsi="Times New Roman"/>
                <w:color w:val="000000"/>
                <w:kern w:val="2"/>
                <w:sz w:val="21"/>
              </w:rPr>
              <w:t>五星节水</w:t>
            </w: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C≤0.1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净水产水率≥55%</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总净水量≥3000L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36" w:type="dxa"/>
            <w:vMerge w:val="continue"/>
            <w:shd w:val="clear" w:color="auto" w:fill="auto"/>
            <w:noWrap/>
            <w:vAlign w:val="center"/>
          </w:tcPr>
          <w:p>
            <w:pPr>
              <w:widowControl w:val="0"/>
              <w:ind w:right="51"/>
              <w:jc w:val="center"/>
              <w:rPr>
                <w:rFonts w:ascii="Times New Roman" w:hAnsi="Times New Roman"/>
                <w:color w:val="000000"/>
                <w:kern w:val="2"/>
                <w:sz w:val="21"/>
              </w:rPr>
            </w:pP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0.1＜C＜1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净水产水率≥65%</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总净水量≥4000L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36" w:type="dxa"/>
            <w:vMerge w:val="restart"/>
            <w:shd w:val="clear" w:color="auto" w:fill="auto"/>
            <w:noWrap/>
            <w:vAlign w:val="center"/>
          </w:tcPr>
          <w:p>
            <w:pPr>
              <w:widowControl w:val="0"/>
              <w:ind w:right="51"/>
              <w:jc w:val="center"/>
              <w:rPr>
                <w:rFonts w:ascii="Times New Roman" w:hAnsi="Times New Roman"/>
                <w:color w:val="000000"/>
                <w:kern w:val="2"/>
                <w:sz w:val="21"/>
              </w:rPr>
            </w:pPr>
            <w:r>
              <w:rPr>
                <w:rFonts w:hint="eastAsia" w:ascii="Times New Roman" w:hAnsi="Times New Roman"/>
                <w:color w:val="000000"/>
                <w:kern w:val="2"/>
                <w:sz w:val="21"/>
              </w:rPr>
              <w:t>四星节水</w:t>
            </w: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C≤0.1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净水产水率≥60%</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总净水量≥2000L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36" w:type="dxa"/>
            <w:vMerge w:val="continue"/>
            <w:shd w:val="clear" w:color="auto" w:fill="auto"/>
            <w:noWrap/>
            <w:vAlign w:val="center"/>
          </w:tcPr>
          <w:p>
            <w:pPr>
              <w:widowControl w:val="0"/>
              <w:ind w:right="51" w:firstLine="420" w:firstLineChars="200"/>
              <w:jc w:val="center"/>
              <w:rPr>
                <w:rFonts w:ascii="Times New Roman" w:hAnsi="Times New Roman"/>
                <w:color w:val="000000"/>
                <w:kern w:val="2"/>
                <w:sz w:val="21"/>
              </w:rPr>
            </w:pP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0.1＜C＜1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净水产水率≥55%</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总净水量≥3000L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36" w:type="dxa"/>
            <w:vMerge w:val="continue"/>
            <w:shd w:val="clear" w:color="auto" w:fill="auto"/>
            <w:vAlign w:val="center"/>
          </w:tcPr>
          <w:p>
            <w:pPr>
              <w:widowControl w:val="0"/>
              <w:ind w:right="51" w:firstLine="420" w:firstLineChars="200"/>
              <w:jc w:val="center"/>
              <w:rPr>
                <w:rFonts w:ascii="Times New Roman" w:hAnsi="Times New Roman"/>
                <w:color w:val="000000"/>
                <w:kern w:val="2"/>
                <w:sz w:val="21"/>
              </w:rPr>
            </w:pP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净水产水率≥65%</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总净水量≥4000L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36" w:type="dxa"/>
            <w:vMerge w:val="restart"/>
            <w:shd w:val="clear" w:color="auto" w:fill="auto"/>
            <w:vAlign w:val="center"/>
          </w:tcPr>
          <w:p>
            <w:pPr>
              <w:widowControl w:val="0"/>
              <w:ind w:right="51"/>
              <w:jc w:val="center"/>
              <w:rPr>
                <w:rFonts w:ascii="Times New Roman" w:hAnsi="Times New Roman"/>
                <w:color w:val="000000"/>
                <w:kern w:val="2"/>
                <w:sz w:val="21"/>
              </w:rPr>
            </w:pPr>
            <w:r>
              <w:rPr>
                <w:rFonts w:hint="eastAsia" w:ascii="Times New Roman" w:hAnsi="Times New Roman"/>
                <w:color w:val="000000"/>
                <w:kern w:val="2"/>
                <w:sz w:val="21"/>
              </w:rPr>
              <w:t>三星节水</w:t>
            </w: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净水产水率≥55%</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总净水量≥3000L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36" w:type="dxa"/>
            <w:vMerge w:val="continue"/>
            <w:shd w:val="clear" w:color="auto" w:fill="auto"/>
            <w:vAlign w:val="center"/>
          </w:tcPr>
          <w:p>
            <w:pPr>
              <w:widowControl w:val="0"/>
              <w:ind w:right="51" w:firstLine="420" w:firstLineChars="200"/>
              <w:jc w:val="center"/>
              <w:rPr>
                <w:rFonts w:ascii="Times New Roman" w:hAnsi="Times New Roman"/>
                <w:color w:val="000000"/>
                <w:kern w:val="2"/>
                <w:sz w:val="21"/>
              </w:rPr>
            </w:pPr>
          </w:p>
        </w:tc>
        <w:tc>
          <w:tcPr>
            <w:tcW w:w="2558"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0.1＜C＜1</w:t>
            </w:r>
          </w:p>
        </w:tc>
        <w:tc>
          <w:tcPr>
            <w:tcW w:w="198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净水产水率≥45%</w:t>
            </w:r>
          </w:p>
        </w:tc>
        <w:tc>
          <w:tcPr>
            <w:tcW w:w="1985"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总净水量≥2000L</w:t>
            </w:r>
          </w:p>
        </w:tc>
        <w:tc>
          <w:tcPr>
            <w:tcW w:w="1614" w:type="dxa"/>
            <w:shd w:val="clear" w:color="auto" w:fill="auto"/>
            <w:noWrap/>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三级</w:t>
            </w:r>
          </w:p>
        </w:tc>
      </w:tr>
    </w:tbl>
    <w:p>
      <w:pPr>
        <w:widowControl w:val="0"/>
        <w:ind w:right="51" w:firstLine="420" w:firstLineChars="200"/>
        <w:jc w:val="both"/>
        <w:rPr>
          <w:rFonts w:ascii="Times New Roman" w:hAnsi="Times New Roman"/>
          <w:color w:val="000000"/>
          <w:kern w:val="2"/>
          <w:sz w:val="21"/>
        </w:rPr>
      </w:pPr>
    </w:p>
    <w:p>
      <w:pPr>
        <w:widowControl w:val="0"/>
        <w:ind w:right="51" w:firstLine="420" w:firstLineChars="200"/>
        <w:jc w:val="both"/>
        <w:rPr>
          <w:rFonts w:ascii="Times New Roman" w:hAnsi="Times New Roman"/>
          <w:color w:val="000000"/>
          <w:kern w:val="2"/>
          <w:sz w:val="21"/>
        </w:rPr>
      </w:pPr>
    </w:p>
    <w:p>
      <w:pPr>
        <w:widowControl w:val="0"/>
        <w:rPr>
          <w:rFonts w:ascii="黑体" w:hAnsi="Times New Roman" w:eastAsia="黑体"/>
          <w:color w:val="000000"/>
          <w:kern w:val="2"/>
          <w:sz w:val="21"/>
        </w:rPr>
      </w:pPr>
      <w:r>
        <w:rPr>
          <w:rFonts w:hint="eastAsia" w:ascii="黑体" w:hAnsi="Times New Roman" w:eastAsia="黑体"/>
          <w:color w:val="000000"/>
          <w:kern w:val="2"/>
          <w:sz w:val="21"/>
        </w:rPr>
        <w:t>5试验方法</w:t>
      </w:r>
    </w:p>
    <w:p>
      <w:pPr>
        <w:widowControl w:val="0"/>
        <w:rPr>
          <w:rFonts w:ascii="黑体" w:eastAsia="黑体"/>
          <w:color w:val="000000"/>
          <w:kern w:val="2"/>
          <w:sz w:val="21"/>
        </w:rPr>
      </w:pPr>
      <w:r>
        <w:rPr>
          <w:rFonts w:hint="eastAsia" w:ascii="黑体" w:eastAsia="黑体"/>
          <w:color w:val="000000"/>
          <w:kern w:val="2"/>
          <w:sz w:val="21"/>
        </w:rPr>
        <w:t>5</w:t>
      </w:r>
      <w:r>
        <w:rPr>
          <w:rFonts w:ascii="黑体" w:eastAsia="黑体"/>
          <w:color w:val="000000"/>
          <w:kern w:val="2"/>
          <w:sz w:val="21"/>
        </w:rPr>
        <w:t xml:space="preserve">.1 </w:t>
      </w:r>
      <w:r>
        <w:rPr>
          <w:rFonts w:hint="eastAsia" w:ascii="黑体" w:eastAsia="黑体"/>
          <w:color w:val="000000"/>
          <w:kern w:val="2"/>
          <w:sz w:val="21"/>
        </w:rPr>
        <w:t>试验条件</w:t>
      </w:r>
    </w:p>
    <w:p>
      <w:pPr>
        <w:widowControl w:val="0"/>
        <w:rPr>
          <w:rFonts w:ascii="黑体" w:eastAsia="黑体"/>
          <w:color w:val="000000"/>
          <w:kern w:val="2"/>
          <w:sz w:val="21"/>
        </w:rPr>
      </w:pPr>
      <w:r>
        <w:rPr>
          <w:rFonts w:hint="eastAsia" w:ascii="黑体" w:eastAsia="黑体"/>
          <w:color w:val="000000"/>
          <w:kern w:val="2"/>
          <w:sz w:val="21"/>
        </w:rPr>
        <w:t>5.1.1一般试验条件</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olor w:val="000000"/>
          <w:kern w:val="2"/>
          <w:sz w:val="21"/>
        </w:rPr>
        <w:t>除特殊规定外，试验应在下列条件下进行：</w:t>
      </w:r>
    </w:p>
    <w:p>
      <w:pPr>
        <w:widowControl w:val="0"/>
        <w:ind w:right="51" w:firstLine="420" w:firstLineChars="200"/>
        <w:jc w:val="both"/>
        <w:rPr>
          <w:rFonts w:ascii="Times New Roman" w:hAnsi="Times New Roman"/>
          <w:color w:val="000000"/>
          <w:kern w:val="2"/>
          <w:sz w:val="21"/>
        </w:rPr>
      </w:pPr>
      <w:r>
        <w:rPr>
          <w:rFonts w:ascii="Times New Roman" w:hAnsi="Times New Roman"/>
          <w:color w:val="000000"/>
          <w:kern w:val="2"/>
          <w:sz w:val="21"/>
        </w:rPr>
        <w:t>a</w:t>
      </w:r>
      <w:r>
        <w:rPr>
          <w:rFonts w:hint="eastAsia" w:ascii="Times New Roman" w:hAnsi="Times New Roman"/>
          <w:color w:val="000000"/>
          <w:kern w:val="2"/>
          <w:sz w:val="21"/>
        </w:rPr>
        <w:t>）</w:t>
      </w:r>
      <w:r>
        <w:rPr>
          <w:rFonts w:ascii="Times New Roman" w:hAnsi="Times New Roman"/>
          <w:color w:val="000000"/>
          <w:kern w:val="2"/>
          <w:sz w:val="21"/>
        </w:rPr>
        <w:t>环境温度</w:t>
      </w:r>
      <w:r>
        <w:rPr>
          <w:rFonts w:hint="eastAsia" w:ascii="Times New Roman" w:hAnsi="Times New Roman"/>
          <w:color w:val="000000"/>
          <w:kern w:val="2"/>
          <w:sz w:val="21"/>
        </w:rPr>
        <w:t>：（</w:t>
      </w:r>
      <w:r>
        <w:rPr>
          <w:rFonts w:ascii="Times New Roman" w:hAnsi="Times New Roman"/>
          <w:color w:val="000000"/>
          <w:kern w:val="2"/>
          <w:sz w:val="21"/>
        </w:rPr>
        <w:t>25</w:t>
      </w:r>
      <w:r>
        <w:rPr>
          <w:rFonts w:hint="eastAsia" w:ascii="Times New Roman" w:hAnsi="Times New Roman"/>
          <w:color w:val="000000"/>
          <w:kern w:val="2"/>
          <w:sz w:val="21"/>
        </w:rPr>
        <w:t>±</w:t>
      </w:r>
      <w:r>
        <w:rPr>
          <w:rFonts w:ascii="Times New Roman" w:hAnsi="Times New Roman"/>
          <w:color w:val="000000"/>
          <w:kern w:val="2"/>
          <w:sz w:val="21"/>
        </w:rPr>
        <w:t>5</w:t>
      </w:r>
      <w:r>
        <w:rPr>
          <w:rFonts w:hint="eastAsia" w:ascii="Times New Roman" w:hAnsi="Times New Roman"/>
          <w:color w:val="000000"/>
          <w:kern w:val="2"/>
          <w:sz w:val="21"/>
        </w:rPr>
        <w:t>）</w:t>
      </w:r>
      <w:r>
        <w:rPr>
          <w:rFonts w:ascii="Times New Roman" w:hAnsi="Times New Roman"/>
          <w:color w:val="000000"/>
          <w:kern w:val="2"/>
          <w:sz w:val="21"/>
        </w:rPr>
        <w:t>℃；</w:t>
      </w:r>
    </w:p>
    <w:p>
      <w:pPr>
        <w:widowControl w:val="0"/>
        <w:ind w:right="51" w:firstLine="420" w:firstLineChars="200"/>
        <w:jc w:val="both"/>
        <w:rPr>
          <w:rFonts w:ascii="Times New Roman" w:hAnsi="Times New Roman"/>
          <w:color w:val="000000"/>
          <w:kern w:val="2"/>
          <w:sz w:val="21"/>
        </w:rPr>
      </w:pPr>
      <w:r>
        <w:rPr>
          <w:rFonts w:ascii="Times New Roman" w:hAnsi="Times New Roman"/>
          <w:color w:val="000000"/>
          <w:kern w:val="2"/>
          <w:sz w:val="21"/>
        </w:rPr>
        <w:t>b</w:t>
      </w:r>
      <w:r>
        <w:rPr>
          <w:rFonts w:hint="eastAsia" w:ascii="Times New Roman" w:hAnsi="Times New Roman"/>
          <w:color w:val="000000"/>
          <w:kern w:val="2"/>
          <w:sz w:val="21"/>
        </w:rPr>
        <w:t>）</w:t>
      </w:r>
      <w:r>
        <w:rPr>
          <w:rFonts w:ascii="Times New Roman" w:hAnsi="Times New Roman"/>
          <w:color w:val="000000"/>
          <w:kern w:val="2"/>
          <w:sz w:val="21"/>
        </w:rPr>
        <w:t>试验用水温度</w:t>
      </w:r>
      <w:r>
        <w:rPr>
          <w:rFonts w:hint="eastAsia" w:ascii="Times New Roman" w:hAnsi="Times New Roman"/>
          <w:color w:val="000000"/>
          <w:kern w:val="2"/>
          <w:sz w:val="21"/>
        </w:rPr>
        <w:t>：（</w:t>
      </w:r>
      <w:r>
        <w:rPr>
          <w:rFonts w:ascii="Times New Roman" w:hAnsi="Times New Roman"/>
          <w:color w:val="000000"/>
          <w:kern w:val="2"/>
          <w:sz w:val="21"/>
        </w:rPr>
        <w:t>25</w:t>
      </w:r>
      <w:r>
        <w:rPr>
          <w:rFonts w:hint="eastAsia" w:ascii="Times New Roman" w:hAnsi="Times New Roman"/>
          <w:color w:val="000000"/>
          <w:kern w:val="2"/>
          <w:sz w:val="21"/>
        </w:rPr>
        <w:t>±1）</w:t>
      </w:r>
      <w:r>
        <w:rPr>
          <w:rFonts w:ascii="Times New Roman" w:hAnsi="Times New Roman"/>
          <w:color w:val="000000"/>
          <w:kern w:val="2"/>
          <w:sz w:val="21"/>
        </w:rPr>
        <w:t>℃；</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olor w:val="000000"/>
          <w:kern w:val="2"/>
          <w:sz w:val="21"/>
        </w:rPr>
        <w:t>c）进</w:t>
      </w:r>
      <w:r>
        <w:rPr>
          <w:rFonts w:ascii="Times New Roman" w:hAnsi="Times New Roman"/>
          <w:color w:val="000000"/>
          <w:kern w:val="2"/>
          <w:sz w:val="21"/>
        </w:rPr>
        <w:t>水压力：（0.24</w:t>
      </w:r>
      <w:r>
        <w:rPr>
          <w:rFonts w:hint="eastAsia" w:ascii="Times New Roman" w:hAnsi="Times New Roman"/>
          <w:color w:val="000000"/>
          <w:kern w:val="2"/>
          <w:sz w:val="21"/>
        </w:rPr>
        <w:t>±</w:t>
      </w:r>
      <w:r>
        <w:rPr>
          <w:rFonts w:ascii="Times New Roman" w:hAnsi="Times New Roman"/>
          <w:color w:val="000000"/>
          <w:kern w:val="2"/>
          <w:sz w:val="21"/>
        </w:rPr>
        <w:t>0.02）MPa</w:t>
      </w:r>
      <w:r>
        <w:rPr>
          <w:rFonts w:hint="eastAsia" w:ascii="Times New Roman" w:hAnsi="Times New Roman"/>
          <w:color w:val="000000"/>
          <w:kern w:val="2"/>
          <w:sz w:val="21"/>
        </w:rPr>
        <w:t>；</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olor w:val="000000"/>
          <w:kern w:val="2"/>
          <w:sz w:val="21"/>
        </w:rPr>
        <w:t>d）</w:t>
      </w:r>
      <w:r>
        <w:rPr>
          <w:rFonts w:ascii="Times New Roman" w:hAnsi="Times New Roman"/>
          <w:color w:val="000000"/>
          <w:kern w:val="2"/>
          <w:sz w:val="21"/>
        </w:rPr>
        <w:t>相对湿度</w:t>
      </w:r>
      <w:r>
        <w:rPr>
          <w:rFonts w:hint="eastAsia" w:ascii="Times New Roman" w:hAnsi="Times New Roman"/>
          <w:color w:val="000000"/>
          <w:kern w:val="2"/>
          <w:sz w:val="21"/>
        </w:rPr>
        <w:t>：</w:t>
      </w:r>
      <w:r>
        <w:rPr>
          <w:rFonts w:ascii="Times New Roman" w:hAnsi="Times New Roman"/>
          <w:color w:val="000000"/>
          <w:kern w:val="2"/>
          <w:sz w:val="21"/>
        </w:rPr>
        <w:t>45</w:t>
      </w:r>
      <w:r>
        <w:rPr>
          <w:rFonts w:hint="eastAsia" w:ascii="Times New Roman" w:hAnsi="Times New Roman"/>
          <w:color w:val="000000"/>
          <w:kern w:val="2"/>
          <w:sz w:val="21"/>
        </w:rPr>
        <w:t xml:space="preserve"> </w:t>
      </w:r>
      <w:r>
        <w:rPr>
          <w:rFonts w:ascii="Times New Roman" w:hAnsi="Times New Roman"/>
          <w:color w:val="000000"/>
          <w:kern w:val="2"/>
          <w:sz w:val="21"/>
        </w:rPr>
        <w:t>%～75%；</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olor w:val="000000"/>
          <w:kern w:val="2"/>
          <w:sz w:val="21"/>
        </w:rPr>
        <w:t>e</w:t>
      </w:r>
      <w:r>
        <w:rPr>
          <w:rFonts w:ascii="Times New Roman" w:hAnsi="Times New Roman"/>
          <w:color w:val="000000"/>
          <w:kern w:val="2"/>
          <w:sz w:val="21"/>
        </w:rPr>
        <w:t>）</w:t>
      </w:r>
      <w:r>
        <w:rPr>
          <w:rFonts w:hint="eastAsia" w:ascii="Times New Roman" w:hAnsi="Times New Roman"/>
          <w:color w:val="000000"/>
          <w:kern w:val="2"/>
          <w:sz w:val="21"/>
        </w:rPr>
        <w:t>电源电压：额定电压（1</w:t>
      </w:r>
      <w:r>
        <w:rPr>
          <w:rFonts w:ascii="Times New Roman" w:hAnsi="Times New Roman"/>
          <w:color w:val="000000"/>
          <w:kern w:val="2"/>
          <w:sz w:val="21"/>
        </w:rPr>
        <w:t>±1%</w:t>
      </w:r>
      <w:r>
        <w:rPr>
          <w:rFonts w:hint="eastAsia" w:ascii="Times New Roman" w:hAnsi="Times New Roman"/>
          <w:color w:val="000000"/>
          <w:kern w:val="2"/>
          <w:sz w:val="21"/>
        </w:rPr>
        <w:t>）V；电源频率：</w:t>
      </w:r>
      <w:r>
        <w:rPr>
          <w:rFonts w:ascii="Times New Roman" w:hAnsi="Times New Roman"/>
          <w:color w:val="000000"/>
          <w:kern w:val="2"/>
          <w:sz w:val="21"/>
        </w:rPr>
        <w:t>（50±1）</w:t>
      </w:r>
      <w:r>
        <w:rPr>
          <w:rFonts w:hint="eastAsia" w:ascii="Times New Roman" w:hAnsi="Times New Roman"/>
          <w:color w:val="000000"/>
          <w:kern w:val="2"/>
          <w:sz w:val="21"/>
        </w:rPr>
        <w:t>Hz；</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olor w:val="000000"/>
          <w:kern w:val="2"/>
          <w:sz w:val="21"/>
        </w:rPr>
        <w:t>f）应在温度</w:t>
      </w:r>
      <w:r>
        <w:rPr>
          <w:rFonts w:ascii="Times New Roman" w:hAnsi="Times New Roman"/>
          <w:color w:val="000000"/>
          <w:kern w:val="2"/>
          <w:sz w:val="21"/>
        </w:rPr>
        <w:t>可调</w:t>
      </w:r>
      <w:r>
        <w:rPr>
          <w:rFonts w:hint="eastAsia" w:ascii="Times New Roman" w:hAnsi="Times New Roman"/>
          <w:color w:val="000000"/>
          <w:kern w:val="2"/>
          <w:sz w:val="21"/>
        </w:rPr>
        <w:t>、</w:t>
      </w:r>
      <w:r>
        <w:rPr>
          <w:rFonts w:ascii="Times New Roman" w:hAnsi="Times New Roman"/>
          <w:color w:val="000000"/>
          <w:kern w:val="2"/>
          <w:sz w:val="21"/>
        </w:rPr>
        <w:t>无外界热气流和热辐射</w:t>
      </w:r>
      <w:r>
        <w:rPr>
          <w:rFonts w:hint="eastAsia" w:ascii="Times New Roman" w:hAnsi="Times New Roman"/>
          <w:color w:val="000000"/>
          <w:kern w:val="2"/>
          <w:sz w:val="21"/>
        </w:rPr>
        <w:t>影响</w:t>
      </w:r>
      <w:r>
        <w:rPr>
          <w:rFonts w:ascii="Times New Roman" w:hAnsi="Times New Roman"/>
          <w:color w:val="000000"/>
          <w:kern w:val="2"/>
          <w:sz w:val="21"/>
        </w:rPr>
        <w:t>的</w:t>
      </w:r>
      <w:r>
        <w:rPr>
          <w:rFonts w:hint="eastAsia" w:ascii="Times New Roman" w:hAnsi="Times New Roman"/>
          <w:color w:val="000000"/>
          <w:kern w:val="2"/>
          <w:sz w:val="21"/>
        </w:rPr>
        <w:t>实验</w:t>
      </w:r>
      <w:r>
        <w:rPr>
          <w:rFonts w:ascii="Times New Roman" w:hAnsi="Times New Roman"/>
          <w:color w:val="000000"/>
          <w:kern w:val="2"/>
          <w:sz w:val="21"/>
        </w:rPr>
        <w:t>室内进行</w:t>
      </w:r>
      <w:r>
        <w:rPr>
          <w:rFonts w:hint="eastAsia" w:ascii="Times New Roman" w:hAnsi="Times New Roman"/>
          <w:color w:val="000000"/>
          <w:kern w:val="2"/>
          <w:sz w:val="21"/>
        </w:rPr>
        <w:t>；</w:t>
      </w:r>
      <w:r>
        <w:rPr>
          <w:rFonts w:ascii="Times New Roman" w:hAnsi="Times New Roman"/>
          <w:color w:val="000000"/>
          <w:kern w:val="2"/>
          <w:sz w:val="21"/>
        </w:rPr>
        <w:t xml:space="preserve"> </w:t>
      </w:r>
    </w:p>
    <w:p>
      <w:pPr>
        <w:widowControl w:val="0"/>
        <w:ind w:right="51" w:firstLine="420" w:firstLineChars="200"/>
        <w:jc w:val="both"/>
        <w:rPr>
          <w:rFonts w:ascii="Times New Roman" w:hAnsi="Times New Roman"/>
          <w:color w:val="000000"/>
          <w:kern w:val="2"/>
          <w:sz w:val="21"/>
        </w:rPr>
      </w:pPr>
      <w:r>
        <w:rPr>
          <w:rFonts w:hint="eastAsia" w:ascii="Times New Roman" w:hAnsi="Times New Roman"/>
          <w:color w:val="000000"/>
          <w:kern w:val="2"/>
          <w:sz w:val="21"/>
        </w:rPr>
        <w:t>g）按照制造商提供的使用说明的相关规定安装净水器，对水处理单元进行冲洗或再生。</w:t>
      </w:r>
    </w:p>
    <w:p>
      <w:pPr>
        <w:widowControl w:val="0"/>
        <w:rPr>
          <w:rFonts w:ascii="黑体" w:eastAsia="黑体"/>
          <w:color w:val="000000"/>
          <w:kern w:val="2"/>
          <w:sz w:val="21"/>
        </w:rPr>
      </w:pPr>
      <w:r>
        <w:rPr>
          <w:rFonts w:hint="eastAsia" w:ascii="黑体" w:eastAsia="黑体"/>
          <w:color w:val="000000"/>
          <w:kern w:val="2"/>
          <w:sz w:val="21"/>
        </w:rPr>
        <w:t>5.1.2试验用进水水质</w:t>
      </w:r>
    </w:p>
    <w:p>
      <w:pPr>
        <w:autoSpaceDE w:val="0"/>
        <w:autoSpaceDN w:val="0"/>
        <w:ind w:firstLine="420" w:firstLineChars="200"/>
        <w:jc w:val="both"/>
        <w:rPr>
          <w:rFonts w:ascii="Times New Roman" w:hAnsi="Times New Roman"/>
          <w:color w:val="000000"/>
          <w:sz w:val="21"/>
          <w:szCs w:val="21"/>
        </w:rPr>
      </w:pPr>
      <w:r>
        <w:rPr>
          <w:rFonts w:ascii="Times New Roman" w:hAnsi="Times New Roman"/>
          <w:color w:val="000000"/>
          <w:sz w:val="21"/>
          <w:szCs w:val="21"/>
        </w:rPr>
        <w:t>除特殊规定外，</w:t>
      </w:r>
      <w:r>
        <w:rPr>
          <w:rFonts w:hint="eastAsia" w:ascii="Times New Roman" w:hAnsi="Times New Roman"/>
          <w:color w:val="000000"/>
          <w:sz w:val="21"/>
          <w:szCs w:val="21"/>
        </w:rPr>
        <w:t>试验用进水水质应符合以下要求：</w:t>
      </w:r>
    </w:p>
    <w:p>
      <w:pPr>
        <w:autoSpaceDE w:val="0"/>
        <w:autoSpaceDN w:val="0"/>
        <w:ind w:firstLine="420" w:firstLineChars="200"/>
        <w:jc w:val="both"/>
        <w:rPr>
          <w:rFonts w:ascii="Times New Roman" w:hAnsi="Times New Roman"/>
          <w:color w:val="000000"/>
          <w:sz w:val="21"/>
          <w:szCs w:val="21"/>
        </w:rPr>
      </w:pPr>
      <w:r>
        <w:rPr>
          <w:rFonts w:ascii="Times New Roman" w:hAnsi="Times New Roman"/>
          <w:color w:val="000000"/>
          <w:sz w:val="21"/>
          <w:szCs w:val="21"/>
        </w:rPr>
        <w:t>a）总硬度应控制在（250±20）mg/L；</w:t>
      </w:r>
    </w:p>
    <w:p>
      <w:pPr>
        <w:autoSpaceDE w:val="0"/>
        <w:autoSpaceDN w:val="0"/>
        <w:ind w:firstLine="420" w:firstLineChars="200"/>
        <w:jc w:val="both"/>
        <w:rPr>
          <w:rFonts w:ascii="Times New Roman" w:hAnsi="Times New Roman"/>
          <w:color w:val="000000"/>
          <w:sz w:val="21"/>
          <w:szCs w:val="21"/>
        </w:rPr>
      </w:pPr>
      <w:r>
        <w:rPr>
          <w:rFonts w:ascii="Times New Roman" w:hAnsi="Times New Roman"/>
          <w:color w:val="000000"/>
          <w:sz w:val="21"/>
          <w:szCs w:val="21"/>
        </w:rPr>
        <w:t>b</w:t>
      </w:r>
      <w:r>
        <w:rPr>
          <w:rFonts w:hint="eastAsia" w:ascii="Times New Roman" w:hAnsi="Times New Roman"/>
          <w:color w:val="000000"/>
          <w:sz w:val="21"/>
          <w:szCs w:val="21"/>
        </w:rPr>
        <w:t>）</w:t>
      </w:r>
      <w:r>
        <w:rPr>
          <w:rFonts w:ascii="Times New Roman" w:hAnsi="Times New Roman"/>
          <w:color w:val="000000"/>
          <w:sz w:val="21"/>
          <w:szCs w:val="21"/>
        </w:rPr>
        <w:t>碱度应控制在（140±10）mg/L；</w:t>
      </w:r>
    </w:p>
    <w:p>
      <w:pPr>
        <w:autoSpaceDE w:val="0"/>
        <w:autoSpaceDN w:val="0"/>
        <w:ind w:firstLine="420" w:firstLineChars="200"/>
        <w:jc w:val="both"/>
        <w:rPr>
          <w:rFonts w:ascii="Times New Roman" w:hAnsi="Times New Roman"/>
          <w:color w:val="000000"/>
          <w:sz w:val="21"/>
          <w:szCs w:val="21"/>
        </w:rPr>
      </w:pPr>
      <w:r>
        <w:rPr>
          <w:rFonts w:ascii="Times New Roman" w:hAnsi="Times New Roman"/>
          <w:color w:val="000000"/>
          <w:sz w:val="21"/>
          <w:szCs w:val="21"/>
        </w:rPr>
        <w:t>c</w:t>
      </w:r>
      <w:r>
        <w:rPr>
          <w:rFonts w:hint="eastAsia" w:ascii="Times New Roman" w:hAnsi="Times New Roman"/>
          <w:color w:val="000000"/>
          <w:sz w:val="21"/>
          <w:szCs w:val="21"/>
        </w:rPr>
        <w:t>）</w:t>
      </w:r>
      <w:r>
        <w:rPr>
          <w:rFonts w:ascii="Times New Roman" w:hAnsi="Times New Roman"/>
          <w:color w:val="000000"/>
          <w:sz w:val="21"/>
          <w:szCs w:val="21"/>
        </w:rPr>
        <w:t>电导率应控制在（1000±100）μS/cm；</w:t>
      </w:r>
    </w:p>
    <w:p>
      <w:pPr>
        <w:autoSpaceDE w:val="0"/>
        <w:autoSpaceDN w:val="0"/>
        <w:ind w:firstLine="420" w:firstLineChars="200"/>
        <w:jc w:val="both"/>
        <w:rPr>
          <w:rFonts w:ascii="Times New Roman" w:hAnsi="Times New Roman"/>
          <w:color w:val="000000"/>
          <w:sz w:val="21"/>
          <w:szCs w:val="21"/>
        </w:rPr>
      </w:pPr>
      <w:r>
        <w:rPr>
          <w:rFonts w:ascii="Times New Roman" w:hAnsi="Times New Roman"/>
          <w:color w:val="000000"/>
          <w:sz w:val="21"/>
          <w:szCs w:val="21"/>
        </w:rPr>
        <w:t>d</w:t>
      </w:r>
      <w:r>
        <w:rPr>
          <w:rFonts w:hint="eastAsia" w:ascii="Times New Roman" w:hAnsi="Times New Roman"/>
          <w:color w:val="000000"/>
          <w:sz w:val="21"/>
          <w:szCs w:val="21"/>
        </w:rPr>
        <w:t>）</w:t>
      </w:r>
      <w:r>
        <w:rPr>
          <w:rFonts w:ascii="Times New Roman" w:hAnsi="Times New Roman"/>
          <w:color w:val="000000"/>
          <w:sz w:val="21"/>
          <w:szCs w:val="21"/>
        </w:rPr>
        <w:t>pH值应控制在7.0～7.5；</w:t>
      </w:r>
    </w:p>
    <w:p>
      <w:pPr>
        <w:autoSpaceDE w:val="0"/>
        <w:autoSpaceDN w:val="0"/>
        <w:ind w:firstLine="420" w:firstLineChars="200"/>
        <w:jc w:val="both"/>
        <w:rPr>
          <w:rFonts w:ascii="Times New Roman" w:hAnsi="Times New Roman"/>
          <w:color w:val="000000"/>
          <w:sz w:val="21"/>
          <w:szCs w:val="21"/>
        </w:rPr>
      </w:pPr>
      <w:r>
        <w:rPr>
          <w:rFonts w:ascii="Times New Roman" w:hAnsi="Times New Roman"/>
          <w:color w:val="000000"/>
          <w:sz w:val="21"/>
          <w:szCs w:val="21"/>
        </w:rPr>
        <w:t>e</w:t>
      </w:r>
      <w:r>
        <w:rPr>
          <w:rFonts w:hint="eastAsia" w:ascii="Times New Roman" w:hAnsi="Times New Roman"/>
          <w:color w:val="000000"/>
          <w:sz w:val="21"/>
          <w:szCs w:val="21"/>
        </w:rPr>
        <w:t>）</w:t>
      </w:r>
      <w:r>
        <w:rPr>
          <w:rFonts w:ascii="Times New Roman" w:hAnsi="Times New Roman"/>
          <w:color w:val="000000"/>
          <w:sz w:val="21"/>
          <w:szCs w:val="21"/>
        </w:rPr>
        <w:t>浑浊度应不大于1 NTU</w:t>
      </w:r>
      <w:r>
        <w:rPr>
          <w:rFonts w:hint="eastAsia" w:ascii="Times New Roman" w:hAnsi="Times New Roman"/>
          <w:color w:val="000000"/>
          <w:sz w:val="21"/>
          <w:szCs w:val="21"/>
        </w:rPr>
        <w:t>；</w:t>
      </w:r>
    </w:p>
    <w:p>
      <w:pPr>
        <w:autoSpaceDE w:val="0"/>
        <w:autoSpaceDN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f）磷酸盐浓度应不大于0.</w:t>
      </w:r>
      <w:r>
        <w:rPr>
          <w:rFonts w:ascii="Times New Roman" w:hAnsi="Times New Roman"/>
          <w:color w:val="000000"/>
          <w:sz w:val="21"/>
          <w:szCs w:val="21"/>
        </w:rPr>
        <w:t>1 mg/L</w:t>
      </w:r>
      <w:r>
        <w:rPr>
          <w:rFonts w:hint="eastAsia" w:ascii="Times New Roman" w:hAnsi="Times New Roman"/>
          <w:color w:val="000000"/>
          <w:sz w:val="21"/>
          <w:szCs w:val="21"/>
        </w:rPr>
        <w:t>。</w:t>
      </w:r>
    </w:p>
    <w:p>
      <w:pPr>
        <w:widowControl w:val="0"/>
        <w:rPr>
          <w:rFonts w:ascii="黑体" w:eastAsia="黑体"/>
          <w:color w:val="000000"/>
          <w:kern w:val="2"/>
          <w:sz w:val="21"/>
        </w:rPr>
      </w:pPr>
      <w:r>
        <w:rPr>
          <w:rFonts w:hint="eastAsia" w:ascii="黑体" w:eastAsia="黑体"/>
          <w:color w:val="000000"/>
          <w:kern w:val="2"/>
          <w:sz w:val="21"/>
        </w:rPr>
        <w:t>5.</w:t>
      </w:r>
      <w:r>
        <w:rPr>
          <w:rFonts w:ascii="黑体" w:eastAsia="黑体"/>
          <w:color w:val="000000"/>
          <w:kern w:val="2"/>
          <w:sz w:val="21"/>
        </w:rPr>
        <w:t>2</w:t>
      </w:r>
      <w:r>
        <w:rPr>
          <w:rFonts w:hint="eastAsia" w:ascii="黑体" w:eastAsia="黑体"/>
          <w:color w:val="000000"/>
          <w:kern w:val="2"/>
          <w:sz w:val="21"/>
        </w:rPr>
        <w:t>与水接触材料卫生安全试验</w:t>
      </w:r>
    </w:p>
    <w:p>
      <w:pPr>
        <w:widowControl w:val="0"/>
        <w:ind w:right="50"/>
        <w:jc w:val="both"/>
        <w:rPr>
          <w:rFonts w:ascii="黑体" w:eastAsia="黑体"/>
          <w:color w:val="000000"/>
          <w:kern w:val="2"/>
          <w:sz w:val="21"/>
        </w:rPr>
      </w:pPr>
      <w:bookmarkStart w:id="28" w:name="_Toc507593658"/>
      <w:bookmarkStart w:id="29" w:name="_Toc511219784"/>
      <w:bookmarkStart w:id="30" w:name="_Toc444501008"/>
      <w:bookmarkStart w:id="31" w:name="_Toc514684349"/>
      <w:r>
        <w:rPr>
          <w:rFonts w:hint="eastAsia" w:ascii="黑体" w:eastAsia="黑体"/>
          <w:color w:val="000000"/>
          <w:kern w:val="2"/>
          <w:sz w:val="21"/>
        </w:rPr>
        <w:t>5.</w:t>
      </w:r>
      <w:r>
        <w:rPr>
          <w:rFonts w:ascii="黑体" w:eastAsia="黑体"/>
          <w:color w:val="000000"/>
          <w:kern w:val="2"/>
          <w:sz w:val="21"/>
        </w:rPr>
        <w:t>2</w:t>
      </w:r>
      <w:r>
        <w:rPr>
          <w:rFonts w:hint="eastAsia" w:ascii="黑体" w:eastAsia="黑体"/>
          <w:color w:val="000000"/>
          <w:kern w:val="2"/>
          <w:sz w:val="21"/>
        </w:rPr>
        <w:t>.1材料及部件试验</w:t>
      </w:r>
      <w:bookmarkEnd w:id="28"/>
      <w:bookmarkEnd w:id="29"/>
      <w:bookmarkEnd w:id="30"/>
      <w:bookmarkEnd w:id="31"/>
    </w:p>
    <w:p>
      <w:pPr>
        <w:autoSpaceDE w:val="0"/>
        <w:autoSpaceDN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材料及部件应按照GB/T 17219、GB/T 30306的方法进行试验：</w:t>
      </w:r>
    </w:p>
    <w:p>
      <w:pPr>
        <w:widowControl w:val="0"/>
        <w:ind w:right="50"/>
        <w:jc w:val="both"/>
        <w:rPr>
          <w:rFonts w:ascii="黑体" w:eastAsia="黑体"/>
          <w:color w:val="000000"/>
          <w:kern w:val="2"/>
          <w:sz w:val="21"/>
        </w:rPr>
      </w:pPr>
      <w:bookmarkStart w:id="32" w:name="_Toc514684350"/>
      <w:bookmarkStart w:id="33" w:name="_Toc511219785"/>
      <w:bookmarkStart w:id="34" w:name="_Toc507593659"/>
      <w:bookmarkStart w:id="35" w:name="_Toc444501009"/>
      <w:r>
        <w:rPr>
          <w:rFonts w:hint="eastAsia" w:ascii="黑体" w:eastAsia="黑体"/>
          <w:color w:val="000000"/>
          <w:kern w:val="2"/>
          <w:sz w:val="21"/>
        </w:rPr>
        <w:t>5.</w:t>
      </w:r>
      <w:r>
        <w:rPr>
          <w:rFonts w:ascii="黑体" w:eastAsia="黑体"/>
          <w:color w:val="000000"/>
          <w:kern w:val="2"/>
          <w:sz w:val="21"/>
        </w:rPr>
        <w:t>2</w:t>
      </w:r>
      <w:r>
        <w:rPr>
          <w:rFonts w:hint="eastAsia" w:ascii="黑体" w:eastAsia="黑体"/>
          <w:color w:val="000000"/>
          <w:kern w:val="2"/>
          <w:sz w:val="21"/>
        </w:rPr>
        <w:t>.2化学处理剂试验</w:t>
      </w:r>
      <w:bookmarkEnd w:id="32"/>
      <w:bookmarkEnd w:id="33"/>
      <w:bookmarkEnd w:id="34"/>
      <w:bookmarkEnd w:id="35"/>
    </w:p>
    <w:p>
      <w:pPr>
        <w:autoSpaceDE w:val="0"/>
        <w:autoSpaceDN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化学处理剂应按照以下方法进行试验：</w:t>
      </w:r>
    </w:p>
    <w:p>
      <w:pPr>
        <w:autoSpaceDE w:val="0"/>
        <w:autoSpaceDN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a）按照</w:t>
      </w:r>
      <w:r>
        <w:rPr>
          <w:rFonts w:ascii="Times New Roman" w:hAnsi="Times New Roman"/>
          <w:color w:val="000000"/>
          <w:sz w:val="21"/>
          <w:szCs w:val="21"/>
        </w:rPr>
        <w:t>GB/T 17218的规定进行。</w:t>
      </w:r>
    </w:p>
    <w:p>
      <w:pPr>
        <w:autoSpaceDE w:val="0"/>
        <w:autoSpaceDN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b）按照GB/T 30306的</w:t>
      </w:r>
      <w:r>
        <w:rPr>
          <w:rFonts w:ascii="Times New Roman" w:hAnsi="Times New Roman"/>
          <w:color w:val="000000"/>
          <w:sz w:val="21"/>
          <w:szCs w:val="21"/>
        </w:rPr>
        <w:t>规定进行</w:t>
      </w:r>
      <w:r>
        <w:rPr>
          <w:rFonts w:hint="eastAsia" w:ascii="Times New Roman" w:hAnsi="Times New Roman"/>
          <w:color w:val="000000"/>
          <w:sz w:val="21"/>
          <w:szCs w:val="21"/>
        </w:rPr>
        <w:t>。</w:t>
      </w:r>
    </w:p>
    <w:p>
      <w:pPr>
        <w:widowControl w:val="0"/>
        <w:ind w:right="51"/>
        <w:jc w:val="both"/>
        <w:outlineLvl w:val="3"/>
        <w:rPr>
          <w:rFonts w:ascii="黑体" w:eastAsia="黑体"/>
          <w:color w:val="000000"/>
          <w:kern w:val="2"/>
          <w:sz w:val="21"/>
        </w:rPr>
      </w:pPr>
      <w:bookmarkStart w:id="36" w:name="_Toc511219786"/>
      <w:bookmarkStart w:id="37" w:name="_Toc507593660"/>
      <w:bookmarkStart w:id="38" w:name="_Toc444501010"/>
      <w:bookmarkStart w:id="39" w:name="_Toc514684351"/>
      <w:r>
        <w:rPr>
          <w:rFonts w:hint="eastAsia" w:ascii="黑体" w:eastAsia="黑体"/>
          <w:color w:val="000000"/>
          <w:kern w:val="2"/>
          <w:sz w:val="21"/>
        </w:rPr>
        <w:t>5.</w:t>
      </w:r>
      <w:r>
        <w:rPr>
          <w:rFonts w:ascii="黑体" w:eastAsia="黑体"/>
          <w:color w:val="000000"/>
          <w:kern w:val="2"/>
          <w:sz w:val="21"/>
        </w:rPr>
        <w:t>2</w:t>
      </w:r>
      <w:r>
        <w:rPr>
          <w:rFonts w:hint="eastAsia" w:ascii="黑体" w:eastAsia="黑体"/>
          <w:color w:val="000000"/>
          <w:kern w:val="2"/>
          <w:sz w:val="21"/>
        </w:rPr>
        <w:t>.3整机卫生安全试验</w:t>
      </w:r>
      <w:bookmarkEnd w:id="36"/>
      <w:bookmarkEnd w:id="37"/>
      <w:bookmarkEnd w:id="38"/>
      <w:bookmarkEnd w:id="39"/>
      <w:r>
        <w:rPr>
          <w:rFonts w:hint="eastAsia" w:ascii="黑体" w:eastAsia="黑体"/>
          <w:color w:val="000000"/>
          <w:kern w:val="2"/>
          <w:sz w:val="21"/>
        </w:rPr>
        <w:t xml:space="preserve"> </w:t>
      </w:r>
    </w:p>
    <w:p>
      <w:pPr>
        <w:autoSpaceDE w:val="0"/>
        <w:autoSpaceDN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按照产品说明书进行冲洗，再通入纯水浸泡24小时、制水5分钟，循环三次，再按照</w:t>
      </w:r>
      <w:r>
        <w:rPr>
          <w:rFonts w:hint="eastAsia" w:ascii="Times New Roman" w:hAnsi="Times New Roman"/>
          <w:color w:val="000000"/>
          <w:sz w:val="21"/>
          <w:szCs w:val="20"/>
        </w:rPr>
        <w:t>《</w:t>
      </w:r>
      <w:r>
        <w:rPr>
          <w:rFonts w:ascii="Times New Roman" w:hAnsi="Times New Roman"/>
          <w:color w:val="000000"/>
          <w:sz w:val="21"/>
          <w:szCs w:val="20"/>
        </w:rPr>
        <w:t>生活饮用水水质处理器卫生安全与功能评价规范——反渗透处理装置</w:t>
      </w:r>
      <w:r>
        <w:rPr>
          <w:rFonts w:hint="eastAsia" w:ascii="Times New Roman" w:hAnsi="Times New Roman"/>
          <w:color w:val="000000"/>
          <w:sz w:val="21"/>
          <w:szCs w:val="20"/>
        </w:rPr>
        <w:t>》</w:t>
      </w:r>
      <w:r>
        <w:rPr>
          <w:rFonts w:ascii="Times New Roman" w:hAnsi="Times New Roman"/>
          <w:color w:val="000000"/>
          <w:sz w:val="21"/>
          <w:szCs w:val="20"/>
        </w:rPr>
        <w:t>（2001）</w:t>
      </w:r>
      <w:r>
        <w:rPr>
          <w:rFonts w:hint="eastAsia" w:ascii="Times New Roman" w:hAnsi="Times New Roman"/>
          <w:color w:val="000000"/>
          <w:sz w:val="21"/>
          <w:szCs w:val="20"/>
        </w:rPr>
        <w:t>（</w:t>
      </w:r>
      <w:r>
        <w:rPr>
          <w:rFonts w:ascii="Times New Roman" w:hAnsi="Times New Roman"/>
          <w:color w:val="000000"/>
          <w:sz w:val="21"/>
          <w:szCs w:val="20"/>
        </w:rPr>
        <w:t>卫生部</w:t>
      </w:r>
      <w:r>
        <w:rPr>
          <w:rFonts w:hint="eastAsia" w:ascii="Times New Roman" w:hAnsi="Times New Roman"/>
          <w:color w:val="000000"/>
          <w:sz w:val="21"/>
          <w:szCs w:val="20"/>
        </w:rPr>
        <w:t>）、</w:t>
      </w:r>
      <w:r>
        <w:rPr>
          <w:rFonts w:hint="eastAsia" w:ascii="Times New Roman" w:hAnsi="Times New Roman"/>
          <w:color w:val="000000"/>
          <w:sz w:val="21"/>
          <w:szCs w:val="21"/>
        </w:rPr>
        <w:t>GB/T 5750（所有部分）的要求进行。</w:t>
      </w:r>
    </w:p>
    <w:p>
      <w:pPr>
        <w:widowControl w:val="0"/>
        <w:ind w:right="51"/>
        <w:jc w:val="both"/>
        <w:outlineLvl w:val="3"/>
        <w:rPr>
          <w:rFonts w:ascii="黑体" w:eastAsia="黑体"/>
          <w:color w:val="000000"/>
          <w:kern w:val="2"/>
          <w:sz w:val="21"/>
        </w:rPr>
      </w:pPr>
      <w:r>
        <w:rPr>
          <w:rFonts w:hint="eastAsia" w:ascii="黑体" w:eastAsia="黑体"/>
          <w:color w:val="000000"/>
          <w:kern w:val="2"/>
          <w:sz w:val="21"/>
        </w:rPr>
        <w:t>5.</w:t>
      </w:r>
      <w:r>
        <w:rPr>
          <w:rFonts w:ascii="黑体" w:eastAsia="黑体"/>
          <w:color w:val="000000"/>
          <w:kern w:val="2"/>
          <w:sz w:val="21"/>
        </w:rPr>
        <w:t xml:space="preserve">3 </w:t>
      </w:r>
      <w:r>
        <w:rPr>
          <w:rFonts w:hint="eastAsia" w:ascii="黑体" w:eastAsia="黑体"/>
          <w:color w:val="000000"/>
          <w:kern w:val="2"/>
          <w:sz w:val="21"/>
        </w:rPr>
        <w:t>出水水质试验</w:t>
      </w:r>
    </w:p>
    <w:p>
      <w:pPr>
        <w:widowControl w:val="0"/>
        <w:ind w:right="51" w:firstLine="420" w:firstLineChars="200"/>
        <w:jc w:val="both"/>
        <w:outlineLvl w:val="3"/>
        <w:rPr>
          <w:rFonts w:ascii="Times New Roman" w:hAnsi="Times New Roman"/>
          <w:color w:val="000000"/>
          <w:sz w:val="21"/>
          <w:szCs w:val="21"/>
        </w:rPr>
      </w:pPr>
      <w:r>
        <w:rPr>
          <w:rFonts w:hint="eastAsia" w:ascii="Times New Roman" w:hAnsi="Times New Roman"/>
          <w:color w:val="000000"/>
          <w:sz w:val="21"/>
          <w:szCs w:val="21"/>
        </w:rPr>
        <w:t>按产品说明书冲洗，按照《生活饮用水水质处理器卫生安全与功能评价规范—反渗透处理装置》（2001）（卫生部）、GB/T 5750、</w:t>
      </w:r>
      <w:r>
        <w:rPr>
          <w:rFonts w:hint="eastAsia" w:ascii="Times New Roman"/>
          <w:color w:val="000000"/>
          <w:kern w:val="2"/>
          <w:sz w:val="21"/>
        </w:rPr>
        <w:t>4.5</w:t>
      </w:r>
      <w:r>
        <w:rPr>
          <w:rFonts w:hint="eastAsia" w:ascii="Times New Roman" w:hAnsi="Times New Roman"/>
          <w:color w:val="000000"/>
          <w:sz w:val="21"/>
          <w:szCs w:val="21"/>
        </w:rPr>
        <w:t>的要求进行。</w:t>
      </w:r>
    </w:p>
    <w:p>
      <w:pPr>
        <w:widowControl w:val="0"/>
        <w:ind w:right="51"/>
        <w:jc w:val="both"/>
        <w:outlineLvl w:val="3"/>
        <w:rPr>
          <w:rFonts w:ascii="黑体" w:eastAsia="黑体"/>
          <w:color w:val="000000"/>
          <w:kern w:val="2"/>
          <w:sz w:val="21"/>
        </w:rPr>
      </w:pPr>
      <w:r>
        <w:rPr>
          <w:rFonts w:hint="eastAsia" w:ascii="黑体" w:eastAsia="黑体"/>
          <w:color w:val="000000"/>
          <w:kern w:val="2"/>
          <w:sz w:val="21"/>
        </w:rPr>
        <w:t>5.</w:t>
      </w:r>
      <w:r>
        <w:rPr>
          <w:rFonts w:ascii="黑体" w:eastAsia="黑体"/>
          <w:color w:val="000000"/>
          <w:kern w:val="2"/>
          <w:sz w:val="21"/>
        </w:rPr>
        <w:t xml:space="preserve">4 </w:t>
      </w:r>
      <w:r>
        <w:rPr>
          <w:rFonts w:hint="eastAsia" w:ascii="黑体" w:eastAsia="黑体"/>
          <w:color w:val="000000"/>
          <w:kern w:val="2"/>
          <w:sz w:val="21"/>
        </w:rPr>
        <w:t>浓缩水水试验</w:t>
      </w:r>
    </w:p>
    <w:p>
      <w:pPr>
        <w:widowControl w:val="0"/>
        <w:ind w:right="51" w:firstLine="420" w:firstLineChars="200"/>
        <w:jc w:val="both"/>
        <w:outlineLvl w:val="3"/>
        <w:rPr>
          <w:rFonts w:ascii="Times New Roman" w:hAnsi="Times New Roman"/>
          <w:color w:val="000000"/>
          <w:sz w:val="21"/>
          <w:szCs w:val="21"/>
        </w:rPr>
      </w:pPr>
      <w:r>
        <w:rPr>
          <w:rFonts w:hint="eastAsia" w:ascii="Times New Roman" w:hAnsi="Times New Roman"/>
          <w:color w:val="000000"/>
          <w:sz w:val="21"/>
          <w:szCs w:val="21"/>
        </w:rPr>
        <w:t>按照产品说明书进行冲洗，再通入纯水浸泡24小时、制水5分钟，循环三次后，按照制造商的标称，通入5.1.1规定的试验用水（按照GB34914规定的方法配制），处理器稳定运行30min后在浓缩水端采集500mL样液。样机按照每天连续运行8h，在保压的状态下停止出水16h的方式运行进行试验。分别达到净水器标称额定总净水量的25%、50%、75%、100%时，再稳定运行30min后，在浓缩水端采集500mL样液。按照GB/T5750的方法进行磷酸盐的测试，以5次测试结果最大值计。</w:t>
      </w:r>
    </w:p>
    <w:p>
      <w:pPr>
        <w:widowControl w:val="0"/>
        <w:ind w:right="51"/>
        <w:jc w:val="both"/>
        <w:outlineLvl w:val="3"/>
        <w:rPr>
          <w:rFonts w:ascii="黑体" w:eastAsia="黑体"/>
          <w:color w:val="000000"/>
          <w:kern w:val="2"/>
          <w:sz w:val="21"/>
        </w:rPr>
      </w:pPr>
      <w:r>
        <w:rPr>
          <w:rFonts w:hint="eastAsia" w:ascii="黑体" w:eastAsia="黑体"/>
          <w:color w:val="000000"/>
          <w:kern w:val="2"/>
          <w:sz w:val="21"/>
        </w:rPr>
        <w:t>5.</w:t>
      </w:r>
      <w:r>
        <w:rPr>
          <w:rFonts w:ascii="黑体" w:eastAsia="黑体"/>
          <w:color w:val="000000"/>
          <w:kern w:val="2"/>
          <w:sz w:val="21"/>
        </w:rPr>
        <w:t>5</w:t>
      </w:r>
      <w:r>
        <w:rPr>
          <w:rFonts w:hint="eastAsia" w:ascii="黑体" w:eastAsia="黑体"/>
          <w:color w:val="000000"/>
          <w:kern w:val="2"/>
          <w:sz w:val="21"/>
        </w:rPr>
        <w:t>节水试验</w:t>
      </w:r>
    </w:p>
    <w:p>
      <w:pPr>
        <w:tabs>
          <w:tab w:val="center" w:pos="4201"/>
          <w:tab w:val="right" w:leader="dot" w:pos="9298"/>
        </w:tabs>
        <w:autoSpaceDE w:val="0"/>
        <w:autoSpaceDN w:val="0"/>
        <w:ind w:firstLine="420" w:firstLineChars="200"/>
        <w:jc w:val="both"/>
        <w:rPr>
          <w:rFonts w:ascii="Times New Roman" w:hAnsi="Times New Roman"/>
          <w:color w:val="000000"/>
          <w:sz w:val="21"/>
          <w:szCs w:val="21"/>
        </w:rPr>
      </w:pPr>
      <w:r>
        <w:rPr>
          <w:rFonts w:ascii="宋体" w:hAnsi="Times New Roman"/>
          <w:color w:val="000000"/>
          <w:sz w:val="21"/>
          <w:szCs w:val="20"/>
        </w:rPr>
        <w:t>按</w:t>
      </w:r>
      <w:r>
        <w:rPr>
          <w:rFonts w:ascii="Times New Roman" w:hAnsi="Times New Roman"/>
          <w:color w:val="000000"/>
          <w:sz w:val="21"/>
          <w:szCs w:val="21"/>
        </w:rPr>
        <w:t xml:space="preserve">GB </w:t>
      </w:r>
      <w:r>
        <w:rPr>
          <w:rFonts w:hint="eastAsia" w:ascii="Times New Roman" w:hAnsi="Times New Roman"/>
          <w:color w:val="000000"/>
          <w:sz w:val="21"/>
          <w:szCs w:val="21"/>
        </w:rPr>
        <w:t>34914</w:t>
      </w:r>
      <w:r>
        <w:rPr>
          <w:rFonts w:hint="eastAsia" w:ascii="宋体" w:hAnsi="Times New Roman"/>
          <w:color w:val="000000"/>
          <w:sz w:val="21"/>
          <w:szCs w:val="20"/>
        </w:rPr>
        <w:t>的规定进行</w:t>
      </w:r>
      <w:r>
        <w:rPr>
          <w:rFonts w:hint="eastAsia" w:ascii="Times New Roman" w:hAnsi="Times New Roman"/>
          <w:color w:val="000000"/>
          <w:sz w:val="21"/>
          <w:szCs w:val="21"/>
        </w:rPr>
        <w:t>。</w:t>
      </w:r>
    </w:p>
    <w:p>
      <w:pPr>
        <w:widowControl w:val="0"/>
        <w:ind w:right="51" w:firstLine="435"/>
        <w:jc w:val="both"/>
        <w:rPr>
          <w:color w:val="000000"/>
          <w:kern w:val="2"/>
          <w:sz w:val="21"/>
        </w:rPr>
      </w:pPr>
      <w:r>
        <w:rPr>
          <w:color w:val="000000"/>
          <w:kern w:val="2"/>
          <w:sz w:val="21"/>
        </w:rPr>
        <w:t xml:space="preserve">                              </w:t>
      </w:r>
    </w:p>
    <w:p>
      <w:pPr>
        <w:pStyle w:val="87"/>
        <w:spacing w:line="360" w:lineRule="auto"/>
        <w:ind w:firstLine="0" w:firstLineChars="0"/>
        <w:rPr>
          <w:rFonts w:ascii="Times New Roman"/>
        </w:rPr>
      </w:pPr>
    </w:p>
    <w:sectPr>
      <w:headerReference r:id="rId10" w:type="first"/>
      <w:footerReference r:id="rId11" w:type="first"/>
      <w:pgSz w:w="11906" w:h="16838"/>
      <w:pgMar w:top="567" w:right="1134" w:bottom="1134" w:left="1418" w:header="1021" w:footer="1134" w:gutter="0"/>
      <w:pgNumType w:start="1"/>
      <w:cols w:space="425" w:num="1"/>
      <w:formProt w:val="0"/>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pPr>
    <w:r>
      <w:fldChar w:fldCharType="begin"/>
    </w:r>
    <w:r>
      <w:instrText xml:space="preserve"> PAGE  \* MERGEFORMAT </w:instrText>
    </w:r>
    <w:r>
      <w:fldChar w:fldCharType="separate"/>
    </w:r>
    <w: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240"/>
      <w:jc w:val="center"/>
    </w:pPr>
    <w:r>
      <w:fldChar w:fldCharType="begin"/>
    </w:r>
    <w:r>
      <w:instrText xml:space="preserve">PAGE   \* MERGEFORMAT</w:instrText>
    </w:r>
    <w:r>
      <w:fldChar w:fldCharType="separate"/>
    </w:r>
    <w:r>
      <w:t>1</w:t>
    </w:r>
    <w:r>
      <w:fldChar w:fldCharType="end"/>
    </w:r>
  </w:p>
  <w:p>
    <w:pPr>
      <w:pStyle w:val="31"/>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firstLine="7000" w:firstLineChars="3500"/>
    </w:pPr>
    <w:r>
      <w:rPr>
        <w:rFonts w:hint="eastAsia"/>
      </w:rPr>
      <w:t>T/CNLIC  XXXX-XXXX</w:t>
    </w:r>
  </w:p>
  <w:p>
    <w:pPr>
      <w:pStyle w:val="1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08"/>
      <w:suff w:val="nothing"/>
      <w:lvlText w:val="注%1："/>
      <w:lvlJc w:val="left"/>
      <w:pPr>
        <w:ind w:left="811" w:hanging="448"/>
      </w:pPr>
      <w:rPr>
        <w:rFonts w:hint="eastAsia" w:ascii="黑体" w:eastAsia="黑体"/>
        <w:b w:val="0"/>
        <w:i w:val="0"/>
        <w:sz w:val="18"/>
        <w:vertAlign w:val="baseline"/>
        <w:lang w:val="en-US"/>
      </w:rPr>
    </w:lvl>
    <w:lvl w:ilvl="1" w:tentative="0">
      <w:start w:val="1"/>
      <w:numFmt w:val="lowerLetter"/>
      <w:lvlText w:val="%2)"/>
      <w:lvlJc w:val="left"/>
      <w:pPr>
        <w:tabs>
          <w:tab w:val="left" w:pos="0"/>
        </w:tabs>
        <w:ind w:left="992" w:hanging="629"/>
      </w:pPr>
      <w:rPr>
        <w:rFonts w:hint="eastAsia"/>
        <w:vertAlign w:val="baseline"/>
      </w:rPr>
    </w:lvl>
    <w:lvl w:ilvl="2" w:tentative="0">
      <w:start w:val="1"/>
      <w:numFmt w:val="lowerRoman"/>
      <w:lvlText w:val="%3."/>
      <w:lvlJc w:val="right"/>
      <w:pPr>
        <w:tabs>
          <w:tab w:val="left" w:pos="0"/>
        </w:tabs>
        <w:ind w:left="992" w:hanging="629"/>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pStyle w:val="194"/>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
    <w:nsid w:val="093C6778"/>
    <w:multiLevelType w:val="multilevel"/>
    <w:tmpl w:val="093C6778"/>
    <w:lvl w:ilvl="0" w:tentative="0">
      <w:start w:val="1"/>
      <w:numFmt w:val="decimal"/>
      <w:pStyle w:val="16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pStyle w:val="188"/>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7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AF15012"/>
    <w:multiLevelType w:val="multilevel"/>
    <w:tmpl w:val="1AF15012"/>
    <w:lvl w:ilvl="0" w:tentative="0">
      <w:start w:val="1"/>
      <w:numFmt w:val="upperLetter"/>
      <w:pStyle w:val="25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1DBF583A"/>
    <w:multiLevelType w:val="multilevel"/>
    <w:tmpl w:val="1DBF583A"/>
    <w:lvl w:ilvl="0" w:tentative="0">
      <w:start w:val="1"/>
      <w:numFmt w:val="decimal"/>
      <w:pStyle w:val="11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pStyle w:val="197"/>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95"/>
      <w:suff w:val="nothing"/>
      <w:lvlText w:val="%1　"/>
      <w:lvlJc w:val="left"/>
      <w:pPr>
        <w:ind w:left="568" w:firstLine="0"/>
      </w:pPr>
      <w:rPr>
        <w:rFonts w:hint="eastAsia" w:ascii="黑体" w:hAnsi="Times New Roman" w:eastAsia="黑体"/>
        <w:b w:val="0"/>
        <w:i w:val="0"/>
        <w:sz w:val="21"/>
        <w:szCs w:val="21"/>
      </w:rPr>
    </w:lvl>
    <w:lvl w:ilvl="1" w:tentative="0">
      <w:start w:val="1"/>
      <w:numFmt w:val="decimal"/>
      <w:pStyle w:val="9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101"/>
      <w:suff w:val="nothing"/>
      <w:lvlText w:val="%1.%2.%3.%4　"/>
      <w:lvlJc w:val="left"/>
      <w:pPr>
        <w:ind w:left="710" w:firstLine="0"/>
      </w:pPr>
      <w:rPr>
        <w:rFonts w:hint="eastAsia" w:ascii="黑体" w:hAnsi="Times New Roman" w:eastAsia="黑体"/>
        <w:b w:val="0"/>
        <w:i w:val="0"/>
        <w:sz w:val="21"/>
      </w:rPr>
    </w:lvl>
    <w:lvl w:ilvl="4" w:tentative="0">
      <w:start w:val="1"/>
      <w:numFmt w:val="decimal"/>
      <w:pStyle w:val="105"/>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48"/>
      <w:suff w:val="space"/>
      <w:lvlText w:val="%1"/>
      <w:lvlJc w:val="left"/>
      <w:pPr>
        <w:ind w:left="623" w:hanging="425"/>
      </w:pPr>
      <w:rPr>
        <w:rFonts w:hint="eastAsia"/>
      </w:rPr>
    </w:lvl>
    <w:lvl w:ilvl="1" w:tentative="0">
      <w:start w:val="1"/>
      <w:numFmt w:val="decimal"/>
      <w:pStyle w:val="14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98"/>
      <w:suff w:val="nothing"/>
      <w:lvlText w:val="%1——"/>
      <w:lvlJc w:val="left"/>
      <w:pPr>
        <w:ind w:left="833" w:hanging="408"/>
      </w:pPr>
      <w:rPr>
        <w:rFonts w:hint="eastAsia"/>
      </w:rPr>
    </w:lvl>
    <w:lvl w:ilvl="1" w:tentative="0">
      <w:start w:val="1"/>
      <w:numFmt w:val="bullet"/>
      <w:pStyle w:val="99"/>
      <w:lvlText w:val=""/>
      <w:lvlJc w:val="left"/>
      <w:pPr>
        <w:tabs>
          <w:tab w:val="left" w:pos="760"/>
        </w:tabs>
        <w:ind w:left="1264" w:hanging="413"/>
      </w:pPr>
      <w:rPr>
        <w:rFonts w:hint="default" w:ascii="Symbol" w:hAnsi="Symbol"/>
        <w:color w:val="auto"/>
      </w:rPr>
    </w:lvl>
    <w:lvl w:ilvl="2" w:tentative="0">
      <w:start w:val="1"/>
      <w:numFmt w:val="bullet"/>
      <w:pStyle w:val="11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pStyle w:val="196"/>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2F04FB2"/>
    <w:multiLevelType w:val="multilevel"/>
    <w:tmpl w:val="32F04FB2"/>
    <w:lvl w:ilvl="0" w:tentative="0">
      <w:start w:val="1"/>
      <w:numFmt w:val="lowerLetter"/>
      <w:pStyle w:val="23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0">
    <w:nsid w:val="3D733618"/>
    <w:multiLevelType w:val="multilevel"/>
    <w:tmpl w:val="3D733618"/>
    <w:lvl w:ilvl="0" w:tentative="0">
      <w:start w:val="1"/>
      <w:numFmt w:val="decimal"/>
      <w:pStyle w:val="3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0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0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1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8802D1C"/>
    <w:multiLevelType w:val="multilevel"/>
    <w:tmpl w:val="48802D1C"/>
    <w:lvl w:ilvl="0" w:tentative="0">
      <w:start w:val="1"/>
      <w:numFmt w:val="upperLetter"/>
      <w:pStyle w:val="241"/>
      <w:lvlText w:val="%1"/>
      <w:lvlJc w:val="left"/>
      <w:pPr>
        <w:ind w:left="420" w:hanging="420"/>
      </w:pPr>
      <w:rPr>
        <w:rFonts w:hint="eastAsia"/>
      </w:rPr>
    </w:lvl>
    <w:lvl w:ilvl="1" w:tentative="0">
      <w:start w:val="1"/>
      <w:numFmt w:val="decimal"/>
      <w:pStyle w:val="24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B733A5F"/>
    <w:multiLevelType w:val="multilevel"/>
    <w:tmpl w:val="4B733A5F"/>
    <w:lvl w:ilvl="0" w:tentative="0">
      <w:start w:val="1"/>
      <w:numFmt w:val="decimal"/>
      <w:pStyle w:val="11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7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36"/>
      <w:lvlText w:val="%1"/>
      <w:lvlJc w:val="left"/>
      <w:pPr>
        <w:tabs>
          <w:tab w:val="left" w:pos="0"/>
        </w:tabs>
        <w:ind w:left="0" w:hanging="425"/>
      </w:pPr>
      <w:rPr>
        <w:rFonts w:hint="eastAsia"/>
      </w:rPr>
    </w:lvl>
    <w:lvl w:ilvl="1" w:tentative="0">
      <w:start w:val="1"/>
      <w:numFmt w:val="decimal"/>
      <w:pStyle w:val="137"/>
      <w:suff w:val="nothing"/>
      <w:lvlText w:val="表%1.%2　"/>
      <w:lvlJc w:val="left"/>
      <w:pPr>
        <w:ind w:left="567"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76"/>
      <w:suff w:val="nothing"/>
      <w:lvlText w:val="表%1　"/>
      <w:lvlJc w:val="left"/>
      <w:pPr>
        <w:ind w:left="0" w:firstLine="0"/>
      </w:pPr>
      <w:rPr>
        <w:rFonts w:hint="eastAsia" w:ascii="宋体" w:hAnsi="宋体" w:eastAsia="宋体"/>
        <w:b w:val="0"/>
        <w:i w:val="0"/>
        <w:sz w:val="20"/>
        <w:szCs w:val="20"/>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34"/>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15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53"/>
      <w:suff w:val="nothing"/>
      <w:lvlText w:val="%1.%2.%3　"/>
      <w:lvlJc w:val="left"/>
      <w:pPr>
        <w:ind w:left="0" w:firstLine="0"/>
      </w:pPr>
      <w:rPr>
        <w:rFonts w:hint="eastAsia" w:ascii="黑体" w:hAnsi="Times New Roman" w:eastAsia="黑体"/>
        <w:b w:val="0"/>
        <w:i w:val="0"/>
        <w:sz w:val="21"/>
      </w:rPr>
    </w:lvl>
    <w:lvl w:ilvl="3" w:tentative="0">
      <w:start w:val="1"/>
      <w:numFmt w:val="decimal"/>
      <w:pStyle w:val="138"/>
      <w:suff w:val="nothing"/>
      <w:lvlText w:val="%1.%2.%3.%4　"/>
      <w:lvlJc w:val="left"/>
      <w:pPr>
        <w:ind w:left="0" w:firstLine="0"/>
      </w:pPr>
      <w:rPr>
        <w:rFonts w:hint="eastAsia" w:ascii="黑体" w:hAnsi="Times New Roman" w:eastAsia="黑体"/>
        <w:b w:val="0"/>
        <w:i w:val="0"/>
        <w:sz w:val="21"/>
      </w:rPr>
    </w:lvl>
    <w:lvl w:ilvl="4" w:tentative="0">
      <w:start w:val="1"/>
      <w:numFmt w:val="decimal"/>
      <w:pStyle w:val="143"/>
      <w:suff w:val="nothing"/>
      <w:lvlText w:val="%1.%2.%3.%4.%5　"/>
      <w:lvlJc w:val="left"/>
      <w:pPr>
        <w:ind w:left="0" w:firstLine="0"/>
      </w:pPr>
      <w:rPr>
        <w:rFonts w:hint="eastAsia" w:ascii="黑体" w:hAnsi="Times New Roman" w:eastAsia="黑体"/>
        <w:b w:val="0"/>
        <w:i w:val="0"/>
        <w:sz w:val="21"/>
      </w:rPr>
    </w:lvl>
    <w:lvl w:ilvl="5" w:tentative="0">
      <w:start w:val="1"/>
      <w:numFmt w:val="decimal"/>
      <w:pStyle w:val="146"/>
      <w:suff w:val="nothing"/>
      <w:lvlText w:val="%1.%2.%3.%4.%5.%6　"/>
      <w:lvlJc w:val="left"/>
      <w:pPr>
        <w:ind w:left="0" w:firstLine="0"/>
      </w:pPr>
      <w:rPr>
        <w:rFonts w:hint="eastAsia" w:ascii="黑体" w:hAnsi="Times New Roman" w:eastAsia="黑体"/>
        <w:b w:val="0"/>
        <w:i w:val="0"/>
        <w:sz w:val="21"/>
      </w:rPr>
    </w:lvl>
    <w:lvl w:ilvl="6" w:tentative="0">
      <w:start w:val="1"/>
      <w:numFmt w:val="decimal"/>
      <w:pStyle w:val="1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CEA2025"/>
    <w:multiLevelType w:val="multilevel"/>
    <w:tmpl w:val="6CEA2025"/>
    <w:lvl w:ilvl="0" w:tentative="0">
      <w:start w:val="1"/>
      <w:numFmt w:val="none"/>
      <w:pStyle w:val="238"/>
      <w:suff w:val="nothing"/>
      <w:lvlText w:val="%1"/>
      <w:lvlJc w:val="left"/>
      <w:pPr>
        <w:ind w:left="0" w:firstLine="0"/>
      </w:pPr>
      <w:rPr>
        <w:rFonts w:hint="eastAsia"/>
      </w:rPr>
    </w:lvl>
    <w:lvl w:ilvl="1" w:tentative="0">
      <w:start w:val="1"/>
      <w:numFmt w:val="decimal"/>
      <w:pStyle w:val="235"/>
      <w:suff w:val="nothing"/>
      <w:lvlText w:val="%1%2　"/>
      <w:lvlJc w:val="left"/>
      <w:pPr>
        <w:ind w:left="0" w:firstLine="0"/>
      </w:pPr>
      <w:rPr>
        <w:rFonts w:hint="eastAsia" w:ascii="黑体" w:eastAsia="黑体"/>
        <w:b w:val="0"/>
        <w:i w:val="0"/>
        <w:sz w:val="21"/>
      </w:rPr>
    </w:lvl>
    <w:lvl w:ilvl="2" w:tentative="0">
      <w:start w:val="1"/>
      <w:numFmt w:val="decimal"/>
      <w:pStyle w:val="23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30"/>
      <w:suff w:val="nothing"/>
      <w:lvlText w:val="%1%2.%3.%4　"/>
      <w:lvlJc w:val="left"/>
      <w:pPr>
        <w:ind w:left="0" w:firstLine="0"/>
      </w:pPr>
      <w:rPr>
        <w:rFonts w:hint="eastAsia" w:ascii="黑体" w:eastAsia="黑体"/>
        <w:b w:val="0"/>
        <w:i w:val="0"/>
        <w:sz w:val="21"/>
      </w:rPr>
    </w:lvl>
    <w:lvl w:ilvl="4" w:tentative="0">
      <w:start w:val="1"/>
      <w:numFmt w:val="decimal"/>
      <w:pStyle w:val="231"/>
      <w:suff w:val="nothing"/>
      <w:lvlText w:val="%1%2.%3.%4.%5　"/>
      <w:lvlJc w:val="left"/>
      <w:pPr>
        <w:ind w:left="0" w:firstLine="0"/>
      </w:pPr>
      <w:rPr>
        <w:rFonts w:hint="eastAsia" w:ascii="黑体" w:eastAsia="黑体"/>
        <w:b w:val="0"/>
        <w:i w:val="0"/>
        <w:sz w:val="21"/>
      </w:rPr>
    </w:lvl>
    <w:lvl w:ilvl="5" w:tentative="0">
      <w:start w:val="1"/>
      <w:numFmt w:val="decimal"/>
      <w:pStyle w:val="232"/>
      <w:suff w:val="nothing"/>
      <w:lvlText w:val="%1%2.%3.%4.%5.%6　"/>
      <w:lvlJc w:val="left"/>
      <w:pPr>
        <w:ind w:left="0" w:firstLine="0"/>
      </w:pPr>
      <w:rPr>
        <w:rFonts w:hint="eastAsia" w:ascii="黑体" w:eastAsia="黑体"/>
        <w:b w:val="0"/>
        <w:i w:val="0"/>
        <w:sz w:val="21"/>
      </w:rPr>
    </w:lvl>
    <w:lvl w:ilvl="6" w:tentative="0">
      <w:start w:val="1"/>
      <w:numFmt w:val="decimal"/>
      <w:pStyle w:val="23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6C07CD"/>
    <w:multiLevelType w:val="multilevel"/>
    <w:tmpl w:val="6D6C07CD"/>
    <w:lvl w:ilvl="0" w:tentative="0">
      <w:start w:val="1"/>
      <w:numFmt w:val="lowerLetter"/>
      <w:pStyle w:val="155"/>
      <w:lvlText w:val="%1)"/>
      <w:lvlJc w:val="left"/>
      <w:pPr>
        <w:tabs>
          <w:tab w:val="left" w:pos="839"/>
        </w:tabs>
        <w:ind w:left="839" w:hanging="419"/>
      </w:pPr>
      <w:rPr>
        <w:rFonts w:hint="eastAsia" w:ascii="宋体" w:eastAsia="宋体"/>
        <w:b w:val="0"/>
        <w:i w:val="0"/>
        <w:sz w:val="21"/>
      </w:rPr>
    </w:lvl>
    <w:lvl w:ilvl="1" w:tentative="0">
      <w:start w:val="1"/>
      <w:numFmt w:val="decimal"/>
      <w:pStyle w:val="14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10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pStyle w:val="193"/>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8"/>
  </w:num>
  <w:num w:numId="4">
    <w:abstractNumId w:val="2"/>
  </w:num>
  <w:num w:numId="5">
    <w:abstractNumId w:val="11"/>
  </w:num>
  <w:num w:numId="6">
    <w:abstractNumId w:val="20"/>
  </w:num>
  <w:num w:numId="7">
    <w:abstractNumId w:val="0"/>
  </w:num>
  <w:num w:numId="8">
    <w:abstractNumId w:val="13"/>
  </w:num>
  <w:num w:numId="9">
    <w:abstractNumId w:val="5"/>
  </w:num>
  <w:num w:numId="10">
    <w:abstractNumId w:val="17"/>
  </w:num>
  <w:num w:numId="11">
    <w:abstractNumId w:val="15"/>
  </w:num>
  <w:num w:numId="12">
    <w:abstractNumId w:val="19"/>
  </w:num>
  <w:num w:numId="13">
    <w:abstractNumId w:val="7"/>
  </w:num>
  <w:num w:numId="14">
    <w:abstractNumId w:val="1"/>
  </w:num>
  <w:num w:numId="15">
    <w:abstractNumId w:val="3"/>
  </w:num>
  <w:num w:numId="16">
    <w:abstractNumId w:val="16"/>
  </w:num>
  <w:num w:numId="17">
    <w:abstractNumId w:val="14"/>
  </w:num>
  <w:num w:numId="18">
    <w:abstractNumId w:val="18"/>
  </w:num>
  <w:num w:numId="19">
    <w:abstractNumId w:val="9"/>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TdmODAwZjdjZDI4NDgyMTM5MzZjMjliMGFhNmYifQ=="/>
  </w:docVars>
  <w:rsids>
    <w:rsidRoot w:val="00E168F1"/>
    <w:rsid w:val="000029E3"/>
    <w:rsid w:val="00010AE9"/>
    <w:rsid w:val="00013BD8"/>
    <w:rsid w:val="00016A88"/>
    <w:rsid w:val="00031132"/>
    <w:rsid w:val="00034D49"/>
    <w:rsid w:val="00041EA0"/>
    <w:rsid w:val="0004600D"/>
    <w:rsid w:val="0004695C"/>
    <w:rsid w:val="0004734F"/>
    <w:rsid w:val="00047DB6"/>
    <w:rsid w:val="000518CD"/>
    <w:rsid w:val="00053327"/>
    <w:rsid w:val="00053377"/>
    <w:rsid w:val="00053E81"/>
    <w:rsid w:val="00061778"/>
    <w:rsid w:val="0007030A"/>
    <w:rsid w:val="00073E32"/>
    <w:rsid w:val="0007651E"/>
    <w:rsid w:val="00094ACF"/>
    <w:rsid w:val="00096C26"/>
    <w:rsid w:val="000A145B"/>
    <w:rsid w:val="000A1DB1"/>
    <w:rsid w:val="000A28F1"/>
    <w:rsid w:val="000A3692"/>
    <w:rsid w:val="000A4361"/>
    <w:rsid w:val="000A6C24"/>
    <w:rsid w:val="000B21D5"/>
    <w:rsid w:val="000C2D2A"/>
    <w:rsid w:val="000C424E"/>
    <w:rsid w:val="000C611C"/>
    <w:rsid w:val="000D3F78"/>
    <w:rsid w:val="000D719F"/>
    <w:rsid w:val="000D7FF0"/>
    <w:rsid w:val="000E3412"/>
    <w:rsid w:val="000F203D"/>
    <w:rsid w:val="000F2D50"/>
    <w:rsid w:val="000F6D54"/>
    <w:rsid w:val="001037FC"/>
    <w:rsid w:val="00113C15"/>
    <w:rsid w:val="001207D5"/>
    <w:rsid w:val="001234BF"/>
    <w:rsid w:val="00124D5B"/>
    <w:rsid w:val="001258A3"/>
    <w:rsid w:val="00126536"/>
    <w:rsid w:val="00131BAD"/>
    <w:rsid w:val="001351B3"/>
    <w:rsid w:val="00142639"/>
    <w:rsid w:val="00146CCF"/>
    <w:rsid w:val="00152011"/>
    <w:rsid w:val="00156837"/>
    <w:rsid w:val="00157AA9"/>
    <w:rsid w:val="00157F1B"/>
    <w:rsid w:val="001601CC"/>
    <w:rsid w:val="00160CC7"/>
    <w:rsid w:val="00161CB0"/>
    <w:rsid w:val="00167AE2"/>
    <w:rsid w:val="00172C06"/>
    <w:rsid w:val="0017526A"/>
    <w:rsid w:val="00182463"/>
    <w:rsid w:val="001825A5"/>
    <w:rsid w:val="00183205"/>
    <w:rsid w:val="00185CAE"/>
    <w:rsid w:val="00185CC5"/>
    <w:rsid w:val="00186B08"/>
    <w:rsid w:val="001A00F7"/>
    <w:rsid w:val="001A404C"/>
    <w:rsid w:val="001A43A1"/>
    <w:rsid w:val="001A7B08"/>
    <w:rsid w:val="001B1015"/>
    <w:rsid w:val="001B2CFC"/>
    <w:rsid w:val="001B3FAA"/>
    <w:rsid w:val="001B438B"/>
    <w:rsid w:val="001B7EB4"/>
    <w:rsid w:val="001C19FB"/>
    <w:rsid w:val="001C3B41"/>
    <w:rsid w:val="001D0341"/>
    <w:rsid w:val="001E1FC6"/>
    <w:rsid w:val="001E62F6"/>
    <w:rsid w:val="001F07F4"/>
    <w:rsid w:val="001F6F98"/>
    <w:rsid w:val="001F761C"/>
    <w:rsid w:val="001F76C8"/>
    <w:rsid w:val="002003E9"/>
    <w:rsid w:val="00200650"/>
    <w:rsid w:val="00202165"/>
    <w:rsid w:val="002055F1"/>
    <w:rsid w:val="00210DEC"/>
    <w:rsid w:val="00212D1D"/>
    <w:rsid w:val="002151CE"/>
    <w:rsid w:val="00215ACD"/>
    <w:rsid w:val="00227403"/>
    <w:rsid w:val="002278E8"/>
    <w:rsid w:val="00230EA6"/>
    <w:rsid w:val="00233EAF"/>
    <w:rsid w:val="002412F4"/>
    <w:rsid w:val="00242AFE"/>
    <w:rsid w:val="00243873"/>
    <w:rsid w:val="00245260"/>
    <w:rsid w:val="00250733"/>
    <w:rsid w:val="0025173F"/>
    <w:rsid w:val="00257E07"/>
    <w:rsid w:val="00262E87"/>
    <w:rsid w:val="0027085E"/>
    <w:rsid w:val="00292088"/>
    <w:rsid w:val="002942B6"/>
    <w:rsid w:val="00296222"/>
    <w:rsid w:val="00296A7E"/>
    <w:rsid w:val="002979A4"/>
    <w:rsid w:val="002A32E0"/>
    <w:rsid w:val="002A37ED"/>
    <w:rsid w:val="002A68D8"/>
    <w:rsid w:val="002B6A7F"/>
    <w:rsid w:val="002C02F2"/>
    <w:rsid w:val="002C26F7"/>
    <w:rsid w:val="002D2D14"/>
    <w:rsid w:val="002D5E2C"/>
    <w:rsid w:val="002D6134"/>
    <w:rsid w:val="002D6BD9"/>
    <w:rsid w:val="002E2004"/>
    <w:rsid w:val="002E2254"/>
    <w:rsid w:val="002E6F28"/>
    <w:rsid w:val="002F02A4"/>
    <w:rsid w:val="002F1909"/>
    <w:rsid w:val="002F1D02"/>
    <w:rsid w:val="002F2A8F"/>
    <w:rsid w:val="002F2D09"/>
    <w:rsid w:val="002F4E2C"/>
    <w:rsid w:val="002F7FC7"/>
    <w:rsid w:val="00302526"/>
    <w:rsid w:val="0030362B"/>
    <w:rsid w:val="00303C36"/>
    <w:rsid w:val="003109BB"/>
    <w:rsid w:val="00311A3C"/>
    <w:rsid w:val="00316E3A"/>
    <w:rsid w:val="00321E8F"/>
    <w:rsid w:val="00323691"/>
    <w:rsid w:val="00323728"/>
    <w:rsid w:val="003345B8"/>
    <w:rsid w:val="00336EDE"/>
    <w:rsid w:val="0033713B"/>
    <w:rsid w:val="003404E9"/>
    <w:rsid w:val="003409A1"/>
    <w:rsid w:val="003450CB"/>
    <w:rsid w:val="0034530A"/>
    <w:rsid w:val="00347F87"/>
    <w:rsid w:val="003502D7"/>
    <w:rsid w:val="003522AA"/>
    <w:rsid w:val="003526C9"/>
    <w:rsid w:val="00355C0E"/>
    <w:rsid w:val="00357483"/>
    <w:rsid w:val="003605E1"/>
    <w:rsid w:val="0036068D"/>
    <w:rsid w:val="00360765"/>
    <w:rsid w:val="00361069"/>
    <w:rsid w:val="003657C0"/>
    <w:rsid w:val="003667FE"/>
    <w:rsid w:val="003704E0"/>
    <w:rsid w:val="00371CBC"/>
    <w:rsid w:val="00373BE7"/>
    <w:rsid w:val="00374251"/>
    <w:rsid w:val="00384A27"/>
    <w:rsid w:val="003855A4"/>
    <w:rsid w:val="00391D7B"/>
    <w:rsid w:val="00392AB3"/>
    <w:rsid w:val="003966B5"/>
    <w:rsid w:val="003A0034"/>
    <w:rsid w:val="003A0882"/>
    <w:rsid w:val="003A4477"/>
    <w:rsid w:val="003A74CE"/>
    <w:rsid w:val="003B184A"/>
    <w:rsid w:val="003B2A7B"/>
    <w:rsid w:val="003B64BA"/>
    <w:rsid w:val="003B6C23"/>
    <w:rsid w:val="003C1D12"/>
    <w:rsid w:val="003C233C"/>
    <w:rsid w:val="003C31E9"/>
    <w:rsid w:val="003C714B"/>
    <w:rsid w:val="003D15CF"/>
    <w:rsid w:val="003D61F6"/>
    <w:rsid w:val="003E35E7"/>
    <w:rsid w:val="003E37B6"/>
    <w:rsid w:val="003E678E"/>
    <w:rsid w:val="003E6DCA"/>
    <w:rsid w:val="003F2E10"/>
    <w:rsid w:val="003F44CB"/>
    <w:rsid w:val="003F45CD"/>
    <w:rsid w:val="003F6C91"/>
    <w:rsid w:val="004008FF"/>
    <w:rsid w:val="00400900"/>
    <w:rsid w:val="00402F74"/>
    <w:rsid w:val="00407006"/>
    <w:rsid w:val="00407FCA"/>
    <w:rsid w:val="004120A2"/>
    <w:rsid w:val="004135AC"/>
    <w:rsid w:val="004222C5"/>
    <w:rsid w:val="00427C57"/>
    <w:rsid w:val="00433DE7"/>
    <w:rsid w:val="004462B2"/>
    <w:rsid w:val="0045087A"/>
    <w:rsid w:val="00451770"/>
    <w:rsid w:val="004529D8"/>
    <w:rsid w:val="00452AB6"/>
    <w:rsid w:val="00452CFB"/>
    <w:rsid w:val="00453207"/>
    <w:rsid w:val="00461755"/>
    <w:rsid w:val="00462012"/>
    <w:rsid w:val="004628A7"/>
    <w:rsid w:val="00463731"/>
    <w:rsid w:val="004673F1"/>
    <w:rsid w:val="00471C38"/>
    <w:rsid w:val="00476769"/>
    <w:rsid w:val="00477640"/>
    <w:rsid w:val="00484691"/>
    <w:rsid w:val="00485D0E"/>
    <w:rsid w:val="004861AB"/>
    <w:rsid w:val="00493B63"/>
    <w:rsid w:val="00494E0E"/>
    <w:rsid w:val="00494F52"/>
    <w:rsid w:val="004A0324"/>
    <w:rsid w:val="004A0727"/>
    <w:rsid w:val="004A1A09"/>
    <w:rsid w:val="004A1F24"/>
    <w:rsid w:val="004A4139"/>
    <w:rsid w:val="004A76DB"/>
    <w:rsid w:val="004B1738"/>
    <w:rsid w:val="004B444A"/>
    <w:rsid w:val="004C306F"/>
    <w:rsid w:val="004C37E0"/>
    <w:rsid w:val="004D0F96"/>
    <w:rsid w:val="004D2ED3"/>
    <w:rsid w:val="004D6275"/>
    <w:rsid w:val="004E26EA"/>
    <w:rsid w:val="004F0CB4"/>
    <w:rsid w:val="004F2F42"/>
    <w:rsid w:val="00500E60"/>
    <w:rsid w:val="00504467"/>
    <w:rsid w:val="00505AA0"/>
    <w:rsid w:val="00505FC7"/>
    <w:rsid w:val="0051124D"/>
    <w:rsid w:val="005122E4"/>
    <w:rsid w:val="005129EB"/>
    <w:rsid w:val="00513B19"/>
    <w:rsid w:val="00514B73"/>
    <w:rsid w:val="00516865"/>
    <w:rsid w:val="00527C21"/>
    <w:rsid w:val="00531C63"/>
    <w:rsid w:val="00535D34"/>
    <w:rsid w:val="00540F5B"/>
    <w:rsid w:val="00547D3B"/>
    <w:rsid w:val="005530BA"/>
    <w:rsid w:val="00555A0F"/>
    <w:rsid w:val="00561882"/>
    <w:rsid w:val="005632D8"/>
    <w:rsid w:val="00566122"/>
    <w:rsid w:val="00567261"/>
    <w:rsid w:val="00573CF4"/>
    <w:rsid w:val="00575203"/>
    <w:rsid w:val="00575514"/>
    <w:rsid w:val="00575593"/>
    <w:rsid w:val="00576E50"/>
    <w:rsid w:val="005820CE"/>
    <w:rsid w:val="005824B7"/>
    <w:rsid w:val="00585756"/>
    <w:rsid w:val="0058755A"/>
    <w:rsid w:val="0059223D"/>
    <w:rsid w:val="005A0D5A"/>
    <w:rsid w:val="005A1E92"/>
    <w:rsid w:val="005A5595"/>
    <w:rsid w:val="005A7620"/>
    <w:rsid w:val="005B0266"/>
    <w:rsid w:val="005B24BA"/>
    <w:rsid w:val="005B4F9C"/>
    <w:rsid w:val="005B6483"/>
    <w:rsid w:val="005B7C40"/>
    <w:rsid w:val="005C1476"/>
    <w:rsid w:val="005C3200"/>
    <w:rsid w:val="005C6292"/>
    <w:rsid w:val="005D1E2B"/>
    <w:rsid w:val="005D2029"/>
    <w:rsid w:val="005E0433"/>
    <w:rsid w:val="005E4AA6"/>
    <w:rsid w:val="005F0CCB"/>
    <w:rsid w:val="005F0D30"/>
    <w:rsid w:val="005F3577"/>
    <w:rsid w:val="005F4AE2"/>
    <w:rsid w:val="00600203"/>
    <w:rsid w:val="00605F42"/>
    <w:rsid w:val="00607B1E"/>
    <w:rsid w:val="00613D16"/>
    <w:rsid w:val="006201B9"/>
    <w:rsid w:val="00623EF2"/>
    <w:rsid w:val="006250B4"/>
    <w:rsid w:val="0062773B"/>
    <w:rsid w:val="00632725"/>
    <w:rsid w:val="00633B65"/>
    <w:rsid w:val="0063736B"/>
    <w:rsid w:val="00640E6C"/>
    <w:rsid w:val="0064238C"/>
    <w:rsid w:val="00647E0B"/>
    <w:rsid w:val="00652A25"/>
    <w:rsid w:val="006542E1"/>
    <w:rsid w:val="006549EF"/>
    <w:rsid w:val="006656D5"/>
    <w:rsid w:val="006669EF"/>
    <w:rsid w:val="00667D85"/>
    <w:rsid w:val="00670A47"/>
    <w:rsid w:val="00674432"/>
    <w:rsid w:val="00680AD3"/>
    <w:rsid w:val="00684B3E"/>
    <w:rsid w:val="0069290D"/>
    <w:rsid w:val="006943A0"/>
    <w:rsid w:val="006A1A06"/>
    <w:rsid w:val="006A56E7"/>
    <w:rsid w:val="006A6851"/>
    <w:rsid w:val="006A7C42"/>
    <w:rsid w:val="006B4C59"/>
    <w:rsid w:val="006D02AE"/>
    <w:rsid w:val="006D4721"/>
    <w:rsid w:val="006D6C53"/>
    <w:rsid w:val="006E13BD"/>
    <w:rsid w:val="006E4534"/>
    <w:rsid w:val="006E5839"/>
    <w:rsid w:val="006E7AC6"/>
    <w:rsid w:val="006F3224"/>
    <w:rsid w:val="006F5047"/>
    <w:rsid w:val="006F5EE8"/>
    <w:rsid w:val="006F6B2C"/>
    <w:rsid w:val="00713650"/>
    <w:rsid w:val="00720A32"/>
    <w:rsid w:val="00725F67"/>
    <w:rsid w:val="00726874"/>
    <w:rsid w:val="00736075"/>
    <w:rsid w:val="0074264E"/>
    <w:rsid w:val="00745195"/>
    <w:rsid w:val="00745499"/>
    <w:rsid w:val="00746592"/>
    <w:rsid w:val="007466D4"/>
    <w:rsid w:val="00747F96"/>
    <w:rsid w:val="00750CC2"/>
    <w:rsid w:val="00754C57"/>
    <w:rsid w:val="00755D19"/>
    <w:rsid w:val="00755DCE"/>
    <w:rsid w:val="00756C0E"/>
    <w:rsid w:val="007571C8"/>
    <w:rsid w:val="00760CCA"/>
    <w:rsid w:val="00761762"/>
    <w:rsid w:val="00761C0B"/>
    <w:rsid w:val="00764C7D"/>
    <w:rsid w:val="0077450A"/>
    <w:rsid w:val="00775960"/>
    <w:rsid w:val="007901A5"/>
    <w:rsid w:val="00793E46"/>
    <w:rsid w:val="0079746B"/>
    <w:rsid w:val="007A1D90"/>
    <w:rsid w:val="007A36CF"/>
    <w:rsid w:val="007A68BA"/>
    <w:rsid w:val="007B39DE"/>
    <w:rsid w:val="007B4480"/>
    <w:rsid w:val="007B5D7E"/>
    <w:rsid w:val="007B5F86"/>
    <w:rsid w:val="007B6A87"/>
    <w:rsid w:val="007B755F"/>
    <w:rsid w:val="007C1975"/>
    <w:rsid w:val="007C39A4"/>
    <w:rsid w:val="007C7112"/>
    <w:rsid w:val="007D0694"/>
    <w:rsid w:val="007D653D"/>
    <w:rsid w:val="007D6BB1"/>
    <w:rsid w:val="007E3683"/>
    <w:rsid w:val="007F158B"/>
    <w:rsid w:val="0080148F"/>
    <w:rsid w:val="00801FA1"/>
    <w:rsid w:val="0080794A"/>
    <w:rsid w:val="008100D1"/>
    <w:rsid w:val="00811B01"/>
    <w:rsid w:val="008126D5"/>
    <w:rsid w:val="00812957"/>
    <w:rsid w:val="00815597"/>
    <w:rsid w:val="008203B6"/>
    <w:rsid w:val="0082217E"/>
    <w:rsid w:val="008229F8"/>
    <w:rsid w:val="008231C5"/>
    <w:rsid w:val="00826494"/>
    <w:rsid w:val="00826732"/>
    <w:rsid w:val="00826BFF"/>
    <w:rsid w:val="008339CA"/>
    <w:rsid w:val="008341D8"/>
    <w:rsid w:val="00836C07"/>
    <w:rsid w:val="00842DF2"/>
    <w:rsid w:val="00845D04"/>
    <w:rsid w:val="00847C84"/>
    <w:rsid w:val="0085046E"/>
    <w:rsid w:val="00855621"/>
    <w:rsid w:val="008556DE"/>
    <w:rsid w:val="008677CF"/>
    <w:rsid w:val="00872660"/>
    <w:rsid w:val="00880732"/>
    <w:rsid w:val="008812ED"/>
    <w:rsid w:val="00883A8A"/>
    <w:rsid w:val="0088416E"/>
    <w:rsid w:val="00885007"/>
    <w:rsid w:val="00891501"/>
    <w:rsid w:val="00892C5F"/>
    <w:rsid w:val="008A0A4E"/>
    <w:rsid w:val="008A1905"/>
    <w:rsid w:val="008A34F1"/>
    <w:rsid w:val="008A5C1C"/>
    <w:rsid w:val="008A5F6A"/>
    <w:rsid w:val="008B2508"/>
    <w:rsid w:val="008B434A"/>
    <w:rsid w:val="008B4761"/>
    <w:rsid w:val="008B5239"/>
    <w:rsid w:val="008B5672"/>
    <w:rsid w:val="008B7890"/>
    <w:rsid w:val="008C03E8"/>
    <w:rsid w:val="008C31AE"/>
    <w:rsid w:val="008C3DAB"/>
    <w:rsid w:val="008C6022"/>
    <w:rsid w:val="008C7E3E"/>
    <w:rsid w:val="008D55C0"/>
    <w:rsid w:val="008D5656"/>
    <w:rsid w:val="008E084F"/>
    <w:rsid w:val="008E1F5D"/>
    <w:rsid w:val="008E2526"/>
    <w:rsid w:val="008E2F2F"/>
    <w:rsid w:val="008E754B"/>
    <w:rsid w:val="008F133A"/>
    <w:rsid w:val="008F30ED"/>
    <w:rsid w:val="009015F9"/>
    <w:rsid w:val="009159D2"/>
    <w:rsid w:val="00915BE8"/>
    <w:rsid w:val="009163C9"/>
    <w:rsid w:val="00916571"/>
    <w:rsid w:val="00916BDF"/>
    <w:rsid w:val="0091743E"/>
    <w:rsid w:val="00920109"/>
    <w:rsid w:val="009213E9"/>
    <w:rsid w:val="00921A19"/>
    <w:rsid w:val="009342CD"/>
    <w:rsid w:val="00934F00"/>
    <w:rsid w:val="00937175"/>
    <w:rsid w:val="00940951"/>
    <w:rsid w:val="00941530"/>
    <w:rsid w:val="00946A57"/>
    <w:rsid w:val="009528A0"/>
    <w:rsid w:val="00954255"/>
    <w:rsid w:val="009617B5"/>
    <w:rsid w:val="00961B11"/>
    <w:rsid w:val="00962FD4"/>
    <w:rsid w:val="00966D89"/>
    <w:rsid w:val="0097018F"/>
    <w:rsid w:val="00981B9F"/>
    <w:rsid w:val="00986E47"/>
    <w:rsid w:val="00991DB6"/>
    <w:rsid w:val="00993966"/>
    <w:rsid w:val="009A18FC"/>
    <w:rsid w:val="009A1EB3"/>
    <w:rsid w:val="009A6A0F"/>
    <w:rsid w:val="009B15BB"/>
    <w:rsid w:val="009B2043"/>
    <w:rsid w:val="009B41FC"/>
    <w:rsid w:val="009B69E7"/>
    <w:rsid w:val="009C4EAA"/>
    <w:rsid w:val="009C79B3"/>
    <w:rsid w:val="009D3A2C"/>
    <w:rsid w:val="009D42C0"/>
    <w:rsid w:val="009D4355"/>
    <w:rsid w:val="009D5638"/>
    <w:rsid w:val="009D67B9"/>
    <w:rsid w:val="009E2574"/>
    <w:rsid w:val="009E49B8"/>
    <w:rsid w:val="009E4A15"/>
    <w:rsid w:val="009E54F0"/>
    <w:rsid w:val="009E6015"/>
    <w:rsid w:val="009E74AF"/>
    <w:rsid w:val="009F023B"/>
    <w:rsid w:val="009F0469"/>
    <w:rsid w:val="009F4A0D"/>
    <w:rsid w:val="009F4C85"/>
    <w:rsid w:val="009F799F"/>
    <w:rsid w:val="00A02942"/>
    <w:rsid w:val="00A029BD"/>
    <w:rsid w:val="00A05556"/>
    <w:rsid w:val="00A1156B"/>
    <w:rsid w:val="00A128E6"/>
    <w:rsid w:val="00A14F2E"/>
    <w:rsid w:val="00A2051E"/>
    <w:rsid w:val="00A23994"/>
    <w:rsid w:val="00A27C62"/>
    <w:rsid w:val="00A30AE3"/>
    <w:rsid w:val="00A319D3"/>
    <w:rsid w:val="00A37E83"/>
    <w:rsid w:val="00A40CD5"/>
    <w:rsid w:val="00A44013"/>
    <w:rsid w:val="00A51250"/>
    <w:rsid w:val="00A54B67"/>
    <w:rsid w:val="00A56B01"/>
    <w:rsid w:val="00A624F0"/>
    <w:rsid w:val="00A62CA7"/>
    <w:rsid w:val="00A645F8"/>
    <w:rsid w:val="00A6713B"/>
    <w:rsid w:val="00A678AB"/>
    <w:rsid w:val="00A71327"/>
    <w:rsid w:val="00A71DB4"/>
    <w:rsid w:val="00A757E0"/>
    <w:rsid w:val="00A772F1"/>
    <w:rsid w:val="00A84BD8"/>
    <w:rsid w:val="00A8570D"/>
    <w:rsid w:val="00A87431"/>
    <w:rsid w:val="00A9395E"/>
    <w:rsid w:val="00AA0C56"/>
    <w:rsid w:val="00AB249B"/>
    <w:rsid w:val="00AB6132"/>
    <w:rsid w:val="00AB659B"/>
    <w:rsid w:val="00AC2075"/>
    <w:rsid w:val="00AC5768"/>
    <w:rsid w:val="00AC795A"/>
    <w:rsid w:val="00AD654B"/>
    <w:rsid w:val="00AD720D"/>
    <w:rsid w:val="00AD791E"/>
    <w:rsid w:val="00AF27FF"/>
    <w:rsid w:val="00AF2B79"/>
    <w:rsid w:val="00AF3E60"/>
    <w:rsid w:val="00AF6A12"/>
    <w:rsid w:val="00B032D4"/>
    <w:rsid w:val="00B03A2C"/>
    <w:rsid w:val="00B07B88"/>
    <w:rsid w:val="00B07E85"/>
    <w:rsid w:val="00B1545C"/>
    <w:rsid w:val="00B160F3"/>
    <w:rsid w:val="00B20759"/>
    <w:rsid w:val="00B220C7"/>
    <w:rsid w:val="00B244C2"/>
    <w:rsid w:val="00B24EAA"/>
    <w:rsid w:val="00B2599E"/>
    <w:rsid w:val="00B302E4"/>
    <w:rsid w:val="00B30CC8"/>
    <w:rsid w:val="00B33BC0"/>
    <w:rsid w:val="00B34444"/>
    <w:rsid w:val="00B404A6"/>
    <w:rsid w:val="00B431D4"/>
    <w:rsid w:val="00B43782"/>
    <w:rsid w:val="00B55180"/>
    <w:rsid w:val="00B66316"/>
    <w:rsid w:val="00B76488"/>
    <w:rsid w:val="00B76D94"/>
    <w:rsid w:val="00B8045B"/>
    <w:rsid w:val="00B806E4"/>
    <w:rsid w:val="00B816EE"/>
    <w:rsid w:val="00B81859"/>
    <w:rsid w:val="00B83DFA"/>
    <w:rsid w:val="00B84C7B"/>
    <w:rsid w:val="00B867B4"/>
    <w:rsid w:val="00B9152D"/>
    <w:rsid w:val="00B92CCF"/>
    <w:rsid w:val="00BA2C35"/>
    <w:rsid w:val="00BA39C9"/>
    <w:rsid w:val="00BA3F7A"/>
    <w:rsid w:val="00BB494F"/>
    <w:rsid w:val="00BC4771"/>
    <w:rsid w:val="00BC6D2A"/>
    <w:rsid w:val="00BD1FA8"/>
    <w:rsid w:val="00BD7374"/>
    <w:rsid w:val="00BE053D"/>
    <w:rsid w:val="00BE07B4"/>
    <w:rsid w:val="00BE0D92"/>
    <w:rsid w:val="00BE1779"/>
    <w:rsid w:val="00BE3AE0"/>
    <w:rsid w:val="00BE435B"/>
    <w:rsid w:val="00BE44AA"/>
    <w:rsid w:val="00BE6231"/>
    <w:rsid w:val="00BE6B85"/>
    <w:rsid w:val="00BE7F8A"/>
    <w:rsid w:val="00BF0BE2"/>
    <w:rsid w:val="00BF1751"/>
    <w:rsid w:val="00BF2683"/>
    <w:rsid w:val="00BF2D34"/>
    <w:rsid w:val="00BF641C"/>
    <w:rsid w:val="00BF6728"/>
    <w:rsid w:val="00BF6EBC"/>
    <w:rsid w:val="00BF6EE9"/>
    <w:rsid w:val="00C04577"/>
    <w:rsid w:val="00C06602"/>
    <w:rsid w:val="00C12451"/>
    <w:rsid w:val="00C1457A"/>
    <w:rsid w:val="00C169C2"/>
    <w:rsid w:val="00C17041"/>
    <w:rsid w:val="00C20EE1"/>
    <w:rsid w:val="00C25C51"/>
    <w:rsid w:val="00C3079F"/>
    <w:rsid w:val="00C32E2A"/>
    <w:rsid w:val="00C52F65"/>
    <w:rsid w:val="00C701CE"/>
    <w:rsid w:val="00C718D6"/>
    <w:rsid w:val="00C75FD8"/>
    <w:rsid w:val="00C809AB"/>
    <w:rsid w:val="00C80B8C"/>
    <w:rsid w:val="00C82D73"/>
    <w:rsid w:val="00C8337E"/>
    <w:rsid w:val="00C9358F"/>
    <w:rsid w:val="00C95109"/>
    <w:rsid w:val="00C970C8"/>
    <w:rsid w:val="00CA6CE4"/>
    <w:rsid w:val="00CB0C7D"/>
    <w:rsid w:val="00CB5CE5"/>
    <w:rsid w:val="00CB763D"/>
    <w:rsid w:val="00CC1190"/>
    <w:rsid w:val="00CC15D2"/>
    <w:rsid w:val="00CC2F8E"/>
    <w:rsid w:val="00CD013A"/>
    <w:rsid w:val="00CD0588"/>
    <w:rsid w:val="00CD5F83"/>
    <w:rsid w:val="00CD74B2"/>
    <w:rsid w:val="00CE1A5A"/>
    <w:rsid w:val="00CE2662"/>
    <w:rsid w:val="00CE4ED6"/>
    <w:rsid w:val="00CE63D3"/>
    <w:rsid w:val="00CE643E"/>
    <w:rsid w:val="00CE672E"/>
    <w:rsid w:val="00CE7D12"/>
    <w:rsid w:val="00CF1D01"/>
    <w:rsid w:val="00CF2B25"/>
    <w:rsid w:val="00CF4131"/>
    <w:rsid w:val="00CF43EF"/>
    <w:rsid w:val="00CF5581"/>
    <w:rsid w:val="00D0106B"/>
    <w:rsid w:val="00D03A6B"/>
    <w:rsid w:val="00D047D1"/>
    <w:rsid w:val="00D048E9"/>
    <w:rsid w:val="00D04CB6"/>
    <w:rsid w:val="00D11AEE"/>
    <w:rsid w:val="00D13088"/>
    <w:rsid w:val="00D17280"/>
    <w:rsid w:val="00D20169"/>
    <w:rsid w:val="00D22F8D"/>
    <w:rsid w:val="00D23638"/>
    <w:rsid w:val="00D24274"/>
    <w:rsid w:val="00D24A7B"/>
    <w:rsid w:val="00D31E8B"/>
    <w:rsid w:val="00D35535"/>
    <w:rsid w:val="00D35BDD"/>
    <w:rsid w:val="00D376C1"/>
    <w:rsid w:val="00D37F3F"/>
    <w:rsid w:val="00D40B96"/>
    <w:rsid w:val="00D40CBB"/>
    <w:rsid w:val="00D4111A"/>
    <w:rsid w:val="00D42AE0"/>
    <w:rsid w:val="00D436D3"/>
    <w:rsid w:val="00D50179"/>
    <w:rsid w:val="00D54AA9"/>
    <w:rsid w:val="00D57B50"/>
    <w:rsid w:val="00D6087D"/>
    <w:rsid w:val="00D6672D"/>
    <w:rsid w:val="00D717EE"/>
    <w:rsid w:val="00D85790"/>
    <w:rsid w:val="00D859D1"/>
    <w:rsid w:val="00D926FC"/>
    <w:rsid w:val="00D93B78"/>
    <w:rsid w:val="00D93E80"/>
    <w:rsid w:val="00D942EF"/>
    <w:rsid w:val="00DA4B52"/>
    <w:rsid w:val="00DB19D0"/>
    <w:rsid w:val="00DB5B06"/>
    <w:rsid w:val="00DD11B8"/>
    <w:rsid w:val="00DE3BA0"/>
    <w:rsid w:val="00DE4F4C"/>
    <w:rsid w:val="00DE68CB"/>
    <w:rsid w:val="00DE749C"/>
    <w:rsid w:val="00DF6974"/>
    <w:rsid w:val="00DF6B0B"/>
    <w:rsid w:val="00E02F8C"/>
    <w:rsid w:val="00E168F1"/>
    <w:rsid w:val="00E16E95"/>
    <w:rsid w:val="00E227BC"/>
    <w:rsid w:val="00E22FCE"/>
    <w:rsid w:val="00E2683F"/>
    <w:rsid w:val="00E32E89"/>
    <w:rsid w:val="00E33902"/>
    <w:rsid w:val="00E40A64"/>
    <w:rsid w:val="00E41EB7"/>
    <w:rsid w:val="00E42CCA"/>
    <w:rsid w:val="00E464CE"/>
    <w:rsid w:val="00E46C9D"/>
    <w:rsid w:val="00E52604"/>
    <w:rsid w:val="00E54357"/>
    <w:rsid w:val="00E54976"/>
    <w:rsid w:val="00E57579"/>
    <w:rsid w:val="00E7375E"/>
    <w:rsid w:val="00E76535"/>
    <w:rsid w:val="00E81555"/>
    <w:rsid w:val="00E848D5"/>
    <w:rsid w:val="00E8696F"/>
    <w:rsid w:val="00E8766B"/>
    <w:rsid w:val="00E9065E"/>
    <w:rsid w:val="00E95820"/>
    <w:rsid w:val="00EA0E44"/>
    <w:rsid w:val="00EA19ED"/>
    <w:rsid w:val="00EA66F7"/>
    <w:rsid w:val="00EA7F6D"/>
    <w:rsid w:val="00EB5ECC"/>
    <w:rsid w:val="00EC339F"/>
    <w:rsid w:val="00EC6CE1"/>
    <w:rsid w:val="00ED1334"/>
    <w:rsid w:val="00ED265D"/>
    <w:rsid w:val="00ED2EF6"/>
    <w:rsid w:val="00EE1DEC"/>
    <w:rsid w:val="00EE5840"/>
    <w:rsid w:val="00EE5A87"/>
    <w:rsid w:val="00EE5CF3"/>
    <w:rsid w:val="00EF6A21"/>
    <w:rsid w:val="00F02F91"/>
    <w:rsid w:val="00F04497"/>
    <w:rsid w:val="00F12C6A"/>
    <w:rsid w:val="00F13C12"/>
    <w:rsid w:val="00F15559"/>
    <w:rsid w:val="00F212D5"/>
    <w:rsid w:val="00F21FE8"/>
    <w:rsid w:val="00F304B6"/>
    <w:rsid w:val="00F3268B"/>
    <w:rsid w:val="00F33A5C"/>
    <w:rsid w:val="00F34F73"/>
    <w:rsid w:val="00F35270"/>
    <w:rsid w:val="00F4217A"/>
    <w:rsid w:val="00F43843"/>
    <w:rsid w:val="00F47007"/>
    <w:rsid w:val="00F475C1"/>
    <w:rsid w:val="00F52509"/>
    <w:rsid w:val="00F5456B"/>
    <w:rsid w:val="00F5785C"/>
    <w:rsid w:val="00F61EAB"/>
    <w:rsid w:val="00F64677"/>
    <w:rsid w:val="00F65EA6"/>
    <w:rsid w:val="00F71897"/>
    <w:rsid w:val="00F83CF8"/>
    <w:rsid w:val="00F9029F"/>
    <w:rsid w:val="00F961EB"/>
    <w:rsid w:val="00F96C5C"/>
    <w:rsid w:val="00FB2758"/>
    <w:rsid w:val="00FC2193"/>
    <w:rsid w:val="00FC2E70"/>
    <w:rsid w:val="00FC6A6C"/>
    <w:rsid w:val="00FE142E"/>
    <w:rsid w:val="00FE231A"/>
    <w:rsid w:val="00FE53F9"/>
    <w:rsid w:val="00FE6F70"/>
    <w:rsid w:val="00FE7B94"/>
    <w:rsid w:val="00FE7C9B"/>
    <w:rsid w:val="00FF22E2"/>
    <w:rsid w:val="00FF6349"/>
    <w:rsid w:val="00FF7931"/>
    <w:rsid w:val="023138ED"/>
    <w:rsid w:val="02DA5434"/>
    <w:rsid w:val="09674DE9"/>
    <w:rsid w:val="0AD618D0"/>
    <w:rsid w:val="115B358B"/>
    <w:rsid w:val="14C03C78"/>
    <w:rsid w:val="16026BD5"/>
    <w:rsid w:val="18604C82"/>
    <w:rsid w:val="205E6167"/>
    <w:rsid w:val="267C6DDC"/>
    <w:rsid w:val="2A787727"/>
    <w:rsid w:val="3BD807A8"/>
    <w:rsid w:val="43816729"/>
    <w:rsid w:val="452C7FC5"/>
    <w:rsid w:val="64E025BB"/>
    <w:rsid w:val="697D3F1E"/>
    <w:rsid w:val="71297953"/>
    <w:rsid w:val="7279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paragraph" w:styleId="2">
    <w:name w:val="heading 1"/>
    <w:basedOn w:val="1"/>
    <w:next w:val="1"/>
    <w:link w:val="69"/>
    <w:qFormat/>
    <w:uiPriority w:val="9"/>
    <w:pPr>
      <w:keepNext/>
      <w:spacing w:before="240" w:after="60"/>
      <w:outlineLvl w:val="0"/>
    </w:pPr>
    <w:rPr>
      <w:rFonts w:ascii="Cambria" w:hAnsi="Cambria"/>
      <w:b/>
      <w:bCs/>
      <w:kern w:val="32"/>
      <w:sz w:val="32"/>
      <w:szCs w:val="32"/>
      <w:lang w:val="zh-CN"/>
    </w:rPr>
  </w:style>
  <w:style w:type="paragraph" w:styleId="3">
    <w:name w:val="heading 2"/>
    <w:basedOn w:val="1"/>
    <w:next w:val="1"/>
    <w:link w:val="70"/>
    <w:unhideWhenUsed/>
    <w:qFormat/>
    <w:uiPriority w:val="9"/>
    <w:pPr>
      <w:keepNext/>
      <w:spacing w:before="240" w:after="60"/>
      <w:outlineLvl w:val="1"/>
    </w:pPr>
    <w:rPr>
      <w:rFonts w:ascii="Cambria" w:hAnsi="Cambria"/>
      <w:b/>
      <w:bCs/>
      <w:i/>
      <w:iCs/>
      <w:sz w:val="28"/>
      <w:szCs w:val="28"/>
      <w:lang w:val="zh-CN"/>
    </w:rPr>
  </w:style>
  <w:style w:type="paragraph" w:styleId="4">
    <w:name w:val="heading 3"/>
    <w:basedOn w:val="1"/>
    <w:next w:val="1"/>
    <w:link w:val="71"/>
    <w:unhideWhenUsed/>
    <w:qFormat/>
    <w:uiPriority w:val="9"/>
    <w:pPr>
      <w:keepNext/>
      <w:spacing w:before="240" w:after="60"/>
      <w:outlineLvl w:val="2"/>
    </w:pPr>
    <w:rPr>
      <w:rFonts w:ascii="Cambria" w:hAnsi="Cambria"/>
      <w:b/>
      <w:bCs/>
      <w:sz w:val="26"/>
      <w:szCs w:val="26"/>
      <w:lang w:val="zh-CN"/>
    </w:rPr>
  </w:style>
  <w:style w:type="paragraph" w:styleId="5">
    <w:name w:val="heading 4"/>
    <w:basedOn w:val="1"/>
    <w:next w:val="1"/>
    <w:link w:val="72"/>
    <w:unhideWhenUsed/>
    <w:qFormat/>
    <w:uiPriority w:val="9"/>
    <w:pPr>
      <w:keepNext/>
      <w:spacing w:before="240" w:after="60"/>
      <w:outlineLvl w:val="3"/>
    </w:pPr>
    <w:rPr>
      <w:b/>
      <w:bCs/>
      <w:sz w:val="28"/>
      <w:szCs w:val="28"/>
      <w:lang w:val="zh-CN"/>
    </w:rPr>
  </w:style>
  <w:style w:type="paragraph" w:styleId="6">
    <w:name w:val="heading 5"/>
    <w:basedOn w:val="1"/>
    <w:next w:val="1"/>
    <w:link w:val="73"/>
    <w:unhideWhenUsed/>
    <w:qFormat/>
    <w:uiPriority w:val="9"/>
    <w:pPr>
      <w:spacing w:before="240" w:after="60"/>
      <w:outlineLvl w:val="4"/>
    </w:pPr>
    <w:rPr>
      <w:b/>
      <w:bCs/>
      <w:i/>
      <w:iCs/>
      <w:sz w:val="26"/>
      <w:szCs w:val="26"/>
      <w:lang w:val="zh-CN"/>
    </w:rPr>
  </w:style>
  <w:style w:type="paragraph" w:styleId="7">
    <w:name w:val="heading 6"/>
    <w:basedOn w:val="1"/>
    <w:next w:val="1"/>
    <w:link w:val="74"/>
    <w:unhideWhenUsed/>
    <w:qFormat/>
    <w:uiPriority w:val="9"/>
    <w:pPr>
      <w:spacing w:before="240" w:after="60"/>
      <w:outlineLvl w:val="5"/>
    </w:pPr>
    <w:rPr>
      <w:b/>
      <w:bCs/>
      <w:sz w:val="20"/>
      <w:szCs w:val="20"/>
      <w:lang w:val="zh-CN"/>
    </w:rPr>
  </w:style>
  <w:style w:type="paragraph" w:styleId="8">
    <w:name w:val="heading 7"/>
    <w:basedOn w:val="1"/>
    <w:next w:val="1"/>
    <w:link w:val="75"/>
    <w:unhideWhenUsed/>
    <w:qFormat/>
    <w:uiPriority w:val="9"/>
    <w:pPr>
      <w:spacing w:before="240" w:after="60"/>
      <w:outlineLvl w:val="6"/>
    </w:pPr>
    <w:rPr>
      <w:lang w:val="zh-CN"/>
    </w:rPr>
  </w:style>
  <w:style w:type="paragraph" w:styleId="9">
    <w:name w:val="heading 8"/>
    <w:basedOn w:val="1"/>
    <w:next w:val="1"/>
    <w:link w:val="76"/>
    <w:unhideWhenUsed/>
    <w:qFormat/>
    <w:uiPriority w:val="9"/>
    <w:pPr>
      <w:spacing w:before="240" w:after="60"/>
      <w:outlineLvl w:val="7"/>
    </w:pPr>
    <w:rPr>
      <w:i/>
      <w:iCs/>
      <w:lang w:val="zh-CN"/>
    </w:rPr>
  </w:style>
  <w:style w:type="paragraph" w:styleId="10">
    <w:name w:val="heading 9"/>
    <w:basedOn w:val="1"/>
    <w:next w:val="1"/>
    <w:link w:val="77"/>
    <w:unhideWhenUsed/>
    <w:qFormat/>
    <w:uiPriority w:val="9"/>
    <w:pPr>
      <w:spacing w:before="240" w:after="60"/>
      <w:outlineLvl w:val="8"/>
    </w:pPr>
    <w:rPr>
      <w:rFonts w:ascii="Cambria" w:hAnsi="Cambria"/>
      <w:sz w:val="20"/>
      <w:szCs w:val="20"/>
      <w:lang w:val="zh-CN"/>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tabs>
        <w:tab w:val="right" w:leader="dot" w:pos="9241"/>
      </w:tabs>
      <w:ind w:firstLine="505" w:firstLineChars="500"/>
    </w:pPr>
    <w:rPr>
      <w:rFonts w:ascii="宋体"/>
      <w:szCs w:val="21"/>
    </w:rPr>
  </w:style>
  <w:style w:type="paragraph" w:styleId="12">
    <w:name w:val="index 8"/>
    <w:basedOn w:val="1"/>
    <w:next w:val="1"/>
    <w:qFormat/>
    <w:uiPriority w:val="0"/>
    <w:pPr>
      <w:ind w:left="1680" w:hanging="210"/>
    </w:pPr>
    <w:rPr>
      <w:sz w:val="20"/>
      <w:szCs w:val="20"/>
    </w:rPr>
  </w:style>
  <w:style w:type="paragraph" w:styleId="13">
    <w:name w:val="Normal Indent"/>
    <w:basedOn w:val="1"/>
    <w:qFormat/>
    <w:uiPriority w:val="0"/>
    <w:pPr>
      <w:ind w:firstLine="420"/>
    </w:pPr>
    <w:rPr>
      <w:rFonts w:ascii="宋体" w:hAnsi="宋体"/>
      <w:color w:val="000000"/>
      <w:szCs w:val="20"/>
    </w:rPr>
  </w:style>
  <w:style w:type="paragraph" w:styleId="14">
    <w:name w:val="caption"/>
    <w:basedOn w:val="1"/>
    <w:next w:val="1"/>
    <w:qFormat/>
    <w:uiPriority w:val="35"/>
    <w:pPr>
      <w:spacing w:before="152" w:after="160"/>
    </w:pPr>
    <w:rPr>
      <w:rFonts w:ascii="Arial" w:hAnsi="Arial" w:eastAsia="黑体" w:cs="Arial"/>
      <w:sz w:val="20"/>
      <w:szCs w:val="20"/>
    </w:rPr>
  </w:style>
  <w:style w:type="paragraph" w:styleId="15">
    <w:name w:val="index 5"/>
    <w:basedOn w:val="1"/>
    <w:next w:val="1"/>
    <w:qFormat/>
    <w:uiPriority w:val="0"/>
    <w:pPr>
      <w:ind w:left="1050" w:hanging="210"/>
    </w:pPr>
    <w:rPr>
      <w:sz w:val="20"/>
      <w:szCs w:val="20"/>
    </w:rPr>
  </w:style>
  <w:style w:type="paragraph" w:styleId="16">
    <w:name w:val="Document Map"/>
    <w:basedOn w:val="1"/>
    <w:link w:val="80"/>
    <w:semiHidden/>
    <w:qFormat/>
    <w:uiPriority w:val="0"/>
    <w:pPr>
      <w:shd w:val="clear" w:color="auto" w:fill="000080"/>
    </w:pPr>
    <w:rPr>
      <w:rFonts w:ascii="Times New Roman" w:hAnsi="Times New Roman"/>
      <w:sz w:val="20"/>
      <w:lang w:val="zh-CN"/>
    </w:rPr>
  </w:style>
  <w:style w:type="paragraph" w:styleId="17">
    <w:name w:val="annotation text"/>
    <w:basedOn w:val="1"/>
    <w:link w:val="78"/>
    <w:unhideWhenUsed/>
    <w:qFormat/>
    <w:uiPriority w:val="0"/>
    <w:rPr>
      <w:rFonts w:ascii="Times New Roman" w:hAnsi="Times New Roman"/>
      <w:sz w:val="20"/>
      <w:lang w:val="zh-CN"/>
    </w:rPr>
  </w:style>
  <w:style w:type="paragraph" w:styleId="18">
    <w:name w:val="index 6"/>
    <w:basedOn w:val="1"/>
    <w:next w:val="1"/>
    <w:qFormat/>
    <w:uiPriority w:val="0"/>
    <w:pPr>
      <w:ind w:left="1260" w:hanging="210"/>
    </w:pPr>
    <w:rPr>
      <w:sz w:val="20"/>
      <w:szCs w:val="20"/>
    </w:rPr>
  </w:style>
  <w:style w:type="paragraph" w:styleId="19">
    <w:name w:val="Body Text"/>
    <w:basedOn w:val="1"/>
    <w:link w:val="211"/>
    <w:qFormat/>
    <w:uiPriority w:val="1"/>
    <w:pPr>
      <w:ind w:left="118"/>
    </w:pPr>
    <w:rPr>
      <w:rFonts w:ascii="宋体" w:hAnsi="宋体"/>
      <w:sz w:val="21"/>
      <w:szCs w:val="21"/>
      <w:lang w:val="zh-CN" w:eastAsia="en-US"/>
    </w:rPr>
  </w:style>
  <w:style w:type="paragraph" w:styleId="20">
    <w:name w:val="HTML Address"/>
    <w:basedOn w:val="1"/>
    <w:link w:val="81"/>
    <w:qFormat/>
    <w:uiPriority w:val="0"/>
    <w:rPr>
      <w:rFonts w:ascii="Times New Roman" w:hAnsi="Times New Roman"/>
      <w:i/>
      <w:iCs/>
      <w:sz w:val="20"/>
      <w:lang w:val="zh-CN"/>
    </w:rPr>
  </w:style>
  <w:style w:type="paragraph" w:styleId="21">
    <w:name w:val="index 4"/>
    <w:basedOn w:val="1"/>
    <w:next w:val="1"/>
    <w:qFormat/>
    <w:uiPriority w:val="0"/>
    <w:pPr>
      <w:ind w:left="840" w:hanging="210"/>
    </w:pPr>
    <w:rPr>
      <w:sz w:val="20"/>
      <w:szCs w:val="20"/>
    </w:rPr>
  </w:style>
  <w:style w:type="paragraph" w:styleId="22">
    <w:name w:val="toc 5"/>
    <w:basedOn w:val="1"/>
    <w:next w:val="1"/>
    <w:semiHidden/>
    <w:qFormat/>
    <w:uiPriority w:val="0"/>
    <w:pPr>
      <w:tabs>
        <w:tab w:val="right" w:leader="dot" w:pos="9241"/>
      </w:tabs>
      <w:ind w:firstLine="300" w:firstLineChars="300"/>
    </w:pPr>
    <w:rPr>
      <w:rFonts w:ascii="宋体"/>
      <w:szCs w:val="21"/>
    </w:rPr>
  </w:style>
  <w:style w:type="paragraph" w:styleId="23">
    <w:name w:val="toc 3"/>
    <w:basedOn w:val="1"/>
    <w:next w:val="1"/>
    <w:qFormat/>
    <w:uiPriority w:val="39"/>
    <w:pPr>
      <w:tabs>
        <w:tab w:val="right" w:leader="dot" w:pos="9241"/>
      </w:tabs>
      <w:ind w:firstLine="102" w:firstLineChars="100"/>
    </w:pPr>
    <w:rPr>
      <w:rFonts w:ascii="宋体"/>
      <w:szCs w:val="21"/>
    </w:rPr>
  </w:style>
  <w:style w:type="paragraph" w:styleId="24">
    <w:name w:val="Plain Text"/>
    <w:basedOn w:val="1"/>
    <w:link w:val="210"/>
    <w:qFormat/>
    <w:uiPriority w:val="0"/>
    <w:rPr>
      <w:rFonts w:ascii="宋体" w:hAnsi="Courier New"/>
      <w:color w:val="000000"/>
      <w:kern w:val="2"/>
      <w:sz w:val="21"/>
      <w:szCs w:val="20"/>
      <w:lang w:val="zh-CN"/>
    </w:rPr>
  </w:style>
  <w:style w:type="paragraph" w:styleId="25">
    <w:name w:val="toc 8"/>
    <w:basedOn w:val="1"/>
    <w:next w:val="1"/>
    <w:semiHidden/>
    <w:qFormat/>
    <w:uiPriority w:val="0"/>
    <w:pPr>
      <w:tabs>
        <w:tab w:val="right" w:leader="dot" w:pos="9241"/>
      </w:tabs>
      <w:ind w:firstLine="607" w:firstLineChars="600"/>
    </w:pPr>
    <w:rPr>
      <w:rFonts w:ascii="宋体"/>
      <w:szCs w:val="21"/>
    </w:rPr>
  </w:style>
  <w:style w:type="paragraph" w:styleId="26">
    <w:name w:val="index 3"/>
    <w:basedOn w:val="1"/>
    <w:next w:val="1"/>
    <w:qFormat/>
    <w:uiPriority w:val="0"/>
    <w:pPr>
      <w:ind w:left="630" w:hanging="210"/>
    </w:pPr>
    <w:rPr>
      <w:sz w:val="20"/>
      <w:szCs w:val="20"/>
    </w:rPr>
  </w:style>
  <w:style w:type="paragraph" w:styleId="27">
    <w:name w:val="Date"/>
    <w:basedOn w:val="1"/>
    <w:next w:val="1"/>
    <w:link w:val="82"/>
    <w:qFormat/>
    <w:uiPriority w:val="0"/>
    <w:pPr>
      <w:ind w:left="100" w:leftChars="2500"/>
    </w:pPr>
    <w:rPr>
      <w:rFonts w:ascii="Times New Roman" w:hAnsi="Times New Roman"/>
      <w:sz w:val="20"/>
      <w:lang w:val="zh-CN"/>
    </w:rPr>
  </w:style>
  <w:style w:type="paragraph" w:styleId="28">
    <w:name w:val="Body Text Indent 2"/>
    <w:basedOn w:val="1"/>
    <w:link w:val="229"/>
    <w:semiHidden/>
    <w:unhideWhenUsed/>
    <w:qFormat/>
    <w:uiPriority w:val="99"/>
    <w:pPr>
      <w:spacing w:after="120" w:line="480" w:lineRule="auto"/>
      <w:ind w:left="420" w:leftChars="200"/>
    </w:pPr>
  </w:style>
  <w:style w:type="paragraph" w:styleId="29">
    <w:name w:val="endnote text"/>
    <w:basedOn w:val="1"/>
    <w:link w:val="83"/>
    <w:semiHidden/>
    <w:qFormat/>
    <w:uiPriority w:val="0"/>
    <w:pPr>
      <w:snapToGrid w:val="0"/>
    </w:pPr>
    <w:rPr>
      <w:rFonts w:ascii="Times New Roman" w:hAnsi="Times New Roman"/>
      <w:sz w:val="20"/>
      <w:lang w:val="zh-CN"/>
    </w:rPr>
  </w:style>
  <w:style w:type="paragraph" w:styleId="30">
    <w:name w:val="Balloon Text"/>
    <w:basedOn w:val="1"/>
    <w:link w:val="84"/>
    <w:qFormat/>
    <w:uiPriority w:val="0"/>
    <w:rPr>
      <w:rFonts w:ascii="Times New Roman" w:hAnsi="Times New Roman"/>
      <w:sz w:val="18"/>
      <w:szCs w:val="18"/>
      <w:lang w:val="zh-CN"/>
    </w:rPr>
  </w:style>
  <w:style w:type="paragraph" w:styleId="31">
    <w:name w:val="footer"/>
    <w:basedOn w:val="1"/>
    <w:link w:val="85"/>
    <w:qFormat/>
    <w:uiPriority w:val="99"/>
    <w:pPr>
      <w:snapToGrid w:val="0"/>
      <w:ind w:right="210" w:rightChars="100"/>
      <w:jc w:val="right"/>
    </w:pPr>
    <w:rPr>
      <w:rFonts w:ascii="Times New Roman" w:hAnsi="Times New Roman"/>
      <w:sz w:val="18"/>
      <w:szCs w:val="18"/>
      <w:lang w:val="zh-CN"/>
    </w:rPr>
  </w:style>
  <w:style w:type="paragraph" w:styleId="32">
    <w:name w:val="header"/>
    <w:basedOn w:val="1"/>
    <w:link w:val="86"/>
    <w:qFormat/>
    <w:uiPriority w:val="99"/>
    <w:pPr>
      <w:snapToGrid w:val="0"/>
    </w:pPr>
    <w:rPr>
      <w:rFonts w:ascii="Times New Roman" w:hAnsi="Times New Roman"/>
      <w:sz w:val="18"/>
      <w:szCs w:val="18"/>
      <w:lang w:val="zh-CN"/>
    </w:rPr>
  </w:style>
  <w:style w:type="paragraph" w:styleId="33">
    <w:name w:val="toc 1"/>
    <w:basedOn w:val="1"/>
    <w:next w:val="1"/>
    <w:qFormat/>
    <w:uiPriority w:val="39"/>
    <w:pPr>
      <w:tabs>
        <w:tab w:val="right" w:leader="dot" w:pos="9241"/>
      </w:tabs>
      <w:spacing w:beforeLines="25" w:afterLines="25"/>
    </w:pPr>
    <w:rPr>
      <w:rFonts w:ascii="宋体"/>
      <w:szCs w:val="21"/>
    </w:rPr>
  </w:style>
  <w:style w:type="paragraph" w:styleId="34">
    <w:name w:val="toc 4"/>
    <w:basedOn w:val="1"/>
    <w:next w:val="1"/>
    <w:semiHidden/>
    <w:qFormat/>
    <w:uiPriority w:val="0"/>
    <w:pPr>
      <w:tabs>
        <w:tab w:val="right" w:leader="dot" w:pos="9241"/>
      </w:tabs>
      <w:ind w:firstLine="198" w:firstLineChars="200"/>
    </w:pPr>
    <w:rPr>
      <w:rFonts w:ascii="宋体"/>
      <w:szCs w:val="21"/>
    </w:rPr>
  </w:style>
  <w:style w:type="paragraph" w:styleId="35">
    <w:name w:val="index heading"/>
    <w:basedOn w:val="1"/>
    <w:next w:val="36"/>
    <w:qFormat/>
    <w:uiPriority w:val="0"/>
    <w:pPr>
      <w:spacing w:before="120" w:after="120"/>
      <w:jc w:val="center"/>
    </w:pPr>
    <w:rPr>
      <w:b/>
      <w:bCs/>
      <w:iCs/>
      <w:szCs w:val="20"/>
    </w:rPr>
  </w:style>
  <w:style w:type="paragraph" w:styleId="36">
    <w:name w:val="index 1"/>
    <w:basedOn w:val="1"/>
    <w:next w:val="1"/>
    <w:unhideWhenUsed/>
    <w:qFormat/>
    <w:uiPriority w:val="0"/>
  </w:style>
  <w:style w:type="paragraph" w:styleId="37">
    <w:name w:val="Subtitle"/>
    <w:basedOn w:val="1"/>
    <w:next w:val="1"/>
    <w:link w:val="215"/>
    <w:qFormat/>
    <w:uiPriority w:val="11"/>
    <w:pPr>
      <w:spacing w:after="60"/>
      <w:jc w:val="center"/>
      <w:outlineLvl w:val="1"/>
    </w:pPr>
    <w:rPr>
      <w:rFonts w:ascii="Cambria" w:hAnsi="Cambria"/>
      <w:lang w:val="zh-CN"/>
    </w:rPr>
  </w:style>
  <w:style w:type="paragraph" w:styleId="38">
    <w:name w:val="footnote text"/>
    <w:basedOn w:val="1"/>
    <w:link w:val="88"/>
    <w:qFormat/>
    <w:uiPriority w:val="0"/>
    <w:pPr>
      <w:numPr>
        <w:ilvl w:val="0"/>
        <w:numId w:val="1"/>
      </w:numPr>
      <w:snapToGrid w:val="0"/>
    </w:pPr>
    <w:rPr>
      <w:rFonts w:ascii="宋体"/>
      <w:kern w:val="2"/>
      <w:sz w:val="18"/>
      <w:szCs w:val="18"/>
      <w:lang w:val="zh-CN"/>
    </w:rPr>
  </w:style>
  <w:style w:type="paragraph" w:styleId="39">
    <w:name w:val="toc 6"/>
    <w:basedOn w:val="1"/>
    <w:next w:val="1"/>
    <w:semiHidden/>
    <w:qFormat/>
    <w:uiPriority w:val="0"/>
    <w:pPr>
      <w:tabs>
        <w:tab w:val="right" w:leader="dot" w:pos="9241"/>
      </w:tabs>
      <w:ind w:firstLine="403" w:firstLineChars="400"/>
    </w:pPr>
    <w:rPr>
      <w:rFonts w:ascii="宋体"/>
      <w:szCs w:val="21"/>
    </w:rPr>
  </w:style>
  <w:style w:type="paragraph" w:styleId="40">
    <w:name w:val="index 7"/>
    <w:basedOn w:val="1"/>
    <w:next w:val="1"/>
    <w:qFormat/>
    <w:uiPriority w:val="0"/>
    <w:pPr>
      <w:ind w:left="1470" w:hanging="210"/>
    </w:pPr>
    <w:rPr>
      <w:sz w:val="20"/>
      <w:szCs w:val="20"/>
    </w:rPr>
  </w:style>
  <w:style w:type="paragraph" w:styleId="41">
    <w:name w:val="index 9"/>
    <w:basedOn w:val="1"/>
    <w:next w:val="1"/>
    <w:qFormat/>
    <w:uiPriority w:val="0"/>
    <w:pPr>
      <w:ind w:left="1890" w:hanging="210"/>
    </w:pPr>
    <w:rPr>
      <w:sz w:val="20"/>
      <w:szCs w:val="20"/>
    </w:rPr>
  </w:style>
  <w:style w:type="paragraph" w:styleId="42">
    <w:name w:val="toc 2"/>
    <w:basedOn w:val="1"/>
    <w:next w:val="1"/>
    <w:qFormat/>
    <w:uiPriority w:val="39"/>
    <w:pPr>
      <w:tabs>
        <w:tab w:val="right" w:leader="dot" w:pos="9241"/>
      </w:tabs>
    </w:pPr>
    <w:rPr>
      <w:rFonts w:ascii="宋体"/>
      <w:szCs w:val="21"/>
    </w:rPr>
  </w:style>
  <w:style w:type="paragraph" w:styleId="43">
    <w:name w:val="toc 9"/>
    <w:basedOn w:val="1"/>
    <w:next w:val="1"/>
    <w:semiHidden/>
    <w:qFormat/>
    <w:uiPriority w:val="0"/>
    <w:pPr>
      <w:ind w:left="1470"/>
    </w:pPr>
    <w:rPr>
      <w:sz w:val="20"/>
      <w:szCs w:val="20"/>
    </w:rPr>
  </w:style>
  <w:style w:type="paragraph" w:styleId="44">
    <w:name w:val="HTML Preformatted"/>
    <w:basedOn w:val="1"/>
    <w:link w:val="89"/>
    <w:qFormat/>
    <w:uiPriority w:val="0"/>
    <w:rPr>
      <w:rFonts w:ascii="Courier New" w:hAnsi="Courier New"/>
      <w:sz w:val="20"/>
      <w:szCs w:val="20"/>
      <w:lang w:val="zh-CN"/>
    </w:rPr>
  </w:style>
  <w:style w:type="paragraph" w:styleId="45">
    <w:name w:val="Normal (Web)"/>
    <w:basedOn w:val="1"/>
    <w:qFormat/>
    <w:uiPriority w:val="0"/>
    <w:pPr>
      <w:spacing w:before="100" w:beforeAutospacing="1" w:after="100" w:afterAutospacing="1"/>
    </w:pPr>
    <w:rPr>
      <w:rFonts w:ascii="宋体" w:hAnsi="宋体"/>
      <w:color w:val="FF0000"/>
      <w:szCs w:val="28"/>
    </w:rPr>
  </w:style>
  <w:style w:type="paragraph" w:styleId="46">
    <w:name w:val="index 2"/>
    <w:basedOn w:val="1"/>
    <w:next w:val="1"/>
    <w:qFormat/>
    <w:uiPriority w:val="0"/>
    <w:pPr>
      <w:ind w:left="420" w:hanging="210"/>
    </w:pPr>
    <w:rPr>
      <w:sz w:val="20"/>
      <w:szCs w:val="20"/>
    </w:rPr>
  </w:style>
  <w:style w:type="paragraph" w:styleId="47">
    <w:name w:val="Title"/>
    <w:basedOn w:val="1"/>
    <w:next w:val="1"/>
    <w:link w:val="90"/>
    <w:qFormat/>
    <w:uiPriority w:val="10"/>
    <w:pPr>
      <w:spacing w:before="240" w:after="60"/>
      <w:jc w:val="center"/>
      <w:outlineLvl w:val="0"/>
    </w:pPr>
    <w:rPr>
      <w:rFonts w:ascii="Cambria" w:hAnsi="Cambria"/>
      <w:b/>
      <w:bCs/>
      <w:kern w:val="28"/>
      <w:sz w:val="32"/>
      <w:szCs w:val="32"/>
      <w:lang w:val="zh-CN"/>
    </w:rPr>
  </w:style>
  <w:style w:type="paragraph" w:styleId="48">
    <w:name w:val="annotation subject"/>
    <w:basedOn w:val="17"/>
    <w:next w:val="17"/>
    <w:link w:val="79"/>
    <w:semiHidden/>
    <w:qFormat/>
    <w:uiPriority w:val="0"/>
    <w:rPr>
      <w:b/>
      <w:bCs/>
    </w:rPr>
  </w:style>
  <w:style w:type="table" w:styleId="50">
    <w:name w:val="Table Grid"/>
    <w:basedOn w:val="4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endnote reference"/>
    <w:semiHidden/>
    <w:qFormat/>
    <w:uiPriority w:val="0"/>
    <w:rPr>
      <w:vertAlign w:val="superscript"/>
    </w:rPr>
  </w:style>
  <w:style w:type="character" w:styleId="54">
    <w:name w:val="page number"/>
    <w:qFormat/>
    <w:uiPriority w:val="0"/>
    <w:rPr>
      <w:rFonts w:ascii="Times New Roman" w:hAnsi="Times New Roman" w:eastAsia="宋体"/>
      <w:sz w:val="18"/>
    </w:rPr>
  </w:style>
  <w:style w:type="character" w:styleId="55">
    <w:name w:val="Emphasis"/>
    <w:qFormat/>
    <w:uiPriority w:val="20"/>
    <w:rPr>
      <w:rFonts w:ascii="Calibri" w:hAnsi="Calibri"/>
      <w:b/>
      <w:i/>
      <w:iCs/>
    </w:rPr>
  </w:style>
  <w:style w:type="character" w:styleId="56">
    <w:name w:val="line number"/>
    <w:basedOn w:val="51"/>
    <w:qFormat/>
    <w:uiPriority w:val="0"/>
  </w:style>
  <w:style w:type="character" w:styleId="57">
    <w:name w:val="HTML Definition"/>
    <w:qFormat/>
    <w:uiPriority w:val="0"/>
    <w:rPr>
      <w:i/>
      <w:iCs/>
    </w:rPr>
  </w:style>
  <w:style w:type="character" w:styleId="58">
    <w:name w:val="HTML Typewriter"/>
    <w:qFormat/>
    <w:uiPriority w:val="0"/>
    <w:rPr>
      <w:rFonts w:ascii="Courier New" w:hAnsi="Courier New"/>
      <w:sz w:val="20"/>
      <w:szCs w:val="20"/>
    </w:rPr>
  </w:style>
  <w:style w:type="character" w:styleId="59">
    <w:name w:val="HTML Acronym"/>
    <w:basedOn w:val="51"/>
    <w:qFormat/>
    <w:uiPriority w:val="0"/>
  </w:style>
  <w:style w:type="character" w:styleId="60">
    <w:name w:val="HTML Variable"/>
    <w:qFormat/>
    <w:uiPriority w:val="0"/>
    <w:rPr>
      <w:i/>
      <w:iCs/>
    </w:rPr>
  </w:style>
  <w:style w:type="character" w:styleId="61">
    <w:name w:val="Hyperlink"/>
    <w:qFormat/>
    <w:uiPriority w:val="99"/>
    <w:rPr>
      <w:color w:val="0000FF"/>
      <w:spacing w:val="0"/>
      <w:w w:val="100"/>
      <w:szCs w:val="21"/>
      <w:u w:val="single"/>
    </w:rPr>
  </w:style>
  <w:style w:type="character" w:styleId="62">
    <w:name w:val="HTML Code"/>
    <w:qFormat/>
    <w:uiPriority w:val="0"/>
    <w:rPr>
      <w:rFonts w:ascii="Courier New" w:hAnsi="Courier New"/>
      <w:sz w:val="20"/>
      <w:szCs w:val="20"/>
    </w:rPr>
  </w:style>
  <w:style w:type="character" w:styleId="63">
    <w:name w:val="annotation reference"/>
    <w:qFormat/>
    <w:uiPriority w:val="0"/>
    <w:rPr>
      <w:sz w:val="21"/>
      <w:szCs w:val="21"/>
    </w:rPr>
  </w:style>
  <w:style w:type="character" w:styleId="64">
    <w:name w:val="HTML Cite"/>
    <w:qFormat/>
    <w:uiPriority w:val="0"/>
    <w:rPr>
      <w:i/>
      <w:iCs/>
    </w:rPr>
  </w:style>
  <w:style w:type="character" w:styleId="65">
    <w:name w:val="footnote reference"/>
    <w:semiHidden/>
    <w:qFormat/>
    <w:uiPriority w:val="0"/>
    <w:rPr>
      <w:vertAlign w:val="superscript"/>
    </w:rPr>
  </w:style>
  <w:style w:type="character" w:styleId="66">
    <w:name w:val="HTML Keyboard"/>
    <w:qFormat/>
    <w:uiPriority w:val="0"/>
    <w:rPr>
      <w:rFonts w:ascii="Courier New" w:hAnsi="Courier New"/>
      <w:sz w:val="20"/>
      <w:szCs w:val="20"/>
    </w:rPr>
  </w:style>
  <w:style w:type="character" w:styleId="67">
    <w:name w:val="HTML Sample"/>
    <w:qFormat/>
    <w:uiPriority w:val="0"/>
    <w:rPr>
      <w:rFonts w:ascii="Courier New" w:hAnsi="Courier New"/>
    </w:rPr>
  </w:style>
  <w:style w:type="character" w:customStyle="1" w:styleId="68">
    <w:name w:val="已访问的超链接1"/>
    <w:qFormat/>
    <w:uiPriority w:val="0"/>
    <w:rPr>
      <w:color w:val="800080"/>
      <w:u w:val="single"/>
    </w:rPr>
  </w:style>
  <w:style w:type="character" w:customStyle="1" w:styleId="69">
    <w:name w:val="标题 1 Char"/>
    <w:link w:val="2"/>
    <w:qFormat/>
    <w:uiPriority w:val="9"/>
    <w:rPr>
      <w:rFonts w:ascii="Cambria" w:hAnsi="Cambria" w:eastAsia="宋体"/>
      <w:b/>
      <w:bCs/>
      <w:kern w:val="32"/>
      <w:sz w:val="32"/>
      <w:szCs w:val="32"/>
    </w:rPr>
  </w:style>
  <w:style w:type="character" w:customStyle="1" w:styleId="70">
    <w:name w:val="标题 2 Char"/>
    <w:link w:val="3"/>
    <w:qFormat/>
    <w:uiPriority w:val="0"/>
    <w:rPr>
      <w:rFonts w:ascii="Cambria" w:hAnsi="Cambria" w:eastAsia="宋体"/>
      <w:b/>
      <w:bCs/>
      <w:i/>
      <w:iCs/>
      <w:sz w:val="28"/>
      <w:szCs w:val="28"/>
    </w:rPr>
  </w:style>
  <w:style w:type="character" w:customStyle="1" w:styleId="71">
    <w:name w:val="标题 3 Char"/>
    <w:link w:val="4"/>
    <w:qFormat/>
    <w:uiPriority w:val="9"/>
    <w:rPr>
      <w:rFonts w:ascii="Cambria" w:hAnsi="Cambria" w:eastAsia="宋体"/>
      <w:b/>
      <w:bCs/>
      <w:sz w:val="26"/>
      <w:szCs w:val="26"/>
    </w:rPr>
  </w:style>
  <w:style w:type="character" w:customStyle="1" w:styleId="72">
    <w:name w:val="标题 4 Char"/>
    <w:link w:val="5"/>
    <w:qFormat/>
    <w:uiPriority w:val="9"/>
    <w:rPr>
      <w:b/>
      <w:bCs/>
      <w:sz w:val="28"/>
      <w:szCs w:val="28"/>
    </w:rPr>
  </w:style>
  <w:style w:type="character" w:customStyle="1" w:styleId="73">
    <w:name w:val="标题 5 Char"/>
    <w:link w:val="6"/>
    <w:qFormat/>
    <w:uiPriority w:val="9"/>
    <w:rPr>
      <w:b/>
      <w:bCs/>
      <w:i/>
      <w:iCs/>
      <w:sz w:val="26"/>
      <w:szCs w:val="26"/>
    </w:rPr>
  </w:style>
  <w:style w:type="character" w:customStyle="1" w:styleId="74">
    <w:name w:val="标题 6 Char"/>
    <w:link w:val="7"/>
    <w:qFormat/>
    <w:uiPriority w:val="9"/>
    <w:rPr>
      <w:b/>
      <w:bCs/>
    </w:rPr>
  </w:style>
  <w:style w:type="character" w:customStyle="1" w:styleId="75">
    <w:name w:val="标题 7 Char"/>
    <w:link w:val="8"/>
    <w:qFormat/>
    <w:uiPriority w:val="9"/>
    <w:rPr>
      <w:sz w:val="24"/>
      <w:szCs w:val="24"/>
    </w:rPr>
  </w:style>
  <w:style w:type="character" w:customStyle="1" w:styleId="76">
    <w:name w:val="标题 8 Char"/>
    <w:link w:val="9"/>
    <w:qFormat/>
    <w:uiPriority w:val="9"/>
    <w:rPr>
      <w:i/>
      <w:iCs/>
      <w:sz w:val="24"/>
      <w:szCs w:val="24"/>
    </w:rPr>
  </w:style>
  <w:style w:type="character" w:customStyle="1" w:styleId="77">
    <w:name w:val="标题 9 Char"/>
    <w:link w:val="10"/>
    <w:qFormat/>
    <w:uiPriority w:val="9"/>
    <w:rPr>
      <w:rFonts w:ascii="Cambria" w:hAnsi="Cambria" w:eastAsia="宋体"/>
    </w:rPr>
  </w:style>
  <w:style w:type="character" w:customStyle="1" w:styleId="78">
    <w:name w:val="批注文字 Char"/>
    <w:link w:val="17"/>
    <w:qFormat/>
    <w:uiPriority w:val="0"/>
    <w:rPr>
      <w:rFonts w:ascii="Times New Roman" w:hAnsi="Times New Roman" w:eastAsia="宋体" w:cs="Times New Roman"/>
      <w:szCs w:val="24"/>
    </w:rPr>
  </w:style>
  <w:style w:type="character" w:customStyle="1" w:styleId="79">
    <w:name w:val="批注主题 Char"/>
    <w:link w:val="48"/>
    <w:semiHidden/>
    <w:qFormat/>
    <w:uiPriority w:val="0"/>
    <w:rPr>
      <w:rFonts w:ascii="Times New Roman" w:hAnsi="Times New Roman" w:eastAsia="宋体" w:cs="Times New Roman"/>
      <w:b/>
      <w:bCs/>
      <w:szCs w:val="24"/>
    </w:rPr>
  </w:style>
  <w:style w:type="character" w:customStyle="1" w:styleId="80">
    <w:name w:val="文档结构图 Char"/>
    <w:link w:val="16"/>
    <w:semiHidden/>
    <w:qFormat/>
    <w:uiPriority w:val="0"/>
    <w:rPr>
      <w:rFonts w:ascii="Times New Roman" w:hAnsi="Times New Roman" w:eastAsia="宋体" w:cs="Times New Roman"/>
      <w:szCs w:val="24"/>
      <w:shd w:val="clear" w:color="auto" w:fill="000080"/>
    </w:rPr>
  </w:style>
  <w:style w:type="character" w:customStyle="1" w:styleId="81">
    <w:name w:val="HTML 地址 Char"/>
    <w:link w:val="20"/>
    <w:qFormat/>
    <w:uiPriority w:val="0"/>
    <w:rPr>
      <w:rFonts w:ascii="Times New Roman" w:hAnsi="Times New Roman" w:eastAsia="宋体" w:cs="Times New Roman"/>
      <w:i/>
      <w:iCs/>
      <w:szCs w:val="24"/>
    </w:rPr>
  </w:style>
  <w:style w:type="character" w:customStyle="1" w:styleId="82">
    <w:name w:val="日期 Char"/>
    <w:link w:val="27"/>
    <w:qFormat/>
    <w:uiPriority w:val="0"/>
    <w:rPr>
      <w:rFonts w:ascii="Times New Roman" w:hAnsi="Times New Roman" w:eastAsia="宋体" w:cs="Times New Roman"/>
      <w:szCs w:val="24"/>
    </w:rPr>
  </w:style>
  <w:style w:type="character" w:customStyle="1" w:styleId="83">
    <w:name w:val="尾注文本 Char"/>
    <w:link w:val="29"/>
    <w:semiHidden/>
    <w:qFormat/>
    <w:uiPriority w:val="0"/>
    <w:rPr>
      <w:rFonts w:ascii="Times New Roman" w:hAnsi="Times New Roman" w:eastAsia="宋体" w:cs="Times New Roman"/>
      <w:szCs w:val="24"/>
    </w:rPr>
  </w:style>
  <w:style w:type="character" w:customStyle="1" w:styleId="84">
    <w:name w:val="批注框文本 Char"/>
    <w:link w:val="30"/>
    <w:qFormat/>
    <w:uiPriority w:val="0"/>
    <w:rPr>
      <w:rFonts w:ascii="Times New Roman" w:hAnsi="Times New Roman" w:eastAsia="宋体" w:cs="Times New Roman"/>
      <w:sz w:val="18"/>
      <w:szCs w:val="18"/>
    </w:rPr>
  </w:style>
  <w:style w:type="character" w:customStyle="1" w:styleId="85">
    <w:name w:val="页脚 Char"/>
    <w:link w:val="31"/>
    <w:qFormat/>
    <w:uiPriority w:val="99"/>
    <w:rPr>
      <w:rFonts w:ascii="Times New Roman" w:hAnsi="Times New Roman" w:eastAsia="宋体" w:cs="Times New Roman"/>
      <w:sz w:val="18"/>
      <w:szCs w:val="18"/>
    </w:rPr>
  </w:style>
  <w:style w:type="character" w:customStyle="1" w:styleId="86">
    <w:name w:val="页眉 Char"/>
    <w:link w:val="32"/>
    <w:qFormat/>
    <w:uiPriority w:val="99"/>
    <w:rPr>
      <w:rFonts w:ascii="Times New Roman" w:hAnsi="Times New Roman" w:eastAsia="宋体" w:cs="Times New Roman"/>
      <w:sz w:val="18"/>
      <w:szCs w:val="18"/>
    </w:rPr>
  </w:style>
  <w:style w:type="paragraph" w:customStyle="1" w:styleId="87">
    <w:name w:val="段"/>
    <w:link w:val="91"/>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character" w:customStyle="1" w:styleId="88">
    <w:name w:val="脚注文本 Char"/>
    <w:link w:val="38"/>
    <w:qFormat/>
    <w:uiPriority w:val="0"/>
    <w:rPr>
      <w:rFonts w:ascii="宋体"/>
      <w:kern w:val="2"/>
      <w:sz w:val="18"/>
      <w:szCs w:val="18"/>
      <w:lang w:val="zh-CN"/>
    </w:rPr>
  </w:style>
  <w:style w:type="character" w:customStyle="1" w:styleId="89">
    <w:name w:val="HTML 预设格式 Char"/>
    <w:link w:val="44"/>
    <w:qFormat/>
    <w:uiPriority w:val="0"/>
    <w:rPr>
      <w:rFonts w:ascii="Courier New" w:hAnsi="Courier New" w:eastAsia="宋体" w:cs="Courier New"/>
      <w:sz w:val="20"/>
      <w:szCs w:val="20"/>
    </w:rPr>
  </w:style>
  <w:style w:type="character" w:customStyle="1" w:styleId="90">
    <w:name w:val="标题 Char"/>
    <w:link w:val="47"/>
    <w:qFormat/>
    <w:uiPriority w:val="10"/>
    <w:rPr>
      <w:rFonts w:ascii="Cambria" w:hAnsi="Cambria" w:eastAsia="宋体" w:cs="Arial"/>
      <w:b/>
      <w:bCs/>
      <w:kern w:val="28"/>
      <w:sz w:val="32"/>
      <w:szCs w:val="32"/>
    </w:rPr>
  </w:style>
  <w:style w:type="character" w:customStyle="1" w:styleId="91">
    <w:name w:val="段 Char"/>
    <w:link w:val="87"/>
    <w:qFormat/>
    <w:uiPriority w:val="0"/>
    <w:rPr>
      <w:rFonts w:ascii="宋体"/>
      <w:lang w:val="en-US" w:eastAsia="zh-CN" w:bidi="ar-SA"/>
    </w:rPr>
  </w:style>
  <w:style w:type="paragraph" w:customStyle="1" w:styleId="92">
    <w:name w:val="一级条标题"/>
    <w:next w:val="87"/>
    <w:qFormat/>
    <w:uiPriority w:val="0"/>
    <w:pPr>
      <w:numPr>
        <w:ilvl w:val="1"/>
        <w:numId w:val="2"/>
      </w:numPr>
      <w:spacing w:beforeLines="50" w:afterLines="50"/>
      <w:outlineLvl w:val="2"/>
    </w:pPr>
    <w:rPr>
      <w:rFonts w:ascii="黑体" w:hAnsi="Calibri" w:eastAsia="黑体" w:cs="Times New Roman"/>
      <w:sz w:val="21"/>
      <w:szCs w:val="21"/>
      <w:lang w:val="en-US" w:eastAsia="zh-CN" w:bidi="ar-SA"/>
    </w:rPr>
  </w:style>
  <w:style w:type="paragraph" w:customStyle="1" w:styleId="93">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94">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95">
    <w:name w:val="章标题"/>
    <w:next w:val="87"/>
    <w:link w:val="212"/>
    <w:qFormat/>
    <w:uiPriority w:val="0"/>
    <w:pPr>
      <w:numPr>
        <w:ilvl w:val="0"/>
        <w:numId w:val="2"/>
      </w:numPr>
      <w:spacing w:beforeLines="100" w:afterLines="100"/>
      <w:jc w:val="both"/>
      <w:outlineLvl w:val="1"/>
    </w:pPr>
    <w:rPr>
      <w:rFonts w:ascii="黑体" w:hAnsi="Calibri" w:eastAsia="黑体" w:cs="Times New Roman"/>
      <w:sz w:val="21"/>
      <w:lang w:val="en-US" w:eastAsia="zh-CN" w:bidi="ar-SA"/>
    </w:rPr>
  </w:style>
  <w:style w:type="paragraph" w:customStyle="1" w:styleId="96">
    <w:name w:val="二级条标题"/>
    <w:basedOn w:val="92"/>
    <w:next w:val="87"/>
    <w:qFormat/>
    <w:uiPriority w:val="0"/>
    <w:pPr>
      <w:numPr>
        <w:ilvl w:val="2"/>
      </w:numPr>
      <w:spacing w:before="50" w:after="50"/>
      <w:outlineLvl w:val="3"/>
    </w:pPr>
  </w:style>
  <w:style w:type="paragraph" w:customStyle="1" w:styleId="97">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98">
    <w:name w:val="列项——（一级）"/>
    <w:qFormat/>
    <w:uiPriority w:val="0"/>
    <w:pPr>
      <w:widowControl w:val="0"/>
      <w:numPr>
        <w:ilvl w:val="0"/>
        <w:numId w:val="3"/>
      </w:numPr>
      <w:jc w:val="both"/>
    </w:pPr>
    <w:rPr>
      <w:rFonts w:ascii="宋体" w:hAnsi="Calibri" w:eastAsia="宋体" w:cs="Times New Roman"/>
      <w:sz w:val="21"/>
      <w:szCs w:val="22"/>
      <w:lang w:val="en-US" w:eastAsia="zh-CN" w:bidi="ar-SA"/>
    </w:rPr>
  </w:style>
  <w:style w:type="paragraph" w:customStyle="1" w:styleId="99">
    <w:name w:val="列项●（二级）"/>
    <w:qFormat/>
    <w:uiPriority w:val="0"/>
    <w:pPr>
      <w:numPr>
        <w:ilvl w:val="1"/>
        <w:numId w:val="3"/>
      </w:numPr>
      <w:tabs>
        <w:tab w:val="left" w:pos="840"/>
      </w:tabs>
      <w:jc w:val="both"/>
    </w:pPr>
    <w:rPr>
      <w:rFonts w:ascii="宋体" w:hAnsi="Calibri" w:eastAsia="宋体" w:cs="Times New Roman"/>
      <w:sz w:val="21"/>
      <w:szCs w:val="22"/>
      <w:lang w:val="en-US" w:eastAsia="zh-CN" w:bidi="ar-SA"/>
    </w:rPr>
  </w:style>
  <w:style w:type="paragraph" w:customStyle="1" w:styleId="100">
    <w:name w:val="目次、标准名称标题"/>
    <w:basedOn w:val="1"/>
    <w:next w:val="87"/>
    <w:qFormat/>
    <w:uiPriority w:val="0"/>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101">
    <w:name w:val="三级条标题"/>
    <w:basedOn w:val="96"/>
    <w:next w:val="87"/>
    <w:qFormat/>
    <w:uiPriority w:val="0"/>
    <w:pPr>
      <w:numPr>
        <w:ilvl w:val="3"/>
      </w:numPr>
      <w:outlineLvl w:val="4"/>
    </w:pPr>
  </w:style>
  <w:style w:type="paragraph" w:customStyle="1" w:styleId="102">
    <w:name w:val="示例"/>
    <w:next w:val="103"/>
    <w:qFormat/>
    <w:uiPriority w:val="0"/>
    <w:pPr>
      <w:widowControl w:val="0"/>
      <w:numPr>
        <w:ilvl w:val="0"/>
        <w:numId w:val="4"/>
      </w:numPr>
      <w:jc w:val="both"/>
    </w:pPr>
    <w:rPr>
      <w:rFonts w:ascii="宋体" w:hAnsi="Calibri" w:eastAsia="宋体" w:cs="Times New Roman"/>
      <w:sz w:val="18"/>
      <w:szCs w:val="18"/>
      <w:lang w:val="en-US" w:eastAsia="zh-CN" w:bidi="ar-SA"/>
    </w:rPr>
  </w:style>
  <w:style w:type="paragraph" w:customStyle="1" w:styleId="103">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104">
    <w:name w:val="数字编号列项（二级）"/>
    <w:qFormat/>
    <w:uiPriority w:val="0"/>
    <w:pPr>
      <w:numPr>
        <w:ilvl w:val="1"/>
        <w:numId w:val="5"/>
      </w:numPr>
      <w:jc w:val="both"/>
    </w:pPr>
    <w:rPr>
      <w:rFonts w:ascii="宋体" w:hAnsi="Calibri" w:eastAsia="宋体" w:cs="Times New Roman"/>
      <w:sz w:val="21"/>
      <w:szCs w:val="22"/>
      <w:lang w:val="en-US" w:eastAsia="zh-CN" w:bidi="ar-SA"/>
    </w:rPr>
  </w:style>
  <w:style w:type="paragraph" w:customStyle="1" w:styleId="105">
    <w:name w:val="四级条标题"/>
    <w:basedOn w:val="101"/>
    <w:next w:val="87"/>
    <w:qFormat/>
    <w:uiPriority w:val="99"/>
    <w:pPr>
      <w:numPr>
        <w:ilvl w:val="4"/>
      </w:numPr>
      <w:outlineLvl w:val="5"/>
    </w:pPr>
  </w:style>
  <w:style w:type="paragraph" w:customStyle="1" w:styleId="106">
    <w:name w:val="五级条标题"/>
    <w:basedOn w:val="105"/>
    <w:next w:val="87"/>
    <w:qFormat/>
    <w:uiPriority w:val="0"/>
    <w:pPr>
      <w:numPr>
        <w:ilvl w:val="5"/>
      </w:numPr>
      <w:outlineLvl w:val="6"/>
    </w:pPr>
  </w:style>
  <w:style w:type="paragraph" w:customStyle="1" w:styleId="107">
    <w:name w:val="注："/>
    <w:next w:val="87"/>
    <w:qFormat/>
    <w:uiPriority w:val="0"/>
    <w:pPr>
      <w:widowControl w:val="0"/>
      <w:numPr>
        <w:ilvl w:val="0"/>
        <w:numId w:val="6"/>
      </w:numPr>
      <w:autoSpaceDE w:val="0"/>
      <w:autoSpaceDN w:val="0"/>
      <w:jc w:val="both"/>
    </w:pPr>
    <w:rPr>
      <w:rFonts w:ascii="宋体" w:hAnsi="Calibri" w:eastAsia="宋体" w:cs="Times New Roman"/>
      <w:sz w:val="18"/>
      <w:szCs w:val="18"/>
      <w:lang w:val="en-US" w:eastAsia="zh-CN" w:bidi="ar-SA"/>
    </w:rPr>
  </w:style>
  <w:style w:type="paragraph" w:customStyle="1" w:styleId="108">
    <w:name w:val="注×："/>
    <w:qFormat/>
    <w:uiPriority w:val="0"/>
    <w:pPr>
      <w:widowControl w:val="0"/>
      <w:numPr>
        <w:ilvl w:val="0"/>
        <w:numId w:val="7"/>
      </w:numPr>
      <w:autoSpaceDE w:val="0"/>
      <w:autoSpaceDN w:val="0"/>
      <w:jc w:val="both"/>
    </w:pPr>
    <w:rPr>
      <w:rFonts w:ascii="宋体" w:hAnsi="Calibri" w:eastAsia="宋体" w:cs="Times New Roman"/>
      <w:sz w:val="18"/>
      <w:szCs w:val="18"/>
      <w:lang w:val="en-US" w:eastAsia="zh-CN" w:bidi="ar-SA"/>
    </w:rPr>
  </w:style>
  <w:style w:type="paragraph" w:customStyle="1" w:styleId="109">
    <w:name w:val="字母编号列项（一级）"/>
    <w:qFormat/>
    <w:uiPriority w:val="0"/>
    <w:pPr>
      <w:numPr>
        <w:ilvl w:val="0"/>
        <w:numId w:val="5"/>
      </w:numPr>
      <w:jc w:val="both"/>
    </w:pPr>
    <w:rPr>
      <w:rFonts w:ascii="宋体" w:hAnsi="Calibri" w:eastAsia="宋体" w:cs="Times New Roman"/>
      <w:sz w:val="21"/>
      <w:szCs w:val="22"/>
      <w:lang w:val="en-US" w:eastAsia="zh-CN" w:bidi="ar-SA"/>
    </w:rPr>
  </w:style>
  <w:style w:type="paragraph" w:customStyle="1" w:styleId="110">
    <w:name w:val="列项◆（三级）"/>
    <w:basedOn w:val="1"/>
    <w:qFormat/>
    <w:uiPriority w:val="0"/>
    <w:pPr>
      <w:numPr>
        <w:ilvl w:val="2"/>
        <w:numId w:val="3"/>
      </w:numPr>
    </w:pPr>
    <w:rPr>
      <w:rFonts w:ascii="宋体"/>
      <w:szCs w:val="21"/>
    </w:rPr>
  </w:style>
  <w:style w:type="paragraph" w:customStyle="1" w:styleId="111">
    <w:name w:val="编号列项（三级）"/>
    <w:qFormat/>
    <w:uiPriority w:val="0"/>
    <w:pPr>
      <w:numPr>
        <w:ilvl w:val="2"/>
        <w:numId w:val="5"/>
      </w:numPr>
    </w:pPr>
    <w:rPr>
      <w:rFonts w:ascii="宋体" w:hAnsi="Calibri" w:eastAsia="宋体" w:cs="Times New Roman"/>
      <w:sz w:val="21"/>
      <w:szCs w:val="22"/>
      <w:lang w:val="en-US" w:eastAsia="zh-CN" w:bidi="ar-SA"/>
    </w:rPr>
  </w:style>
  <w:style w:type="paragraph" w:customStyle="1" w:styleId="112">
    <w:name w:val="示例×："/>
    <w:basedOn w:val="95"/>
    <w:qFormat/>
    <w:uiPriority w:val="0"/>
    <w:pPr>
      <w:numPr>
        <w:numId w:val="8"/>
      </w:numPr>
      <w:spacing w:beforeLines="0" w:afterLines="0"/>
      <w:outlineLvl w:val="9"/>
    </w:pPr>
    <w:rPr>
      <w:rFonts w:ascii="宋体" w:eastAsia="宋体"/>
      <w:sz w:val="18"/>
      <w:szCs w:val="18"/>
    </w:rPr>
  </w:style>
  <w:style w:type="paragraph" w:customStyle="1" w:styleId="113">
    <w:name w:val="二级无"/>
    <w:basedOn w:val="96"/>
    <w:link w:val="206"/>
    <w:qFormat/>
    <w:uiPriority w:val="99"/>
    <w:pPr>
      <w:spacing w:beforeLines="0" w:afterLines="0"/>
    </w:pPr>
    <w:rPr>
      <w:rFonts w:ascii="宋体" w:eastAsia="宋体"/>
      <w:sz w:val="20"/>
      <w:lang w:val="zh-CN"/>
    </w:rPr>
  </w:style>
  <w:style w:type="paragraph" w:customStyle="1" w:styleId="114">
    <w:name w:val="注：（正文）"/>
    <w:basedOn w:val="107"/>
    <w:next w:val="87"/>
    <w:qFormat/>
    <w:uiPriority w:val="0"/>
  </w:style>
  <w:style w:type="paragraph" w:customStyle="1" w:styleId="115">
    <w:name w:val="注×：（正文）"/>
    <w:qFormat/>
    <w:uiPriority w:val="0"/>
    <w:pPr>
      <w:numPr>
        <w:ilvl w:val="0"/>
        <w:numId w:val="9"/>
      </w:numPr>
      <w:jc w:val="both"/>
    </w:pPr>
    <w:rPr>
      <w:rFonts w:ascii="宋体" w:hAnsi="Calibri" w:eastAsia="宋体" w:cs="Times New Roman"/>
      <w:sz w:val="18"/>
      <w:szCs w:val="18"/>
      <w:lang w:val="en-US" w:eastAsia="zh-CN" w:bidi="ar-SA"/>
    </w:rPr>
  </w:style>
  <w:style w:type="paragraph" w:customStyle="1" w:styleId="11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1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szCs w:val="22"/>
      <w:lang w:val="en-US" w:eastAsia="zh-CN" w:bidi="ar-SA"/>
    </w:rPr>
  </w:style>
  <w:style w:type="paragraph" w:customStyle="1" w:styleId="118">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119">
    <w:name w:val="标准书眉_偶数页"/>
    <w:basedOn w:val="94"/>
    <w:next w:val="1"/>
    <w:qFormat/>
    <w:uiPriority w:val="0"/>
    <w:pPr>
      <w:jc w:val="left"/>
    </w:pPr>
  </w:style>
  <w:style w:type="paragraph" w:customStyle="1" w:styleId="120">
    <w:name w:val="标准书眉一"/>
    <w:qFormat/>
    <w:uiPriority w:val="0"/>
    <w:pPr>
      <w:jc w:val="both"/>
    </w:pPr>
    <w:rPr>
      <w:rFonts w:ascii="Calibri" w:hAnsi="Calibri" w:eastAsia="宋体" w:cs="Times New Roman"/>
      <w:sz w:val="22"/>
      <w:szCs w:val="22"/>
      <w:lang w:val="en-US" w:eastAsia="zh-CN" w:bidi="ar-SA"/>
    </w:rPr>
  </w:style>
  <w:style w:type="paragraph" w:customStyle="1" w:styleId="121">
    <w:name w:val="参考文献"/>
    <w:basedOn w:val="1"/>
    <w:next w:val="87"/>
    <w:qFormat/>
    <w:uiPriority w:val="0"/>
    <w:pPr>
      <w:keepNext/>
      <w:pageBreakBefore/>
      <w:shd w:val="clear" w:color="FFFFFF" w:fill="FFFFFF"/>
      <w:spacing w:before="640" w:after="200"/>
      <w:jc w:val="center"/>
      <w:outlineLvl w:val="0"/>
    </w:pPr>
    <w:rPr>
      <w:rFonts w:ascii="黑体" w:eastAsia="黑体"/>
      <w:szCs w:val="20"/>
    </w:rPr>
  </w:style>
  <w:style w:type="paragraph" w:customStyle="1" w:styleId="122">
    <w:name w:val="参考文献、索引标题"/>
    <w:basedOn w:val="1"/>
    <w:next w:val="87"/>
    <w:qFormat/>
    <w:uiPriority w:val="0"/>
    <w:pPr>
      <w:keepNext/>
      <w:pageBreakBefore/>
      <w:shd w:val="clear" w:color="FFFFFF" w:fill="FFFFFF"/>
      <w:spacing w:before="640" w:after="200"/>
      <w:jc w:val="center"/>
      <w:outlineLvl w:val="0"/>
    </w:pPr>
    <w:rPr>
      <w:rFonts w:ascii="黑体" w:eastAsia="黑体"/>
      <w:szCs w:val="20"/>
    </w:rPr>
  </w:style>
  <w:style w:type="character" w:customStyle="1" w:styleId="123">
    <w:name w:val="发布"/>
    <w:qFormat/>
    <w:uiPriority w:val="0"/>
    <w:rPr>
      <w:rFonts w:ascii="黑体" w:eastAsia="黑体"/>
      <w:spacing w:val="85"/>
      <w:w w:val="100"/>
      <w:position w:val="3"/>
      <w:sz w:val="28"/>
      <w:szCs w:val="28"/>
    </w:rPr>
  </w:style>
  <w:style w:type="paragraph" w:customStyle="1" w:styleId="124">
    <w:name w:val="发布部门"/>
    <w:next w:val="87"/>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szCs w:val="22"/>
      <w:lang w:val="en-US" w:eastAsia="zh-CN" w:bidi="ar-SA"/>
    </w:rPr>
  </w:style>
  <w:style w:type="paragraph" w:customStyle="1" w:styleId="125">
    <w:name w:val="发布日期"/>
    <w:qFormat/>
    <w:uiPriority w:val="0"/>
    <w:pPr>
      <w:framePr w:w="3997" w:h="471" w:hRule="exact" w:vSpace="181" w:wrap="around" w:vAnchor="margin" w:hAnchor="page" w:x="7089" w:y="14097" w:anchorLock="1"/>
    </w:pPr>
    <w:rPr>
      <w:rFonts w:ascii="Calibri" w:hAnsi="Calibri" w:eastAsia="黑体" w:cs="Times New Roman"/>
      <w:sz w:val="28"/>
      <w:szCs w:val="22"/>
      <w:lang w:val="en-US" w:eastAsia="zh-CN" w:bidi="ar-SA"/>
    </w:rPr>
  </w:style>
  <w:style w:type="paragraph" w:customStyle="1" w:styleId="126">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27">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szCs w:val="22"/>
      <w:lang w:val="en-US" w:eastAsia="zh-CN" w:bidi="ar-SA"/>
    </w:rPr>
  </w:style>
  <w:style w:type="paragraph" w:customStyle="1" w:styleId="12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szCs w:val="22"/>
      <w:lang w:val="en-US" w:eastAsia="zh-CN" w:bidi="ar-SA"/>
    </w:rPr>
  </w:style>
  <w:style w:type="paragraph" w:customStyle="1" w:styleId="129">
    <w:name w:val="封面标准英文名称"/>
    <w:basedOn w:val="128"/>
    <w:qFormat/>
    <w:uiPriority w:val="0"/>
    <w:pPr>
      <w:framePr w:wrap="around"/>
      <w:spacing w:before="370" w:line="400" w:lineRule="exact"/>
    </w:pPr>
    <w:rPr>
      <w:rFonts w:ascii="Times New Roman"/>
      <w:sz w:val="28"/>
      <w:szCs w:val="28"/>
    </w:rPr>
  </w:style>
  <w:style w:type="paragraph" w:customStyle="1" w:styleId="130">
    <w:name w:val="封面一致性程度标识"/>
    <w:basedOn w:val="129"/>
    <w:qFormat/>
    <w:uiPriority w:val="0"/>
    <w:pPr>
      <w:framePr w:wrap="around"/>
      <w:spacing w:before="440"/>
    </w:pPr>
    <w:rPr>
      <w:rFonts w:ascii="宋体" w:eastAsia="宋体"/>
    </w:rPr>
  </w:style>
  <w:style w:type="paragraph" w:customStyle="1" w:styleId="131">
    <w:name w:val="封面标准文稿类别"/>
    <w:basedOn w:val="130"/>
    <w:qFormat/>
    <w:uiPriority w:val="0"/>
    <w:pPr>
      <w:framePr w:wrap="around"/>
      <w:spacing w:after="160" w:line="240" w:lineRule="auto"/>
    </w:pPr>
    <w:rPr>
      <w:sz w:val="24"/>
    </w:rPr>
  </w:style>
  <w:style w:type="paragraph" w:customStyle="1" w:styleId="132">
    <w:name w:val="封面标准文稿编辑信息"/>
    <w:basedOn w:val="131"/>
    <w:qFormat/>
    <w:uiPriority w:val="0"/>
    <w:pPr>
      <w:framePr w:wrap="around"/>
      <w:spacing w:before="180" w:line="180" w:lineRule="exact"/>
    </w:pPr>
    <w:rPr>
      <w:sz w:val="21"/>
    </w:rPr>
  </w:style>
  <w:style w:type="paragraph" w:customStyle="1" w:styleId="133">
    <w:name w:val="封面正文"/>
    <w:qFormat/>
    <w:uiPriority w:val="0"/>
    <w:pPr>
      <w:jc w:val="both"/>
    </w:pPr>
    <w:rPr>
      <w:rFonts w:ascii="Calibri" w:hAnsi="Calibri" w:eastAsia="宋体" w:cs="Times New Roman"/>
      <w:sz w:val="22"/>
      <w:szCs w:val="22"/>
      <w:lang w:val="en-US" w:eastAsia="zh-CN" w:bidi="ar-SA"/>
    </w:rPr>
  </w:style>
  <w:style w:type="paragraph" w:customStyle="1" w:styleId="134">
    <w:name w:val="附录标识"/>
    <w:basedOn w:val="1"/>
    <w:next w:val="87"/>
    <w:qFormat/>
    <w:uiPriority w:val="0"/>
    <w:pPr>
      <w:keepNext/>
      <w:numPr>
        <w:ilvl w:val="0"/>
        <w:numId w:val="10"/>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135">
    <w:name w:val="附录标题"/>
    <w:basedOn w:val="87"/>
    <w:next w:val="87"/>
    <w:qFormat/>
    <w:uiPriority w:val="0"/>
    <w:pPr>
      <w:ind w:firstLine="0" w:firstLineChars="0"/>
      <w:jc w:val="center"/>
    </w:pPr>
    <w:rPr>
      <w:rFonts w:ascii="黑体" w:eastAsia="黑体"/>
    </w:rPr>
  </w:style>
  <w:style w:type="paragraph" w:customStyle="1" w:styleId="136">
    <w:name w:val="附录表标号"/>
    <w:basedOn w:val="1"/>
    <w:next w:val="87"/>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37">
    <w:name w:val="附录表标题"/>
    <w:basedOn w:val="1"/>
    <w:next w:val="87"/>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138">
    <w:name w:val="附录二级条标题"/>
    <w:basedOn w:val="1"/>
    <w:next w:val="87"/>
    <w:qFormat/>
    <w:uiPriority w:val="0"/>
    <w:pPr>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39">
    <w:name w:val="附录二级无"/>
    <w:basedOn w:val="138"/>
    <w:qFormat/>
    <w:uiPriority w:val="0"/>
    <w:pPr>
      <w:tabs>
        <w:tab w:val="clear" w:pos="360"/>
      </w:tabs>
      <w:spacing w:beforeLines="0" w:afterLines="0"/>
    </w:pPr>
    <w:rPr>
      <w:rFonts w:ascii="宋体" w:eastAsia="宋体"/>
      <w:szCs w:val="21"/>
    </w:rPr>
  </w:style>
  <w:style w:type="paragraph" w:customStyle="1" w:styleId="140">
    <w:name w:val="附录公式"/>
    <w:basedOn w:val="87"/>
    <w:next w:val="87"/>
    <w:link w:val="141"/>
    <w:qFormat/>
    <w:uiPriority w:val="0"/>
    <w:rPr>
      <w:rFonts w:hAnsi="Times New Roman"/>
    </w:rPr>
  </w:style>
  <w:style w:type="character" w:customStyle="1" w:styleId="141">
    <w:name w:val="附录公式 Char"/>
    <w:link w:val="140"/>
    <w:qFormat/>
    <w:uiPriority w:val="0"/>
    <w:rPr>
      <w:rFonts w:ascii="宋体" w:hAnsi="Times New Roman" w:eastAsia="宋体" w:cs="Times New Roman"/>
      <w:kern w:val="0"/>
      <w:szCs w:val="20"/>
      <w:lang w:val="en-US" w:eastAsia="zh-CN" w:bidi="ar-SA"/>
    </w:rPr>
  </w:style>
  <w:style w:type="paragraph" w:customStyle="1" w:styleId="142">
    <w:name w:val="附录公式编号制表符"/>
    <w:basedOn w:val="1"/>
    <w:next w:val="87"/>
    <w:qFormat/>
    <w:uiPriority w:val="0"/>
    <w:pPr>
      <w:tabs>
        <w:tab w:val="center" w:pos="4201"/>
        <w:tab w:val="right" w:leader="dot" w:pos="9298"/>
      </w:tabs>
      <w:autoSpaceDE w:val="0"/>
      <w:autoSpaceDN w:val="0"/>
    </w:pPr>
    <w:rPr>
      <w:rFonts w:ascii="宋体"/>
      <w:szCs w:val="20"/>
    </w:rPr>
  </w:style>
  <w:style w:type="paragraph" w:customStyle="1" w:styleId="143">
    <w:name w:val="附录三级条标题"/>
    <w:basedOn w:val="138"/>
    <w:next w:val="87"/>
    <w:qFormat/>
    <w:uiPriority w:val="0"/>
    <w:pPr>
      <w:numPr>
        <w:ilvl w:val="4"/>
      </w:numPr>
      <w:outlineLvl w:val="4"/>
    </w:pPr>
  </w:style>
  <w:style w:type="paragraph" w:customStyle="1" w:styleId="144">
    <w:name w:val="附录三级无"/>
    <w:basedOn w:val="143"/>
    <w:qFormat/>
    <w:uiPriority w:val="0"/>
    <w:pPr>
      <w:tabs>
        <w:tab w:val="clear" w:pos="360"/>
      </w:tabs>
      <w:spacing w:beforeLines="0" w:afterLines="0"/>
    </w:pPr>
    <w:rPr>
      <w:rFonts w:ascii="宋体" w:eastAsia="宋体"/>
      <w:szCs w:val="21"/>
    </w:rPr>
  </w:style>
  <w:style w:type="paragraph" w:customStyle="1" w:styleId="145">
    <w:name w:val="附录数字编号列项（二级）"/>
    <w:qFormat/>
    <w:uiPriority w:val="0"/>
    <w:pPr>
      <w:numPr>
        <w:ilvl w:val="1"/>
        <w:numId w:val="12"/>
      </w:numPr>
    </w:pPr>
    <w:rPr>
      <w:rFonts w:ascii="宋体" w:hAnsi="Calibri" w:eastAsia="宋体" w:cs="Times New Roman"/>
      <w:sz w:val="21"/>
      <w:szCs w:val="22"/>
      <w:lang w:val="en-US" w:eastAsia="zh-CN" w:bidi="ar-SA"/>
    </w:rPr>
  </w:style>
  <w:style w:type="paragraph" w:customStyle="1" w:styleId="146">
    <w:name w:val="附录四级条标题"/>
    <w:basedOn w:val="143"/>
    <w:next w:val="87"/>
    <w:qFormat/>
    <w:uiPriority w:val="0"/>
    <w:pPr>
      <w:numPr>
        <w:ilvl w:val="5"/>
      </w:numPr>
      <w:outlineLvl w:val="5"/>
    </w:pPr>
  </w:style>
  <w:style w:type="paragraph" w:customStyle="1" w:styleId="147">
    <w:name w:val="附录四级无"/>
    <w:basedOn w:val="146"/>
    <w:qFormat/>
    <w:uiPriority w:val="0"/>
    <w:pPr>
      <w:tabs>
        <w:tab w:val="clear" w:pos="360"/>
      </w:tabs>
      <w:spacing w:beforeLines="0" w:afterLines="0"/>
    </w:pPr>
    <w:rPr>
      <w:rFonts w:ascii="宋体" w:eastAsia="宋体"/>
      <w:szCs w:val="21"/>
    </w:rPr>
  </w:style>
  <w:style w:type="paragraph" w:customStyle="1" w:styleId="148">
    <w:name w:val="附录图标号"/>
    <w:basedOn w:val="1"/>
    <w:qFormat/>
    <w:uiPriority w:val="0"/>
    <w:pPr>
      <w:keepNext/>
      <w:pageBreakBefore/>
      <w:numPr>
        <w:ilvl w:val="0"/>
        <w:numId w:val="13"/>
      </w:numPr>
      <w:spacing w:line="14" w:lineRule="exact"/>
      <w:ind w:left="0" w:firstLine="363"/>
      <w:jc w:val="center"/>
      <w:outlineLvl w:val="0"/>
    </w:pPr>
    <w:rPr>
      <w:color w:val="FFFFFF"/>
    </w:rPr>
  </w:style>
  <w:style w:type="paragraph" w:customStyle="1" w:styleId="149">
    <w:name w:val="附录图标题"/>
    <w:basedOn w:val="1"/>
    <w:next w:val="87"/>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50">
    <w:name w:val="附录五级条标题"/>
    <w:basedOn w:val="146"/>
    <w:next w:val="87"/>
    <w:qFormat/>
    <w:uiPriority w:val="0"/>
    <w:pPr>
      <w:numPr>
        <w:ilvl w:val="6"/>
      </w:numPr>
      <w:outlineLvl w:val="6"/>
    </w:pPr>
  </w:style>
  <w:style w:type="paragraph" w:customStyle="1" w:styleId="151">
    <w:name w:val="附录五级无"/>
    <w:basedOn w:val="150"/>
    <w:qFormat/>
    <w:uiPriority w:val="0"/>
    <w:pPr>
      <w:tabs>
        <w:tab w:val="clear" w:pos="360"/>
      </w:tabs>
      <w:spacing w:beforeLines="0" w:afterLines="0"/>
    </w:pPr>
    <w:rPr>
      <w:rFonts w:ascii="宋体" w:eastAsia="宋体"/>
      <w:szCs w:val="21"/>
    </w:rPr>
  </w:style>
  <w:style w:type="paragraph" w:customStyle="1" w:styleId="152">
    <w:name w:val="附录章标题"/>
    <w:next w:val="87"/>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Calibri" w:eastAsia="黑体" w:cs="Times New Roman"/>
      <w:kern w:val="21"/>
      <w:sz w:val="21"/>
      <w:szCs w:val="22"/>
      <w:lang w:val="en-US" w:eastAsia="zh-CN" w:bidi="ar-SA"/>
    </w:rPr>
  </w:style>
  <w:style w:type="paragraph" w:customStyle="1" w:styleId="153">
    <w:name w:val="附录一级条标题"/>
    <w:basedOn w:val="152"/>
    <w:next w:val="87"/>
    <w:qFormat/>
    <w:uiPriority w:val="0"/>
    <w:pPr>
      <w:numPr>
        <w:ilvl w:val="2"/>
      </w:numPr>
      <w:autoSpaceDN w:val="0"/>
      <w:spacing w:beforeLines="50" w:afterLines="50"/>
      <w:outlineLvl w:val="2"/>
    </w:pPr>
  </w:style>
  <w:style w:type="paragraph" w:customStyle="1" w:styleId="154">
    <w:name w:val="附录一级无"/>
    <w:basedOn w:val="153"/>
    <w:qFormat/>
    <w:uiPriority w:val="0"/>
    <w:pPr>
      <w:tabs>
        <w:tab w:val="clear" w:pos="360"/>
      </w:tabs>
      <w:spacing w:beforeLines="0" w:afterLines="0"/>
    </w:pPr>
    <w:rPr>
      <w:rFonts w:ascii="宋体" w:eastAsia="宋体"/>
      <w:szCs w:val="21"/>
    </w:rPr>
  </w:style>
  <w:style w:type="paragraph" w:customStyle="1" w:styleId="155">
    <w:name w:val="附录字母编号列项（一级）"/>
    <w:qFormat/>
    <w:uiPriority w:val="0"/>
    <w:pPr>
      <w:numPr>
        <w:ilvl w:val="0"/>
        <w:numId w:val="12"/>
      </w:numPr>
    </w:pPr>
    <w:rPr>
      <w:rFonts w:ascii="宋体" w:hAnsi="Calibri" w:eastAsia="宋体" w:cs="Times New Roman"/>
      <w:sz w:val="21"/>
      <w:szCs w:val="22"/>
      <w:lang w:val="en-US" w:eastAsia="zh-CN" w:bidi="ar-SA"/>
    </w:rPr>
  </w:style>
  <w:style w:type="paragraph" w:customStyle="1" w:styleId="156">
    <w:name w:val="列项说明"/>
    <w:basedOn w:val="1"/>
    <w:qFormat/>
    <w:uiPriority w:val="0"/>
    <w:pPr>
      <w:adjustRightInd w:val="0"/>
      <w:spacing w:line="320" w:lineRule="exact"/>
      <w:ind w:left="400" w:leftChars="200" w:hanging="200" w:hangingChars="200"/>
      <w:textAlignment w:val="baseline"/>
    </w:pPr>
    <w:rPr>
      <w:rFonts w:ascii="宋体"/>
      <w:szCs w:val="20"/>
    </w:rPr>
  </w:style>
  <w:style w:type="paragraph" w:customStyle="1" w:styleId="157">
    <w:name w:val="列项说明数字编号"/>
    <w:qFormat/>
    <w:uiPriority w:val="0"/>
    <w:pPr>
      <w:ind w:left="600" w:leftChars="400" w:hanging="200" w:hangingChars="200"/>
    </w:pPr>
    <w:rPr>
      <w:rFonts w:ascii="宋体" w:hAnsi="Calibri" w:eastAsia="宋体" w:cs="Times New Roman"/>
      <w:sz w:val="21"/>
      <w:szCs w:val="22"/>
      <w:lang w:val="en-US" w:eastAsia="zh-CN" w:bidi="ar-SA"/>
    </w:rPr>
  </w:style>
  <w:style w:type="paragraph" w:customStyle="1" w:styleId="158">
    <w:name w:val="目次、索引正文"/>
    <w:qFormat/>
    <w:uiPriority w:val="0"/>
    <w:pPr>
      <w:spacing w:line="320" w:lineRule="exact"/>
      <w:jc w:val="both"/>
    </w:pPr>
    <w:rPr>
      <w:rFonts w:ascii="宋体" w:hAnsi="Calibri" w:eastAsia="宋体" w:cs="Times New Roman"/>
      <w:sz w:val="21"/>
      <w:szCs w:val="22"/>
      <w:lang w:val="en-US" w:eastAsia="zh-CN" w:bidi="ar-SA"/>
    </w:rPr>
  </w:style>
  <w:style w:type="paragraph" w:customStyle="1" w:styleId="159">
    <w:name w:val="其他标准标志"/>
    <w:basedOn w:val="116"/>
    <w:qFormat/>
    <w:uiPriority w:val="0"/>
    <w:pPr>
      <w:framePr w:w="6101" w:wrap="around" w:vAnchor="page" w:hAnchor="page" w:x="4673" w:y="942"/>
    </w:pPr>
    <w:rPr>
      <w:w w:val="130"/>
    </w:rPr>
  </w:style>
  <w:style w:type="paragraph" w:customStyle="1" w:styleId="16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1">
    <w:name w:val="其他发布部门"/>
    <w:basedOn w:val="124"/>
    <w:qFormat/>
    <w:uiPriority w:val="0"/>
    <w:pPr>
      <w:framePr w:wrap="around" w:y="15310"/>
      <w:spacing w:line="0" w:lineRule="atLeast"/>
    </w:pPr>
    <w:rPr>
      <w:rFonts w:ascii="黑体" w:eastAsia="黑体"/>
      <w:b w:val="0"/>
    </w:rPr>
  </w:style>
  <w:style w:type="paragraph" w:customStyle="1" w:styleId="162">
    <w:name w:val="前言、引言标题"/>
    <w:next w:val="87"/>
    <w:qFormat/>
    <w:uiPriority w:val="0"/>
    <w:pPr>
      <w:keepNext/>
      <w:pageBreakBefore/>
      <w:shd w:val="clear" w:color="FFFFFF" w:fill="FFFFFF"/>
      <w:spacing w:before="640" w:after="560"/>
      <w:jc w:val="center"/>
      <w:outlineLvl w:val="0"/>
    </w:pPr>
    <w:rPr>
      <w:rFonts w:ascii="黑体" w:hAnsi="Calibri" w:eastAsia="黑体" w:cs="Times New Roman"/>
      <w:sz w:val="32"/>
      <w:szCs w:val="22"/>
      <w:lang w:val="en-US" w:eastAsia="zh-CN" w:bidi="ar-SA"/>
    </w:rPr>
  </w:style>
  <w:style w:type="paragraph" w:customStyle="1" w:styleId="163">
    <w:name w:val="三级无"/>
    <w:basedOn w:val="101"/>
    <w:qFormat/>
    <w:uiPriority w:val="99"/>
    <w:pPr>
      <w:spacing w:beforeLines="0" w:afterLines="0"/>
    </w:pPr>
    <w:rPr>
      <w:rFonts w:ascii="宋体" w:eastAsia="宋体"/>
    </w:rPr>
  </w:style>
  <w:style w:type="paragraph" w:customStyle="1" w:styleId="164">
    <w:name w:val="实施日期"/>
    <w:basedOn w:val="125"/>
    <w:qFormat/>
    <w:uiPriority w:val="0"/>
    <w:pPr>
      <w:framePr w:wrap="around" w:vAnchor="page" w:hAnchor="text"/>
      <w:jc w:val="right"/>
    </w:pPr>
  </w:style>
  <w:style w:type="paragraph" w:customStyle="1" w:styleId="165">
    <w:name w:val="示例后文字"/>
    <w:basedOn w:val="87"/>
    <w:next w:val="87"/>
    <w:qFormat/>
    <w:uiPriority w:val="0"/>
    <w:pPr>
      <w:ind w:firstLine="360"/>
    </w:pPr>
    <w:rPr>
      <w:sz w:val="18"/>
    </w:rPr>
  </w:style>
  <w:style w:type="paragraph" w:customStyle="1" w:styleId="166">
    <w:name w:val="首示例"/>
    <w:next w:val="87"/>
    <w:link w:val="167"/>
    <w:qFormat/>
    <w:uiPriority w:val="0"/>
    <w:pPr>
      <w:numPr>
        <w:ilvl w:val="0"/>
        <w:numId w:val="14"/>
      </w:numPr>
      <w:tabs>
        <w:tab w:val="left" w:pos="360"/>
      </w:tabs>
      <w:ind w:firstLine="0"/>
    </w:pPr>
    <w:rPr>
      <w:rFonts w:ascii="宋体" w:hAnsi="宋体" w:eastAsia="宋体" w:cs="Times New Roman"/>
      <w:sz w:val="18"/>
      <w:szCs w:val="18"/>
      <w:lang w:val="en-US" w:eastAsia="zh-CN" w:bidi="ar-SA"/>
    </w:rPr>
  </w:style>
  <w:style w:type="character" w:customStyle="1" w:styleId="167">
    <w:name w:val="首示例 Char"/>
    <w:link w:val="166"/>
    <w:qFormat/>
    <w:uiPriority w:val="0"/>
    <w:rPr>
      <w:rFonts w:ascii="宋体" w:hAnsi="宋体"/>
      <w:sz w:val="18"/>
      <w:szCs w:val="18"/>
    </w:rPr>
  </w:style>
  <w:style w:type="paragraph" w:customStyle="1" w:styleId="168">
    <w:name w:val="四级无"/>
    <w:basedOn w:val="105"/>
    <w:qFormat/>
    <w:uiPriority w:val="0"/>
    <w:pPr>
      <w:spacing w:beforeLines="0" w:afterLines="0"/>
    </w:pPr>
    <w:rPr>
      <w:rFonts w:ascii="宋体" w:eastAsia="宋体"/>
    </w:rPr>
  </w:style>
  <w:style w:type="paragraph" w:customStyle="1" w:styleId="169">
    <w:name w:val="条文脚注"/>
    <w:basedOn w:val="38"/>
    <w:qFormat/>
    <w:uiPriority w:val="0"/>
    <w:pPr>
      <w:numPr>
        <w:numId w:val="0"/>
      </w:numPr>
      <w:jc w:val="both"/>
    </w:pPr>
  </w:style>
  <w:style w:type="paragraph" w:customStyle="1" w:styleId="170">
    <w:name w:val="图标脚注说明"/>
    <w:basedOn w:val="87"/>
    <w:qFormat/>
    <w:uiPriority w:val="0"/>
    <w:pPr>
      <w:ind w:left="840" w:hanging="420" w:firstLineChars="0"/>
    </w:pPr>
    <w:rPr>
      <w:sz w:val="18"/>
      <w:szCs w:val="18"/>
    </w:rPr>
  </w:style>
  <w:style w:type="paragraph" w:customStyle="1" w:styleId="171">
    <w:name w:val="图表脚注说明"/>
    <w:basedOn w:val="1"/>
    <w:qFormat/>
    <w:uiPriority w:val="0"/>
    <w:pPr>
      <w:numPr>
        <w:ilvl w:val="0"/>
        <w:numId w:val="15"/>
      </w:numPr>
    </w:pPr>
    <w:rPr>
      <w:rFonts w:ascii="宋体"/>
      <w:sz w:val="18"/>
      <w:szCs w:val="18"/>
    </w:rPr>
  </w:style>
  <w:style w:type="paragraph" w:customStyle="1" w:styleId="172">
    <w:name w:val="图的脚注"/>
    <w:next w:val="87"/>
    <w:qFormat/>
    <w:uiPriority w:val="0"/>
    <w:pPr>
      <w:widowControl w:val="0"/>
      <w:ind w:left="840" w:leftChars="200" w:hanging="420" w:hangingChars="200"/>
      <w:jc w:val="both"/>
    </w:pPr>
    <w:rPr>
      <w:rFonts w:ascii="宋体" w:hAnsi="Calibri" w:eastAsia="宋体" w:cs="Times New Roman"/>
      <w:sz w:val="18"/>
      <w:szCs w:val="22"/>
      <w:lang w:val="en-US" w:eastAsia="zh-CN" w:bidi="ar-SA"/>
    </w:rPr>
  </w:style>
  <w:style w:type="paragraph" w:customStyle="1" w:styleId="173">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74">
    <w:name w:val="五级无"/>
    <w:basedOn w:val="106"/>
    <w:qFormat/>
    <w:uiPriority w:val="0"/>
    <w:pPr>
      <w:spacing w:beforeLines="0" w:afterLines="0"/>
    </w:pPr>
    <w:rPr>
      <w:rFonts w:ascii="宋体" w:eastAsia="宋体"/>
    </w:rPr>
  </w:style>
  <w:style w:type="paragraph" w:customStyle="1" w:styleId="175">
    <w:name w:val="一级无"/>
    <w:basedOn w:val="92"/>
    <w:qFormat/>
    <w:uiPriority w:val="0"/>
    <w:pPr>
      <w:spacing w:beforeLines="0" w:afterLines="0"/>
    </w:pPr>
    <w:rPr>
      <w:rFonts w:ascii="宋体" w:eastAsia="宋体"/>
    </w:rPr>
  </w:style>
  <w:style w:type="paragraph" w:customStyle="1" w:styleId="176">
    <w:name w:val="正文表标题"/>
    <w:next w:val="87"/>
    <w:qFormat/>
    <w:uiPriority w:val="0"/>
    <w:pPr>
      <w:numPr>
        <w:ilvl w:val="0"/>
        <w:numId w:val="16"/>
      </w:numPr>
      <w:tabs>
        <w:tab w:val="left" w:pos="360"/>
      </w:tabs>
      <w:spacing w:beforeLines="50" w:afterLines="50"/>
      <w:jc w:val="center"/>
    </w:pPr>
    <w:rPr>
      <w:rFonts w:ascii="黑体" w:hAnsi="Calibri" w:eastAsia="黑体" w:cs="Times New Roman"/>
      <w:sz w:val="21"/>
      <w:szCs w:val="22"/>
      <w:lang w:val="en-US" w:eastAsia="zh-CN" w:bidi="ar-SA"/>
    </w:rPr>
  </w:style>
  <w:style w:type="paragraph" w:customStyle="1" w:styleId="177">
    <w:name w:val="正文公式编号制表符"/>
    <w:basedOn w:val="87"/>
    <w:next w:val="87"/>
    <w:qFormat/>
    <w:uiPriority w:val="0"/>
    <w:pPr>
      <w:ind w:firstLine="0" w:firstLineChars="0"/>
    </w:pPr>
  </w:style>
  <w:style w:type="paragraph" w:customStyle="1" w:styleId="178">
    <w:name w:val="正文图标题"/>
    <w:next w:val="87"/>
    <w:qFormat/>
    <w:uiPriority w:val="0"/>
    <w:pPr>
      <w:numPr>
        <w:ilvl w:val="0"/>
        <w:numId w:val="17"/>
      </w:numPr>
      <w:tabs>
        <w:tab w:val="left" w:pos="360"/>
      </w:tabs>
      <w:spacing w:beforeLines="50" w:afterLines="50"/>
      <w:jc w:val="center"/>
    </w:pPr>
    <w:rPr>
      <w:rFonts w:ascii="黑体" w:hAnsi="Calibri" w:eastAsia="黑体" w:cs="Times New Roman"/>
      <w:sz w:val="21"/>
      <w:szCs w:val="22"/>
      <w:lang w:val="en-US" w:eastAsia="zh-CN" w:bidi="ar-SA"/>
    </w:rPr>
  </w:style>
  <w:style w:type="paragraph" w:customStyle="1" w:styleId="179">
    <w:name w:val="终结线"/>
    <w:basedOn w:val="1"/>
    <w:qFormat/>
    <w:uiPriority w:val="0"/>
    <w:pPr>
      <w:framePr w:hSpace="181" w:vSpace="181" w:wrap="around" w:vAnchor="text" w:hAnchor="margin" w:xAlign="center" w:y="285"/>
    </w:pPr>
  </w:style>
  <w:style w:type="paragraph" w:customStyle="1" w:styleId="180">
    <w:name w:val="其他发布日期"/>
    <w:basedOn w:val="125"/>
    <w:qFormat/>
    <w:uiPriority w:val="0"/>
    <w:pPr>
      <w:framePr w:wrap="around" w:vAnchor="page" w:hAnchor="text" w:x="1419"/>
    </w:pPr>
  </w:style>
  <w:style w:type="paragraph" w:customStyle="1" w:styleId="181">
    <w:name w:val="其他实施日期"/>
    <w:basedOn w:val="164"/>
    <w:qFormat/>
    <w:uiPriority w:val="0"/>
    <w:pPr>
      <w:framePr w:wrap="around"/>
    </w:pPr>
  </w:style>
  <w:style w:type="paragraph" w:customStyle="1" w:styleId="182">
    <w:name w:val="封面标准名称2"/>
    <w:basedOn w:val="128"/>
    <w:qFormat/>
    <w:uiPriority w:val="0"/>
    <w:pPr>
      <w:framePr w:wrap="around" w:y="4469"/>
      <w:spacing w:beforeLines="630"/>
    </w:pPr>
  </w:style>
  <w:style w:type="paragraph" w:customStyle="1" w:styleId="183">
    <w:name w:val="封面标准英文名称2"/>
    <w:basedOn w:val="129"/>
    <w:qFormat/>
    <w:uiPriority w:val="0"/>
    <w:pPr>
      <w:framePr w:wrap="around" w:y="4469"/>
    </w:pPr>
  </w:style>
  <w:style w:type="paragraph" w:customStyle="1" w:styleId="184">
    <w:name w:val="封面一致性程度标识2"/>
    <w:basedOn w:val="130"/>
    <w:qFormat/>
    <w:uiPriority w:val="0"/>
    <w:pPr>
      <w:framePr w:wrap="around" w:y="4469"/>
    </w:pPr>
  </w:style>
  <w:style w:type="paragraph" w:customStyle="1" w:styleId="185">
    <w:name w:val="封面标准文稿类别2"/>
    <w:basedOn w:val="131"/>
    <w:qFormat/>
    <w:uiPriority w:val="0"/>
    <w:pPr>
      <w:framePr w:wrap="around" w:y="4469"/>
    </w:pPr>
  </w:style>
  <w:style w:type="paragraph" w:customStyle="1" w:styleId="186">
    <w:name w:val="封面标准文稿编辑信息2"/>
    <w:basedOn w:val="132"/>
    <w:qFormat/>
    <w:uiPriority w:val="0"/>
    <w:pPr>
      <w:framePr w:wrap="around" w:y="4469"/>
    </w:pPr>
  </w:style>
  <w:style w:type="paragraph" w:customStyle="1" w:styleId="187">
    <w:name w:val="图表脚注"/>
    <w:next w:val="87"/>
    <w:qFormat/>
    <w:uiPriority w:val="0"/>
    <w:pPr>
      <w:ind w:left="300" w:leftChars="200" w:hanging="100" w:hangingChars="100"/>
      <w:jc w:val="both"/>
    </w:pPr>
    <w:rPr>
      <w:rFonts w:ascii="宋体" w:hAnsi="Calibri" w:eastAsia="宋体" w:cs="Times New Roman"/>
      <w:sz w:val="18"/>
      <w:szCs w:val="22"/>
      <w:lang w:val="en-US" w:eastAsia="zh-CN" w:bidi="ar-SA"/>
    </w:rPr>
  </w:style>
  <w:style w:type="paragraph" w:customStyle="1" w:styleId="188">
    <w:name w:val="二级无标题条"/>
    <w:basedOn w:val="1"/>
    <w:qFormat/>
    <w:uiPriority w:val="0"/>
    <w:pPr>
      <w:numPr>
        <w:ilvl w:val="3"/>
        <w:numId w:val="4"/>
      </w:numPr>
    </w:pPr>
  </w:style>
  <w:style w:type="character" w:customStyle="1" w:styleId="189">
    <w:name w:val="个人答复风格"/>
    <w:qFormat/>
    <w:uiPriority w:val="0"/>
    <w:rPr>
      <w:rFonts w:ascii="Arial" w:hAnsi="Arial" w:eastAsia="宋体" w:cs="Arial"/>
      <w:color w:val="auto"/>
      <w:sz w:val="20"/>
    </w:rPr>
  </w:style>
  <w:style w:type="character" w:customStyle="1" w:styleId="190">
    <w:name w:val="个人撰写风格"/>
    <w:qFormat/>
    <w:uiPriority w:val="0"/>
    <w:rPr>
      <w:rFonts w:ascii="Arial" w:hAnsi="Arial" w:eastAsia="宋体" w:cs="Arial"/>
      <w:color w:val="auto"/>
      <w:sz w:val="20"/>
    </w:rPr>
  </w:style>
  <w:style w:type="paragraph" w:customStyle="1" w:styleId="191">
    <w:name w:val="列项——"/>
    <w:qFormat/>
    <w:uiPriority w:val="0"/>
    <w:pPr>
      <w:widowControl w:val="0"/>
      <w:tabs>
        <w:tab w:val="left" w:pos="854"/>
      </w:tabs>
      <w:ind w:left="200" w:leftChars="200" w:hanging="200" w:hangingChars="200"/>
      <w:jc w:val="both"/>
    </w:pPr>
    <w:rPr>
      <w:rFonts w:ascii="宋体" w:hAnsi="Calibri" w:eastAsia="宋体" w:cs="Times New Roman"/>
      <w:sz w:val="21"/>
      <w:szCs w:val="22"/>
      <w:lang w:val="en-US" w:eastAsia="zh-CN" w:bidi="ar-SA"/>
    </w:rPr>
  </w:style>
  <w:style w:type="paragraph" w:customStyle="1" w:styleId="192">
    <w:name w:val="列项·"/>
    <w:qFormat/>
    <w:uiPriority w:val="0"/>
    <w:pPr>
      <w:tabs>
        <w:tab w:val="left" w:pos="0"/>
        <w:tab w:val="left" w:pos="840"/>
      </w:tabs>
      <w:ind w:left="840" w:leftChars="200" w:hanging="420" w:hangingChars="200"/>
      <w:jc w:val="both"/>
    </w:pPr>
    <w:rPr>
      <w:rFonts w:ascii="宋体" w:hAnsi="Calibri" w:eastAsia="宋体" w:cs="Times New Roman"/>
      <w:sz w:val="21"/>
      <w:szCs w:val="22"/>
      <w:lang w:val="en-US" w:eastAsia="zh-CN" w:bidi="ar-SA"/>
    </w:rPr>
  </w:style>
  <w:style w:type="paragraph" w:customStyle="1" w:styleId="193">
    <w:name w:val="三级无标题条"/>
    <w:basedOn w:val="1"/>
    <w:qFormat/>
    <w:uiPriority w:val="0"/>
    <w:pPr>
      <w:numPr>
        <w:ilvl w:val="4"/>
        <w:numId w:val="6"/>
      </w:numPr>
    </w:pPr>
  </w:style>
  <w:style w:type="paragraph" w:customStyle="1" w:styleId="194">
    <w:name w:val="四级无标题条"/>
    <w:basedOn w:val="1"/>
    <w:qFormat/>
    <w:uiPriority w:val="0"/>
    <w:pPr>
      <w:numPr>
        <w:ilvl w:val="5"/>
        <w:numId w:val="7"/>
      </w:numPr>
    </w:pPr>
  </w:style>
  <w:style w:type="paragraph" w:customStyle="1" w:styleId="195">
    <w:name w:val="无标题条"/>
    <w:next w:val="87"/>
    <w:qFormat/>
    <w:uiPriority w:val="0"/>
    <w:pPr>
      <w:jc w:val="both"/>
    </w:pPr>
    <w:rPr>
      <w:rFonts w:ascii="Calibri" w:hAnsi="Calibri" w:eastAsia="宋体" w:cs="Times New Roman"/>
      <w:sz w:val="21"/>
      <w:szCs w:val="22"/>
      <w:lang w:val="en-US" w:eastAsia="zh-CN" w:bidi="ar-SA"/>
    </w:rPr>
  </w:style>
  <w:style w:type="paragraph" w:customStyle="1" w:styleId="196">
    <w:name w:val="五级无标题条"/>
    <w:basedOn w:val="1"/>
    <w:qFormat/>
    <w:uiPriority w:val="0"/>
    <w:pPr>
      <w:numPr>
        <w:ilvl w:val="6"/>
        <w:numId w:val="3"/>
      </w:numPr>
    </w:pPr>
  </w:style>
  <w:style w:type="paragraph" w:customStyle="1" w:styleId="197">
    <w:name w:val="一级无标题条"/>
    <w:basedOn w:val="1"/>
    <w:qFormat/>
    <w:uiPriority w:val="0"/>
    <w:pPr>
      <w:numPr>
        <w:ilvl w:val="2"/>
        <w:numId w:val="9"/>
      </w:numPr>
    </w:pPr>
  </w:style>
  <w:style w:type="character" w:customStyle="1" w:styleId="198">
    <w:name w:val="附录章标题 Char"/>
    <w:qFormat/>
    <w:uiPriority w:val="0"/>
    <w:rPr>
      <w:rFonts w:ascii="黑体" w:eastAsia="黑体"/>
      <w:kern w:val="21"/>
      <w:sz w:val="21"/>
      <w:lang w:val="en-US" w:eastAsia="zh-CN" w:bidi="ar-SA"/>
    </w:rPr>
  </w:style>
  <w:style w:type="character" w:customStyle="1" w:styleId="199">
    <w:name w:val="附录一级条标题 Char"/>
    <w:qFormat/>
    <w:uiPriority w:val="0"/>
    <w:rPr>
      <w:rFonts w:ascii="黑体" w:eastAsia="黑体"/>
      <w:kern w:val="21"/>
      <w:sz w:val="21"/>
      <w:lang w:val="en-US" w:eastAsia="zh-CN" w:bidi="ar-SA"/>
    </w:rPr>
  </w:style>
  <w:style w:type="table" w:customStyle="1" w:styleId="200">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1">
    <w:name w:val="Char Char Char Char Char Char Char Char Char Char Char Char"/>
    <w:basedOn w:val="1"/>
    <w:qFormat/>
    <w:uiPriority w:val="0"/>
    <w:pPr>
      <w:spacing w:after="160" w:line="240" w:lineRule="exact"/>
    </w:pPr>
    <w:rPr>
      <w:rFonts w:ascii="黑体" w:hAnsi="Verdana" w:eastAsia="黑体"/>
      <w:szCs w:val="21"/>
      <w:lang w:eastAsia="en-US"/>
    </w:rPr>
  </w:style>
  <w:style w:type="paragraph" w:customStyle="1" w:styleId="202">
    <w:name w:val="Char"/>
    <w:basedOn w:val="1"/>
    <w:qFormat/>
    <w:uiPriority w:val="0"/>
    <w:pPr>
      <w:spacing w:after="160" w:line="240" w:lineRule="exact"/>
    </w:pPr>
    <w:rPr>
      <w:rFonts w:ascii="Verdana" w:hAnsi="Verdana" w:eastAsia="仿宋_GB2312"/>
      <w:szCs w:val="20"/>
      <w:lang w:eastAsia="en-US"/>
    </w:rPr>
  </w:style>
  <w:style w:type="character" w:customStyle="1" w:styleId="203">
    <w:name w:val="bluetxt1"/>
    <w:basedOn w:val="51"/>
    <w:qFormat/>
    <w:uiPriority w:val="0"/>
  </w:style>
  <w:style w:type="paragraph" w:customStyle="1" w:styleId="204">
    <w:name w:val="列出段落1"/>
    <w:basedOn w:val="1"/>
    <w:qFormat/>
    <w:uiPriority w:val="0"/>
    <w:pPr>
      <w:ind w:firstLine="420" w:firstLineChars="200"/>
    </w:pPr>
    <w:rPr>
      <w:szCs w:val="22"/>
    </w:rPr>
  </w:style>
  <w:style w:type="paragraph" w:styleId="205">
    <w:name w:val="List Paragraph"/>
    <w:basedOn w:val="1"/>
    <w:qFormat/>
    <w:uiPriority w:val="34"/>
    <w:pPr>
      <w:ind w:left="720"/>
      <w:contextualSpacing/>
    </w:pPr>
  </w:style>
  <w:style w:type="character" w:customStyle="1" w:styleId="206">
    <w:name w:val="二级无 Char"/>
    <w:link w:val="113"/>
    <w:qFormat/>
    <w:locked/>
    <w:uiPriority w:val="99"/>
    <w:rPr>
      <w:rFonts w:ascii="宋体"/>
      <w:szCs w:val="21"/>
      <w:lang w:val="zh-CN"/>
    </w:rPr>
  </w:style>
  <w:style w:type="paragraph" w:customStyle="1" w:styleId="207">
    <w:name w:val="默认段落字体 Para Char Char Char Char"/>
    <w:basedOn w:val="1"/>
    <w:qFormat/>
    <w:uiPriority w:val="0"/>
  </w:style>
  <w:style w:type="character" w:customStyle="1" w:styleId="208">
    <w:name w:val="label"/>
    <w:basedOn w:val="51"/>
    <w:qFormat/>
    <w:uiPriority w:val="0"/>
  </w:style>
  <w:style w:type="character" w:customStyle="1" w:styleId="209">
    <w:name w:val="text-success"/>
    <w:basedOn w:val="51"/>
    <w:qFormat/>
    <w:uiPriority w:val="0"/>
  </w:style>
  <w:style w:type="character" w:customStyle="1" w:styleId="210">
    <w:name w:val="纯文本 Char"/>
    <w:link w:val="24"/>
    <w:qFormat/>
    <w:uiPriority w:val="0"/>
    <w:rPr>
      <w:rFonts w:ascii="宋体" w:hAnsi="Courier New"/>
      <w:color w:val="000000"/>
      <w:kern w:val="2"/>
      <w:sz w:val="21"/>
    </w:rPr>
  </w:style>
  <w:style w:type="character" w:customStyle="1" w:styleId="211">
    <w:name w:val="正文文本 Char"/>
    <w:link w:val="19"/>
    <w:qFormat/>
    <w:uiPriority w:val="1"/>
    <w:rPr>
      <w:rFonts w:ascii="宋体" w:hAnsi="宋体" w:cs="Times New Roman"/>
      <w:sz w:val="21"/>
      <w:szCs w:val="21"/>
      <w:lang w:eastAsia="en-US"/>
    </w:rPr>
  </w:style>
  <w:style w:type="character" w:customStyle="1" w:styleId="212">
    <w:name w:val="章标题 Char"/>
    <w:link w:val="95"/>
    <w:qFormat/>
    <w:uiPriority w:val="0"/>
    <w:rPr>
      <w:rFonts w:ascii="黑体" w:eastAsia="黑体"/>
      <w:sz w:val="21"/>
    </w:rPr>
  </w:style>
  <w:style w:type="paragraph" w:customStyle="1" w:styleId="21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14">
    <w:name w:val="Table Paragraph"/>
    <w:basedOn w:val="1"/>
    <w:qFormat/>
    <w:uiPriority w:val="1"/>
    <w:rPr>
      <w:sz w:val="22"/>
      <w:szCs w:val="22"/>
      <w:lang w:eastAsia="en-US"/>
    </w:rPr>
  </w:style>
  <w:style w:type="character" w:customStyle="1" w:styleId="215">
    <w:name w:val="副标题 Char"/>
    <w:link w:val="37"/>
    <w:qFormat/>
    <w:uiPriority w:val="11"/>
    <w:rPr>
      <w:rFonts w:ascii="Cambria" w:hAnsi="Cambria" w:eastAsia="宋体"/>
      <w:sz w:val="24"/>
      <w:szCs w:val="24"/>
    </w:rPr>
  </w:style>
  <w:style w:type="paragraph" w:styleId="216">
    <w:name w:val="No Spacing"/>
    <w:basedOn w:val="1"/>
    <w:qFormat/>
    <w:uiPriority w:val="1"/>
    <w:rPr>
      <w:szCs w:val="32"/>
    </w:rPr>
  </w:style>
  <w:style w:type="paragraph" w:styleId="217">
    <w:name w:val="Quote"/>
    <w:basedOn w:val="1"/>
    <w:next w:val="1"/>
    <w:link w:val="218"/>
    <w:qFormat/>
    <w:uiPriority w:val="29"/>
    <w:rPr>
      <w:i/>
      <w:lang w:val="zh-CN"/>
    </w:rPr>
  </w:style>
  <w:style w:type="character" w:customStyle="1" w:styleId="218">
    <w:name w:val="引用 Char"/>
    <w:link w:val="217"/>
    <w:qFormat/>
    <w:uiPriority w:val="29"/>
    <w:rPr>
      <w:i/>
      <w:sz w:val="24"/>
      <w:szCs w:val="24"/>
    </w:rPr>
  </w:style>
  <w:style w:type="paragraph" w:styleId="219">
    <w:name w:val="Intense Quote"/>
    <w:basedOn w:val="1"/>
    <w:next w:val="1"/>
    <w:link w:val="220"/>
    <w:qFormat/>
    <w:uiPriority w:val="30"/>
    <w:pPr>
      <w:ind w:left="720" w:right="720"/>
    </w:pPr>
    <w:rPr>
      <w:b/>
      <w:i/>
      <w:szCs w:val="20"/>
      <w:lang w:val="zh-CN"/>
    </w:rPr>
  </w:style>
  <w:style w:type="character" w:customStyle="1" w:styleId="220">
    <w:name w:val="明显引用 Char"/>
    <w:link w:val="219"/>
    <w:qFormat/>
    <w:uiPriority w:val="30"/>
    <w:rPr>
      <w:b/>
      <w:i/>
      <w:sz w:val="24"/>
    </w:rPr>
  </w:style>
  <w:style w:type="character" w:customStyle="1" w:styleId="221">
    <w:name w:val="不明显强调1"/>
    <w:qFormat/>
    <w:uiPriority w:val="19"/>
    <w:rPr>
      <w:i/>
      <w:color w:val="5A5A5A"/>
    </w:rPr>
  </w:style>
  <w:style w:type="character" w:customStyle="1" w:styleId="222">
    <w:name w:val="明显强调1"/>
    <w:qFormat/>
    <w:uiPriority w:val="21"/>
    <w:rPr>
      <w:b/>
      <w:i/>
      <w:sz w:val="24"/>
      <w:szCs w:val="24"/>
      <w:u w:val="single"/>
    </w:rPr>
  </w:style>
  <w:style w:type="character" w:customStyle="1" w:styleId="223">
    <w:name w:val="不明显参考1"/>
    <w:qFormat/>
    <w:uiPriority w:val="31"/>
    <w:rPr>
      <w:sz w:val="24"/>
      <w:szCs w:val="24"/>
      <w:u w:val="single"/>
    </w:rPr>
  </w:style>
  <w:style w:type="character" w:customStyle="1" w:styleId="224">
    <w:name w:val="明显参考1"/>
    <w:qFormat/>
    <w:uiPriority w:val="32"/>
    <w:rPr>
      <w:b/>
      <w:sz w:val="24"/>
      <w:u w:val="single"/>
    </w:rPr>
  </w:style>
  <w:style w:type="character" w:customStyle="1" w:styleId="225">
    <w:name w:val="书籍标题1"/>
    <w:qFormat/>
    <w:uiPriority w:val="33"/>
    <w:rPr>
      <w:rFonts w:ascii="Cambria" w:hAnsi="Cambria" w:eastAsia="宋体"/>
      <w:b/>
      <w:i/>
      <w:sz w:val="24"/>
      <w:szCs w:val="24"/>
    </w:rPr>
  </w:style>
  <w:style w:type="paragraph" w:customStyle="1" w:styleId="226">
    <w:name w:val="TOC 标题1"/>
    <w:basedOn w:val="2"/>
    <w:next w:val="1"/>
    <w:unhideWhenUsed/>
    <w:qFormat/>
    <w:uiPriority w:val="39"/>
    <w:pPr>
      <w:outlineLvl w:val="9"/>
    </w:pPr>
  </w:style>
  <w:style w:type="character" w:styleId="227">
    <w:name w:val="Placeholder Text"/>
    <w:basedOn w:val="51"/>
    <w:unhideWhenUsed/>
    <w:qFormat/>
    <w:uiPriority w:val="99"/>
    <w:rPr>
      <w:color w:val="808080"/>
    </w:rPr>
  </w:style>
  <w:style w:type="character" w:customStyle="1" w:styleId="228">
    <w:name w:val="apple-converted-space"/>
    <w:basedOn w:val="51"/>
    <w:qFormat/>
    <w:uiPriority w:val="0"/>
  </w:style>
  <w:style w:type="character" w:customStyle="1" w:styleId="229">
    <w:name w:val="正文文本缩进 2 Char"/>
    <w:basedOn w:val="51"/>
    <w:link w:val="28"/>
    <w:semiHidden/>
    <w:qFormat/>
    <w:uiPriority w:val="99"/>
    <w:rPr>
      <w:sz w:val="24"/>
      <w:szCs w:val="24"/>
    </w:rPr>
  </w:style>
  <w:style w:type="paragraph" w:customStyle="1" w:styleId="230">
    <w:name w:val="标准文件_二级条标题"/>
    <w:next w:val="1"/>
    <w:uiPriority w:val="0"/>
    <w:pPr>
      <w:widowControl w:val="0"/>
      <w:numPr>
        <w:ilvl w:val="3"/>
        <w:numId w:val="1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31">
    <w:name w:val="标准文件_三级条标题"/>
    <w:basedOn w:val="230"/>
    <w:next w:val="1"/>
    <w:qFormat/>
    <w:uiPriority w:val="0"/>
    <w:pPr>
      <w:widowControl/>
      <w:numPr>
        <w:ilvl w:val="4"/>
      </w:numPr>
      <w:outlineLvl w:val="3"/>
    </w:pPr>
  </w:style>
  <w:style w:type="paragraph" w:customStyle="1" w:styleId="232">
    <w:name w:val="标准文件_四级条标题"/>
    <w:next w:val="1"/>
    <w:uiPriority w:val="0"/>
    <w:pPr>
      <w:widowControl w:val="0"/>
      <w:numPr>
        <w:ilvl w:val="5"/>
        <w:numId w:val="18"/>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33">
    <w:name w:val="标准文件_图表脚注"/>
    <w:basedOn w:val="1"/>
    <w:next w:val="1"/>
    <w:qFormat/>
    <w:uiPriority w:val="0"/>
    <w:pPr>
      <w:widowControl w:val="0"/>
      <w:numPr>
        <w:ilvl w:val="0"/>
        <w:numId w:val="19"/>
      </w:numPr>
      <w:adjustRightInd w:val="0"/>
    </w:pPr>
    <w:rPr>
      <w:rFonts w:ascii="宋体" w:hAnsi="宋体"/>
      <w:kern w:val="2"/>
      <w:sz w:val="18"/>
      <w:szCs w:val="21"/>
    </w:rPr>
  </w:style>
  <w:style w:type="paragraph" w:customStyle="1" w:styleId="234">
    <w:name w:val="标准文件_五级条标题"/>
    <w:next w:val="1"/>
    <w:qFormat/>
    <w:uiPriority w:val="0"/>
    <w:pPr>
      <w:widowControl w:val="0"/>
      <w:numPr>
        <w:ilvl w:val="6"/>
        <w:numId w:val="18"/>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35">
    <w:name w:val="标准文件_章标题"/>
    <w:next w:val="1"/>
    <w:uiPriority w:val="0"/>
    <w:pPr>
      <w:numPr>
        <w:ilvl w:val="1"/>
        <w:numId w:val="1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36">
    <w:name w:val="标准文件_一级条标题"/>
    <w:basedOn w:val="235"/>
    <w:next w:val="1"/>
    <w:qFormat/>
    <w:uiPriority w:val="0"/>
    <w:pPr>
      <w:numPr>
        <w:ilvl w:val="2"/>
      </w:numPr>
      <w:spacing w:before="50" w:beforeLines="50" w:after="50" w:afterLines="50"/>
      <w:outlineLvl w:val="1"/>
    </w:pPr>
  </w:style>
  <w:style w:type="paragraph" w:customStyle="1" w:styleId="237">
    <w:name w:val="标准文件_正文表标题"/>
    <w:next w:val="1"/>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38">
    <w:name w:val="前言标题"/>
    <w:next w:val="1"/>
    <w:qFormat/>
    <w:uiPriority w:val="0"/>
    <w:pPr>
      <w:numPr>
        <w:ilvl w:val="0"/>
        <w:numId w:val="1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39">
    <w:name w:val="标准文件_表格"/>
    <w:basedOn w:val="1"/>
    <w:qFormat/>
    <w:uiPriority w:val="0"/>
    <w:pPr>
      <w:autoSpaceDE w:val="0"/>
      <w:autoSpaceDN w:val="0"/>
      <w:jc w:val="center"/>
    </w:pPr>
    <w:rPr>
      <w:rFonts w:ascii="宋体" w:hAnsi="Times New Roman"/>
      <w:sz w:val="18"/>
      <w:szCs w:val="20"/>
    </w:rPr>
  </w:style>
  <w:style w:type="paragraph" w:customStyle="1" w:styleId="240">
    <w:name w:val="标准文件_附录图标题"/>
    <w:next w:val="1"/>
    <w:qFormat/>
    <w:uiPriority w:val="0"/>
    <w:pPr>
      <w:numPr>
        <w:ilvl w:val="1"/>
        <w:numId w:val="2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41">
    <w:name w:val="标准文件_附录图标号"/>
    <w:basedOn w:val="1"/>
    <w:next w:val="1"/>
    <w:qFormat/>
    <w:uiPriority w:val="0"/>
    <w:pPr>
      <w:numPr>
        <w:ilvl w:val="0"/>
        <w:numId w:val="20"/>
      </w:numPr>
      <w:autoSpaceDE w:val="0"/>
      <w:autoSpaceDN w:val="0"/>
      <w:spacing w:line="14" w:lineRule="exact"/>
      <w:ind w:firstLine="0"/>
      <w:jc w:val="center"/>
    </w:pPr>
    <w:rPr>
      <w:rFonts w:ascii="黑体" w:hAnsi="黑体" w:eastAsia="黑体"/>
      <w:vanish/>
      <w:sz w:val="2"/>
      <w:szCs w:val="21"/>
    </w:rPr>
  </w:style>
  <w:style w:type="paragraph" w:customStyle="1" w:styleId="242">
    <w:name w:val="标准文件_标准正文"/>
    <w:basedOn w:val="1"/>
    <w:next w:val="243"/>
    <w:uiPriority w:val="0"/>
    <w:pPr>
      <w:widowControl w:val="0"/>
      <w:adjustRightInd w:val="0"/>
      <w:snapToGrid w:val="0"/>
      <w:spacing w:line="400" w:lineRule="exact"/>
      <w:ind w:firstLine="200" w:firstLineChars="200"/>
      <w:jc w:val="both"/>
    </w:pPr>
    <w:rPr>
      <w:sz w:val="21"/>
      <w:szCs w:val="21"/>
    </w:rPr>
  </w:style>
  <w:style w:type="paragraph" w:customStyle="1" w:styleId="243">
    <w:name w:val="标准文件_段"/>
    <w:link w:val="25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4">
    <w:name w:val="标准文件_附录标识"/>
    <w:next w:val="243"/>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245">
    <w:name w:val="标准文件_附录一级条标题"/>
    <w:next w:val="243"/>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246">
    <w:name w:val="标准文件_附录二级条标题"/>
    <w:basedOn w:val="245"/>
    <w:next w:val="243"/>
    <w:qFormat/>
    <w:uiPriority w:val="0"/>
    <w:pPr>
      <w:widowControl/>
      <w:wordWrap w:val="0"/>
      <w:overflowPunct w:val="0"/>
      <w:autoSpaceDE w:val="0"/>
      <w:autoSpaceDN w:val="0"/>
      <w:textAlignment w:val="baseline"/>
      <w:outlineLvl w:val="3"/>
    </w:pPr>
  </w:style>
  <w:style w:type="paragraph" w:customStyle="1" w:styleId="247">
    <w:name w:val="标准文件_附录三级条标题"/>
    <w:next w:val="243"/>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48">
    <w:name w:val="标准文件_附录四级条标题"/>
    <w:next w:val="243"/>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49">
    <w:name w:val="标准文件_附录五级条标题"/>
    <w:next w:val="243"/>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50">
    <w:name w:val="标准文件_附录英文标识"/>
    <w:next w:val="19"/>
    <w:qFormat/>
    <w:uiPriority w:val="0"/>
    <w:pPr>
      <w:numPr>
        <w:ilvl w:val="0"/>
        <w:numId w:val="21"/>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251">
    <w:name w:val="标准文件_正文公式"/>
    <w:basedOn w:val="1"/>
    <w:next w:val="242"/>
    <w:qFormat/>
    <w:uiPriority w:val="0"/>
    <w:pPr>
      <w:widowControl w:val="0"/>
      <w:tabs>
        <w:tab w:val="center" w:pos="4678"/>
        <w:tab w:val="right" w:leader="middleDot" w:pos="9356"/>
      </w:tabs>
      <w:adjustRightInd w:val="0"/>
      <w:jc w:val="both"/>
    </w:pPr>
    <w:rPr>
      <w:rFonts w:ascii="宋体" w:hAnsi="宋体"/>
      <w:kern w:val="2"/>
      <w:sz w:val="21"/>
      <w:szCs w:val="21"/>
    </w:rPr>
  </w:style>
  <w:style w:type="character" w:customStyle="1" w:styleId="252">
    <w:name w:val="标准文件_段 Char"/>
    <w:link w:val="243"/>
    <w:qFormat/>
    <w:uiPriority w:val="0"/>
    <w:rPr>
      <w:rFonts w:ascii="宋体" w:hAnsi="Times New Roman"/>
      <w:sz w:val="21"/>
    </w:rPr>
  </w:style>
  <w:style w:type="paragraph" w:customStyle="1" w:styleId="253">
    <w:name w:val="标准文件_附录四级无标题"/>
    <w:basedOn w:val="248"/>
    <w:qFormat/>
    <w:uiPriority w:val="0"/>
    <w:pPr>
      <w:spacing w:before="0" w:beforeLines="0" w:after="0" w:afterLines="0" w:line="276" w:lineRule="auto"/>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7093D-6342-4403-A358-4C0D636A0EF8}">
  <ds:schemaRefs/>
</ds:datastoreItem>
</file>

<file path=docProps/app.xml><?xml version="1.0" encoding="utf-8"?>
<Properties xmlns="http://schemas.openxmlformats.org/officeDocument/2006/extended-properties" xmlns:vt="http://schemas.openxmlformats.org/officeDocument/2006/docPropsVTypes">
  <Template>Normal</Template>
  <Pages>7</Pages>
  <Words>2310</Words>
  <Characters>2904</Characters>
  <Lines>26</Lines>
  <Paragraphs>7</Paragraphs>
  <TotalTime>12</TotalTime>
  <ScaleCrop>false</ScaleCrop>
  <LinksUpToDate>false</LinksUpToDate>
  <CharactersWithSpaces>3030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2023-02-16T02:36:00Z</dcterms:created>
  <dc:creator>lyz</dc:creator>
  <cp:lastModifiedBy>fyw混世虫</cp:lastModifiedBy>
  <cp:lastPrinted>2022-11-07T05:11:00Z</cp:lastPrinted>
  <dcterms:modified xsi:type="dcterms:W3CDTF">2023-02-21T03:03:59Z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D883C9D23AC7483A9C3605A80D387FB4</vt:lpwstr>
  </property>
</Properties>
</file>