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4"/>
        <w:framePr w:w="2220" w:h="1023" w:hRule="exact" w:wrap="around"/>
        <w:rPr>
          <w:rFonts w:hAnsi="黑体" w:cs="MS Mincho"/>
        </w:rPr>
      </w:pPr>
      <w:r>
        <w:rPr>
          <w:rFonts w:hAnsi="黑体"/>
        </w:rPr>
        <w:t>ICS</w:t>
      </w:r>
      <w:r>
        <w:rPr>
          <w:rFonts w:hint="eastAsia" w:hAnsi="宋体" w:eastAsia="MS Mincho" w:cs="MS Mincho"/>
        </w:rPr>
        <w:t> </w:t>
      </w:r>
      <w:r>
        <w:rPr>
          <w:rFonts w:hint="eastAsia" w:hAnsi="黑体" w:cs="MS Mincho"/>
        </w:rPr>
        <w:t>13.020.20</w:t>
      </w:r>
    </w:p>
    <w:p>
      <w:pPr>
        <w:pStyle w:val="174"/>
        <w:framePr w:w="2220" w:h="1023" w:hRule="exact" w:wrap="around"/>
        <w:rPr>
          <w:rFonts w:hAnsi="黑体"/>
        </w:rPr>
      </w:pPr>
      <w:r>
        <w:rPr>
          <w:rFonts w:hint="eastAsia" w:hAnsi="黑体" w:cs="MS Mincho"/>
        </w:rPr>
        <w:t>CCS Z 04</w:t>
      </w:r>
    </w:p>
    <w:p>
      <w:pPr>
        <w:pStyle w:val="117"/>
        <w:framePr w:wrap="around"/>
        <w:rPr>
          <w:rFonts w:ascii="宋体" w:hAnsi="宋体"/>
          <w:b w:val="0"/>
        </w:rPr>
      </w:pPr>
    </w:p>
    <w:p>
      <w:pPr>
        <w:pStyle w:val="118"/>
        <w:framePr w:wrap="around"/>
        <w:rPr>
          <w:rFonts w:ascii="黑体" w:hAnsi="黑体" w:eastAsia="黑体"/>
          <w:b w:val="0"/>
        </w:rPr>
      </w:pPr>
      <w:r>
        <w:rPr>
          <w:rFonts w:hint="eastAsia" w:ascii="黑体" w:hAnsi="黑体" w:eastAsia="黑体"/>
          <w:b w:val="0"/>
        </w:rPr>
        <w:t>团体标准</w:t>
      </w:r>
    </w:p>
    <w:p>
      <w:pPr>
        <w:pStyle w:val="97"/>
        <w:framePr w:wrap="around"/>
        <w:rPr>
          <w:rFonts w:ascii="宋体" w:hAnsi="宋体" w:eastAsia="宋体"/>
        </w:rPr>
      </w:pPr>
      <w:r>
        <w:rPr>
          <w:rFonts w:hint="eastAsia" w:ascii="宋体" w:hAnsi="宋体" w:eastAsia="宋体"/>
        </w:rPr>
        <w:t>T/CNLIC XXXX</w:t>
      </w:r>
      <w:r>
        <w:rPr>
          <w:rFonts w:ascii="宋体" w:hAnsi="宋体" w:eastAsia="宋体"/>
        </w:rPr>
        <w:t>—</w:t>
      </w:r>
      <w:bookmarkStart w:id="0" w:name="StdNo2"/>
      <w:r>
        <w:rPr>
          <w:rFonts w:ascii="宋体" w:hAnsi="宋体" w:eastAsia="宋体"/>
        </w:rPr>
        <w:fldChar w:fldCharType="begin">
          <w:ffData>
            <w:name w:val="StdNo2"/>
            <w:enabled/>
            <w:calcOnExit w:val="0"/>
            <w:textInput>
              <w:default w:val="XXXX"/>
              <w:maxLength w:val="4"/>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XXXX</w:t>
      </w:r>
      <w:r>
        <w:rPr>
          <w:rFonts w:ascii="宋体" w:hAnsi="宋体" w:eastAsia="宋体"/>
        </w:rPr>
        <w:fldChar w:fldCharType="end"/>
      </w:r>
      <w:bookmarkEnd w:id="0"/>
    </w:p>
    <w:tbl>
      <w:tblPr>
        <w:tblStyle w:val="4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27"/>
              <w:framePr w:wrap="around"/>
              <w:rPr>
                <w:rFonts w:hAnsi="宋体"/>
              </w:rPr>
            </w:pPr>
            <w:bookmarkStart w:id="1"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6"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wrap="square" upright="1"/>
                          </wps:wsp>
                        </a:graphicData>
                      </a:graphic>
                    </wp:anchor>
                  </w:drawing>
                </mc:Choice>
                <mc:Fallback>
                  <w:pict>
                    <v:rect id="DT" o:spid="_x0000_s1026" o:spt="1" style="position:absolute;left:0pt;margin-left:372.8pt;margin-top:119.8pt;height:18pt;width:90pt;z-index:-251657216;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MVOiDY&#10;AAAACwEAAA8AAAAAAAAAAQAgAAAAIgAAAGRycy9kb3ducmV2LnhtbFBLAQIUABQAAAAIAIdO4kC5&#10;wiL3rgEAAHUDAAAOAAAAAAAAAAEAIAAAACcBAABkcnMvZTJvRG9jLnhtbFBLBQYAAAAABgAGAFkB&#10;AABHBQAAAAA=&#10;">
                      <v:fill on="t" focussize="0,0"/>
                      <v:stroke on="f"/>
                      <v:imagedata o:title=""/>
                      <o:lock v:ext="edit" aspectratio="f"/>
                    </v:rect>
                  </w:pict>
                </mc:Fallback>
              </mc:AlternateContent>
            </w:r>
            <w:bookmarkEnd w:id="1"/>
          </w:p>
        </w:tc>
      </w:tr>
    </w:tbl>
    <w:p>
      <w:pPr>
        <w:pStyle w:val="97"/>
        <w:framePr w:wrap="around"/>
        <w:rPr>
          <w:rFonts w:ascii="宋体" w:hAnsi="宋体" w:eastAsia="宋体"/>
        </w:rPr>
      </w:pPr>
    </w:p>
    <w:p>
      <w:pPr>
        <w:pStyle w:val="97"/>
        <w:framePr w:wrap="around"/>
        <w:rPr>
          <w:rFonts w:ascii="宋体" w:hAnsi="宋体" w:eastAsia="宋体"/>
        </w:rPr>
      </w:pPr>
    </w:p>
    <w:p>
      <w:pPr>
        <w:pStyle w:val="129"/>
        <w:framePr w:wrap="around"/>
        <w:rPr>
          <w:rFonts w:hAnsi="黑体"/>
        </w:rPr>
      </w:pPr>
      <w:r>
        <w:rPr>
          <w:rFonts w:hint="eastAsia" w:hAnsi="黑体"/>
        </w:rPr>
        <w:t>绿色设计产品评价技术规范  纸浆</w:t>
      </w:r>
    </w:p>
    <w:p>
      <w:pPr>
        <w:pStyle w:val="130"/>
        <w:framePr w:wrap="around"/>
        <w:rPr>
          <w:rFonts w:eastAsia="Arial Unicode MS"/>
          <w:b/>
        </w:rPr>
      </w:pPr>
      <w:r>
        <w:rPr>
          <w:rFonts w:eastAsia="Arial Unicode MS"/>
          <w:b/>
        </w:rPr>
        <w:t>Technical specification for green-design product assessment—</w:t>
      </w:r>
      <w:r>
        <w:rPr>
          <w:rFonts w:hint="eastAsia" w:eastAsia="Arial Unicode MS"/>
          <w:b/>
        </w:rPr>
        <w:t>Pulps</w:t>
      </w:r>
    </w:p>
    <w:p>
      <w:pPr>
        <w:pStyle w:val="130"/>
        <w:framePr w:wrap="around"/>
        <w:rPr>
          <w:rFonts w:eastAsia="Arial Unicode MS"/>
          <w:b/>
        </w:rPr>
      </w:pPr>
    </w:p>
    <w:p>
      <w:pPr>
        <w:pStyle w:val="130"/>
        <w:framePr w:wrap="around"/>
        <w:rPr>
          <w:rFonts w:ascii="黑体" w:hAnsi="黑体"/>
          <w:sz w:val="22"/>
        </w:rPr>
      </w:pPr>
      <w:r>
        <w:rPr>
          <w:rFonts w:hint="eastAsia" w:ascii="黑体" w:hAnsi="黑体"/>
          <w:sz w:val="22"/>
        </w:rPr>
        <w:t>（征求</w:t>
      </w:r>
      <w:r>
        <w:rPr>
          <w:rFonts w:ascii="黑体" w:hAnsi="黑体"/>
          <w:sz w:val="22"/>
        </w:rPr>
        <w:t>意见稿</w:t>
      </w:r>
      <w:r>
        <w:rPr>
          <w:rFonts w:hint="eastAsia" w:ascii="黑体" w:hAnsi="黑体"/>
          <w:sz w:val="22"/>
        </w:rPr>
        <w:t>）</w:t>
      </w:r>
    </w:p>
    <w:p>
      <w:pPr>
        <w:pStyle w:val="130"/>
        <w:framePr w:wrap="around"/>
        <w:rPr>
          <w:rFonts w:ascii="宋体" w:hAnsi="宋体" w:eastAsia="宋体"/>
          <w:sz w:val="22"/>
        </w:rPr>
      </w:pPr>
      <w:r>
        <w:rPr>
          <w:rFonts w:hint="eastAsia" w:ascii="宋体" w:hAnsi="宋体" w:eastAsia="宋体"/>
          <w:sz w:val="22"/>
        </w:rPr>
        <w:t>（2022.</w:t>
      </w:r>
      <w:r>
        <w:rPr>
          <w:rFonts w:ascii="宋体" w:hAnsi="宋体" w:eastAsia="宋体"/>
          <w:sz w:val="22"/>
        </w:rPr>
        <w:t>12</w:t>
      </w:r>
      <w:r>
        <w:rPr>
          <w:rFonts w:hint="eastAsia" w:ascii="宋体" w:hAnsi="宋体" w:eastAsia="宋体"/>
          <w:sz w:val="22"/>
        </w:rPr>
        <w:t>）</w:t>
      </w:r>
    </w:p>
    <w:p>
      <w:pPr>
        <w:pStyle w:val="130"/>
        <w:framePr w:wrap="around"/>
        <w:rPr>
          <w:rFonts w:ascii="宋体" w:hAnsi="宋体" w:eastAsia="宋体"/>
          <w:sz w:val="22"/>
        </w:rPr>
      </w:pPr>
    </w:p>
    <w:p>
      <w:pPr>
        <w:pStyle w:val="130"/>
        <w:framePr w:wrap="around"/>
        <w:rPr>
          <w:rFonts w:ascii="宋体" w:hAnsi="宋体" w:eastAsia="宋体"/>
          <w:sz w:val="22"/>
        </w:rPr>
      </w:pPr>
      <w:r>
        <w:rPr>
          <w:rFonts w:hint="eastAsia" w:ascii="宋体" w:hAnsi="宋体" w:eastAsia="宋体"/>
          <w:sz w:val="22"/>
        </w:rPr>
        <w:t>在提交反馈意见时，请将您知道的相关专利连同支持性文件一并附上。</w:t>
      </w:r>
    </w:p>
    <w:p>
      <w:pPr>
        <w:pStyle w:val="130"/>
        <w:framePr w:wrap="around"/>
        <w:rPr>
          <w:rFonts w:ascii="宋体" w:hAnsi="宋体" w:eastAsia="宋体"/>
          <w:sz w:val="22"/>
        </w:rPr>
      </w:pPr>
    </w:p>
    <w:p>
      <w:pPr>
        <w:pStyle w:val="181"/>
        <w:framePr w:wrap="around" w:hAnchor="page" w:x="1292"/>
        <w:rPr>
          <w:rFonts w:ascii="宋体" w:hAnsi="宋体" w:eastAsia="宋体"/>
        </w:rPr>
      </w:pPr>
      <w:bookmarkStart w:id="2" w:name="FY"/>
      <w:r>
        <w:rPr>
          <w:rFonts w:ascii="宋体" w:hAnsi="宋体" w:eastAsia="宋体"/>
        </w:rPr>
        <w:fldChar w:fldCharType="begin">
          <w:ffData>
            <w:name w:val="FY"/>
            <w:enabled/>
            <w:calcOnExit w:val="0"/>
            <w:entryMacro w:val="ShowHelp8"/>
            <w:textInput>
              <w:default w:val="XXXX"/>
              <w:maxLength w:val="4"/>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XXXX</w:t>
      </w:r>
      <w:r>
        <w:rPr>
          <w:rFonts w:ascii="宋体" w:hAnsi="宋体" w:eastAsia="宋体"/>
        </w:rPr>
        <w:fldChar w:fldCharType="end"/>
      </w:r>
      <w:bookmarkEnd w:id="2"/>
      <w:r>
        <w:rPr>
          <w:rFonts w:ascii="宋体" w:hAnsi="宋体" w:eastAsia="宋体"/>
        </w:rPr>
        <w:t xml:space="preserve"> - </w:t>
      </w:r>
      <w:bookmarkStart w:id="3" w:name="FM"/>
      <w:r>
        <w:rPr>
          <w:rFonts w:ascii="宋体" w:hAnsi="宋体" w:eastAsia="宋体"/>
        </w:rPr>
        <w:fldChar w:fldCharType="begin">
          <w:ffData>
            <w:name w:val="FM"/>
            <w:enabled/>
            <w:calcOnExit w:val="0"/>
            <w:entryMacro w:val="ShowHelp8"/>
            <w:textInput>
              <w:default w:val="XX"/>
              <w:maxLength w:val="2"/>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w:t>
      </w:r>
      <w:r>
        <w:rPr>
          <w:rFonts w:ascii="宋体" w:hAnsi="宋体" w:eastAsia="宋体"/>
        </w:rPr>
        <w:fldChar w:fldCharType="end"/>
      </w:r>
      <w:bookmarkEnd w:id="3"/>
      <w:r>
        <w:rPr>
          <w:rFonts w:ascii="宋体" w:hAnsi="宋体" w:eastAsia="宋体"/>
        </w:rPr>
        <w:t xml:space="preserve"> - </w:t>
      </w:r>
      <w:bookmarkStart w:id="4" w:name="FD"/>
      <w:r>
        <w:rPr>
          <w:rFonts w:ascii="宋体" w:hAnsi="宋体" w:eastAsia="宋体"/>
        </w:rPr>
        <w:fldChar w:fldCharType="begin">
          <w:ffData>
            <w:name w:val="FD"/>
            <w:enabled/>
            <w:calcOnExit w:val="0"/>
            <w:entryMacro w:val="ShowHelp8"/>
            <w:textInput>
              <w:default w:val="XX"/>
              <w:maxLength w:val="2"/>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w:t>
      </w:r>
      <w:r>
        <w:rPr>
          <w:rFonts w:ascii="宋体" w:hAnsi="宋体" w:eastAsia="宋体"/>
        </w:rPr>
        <w:fldChar w:fldCharType="end"/>
      </w:r>
      <w:bookmarkEnd w:id="4"/>
      <w:r>
        <w:rPr>
          <w:rFonts w:hint="eastAsia" w:ascii="宋体" w:hAnsi="宋体" w:eastAsia="宋体"/>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3" name="直线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WHazzWAAAACwEA&#10;AA8AAAAAAAAAAQAgAAAAIgAAAGRycy9kb3ducmV2LnhtbFBLAQIUABQAAAAIAIdO4kAtj+pm4wEA&#10;AN0DAAAOAAAAAAAAAAEAIAAAACUBAABkcnMvZTJvRG9jLnhtbFBLBQYAAAAABgAGAFkBAAB6BQAA&#10;AAA=&#10;">
                <v:fill on="f" focussize="0,0"/>
                <v:stroke color="#000000" joinstyle="round"/>
                <v:imagedata o:title=""/>
                <o:lock v:ext="edit" aspectratio="f"/>
                <w10:anchorlock/>
              </v:line>
            </w:pict>
          </mc:Fallback>
        </mc:AlternateContent>
      </w:r>
    </w:p>
    <w:p>
      <w:pPr>
        <w:pStyle w:val="182"/>
        <w:framePr w:wrap="around" w:hAnchor="page" w:x="6936"/>
        <w:rPr>
          <w:rFonts w:ascii="宋体" w:hAnsi="宋体" w:eastAsia="宋体"/>
        </w:rPr>
      </w:pPr>
      <w:bookmarkStart w:id="5" w:name="SY"/>
      <w:r>
        <w:rPr>
          <w:rFonts w:ascii="宋体" w:hAnsi="宋体" w:eastAsia="宋体"/>
        </w:rPr>
        <w:fldChar w:fldCharType="begin">
          <w:ffData>
            <w:name w:val="SY"/>
            <w:enabled/>
            <w:calcOnExit w:val="0"/>
            <w:entryMacro w:val="ShowHelp9"/>
            <w:textInput>
              <w:default w:val="XXXX"/>
              <w:maxLength w:val="4"/>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XXXX</w:t>
      </w:r>
      <w:r>
        <w:rPr>
          <w:rFonts w:ascii="宋体" w:hAnsi="宋体" w:eastAsia="宋体"/>
        </w:rPr>
        <w:fldChar w:fldCharType="end"/>
      </w:r>
      <w:bookmarkEnd w:id="5"/>
      <w:r>
        <w:rPr>
          <w:rFonts w:ascii="宋体" w:hAnsi="宋体" w:eastAsia="宋体"/>
        </w:rPr>
        <w:t xml:space="preserve"> - </w:t>
      </w:r>
      <w:bookmarkStart w:id="6" w:name="SM"/>
      <w:r>
        <w:rPr>
          <w:rFonts w:ascii="宋体" w:hAnsi="宋体" w:eastAsia="宋体"/>
        </w:rPr>
        <w:fldChar w:fldCharType="begin">
          <w:ffData>
            <w:name w:val="SM"/>
            <w:enabled/>
            <w:calcOnExit w:val="0"/>
            <w:entryMacro w:val="ShowHelp9"/>
            <w:textInput>
              <w:default w:val="XX"/>
              <w:maxLength w:val="2"/>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w:t>
      </w:r>
      <w:r>
        <w:rPr>
          <w:rFonts w:ascii="宋体" w:hAnsi="宋体" w:eastAsia="宋体"/>
        </w:rPr>
        <w:fldChar w:fldCharType="end"/>
      </w:r>
      <w:bookmarkEnd w:id="6"/>
      <w:r>
        <w:rPr>
          <w:rFonts w:ascii="宋体" w:hAnsi="宋体" w:eastAsia="宋体"/>
        </w:rPr>
        <w:t xml:space="preserve"> - </w:t>
      </w:r>
      <w:bookmarkStart w:id="7" w:name="SD"/>
      <w:r>
        <w:rPr>
          <w:rFonts w:ascii="宋体" w:hAnsi="宋体" w:eastAsia="宋体"/>
        </w:rPr>
        <w:fldChar w:fldCharType="begin">
          <w:ffData>
            <w:name w:val="SD"/>
            <w:enabled/>
            <w:calcOnExit w:val="0"/>
            <w:entryMacro w:val="ShowHelp9"/>
            <w:textInput>
              <w:default w:val="XX"/>
              <w:maxLength w:val="2"/>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w:t>
      </w:r>
      <w:r>
        <w:rPr>
          <w:rFonts w:ascii="宋体" w:hAnsi="宋体" w:eastAsia="宋体"/>
        </w:rPr>
        <w:fldChar w:fldCharType="end"/>
      </w:r>
      <w:bookmarkEnd w:id="7"/>
      <w:r>
        <w:rPr>
          <w:rFonts w:hint="eastAsia" w:ascii="宋体" w:hAnsi="宋体" w:eastAsia="宋体"/>
        </w:rPr>
        <w:t>实施</w:t>
      </w:r>
    </w:p>
    <w:p>
      <w:pPr>
        <w:pStyle w:val="125"/>
        <w:framePr w:wrap="around"/>
        <w:rPr>
          <w:rFonts w:ascii="黑体" w:hAnsi="黑体" w:eastAsia="黑体"/>
          <w:b w:val="0"/>
        </w:rPr>
      </w:pPr>
      <w:r>
        <w:rPr>
          <w:rFonts w:hint="eastAsia" w:ascii="黑体" w:hAnsi="黑体" w:eastAsia="黑体"/>
          <w:b w:val="0"/>
        </w:rPr>
        <w:t>中国轻工业联合会 发布</w:t>
      </w:r>
    </w:p>
    <w:p>
      <w:pPr>
        <w:pStyle w:val="90"/>
        <w:rPr>
          <w:rFonts w:hAnsi="宋体"/>
        </w:rPr>
        <w:sectPr>
          <w:headerReference r:id="rId5" w:type="first"/>
          <w:headerReference r:id="rId3" w:type="default"/>
          <w:headerReference r:id="rId4" w:type="even"/>
          <w:footerReference r:id="rId6" w:type="even"/>
          <w:pgSz w:w="11906" w:h="16838"/>
          <w:pgMar w:top="567" w:right="1134" w:bottom="1134" w:left="1417" w:header="0" w:footer="0" w:gutter="0"/>
          <w:pgNumType w:start="1"/>
          <w:cols w:space="720"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-1524000</wp:posOffset>
                </wp:positionH>
                <wp:positionV relativeFrom="paragraph">
                  <wp:posOffset>2339975</wp:posOffset>
                </wp:positionV>
                <wp:extent cx="6120130" cy="0"/>
                <wp:effectExtent l="0" t="0" r="0" b="0"/>
                <wp:wrapNone/>
                <wp:docPr id="4" name="直线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120pt;margin-top:184.25pt;height:0pt;width:481.9pt;z-index:251661312;mso-width-relative:page;mso-height-relative:page;" filled="f" stroked="t" coordsize="21600,21600" o:gfxdata="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rUD62QAA&#10;AAwBAAAPAAAAAAAAAAEAIAAAACIAAABkcnMvZG93bnJldi54bWxQSwECFAAUAAAACACHTuJA0BE6&#10;ueQBAADdAwAADgAAAAAAAAABACAAAAAoAQAAZHJzL2Uyb0RvYy54bWxQSwUGAAAAAAYABgBZAQAA&#10;fgUAAAAA&#10;">
                <v:fill on="f" focussize="0,0"/>
                <v:stroke color="#000000" joinstyle="round"/>
                <v:imagedata o:title=""/>
                <o:lock v:ext="edit" aspectratio="f"/>
              </v:line>
            </w:pict>
          </mc:Fallback>
        </mc:AlternateContent>
      </w:r>
    </w:p>
    <w:p>
      <w:pPr>
        <w:pStyle w:val="163"/>
        <w:rPr>
          <w:rFonts w:hAnsi="黑体"/>
        </w:rPr>
      </w:pPr>
      <w:bookmarkStart w:id="8" w:name="_Toc447198478"/>
      <w:bookmarkStart w:id="9" w:name="_Toc447198882"/>
      <w:bookmarkStart w:id="10" w:name="_Toc446924883"/>
      <w:bookmarkStart w:id="11" w:name="_Toc447118972"/>
      <w:r>
        <w:rPr>
          <w:rFonts w:hint="eastAsia" w:hAnsi="黑体"/>
        </w:rPr>
        <w:t>前</w:t>
      </w:r>
      <w:bookmarkStart w:id="12" w:name="BKQY"/>
      <w:r>
        <w:t>  </w:t>
      </w:r>
      <w:r>
        <w:rPr>
          <w:rFonts w:hint="eastAsia" w:hAnsi="黑体"/>
        </w:rPr>
        <w:t>言</w:t>
      </w:r>
      <w:bookmarkEnd w:id="8"/>
      <w:bookmarkEnd w:id="9"/>
      <w:bookmarkEnd w:id="10"/>
      <w:bookmarkEnd w:id="11"/>
      <w:bookmarkEnd w:id="12"/>
    </w:p>
    <w:p>
      <w:pPr>
        <w:pStyle w:val="90"/>
        <w:ind w:firstLineChars="0"/>
        <w:rPr>
          <w:rFonts w:hAnsi="宋体" w:cs="宋体"/>
        </w:rPr>
      </w:pPr>
      <w:r>
        <w:rPr>
          <w:rFonts w:hint="eastAsia" w:hAnsi="宋体" w:cs="宋体"/>
        </w:rPr>
        <w:t>本文件按照GB/T 1.1—2020《标准化工作导则 第1部分：标准化文件的结构和起草规则》的规定起草。</w:t>
      </w:r>
    </w:p>
    <w:p>
      <w:pPr>
        <w:pStyle w:val="90"/>
        <w:ind w:firstLine="410" w:firstLineChars="0"/>
        <w:rPr>
          <w:rFonts w:hAnsi="宋体" w:cs="宋体"/>
          <w:szCs w:val="21"/>
        </w:rPr>
      </w:pPr>
      <w:r>
        <w:rPr>
          <w:rFonts w:hint="eastAsia" w:hAnsi="宋体" w:cs="宋体"/>
          <w:szCs w:val="21"/>
        </w:rPr>
        <w:t>请注意本文件的某些内容可能涉及专利。本文件的发布机构不承担识别专利的责任。</w:t>
      </w:r>
    </w:p>
    <w:p>
      <w:pPr>
        <w:pStyle w:val="90"/>
        <w:ind w:firstLineChars="0"/>
        <w:rPr>
          <w:rFonts w:hAnsi="宋体" w:cs="宋体"/>
        </w:rPr>
      </w:pPr>
      <w:r>
        <w:rPr>
          <w:rFonts w:hint="eastAsia" w:hAnsi="宋体" w:cs="宋体"/>
        </w:rPr>
        <w:t>本文件由中国轻工业联合会提出并归口。</w:t>
      </w:r>
    </w:p>
    <w:p>
      <w:pPr>
        <w:pStyle w:val="90"/>
        <w:ind w:firstLine="410" w:firstLineChars="0"/>
        <w:rPr>
          <w:rFonts w:hAnsi="宋体" w:cs="宋体"/>
          <w:szCs w:val="21"/>
        </w:rPr>
      </w:pPr>
      <w:r>
        <w:rPr>
          <w:rFonts w:hint="eastAsia" w:hAnsi="宋体" w:cs="宋体"/>
          <w:szCs w:val="21"/>
        </w:rPr>
        <w:t>本文件主要起草单位：</w:t>
      </w:r>
    </w:p>
    <w:p>
      <w:pPr>
        <w:pStyle w:val="90"/>
        <w:ind w:firstLineChars="0"/>
        <w:rPr>
          <w:rFonts w:hAnsi="宋体" w:cs="宋体"/>
        </w:rPr>
      </w:pPr>
      <w:r>
        <w:rPr>
          <w:rFonts w:hint="eastAsia" w:hAnsi="宋体" w:cs="宋体"/>
        </w:rPr>
        <w:t xml:space="preserve">本文件主要起草人： </w:t>
      </w:r>
    </w:p>
    <w:p>
      <w:pPr>
        <w:pStyle w:val="90"/>
        <w:ind w:firstLineChars="0"/>
        <w:rPr>
          <w:rFonts w:hAnsi="宋体" w:cs="宋体"/>
        </w:rPr>
      </w:pPr>
      <w:r>
        <w:rPr>
          <w:rFonts w:hint="eastAsia" w:hAnsi="宋体" w:cs="宋体"/>
        </w:rPr>
        <w:t>本文件为首次发布。</w:t>
      </w:r>
      <w:bookmarkStart w:id="36" w:name="_GoBack"/>
      <w:bookmarkEnd w:id="36"/>
    </w:p>
    <w:p>
      <w:pPr>
        <w:pStyle w:val="100"/>
        <w:rPr>
          <w:rFonts w:hAnsi="黑体"/>
        </w:rPr>
      </w:pPr>
      <w:r>
        <w:rPr>
          <w:rFonts w:hint="eastAsia" w:hAnsi="黑体"/>
        </w:rPr>
        <w:t>绿色设计产品评价技术规范 纸浆</w:t>
      </w:r>
    </w:p>
    <w:p>
      <w:pPr>
        <w:pStyle w:val="95"/>
        <w:spacing w:before="312" w:after="312"/>
        <w:rPr>
          <w:rFonts w:hAnsi="黑体"/>
        </w:rPr>
      </w:pPr>
      <w:r>
        <w:rPr>
          <w:rFonts w:hint="eastAsia" w:hAnsi="黑体"/>
        </w:rPr>
        <w:t>范围</w:t>
      </w:r>
    </w:p>
    <w:p>
      <w:pPr>
        <w:pStyle w:val="90"/>
        <w:rPr>
          <w:rFonts w:hAnsi="宋体"/>
          <w:szCs w:val="21"/>
        </w:rPr>
      </w:pPr>
      <w:r>
        <w:rPr>
          <w:rFonts w:hint="eastAsia" w:hAnsi="宋体"/>
          <w:szCs w:val="21"/>
        </w:rPr>
        <w:t>本文件规定了产品的分类、评价指标要求、试验方法、</w:t>
      </w:r>
      <w:r>
        <w:rPr>
          <w:rStyle w:val="210"/>
          <w:rFonts w:hint="default"/>
          <w:sz w:val="21"/>
          <w:szCs w:val="21"/>
        </w:rPr>
        <w:t>产品生命周期评价报告编制方法和评价方法</w:t>
      </w:r>
      <w:r>
        <w:rPr>
          <w:rFonts w:hint="eastAsia" w:hAnsi="宋体"/>
          <w:szCs w:val="21"/>
        </w:rPr>
        <w:t>。</w:t>
      </w:r>
    </w:p>
    <w:p>
      <w:pPr>
        <w:pStyle w:val="90"/>
        <w:rPr>
          <w:rFonts w:hAnsi="宋体"/>
          <w:szCs w:val="21"/>
        </w:rPr>
      </w:pPr>
      <w:r>
        <w:rPr>
          <w:rFonts w:hint="eastAsia" w:hAnsi="宋体"/>
          <w:szCs w:val="21"/>
        </w:rPr>
        <w:t>本文件适用于原生商品纸浆的绿色设计产品评价，不适用于废纸浆。</w:t>
      </w:r>
    </w:p>
    <w:p>
      <w:pPr>
        <w:pStyle w:val="95"/>
        <w:spacing w:before="312" w:after="312"/>
        <w:rPr>
          <w:rFonts w:hAnsi="黑体"/>
        </w:rPr>
      </w:pPr>
      <w:r>
        <w:rPr>
          <w:rFonts w:hint="eastAsia" w:hAnsi="黑体"/>
        </w:rPr>
        <w:t>规范性引用文件</w:t>
      </w:r>
    </w:p>
    <w:p>
      <w:pPr>
        <w:pStyle w:val="90"/>
        <w:adjustRightInd w:val="0"/>
        <w:snapToGrid w:val="0"/>
        <w:rPr>
          <w:rFonts w:asciiTheme="minorEastAsia" w:hAnsiTheme="minorEastAsia" w:eastAsiaTheme="minorEastAsia"/>
          <w:kern w:val="2"/>
          <w:szCs w:val="24"/>
        </w:rPr>
      </w:pPr>
      <w:r>
        <w:rPr>
          <w:rFonts w:ascii="Times New Roman"/>
          <w:kern w:val="2"/>
          <w:szCs w:val="24"/>
        </w:rPr>
        <w:t>下</w:t>
      </w:r>
      <w:r>
        <w:rPr>
          <w:rFonts w:asciiTheme="minorEastAsia" w:hAnsiTheme="minorEastAsia" w:eastAsiaTheme="minorEastAsia"/>
          <w:kern w:val="2"/>
          <w:szCs w:val="24"/>
        </w:rPr>
        <w:t>列文件中的内容通过文中的规范性引用而构成本文件必不可少的条款。其中，注日期的引用文件，仅该日期对应的版本适用于本文件；不注日期的引用文件，其最新版本（包括所有的修改单）适用于本文件。</w:t>
      </w:r>
    </w:p>
    <w:p>
      <w:pPr>
        <w:pStyle w:val="90"/>
        <w:adjustRightInd w:val="0"/>
        <w:snapToGrid w:val="0"/>
        <w:rPr>
          <w:rFonts w:asciiTheme="minorEastAsia" w:hAnsiTheme="minorEastAsia" w:eastAsiaTheme="minorEastAsia"/>
          <w:kern w:val="2"/>
          <w:szCs w:val="24"/>
        </w:rPr>
      </w:pPr>
      <w:r>
        <w:rPr>
          <w:rFonts w:hint="eastAsia" w:asciiTheme="minorEastAsia" w:hAnsiTheme="minorEastAsia" w:eastAsiaTheme="minorEastAsia"/>
          <w:kern w:val="2"/>
          <w:szCs w:val="24"/>
        </w:rPr>
        <w:t>GB 4806.8  食品安全国家标准 食品接触用纸和纸板材料及制品</w:t>
      </w:r>
    </w:p>
    <w:p>
      <w:pPr>
        <w:pStyle w:val="90"/>
        <w:adjustRightInd w:val="0"/>
        <w:snapToGrid w:val="0"/>
        <w:rPr>
          <w:rFonts w:asciiTheme="minorEastAsia" w:hAnsiTheme="minorEastAsia" w:eastAsiaTheme="minorEastAsia"/>
          <w:szCs w:val="21"/>
        </w:rPr>
      </w:pPr>
      <w:r>
        <w:rPr>
          <w:rFonts w:hint="eastAsia" w:asciiTheme="minorEastAsia" w:hAnsiTheme="minorEastAsia" w:eastAsiaTheme="minorEastAsia"/>
          <w:kern w:val="2"/>
          <w:szCs w:val="24"/>
        </w:rPr>
        <w:t>GB/T 15959  水质 可吸附有机卤素（AOX）的测定 微库仑法</w:t>
      </w:r>
    </w:p>
    <w:p>
      <w:pPr>
        <w:pStyle w:val="90"/>
        <w:rPr>
          <w:rFonts w:asciiTheme="minorEastAsia" w:hAnsiTheme="minorEastAsia" w:eastAsiaTheme="minorEastAsia"/>
          <w:szCs w:val="21"/>
        </w:rPr>
      </w:pPr>
      <w:r>
        <w:rPr>
          <w:rFonts w:hint="eastAsia" w:asciiTheme="minorEastAsia" w:hAnsiTheme="minorEastAsia" w:eastAsiaTheme="minorEastAsia"/>
          <w:szCs w:val="21"/>
        </w:rPr>
        <w:t>GB 17167  用能单位能源计量器具配备和管理通则</w:t>
      </w:r>
    </w:p>
    <w:p>
      <w:pPr>
        <w:pStyle w:val="90"/>
        <w:rPr>
          <w:rFonts w:asciiTheme="minorEastAsia" w:hAnsiTheme="minorEastAsia" w:eastAsiaTheme="minorEastAsia"/>
          <w:szCs w:val="21"/>
        </w:rPr>
      </w:pPr>
      <w:r>
        <w:rPr>
          <w:rFonts w:hint="eastAsia" w:asciiTheme="minorEastAsia" w:hAnsiTheme="minorEastAsia" w:eastAsiaTheme="minorEastAsia"/>
          <w:szCs w:val="21"/>
        </w:rPr>
        <w:t>GB 18597  危险废物贮存污染控制标准</w:t>
      </w:r>
    </w:p>
    <w:p>
      <w:pPr>
        <w:pStyle w:val="90"/>
        <w:rPr>
          <w:rFonts w:asciiTheme="minorEastAsia" w:hAnsiTheme="minorEastAsia" w:eastAsiaTheme="minorEastAsia"/>
          <w:szCs w:val="21"/>
        </w:rPr>
      </w:pPr>
      <w:r>
        <w:rPr>
          <w:rFonts w:hint="eastAsia" w:asciiTheme="minorEastAsia" w:hAnsiTheme="minorEastAsia" w:eastAsiaTheme="minorEastAsia"/>
          <w:szCs w:val="21"/>
        </w:rPr>
        <w:t>GB 18599  一般工业固体废物贮存和填埋污染控制标准</w:t>
      </w:r>
    </w:p>
    <w:p>
      <w:pPr>
        <w:pStyle w:val="90"/>
        <w:rPr>
          <w:rFonts w:asciiTheme="minorEastAsia" w:hAnsiTheme="minorEastAsia" w:eastAsiaTheme="minorEastAsia"/>
          <w:szCs w:val="21"/>
        </w:rPr>
      </w:pPr>
      <w:r>
        <w:rPr>
          <w:rFonts w:hint="eastAsia" w:asciiTheme="minorEastAsia" w:hAnsiTheme="minorEastAsia" w:eastAsiaTheme="minorEastAsia"/>
          <w:szCs w:val="21"/>
        </w:rPr>
        <w:t>GB/T 18916.5  取水定额  第5部分：造纸产品</w:t>
      </w:r>
    </w:p>
    <w:p>
      <w:pPr>
        <w:pStyle w:val="90"/>
        <w:rPr>
          <w:rFonts w:asciiTheme="minorEastAsia" w:hAnsiTheme="minorEastAsia" w:eastAsiaTheme="minorEastAsia"/>
          <w:szCs w:val="21"/>
        </w:rPr>
      </w:pPr>
      <w:r>
        <w:rPr>
          <w:rFonts w:hint="eastAsia" w:asciiTheme="minorEastAsia" w:hAnsiTheme="minorEastAsia" w:eastAsiaTheme="minorEastAsia"/>
          <w:szCs w:val="21"/>
        </w:rPr>
        <w:t xml:space="preserve">GB/T 19001  质量管理体系 </w:t>
      </w:r>
      <w:r>
        <w:rPr>
          <w:rFonts w:asciiTheme="minorEastAsia" w:hAnsiTheme="minorEastAsia" w:eastAsiaTheme="minorEastAsia"/>
          <w:szCs w:val="21"/>
        </w:rPr>
        <w:t xml:space="preserve"> </w:t>
      </w:r>
      <w:r>
        <w:rPr>
          <w:rFonts w:hint="eastAsia" w:asciiTheme="minorEastAsia" w:hAnsiTheme="minorEastAsia" w:eastAsiaTheme="minorEastAsia"/>
          <w:szCs w:val="21"/>
        </w:rPr>
        <w:t>要求</w:t>
      </w:r>
    </w:p>
    <w:p>
      <w:pPr>
        <w:pStyle w:val="90"/>
        <w:rPr>
          <w:rFonts w:asciiTheme="minorEastAsia" w:hAnsiTheme="minorEastAsia" w:eastAsiaTheme="minorEastAsia"/>
          <w:szCs w:val="21"/>
        </w:rPr>
      </w:pPr>
      <w:r>
        <w:rPr>
          <w:rFonts w:hint="eastAsia" w:asciiTheme="minorEastAsia" w:hAnsiTheme="minorEastAsia" w:eastAsiaTheme="minorEastAsia"/>
          <w:szCs w:val="21"/>
        </w:rPr>
        <w:t xml:space="preserve">GB/T 22804  纸浆、纸和纸板 </w:t>
      </w:r>
      <w:r>
        <w:rPr>
          <w:rFonts w:asciiTheme="minorEastAsia" w:hAnsiTheme="minorEastAsia" w:eastAsiaTheme="minorEastAsia"/>
          <w:szCs w:val="21"/>
        </w:rPr>
        <w:t xml:space="preserve"> </w:t>
      </w:r>
      <w:r>
        <w:rPr>
          <w:rFonts w:hint="eastAsia" w:asciiTheme="minorEastAsia" w:hAnsiTheme="minorEastAsia" w:eastAsiaTheme="minorEastAsia"/>
          <w:szCs w:val="21"/>
        </w:rPr>
        <w:t>汞含量的测定</w:t>
      </w:r>
    </w:p>
    <w:p>
      <w:pPr>
        <w:pStyle w:val="90"/>
        <w:rPr>
          <w:rFonts w:asciiTheme="minorEastAsia" w:hAnsiTheme="minorEastAsia" w:eastAsiaTheme="minorEastAsia"/>
          <w:szCs w:val="21"/>
        </w:rPr>
      </w:pPr>
      <w:r>
        <w:rPr>
          <w:rFonts w:hint="eastAsia" w:asciiTheme="minorEastAsia" w:hAnsiTheme="minorEastAsia" w:eastAsiaTheme="minorEastAsia"/>
          <w:szCs w:val="21"/>
        </w:rPr>
        <w:t>GB/T 22904  纸浆、纸和纸板  总氯和有机氯的测定</w:t>
      </w:r>
    </w:p>
    <w:p>
      <w:pPr>
        <w:pStyle w:val="90"/>
        <w:rPr>
          <w:rFonts w:asciiTheme="minorEastAsia" w:hAnsiTheme="minorEastAsia" w:eastAsiaTheme="minorEastAsia"/>
          <w:szCs w:val="21"/>
        </w:rPr>
      </w:pPr>
      <w:r>
        <w:rPr>
          <w:rFonts w:hint="eastAsia" w:asciiTheme="minorEastAsia" w:hAnsiTheme="minorEastAsia" w:eastAsiaTheme="minorEastAsia"/>
          <w:szCs w:val="21"/>
        </w:rPr>
        <w:t>GB/T 24001  环境管理体系 要求及使用指南</w:t>
      </w:r>
    </w:p>
    <w:p>
      <w:pPr>
        <w:pStyle w:val="90"/>
        <w:rPr>
          <w:rFonts w:asciiTheme="minorEastAsia" w:hAnsiTheme="minorEastAsia" w:eastAsiaTheme="minorEastAsia"/>
          <w:szCs w:val="21"/>
        </w:rPr>
      </w:pPr>
      <w:r>
        <w:rPr>
          <w:rFonts w:hint="eastAsia" w:asciiTheme="minorEastAsia" w:hAnsiTheme="minorEastAsia" w:eastAsiaTheme="minorEastAsia"/>
          <w:szCs w:val="21"/>
        </w:rPr>
        <w:t>GB/T 24040  环境管理 生命周期评价 原则与框架</w:t>
      </w:r>
    </w:p>
    <w:p>
      <w:pPr>
        <w:pStyle w:val="90"/>
        <w:rPr>
          <w:rFonts w:asciiTheme="minorEastAsia" w:hAnsiTheme="minorEastAsia" w:eastAsiaTheme="minorEastAsia"/>
          <w:szCs w:val="21"/>
        </w:rPr>
      </w:pPr>
      <w:r>
        <w:rPr>
          <w:rFonts w:hint="eastAsia" w:asciiTheme="minorEastAsia" w:hAnsiTheme="minorEastAsia" w:eastAsiaTheme="minorEastAsia"/>
          <w:szCs w:val="21"/>
        </w:rPr>
        <w:t>GB/T 24044  环境管理 生命周期评价 要求与指南</w:t>
      </w:r>
    </w:p>
    <w:p>
      <w:pPr>
        <w:pStyle w:val="90"/>
        <w:rPr>
          <w:rFonts w:asciiTheme="minorEastAsia" w:hAnsiTheme="minorEastAsia" w:eastAsiaTheme="minorEastAsia"/>
          <w:szCs w:val="21"/>
        </w:rPr>
      </w:pPr>
      <w:r>
        <w:rPr>
          <w:rFonts w:hint="eastAsia" w:asciiTheme="minorEastAsia" w:hAnsiTheme="minorEastAsia" w:eastAsiaTheme="minorEastAsia"/>
          <w:szCs w:val="21"/>
        </w:rPr>
        <w:t>GB 24789  用水单位水计量器具配备和管理通则</w:t>
      </w:r>
    </w:p>
    <w:p>
      <w:pPr>
        <w:pStyle w:val="90"/>
        <w:rPr>
          <w:rFonts w:asciiTheme="minorEastAsia" w:hAnsiTheme="minorEastAsia" w:eastAsiaTheme="minorEastAsia"/>
          <w:szCs w:val="21"/>
        </w:rPr>
      </w:pPr>
      <w:r>
        <w:rPr>
          <w:rFonts w:hint="eastAsia" w:asciiTheme="minorEastAsia" w:hAnsiTheme="minorEastAsia" w:eastAsiaTheme="minorEastAsia"/>
          <w:szCs w:val="21"/>
        </w:rPr>
        <w:t>GB/T 27741—2018  纸和纸板 可迁移性荧光增白剂的测定</w:t>
      </w:r>
    </w:p>
    <w:p>
      <w:pPr>
        <w:pStyle w:val="90"/>
        <w:rPr>
          <w:rFonts w:asciiTheme="minorEastAsia" w:hAnsiTheme="minorEastAsia" w:eastAsiaTheme="minorEastAsia"/>
          <w:szCs w:val="21"/>
        </w:rPr>
      </w:pPr>
      <w:r>
        <w:rPr>
          <w:rFonts w:hint="eastAsia" w:asciiTheme="minorEastAsia" w:hAnsiTheme="minorEastAsia" w:eastAsiaTheme="minorEastAsia"/>
          <w:szCs w:val="21"/>
        </w:rPr>
        <w:t>GB/T 28951  中国森林认证  森林经营</w:t>
      </w:r>
    </w:p>
    <w:p>
      <w:pPr>
        <w:pStyle w:val="90"/>
        <w:rPr>
          <w:rFonts w:asciiTheme="minorEastAsia" w:hAnsiTheme="minorEastAsia" w:eastAsiaTheme="minorEastAsia"/>
          <w:szCs w:val="21"/>
        </w:rPr>
      </w:pPr>
      <w:r>
        <w:rPr>
          <w:rFonts w:hint="eastAsia" w:asciiTheme="minorEastAsia" w:hAnsiTheme="minorEastAsia" w:eastAsiaTheme="minorEastAsia"/>
          <w:szCs w:val="21"/>
        </w:rPr>
        <w:t>GB/T 28952  中国森林认证  产销监管链</w:t>
      </w:r>
    </w:p>
    <w:p>
      <w:pPr>
        <w:pStyle w:val="90"/>
        <w:rPr>
          <w:rFonts w:asciiTheme="minorEastAsia" w:hAnsiTheme="minorEastAsia" w:eastAsiaTheme="minorEastAsia"/>
          <w:szCs w:val="21"/>
        </w:rPr>
      </w:pPr>
      <w:r>
        <w:rPr>
          <w:rFonts w:hint="eastAsia" w:asciiTheme="minorEastAsia" w:hAnsiTheme="minorEastAsia" w:eastAsiaTheme="minorEastAsia"/>
          <w:szCs w:val="21"/>
        </w:rPr>
        <w:t>GB/T 29454  制浆造纸企业能源计量器具配套和管理要求</w:t>
      </w:r>
    </w:p>
    <w:p>
      <w:pPr>
        <w:pStyle w:val="90"/>
        <w:rPr>
          <w:rFonts w:asciiTheme="minorEastAsia" w:hAnsiTheme="minorEastAsia" w:eastAsiaTheme="minorEastAsia"/>
          <w:szCs w:val="21"/>
        </w:rPr>
      </w:pPr>
      <w:r>
        <w:rPr>
          <w:rFonts w:asciiTheme="minorEastAsia" w:hAnsiTheme="minorEastAsia" w:eastAsiaTheme="minorEastAsia"/>
          <w:szCs w:val="21"/>
        </w:rPr>
        <w:t>GB 31604.49—2016</w:t>
      </w:r>
      <w:r>
        <w:rPr>
          <w:rFonts w:hint="eastAsia" w:asciiTheme="minorEastAsia" w:hAnsiTheme="minorEastAsia" w:eastAsiaTheme="minorEastAsia"/>
          <w:szCs w:val="21"/>
        </w:rPr>
        <w:t xml:space="preserve">  食品安全国家标准 食品接触材料及制品 砷、镉、铬、铅的测定和砷、镉、铬、镍、铅、锑、锌迁移量的测定</w:t>
      </w:r>
    </w:p>
    <w:p>
      <w:pPr>
        <w:pStyle w:val="90"/>
        <w:rPr>
          <w:rFonts w:asciiTheme="minorEastAsia" w:hAnsiTheme="minorEastAsia" w:eastAsiaTheme="minorEastAsia"/>
          <w:szCs w:val="21"/>
        </w:rPr>
      </w:pPr>
      <w:r>
        <w:rPr>
          <w:rFonts w:hint="eastAsia" w:asciiTheme="minorEastAsia" w:hAnsiTheme="minorEastAsia" w:eastAsiaTheme="minorEastAsia"/>
          <w:szCs w:val="21"/>
        </w:rPr>
        <w:t>GB 31825  制浆造纸单位产品能源消耗限额</w:t>
      </w:r>
    </w:p>
    <w:p>
      <w:pPr>
        <w:pStyle w:val="90"/>
        <w:rPr>
          <w:rFonts w:asciiTheme="minorEastAsia" w:hAnsiTheme="minorEastAsia" w:eastAsiaTheme="minorEastAsia"/>
          <w:szCs w:val="21"/>
        </w:rPr>
      </w:pPr>
      <w:r>
        <w:rPr>
          <w:rFonts w:hint="eastAsia" w:asciiTheme="minorEastAsia" w:hAnsiTheme="minorEastAsia" w:eastAsiaTheme="minorEastAsia"/>
          <w:szCs w:val="21"/>
        </w:rPr>
        <w:t>GB/T 32161  生态设计产品评价通则</w:t>
      </w:r>
    </w:p>
    <w:p>
      <w:pPr>
        <w:pStyle w:val="90"/>
        <w:rPr>
          <w:rFonts w:asciiTheme="minorEastAsia" w:hAnsiTheme="minorEastAsia" w:eastAsiaTheme="minorEastAsia"/>
          <w:szCs w:val="21"/>
        </w:rPr>
      </w:pPr>
      <w:r>
        <w:rPr>
          <w:rFonts w:hint="eastAsia" w:asciiTheme="minorEastAsia" w:hAnsiTheme="minorEastAsia" w:eastAsiaTheme="minorEastAsia"/>
          <w:szCs w:val="21"/>
        </w:rPr>
        <w:t>GB/T 33000  企业安全生产标准化基本规范</w:t>
      </w:r>
    </w:p>
    <w:p>
      <w:pPr>
        <w:pStyle w:val="90"/>
        <w:rPr>
          <w:rFonts w:asciiTheme="minorEastAsia" w:hAnsiTheme="minorEastAsia" w:eastAsiaTheme="minorEastAsia"/>
          <w:szCs w:val="21"/>
        </w:rPr>
      </w:pPr>
      <w:r>
        <w:rPr>
          <w:rFonts w:hint="eastAsia" w:asciiTheme="minorEastAsia" w:hAnsiTheme="minorEastAsia" w:eastAsiaTheme="minorEastAsia"/>
          <w:szCs w:val="21"/>
        </w:rPr>
        <w:t>GB/T 34455  纸、纸板和纸浆  2,2-二（4-羟基苯基）丙烷（双酚A）的测定 液相色谱法</w:t>
      </w:r>
    </w:p>
    <w:p>
      <w:pPr>
        <w:pStyle w:val="90"/>
        <w:adjustRightInd w:val="0"/>
        <w:snapToGrid w:val="0"/>
        <w:rPr>
          <w:rFonts w:asciiTheme="minorEastAsia" w:hAnsiTheme="minorEastAsia" w:eastAsiaTheme="minorEastAsia"/>
          <w:kern w:val="2"/>
          <w:szCs w:val="24"/>
        </w:rPr>
      </w:pPr>
      <w:r>
        <w:rPr>
          <w:rFonts w:hint="eastAsia" w:asciiTheme="minorEastAsia" w:hAnsiTheme="minorEastAsia" w:eastAsiaTheme="minorEastAsia"/>
          <w:kern w:val="2"/>
          <w:szCs w:val="24"/>
        </w:rPr>
        <w:t>GB/T 39998  纸、纸板和纸制品 烷基苯酚聚氧乙烯醚类的测定 高效液相色谱质谱法</w:t>
      </w:r>
    </w:p>
    <w:p>
      <w:pPr>
        <w:pStyle w:val="90"/>
        <w:rPr>
          <w:rFonts w:asciiTheme="minorEastAsia" w:hAnsiTheme="minorEastAsia" w:eastAsiaTheme="minorEastAsia"/>
          <w:szCs w:val="21"/>
        </w:rPr>
      </w:pPr>
      <w:r>
        <w:rPr>
          <w:rFonts w:hint="eastAsia" w:asciiTheme="minorEastAsia" w:hAnsiTheme="minorEastAsia" w:eastAsiaTheme="minorEastAsia"/>
          <w:szCs w:val="21"/>
        </w:rPr>
        <w:t>GB/T 45001  职业健康安全管理体系规范</w:t>
      </w:r>
    </w:p>
    <w:p>
      <w:pPr>
        <w:pStyle w:val="90"/>
        <w:rPr>
          <w:rFonts w:asciiTheme="minorEastAsia" w:hAnsiTheme="minorEastAsia" w:eastAsiaTheme="minorEastAsia"/>
          <w:szCs w:val="21"/>
        </w:rPr>
      </w:pPr>
      <w:r>
        <w:rPr>
          <w:rFonts w:hint="eastAsia" w:asciiTheme="minorEastAsia" w:hAnsiTheme="minorEastAsia" w:eastAsiaTheme="minorEastAsia"/>
          <w:szCs w:val="21"/>
        </w:rPr>
        <w:t>NY/T 3173  茶叶中9,10-蒽醒含量测定  气相色谱-串联质谱法</w:t>
      </w:r>
    </w:p>
    <w:p>
      <w:pPr>
        <w:pStyle w:val="90"/>
        <w:rPr>
          <w:rFonts w:asciiTheme="minorEastAsia" w:hAnsiTheme="minorEastAsia" w:eastAsiaTheme="minorEastAsia"/>
          <w:szCs w:val="21"/>
        </w:rPr>
      </w:pPr>
      <w:r>
        <w:rPr>
          <w:rFonts w:hint="eastAsia" w:asciiTheme="minorEastAsia" w:hAnsiTheme="minorEastAsia" w:eastAsiaTheme="minorEastAsia"/>
          <w:szCs w:val="21"/>
        </w:rPr>
        <w:t>QB/T 4125  纸浆  D65亮度最高限量</w:t>
      </w:r>
    </w:p>
    <w:p>
      <w:pPr>
        <w:pStyle w:val="90"/>
        <w:rPr>
          <w:rFonts w:asciiTheme="minorEastAsia" w:hAnsiTheme="minorEastAsia" w:eastAsiaTheme="minorEastAsia"/>
          <w:szCs w:val="21"/>
        </w:rPr>
      </w:pPr>
      <w:r>
        <w:rPr>
          <w:rFonts w:hint="eastAsia" w:asciiTheme="minorEastAsia" w:hAnsiTheme="minorEastAsia" w:eastAsiaTheme="minorEastAsia"/>
          <w:szCs w:val="21"/>
        </w:rPr>
        <w:t>制浆造纸行业清洁生产评价指标体系（发展改革委 环保部 工信部 公告 2015年第9号）</w:t>
      </w:r>
    </w:p>
    <w:p>
      <w:pPr>
        <w:pStyle w:val="95"/>
        <w:spacing w:before="312" w:after="312"/>
        <w:rPr>
          <w:rFonts w:hAnsi="黑体"/>
        </w:rPr>
      </w:pPr>
      <w:r>
        <w:rPr>
          <w:rFonts w:hint="eastAsia" w:hAnsi="黑体"/>
        </w:rPr>
        <w:t>分类</w:t>
      </w:r>
    </w:p>
    <w:p>
      <w:pPr>
        <w:pStyle w:val="90"/>
        <w:rPr>
          <w:rFonts w:hAnsi="宋体"/>
          <w:szCs w:val="21"/>
        </w:rPr>
      </w:pPr>
      <w:r>
        <w:rPr>
          <w:rFonts w:hint="eastAsia" w:hAnsi="宋体"/>
          <w:szCs w:val="21"/>
        </w:rPr>
        <w:t>纸浆按生产工艺不同分为漂白化学木浆、未漂化学木浆、漂白化学非木浆、未漂化学非木浆、化学机械浆及机械浆、溶解木浆、溶解非木浆等。</w:t>
      </w:r>
    </w:p>
    <w:p>
      <w:pPr>
        <w:pStyle w:val="95"/>
        <w:spacing w:before="312" w:after="312"/>
      </w:pPr>
      <w:bookmarkStart w:id="13" w:name="_Toc486677277"/>
      <w:r>
        <w:rPr>
          <w:rFonts w:hint="eastAsia"/>
        </w:rPr>
        <w:t>评价要求</w:t>
      </w:r>
    </w:p>
    <w:p>
      <w:pPr>
        <w:pStyle w:val="92"/>
        <w:spacing w:before="156" w:after="156"/>
      </w:pPr>
      <w:r>
        <w:rPr>
          <w:rFonts w:hint="eastAsia"/>
        </w:rPr>
        <w:t>基本要求</w:t>
      </w:r>
    </w:p>
    <w:p>
      <w:pPr>
        <w:pStyle w:val="113"/>
        <w:spacing w:before="0" w:after="0"/>
        <w:rPr>
          <w:rFonts w:cs="宋体"/>
        </w:rPr>
      </w:pPr>
      <w:r>
        <w:rPr>
          <w:rFonts w:hint="eastAsia" w:cs="宋体"/>
        </w:rPr>
        <w:t>生产企业应采用国家鼓励的先进技术工艺，不应使用国家或部门发布的淘汰或禁止的技术、工艺、装备及相关材料；生产企业应持续关注国家、行业明令禁用的有害物质，不应超越范围选用限制使用的材料。</w:t>
      </w:r>
    </w:p>
    <w:p>
      <w:pPr>
        <w:pStyle w:val="113"/>
        <w:spacing w:before="0" w:after="0"/>
        <w:rPr>
          <w:rFonts w:cs="宋体"/>
        </w:rPr>
      </w:pPr>
      <w:r>
        <w:rPr>
          <w:rFonts w:hint="eastAsia"/>
        </w:rPr>
        <w:t>生产企业应按国家要求申领排污许可证，污染物排放应满足国家和地方污染物排放标准及总量控制要求；应严格执行节能环保相关国家标准并提供标准清单。</w:t>
      </w:r>
    </w:p>
    <w:p>
      <w:pPr>
        <w:pStyle w:val="113"/>
        <w:spacing w:before="0" w:after="0"/>
      </w:pPr>
      <w:r>
        <w:rPr>
          <w:rFonts w:hint="eastAsia" w:cs="宋体"/>
        </w:rPr>
        <w:t>生产企业产生的固体废物的收集、贮存、处置应符合相关规定。一般工业固体废物的贮存应符合GB 18599的要求。危险废物的贮存应符合GB 18597的要求。</w:t>
      </w:r>
    </w:p>
    <w:p>
      <w:pPr>
        <w:pStyle w:val="113"/>
        <w:spacing w:before="0" w:after="0"/>
      </w:pPr>
      <w:r>
        <w:rPr>
          <w:rFonts w:hint="eastAsia"/>
        </w:rPr>
        <w:t>生产企业近三年内应无重大质量、安全和环境污染事故。</w:t>
      </w:r>
    </w:p>
    <w:p>
      <w:pPr>
        <w:pStyle w:val="113"/>
        <w:spacing w:before="0" w:after="0"/>
      </w:pPr>
      <w:r>
        <w:rPr>
          <w:rFonts w:hint="eastAsia"/>
        </w:rPr>
        <w:t>生产企业的安全生产标准化水平应符合GB/T 33000的要求。</w:t>
      </w:r>
    </w:p>
    <w:p>
      <w:pPr>
        <w:pStyle w:val="113"/>
        <w:spacing w:before="0" w:after="0"/>
      </w:pPr>
      <w:r>
        <w:rPr>
          <w:rFonts w:hint="eastAsia"/>
        </w:rPr>
        <w:t>生产企业应按照GB/T 24001、GB/T 19001和GB/T 45001分别建立并运行环境管理体系、质量管理体系和职业健康安全管理体系。</w:t>
      </w:r>
    </w:p>
    <w:p>
      <w:pPr>
        <w:pStyle w:val="96"/>
        <w:spacing w:before="0" w:beforeLines="0" w:after="0" w:afterLines="0"/>
        <w:rPr>
          <w:rFonts w:eastAsia="宋体"/>
        </w:rPr>
      </w:pPr>
      <w:r>
        <w:rPr>
          <w:rFonts w:hint="eastAsia" w:ascii="宋体" w:hAnsi="宋体" w:eastAsia="宋体"/>
        </w:rPr>
        <w:t>生产企业应按照GB 17167 和GB/T 29454 配备能源计量器具，按照GB 24789 标准配备水计量器具，并根据环保法律法规和标准要求配备污染物检测和在线监控设备。</w:t>
      </w:r>
    </w:p>
    <w:p>
      <w:pPr>
        <w:pStyle w:val="96"/>
        <w:spacing w:before="0" w:beforeLines="0" w:after="0" w:afterLines="0"/>
        <w:rPr>
          <w:rFonts w:ascii="宋体" w:hAnsi="宋体" w:eastAsia="宋体"/>
        </w:rPr>
      </w:pPr>
      <w:r>
        <w:rPr>
          <w:rFonts w:hint="eastAsia" w:ascii="宋体" w:hAnsi="宋体" w:eastAsia="宋体"/>
        </w:rPr>
        <w:t>产品质量水平应达到相应产品国家或行业标准的要求，见附录A。</w:t>
      </w:r>
    </w:p>
    <w:p>
      <w:pPr>
        <w:pStyle w:val="92"/>
        <w:spacing w:before="156" w:after="156"/>
      </w:pPr>
      <w:r>
        <w:rPr>
          <w:rFonts w:hint="eastAsia"/>
        </w:rPr>
        <w:t>评价指标要求</w:t>
      </w:r>
    </w:p>
    <w:p>
      <w:pPr>
        <w:pStyle w:val="90"/>
      </w:pPr>
      <w:r>
        <w:rPr>
          <w:rFonts w:hint="eastAsia"/>
        </w:rPr>
        <w:t>指标体系由一级指标和二级指标组成。一级指标包括资源属性指标、能源属性指标、环境属性指标和品质属性指标。纸浆的评价指标要求见表1。</w:t>
      </w:r>
    </w:p>
    <w:p>
      <w:pPr>
        <w:pStyle w:val="90"/>
        <w:spacing w:before="156" w:beforeLines="50" w:after="156" w:afterLines="50"/>
        <w:jc w:val="center"/>
        <w:rPr>
          <w:rFonts w:ascii="黑体" w:hAnsi="黑体" w:eastAsia="黑体"/>
        </w:rPr>
      </w:pPr>
      <w:r>
        <w:rPr>
          <w:rFonts w:hint="eastAsia" w:ascii="黑体" w:hAnsi="黑体" w:eastAsia="黑体"/>
        </w:rPr>
        <w:t>表1</w:t>
      </w:r>
    </w:p>
    <w:tbl>
      <w:tblPr>
        <w:tblStyle w:val="4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58"/>
        <w:gridCol w:w="958"/>
        <w:gridCol w:w="92"/>
        <w:gridCol w:w="2007"/>
        <w:gridCol w:w="878"/>
        <w:gridCol w:w="204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2100" w:type="pct"/>
            <w:gridSpan w:val="4"/>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459" w:type="pct"/>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单位</w:t>
            </w:r>
          </w:p>
        </w:tc>
        <w:tc>
          <w:tcPr>
            <w:tcW w:w="1068" w:type="pct"/>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基准值</w:t>
            </w:r>
          </w:p>
        </w:tc>
        <w:tc>
          <w:tcPr>
            <w:tcW w:w="1002" w:type="pct"/>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370"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资源属性</w:t>
            </w:r>
            <w:r>
              <w:rPr>
                <w:rFonts w:hint="eastAsia" w:ascii="宋体" w:hAnsi="宋体" w:cs="宋体"/>
                <w:color w:val="000000"/>
                <w:kern w:val="0"/>
                <w:sz w:val="18"/>
                <w:szCs w:val="18"/>
                <w:vertAlign w:val="superscript"/>
                <w:lang w:bidi="ar"/>
              </w:rPr>
              <w:t>a</w:t>
            </w:r>
          </w:p>
        </w:tc>
        <w:tc>
          <w:tcPr>
            <w:tcW w:w="2100" w:type="pct"/>
            <w:gridSpan w:val="4"/>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纤维原料</w:t>
            </w:r>
          </w:p>
        </w:tc>
        <w:tc>
          <w:tcPr>
            <w:tcW w:w="459"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所用木浆纤维原料应符合GB/T 28951、GB/T 28952</w:t>
            </w:r>
          </w:p>
        </w:tc>
        <w:tc>
          <w:tcPr>
            <w:tcW w:w="1002" w:type="pct"/>
            <w:vAlign w:val="center"/>
          </w:tcPr>
          <w:p>
            <w:pPr>
              <w:jc w:val="left"/>
              <w:rPr>
                <w:rFonts w:ascii="宋体" w:hAnsi="宋体" w:cs="宋体"/>
                <w:color w:val="000000"/>
                <w:sz w:val="18"/>
                <w:szCs w:val="18"/>
              </w:rPr>
            </w:pPr>
            <w:r>
              <w:rPr>
                <w:rFonts w:hint="eastAsia" w:ascii="宋体" w:hAnsi="宋体" w:cs="宋体"/>
                <w:color w:val="000000"/>
                <w:sz w:val="18"/>
                <w:szCs w:val="18"/>
              </w:rPr>
              <w:t>提供中国森林认证管理委员会（CFCC）认证证明文件或与CFCC互认的森林认证体系认证证明文件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0" w:type="pct"/>
            <w:vMerge w:val="continue"/>
            <w:vAlign w:val="center"/>
          </w:tcPr>
          <w:p>
            <w:pPr>
              <w:jc w:val="center"/>
              <w:rPr>
                <w:rFonts w:ascii="宋体" w:hAnsi="宋体" w:cs="宋体"/>
                <w:color w:val="000000"/>
                <w:sz w:val="18"/>
                <w:szCs w:val="18"/>
              </w:rPr>
            </w:pPr>
          </w:p>
        </w:tc>
        <w:tc>
          <w:tcPr>
            <w:tcW w:w="2100" w:type="pct"/>
            <w:gridSpan w:val="4"/>
            <w:vMerge w:val="continue"/>
            <w:vAlign w:val="center"/>
          </w:tcPr>
          <w:p>
            <w:pPr>
              <w:jc w:val="center"/>
              <w:rPr>
                <w:rFonts w:ascii="宋体" w:hAnsi="宋体" w:cs="宋体"/>
                <w:color w:val="000000"/>
                <w:sz w:val="18"/>
                <w:szCs w:val="18"/>
              </w:rPr>
            </w:pPr>
          </w:p>
        </w:tc>
        <w:tc>
          <w:tcPr>
            <w:tcW w:w="459" w:type="pct"/>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68" w:type="pct"/>
            <w:vAlign w:val="center"/>
          </w:tcPr>
          <w:p>
            <w:pPr>
              <w:widowControl/>
              <w:jc w:val="center"/>
              <w:textAlignment w:val="center"/>
              <w:rPr>
                <w:rFonts w:ascii="宋体" w:hAnsi="宋体" w:cs="宋体"/>
                <w:color w:val="000000"/>
                <w:sz w:val="18"/>
                <w:szCs w:val="18"/>
              </w:rPr>
            </w:pPr>
            <w:r>
              <w:rPr>
                <w:rFonts w:ascii="宋体" w:hAnsi="宋体" w:cs="宋体"/>
                <w:color w:val="000000"/>
                <w:sz w:val="18"/>
                <w:szCs w:val="18"/>
              </w:rPr>
              <w:t>不</w:t>
            </w:r>
            <w:r>
              <w:rPr>
                <w:rFonts w:hint="eastAsia" w:ascii="宋体" w:hAnsi="宋体" w:cs="宋体"/>
                <w:color w:val="000000"/>
                <w:sz w:val="18"/>
                <w:szCs w:val="18"/>
              </w:rPr>
              <w:t>应使用</w:t>
            </w:r>
            <w:r>
              <w:rPr>
                <w:rFonts w:ascii="宋体" w:hAnsi="宋体" w:cs="宋体"/>
                <w:color w:val="000000"/>
                <w:sz w:val="18"/>
                <w:szCs w:val="18"/>
              </w:rPr>
              <w:t>来源于保护区或将被授予保护区的状态、所有者或使用的权利不清楚的地区、转基因的树木或植物</w:t>
            </w:r>
          </w:p>
        </w:tc>
        <w:tc>
          <w:tcPr>
            <w:tcW w:w="1002" w:type="pct"/>
            <w:vAlign w:val="center"/>
          </w:tcPr>
          <w:p>
            <w:pPr>
              <w:jc w:val="left"/>
              <w:rPr>
                <w:rFonts w:ascii="宋体" w:hAnsi="宋体" w:cs="宋体"/>
                <w:color w:val="000000"/>
                <w:sz w:val="18"/>
                <w:szCs w:val="18"/>
              </w:rPr>
            </w:pPr>
            <w:r>
              <w:rPr>
                <w:rFonts w:hint="eastAsia" w:ascii="宋体" w:hAnsi="宋体" w:cs="宋体"/>
                <w:color w:val="000000"/>
                <w:kern w:val="0"/>
                <w:sz w:val="18"/>
                <w:szCs w:val="18"/>
                <w:lang w:bidi="ar"/>
              </w:rPr>
              <w:t>提供采购清单及证明材料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0" w:type="pct"/>
            <w:vMerge w:val="continue"/>
            <w:vAlign w:val="center"/>
          </w:tcPr>
          <w:p>
            <w:pPr>
              <w:jc w:val="center"/>
              <w:rPr>
                <w:rFonts w:ascii="宋体" w:hAnsi="宋体" w:cs="宋体"/>
                <w:color w:val="000000"/>
                <w:sz w:val="18"/>
                <w:szCs w:val="18"/>
              </w:rPr>
            </w:pPr>
          </w:p>
        </w:tc>
        <w:tc>
          <w:tcPr>
            <w:tcW w:w="2100" w:type="pct"/>
            <w:gridSpan w:val="4"/>
            <w:vMerge w:val="continue"/>
            <w:vAlign w:val="center"/>
          </w:tcPr>
          <w:p>
            <w:pPr>
              <w:jc w:val="center"/>
              <w:rPr>
                <w:rFonts w:ascii="宋体" w:hAnsi="宋体" w:cs="宋体"/>
                <w:color w:val="000000"/>
                <w:sz w:val="18"/>
                <w:szCs w:val="18"/>
              </w:rPr>
            </w:pPr>
          </w:p>
        </w:tc>
        <w:tc>
          <w:tcPr>
            <w:tcW w:w="459" w:type="pct"/>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不应使用氯气和次氯酸盐漂白纸浆</w:t>
            </w:r>
          </w:p>
        </w:tc>
        <w:tc>
          <w:tcPr>
            <w:tcW w:w="1002" w:type="pct"/>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提供采购清单及证明材料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0" w:type="pct"/>
            <w:vMerge w:val="continue"/>
            <w:vAlign w:val="center"/>
          </w:tcPr>
          <w:p>
            <w:pPr>
              <w:jc w:val="center"/>
              <w:rPr>
                <w:rFonts w:ascii="宋体" w:hAnsi="宋体" w:cs="宋体"/>
                <w:color w:val="000000"/>
                <w:sz w:val="18"/>
                <w:szCs w:val="18"/>
              </w:rPr>
            </w:pPr>
          </w:p>
        </w:tc>
        <w:tc>
          <w:tcPr>
            <w:tcW w:w="1050" w:type="pct"/>
            <w:gridSpan w:val="3"/>
            <w:vMerge w:val="restar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杀菌剂</w:t>
            </w:r>
            <w:r>
              <w:rPr>
                <w:rFonts w:hint="eastAsia" w:ascii="宋体" w:hAnsi="宋体" w:cs="宋体"/>
                <w:color w:val="000000"/>
                <w:kern w:val="0"/>
                <w:sz w:val="18"/>
                <w:szCs w:val="18"/>
                <w:vertAlign w:val="superscript"/>
                <w:lang w:bidi="ar"/>
              </w:rPr>
              <w:t>b</w:t>
            </w:r>
          </w:p>
        </w:tc>
        <w:tc>
          <w:tcPr>
            <w:tcW w:w="1050"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BCF（生物富集因子）</w:t>
            </w:r>
          </w:p>
        </w:tc>
        <w:tc>
          <w:tcPr>
            <w:tcW w:w="459" w:type="pct"/>
            <w:vMerge w:val="restar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＜500</w:t>
            </w:r>
          </w:p>
        </w:tc>
        <w:tc>
          <w:tcPr>
            <w:tcW w:w="1002" w:type="pct"/>
            <w:vMerge w:val="restar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提供原材料使用清单</w:t>
            </w:r>
            <w:r>
              <w:rPr>
                <w:rFonts w:hint="eastAsia" w:ascii="宋体" w:hAnsi="宋体" w:cs="宋体"/>
                <w:color w:val="000000"/>
                <w:sz w:val="18"/>
                <w:szCs w:val="18"/>
              </w:rPr>
              <w:t>及提供证明材料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0" w:type="pct"/>
            <w:vMerge w:val="continue"/>
            <w:vAlign w:val="center"/>
          </w:tcPr>
          <w:p>
            <w:pPr>
              <w:widowControl/>
              <w:jc w:val="center"/>
              <w:textAlignment w:val="center"/>
            </w:pPr>
          </w:p>
        </w:tc>
        <w:tc>
          <w:tcPr>
            <w:tcW w:w="1050" w:type="pct"/>
            <w:gridSpan w:val="3"/>
            <w:vMerge w:val="continue"/>
            <w:vAlign w:val="center"/>
          </w:tcPr>
          <w:p>
            <w:pPr>
              <w:widowControl/>
              <w:jc w:val="center"/>
              <w:textAlignment w:val="center"/>
            </w:pPr>
          </w:p>
        </w:tc>
        <w:tc>
          <w:tcPr>
            <w:tcW w:w="1050"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log</w:t>
            </w:r>
            <w:r>
              <w:rPr>
                <w:rFonts w:hint="eastAsia" w:ascii="宋体" w:hAnsi="宋体" w:cs="宋体"/>
                <w:i/>
                <w:iCs/>
                <w:color w:val="000000"/>
                <w:kern w:val="0"/>
                <w:sz w:val="18"/>
                <w:szCs w:val="18"/>
                <w:lang w:bidi="ar"/>
              </w:rPr>
              <w:t>K</w:t>
            </w:r>
            <w:r>
              <w:rPr>
                <w:rFonts w:hint="eastAsia" w:ascii="宋体" w:hAnsi="宋体" w:cs="宋体"/>
                <w:color w:val="000000"/>
                <w:kern w:val="0"/>
                <w:sz w:val="18"/>
                <w:szCs w:val="18"/>
                <w:lang w:bidi="ar"/>
              </w:rPr>
              <w:t>ow（正辛醇-水分配系数）</w:t>
            </w:r>
          </w:p>
        </w:tc>
        <w:tc>
          <w:tcPr>
            <w:tcW w:w="459" w:type="pct"/>
            <w:vMerge w:val="continue"/>
            <w:vAlign w:val="center"/>
          </w:tcPr>
          <w:p>
            <w:pPr>
              <w:widowControl/>
              <w:jc w:val="center"/>
              <w:textAlignment w:val="center"/>
              <w:rPr>
                <w:rFonts w:ascii="宋体" w:hAnsi="宋体" w:cs="宋体"/>
                <w:color w:val="000000"/>
                <w:kern w:val="0"/>
                <w:sz w:val="18"/>
                <w:szCs w:val="18"/>
                <w:lang w:bidi="ar"/>
              </w:rPr>
            </w:pP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＜4.0</w:t>
            </w:r>
          </w:p>
        </w:tc>
        <w:tc>
          <w:tcPr>
            <w:tcW w:w="1002" w:type="pct"/>
            <w:vMerge w:val="continue"/>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center"/>
              <w:rPr>
                <w:rFonts w:ascii="宋体" w:hAnsi="宋体" w:cs="宋体"/>
                <w:color w:val="000000"/>
                <w:sz w:val="18"/>
                <w:szCs w:val="18"/>
              </w:rPr>
            </w:pP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单位产品取水量</w:t>
            </w:r>
            <w:r>
              <w:rPr>
                <w:rFonts w:hint="eastAsia" w:ascii="宋体" w:hAnsi="宋体" w:cs="宋体"/>
                <w:color w:val="000000"/>
                <w:kern w:val="0"/>
                <w:sz w:val="18"/>
                <w:szCs w:val="18"/>
                <w:vertAlign w:val="superscript"/>
                <w:lang w:bidi="ar"/>
              </w:rPr>
              <w:t>c</w:t>
            </w: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漂白化学木浆</w:t>
            </w:r>
          </w:p>
        </w:tc>
        <w:tc>
          <w:tcPr>
            <w:tcW w:w="459"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r>
              <w:rPr>
                <w:rStyle w:val="217"/>
                <w:rFonts w:hint="eastAsia" w:ascii="宋体" w:hAnsi="宋体" w:cs="宋体"/>
                <w:lang w:bidi="ar"/>
              </w:rPr>
              <w:t>3</w:t>
            </w:r>
            <w:r>
              <w:rPr>
                <w:rStyle w:val="218"/>
                <w:rFonts w:hint="eastAsia" w:ascii="宋体" w:hAnsi="宋体" w:cs="宋体"/>
                <w:lang w:bidi="ar"/>
              </w:rPr>
              <w:t>/Adt</w:t>
            </w:r>
          </w:p>
        </w:tc>
        <w:tc>
          <w:tcPr>
            <w:tcW w:w="1068"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符合GB/T 18916.5先进企业取水定额要求</w:t>
            </w:r>
          </w:p>
        </w:tc>
        <w:tc>
          <w:tcPr>
            <w:tcW w:w="1002" w:type="pct"/>
            <w:vMerge w:val="restart"/>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依据附录B.1进行测算并提供证明材料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未漂化学木浆</w:t>
            </w:r>
          </w:p>
        </w:tc>
        <w:tc>
          <w:tcPr>
            <w:tcW w:w="459" w:type="pct"/>
            <w:vMerge w:val="continue"/>
            <w:vAlign w:val="center"/>
          </w:tcPr>
          <w:p>
            <w:pPr>
              <w:jc w:val="center"/>
              <w:rPr>
                <w:rFonts w:ascii="宋体" w:hAnsi="宋体" w:cs="宋体"/>
                <w:color w:val="000000"/>
                <w:sz w:val="18"/>
                <w:szCs w:val="18"/>
              </w:rPr>
            </w:pPr>
          </w:p>
        </w:tc>
        <w:tc>
          <w:tcPr>
            <w:tcW w:w="1068" w:type="pct"/>
            <w:vMerge w:val="continue"/>
            <w:vAlign w:val="center"/>
          </w:tcPr>
          <w:p>
            <w:pPr>
              <w:widowControl/>
              <w:jc w:val="center"/>
              <w:textAlignment w:val="center"/>
              <w:rPr>
                <w:rFonts w:ascii="宋体" w:hAnsi="宋体" w:cs="宋体"/>
                <w:color w:val="000000"/>
                <w:sz w:val="18"/>
                <w:szCs w:val="18"/>
              </w:rPr>
            </w:pP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漂白</w:t>
            </w:r>
            <w:r>
              <w:rPr>
                <w:rStyle w:val="219"/>
                <w:rFonts w:hint="default"/>
                <w:sz w:val="18"/>
                <w:szCs w:val="18"/>
                <w:lang w:bidi="ar"/>
              </w:rPr>
              <w:t>化学非木浆</w:t>
            </w: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竹浆</w:t>
            </w:r>
          </w:p>
        </w:tc>
        <w:tc>
          <w:tcPr>
            <w:tcW w:w="459" w:type="pct"/>
            <w:vMerge w:val="continue"/>
            <w:vAlign w:val="center"/>
          </w:tcPr>
          <w:p>
            <w:pPr>
              <w:jc w:val="center"/>
              <w:rPr>
                <w:rFonts w:ascii="宋体" w:hAnsi="宋体" w:cs="宋体"/>
                <w:color w:val="000000"/>
                <w:sz w:val="18"/>
                <w:szCs w:val="18"/>
              </w:rPr>
            </w:pPr>
          </w:p>
        </w:tc>
        <w:tc>
          <w:tcPr>
            <w:tcW w:w="1068" w:type="pct"/>
            <w:vMerge w:val="continue"/>
            <w:vAlign w:val="center"/>
          </w:tcPr>
          <w:p>
            <w:pPr>
              <w:widowControl/>
              <w:jc w:val="center"/>
              <w:textAlignment w:val="center"/>
              <w:rPr>
                <w:rFonts w:ascii="宋体" w:hAnsi="宋体" w:cs="宋体"/>
                <w:color w:val="000000"/>
                <w:sz w:val="18"/>
                <w:szCs w:val="18"/>
              </w:rPr>
            </w:pP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w:t>
            </w:r>
          </w:p>
        </w:tc>
        <w:tc>
          <w:tcPr>
            <w:tcW w:w="459" w:type="pct"/>
            <w:vMerge w:val="continue"/>
            <w:vAlign w:val="center"/>
          </w:tcPr>
          <w:p>
            <w:pPr>
              <w:jc w:val="center"/>
              <w:rPr>
                <w:rFonts w:ascii="宋体" w:hAnsi="宋体" w:cs="宋体"/>
                <w:color w:val="000000"/>
                <w:sz w:val="18"/>
                <w:szCs w:val="18"/>
              </w:rPr>
            </w:pPr>
          </w:p>
        </w:tc>
        <w:tc>
          <w:tcPr>
            <w:tcW w:w="1068" w:type="pct"/>
            <w:vMerge w:val="continue"/>
            <w:vAlign w:val="center"/>
          </w:tcPr>
          <w:p>
            <w:pPr>
              <w:widowControl/>
              <w:jc w:val="center"/>
              <w:textAlignment w:val="center"/>
              <w:rPr>
                <w:rFonts w:ascii="宋体" w:hAnsi="宋体" w:cs="宋体"/>
                <w:color w:val="000000"/>
                <w:sz w:val="18"/>
                <w:szCs w:val="18"/>
              </w:rPr>
            </w:pP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未漂化学非木浆</w:t>
            </w:r>
          </w:p>
        </w:tc>
        <w:tc>
          <w:tcPr>
            <w:tcW w:w="459" w:type="pct"/>
            <w:vMerge w:val="continue"/>
            <w:vAlign w:val="center"/>
          </w:tcPr>
          <w:p>
            <w:pPr>
              <w:jc w:val="center"/>
              <w:rPr>
                <w:rFonts w:ascii="宋体" w:hAnsi="宋体" w:cs="宋体"/>
                <w:color w:val="000000"/>
                <w:sz w:val="18"/>
                <w:szCs w:val="18"/>
              </w:rPr>
            </w:pPr>
          </w:p>
        </w:tc>
        <w:tc>
          <w:tcPr>
            <w:tcW w:w="1068" w:type="pct"/>
            <w:vMerge w:val="continue"/>
            <w:vAlign w:val="center"/>
          </w:tcPr>
          <w:p>
            <w:pPr>
              <w:widowControl/>
              <w:jc w:val="center"/>
              <w:textAlignment w:val="center"/>
              <w:rPr>
                <w:rFonts w:ascii="宋体" w:hAnsi="宋体" w:cs="宋体"/>
                <w:color w:val="000000"/>
                <w:sz w:val="18"/>
                <w:szCs w:val="18"/>
              </w:rPr>
            </w:pP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化学机械浆及机械浆</w:t>
            </w:r>
          </w:p>
        </w:tc>
        <w:tc>
          <w:tcPr>
            <w:tcW w:w="459" w:type="pct"/>
            <w:vMerge w:val="continue"/>
            <w:vAlign w:val="center"/>
          </w:tcPr>
          <w:p>
            <w:pPr>
              <w:jc w:val="center"/>
              <w:rPr>
                <w:rFonts w:ascii="宋体" w:hAnsi="宋体" w:cs="宋体"/>
                <w:color w:val="000000"/>
                <w:sz w:val="18"/>
                <w:szCs w:val="18"/>
              </w:rPr>
            </w:pPr>
          </w:p>
        </w:tc>
        <w:tc>
          <w:tcPr>
            <w:tcW w:w="1068" w:type="pct"/>
            <w:vMerge w:val="continue"/>
            <w:vAlign w:val="center"/>
          </w:tcPr>
          <w:p>
            <w:pPr>
              <w:widowControl/>
              <w:jc w:val="center"/>
              <w:textAlignment w:val="center"/>
              <w:rPr>
                <w:rFonts w:ascii="宋体" w:hAnsi="宋体" w:cs="宋体"/>
                <w:color w:val="000000"/>
                <w:sz w:val="18"/>
                <w:szCs w:val="18"/>
              </w:rPr>
            </w:pP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溶解木浆</w:t>
            </w:r>
          </w:p>
        </w:tc>
        <w:tc>
          <w:tcPr>
            <w:tcW w:w="459" w:type="pct"/>
            <w:vMerge w:val="continue"/>
            <w:vAlign w:val="center"/>
          </w:tcPr>
          <w:p>
            <w:pPr>
              <w:jc w:val="center"/>
              <w:rPr>
                <w:rFonts w:ascii="宋体" w:hAnsi="宋体" w:cs="宋体"/>
                <w:color w:val="000000"/>
                <w:sz w:val="18"/>
                <w:szCs w:val="18"/>
              </w:rPr>
            </w:pPr>
          </w:p>
        </w:tc>
        <w:tc>
          <w:tcPr>
            <w:tcW w:w="1068" w:type="pct"/>
            <w:vMerge w:val="continue"/>
            <w:vAlign w:val="center"/>
          </w:tcPr>
          <w:p>
            <w:pPr>
              <w:widowControl/>
              <w:jc w:val="center"/>
              <w:textAlignment w:val="center"/>
              <w:rPr>
                <w:rFonts w:ascii="宋体" w:hAnsi="宋体" w:cs="宋体"/>
                <w:color w:val="000000"/>
                <w:sz w:val="18"/>
                <w:szCs w:val="18"/>
              </w:rPr>
            </w:pP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溶解非木浆</w:t>
            </w:r>
          </w:p>
        </w:tc>
        <w:tc>
          <w:tcPr>
            <w:tcW w:w="459" w:type="pct"/>
            <w:vMerge w:val="continue"/>
            <w:vAlign w:val="center"/>
          </w:tcPr>
          <w:p>
            <w:pPr>
              <w:jc w:val="center"/>
              <w:rPr>
                <w:rFonts w:ascii="宋体" w:hAnsi="宋体" w:cs="宋体"/>
                <w:color w:val="000000"/>
                <w:sz w:val="18"/>
                <w:szCs w:val="18"/>
              </w:rPr>
            </w:pPr>
          </w:p>
        </w:tc>
        <w:tc>
          <w:tcPr>
            <w:tcW w:w="1068" w:type="pct"/>
            <w:vMerge w:val="continue"/>
            <w:vAlign w:val="center"/>
          </w:tcPr>
          <w:p>
            <w:pPr>
              <w:widowControl/>
              <w:jc w:val="center"/>
              <w:textAlignment w:val="center"/>
              <w:rPr>
                <w:rFonts w:ascii="宋体" w:hAnsi="宋体" w:cs="宋体"/>
                <w:color w:val="000000"/>
                <w:sz w:val="18"/>
                <w:szCs w:val="18"/>
              </w:rPr>
            </w:pP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能源属性</w:t>
            </w: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单位产品能耗</w:t>
            </w:r>
            <w:r>
              <w:rPr>
                <w:rFonts w:hint="eastAsia" w:ascii="宋体" w:hAnsi="宋体" w:cs="宋体"/>
                <w:color w:val="000000"/>
                <w:kern w:val="0"/>
                <w:sz w:val="18"/>
                <w:szCs w:val="18"/>
                <w:vertAlign w:val="superscript"/>
                <w:lang w:bidi="ar"/>
              </w:rPr>
              <w:t>c</w:t>
            </w: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漂白化学木浆</w:t>
            </w:r>
          </w:p>
        </w:tc>
        <w:tc>
          <w:tcPr>
            <w:tcW w:w="459"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kgce/Adt</w:t>
            </w:r>
          </w:p>
        </w:tc>
        <w:tc>
          <w:tcPr>
            <w:tcW w:w="1068" w:type="pct"/>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Style w:val="220"/>
                <w:rFonts w:hint="eastAsia" w:ascii="宋体" w:hAnsi="宋体" w:cs="宋体"/>
                <w:lang w:bidi="ar"/>
              </w:rPr>
              <w:t>300</w:t>
            </w:r>
          </w:p>
        </w:tc>
        <w:tc>
          <w:tcPr>
            <w:tcW w:w="1002" w:type="pct"/>
            <w:vMerge w:val="restart"/>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依据附录B.2进行测算并提供证明材料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未漂化学木浆</w:t>
            </w:r>
          </w:p>
        </w:tc>
        <w:tc>
          <w:tcPr>
            <w:tcW w:w="459" w:type="pct"/>
            <w:vMerge w:val="continue"/>
            <w:vAlign w:val="center"/>
          </w:tcPr>
          <w:p>
            <w:pPr>
              <w:jc w:val="center"/>
              <w:rPr>
                <w:rFonts w:ascii="宋体" w:hAnsi="宋体" w:cs="宋体"/>
                <w:color w:val="000000"/>
                <w:sz w:val="18"/>
                <w:szCs w:val="18"/>
              </w:rPr>
            </w:pPr>
          </w:p>
        </w:tc>
        <w:tc>
          <w:tcPr>
            <w:tcW w:w="1068" w:type="pct"/>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Style w:val="220"/>
                <w:rFonts w:hint="eastAsia" w:ascii="宋体" w:hAnsi="宋体" w:cs="宋体"/>
                <w:lang w:bidi="ar"/>
              </w:rPr>
              <w:t>250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漂白</w:t>
            </w:r>
            <w:r>
              <w:rPr>
                <w:rStyle w:val="219"/>
                <w:rFonts w:hint="default"/>
                <w:sz w:val="18"/>
                <w:szCs w:val="18"/>
                <w:lang w:bidi="ar"/>
              </w:rPr>
              <w:t>化学非木浆</w:t>
            </w:r>
          </w:p>
        </w:tc>
        <w:tc>
          <w:tcPr>
            <w:tcW w:w="459" w:type="pct"/>
            <w:vMerge w:val="continue"/>
            <w:vAlign w:val="center"/>
          </w:tcPr>
          <w:p>
            <w:pPr>
              <w:jc w:val="center"/>
              <w:rPr>
                <w:rFonts w:ascii="宋体" w:hAnsi="宋体" w:cs="宋体"/>
                <w:color w:val="000000"/>
                <w:sz w:val="18"/>
                <w:szCs w:val="18"/>
              </w:rPr>
            </w:pPr>
          </w:p>
        </w:tc>
        <w:tc>
          <w:tcPr>
            <w:tcW w:w="1068" w:type="pct"/>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Style w:val="220"/>
                <w:rFonts w:hint="eastAsia" w:ascii="宋体" w:hAnsi="宋体" w:cs="宋体"/>
                <w:lang w:bidi="ar"/>
              </w:rPr>
              <w:t>370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未漂化学非木浆</w:t>
            </w:r>
          </w:p>
        </w:tc>
        <w:tc>
          <w:tcPr>
            <w:tcW w:w="459" w:type="pct"/>
            <w:vMerge w:val="continue"/>
            <w:vAlign w:val="center"/>
          </w:tcPr>
          <w:p>
            <w:pPr>
              <w:jc w:val="center"/>
              <w:rPr>
                <w:rFonts w:ascii="宋体" w:hAnsi="宋体" w:cs="宋体"/>
                <w:color w:val="000000"/>
                <w:sz w:val="18"/>
                <w:szCs w:val="18"/>
              </w:rPr>
            </w:pPr>
          </w:p>
        </w:tc>
        <w:tc>
          <w:tcPr>
            <w:tcW w:w="1068" w:type="pct"/>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Style w:val="220"/>
                <w:rFonts w:hint="eastAsia" w:ascii="宋体" w:hAnsi="宋体" w:cs="宋体"/>
                <w:lang w:bidi="ar"/>
              </w:rPr>
              <w:t>320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化学机械浆及机械浆</w:t>
            </w:r>
          </w:p>
        </w:tc>
        <w:tc>
          <w:tcPr>
            <w:tcW w:w="459" w:type="pct"/>
            <w:vMerge w:val="continue"/>
            <w:vAlign w:val="center"/>
          </w:tcPr>
          <w:p>
            <w:pPr>
              <w:jc w:val="center"/>
              <w:rPr>
                <w:rFonts w:ascii="宋体" w:hAnsi="宋体" w:cs="宋体"/>
                <w:color w:val="000000"/>
                <w:sz w:val="18"/>
                <w:szCs w:val="18"/>
              </w:rPr>
            </w:pPr>
          </w:p>
        </w:tc>
        <w:tc>
          <w:tcPr>
            <w:tcW w:w="1068" w:type="pct"/>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Style w:val="220"/>
                <w:rFonts w:hint="eastAsia" w:ascii="宋体" w:hAnsi="宋体" w:cs="宋体"/>
                <w:lang w:bidi="ar"/>
              </w:rPr>
              <w:t>320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溶解木浆</w:t>
            </w:r>
          </w:p>
        </w:tc>
        <w:tc>
          <w:tcPr>
            <w:tcW w:w="459" w:type="pct"/>
            <w:vMerge w:val="continue"/>
            <w:vAlign w:val="center"/>
          </w:tcPr>
          <w:p>
            <w:pPr>
              <w:jc w:val="center"/>
              <w:rPr>
                <w:rFonts w:ascii="宋体" w:hAnsi="宋体" w:cs="宋体"/>
                <w:color w:val="000000"/>
                <w:sz w:val="18"/>
                <w:szCs w:val="18"/>
              </w:rPr>
            </w:pPr>
          </w:p>
        </w:tc>
        <w:tc>
          <w:tcPr>
            <w:tcW w:w="1068" w:type="pct"/>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Style w:val="220"/>
                <w:rFonts w:hint="eastAsia" w:ascii="宋体" w:hAnsi="宋体" w:cs="宋体"/>
                <w:lang w:bidi="ar"/>
              </w:rPr>
              <w:t>380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溶解非木浆</w:t>
            </w:r>
          </w:p>
        </w:tc>
        <w:tc>
          <w:tcPr>
            <w:tcW w:w="459" w:type="pct"/>
            <w:vMerge w:val="continue"/>
            <w:vAlign w:val="center"/>
          </w:tcPr>
          <w:p>
            <w:pPr>
              <w:jc w:val="center"/>
              <w:rPr>
                <w:rFonts w:ascii="宋体" w:hAnsi="宋体" w:cs="宋体"/>
                <w:color w:val="000000"/>
                <w:sz w:val="18"/>
                <w:szCs w:val="18"/>
              </w:rPr>
            </w:pPr>
          </w:p>
        </w:tc>
        <w:tc>
          <w:tcPr>
            <w:tcW w:w="1068" w:type="pct"/>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Style w:val="220"/>
                <w:rFonts w:hint="eastAsia" w:ascii="宋体" w:hAnsi="宋体" w:cs="宋体"/>
                <w:lang w:bidi="ar"/>
              </w:rPr>
              <w:t>450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70"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环境属性</w:t>
            </w:r>
          </w:p>
        </w:tc>
        <w:tc>
          <w:tcPr>
            <w:tcW w:w="2100" w:type="pct"/>
            <w:gridSpan w:val="4"/>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水重复利用率</w:t>
            </w:r>
          </w:p>
        </w:tc>
        <w:tc>
          <w:tcPr>
            <w:tcW w:w="459"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Style w:val="218"/>
                <w:rFonts w:hint="eastAsia" w:ascii="宋体" w:hAnsi="宋体" w:cs="宋体"/>
                <w:lang w:bidi="ar"/>
              </w:rPr>
              <w:t>90.0</w:t>
            </w:r>
          </w:p>
        </w:tc>
        <w:tc>
          <w:tcPr>
            <w:tcW w:w="1002" w:type="pct"/>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依据附录B.3进行测算并提供证明材料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单位产品废水产生量</w:t>
            </w:r>
          </w:p>
        </w:tc>
        <w:tc>
          <w:tcPr>
            <w:tcW w:w="1599" w:type="pct"/>
            <w:gridSpan w:val="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漂白化学木浆</w:t>
            </w:r>
          </w:p>
        </w:tc>
        <w:tc>
          <w:tcPr>
            <w:tcW w:w="459"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r>
              <w:rPr>
                <w:rFonts w:hint="eastAsia" w:ascii="宋体" w:hAnsi="宋体" w:cs="宋体"/>
                <w:color w:val="000000"/>
                <w:kern w:val="0"/>
                <w:sz w:val="18"/>
                <w:szCs w:val="18"/>
                <w:vertAlign w:val="superscript"/>
                <w:lang w:bidi="ar"/>
              </w:rPr>
              <w:t>3</w:t>
            </w:r>
            <w:r>
              <w:rPr>
                <w:rFonts w:hint="eastAsia" w:ascii="宋体" w:hAnsi="宋体" w:cs="宋体"/>
                <w:color w:val="000000"/>
                <w:kern w:val="0"/>
                <w:sz w:val="18"/>
                <w:szCs w:val="18"/>
                <w:lang w:bidi="ar"/>
              </w:rPr>
              <w:t>/Adt</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Style w:val="221"/>
                <w:rFonts w:hint="default"/>
                <w:lang w:bidi="ar"/>
              </w:rPr>
              <w:t>28.0</w:t>
            </w:r>
          </w:p>
        </w:tc>
        <w:tc>
          <w:tcPr>
            <w:tcW w:w="1002" w:type="pct"/>
            <w:vMerge w:val="restart"/>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依据附录B.4进行测算并提供证明材料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未漂化学木浆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漂白化学非木浆</w:t>
            </w: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竹浆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未漂化学非木浆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化学机械浆及机械浆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溶解木浆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sz w:val="18"/>
                <w:szCs w:val="18"/>
              </w:rPr>
              <w:t>30</w:t>
            </w:r>
            <w:r>
              <w:rPr>
                <w:rFonts w:hint="eastAsia" w:ascii="宋体" w:hAnsi="宋体" w:cs="宋体"/>
                <w:color w:val="000000"/>
                <w:kern w:val="0"/>
                <w:sz w:val="18"/>
                <w:szCs w:val="18"/>
                <w:lang w:bidi="ar"/>
              </w:rPr>
              <w:t>.0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溶解非木浆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sz w:val="18"/>
                <w:szCs w:val="18"/>
              </w:rPr>
              <w:t>3</w:t>
            </w:r>
            <w:r>
              <w:rPr>
                <w:rFonts w:ascii="宋体" w:hAnsi="宋体" w:cs="宋体"/>
                <w:color w:val="000000"/>
                <w:sz w:val="18"/>
                <w:szCs w:val="18"/>
              </w:rPr>
              <w:t>3</w:t>
            </w:r>
            <w:r>
              <w:rPr>
                <w:rFonts w:hint="eastAsia" w:ascii="宋体" w:hAnsi="宋体" w:cs="宋体"/>
                <w:color w:val="000000"/>
                <w:kern w:val="0"/>
                <w:sz w:val="18"/>
                <w:szCs w:val="18"/>
                <w:lang w:bidi="ar"/>
              </w:rPr>
              <w:t>.0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单位产品COD</w:t>
            </w:r>
            <w:r>
              <w:rPr>
                <w:rStyle w:val="222"/>
                <w:rFonts w:hint="default"/>
                <w:lang w:bidi="ar"/>
              </w:rPr>
              <w:t>Cr</w:t>
            </w:r>
            <w:r>
              <w:rPr>
                <w:rStyle w:val="221"/>
                <w:rFonts w:hint="default"/>
                <w:lang w:bidi="ar"/>
              </w:rPr>
              <w:t>产生量</w:t>
            </w: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漂白化学木浆</w:t>
            </w:r>
          </w:p>
        </w:tc>
        <w:tc>
          <w:tcPr>
            <w:tcW w:w="459"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kg/</w:t>
            </w:r>
            <w:r>
              <w:rPr>
                <w:rFonts w:ascii="宋体" w:hAnsi="宋体" w:cs="宋体"/>
                <w:color w:val="000000"/>
                <w:kern w:val="0"/>
                <w:sz w:val="18"/>
                <w:szCs w:val="18"/>
                <w:lang w:bidi="ar"/>
              </w:rPr>
              <w:t>Ad</w:t>
            </w:r>
            <w:r>
              <w:rPr>
                <w:rFonts w:hint="eastAsia" w:ascii="宋体" w:hAnsi="宋体" w:cs="宋体"/>
                <w:color w:val="000000"/>
                <w:kern w:val="0"/>
                <w:sz w:val="18"/>
                <w:szCs w:val="18"/>
                <w:lang w:bidi="ar"/>
              </w:rPr>
              <w:t>t</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002" w:type="pct"/>
            <w:vMerge w:val="restart"/>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依据附录B.5进行测算并提供证明材料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未漂化学木浆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漂白化学非木浆</w:t>
            </w: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竹浆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≤38.0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未漂化学非木浆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化学机械浆及机械浆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溶解木浆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w:t>
            </w:r>
            <w:r>
              <w:rPr>
                <w:rFonts w:ascii="宋体" w:hAnsi="宋体" w:cs="宋体"/>
                <w:color w:val="000000"/>
                <w:sz w:val="18"/>
                <w:szCs w:val="18"/>
              </w:rPr>
              <w:t>35.0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599" w:type="pct"/>
            <w:gridSpan w:val="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溶解非木浆</w:t>
            </w:r>
          </w:p>
        </w:tc>
        <w:tc>
          <w:tcPr>
            <w:tcW w:w="459" w:type="pct"/>
            <w:vMerge w:val="continue"/>
            <w:vAlign w:val="center"/>
          </w:tcPr>
          <w:p>
            <w:pPr>
              <w:jc w:val="center"/>
              <w:rPr>
                <w:rFonts w:ascii="宋体" w:hAnsi="宋体" w:cs="宋体"/>
                <w:color w:val="000000"/>
                <w:sz w:val="18"/>
                <w:szCs w:val="18"/>
              </w:rPr>
            </w:pPr>
          </w:p>
        </w:tc>
        <w:tc>
          <w:tcPr>
            <w:tcW w:w="1068" w:type="pct"/>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w:t>
            </w:r>
            <w:r>
              <w:rPr>
                <w:rFonts w:ascii="宋体" w:hAnsi="宋体" w:cs="宋体"/>
                <w:color w:val="000000"/>
                <w:sz w:val="18"/>
                <w:szCs w:val="18"/>
              </w:rPr>
              <w:t>40.0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center"/>
              <w:rPr>
                <w:rFonts w:ascii="宋体" w:hAnsi="宋体" w:cs="宋体"/>
                <w:color w:val="000000"/>
                <w:sz w:val="18"/>
                <w:szCs w:val="18"/>
              </w:rPr>
            </w:pPr>
          </w:p>
        </w:tc>
        <w:tc>
          <w:tcPr>
            <w:tcW w:w="2100" w:type="pct"/>
            <w:gridSpan w:val="4"/>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可吸附有机卤素（AOX）产生量</w:t>
            </w:r>
            <w:r>
              <w:rPr>
                <w:rFonts w:hint="eastAsia" w:ascii="宋体" w:hAnsi="宋体" w:cs="宋体"/>
                <w:color w:val="000000"/>
                <w:kern w:val="0"/>
                <w:sz w:val="18"/>
                <w:szCs w:val="18"/>
                <w:vertAlign w:val="superscript"/>
                <w:lang w:bidi="ar"/>
              </w:rPr>
              <w:t>d</w:t>
            </w:r>
          </w:p>
        </w:tc>
        <w:tc>
          <w:tcPr>
            <w:tcW w:w="459" w:type="pct"/>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kg/Adt</w:t>
            </w:r>
          </w:p>
        </w:tc>
        <w:tc>
          <w:tcPr>
            <w:tcW w:w="1068" w:type="pct"/>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≤0.2</w:t>
            </w:r>
          </w:p>
        </w:tc>
        <w:tc>
          <w:tcPr>
            <w:tcW w:w="1002" w:type="pct"/>
            <w:vAlign w:val="center"/>
          </w:tcPr>
          <w:p>
            <w:pPr>
              <w:jc w:val="left"/>
              <w:rPr>
                <w:rFonts w:ascii="宋体" w:hAnsi="宋体" w:cs="宋体"/>
                <w:color w:val="000000"/>
                <w:sz w:val="18"/>
                <w:szCs w:val="18"/>
              </w:rPr>
            </w:pPr>
            <w:r>
              <w:rPr>
                <w:rFonts w:hint="eastAsia" w:ascii="宋体" w:hAnsi="宋体" w:cs="宋体"/>
                <w:color w:val="000000"/>
                <w:sz w:val="18"/>
                <w:szCs w:val="18"/>
              </w:rPr>
              <w:t>依据</w:t>
            </w:r>
            <w:r>
              <w:rPr>
                <w:rFonts w:hint="eastAsia" w:ascii="宋体" w:hAnsi="宋体" w:cs="宋体"/>
                <w:color w:val="000000"/>
                <w:kern w:val="0"/>
                <w:sz w:val="18"/>
                <w:szCs w:val="18"/>
                <w:lang w:bidi="ar"/>
              </w:rPr>
              <w:t>附录B.6</w:t>
            </w:r>
            <w:r>
              <w:rPr>
                <w:rFonts w:hint="eastAsia" w:ascii="宋体" w:hAnsi="宋体" w:cs="宋体"/>
                <w:color w:val="000000"/>
                <w:sz w:val="18"/>
                <w:szCs w:val="18"/>
              </w:rPr>
              <w:t>进行测定并提供证明材料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0"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品质属性</w:t>
            </w: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重金属</w:t>
            </w: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食品包装纸及制品用纸浆</w:t>
            </w: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铅</w:t>
            </w:r>
          </w:p>
        </w:tc>
        <w:tc>
          <w:tcPr>
            <w:tcW w:w="459"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02" w:type="pct"/>
            <w:vMerge w:val="restart"/>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依据GB</w:t>
            </w:r>
            <w:r>
              <w:rPr>
                <w:rFonts w:ascii="宋体" w:hAnsi="宋体" w:cs="宋体"/>
                <w:color w:val="000000"/>
                <w:kern w:val="0"/>
                <w:sz w:val="18"/>
                <w:szCs w:val="18"/>
                <w:lang w:bidi="ar"/>
              </w:rPr>
              <w:t xml:space="preserve"> 4806.8</w:t>
            </w:r>
            <w:r>
              <w:rPr>
                <w:rFonts w:hint="eastAsia" w:ascii="宋体" w:hAnsi="宋体" w:cs="宋体"/>
                <w:color w:val="000000"/>
                <w:kern w:val="0"/>
                <w:sz w:val="18"/>
                <w:szCs w:val="18"/>
                <w:lang w:bidi="ar"/>
              </w:rPr>
              <w:t>进行测定并提供证明材料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widowControl/>
              <w:jc w:val="center"/>
              <w:textAlignment w:val="center"/>
              <w:rPr>
                <w:rFonts w:ascii="宋体" w:hAnsi="宋体" w:cs="宋体"/>
                <w:color w:val="000000"/>
                <w:kern w:val="0"/>
                <w:sz w:val="18"/>
                <w:szCs w:val="18"/>
                <w:lang w:bidi="ar"/>
              </w:rPr>
            </w:pPr>
          </w:p>
        </w:tc>
        <w:tc>
          <w:tcPr>
            <w:tcW w:w="501" w:type="pct"/>
            <w:vMerge w:val="continue"/>
            <w:vAlign w:val="center"/>
          </w:tcPr>
          <w:p>
            <w:pPr>
              <w:widowControl/>
              <w:jc w:val="center"/>
              <w:textAlignment w:val="center"/>
              <w:rPr>
                <w:rFonts w:ascii="宋体" w:hAnsi="宋体" w:cs="宋体"/>
                <w:color w:val="000000"/>
                <w:kern w:val="0"/>
                <w:sz w:val="18"/>
                <w:szCs w:val="18"/>
                <w:lang w:bidi="ar"/>
              </w:rPr>
            </w:pPr>
          </w:p>
        </w:tc>
        <w:tc>
          <w:tcPr>
            <w:tcW w:w="501" w:type="pct"/>
            <w:vMerge w:val="continue"/>
            <w:vAlign w:val="center"/>
          </w:tcPr>
          <w:p>
            <w:pPr>
              <w:widowControl/>
              <w:jc w:val="center"/>
              <w:textAlignment w:val="center"/>
              <w:rPr>
                <w:rFonts w:ascii="宋体" w:hAnsi="宋体" w:cs="宋体"/>
                <w:color w:val="000000"/>
                <w:sz w:val="18"/>
                <w:szCs w:val="18"/>
              </w:rPr>
            </w:pPr>
          </w:p>
        </w:tc>
        <w:tc>
          <w:tcPr>
            <w:tcW w:w="1098" w:type="pct"/>
            <w:gridSpan w:val="2"/>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砷</w:t>
            </w:r>
          </w:p>
        </w:tc>
        <w:tc>
          <w:tcPr>
            <w:tcW w:w="459"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02" w:type="pct"/>
            <w:vMerge w:val="continue"/>
            <w:vAlign w:val="center"/>
          </w:tcPr>
          <w:p>
            <w:pPr>
              <w:widowControl/>
              <w:jc w:val="left"/>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70" w:type="pct"/>
            <w:vMerge w:val="continue"/>
            <w:vAlign w:val="center"/>
          </w:tcPr>
          <w:p>
            <w:pPr>
              <w:widowControl/>
              <w:jc w:val="center"/>
              <w:textAlignment w:val="center"/>
              <w:rPr>
                <w:rFonts w:ascii="宋体" w:hAnsi="宋体" w:cs="宋体"/>
                <w:color w:val="000000"/>
                <w:kern w:val="0"/>
                <w:sz w:val="18"/>
                <w:szCs w:val="18"/>
                <w:lang w:bidi="ar"/>
              </w:rPr>
            </w:pPr>
          </w:p>
        </w:tc>
        <w:tc>
          <w:tcPr>
            <w:tcW w:w="501" w:type="pct"/>
            <w:vMerge w:val="continue"/>
            <w:vAlign w:val="center"/>
          </w:tcPr>
          <w:p>
            <w:pPr>
              <w:widowControl/>
              <w:jc w:val="center"/>
              <w:textAlignment w:val="center"/>
              <w:rPr>
                <w:rFonts w:ascii="宋体" w:hAnsi="宋体" w:cs="宋体"/>
                <w:color w:val="000000"/>
                <w:kern w:val="0"/>
                <w:sz w:val="18"/>
                <w:szCs w:val="18"/>
                <w:lang w:bidi="ar"/>
              </w:rPr>
            </w:pPr>
          </w:p>
        </w:tc>
        <w:tc>
          <w:tcPr>
            <w:tcW w:w="501"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其他纸浆</w:t>
            </w:r>
          </w:p>
        </w:tc>
        <w:tc>
          <w:tcPr>
            <w:tcW w:w="1098" w:type="pct"/>
            <w:gridSpan w:val="2"/>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铅</w:t>
            </w:r>
          </w:p>
        </w:tc>
        <w:tc>
          <w:tcPr>
            <w:tcW w:w="459"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≤50.0</w:t>
            </w:r>
          </w:p>
        </w:tc>
        <w:tc>
          <w:tcPr>
            <w:tcW w:w="1002" w:type="pct"/>
            <w:vMerge w:val="restart"/>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依据附录B.8进行测定并提供证明材料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left"/>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汞</w:t>
            </w:r>
          </w:p>
        </w:tc>
        <w:tc>
          <w:tcPr>
            <w:tcW w:w="459" w:type="pct"/>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≤0.5</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left"/>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镉</w:t>
            </w:r>
          </w:p>
        </w:tc>
        <w:tc>
          <w:tcPr>
            <w:tcW w:w="459" w:type="pct"/>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≤0.5</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left"/>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铬</w:t>
            </w:r>
          </w:p>
        </w:tc>
        <w:tc>
          <w:tcPr>
            <w:tcW w:w="459" w:type="pct"/>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pct"/>
            <w:vMerge w:val="continue"/>
            <w:vAlign w:val="center"/>
          </w:tcPr>
          <w:p>
            <w:pPr>
              <w:jc w:val="left"/>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501" w:type="pct"/>
            <w:vMerge w:val="continue"/>
            <w:vAlign w:val="center"/>
          </w:tcPr>
          <w:p>
            <w:pPr>
              <w:jc w:val="center"/>
              <w:rPr>
                <w:rFonts w:ascii="宋体" w:hAnsi="宋体" w:cs="宋体"/>
                <w:color w:val="000000"/>
                <w:sz w:val="18"/>
                <w:szCs w:val="18"/>
              </w:rPr>
            </w:pP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四种元素总量</w:t>
            </w:r>
          </w:p>
        </w:tc>
        <w:tc>
          <w:tcPr>
            <w:tcW w:w="459" w:type="pct"/>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02" w:type="pct"/>
            <w:vMerge w:val="continue"/>
            <w:vAlign w:val="center"/>
          </w:tcPr>
          <w:p>
            <w:pPr>
              <w:jc w:val="left"/>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0" w:type="pct"/>
            <w:vMerge w:val="continue"/>
            <w:vAlign w:val="center"/>
          </w:tcPr>
          <w:p>
            <w:pPr>
              <w:jc w:val="left"/>
              <w:rPr>
                <w:rFonts w:ascii="宋体" w:hAnsi="宋体" w:cs="宋体"/>
                <w:color w:val="000000"/>
                <w:sz w:val="18"/>
                <w:szCs w:val="18"/>
              </w:rPr>
            </w:pPr>
          </w:p>
        </w:tc>
        <w:tc>
          <w:tcPr>
            <w:tcW w:w="1002" w:type="pct"/>
            <w:gridSpan w:val="2"/>
            <w:vMerge w:val="restart"/>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有机氯</w:t>
            </w: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全无氯漂白纸浆</w:t>
            </w:r>
          </w:p>
        </w:tc>
        <w:tc>
          <w:tcPr>
            <w:tcW w:w="459"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0</w:t>
            </w:r>
          </w:p>
        </w:tc>
        <w:tc>
          <w:tcPr>
            <w:tcW w:w="1002" w:type="pct"/>
            <w:vMerge w:val="restart"/>
            <w:vAlign w:val="cente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依据GB/T 22904进行测定并提供证明材料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0" w:type="pct"/>
            <w:vMerge w:val="continue"/>
            <w:vAlign w:val="center"/>
          </w:tcPr>
          <w:p>
            <w:pPr>
              <w:jc w:val="left"/>
              <w:rPr>
                <w:rFonts w:ascii="宋体" w:hAnsi="宋体" w:cs="宋体"/>
                <w:color w:val="000000"/>
                <w:sz w:val="18"/>
                <w:szCs w:val="18"/>
              </w:rPr>
            </w:pPr>
          </w:p>
        </w:tc>
        <w:tc>
          <w:tcPr>
            <w:tcW w:w="1002" w:type="pct"/>
            <w:gridSpan w:val="2"/>
            <w:vMerge w:val="continue"/>
            <w:vAlign w:val="center"/>
          </w:tcPr>
          <w:p>
            <w:pPr>
              <w:widowControl/>
              <w:jc w:val="center"/>
              <w:textAlignment w:val="center"/>
              <w:rPr>
                <w:rFonts w:ascii="宋体" w:hAnsi="宋体" w:cs="宋体"/>
                <w:color w:val="000000"/>
                <w:kern w:val="0"/>
                <w:sz w:val="18"/>
                <w:szCs w:val="18"/>
                <w:lang w:bidi="ar"/>
              </w:rPr>
            </w:pPr>
          </w:p>
        </w:tc>
        <w:tc>
          <w:tcPr>
            <w:tcW w:w="1098" w:type="pct"/>
            <w:gridSpan w:val="2"/>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其他纸浆</w:t>
            </w:r>
          </w:p>
        </w:tc>
        <w:tc>
          <w:tcPr>
            <w:tcW w:w="459" w:type="pct"/>
            <w:vMerge w:val="continue"/>
            <w:vAlign w:val="center"/>
          </w:tcPr>
          <w:p>
            <w:pPr>
              <w:widowControl/>
              <w:jc w:val="center"/>
              <w:textAlignment w:val="center"/>
              <w:rPr>
                <w:rFonts w:ascii="宋体" w:hAnsi="宋体" w:cs="宋体"/>
                <w:color w:val="000000"/>
                <w:kern w:val="0"/>
                <w:sz w:val="18"/>
                <w:szCs w:val="18"/>
                <w:lang w:bidi="ar"/>
              </w:rPr>
            </w:pP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≤150</w:t>
            </w:r>
          </w:p>
        </w:tc>
        <w:tc>
          <w:tcPr>
            <w:tcW w:w="1002" w:type="pct"/>
            <w:vMerge w:val="continue"/>
            <w:vAlign w:val="center"/>
          </w:tcPr>
          <w:p>
            <w:pPr>
              <w:widowControl/>
              <w:jc w:val="left"/>
              <w:textAlignment w:val="top"/>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0" w:type="pct"/>
            <w:vMerge w:val="continue"/>
            <w:vAlign w:val="center"/>
          </w:tcPr>
          <w:p>
            <w:pPr>
              <w:jc w:val="left"/>
              <w:rPr>
                <w:rFonts w:ascii="宋体" w:hAnsi="宋体" w:cs="宋体"/>
                <w:color w:val="000000"/>
                <w:sz w:val="18"/>
                <w:szCs w:val="18"/>
              </w:rPr>
            </w:pPr>
          </w:p>
        </w:tc>
        <w:tc>
          <w:tcPr>
            <w:tcW w:w="2100" w:type="pct"/>
            <w:gridSpan w:val="4"/>
            <w:vAlign w:val="center"/>
          </w:tcPr>
          <w:p>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可迁移性荧光物质</w:t>
            </w:r>
          </w:p>
        </w:tc>
        <w:tc>
          <w:tcPr>
            <w:tcW w:w="459"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无</w:t>
            </w:r>
          </w:p>
        </w:tc>
        <w:tc>
          <w:tcPr>
            <w:tcW w:w="1002" w:type="pct"/>
            <w:vAlign w:val="center"/>
          </w:tcPr>
          <w:p>
            <w:pPr>
              <w:jc w:val="left"/>
              <w:rPr>
                <w:rFonts w:ascii="宋体" w:hAnsi="宋体" w:cs="宋体"/>
                <w:color w:val="000000"/>
                <w:sz w:val="18"/>
                <w:szCs w:val="18"/>
              </w:rPr>
            </w:pPr>
            <w:r>
              <w:rPr>
                <w:rFonts w:hint="eastAsia" w:ascii="宋体" w:hAnsi="宋体" w:cs="宋体"/>
                <w:color w:val="000000"/>
                <w:sz w:val="18"/>
                <w:szCs w:val="18"/>
              </w:rPr>
              <w:t>依据GB</w:t>
            </w:r>
            <w:r>
              <w:rPr>
                <w:rFonts w:ascii="宋体" w:hAnsi="宋体" w:cs="宋体"/>
                <w:color w:val="000000"/>
                <w:sz w:val="18"/>
                <w:szCs w:val="18"/>
              </w:rPr>
              <w:t>/</w:t>
            </w:r>
            <w:r>
              <w:rPr>
                <w:rFonts w:hint="eastAsia" w:ascii="宋体" w:hAnsi="宋体" w:cs="宋体"/>
                <w:color w:val="000000"/>
                <w:sz w:val="18"/>
                <w:szCs w:val="18"/>
              </w:rPr>
              <w:t xml:space="preserve">T </w:t>
            </w:r>
            <w:r>
              <w:rPr>
                <w:rFonts w:ascii="宋体" w:hAnsi="宋体" w:cs="宋体"/>
                <w:color w:val="000000"/>
                <w:sz w:val="18"/>
                <w:szCs w:val="18"/>
              </w:rPr>
              <w:t>27741</w:t>
            </w:r>
            <w:r>
              <w:rPr>
                <w:rFonts w:hint="eastAsia" w:ascii="宋体" w:hAnsi="宋体" w:cs="宋体"/>
                <w:color w:val="000000"/>
                <w:sz w:val="18"/>
                <w:szCs w:val="18"/>
              </w:rPr>
              <w:t>—2018第5章进行测定并提供证明材料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0" w:type="pct"/>
            <w:vMerge w:val="continue"/>
            <w:vAlign w:val="center"/>
          </w:tcPr>
          <w:p>
            <w:pPr>
              <w:jc w:val="left"/>
              <w:rPr>
                <w:rFonts w:ascii="宋体" w:hAnsi="宋体" w:cs="宋体"/>
                <w:color w:val="000000"/>
                <w:sz w:val="18"/>
                <w:szCs w:val="18"/>
              </w:rPr>
            </w:pPr>
          </w:p>
        </w:tc>
        <w:tc>
          <w:tcPr>
            <w:tcW w:w="2100" w:type="pct"/>
            <w:gridSpan w:val="4"/>
            <w:vAlign w:val="center"/>
          </w:tcPr>
          <w:p>
            <w:pPr>
              <w:widowControl/>
              <w:textAlignment w:val="center"/>
              <w:rPr>
                <w:rFonts w:ascii="宋体" w:hAnsi="宋体" w:cs="宋体"/>
                <w:color w:val="000000"/>
                <w:kern w:val="0"/>
                <w:sz w:val="18"/>
                <w:szCs w:val="18"/>
                <w:lang w:bidi="ar"/>
              </w:rPr>
            </w:pPr>
            <w:r>
              <w:rPr>
                <w:rFonts w:ascii="宋体" w:hAnsi="宋体" w:cs="宋体"/>
                <w:kern w:val="0"/>
                <w:sz w:val="18"/>
                <w:szCs w:val="18"/>
                <w:lang w:bidi="ar"/>
              </w:rPr>
              <w:t>烷基</w:t>
            </w:r>
            <w:r>
              <w:rPr>
                <w:rFonts w:hint="eastAsia" w:ascii="宋体" w:hAnsi="宋体" w:cs="宋体"/>
                <w:kern w:val="0"/>
                <w:sz w:val="18"/>
                <w:szCs w:val="18"/>
                <w:lang w:bidi="ar"/>
              </w:rPr>
              <w:t>苯</w:t>
            </w:r>
            <w:r>
              <w:rPr>
                <w:rFonts w:ascii="宋体" w:hAnsi="宋体" w:cs="宋体"/>
                <w:kern w:val="0"/>
                <w:sz w:val="18"/>
                <w:szCs w:val="18"/>
                <w:lang w:bidi="ar"/>
              </w:rPr>
              <w:t>酚聚氧乙烯醚</w:t>
            </w:r>
            <w:r>
              <w:rPr>
                <w:rFonts w:hint="eastAsia" w:ascii="宋体" w:hAnsi="宋体" w:cs="宋体"/>
                <w:kern w:val="0"/>
                <w:sz w:val="18"/>
                <w:szCs w:val="18"/>
                <w:lang w:bidi="ar"/>
              </w:rPr>
              <w:t>类</w:t>
            </w:r>
          </w:p>
        </w:tc>
        <w:tc>
          <w:tcPr>
            <w:tcW w:w="459"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不得检出</w:t>
            </w:r>
          </w:p>
        </w:tc>
        <w:tc>
          <w:tcPr>
            <w:tcW w:w="1002" w:type="pct"/>
            <w:vAlign w:val="center"/>
          </w:tcPr>
          <w:p>
            <w:pPr>
              <w:jc w:val="left"/>
              <w:rPr>
                <w:rFonts w:ascii="宋体" w:hAnsi="宋体" w:cs="宋体"/>
                <w:color w:val="000000"/>
                <w:sz w:val="18"/>
                <w:szCs w:val="18"/>
              </w:rPr>
            </w:pPr>
            <w:r>
              <w:rPr>
                <w:rFonts w:hint="eastAsia" w:ascii="宋体" w:hAnsi="宋体" w:cs="宋体"/>
                <w:color w:val="000000"/>
                <w:sz w:val="18"/>
                <w:szCs w:val="18"/>
              </w:rPr>
              <w:t>依据GB/T 39998进行测定并提供证明材料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0" w:type="pct"/>
            <w:vMerge w:val="continue"/>
            <w:vAlign w:val="center"/>
          </w:tcPr>
          <w:p>
            <w:pPr>
              <w:jc w:val="left"/>
              <w:rPr>
                <w:rFonts w:ascii="宋体" w:hAnsi="宋体" w:cs="宋体"/>
                <w:color w:val="000000"/>
                <w:sz w:val="18"/>
                <w:szCs w:val="18"/>
              </w:rPr>
            </w:pPr>
          </w:p>
        </w:tc>
        <w:tc>
          <w:tcPr>
            <w:tcW w:w="2100" w:type="pct"/>
            <w:gridSpan w:val="4"/>
            <w:vAlign w:val="center"/>
          </w:tcPr>
          <w:p>
            <w:pPr>
              <w:widowControl/>
              <w:textAlignment w:val="center"/>
              <w:rPr>
                <w:rFonts w:ascii="宋体" w:hAnsi="宋体" w:cs="宋体"/>
                <w:kern w:val="0"/>
                <w:sz w:val="18"/>
                <w:szCs w:val="18"/>
                <w:lang w:bidi="ar"/>
              </w:rPr>
            </w:pPr>
            <w:r>
              <w:rPr>
                <w:rFonts w:hint="eastAsia" w:ascii="宋体" w:hAnsi="宋体" w:cs="宋体"/>
                <w:color w:val="000000"/>
                <w:kern w:val="0"/>
                <w:sz w:val="18"/>
                <w:szCs w:val="18"/>
                <w:lang w:bidi="ar"/>
              </w:rPr>
              <w:t>9,10-蒽醌</w:t>
            </w:r>
          </w:p>
        </w:tc>
        <w:tc>
          <w:tcPr>
            <w:tcW w:w="459"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≤30</w:t>
            </w:r>
          </w:p>
        </w:tc>
        <w:tc>
          <w:tcPr>
            <w:tcW w:w="1002" w:type="pct"/>
            <w:vAlign w:val="center"/>
          </w:tcPr>
          <w:p>
            <w:pPr>
              <w:widowControl/>
              <w:jc w:val="left"/>
              <w:textAlignment w:val="top"/>
              <w:rPr>
                <w:rFonts w:ascii="宋体" w:hAnsi="宋体" w:cs="宋体"/>
                <w:color w:val="000000"/>
                <w:sz w:val="18"/>
                <w:szCs w:val="18"/>
              </w:rPr>
            </w:pPr>
            <w:r>
              <w:rPr>
                <w:rFonts w:hint="eastAsia" w:ascii="宋体" w:hAnsi="宋体" w:cs="宋体"/>
                <w:color w:val="000000"/>
                <w:sz w:val="18"/>
                <w:szCs w:val="18"/>
              </w:rPr>
              <w:t>依据NY/T 3173进行测定并提供证明材料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0" w:type="pct"/>
            <w:vMerge w:val="continue"/>
            <w:vAlign w:val="center"/>
          </w:tcPr>
          <w:p>
            <w:pPr>
              <w:jc w:val="left"/>
              <w:rPr>
                <w:rFonts w:ascii="宋体" w:hAnsi="宋体" w:cs="宋体"/>
                <w:color w:val="000000"/>
                <w:sz w:val="18"/>
                <w:szCs w:val="18"/>
              </w:rPr>
            </w:pPr>
          </w:p>
        </w:tc>
        <w:tc>
          <w:tcPr>
            <w:tcW w:w="2100" w:type="pct"/>
            <w:gridSpan w:val="4"/>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双酚A</w:t>
            </w:r>
          </w:p>
        </w:tc>
        <w:tc>
          <w:tcPr>
            <w:tcW w:w="459"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mg/kg</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不得检出</w:t>
            </w:r>
          </w:p>
        </w:tc>
        <w:tc>
          <w:tcPr>
            <w:tcW w:w="1002" w:type="pct"/>
            <w:vAlign w:val="cente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依据GB/T 34455进行测定并提供证明材料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0" w:type="pct"/>
            <w:vMerge w:val="continue"/>
            <w:vAlign w:val="center"/>
          </w:tcPr>
          <w:p>
            <w:pPr>
              <w:jc w:val="left"/>
              <w:rPr>
                <w:rFonts w:ascii="宋体" w:hAnsi="宋体" w:cs="宋体"/>
                <w:color w:val="000000"/>
                <w:sz w:val="18"/>
                <w:szCs w:val="18"/>
              </w:rPr>
            </w:pPr>
          </w:p>
        </w:tc>
        <w:tc>
          <w:tcPr>
            <w:tcW w:w="1050" w:type="pct"/>
            <w:gridSpan w:val="3"/>
            <w:vMerge w:val="restart"/>
            <w:vAlign w:val="center"/>
          </w:tcPr>
          <w:p>
            <w:pPr>
              <w:widowControl/>
              <w:textAlignment w:val="center"/>
              <w:rPr>
                <w:rFonts w:ascii="宋体" w:hAnsi="宋体" w:cs="宋体"/>
                <w:color w:val="000000"/>
                <w:sz w:val="18"/>
                <w:szCs w:val="18"/>
              </w:rPr>
            </w:pPr>
            <w:r>
              <w:rPr>
                <w:rFonts w:hint="eastAsia" w:ascii="宋体" w:hAnsi="宋体" w:cs="宋体"/>
                <w:color w:val="000000"/>
                <w:sz w:val="18"/>
                <w:szCs w:val="18"/>
              </w:rPr>
              <w:t>D65亮度</w:t>
            </w:r>
          </w:p>
        </w:tc>
        <w:tc>
          <w:tcPr>
            <w:tcW w:w="1050" w:type="pct"/>
            <w:vAlign w:val="center"/>
          </w:tcPr>
          <w:p>
            <w:pPr>
              <w:widowControl/>
              <w:textAlignment w:val="center"/>
              <w:rPr>
                <w:rFonts w:ascii="宋体" w:hAnsi="宋体" w:cs="宋体"/>
                <w:color w:val="000000"/>
                <w:sz w:val="18"/>
                <w:szCs w:val="18"/>
              </w:rPr>
            </w:pPr>
            <w:r>
              <w:rPr>
                <w:rFonts w:hint="eastAsia" w:ascii="宋体" w:hAnsi="宋体" w:cs="宋体"/>
                <w:color w:val="000000"/>
                <w:sz w:val="18"/>
                <w:szCs w:val="18"/>
              </w:rPr>
              <w:t>漂白木浆</w:t>
            </w:r>
          </w:p>
        </w:tc>
        <w:tc>
          <w:tcPr>
            <w:tcW w:w="459" w:type="pct"/>
            <w:vMerge w:val="restart"/>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w:t>
            </w:r>
          </w:p>
        </w:tc>
        <w:tc>
          <w:tcPr>
            <w:tcW w:w="1068"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sz w:val="18"/>
                <w:szCs w:val="18"/>
              </w:rPr>
              <w:t>88</w:t>
            </w:r>
            <w:r>
              <w:rPr>
                <w:rFonts w:ascii="宋体" w:hAnsi="宋体" w:cs="宋体"/>
                <w:color w:val="000000"/>
                <w:sz w:val="18"/>
                <w:szCs w:val="18"/>
              </w:rPr>
              <w:t>.0</w:t>
            </w:r>
          </w:p>
        </w:tc>
        <w:tc>
          <w:tcPr>
            <w:tcW w:w="1002" w:type="pct"/>
            <w:vMerge w:val="restart"/>
            <w:vAlign w:val="cente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依据QB/T 4125进行测定并提供证明材料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0" w:type="pct"/>
            <w:vMerge w:val="continue"/>
            <w:vAlign w:val="center"/>
          </w:tcPr>
          <w:p>
            <w:pPr>
              <w:jc w:val="left"/>
              <w:rPr>
                <w:rFonts w:ascii="宋体" w:hAnsi="宋体" w:cs="宋体"/>
                <w:color w:val="000000"/>
                <w:sz w:val="18"/>
                <w:szCs w:val="18"/>
              </w:rPr>
            </w:pPr>
          </w:p>
        </w:tc>
        <w:tc>
          <w:tcPr>
            <w:tcW w:w="1050" w:type="pct"/>
            <w:gridSpan w:val="3"/>
            <w:vMerge w:val="continue"/>
            <w:vAlign w:val="center"/>
          </w:tcPr>
          <w:p>
            <w:pPr>
              <w:widowControl/>
              <w:textAlignment w:val="center"/>
              <w:rPr>
                <w:rFonts w:ascii="宋体" w:hAnsi="宋体" w:cs="宋体"/>
                <w:color w:val="000000"/>
                <w:sz w:val="18"/>
                <w:szCs w:val="18"/>
              </w:rPr>
            </w:pPr>
          </w:p>
        </w:tc>
        <w:tc>
          <w:tcPr>
            <w:tcW w:w="1050" w:type="pct"/>
            <w:vAlign w:val="center"/>
          </w:tcPr>
          <w:p>
            <w:pPr>
              <w:widowControl/>
              <w:textAlignment w:val="center"/>
              <w:rPr>
                <w:rFonts w:ascii="宋体" w:hAnsi="宋体" w:cs="宋体"/>
                <w:color w:val="000000"/>
                <w:sz w:val="18"/>
                <w:szCs w:val="18"/>
              </w:rPr>
            </w:pPr>
            <w:r>
              <w:rPr>
                <w:rFonts w:hint="eastAsia" w:ascii="宋体" w:hAnsi="宋体" w:cs="宋体"/>
                <w:color w:val="000000"/>
                <w:sz w:val="18"/>
                <w:szCs w:val="18"/>
              </w:rPr>
              <w:t>漂白非木浆</w:t>
            </w:r>
          </w:p>
        </w:tc>
        <w:tc>
          <w:tcPr>
            <w:tcW w:w="459" w:type="pct"/>
            <w:vMerge w:val="continue"/>
            <w:vAlign w:val="center"/>
          </w:tcPr>
          <w:p>
            <w:pPr>
              <w:widowControl/>
              <w:jc w:val="center"/>
              <w:textAlignment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r>
              <w:rPr>
                <w:rFonts w:hint="eastAsia" w:ascii="宋体" w:hAnsi="宋体" w:cs="宋体"/>
                <w:color w:val="000000"/>
                <w:sz w:val="18"/>
                <w:szCs w:val="18"/>
              </w:rPr>
              <w:t>85</w:t>
            </w:r>
            <w:r>
              <w:rPr>
                <w:rFonts w:ascii="宋体" w:hAnsi="宋体" w:cs="宋体"/>
                <w:color w:val="000000"/>
                <w:sz w:val="18"/>
                <w:szCs w:val="18"/>
              </w:rPr>
              <w:t>.0</w:t>
            </w:r>
          </w:p>
        </w:tc>
        <w:tc>
          <w:tcPr>
            <w:tcW w:w="1002" w:type="pct"/>
            <w:vMerge w:val="continue"/>
            <w:vAlign w:val="center"/>
          </w:tcPr>
          <w:p>
            <w:pPr>
              <w:widowControl/>
              <w:jc w:val="left"/>
              <w:textAlignment w:val="top"/>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0" w:type="pct"/>
            <w:vMerge w:val="continue"/>
            <w:vAlign w:val="center"/>
          </w:tcPr>
          <w:p>
            <w:pPr>
              <w:jc w:val="left"/>
              <w:rPr>
                <w:rFonts w:ascii="宋体" w:hAnsi="宋体" w:cs="宋体"/>
                <w:color w:val="000000"/>
                <w:sz w:val="18"/>
                <w:szCs w:val="18"/>
              </w:rPr>
            </w:pPr>
          </w:p>
        </w:tc>
        <w:tc>
          <w:tcPr>
            <w:tcW w:w="1050" w:type="pct"/>
            <w:gridSpan w:val="3"/>
            <w:vMerge w:val="continue"/>
            <w:vAlign w:val="center"/>
          </w:tcPr>
          <w:p>
            <w:pPr>
              <w:widowControl/>
              <w:jc w:val="center"/>
              <w:textAlignment w:val="center"/>
              <w:rPr>
                <w:rFonts w:ascii="宋体" w:hAnsi="宋体" w:cs="宋体"/>
                <w:color w:val="000000"/>
                <w:sz w:val="18"/>
                <w:szCs w:val="18"/>
              </w:rPr>
            </w:pPr>
          </w:p>
        </w:tc>
        <w:tc>
          <w:tcPr>
            <w:tcW w:w="1050" w:type="pct"/>
            <w:vAlign w:val="center"/>
          </w:tcPr>
          <w:p>
            <w:pPr>
              <w:widowControl/>
              <w:textAlignment w:val="center"/>
              <w:rPr>
                <w:rFonts w:ascii="宋体" w:hAnsi="宋体" w:cs="宋体"/>
                <w:color w:val="000000"/>
                <w:sz w:val="18"/>
                <w:szCs w:val="18"/>
              </w:rPr>
            </w:pPr>
            <w:r>
              <w:rPr>
                <w:rFonts w:hint="eastAsia" w:ascii="宋体" w:hAnsi="宋体" w:cs="宋体"/>
                <w:color w:val="000000"/>
                <w:sz w:val="18"/>
                <w:szCs w:val="18"/>
              </w:rPr>
              <w:t>本色浆</w:t>
            </w:r>
          </w:p>
        </w:tc>
        <w:tc>
          <w:tcPr>
            <w:tcW w:w="459" w:type="pct"/>
            <w:vMerge w:val="continue"/>
            <w:vAlign w:val="center"/>
          </w:tcPr>
          <w:p>
            <w:pPr>
              <w:widowControl/>
              <w:jc w:val="center"/>
              <w:textAlignment w:val="center"/>
              <w:rPr>
                <w:rFonts w:ascii="宋体" w:hAnsi="宋体" w:cs="宋体"/>
                <w:color w:val="000000"/>
                <w:sz w:val="18"/>
                <w:szCs w:val="18"/>
              </w:rPr>
            </w:pPr>
          </w:p>
        </w:tc>
        <w:tc>
          <w:tcPr>
            <w:tcW w:w="1068" w:type="pct"/>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≤55.0</w:t>
            </w:r>
          </w:p>
        </w:tc>
        <w:tc>
          <w:tcPr>
            <w:tcW w:w="1002" w:type="pct"/>
            <w:vMerge w:val="continue"/>
            <w:vAlign w:val="center"/>
          </w:tcPr>
          <w:p>
            <w:pPr>
              <w:widowControl/>
              <w:jc w:val="left"/>
              <w:textAlignment w:val="top"/>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8"/>
            <w:vAlign w:val="center"/>
          </w:tcPr>
          <w:p>
            <w:pPr>
              <w:widowControl/>
              <w:ind w:firstLine="180" w:firstLineChars="100"/>
              <w:jc w:val="left"/>
              <w:textAlignment w:val="center"/>
              <w:rPr>
                <w:rStyle w:val="221"/>
                <w:rFonts w:hint="default"/>
                <w:vertAlign w:val="superscript"/>
                <w:lang w:bidi="ar"/>
              </w:rPr>
            </w:pPr>
            <w:r>
              <w:rPr>
                <w:rStyle w:val="221"/>
                <w:vertAlign w:val="superscript"/>
                <w:lang w:bidi="ar"/>
              </w:rPr>
              <w:t>a</w:t>
            </w:r>
            <w:r>
              <w:rPr>
                <w:rStyle w:val="221"/>
                <w:rFonts w:hint="default"/>
                <w:vertAlign w:val="superscript"/>
                <w:lang w:bidi="ar"/>
              </w:rPr>
              <w:t xml:space="preserve"> </w:t>
            </w:r>
            <w:r>
              <w:rPr>
                <w:rStyle w:val="221"/>
                <w:rFonts w:hint="default"/>
                <w:vertAlign w:val="superscript"/>
              </w:rPr>
              <w:t xml:space="preserve"> </w:t>
            </w:r>
            <w:r>
              <w:rPr>
                <w:rStyle w:val="221"/>
                <w:lang w:bidi="ar"/>
              </w:rPr>
              <w:t>Adt指吨风干浆。</w:t>
            </w:r>
          </w:p>
          <w:p>
            <w:pPr>
              <w:widowControl/>
              <w:ind w:firstLine="180" w:firstLineChars="100"/>
              <w:jc w:val="left"/>
              <w:textAlignment w:val="center"/>
              <w:rPr>
                <w:rStyle w:val="216"/>
                <w:rFonts w:hint="default"/>
                <w:lang w:bidi="ar"/>
              </w:rPr>
            </w:pPr>
            <w:r>
              <w:rPr>
                <w:rStyle w:val="221"/>
                <w:rFonts w:hint="default"/>
                <w:vertAlign w:val="superscript"/>
                <w:lang w:bidi="ar"/>
              </w:rPr>
              <w:t xml:space="preserve">a  </w:t>
            </w:r>
            <w:r>
              <w:rPr>
                <w:rStyle w:val="221"/>
                <w:rFonts w:hint="default"/>
                <w:lang w:bidi="ar"/>
              </w:rPr>
              <w:t>在生产过程中使用杀菌剂的产品进行考核。</w:t>
            </w:r>
          </w:p>
          <w:p>
            <w:pPr>
              <w:widowControl/>
              <w:ind w:firstLine="180" w:firstLineChars="100"/>
              <w:jc w:val="left"/>
              <w:textAlignment w:val="center"/>
              <w:rPr>
                <w:rStyle w:val="221"/>
                <w:rFonts w:hint="default"/>
                <w:lang w:bidi="ar"/>
              </w:rPr>
            </w:pPr>
            <w:r>
              <w:rPr>
                <w:rStyle w:val="216"/>
                <w:rFonts w:hint="default"/>
                <w:lang w:bidi="ar"/>
              </w:rPr>
              <w:t xml:space="preserve">b  </w:t>
            </w:r>
            <w:r>
              <w:rPr>
                <w:rStyle w:val="221"/>
                <w:rFonts w:hint="default"/>
                <w:lang w:bidi="ar"/>
              </w:rPr>
              <w:t>仅为制浆阶段。</w:t>
            </w:r>
          </w:p>
          <w:p>
            <w:pPr>
              <w:widowControl/>
              <w:ind w:firstLine="180" w:firstLineChars="100"/>
              <w:jc w:val="left"/>
              <w:textAlignment w:val="center"/>
              <w:rPr>
                <w:rStyle w:val="221"/>
                <w:rFonts w:hint="default"/>
                <w:lang w:bidi="ar"/>
              </w:rPr>
            </w:pPr>
            <w:r>
              <w:rPr>
                <w:rStyle w:val="221"/>
                <w:vertAlign w:val="superscript"/>
                <w:lang w:bidi="ar"/>
              </w:rPr>
              <w:t>d</w:t>
            </w:r>
            <w:r>
              <w:rPr>
                <w:rStyle w:val="221"/>
                <w:rFonts w:hint="default"/>
                <w:vertAlign w:val="superscript"/>
                <w:lang w:bidi="ar"/>
              </w:rPr>
              <w:t xml:space="preserve">  </w:t>
            </w:r>
            <w:r>
              <w:rPr>
                <w:rStyle w:val="221"/>
                <w:rFonts w:hint="default"/>
                <w:lang w:bidi="ar"/>
              </w:rPr>
              <w:t>仅经过漂白工艺的纸浆产品考核。</w:t>
            </w:r>
          </w:p>
        </w:tc>
      </w:tr>
    </w:tbl>
    <w:p>
      <w:pPr>
        <w:pStyle w:val="90"/>
      </w:pPr>
    </w:p>
    <w:bookmarkEnd w:id="13"/>
    <w:p>
      <w:pPr>
        <w:pStyle w:val="92"/>
        <w:spacing w:before="156" w:after="156"/>
      </w:pPr>
      <w:r>
        <w:rPr>
          <w:rFonts w:hint="eastAsia"/>
        </w:rPr>
        <w:t>检验方法和指标计算方法</w:t>
      </w:r>
    </w:p>
    <w:p>
      <w:pPr>
        <w:pStyle w:val="90"/>
      </w:pPr>
      <w:r>
        <w:t>检验方法和指标计算方法见附录</w:t>
      </w:r>
      <w:r>
        <w:rPr>
          <w:rFonts w:hint="eastAsia"/>
        </w:rPr>
        <w:t>B。</w:t>
      </w:r>
    </w:p>
    <w:p>
      <w:pPr>
        <w:pStyle w:val="95"/>
        <w:spacing w:before="312" w:after="312"/>
      </w:pPr>
      <w:r>
        <w:t>产品生命周期评价报告编制方法</w:t>
      </w:r>
    </w:p>
    <w:p>
      <w:pPr>
        <w:pStyle w:val="92"/>
        <w:spacing w:before="156" w:after="156"/>
      </w:pPr>
      <w:r>
        <w:t>编制依据</w:t>
      </w:r>
    </w:p>
    <w:p>
      <w:pPr>
        <w:spacing w:before="156" w:beforeLines="50" w:after="156" w:afterLines="50"/>
        <w:ind w:firstLine="420" w:firstLineChars="200"/>
      </w:pPr>
      <w:r>
        <w:t>依</w:t>
      </w:r>
      <w:r>
        <w:rPr>
          <w:rFonts w:asciiTheme="minorEastAsia" w:hAnsiTheme="minorEastAsia" w:eastAsiaTheme="minorEastAsia"/>
        </w:rPr>
        <w:t>据 GB/T 24040、GB/T 24044 和 GB/T 32161 给出的生命周期评价方法学框架及总体要求编制</w:t>
      </w:r>
      <w:r>
        <w:rPr>
          <w:rFonts w:hint="eastAsia" w:asciiTheme="minorEastAsia" w:hAnsiTheme="minorEastAsia" w:eastAsiaTheme="minorEastAsia"/>
        </w:rPr>
        <w:t>纸浆</w:t>
      </w:r>
      <w:r>
        <w:rPr>
          <w:rFonts w:asciiTheme="minorEastAsia" w:hAnsiTheme="minorEastAsia" w:eastAsiaTheme="minorEastAsia"/>
        </w:rPr>
        <w:t>的生命周期评价报告，参见附录</w:t>
      </w:r>
      <w:r>
        <w:rPr>
          <w:rFonts w:hint="eastAsia" w:asciiTheme="minorEastAsia" w:hAnsiTheme="minorEastAsia" w:eastAsiaTheme="minorEastAsia"/>
        </w:rPr>
        <w:t>C</w:t>
      </w:r>
      <w:r>
        <w:rPr>
          <w:rFonts w:asciiTheme="minorEastAsia" w:hAnsiTheme="minorEastAsia" w:eastAsiaTheme="minorEastAsia"/>
        </w:rPr>
        <w:t>。</w:t>
      </w:r>
    </w:p>
    <w:p>
      <w:pPr>
        <w:spacing w:before="156" w:beforeLines="50" w:after="156" w:afterLines="50"/>
        <w:rPr>
          <w:rFonts w:ascii="黑体" w:eastAsia="黑体"/>
          <w:kern w:val="0"/>
          <w:szCs w:val="21"/>
        </w:rPr>
      </w:pPr>
      <w:r>
        <w:rPr>
          <w:rFonts w:ascii="黑体" w:eastAsia="黑体"/>
          <w:kern w:val="0"/>
          <w:szCs w:val="21"/>
        </w:rPr>
        <w:t>5.2</w:t>
      </w:r>
      <w:r>
        <w:rPr>
          <w:rFonts w:hint="eastAsia" w:ascii="黑体" w:eastAsia="黑体"/>
          <w:kern w:val="0"/>
          <w:szCs w:val="21"/>
        </w:rPr>
        <w:t xml:space="preserve">  </w:t>
      </w:r>
      <w:r>
        <w:rPr>
          <w:rFonts w:ascii="黑体" w:eastAsia="黑体"/>
          <w:kern w:val="0"/>
          <w:szCs w:val="21"/>
        </w:rPr>
        <w:t>编制内容</w:t>
      </w:r>
    </w:p>
    <w:p>
      <w:pPr>
        <w:spacing w:before="156" w:beforeLines="50" w:after="156" w:afterLines="50"/>
        <w:rPr>
          <w:rFonts w:ascii="黑体" w:eastAsia="黑体"/>
          <w:kern w:val="0"/>
          <w:szCs w:val="21"/>
        </w:rPr>
      </w:pPr>
      <w:r>
        <w:rPr>
          <w:rFonts w:ascii="黑体" w:eastAsia="黑体"/>
          <w:kern w:val="0"/>
          <w:szCs w:val="21"/>
        </w:rPr>
        <w:t>5.2.1</w:t>
      </w:r>
      <w:r>
        <w:rPr>
          <w:rFonts w:hint="eastAsia" w:ascii="黑体" w:eastAsia="黑体"/>
          <w:kern w:val="0"/>
          <w:szCs w:val="21"/>
        </w:rPr>
        <w:t xml:space="preserve">  </w:t>
      </w:r>
      <w:r>
        <w:rPr>
          <w:rFonts w:ascii="黑体" w:eastAsia="黑体"/>
          <w:kern w:val="0"/>
          <w:szCs w:val="21"/>
        </w:rPr>
        <w:t>基本信息</w:t>
      </w:r>
    </w:p>
    <w:p>
      <w:pPr>
        <w:spacing w:before="156" w:beforeLines="50" w:after="156" w:afterLines="50"/>
        <w:ind w:firstLine="420" w:firstLineChars="200"/>
        <w:rPr>
          <w:rFonts w:hint="eastAsia" w:eastAsia="宋体"/>
          <w:lang w:eastAsia="zh-CN"/>
        </w:rPr>
      </w:pPr>
      <w:r>
        <w:t>报告应提供报告信息、申请者信息、评估对象信息、采用的标准信息等基本信息，其中报告信息包括报告编号、编制人员、审核人员、发布日期等，申请者信息包括公司全称、</w:t>
      </w:r>
      <w:r>
        <w:rPr>
          <w:rFonts w:hint="eastAsia"/>
        </w:rPr>
        <w:t>统一</w:t>
      </w:r>
      <w:r>
        <w:t>社会信用代码、地址、联系人、联系方式等。</w:t>
      </w:r>
    </w:p>
    <w:p>
      <w:pPr>
        <w:spacing w:before="156" w:beforeLines="50" w:after="156" w:afterLines="50"/>
        <w:ind w:firstLine="420" w:firstLineChars="200"/>
        <w:rPr>
          <w:szCs w:val="22"/>
        </w:rPr>
      </w:pPr>
      <w:r>
        <w:rPr>
          <w:rFonts w:hint="eastAsia"/>
        </w:rPr>
        <w:t xml:space="preserve">    </w:t>
      </w:r>
      <w:r>
        <w:t>在报告中应标注产品的主要技术参数和功能，包括：产品名称、产品规格型号、生产厂家等。</w:t>
      </w:r>
    </w:p>
    <w:p>
      <w:pPr>
        <w:spacing w:before="156" w:beforeLines="50" w:after="156" w:afterLines="50"/>
        <w:rPr>
          <w:rFonts w:ascii="黑体" w:eastAsia="黑体"/>
          <w:kern w:val="0"/>
          <w:szCs w:val="21"/>
        </w:rPr>
      </w:pPr>
      <w:r>
        <w:rPr>
          <w:rFonts w:ascii="黑体" w:eastAsia="黑体"/>
          <w:kern w:val="0"/>
          <w:szCs w:val="21"/>
        </w:rPr>
        <w:t>5.2.2</w:t>
      </w:r>
      <w:r>
        <w:rPr>
          <w:rFonts w:hint="eastAsia" w:ascii="黑体" w:eastAsia="黑体"/>
          <w:kern w:val="0"/>
          <w:szCs w:val="21"/>
        </w:rPr>
        <w:t xml:space="preserve">  </w:t>
      </w:r>
      <w:r>
        <w:rPr>
          <w:rFonts w:ascii="黑体" w:eastAsia="黑体"/>
          <w:kern w:val="0"/>
          <w:szCs w:val="21"/>
        </w:rPr>
        <w:t>符合性评价</w:t>
      </w:r>
    </w:p>
    <w:p>
      <w:pPr>
        <w:spacing w:before="156" w:beforeLines="50" w:after="156" w:afterLines="50"/>
        <w:ind w:firstLine="420" w:firstLineChars="200"/>
      </w:pPr>
      <w:r>
        <w:t>报告应提供</w:t>
      </w:r>
      <w:r>
        <w:rPr>
          <w:rFonts w:asciiTheme="minorEastAsia" w:hAnsiTheme="minorEastAsia" w:eastAsiaTheme="minorEastAsia"/>
        </w:rPr>
        <w:t>对基本要求和评价指标要求的符合性情况，并提供所有评价指标报告期比基期改进情况的说明。其中报告期为当前评价的年份，一般是指产品参与评价年份的上一年，基期为一个对照年份，一般报告期提前1年。</w:t>
      </w:r>
    </w:p>
    <w:p>
      <w:pPr>
        <w:spacing w:before="156" w:beforeLines="50" w:after="156" w:afterLines="50"/>
        <w:rPr>
          <w:rFonts w:ascii="黑体" w:eastAsia="黑体"/>
          <w:kern w:val="0"/>
          <w:szCs w:val="21"/>
        </w:rPr>
      </w:pPr>
      <w:r>
        <w:rPr>
          <w:rFonts w:ascii="黑体" w:eastAsia="黑体"/>
          <w:kern w:val="0"/>
          <w:szCs w:val="21"/>
        </w:rPr>
        <w:t>5.2.3</w:t>
      </w:r>
      <w:r>
        <w:rPr>
          <w:rFonts w:hint="eastAsia" w:ascii="黑体" w:eastAsia="黑体"/>
          <w:kern w:val="0"/>
          <w:szCs w:val="21"/>
        </w:rPr>
        <w:t xml:space="preserve">  </w:t>
      </w:r>
      <w:r>
        <w:rPr>
          <w:rFonts w:ascii="黑体" w:eastAsia="黑体"/>
          <w:kern w:val="0"/>
          <w:szCs w:val="21"/>
        </w:rPr>
        <w:t>生命周期评价</w:t>
      </w:r>
    </w:p>
    <w:p>
      <w:pPr>
        <w:spacing w:before="156" w:beforeLines="50" w:after="156" w:afterLines="50"/>
        <w:rPr>
          <w:rFonts w:ascii="黑体" w:eastAsia="黑体"/>
          <w:kern w:val="0"/>
          <w:szCs w:val="21"/>
        </w:rPr>
      </w:pPr>
      <w:r>
        <w:rPr>
          <w:rFonts w:ascii="黑体" w:eastAsia="黑体"/>
          <w:kern w:val="0"/>
          <w:szCs w:val="21"/>
        </w:rPr>
        <w:t>5.2.3.1</w:t>
      </w:r>
      <w:r>
        <w:rPr>
          <w:rFonts w:hint="eastAsia" w:ascii="黑体" w:eastAsia="黑体"/>
          <w:kern w:val="0"/>
          <w:szCs w:val="21"/>
        </w:rPr>
        <w:t xml:space="preserve">  </w:t>
      </w:r>
      <w:r>
        <w:rPr>
          <w:rFonts w:ascii="黑体" w:eastAsia="黑体"/>
          <w:kern w:val="0"/>
          <w:szCs w:val="21"/>
        </w:rPr>
        <w:t>评价对象及工具</w:t>
      </w:r>
    </w:p>
    <w:p>
      <w:pPr>
        <w:spacing w:before="156" w:beforeLines="50" w:after="156" w:afterLines="50"/>
        <w:ind w:firstLine="420" w:firstLineChars="200"/>
        <w:rPr>
          <w:rFonts w:hint="eastAsia" w:asciiTheme="minorEastAsia" w:hAnsiTheme="minorEastAsia" w:eastAsiaTheme="minorEastAsia"/>
          <w:lang w:eastAsia="zh-CN"/>
        </w:rPr>
      </w:pPr>
      <w:r>
        <w:t>报告应详</w:t>
      </w:r>
      <w:r>
        <w:rPr>
          <w:rFonts w:asciiTheme="minorEastAsia" w:hAnsiTheme="minorEastAsia" w:eastAsiaTheme="minorEastAsia"/>
        </w:rPr>
        <w:t>细描述评估的对象、功能单位和产品的主要功能，提供产品的材料构成及主要技术参数表，绘制并说明产品的系统边界，披露所使用的生命周期评价工具。</w:t>
      </w:r>
    </w:p>
    <w:p>
      <w:pPr>
        <w:spacing w:before="156" w:beforeLines="50" w:after="156" w:afterLines="50"/>
        <w:ind w:firstLine="420" w:firstLineChars="200"/>
      </w:pPr>
      <w:r>
        <w:rPr>
          <w:rFonts w:hint="eastAsia" w:asciiTheme="minorEastAsia" w:hAnsiTheme="minorEastAsia" w:eastAsiaTheme="minorEastAsia"/>
        </w:rPr>
        <w:t xml:space="preserve">    </w:t>
      </w:r>
      <w:r>
        <w:rPr>
          <w:rFonts w:asciiTheme="minorEastAsia" w:hAnsiTheme="minorEastAsia" w:eastAsiaTheme="minorEastAsia"/>
        </w:rPr>
        <w:t>本标准可用1000 kg</w:t>
      </w:r>
      <w:r>
        <w:rPr>
          <w:rFonts w:hint="eastAsia" w:asciiTheme="minorEastAsia" w:hAnsiTheme="minorEastAsia" w:eastAsiaTheme="minorEastAsia"/>
        </w:rPr>
        <w:t>纸浆</w:t>
      </w:r>
      <w:r>
        <w:rPr>
          <w:rFonts w:asciiTheme="minorEastAsia" w:hAnsiTheme="minorEastAsia" w:eastAsiaTheme="minorEastAsia"/>
        </w:rPr>
        <w:t>为功能单位来表示。参见</w:t>
      </w:r>
      <w:r>
        <w:rPr>
          <w:rFonts w:hint="eastAsia" w:asciiTheme="minorEastAsia" w:hAnsiTheme="minorEastAsia" w:eastAsiaTheme="minorEastAsia"/>
        </w:rPr>
        <w:t>C</w:t>
      </w:r>
      <w:r>
        <w:rPr>
          <w:rFonts w:asciiTheme="minorEastAsia" w:hAnsiTheme="minorEastAsia" w:eastAsiaTheme="minorEastAsia"/>
        </w:rPr>
        <w:t>.2.1。</w:t>
      </w:r>
    </w:p>
    <w:p>
      <w:pPr>
        <w:spacing w:before="156" w:beforeLines="50" w:after="156" w:afterLines="50"/>
        <w:rPr>
          <w:rFonts w:ascii="黑体" w:eastAsia="黑体"/>
          <w:kern w:val="0"/>
          <w:szCs w:val="21"/>
        </w:rPr>
      </w:pPr>
      <w:r>
        <w:rPr>
          <w:rFonts w:ascii="黑体" w:eastAsia="黑体"/>
          <w:kern w:val="0"/>
          <w:szCs w:val="21"/>
        </w:rPr>
        <w:t>5.2.3.2</w:t>
      </w:r>
      <w:r>
        <w:rPr>
          <w:rFonts w:hint="eastAsia" w:ascii="黑体" w:eastAsia="黑体"/>
          <w:kern w:val="0"/>
          <w:szCs w:val="21"/>
        </w:rPr>
        <w:t xml:space="preserve">  </w:t>
      </w:r>
      <w:r>
        <w:rPr>
          <w:rFonts w:ascii="黑体" w:eastAsia="黑体"/>
          <w:kern w:val="0"/>
          <w:szCs w:val="21"/>
        </w:rPr>
        <w:t>生命周期清单分析</w:t>
      </w:r>
    </w:p>
    <w:p>
      <w:pPr>
        <w:spacing w:before="156" w:beforeLines="50" w:after="156" w:afterLines="50"/>
        <w:ind w:firstLine="420" w:firstLineChars="200"/>
        <w:rPr>
          <w:rFonts w:asciiTheme="minorEastAsia" w:hAnsiTheme="minorEastAsia" w:eastAsiaTheme="minorEastAsia"/>
        </w:rPr>
      </w:pPr>
      <w:r>
        <w:t>报告中应提供</w:t>
      </w:r>
      <w:r>
        <w:rPr>
          <w:rFonts w:asciiTheme="minorEastAsia" w:hAnsiTheme="minorEastAsia" w:eastAsiaTheme="minorEastAsia"/>
        </w:rPr>
        <w:t>考虑的生命周期阶段，说明每个阶段所考虑的各项消耗排放清单数据清单因子及收集到的现场数据或背景数据。参见</w:t>
      </w:r>
      <w:r>
        <w:rPr>
          <w:rFonts w:hint="eastAsia" w:asciiTheme="minorEastAsia" w:hAnsiTheme="minorEastAsia" w:eastAsiaTheme="minorEastAsia"/>
        </w:rPr>
        <w:t>C</w:t>
      </w:r>
      <w:r>
        <w:rPr>
          <w:rFonts w:asciiTheme="minorEastAsia" w:hAnsiTheme="minorEastAsia" w:eastAsiaTheme="minorEastAsia"/>
        </w:rPr>
        <w:t>.3.3。</w:t>
      </w:r>
    </w:p>
    <w:p>
      <w:pPr>
        <w:spacing w:before="156" w:beforeLines="50" w:after="156" w:afterLines="50"/>
        <w:rPr>
          <w:rFonts w:ascii="黑体" w:eastAsia="黑体"/>
          <w:kern w:val="0"/>
          <w:szCs w:val="21"/>
        </w:rPr>
      </w:pPr>
      <w:r>
        <w:rPr>
          <w:rFonts w:ascii="黑体" w:eastAsia="黑体"/>
          <w:kern w:val="0"/>
          <w:szCs w:val="21"/>
        </w:rPr>
        <w:t>5.2.3.3</w:t>
      </w:r>
      <w:r>
        <w:rPr>
          <w:rFonts w:hint="eastAsia" w:ascii="黑体" w:eastAsia="黑体"/>
          <w:kern w:val="0"/>
          <w:szCs w:val="21"/>
        </w:rPr>
        <w:t xml:space="preserve">  </w:t>
      </w:r>
      <w:r>
        <w:rPr>
          <w:rFonts w:ascii="黑体" w:eastAsia="黑体"/>
          <w:kern w:val="0"/>
          <w:szCs w:val="21"/>
        </w:rPr>
        <w:t>生命周期影响评价</w:t>
      </w:r>
    </w:p>
    <w:p>
      <w:pPr>
        <w:spacing w:before="156" w:beforeLines="50" w:after="156" w:afterLines="50"/>
        <w:ind w:firstLine="420" w:firstLineChars="200"/>
        <w:rPr>
          <w:szCs w:val="22"/>
        </w:rPr>
      </w:pPr>
      <w:r>
        <w:t>报告中应提</w:t>
      </w:r>
      <w:r>
        <w:rPr>
          <w:rFonts w:asciiTheme="minorEastAsia" w:hAnsiTheme="minorEastAsia" w:eastAsiaTheme="minorEastAsia"/>
        </w:rPr>
        <w:t>供产品生命周期各阶段的不同影响类型的特征化结果，并对不同影响类在各生命周期阶段的分布情况进行比较分析。参见</w:t>
      </w:r>
      <w:r>
        <w:rPr>
          <w:rFonts w:hint="eastAsia" w:asciiTheme="minorEastAsia" w:hAnsiTheme="minorEastAsia" w:eastAsiaTheme="minorEastAsia"/>
        </w:rPr>
        <w:t>C</w:t>
      </w:r>
      <w:r>
        <w:rPr>
          <w:rFonts w:asciiTheme="minorEastAsia" w:hAnsiTheme="minorEastAsia" w:eastAsiaTheme="minorEastAsia"/>
        </w:rPr>
        <w:t>.4。</w:t>
      </w:r>
    </w:p>
    <w:p>
      <w:pPr>
        <w:spacing w:before="156" w:beforeLines="50" w:after="156" w:afterLines="50"/>
        <w:rPr>
          <w:rFonts w:ascii="黑体" w:eastAsia="黑体"/>
          <w:kern w:val="0"/>
          <w:szCs w:val="21"/>
        </w:rPr>
      </w:pPr>
      <w:r>
        <w:rPr>
          <w:rFonts w:ascii="黑体" w:eastAsia="黑体"/>
          <w:kern w:val="0"/>
          <w:szCs w:val="21"/>
        </w:rPr>
        <w:t>5.2.3.4</w:t>
      </w:r>
      <w:r>
        <w:rPr>
          <w:rFonts w:hint="eastAsia" w:ascii="黑体" w:eastAsia="黑体"/>
          <w:kern w:val="0"/>
          <w:szCs w:val="21"/>
        </w:rPr>
        <w:t xml:space="preserve">  </w:t>
      </w:r>
      <w:r>
        <w:rPr>
          <w:rFonts w:ascii="黑体" w:eastAsia="黑体"/>
          <w:kern w:val="0"/>
          <w:szCs w:val="21"/>
        </w:rPr>
        <w:t>绿色设计改进方案建议</w:t>
      </w:r>
    </w:p>
    <w:p>
      <w:pPr>
        <w:spacing w:before="156" w:beforeLines="50" w:after="156" w:afterLines="50"/>
        <w:ind w:firstLine="420" w:firstLineChars="200"/>
      </w:pPr>
      <w:r>
        <w:t>在分析指标的符合性评价结果以及生命周期评价结果的基础上，提出</w:t>
      </w:r>
      <w:r>
        <w:rPr>
          <w:rFonts w:hint="eastAsia"/>
        </w:rPr>
        <w:t>纸浆产品</w:t>
      </w:r>
      <w:r>
        <w:t>绿色设计改进的具体方案建议。</w:t>
      </w:r>
    </w:p>
    <w:p>
      <w:pPr>
        <w:spacing w:before="156" w:beforeLines="50" w:after="156" w:afterLines="50"/>
        <w:ind w:left="420" w:hanging="420" w:hangingChars="200"/>
        <w:rPr>
          <w:rFonts w:ascii="黑体" w:eastAsia="黑体"/>
          <w:kern w:val="0"/>
          <w:szCs w:val="21"/>
        </w:rPr>
      </w:pPr>
      <w:r>
        <w:rPr>
          <w:rFonts w:ascii="黑体" w:eastAsia="黑体"/>
          <w:kern w:val="0"/>
          <w:szCs w:val="21"/>
        </w:rPr>
        <w:t>5.2.4</w:t>
      </w:r>
      <w:r>
        <w:rPr>
          <w:rFonts w:hint="eastAsia" w:ascii="黑体" w:eastAsia="黑体"/>
          <w:kern w:val="0"/>
          <w:szCs w:val="21"/>
        </w:rPr>
        <w:t xml:space="preserve">  </w:t>
      </w:r>
      <w:r>
        <w:rPr>
          <w:rFonts w:ascii="黑体" w:eastAsia="黑体"/>
          <w:kern w:val="0"/>
          <w:szCs w:val="21"/>
        </w:rPr>
        <w:t>评价报告主要结论</w:t>
      </w:r>
    </w:p>
    <w:p>
      <w:pPr>
        <w:ind w:firstLine="420" w:firstLineChars="200"/>
      </w:pPr>
      <w:r>
        <w:t>应说明该产品对评价指标的符合性结论、生命周期评价结果、提出的改进方案建议，并根据评价结论初步判断该产品是否为绿色设计产品。</w:t>
      </w:r>
    </w:p>
    <w:p>
      <w:pPr>
        <w:spacing w:before="156" w:beforeLines="50" w:after="156" w:afterLines="50"/>
        <w:rPr>
          <w:rFonts w:ascii="黑体" w:eastAsia="黑体"/>
          <w:kern w:val="0"/>
          <w:szCs w:val="21"/>
        </w:rPr>
      </w:pPr>
      <w:r>
        <w:rPr>
          <w:rFonts w:ascii="黑体" w:eastAsia="黑体"/>
          <w:kern w:val="0"/>
          <w:szCs w:val="21"/>
        </w:rPr>
        <w:t>5.2.5</w:t>
      </w:r>
      <w:r>
        <w:rPr>
          <w:rFonts w:hint="eastAsia" w:ascii="黑体" w:eastAsia="黑体"/>
          <w:kern w:val="0"/>
          <w:szCs w:val="21"/>
        </w:rPr>
        <w:t xml:space="preserve">  </w:t>
      </w:r>
      <w:r>
        <w:rPr>
          <w:rFonts w:ascii="黑体" w:eastAsia="黑体"/>
          <w:kern w:val="0"/>
          <w:szCs w:val="21"/>
        </w:rPr>
        <w:t>附件</w:t>
      </w:r>
    </w:p>
    <w:p>
      <w:pPr>
        <w:ind w:left="420" w:leftChars="200"/>
      </w:pPr>
      <w:r>
        <w:t>报告中应在附件中提供：</w:t>
      </w:r>
    </w:p>
    <w:p>
      <w:pPr>
        <w:ind w:left="420" w:leftChars="200"/>
        <w:rPr>
          <w:rFonts w:ascii="宋体" w:hAnsi="宋体" w:cs="宋体"/>
        </w:rPr>
      </w:pPr>
      <w:r>
        <w:t>——</w:t>
      </w:r>
      <w:r>
        <w:rPr>
          <w:rFonts w:hint="eastAsia"/>
        </w:rPr>
        <w:t>如产品为木浆，则应报告纤维原料</w:t>
      </w:r>
      <w:r>
        <w:rPr>
          <w:rFonts w:hint="eastAsia" w:ascii="宋体" w:hAnsi="宋体" w:cs="宋体"/>
        </w:rPr>
        <w:t>树种；</w:t>
      </w:r>
    </w:p>
    <w:p>
      <w:pPr>
        <w:ind w:left="420" w:leftChars="200"/>
        <w:rPr>
          <w:rFonts w:hint="eastAsia" w:ascii="宋体" w:hAnsi="宋体" w:eastAsia="宋体" w:cs="宋体"/>
          <w:lang w:eastAsia="zh-CN"/>
        </w:rPr>
      </w:pPr>
      <w:r>
        <w:t>——</w:t>
      </w:r>
      <w:r>
        <w:rPr>
          <w:rFonts w:hint="eastAsia" w:ascii="宋体" w:hAnsi="宋体" w:cs="宋体"/>
        </w:rPr>
        <w:t>如产品使用杀菌剂，则应报告杀菌剂的使用</w:t>
      </w:r>
      <w:r>
        <w:rPr>
          <w:rFonts w:hint="eastAsia" w:ascii="宋体" w:hAnsi="宋体" w:cs="宋体"/>
          <w:kern w:val="0"/>
          <w:szCs w:val="21"/>
          <w:lang w:bidi="ar"/>
        </w:rPr>
        <w:t>清单</w:t>
      </w:r>
      <w:r>
        <w:rPr>
          <w:rFonts w:hint="eastAsia" w:ascii="宋体" w:hAnsi="宋体" w:cs="宋体"/>
        </w:rPr>
        <w:t>；</w:t>
      </w:r>
    </w:p>
    <w:p>
      <w:pPr>
        <w:ind w:left="420" w:leftChars="200"/>
        <w:rPr>
          <w:rFonts w:hint="eastAsia" w:eastAsia="宋体"/>
          <w:lang w:eastAsia="zh-CN"/>
        </w:rPr>
      </w:pPr>
      <w:r>
        <w:rPr>
          <w:rFonts w:ascii="TimesNewRomanPSMT" w:hAnsi="TimesNewRomanPSMT"/>
        </w:rPr>
        <w:t>——</w:t>
      </w:r>
      <w:r>
        <w:t>产品原始生产材料清单；</w:t>
      </w:r>
    </w:p>
    <w:p>
      <w:pPr>
        <w:ind w:left="420" w:leftChars="200"/>
        <w:rPr>
          <w:rFonts w:hint="eastAsia" w:eastAsia="宋体"/>
          <w:lang w:eastAsia="zh-CN"/>
        </w:rPr>
      </w:pPr>
      <w:r>
        <w:rPr>
          <w:rFonts w:ascii="TimesNewRomanPSMT" w:hAnsi="TimesNewRomanPSMT"/>
        </w:rPr>
        <w:t>——</w:t>
      </w:r>
      <w:r>
        <w:t>产品质量检测报告；</w:t>
      </w:r>
    </w:p>
    <w:p>
      <w:pPr>
        <w:ind w:left="420" w:leftChars="200"/>
        <w:rPr>
          <w:rFonts w:hint="eastAsia" w:eastAsia="宋体"/>
          <w:lang w:eastAsia="zh-CN"/>
        </w:rPr>
      </w:pPr>
      <w:r>
        <w:rPr>
          <w:rFonts w:ascii="TimesNewRomanPSMT" w:hAnsi="TimesNewRomanPSMT"/>
        </w:rPr>
        <w:t>——</w:t>
      </w:r>
      <w:r>
        <w:t>产品基本工艺流程；</w:t>
      </w:r>
    </w:p>
    <w:p>
      <w:pPr>
        <w:ind w:left="420" w:leftChars="200"/>
        <w:rPr>
          <w:rFonts w:hint="eastAsia" w:eastAsia="宋体"/>
          <w:lang w:eastAsia="zh-CN"/>
        </w:rPr>
      </w:pPr>
      <w:r>
        <w:rPr>
          <w:rFonts w:ascii="TimesNewRomanPSMT" w:hAnsi="TimesNewRomanPSMT"/>
        </w:rPr>
        <w:t>——</w:t>
      </w:r>
      <w:r>
        <w:t>各单元过程的数据收集表；</w:t>
      </w:r>
    </w:p>
    <w:p>
      <w:pPr>
        <w:ind w:left="420" w:leftChars="200"/>
      </w:pPr>
      <w:r>
        <w:rPr>
          <w:rFonts w:ascii="TimesNewRomanPSMT" w:hAnsi="TimesNewRomanPSMT"/>
        </w:rPr>
        <w:t>——</w:t>
      </w:r>
      <w:r>
        <w:t>其他。</w:t>
      </w:r>
    </w:p>
    <w:p>
      <w:pPr>
        <w:spacing w:before="312" w:beforeLines="100" w:after="312" w:afterLines="100"/>
        <w:rPr>
          <w:rFonts w:ascii="黑体" w:eastAsia="黑体"/>
          <w:kern w:val="0"/>
          <w:szCs w:val="20"/>
        </w:rPr>
      </w:pPr>
      <w:r>
        <w:rPr>
          <w:rFonts w:ascii="黑体" w:eastAsia="黑体"/>
          <w:kern w:val="0"/>
          <w:szCs w:val="20"/>
        </w:rPr>
        <w:t>6</w:t>
      </w:r>
      <w:r>
        <w:rPr>
          <w:rFonts w:hint="eastAsia" w:ascii="黑体" w:eastAsia="黑体"/>
          <w:kern w:val="0"/>
          <w:szCs w:val="20"/>
        </w:rPr>
        <w:t xml:space="preserve">  </w:t>
      </w:r>
      <w:r>
        <w:rPr>
          <w:rFonts w:ascii="黑体" w:eastAsia="黑体"/>
          <w:kern w:val="0"/>
          <w:szCs w:val="20"/>
        </w:rPr>
        <w:t>评价方法</w:t>
      </w:r>
    </w:p>
    <w:p>
      <w:pPr>
        <w:ind w:firstLine="420" w:firstLineChars="200"/>
        <w:rPr>
          <w:rFonts w:asciiTheme="minorEastAsia" w:hAnsiTheme="minorEastAsia" w:eastAsiaTheme="minorEastAsia"/>
        </w:rPr>
      </w:pPr>
      <w:r>
        <w:t>企业可</w:t>
      </w:r>
      <w:r>
        <w:rPr>
          <w:rFonts w:asciiTheme="minorEastAsia" w:hAnsiTheme="minorEastAsia" w:eastAsiaTheme="minorEastAsia"/>
        </w:rPr>
        <w:t>按本标准第4章开展自我评价或第三方评价，产品满足以下条件并按照相关程序要求经过公示无异议后为绿色设计产品：</w:t>
      </w:r>
    </w:p>
    <w:p>
      <w:pPr>
        <w:pStyle w:val="90"/>
        <w:ind w:left="420" w:leftChars="200" w:firstLine="0" w:firstLineChars="0"/>
        <w:rPr>
          <w:rFonts w:hint="eastAsia" w:asciiTheme="minorEastAsia" w:hAnsiTheme="minorEastAsia" w:eastAsiaTheme="minorEastAsia"/>
          <w:color w:val="000000"/>
          <w:kern w:val="2"/>
          <w:lang w:eastAsia="zh-CN"/>
        </w:rPr>
      </w:pPr>
      <w:r>
        <w:rPr>
          <w:rFonts w:ascii="Times New Roman" w:eastAsiaTheme="minorEastAsia"/>
          <w:color w:val="000000"/>
          <w:kern w:val="2"/>
        </w:rPr>
        <w:t>——</w:t>
      </w:r>
      <w:r>
        <w:rPr>
          <w:rFonts w:asciiTheme="minorEastAsia" w:hAnsiTheme="minorEastAsia" w:eastAsiaTheme="minorEastAsia"/>
          <w:color w:val="000000"/>
          <w:kern w:val="2"/>
        </w:rPr>
        <w:t>满足4.1基本要求和4.2评价指标要求，并提供相关符合性证明文件；</w:t>
      </w:r>
    </w:p>
    <w:p>
      <w:pPr>
        <w:pStyle w:val="90"/>
        <w:ind w:left="420" w:leftChars="200" w:firstLine="0" w:firstLineChars="0"/>
        <w:rPr>
          <w:rFonts w:asciiTheme="minorEastAsia" w:hAnsiTheme="minorEastAsia" w:eastAsiaTheme="minorEastAsia"/>
          <w:color w:val="000000"/>
          <w:kern w:val="2"/>
        </w:rPr>
      </w:pPr>
      <w:r>
        <w:rPr>
          <w:rFonts w:ascii="Times New Roman" w:eastAsiaTheme="minorEastAsia"/>
          <w:color w:val="000000"/>
          <w:kern w:val="2"/>
        </w:rPr>
        <w:t>——</w:t>
      </w:r>
      <w:r>
        <w:rPr>
          <w:rFonts w:asciiTheme="minorEastAsia" w:hAnsiTheme="minorEastAsia" w:eastAsiaTheme="minorEastAsia"/>
          <w:color w:val="000000"/>
          <w:kern w:val="2"/>
        </w:rPr>
        <w:t>开展产品生命周期评价，并按第5章的要求提供产品生命周期评价报告。</w:t>
      </w:r>
    </w:p>
    <w:p>
      <w:pPr>
        <w:widowControl/>
        <w:jc w:val="center"/>
      </w:pPr>
      <w:bookmarkStart w:id="14" w:name="_Toc358970454"/>
      <w:bookmarkStart w:id="15" w:name="_Toc387149866"/>
      <w:bookmarkStart w:id="16" w:name="_Toc358969966"/>
      <w:bookmarkStart w:id="17" w:name="_Toc408414450"/>
      <w:bookmarkStart w:id="18" w:name="_Toc358970069"/>
      <w:bookmarkStart w:id="19" w:name="_Toc406433334"/>
      <w:bookmarkStart w:id="20" w:name="_Toc377026679"/>
      <w:bookmarkStart w:id="21" w:name="_Toc358988529"/>
      <w:bookmarkStart w:id="22" w:name="_Toc358969708"/>
      <w:r>
        <w:rPr>
          <w:rFonts w:hint="eastAsia"/>
        </w:rPr>
        <w:br w:type="page"/>
      </w:r>
      <w:r>
        <w:rPr>
          <w:rFonts w:hint="eastAsia" w:ascii="黑体" w:eastAsia="黑体"/>
          <w:kern w:val="0"/>
          <w:szCs w:val="20"/>
        </w:rPr>
        <w:t>附 录 A</w:t>
      </w:r>
    </w:p>
    <w:p>
      <w:pPr>
        <w:pStyle w:val="135"/>
        <w:numPr>
          <w:ilvl w:val="0"/>
          <w:numId w:val="0"/>
        </w:numPr>
        <w:shd w:val="clear" w:color="auto" w:fill="FFFFFF"/>
        <w:spacing w:before="0" w:after="0"/>
      </w:pPr>
      <w:r>
        <w:rPr>
          <w:rFonts w:hint="eastAsia"/>
        </w:rPr>
        <w:t>（规范性）</w:t>
      </w:r>
    </w:p>
    <w:p>
      <w:pPr>
        <w:pStyle w:val="135"/>
        <w:numPr>
          <w:ilvl w:val="0"/>
          <w:numId w:val="0"/>
        </w:numPr>
        <w:shd w:val="clear" w:color="auto" w:fill="FFFFFF"/>
        <w:spacing w:before="0" w:after="0"/>
      </w:pPr>
      <w:r>
        <w:rPr>
          <w:rFonts w:hint="eastAsia"/>
        </w:rPr>
        <w:t>纸浆产品标准清单</w:t>
      </w:r>
    </w:p>
    <w:p>
      <w:pPr>
        <w:pStyle w:val="90"/>
        <w:ind w:left="420" w:leftChars="200" w:firstLine="0" w:firstLineChars="0"/>
        <w:rPr>
          <w:rFonts w:hAnsi="宋体"/>
          <w:color w:val="000000"/>
          <w:kern w:val="2"/>
        </w:rPr>
      </w:pPr>
    </w:p>
    <w:p>
      <w:pPr>
        <w:pStyle w:val="90"/>
        <w:rPr>
          <w:rFonts w:hAnsi="宋体"/>
          <w:color w:val="000000"/>
          <w:kern w:val="2"/>
        </w:rPr>
      </w:pPr>
      <w:r>
        <w:rPr>
          <w:rFonts w:hint="eastAsia" w:hAnsi="宋体"/>
          <w:color w:val="000000"/>
          <w:kern w:val="2"/>
        </w:rPr>
        <w:t>表A.1给出了纸浆产品相关的标准清单。</w:t>
      </w:r>
    </w:p>
    <w:p>
      <w:pPr>
        <w:spacing w:before="156" w:beforeLines="50" w:after="156" w:afterLines="50"/>
        <w:jc w:val="center"/>
      </w:pPr>
      <w:r>
        <w:rPr>
          <w:rFonts w:hint="eastAsia" w:ascii="黑体" w:hAnsi="黑体" w:eastAsia="黑体" w:cs="宋体"/>
          <w:kern w:val="0"/>
          <w:szCs w:val="20"/>
        </w:rPr>
        <w:t>表A.1  纸浆产品相关的国家标准和行业标准</w:t>
      </w:r>
    </w:p>
    <w:tbl>
      <w:tblPr>
        <w:tblStyle w:val="4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5"/>
        <w:gridCol w:w="2733"/>
        <w:gridCol w:w="6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1" w:type="pct"/>
            <w:vAlign w:val="center"/>
          </w:tcPr>
          <w:p>
            <w:pPr>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序号</w:t>
            </w:r>
          </w:p>
        </w:tc>
        <w:tc>
          <w:tcPr>
            <w:tcW w:w="1428" w:type="pct"/>
            <w:vAlign w:val="center"/>
          </w:tcPr>
          <w:p>
            <w:pPr>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产品</w:t>
            </w:r>
          </w:p>
        </w:tc>
        <w:tc>
          <w:tcPr>
            <w:tcW w:w="3140" w:type="pct"/>
            <w:vAlign w:val="center"/>
          </w:tcPr>
          <w:p>
            <w:pPr>
              <w:jc w:val="center"/>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1" w:type="pct"/>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w:t>
            </w:r>
          </w:p>
        </w:tc>
        <w:tc>
          <w:tcPr>
            <w:tcW w:w="1428" w:type="pct"/>
            <w:vAlign w:val="center"/>
          </w:tcPr>
          <w:p>
            <w:pP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漂白化学木浆</w:t>
            </w:r>
          </w:p>
        </w:tc>
        <w:tc>
          <w:tcPr>
            <w:tcW w:w="3140" w:type="pct"/>
            <w:vAlign w:val="center"/>
          </w:tcPr>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GB/T 13506—2008 漂白亚硫酸盐木浆</w:t>
            </w:r>
          </w:p>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QB/T 1678—2017 漂白硫酸盐木浆</w:t>
            </w:r>
          </w:p>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GB/T 21331—2021 绒毛浆</w:t>
            </w:r>
          </w:p>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QB/T 4319—2012 硫酸盐全无氯漂白纸浆的判定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1" w:type="pct"/>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w:t>
            </w:r>
          </w:p>
        </w:tc>
        <w:tc>
          <w:tcPr>
            <w:tcW w:w="1428" w:type="pct"/>
            <w:vAlign w:val="center"/>
          </w:tcPr>
          <w:p>
            <w:pP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未漂化学木浆</w:t>
            </w:r>
          </w:p>
        </w:tc>
        <w:tc>
          <w:tcPr>
            <w:tcW w:w="3140" w:type="pct"/>
            <w:vAlign w:val="center"/>
          </w:tcPr>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GB/T 13507—1992 本色亚硫酸盐木浆</w:t>
            </w:r>
          </w:p>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GB/T 24321—2009 未漂白硫酸盐针叶木浆</w:t>
            </w:r>
          </w:p>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QB/T 5742—2022 本色浆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1" w:type="pct"/>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3</w:t>
            </w:r>
          </w:p>
        </w:tc>
        <w:tc>
          <w:tcPr>
            <w:tcW w:w="1428" w:type="pct"/>
            <w:vAlign w:val="center"/>
          </w:tcPr>
          <w:p>
            <w:pP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漂白化学非木浆</w:t>
            </w:r>
          </w:p>
        </w:tc>
        <w:tc>
          <w:tcPr>
            <w:tcW w:w="3140" w:type="pct"/>
            <w:vAlign w:val="center"/>
          </w:tcPr>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GB/T 3148—2008 漂白苇浆</w:t>
            </w:r>
          </w:p>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GB/T 26188—2010 漂白碱法麦草浆</w:t>
            </w:r>
          </w:p>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GB/T 24322—2009 漂白硫酸盐竹浆</w:t>
            </w:r>
          </w:p>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QB/T 4319—2012 硫酸盐全无氯漂白纸浆的判定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1" w:type="pct"/>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4</w:t>
            </w:r>
          </w:p>
        </w:tc>
        <w:tc>
          <w:tcPr>
            <w:tcW w:w="1428" w:type="pct"/>
            <w:vAlign w:val="center"/>
          </w:tcPr>
          <w:p>
            <w:pP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未漂化学非木浆</w:t>
            </w:r>
          </w:p>
        </w:tc>
        <w:tc>
          <w:tcPr>
            <w:tcW w:w="3140" w:type="pct"/>
            <w:vAlign w:val="center"/>
          </w:tcPr>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QB/T 5742—2022 本色浆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1" w:type="pct"/>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5</w:t>
            </w:r>
          </w:p>
        </w:tc>
        <w:tc>
          <w:tcPr>
            <w:tcW w:w="1428" w:type="pct"/>
            <w:vAlign w:val="center"/>
          </w:tcPr>
          <w:p>
            <w:pP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化学机械浆及机械浆</w:t>
            </w:r>
          </w:p>
        </w:tc>
        <w:tc>
          <w:tcPr>
            <w:tcW w:w="3140" w:type="pct"/>
            <w:vAlign w:val="center"/>
          </w:tcPr>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QB/T 4760—2014 阔叶木碱性过氧化氢机械浆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1" w:type="pct"/>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6</w:t>
            </w:r>
          </w:p>
        </w:tc>
        <w:tc>
          <w:tcPr>
            <w:tcW w:w="1428" w:type="pct"/>
            <w:vAlign w:val="center"/>
          </w:tcPr>
          <w:p>
            <w:pP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溶解木浆</w:t>
            </w:r>
          </w:p>
        </w:tc>
        <w:tc>
          <w:tcPr>
            <w:tcW w:w="3140" w:type="pct"/>
            <w:vMerge w:val="restart"/>
            <w:vAlign w:val="center"/>
          </w:tcPr>
          <w:p>
            <w:pPr>
              <w:rPr>
                <w:rFonts w:asciiTheme="minorEastAsia" w:hAnsiTheme="minorEastAsia" w:eastAsiaTheme="minorEastAsia"/>
                <w:kern w:val="0"/>
                <w:sz w:val="18"/>
                <w:szCs w:val="18"/>
              </w:rPr>
            </w:pPr>
            <w:r>
              <w:rPr>
                <w:rFonts w:asciiTheme="minorEastAsia" w:hAnsiTheme="minorEastAsia" w:eastAsiaTheme="minorEastAsia"/>
                <w:kern w:val="0"/>
                <w:sz w:val="18"/>
                <w:szCs w:val="18"/>
              </w:rPr>
              <w:t>QB/T 4898—2015 溶解浆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1" w:type="pct"/>
            <w:vAlign w:val="center"/>
          </w:tcPr>
          <w:p>
            <w:pPr>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7</w:t>
            </w:r>
          </w:p>
        </w:tc>
        <w:tc>
          <w:tcPr>
            <w:tcW w:w="1428" w:type="pct"/>
            <w:vAlign w:val="center"/>
          </w:tcPr>
          <w:p>
            <w:pPr>
              <w:rPr>
                <w:rFonts w:asciiTheme="minorEastAsia" w:hAnsiTheme="minorEastAsia" w:eastAsiaTheme="minorEastAsia"/>
                <w:kern w:val="0"/>
                <w:sz w:val="18"/>
                <w:szCs w:val="18"/>
              </w:rPr>
            </w:pPr>
            <w:r>
              <w:rPr>
                <w:rFonts w:asciiTheme="minorEastAsia" w:hAnsiTheme="minorEastAsia" w:eastAsiaTheme="minorEastAsia"/>
                <w:color w:val="000000"/>
                <w:sz w:val="18"/>
                <w:szCs w:val="18"/>
              </w:rPr>
              <w:t>溶解非木浆</w:t>
            </w:r>
          </w:p>
        </w:tc>
        <w:tc>
          <w:tcPr>
            <w:tcW w:w="3140" w:type="pct"/>
            <w:vMerge w:val="continue"/>
            <w:vAlign w:val="center"/>
          </w:tcPr>
          <w:p>
            <w:pPr>
              <w:rPr>
                <w:rFonts w:asciiTheme="minorEastAsia" w:hAnsiTheme="minorEastAsia" w:eastAsiaTheme="minorEastAsia"/>
                <w:kern w:val="0"/>
                <w:sz w:val="18"/>
                <w:szCs w:val="18"/>
              </w:rPr>
            </w:pPr>
          </w:p>
        </w:tc>
      </w:tr>
    </w:tbl>
    <w:p>
      <w:r>
        <w:rPr>
          <w:rFonts w:hint="eastAsia"/>
        </w:rPr>
        <w:br w:type="page"/>
      </w:r>
    </w:p>
    <w:p>
      <w:pPr>
        <w:pStyle w:val="135"/>
        <w:numPr>
          <w:ilvl w:val="0"/>
          <w:numId w:val="0"/>
        </w:numPr>
        <w:shd w:val="clear" w:color="auto" w:fill="FFFFFF"/>
        <w:spacing w:before="0" w:after="0"/>
      </w:pPr>
      <w:r>
        <w:rPr>
          <w:rFonts w:hint="eastAsia"/>
        </w:rPr>
        <w:t>附 录 B</w:t>
      </w:r>
    </w:p>
    <w:p>
      <w:pPr>
        <w:pStyle w:val="135"/>
        <w:numPr>
          <w:ilvl w:val="0"/>
          <w:numId w:val="0"/>
        </w:numPr>
        <w:shd w:val="clear" w:color="auto" w:fill="FFFFFF"/>
        <w:spacing w:before="0" w:after="0"/>
      </w:pPr>
      <w:r>
        <w:rPr>
          <w:rFonts w:hint="eastAsia"/>
        </w:rPr>
        <w:t>（规范性）</w:t>
      </w:r>
      <w:bookmarkEnd w:id="14"/>
      <w:bookmarkEnd w:id="15"/>
      <w:bookmarkEnd w:id="16"/>
      <w:bookmarkEnd w:id="17"/>
      <w:bookmarkEnd w:id="18"/>
      <w:bookmarkEnd w:id="19"/>
      <w:bookmarkEnd w:id="20"/>
      <w:bookmarkEnd w:id="21"/>
      <w:bookmarkEnd w:id="22"/>
    </w:p>
    <w:p>
      <w:pPr>
        <w:pStyle w:val="135"/>
        <w:numPr>
          <w:ilvl w:val="0"/>
          <w:numId w:val="0"/>
        </w:numPr>
        <w:shd w:val="clear" w:color="auto" w:fill="FFFFFF"/>
        <w:spacing w:before="0" w:after="0"/>
      </w:pPr>
      <w:r>
        <w:rPr>
          <w:rFonts w:hint="eastAsia"/>
        </w:rPr>
        <w:t>检验方法和指标计算方法</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B.1  单位产品取水量</w:t>
      </w:r>
    </w:p>
    <w:p>
      <w:pPr>
        <w:pStyle w:val="99"/>
        <w:numPr>
          <w:ilvl w:val="0"/>
          <w:numId w:val="0"/>
        </w:numPr>
        <w:ind w:firstLine="420" w:firstLineChars="200"/>
      </w:pPr>
      <w:r>
        <w:rPr>
          <w:rFonts w:hint="eastAsia"/>
        </w:rPr>
        <w:t>按GB/T 18916.5进行计算。</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B.2  单位产品能耗</w:t>
      </w:r>
    </w:p>
    <w:p>
      <w:pPr>
        <w:pStyle w:val="90"/>
        <w:autoSpaceDE/>
        <w:autoSpaceDN/>
        <w:spacing w:before="312" w:beforeLines="100" w:after="312" w:afterLines="100"/>
        <w:ind w:firstLine="0" w:firstLineChars="0"/>
      </w:pPr>
      <w:r>
        <w:rPr>
          <w:rFonts w:hint="eastAsia" w:ascii="黑体" w:hAnsi="黑体" w:eastAsia="黑体"/>
        </w:rPr>
        <w:t xml:space="preserve">   </w:t>
      </w:r>
      <w:r>
        <w:rPr>
          <w:rFonts w:hint="eastAsia"/>
        </w:rPr>
        <w:t xml:space="preserve"> </w:t>
      </w:r>
      <w:bookmarkStart w:id="23" w:name="OLE_LINK6"/>
      <w:bookmarkStart w:id="24" w:name="OLE_LINK5"/>
      <w:r>
        <w:rPr>
          <w:rFonts w:hint="eastAsia"/>
        </w:rPr>
        <w:t>按GB 31825进行计算，统计边界从纸浆的碎解开始。</w:t>
      </w:r>
      <w:bookmarkEnd w:id="23"/>
      <w:bookmarkEnd w:id="24"/>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B.3  水的重复利用率</w:t>
      </w:r>
    </w:p>
    <w:p>
      <w:pPr>
        <w:pStyle w:val="90"/>
        <w:autoSpaceDE/>
        <w:autoSpaceDN/>
        <w:spacing w:before="312" w:beforeLines="100" w:after="312" w:afterLines="100"/>
        <w:ind w:firstLine="0" w:firstLineChars="0"/>
      </w:pPr>
      <w:r>
        <w:rPr>
          <w:rFonts w:hint="eastAsia"/>
        </w:rPr>
        <w:t xml:space="preserve">    在一定计量时间（一般为1年）内企业处理回用的废水量占水消耗量的百分比，按式（B.1）计算：</w:t>
      </w:r>
    </w:p>
    <w:p>
      <w:pPr>
        <w:jc w:val="right"/>
      </w:pPr>
      <w:r>
        <w:rPr>
          <w:sz w:val="22"/>
        </w:rPr>
        <w:t xml:space="preserve"> </w:t>
      </w:r>
      <m:oMath>
        <m:r>
          <m:rPr/>
          <w:rPr>
            <w:rFonts w:ascii="Cambria Math" w:hAnsi="Cambria Math" w:eastAsia="Cambria Math" w:cs="Cambria Math"/>
            <w:sz w:val="22"/>
          </w:rPr>
          <m:t>K</m:t>
        </m:r>
        <m:r>
          <m:rPr>
            <m:sty m:val="p"/>
          </m:rPr>
          <w:rPr>
            <w:rFonts w:ascii="Cambria Math" w:hAnsi="Cambria Math" w:eastAsia="Cambria Math" w:cs="Cambria Math"/>
            <w:sz w:val="22"/>
          </w:rPr>
          <m:t>=</m:t>
        </m:r>
        <m:f>
          <m:fPr>
            <m:ctrlPr>
              <w:rPr>
                <w:rFonts w:ascii="Cambria Math" w:hAnsi="Cambria Math" w:eastAsia="Cambria Math"/>
                <w:sz w:val="22"/>
              </w:rPr>
            </m:ctrlPr>
          </m:fPr>
          <m:num>
            <m:sSub>
              <m:sSubPr>
                <m:ctrlPr>
                  <w:rPr>
                    <w:rFonts w:ascii="Cambria Math" w:hAnsi="Cambria Math" w:eastAsiaTheme="minorEastAsia"/>
                    <w:i/>
                    <w:sz w:val="22"/>
                  </w:rPr>
                </m:ctrlPr>
              </m:sSubPr>
              <m:e>
                <m:r>
                  <m:rPr/>
                  <w:rPr>
                    <w:rFonts w:ascii="Cambria Math" w:hAnsi="Cambria Math" w:eastAsiaTheme="minorEastAsia"/>
                    <w:sz w:val="22"/>
                  </w:rPr>
                  <m:t>V</m:t>
                </m:r>
                <m:ctrlPr>
                  <w:rPr>
                    <w:rFonts w:ascii="Cambria Math" w:hAnsi="Cambria Math" w:eastAsiaTheme="minorEastAsia"/>
                    <w:i/>
                    <w:sz w:val="22"/>
                  </w:rPr>
                </m:ctrlPr>
              </m:e>
              <m:sub>
                <m:r>
                  <m:rPr/>
                  <w:rPr>
                    <w:rFonts w:hint="eastAsia" w:ascii="Cambria Math" w:hAnsi="Cambria Math" w:eastAsiaTheme="minorEastAsia"/>
                    <w:sz w:val="22"/>
                  </w:rPr>
                  <m:t>r</m:t>
                </m:r>
                <m:ctrlPr>
                  <w:rPr>
                    <w:rFonts w:ascii="Cambria Math" w:hAnsi="Cambria Math" w:eastAsiaTheme="minorEastAsia"/>
                    <w:i/>
                    <w:sz w:val="22"/>
                  </w:rPr>
                </m:ctrlPr>
              </m:sub>
            </m:sSub>
            <m:ctrlPr>
              <w:rPr>
                <w:rFonts w:ascii="Cambria Math" w:hAnsi="Cambria Math" w:eastAsia="Cambria Math"/>
                <w:sz w:val="22"/>
              </w:rPr>
            </m:ctrlPr>
          </m:num>
          <m:den>
            <m:sSub>
              <m:sSubPr>
                <m:ctrlPr>
                  <w:rPr>
                    <w:rFonts w:ascii="Cambria Math" w:hAnsi="Cambria Math" w:eastAsia="Cambria Math" w:cs="Cambria Math"/>
                    <w:sz w:val="22"/>
                  </w:rPr>
                </m:ctrlPr>
              </m:sSubPr>
              <m:e>
                <m:r>
                  <m:rPr/>
                  <w:rPr>
                    <w:rFonts w:ascii="Cambria Math" w:hAnsi="Cambria Math" w:eastAsia="Cambria Math" w:cs="Cambria Math"/>
                    <w:sz w:val="22"/>
                  </w:rPr>
                  <m:t>V</m:t>
                </m:r>
                <m:ctrlPr>
                  <w:rPr>
                    <w:rFonts w:ascii="Cambria Math" w:hAnsi="Cambria Math" w:eastAsia="Cambria Math" w:cs="Cambria Math"/>
                    <w:sz w:val="22"/>
                  </w:rPr>
                </m:ctrlPr>
              </m:e>
              <m:sub>
                <m:r>
                  <m:rPr/>
                  <w:rPr>
                    <w:rFonts w:hint="eastAsia" w:ascii="Cambria Math" w:hAnsi="Cambria Math" w:cs="Cambria Math" w:eastAsiaTheme="minorEastAsia"/>
                    <w:sz w:val="22"/>
                  </w:rPr>
                  <m:t>r</m:t>
                </m:r>
                <m:ctrlPr>
                  <w:rPr>
                    <w:rFonts w:ascii="Cambria Math" w:hAnsi="Cambria Math" w:eastAsia="Cambria Math" w:cs="Cambria Math"/>
                    <w:sz w:val="22"/>
                  </w:rPr>
                </m:ctrlPr>
              </m:sub>
            </m:sSub>
            <m:r>
              <m:rPr/>
              <w:rPr>
                <w:rFonts w:hint="eastAsia" w:ascii="Cambria Math" w:hAnsi="Cambria Math" w:cs="Cambria Math" w:eastAsiaTheme="minorEastAsia"/>
                <w:sz w:val="22"/>
              </w:rPr>
              <m:t>+</m:t>
            </m:r>
            <m:sSub>
              <m:sSubPr>
                <m:ctrlPr>
                  <w:rPr>
                    <w:rFonts w:ascii="Cambria Math" w:hAnsi="Cambria Math" w:eastAsia="Cambria Math" w:cs="Cambria Math"/>
                    <w:i/>
                    <w:sz w:val="22"/>
                  </w:rPr>
                </m:ctrlPr>
              </m:sSubPr>
              <m:e>
                <m:r>
                  <m:rPr/>
                  <w:rPr>
                    <w:rFonts w:ascii="Cambria Math" w:hAnsi="Cambria Math" w:eastAsia="Cambria Math" w:cs="Cambria Math"/>
                    <w:sz w:val="22"/>
                  </w:rPr>
                  <m:t>V</m:t>
                </m:r>
                <m:ctrlPr>
                  <w:rPr>
                    <w:rFonts w:ascii="Cambria Math" w:hAnsi="Cambria Math" w:eastAsia="Cambria Math" w:cs="Cambria Math"/>
                    <w:i/>
                    <w:sz w:val="22"/>
                  </w:rPr>
                </m:ctrlPr>
              </m:e>
              <m:sub>
                <m:r>
                  <m:rPr/>
                  <w:rPr>
                    <w:rFonts w:hint="eastAsia" w:ascii="Cambria Math" w:hAnsi="Cambria Math" w:cs="Cambria Math" w:eastAsiaTheme="minorEastAsia"/>
                    <w:sz w:val="22"/>
                  </w:rPr>
                  <m:t>t</m:t>
                </m:r>
                <m:ctrlPr>
                  <w:rPr>
                    <w:rFonts w:ascii="Cambria Math" w:hAnsi="Cambria Math" w:eastAsia="Cambria Math" w:cs="Cambria Math"/>
                    <w:i/>
                    <w:sz w:val="22"/>
                  </w:rPr>
                </m:ctrlPr>
              </m:sub>
            </m:sSub>
            <m:ctrlPr>
              <w:rPr>
                <w:rFonts w:ascii="Cambria Math" w:hAnsi="Cambria Math" w:eastAsia="Cambria Math"/>
                <w:sz w:val="22"/>
              </w:rPr>
            </m:ctrlPr>
          </m:den>
        </m:f>
        <m:r>
          <m:rPr/>
          <w:rPr>
            <w:rFonts w:hint="eastAsia" w:ascii="Cambria Math" w:hAnsi="Cambria Math" w:eastAsiaTheme="minorEastAsia"/>
            <w:sz w:val="22"/>
          </w:rPr>
          <m:t>×</m:t>
        </m:r>
        <m:r>
          <m:rPr/>
          <w:rPr>
            <w:rFonts w:ascii="Cambria Math" w:hAnsi="Cambria Math" w:eastAsia="Cambria Math"/>
            <w:sz w:val="22"/>
          </w:rPr>
          <m:t>100</m:t>
        </m:r>
      </m:oMath>
      <w:r>
        <w:rPr>
          <w:rFonts w:ascii="宋体" w:hAnsi="宋体"/>
        </w:rPr>
        <w:fldChar w:fldCharType="begin"/>
      </w:r>
      <w:r>
        <w:rPr>
          <w:rFonts w:ascii="宋体" w:hAnsi="宋体"/>
        </w:rPr>
        <w:instrText xml:space="preserve"> QUOTE </w:instrText>
      </w:r>
      <w:r>
        <w:rPr>
          <w:rFonts w:ascii="宋体" w:hAnsi="宋体"/>
          <w:position w:val="-26"/>
        </w:rPr>
        <w:drawing>
          <wp:inline distT="0" distB="0" distL="114300" distR="114300">
            <wp:extent cx="526415" cy="396875"/>
            <wp:effectExtent l="0" t="0" r="698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6415" cy="396875"/>
                    </a:xfrm>
                    <a:prstGeom prst="rect">
                      <a:avLst/>
                    </a:prstGeom>
                    <a:noFill/>
                    <a:ln>
                      <a:noFill/>
                    </a:ln>
                  </pic:spPr>
                </pic:pic>
              </a:graphicData>
            </a:graphic>
          </wp:inline>
        </w:drawing>
      </w:r>
      <w:r>
        <w:rPr>
          <w:rFonts w:ascii="宋体" w:hAnsi="宋体"/>
        </w:rPr>
        <w:instrText xml:space="preserve"> </w:instrText>
      </w:r>
      <w:r>
        <w:rPr>
          <w:rFonts w:ascii="宋体" w:hAnsi="宋体"/>
        </w:rPr>
        <w:fldChar w:fldCharType="end"/>
      </w:r>
      <w:r>
        <w:t>………………………………………….</w:t>
      </w:r>
      <w:r>
        <w:rPr>
          <w:rFonts w:ascii="宋体" w:hAnsi="宋体"/>
        </w:rPr>
        <w:t xml:space="preserve"> </w:t>
      </w:r>
      <w:r>
        <w:rPr>
          <w:rFonts w:hint="eastAsia" w:ascii="宋体" w:hAnsi="宋体"/>
        </w:rPr>
        <w:t>（B</w:t>
      </w:r>
      <w:r>
        <w:rPr>
          <w:rFonts w:ascii="宋体" w:hAnsi="宋体"/>
        </w:rPr>
        <w:t>.1</w:t>
      </w:r>
      <w:r>
        <w:rPr>
          <w:rFonts w:hint="eastAsia" w:ascii="宋体" w:hAnsi="宋体"/>
        </w:rPr>
        <w:t>）</w:t>
      </w:r>
    </w:p>
    <w:p>
      <w:pPr>
        <w:pStyle w:val="90"/>
        <w:autoSpaceDE/>
        <w:autoSpaceDN/>
        <w:rPr>
          <w:rFonts w:hAnsi="宋体"/>
        </w:rPr>
      </w:pPr>
    </w:p>
    <w:p>
      <w:pPr>
        <w:pStyle w:val="90"/>
        <w:autoSpaceDE/>
        <w:autoSpaceDN/>
        <w:rPr>
          <w:rFonts w:hAnsi="宋体"/>
        </w:rPr>
      </w:pPr>
      <w:r>
        <w:rPr>
          <w:rFonts w:hint="eastAsia" w:hAnsi="宋体"/>
        </w:rPr>
        <w:t>式中：</w:t>
      </w:r>
    </w:p>
    <w:p>
      <w:pPr>
        <w:pStyle w:val="90"/>
        <w:autoSpaceDE/>
        <w:autoSpaceDN/>
        <w:rPr>
          <w:rFonts w:hAnsi="宋体"/>
        </w:rPr>
      </w:pPr>
      <w:r>
        <w:rPr>
          <w:rFonts w:hAnsi="宋体"/>
          <w:i/>
        </w:rPr>
        <w:t xml:space="preserve">K </w:t>
      </w:r>
      <w:r>
        <w:rPr>
          <w:rFonts w:ascii="Times New Roman"/>
        </w:rPr>
        <w:t>——</w:t>
      </w:r>
      <w:r>
        <w:rPr>
          <w:rFonts w:hint="eastAsia" w:hAnsi="宋体"/>
        </w:rPr>
        <w:t>水的重复利用率，％；</w:t>
      </w:r>
    </w:p>
    <w:p>
      <w:pPr>
        <w:pStyle w:val="90"/>
        <w:autoSpaceDE/>
        <w:autoSpaceDN/>
        <w:rPr>
          <w:rFonts w:hAnsi="宋体"/>
        </w:rPr>
      </w:pPr>
      <w:r>
        <w:rPr>
          <w:rFonts w:hAnsi="宋体"/>
          <w:i/>
        </w:rPr>
        <w:t>V</w:t>
      </w:r>
      <w:r>
        <w:rPr>
          <w:rFonts w:hAnsi="宋体"/>
          <w:vertAlign w:val="subscript"/>
        </w:rPr>
        <w:t xml:space="preserve">r </w:t>
      </w:r>
      <w:r>
        <w:rPr>
          <w:rFonts w:ascii="Times New Roman"/>
        </w:rPr>
        <w:t>——</w:t>
      </w:r>
      <w:r>
        <w:rPr>
          <w:rFonts w:hint="eastAsia" w:hAnsi="宋体"/>
        </w:rPr>
        <w:t>在一定计量时间（一般为</w:t>
      </w:r>
      <w:r>
        <w:rPr>
          <w:rFonts w:hAnsi="宋体"/>
        </w:rPr>
        <w:t>1</w:t>
      </w:r>
      <w:r>
        <w:rPr>
          <w:rFonts w:hint="eastAsia" w:hAnsi="宋体"/>
        </w:rPr>
        <w:t>年）内企业</w:t>
      </w:r>
      <w:r>
        <w:rPr>
          <w:rFonts w:hint="eastAsia"/>
        </w:rPr>
        <w:t>重复利用水量（循环用水量和串联用水量）</w:t>
      </w:r>
      <w:r>
        <w:rPr>
          <w:rFonts w:hint="eastAsia" w:hAnsi="宋体"/>
        </w:rPr>
        <w:t>回用水量，单位为立方米（</w:t>
      </w:r>
      <w:r>
        <w:rPr>
          <w:rFonts w:hAnsi="宋体"/>
        </w:rPr>
        <w:t>m</w:t>
      </w:r>
      <w:r>
        <w:rPr>
          <w:rFonts w:hint="eastAsia" w:hAnsi="宋体"/>
          <w:vertAlign w:val="superscript"/>
        </w:rPr>
        <w:t>3</w:t>
      </w:r>
      <w:r>
        <w:rPr>
          <w:rFonts w:hint="eastAsia" w:hAnsi="宋体"/>
        </w:rPr>
        <w:t>）；</w:t>
      </w:r>
    </w:p>
    <w:p>
      <w:pPr>
        <w:pStyle w:val="90"/>
        <w:autoSpaceDE/>
        <w:autoSpaceDN/>
        <w:rPr>
          <w:rFonts w:hAnsi="宋体"/>
        </w:rPr>
      </w:pPr>
      <w:r>
        <w:rPr>
          <w:rFonts w:hAnsi="宋体"/>
          <w:i/>
        </w:rPr>
        <w:t>V</w:t>
      </w:r>
      <w:r>
        <w:rPr>
          <w:rFonts w:hAnsi="宋体"/>
          <w:vertAlign w:val="subscript"/>
        </w:rPr>
        <w:t xml:space="preserve">t </w:t>
      </w:r>
      <w:r>
        <w:rPr>
          <w:rFonts w:ascii="Times New Roman"/>
        </w:rPr>
        <w:t>——</w:t>
      </w:r>
      <w:r>
        <w:rPr>
          <w:rFonts w:hint="eastAsia" w:hAnsi="宋体"/>
        </w:rPr>
        <w:t>在一定计量时间（一般为</w:t>
      </w:r>
      <w:r>
        <w:rPr>
          <w:rFonts w:hAnsi="宋体"/>
        </w:rPr>
        <w:t>1</w:t>
      </w:r>
      <w:r>
        <w:rPr>
          <w:rFonts w:hint="eastAsia" w:hAnsi="宋体"/>
        </w:rPr>
        <w:t>年）内企业使用新鲜水量，单位为立方米（</w:t>
      </w:r>
      <w:r>
        <w:rPr>
          <w:rFonts w:hAnsi="宋体"/>
        </w:rPr>
        <w:t>m</w:t>
      </w:r>
      <w:r>
        <w:rPr>
          <w:rFonts w:hAnsi="宋体"/>
          <w:vertAlign w:val="superscript"/>
        </w:rPr>
        <w:t>3</w:t>
      </w:r>
      <w:r>
        <w:rPr>
          <w:rFonts w:hint="eastAsia" w:hAnsi="宋体"/>
        </w:rPr>
        <w:t>）。</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B.4  单位产品废水产生量</w:t>
      </w:r>
    </w:p>
    <w:p>
      <w:pPr>
        <w:pStyle w:val="90"/>
        <w:autoSpaceDE/>
        <w:autoSpaceDN/>
        <w:spacing w:before="312" w:beforeLines="100" w:after="312" w:afterLines="100"/>
        <w:ind w:firstLine="0" w:firstLineChars="0"/>
      </w:pPr>
      <w:r>
        <w:rPr>
          <w:rFonts w:hint="eastAsia" w:ascii="黑体" w:hAnsi="黑体" w:eastAsia="黑体"/>
        </w:rPr>
        <w:t xml:space="preserve">   </w:t>
      </w:r>
      <w:r>
        <w:rPr>
          <w:rFonts w:hint="eastAsia"/>
        </w:rPr>
        <w:t xml:space="preserve"> </w:t>
      </w:r>
      <w:r>
        <w:rPr>
          <w:rFonts w:hint="eastAsia"/>
          <w:szCs w:val="21"/>
        </w:rPr>
        <w:t>按</w:t>
      </w:r>
      <w:r>
        <w:rPr>
          <w:rFonts w:hint="eastAsia" w:hAnsi="宋体"/>
          <w:color w:val="000000"/>
          <w:szCs w:val="21"/>
        </w:rPr>
        <w:t>《</w:t>
      </w:r>
      <w:r>
        <w:rPr>
          <w:rFonts w:hint="eastAsia" w:hAnsi="宋体" w:cs="宋体"/>
          <w:color w:val="000000"/>
          <w:szCs w:val="21"/>
        </w:rPr>
        <w:t>制浆造纸行业清洁生产评价指标体系</w:t>
      </w:r>
      <w:r>
        <w:rPr>
          <w:rFonts w:hint="eastAsia" w:hAnsi="宋体"/>
          <w:color w:val="000000"/>
          <w:szCs w:val="21"/>
        </w:rPr>
        <w:t>》进行监测和计算</w:t>
      </w:r>
      <w:r>
        <w:rPr>
          <w:rFonts w:hint="eastAsia"/>
        </w:rPr>
        <w:t>。</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B.5  单位产品</w:t>
      </w:r>
      <w:r>
        <w:rPr>
          <w:rFonts w:ascii="黑体" w:hAnsi="黑体" w:eastAsia="黑体"/>
        </w:rPr>
        <w:t>COD</w:t>
      </w:r>
      <w:r>
        <w:rPr>
          <w:rFonts w:ascii="黑体" w:hAnsi="黑体" w:eastAsia="黑体"/>
          <w:vertAlign w:val="subscript"/>
        </w:rPr>
        <w:t>Cr</w:t>
      </w:r>
      <w:r>
        <w:rPr>
          <w:rFonts w:hint="eastAsia" w:ascii="黑体" w:hAnsi="黑体" w:eastAsia="黑体"/>
        </w:rPr>
        <w:t>产生量</w:t>
      </w:r>
    </w:p>
    <w:p>
      <w:pPr>
        <w:pStyle w:val="90"/>
        <w:autoSpaceDE/>
        <w:autoSpaceDN/>
      </w:pPr>
      <w:r>
        <w:rPr>
          <w:rFonts w:hint="eastAsia"/>
          <w:szCs w:val="21"/>
        </w:rPr>
        <w:t>按</w:t>
      </w:r>
      <w:r>
        <w:rPr>
          <w:rFonts w:hint="eastAsia" w:hAnsi="宋体"/>
          <w:color w:val="000000"/>
          <w:szCs w:val="21"/>
        </w:rPr>
        <w:t>《</w:t>
      </w:r>
      <w:r>
        <w:rPr>
          <w:rFonts w:hint="eastAsia" w:hAnsi="宋体" w:cs="宋体"/>
          <w:color w:val="000000"/>
          <w:szCs w:val="21"/>
        </w:rPr>
        <w:t>制浆造纸行业清洁生产评价指标体系</w:t>
      </w:r>
      <w:r>
        <w:rPr>
          <w:rFonts w:hint="eastAsia" w:hAnsi="宋体"/>
          <w:color w:val="000000"/>
          <w:szCs w:val="21"/>
        </w:rPr>
        <w:t>》进行监测和计算</w:t>
      </w:r>
      <w:r>
        <w:rPr>
          <w:rFonts w:hint="eastAsia"/>
        </w:rPr>
        <w:t>。</w:t>
      </w:r>
      <w:bookmarkStart w:id="25" w:name="OLE_LINK2"/>
      <w:bookmarkStart w:id="26" w:name="OLE_LINK1"/>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B.6  可吸附有机卤素（AOX）</w:t>
      </w:r>
    </w:p>
    <w:bookmarkEnd w:id="25"/>
    <w:bookmarkEnd w:id="26"/>
    <w:p>
      <w:pPr>
        <w:pStyle w:val="90"/>
        <w:autoSpaceDE/>
        <w:autoSpaceDN/>
      </w:pPr>
      <w:r>
        <w:rPr>
          <w:rFonts w:hint="eastAsia"/>
          <w:szCs w:val="21"/>
        </w:rPr>
        <w:t>按</w:t>
      </w:r>
      <w:r>
        <w:rPr>
          <w:rFonts w:hint="eastAsia" w:hAnsi="宋体"/>
          <w:color w:val="000000"/>
          <w:szCs w:val="21"/>
        </w:rPr>
        <w:t>《</w:t>
      </w:r>
      <w:r>
        <w:rPr>
          <w:rFonts w:hint="eastAsia" w:hAnsi="宋体" w:cs="宋体"/>
          <w:color w:val="000000"/>
          <w:szCs w:val="21"/>
        </w:rPr>
        <w:t>制浆造纸行业清洁生产评价指标体系</w:t>
      </w:r>
      <w:r>
        <w:rPr>
          <w:rFonts w:hint="eastAsia" w:hAnsi="宋体"/>
          <w:color w:val="000000"/>
          <w:szCs w:val="21"/>
        </w:rPr>
        <w:t>》进行监测和计算</w:t>
      </w:r>
      <w:r>
        <w:rPr>
          <w:rFonts w:hint="eastAsia"/>
        </w:rPr>
        <w:t>。</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B.7  产品质量</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 xml:space="preserve">   </w:t>
      </w:r>
      <w:r>
        <w:rPr>
          <w:rFonts w:hint="eastAsia"/>
        </w:rPr>
        <w:t xml:space="preserve"> </w:t>
      </w:r>
      <w:bookmarkStart w:id="27" w:name="OLE_LINK10"/>
      <w:bookmarkStart w:id="28" w:name="OLE_LINK9"/>
      <w:r>
        <w:rPr>
          <w:rFonts w:hint="eastAsia"/>
        </w:rPr>
        <w:t>按相应产品标准进行</w:t>
      </w:r>
      <w:bookmarkEnd w:id="27"/>
      <w:bookmarkEnd w:id="28"/>
      <w:r>
        <w:rPr>
          <w:rFonts w:hint="eastAsia"/>
        </w:rPr>
        <w:t>测定。</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B.8  重金属</w:t>
      </w:r>
    </w:p>
    <w:p>
      <w:pPr>
        <w:pStyle w:val="90"/>
        <w:autoSpaceDE/>
        <w:autoSpaceDN/>
        <w:ind w:firstLine="0" w:firstLineChars="0"/>
      </w:pPr>
      <w:r>
        <w:rPr>
          <w:rFonts w:hint="eastAsia" w:ascii="黑体" w:hAnsi="黑体" w:eastAsia="黑体"/>
        </w:rPr>
        <w:t xml:space="preserve">   </w:t>
      </w:r>
      <w:r>
        <w:rPr>
          <w:rFonts w:hint="eastAsia"/>
        </w:rPr>
        <w:t>铅</w:t>
      </w:r>
      <w:bookmarkStart w:id="29" w:name="OLE_LINK11"/>
      <w:bookmarkStart w:id="30" w:name="OLE_LINK12"/>
      <w:r>
        <w:rPr>
          <w:rFonts w:hint="eastAsia"/>
        </w:rPr>
        <w:t>、砷、铬和镉含量按GB 31604.49—2016中第一部分进</w:t>
      </w:r>
      <w:bookmarkEnd w:id="29"/>
      <w:bookmarkEnd w:id="30"/>
      <w:r>
        <w:rPr>
          <w:rFonts w:hint="eastAsia"/>
        </w:rPr>
        <w:t>行测定，汞含量按GB/T 22804进行测定。</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B.9  有机氯</w:t>
      </w:r>
    </w:p>
    <w:p>
      <w:pPr>
        <w:pStyle w:val="90"/>
        <w:autoSpaceDE/>
        <w:autoSpaceDN/>
      </w:pPr>
      <w:r>
        <w:rPr>
          <w:rFonts w:hint="eastAsia"/>
        </w:rPr>
        <w:t>按GB/T 22904进行测定。</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B.10  可迁移性荧光物质</w:t>
      </w:r>
    </w:p>
    <w:p>
      <w:pPr>
        <w:pStyle w:val="90"/>
        <w:autoSpaceDE/>
        <w:autoSpaceDN/>
      </w:pPr>
      <w:r>
        <w:rPr>
          <w:rFonts w:hint="eastAsia"/>
        </w:rPr>
        <w:t>按GB/T 27741—2018中第5章给出的方法进行定性测定。</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B.11  烷基苯酚聚氧乙烯醚类</w:t>
      </w:r>
    </w:p>
    <w:p>
      <w:pPr>
        <w:pStyle w:val="90"/>
        <w:autoSpaceDE/>
        <w:autoSpaceDN/>
        <w:rPr>
          <w:color w:val="000000"/>
        </w:rPr>
      </w:pPr>
      <w:r>
        <w:rPr>
          <w:rFonts w:hint="eastAsia"/>
          <w:color w:val="000000"/>
        </w:rPr>
        <w:t>按GB/T 39998进行测定。</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B.12  9,10-蒽醌</w:t>
      </w:r>
    </w:p>
    <w:p>
      <w:pPr>
        <w:pStyle w:val="90"/>
        <w:autoSpaceDE/>
        <w:autoSpaceDN/>
        <w:rPr>
          <w:rFonts w:ascii="黑体" w:hAnsi="黑体" w:eastAsia="黑体"/>
        </w:rPr>
      </w:pPr>
      <w:r>
        <w:rPr>
          <w:rFonts w:hint="eastAsia"/>
          <w:color w:val="000000"/>
        </w:rPr>
        <w:t>按NY/T 3173进行测定。</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B.13  双酚A</w:t>
      </w:r>
    </w:p>
    <w:p>
      <w:pPr>
        <w:pStyle w:val="90"/>
        <w:autoSpaceDE/>
        <w:autoSpaceDN/>
        <w:ind w:firstLineChars="0"/>
      </w:pPr>
      <w:r>
        <w:rPr>
          <w:rFonts w:hint="eastAsia"/>
        </w:rPr>
        <w:t>按GB/T 34445进行测定。</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B.14  D65亮度</w:t>
      </w:r>
    </w:p>
    <w:p>
      <w:pPr>
        <w:pStyle w:val="90"/>
        <w:autoSpaceDE/>
        <w:autoSpaceDN/>
        <w:ind w:firstLine="0" w:firstLineChars="0"/>
      </w:pPr>
      <w:r>
        <w:rPr>
          <w:rFonts w:hint="eastAsia" w:ascii="黑体" w:hAnsi="黑体" w:eastAsia="黑体"/>
        </w:rPr>
        <w:t xml:space="preserve">   </w:t>
      </w:r>
      <w:r>
        <w:rPr>
          <w:rFonts w:hint="eastAsia"/>
        </w:rPr>
        <w:t xml:space="preserve"> 按QB/T 4125进行测定。</w:t>
      </w:r>
    </w:p>
    <w:p>
      <w:pPr>
        <w:pStyle w:val="90"/>
        <w:autoSpaceDE/>
        <w:autoSpaceDN/>
        <w:ind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autoSpaceDE/>
        <w:autoSpaceDN/>
        <w:ind w:firstLine="0" w:firstLineChars="0"/>
      </w:pPr>
    </w:p>
    <w:p>
      <w:pPr>
        <w:pStyle w:val="90"/>
      </w:pPr>
    </w:p>
    <w:p>
      <w:pPr>
        <w:pStyle w:val="90"/>
      </w:pPr>
    </w:p>
    <w:p>
      <w:pPr>
        <w:pStyle w:val="90"/>
      </w:pPr>
    </w:p>
    <w:p>
      <w:pPr>
        <w:pStyle w:val="90"/>
      </w:pPr>
    </w:p>
    <w:p>
      <w:pPr>
        <w:pStyle w:val="90"/>
      </w:pPr>
    </w:p>
    <w:p>
      <w:pPr>
        <w:pStyle w:val="135"/>
        <w:numPr>
          <w:ilvl w:val="0"/>
          <w:numId w:val="0"/>
        </w:numPr>
        <w:shd w:val="clear" w:color="auto" w:fill="FFFFFF"/>
        <w:spacing w:before="0" w:after="0"/>
      </w:pPr>
      <w:r>
        <w:rPr>
          <w:rFonts w:hint="eastAsia"/>
        </w:rPr>
        <w:t>附 录 C</w:t>
      </w:r>
    </w:p>
    <w:p>
      <w:pPr>
        <w:pStyle w:val="135"/>
        <w:numPr>
          <w:ilvl w:val="0"/>
          <w:numId w:val="0"/>
        </w:numPr>
        <w:shd w:val="clear" w:color="auto" w:fill="FFFFFF"/>
        <w:spacing w:before="0" w:after="0"/>
      </w:pPr>
      <w:r>
        <w:rPr>
          <w:rFonts w:hint="eastAsia"/>
        </w:rPr>
        <w:t>（资料性）</w:t>
      </w:r>
    </w:p>
    <w:p>
      <w:pPr>
        <w:pStyle w:val="135"/>
        <w:numPr>
          <w:ilvl w:val="0"/>
          <w:numId w:val="0"/>
        </w:numPr>
        <w:shd w:val="clear" w:color="auto" w:fill="FFFFFF"/>
        <w:spacing w:before="0" w:after="0"/>
      </w:pPr>
      <w:r>
        <w:rPr>
          <w:rFonts w:hint="eastAsia"/>
        </w:rPr>
        <w:t>纸浆生命周期评价方法</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C.1  目的</w:t>
      </w:r>
    </w:p>
    <w:p>
      <w:pPr>
        <w:pStyle w:val="99"/>
        <w:numPr>
          <w:ilvl w:val="0"/>
          <w:numId w:val="0"/>
        </w:numPr>
        <w:ind w:firstLine="420" w:firstLineChars="200"/>
      </w:pPr>
      <w:r>
        <w:rPr>
          <w:rFonts w:hint="eastAsia"/>
        </w:rPr>
        <w:t>纸浆产品在原料的运输、生产、使用到最终废弃处理的过程中都对环境造成影响，通过评价产品生命周期的环境影响大小，提出绿色设计或绿色化改进方案，从而可为提升和改善纸浆产品的绿色设计提供依据。</w:t>
      </w:r>
    </w:p>
    <w:p>
      <w:pPr>
        <w:pStyle w:val="99"/>
        <w:numPr>
          <w:ilvl w:val="0"/>
          <w:numId w:val="0"/>
        </w:numPr>
        <w:spacing w:before="312" w:beforeLines="100" w:after="312" w:afterLines="100"/>
        <w:rPr>
          <w:rFonts w:ascii="黑体" w:hAnsi="黑体" w:eastAsia="黑体"/>
        </w:rPr>
      </w:pPr>
      <w:r>
        <w:rPr>
          <w:rFonts w:hint="eastAsia" w:ascii="黑体" w:hAnsi="黑体" w:eastAsia="黑体"/>
        </w:rPr>
        <w:t>C.2  范围</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C.2.1  功能单位</w:t>
      </w:r>
    </w:p>
    <w:p>
      <w:pPr>
        <w:pStyle w:val="90"/>
        <w:autoSpaceDE/>
        <w:autoSpaceDN/>
        <w:ind w:firstLine="0" w:firstLineChars="0"/>
      </w:pPr>
      <w:r>
        <w:rPr>
          <w:rFonts w:hint="eastAsia"/>
        </w:rPr>
        <w:t xml:space="preserve">    功能单位必须是明确规定并且可测量的。根据纸浆产品的特性，本规范可用1 000 kg纸浆为功能单位。</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C.2.2  系统边界</w:t>
      </w:r>
    </w:p>
    <w:p>
      <w:pPr>
        <w:ind w:firstLine="435"/>
      </w:pPr>
      <w:r>
        <w:rPr>
          <w:rFonts w:hint="eastAsia"/>
        </w:rPr>
        <w:t>本规范界定的纸浆产品的生命周期系统边界始于原料运送至生产厂，止于纸浆运送到一级经销商。其系统边界如图</w:t>
      </w:r>
      <w:r>
        <w:rPr>
          <w:rFonts w:hint="eastAsia" w:ascii="宋体" w:hAnsi="宋体"/>
        </w:rPr>
        <w:t>C</w:t>
      </w:r>
      <w:r>
        <w:rPr>
          <w:rFonts w:ascii="宋体" w:hAnsi="宋体"/>
        </w:rPr>
        <w:t>.1</w:t>
      </w:r>
      <w:r>
        <w:rPr>
          <w:rFonts w:hint="eastAsia"/>
        </w:rPr>
        <w:t>所示：</w:t>
      </w:r>
    </w:p>
    <w:p>
      <w:pPr>
        <w:pStyle w:val="47"/>
        <w:numPr>
          <w:ilvl w:val="0"/>
          <w:numId w:val="18"/>
        </w:numPr>
        <w:spacing w:line="240" w:lineRule="auto"/>
        <w:ind w:firstLine="420"/>
        <w:rPr>
          <w:sz w:val="21"/>
        </w:rPr>
      </w:pPr>
      <w:bookmarkStart w:id="31" w:name="_Toc246843106"/>
      <w:r>
        <w:rPr>
          <w:rFonts w:hint="eastAsia"/>
          <w:sz w:val="21"/>
        </w:rPr>
        <w:t>原生纸浆包括蒸煮、洗涤、筛选、漂白</w:t>
      </w:r>
      <w:bookmarkEnd w:id="31"/>
      <w:bookmarkStart w:id="32" w:name="_Toc246843107"/>
      <w:r>
        <w:rPr>
          <w:rFonts w:hint="eastAsia"/>
          <w:sz w:val="21"/>
        </w:rPr>
        <w:t>以及碱回收</w:t>
      </w:r>
      <w:bookmarkEnd w:id="32"/>
      <w:bookmarkStart w:id="33" w:name="_Toc246843109"/>
      <w:r>
        <w:rPr>
          <w:rFonts w:hint="eastAsia"/>
          <w:sz w:val="21"/>
        </w:rPr>
        <w:t>；</w:t>
      </w:r>
    </w:p>
    <w:p>
      <w:pPr>
        <w:pStyle w:val="47"/>
        <w:numPr>
          <w:ilvl w:val="0"/>
          <w:numId w:val="18"/>
        </w:numPr>
        <w:spacing w:line="240" w:lineRule="auto"/>
        <w:ind w:firstLine="420"/>
        <w:rPr>
          <w:sz w:val="21"/>
        </w:rPr>
      </w:pPr>
      <w:r>
        <w:rPr>
          <w:rFonts w:hint="eastAsia"/>
          <w:sz w:val="21"/>
        </w:rPr>
        <w:t>废水处理</w:t>
      </w:r>
      <w:bookmarkEnd w:id="33"/>
      <w:r>
        <w:rPr>
          <w:rFonts w:hint="eastAsia"/>
          <w:sz w:val="21"/>
        </w:rPr>
        <w:t>：包括制浆的废水处理；</w:t>
      </w:r>
    </w:p>
    <w:p>
      <w:pPr>
        <w:pStyle w:val="47"/>
        <w:spacing w:line="240" w:lineRule="auto"/>
        <w:ind w:firstLine="420"/>
        <w:rPr>
          <w:sz w:val="21"/>
        </w:rPr>
      </w:pPr>
      <w:bookmarkStart w:id="34" w:name="_Toc246843110"/>
      <w:r>
        <w:rPr>
          <w:rFonts w:hint="eastAsia"/>
          <w:sz w:val="21"/>
        </w:rPr>
        <w:t>c）能源生产</w:t>
      </w:r>
      <w:bookmarkEnd w:id="34"/>
      <w:r>
        <w:rPr>
          <w:rFonts w:hint="eastAsia"/>
          <w:sz w:val="21"/>
        </w:rPr>
        <w:t>：指电力和蒸汽的生产；</w:t>
      </w:r>
    </w:p>
    <w:p>
      <w:pPr>
        <w:pStyle w:val="47"/>
        <w:spacing w:line="240" w:lineRule="auto"/>
        <w:ind w:firstLine="420"/>
        <w:rPr>
          <w:sz w:val="21"/>
        </w:rPr>
      </w:pPr>
      <w:bookmarkStart w:id="35" w:name="_Toc246843111"/>
      <w:r>
        <w:rPr>
          <w:rFonts w:hint="eastAsia"/>
          <w:sz w:val="21"/>
        </w:rPr>
        <w:t>d）主要化学品的生产</w:t>
      </w:r>
      <w:bookmarkEnd w:id="35"/>
      <w:r>
        <w:rPr>
          <w:rFonts w:hint="eastAsia"/>
          <w:sz w:val="21"/>
        </w:rPr>
        <w:t>：包括用量大于</w:t>
      </w:r>
      <w:r>
        <w:rPr>
          <w:rFonts w:ascii="宋体" w:hAnsi="宋体"/>
          <w:sz w:val="21"/>
        </w:rPr>
        <w:t>1</w:t>
      </w:r>
      <w:r>
        <w:rPr>
          <w:rFonts w:hint="eastAsia" w:ascii="宋体" w:hAnsi="宋体" w:cs="宋体"/>
          <w:sz w:val="21"/>
        </w:rPr>
        <w:t>％</w:t>
      </w:r>
      <w:r>
        <w:rPr>
          <w:rFonts w:hint="eastAsia"/>
          <w:sz w:val="21"/>
        </w:rPr>
        <w:t>或环境影响大于</w:t>
      </w:r>
      <w:r>
        <w:rPr>
          <w:rFonts w:ascii="宋体" w:hAnsi="宋体"/>
          <w:sz w:val="21"/>
        </w:rPr>
        <w:t>1</w:t>
      </w:r>
      <w:r>
        <w:rPr>
          <w:rFonts w:hint="eastAsia" w:ascii="宋体" w:hAnsi="宋体" w:cs="宋体"/>
          <w:sz w:val="21"/>
        </w:rPr>
        <w:t>％</w:t>
      </w:r>
      <w:r>
        <w:rPr>
          <w:rFonts w:hint="eastAsia"/>
          <w:sz w:val="21"/>
        </w:rPr>
        <w:t>的化学品的生产；</w:t>
      </w:r>
    </w:p>
    <w:p>
      <w:pPr>
        <w:pStyle w:val="47"/>
        <w:spacing w:line="240" w:lineRule="auto"/>
        <w:ind w:firstLine="420"/>
        <w:rPr>
          <w:sz w:val="21"/>
        </w:rPr>
      </w:pPr>
      <w:r>
        <w:rPr>
          <w:rFonts w:hint="eastAsia"/>
          <w:sz w:val="21"/>
        </w:rPr>
        <w:t>e）使用：指纸浆到一级经销商的运输过程。</w:t>
      </w:r>
    </w:p>
    <w:p>
      <w:pPr>
        <w:pStyle w:val="47"/>
        <w:spacing w:line="240" w:lineRule="auto"/>
        <w:ind w:firstLine="420"/>
        <w:rPr>
          <w:sz w:val="21"/>
        </w:rPr>
      </w:pPr>
    </w:p>
    <w:p>
      <w:pPr>
        <w:pStyle w:val="47"/>
        <w:spacing w:line="240" w:lineRule="auto"/>
        <w:ind w:firstLine="0" w:firstLineChars="0"/>
        <w:jc w:val="center"/>
        <w:rPr>
          <w:sz w:val="21"/>
        </w:rPr>
      </w:pPr>
      <w:r>
        <w:rPr>
          <w:sz w:val="21"/>
        </w:rPr>
        <w:drawing>
          <wp:inline distT="0" distB="0" distL="114300" distR="114300">
            <wp:extent cx="5412105" cy="1978660"/>
            <wp:effectExtent l="0" t="0" r="13335" b="2540"/>
            <wp:docPr id="2" name="图片 2" descr="绿色纸浆 边界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绿色纸浆 边界图"/>
                    <pic:cNvPicPr>
                      <a:picLocks noChangeAspect="1"/>
                    </pic:cNvPicPr>
                  </pic:nvPicPr>
                  <pic:blipFill>
                    <a:blip r:embed="rId12"/>
                    <a:stretch>
                      <a:fillRect/>
                    </a:stretch>
                  </pic:blipFill>
                  <pic:spPr>
                    <a:xfrm>
                      <a:off x="0" y="0"/>
                      <a:ext cx="5412105" cy="1978660"/>
                    </a:xfrm>
                    <a:prstGeom prst="rect">
                      <a:avLst/>
                    </a:prstGeom>
                    <a:noFill/>
                    <a:ln>
                      <a:noFill/>
                    </a:ln>
                  </pic:spPr>
                </pic:pic>
              </a:graphicData>
            </a:graphic>
          </wp:inline>
        </w:drawing>
      </w:r>
    </w:p>
    <w:p>
      <w:pPr>
        <w:pStyle w:val="90"/>
        <w:autoSpaceDE/>
        <w:autoSpaceDN/>
        <w:ind w:firstLine="480"/>
        <w:jc w:val="center"/>
        <w:rPr>
          <w:rFonts w:hAnsi="宋体" w:cs="宋体"/>
          <w:sz w:val="24"/>
        </w:rPr>
      </w:pPr>
    </w:p>
    <w:p>
      <w:pPr>
        <w:pStyle w:val="138"/>
        <w:numPr>
          <w:ilvl w:val="0"/>
          <w:numId w:val="0"/>
        </w:numPr>
        <w:spacing w:beforeLines="0" w:afterLines="0"/>
      </w:pPr>
      <w:r>
        <w:rPr>
          <w:rFonts w:hint="eastAsia"/>
        </w:rPr>
        <w:t>图C.1 系统边界图</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C.2.3  时间边界</w:t>
      </w:r>
    </w:p>
    <w:p>
      <w:pPr>
        <w:ind w:firstLine="420" w:firstLineChars="200"/>
        <w:rPr>
          <w:bCs/>
          <w:szCs w:val="21"/>
        </w:rPr>
      </w:pPr>
      <w:r>
        <w:rPr>
          <w:rFonts w:ascii="宋体" w:hAnsi="宋体"/>
          <w:bCs/>
          <w:szCs w:val="21"/>
        </w:rPr>
        <w:t>LCA</w:t>
      </w:r>
      <w:r>
        <w:rPr>
          <w:rFonts w:hint="eastAsia"/>
          <w:bCs/>
          <w:szCs w:val="21"/>
        </w:rPr>
        <w:t>研究的基础数据应在规定的期限内</w:t>
      </w:r>
      <w:r>
        <w:rPr>
          <w:rFonts w:hint="eastAsia"/>
          <w:szCs w:val="21"/>
        </w:rPr>
        <w:t>。数据应反映具有代表性的时期（取最近两年内有效值）。如果未能取得两年内有效值，应做具体说明。</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C.2.4  地域界限</w:t>
      </w:r>
    </w:p>
    <w:p>
      <w:pPr>
        <w:pStyle w:val="90"/>
        <w:autoSpaceDE/>
        <w:autoSpaceDN/>
        <w:ind w:firstLine="0" w:firstLineChars="0"/>
      </w:pPr>
      <w:r>
        <w:rPr>
          <w:rFonts w:hint="eastAsia" w:ascii="黑体" w:hAnsi="黑体" w:eastAsia="黑体"/>
        </w:rPr>
        <w:t xml:space="preserve"> </w:t>
      </w:r>
      <w:r>
        <w:rPr>
          <w:rFonts w:hint="eastAsia"/>
        </w:rPr>
        <w:t xml:space="preserve">   原材料数据应是在参与产品和使用的地点/地区。生产过程数据应是在最终产品的生产中所涉及的地点/地区。</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C.2.5  自然边界</w:t>
      </w:r>
    </w:p>
    <w:p>
      <w:pPr>
        <w:pStyle w:val="90"/>
        <w:autoSpaceDE/>
        <w:autoSpaceDN/>
        <w:ind w:firstLine="0" w:firstLineChars="0"/>
      </w:pPr>
      <w:r>
        <w:rPr>
          <w:rFonts w:hint="eastAsia" w:ascii="黑体" w:hAnsi="黑体" w:eastAsia="黑体"/>
        </w:rPr>
        <w:t xml:space="preserve">   </w:t>
      </w:r>
      <w:r>
        <w:rPr>
          <w:rFonts w:hint="eastAsia"/>
        </w:rPr>
        <w:t xml:space="preserve"> 所有对自然界的排放和从自然界的输入输出都应被记录。</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C.3  资源利用和排放数据清单编制</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C.3.1  总则</w:t>
      </w:r>
    </w:p>
    <w:p>
      <w:pPr>
        <w:pStyle w:val="90"/>
        <w:autoSpaceDE/>
        <w:autoSpaceDN/>
        <w:ind w:firstLine="0" w:firstLineChars="0"/>
      </w:pPr>
      <w:r>
        <w:rPr>
          <w:rFonts w:hint="eastAsia" w:ascii="黑体" w:hAnsi="黑体" w:eastAsia="黑体"/>
        </w:rPr>
        <w:t xml:space="preserve">   </w:t>
      </w:r>
      <w:r>
        <w:rPr>
          <w:rFonts w:hint="eastAsia"/>
        </w:rPr>
        <w:t xml:space="preserve"> 数据收集范围应涵盖系统边界中的每一个单元过程，数据来源应注明出处。数据收集包括现场和背景数据的收集。应在系统边界内的每个单元过程中收集清单中的数据，通过测量、计算或估算用于量化单元过程输入和输出的数据，并给出数据的来源和获取过程。</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C.3.2  数据收集</w:t>
      </w:r>
    </w:p>
    <w:p>
      <w:pPr>
        <w:pStyle w:val="90"/>
        <w:autoSpaceDE/>
        <w:autoSpaceDN/>
        <w:ind w:firstLine="0" w:firstLineChars="0"/>
      </w:pPr>
      <w:r>
        <w:rPr>
          <w:rFonts w:hint="eastAsia" w:ascii="黑体" w:hAnsi="黑体" w:eastAsia="黑体"/>
        </w:rPr>
        <w:t xml:space="preserve">   </w:t>
      </w:r>
      <w:r>
        <w:rPr>
          <w:rFonts w:hint="eastAsia"/>
        </w:rPr>
        <w:t xml:space="preserve"> 数据收集程序主要步骤包括：</w:t>
      </w:r>
    </w:p>
    <w:p>
      <w:pPr>
        <w:pStyle w:val="90"/>
        <w:autoSpaceDE/>
        <w:autoSpaceDN/>
        <w:ind w:firstLineChars="0"/>
      </w:pPr>
      <w:r>
        <w:rPr>
          <w:rFonts w:hint="eastAsia"/>
        </w:rPr>
        <w:t>a)  设计数据收集表，如果报送的数据有特殊情况、异常点或其他问题，应在报告中进行明确说明；</w:t>
      </w:r>
    </w:p>
    <w:p>
      <w:pPr>
        <w:pStyle w:val="90"/>
        <w:autoSpaceDE/>
        <w:autoSpaceDN/>
        <w:ind w:left="420" w:firstLine="0" w:firstLineChars="0"/>
      </w:pPr>
      <w:r>
        <w:rPr>
          <w:rFonts w:hint="eastAsia"/>
        </w:rPr>
        <w:t>b)  根据数据收集准备的要求，由相关人员完成数据收集工作；</w:t>
      </w:r>
    </w:p>
    <w:p>
      <w:pPr>
        <w:pStyle w:val="90"/>
        <w:autoSpaceDE/>
        <w:autoSpaceDN/>
        <w:ind w:left="420" w:firstLine="0" w:firstLineChars="0"/>
      </w:pPr>
      <w:r>
        <w:rPr>
          <w:rFonts w:hint="eastAsia"/>
        </w:rPr>
        <w:t>c)  数据处理，即将收集的数据处理为功能单位的数据。</w:t>
      </w:r>
    </w:p>
    <w:p>
      <w:pPr>
        <w:pStyle w:val="90"/>
        <w:autoSpaceDE/>
        <w:autoSpaceDN/>
      </w:pPr>
      <w:r>
        <w:rPr>
          <w:rFonts w:hint="eastAsia"/>
        </w:rPr>
        <w:t>基于LCA的信息中要使用的数据可分为两类：现场数据和背景数据。主要数据尽量使用现场数据，如果现场数据收集缺乏，可以选择背景数据。背景数据可选用相关数据库中的数据。</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C.3.2.1  现场数据采集</w:t>
      </w:r>
    </w:p>
    <w:p>
      <w:pPr>
        <w:pStyle w:val="90"/>
        <w:autoSpaceDE/>
        <w:autoSpaceDN/>
        <w:ind w:firstLine="0" w:firstLineChars="0"/>
      </w:pPr>
      <w:r>
        <w:rPr>
          <w:rFonts w:hint="eastAsia" w:ascii="黑体" w:hAnsi="黑体" w:eastAsia="黑体"/>
        </w:rPr>
        <w:t xml:space="preserve">    </w:t>
      </w:r>
      <w:r>
        <w:rPr>
          <w:rFonts w:hint="eastAsia"/>
        </w:rPr>
        <w:t>应描述代表某一特定设施或一组设施的活动而直接测量或收集的数据相关采集规程。可直接对过程进行的测量或者通过采访或问卷调查从经营者处获得的测量值为特定过程最具代表性的数据来源。数据质量要求如下：</w:t>
      </w:r>
    </w:p>
    <w:p>
      <w:pPr>
        <w:pStyle w:val="90"/>
        <w:autoSpaceDE/>
        <w:autoSpaceDN/>
        <w:ind w:firstLine="0" w:firstLineChars="0"/>
      </w:pPr>
      <w:r>
        <w:rPr>
          <w:rFonts w:hint="eastAsia"/>
        </w:rPr>
        <w:t xml:space="preserve">    a)  代表性：现场数据应按照企业生产单元收集所确定范围内的生产统计数据。</w:t>
      </w:r>
    </w:p>
    <w:p>
      <w:pPr>
        <w:pStyle w:val="90"/>
        <w:autoSpaceDE/>
        <w:autoSpaceDN/>
        <w:ind w:firstLine="0" w:firstLineChars="0"/>
      </w:pPr>
      <w:r>
        <w:rPr>
          <w:rFonts w:hint="eastAsia"/>
        </w:rPr>
        <w:t xml:space="preserve">    </w:t>
      </w:r>
      <w:r>
        <w:t>b</w:t>
      </w:r>
      <w:r>
        <w:rPr>
          <w:rFonts w:hint="eastAsia"/>
        </w:rPr>
        <w:t>)  完整性：现场数据应采集完整的生命周期要求数据。</w:t>
      </w:r>
    </w:p>
    <w:p>
      <w:pPr>
        <w:pStyle w:val="90"/>
        <w:autoSpaceDE/>
        <w:autoSpaceDN/>
      </w:pPr>
      <w:r>
        <w:rPr>
          <w:rFonts w:hint="eastAsia"/>
        </w:rPr>
        <w:t>c)  准确性：现场数据中的资源、能源、原材料消耗数据应来自于生产单元的实际生产统计记录；环境排放数据优先选择相关的环境监测报告，或由排污因子或物料平衡公式计算获得。所有现场数据均应转换为单位产品，即1000 kg为基准折算，且需要详细记录相关的原始数据、数据来源、计算过程等。</w:t>
      </w:r>
    </w:p>
    <w:p>
      <w:pPr>
        <w:pStyle w:val="90"/>
        <w:autoSpaceDE/>
        <w:autoSpaceDN/>
        <w:ind w:firstLine="0" w:firstLineChars="0"/>
      </w:pPr>
      <w:r>
        <w:rPr>
          <w:rFonts w:hint="eastAsia"/>
        </w:rPr>
        <w:t xml:space="preserve">    d)  一致性：企业现场数据收集时应保持相同的数据来源、统计口径、处理规则等。</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C.3.2.2  背景数据采集</w:t>
      </w:r>
    </w:p>
    <w:p>
      <w:pPr>
        <w:pStyle w:val="90"/>
        <w:autoSpaceDE/>
        <w:autoSpaceDN/>
        <w:ind w:firstLine="0" w:firstLineChars="0"/>
      </w:pPr>
      <w:r>
        <w:rPr>
          <w:rFonts w:hint="eastAsia" w:ascii="黑体" w:hAnsi="黑体" w:eastAsia="黑体"/>
        </w:rPr>
        <w:t xml:space="preserve">    </w:t>
      </w:r>
      <w:r>
        <w:rPr>
          <w:rFonts w:hint="eastAsia"/>
        </w:rPr>
        <w:t>背景数据不是直接测量或计算而得到的数据。所使用数据的来源应有清楚的文件记载并应载入产品生命周期评价报告。数据质量要求如下：</w:t>
      </w:r>
    </w:p>
    <w:p>
      <w:pPr>
        <w:pStyle w:val="90"/>
        <w:autoSpaceDE/>
        <w:autoSpaceDN/>
      </w:pPr>
      <w:r>
        <w:rPr>
          <w:rFonts w:hint="eastAsia"/>
        </w:rPr>
        <w:t>a)  代表性：背景数据应优先选择企业的原材料供应商提供的符合相关LCA标准要求的、经第三方独立验证的上游产品LCA报告中的数据。若无，应优先选择代表中国国内平均生产水平的公开LCA数据，数据的参考年限应优先选择近年数据。在没有符合要求的中国国内数据的情况下，可以选择国外同类技术数据作为背景数据。</w:t>
      </w:r>
    </w:p>
    <w:p>
      <w:pPr>
        <w:pStyle w:val="90"/>
        <w:autoSpaceDE/>
        <w:autoSpaceDN/>
      </w:pPr>
      <w:r>
        <w:rPr>
          <w:rFonts w:hint="eastAsia"/>
        </w:rPr>
        <w:t>b)  完整性：背景数据的系统边界应该从资源开采到这些原辅材料或能源产品出厂为止。</w:t>
      </w:r>
    </w:p>
    <w:p>
      <w:pPr>
        <w:pStyle w:val="90"/>
        <w:autoSpaceDE/>
        <w:autoSpaceDN/>
      </w:pPr>
      <w:r>
        <w:rPr>
          <w:rFonts w:hint="eastAsia"/>
        </w:rPr>
        <w:t>c)  准确性：现场数据中的资源、能源、原材料消耗数据应该来自于生产单元的实际生产统计记录；环境排放数据优先选择相关的环境监测报告，或由排污因子或物料平衡公式计算获得。所有现场数据均应转换为单位产品，即1000 kg为基准折算，且需要详细记录相关的原始数据、数据来源、计算过程等。</w:t>
      </w:r>
    </w:p>
    <w:p>
      <w:pPr>
        <w:pStyle w:val="90"/>
        <w:autoSpaceDE/>
        <w:autoSpaceDN/>
        <w:ind w:firstLine="0" w:firstLineChars="0"/>
      </w:pPr>
      <w:r>
        <w:rPr>
          <w:rFonts w:hint="eastAsia"/>
        </w:rPr>
        <w:t xml:space="preserve">    d)  一致性：所有被选择的背景数据应完整覆盖本规范确定的生命周期清单因子，并且应将背景数据转换为一致的物质名录后再进行计算。</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C.3.3  清单分析</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C.3.3.1  数据收集</w:t>
      </w:r>
    </w:p>
    <w:p>
      <w:pPr>
        <w:pStyle w:val="90"/>
        <w:autoSpaceDE/>
        <w:autoSpaceDN/>
        <w:ind w:firstLine="0" w:firstLineChars="0"/>
      </w:pPr>
      <w:r>
        <w:rPr>
          <w:rFonts w:hint="eastAsia" w:ascii="黑体" w:hAnsi="黑体" w:eastAsia="黑体"/>
        </w:rPr>
        <w:t xml:space="preserve">C.3.3.1.1  </w:t>
      </w:r>
      <w:r>
        <w:rPr>
          <w:rFonts w:hint="eastAsia"/>
        </w:rPr>
        <w:t>现场数据可通过企业调研、上游厂家提供、采样监测等途径进行收集，所收集的数据要求为企业1年平均统计数据，并能够反映企业的实际生产水平。</w:t>
      </w:r>
    </w:p>
    <w:p>
      <w:pPr>
        <w:pStyle w:val="90"/>
        <w:autoSpaceDE/>
        <w:autoSpaceDN/>
        <w:ind w:firstLine="0" w:firstLineChars="0"/>
      </w:pPr>
      <w:r>
        <w:rPr>
          <w:rFonts w:hint="eastAsia" w:ascii="黑体" w:hAnsi="黑体" w:eastAsia="黑体"/>
        </w:rPr>
        <w:t>C.3.3.1.2</w:t>
      </w:r>
      <w:r>
        <w:rPr>
          <w:rFonts w:hint="eastAsia"/>
        </w:rPr>
        <w:t xml:space="preserve">  从实际调研过程中无法获得的数据，即背景数据，可采用相关数据库中的数据进行替代，在这一步骤中所涉及到的单元过程包括生活用纸相关原材料产品生产、包装材料、能源消耗以及产品的运输等。</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C.3.3.2  清单分析</w:t>
      </w:r>
    </w:p>
    <w:p>
      <w:pPr>
        <w:pStyle w:val="90"/>
        <w:autoSpaceDE/>
        <w:autoSpaceDN/>
      </w:pPr>
      <w:r>
        <w:rPr>
          <w:rFonts w:hint="eastAsia"/>
        </w:rPr>
        <w:t>对收集的数据分析处理，可利用相关软件进行分析，企业可根据实际情况选择软件，通过建立纸浆生命周期各个过程单元模块，输入单元数据，可得到全部输入与输出物质和排放清单，选择C.4.2中表C.2各个清单因子的量，为分类评价做准备。</w:t>
      </w:r>
    </w:p>
    <w:p>
      <w:pPr>
        <w:pStyle w:val="90"/>
        <w:autoSpaceDE/>
        <w:autoSpaceDN/>
        <w:spacing w:before="312" w:beforeLines="100" w:after="312" w:afterLines="100"/>
        <w:ind w:firstLine="0" w:firstLineChars="0"/>
        <w:rPr>
          <w:rFonts w:ascii="黑体" w:hAnsi="黑体" w:eastAsia="黑体"/>
        </w:rPr>
      </w:pPr>
      <w:r>
        <w:rPr>
          <w:rFonts w:hint="eastAsia" w:ascii="黑体" w:hAnsi="黑体" w:eastAsia="黑体"/>
        </w:rPr>
        <w:t>C.4  影响评价</w:t>
      </w:r>
    </w:p>
    <w:p>
      <w:pPr>
        <w:pStyle w:val="90"/>
        <w:autoSpaceDE/>
        <w:autoSpaceDN/>
        <w:spacing w:before="156" w:beforeLines="50" w:after="156" w:afterLines="50"/>
        <w:ind w:firstLine="0" w:firstLineChars="0"/>
        <w:rPr>
          <w:rFonts w:ascii="黑体" w:hAnsi="黑体" w:eastAsia="黑体"/>
        </w:rPr>
      </w:pPr>
      <w:r>
        <w:rPr>
          <w:rFonts w:hint="eastAsia" w:ascii="黑体" w:hAnsi="黑体" w:eastAsia="黑体"/>
        </w:rPr>
        <w:t>C.4.1  影响类型</w:t>
      </w:r>
    </w:p>
    <w:p>
      <w:pPr>
        <w:pStyle w:val="90"/>
        <w:rPr>
          <w:rFonts w:hAnsi="宋体"/>
        </w:rPr>
      </w:pPr>
      <w:r>
        <w:rPr>
          <w:rFonts w:hint="eastAsia"/>
        </w:rPr>
        <w:t>纸浆的影响类型包括全球变暖、酸化效应、富营养化、光化学烟雾效应。</w:t>
      </w:r>
    </w:p>
    <w:p>
      <w:pPr>
        <w:pStyle w:val="90"/>
        <w:spacing w:before="156" w:beforeLines="50" w:after="156" w:afterLines="50"/>
        <w:ind w:firstLine="0" w:firstLineChars="0"/>
        <w:rPr>
          <w:rFonts w:ascii="黑体" w:hAnsi="黑体" w:eastAsia="黑体"/>
        </w:rPr>
      </w:pPr>
      <w:r>
        <w:rPr>
          <w:rFonts w:hint="eastAsia" w:ascii="黑体" w:hAnsi="黑体" w:eastAsia="黑体"/>
        </w:rPr>
        <w:t>C.4.2  清单因子归类</w:t>
      </w:r>
    </w:p>
    <w:p>
      <w:pPr>
        <w:pStyle w:val="90"/>
        <w:rPr>
          <w:rFonts w:hAnsi="宋体"/>
        </w:rPr>
      </w:pPr>
      <w:r>
        <w:rPr>
          <w:rFonts w:hint="eastAsia"/>
        </w:rPr>
        <w:t>清单因子归类见表C.1。</w:t>
      </w:r>
    </w:p>
    <w:p>
      <w:pPr>
        <w:pStyle w:val="138"/>
        <w:numPr>
          <w:ilvl w:val="0"/>
          <w:numId w:val="0"/>
        </w:numPr>
        <w:spacing w:before="156" w:afterLines="0"/>
      </w:pPr>
      <w:r>
        <w:rPr>
          <w:rFonts w:hint="eastAsia"/>
        </w:rPr>
        <w:t>表C.1  纸浆产品生命周期清单因子归类</w:t>
      </w:r>
    </w:p>
    <w:tbl>
      <w:tblPr>
        <w:tblStyle w:val="48"/>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7"/>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3597" w:type="dxa"/>
          </w:tcPr>
          <w:p>
            <w:pPr>
              <w:jc w:val="center"/>
              <w:rPr>
                <w:rFonts w:ascii="宋体" w:hAnsi="宋体"/>
                <w:sz w:val="18"/>
                <w:szCs w:val="18"/>
              </w:rPr>
            </w:pPr>
            <w:r>
              <w:rPr>
                <w:rFonts w:hint="eastAsia" w:ascii="宋体" w:hAnsi="宋体"/>
                <w:sz w:val="18"/>
                <w:szCs w:val="18"/>
              </w:rPr>
              <w:t>环境影响类型</w:t>
            </w:r>
          </w:p>
        </w:tc>
        <w:tc>
          <w:tcPr>
            <w:tcW w:w="4548" w:type="dxa"/>
          </w:tcPr>
          <w:p>
            <w:pPr>
              <w:jc w:val="center"/>
              <w:rPr>
                <w:rFonts w:ascii="宋体" w:hAnsi="宋体"/>
                <w:sz w:val="18"/>
                <w:szCs w:val="18"/>
              </w:rPr>
            </w:pPr>
            <w:r>
              <w:rPr>
                <w:rFonts w:hint="eastAsia" w:ascii="宋体" w:hAnsi="宋体"/>
                <w:sz w:val="18"/>
                <w:szCs w:val="18"/>
              </w:rPr>
              <w:t>清单因子分类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3597" w:type="dxa"/>
          </w:tcPr>
          <w:p>
            <w:pPr>
              <w:jc w:val="center"/>
              <w:rPr>
                <w:rFonts w:ascii="宋体" w:hAnsi="宋体"/>
                <w:sz w:val="18"/>
                <w:szCs w:val="18"/>
              </w:rPr>
            </w:pPr>
            <w:r>
              <w:rPr>
                <w:rFonts w:hint="eastAsia" w:ascii="宋体" w:hAnsi="宋体"/>
                <w:sz w:val="18"/>
                <w:szCs w:val="18"/>
              </w:rPr>
              <w:t>全球变暖（GWP）</w:t>
            </w:r>
          </w:p>
        </w:tc>
        <w:tc>
          <w:tcPr>
            <w:tcW w:w="4548" w:type="dxa"/>
          </w:tcPr>
          <w:p>
            <w:pPr>
              <w:jc w:val="center"/>
              <w:rPr>
                <w:rFonts w:ascii="宋体" w:hAnsi="宋体"/>
                <w:sz w:val="18"/>
                <w:szCs w:val="18"/>
              </w:rPr>
            </w:pPr>
            <w:r>
              <w:rPr>
                <w:rFonts w:ascii="宋体" w:hAnsi="宋体" w:cs="ArialMT"/>
                <w:kern w:val="0"/>
                <w:sz w:val="18"/>
                <w:szCs w:val="18"/>
              </w:rPr>
              <w:t>CO</w:t>
            </w:r>
            <w:r>
              <w:rPr>
                <w:rFonts w:ascii="宋体" w:hAnsi="宋体" w:cs="ArialMT"/>
                <w:kern w:val="0"/>
                <w:sz w:val="18"/>
                <w:szCs w:val="18"/>
                <w:vertAlign w:val="subscript"/>
              </w:rPr>
              <w:t>2</w:t>
            </w:r>
            <w:r>
              <w:rPr>
                <w:rFonts w:hint="eastAsia" w:ascii="宋体" w:hAnsi="宋体"/>
                <w:sz w:val="18"/>
                <w:szCs w:val="18"/>
              </w:rPr>
              <w:t>、</w:t>
            </w:r>
            <w:r>
              <w:rPr>
                <w:rFonts w:hint="eastAsia" w:ascii="宋体" w:hAnsi="宋体" w:cs="ArialMT"/>
                <w:kern w:val="0"/>
                <w:sz w:val="18"/>
                <w:szCs w:val="18"/>
              </w:rPr>
              <w:t>NMVOC</w:t>
            </w:r>
            <w:r>
              <w:rPr>
                <w:rFonts w:hint="eastAsia" w:ascii="宋体" w:hAnsi="宋体"/>
                <w:sz w:val="18"/>
                <w:szCs w:val="18"/>
              </w:rPr>
              <w:t>、</w:t>
            </w:r>
            <w:r>
              <w:rPr>
                <w:rFonts w:hint="eastAsia" w:ascii="宋体" w:hAnsi="宋体" w:cs="ArialMT"/>
                <w:kern w:val="0"/>
                <w:sz w:val="18"/>
                <w:szCs w:val="18"/>
              </w:rPr>
              <w:t>CO</w:t>
            </w:r>
            <w:r>
              <w:rPr>
                <w:rFonts w:hint="eastAsia" w:ascii="宋体" w:hAnsi="宋体"/>
                <w:sz w:val="18"/>
                <w:szCs w:val="18"/>
              </w:rPr>
              <w:t>、</w:t>
            </w:r>
            <w:r>
              <w:rPr>
                <w:rFonts w:ascii="宋体" w:hAnsi="宋体" w:cs="ArialMT"/>
                <w:kern w:val="0"/>
                <w:sz w:val="18"/>
                <w:szCs w:val="18"/>
              </w:rPr>
              <w:t>CH</w:t>
            </w:r>
            <w:r>
              <w:rPr>
                <w:rFonts w:ascii="宋体" w:hAnsi="宋体" w:cs="ArialMT"/>
                <w:kern w:val="0"/>
                <w:sz w:val="18"/>
                <w:szCs w:val="18"/>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3597" w:type="dxa"/>
          </w:tcPr>
          <w:p>
            <w:pPr>
              <w:jc w:val="center"/>
              <w:rPr>
                <w:rFonts w:ascii="宋体" w:hAnsi="宋体"/>
                <w:sz w:val="18"/>
                <w:szCs w:val="18"/>
              </w:rPr>
            </w:pPr>
            <w:r>
              <w:rPr>
                <w:rFonts w:hint="eastAsia" w:ascii="宋体" w:hAnsi="宋体"/>
                <w:sz w:val="18"/>
                <w:szCs w:val="18"/>
              </w:rPr>
              <w:t>酸化效应（AP）</w:t>
            </w:r>
          </w:p>
        </w:tc>
        <w:tc>
          <w:tcPr>
            <w:tcW w:w="4548" w:type="dxa"/>
          </w:tcPr>
          <w:p>
            <w:pPr>
              <w:jc w:val="center"/>
              <w:rPr>
                <w:rFonts w:ascii="宋体" w:hAnsi="宋体"/>
                <w:sz w:val="18"/>
                <w:szCs w:val="18"/>
              </w:rPr>
            </w:pPr>
            <w:r>
              <w:rPr>
                <w:rFonts w:hint="eastAsia" w:ascii="宋体" w:hAnsi="宋体"/>
                <w:sz w:val="18"/>
                <w:szCs w:val="18"/>
              </w:rPr>
              <w:t>NO</w:t>
            </w:r>
            <w:r>
              <w:rPr>
                <w:rFonts w:hint="eastAsia" w:ascii="宋体" w:hAnsi="宋体"/>
                <w:sz w:val="18"/>
                <w:szCs w:val="18"/>
                <w:vertAlign w:val="subscript"/>
              </w:rPr>
              <w:t>x</w:t>
            </w:r>
            <w:r>
              <w:rPr>
                <w:rFonts w:hint="eastAsia" w:ascii="宋体" w:hAnsi="宋体"/>
                <w:sz w:val="18"/>
                <w:szCs w:val="18"/>
              </w:rPr>
              <w:t>、SO</w:t>
            </w:r>
            <w:r>
              <w:rPr>
                <w:rFonts w:hint="eastAsia" w:ascii="宋体" w:hAnsi="宋体"/>
                <w:sz w:val="18"/>
                <w:szCs w:val="18"/>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3597" w:type="dxa"/>
          </w:tcPr>
          <w:p>
            <w:pPr>
              <w:jc w:val="center"/>
              <w:rPr>
                <w:rFonts w:ascii="宋体" w:hAnsi="宋体"/>
                <w:sz w:val="18"/>
                <w:szCs w:val="18"/>
              </w:rPr>
            </w:pPr>
            <w:r>
              <w:rPr>
                <w:rFonts w:hint="eastAsia" w:ascii="宋体" w:hAnsi="宋体"/>
                <w:sz w:val="18"/>
                <w:szCs w:val="18"/>
              </w:rPr>
              <w:t>富营养化（NP）</w:t>
            </w:r>
          </w:p>
        </w:tc>
        <w:tc>
          <w:tcPr>
            <w:tcW w:w="4548" w:type="dxa"/>
          </w:tcPr>
          <w:p>
            <w:pPr>
              <w:jc w:val="center"/>
              <w:rPr>
                <w:rFonts w:ascii="宋体" w:hAnsi="宋体"/>
                <w:sz w:val="18"/>
                <w:szCs w:val="18"/>
              </w:rPr>
            </w:pPr>
            <w:r>
              <w:rPr>
                <w:rFonts w:hint="eastAsia" w:ascii="宋体" w:hAnsi="宋体"/>
                <w:sz w:val="18"/>
                <w:szCs w:val="18"/>
              </w:rPr>
              <w:t>PO</w:t>
            </w:r>
            <w:r>
              <w:rPr>
                <w:rFonts w:hint="eastAsia" w:ascii="宋体" w:hAnsi="宋体"/>
                <w:sz w:val="18"/>
                <w:szCs w:val="18"/>
                <w:vertAlign w:val="subscript"/>
              </w:rPr>
              <w:t>4</w:t>
            </w:r>
            <w:r>
              <w:rPr>
                <w:rFonts w:hint="eastAsia" w:ascii="宋体" w:hAnsi="宋体"/>
                <w:sz w:val="18"/>
                <w:szCs w:val="18"/>
                <w:vertAlign w:val="superscript"/>
              </w:rPr>
              <w:t>3-</w:t>
            </w:r>
            <w:r>
              <w:rPr>
                <w:rFonts w:hint="eastAsia" w:ascii="宋体" w:hAnsi="宋体"/>
                <w:sz w:val="18"/>
                <w:szCs w:val="18"/>
              </w:rPr>
              <w:t>、NO</w:t>
            </w:r>
            <w:r>
              <w:rPr>
                <w:rFonts w:hint="eastAsia" w:ascii="宋体" w:hAnsi="宋体"/>
                <w:sz w:val="18"/>
                <w:szCs w:val="18"/>
                <w:vertAlign w:val="subscript"/>
              </w:rPr>
              <w:t>x</w:t>
            </w:r>
            <w:r>
              <w:rPr>
                <w:rFonts w:hint="eastAsia" w:ascii="宋体" w:hAnsi="宋体"/>
                <w:sz w:val="18"/>
                <w:szCs w:val="18"/>
              </w:rPr>
              <w:t>、NH</w:t>
            </w:r>
            <w:r>
              <w:rPr>
                <w:rFonts w:hint="eastAsia" w:ascii="宋体" w:hAnsi="宋体"/>
                <w:sz w:val="18"/>
                <w:szCs w:val="18"/>
                <w:vertAlign w:val="subscript"/>
              </w:rPr>
              <w:t>4</w:t>
            </w:r>
            <w:r>
              <w:rPr>
                <w:rFonts w:hint="eastAsia" w:ascii="宋体" w:hAnsi="宋体"/>
                <w:sz w:val="18"/>
                <w:szCs w:val="18"/>
                <w:vertAlign w:val="superscript"/>
              </w:rPr>
              <w:t>+</w:t>
            </w:r>
            <w:r>
              <w:rPr>
                <w:rFonts w:hint="eastAsia" w:ascii="宋体" w:hAnsi="宋体"/>
                <w:sz w:val="18"/>
                <w:szCs w:val="18"/>
              </w:rPr>
              <w:t>、TN、TP、NO</w:t>
            </w:r>
            <w:r>
              <w:rPr>
                <w:rFonts w:hint="eastAsia" w:ascii="宋体" w:hAnsi="宋体"/>
                <w:sz w:val="18"/>
                <w:szCs w:val="18"/>
                <w:vertAlign w:val="subscript"/>
              </w:rPr>
              <w:t>3</w:t>
            </w:r>
            <w:r>
              <w:rPr>
                <w:rFonts w:hint="eastAsia" w:ascii="宋体" w:hAnsi="宋体"/>
                <w:sz w:val="18"/>
                <w:szCs w:val="18"/>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3597" w:type="dxa"/>
          </w:tcPr>
          <w:p>
            <w:pPr>
              <w:jc w:val="center"/>
              <w:rPr>
                <w:rFonts w:ascii="宋体" w:hAnsi="宋体"/>
                <w:sz w:val="18"/>
                <w:szCs w:val="18"/>
              </w:rPr>
            </w:pPr>
            <w:r>
              <w:rPr>
                <w:rFonts w:hint="eastAsia" w:ascii="宋体" w:hAnsi="宋体"/>
                <w:sz w:val="18"/>
                <w:szCs w:val="18"/>
              </w:rPr>
              <w:t>光化学烟雾效应（POCP）</w:t>
            </w:r>
          </w:p>
        </w:tc>
        <w:tc>
          <w:tcPr>
            <w:tcW w:w="4548" w:type="dxa"/>
          </w:tcPr>
          <w:p>
            <w:pPr>
              <w:jc w:val="center"/>
              <w:rPr>
                <w:rFonts w:ascii="宋体" w:hAnsi="宋体"/>
                <w:sz w:val="18"/>
                <w:szCs w:val="18"/>
              </w:rPr>
            </w:pPr>
            <w:r>
              <w:rPr>
                <w:rFonts w:hint="eastAsia" w:ascii="宋体" w:hAnsi="宋体"/>
                <w:sz w:val="18"/>
                <w:szCs w:val="18"/>
              </w:rPr>
              <w:t>C</w:t>
            </w:r>
            <w:r>
              <w:rPr>
                <w:rFonts w:hint="eastAsia" w:ascii="宋体" w:hAnsi="宋体"/>
                <w:sz w:val="18"/>
                <w:szCs w:val="18"/>
                <w:vertAlign w:val="subscript"/>
              </w:rPr>
              <w:t>2</w:t>
            </w:r>
            <w:r>
              <w:rPr>
                <w:rFonts w:hint="eastAsia" w:ascii="宋体" w:hAnsi="宋体"/>
                <w:sz w:val="18"/>
                <w:szCs w:val="18"/>
              </w:rPr>
              <w:t>H</w:t>
            </w:r>
            <w:r>
              <w:rPr>
                <w:rFonts w:hint="eastAsia" w:ascii="宋体" w:hAnsi="宋体"/>
                <w:sz w:val="18"/>
                <w:szCs w:val="18"/>
                <w:vertAlign w:val="subscript"/>
              </w:rPr>
              <w:t>4</w:t>
            </w:r>
            <w:r>
              <w:rPr>
                <w:rFonts w:hint="eastAsia" w:ascii="宋体" w:hAnsi="宋体"/>
                <w:sz w:val="18"/>
                <w:szCs w:val="18"/>
              </w:rPr>
              <w:t>、NO</w:t>
            </w:r>
            <w:r>
              <w:rPr>
                <w:rFonts w:hint="eastAsia" w:ascii="宋体" w:hAnsi="宋体"/>
                <w:sz w:val="18"/>
                <w:szCs w:val="18"/>
                <w:vertAlign w:val="subscript"/>
              </w:rPr>
              <w:t>x</w:t>
            </w:r>
            <w:r>
              <w:rPr>
                <w:rFonts w:hint="eastAsia" w:ascii="宋体" w:hAnsi="宋体"/>
                <w:sz w:val="18"/>
                <w:szCs w:val="18"/>
              </w:rPr>
              <w:t>、CO、CH</w:t>
            </w:r>
            <w:r>
              <w:rPr>
                <w:rFonts w:hint="eastAsia" w:ascii="宋体" w:hAnsi="宋体"/>
                <w:sz w:val="18"/>
                <w:szCs w:val="18"/>
                <w:vertAlign w:val="subscript"/>
              </w:rPr>
              <w:t>4</w:t>
            </w:r>
            <w:r>
              <w:rPr>
                <w:rFonts w:hint="eastAsia" w:ascii="宋体" w:hAnsi="宋体"/>
                <w:sz w:val="18"/>
                <w:szCs w:val="18"/>
              </w:rPr>
              <w:t>、NMVOC</w:t>
            </w:r>
          </w:p>
        </w:tc>
      </w:tr>
    </w:tbl>
    <w:p>
      <w:pPr>
        <w:pStyle w:val="90"/>
        <w:spacing w:before="156" w:beforeLines="50" w:after="156" w:afterLines="50"/>
        <w:ind w:firstLine="0" w:firstLineChars="0"/>
        <w:rPr>
          <w:rFonts w:ascii="黑体" w:hAnsi="黑体" w:eastAsia="黑体" w:cs="宋体"/>
          <w:szCs w:val="21"/>
        </w:rPr>
      </w:pPr>
      <w:r>
        <w:rPr>
          <w:rFonts w:hint="eastAsia" w:ascii="黑体" w:hAnsi="黑体" w:eastAsia="黑体"/>
        </w:rPr>
        <w:t>C.4.3  环境影响特征化评价</w:t>
      </w:r>
    </w:p>
    <w:p>
      <w:pPr>
        <w:pStyle w:val="90"/>
        <w:rPr>
          <w:rFonts w:hAnsi="宋体"/>
        </w:rPr>
      </w:pPr>
      <w:r>
        <w:rPr>
          <w:rFonts w:hint="eastAsia"/>
        </w:rPr>
        <w:t>计算出不同影响类型的特征化模型，本部分所涉及的污染物排放的环境影响特征化因子见表C.2。</w:t>
      </w:r>
    </w:p>
    <w:p>
      <w:pPr>
        <w:pStyle w:val="138"/>
        <w:numPr>
          <w:ilvl w:val="0"/>
          <w:numId w:val="0"/>
        </w:numPr>
        <w:spacing w:before="156" w:afterLines="0"/>
      </w:pPr>
      <w:r>
        <w:rPr>
          <w:rFonts w:hint="eastAsia"/>
        </w:rPr>
        <w:t>表C.2  纸浆产品生命周期影响评价</w:t>
      </w:r>
    </w:p>
    <w:tbl>
      <w:tblPr>
        <w:tblStyle w:val="48"/>
        <w:tblW w:w="8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1620"/>
        <w:gridCol w:w="252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030" w:type="dxa"/>
            <w:vAlign w:val="center"/>
          </w:tcPr>
          <w:p>
            <w:pPr>
              <w:jc w:val="center"/>
              <w:rPr>
                <w:rFonts w:ascii="宋体" w:hAnsi="宋体"/>
                <w:sz w:val="18"/>
                <w:szCs w:val="18"/>
              </w:rPr>
            </w:pPr>
            <w:r>
              <w:rPr>
                <w:rFonts w:hint="eastAsia" w:ascii="宋体" w:hAnsi="宋体"/>
                <w:sz w:val="18"/>
                <w:szCs w:val="18"/>
              </w:rPr>
              <w:t>环境影响类型</w:t>
            </w:r>
          </w:p>
        </w:tc>
        <w:tc>
          <w:tcPr>
            <w:tcW w:w="1620" w:type="dxa"/>
            <w:vAlign w:val="center"/>
          </w:tcPr>
          <w:p>
            <w:pPr>
              <w:jc w:val="center"/>
              <w:rPr>
                <w:rFonts w:ascii="宋体" w:hAnsi="宋体"/>
                <w:sz w:val="18"/>
                <w:szCs w:val="18"/>
              </w:rPr>
            </w:pPr>
            <w:r>
              <w:rPr>
                <w:rFonts w:hint="eastAsia" w:ascii="宋体" w:hAnsi="宋体"/>
                <w:sz w:val="18"/>
                <w:szCs w:val="18"/>
              </w:rPr>
              <w:t>环境类型参数</w:t>
            </w:r>
          </w:p>
        </w:tc>
        <w:tc>
          <w:tcPr>
            <w:tcW w:w="2520" w:type="dxa"/>
            <w:vAlign w:val="center"/>
          </w:tcPr>
          <w:p>
            <w:pPr>
              <w:jc w:val="center"/>
              <w:rPr>
                <w:rFonts w:ascii="宋体" w:hAnsi="宋体"/>
                <w:sz w:val="18"/>
                <w:szCs w:val="18"/>
              </w:rPr>
            </w:pPr>
            <w:r>
              <w:rPr>
                <w:rFonts w:hint="eastAsia" w:ascii="宋体" w:hAnsi="宋体"/>
                <w:sz w:val="18"/>
                <w:szCs w:val="18"/>
              </w:rPr>
              <w:t>特征因子</w:t>
            </w:r>
          </w:p>
        </w:tc>
        <w:tc>
          <w:tcPr>
            <w:tcW w:w="1845" w:type="dxa"/>
            <w:vAlign w:val="center"/>
          </w:tcPr>
          <w:p>
            <w:pPr>
              <w:jc w:val="center"/>
              <w:rPr>
                <w:rFonts w:ascii="宋体" w:hAnsi="宋体"/>
                <w:sz w:val="18"/>
                <w:szCs w:val="18"/>
              </w:rPr>
            </w:pPr>
            <w:r>
              <w:rPr>
                <w:rFonts w:hint="eastAsia" w:ascii="宋体" w:hAnsi="宋体"/>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030" w:type="dxa"/>
            <w:vMerge w:val="restart"/>
            <w:vAlign w:val="center"/>
          </w:tcPr>
          <w:p>
            <w:pPr>
              <w:jc w:val="center"/>
              <w:rPr>
                <w:rFonts w:ascii="宋体" w:hAnsi="宋体"/>
                <w:sz w:val="18"/>
                <w:szCs w:val="18"/>
              </w:rPr>
            </w:pPr>
            <w:r>
              <w:rPr>
                <w:rFonts w:hint="eastAsia" w:ascii="宋体" w:hAnsi="宋体"/>
                <w:sz w:val="18"/>
                <w:szCs w:val="18"/>
              </w:rPr>
              <w:t>全球变暖</w:t>
            </w:r>
          </w:p>
        </w:tc>
        <w:tc>
          <w:tcPr>
            <w:tcW w:w="1620" w:type="dxa"/>
            <w:vAlign w:val="center"/>
          </w:tcPr>
          <w:p>
            <w:pPr>
              <w:autoSpaceDE w:val="0"/>
              <w:autoSpaceDN w:val="0"/>
              <w:adjustRightInd w:val="0"/>
              <w:jc w:val="center"/>
              <w:rPr>
                <w:rFonts w:ascii="宋体" w:hAnsi="宋体" w:cs="ArialMT"/>
                <w:kern w:val="0"/>
                <w:sz w:val="18"/>
                <w:szCs w:val="18"/>
              </w:rPr>
            </w:pPr>
            <w:r>
              <w:rPr>
                <w:rFonts w:ascii="宋体" w:hAnsi="宋体" w:cs="ArialMT"/>
                <w:kern w:val="0"/>
                <w:sz w:val="18"/>
                <w:szCs w:val="18"/>
              </w:rPr>
              <w:t>CO</w:t>
            </w:r>
            <w:r>
              <w:rPr>
                <w:rFonts w:ascii="宋体" w:hAnsi="宋体" w:cs="ArialMT"/>
                <w:kern w:val="0"/>
                <w:sz w:val="18"/>
                <w:szCs w:val="18"/>
                <w:vertAlign w:val="subscript"/>
              </w:rPr>
              <w:t>2</w:t>
            </w:r>
          </w:p>
        </w:tc>
        <w:tc>
          <w:tcPr>
            <w:tcW w:w="2520" w:type="dxa"/>
            <w:vAlign w:val="center"/>
          </w:tcPr>
          <w:p>
            <w:pPr>
              <w:autoSpaceDE w:val="0"/>
              <w:autoSpaceDN w:val="0"/>
              <w:adjustRightInd w:val="0"/>
              <w:jc w:val="center"/>
              <w:rPr>
                <w:rFonts w:ascii="宋体" w:hAnsi="宋体" w:cs="ArialMT"/>
                <w:kern w:val="0"/>
                <w:sz w:val="18"/>
                <w:szCs w:val="18"/>
              </w:rPr>
            </w:pPr>
            <w:r>
              <w:rPr>
                <w:rFonts w:ascii="宋体" w:hAnsi="宋体" w:cs="ArialMT"/>
                <w:kern w:val="0"/>
                <w:sz w:val="18"/>
                <w:szCs w:val="18"/>
              </w:rPr>
              <w:t>1</w:t>
            </w:r>
          </w:p>
        </w:tc>
        <w:tc>
          <w:tcPr>
            <w:tcW w:w="1845" w:type="dxa"/>
            <w:vMerge w:val="restart"/>
            <w:vAlign w:val="center"/>
          </w:tcPr>
          <w:p>
            <w:pPr>
              <w:jc w:val="center"/>
              <w:rPr>
                <w:rFonts w:ascii="宋体" w:hAnsi="宋体"/>
                <w:sz w:val="18"/>
                <w:szCs w:val="18"/>
              </w:rPr>
            </w:pPr>
            <w:r>
              <w:rPr>
                <w:rFonts w:hint="eastAsia" w:ascii="宋体" w:hAnsi="宋体"/>
                <w:sz w:val="18"/>
                <w:szCs w:val="18"/>
              </w:rPr>
              <w:t>kg CO</w:t>
            </w:r>
            <w:r>
              <w:rPr>
                <w:rFonts w:hint="eastAsia" w:ascii="宋体" w:hAnsi="宋体"/>
                <w:sz w:val="18"/>
                <w:szCs w:val="18"/>
                <w:vertAlign w:val="subscript"/>
              </w:rPr>
              <w:t>2</w:t>
            </w:r>
            <w:r>
              <w:rPr>
                <w:rFonts w:hint="eastAsia" w:ascii="宋体" w:hAnsi="宋体"/>
                <w:sz w:val="18"/>
                <w:szCs w:val="18"/>
              </w:rPr>
              <w:t>当量/kg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autoSpaceDE w:val="0"/>
              <w:autoSpaceDN w:val="0"/>
              <w:adjustRightInd w:val="0"/>
              <w:jc w:val="center"/>
              <w:rPr>
                <w:rFonts w:ascii="宋体" w:hAnsi="宋体" w:cs="ArialMT"/>
                <w:kern w:val="0"/>
                <w:sz w:val="18"/>
                <w:szCs w:val="18"/>
              </w:rPr>
            </w:pPr>
            <w:r>
              <w:rPr>
                <w:rFonts w:ascii="宋体" w:hAnsi="宋体" w:cs="ArialMT"/>
                <w:kern w:val="0"/>
                <w:sz w:val="18"/>
                <w:szCs w:val="18"/>
              </w:rPr>
              <w:t>CH</w:t>
            </w:r>
            <w:r>
              <w:rPr>
                <w:rFonts w:ascii="宋体" w:hAnsi="宋体" w:cs="ArialMT"/>
                <w:kern w:val="0"/>
                <w:sz w:val="18"/>
                <w:szCs w:val="18"/>
                <w:vertAlign w:val="subscript"/>
              </w:rPr>
              <w:t>4</w:t>
            </w:r>
          </w:p>
        </w:tc>
        <w:tc>
          <w:tcPr>
            <w:tcW w:w="2520" w:type="dxa"/>
            <w:vAlign w:val="center"/>
          </w:tcPr>
          <w:p>
            <w:pPr>
              <w:autoSpaceDE w:val="0"/>
              <w:autoSpaceDN w:val="0"/>
              <w:adjustRightInd w:val="0"/>
              <w:jc w:val="center"/>
              <w:rPr>
                <w:rFonts w:ascii="宋体" w:hAnsi="宋体" w:cs="ArialMT"/>
                <w:kern w:val="0"/>
                <w:sz w:val="18"/>
                <w:szCs w:val="18"/>
              </w:rPr>
            </w:pPr>
            <w:r>
              <w:rPr>
                <w:rFonts w:ascii="宋体" w:hAnsi="宋体" w:cs="ArialMT"/>
                <w:kern w:val="0"/>
                <w:sz w:val="18"/>
                <w:szCs w:val="18"/>
              </w:rPr>
              <w:t>2</w:t>
            </w:r>
            <w:r>
              <w:rPr>
                <w:rFonts w:hint="eastAsia" w:ascii="宋体" w:hAnsi="宋体" w:cs="ArialMT"/>
                <w:kern w:val="0"/>
                <w:sz w:val="18"/>
                <w:szCs w:val="18"/>
              </w:rPr>
              <w:t>5</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autoSpaceDE w:val="0"/>
              <w:autoSpaceDN w:val="0"/>
              <w:adjustRightInd w:val="0"/>
              <w:jc w:val="center"/>
              <w:rPr>
                <w:rFonts w:ascii="宋体" w:hAnsi="宋体" w:cs="ArialMT"/>
                <w:kern w:val="0"/>
                <w:sz w:val="18"/>
                <w:szCs w:val="18"/>
              </w:rPr>
            </w:pPr>
            <w:r>
              <w:rPr>
                <w:rFonts w:hint="eastAsia" w:ascii="宋体" w:hAnsi="宋体" w:cs="ArialMT"/>
                <w:kern w:val="0"/>
                <w:sz w:val="18"/>
                <w:szCs w:val="18"/>
              </w:rPr>
              <w:t>CO</w:t>
            </w:r>
          </w:p>
        </w:tc>
        <w:tc>
          <w:tcPr>
            <w:tcW w:w="2520" w:type="dxa"/>
            <w:vAlign w:val="center"/>
          </w:tcPr>
          <w:p>
            <w:pPr>
              <w:autoSpaceDE w:val="0"/>
              <w:autoSpaceDN w:val="0"/>
              <w:adjustRightInd w:val="0"/>
              <w:jc w:val="center"/>
              <w:rPr>
                <w:rFonts w:ascii="宋体" w:hAnsi="宋体" w:cs="ArialMT"/>
                <w:kern w:val="0"/>
                <w:sz w:val="18"/>
                <w:szCs w:val="18"/>
              </w:rPr>
            </w:pPr>
            <w:r>
              <w:rPr>
                <w:rFonts w:hint="eastAsia" w:ascii="宋体" w:hAnsi="宋体" w:cs="ArialMT"/>
                <w:kern w:val="0"/>
                <w:sz w:val="18"/>
                <w:szCs w:val="18"/>
              </w:rPr>
              <w:t>1.57</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autoSpaceDE w:val="0"/>
              <w:autoSpaceDN w:val="0"/>
              <w:adjustRightInd w:val="0"/>
              <w:jc w:val="center"/>
              <w:rPr>
                <w:rFonts w:ascii="宋体" w:hAnsi="宋体" w:cs="ArialMT"/>
                <w:kern w:val="0"/>
                <w:sz w:val="18"/>
                <w:szCs w:val="18"/>
              </w:rPr>
            </w:pPr>
            <w:r>
              <w:rPr>
                <w:rFonts w:hint="eastAsia" w:ascii="宋体" w:hAnsi="宋体" w:cs="ArialMT"/>
                <w:kern w:val="0"/>
                <w:sz w:val="18"/>
                <w:szCs w:val="18"/>
              </w:rPr>
              <w:t>NMVOC</w:t>
            </w:r>
          </w:p>
        </w:tc>
        <w:tc>
          <w:tcPr>
            <w:tcW w:w="2520" w:type="dxa"/>
            <w:vAlign w:val="center"/>
          </w:tcPr>
          <w:p>
            <w:pPr>
              <w:autoSpaceDE w:val="0"/>
              <w:autoSpaceDN w:val="0"/>
              <w:adjustRightInd w:val="0"/>
              <w:jc w:val="center"/>
              <w:rPr>
                <w:rFonts w:ascii="宋体" w:hAnsi="宋体" w:cs="ArialMT"/>
                <w:kern w:val="0"/>
                <w:sz w:val="18"/>
                <w:szCs w:val="18"/>
              </w:rPr>
            </w:pPr>
            <w:r>
              <w:rPr>
                <w:rFonts w:hint="eastAsia" w:ascii="宋体" w:hAnsi="宋体" w:cs="ArialMT"/>
                <w:kern w:val="0"/>
                <w:sz w:val="18"/>
                <w:szCs w:val="18"/>
              </w:rPr>
              <w:t>3</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restart"/>
            <w:vAlign w:val="center"/>
          </w:tcPr>
          <w:p>
            <w:pPr>
              <w:jc w:val="center"/>
              <w:rPr>
                <w:rFonts w:ascii="宋体" w:hAnsi="宋体"/>
                <w:sz w:val="18"/>
                <w:szCs w:val="18"/>
              </w:rPr>
            </w:pPr>
            <w:r>
              <w:rPr>
                <w:rFonts w:hint="eastAsia" w:ascii="宋体" w:hAnsi="宋体"/>
                <w:sz w:val="18"/>
                <w:szCs w:val="18"/>
              </w:rPr>
              <w:t>酸化效应</w:t>
            </w:r>
          </w:p>
        </w:tc>
        <w:tc>
          <w:tcPr>
            <w:tcW w:w="1620" w:type="dxa"/>
            <w:vAlign w:val="center"/>
          </w:tcPr>
          <w:p>
            <w:pPr>
              <w:jc w:val="center"/>
              <w:rPr>
                <w:rFonts w:ascii="宋体" w:hAnsi="宋体"/>
                <w:sz w:val="18"/>
                <w:szCs w:val="18"/>
              </w:rPr>
            </w:pPr>
            <w:r>
              <w:rPr>
                <w:rFonts w:hint="eastAsia" w:ascii="宋体" w:hAnsi="宋体"/>
                <w:sz w:val="18"/>
                <w:szCs w:val="18"/>
              </w:rPr>
              <w:t>SO</w:t>
            </w:r>
            <w:r>
              <w:rPr>
                <w:rFonts w:hint="eastAsia" w:ascii="宋体" w:hAnsi="宋体"/>
                <w:sz w:val="18"/>
                <w:szCs w:val="18"/>
                <w:vertAlign w:val="subscript"/>
              </w:rPr>
              <w:t>2</w:t>
            </w:r>
          </w:p>
        </w:tc>
        <w:tc>
          <w:tcPr>
            <w:tcW w:w="2520" w:type="dxa"/>
            <w:vAlign w:val="center"/>
          </w:tcPr>
          <w:p>
            <w:pPr>
              <w:jc w:val="center"/>
              <w:rPr>
                <w:rFonts w:ascii="宋体" w:hAnsi="宋体"/>
                <w:sz w:val="18"/>
                <w:szCs w:val="18"/>
              </w:rPr>
            </w:pPr>
            <w:r>
              <w:rPr>
                <w:rFonts w:hint="eastAsia" w:ascii="宋体" w:hAnsi="宋体"/>
                <w:sz w:val="18"/>
                <w:szCs w:val="18"/>
              </w:rPr>
              <w:t>1</w:t>
            </w:r>
          </w:p>
        </w:tc>
        <w:tc>
          <w:tcPr>
            <w:tcW w:w="1845" w:type="dxa"/>
            <w:vMerge w:val="restart"/>
            <w:vAlign w:val="center"/>
          </w:tcPr>
          <w:p>
            <w:pPr>
              <w:jc w:val="center"/>
              <w:rPr>
                <w:rFonts w:ascii="宋体" w:hAnsi="宋体"/>
                <w:sz w:val="18"/>
                <w:szCs w:val="18"/>
              </w:rPr>
            </w:pPr>
            <w:r>
              <w:rPr>
                <w:rFonts w:ascii="宋体" w:hAnsi="宋体"/>
                <w:sz w:val="18"/>
                <w:szCs w:val="18"/>
              </w:rPr>
              <w:t>kg</w:t>
            </w:r>
            <w:r>
              <w:rPr>
                <w:rFonts w:hint="eastAsia" w:ascii="宋体" w:hAnsi="宋体"/>
                <w:sz w:val="18"/>
                <w:szCs w:val="18"/>
              </w:rPr>
              <w:t xml:space="preserve"> SO</w:t>
            </w:r>
            <w:r>
              <w:rPr>
                <w:rFonts w:hint="eastAsia" w:ascii="宋体" w:hAnsi="宋体"/>
                <w:sz w:val="18"/>
                <w:szCs w:val="18"/>
                <w:vertAlign w:val="subscript"/>
              </w:rPr>
              <w:t>2</w:t>
            </w:r>
            <w:r>
              <w:rPr>
                <w:rFonts w:hint="eastAsia" w:ascii="宋体" w:hAnsi="宋体"/>
                <w:sz w:val="18"/>
                <w:szCs w:val="18"/>
              </w:rPr>
              <w:t>当量/kg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NO</w:t>
            </w:r>
            <w:r>
              <w:rPr>
                <w:rFonts w:hint="eastAsia" w:ascii="宋体" w:hAnsi="宋体"/>
                <w:sz w:val="18"/>
                <w:szCs w:val="18"/>
                <w:vertAlign w:val="subscript"/>
              </w:rPr>
              <w:t>x</w:t>
            </w:r>
          </w:p>
        </w:tc>
        <w:tc>
          <w:tcPr>
            <w:tcW w:w="2520" w:type="dxa"/>
            <w:vAlign w:val="center"/>
          </w:tcPr>
          <w:p>
            <w:pPr>
              <w:jc w:val="center"/>
              <w:rPr>
                <w:rFonts w:ascii="宋体" w:hAnsi="宋体"/>
                <w:sz w:val="18"/>
                <w:szCs w:val="18"/>
              </w:rPr>
            </w:pPr>
            <w:r>
              <w:rPr>
                <w:rFonts w:hint="eastAsia" w:ascii="宋体" w:hAnsi="宋体"/>
                <w:sz w:val="18"/>
                <w:szCs w:val="18"/>
              </w:rPr>
              <w:t>0.70</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restart"/>
            <w:vAlign w:val="center"/>
          </w:tcPr>
          <w:p>
            <w:pPr>
              <w:jc w:val="center"/>
              <w:rPr>
                <w:rFonts w:ascii="宋体" w:hAnsi="宋体"/>
                <w:sz w:val="18"/>
                <w:szCs w:val="18"/>
              </w:rPr>
            </w:pPr>
            <w:r>
              <w:rPr>
                <w:rFonts w:hint="eastAsia" w:ascii="宋体" w:hAnsi="宋体"/>
                <w:sz w:val="18"/>
                <w:szCs w:val="18"/>
              </w:rPr>
              <w:t>富营养化</w:t>
            </w:r>
          </w:p>
        </w:tc>
        <w:tc>
          <w:tcPr>
            <w:tcW w:w="1620" w:type="dxa"/>
            <w:vAlign w:val="center"/>
          </w:tcPr>
          <w:p>
            <w:pPr>
              <w:jc w:val="center"/>
              <w:rPr>
                <w:rFonts w:ascii="宋体" w:hAnsi="宋体"/>
                <w:sz w:val="18"/>
                <w:szCs w:val="18"/>
              </w:rPr>
            </w:pPr>
            <w:r>
              <w:rPr>
                <w:rFonts w:hint="eastAsia" w:ascii="宋体" w:hAnsi="宋体"/>
                <w:sz w:val="18"/>
                <w:szCs w:val="18"/>
              </w:rPr>
              <w:t xml:space="preserve"> NO</w:t>
            </w:r>
            <w:r>
              <w:rPr>
                <w:rFonts w:hint="eastAsia" w:ascii="宋体" w:hAnsi="宋体"/>
                <w:sz w:val="18"/>
                <w:szCs w:val="18"/>
                <w:vertAlign w:val="subscript"/>
              </w:rPr>
              <w:t>3</w:t>
            </w:r>
            <w:r>
              <w:rPr>
                <w:rFonts w:hint="eastAsia" w:ascii="宋体" w:hAnsi="宋体"/>
                <w:sz w:val="18"/>
                <w:szCs w:val="18"/>
                <w:vertAlign w:val="superscript"/>
              </w:rPr>
              <w:t>-</w:t>
            </w:r>
          </w:p>
        </w:tc>
        <w:tc>
          <w:tcPr>
            <w:tcW w:w="2520" w:type="dxa"/>
            <w:vAlign w:val="center"/>
          </w:tcPr>
          <w:p>
            <w:pPr>
              <w:jc w:val="center"/>
              <w:rPr>
                <w:rFonts w:ascii="宋体" w:hAnsi="宋体"/>
                <w:sz w:val="18"/>
                <w:szCs w:val="18"/>
              </w:rPr>
            </w:pPr>
            <w:r>
              <w:rPr>
                <w:rFonts w:hint="eastAsia" w:ascii="宋体" w:hAnsi="宋体"/>
                <w:sz w:val="18"/>
                <w:szCs w:val="18"/>
              </w:rPr>
              <w:t>1</w:t>
            </w:r>
          </w:p>
        </w:tc>
        <w:tc>
          <w:tcPr>
            <w:tcW w:w="1845" w:type="dxa"/>
            <w:vMerge w:val="restart"/>
            <w:vAlign w:val="center"/>
          </w:tcPr>
          <w:p>
            <w:pPr>
              <w:jc w:val="center"/>
              <w:rPr>
                <w:rFonts w:ascii="宋体" w:hAnsi="宋体"/>
                <w:sz w:val="18"/>
                <w:szCs w:val="18"/>
              </w:rPr>
            </w:pPr>
            <w:r>
              <w:rPr>
                <w:rFonts w:ascii="宋体" w:hAnsi="宋体"/>
                <w:sz w:val="18"/>
                <w:szCs w:val="18"/>
              </w:rPr>
              <w:t>kg</w:t>
            </w:r>
            <w:r>
              <w:rPr>
                <w:rFonts w:hint="eastAsia" w:ascii="宋体" w:hAnsi="宋体"/>
                <w:sz w:val="18"/>
                <w:szCs w:val="18"/>
              </w:rPr>
              <w:t xml:space="preserve"> </w:t>
            </w:r>
            <w:r>
              <w:rPr>
                <w:rFonts w:ascii="宋体" w:hAnsi="宋体"/>
                <w:sz w:val="18"/>
                <w:szCs w:val="18"/>
              </w:rPr>
              <w:t>NO</w:t>
            </w:r>
            <w:r>
              <w:rPr>
                <w:rFonts w:ascii="宋体" w:hAnsi="宋体"/>
                <w:sz w:val="18"/>
                <w:szCs w:val="18"/>
                <w:vertAlign w:val="subscript"/>
              </w:rPr>
              <w:t>3</w:t>
            </w:r>
            <w:r>
              <w:rPr>
                <w:rFonts w:ascii="宋体" w:hAnsi="宋体"/>
                <w:sz w:val="18"/>
                <w:szCs w:val="18"/>
                <w:vertAlign w:val="superscript"/>
              </w:rPr>
              <w:t>-</w:t>
            </w:r>
            <w:r>
              <w:rPr>
                <w:rFonts w:hint="eastAsia" w:ascii="宋体" w:hAnsi="宋体"/>
                <w:sz w:val="18"/>
                <w:szCs w:val="18"/>
              </w:rPr>
              <w:t>当量/kg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NO</w:t>
            </w:r>
            <w:r>
              <w:rPr>
                <w:rFonts w:hint="eastAsia" w:ascii="宋体" w:hAnsi="宋体"/>
                <w:sz w:val="18"/>
                <w:szCs w:val="18"/>
                <w:vertAlign w:val="subscript"/>
              </w:rPr>
              <w:t>x</w:t>
            </w:r>
          </w:p>
        </w:tc>
        <w:tc>
          <w:tcPr>
            <w:tcW w:w="2520" w:type="dxa"/>
            <w:vAlign w:val="center"/>
          </w:tcPr>
          <w:p>
            <w:pPr>
              <w:jc w:val="center"/>
              <w:rPr>
                <w:rFonts w:ascii="宋体" w:hAnsi="宋体"/>
                <w:sz w:val="18"/>
                <w:szCs w:val="18"/>
              </w:rPr>
            </w:pPr>
            <w:r>
              <w:rPr>
                <w:rFonts w:hint="eastAsia" w:ascii="宋体" w:hAnsi="宋体"/>
                <w:sz w:val="18"/>
                <w:szCs w:val="18"/>
              </w:rPr>
              <w:t>1.35</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NH</w:t>
            </w:r>
            <w:r>
              <w:rPr>
                <w:rFonts w:hint="eastAsia" w:ascii="宋体" w:hAnsi="宋体"/>
                <w:sz w:val="18"/>
                <w:szCs w:val="18"/>
                <w:vertAlign w:val="subscript"/>
              </w:rPr>
              <w:t>4</w:t>
            </w:r>
            <w:r>
              <w:rPr>
                <w:rFonts w:hint="eastAsia" w:ascii="宋体" w:hAnsi="宋体"/>
                <w:sz w:val="18"/>
                <w:szCs w:val="18"/>
                <w:vertAlign w:val="superscript"/>
              </w:rPr>
              <w:t>+</w:t>
            </w:r>
          </w:p>
        </w:tc>
        <w:tc>
          <w:tcPr>
            <w:tcW w:w="2520" w:type="dxa"/>
            <w:vAlign w:val="center"/>
          </w:tcPr>
          <w:p>
            <w:pPr>
              <w:jc w:val="center"/>
              <w:rPr>
                <w:rFonts w:ascii="宋体" w:hAnsi="宋体"/>
                <w:sz w:val="18"/>
                <w:szCs w:val="18"/>
              </w:rPr>
            </w:pPr>
            <w:r>
              <w:rPr>
                <w:rFonts w:hint="eastAsia" w:ascii="宋体" w:hAnsi="宋体"/>
                <w:sz w:val="18"/>
                <w:szCs w:val="18"/>
              </w:rPr>
              <w:t>0.48</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TN</w:t>
            </w:r>
          </w:p>
        </w:tc>
        <w:tc>
          <w:tcPr>
            <w:tcW w:w="2520" w:type="dxa"/>
            <w:vAlign w:val="center"/>
          </w:tcPr>
          <w:p>
            <w:pPr>
              <w:jc w:val="center"/>
              <w:rPr>
                <w:rFonts w:ascii="宋体" w:hAnsi="宋体"/>
                <w:sz w:val="18"/>
                <w:szCs w:val="18"/>
              </w:rPr>
            </w:pPr>
            <w:r>
              <w:rPr>
                <w:rFonts w:hint="eastAsia" w:ascii="宋体" w:hAnsi="宋体"/>
                <w:sz w:val="18"/>
                <w:szCs w:val="18"/>
              </w:rPr>
              <w:t>2.61</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TP</w:t>
            </w:r>
          </w:p>
        </w:tc>
        <w:tc>
          <w:tcPr>
            <w:tcW w:w="2520" w:type="dxa"/>
            <w:vAlign w:val="center"/>
          </w:tcPr>
          <w:p>
            <w:pPr>
              <w:jc w:val="center"/>
              <w:rPr>
                <w:rFonts w:ascii="宋体" w:hAnsi="宋体"/>
                <w:sz w:val="18"/>
                <w:szCs w:val="18"/>
              </w:rPr>
            </w:pPr>
            <w:r>
              <w:rPr>
                <w:rFonts w:hint="eastAsia" w:ascii="宋体" w:hAnsi="宋体"/>
                <w:sz w:val="18"/>
                <w:szCs w:val="18"/>
              </w:rPr>
              <w:t>28.20</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PO</w:t>
            </w:r>
            <w:r>
              <w:rPr>
                <w:rFonts w:hint="eastAsia" w:ascii="宋体" w:hAnsi="宋体"/>
                <w:sz w:val="18"/>
                <w:szCs w:val="18"/>
                <w:vertAlign w:val="subscript"/>
              </w:rPr>
              <w:t>4</w:t>
            </w:r>
            <w:r>
              <w:rPr>
                <w:rFonts w:hint="eastAsia" w:ascii="宋体" w:hAnsi="宋体"/>
                <w:sz w:val="18"/>
                <w:szCs w:val="18"/>
                <w:vertAlign w:val="superscript"/>
              </w:rPr>
              <w:t>3-</w:t>
            </w:r>
          </w:p>
        </w:tc>
        <w:tc>
          <w:tcPr>
            <w:tcW w:w="2520" w:type="dxa"/>
            <w:vAlign w:val="center"/>
          </w:tcPr>
          <w:p>
            <w:pPr>
              <w:jc w:val="center"/>
              <w:rPr>
                <w:rFonts w:ascii="宋体" w:hAnsi="宋体"/>
                <w:sz w:val="18"/>
                <w:szCs w:val="18"/>
              </w:rPr>
            </w:pPr>
            <w:r>
              <w:rPr>
                <w:rFonts w:hint="eastAsia" w:ascii="宋体" w:hAnsi="宋体"/>
                <w:sz w:val="18"/>
                <w:szCs w:val="18"/>
              </w:rPr>
              <w:t>9.20</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restart"/>
            <w:vAlign w:val="center"/>
          </w:tcPr>
          <w:p>
            <w:pPr>
              <w:jc w:val="center"/>
              <w:rPr>
                <w:rFonts w:ascii="宋体" w:hAnsi="宋体"/>
                <w:sz w:val="18"/>
                <w:szCs w:val="18"/>
              </w:rPr>
            </w:pPr>
            <w:r>
              <w:rPr>
                <w:rFonts w:hint="eastAsia" w:ascii="宋体" w:hAnsi="宋体"/>
                <w:sz w:val="18"/>
                <w:szCs w:val="18"/>
              </w:rPr>
              <w:t>光化学烟雾效应</w:t>
            </w:r>
          </w:p>
        </w:tc>
        <w:tc>
          <w:tcPr>
            <w:tcW w:w="1620" w:type="dxa"/>
            <w:vAlign w:val="center"/>
          </w:tcPr>
          <w:p>
            <w:pPr>
              <w:jc w:val="center"/>
              <w:rPr>
                <w:rFonts w:ascii="宋体" w:hAnsi="宋体"/>
                <w:sz w:val="18"/>
                <w:szCs w:val="18"/>
              </w:rPr>
            </w:pPr>
            <w:r>
              <w:rPr>
                <w:rFonts w:hint="eastAsia" w:ascii="宋体" w:hAnsi="宋体"/>
                <w:sz w:val="18"/>
                <w:szCs w:val="18"/>
              </w:rPr>
              <w:t>C</w:t>
            </w:r>
            <w:r>
              <w:rPr>
                <w:rFonts w:hint="eastAsia" w:ascii="宋体" w:hAnsi="宋体"/>
                <w:sz w:val="18"/>
                <w:szCs w:val="18"/>
                <w:vertAlign w:val="subscript"/>
              </w:rPr>
              <w:t>2</w:t>
            </w:r>
            <w:r>
              <w:rPr>
                <w:rFonts w:hint="eastAsia" w:ascii="宋体" w:hAnsi="宋体"/>
                <w:sz w:val="18"/>
                <w:szCs w:val="18"/>
              </w:rPr>
              <w:t>H</w:t>
            </w:r>
            <w:r>
              <w:rPr>
                <w:rFonts w:hint="eastAsia" w:ascii="宋体" w:hAnsi="宋体"/>
                <w:sz w:val="18"/>
                <w:szCs w:val="18"/>
                <w:vertAlign w:val="subscript"/>
              </w:rPr>
              <w:t>4</w:t>
            </w:r>
          </w:p>
        </w:tc>
        <w:tc>
          <w:tcPr>
            <w:tcW w:w="2520" w:type="dxa"/>
            <w:vAlign w:val="center"/>
          </w:tcPr>
          <w:p>
            <w:pPr>
              <w:jc w:val="center"/>
              <w:rPr>
                <w:rFonts w:ascii="宋体" w:hAnsi="宋体"/>
                <w:sz w:val="18"/>
                <w:szCs w:val="18"/>
              </w:rPr>
            </w:pPr>
            <w:r>
              <w:rPr>
                <w:rFonts w:hint="eastAsia" w:ascii="宋体" w:hAnsi="宋体"/>
                <w:sz w:val="18"/>
                <w:szCs w:val="18"/>
              </w:rPr>
              <w:t>1</w:t>
            </w:r>
          </w:p>
        </w:tc>
        <w:tc>
          <w:tcPr>
            <w:tcW w:w="1845" w:type="dxa"/>
            <w:vMerge w:val="restart"/>
            <w:vAlign w:val="center"/>
          </w:tcPr>
          <w:p>
            <w:pPr>
              <w:jc w:val="center"/>
              <w:rPr>
                <w:rFonts w:ascii="宋体" w:hAnsi="宋体"/>
                <w:sz w:val="18"/>
                <w:szCs w:val="18"/>
              </w:rPr>
            </w:pPr>
            <w:r>
              <w:rPr>
                <w:rFonts w:ascii="宋体" w:hAnsi="宋体"/>
                <w:sz w:val="18"/>
                <w:szCs w:val="18"/>
              </w:rPr>
              <w:t>kg</w:t>
            </w:r>
            <w:r>
              <w:rPr>
                <w:rFonts w:hint="eastAsia" w:ascii="宋体" w:hAnsi="宋体"/>
                <w:sz w:val="18"/>
                <w:szCs w:val="18"/>
              </w:rPr>
              <w:t xml:space="preserve"> C</w:t>
            </w:r>
            <w:r>
              <w:rPr>
                <w:rFonts w:hint="eastAsia" w:ascii="宋体" w:hAnsi="宋体"/>
                <w:sz w:val="18"/>
                <w:szCs w:val="18"/>
                <w:vertAlign w:val="subscript"/>
              </w:rPr>
              <w:t>2</w:t>
            </w:r>
            <w:r>
              <w:rPr>
                <w:rFonts w:hint="eastAsia" w:ascii="宋体" w:hAnsi="宋体"/>
                <w:sz w:val="18"/>
                <w:szCs w:val="18"/>
              </w:rPr>
              <w:t>H</w:t>
            </w:r>
            <w:r>
              <w:rPr>
                <w:rFonts w:hint="eastAsia" w:ascii="宋体" w:hAnsi="宋体"/>
                <w:sz w:val="18"/>
                <w:szCs w:val="18"/>
                <w:vertAlign w:val="subscript"/>
              </w:rPr>
              <w:t>4</w:t>
            </w:r>
            <w:r>
              <w:rPr>
                <w:rFonts w:hint="eastAsia" w:ascii="宋体" w:hAnsi="宋体"/>
                <w:sz w:val="18"/>
                <w:szCs w:val="18"/>
              </w:rPr>
              <w:t>当量/kg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NO</w:t>
            </w:r>
            <w:r>
              <w:rPr>
                <w:rFonts w:hint="eastAsia" w:ascii="宋体" w:hAnsi="宋体"/>
                <w:sz w:val="18"/>
                <w:szCs w:val="18"/>
                <w:vertAlign w:val="subscript"/>
              </w:rPr>
              <w:t>x</w:t>
            </w:r>
          </w:p>
        </w:tc>
        <w:tc>
          <w:tcPr>
            <w:tcW w:w="2520" w:type="dxa"/>
            <w:vAlign w:val="center"/>
          </w:tcPr>
          <w:p>
            <w:pPr>
              <w:jc w:val="center"/>
              <w:rPr>
                <w:rFonts w:ascii="宋体" w:hAnsi="宋体"/>
                <w:sz w:val="18"/>
                <w:szCs w:val="18"/>
              </w:rPr>
            </w:pPr>
            <w:r>
              <w:rPr>
                <w:rFonts w:hint="eastAsia" w:ascii="宋体" w:hAnsi="宋体"/>
                <w:sz w:val="18"/>
                <w:szCs w:val="18"/>
              </w:rPr>
              <w:t>0.028</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CH</w:t>
            </w:r>
            <w:r>
              <w:rPr>
                <w:rFonts w:hint="eastAsia" w:ascii="宋体" w:hAnsi="宋体"/>
                <w:sz w:val="18"/>
                <w:szCs w:val="18"/>
                <w:vertAlign w:val="subscript"/>
              </w:rPr>
              <w:t>4</w:t>
            </w:r>
          </w:p>
        </w:tc>
        <w:tc>
          <w:tcPr>
            <w:tcW w:w="2520" w:type="dxa"/>
            <w:vAlign w:val="center"/>
          </w:tcPr>
          <w:p>
            <w:pPr>
              <w:jc w:val="center"/>
              <w:rPr>
                <w:rFonts w:ascii="宋体" w:hAnsi="宋体"/>
                <w:sz w:val="18"/>
                <w:szCs w:val="18"/>
              </w:rPr>
            </w:pPr>
            <w:r>
              <w:rPr>
                <w:rFonts w:hint="eastAsia" w:ascii="宋体" w:hAnsi="宋体"/>
                <w:sz w:val="18"/>
                <w:szCs w:val="18"/>
              </w:rPr>
              <w:t>0.006</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NMVOC</w:t>
            </w:r>
          </w:p>
        </w:tc>
        <w:tc>
          <w:tcPr>
            <w:tcW w:w="2520" w:type="dxa"/>
            <w:vAlign w:val="center"/>
          </w:tcPr>
          <w:p>
            <w:pPr>
              <w:jc w:val="center"/>
              <w:rPr>
                <w:rFonts w:ascii="宋体" w:hAnsi="宋体"/>
                <w:sz w:val="18"/>
                <w:szCs w:val="18"/>
              </w:rPr>
            </w:pPr>
            <w:r>
              <w:rPr>
                <w:rFonts w:hint="eastAsia" w:ascii="宋体" w:hAnsi="宋体"/>
                <w:sz w:val="18"/>
                <w:szCs w:val="18"/>
              </w:rPr>
              <w:t>0.40</w:t>
            </w:r>
          </w:p>
        </w:tc>
        <w:tc>
          <w:tcPr>
            <w:tcW w:w="1845" w:type="dxa"/>
            <w:vMerge w:val="continue"/>
            <w:vAlign w:val="center"/>
          </w:tcPr>
          <w:p>
            <w:pPr>
              <w:widowControl/>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0" w:type="dxa"/>
            <w:vMerge w:val="continue"/>
            <w:vAlign w:val="center"/>
          </w:tcPr>
          <w:p>
            <w:pPr>
              <w:widowControl/>
              <w:jc w:val="left"/>
              <w:rPr>
                <w:rFonts w:ascii="宋体" w:hAnsi="宋体"/>
                <w:sz w:val="18"/>
                <w:szCs w:val="18"/>
              </w:rPr>
            </w:pPr>
          </w:p>
        </w:tc>
        <w:tc>
          <w:tcPr>
            <w:tcW w:w="1620" w:type="dxa"/>
            <w:vAlign w:val="center"/>
          </w:tcPr>
          <w:p>
            <w:pPr>
              <w:jc w:val="center"/>
              <w:rPr>
                <w:rFonts w:ascii="宋体" w:hAnsi="宋体"/>
                <w:sz w:val="18"/>
                <w:szCs w:val="18"/>
              </w:rPr>
            </w:pPr>
            <w:r>
              <w:rPr>
                <w:rFonts w:hint="eastAsia" w:ascii="宋体" w:hAnsi="宋体"/>
                <w:sz w:val="18"/>
                <w:szCs w:val="18"/>
              </w:rPr>
              <w:t>CO</w:t>
            </w:r>
          </w:p>
        </w:tc>
        <w:tc>
          <w:tcPr>
            <w:tcW w:w="2520" w:type="dxa"/>
            <w:vAlign w:val="center"/>
          </w:tcPr>
          <w:p>
            <w:pPr>
              <w:jc w:val="center"/>
              <w:rPr>
                <w:rFonts w:ascii="宋体" w:hAnsi="宋体"/>
                <w:sz w:val="18"/>
                <w:szCs w:val="18"/>
              </w:rPr>
            </w:pPr>
            <w:r>
              <w:rPr>
                <w:rFonts w:hint="eastAsia" w:ascii="宋体" w:hAnsi="宋体"/>
                <w:sz w:val="18"/>
                <w:szCs w:val="18"/>
              </w:rPr>
              <w:t>0.027</w:t>
            </w:r>
          </w:p>
        </w:tc>
        <w:tc>
          <w:tcPr>
            <w:tcW w:w="1845" w:type="dxa"/>
            <w:vMerge w:val="continue"/>
            <w:vAlign w:val="center"/>
          </w:tcPr>
          <w:p>
            <w:pPr>
              <w:widowControl/>
              <w:jc w:val="left"/>
              <w:rPr>
                <w:rFonts w:ascii="宋体" w:hAnsi="宋体"/>
                <w:sz w:val="18"/>
                <w:szCs w:val="18"/>
              </w:rPr>
            </w:pPr>
          </w:p>
        </w:tc>
      </w:tr>
    </w:tbl>
    <w:p>
      <w:pPr>
        <w:pStyle w:val="90"/>
        <w:ind w:firstLine="360"/>
        <w:rPr>
          <w:rFonts w:hAnsi="宋体" w:cs="宋体"/>
          <w:sz w:val="18"/>
          <w:szCs w:val="18"/>
        </w:rPr>
      </w:pPr>
      <w:r>
        <w:rPr>
          <w:rFonts w:hint="eastAsia" w:hAnsi="宋体"/>
          <w:sz w:val="18"/>
          <w:szCs w:val="18"/>
        </w:rPr>
        <w:t xml:space="preserve"> </w:t>
      </w:r>
    </w:p>
    <w:p>
      <w:pPr>
        <w:pStyle w:val="90"/>
        <w:spacing w:before="156" w:beforeLines="50" w:after="156" w:afterLines="50"/>
        <w:ind w:firstLine="0" w:firstLineChars="0"/>
        <w:rPr>
          <w:rFonts w:ascii="黑体" w:hAnsi="黑体" w:eastAsia="黑体"/>
        </w:rPr>
      </w:pPr>
      <w:r>
        <w:rPr>
          <w:rFonts w:hint="eastAsia" w:ascii="黑体" w:hAnsi="黑体" w:eastAsia="黑体"/>
        </w:rPr>
        <w:t>C.4.4  计算方法</w:t>
      </w:r>
    </w:p>
    <w:p>
      <w:pPr>
        <w:pStyle w:val="90"/>
        <w:rPr>
          <w:rFonts w:hAnsi="宋体"/>
        </w:rPr>
      </w:pPr>
      <w:r>
        <w:rPr>
          <w:rFonts w:hint="eastAsia" w:hAnsi="宋体"/>
        </w:rPr>
        <w:t>依据公式（C.1）计算各影响评价结果。</w:t>
      </w:r>
    </w:p>
    <w:p>
      <w:pPr>
        <w:autoSpaceDE w:val="0"/>
        <w:autoSpaceDN w:val="0"/>
        <w:adjustRightInd w:val="0"/>
        <w:spacing w:line="360" w:lineRule="auto"/>
        <w:ind w:firstLine="420" w:firstLineChars="200"/>
        <w:jc w:val="right"/>
        <w:rPr>
          <w:rFonts w:ascii="宋体" w:hAnsi="宋体"/>
          <w:kern w:val="0"/>
          <w:szCs w:val="21"/>
        </w:rPr>
      </w:pPr>
      <w:r>
        <w:rPr>
          <w:rFonts w:hint="eastAsia" w:ascii="宋体" w:hAnsi="宋体"/>
          <w:kern w:val="0"/>
        </w:rPr>
        <w:t xml:space="preserve">                 </w:t>
      </w:r>
      <w:r>
        <w:rPr>
          <w:rFonts w:hint="eastAsia" w:ascii="宋体" w:hAnsi="宋体"/>
          <w:i/>
          <w:kern w:val="0"/>
          <w:szCs w:val="21"/>
        </w:rPr>
        <w:t xml:space="preserve">  </w:t>
      </w:r>
      <w:r>
        <w:rPr>
          <w:rFonts w:ascii="宋体" w:hAnsi="宋体"/>
          <w:kern w:val="0"/>
          <w:position w:val="-14"/>
          <w:szCs w:val="21"/>
        </w:rPr>
        <w:object>
          <v:shape id="_x0000_i1025" o:spt="75" type="#_x0000_t75" style="height:20pt;width:121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ascii="宋体" w:hAnsi="宋体"/>
          <w:kern w:val="0"/>
          <w:szCs w:val="21"/>
        </w:rPr>
        <w:t xml:space="preserve"> ……………………………… (C.1)</w:t>
      </w:r>
    </w:p>
    <w:p>
      <w:pPr>
        <w:autoSpaceDE w:val="0"/>
        <w:autoSpaceDN w:val="0"/>
        <w:adjustRightInd w:val="0"/>
        <w:spacing w:line="360" w:lineRule="auto"/>
        <w:ind w:firstLine="420" w:firstLineChars="200"/>
        <w:jc w:val="center"/>
        <w:rPr>
          <w:rFonts w:ascii="宋体" w:hAnsi="宋体"/>
          <w:kern w:val="0"/>
          <w:szCs w:val="21"/>
        </w:rPr>
      </w:pPr>
    </w:p>
    <w:p>
      <w:pPr>
        <w:autoSpaceDE w:val="0"/>
        <w:autoSpaceDN w:val="0"/>
        <w:adjustRightInd w:val="0"/>
        <w:spacing w:line="360" w:lineRule="auto"/>
        <w:ind w:firstLine="420" w:firstLineChars="200"/>
        <w:jc w:val="left"/>
        <w:rPr>
          <w:kern w:val="0"/>
          <w:szCs w:val="21"/>
        </w:rPr>
      </w:pPr>
      <w:r>
        <w:rPr>
          <w:rFonts w:hAnsi="宋体"/>
          <w:kern w:val="0"/>
        </w:rPr>
        <w:t>式中：</w:t>
      </w:r>
    </w:p>
    <w:p>
      <w:pPr>
        <w:adjustRightInd w:val="0"/>
        <w:ind w:firstLine="420" w:firstLineChars="200"/>
        <w:jc w:val="left"/>
        <w:rPr>
          <w:kern w:val="0"/>
        </w:rPr>
      </w:pPr>
      <w:r>
        <w:rPr>
          <w:kern w:val="0"/>
        </w:rPr>
        <w:t xml:space="preserve"> </w:t>
      </w:r>
      <w:r>
        <w:rPr>
          <w:i/>
          <w:iCs/>
          <w:kern w:val="0"/>
        </w:rPr>
        <w:t>EP</w:t>
      </w:r>
      <w:r>
        <w:rPr>
          <w:iCs/>
          <w:kern w:val="0"/>
          <w:vertAlign w:val="subscript"/>
        </w:rPr>
        <w:t>i</w:t>
      </w:r>
      <w:r>
        <w:rPr>
          <w:i/>
          <w:iCs/>
          <w:kern w:val="0"/>
          <w:vertAlign w:val="subscript"/>
        </w:rPr>
        <w:t xml:space="preserve"> </w:t>
      </w:r>
      <w:r>
        <w:rPr>
          <w:kern w:val="0"/>
        </w:rPr>
        <w:t>——</w:t>
      </w:r>
      <w:r>
        <w:rPr>
          <w:rFonts w:hAnsi="宋体"/>
          <w:kern w:val="0"/>
        </w:rPr>
        <w:t>第</w:t>
      </w:r>
      <w:r>
        <w:rPr>
          <w:iCs/>
          <w:kern w:val="0"/>
        </w:rPr>
        <w:t>i</w:t>
      </w:r>
      <w:r>
        <w:rPr>
          <w:rFonts w:hAnsi="宋体"/>
          <w:kern w:val="0"/>
        </w:rPr>
        <w:t>种影响类型特征化值；</w:t>
      </w:r>
    </w:p>
    <w:p>
      <w:pPr>
        <w:adjustRightInd w:val="0"/>
        <w:ind w:firstLine="525" w:firstLineChars="250"/>
        <w:jc w:val="left"/>
        <w:rPr>
          <w:kern w:val="0"/>
        </w:rPr>
      </w:pPr>
      <w:r>
        <w:rPr>
          <w:i/>
          <w:iCs/>
          <w:kern w:val="0"/>
        </w:rPr>
        <w:t>EP</w:t>
      </w:r>
      <w:r>
        <w:rPr>
          <w:iCs/>
          <w:kern w:val="0"/>
          <w:vertAlign w:val="subscript"/>
        </w:rPr>
        <w:t xml:space="preserve">ij </w:t>
      </w:r>
      <w:r>
        <w:rPr>
          <w:kern w:val="0"/>
        </w:rPr>
        <w:t>——</w:t>
      </w:r>
      <w:r>
        <w:rPr>
          <w:rFonts w:hAnsi="宋体"/>
          <w:kern w:val="0"/>
        </w:rPr>
        <w:t>第</w:t>
      </w:r>
      <w:r>
        <w:rPr>
          <w:iCs/>
          <w:kern w:val="0"/>
        </w:rPr>
        <w:t>i</w:t>
      </w:r>
      <w:r>
        <w:rPr>
          <w:rFonts w:hAnsi="宋体"/>
          <w:kern w:val="0"/>
        </w:rPr>
        <w:t>种影响类型中第</w:t>
      </w:r>
      <w:r>
        <w:rPr>
          <w:iCs/>
          <w:kern w:val="0"/>
        </w:rPr>
        <w:t>j</w:t>
      </w:r>
      <w:r>
        <w:rPr>
          <w:rFonts w:hAnsi="宋体"/>
          <w:kern w:val="0"/>
        </w:rPr>
        <w:t>种清单因子的贡献；</w:t>
      </w:r>
    </w:p>
    <w:p>
      <w:pPr>
        <w:adjustRightInd w:val="0"/>
        <w:ind w:firstLine="525" w:firstLineChars="250"/>
        <w:jc w:val="left"/>
        <w:rPr>
          <w:kern w:val="0"/>
        </w:rPr>
      </w:pPr>
      <w:r>
        <w:rPr>
          <w:i/>
          <w:iCs/>
          <w:kern w:val="0"/>
        </w:rPr>
        <w:t>Q</w:t>
      </w:r>
      <w:r>
        <w:rPr>
          <w:iCs/>
          <w:kern w:val="0"/>
          <w:vertAlign w:val="subscript"/>
        </w:rPr>
        <w:t>j</w:t>
      </w:r>
      <w:r>
        <w:rPr>
          <w:i/>
          <w:iCs/>
          <w:kern w:val="0"/>
          <w:vertAlign w:val="subscript"/>
        </w:rPr>
        <w:t xml:space="preserve">  </w:t>
      </w:r>
      <w:r>
        <w:rPr>
          <w:kern w:val="0"/>
        </w:rPr>
        <w:t>——</w:t>
      </w:r>
      <w:r>
        <w:rPr>
          <w:rFonts w:hAnsi="宋体"/>
          <w:kern w:val="0"/>
        </w:rPr>
        <w:t>第</w:t>
      </w:r>
      <w:r>
        <w:rPr>
          <w:iCs/>
          <w:kern w:val="0"/>
        </w:rPr>
        <w:t>j</w:t>
      </w:r>
      <w:r>
        <w:rPr>
          <w:rFonts w:hAnsi="宋体"/>
          <w:kern w:val="0"/>
        </w:rPr>
        <w:t>种清单因子的排放量；</w:t>
      </w:r>
    </w:p>
    <w:p>
      <w:pPr>
        <w:pStyle w:val="90"/>
        <w:autoSpaceDE/>
        <w:autoSpaceDN/>
        <w:ind w:firstLine="525" w:firstLineChars="250"/>
        <w:jc w:val="left"/>
        <w:rPr>
          <w:rFonts w:ascii="Times New Roman" w:hAnsi="宋体"/>
        </w:rPr>
      </w:pPr>
      <w:r>
        <w:rPr>
          <w:rFonts w:ascii="Times New Roman"/>
          <w:i/>
          <w:iCs/>
        </w:rPr>
        <w:t>EF</w:t>
      </w:r>
      <w:r>
        <w:rPr>
          <w:rFonts w:ascii="Times New Roman"/>
          <w:iCs/>
          <w:vertAlign w:val="subscript"/>
        </w:rPr>
        <w:t>ij</w:t>
      </w:r>
      <w:r>
        <w:rPr>
          <w:rFonts w:ascii="Times New Roman"/>
          <w:i/>
          <w:iCs/>
          <w:vertAlign w:val="subscript"/>
        </w:rPr>
        <w:t xml:space="preserve"> </w:t>
      </w:r>
      <w:r>
        <w:rPr>
          <w:rFonts w:ascii="Times New Roman"/>
        </w:rPr>
        <w:t>——</w:t>
      </w:r>
      <w:r>
        <w:rPr>
          <w:rFonts w:ascii="Times New Roman" w:hAnsi="宋体"/>
        </w:rPr>
        <w:t>第</w:t>
      </w:r>
      <w:r>
        <w:rPr>
          <w:rFonts w:ascii="Times New Roman"/>
          <w:iCs/>
        </w:rPr>
        <w:t>i</w:t>
      </w:r>
      <w:r>
        <w:rPr>
          <w:rFonts w:ascii="Times New Roman" w:hAnsi="宋体"/>
        </w:rPr>
        <w:t>种影响类型中第</w:t>
      </w:r>
      <w:r>
        <w:rPr>
          <w:rFonts w:ascii="Times New Roman"/>
          <w:iCs/>
        </w:rPr>
        <w:t>j</w:t>
      </w:r>
      <w:r>
        <w:rPr>
          <w:rFonts w:ascii="Times New Roman" w:hAnsi="宋体"/>
        </w:rPr>
        <w:t>种清单因子的特征化值。</w:t>
      </w:r>
    </w:p>
    <w:p>
      <w:pPr>
        <w:pStyle w:val="180"/>
        <w:framePr w:wrap="around"/>
        <w:spacing w:before="156" w:after="156"/>
      </w:pPr>
      <w:r>
        <w:t>_________________________________</w:t>
      </w:r>
    </w:p>
    <w:p>
      <w:pPr>
        <w:pStyle w:val="90"/>
        <w:autoSpaceDE/>
        <w:autoSpaceDN/>
        <w:ind w:firstLine="0" w:firstLineChars="0"/>
        <w:jc w:val="left"/>
      </w:pPr>
    </w:p>
    <w:sectPr>
      <w:headerReference r:id="rId7" w:type="default"/>
      <w:footerReference r:id="rId9" w:type="default"/>
      <w:headerReference r:id="rId8" w:type="even"/>
      <w:pgSz w:w="11906" w:h="16838"/>
      <w:pgMar w:top="567" w:right="1134" w:bottom="1134" w:left="1418" w:header="1021"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40001" w:csb1="00000000"/>
  </w:font>
  <w:font w:name="ArialNarrow">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2FF" w:usb1="420024FF" w:usb2="00000000" w:usb3="00000000" w:csb0="2000019F" w:csb1="00000000"/>
  </w:font>
  <w:font w:name="ArialMT">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9"/>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3"/>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ind w:firstLine="7350" w:firstLineChars="3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ind w:firstLine="7350" w:firstLineChars="3500"/>
    </w:pPr>
    <w:r>
      <w:rPr>
        <w:rFonts w:hint="eastAsia"/>
      </w:rPr>
      <w:t>T/CNLIC  XXXX-XXXX</w:t>
    </w:r>
  </w:p>
  <w:p>
    <w:pPr>
      <w:pStyle w:val="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2"/>
      </w:rPr>
    </w:pPr>
    <w:r>
      <w:rPr>
        <w:rStyle w:val="52"/>
      </w:rPr>
      <w:fldChar w:fldCharType="begin"/>
    </w:r>
    <w:r>
      <w:rPr>
        <w:rStyle w:val="52"/>
      </w:rPr>
      <w:instrText xml:space="preserve">PAGE  </w:instrText>
    </w:r>
    <w:r>
      <w:rPr>
        <w:rStyle w:val="52"/>
      </w:rPr>
      <w:fldChar w:fldCharType="separate"/>
    </w:r>
    <w:r>
      <w:rPr>
        <w:rStyle w:val="52"/>
      </w:rPr>
      <w:t>I</w:t>
    </w:r>
    <w:r>
      <w:rPr>
        <w:rStyle w:val="52"/>
      </w:rPr>
      <w:fldChar w:fldCharType="end"/>
    </w:r>
  </w:p>
  <w:p>
    <w:pPr>
      <w:pStyle w:val="31"/>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ind w:firstLine="7350" w:firstLineChars="3500"/>
    </w:pPr>
    <w:r>
      <w:rPr>
        <w:rFonts w:hint="eastAsia"/>
      </w:rPr>
      <w:t>T/CNLIC XXXX-XXXX</w:t>
    </w:r>
  </w:p>
  <w:p>
    <w:pPr>
      <w:pStyle w:val="90"/>
      <w:ind w:firstLine="7350" w:firstLineChars="35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ind w:firstLine="0" w:firstLineChars="0"/>
      <w:jc w:val="left"/>
    </w:pPr>
    <w:r>
      <w:rPr>
        <w:rFonts w:hint="eastAsia"/>
      </w:rPr>
      <w:t>T/CNLIC  XXXX-XXXX</w:t>
    </w:r>
  </w:p>
  <w:p>
    <w:pPr>
      <w:pStyle w:val="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A0C17"/>
    <w:multiLevelType w:val="singleLevel"/>
    <w:tmpl w:val="AC2A0C17"/>
    <w:lvl w:ilvl="0" w:tentative="0">
      <w:start w:val="1"/>
      <w:numFmt w:val="lowerLetter"/>
      <w:suff w:val="nothing"/>
      <w:lvlText w:val="%1）"/>
      <w:lvlJc w:val="left"/>
    </w:lvl>
  </w:abstractNum>
  <w:abstractNum w:abstractNumId="1">
    <w:nsid w:val="079102AD"/>
    <w:multiLevelType w:val="multilevel"/>
    <w:tmpl w:val="079102AD"/>
    <w:lvl w:ilvl="0" w:tentative="0">
      <w:start w:val="1"/>
      <w:numFmt w:val="decimal"/>
      <w:pStyle w:val="108"/>
      <w:suff w:val="nothing"/>
      <w:lvlText w:val="注%1："/>
      <w:lvlJc w:val="left"/>
      <w:pPr>
        <w:ind w:left="811" w:hanging="448"/>
      </w:pPr>
      <w:rPr>
        <w:rFonts w:hint="eastAsia" w:ascii="黑体" w:eastAsia="黑体"/>
        <w:b w:val="0"/>
        <w:i w:val="0"/>
        <w:sz w:val="18"/>
        <w:vertAlign w:val="baseline"/>
        <w:lang w:val="en-US"/>
      </w:rPr>
    </w:lvl>
    <w:lvl w:ilvl="1" w:tentative="0">
      <w:start w:val="1"/>
      <w:numFmt w:val="lowerLetter"/>
      <w:lvlText w:val="%2)"/>
      <w:lvlJc w:val="left"/>
      <w:pPr>
        <w:tabs>
          <w:tab w:val="left" w:pos="0"/>
        </w:tabs>
        <w:ind w:left="992" w:hanging="629"/>
      </w:pPr>
      <w:rPr>
        <w:rFonts w:hint="eastAsia"/>
        <w:vertAlign w:val="baseline"/>
      </w:rPr>
    </w:lvl>
    <w:lvl w:ilvl="2" w:tentative="0">
      <w:start w:val="1"/>
      <w:numFmt w:val="lowerRoman"/>
      <w:lvlText w:val="%3."/>
      <w:lvlJc w:val="right"/>
      <w:pPr>
        <w:tabs>
          <w:tab w:val="left" w:pos="0"/>
        </w:tabs>
        <w:ind w:left="992" w:hanging="629"/>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pStyle w:val="195"/>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
    <w:nsid w:val="093C6778"/>
    <w:multiLevelType w:val="multilevel"/>
    <w:tmpl w:val="093C6778"/>
    <w:lvl w:ilvl="0" w:tentative="0">
      <w:start w:val="1"/>
      <w:numFmt w:val="decimal"/>
      <w:pStyle w:val="16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0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pStyle w:val="189"/>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7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1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pStyle w:val="198"/>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9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101"/>
      <w:suff w:val="nothing"/>
      <w:lvlText w:val="%1.%2.%3.%4　"/>
      <w:lvlJc w:val="left"/>
      <w:pPr>
        <w:ind w:left="0" w:firstLine="0"/>
      </w:pPr>
      <w:rPr>
        <w:rFonts w:hint="eastAsia" w:ascii="黑体" w:hAnsi="Times New Roman" w:eastAsia="黑体"/>
        <w:b w:val="0"/>
        <w:i w:val="0"/>
        <w:sz w:val="21"/>
      </w:rPr>
    </w:lvl>
    <w:lvl w:ilvl="4" w:tentative="0">
      <w:start w:val="1"/>
      <w:numFmt w:val="decimal"/>
      <w:pStyle w:val="105"/>
      <w:suff w:val="nothing"/>
      <w:lvlText w:val="%1.%2.%3.%4.%5　"/>
      <w:lvlJc w:val="left"/>
      <w:pPr>
        <w:ind w:left="0" w:firstLine="0"/>
      </w:pPr>
      <w:rPr>
        <w:rFonts w:hint="eastAsia" w:ascii="黑体" w:hAnsi="Times New Roman" w:eastAsia="黑体"/>
        <w:b w:val="0"/>
        <w:i w:val="0"/>
        <w:sz w:val="21"/>
      </w:rPr>
    </w:lvl>
    <w:lvl w:ilvl="5" w:tentative="0">
      <w:start w:val="1"/>
      <w:numFmt w:val="decimal"/>
      <w:pStyle w:val="10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49"/>
      <w:suff w:val="space"/>
      <w:lvlText w:val="%1"/>
      <w:lvlJc w:val="left"/>
      <w:pPr>
        <w:ind w:left="623" w:hanging="425"/>
      </w:pPr>
      <w:rPr>
        <w:rFonts w:hint="eastAsia"/>
      </w:rPr>
    </w:lvl>
    <w:lvl w:ilvl="1" w:tentative="0">
      <w:start w:val="1"/>
      <w:numFmt w:val="decimal"/>
      <w:pStyle w:val="15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98"/>
      <w:suff w:val="nothing"/>
      <w:lvlText w:val="%1——"/>
      <w:lvlJc w:val="left"/>
      <w:pPr>
        <w:ind w:left="833" w:hanging="408"/>
      </w:pPr>
      <w:rPr>
        <w:rFonts w:hint="eastAsia"/>
      </w:rPr>
    </w:lvl>
    <w:lvl w:ilvl="1" w:tentative="0">
      <w:start w:val="1"/>
      <w:numFmt w:val="bullet"/>
      <w:pStyle w:val="99"/>
      <w:lvlText w:val=""/>
      <w:lvlJc w:val="left"/>
      <w:pPr>
        <w:tabs>
          <w:tab w:val="left" w:pos="760"/>
        </w:tabs>
        <w:ind w:left="1264" w:hanging="413"/>
      </w:pPr>
      <w:rPr>
        <w:rFonts w:hint="default" w:ascii="Symbol" w:hAnsi="Symbol"/>
        <w:color w:val="auto"/>
      </w:rPr>
    </w:lvl>
    <w:lvl w:ilvl="2" w:tentative="0">
      <w:start w:val="1"/>
      <w:numFmt w:val="bullet"/>
      <w:pStyle w:val="11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pStyle w:val="197"/>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0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0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1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4B733A5F"/>
    <w:multiLevelType w:val="multilevel"/>
    <w:tmpl w:val="4B733A5F"/>
    <w:lvl w:ilvl="0" w:tentative="0">
      <w:start w:val="1"/>
      <w:numFmt w:val="decimal"/>
      <w:pStyle w:val="11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7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137"/>
      <w:lvlText w:val="%1"/>
      <w:lvlJc w:val="left"/>
      <w:pPr>
        <w:tabs>
          <w:tab w:val="left" w:pos="0"/>
        </w:tabs>
        <w:ind w:left="0" w:hanging="425"/>
      </w:pPr>
      <w:rPr>
        <w:rFonts w:hint="eastAsia"/>
      </w:rPr>
    </w:lvl>
    <w:lvl w:ilvl="1" w:tentative="0">
      <w:start w:val="1"/>
      <w:numFmt w:val="decimal"/>
      <w:pStyle w:val="138"/>
      <w:suff w:val="nothing"/>
      <w:lvlText w:val="表%1.%2　"/>
      <w:lvlJc w:val="left"/>
      <w:pPr>
        <w:ind w:left="567"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77"/>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3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5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54"/>
      <w:suff w:val="nothing"/>
      <w:lvlText w:val="%1.%2.%3　"/>
      <w:lvlJc w:val="left"/>
      <w:pPr>
        <w:ind w:left="0" w:firstLine="0"/>
      </w:pPr>
      <w:rPr>
        <w:rFonts w:hint="eastAsia" w:ascii="黑体" w:hAnsi="Times New Roman" w:eastAsia="黑体"/>
        <w:b w:val="0"/>
        <w:i w:val="0"/>
        <w:sz w:val="21"/>
      </w:rPr>
    </w:lvl>
    <w:lvl w:ilvl="3" w:tentative="0">
      <w:start w:val="1"/>
      <w:numFmt w:val="decimal"/>
      <w:pStyle w:val="139"/>
      <w:suff w:val="nothing"/>
      <w:lvlText w:val="%1.%2.%3.%4　"/>
      <w:lvlJc w:val="left"/>
      <w:pPr>
        <w:ind w:left="0" w:firstLine="0"/>
      </w:pPr>
      <w:rPr>
        <w:rFonts w:hint="eastAsia" w:ascii="黑体" w:hAnsi="Times New Roman" w:eastAsia="黑体"/>
        <w:b w:val="0"/>
        <w:i w:val="0"/>
        <w:sz w:val="21"/>
      </w:rPr>
    </w:lvl>
    <w:lvl w:ilvl="4" w:tentative="0">
      <w:start w:val="1"/>
      <w:numFmt w:val="decimal"/>
      <w:pStyle w:val="144"/>
      <w:suff w:val="nothing"/>
      <w:lvlText w:val="%1.%2.%3.%4.%5　"/>
      <w:lvlJc w:val="left"/>
      <w:pPr>
        <w:ind w:left="0" w:firstLine="0"/>
      </w:pPr>
      <w:rPr>
        <w:rFonts w:hint="eastAsia" w:ascii="黑体" w:hAnsi="Times New Roman" w:eastAsia="黑体"/>
        <w:b w:val="0"/>
        <w:i w:val="0"/>
        <w:sz w:val="21"/>
      </w:rPr>
    </w:lvl>
    <w:lvl w:ilvl="5" w:tentative="0">
      <w:start w:val="1"/>
      <w:numFmt w:val="decimal"/>
      <w:pStyle w:val="147"/>
      <w:suff w:val="nothing"/>
      <w:lvlText w:val="%1.%2.%3.%4.%5.%6　"/>
      <w:lvlJc w:val="left"/>
      <w:pPr>
        <w:ind w:left="0" w:firstLine="0"/>
      </w:pPr>
      <w:rPr>
        <w:rFonts w:hint="eastAsia" w:ascii="黑体" w:hAnsi="Times New Roman" w:eastAsia="黑体"/>
        <w:b w:val="0"/>
        <w:i w:val="0"/>
        <w:sz w:val="21"/>
      </w:rPr>
    </w:lvl>
    <w:lvl w:ilvl="6" w:tentative="0">
      <w:start w:val="1"/>
      <w:numFmt w:val="decimal"/>
      <w:pStyle w:val="1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56"/>
      <w:lvlText w:val="%1)"/>
      <w:lvlJc w:val="left"/>
      <w:pPr>
        <w:tabs>
          <w:tab w:val="left" w:pos="839"/>
        </w:tabs>
        <w:ind w:left="839" w:hanging="419"/>
      </w:pPr>
      <w:rPr>
        <w:rFonts w:hint="eastAsia" w:ascii="宋体" w:eastAsia="宋体"/>
        <w:b w:val="0"/>
        <w:i w:val="0"/>
        <w:sz w:val="21"/>
      </w:rPr>
    </w:lvl>
    <w:lvl w:ilvl="1" w:tentative="0">
      <w:start w:val="1"/>
      <w:numFmt w:val="decimal"/>
      <w:pStyle w:val="14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0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pStyle w:val="194"/>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6"/>
  </w:num>
  <w:num w:numId="3">
    <w:abstractNumId w:val="8"/>
  </w:num>
  <w:num w:numId="4">
    <w:abstractNumId w:val="3"/>
  </w:num>
  <w:num w:numId="5">
    <w:abstractNumId w:val="10"/>
  </w:num>
  <w:num w:numId="6">
    <w:abstractNumId w:val="17"/>
  </w:num>
  <w:num w:numId="7">
    <w:abstractNumId w:val="1"/>
  </w:num>
  <w:num w:numId="8">
    <w:abstractNumId w:val="11"/>
  </w:num>
  <w:num w:numId="9">
    <w:abstractNumId w:val="5"/>
  </w:num>
  <w:num w:numId="10">
    <w:abstractNumId w:val="15"/>
  </w:num>
  <w:num w:numId="11">
    <w:abstractNumId w:val="13"/>
  </w:num>
  <w:num w:numId="12">
    <w:abstractNumId w:val="16"/>
  </w:num>
  <w:num w:numId="13">
    <w:abstractNumId w:val="7"/>
  </w:num>
  <w:num w:numId="14">
    <w:abstractNumId w:val="2"/>
  </w:num>
  <w:num w:numId="15">
    <w:abstractNumId w:val="4"/>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ZTdmODAwZjdjZDI4NDgyMTM5MzZjMjliMGFhNmYifQ=="/>
  </w:docVars>
  <w:rsids>
    <w:rsidRoot w:val="00E168F1"/>
    <w:rsid w:val="00002267"/>
    <w:rsid w:val="000029E3"/>
    <w:rsid w:val="00010AE9"/>
    <w:rsid w:val="00013BD8"/>
    <w:rsid w:val="00024759"/>
    <w:rsid w:val="00032066"/>
    <w:rsid w:val="0003244A"/>
    <w:rsid w:val="000378B5"/>
    <w:rsid w:val="0004695C"/>
    <w:rsid w:val="0004734F"/>
    <w:rsid w:val="00047C85"/>
    <w:rsid w:val="00050955"/>
    <w:rsid w:val="000518CD"/>
    <w:rsid w:val="00053327"/>
    <w:rsid w:val="000609EA"/>
    <w:rsid w:val="00061962"/>
    <w:rsid w:val="00061E77"/>
    <w:rsid w:val="0007030A"/>
    <w:rsid w:val="00074B31"/>
    <w:rsid w:val="0007651E"/>
    <w:rsid w:val="00083D1D"/>
    <w:rsid w:val="00084995"/>
    <w:rsid w:val="00087836"/>
    <w:rsid w:val="00096C26"/>
    <w:rsid w:val="000A28F1"/>
    <w:rsid w:val="000A3692"/>
    <w:rsid w:val="000A4361"/>
    <w:rsid w:val="000A579E"/>
    <w:rsid w:val="000B33CF"/>
    <w:rsid w:val="000C033D"/>
    <w:rsid w:val="000C30BA"/>
    <w:rsid w:val="000C6894"/>
    <w:rsid w:val="000E11B5"/>
    <w:rsid w:val="000E3DE7"/>
    <w:rsid w:val="000E6C87"/>
    <w:rsid w:val="000F10A6"/>
    <w:rsid w:val="000F2D50"/>
    <w:rsid w:val="000F6D54"/>
    <w:rsid w:val="001042EA"/>
    <w:rsid w:val="00104633"/>
    <w:rsid w:val="00122490"/>
    <w:rsid w:val="00122AD1"/>
    <w:rsid w:val="001254CB"/>
    <w:rsid w:val="00142639"/>
    <w:rsid w:val="0014563C"/>
    <w:rsid w:val="00152011"/>
    <w:rsid w:val="00157F1B"/>
    <w:rsid w:val="00160CC7"/>
    <w:rsid w:val="00161CB0"/>
    <w:rsid w:val="00182463"/>
    <w:rsid w:val="0018516D"/>
    <w:rsid w:val="00186B08"/>
    <w:rsid w:val="00193D42"/>
    <w:rsid w:val="00197E0B"/>
    <w:rsid w:val="001B438B"/>
    <w:rsid w:val="001B46E5"/>
    <w:rsid w:val="001C19FB"/>
    <w:rsid w:val="001C2569"/>
    <w:rsid w:val="001C43DC"/>
    <w:rsid w:val="001C5B75"/>
    <w:rsid w:val="001D150B"/>
    <w:rsid w:val="001E1FC6"/>
    <w:rsid w:val="001E62F6"/>
    <w:rsid w:val="001F6F98"/>
    <w:rsid w:val="001F761C"/>
    <w:rsid w:val="00204B58"/>
    <w:rsid w:val="002055F1"/>
    <w:rsid w:val="002162CD"/>
    <w:rsid w:val="00235816"/>
    <w:rsid w:val="00242AFE"/>
    <w:rsid w:val="002574A1"/>
    <w:rsid w:val="00277485"/>
    <w:rsid w:val="00292088"/>
    <w:rsid w:val="00296A7E"/>
    <w:rsid w:val="002A6206"/>
    <w:rsid w:val="002A68D8"/>
    <w:rsid w:val="002B1304"/>
    <w:rsid w:val="002B17E5"/>
    <w:rsid w:val="002B675D"/>
    <w:rsid w:val="002B6A7F"/>
    <w:rsid w:val="002C1180"/>
    <w:rsid w:val="002D2310"/>
    <w:rsid w:val="002D6134"/>
    <w:rsid w:val="002D7FCA"/>
    <w:rsid w:val="002E1163"/>
    <w:rsid w:val="002E2234"/>
    <w:rsid w:val="002F02A4"/>
    <w:rsid w:val="002F0909"/>
    <w:rsid w:val="002F1909"/>
    <w:rsid w:val="002F1D02"/>
    <w:rsid w:val="002F4E2C"/>
    <w:rsid w:val="002F6AC4"/>
    <w:rsid w:val="002F7FC7"/>
    <w:rsid w:val="00300724"/>
    <w:rsid w:val="00315DCC"/>
    <w:rsid w:val="00316E3A"/>
    <w:rsid w:val="00325A76"/>
    <w:rsid w:val="003345B8"/>
    <w:rsid w:val="003409A1"/>
    <w:rsid w:val="00341446"/>
    <w:rsid w:val="003450CB"/>
    <w:rsid w:val="00355543"/>
    <w:rsid w:val="003561DB"/>
    <w:rsid w:val="003605E1"/>
    <w:rsid w:val="00361069"/>
    <w:rsid w:val="003657C0"/>
    <w:rsid w:val="003678D8"/>
    <w:rsid w:val="003701DD"/>
    <w:rsid w:val="003704E0"/>
    <w:rsid w:val="00371CBC"/>
    <w:rsid w:val="00373BE7"/>
    <w:rsid w:val="00374251"/>
    <w:rsid w:val="00384A27"/>
    <w:rsid w:val="003855A4"/>
    <w:rsid w:val="003923CC"/>
    <w:rsid w:val="003A0882"/>
    <w:rsid w:val="003B6C23"/>
    <w:rsid w:val="003C1D12"/>
    <w:rsid w:val="003C233C"/>
    <w:rsid w:val="003C31E9"/>
    <w:rsid w:val="003C33DA"/>
    <w:rsid w:val="003D1C6F"/>
    <w:rsid w:val="003D61F6"/>
    <w:rsid w:val="003E35E7"/>
    <w:rsid w:val="003E6DCA"/>
    <w:rsid w:val="003F45CD"/>
    <w:rsid w:val="00400900"/>
    <w:rsid w:val="00402F74"/>
    <w:rsid w:val="00407FCA"/>
    <w:rsid w:val="004120A2"/>
    <w:rsid w:val="004135AC"/>
    <w:rsid w:val="00426253"/>
    <w:rsid w:val="0042750E"/>
    <w:rsid w:val="00427948"/>
    <w:rsid w:val="00427C57"/>
    <w:rsid w:val="00430EAE"/>
    <w:rsid w:val="004321CC"/>
    <w:rsid w:val="00432ACC"/>
    <w:rsid w:val="00433F6D"/>
    <w:rsid w:val="00440447"/>
    <w:rsid w:val="00442A26"/>
    <w:rsid w:val="004462B2"/>
    <w:rsid w:val="0045087A"/>
    <w:rsid w:val="00451770"/>
    <w:rsid w:val="00452AB6"/>
    <w:rsid w:val="00452CFB"/>
    <w:rsid w:val="00453207"/>
    <w:rsid w:val="00462012"/>
    <w:rsid w:val="004628A7"/>
    <w:rsid w:val="00471C38"/>
    <w:rsid w:val="004723CF"/>
    <w:rsid w:val="00493344"/>
    <w:rsid w:val="00493B63"/>
    <w:rsid w:val="00494F52"/>
    <w:rsid w:val="004A0727"/>
    <w:rsid w:val="004A4139"/>
    <w:rsid w:val="004A6E71"/>
    <w:rsid w:val="004A76DB"/>
    <w:rsid w:val="004B444A"/>
    <w:rsid w:val="004C57CA"/>
    <w:rsid w:val="004D7E61"/>
    <w:rsid w:val="004E2206"/>
    <w:rsid w:val="004E248E"/>
    <w:rsid w:val="004F0CB4"/>
    <w:rsid w:val="004F2F42"/>
    <w:rsid w:val="00504545"/>
    <w:rsid w:val="00505FC7"/>
    <w:rsid w:val="0051124D"/>
    <w:rsid w:val="00514B73"/>
    <w:rsid w:val="00516865"/>
    <w:rsid w:val="00527C21"/>
    <w:rsid w:val="0053376B"/>
    <w:rsid w:val="005422EF"/>
    <w:rsid w:val="00561882"/>
    <w:rsid w:val="00561DB0"/>
    <w:rsid w:val="005658AD"/>
    <w:rsid w:val="00576E50"/>
    <w:rsid w:val="005810B2"/>
    <w:rsid w:val="00582D65"/>
    <w:rsid w:val="00585756"/>
    <w:rsid w:val="00590F2C"/>
    <w:rsid w:val="005A5595"/>
    <w:rsid w:val="005B0266"/>
    <w:rsid w:val="005B44F7"/>
    <w:rsid w:val="005B6483"/>
    <w:rsid w:val="005B7C40"/>
    <w:rsid w:val="005C6292"/>
    <w:rsid w:val="005D2029"/>
    <w:rsid w:val="005D6AEE"/>
    <w:rsid w:val="005E0433"/>
    <w:rsid w:val="005E04CF"/>
    <w:rsid w:val="005F0D30"/>
    <w:rsid w:val="005F1B33"/>
    <w:rsid w:val="00605F42"/>
    <w:rsid w:val="00607E58"/>
    <w:rsid w:val="0061675B"/>
    <w:rsid w:val="00623EF2"/>
    <w:rsid w:val="006250B4"/>
    <w:rsid w:val="0062773B"/>
    <w:rsid w:val="00631397"/>
    <w:rsid w:val="00633B65"/>
    <w:rsid w:val="006345BE"/>
    <w:rsid w:val="00647E0B"/>
    <w:rsid w:val="00652A25"/>
    <w:rsid w:val="006542E1"/>
    <w:rsid w:val="006669EF"/>
    <w:rsid w:val="00667D85"/>
    <w:rsid w:val="00670A47"/>
    <w:rsid w:val="00680AD3"/>
    <w:rsid w:val="00684B3E"/>
    <w:rsid w:val="006A1A06"/>
    <w:rsid w:val="006A4E4D"/>
    <w:rsid w:val="006B4C59"/>
    <w:rsid w:val="006D02AE"/>
    <w:rsid w:val="006D4721"/>
    <w:rsid w:val="006D6C53"/>
    <w:rsid w:val="006E2187"/>
    <w:rsid w:val="006E4534"/>
    <w:rsid w:val="006F3224"/>
    <w:rsid w:val="006F5B61"/>
    <w:rsid w:val="006F5EE8"/>
    <w:rsid w:val="00704A41"/>
    <w:rsid w:val="00712481"/>
    <w:rsid w:val="00720A32"/>
    <w:rsid w:val="00725F67"/>
    <w:rsid w:val="007260F1"/>
    <w:rsid w:val="007304F5"/>
    <w:rsid w:val="0074264E"/>
    <w:rsid w:val="007466D4"/>
    <w:rsid w:val="00747F96"/>
    <w:rsid w:val="00754204"/>
    <w:rsid w:val="00754C57"/>
    <w:rsid w:val="007571C8"/>
    <w:rsid w:val="00761762"/>
    <w:rsid w:val="00761C0B"/>
    <w:rsid w:val="00795B04"/>
    <w:rsid w:val="007A68BA"/>
    <w:rsid w:val="007B39DE"/>
    <w:rsid w:val="007B5D7E"/>
    <w:rsid w:val="007B63CE"/>
    <w:rsid w:val="007B755F"/>
    <w:rsid w:val="007C1F5C"/>
    <w:rsid w:val="007C4809"/>
    <w:rsid w:val="007D3B60"/>
    <w:rsid w:val="007D653D"/>
    <w:rsid w:val="007E6BDC"/>
    <w:rsid w:val="007F5B2C"/>
    <w:rsid w:val="00801FA1"/>
    <w:rsid w:val="0080794A"/>
    <w:rsid w:val="008100D1"/>
    <w:rsid w:val="00811B01"/>
    <w:rsid w:val="00812550"/>
    <w:rsid w:val="00812957"/>
    <w:rsid w:val="0081514B"/>
    <w:rsid w:val="00815597"/>
    <w:rsid w:val="008203B6"/>
    <w:rsid w:val="0082217E"/>
    <w:rsid w:val="00826732"/>
    <w:rsid w:val="008341D8"/>
    <w:rsid w:val="00836C07"/>
    <w:rsid w:val="00837D4C"/>
    <w:rsid w:val="00842DF2"/>
    <w:rsid w:val="00845D04"/>
    <w:rsid w:val="00847C84"/>
    <w:rsid w:val="0085046E"/>
    <w:rsid w:val="00855621"/>
    <w:rsid w:val="00860C66"/>
    <w:rsid w:val="00874B5F"/>
    <w:rsid w:val="00880732"/>
    <w:rsid w:val="008812ED"/>
    <w:rsid w:val="00884404"/>
    <w:rsid w:val="008868B4"/>
    <w:rsid w:val="00891501"/>
    <w:rsid w:val="008B5672"/>
    <w:rsid w:val="008C2310"/>
    <w:rsid w:val="008C37F2"/>
    <w:rsid w:val="008C3DAB"/>
    <w:rsid w:val="008D5656"/>
    <w:rsid w:val="008D5A02"/>
    <w:rsid w:val="008E1F5D"/>
    <w:rsid w:val="008E2F2F"/>
    <w:rsid w:val="008E7EC5"/>
    <w:rsid w:val="008F1483"/>
    <w:rsid w:val="008F30ED"/>
    <w:rsid w:val="009019E5"/>
    <w:rsid w:val="009129BA"/>
    <w:rsid w:val="009146C8"/>
    <w:rsid w:val="009211FD"/>
    <w:rsid w:val="00942D71"/>
    <w:rsid w:val="00946A57"/>
    <w:rsid w:val="00956046"/>
    <w:rsid w:val="009617B5"/>
    <w:rsid w:val="00962FD4"/>
    <w:rsid w:val="00970220"/>
    <w:rsid w:val="00981B0F"/>
    <w:rsid w:val="00991DB6"/>
    <w:rsid w:val="00991FE6"/>
    <w:rsid w:val="009951FB"/>
    <w:rsid w:val="009A5F6D"/>
    <w:rsid w:val="009B4715"/>
    <w:rsid w:val="009C79B3"/>
    <w:rsid w:val="009D3A2C"/>
    <w:rsid w:val="009D67B9"/>
    <w:rsid w:val="009E1F42"/>
    <w:rsid w:val="009F023B"/>
    <w:rsid w:val="009F4C85"/>
    <w:rsid w:val="009F799F"/>
    <w:rsid w:val="00A2051E"/>
    <w:rsid w:val="00A23DE2"/>
    <w:rsid w:val="00A255A1"/>
    <w:rsid w:val="00A25818"/>
    <w:rsid w:val="00A319D3"/>
    <w:rsid w:val="00A34579"/>
    <w:rsid w:val="00A36AC5"/>
    <w:rsid w:val="00A5067A"/>
    <w:rsid w:val="00A51250"/>
    <w:rsid w:val="00A54B67"/>
    <w:rsid w:val="00A56B01"/>
    <w:rsid w:val="00A624F0"/>
    <w:rsid w:val="00A645F8"/>
    <w:rsid w:val="00A678AB"/>
    <w:rsid w:val="00A71327"/>
    <w:rsid w:val="00A749F5"/>
    <w:rsid w:val="00A77BFC"/>
    <w:rsid w:val="00A8570D"/>
    <w:rsid w:val="00A92896"/>
    <w:rsid w:val="00AA0C56"/>
    <w:rsid w:val="00AB04CA"/>
    <w:rsid w:val="00AC2075"/>
    <w:rsid w:val="00AC795A"/>
    <w:rsid w:val="00AD654B"/>
    <w:rsid w:val="00AD7070"/>
    <w:rsid w:val="00AD720D"/>
    <w:rsid w:val="00AE1A5C"/>
    <w:rsid w:val="00AF3E60"/>
    <w:rsid w:val="00AF3FA1"/>
    <w:rsid w:val="00B03A2C"/>
    <w:rsid w:val="00B20759"/>
    <w:rsid w:val="00B220C7"/>
    <w:rsid w:val="00B244C2"/>
    <w:rsid w:val="00B24EAA"/>
    <w:rsid w:val="00B302E4"/>
    <w:rsid w:val="00B30CC8"/>
    <w:rsid w:val="00B34444"/>
    <w:rsid w:val="00B404A6"/>
    <w:rsid w:val="00B55510"/>
    <w:rsid w:val="00B60367"/>
    <w:rsid w:val="00B7382F"/>
    <w:rsid w:val="00B76488"/>
    <w:rsid w:val="00B76D94"/>
    <w:rsid w:val="00B83DFA"/>
    <w:rsid w:val="00B867B4"/>
    <w:rsid w:val="00B92CCF"/>
    <w:rsid w:val="00B974C9"/>
    <w:rsid w:val="00BA2C35"/>
    <w:rsid w:val="00BA3F7A"/>
    <w:rsid w:val="00BC1C69"/>
    <w:rsid w:val="00BC4771"/>
    <w:rsid w:val="00BC4B70"/>
    <w:rsid w:val="00BD7374"/>
    <w:rsid w:val="00BE053D"/>
    <w:rsid w:val="00BE1779"/>
    <w:rsid w:val="00BE3AE0"/>
    <w:rsid w:val="00BE7F8A"/>
    <w:rsid w:val="00BF0DC3"/>
    <w:rsid w:val="00BF2D34"/>
    <w:rsid w:val="00BF4E3C"/>
    <w:rsid w:val="00BF6EE9"/>
    <w:rsid w:val="00C04577"/>
    <w:rsid w:val="00C06602"/>
    <w:rsid w:val="00C11D2F"/>
    <w:rsid w:val="00C1366B"/>
    <w:rsid w:val="00C3079F"/>
    <w:rsid w:val="00C32E2A"/>
    <w:rsid w:val="00C42E2E"/>
    <w:rsid w:val="00C52F73"/>
    <w:rsid w:val="00C578FE"/>
    <w:rsid w:val="00C617D9"/>
    <w:rsid w:val="00C701CE"/>
    <w:rsid w:val="00C70268"/>
    <w:rsid w:val="00C72AB7"/>
    <w:rsid w:val="00C82D73"/>
    <w:rsid w:val="00C8337E"/>
    <w:rsid w:val="00C9358F"/>
    <w:rsid w:val="00C96EC3"/>
    <w:rsid w:val="00CB763D"/>
    <w:rsid w:val="00CC1190"/>
    <w:rsid w:val="00CC15D2"/>
    <w:rsid w:val="00CD467B"/>
    <w:rsid w:val="00CD5F83"/>
    <w:rsid w:val="00CE03A9"/>
    <w:rsid w:val="00CE1A5A"/>
    <w:rsid w:val="00CE2662"/>
    <w:rsid w:val="00CE672E"/>
    <w:rsid w:val="00CF086D"/>
    <w:rsid w:val="00CF1325"/>
    <w:rsid w:val="00CF24F2"/>
    <w:rsid w:val="00CF2B25"/>
    <w:rsid w:val="00CF4131"/>
    <w:rsid w:val="00CF5581"/>
    <w:rsid w:val="00D02AE3"/>
    <w:rsid w:val="00D03C66"/>
    <w:rsid w:val="00D047D1"/>
    <w:rsid w:val="00D07CB2"/>
    <w:rsid w:val="00D24274"/>
    <w:rsid w:val="00D24A7B"/>
    <w:rsid w:val="00D376C1"/>
    <w:rsid w:val="00D37F3F"/>
    <w:rsid w:val="00D4042D"/>
    <w:rsid w:val="00D40CBB"/>
    <w:rsid w:val="00D436D3"/>
    <w:rsid w:val="00D506ED"/>
    <w:rsid w:val="00D57B50"/>
    <w:rsid w:val="00D61F7E"/>
    <w:rsid w:val="00D65456"/>
    <w:rsid w:val="00D6672D"/>
    <w:rsid w:val="00D67B91"/>
    <w:rsid w:val="00D82D91"/>
    <w:rsid w:val="00D85790"/>
    <w:rsid w:val="00D90B77"/>
    <w:rsid w:val="00D93E80"/>
    <w:rsid w:val="00D96E99"/>
    <w:rsid w:val="00D977D7"/>
    <w:rsid w:val="00DA4B52"/>
    <w:rsid w:val="00DB19D0"/>
    <w:rsid w:val="00DC2707"/>
    <w:rsid w:val="00DC63E1"/>
    <w:rsid w:val="00DE6AEB"/>
    <w:rsid w:val="00DE749C"/>
    <w:rsid w:val="00DE7B0C"/>
    <w:rsid w:val="00DF0274"/>
    <w:rsid w:val="00DF6974"/>
    <w:rsid w:val="00E16104"/>
    <w:rsid w:val="00E168F1"/>
    <w:rsid w:val="00E2191C"/>
    <w:rsid w:val="00E351B8"/>
    <w:rsid w:val="00E352C0"/>
    <w:rsid w:val="00E47D0A"/>
    <w:rsid w:val="00E52604"/>
    <w:rsid w:val="00E54357"/>
    <w:rsid w:val="00E56452"/>
    <w:rsid w:val="00E57579"/>
    <w:rsid w:val="00E6792C"/>
    <w:rsid w:val="00E708F6"/>
    <w:rsid w:val="00E7375E"/>
    <w:rsid w:val="00E74BB4"/>
    <w:rsid w:val="00E8696F"/>
    <w:rsid w:val="00E8766B"/>
    <w:rsid w:val="00E9065E"/>
    <w:rsid w:val="00E9449E"/>
    <w:rsid w:val="00EC55C2"/>
    <w:rsid w:val="00EC699D"/>
    <w:rsid w:val="00ED265D"/>
    <w:rsid w:val="00EE0A05"/>
    <w:rsid w:val="00EE5840"/>
    <w:rsid w:val="00EE5A87"/>
    <w:rsid w:val="00F12C6A"/>
    <w:rsid w:val="00F13C12"/>
    <w:rsid w:val="00F15559"/>
    <w:rsid w:val="00F27124"/>
    <w:rsid w:val="00F3268B"/>
    <w:rsid w:val="00F35270"/>
    <w:rsid w:val="00F410AB"/>
    <w:rsid w:val="00F4217A"/>
    <w:rsid w:val="00F47007"/>
    <w:rsid w:val="00F52509"/>
    <w:rsid w:val="00F5410B"/>
    <w:rsid w:val="00F5456B"/>
    <w:rsid w:val="00F5785C"/>
    <w:rsid w:val="00F57B56"/>
    <w:rsid w:val="00F64677"/>
    <w:rsid w:val="00F71897"/>
    <w:rsid w:val="00F81C14"/>
    <w:rsid w:val="00F83CF8"/>
    <w:rsid w:val="00F85BCA"/>
    <w:rsid w:val="00F961EB"/>
    <w:rsid w:val="00FB1C56"/>
    <w:rsid w:val="00FB2758"/>
    <w:rsid w:val="00FC2E70"/>
    <w:rsid w:val="00FC6A6C"/>
    <w:rsid w:val="00FE53F9"/>
    <w:rsid w:val="00FE6F70"/>
    <w:rsid w:val="00FE7B94"/>
    <w:rsid w:val="00FE7C9B"/>
    <w:rsid w:val="00FF7931"/>
    <w:rsid w:val="019B53E2"/>
    <w:rsid w:val="028916DF"/>
    <w:rsid w:val="02DA5434"/>
    <w:rsid w:val="02FA778C"/>
    <w:rsid w:val="05310A63"/>
    <w:rsid w:val="058007BB"/>
    <w:rsid w:val="05A54A82"/>
    <w:rsid w:val="06110369"/>
    <w:rsid w:val="064424ED"/>
    <w:rsid w:val="06DF5D71"/>
    <w:rsid w:val="06E11AE9"/>
    <w:rsid w:val="0856098D"/>
    <w:rsid w:val="091D5CC7"/>
    <w:rsid w:val="09674DE9"/>
    <w:rsid w:val="0C30039F"/>
    <w:rsid w:val="0C361919"/>
    <w:rsid w:val="0E0B7D94"/>
    <w:rsid w:val="0E80608C"/>
    <w:rsid w:val="0F4A52C7"/>
    <w:rsid w:val="0FA97864"/>
    <w:rsid w:val="0FBA737B"/>
    <w:rsid w:val="10E83B4E"/>
    <w:rsid w:val="111D58B2"/>
    <w:rsid w:val="11AB36F9"/>
    <w:rsid w:val="124E024F"/>
    <w:rsid w:val="12906AB9"/>
    <w:rsid w:val="1331204B"/>
    <w:rsid w:val="1437543F"/>
    <w:rsid w:val="14977C8B"/>
    <w:rsid w:val="149F2FE4"/>
    <w:rsid w:val="14E8498B"/>
    <w:rsid w:val="157B135B"/>
    <w:rsid w:val="15A25A16"/>
    <w:rsid w:val="173E4D36"/>
    <w:rsid w:val="1745132A"/>
    <w:rsid w:val="17A33D3C"/>
    <w:rsid w:val="17A535C6"/>
    <w:rsid w:val="17D4411A"/>
    <w:rsid w:val="17F673BF"/>
    <w:rsid w:val="1804388A"/>
    <w:rsid w:val="18313AAF"/>
    <w:rsid w:val="18604C82"/>
    <w:rsid w:val="188C7A74"/>
    <w:rsid w:val="189C7F66"/>
    <w:rsid w:val="18A94258"/>
    <w:rsid w:val="1A3146DE"/>
    <w:rsid w:val="1D625055"/>
    <w:rsid w:val="1F0A1D41"/>
    <w:rsid w:val="1FCA360B"/>
    <w:rsid w:val="205A38A2"/>
    <w:rsid w:val="205E6167"/>
    <w:rsid w:val="2080016D"/>
    <w:rsid w:val="24B14D99"/>
    <w:rsid w:val="24EE7D9B"/>
    <w:rsid w:val="273B78D5"/>
    <w:rsid w:val="2781571D"/>
    <w:rsid w:val="28610884"/>
    <w:rsid w:val="296F041A"/>
    <w:rsid w:val="29B720F0"/>
    <w:rsid w:val="29D86924"/>
    <w:rsid w:val="29F54432"/>
    <w:rsid w:val="2AAA6513"/>
    <w:rsid w:val="2BE5357A"/>
    <w:rsid w:val="2C5C383D"/>
    <w:rsid w:val="2DEC6E42"/>
    <w:rsid w:val="2E8A3FDD"/>
    <w:rsid w:val="2F737E32"/>
    <w:rsid w:val="2F9B6F24"/>
    <w:rsid w:val="2FEA73B1"/>
    <w:rsid w:val="32BA306B"/>
    <w:rsid w:val="34180991"/>
    <w:rsid w:val="34193935"/>
    <w:rsid w:val="347B6703"/>
    <w:rsid w:val="34B85CD0"/>
    <w:rsid w:val="34D83C7C"/>
    <w:rsid w:val="35284C04"/>
    <w:rsid w:val="35C91817"/>
    <w:rsid w:val="35DE3514"/>
    <w:rsid w:val="35FC7E3E"/>
    <w:rsid w:val="366C15FF"/>
    <w:rsid w:val="37C71EB1"/>
    <w:rsid w:val="3A284EE5"/>
    <w:rsid w:val="3AE50EA1"/>
    <w:rsid w:val="3BD807A8"/>
    <w:rsid w:val="3D0E751B"/>
    <w:rsid w:val="3D2A703F"/>
    <w:rsid w:val="3D78491A"/>
    <w:rsid w:val="3E3363C7"/>
    <w:rsid w:val="3E603F50"/>
    <w:rsid w:val="3EA35219"/>
    <w:rsid w:val="3EF43DA9"/>
    <w:rsid w:val="404A1044"/>
    <w:rsid w:val="40B732E0"/>
    <w:rsid w:val="41016B49"/>
    <w:rsid w:val="424B26B5"/>
    <w:rsid w:val="42D753CA"/>
    <w:rsid w:val="43056584"/>
    <w:rsid w:val="434E2FC3"/>
    <w:rsid w:val="43632D4D"/>
    <w:rsid w:val="43816729"/>
    <w:rsid w:val="43AC5FB7"/>
    <w:rsid w:val="43AF64F0"/>
    <w:rsid w:val="44DA134B"/>
    <w:rsid w:val="45682D5F"/>
    <w:rsid w:val="458864E8"/>
    <w:rsid w:val="459A5485"/>
    <w:rsid w:val="46204A29"/>
    <w:rsid w:val="4A6C12A6"/>
    <w:rsid w:val="4A8B6F68"/>
    <w:rsid w:val="4B0238B5"/>
    <w:rsid w:val="4CA95A1B"/>
    <w:rsid w:val="51221352"/>
    <w:rsid w:val="51A4340C"/>
    <w:rsid w:val="528F1931"/>
    <w:rsid w:val="52D24269"/>
    <w:rsid w:val="52FC316F"/>
    <w:rsid w:val="5378145C"/>
    <w:rsid w:val="53892885"/>
    <w:rsid w:val="54DD61EA"/>
    <w:rsid w:val="553B7BE4"/>
    <w:rsid w:val="55626F1A"/>
    <w:rsid w:val="55BD128D"/>
    <w:rsid w:val="5671305A"/>
    <w:rsid w:val="5728063B"/>
    <w:rsid w:val="576F0018"/>
    <w:rsid w:val="58E32A6C"/>
    <w:rsid w:val="59B461B6"/>
    <w:rsid w:val="5BD01811"/>
    <w:rsid w:val="5C663250"/>
    <w:rsid w:val="5C7A2235"/>
    <w:rsid w:val="5C974299"/>
    <w:rsid w:val="5E987B01"/>
    <w:rsid w:val="5EA57B07"/>
    <w:rsid w:val="5EE94B54"/>
    <w:rsid w:val="5F01512C"/>
    <w:rsid w:val="5FF23595"/>
    <w:rsid w:val="604858AA"/>
    <w:rsid w:val="63BB4093"/>
    <w:rsid w:val="63C82F8A"/>
    <w:rsid w:val="653D52B2"/>
    <w:rsid w:val="65DD0843"/>
    <w:rsid w:val="67BB3D14"/>
    <w:rsid w:val="67C63C85"/>
    <w:rsid w:val="68DD74D8"/>
    <w:rsid w:val="697D3F1E"/>
    <w:rsid w:val="6990454A"/>
    <w:rsid w:val="69B33D95"/>
    <w:rsid w:val="6AC65D4A"/>
    <w:rsid w:val="6B1E16E2"/>
    <w:rsid w:val="6BE82FF2"/>
    <w:rsid w:val="6C021003"/>
    <w:rsid w:val="6CBE13CE"/>
    <w:rsid w:val="6CE81FA7"/>
    <w:rsid w:val="6DD34202"/>
    <w:rsid w:val="6E587601"/>
    <w:rsid w:val="6EEE3AC1"/>
    <w:rsid w:val="6FA67770"/>
    <w:rsid w:val="71115D22"/>
    <w:rsid w:val="7184045A"/>
    <w:rsid w:val="72BA3562"/>
    <w:rsid w:val="74542618"/>
    <w:rsid w:val="7762159A"/>
    <w:rsid w:val="791D56CF"/>
    <w:rsid w:val="79891319"/>
    <w:rsid w:val="7D196167"/>
    <w:rsid w:val="7DB47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0"/>
    <w:qFormat/>
    <w:uiPriority w:val="0"/>
    <w:pPr>
      <w:keepNext/>
      <w:keepLines/>
      <w:spacing w:before="280" w:after="290" w:line="376" w:lineRule="auto"/>
      <w:outlineLvl w:val="4"/>
    </w:pPr>
    <w:rPr>
      <w:b/>
      <w:bCs/>
      <w:sz w:val="28"/>
      <w:szCs w:val="28"/>
    </w:rPr>
  </w:style>
  <w:style w:type="paragraph" w:styleId="7">
    <w:name w:val="heading 6"/>
    <w:basedOn w:val="1"/>
    <w:next w:val="1"/>
    <w:link w:val="7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2"/>
    <w:qFormat/>
    <w:uiPriority w:val="0"/>
    <w:pPr>
      <w:keepNext/>
      <w:keepLines/>
      <w:spacing w:before="240" w:after="64" w:line="320" w:lineRule="auto"/>
      <w:outlineLvl w:val="6"/>
    </w:pPr>
    <w:rPr>
      <w:b/>
      <w:bCs/>
      <w:sz w:val="24"/>
    </w:rPr>
  </w:style>
  <w:style w:type="paragraph" w:styleId="9">
    <w:name w:val="heading 8"/>
    <w:basedOn w:val="1"/>
    <w:next w:val="1"/>
    <w:link w:val="73"/>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74"/>
    <w:qFormat/>
    <w:uiPriority w:val="0"/>
    <w:pPr>
      <w:keepNext/>
      <w:keepLines/>
      <w:spacing w:before="240" w:after="64" w:line="320" w:lineRule="auto"/>
      <w:outlineLvl w:val="8"/>
    </w:pPr>
    <w:rPr>
      <w:rFonts w:ascii="Arial" w:hAnsi="Arial" w:eastAsia="黑体"/>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ind w:firstLine="420"/>
    </w:pPr>
    <w:rPr>
      <w:rFonts w:ascii="宋体" w:hAnsi="宋体"/>
      <w:color w:val="00000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75"/>
    <w:semiHidden/>
    <w:qFormat/>
    <w:uiPriority w:val="0"/>
    <w:pPr>
      <w:shd w:val="clear" w:color="auto" w:fill="000080"/>
    </w:pPr>
  </w:style>
  <w:style w:type="paragraph" w:styleId="17">
    <w:name w:val="annotation text"/>
    <w:basedOn w:val="1"/>
    <w:link w:val="76"/>
    <w:unhideWhenUsed/>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77"/>
    <w:unhideWhenUsed/>
    <w:qFormat/>
    <w:uiPriority w:val="99"/>
    <w:pPr>
      <w:spacing w:after="120"/>
    </w:pPr>
  </w:style>
  <w:style w:type="paragraph" w:styleId="20">
    <w:name w:val="HTML Address"/>
    <w:basedOn w:val="1"/>
    <w:link w:val="78"/>
    <w:qFormat/>
    <w:uiPriority w:val="0"/>
    <w:rPr>
      <w:i/>
      <w:iCs/>
    </w:r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semiHidden/>
    <w:qFormat/>
    <w:uiPriority w:val="0"/>
    <w:pPr>
      <w:tabs>
        <w:tab w:val="right" w:leader="dot" w:pos="9241"/>
      </w:tabs>
      <w:ind w:firstLine="300" w:firstLineChars="300"/>
      <w:jc w:val="left"/>
    </w:pPr>
    <w:rPr>
      <w:rFonts w:ascii="宋体"/>
      <w:szCs w:val="21"/>
    </w:rPr>
  </w:style>
  <w:style w:type="paragraph" w:styleId="23">
    <w:name w:val="toc 3"/>
    <w:basedOn w:val="1"/>
    <w:next w:val="1"/>
    <w:semiHidden/>
    <w:qFormat/>
    <w:uiPriority w:val="0"/>
    <w:pPr>
      <w:tabs>
        <w:tab w:val="right" w:leader="dot" w:pos="9241"/>
      </w:tabs>
      <w:ind w:firstLine="102" w:firstLineChars="100"/>
      <w:jc w:val="left"/>
    </w:pPr>
    <w:rPr>
      <w:rFonts w:ascii="宋体"/>
      <w:szCs w:val="21"/>
    </w:rPr>
  </w:style>
  <w:style w:type="paragraph" w:styleId="24">
    <w:name w:val="Plain Text"/>
    <w:basedOn w:val="1"/>
    <w:link w:val="79"/>
    <w:qFormat/>
    <w:uiPriority w:val="0"/>
    <w:rPr>
      <w:rFonts w:hint="eastAsia" w:ascii="宋体" w:hAnsi="Courier New"/>
      <w:color w:val="000000"/>
      <w:szCs w:val="20"/>
    </w:rPr>
  </w:style>
  <w:style w:type="paragraph" w:styleId="25">
    <w:name w:val="toc 8"/>
    <w:basedOn w:val="1"/>
    <w:next w:val="1"/>
    <w:semiHidden/>
    <w:qFormat/>
    <w:uiPriority w:val="0"/>
    <w:pPr>
      <w:tabs>
        <w:tab w:val="right" w:leader="dot" w:pos="9241"/>
      </w:tabs>
      <w:ind w:firstLine="607" w:firstLineChars="600"/>
      <w:jc w:val="left"/>
    </w:pPr>
    <w:rPr>
      <w:rFonts w:ascii="宋体"/>
      <w:szCs w:val="21"/>
    </w:rPr>
  </w:style>
  <w:style w:type="paragraph" w:styleId="26">
    <w:name w:val="index 3"/>
    <w:basedOn w:val="1"/>
    <w:next w:val="1"/>
    <w:qFormat/>
    <w:uiPriority w:val="0"/>
    <w:pPr>
      <w:ind w:left="630" w:hanging="210"/>
      <w:jc w:val="left"/>
    </w:pPr>
    <w:rPr>
      <w:rFonts w:ascii="Calibri" w:hAnsi="Calibri"/>
      <w:sz w:val="20"/>
      <w:szCs w:val="20"/>
    </w:rPr>
  </w:style>
  <w:style w:type="paragraph" w:styleId="27">
    <w:name w:val="Date"/>
    <w:basedOn w:val="1"/>
    <w:next w:val="1"/>
    <w:link w:val="80"/>
    <w:qFormat/>
    <w:uiPriority w:val="0"/>
    <w:pPr>
      <w:ind w:left="100" w:leftChars="2500"/>
    </w:pPr>
  </w:style>
  <w:style w:type="paragraph" w:styleId="28">
    <w:name w:val="endnote text"/>
    <w:basedOn w:val="1"/>
    <w:link w:val="81"/>
    <w:semiHidden/>
    <w:qFormat/>
    <w:uiPriority w:val="0"/>
    <w:pPr>
      <w:snapToGrid w:val="0"/>
      <w:jc w:val="left"/>
    </w:pPr>
  </w:style>
  <w:style w:type="paragraph" w:styleId="29">
    <w:name w:val="Balloon Text"/>
    <w:basedOn w:val="1"/>
    <w:link w:val="82"/>
    <w:qFormat/>
    <w:uiPriority w:val="0"/>
    <w:rPr>
      <w:sz w:val="18"/>
      <w:szCs w:val="18"/>
    </w:rPr>
  </w:style>
  <w:style w:type="paragraph" w:styleId="30">
    <w:name w:val="footer"/>
    <w:basedOn w:val="1"/>
    <w:link w:val="83"/>
    <w:qFormat/>
    <w:uiPriority w:val="0"/>
    <w:pPr>
      <w:snapToGrid w:val="0"/>
      <w:ind w:right="210" w:rightChars="100"/>
      <w:jc w:val="right"/>
    </w:pPr>
    <w:rPr>
      <w:sz w:val="18"/>
      <w:szCs w:val="18"/>
    </w:rPr>
  </w:style>
  <w:style w:type="paragraph" w:styleId="31">
    <w:name w:val="header"/>
    <w:basedOn w:val="1"/>
    <w:link w:val="84"/>
    <w:qFormat/>
    <w:uiPriority w:val="0"/>
    <w:pPr>
      <w:snapToGrid w:val="0"/>
      <w:jc w:val="left"/>
    </w:pPr>
    <w:rPr>
      <w:sz w:val="18"/>
      <w:szCs w:val="18"/>
    </w:rPr>
  </w:style>
  <w:style w:type="paragraph" w:styleId="32">
    <w:name w:val="toc 1"/>
    <w:basedOn w:val="1"/>
    <w:next w:val="1"/>
    <w:semiHidden/>
    <w:qFormat/>
    <w:uiPriority w:val="0"/>
    <w:pPr>
      <w:tabs>
        <w:tab w:val="right" w:leader="dot" w:pos="9241"/>
      </w:tabs>
      <w:spacing w:beforeLines="25" w:afterLines="25"/>
      <w:jc w:val="left"/>
    </w:pPr>
    <w:rPr>
      <w:rFonts w:ascii="宋体"/>
      <w:szCs w:val="21"/>
    </w:rPr>
  </w:style>
  <w:style w:type="paragraph" w:styleId="33">
    <w:name w:val="toc 4"/>
    <w:basedOn w:val="1"/>
    <w:next w:val="1"/>
    <w:semiHidden/>
    <w:qFormat/>
    <w:uiPriority w:val="0"/>
    <w:pPr>
      <w:tabs>
        <w:tab w:val="right" w:leader="dot" w:pos="9241"/>
      </w:tabs>
      <w:ind w:firstLine="198" w:firstLineChars="200"/>
      <w:jc w:val="left"/>
    </w:pPr>
    <w:rPr>
      <w:rFonts w:ascii="宋体"/>
      <w:szCs w:val="21"/>
    </w:rPr>
  </w:style>
  <w:style w:type="paragraph" w:styleId="34">
    <w:name w:val="index heading"/>
    <w:basedOn w:val="1"/>
    <w:next w:val="35"/>
    <w:qFormat/>
    <w:uiPriority w:val="0"/>
    <w:pPr>
      <w:spacing w:before="120" w:after="120"/>
      <w:jc w:val="center"/>
    </w:pPr>
    <w:rPr>
      <w:rFonts w:ascii="Calibri" w:hAnsi="Calibri"/>
      <w:b/>
      <w:bCs/>
      <w:iCs/>
      <w:szCs w:val="20"/>
    </w:rPr>
  </w:style>
  <w:style w:type="paragraph" w:styleId="35">
    <w:name w:val="index 1"/>
    <w:basedOn w:val="1"/>
    <w:next w:val="1"/>
    <w:unhideWhenUsed/>
    <w:qFormat/>
    <w:uiPriority w:val="0"/>
  </w:style>
  <w:style w:type="paragraph" w:styleId="36">
    <w:name w:val="footnote text"/>
    <w:basedOn w:val="1"/>
    <w:link w:val="85"/>
    <w:qFormat/>
    <w:uiPriority w:val="0"/>
    <w:pPr>
      <w:numPr>
        <w:ilvl w:val="0"/>
        <w:numId w:val="1"/>
      </w:numPr>
      <w:snapToGrid w:val="0"/>
      <w:jc w:val="left"/>
    </w:pPr>
    <w:rPr>
      <w:rFonts w:ascii="宋体"/>
      <w:sz w:val="18"/>
      <w:szCs w:val="18"/>
    </w:rPr>
  </w:style>
  <w:style w:type="paragraph" w:styleId="37">
    <w:name w:val="toc 6"/>
    <w:basedOn w:val="1"/>
    <w:next w:val="1"/>
    <w:semiHidden/>
    <w:qFormat/>
    <w:uiPriority w:val="0"/>
    <w:pPr>
      <w:tabs>
        <w:tab w:val="right" w:leader="dot" w:pos="9241"/>
      </w:tabs>
      <w:ind w:firstLine="403" w:firstLineChars="400"/>
      <w:jc w:val="left"/>
    </w:pPr>
    <w:rPr>
      <w:rFonts w:ascii="宋体"/>
      <w:szCs w:val="21"/>
    </w:rPr>
  </w:style>
  <w:style w:type="paragraph" w:styleId="38">
    <w:name w:val="index 7"/>
    <w:basedOn w:val="1"/>
    <w:next w:val="1"/>
    <w:qFormat/>
    <w:uiPriority w:val="0"/>
    <w:pPr>
      <w:ind w:left="1470" w:hanging="210"/>
      <w:jc w:val="left"/>
    </w:pPr>
    <w:rPr>
      <w:rFonts w:ascii="Calibri" w:hAnsi="Calibri"/>
      <w:sz w:val="20"/>
      <w:szCs w:val="20"/>
    </w:rPr>
  </w:style>
  <w:style w:type="paragraph" w:styleId="39">
    <w:name w:val="index 9"/>
    <w:basedOn w:val="1"/>
    <w:next w:val="1"/>
    <w:qFormat/>
    <w:uiPriority w:val="0"/>
    <w:pPr>
      <w:ind w:left="1890" w:hanging="210"/>
      <w:jc w:val="left"/>
    </w:pPr>
    <w:rPr>
      <w:rFonts w:ascii="Calibri" w:hAnsi="Calibri"/>
      <w:sz w:val="20"/>
      <w:szCs w:val="20"/>
    </w:rPr>
  </w:style>
  <w:style w:type="paragraph" w:styleId="40">
    <w:name w:val="toc 2"/>
    <w:basedOn w:val="1"/>
    <w:next w:val="1"/>
    <w:semiHidden/>
    <w:qFormat/>
    <w:uiPriority w:val="0"/>
    <w:pPr>
      <w:tabs>
        <w:tab w:val="right" w:leader="dot" w:pos="9241"/>
      </w:tabs>
    </w:pPr>
    <w:rPr>
      <w:rFonts w:ascii="宋体"/>
      <w:szCs w:val="21"/>
    </w:rPr>
  </w:style>
  <w:style w:type="paragraph" w:styleId="41">
    <w:name w:val="toc 9"/>
    <w:basedOn w:val="1"/>
    <w:next w:val="1"/>
    <w:semiHidden/>
    <w:qFormat/>
    <w:uiPriority w:val="0"/>
    <w:pPr>
      <w:ind w:left="1470"/>
      <w:jc w:val="left"/>
    </w:pPr>
    <w:rPr>
      <w:sz w:val="20"/>
      <w:szCs w:val="20"/>
    </w:rPr>
  </w:style>
  <w:style w:type="paragraph" w:styleId="42">
    <w:name w:val="HTML Preformatted"/>
    <w:basedOn w:val="1"/>
    <w:link w:val="86"/>
    <w:qFormat/>
    <w:uiPriority w:val="0"/>
    <w:rPr>
      <w:rFonts w:ascii="Courier New" w:hAnsi="Courier New" w:cs="Courier New"/>
      <w:sz w:val="20"/>
      <w:szCs w:val="20"/>
    </w:rPr>
  </w:style>
  <w:style w:type="paragraph" w:styleId="43">
    <w:name w:val="Normal (Web)"/>
    <w:basedOn w:val="1"/>
    <w:qFormat/>
    <w:uiPriority w:val="0"/>
    <w:pPr>
      <w:widowControl/>
      <w:spacing w:before="100" w:beforeAutospacing="1" w:after="100" w:afterAutospacing="1"/>
      <w:jc w:val="left"/>
    </w:pPr>
    <w:rPr>
      <w:rFonts w:ascii="宋体" w:hAnsi="宋体"/>
      <w:color w:val="FF0000"/>
      <w:kern w:val="0"/>
      <w:sz w:val="24"/>
      <w:szCs w:val="28"/>
    </w:rPr>
  </w:style>
  <w:style w:type="paragraph" w:styleId="44">
    <w:name w:val="index 2"/>
    <w:basedOn w:val="1"/>
    <w:next w:val="1"/>
    <w:qFormat/>
    <w:uiPriority w:val="0"/>
    <w:pPr>
      <w:ind w:left="420" w:hanging="210"/>
      <w:jc w:val="left"/>
    </w:pPr>
    <w:rPr>
      <w:rFonts w:ascii="Calibri" w:hAnsi="Calibri"/>
      <w:sz w:val="20"/>
      <w:szCs w:val="20"/>
    </w:rPr>
  </w:style>
  <w:style w:type="paragraph" w:styleId="45">
    <w:name w:val="Title"/>
    <w:basedOn w:val="1"/>
    <w:link w:val="87"/>
    <w:qFormat/>
    <w:uiPriority w:val="0"/>
    <w:pPr>
      <w:spacing w:before="240" w:after="60"/>
      <w:jc w:val="center"/>
      <w:outlineLvl w:val="0"/>
    </w:pPr>
    <w:rPr>
      <w:rFonts w:ascii="Arial" w:hAnsi="Arial" w:cs="Arial"/>
      <w:b/>
      <w:bCs/>
      <w:sz w:val="32"/>
      <w:szCs w:val="32"/>
    </w:rPr>
  </w:style>
  <w:style w:type="paragraph" w:styleId="46">
    <w:name w:val="annotation subject"/>
    <w:basedOn w:val="17"/>
    <w:next w:val="17"/>
    <w:link w:val="88"/>
    <w:semiHidden/>
    <w:qFormat/>
    <w:uiPriority w:val="0"/>
    <w:rPr>
      <w:b/>
      <w:bCs/>
    </w:rPr>
  </w:style>
  <w:style w:type="paragraph" w:styleId="47">
    <w:name w:val="Body Text First Indent"/>
    <w:basedOn w:val="1"/>
    <w:link w:val="89"/>
    <w:unhideWhenUsed/>
    <w:qFormat/>
    <w:uiPriority w:val="0"/>
    <w:pPr>
      <w:spacing w:line="400" w:lineRule="atLeast"/>
      <w:ind w:firstLine="200" w:firstLineChars="200"/>
    </w:pPr>
    <w:rPr>
      <w:sz w:val="24"/>
    </w:rPr>
  </w:style>
  <w:style w:type="table" w:styleId="49">
    <w:name w:val="Table Grid"/>
    <w:basedOn w:val="4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endnote reference"/>
    <w:semiHidden/>
    <w:qFormat/>
    <w:uiPriority w:val="0"/>
    <w:rPr>
      <w:vertAlign w:val="superscript"/>
    </w:rPr>
  </w:style>
  <w:style w:type="character" w:styleId="52">
    <w:name w:val="page number"/>
    <w:qFormat/>
    <w:uiPriority w:val="0"/>
    <w:rPr>
      <w:rFonts w:ascii="Times New Roman" w:hAnsi="Times New Roman" w:eastAsia="宋体"/>
      <w:sz w:val="18"/>
    </w:rPr>
  </w:style>
  <w:style w:type="character" w:styleId="53">
    <w:name w:val="FollowedHyperlink"/>
    <w:qFormat/>
    <w:uiPriority w:val="0"/>
    <w:rPr>
      <w:color w:val="800080"/>
      <w:u w:val="single"/>
    </w:rPr>
  </w:style>
  <w:style w:type="character" w:styleId="54">
    <w:name w:val="line number"/>
    <w:basedOn w:val="50"/>
    <w:qFormat/>
    <w:uiPriority w:val="0"/>
  </w:style>
  <w:style w:type="character" w:styleId="55">
    <w:name w:val="HTML Definition"/>
    <w:qFormat/>
    <w:uiPriority w:val="0"/>
    <w:rPr>
      <w:i/>
      <w:iCs/>
    </w:rPr>
  </w:style>
  <w:style w:type="character" w:styleId="56">
    <w:name w:val="HTML Typewriter"/>
    <w:qFormat/>
    <w:uiPriority w:val="0"/>
    <w:rPr>
      <w:rFonts w:ascii="Courier New" w:hAnsi="Courier New"/>
      <w:sz w:val="20"/>
      <w:szCs w:val="20"/>
    </w:rPr>
  </w:style>
  <w:style w:type="character" w:styleId="57">
    <w:name w:val="HTML Acronym"/>
    <w:basedOn w:val="50"/>
    <w:qFormat/>
    <w:uiPriority w:val="0"/>
  </w:style>
  <w:style w:type="character" w:styleId="58">
    <w:name w:val="HTML Variable"/>
    <w:qFormat/>
    <w:uiPriority w:val="0"/>
    <w:rPr>
      <w:i/>
      <w:iCs/>
    </w:rPr>
  </w:style>
  <w:style w:type="character" w:styleId="59">
    <w:name w:val="Hyperlink"/>
    <w:qFormat/>
    <w:uiPriority w:val="0"/>
    <w:rPr>
      <w:color w:val="0000FF"/>
      <w:spacing w:val="0"/>
      <w:w w:val="100"/>
      <w:szCs w:val="21"/>
      <w:u w:val="single"/>
    </w:rPr>
  </w:style>
  <w:style w:type="character" w:styleId="60">
    <w:name w:val="HTML Code"/>
    <w:qFormat/>
    <w:uiPriority w:val="0"/>
    <w:rPr>
      <w:rFonts w:ascii="Courier New" w:hAnsi="Courier New"/>
      <w:sz w:val="20"/>
      <w:szCs w:val="20"/>
    </w:rPr>
  </w:style>
  <w:style w:type="character" w:styleId="61">
    <w:name w:val="annotation reference"/>
    <w:semiHidden/>
    <w:qFormat/>
    <w:uiPriority w:val="0"/>
    <w:rPr>
      <w:sz w:val="21"/>
      <w:szCs w:val="21"/>
    </w:rPr>
  </w:style>
  <w:style w:type="character" w:styleId="62">
    <w:name w:val="HTML Cite"/>
    <w:qFormat/>
    <w:uiPriority w:val="0"/>
    <w:rPr>
      <w:i/>
      <w:iCs/>
    </w:rPr>
  </w:style>
  <w:style w:type="character" w:styleId="63">
    <w:name w:val="footnote reference"/>
    <w:semiHidden/>
    <w:qFormat/>
    <w:uiPriority w:val="0"/>
    <w:rPr>
      <w:vertAlign w:val="superscript"/>
    </w:rPr>
  </w:style>
  <w:style w:type="character" w:styleId="64">
    <w:name w:val="HTML Keyboard"/>
    <w:qFormat/>
    <w:uiPriority w:val="0"/>
    <w:rPr>
      <w:rFonts w:ascii="Courier New" w:hAnsi="Courier New"/>
      <w:sz w:val="20"/>
      <w:szCs w:val="20"/>
    </w:rPr>
  </w:style>
  <w:style w:type="character" w:styleId="65">
    <w:name w:val="HTML Sample"/>
    <w:qFormat/>
    <w:uiPriority w:val="0"/>
    <w:rPr>
      <w:rFonts w:ascii="Courier New" w:hAnsi="Courier New"/>
    </w:rPr>
  </w:style>
  <w:style w:type="character" w:customStyle="1" w:styleId="66">
    <w:name w:val="标题 1 字符"/>
    <w:link w:val="2"/>
    <w:qFormat/>
    <w:uiPriority w:val="0"/>
    <w:rPr>
      <w:rFonts w:ascii="Times New Roman" w:hAnsi="Times New Roman" w:eastAsia="宋体" w:cs="Times New Roman"/>
      <w:b/>
      <w:bCs/>
      <w:kern w:val="44"/>
      <w:sz w:val="44"/>
      <w:szCs w:val="44"/>
    </w:rPr>
  </w:style>
  <w:style w:type="character" w:customStyle="1" w:styleId="67">
    <w:name w:val="标题 2 字符"/>
    <w:link w:val="3"/>
    <w:qFormat/>
    <w:uiPriority w:val="9"/>
    <w:rPr>
      <w:rFonts w:ascii="Arial" w:hAnsi="Arial" w:eastAsia="黑体" w:cs="Times New Roman"/>
      <w:b/>
      <w:bCs/>
      <w:sz w:val="32"/>
      <w:szCs w:val="32"/>
    </w:rPr>
  </w:style>
  <w:style w:type="character" w:customStyle="1" w:styleId="68">
    <w:name w:val="标题 3 字符"/>
    <w:link w:val="4"/>
    <w:qFormat/>
    <w:uiPriority w:val="0"/>
    <w:rPr>
      <w:rFonts w:ascii="Times New Roman" w:hAnsi="Times New Roman" w:eastAsia="宋体" w:cs="Times New Roman"/>
      <w:b/>
      <w:bCs/>
      <w:sz w:val="32"/>
      <w:szCs w:val="32"/>
    </w:rPr>
  </w:style>
  <w:style w:type="character" w:customStyle="1" w:styleId="69">
    <w:name w:val="标题 4 字符"/>
    <w:link w:val="5"/>
    <w:qFormat/>
    <w:uiPriority w:val="0"/>
    <w:rPr>
      <w:rFonts w:ascii="Arial" w:hAnsi="Arial" w:eastAsia="黑体" w:cs="Times New Roman"/>
      <w:b/>
      <w:bCs/>
      <w:sz w:val="28"/>
      <w:szCs w:val="28"/>
    </w:rPr>
  </w:style>
  <w:style w:type="character" w:customStyle="1" w:styleId="70">
    <w:name w:val="标题 5 字符"/>
    <w:link w:val="6"/>
    <w:qFormat/>
    <w:uiPriority w:val="0"/>
    <w:rPr>
      <w:rFonts w:ascii="Times New Roman" w:hAnsi="Times New Roman" w:eastAsia="宋体" w:cs="Times New Roman"/>
      <w:b/>
      <w:bCs/>
      <w:sz w:val="28"/>
      <w:szCs w:val="28"/>
    </w:rPr>
  </w:style>
  <w:style w:type="character" w:customStyle="1" w:styleId="71">
    <w:name w:val="标题 6 字符"/>
    <w:link w:val="7"/>
    <w:qFormat/>
    <w:uiPriority w:val="0"/>
    <w:rPr>
      <w:rFonts w:ascii="Arial" w:hAnsi="Arial" w:eastAsia="黑体" w:cs="Times New Roman"/>
      <w:b/>
      <w:bCs/>
      <w:sz w:val="24"/>
      <w:szCs w:val="24"/>
    </w:rPr>
  </w:style>
  <w:style w:type="character" w:customStyle="1" w:styleId="72">
    <w:name w:val="标题 7 字符"/>
    <w:link w:val="8"/>
    <w:qFormat/>
    <w:uiPriority w:val="0"/>
    <w:rPr>
      <w:rFonts w:ascii="Times New Roman" w:hAnsi="Times New Roman" w:eastAsia="宋体" w:cs="Times New Roman"/>
      <w:b/>
      <w:bCs/>
      <w:sz w:val="24"/>
      <w:szCs w:val="24"/>
    </w:rPr>
  </w:style>
  <w:style w:type="character" w:customStyle="1" w:styleId="73">
    <w:name w:val="标题 8 字符"/>
    <w:link w:val="9"/>
    <w:qFormat/>
    <w:uiPriority w:val="0"/>
    <w:rPr>
      <w:rFonts w:ascii="Arial" w:hAnsi="Arial" w:eastAsia="黑体" w:cs="Times New Roman"/>
      <w:sz w:val="24"/>
      <w:szCs w:val="24"/>
    </w:rPr>
  </w:style>
  <w:style w:type="character" w:customStyle="1" w:styleId="74">
    <w:name w:val="标题 9 字符"/>
    <w:link w:val="10"/>
    <w:qFormat/>
    <w:uiPriority w:val="0"/>
    <w:rPr>
      <w:rFonts w:ascii="Arial" w:hAnsi="Arial" w:eastAsia="黑体" w:cs="Times New Roman"/>
      <w:szCs w:val="21"/>
    </w:rPr>
  </w:style>
  <w:style w:type="character" w:customStyle="1" w:styleId="75">
    <w:name w:val="文档结构图 字符"/>
    <w:link w:val="16"/>
    <w:semiHidden/>
    <w:qFormat/>
    <w:uiPriority w:val="0"/>
    <w:rPr>
      <w:rFonts w:ascii="Times New Roman" w:hAnsi="Times New Roman" w:eastAsia="宋体" w:cs="Times New Roman"/>
      <w:szCs w:val="24"/>
      <w:shd w:val="clear" w:color="auto" w:fill="000080"/>
    </w:rPr>
  </w:style>
  <w:style w:type="character" w:customStyle="1" w:styleId="76">
    <w:name w:val="批注文字 字符"/>
    <w:link w:val="17"/>
    <w:semiHidden/>
    <w:qFormat/>
    <w:uiPriority w:val="99"/>
    <w:rPr>
      <w:rFonts w:ascii="Times New Roman" w:hAnsi="Times New Roman" w:eastAsia="宋体" w:cs="Times New Roman"/>
      <w:szCs w:val="24"/>
    </w:rPr>
  </w:style>
  <w:style w:type="character" w:customStyle="1" w:styleId="77">
    <w:name w:val="正文文本 字符"/>
    <w:link w:val="19"/>
    <w:semiHidden/>
    <w:qFormat/>
    <w:uiPriority w:val="99"/>
    <w:rPr>
      <w:kern w:val="2"/>
      <w:sz w:val="21"/>
      <w:szCs w:val="24"/>
    </w:rPr>
  </w:style>
  <w:style w:type="character" w:customStyle="1" w:styleId="78">
    <w:name w:val="HTML 地址 字符"/>
    <w:link w:val="20"/>
    <w:qFormat/>
    <w:uiPriority w:val="0"/>
    <w:rPr>
      <w:rFonts w:ascii="Times New Roman" w:hAnsi="Times New Roman" w:eastAsia="宋体" w:cs="Times New Roman"/>
      <w:i/>
      <w:iCs/>
      <w:szCs w:val="24"/>
    </w:rPr>
  </w:style>
  <w:style w:type="character" w:customStyle="1" w:styleId="79">
    <w:name w:val="纯文本 字符"/>
    <w:link w:val="24"/>
    <w:qFormat/>
    <w:uiPriority w:val="0"/>
    <w:rPr>
      <w:rFonts w:ascii="宋体" w:hAnsi="Courier New"/>
      <w:color w:val="000000"/>
      <w:kern w:val="2"/>
      <w:sz w:val="21"/>
    </w:rPr>
  </w:style>
  <w:style w:type="character" w:customStyle="1" w:styleId="80">
    <w:name w:val="日期 字符"/>
    <w:link w:val="27"/>
    <w:qFormat/>
    <w:uiPriority w:val="0"/>
    <w:rPr>
      <w:rFonts w:ascii="Times New Roman" w:hAnsi="Times New Roman" w:eastAsia="宋体" w:cs="Times New Roman"/>
      <w:szCs w:val="24"/>
    </w:rPr>
  </w:style>
  <w:style w:type="character" w:customStyle="1" w:styleId="81">
    <w:name w:val="尾注文本 字符"/>
    <w:link w:val="28"/>
    <w:semiHidden/>
    <w:qFormat/>
    <w:uiPriority w:val="0"/>
    <w:rPr>
      <w:rFonts w:ascii="Times New Roman" w:hAnsi="Times New Roman" w:eastAsia="宋体" w:cs="Times New Roman"/>
      <w:szCs w:val="24"/>
    </w:rPr>
  </w:style>
  <w:style w:type="character" w:customStyle="1" w:styleId="82">
    <w:name w:val="批注框文本 字符"/>
    <w:link w:val="29"/>
    <w:qFormat/>
    <w:uiPriority w:val="0"/>
    <w:rPr>
      <w:rFonts w:ascii="Times New Roman" w:hAnsi="Times New Roman" w:eastAsia="宋体" w:cs="Times New Roman"/>
      <w:sz w:val="18"/>
      <w:szCs w:val="18"/>
    </w:rPr>
  </w:style>
  <w:style w:type="character" w:customStyle="1" w:styleId="83">
    <w:name w:val="页脚 字符"/>
    <w:link w:val="30"/>
    <w:qFormat/>
    <w:uiPriority w:val="0"/>
    <w:rPr>
      <w:rFonts w:ascii="Times New Roman" w:hAnsi="Times New Roman" w:eastAsia="宋体" w:cs="Times New Roman"/>
      <w:sz w:val="18"/>
      <w:szCs w:val="18"/>
    </w:rPr>
  </w:style>
  <w:style w:type="character" w:customStyle="1" w:styleId="84">
    <w:name w:val="页眉 字符"/>
    <w:link w:val="31"/>
    <w:qFormat/>
    <w:uiPriority w:val="0"/>
    <w:rPr>
      <w:rFonts w:ascii="Times New Roman" w:hAnsi="Times New Roman" w:eastAsia="宋体" w:cs="Times New Roman"/>
      <w:sz w:val="18"/>
      <w:szCs w:val="18"/>
    </w:rPr>
  </w:style>
  <w:style w:type="character" w:customStyle="1" w:styleId="85">
    <w:name w:val="脚注文本 字符"/>
    <w:link w:val="36"/>
    <w:qFormat/>
    <w:uiPriority w:val="0"/>
    <w:rPr>
      <w:rFonts w:ascii="宋体"/>
      <w:kern w:val="2"/>
      <w:sz w:val="18"/>
      <w:szCs w:val="18"/>
    </w:rPr>
  </w:style>
  <w:style w:type="character" w:customStyle="1" w:styleId="86">
    <w:name w:val="HTML 预设格式 字符"/>
    <w:link w:val="42"/>
    <w:qFormat/>
    <w:uiPriority w:val="0"/>
    <w:rPr>
      <w:rFonts w:ascii="Courier New" w:hAnsi="Courier New" w:eastAsia="宋体" w:cs="Courier New"/>
      <w:sz w:val="20"/>
      <w:szCs w:val="20"/>
    </w:rPr>
  </w:style>
  <w:style w:type="character" w:customStyle="1" w:styleId="87">
    <w:name w:val="标题 字符"/>
    <w:link w:val="45"/>
    <w:qFormat/>
    <w:uiPriority w:val="0"/>
    <w:rPr>
      <w:rFonts w:ascii="Arial" w:hAnsi="Arial" w:eastAsia="宋体" w:cs="Arial"/>
      <w:b/>
      <w:bCs/>
      <w:sz w:val="32"/>
      <w:szCs w:val="32"/>
    </w:rPr>
  </w:style>
  <w:style w:type="character" w:customStyle="1" w:styleId="88">
    <w:name w:val="批注主题 字符"/>
    <w:link w:val="46"/>
    <w:semiHidden/>
    <w:qFormat/>
    <w:uiPriority w:val="0"/>
    <w:rPr>
      <w:rFonts w:ascii="Times New Roman" w:hAnsi="Times New Roman" w:eastAsia="宋体" w:cs="Times New Roman"/>
      <w:b/>
      <w:bCs/>
      <w:szCs w:val="24"/>
    </w:rPr>
  </w:style>
  <w:style w:type="character" w:customStyle="1" w:styleId="89">
    <w:name w:val="正文文本首行缩进 字符"/>
    <w:link w:val="47"/>
    <w:qFormat/>
    <w:locked/>
    <w:uiPriority w:val="0"/>
    <w:rPr>
      <w:kern w:val="2"/>
      <w:sz w:val="24"/>
      <w:szCs w:val="24"/>
    </w:rPr>
  </w:style>
  <w:style w:type="paragraph" w:customStyle="1" w:styleId="90">
    <w:name w:val="段"/>
    <w:link w:val="9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91">
    <w:name w:val="段 Char"/>
    <w:link w:val="90"/>
    <w:qFormat/>
    <w:uiPriority w:val="0"/>
    <w:rPr>
      <w:rFonts w:ascii="宋体" w:hAnsi="Times New Roman" w:eastAsia="宋体" w:cs="Times New Roman"/>
      <w:kern w:val="0"/>
      <w:szCs w:val="20"/>
    </w:rPr>
  </w:style>
  <w:style w:type="paragraph" w:customStyle="1" w:styleId="92">
    <w:name w:val="一级条标题"/>
    <w:next w:val="90"/>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9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5">
    <w:name w:val="章标题"/>
    <w:next w:val="90"/>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96">
    <w:name w:val="二级条标题"/>
    <w:basedOn w:val="92"/>
    <w:next w:val="90"/>
    <w:qFormat/>
    <w:uiPriority w:val="0"/>
    <w:pPr>
      <w:numPr>
        <w:ilvl w:val="2"/>
      </w:numPr>
      <w:spacing w:before="50" w:after="50"/>
      <w:outlineLvl w:val="3"/>
    </w:pPr>
  </w:style>
  <w:style w:type="paragraph" w:customStyle="1" w:styleId="9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9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100">
    <w:name w:val="目次、标准名称标题"/>
    <w:basedOn w:val="1"/>
    <w:next w:val="9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1">
    <w:name w:val="三级条标题"/>
    <w:basedOn w:val="96"/>
    <w:next w:val="90"/>
    <w:qFormat/>
    <w:uiPriority w:val="0"/>
    <w:pPr>
      <w:numPr>
        <w:ilvl w:val="3"/>
      </w:numPr>
      <w:outlineLvl w:val="4"/>
    </w:pPr>
  </w:style>
  <w:style w:type="paragraph" w:customStyle="1" w:styleId="102">
    <w:name w:val="示例"/>
    <w:next w:val="10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10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105">
    <w:name w:val="四级条标题"/>
    <w:basedOn w:val="101"/>
    <w:next w:val="90"/>
    <w:qFormat/>
    <w:uiPriority w:val="0"/>
    <w:pPr>
      <w:numPr>
        <w:ilvl w:val="4"/>
      </w:numPr>
      <w:outlineLvl w:val="5"/>
    </w:pPr>
  </w:style>
  <w:style w:type="paragraph" w:customStyle="1" w:styleId="106">
    <w:name w:val="五级条标题"/>
    <w:basedOn w:val="105"/>
    <w:next w:val="90"/>
    <w:qFormat/>
    <w:uiPriority w:val="0"/>
    <w:pPr>
      <w:numPr>
        <w:ilvl w:val="5"/>
      </w:numPr>
      <w:outlineLvl w:val="6"/>
    </w:pPr>
  </w:style>
  <w:style w:type="paragraph" w:customStyle="1" w:styleId="107">
    <w:name w:val="注："/>
    <w:next w:val="90"/>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10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10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10">
    <w:name w:val="列项◆（三级）"/>
    <w:basedOn w:val="1"/>
    <w:qFormat/>
    <w:uiPriority w:val="0"/>
    <w:pPr>
      <w:numPr>
        <w:ilvl w:val="2"/>
        <w:numId w:val="3"/>
      </w:numPr>
    </w:pPr>
    <w:rPr>
      <w:rFonts w:ascii="宋体"/>
      <w:szCs w:val="21"/>
    </w:rPr>
  </w:style>
  <w:style w:type="paragraph" w:customStyle="1" w:styleId="11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12">
    <w:name w:val="示例×："/>
    <w:basedOn w:val="95"/>
    <w:qFormat/>
    <w:uiPriority w:val="0"/>
    <w:pPr>
      <w:numPr>
        <w:numId w:val="8"/>
      </w:numPr>
      <w:spacing w:beforeLines="0" w:afterLines="0"/>
      <w:outlineLvl w:val="9"/>
    </w:pPr>
    <w:rPr>
      <w:rFonts w:ascii="宋体" w:eastAsia="宋体"/>
      <w:sz w:val="18"/>
      <w:szCs w:val="18"/>
    </w:rPr>
  </w:style>
  <w:style w:type="paragraph" w:customStyle="1" w:styleId="113">
    <w:name w:val="二级无"/>
    <w:basedOn w:val="96"/>
    <w:link w:val="114"/>
    <w:qFormat/>
    <w:uiPriority w:val="99"/>
    <w:pPr>
      <w:spacing w:beforeLines="0" w:afterLines="0"/>
    </w:pPr>
    <w:rPr>
      <w:rFonts w:ascii="宋体" w:eastAsia="宋体"/>
    </w:rPr>
  </w:style>
  <w:style w:type="character" w:customStyle="1" w:styleId="114">
    <w:name w:val="二级无 Char"/>
    <w:link w:val="113"/>
    <w:qFormat/>
    <w:locked/>
    <w:uiPriority w:val="99"/>
    <w:rPr>
      <w:rFonts w:ascii="宋体"/>
      <w:sz w:val="21"/>
      <w:szCs w:val="21"/>
    </w:rPr>
  </w:style>
  <w:style w:type="paragraph" w:customStyle="1" w:styleId="115">
    <w:name w:val="注：（正文）"/>
    <w:basedOn w:val="107"/>
    <w:next w:val="90"/>
    <w:qFormat/>
    <w:uiPriority w:val="0"/>
  </w:style>
  <w:style w:type="paragraph" w:customStyle="1" w:styleId="116">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11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0">
    <w:name w:val="标准书眉_偶数页"/>
    <w:basedOn w:val="94"/>
    <w:next w:val="1"/>
    <w:qFormat/>
    <w:uiPriority w:val="0"/>
    <w:pPr>
      <w:jc w:val="left"/>
    </w:pPr>
  </w:style>
  <w:style w:type="paragraph" w:customStyle="1" w:styleId="121">
    <w:name w:val="标准书眉一"/>
    <w:qFormat/>
    <w:uiPriority w:val="0"/>
    <w:pPr>
      <w:jc w:val="both"/>
    </w:pPr>
    <w:rPr>
      <w:rFonts w:ascii="Times New Roman" w:hAnsi="Times New Roman" w:eastAsia="宋体" w:cs="Times New Roman"/>
      <w:lang w:val="en-US" w:eastAsia="zh-CN" w:bidi="ar-SA"/>
    </w:rPr>
  </w:style>
  <w:style w:type="paragraph" w:customStyle="1" w:styleId="122">
    <w:name w:val="参考文献"/>
    <w:basedOn w:val="1"/>
    <w:next w:val="9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参考文献、索引标题"/>
    <w:basedOn w:val="1"/>
    <w:next w:val="90"/>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24">
    <w:name w:val="发布"/>
    <w:qFormat/>
    <w:uiPriority w:val="0"/>
    <w:rPr>
      <w:rFonts w:ascii="黑体" w:eastAsia="黑体"/>
      <w:spacing w:val="85"/>
      <w:w w:val="100"/>
      <w:position w:val="3"/>
      <w:sz w:val="28"/>
      <w:szCs w:val="28"/>
    </w:rPr>
  </w:style>
  <w:style w:type="paragraph" w:customStyle="1" w:styleId="125">
    <w:name w:val="发布部门"/>
    <w:next w:val="9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2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英文名称"/>
    <w:basedOn w:val="129"/>
    <w:qFormat/>
    <w:uiPriority w:val="0"/>
    <w:pPr>
      <w:framePr w:wrap="around"/>
      <w:spacing w:before="370" w:line="400" w:lineRule="exact"/>
    </w:pPr>
    <w:rPr>
      <w:rFonts w:ascii="Times New Roman"/>
      <w:sz w:val="28"/>
      <w:szCs w:val="28"/>
    </w:rPr>
  </w:style>
  <w:style w:type="paragraph" w:customStyle="1" w:styleId="131">
    <w:name w:val="封面一致性程度标识"/>
    <w:basedOn w:val="130"/>
    <w:qFormat/>
    <w:uiPriority w:val="0"/>
    <w:pPr>
      <w:framePr w:wrap="around"/>
      <w:spacing w:before="440"/>
    </w:pPr>
    <w:rPr>
      <w:rFonts w:ascii="宋体" w:eastAsia="宋体"/>
    </w:rPr>
  </w:style>
  <w:style w:type="paragraph" w:customStyle="1" w:styleId="132">
    <w:name w:val="封面标准文稿类别"/>
    <w:basedOn w:val="131"/>
    <w:qFormat/>
    <w:uiPriority w:val="0"/>
    <w:pPr>
      <w:framePr w:wrap="around"/>
      <w:spacing w:after="160" w:line="240" w:lineRule="auto"/>
    </w:pPr>
    <w:rPr>
      <w:sz w:val="24"/>
    </w:rPr>
  </w:style>
  <w:style w:type="paragraph" w:customStyle="1" w:styleId="133">
    <w:name w:val="封面标准文稿编辑信息"/>
    <w:basedOn w:val="132"/>
    <w:qFormat/>
    <w:uiPriority w:val="0"/>
    <w:pPr>
      <w:framePr w:wrap="around"/>
      <w:spacing w:before="180" w:line="180" w:lineRule="exact"/>
    </w:pPr>
    <w:rPr>
      <w:sz w:val="21"/>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标识"/>
    <w:basedOn w:val="1"/>
    <w:next w:val="90"/>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6">
    <w:name w:val="附录标题"/>
    <w:basedOn w:val="90"/>
    <w:next w:val="90"/>
    <w:qFormat/>
    <w:uiPriority w:val="0"/>
    <w:pPr>
      <w:ind w:firstLine="0" w:firstLineChars="0"/>
      <w:jc w:val="center"/>
    </w:pPr>
    <w:rPr>
      <w:rFonts w:ascii="黑体" w:eastAsia="黑体"/>
    </w:rPr>
  </w:style>
  <w:style w:type="paragraph" w:customStyle="1" w:styleId="137">
    <w:name w:val="附录表标号"/>
    <w:basedOn w:val="1"/>
    <w:next w:val="90"/>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138">
    <w:name w:val="附录表标题"/>
    <w:basedOn w:val="1"/>
    <w:next w:val="90"/>
    <w:qFormat/>
    <w:uiPriority w:val="0"/>
    <w:pPr>
      <w:numPr>
        <w:ilvl w:val="1"/>
        <w:numId w:val="11"/>
      </w:numPr>
      <w:tabs>
        <w:tab w:val="left" w:pos="0"/>
        <w:tab w:val="left" w:pos="180"/>
      </w:tabs>
      <w:spacing w:beforeLines="50" w:afterLines="50"/>
      <w:jc w:val="center"/>
    </w:pPr>
    <w:rPr>
      <w:rFonts w:ascii="黑体" w:eastAsia="黑体"/>
      <w:szCs w:val="21"/>
    </w:rPr>
  </w:style>
  <w:style w:type="paragraph" w:customStyle="1" w:styleId="139">
    <w:name w:val="附录二级条标题"/>
    <w:basedOn w:val="1"/>
    <w:next w:val="90"/>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40">
    <w:name w:val="附录二级无"/>
    <w:basedOn w:val="139"/>
    <w:qFormat/>
    <w:uiPriority w:val="0"/>
    <w:pPr>
      <w:tabs>
        <w:tab w:val="clear" w:pos="360"/>
      </w:tabs>
      <w:spacing w:beforeLines="0" w:afterLines="0"/>
    </w:pPr>
    <w:rPr>
      <w:rFonts w:ascii="宋体" w:eastAsia="宋体"/>
      <w:szCs w:val="21"/>
    </w:rPr>
  </w:style>
  <w:style w:type="paragraph" w:customStyle="1" w:styleId="141">
    <w:name w:val="附录公式"/>
    <w:basedOn w:val="90"/>
    <w:next w:val="90"/>
    <w:link w:val="142"/>
    <w:qFormat/>
    <w:uiPriority w:val="0"/>
  </w:style>
  <w:style w:type="character" w:customStyle="1" w:styleId="142">
    <w:name w:val="附录公式 Char"/>
    <w:link w:val="141"/>
    <w:qFormat/>
    <w:uiPriority w:val="0"/>
    <w:rPr>
      <w:rFonts w:ascii="宋体" w:hAnsi="Times New Roman" w:eastAsia="宋体" w:cs="Times New Roman"/>
      <w:kern w:val="0"/>
      <w:szCs w:val="20"/>
    </w:rPr>
  </w:style>
  <w:style w:type="paragraph" w:customStyle="1" w:styleId="143">
    <w:name w:val="附录公式编号制表符"/>
    <w:basedOn w:val="1"/>
    <w:next w:val="90"/>
    <w:qFormat/>
    <w:uiPriority w:val="0"/>
    <w:pPr>
      <w:widowControl/>
      <w:tabs>
        <w:tab w:val="center" w:pos="4201"/>
        <w:tab w:val="right" w:leader="dot" w:pos="9298"/>
      </w:tabs>
      <w:autoSpaceDE w:val="0"/>
      <w:autoSpaceDN w:val="0"/>
    </w:pPr>
    <w:rPr>
      <w:rFonts w:ascii="宋体"/>
      <w:kern w:val="0"/>
      <w:szCs w:val="20"/>
    </w:rPr>
  </w:style>
  <w:style w:type="paragraph" w:customStyle="1" w:styleId="144">
    <w:name w:val="附录三级条标题"/>
    <w:basedOn w:val="139"/>
    <w:next w:val="90"/>
    <w:qFormat/>
    <w:uiPriority w:val="0"/>
    <w:pPr>
      <w:numPr>
        <w:ilvl w:val="4"/>
      </w:numPr>
      <w:outlineLvl w:val="4"/>
    </w:pPr>
  </w:style>
  <w:style w:type="paragraph" w:customStyle="1" w:styleId="145">
    <w:name w:val="附录三级无"/>
    <w:basedOn w:val="144"/>
    <w:qFormat/>
    <w:uiPriority w:val="0"/>
    <w:pPr>
      <w:tabs>
        <w:tab w:val="clear" w:pos="360"/>
      </w:tabs>
      <w:spacing w:beforeLines="0" w:afterLines="0"/>
    </w:pPr>
    <w:rPr>
      <w:rFonts w:ascii="宋体" w:eastAsia="宋体"/>
      <w:szCs w:val="21"/>
    </w:rPr>
  </w:style>
  <w:style w:type="paragraph" w:customStyle="1" w:styleId="14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47">
    <w:name w:val="附录四级条标题"/>
    <w:basedOn w:val="144"/>
    <w:next w:val="90"/>
    <w:qFormat/>
    <w:uiPriority w:val="0"/>
    <w:pPr>
      <w:numPr>
        <w:ilvl w:val="5"/>
      </w:numPr>
      <w:outlineLvl w:val="5"/>
    </w:pPr>
  </w:style>
  <w:style w:type="paragraph" w:customStyle="1" w:styleId="148">
    <w:name w:val="附录四级无"/>
    <w:basedOn w:val="147"/>
    <w:qFormat/>
    <w:uiPriority w:val="0"/>
    <w:pPr>
      <w:tabs>
        <w:tab w:val="clear" w:pos="360"/>
      </w:tabs>
      <w:spacing w:beforeLines="0" w:afterLines="0"/>
    </w:pPr>
    <w:rPr>
      <w:rFonts w:ascii="宋体" w:eastAsia="宋体"/>
      <w:szCs w:val="21"/>
    </w:rPr>
  </w:style>
  <w:style w:type="paragraph" w:customStyle="1" w:styleId="149">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50">
    <w:name w:val="附录图标题"/>
    <w:basedOn w:val="1"/>
    <w:next w:val="90"/>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51">
    <w:name w:val="附录五级条标题"/>
    <w:basedOn w:val="147"/>
    <w:next w:val="90"/>
    <w:qFormat/>
    <w:uiPriority w:val="0"/>
    <w:pPr>
      <w:numPr>
        <w:ilvl w:val="6"/>
      </w:numPr>
      <w:outlineLvl w:val="6"/>
    </w:pPr>
  </w:style>
  <w:style w:type="paragraph" w:customStyle="1" w:styleId="152">
    <w:name w:val="附录五级无"/>
    <w:basedOn w:val="151"/>
    <w:qFormat/>
    <w:uiPriority w:val="0"/>
    <w:pPr>
      <w:tabs>
        <w:tab w:val="clear" w:pos="360"/>
      </w:tabs>
      <w:spacing w:beforeLines="0" w:afterLines="0"/>
    </w:pPr>
    <w:rPr>
      <w:rFonts w:ascii="宋体" w:eastAsia="宋体"/>
      <w:szCs w:val="21"/>
    </w:rPr>
  </w:style>
  <w:style w:type="paragraph" w:customStyle="1" w:styleId="153">
    <w:name w:val="附录章标题"/>
    <w:next w:val="90"/>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54">
    <w:name w:val="附录一级条标题"/>
    <w:basedOn w:val="153"/>
    <w:next w:val="90"/>
    <w:qFormat/>
    <w:uiPriority w:val="0"/>
    <w:pPr>
      <w:numPr>
        <w:ilvl w:val="2"/>
      </w:numPr>
      <w:autoSpaceDN w:val="0"/>
      <w:spacing w:beforeLines="50" w:afterLines="50"/>
      <w:outlineLvl w:val="2"/>
    </w:pPr>
  </w:style>
  <w:style w:type="paragraph" w:customStyle="1" w:styleId="155">
    <w:name w:val="附录一级无"/>
    <w:basedOn w:val="154"/>
    <w:qFormat/>
    <w:uiPriority w:val="0"/>
    <w:pPr>
      <w:tabs>
        <w:tab w:val="clear" w:pos="360"/>
      </w:tabs>
      <w:spacing w:beforeLines="0" w:afterLines="0"/>
    </w:pPr>
    <w:rPr>
      <w:rFonts w:ascii="宋体" w:eastAsia="宋体"/>
      <w:szCs w:val="21"/>
    </w:rPr>
  </w:style>
  <w:style w:type="paragraph" w:customStyle="1" w:styleId="15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5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5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0">
    <w:name w:val="其他标准标志"/>
    <w:basedOn w:val="117"/>
    <w:qFormat/>
    <w:uiPriority w:val="0"/>
    <w:pPr>
      <w:framePr w:w="6101" w:wrap="around" w:vAnchor="page" w:hAnchor="page" w:x="4673" w:y="942"/>
    </w:pPr>
    <w:rPr>
      <w:w w:val="130"/>
    </w:rPr>
  </w:style>
  <w:style w:type="paragraph" w:customStyle="1" w:styleId="16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62">
    <w:name w:val="其他发布部门"/>
    <w:basedOn w:val="125"/>
    <w:qFormat/>
    <w:uiPriority w:val="0"/>
    <w:pPr>
      <w:framePr w:wrap="around" w:y="15310"/>
      <w:spacing w:line="0" w:lineRule="atLeast"/>
    </w:pPr>
    <w:rPr>
      <w:rFonts w:ascii="黑体" w:eastAsia="黑体"/>
      <w:b w:val="0"/>
    </w:rPr>
  </w:style>
  <w:style w:type="paragraph" w:customStyle="1" w:styleId="163">
    <w:name w:val="前言、引言标题"/>
    <w:next w:val="9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4">
    <w:name w:val="三级无"/>
    <w:basedOn w:val="101"/>
    <w:qFormat/>
    <w:uiPriority w:val="99"/>
    <w:pPr>
      <w:spacing w:beforeLines="0" w:afterLines="0"/>
    </w:pPr>
    <w:rPr>
      <w:rFonts w:ascii="宋体" w:eastAsia="宋体"/>
    </w:rPr>
  </w:style>
  <w:style w:type="paragraph" w:customStyle="1" w:styleId="165">
    <w:name w:val="实施日期"/>
    <w:basedOn w:val="126"/>
    <w:qFormat/>
    <w:uiPriority w:val="0"/>
    <w:pPr>
      <w:framePr w:wrap="around" w:vAnchor="page" w:hAnchor="text"/>
      <w:jc w:val="right"/>
    </w:pPr>
  </w:style>
  <w:style w:type="paragraph" w:customStyle="1" w:styleId="166">
    <w:name w:val="示例后文字"/>
    <w:basedOn w:val="90"/>
    <w:next w:val="90"/>
    <w:qFormat/>
    <w:uiPriority w:val="0"/>
    <w:pPr>
      <w:ind w:firstLine="360"/>
    </w:pPr>
    <w:rPr>
      <w:sz w:val="18"/>
    </w:rPr>
  </w:style>
  <w:style w:type="paragraph" w:customStyle="1" w:styleId="167">
    <w:name w:val="首示例"/>
    <w:next w:val="90"/>
    <w:link w:val="16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68">
    <w:name w:val="首示例 Char"/>
    <w:link w:val="167"/>
    <w:qFormat/>
    <w:uiPriority w:val="0"/>
    <w:rPr>
      <w:rFonts w:ascii="宋体" w:hAnsi="宋体"/>
      <w:kern w:val="2"/>
      <w:sz w:val="18"/>
      <w:szCs w:val="18"/>
    </w:rPr>
  </w:style>
  <w:style w:type="paragraph" w:customStyle="1" w:styleId="169">
    <w:name w:val="四级无"/>
    <w:basedOn w:val="105"/>
    <w:qFormat/>
    <w:uiPriority w:val="0"/>
    <w:pPr>
      <w:spacing w:beforeLines="0" w:afterLines="0"/>
    </w:pPr>
    <w:rPr>
      <w:rFonts w:ascii="宋体" w:eastAsia="宋体"/>
    </w:rPr>
  </w:style>
  <w:style w:type="paragraph" w:customStyle="1" w:styleId="170">
    <w:name w:val="条文脚注"/>
    <w:basedOn w:val="36"/>
    <w:qFormat/>
    <w:uiPriority w:val="0"/>
    <w:pPr>
      <w:numPr>
        <w:numId w:val="0"/>
      </w:numPr>
      <w:jc w:val="both"/>
    </w:pPr>
  </w:style>
  <w:style w:type="paragraph" w:customStyle="1" w:styleId="171">
    <w:name w:val="图标脚注说明"/>
    <w:basedOn w:val="90"/>
    <w:qFormat/>
    <w:uiPriority w:val="0"/>
    <w:pPr>
      <w:ind w:left="840" w:hanging="420" w:firstLineChars="0"/>
    </w:pPr>
    <w:rPr>
      <w:sz w:val="18"/>
      <w:szCs w:val="18"/>
    </w:rPr>
  </w:style>
  <w:style w:type="paragraph" w:customStyle="1" w:styleId="172">
    <w:name w:val="图表脚注说明"/>
    <w:basedOn w:val="1"/>
    <w:qFormat/>
    <w:uiPriority w:val="0"/>
    <w:pPr>
      <w:numPr>
        <w:ilvl w:val="0"/>
        <w:numId w:val="15"/>
      </w:numPr>
    </w:pPr>
    <w:rPr>
      <w:rFonts w:ascii="宋体"/>
      <w:sz w:val="18"/>
      <w:szCs w:val="18"/>
    </w:rPr>
  </w:style>
  <w:style w:type="paragraph" w:customStyle="1" w:styleId="173">
    <w:name w:val="图的脚注"/>
    <w:next w:val="9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7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5">
    <w:name w:val="五级无"/>
    <w:basedOn w:val="106"/>
    <w:qFormat/>
    <w:uiPriority w:val="0"/>
    <w:pPr>
      <w:spacing w:beforeLines="0" w:afterLines="0"/>
    </w:pPr>
    <w:rPr>
      <w:rFonts w:ascii="宋体" w:eastAsia="宋体"/>
    </w:rPr>
  </w:style>
  <w:style w:type="paragraph" w:customStyle="1" w:styleId="176">
    <w:name w:val="一级无"/>
    <w:basedOn w:val="92"/>
    <w:qFormat/>
    <w:uiPriority w:val="0"/>
    <w:pPr>
      <w:spacing w:beforeLines="0" w:afterLines="0"/>
    </w:pPr>
    <w:rPr>
      <w:rFonts w:ascii="宋体" w:eastAsia="宋体"/>
    </w:rPr>
  </w:style>
  <w:style w:type="paragraph" w:customStyle="1" w:styleId="177">
    <w:name w:val="正文表标题"/>
    <w:next w:val="90"/>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78">
    <w:name w:val="正文公式编号制表符"/>
    <w:basedOn w:val="90"/>
    <w:next w:val="90"/>
    <w:qFormat/>
    <w:uiPriority w:val="0"/>
    <w:pPr>
      <w:ind w:firstLine="0" w:firstLineChars="0"/>
    </w:pPr>
  </w:style>
  <w:style w:type="paragraph" w:customStyle="1" w:styleId="179">
    <w:name w:val="正文图标题"/>
    <w:next w:val="90"/>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80">
    <w:name w:val="终结线"/>
    <w:basedOn w:val="1"/>
    <w:qFormat/>
    <w:uiPriority w:val="0"/>
    <w:pPr>
      <w:framePr w:hSpace="181" w:vSpace="181" w:wrap="around" w:vAnchor="text" w:hAnchor="margin" w:xAlign="center" w:y="285"/>
    </w:pPr>
  </w:style>
  <w:style w:type="paragraph" w:customStyle="1" w:styleId="181">
    <w:name w:val="其他发布日期"/>
    <w:basedOn w:val="126"/>
    <w:qFormat/>
    <w:uiPriority w:val="0"/>
    <w:pPr>
      <w:framePr w:wrap="around" w:vAnchor="page" w:hAnchor="text" w:x="1419"/>
    </w:pPr>
  </w:style>
  <w:style w:type="paragraph" w:customStyle="1" w:styleId="182">
    <w:name w:val="其他实施日期"/>
    <w:basedOn w:val="165"/>
    <w:qFormat/>
    <w:uiPriority w:val="0"/>
    <w:pPr>
      <w:framePr w:wrap="around"/>
    </w:pPr>
  </w:style>
  <w:style w:type="paragraph" w:customStyle="1" w:styleId="183">
    <w:name w:val="封面标准名称2"/>
    <w:basedOn w:val="129"/>
    <w:qFormat/>
    <w:uiPriority w:val="0"/>
    <w:pPr>
      <w:framePr w:wrap="around" w:y="4469"/>
      <w:spacing w:beforeLines="630"/>
    </w:pPr>
  </w:style>
  <w:style w:type="paragraph" w:customStyle="1" w:styleId="184">
    <w:name w:val="封面标准英文名称2"/>
    <w:basedOn w:val="130"/>
    <w:qFormat/>
    <w:uiPriority w:val="0"/>
    <w:pPr>
      <w:framePr w:wrap="around" w:y="4469"/>
    </w:pPr>
  </w:style>
  <w:style w:type="paragraph" w:customStyle="1" w:styleId="185">
    <w:name w:val="封面一致性程度标识2"/>
    <w:basedOn w:val="131"/>
    <w:qFormat/>
    <w:uiPriority w:val="0"/>
    <w:pPr>
      <w:framePr w:wrap="around" w:y="4469"/>
    </w:pPr>
  </w:style>
  <w:style w:type="paragraph" w:customStyle="1" w:styleId="186">
    <w:name w:val="封面标准文稿类别2"/>
    <w:basedOn w:val="132"/>
    <w:qFormat/>
    <w:uiPriority w:val="0"/>
    <w:pPr>
      <w:framePr w:wrap="around" w:y="4469"/>
    </w:pPr>
  </w:style>
  <w:style w:type="paragraph" w:customStyle="1" w:styleId="187">
    <w:name w:val="封面标准文稿编辑信息2"/>
    <w:basedOn w:val="133"/>
    <w:qFormat/>
    <w:uiPriority w:val="0"/>
    <w:pPr>
      <w:framePr w:wrap="around" w:y="4469"/>
    </w:pPr>
  </w:style>
  <w:style w:type="paragraph" w:customStyle="1" w:styleId="188">
    <w:name w:val="图表脚注"/>
    <w:next w:val="9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89">
    <w:name w:val="二级无标题条"/>
    <w:basedOn w:val="1"/>
    <w:qFormat/>
    <w:uiPriority w:val="0"/>
    <w:pPr>
      <w:numPr>
        <w:ilvl w:val="3"/>
        <w:numId w:val="4"/>
      </w:numPr>
    </w:pPr>
  </w:style>
  <w:style w:type="character" w:customStyle="1" w:styleId="190">
    <w:name w:val="个人答复风格"/>
    <w:qFormat/>
    <w:uiPriority w:val="0"/>
    <w:rPr>
      <w:rFonts w:ascii="Arial" w:hAnsi="Arial" w:eastAsia="宋体" w:cs="Arial"/>
      <w:color w:val="auto"/>
      <w:sz w:val="20"/>
    </w:rPr>
  </w:style>
  <w:style w:type="character" w:customStyle="1" w:styleId="191">
    <w:name w:val="个人撰写风格"/>
    <w:qFormat/>
    <w:uiPriority w:val="0"/>
    <w:rPr>
      <w:rFonts w:ascii="Arial" w:hAnsi="Arial" w:eastAsia="宋体" w:cs="Arial"/>
      <w:color w:val="auto"/>
      <w:sz w:val="20"/>
    </w:rPr>
  </w:style>
  <w:style w:type="paragraph" w:customStyle="1" w:styleId="192">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93">
    <w:name w:val="列项·"/>
    <w:qFormat/>
    <w:uiPriority w:val="0"/>
    <w:pPr>
      <w:tabs>
        <w:tab w:val="left" w:pos="0"/>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94">
    <w:name w:val="三级无标题条"/>
    <w:basedOn w:val="1"/>
    <w:qFormat/>
    <w:uiPriority w:val="0"/>
    <w:pPr>
      <w:numPr>
        <w:ilvl w:val="4"/>
        <w:numId w:val="6"/>
      </w:numPr>
    </w:pPr>
  </w:style>
  <w:style w:type="paragraph" w:customStyle="1" w:styleId="195">
    <w:name w:val="四级无标题条"/>
    <w:basedOn w:val="1"/>
    <w:qFormat/>
    <w:uiPriority w:val="0"/>
    <w:pPr>
      <w:numPr>
        <w:ilvl w:val="5"/>
        <w:numId w:val="7"/>
      </w:numPr>
    </w:pPr>
  </w:style>
  <w:style w:type="paragraph" w:customStyle="1" w:styleId="196">
    <w:name w:val="无标题条"/>
    <w:next w:val="90"/>
    <w:qFormat/>
    <w:uiPriority w:val="0"/>
    <w:pPr>
      <w:jc w:val="both"/>
    </w:pPr>
    <w:rPr>
      <w:rFonts w:ascii="Times New Roman" w:hAnsi="Times New Roman" w:eastAsia="宋体" w:cs="Times New Roman"/>
      <w:sz w:val="21"/>
      <w:lang w:val="en-US" w:eastAsia="zh-CN" w:bidi="ar-SA"/>
    </w:rPr>
  </w:style>
  <w:style w:type="paragraph" w:customStyle="1" w:styleId="197">
    <w:name w:val="五级无标题条"/>
    <w:basedOn w:val="1"/>
    <w:qFormat/>
    <w:uiPriority w:val="0"/>
    <w:pPr>
      <w:numPr>
        <w:ilvl w:val="6"/>
        <w:numId w:val="3"/>
      </w:numPr>
    </w:pPr>
  </w:style>
  <w:style w:type="paragraph" w:customStyle="1" w:styleId="198">
    <w:name w:val="一级无标题条"/>
    <w:basedOn w:val="1"/>
    <w:qFormat/>
    <w:uiPriority w:val="0"/>
    <w:pPr>
      <w:numPr>
        <w:ilvl w:val="2"/>
        <w:numId w:val="9"/>
      </w:numPr>
    </w:pPr>
  </w:style>
  <w:style w:type="character" w:customStyle="1" w:styleId="199">
    <w:name w:val="附录章标题 Char"/>
    <w:qFormat/>
    <w:uiPriority w:val="0"/>
    <w:rPr>
      <w:rFonts w:ascii="黑体" w:eastAsia="黑体"/>
      <w:kern w:val="21"/>
      <w:sz w:val="21"/>
      <w:lang w:val="en-US" w:eastAsia="zh-CN" w:bidi="ar-SA"/>
    </w:rPr>
  </w:style>
  <w:style w:type="character" w:customStyle="1" w:styleId="200">
    <w:name w:val="附录一级条标题 Char"/>
    <w:qFormat/>
    <w:uiPriority w:val="0"/>
    <w:rPr>
      <w:rFonts w:ascii="黑体" w:eastAsia="黑体"/>
      <w:kern w:val="21"/>
      <w:sz w:val="21"/>
      <w:lang w:val="en-US" w:eastAsia="zh-CN" w:bidi="ar-SA"/>
    </w:rPr>
  </w:style>
  <w:style w:type="table" w:customStyle="1" w:styleId="201">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2">
    <w:name w:val="Char Char Char Char Char Char Char Char Char Char Char Char"/>
    <w:basedOn w:val="1"/>
    <w:qFormat/>
    <w:uiPriority w:val="0"/>
    <w:pPr>
      <w:widowControl/>
      <w:spacing w:after="160" w:line="240" w:lineRule="exact"/>
      <w:jc w:val="left"/>
    </w:pPr>
    <w:rPr>
      <w:rFonts w:ascii="黑体" w:hAnsi="Verdana" w:eastAsia="黑体"/>
      <w:kern w:val="0"/>
      <w:szCs w:val="21"/>
      <w:lang w:eastAsia="en-US"/>
    </w:rPr>
  </w:style>
  <w:style w:type="paragraph" w:customStyle="1" w:styleId="20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04">
    <w:name w:val="bluetxt1"/>
    <w:basedOn w:val="50"/>
    <w:qFormat/>
    <w:uiPriority w:val="0"/>
  </w:style>
  <w:style w:type="paragraph" w:customStyle="1" w:styleId="205">
    <w:name w:val="列出段落1"/>
    <w:basedOn w:val="1"/>
    <w:qFormat/>
    <w:uiPriority w:val="0"/>
    <w:pPr>
      <w:ind w:firstLine="420" w:firstLineChars="200"/>
    </w:pPr>
    <w:rPr>
      <w:rFonts w:ascii="Calibri" w:hAnsi="Calibri"/>
      <w:szCs w:val="22"/>
    </w:rPr>
  </w:style>
  <w:style w:type="paragraph" w:styleId="206">
    <w:name w:val="List Paragraph"/>
    <w:basedOn w:val="1"/>
    <w:qFormat/>
    <w:uiPriority w:val="34"/>
    <w:pPr>
      <w:ind w:firstLine="420" w:firstLineChars="200"/>
    </w:pPr>
    <w:rPr>
      <w:rFonts w:ascii="Calibri" w:hAnsi="Calibri"/>
      <w:szCs w:val="22"/>
    </w:rPr>
  </w:style>
  <w:style w:type="paragraph" w:customStyle="1" w:styleId="207">
    <w:name w:val="默认段落字体 Para Char Char Char Char"/>
    <w:basedOn w:val="1"/>
    <w:qFormat/>
    <w:uiPriority w:val="0"/>
  </w:style>
  <w:style w:type="character" w:customStyle="1" w:styleId="208">
    <w:name w:val="label"/>
    <w:basedOn w:val="50"/>
    <w:qFormat/>
    <w:uiPriority w:val="0"/>
  </w:style>
  <w:style w:type="character" w:customStyle="1" w:styleId="209">
    <w:name w:val="text-success"/>
    <w:basedOn w:val="50"/>
    <w:qFormat/>
    <w:uiPriority w:val="0"/>
  </w:style>
  <w:style w:type="character" w:customStyle="1" w:styleId="210">
    <w:name w:val="fontstyle01"/>
    <w:qFormat/>
    <w:uiPriority w:val="0"/>
    <w:rPr>
      <w:rFonts w:hint="eastAsia" w:ascii="宋体" w:hAnsi="宋体" w:eastAsia="宋体"/>
      <w:color w:val="000000"/>
      <w:sz w:val="22"/>
      <w:szCs w:val="22"/>
    </w:rPr>
  </w:style>
  <w:style w:type="character" w:customStyle="1" w:styleId="211">
    <w:name w:val="fontstyle21"/>
    <w:qFormat/>
    <w:uiPriority w:val="0"/>
    <w:rPr>
      <w:rFonts w:hint="eastAsia" w:ascii="宋体" w:hAnsi="宋体" w:eastAsia="宋体"/>
      <w:color w:val="000000"/>
      <w:sz w:val="22"/>
      <w:szCs w:val="22"/>
    </w:rPr>
  </w:style>
  <w:style w:type="character" w:customStyle="1" w:styleId="212">
    <w:name w:val="fontstyle31"/>
    <w:qFormat/>
    <w:uiPriority w:val="0"/>
    <w:rPr>
      <w:rFonts w:hint="default" w:ascii="TimesNewRomanPSMT" w:hAnsi="TimesNewRomanPSMT"/>
      <w:color w:val="000000"/>
      <w:sz w:val="22"/>
      <w:szCs w:val="22"/>
    </w:rPr>
  </w:style>
  <w:style w:type="character" w:customStyle="1" w:styleId="213">
    <w:name w:val="fontstyle41"/>
    <w:qFormat/>
    <w:uiPriority w:val="0"/>
    <w:rPr>
      <w:rFonts w:hint="default" w:ascii="TimesNewRomanPS-BoldMT" w:hAnsi="TimesNewRomanPS-BoldMT"/>
      <w:b/>
      <w:bCs/>
      <w:color w:val="000000"/>
      <w:sz w:val="22"/>
      <w:szCs w:val="22"/>
    </w:rPr>
  </w:style>
  <w:style w:type="character" w:customStyle="1" w:styleId="214">
    <w:name w:val="fontstyle51"/>
    <w:qFormat/>
    <w:uiPriority w:val="0"/>
    <w:rPr>
      <w:rFonts w:hint="default" w:ascii="ArialNarrow" w:hAnsi="ArialNarrow"/>
      <w:color w:val="050505"/>
      <w:sz w:val="22"/>
      <w:szCs w:val="22"/>
    </w:rPr>
  </w:style>
  <w:style w:type="character" w:customStyle="1" w:styleId="215">
    <w:name w:val="正文首行缩进 Char"/>
    <w:semiHidden/>
    <w:qFormat/>
    <w:uiPriority w:val="99"/>
    <w:rPr>
      <w:kern w:val="2"/>
      <w:sz w:val="21"/>
      <w:szCs w:val="24"/>
    </w:rPr>
  </w:style>
  <w:style w:type="character" w:customStyle="1" w:styleId="216">
    <w:name w:val="font61"/>
    <w:qFormat/>
    <w:uiPriority w:val="0"/>
    <w:rPr>
      <w:rFonts w:hint="eastAsia" w:ascii="宋体" w:hAnsi="宋体" w:eastAsia="宋体" w:cs="宋体"/>
      <w:color w:val="000000"/>
      <w:sz w:val="18"/>
      <w:szCs w:val="18"/>
      <w:u w:val="none"/>
      <w:vertAlign w:val="superscript"/>
    </w:rPr>
  </w:style>
  <w:style w:type="character" w:customStyle="1" w:styleId="217">
    <w:name w:val="font71"/>
    <w:qFormat/>
    <w:uiPriority w:val="0"/>
    <w:rPr>
      <w:rFonts w:hint="default" w:ascii="Times New Roman" w:hAnsi="Times New Roman" w:cs="Times New Roman"/>
      <w:color w:val="000000"/>
      <w:sz w:val="18"/>
      <w:szCs w:val="18"/>
      <w:u w:val="none"/>
      <w:vertAlign w:val="superscript"/>
    </w:rPr>
  </w:style>
  <w:style w:type="character" w:customStyle="1" w:styleId="218">
    <w:name w:val="font31"/>
    <w:qFormat/>
    <w:uiPriority w:val="0"/>
    <w:rPr>
      <w:rFonts w:hint="default" w:ascii="Times New Roman" w:hAnsi="Times New Roman" w:cs="Times New Roman"/>
      <w:color w:val="000000"/>
      <w:sz w:val="18"/>
      <w:szCs w:val="18"/>
      <w:u w:val="none"/>
    </w:rPr>
  </w:style>
  <w:style w:type="character" w:customStyle="1" w:styleId="219">
    <w:name w:val="font41"/>
    <w:qFormat/>
    <w:uiPriority w:val="0"/>
    <w:rPr>
      <w:rFonts w:hint="eastAsia" w:ascii="宋体" w:hAnsi="宋体" w:eastAsia="宋体" w:cs="宋体"/>
      <w:color w:val="000000"/>
      <w:sz w:val="21"/>
      <w:szCs w:val="21"/>
      <w:u w:val="none"/>
    </w:rPr>
  </w:style>
  <w:style w:type="character" w:customStyle="1" w:styleId="220">
    <w:name w:val="font81"/>
    <w:qFormat/>
    <w:uiPriority w:val="0"/>
    <w:rPr>
      <w:rFonts w:hint="default" w:ascii="Times New Roman" w:hAnsi="Times New Roman" w:cs="Times New Roman"/>
      <w:color w:val="000000"/>
      <w:sz w:val="18"/>
      <w:szCs w:val="18"/>
      <w:u w:val="none"/>
    </w:rPr>
  </w:style>
  <w:style w:type="character" w:customStyle="1" w:styleId="221">
    <w:name w:val="font11"/>
    <w:qFormat/>
    <w:uiPriority w:val="0"/>
    <w:rPr>
      <w:rFonts w:hint="eastAsia" w:ascii="宋体" w:hAnsi="宋体" w:eastAsia="宋体" w:cs="宋体"/>
      <w:color w:val="000000"/>
      <w:sz w:val="18"/>
      <w:szCs w:val="18"/>
      <w:u w:val="none"/>
    </w:rPr>
  </w:style>
  <w:style w:type="character" w:customStyle="1" w:styleId="222">
    <w:name w:val="font91"/>
    <w:qFormat/>
    <w:uiPriority w:val="0"/>
    <w:rPr>
      <w:rFonts w:hint="eastAsia" w:ascii="宋体" w:hAnsi="宋体" w:eastAsia="宋体" w:cs="宋体"/>
      <w:color w:val="000000"/>
      <w:sz w:val="18"/>
      <w:szCs w:val="18"/>
      <w:u w:val="none"/>
      <w:vertAlign w:val="subscript"/>
    </w:rPr>
  </w:style>
  <w:style w:type="character" w:customStyle="1" w:styleId="223">
    <w:name w:val="font101"/>
    <w:qFormat/>
    <w:uiPriority w:val="0"/>
    <w:rPr>
      <w:rFonts w:hint="eastAsia" w:ascii="宋体" w:hAnsi="宋体" w:eastAsia="宋体" w:cs="宋体"/>
      <w:color w:val="000000"/>
      <w:sz w:val="21"/>
      <w:szCs w:val="21"/>
      <w:u w:val="none"/>
      <w:vertAlign w:val="superscript"/>
    </w:rPr>
  </w:style>
  <w:style w:type="paragraph" w:customStyle="1" w:styleId="224">
    <w:name w:val="修订1"/>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0D6D5-D0F6-4849-8F69-5A63987D73D4}">
  <ds:schemaRefs/>
</ds:datastoreItem>
</file>

<file path=docProps/app.xml><?xml version="1.0" encoding="utf-8"?>
<Properties xmlns="http://schemas.openxmlformats.org/officeDocument/2006/extended-properties" xmlns:vt="http://schemas.openxmlformats.org/officeDocument/2006/docPropsVTypes">
  <Template>Normal</Template>
  <Pages>14</Pages>
  <Words>6442</Words>
  <Characters>7798</Characters>
  <Lines>65</Lines>
  <Paragraphs>18</Paragraphs>
  <TotalTime>88</TotalTime>
  <ScaleCrop>false</ScaleCrop>
  <LinksUpToDate>false</LinksUpToDate>
  <CharactersWithSpaces>8257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2022-12-20T07:26:00Z</dcterms:created>
  <dc:creator>袁桃静</dc:creator>
  <cp:lastModifiedBy>综合业务部</cp:lastModifiedBy>
  <cp:lastPrinted>2022-10-13T01:10:00Z</cp:lastPrinted>
  <dcterms:modified xsi:type="dcterms:W3CDTF">2023-02-17T01:59:16Z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MTWinEqns">
    <vt:bool>true</vt:bool>
  </property>
  <property fmtid="{D5CDD505-2E9C-101B-9397-08002B2CF9AE}" pid="4" name="ICV">
    <vt:lpwstr>8F4BADCC9D5443628087E8763165E48D</vt:lpwstr>
  </property>
</Properties>
</file>