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67.22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67.220.20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2"/>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default w:val="CNLIC"/>
                          <w:maxLength w:val="7"/>
                        </w:textInput>
                      </w:ffData>
                    </w:fldChar>
                  </w:r>
                  <w:bookmarkStart w:id="1" w:name="c1"/>
                  <w:r>
                    <w:instrText xml:space="preserve"> FORMTEXT </w:instrText>
                  </w:r>
                  <w:r>
                    <w:fldChar w:fldCharType="separate"/>
                  </w:r>
                  <w:r>
                    <w:t>CNLIC</w:t>
                  </w:r>
                  <w:r>
                    <w:fldChar w:fldCharType="end"/>
                  </w:r>
                  <w:bookmarkEnd w:id="1"/>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X38"/>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X38</w:t>
            </w:r>
            <w:r>
              <w:rPr>
                <w:rFonts w:ascii="黑体" w:hAnsi="黑体" w:eastAsia="黑体"/>
                <w:sz w:val="21"/>
                <w:szCs w:val="21"/>
              </w:rPr>
              <w:fldChar w:fldCharType="end"/>
            </w:r>
            <w:bookmarkEnd w:id="2"/>
          </w:p>
        </w:tc>
      </w:tr>
    </w:tbl>
    <w:p>
      <w:pPr>
        <w:pStyle w:val="53"/>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8"/>
      </w:pPr>
      <w:r>
        <w:t>T/</w:t>
      </w:r>
      <w:r>
        <w:fldChar w:fldCharType="begin">
          <w:ffData>
            <w:name w:val="文字1"/>
            <w:enabled/>
            <w:calcOnExit w:val="0"/>
            <w:textInput>
              <w:default w:val="CNLIC"/>
            </w:textInput>
          </w:ffData>
        </w:fldChar>
      </w:r>
      <w:bookmarkStart w:id="4" w:name="文字1"/>
      <w:r>
        <w:instrText xml:space="preserve"> FORMTEXT </w:instrText>
      </w:r>
      <w:r>
        <w:fldChar w:fldCharType="separate"/>
      </w:r>
      <w:r>
        <w:t>CNLIC</w:t>
      </w:r>
      <w:r>
        <w:fldChar w:fldCharType="end"/>
      </w:r>
      <w:bookmarkEnd w:id="4"/>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2022"/>
            </w:textInput>
          </w:ffData>
        </w:fldChar>
      </w:r>
      <w:bookmarkStart w:id="6" w:name="NSTD_CODE_B"/>
      <w:r>
        <w:instrText xml:space="preserve"> FORMTEXT </w:instrText>
      </w:r>
      <w:r>
        <w:fldChar w:fldCharType="separate"/>
      </w:r>
      <w:r>
        <w:t>2022</w:t>
      </w:r>
      <w:r>
        <w:fldChar w:fldCharType="end"/>
      </w:r>
      <w:bookmarkEnd w:id="6"/>
    </w:p>
    <w:p>
      <w:pPr>
        <w:pStyle w:val="199"/>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5" name="直线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连接符 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g0mW2AAAAAwBAAAPAAAAAAAAAAEAIAAAACIAAABkcnMvZG93bnJldi54bWxQSwECFAAUAAAA&#10;CACHTuJAjiPw3O4BAADYAwAADgAAAAAAAAABACAAAAAnAQAAZHJzL2Uyb0RvYy54bWxQSwUGAAAA&#10;AAYABgBZAQAAhwUAAAAA&#10;">
                <v:fill on="f" focussize="0,0"/>
                <v:stroke color="#000000" joinstyle="round"/>
                <v:imagedata o:title=""/>
                <o:lock v:ext="edit" aspectratio="f"/>
              </v:line>
            </w:pict>
          </mc:Fallback>
        </mc:AlternateContent>
      </w:r>
    </w:p>
    <w:p>
      <w:pPr>
        <w:pStyle w:val="53"/>
        <w:framePr w:w="9639" w:h="6976" w:hRule="exact" w:hSpace="0" w:vSpace="0" w:wrap="around" w:hAnchor="page" w:y="6408"/>
        <w:jc w:val="center"/>
        <w:rPr>
          <w:rFonts w:ascii="黑体" w:hAnsi="黑体" w:eastAsia="黑体"/>
          <w:b w:val="0"/>
          <w:bCs w:val="0"/>
          <w:w w:val="100"/>
        </w:rPr>
      </w:pPr>
    </w:p>
    <w:p>
      <w:pPr>
        <w:pStyle w:val="200"/>
        <w:framePr w:h="6974" w:hRule="exact" w:wrap="around" w:x="1419" w:anchorLock="1"/>
      </w:pPr>
      <w:r>
        <w:fldChar w:fldCharType="begin">
          <w:ffData>
            <w:name w:val="CSTD_NAME"/>
            <w:enabled/>
            <w:calcOnExit w:val="0"/>
            <w:textInput>
              <w:default w:val="生态井矿盐评价技术规范"/>
            </w:textInput>
          </w:ffData>
        </w:fldChar>
      </w:r>
      <w:bookmarkStart w:id="8" w:name="CSTD_NAME"/>
      <w:r>
        <w:instrText xml:space="preserve"> FORMTEXT </w:instrText>
      </w:r>
      <w:r>
        <w:fldChar w:fldCharType="separate"/>
      </w:r>
      <w:r>
        <w:t>生态井矿盐评价技术规范</w:t>
      </w:r>
      <w:r>
        <w:fldChar w:fldCharType="end"/>
      </w:r>
      <w:bookmarkEnd w:id="8"/>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Technical specification for evaluation of ecological well and rock salt "/>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 xml:space="preserve">Technical specification for evaluation of ecological well and rock salt </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6"/>
        <w:framePr w:wrap="around" w:y="14176"/>
      </w:pPr>
      <w:r>
        <w:rPr>
          <w:rFonts w:ascii="黑体"/>
        </w:rPr>
        <w:fldChar w:fldCharType="begin">
          <w:ffData>
            <w:name w:val="PLSH_DATE_Y"/>
            <w:enabled/>
            <w:calcOnExit w:val="0"/>
            <w:textInput>
              <w:default w:val="2022"/>
              <w:maxLength w:val="4"/>
            </w:textInput>
          </w:ffData>
        </w:fldChar>
      </w:r>
      <w:bookmarkStart w:id="13" w:name="PLSH_DATE_Y"/>
      <w:r>
        <w:rPr>
          <w:rFonts w:ascii="黑体"/>
        </w:rPr>
        <w:instrText xml:space="preserve"> FORMTEXT </w:instrText>
      </w:r>
      <w:r>
        <w:rPr>
          <w:rFonts w:ascii="黑体"/>
        </w:rPr>
        <w:fldChar w:fldCharType="separate"/>
      </w:r>
      <w:r>
        <w:rPr>
          <w:rFonts w:ascii="黑体"/>
        </w:rPr>
        <w:t>2022</w:t>
      </w:r>
      <w:r>
        <w:rPr>
          <w:rFonts w:ascii="黑体"/>
        </w:rPr>
        <w:fldChar w:fldCharType="end"/>
      </w:r>
      <w:bookmarkEnd w:id="13"/>
      <w:r>
        <w:rPr>
          <w:rFonts w:ascii="黑体"/>
        </w:rPr>
        <w:t>-</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ascii="黑体"/>
        </w:rPr>
        <w:t>-</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7"/>
        <w:framePr w:wrap="around" w:y="14176"/>
      </w:pPr>
      <w:r>
        <w:rPr>
          <w:rFonts w:ascii="黑体"/>
        </w:rPr>
        <w:fldChar w:fldCharType="begin">
          <w:ffData>
            <w:name w:val="CROT_DATE_Y"/>
            <w:enabled/>
            <w:calcOnExit w:val="0"/>
            <w:textInput>
              <w:default w:val="2022"/>
              <w:maxLength w:val="4"/>
            </w:textInput>
          </w:ffData>
        </w:fldChar>
      </w:r>
      <w:bookmarkStart w:id="16" w:name="CROT_DATE_Y"/>
      <w:r>
        <w:rPr>
          <w:rFonts w:ascii="黑体"/>
        </w:rPr>
        <w:instrText xml:space="preserve"> FORMTEXT </w:instrText>
      </w:r>
      <w:r>
        <w:rPr>
          <w:rFonts w:ascii="黑体"/>
        </w:rPr>
        <w:fldChar w:fldCharType="separate"/>
      </w:r>
      <w:r>
        <w:rPr>
          <w:rFonts w:ascii="黑体"/>
        </w:rPr>
        <w:t>2022</w:t>
      </w:r>
      <w:r>
        <w:rPr>
          <w:rFonts w:ascii="黑体"/>
        </w:rPr>
        <w:fldChar w:fldCharType="end"/>
      </w:r>
      <w:bookmarkEnd w:id="16"/>
      <w:r>
        <w:rPr>
          <w:rFonts w:ascii="黑体"/>
        </w:rPr>
        <w:t>-</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ascii="黑体"/>
        </w:rPr>
        <w:t>-</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4"/>
        <w:framePr w:h="584" w:hRule="exact" w:hSpace="181" w:vSpace="181" w:wrap="around" w:y="14800"/>
        <w:rPr>
          <w:rFonts w:hAnsi="黑体"/>
        </w:rPr>
      </w:pPr>
      <w:r>
        <w:rPr>
          <w:rFonts w:hAnsi="黑体"/>
          <w:w w:val="100"/>
          <w:sz w:val="28"/>
        </w:rPr>
        <w:fldChar w:fldCharType="begin">
          <w:ffData>
            <w:name w:val="fm"/>
            <w:enabled/>
            <w:calcOnExit w:val="0"/>
            <w:textInput>
              <w:default w:val="中国轻工业联合会"/>
            </w:textInput>
          </w:ffData>
        </w:fldChar>
      </w:r>
      <w:bookmarkStart w:id="19" w:name="fm"/>
      <w:r>
        <w:rPr>
          <w:rFonts w:hAnsi="黑体"/>
          <w:w w:val="100"/>
          <w:sz w:val="28"/>
        </w:rPr>
        <w:instrText xml:space="preserve"> FORMTEXT </w:instrText>
      </w:r>
      <w:r>
        <w:rPr>
          <w:rFonts w:hAnsi="黑体"/>
          <w:w w:val="100"/>
          <w:sz w:val="28"/>
        </w:rPr>
        <w:fldChar w:fldCharType="separate"/>
      </w:r>
      <w:r>
        <w:rPr>
          <w:rFonts w:hAnsi="黑体"/>
          <w:w w:val="100"/>
          <w:sz w:val="28"/>
        </w:rPr>
        <w:t>中国轻工业联合会</w:t>
      </w:r>
      <w:r>
        <w:rPr>
          <w:rFonts w:hAnsi="黑体"/>
          <w:w w:val="100"/>
          <w:sz w:val="28"/>
        </w:rPr>
        <w:fldChar w:fldCharType="end"/>
      </w:r>
      <w:bookmarkEnd w:id="19"/>
      <w:r>
        <w:rPr>
          <w:rFonts w:ascii="Times New Roman"/>
          <w:w w:val="100"/>
          <w:sz w:val="28"/>
        </w:rPr>
        <w:t>  </w:t>
      </w:r>
      <w:r>
        <w:rPr>
          <w:rStyle w:val="232"/>
          <w:rFonts w:hint="eastAsia" w:hAnsi="黑体"/>
          <w:position w:val="0"/>
        </w:rPr>
        <w:t>发</w:t>
      </w:r>
      <w:r>
        <w:rPr>
          <w:rStyle w:val="232"/>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6" name="直线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szHPvXAAAADgEAAA8AAAAAAAAAAQAgAAAAIgAAAGRycy9kb3ducmV2LnhtbFBLAQIUABQAAAAI&#10;AIdO4kDQ43RA7gEAANgDAAAOAAAAAAAAAAEAIAAAACYBAABkcnMvZTJvRG9jLnhtbFBLBQYAAAAA&#10;BgAGAFkBAACGBQAAAAA=&#10;">
                <v:fill on="f" focussize="0,0"/>
                <v:stroke color="#000000" joinstyle="round"/>
                <v:imagedata o:title=""/>
                <o:lock v:ext="edit" aspectratio="f"/>
                <w10:anchorlock/>
              </v:line>
            </w:pict>
          </mc:Fallback>
        </mc:AlternateContent>
      </w:r>
    </w:p>
    <w:p>
      <w:pPr>
        <w:pStyle w:val="94"/>
        <w:spacing w:after="360"/>
        <w:rPr>
          <w:rFonts w:hint="eastAsia"/>
        </w:rPr>
      </w:pPr>
      <w:bookmarkStart w:id="20" w:name="BookMark1"/>
      <w:bookmarkStart w:id="21" w:name="_Toc118454868"/>
      <w:bookmarkStart w:id="22" w:name="_Toc100661398"/>
      <w:bookmarkStart w:id="23" w:name="_Toc100734542"/>
      <w:bookmarkStart w:id="24" w:name="_Toc95465648"/>
      <w:bookmarkStart w:id="25" w:name="_Toc97222811"/>
      <w:bookmarkStart w:id="26" w:name="_Toc97277112"/>
      <w:bookmarkStart w:id="27" w:name="_Toc95154276"/>
      <w:bookmarkStart w:id="28" w:name="_Toc97218252"/>
      <w:bookmarkStart w:id="29" w:name="_Toc100738076"/>
      <w:bookmarkStart w:id="30" w:name="_Toc97222490"/>
      <w:bookmarkStart w:id="31" w:name="_Toc97222374"/>
      <w:bookmarkStart w:id="32" w:name="_Toc95155211"/>
      <w:r>
        <w:rPr>
          <w:rFonts w:hint="eastAsia"/>
          <w:spacing w:val="320"/>
        </w:rPr>
        <w:t>目</w:t>
      </w:r>
      <w:r>
        <w:rPr>
          <w:rFonts w:hint="eastAsia"/>
        </w:rPr>
        <w:t>次</w:t>
      </w:r>
    </w:p>
    <w:p>
      <w:pPr>
        <w:pStyle w:val="20"/>
        <w:tabs>
          <w:tab w:val="right" w:leader="dot" w:pos="9354"/>
        </w:tabs>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_Toc16722 </w:instrText>
      </w:r>
      <w:r>
        <w:fldChar w:fldCharType="separate"/>
      </w:r>
      <w:r>
        <w:rPr>
          <w:spacing w:val="320"/>
        </w:rPr>
        <w:t>前</w:t>
      </w:r>
      <w:r>
        <w:t>言</w:t>
      </w:r>
      <w:r>
        <w:tab/>
      </w:r>
      <w:r>
        <w:fldChar w:fldCharType="begin"/>
      </w:r>
      <w:r>
        <w:instrText xml:space="preserve"> PAGEREF _Toc16722 \h </w:instrText>
      </w:r>
      <w:r>
        <w:fldChar w:fldCharType="separate"/>
      </w:r>
      <w:r>
        <w:t>II</w:t>
      </w:r>
      <w:r>
        <w:fldChar w:fldCharType="end"/>
      </w:r>
      <w:r>
        <w:fldChar w:fldCharType="end"/>
      </w:r>
    </w:p>
    <w:p>
      <w:pPr>
        <w:pStyle w:val="20"/>
        <w:tabs>
          <w:tab w:val="right" w:leader="dot" w:pos="9354"/>
        </w:tabs>
      </w:pPr>
      <w:r>
        <w:fldChar w:fldCharType="begin"/>
      </w:r>
      <w:r>
        <w:instrText xml:space="preserve"> HYPERLINK \l _Toc614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_Toc614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_Toc27430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_Toc27430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_Toc32160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_Toc32160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_Toc11761 </w:instrText>
      </w:r>
      <w:r>
        <w:fldChar w:fldCharType="separate"/>
      </w:r>
      <w:r>
        <w:rPr>
          <w:rFonts w:hint="eastAsia" w:ascii="黑体" w:eastAsia="黑体"/>
          <w:i w:val="0"/>
        </w:rPr>
        <w:t xml:space="preserve">4 </w:t>
      </w:r>
      <w:r>
        <w:rPr>
          <w:rFonts w:hint="eastAsia"/>
        </w:rPr>
        <w:t>生命周期</w:t>
      </w:r>
      <w:r>
        <w:tab/>
      </w:r>
      <w:r>
        <w:fldChar w:fldCharType="begin"/>
      </w:r>
      <w:r>
        <w:instrText xml:space="preserve"> PAGEREF _Toc11761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_Toc15344 </w:instrText>
      </w:r>
      <w:r>
        <w:fldChar w:fldCharType="separate"/>
      </w:r>
      <w:r>
        <w:rPr>
          <w:rFonts w:hint="eastAsia" w:ascii="黑体" w:eastAsia="黑体"/>
          <w:i w:val="0"/>
        </w:rPr>
        <w:t xml:space="preserve">5 </w:t>
      </w:r>
      <w:r>
        <w:rPr>
          <w:rFonts w:hint="eastAsia"/>
        </w:rPr>
        <w:t>评价体系</w:t>
      </w:r>
      <w:r>
        <w:tab/>
      </w:r>
      <w:r>
        <w:fldChar w:fldCharType="begin"/>
      </w:r>
      <w:r>
        <w:instrText xml:space="preserve"> PAGEREF _Toc15344 \h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_Toc29328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5.1 </w:t>
      </w:r>
      <w:r>
        <w:rPr>
          <w:rFonts w:hint="eastAsia"/>
        </w:rPr>
        <w:t>体系构成</w:t>
      </w:r>
      <w:r>
        <w:tab/>
      </w:r>
      <w:r>
        <w:fldChar w:fldCharType="begin"/>
      </w:r>
      <w:r>
        <w:instrText xml:space="preserve"> PAGEREF _Toc29328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_Toc13445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5.2 </w:t>
      </w:r>
      <w:r>
        <w:rPr>
          <w:rFonts w:hint="eastAsia"/>
        </w:rPr>
        <w:t>基础性评价</w:t>
      </w:r>
      <w:r>
        <w:tab/>
      </w:r>
      <w:r>
        <w:fldChar w:fldCharType="begin"/>
      </w:r>
      <w:r>
        <w:instrText xml:space="preserve"> PAGEREF _Toc13445 \h </w:instrText>
      </w:r>
      <w:r>
        <w:fldChar w:fldCharType="separate"/>
      </w:r>
      <w:r>
        <w:t>3</w:t>
      </w:r>
      <w:r>
        <w:fldChar w:fldCharType="end"/>
      </w:r>
      <w:r>
        <w:fldChar w:fldCharType="end"/>
      </w:r>
    </w:p>
    <w:p>
      <w:pPr>
        <w:pStyle w:val="16"/>
        <w:tabs>
          <w:tab w:val="right" w:leader="dot" w:pos="9354"/>
        </w:tabs>
      </w:pPr>
      <w:r>
        <w:fldChar w:fldCharType="begin"/>
      </w:r>
      <w:r>
        <w:instrText xml:space="preserve"> HYPERLINK \l _Toc26134 </w:instrText>
      </w:r>
      <w:r>
        <w:fldChar w:fldCharType="separate"/>
      </w:r>
      <w:r>
        <w:rPr>
          <w:rFonts w:hint="eastAsia" w:ascii="黑体" w:eastAsia="黑体"/>
          <w:i w:val="0"/>
        </w:rPr>
        <w:t xml:space="preserve">5.2.1 </w:t>
      </w:r>
      <w:r>
        <w:rPr>
          <w:rFonts w:hint="eastAsia"/>
        </w:rPr>
        <w:t>评价要求</w:t>
      </w:r>
      <w:r>
        <w:tab/>
      </w:r>
      <w:r>
        <w:fldChar w:fldCharType="begin"/>
      </w:r>
      <w:r>
        <w:instrText xml:space="preserve"> PAGEREF _Toc26134 \h </w:instrText>
      </w:r>
      <w:r>
        <w:fldChar w:fldCharType="separate"/>
      </w:r>
      <w:r>
        <w:t>3</w:t>
      </w:r>
      <w:r>
        <w:fldChar w:fldCharType="end"/>
      </w:r>
      <w:r>
        <w:fldChar w:fldCharType="end"/>
      </w:r>
    </w:p>
    <w:p>
      <w:pPr>
        <w:pStyle w:val="16"/>
        <w:tabs>
          <w:tab w:val="right" w:leader="dot" w:pos="9354"/>
        </w:tabs>
      </w:pPr>
      <w:r>
        <w:fldChar w:fldCharType="begin"/>
      </w:r>
      <w:r>
        <w:instrText xml:space="preserve"> HYPERLINK \l _Toc12358 </w:instrText>
      </w:r>
      <w:r>
        <w:fldChar w:fldCharType="separate"/>
      </w:r>
      <w:r>
        <w:rPr>
          <w:rFonts w:hint="eastAsia" w:ascii="黑体" w:eastAsia="黑体"/>
          <w:i w:val="0"/>
        </w:rPr>
        <w:t xml:space="preserve">5.2.2 </w:t>
      </w:r>
      <w:r>
        <w:rPr>
          <w:rFonts w:hint="eastAsia"/>
        </w:rPr>
        <w:t>判定依据</w:t>
      </w:r>
      <w:r>
        <w:tab/>
      </w:r>
      <w:r>
        <w:fldChar w:fldCharType="begin"/>
      </w:r>
      <w:r>
        <w:instrText xml:space="preserve"> PAGEREF _Toc12358 \h </w:instrText>
      </w:r>
      <w:r>
        <w:fldChar w:fldCharType="separate"/>
      </w:r>
      <w:r>
        <w:t>4</w:t>
      </w:r>
      <w:r>
        <w:fldChar w:fldCharType="end"/>
      </w:r>
      <w:r>
        <w:fldChar w:fldCharType="end"/>
      </w:r>
    </w:p>
    <w:p>
      <w:pPr>
        <w:pStyle w:val="16"/>
        <w:tabs>
          <w:tab w:val="right" w:leader="dot" w:pos="9354"/>
        </w:tabs>
      </w:pPr>
      <w:r>
        <w:fldChar w:fldCharType="begin"/>
      </w:r>
      <w:r>
        <w:instrText xml:space="preserve"> HYPERLINK \l _Toc9600 </w:instrText>
      </w:r>
      <w:r>
        <w:fldChar w:fldCharType="separate"/>
      </w:r>
      <w:r>
        <w:rPr>
          <w:rFonts w:hint="eastAsia" w:ascii="黑体" w:eastAsia="黑体"/>
          <w:i w:val="0"/>
        </w:rPr>
        <w:t xml:space="preserve">5.2.3 </w:t>
      </w:r>
      <w:r>
        <w:rPr>
          <w:rFonts w:hint="eastAsia"/>
        </w:rPr>
        <w:t>适用环节</w:t>
      </w:r>
      <w:r>
        <w:tab/>
      </w:r>
      <w:r>
        <w:fldChar w:fldCharType="begin"/>
      </w:r>
      <w:r>
        <w:instrText xml:space="preserve"> PAGEREF _Toc9600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_Toc14623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5.3 </w:t>
      </w:r>
      <w:r>
        <w:rPr>
          <w:rFonts w:hint="eastAsia"/>
        </w:rPr>
        <w:t>资源属性评价</w:t>
      </w:r>
      <w:r>
        <w:tab/>
      </w:r>
      <w:r>
        <w:fldChar w:fldCharType="begin"/>
      </w:r>
      <w:r>
        <w:instrText xml:space="preserve"> PAGEREF _Toc14623 \h </w:instrText>
      </w:r>
      <w:r>
        <w:fldChar w:fldCharType="separate"/>
      </w:r>
      <w:r>
        <w:t>4</w:t>
      </w:r>
      <w:r>
        <w:fldChar w:fldCharType="end"/>
      </w:r>
      <w:r>
        <w:fldChar w:fldCharType="end"/>
      </w:r>
    </w:p>
    <w:p>
      <w:pPr>
        <w:pStyle w:val="16"/>
        <w:tabs>
          <w:tab w:val="right" w:leader="dot" w:pos="9354"/>
        </w:tabs>
      </w:pPr>
      <w:r>
        <w:fldChar w:fldCharType="begin"/>
      </w:r>
      <w:r>
        <w:instrText xml:space="preserve"> HYPERLINK \l _Toc6220 </w:instrText>
      </w:r>
      <w:r>
        <w:fldChar w:fldCharType="separate"/>
      </w:r>
      <w:r>
        <w:rPr>
          <w:rFonts w:hint="eastAsia" w:ascii="黑体" w:eastAsia="黑体"/>
          <w:i w:val="0"/>
        </w:rPr>
        <w:t xml:space="preserve">5.3.1 </w:t>
      </w:r>
      <w:r>
        <w:rPr>
          <w:rFonts w:hint="eastAsia"/>
        </w:rPr>
        <w:t>评价指标</w:t>
      </w:r>
      <w:r>
        <w:tab/>
      </w:r>
      <w:r>
        <w:fldChar w:fldCharType="begin"/>
      </w:r>
      <w:r>
        <w:instrText xml:space="preserve"> PAGEREF _Toc6220 \h </w:instrText>
      </w:r>
      <w:r>
        <w:fldChar w:fldCharType="separate"/>
      </w:r>
      <w:r>
        <w:t>4</w:t>
      </w:r>
      <w:r>
        <w:fldChar w:fldCharType="end"/>
      </w:r>
      <w:r>
        <w:fldChar w:fldCharType="end"/>
      </w:r>
    </w:p>
    <w:p>
      <w:pPr>
        <w:pStyle w:val="16"/>
        <w:tabs>
          <w:tab w:val="right" w:leader="dot" w:pos="9354"/>
        </w:tabs>
      </w:pPr>
      <w:r>
        <w:fldChar w:fldCharType="begin"/>
      </w:r>
      <w:r>
        <w:instrText xml:space="preserve"> HYPERLINK \l _Toc4308 </w:instrText>
      </w:r>
      <w:r>
        <w:fldChar w:fldCharType="separate"/>
      </w:r>
      <w:r>
        <w:rPr>
          <w:rFonts w:hint="eastAsia" w:ascii="黑体" w:eastAsia="黑体"/>
          <w:i w:val="0"/>
        </w:rPr>
        <w:t xml:space="preserve">5.3.2 </w:t>
      </w:r>
      <w:r>
        <w:rPr>
          <w:rFonts w:hint="eastAsia"/>
        </w:rPr>
        <w:t>原料卤水（采出卤水）质量</w:t>
      </w:r>
      <w:r>
        <w:tab/>
      </w:r>
      <w:r>
        <w:fldChar w:fldCharType="begin"/>
      </w:r>
      <w:r>
        <w:instrText xml:space="preserve"> PAGEREF _Toc4308 \h </w:instrText>
      </w:r>
      <w:r>
        <w:fldChar w:fldCharType="separate"/>
      </w:r>
      <w:r>
        <w:t>4</w:t>
      </w:r>
      <w:r>
        <w:fldChar w:fldCharType="end"/>
      </w:r>
      <w:r>
        <w:fldChar w:fldCharType="end"/>
      </w:r>
    </w:p>
    <w:p>
      <w:pPr>
        <w:pStyle w:val="16"/>
        <w:tabs>
          <w:tab w:val="right" w:leader="dot" w:pos="9354"/>
        </w:tabs>
      </w:pPr>
      <w:r>
        <w:fldChar w:fldCharType="begin"/>
      </w:r>
      <w:r>
        <w:instrText xml:space="preserve"> HYPERLINK \l _Toc30849 </w:instrText>
      </w:r>
      <w:r>
        <w:fldChar w:fldCharType="separate"/>
      </w:r>
      <w:r>
        <w:rPr>
          <w:rFonts w:hint="eastAsia" w:ascii="黑体" w:eastAsia="黑体"/>
          <w:i w:val="0"/>
        </w:rPr>
        <w:t xml:space="preserve">5.3.3 </w:t>
      </w:r>
      <w:r>
        <w:rPr>
          <w:rFonts w:hint="eastAsia"/>
        </w:rPr>
        <w:t>生产用水、气、燃料</w:t>
      </w:r>
      <w:r>
        <w:tab/>
      </w:r>
      <w:r>
        <w:fldChar w:fldCharType="begin"/>
      </w:r>
      <w:r>
        <w:instrText xml:space="preserve"> PAGEREF _Toc30849 \h </w:instrText>
      </w:r>
      <w:r>
        <w:fldChar w:fldCharType="separate"/>
      </w:r>
      <w:r>
        <w:t>5</w:t>
      </w:r>
      <w:r>
        <w:fldChar w:fldCharType="end"/>
      </w:r>
      <w:r>
        <w:fldChar w:fldCharType="end"/>
      </w:r>
    </w:p>
    <w:p>
      <w:pPr>
        <w:pStyle w:val="16"/>
        <w:tabs>
          <w:tab w:val="right" w:leader="dot" w:pos="9354"/>
        </w:tabs>
      </w:pPr>
      <w:r>
        <w:fldChar w:fldCharType="begin"/>
      </w:r>
      <w:r>
        <w:instrText xml:space="preserve"> HYPERLINK \l _Toc21338 </w:instrText>
      </w:r>
      <w:r>
        <w:fldChar w:fldCharType="separate"/>
      </w:r>
      <w:r>
        <w:rPr>
          <w:rFonts w:hint="eastAsia" w:ascii="黑体" w:eastAsia="黑体"/>
          <w:i w:val="0"/>
        </w:rPr>
        <w:t xml:space="preserve">5.3.4 </w:t>
      </w:r>
      <w:r>
        <w:rPr>
          <w:rFonts w:hint="eastAsia"/>
        </w:rPr>
        <w:t>加工助剂、辅料和碘强化剂</w:t>
      </w:r>
      <w:r>
        <w:tab/>
      </w:r>
      <w:r>
        <w:fldChar w:fldCharType="begin"/>
      </w:r>
      <w:r>
        <w:instrText xml:space="preserve"> PAGEREF _Toc21338 \h </w:instrText>
      </w:r>
      <w:r>
        <w:fldChar w:fldCharType="separate"/>
      </w:r>
      <w:r>
        <w:t>5</w:t>
      </w:r>
      <w:r>
        <w:fldChar w:fldCharType="end"/>
      </w:r>
      <w:r>
        <w:fldChar w:fldCharType="end"/>
      </w:r>
    </w:p>
    <w:p>
      <w:pPr>
        <w:pStyle w:val="16"/>
        <w:tabs>
          <w:tab w:val="right" w:leader="dot" w:pos="9354"/>
        </w:tabs>
      </w:pPr>
      <w:r>
        <w:fldChar w:fldCharType="begin"/>
      </w:r>
      <w:r>
        <w:instrText xml:space="preserve"> HYPERLINK \l _Toc15393 </w:instrText>
      </w:r>
      <w:r>
        <w:fldChar w:fldCharType="separate"/>
      </w:r>
      <w:r>
        <w:rPr>
          <w:rFonts w:hint="eastAsia" w:ascii="黑体" w:eastAsia="黑体"/>
          <w:i w:val="0"/>
        </w:rPr>
        <w:t xml:space="preserve">5.3.5 </w:t>
      </w:r>
      <w:r>
        <w:rPr>
          <w:rFonts w:hint="eastAsia"/>
        </w:rPr>
        <w:t>包装物材料</w:t>
      </w:r>
      <w:r>
        <w:tab/>
      </w:r>
      <w:r>
        <w:fldChar w:fldCharType="begin"/>
      </w:r>
      <w:r>
        <w:instrText xml:space="preserve"> PAGEREF _Toc15393 \h </w:instrText>
      </w:r>
      <w:r>
        <w:fldChar w:fldCharType="separate"/>
      </w:r>
      <w:r>
        <w:t>6</w:t>
      </w:r>
      <w:r>
        <w:fldChar w:fldCharType="end"/>
      </w:r>
      <w:r>
        <w:fldChar w:fldCharType="end"/>
      </w:r>
    </w:p>
    <w:p>
      <w:pPr>
        <w:pStyle w:val="16"/>
        <w:tabs>
          <w:tab w:val="right" w:leader="dot" w:pos="9354"/>
        </w:tabs>
      </w:pPr>
      <w:r>
        <w:fldChar w:fldCharType="begin"/>
      </w:r>
      <w:r>
        <w:instrText xml:space="preserve"> HYPERLINK \l _Toc18691 </w:instrText>
      </w:r>
      <w:r>
        <w:fldChar w:fldCharType="separate"/>
      </w:r>
      <w:r>
        <w:rPr>
          <w:rFonts w:hint="eastAsia" w:ascii="黑体" w:eastAsia="黑体"/>
          <w:i w:val="0"/>
        </w:rPr>
        <w:t xml:space="preserve">5.3.6 </w:t>
      </w:r>
      <w:r>
        <w:rPr>
          <w:rFonts w:hint="eastAsia"/>
        </w:rPr>
        <w:t>资源综合利用</w:t>
      </w:r>
      <w:r>
        <w:tab/>
      </w:r>
      <w:r>
        <w:fldChar w:fldCharType="begin"/>
      </w:r>
      <w:r>
        <w:instrText xml:space="preserve"> PAGEREF _Toc18691 \h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_Toc29483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5.4 </w:t>
      </w:r>
      <w:r>
        <w:rPr>
          <w:rFonts w:hint="eastAsia"/>
        </w:rPr>
        <w:t>能源属性评价</w:t>
      </w:r>
      <w:r>
        <w:tab/>
      </w:r>
      <w:r>
        <w:fldChar w:fldCharType="begin"/>
      </w:r>
      <w:r>
        <w:instrText xml:space="preserve"> PAGEREF _Toc29483 \h </w:instrText>
      </w:r>
      <w:r>
        <w:fldChar w:fldCharType="separate"/>
      </w:r>
      <w:r>
        <w:t>6</w:t>
      </w:r>
      <w:r>
        <w:fldChar w:fldCharType="end"/>
      </w:r>
      <w:r>
        <w:fldChar w:fldCharType="end"/>
      </w:r>
    </w:p>
    <w:p>
      <w:pPr>
        <w:pStyle w:val="16"/>
        <w:tabs>
          <w:tab w:val="right" w:leader="dot" w:pos="9354"/>
        </w:tabs>
      </w:pPr>
      <w:r>
        <w:fldChar w:fldCharType="begin"/>
      </w:r>
      <w:r>
        <w:instrText xml:space="preserve"> HYPERLINK \l _Toc20223 </w:instrText>
      </w:r>
      <w:r>
        <w:fldChar w:fldCharType="separate"/>
      </w:r>
      <w:r>
        <w:rPr>
          <w:rFonts w:hint="eastAsia" w:ascii="黑体" w:eastAsia="黑体"/>
          <w:i w:val="0"/>
        </w:rPr>
        <w:t xml:space="preserve">5.4.1 </w:t>
      </w:r>
      <w:r>
        <w:rPr>
          <w:rFonts w:hint="eastAsia"/>
        </w:rPr>
        <w:t>评价指标</w:t>
      </w:r>
      <w:r>
        <w:tab/>
      </w:r>
      <w:r>
        <w:fldChar w:fldCharType="begin"/>
      </w:r>
      <w:r>
        <w:instrText xml:space="preserve"> PAGEREF _Toc20223 \h </w:instrText>
      </w:r>
      <w:r>
        <w:fldChar w:fldCharType="separate"/>
      </w:r>
      <w:r>
        <w:t>6</w:t>
      </w:r>
      <w:r>
        <w:fldChar w:fldCharType="end"/>
      </w:r>
      <w:r>
        <w:fldChar w:fldCharType="end"/>
      </w:r>
    </w:p>
    <w:p>
      <w:pPr>
        <w:pStyle w:val="16"/>
        <w:tabs>
          <w:tab w:val="right" w:leader="dot" w:pos="9354"/>
        </w:tabs>
      </w:pPr>
      <w:r>
        <w:fldChar w:fldCharType="begin"/>
      </w:r>
      <w:r>
        <w:instrText xml:space="preserve"> HYPERLINK \l _Toc1672 </w:instrText>
      </w:r>
      <w:r>
        <w:fldChar w:fldCharType="separate"/>
      </w:r>
      <w:r>
        <w:rPr>
          <w:rFonts w:hint="eastAsia" w:ascii="黑体" w:eastAsia="黑体"/>
          <w:i w:val="0"/>
        </w:rPr>
        <w:t xml:space="preserve">5.4.2 </w:t>
      </w:r>
      <w:r>
        <w:rPr>
          <w:rFonts w:hint="eastAsia"/>
        </w:rPr>
        <w:t>全过程能耗核算体系</w:t>
      </w:r>
      <w:r>
        <w:tab/>
      </w:r>
      <w:r>
        <w:fldChar w:fldCharType="begin"/>
      </w:r>
      <w:r>
        <w:instrText xml:space="preserve"> PAGEREF _Toc1672 \h </w:instrText>
      </w:r>
      <w:r>
        <w:fldChar w:fldCharType="separate"/>
      </w:r>
      <w:r>
        <w:t>7</w:t>
      </w:r>
      <w:r>
        <w:fldChar w:fldCharType="end"/>
      </w:r>
      <w:r>
        <w:fldChar w:fldCharType="end"/>
      </w:r>
    </w:p>
    <w:p>
      <w:pPr>
        <w:pStyle w:val="16"/>
        <w:tabs>
          <w:tab w:val="right" w:leader="dot" w:pos="9354"/>
        </w:tabs>
      </w:pPr>
      <w:r>
        <w:fldChar w:fldCharType="begin"/>
      </w:r>
      <w:r>
        <w:instrText xml:space="preserve"> HYPERLINK \l _Toc12553 </w:instrText>
      </w:r>
      <w:r>
        <w:fldChar w:fldCharType="separate"/>
      </w:r>
      <w:r>
        <w:rPr>
          <w:rFonts w:hint="eastAsia" w:ascii="黑体" w:eastAsia="黑体"/>
          <w:i w:val="0"/>
        </w:rPr>
        <w:t xml:space="preserve">5.4.3 </w:t>
      </w:r>
      <w:r>
        <w:rPr>
          <w:rFonts w:hint="eastAsia"/>
        </w:rPr>
        <w:t>能源管理计划</w:t>
      </w:r>
      <w:r>
        <w:tab/>
      </w:r>
      <w:r>
        <w:fldChar w:fldCharType="begin"/>
      </w:r>
      <w:r>
        <w:instrText xml:space="preserve"> PAGEREF _Toc12553 \h </w:instrText>
      </w:r>
      <w:r>
        <w:fldChar w:fldCharType="separate"/>
      </w:r>
      <w:r>
        <w:t>7</w:t>
      </w:r>
      <w:r>
        <w:fldChar w:fldCharType="end"/>
      </w:r>
      <w:r>
        <w:fldChar w:fldCharType="end"/>
      </w:r>
    </w:p>
    <w:p>
      <w:pPr>
        <w:pStyle w:val="16"/>
        <w:tabs>
          <w:tab w:val="right" w:leader="dot" w:pos="9354"/>
        </w:tabs>
      </w:pPr>
      <w:r>
        <w:fldChar w:fldCharType="begin"/>
      </w:r>
      <w:r>
        <w:instrText xml:space="preserve"> HYPERLINK \l _Toc26532 </w:instrText>
      </w:r>
      <w:r>
        <w:fldChar w:fldCharType="separate"/>
      </w:r>
      <w:r>
        <w:rPr>
          <w:rFonts w:hint="eastAsia" w:ascii="黑体" w:eastAsia="黑体"/>
          <w:i w:val="0"/>
        </w:rPr>
        <w:t xml:space="preserve">5.4.4 </w:t>
      </w:r>
      <w:r>
        <w:rPr>
          <w:rFonts w:hint="eastAsia"/>
        </w:rPr>
        <w:t>能源管理体系认证</w:t>
      </w:r>
      <w:r>
        <w:tab/>
      </w:r>
      <w:r>
        <w:fldChar w:fldCharType="begin"/>
      </w:r>
      <w:r>
        <w:instrText xml:space="preserve"> PAGEREF _Toc26532 \h </w:instrText>
      </w:r>
      <w:r>
        <w:fldChar w:fldCharType="separate"/>
      </w:r>
      <w:r>
        <w:t>7</w:t>
      </w:r>
      <w:r>
        <w:fldChar w:fldCharType="end"/>
      </w:r>
      <w:r>
        <w:fldChar w:fldCharType="end"/>
      </w:r>
    </w:p>
    <w:p>
      <w:pPr>
        <w:pStyle w:val="16"/>
        <w:tabs>
          <w:tab w:val="right" w:leader="dot" w:pos="9354"/>
        </w:tabs>
      </w:pPr>
      <w:r>
        <w:fldChar w:fldCharType="begin"/>
      </w:r>
      <w:r>
        <w:instrText xml:space="preserve"> HYPERLINK \l _Toc25899 </w:instrText>
      </w:r>
      <w:r>
        <w:fldChar w:fldCharType="separate"/>
      </w:r>
      <w:r>
        <w:rPr>
          <w:rFonts w:hint="eastAsia" w:ascii="黑体" w:eastAsia="黑体"/>
          <w:i w:val="0"/>
        </w:rPr>
        <w:t xml:space="preserve">5.4.5 </w:t>
      </w:r>
      <w:r>
        <w:t>单位产品盐综合能耗</w:t>
      </w:r>
      <w:r>
        <w:tab/>
      </w:r>
      <w:r>
        <w:fldChar w:fldCharType="begin"/>
      </w:r>
      <w:r>
        <w:instrText xml:space="preserve"> PAGEREF _Toc25899 \h </w:instrText>
      </w:r>
      <w:r>
        <w:fldChar w:fldCharType="separate"/>
      </w:r>
      <w:r>
        <w:t>7</w:t>
      </w:r>
      <w:r>
        <w:fldChar w:fldCharType="end"/>
      </w:r>
      <w:r>
        <w:fldChar w:fldCharType="end"/>
      </w:r>
    </w:p>
    <w:p>
      <w:pPr>
        <w:pStyle w:val="25"/>
        <w:tabs>
          <w:tab w:val="right" w:leader="dot" w:pos="9354"/>
          <w:tab w:val="clear" w:pos="9344"/>
        </w:tabs>
      </w:pPr>
      <w:r>
        <w:fldChar w:fldCharType="begin"/>
      </w:r>
      <w:r>
        <w:instrText xml:space="preserve"> HYPERLINK \l _Toc32125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5.5 </w:t>
      </w:r>
      <w:r>
        <w:rPr>
          <w:rFonts w:hint="eastAsia"/>
        </w:rPr>
        <w:t>环境属性评价</w:t>
      </w:r>
      <w:r>
        <w:tab/>
      </w:r>
      <w:r>
        <w:fldChar w:fldCharType="begin"/>
      </w:r>
      <w:r>
        <w:instrText xml:space="preserve"> PAGEREF _Toc32125 \h </w:instrText>
      </w:r>
      <w:r>
        <w:fldChar w:fldCharType="separate"/>
      </w:r>
      <w:r>
        <w:t>8</w:t>
      </w:r>
      <w:r>
        <w:fldChar w:fldCharType="end"/>
      </w:r>
      <w:r>
        <w:fldChar w:fldCharType="end"/>
      </w:r>
    </w:p>
    <w:p>
      <w:pPr>
        <w:pStyle w:val="16"/>
        <w:tabs>
          <w:tab w:val="right" w:leader="dot" w:pos="9354"/>
        </w:tabs>
      </w:pPr>
      <w:r>
        <w:fldChar w:fldCharType="begin"/>
      </w:r>
      <w:r>
        <w:instrText xml:space="preserve"> HYPERLINK \l _Toc25349 </w:instrText>
      </w:r>
      <w:r>
        <w:fldChar w:fldCharType="separate"/>
      </w:r>
      <w:r>
        <w:rPr>
          <w:rFonts w:hint="eastAsia" w:ascii="黑体" w:eastAsia="黑体"/>
          <w:i w:val="0"/>
        </w:rPr>
        <w:t xml:space="preserve">5.5.1 </w:t>
      </w:r>
      <w:r>
        <w:rPr>
          <w:rFonts w:hint="eastAsia"/>
        </w:rPr>
        <w:t>评价指标</w:t>
      </w:r>
      <w:r>
        <w:tab/>
      </w:r>
      <w:r>
        <w:fldChar w:fldCharType="begin"/>
      </w:r>
      <w:r>
        <w:instrText xml:space="preserve"> PAGEREF _Toc25349 \h </w:instrText>
      </w:r>
      <w:r>
        <w:fldChar w:fldCharType="separate"/>
      </w:r>
      <w:r>
        <w:t>8</w:t>
      </w:r>
      <w:r>
        <w:fldChar w:fldCharType="end"/>
      </w:r>
      <w:r>
        <w:fldChar w:fldCharType="end"/>
      </w:r>
    </w:p>
    <w:p>
      <w:pPr>
        <w:pStyle w:val="16"/>
        <w:tabs>
          <w:tab w:val="right" w:leader="dot" w:pos="9354"/>
        </w:tabs>
      </w:pPr>
      <w:r>
        <w:fldChar w:fldCharType="begin"/>
      </w:r>
      <w:r>
        <w:instrText xml:space="preserve"> HYPERLINK \l _Toc17255 </w:instrText>
      </w:r>
      <w:r>
        <w:fldChar w:fldCharType="separate"/>
      </w:r>
      <w:r>
        <w:rPr>
          <w:rFonts w:hint="eastAsia" w:ascii="黑体" w:eastAsia="黑体"/>
          <w:i w:val="0"/>
        </w:rPr>
        <w:t xml:space="preserve">5.5.2 </w:t>
      </w:r>
      <w:r>
        <w:rPr>
          <w:rFonts w:hint="eastAsia"/>
        </w:rPr>
        <w:t>产地环境</w:t>
      </w:r>
      <w:r>
        <w:tab/>
      </w:r>
      <w:r>
        <w:fldChar w:fldCharType="begin"/>
      </w:r>
      <w:r>
        <w:instrText xml:space="preserve"> PAGEREF _Toc17255 \h </w:instrText>
      </w:r>
      <w:r>
        <w:fldChar w:fldCharType="separate"/>
      </w:r>
      <w:r>
        <w:t>8</w:t>
      </w:r>
      <w:r>
        <w:fldChar w:fldCharType="end"/>
      </w:r>
      <w:r>
        <w:fldChar w:fldCharType="end"/>
      </w:r>
    </w:p>
    <w:p>
      <w:pPr>
        <w:pStyle w:val="16"/>
        <w:tabs>
          <w:tab w:val="right" w:leader="dot" w:pos="9354"/>
        </w:tabs>
      </w:pPr>
      <w:r>
        <w:fldChar w:fldCharType="begin"/>
      </w:r>
      <w:r>
        <w:instrText xml:space="preserve"> HYPERLINK \l _Toc23040 </w:instrText>
      </w:r>
      <w:r>
        <w:fldChar w:fldCharType="separate"/>
      </w:r>
      <w:r>
        <w:rPr>
          <w:rFonts w:hint="eastAsia" w:ascii="黑体" w:eastAsia="黑体"/>
          <w:i w:val="0"/>
        </w:rPr>
        <w:t xml:space="preserve">5.5.3 </w:t>
      </w:r>
      <w:r>
        <w:rPr>
          <w:rFonts w:hint="eastAsia"/>
        </w:rPr>
        <w:t>废水、废气、噪声排放</w:t>
      </w:r>
      <w:r>
        <w:tab/>
      </w:r>
      <w:r>
        <w:fldChar w:fldCharType="begin"/>
      </w:r>
      <w:r>
        <w:instrText xml:space="preserve"> PAGEREF _Toc23040 \h </w:instrText>
      </w:r>
      <w:r>
        <w:fldChar w:fldCharType="separate"/>
      </w:r>
      <w:r>
        <w:t>8</w:t>
      </w:r>
      <w:r>
        <w:fldChar w:fldCharType="end"/>
      </w:r>
      <w:r>
        <w:fldChar w:fldCharType="end"/>
      </w:r>
    </w:p>
    <w:p>
      <w:pPr>
        <w:pStyle w:val="16"/>
        <w:tabs>
          <w:tab w:val="right" w:leader="dot" w:pos="9354"/>
        </w:tabs>
      </w:pPr>
      <w:r>
        <w:fldChar w:fldCharType="begin"/>
      </w:r>
      <w:r>
        <w:instrText xml:space="preserve"> HYPERLINK \l _Toc28391 </w:instrText>
      </w:r>
      <w:r>
        <w:fldChar w:fldCharType="separate"/>
      </w:r>
      <w:r>
        <w:rPr>
          <w:rFonts w:hint="eastAsia" w:ascii="黑体" w:eastAsia="黑体"/>
          <w:i w:val="0"/>
        </w:rPr>
        <w:t xml:space="preserve">5.5.4 </w:t>
      </w:r>
      <w:r>
        <w:rPr>
          <w:rFonts w:hint="eastAsia"/>
        </w:rPr>
        <w:t>固废处置</w:t>
      </w:r>
      <w:r>
        <w:tab/>
      </w:r>
      <w:r>
        <w:fldChar w:fldCharType="begin"/>
      </w:r>
      <w:r>
        <w:instrText xml:space="preserve"> PAGEREF _Toc28391 \h </w:instrText>
      </w:r>
      <w:r>
        <w:fldChar w:fldCharType="separate"/>
      </w:r>
      <w:r>
        <w:t>9</w:t>
      </w:r>
      <w:r>
        <w:fldChar w:fldCharType="end"/>
      </w:r>
      <w:r>
        <w:fldChar w:fldCharType="end"/>
      </w:r>
    </w:p>
    <w:p>
      <w:pPr>
        <w:pStyle w:val="16"/>
        <w:tabs>
          <w:tab w:val="right" w:leader="dot" w:pos="9354"/>
        </w:tabs>
      </w:pPr>
      <w:r>
        <w:fldChar w:fldCharType="begin"/>
      </w:r>
      <w:r>
        <w:instrText xml:space="preserve"> HYPERLINK \l _Toc26187 </w:instrText>
      </w:r>
      <w:r>
        <w:fldChar w:fldCharType="separate"/>
      </w:r>
      <w:r>
        <w:rPr>
          <w:rFonts w:hint="eastAsia" w:ascii="黑体" w:eastAsia="黑体"/>
          <w:i w:val="0"/>
        </w:rPr>
        <w:t xml:space="preserve">5.5.5 </w:t>
      </w:r>
      <w:r>
        <w:rPr>
          <w:rFonts w:hint="eastAsia"/>
        </w:rPr>
        <w:t>环境恢复治理</w:t>
      </w:r>
      <w:r>
        <w:tab/>
      </w:r>
      <w:r>
        <w:fldChar w:fldCharType="begin"/>
      </w:r>
      <w:r>
        <w:instrText xml:space="preserve"> PAGEREF _Toc26187 \h </w:instrText>
      </w:r>
      <w:r>
        <w:fldChar w:fldCharType="separate"/>
      </w:r>
      <w:r>
        <w:t>9</w:t>
      </w:r>
      <w:r>
        <w:fldChar w:fldCharType="end"/>
      </w:r>
      <w:r>
        <w:fldChar w:fldCharType="end"/>
      </w:r>
    </w:p>
    <w:p>
      <w:pPr>
        <w:pStyle w:val="16"/>
        <w:tabs>
          <w:tab w:val="right" w:leader="dot" w:pos="9354"/>
        </w:tabs>
      </w:pPr>
      <w:r>
        <w:fldChar w:fldCharType="begin"/>
      </w:r>
      <w:r>
        <w:instrText xml:space="preserve"> HYPERLINK \l _Toc23876 </w:instrText>
      </w:r>
      <w:r>
        <w:fldChar w:fldCharType="separate"/>
      </w:r>
      <w:r>
        <w:rPr>
          <w:rFonts w:hint="eastAsia" w:ascii="黑体" w:eastAsia="黑体"/>
          <w:i w:val="0"/>
        </w:rPr>
        <w:t xml:space="preserve">5.5.6 </w:t>
      </w:r>
      <w:r>
        <w:rPr>
          <w:rFonts w:hint="eastAsia"/>
        </w:rPr>
        <w:t>运输仓储</w:t>
      </w:r>
      <w:r>
        <w:tab/>
      </w:r>
      <w:r>
        <w:fldChar w:fldCharType="begin"/>
      </w:r>
      <w:r>
        <w:instrText xml:space="preserve"> PAGEREF _Toc23876 \h </w:instrText>
      </w:r>
      <w:r>
        <w:fldChar w:fldCharType="separate"/>
      </w:r>
      <w:r>
        <w:t>10</w:t>
      </w:r>
      <w:r>
        <w:fldChar w:fldCharType="end"/>
      </w:r>
      <w:r>
        <w:fldChar w:fldCharType="end"/>
      </w:r>
    </w:p>
    <w:p>
      <w:pPr>
        <w:pStyle w:val="25"/>
        <w:tabs>
          <w:tab w:val="right" w:leader="dot" w:pos="9354"/>
          <w:tab w:val="clear" w:pos="9344"/>
        </w:tabs>
      </w:pPr>
      <w:r>
        <w:fldChar w:fldCharType="begin"/>
      </w:r>
      <w:r>
        <w:instrText xml:space="preserve"> HYPERLINK \l _Toc8858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5.6 </w:t>
      </w:r>
      <w:r>
        <w:rPr>
          <w:rFonts w:hint="eastAsia"/>
        </w:rPr>
        <w:t>品质属性评价</w:t>
      </w:r>
      <w:r>
        <w:tab/>
      </w:r>
      <w:r>
        <w:fldChar w:fldCharType="begin"/>
      </w:r>
      <w:r>
        <w:instrText xml:space="preserve"> PAGEREF _Toc8858 \h </w:instrText>
      </w:r>
      <w:r>
        <w:fldChar w:fldCharType="separate"/>
      </w:r>
      <w:r>
        <w:t>10</w:t>
      </w:r>
      <w:r>
        <w:fldChar w:fldCharType="end"/>
      </w:r>
      <w:r>
        <w:fldChar w:fldCharType="end"/>
      </w:r>
    </w:p>
    <w:p>
      <w:pPr>
        <w:pStyle w:val="16"/>
        <w:tabs>
          <w:tab w:val="right" w:leader="dot" w:pos="9354"/>
        </w:tabs>
      </w:pPr>
      <w:r>
        <w:fldChar w:fldCharType="begin"/>
      </w:r>
      <w:r>
        <w:instrText xml:space="preserve"> HYPERLINK \l _Toc20162 </w:instrText>
      </w:r>
      <w:r>
        <w:fldChar w:fldCharType="separate"/>
      </w:r>
      <w:r>
        <w:rPr>
          <w:rFonts w:hint="eastAsia" w:ascii="黑体" w:eastAsia="黑体"/>
          <w:i w:val="0"/>
        </w:rPr>
        <w:t xml:space="preserve">5.6.1 </w:t>
      </w:r>
      <w:r>
        <w:rPr>
          <w:rFonts w:hint="eastAsia"/>
        </w:rPr>
        <w:t>评价指标</w:t>
      </w:r>
      <w:r>
        <w:tab/>
      </w:r>
      <w:r>
        <w:fldChar w:fldCharType="begin"/>
      </w:r>
      <w:r>
        <w:instrText xml:space="preserve"> PAGEREF _Toc20162 \h </w:instrText>
      </w:r>
      <w:r>
        <w:fldChar w:fldCharType="separate"/>
      </w:r>
      <w:r>
        <w:t>10</w:t>
      </w:r>
      <w:r>
        <w:fldChar w:fldCharType="end"/>
      </w:r>
      <w:r>
        <w:fldChar w:fldCharType="end"/>
      </w:r>
    </w:p>
    <w:p>
      <w:pPr>
        <w:pStyle w:val="16"/>
        <w:tabs>
          <w:tab w:val="right" w:leader="dot" w:pos="9354"/>
        </w:tabs>
      </w:pPr>
      <w:r>
        <w:fldChar w:fldCharType="begin"/>
      </w:r>
      <w:r>
        <w:instrText xml:space="preserve"> HYPERLINK \l _Toc9468 </w:instrText>
      </w:r>
      <w:r>
        <w:fldChar w:fldCharType="separate"/>
      </w:r>
      <w:r>
        <w:rPr>
          <w:rFonts w:hint="eastAsia" w:ascii="黑体" w:eastAsia="黑体"/>
          <w:i w:val="0"/>
        </w:rPr>
        <w:t xml:space="preserve">5.6.2 </w:t>
      </w:r>
      <w:r>
        <w:rPr>
          <w:rFonts w:hint="eastAsia"/>
        </w:rPr>
        <w:t>理化指标</w:t>
      </w:r>
      <w:r>
        <w:tab/>
      </w:r>
      <w:r>
        <w:fldChar w:fldCharType="begin"/>
      </w:r>
      <w:r>
        <w:instrText xml:space="preserve"> PAGEREF _Toc9468 \h </w:instrText>
      </w:r>
      <w:r>
        <w:fldChar w:fldCharType="separate"/>
      </w:r>
      <w:r>
        <w:t>10</w:t>
      </w:r>
      <w:r>
        <w:fldChar w:fldCharType="end"/>
      </w:r>
      <w:r>
        <w:fldChar w:fldCharType="end"/>
      </w:r>
    </w:p>
    <w:p>
      <w:pPr>
        <w:pStyle w:val="16"/>
        <w:tabs>
          <w:tab w:val="right" w:leader="dot" w:pos="9354"/>
        </w:tabs>
      </w:pPr>
      <w:r>
        <w:fldChar w:fldCharType="begin"/>
      </w:r>
      <w:r>
        <w:instrText xml:space="preserve"> HYPERLINK \l _Toc25768 </w:instrText>
      </w:r>
      <w:r>
        <w:fldChar w:fldCharType="separate"/>
      </w:r>
      <w:r>
        <w:rPr>
          <w:rFonts w:hint="eastAsia" w:ascii="黑体" w:eastAsia="黑体"/>
          <w:i w:val="0"/>
        </w:rPr>
        <w:t xml:space="preserve">5.6.3 </w:t>
      </w:r>
      <w:r>
        <w:rPr>
          <w:rFonts w:hint="eastAsia"/>
        </w:rPr>
        <w:t>污染物及塑化剂</w:t>
      </w:r>
      <w:r>
        <w:tab/>
      </w:r>
      <w:r>
        <w:fldChar w:fldCharType="begin"/>
      </w:r>
      <w:r>
        <w:instrText xml:space="preserve"> PAGEREF _Toc25768 \h </w:instrText>
      </w:r>
      <w:r>
        <w:fldChar w:fldCharType="separate"/>
      </w:r>
      <w:r>
        <w:t>11</w:t>
      </w:r>
      <w:r>
        <w:fldChar w:fldCharType="end"/>
      </w:r>
      <w:r>
        <w:fldChar w:fldCharType="end"/>
      </w:r>
    </w:p>
    <w:p>
      <w:pPr>
        <w:pStyle w:val="16"/>
        <w:tabs>
          <w:tab w:val="right" w:leader="dot" w:pos="9354"/>
        </w:tabs>
      </w:pPr>
      <w:r>
        <w:fldChar w:fldCharType="begin"/>
      </w:r>
      <w:r>
        <w:instrText xml:space="preserve"> HYPERLINK \l _Toc10053 </w:instrText>
      </w:r>
      <w:r>
        <w:fldChar w:fldCharType="separate"/>
      </w:r>
      <w:r>
        <w:rPr>
          <w:rFonts w:hint="eastAsia" w:ascii="黑体" w:eastAsia="黑体"/>
          <w:i w:val="0"/>
        </w:rPr>
        <w:t xml:space="preserve">5.6.4 </w:t>
      </w:r>
      <w:r>
        <w:rPr>
          <w:rFonts w:hint="eastAsia"/>
        </w:rPr>
        <w:t>碘强化剂</w:t>
      </w:r>
      <w:r>
        <w:tab/>
      </w:r>
      <w:r>
        <w:fldChar w:fldCharType="begin"/>
      </w:r>
      <w:r>
        <w:instrText xml:space="preserve"> PAGEREF _Toc10053 \h </w:instrText>
      </w:r>
      <w:r>
        <w:fldChar w:fldCharType="separate"/>
      </w:r>
      <w:r>
        <w:t>11</w:t>
      </w:r>
      <w:r>
        <w:fldChar w:fldCharType="end"/>
      </w:r>
      <w:r>
        <w:fldChar w:fldCharType="end"/>
      </w:r>
    </w:p>
    <w:p>
      <w:pPr>
        <w:pStyle w:val="16"/>
        <w:tabs>
          <w:tab w:val="right" w:leader="dot" w:pos="9354"/>
        </w:tabs>
      </w:pPr>
      <w:r>
        <w:fldChar w:fldCharType="begin"/>
      </w:r>
      <w:r>
        <w:instrText xml:space="preserve"> HYPERLINK \l _Toc16509 </w:instrText>
      </w:r>
      <w:r>
        <w:fldChar w:fldCharType="separate"/>
      </w:r>
      <w:r>
        <w:rPr>
          <w:rFonts w:hint="eastAsia" w:ascii="黑体" w:eastAsia="黑体"/>
          <w:i w:val="0"/>
        </w:rPr>
        <w:t xml:space="preserve">5.6.5 </w:t>
      </w:r>
      <w:r>
        <w:rPr>
          <w:rFonts w:hint="eastAsia"/>
        </w:rPr>
        <w:t>其他食品添加剂</w:t>
      </w:r>
      <w:r>
        <w:tab/>
      </w:r>
      <w:r>
        <w:fldChar w:fldCharType="begin"/>
      </w:r>
      <w:r>
        <w:instrText xml:space="preserve"> PAGEREF _Toc16509 \h </w:instrText>
      </w:r>
      <w:r>
        <w:fldChar w:fldCharType="separate"/>
      </w:r>
      <w:r>
        <w:t>11</w:t>
      </w:r>
      <w:r>
        <w:fldChar w:fldCharType="end"/>
      </w:r>
      <w:r>
        <w:fldChar w:fldCharType="end"/>
      </w:r>
    </w:p>
    <w:p>
      <w:pPr>
        <w:pStyle w:val="94"/>
        <w:spacing w:after="360"/>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20"/>
    <w:p>
      <w:pPr>
        <w:pStyle w:val="92"/>
        <w:spacing w:after="360"/>
      </w:pPr>
      <w:bookmarkStart w:id="33" w:name="_Toc118454880"/>
      <w:bookmarkStart w:id="34" w:name="_Toc16722"/>
      <w:bookmarkStart w:id="35" w:name="BookMark2"/>
      <w:r>
        <w:rPr>
          <w:spacing w:val="320"/>
        </w:rPr>
        <w:t>前</w:t>
      </w:r>
      <w:r>
        <w:t>言</w:t>
      </w:r>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59"/>
        <w:ind w:firstLine="420"/>
      </w:pPr>
      <w:r>
        <w:rPr>
          <w:rFonts w:hint="eastAsia"/>
        </w:rPr>
        <w:t>本文件按照GB/T 1.1—2020《标准化工作导则  第1部分：标准化文件的结构和起草规则》的规定起草。</w:t>
      </w:r>
    </w:p>
    <w:p>
      <w:pPr>
        <w:pStyle w:val="59"/>
        <w:ind w:firstLine="420"/>
      </w:pPr>
      <w:r>
        <w:rPr>
          <w:rFonts w:hint="eastAsia"/>
        </w:rPr>
        <w:t>本文件由中国轻工业联合会提出并归口。</w:t>
      </w:r>
    </w:p>
    <w:p>
      <w:pPr>
        <w:pStyle w:val="59"/>
        <w:ind w:firstLine="420"/>
      </w:pPr>
      <w:r>
        <w:rPr>
          <w:rFonts w:hint="eastAsia"/>
        </w:rPr>
        <w:t>本文件起草单位：</w:t>
      </w:r>
    </w:p>
    <w:p>
      <w:pPr>
        <w:pStyle w:val="59"/>
        <w:ind w:firstLine="420"/>
      </w:pPr>
      <w:r>
        <w:rPr>
          <w:rFonts w:hint="eastAsia"/>
        </w:rPr>
        <w:t>本文件主要起草人：</w:t>
      </w:r>
    </w:p>
    <w:p>
      <w:pPr>
        <w:pStyle w:val="59"/>
        <w:ind w:firstLine="420"/>
      </w:pPr>
    </w:p>
    <w:p>
      <w:pPr>
        <w:pStyle w:val="59"/>
        <w:ind w:firstLine="420"/>
        <w:sectPr>
          <w:pgSz w:w="11906" w:h="16838"/>
          <w:pgMar w:top="2410" w:right="1134" w:bottom="1134" w:left="1134" w:header="1418" w:footer="1134" w:gutter="284"/>
          <w:pgNumType w:fmt="upperRoman"/>
          <w:cols w:space="425" w:num="1"/>
          <w:formProt w:val="0"/>
          <w:docGrid w:linePitch="312" w:charSpace="0"/>
        </w:sectPr>
      </w:pPr>
    </w:p>
    <w:bookmarkEnd w:id="35"/>
    <w:p>
      <w:pPr>
        <w:spacing w:line="20" w:lineRule="exact"/>
        <w:jc w:val="center"/>
        <w:rPr>
          <w:rFonts w:ascii="黑体" w:hAnsi="黑体" w:eastAsia="黑体"/>
          <w:sz w:val="32"/>
          <w:szCs w:val="32"/>
        </w:rPr>
      </w:pPr>
      <w:bookmarkStart w:id="36" w:name="BookMark4"/>
    </w:p>
    <w:p>
      <w:pPr>
        <w:spacing w:line="20" w:lineRule="exact"/>
        <w:jc w:val="center"/>
        <w:rPr>
          <w:rFonts w:ascii="黑体" w:hAnsi="黑体" w:eastAsia="黑体"/>
          <w:sz w:val="32"/>
          <w:szCs w:val="32"/>
        </w:rPr>
      </w:pPr>
    </w:p>
    <w:sdt>
      <w:sdtPr>
        <w:tag w:val="NEW_STAND_NAME"/>
        <w:id w:val="595910757"/>
        <w:lock w:val="sdtLocked"/>
        <w:placeholder>
          <w:docPart w:val="B6F18519501E4BFCA84B12216295086C"/>
        </w:placeholder>
      </w:sdtPr>
      <w:sdtContent>
        <w:p>
          <w:pPr>
            <w:pStyle w:val="180"/>
            <w:spacing w:before="3" w:beforeLines="1" w:after="686" w:afterLines="220"/>
          </w:pPr>
          <w:bookmarkStart w:id="37" w:name="NEW_STAND_NAME"/>
          <w:r>
            <w:rPr>
              <w:rFonts w:hint="eastAsia"/>
            </w:rPr>
            <w:t>生态井矿盐评价技术规范</w:t>
          </w:r>
        </w:p>
      </w:sdtContent>
    </w:sdt>
    <w:bookmarkEnd w:id="37"/>
    <w:p>
      <w:pPr>
        <w:pStyle w:val="107"/>
        <w:spacing w:before="312" w:after="312"/>
      </w:pPr>
      <w:bookmarkStart w:id="38" w:name="_Toc97218253"/>
      <w:bookmarkStart w:id="39" w:name="_Toc26648465"/>
      <w:bookmarkStart w:id="40" w:name="_Toc100734543"/>
      <w:bookmarkStart w:id="41" w:name="_Toc100738077"/>
      <w:bookmarkStart w:id="42" w:name="_Toc100661399"/>
      <w:bookmarkStart w:id="43" w:name="_Toc17233325"/>
      <w:bookmarkStart w:id="44" w:name="_Toc26986530"/>
      <w:bookmarkStart w:id="45" w:name="_Toc97222375"/>
      <w:bookmarkStart w:id="46" w:name="_Toc97222491"/>
      <w:bookmarkStart w:id="47" w:name="_Toc118454881"/>
      <w:bookmarkStart w:id="48" w:name="_Toc24884211"/>
      <w:bookmarkStart w:id="49" w:name="_Toc95465649"/>
      <w:bookmarkStart w:id="50" w:name="_Toc97222812"/>
      <w:bookmarkStart w:id="51" w:name="_Toc97277113"/>
      <w:bookmarkStart w:id="52" w:name="_Toc95154277"/>
      <w:bookmarkStart w:id="53" w:name="_Toc95155212"/>
      <w:bookmarkStart w:id="54" w:name="_Toc17233333"/>
      <w:bookmarkStart w:id="55" w:name="_Toc118454869"/>
      <w:bookmarkStart w:id="56" w:name="_Toc24884218"/>
      <w:bookmarkStart w:id="57" w:name="_Toc26986771"/>
      <w:bookmarkStart w:id="58" w:name="_Toc26718930"/>
      <w:bookmarkStart w:id="59" w:name="_Toc614"/>
      <w:r>
        <w:rPr>
          <w:rFonts w:hint="eastAsia"/>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59"/>
        <w:ind w:firstLine="420"/>
      </w:pPr>
      <w:bookmarkStart w:id="60" w:name="_Toc24884219"/>
      <w:bookmarkStart w:id="61" w:name="_Toc26648466"/>
      <w:bookmarkStart w:id="62" w:name="_Toc24884212"/>
      <w:bookmarkStart w:id="63" w:name="_Toc17233334"/>
      <w:bookmarkStart w:id="64" w:name="_Toc17233326"/>
      <w:r>
        <w:rPr>
          <w:rFonts w:hint="eastAsia"/>
        </w:rPr>
        <w:t>本文件规定了生态井矿盐的术语和定义、生命周期和评价体系。</w:t>
      </w:r>
    </w:p>
    <w:p>
      <w:pPr>
        <w:pStyle w:val="59"/>
        <w:ind w:firstLine="420"/>
      </w:pPr>
      <w:r>
        <w:rPr>
          <w:rFonts w:hint="eastAsia"/>
        </w:rPr>
        <w:t>本文件适用于生态井矿盐产品的评价。</w:t>
      </w:r>
    </w:p>
    <w:p>
      <w:pPr>
        <w:pStyle w:val="107"/>
        <w:spacing w:before="312" w:after="312"/>
      </w:pPr>
      <w:bookmarkStart w:id="65" w:name="_Toc26986772"/>
      <w:bookmarkStart w:id="66" w:name="_Toc97218254"/>
      <w:bookmarkStart w:id="67" w:name="_Toc97222813"/>
      <w:bookmarkStart w:id="68" w:name="_Toc26718931"/>
      <w:bookmarkStart w:id="69" w:name="_Toc26986531"/>
      <w:bookmarkStart w:id="70" w:name="_Toc100734544"/>
      <w:bookmarkStart w:id="71" w:name="_Toc97222376"/>
      <w:bookmarkStart w:id="72" w:name="_Toc118454882"/>
      <w:bookmarkStart w:id="73" w:name="_Toc100738078"/>
      <w:bookmarkStart w:id="74" w:name="_Toc95154278"/>
      <w:bookmarkStart w:id="75" w:name="_Toc100661400"/>
      <w:bookmarkStart w:id="76" w:name="_Toc97222492"/>
      <w:bookmarkStart w:id="77" w:name="_Toc95465650"/>
      <w:bookmarkStart w:id="78" w:name="_Toc95155213"/>
      <w:bookmarkStart w:id="79" w:name="_Toc118454870"/>
      <w:bookmarkStart w:id="80" w:name="_Toc97277114"/>
      <w:bookmarkStart w:id="81" w:name="_Toc27430"/>
      <w:r>
        <w:rPr>
          <w:rFonts w:hint="eastAsia"/>
        </w:rPr>
        <w:t>规范性引用文件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sdt>
      <w:sdtPr>
        <w:rPr>
          <w:rFonts w:hint="eastAsia"/>
        </w:rPr>
        <w:id w:val="715848253"/>
        <w:placeholder>
          <w:docPart w:val="2F0529CDE6524B619D7444D5BEE5252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w:t>
          </w:r>
          <w:r>
            <w:rPr>
              <w:rFonts w:hint="eastAsia"/>
              <w:highlight w:val="none"/>
            </w:rPr>
            <w:t>注日期的引用文件，仅该日期对应的版本适用于本文件</w:t>
          </w:r>
          <w:r>
            <w:rPr>
              <w:rFonts w:hint="eastAsia"/>
            </w:rPr>
            <w:t>；不注日期的引用文件，其最新版本（包括所有的修改单）适用于本文件。</w:t>
          </w:r>
        </w:p>
      </w:sdtContent>
    </w:sdt>
    <w:p>
      <w:pPr>
        <w:pStyle w:val="59"/>
        <w:ind w:firstLine="420"/>
      </w:pPr>
      <w:bookmarkStart w:id="82" w:name="_Toc97222814"/>
      <w:bookmarkStart w:id="83" w:name="_Toc97218255"/>
      <w:bookmarkStart w:id="84" w:name="_Toc97222493"/>
      <w:bookmarkStart w:id="85" w:name="_Toc95465651"/>
      <w:bookmarkStart w:id="86" w:name="_Toc95155214"/>
      <w:bookmarkStart w:id="87" w:name="_Toc95154279"/>
      <w:bookmarkStart w:id="88" w:name="_Toc97222377"/>
      <w:bookmarkStart w:id="89" w:name="_Toc97277115"/>
      <w:r>
        <w:rPr>
          <w:rFonts w:hint="eastAsia"/>
        </w:rPr>
        <w:t>GB 2721 食品安全国家标准 食用盐</w:t>
      </w:r>
    </w:p>
    <w:p>
      <w:pPr>
        <w:pStyle w:val="59"/>
        <w:ind w:firstLine="420"/>
      </w:pPr>
      <w:r>
        <w:rPr>
          <w:rFonts w:hint="eastAsia"/>
        </w:rPr>
        <w:t>GB/T 2589 综合能耗计算通则</w:t>
      </w:r>
    </w:p>
    <w:p>
      <w:pPr>
        <w:pStyle w:val="59"/>
        <w:ind w:firstLine="420"/>
      </w:pPr>
      <w:r>
        <w:rPr>
          <w:rFonts w:hint="eastAsia"/>
        </w:rPr>
        <w:t>GB 3095 环境空气质量标准</w:t>
      </w:r>
    </w:p>
    <w:p>
      <w:pPr>
        <w:pStyle w:val="59"/>
        <w:ind w:firstLine="420"/>
      </w:pPr>
      <w:r>
        <w:rPr>
          <w:rFonts w:hint="eastAsia"/>
        </w:rPr>
        <w:t>GB 3838 地表水环境质量标准</w:t>
      </w:r>
    </w:p>
    <w:p>
      <w:pPr>
        <w:pStyle w:val="59"/>
        <w:ind w:firstLine="420"/>
      </w:pPr>
      <w:r>
        <w:rPr>
          <w:rFonts w:hint="eastAsia"/>
        </w:rPr>
        <w:t>GB 4806.1  食品安全国家标准食品接触材料及制品通用安全要求</w:t>
      </w:r>
    </w:p>
    <w:p>
      <w:pPr>
        <w:pStyle w:val="59"/>
        <w:ind w:firstLine="420"/>
      </w:pPr>
      <w:r>
        <w:rPr>
          <w:rFonts w:hint="eastAsia"/>
        </w:rPr>
        <w:t>GB 5009.11 食品安全国家标准 食品中总砷及无机砷的测定</w:t>
      </w:r>
    </w:p>
    <w:p>
      <w:pPr>
        <w:pStyle w:val="59"/>
        <w:ind w:firstLine="420"/>
      </w:pPr>
      <w:r>
        <w:rPr>
          <w:rFonts w:hint="eastAsia"/>
        </w:rPr>
        <w:t>GB 5009.12 食品安全国家标准 食品中铅的测定</w:t>
      </w:r>
    </w:p>
    <w:p>
      <w:pPr>
        <w:pStyle w:val="59"/>
        <w:ind w:firstLine="420"/>
      </w:pPr>
      <w:r>
        <w:rPr>
          <w:rFonts w:hint="eastAsia"/>
        </w:rPr>
        <w:t>GB 5009.15 食品安全国家标准 食品中镉的测定</w:t>
      </w:r>
    </w:p>
    <w:p>
      <w:pPr>
        <w:pStyle w:val="59"/>
        <w:ind w:firstLine="420"/>
      </w:pPr>
      <w:r>
        <w:rPr>
          <w:rFonts w:hint="eastAsia"/>
        </w:rPr>
        <w:t>GB 5009.17 食品安全国家标准 食品中总汞及有机汞的测定</w:t>
      </w:r>
    </w:p>
    <w:p>
      <w:pPr>
        <w:pStyle w:val="59"/>
        <w:ind w:firstLine="420"/>
      </w:pPr>
      <w:r>
        <w:rPr>
          <w:rFonts w:hint="eastAsia"/>
        </w:rPr>
        <w:t>GB 5009.42 食品安全国家标准</w:t>
      </w:r>
      <w:r>
        <w:rPr>
          <w:rFonts w:hint="eastAsia"/>
        </w:rPr>
        <w:tab/>
      </w:r>
      <w:r>
        <w:rPr>
          <w:rFonts w:hint="eastAsia"/>
        </w:rPr>
        <w:t>食盐指标的测定</w:t>
      </w:r>
    </w:p>
    <w:p>
      <w:pPr>
        <w:pStyle w:val="59"/>
        <w:ind w:firstLine="420"/>
      </w:pPr>
      <w:r>
        <w:rPr>
          <w:rFonts w:hint="eastAsia"/>
        </w:rPr>
        <w:t>GB 5009.271 食品安全国家标准 食品中邻苯二甲酸酯的测定</w:t>
      </w:r>
    </w:p>
    <w:p>
      <w:pPr>
        <w:pStyle w:val="59"/>
        <w:ind w:firstLine="420"/>
      </w:pPr>
      <w:r>
        <w:rPr>
          <w:rFonts w:hint="eastAsia"/>
        </w:rPr>
        <w:t>GB 5749 生活饮用水卫生标准</w:t>
      </w:r>
    </w:p>
    <w:p>
      <w:pPr>
        <w:pStyle w:val="59"/>
        <w:ind w:firstLine="420"/>
      </w:pPr>
      <w:r>
        <w:rPr>
          <w:rFonts w:hint="eastAsia"/>
        </w:rPr>
        <w:t>GB 8978 污水综合排放标准</w:t>
      </w:r>
    </w:p>
    <w:p>
      <w:pPr>
        <w:pStyle w:val="59"/>
        <w:ind w:firstLine="420"/>
      </w:pPr>
      <w:r>
        <w:rPr>
          <w:rFonts w:hint="eastAsia"/>
        </w:rPr>
        <w:t>GB 12348 工业企业厂界环境噪声排放标准</w:t>
      </w:r>
    </w:p>
    <w:p>
      <w:pPr>
        <w:pStyle w:val="59"/>
        <w:ind w:firstLine="420"/>
      </w:pPr>
      <w:r>
        <w:rPr>
          <w:rFonts w:hint="eastAsia"/>
        </w:rPr>
        <w:t>GB/T 13025.4 制盐工业通用试验方法 水不溶物的测定</w:t>
      </w:r>
    </w:p>
    <w:p>
      <w:pPr>
        <w:pStyle w:val="59"/>
        <w:ind w:firstLine="420"/>
      </w:pPr>
      <w:r>
        <w:rPr>
          <w:rFonts w:hint="eastAsia"/>
        </w:rPr>
        <w:t>GB/T 13025.7 制盐工业通用试验方法 碘的测定</w:t>
      </w:r>
    </w:p>
    <w:p>
      <w:pPr>
        <w:pStyle w:val="59"/>
        <w:ind w:firstLine="420"/>
      </w:pPr>
      <w:r>
        <w:rPr>
          <w:rFonts w:hint="eastAsia"/>
        </w:rPr>
        <w:t>GB 13271 锅炉大气污染物排放标准</w:t>
      </w:r>
    </w:p>
    <w:p>
      <w:pPr>
        <w:pStyle w:val="59"/>
        <w:ind w:firstLine="420"/>
      </w:pPr>
      <w:r>
        <w:rPr>
          <w:rFonts w:hint="eastAsia"/>
        </w:rPr>
        <w:t>GB 14881 食品安全国家标准 食品生产通用卫生规范</w:t>
      </w:r>
    </w:p>
    <w:p>
      <w:pPr>
        <w:pStyle w:val="59"/>
        <w:ind w:firstLine="420"/>
      </w:pPr>
      <w:r>
        <w:rPr>
          <w:rFonts w:hint="eastAsia"/>
        </w:rPr>
        <w:t>GB 16297 大气污染物综合排放标准</w:t>
      </w:r>
    </w:p>
    <w:p>
      <w:pPr>
        <w:pStyle w:val="59"/>
        <w:ind w:firstLine="420"/>
      </w:pPr>
      <w:r>
        <w:rPr>
          <w:rFonts w:hint="eastAsia"/>
        </w:rPr>
        <w:t>GB/T 19420</w:t>
      </w:r>
      <w:r>
        <w:rPr>
          <w:rFonts w:hint="eastAsia"/>
          <w:lang w:val="en-US" w:eastAsia="zh-CN"/>
        </w:rPr>
        <w:t xml:space="preserve"> </w:t>
      </w:r>
      <w:r>
        <w:rPr>
          <w:rFonts w:hint="eastAsia"/>
        </w:rPr>
        <w:t>制盐工业术语</w:t>
      </w:r>
    </w:p>
    <w:p>
      <w:pPr>
        <w:pStyle w:val="59"/>
        <w:ind w:firstLine="420"/>
      </w:pPr>
      <w:r>
        <w:rPr>
          <w:rFonts w:hint="eastAsia"/>
        </w:rPr>
        <w:t>GB 26878 食品安全国家标准食用盐碘含量</w:t>
      </w:r>
      <w:bookmarkStart w:id="381" w:name="_GoBack"/>
      <w:bookmarkEnd w:id="381"/>
    </w:p>
    <w:p>
      <w:pPr>
        <w:pStyle w:val="59"/>
        <w:ind w:firstLine="420"/>
      </w:pPr>
      <w:r>
        <w:rPr>
          <w:rFonts w:hint="eastAsia"/>
        </w:rPr>
        <w:t>NY/T 391 绿色食品 产地环境质量</w:t>
      </w:r>
    </w:p>
    <w:p>
      <w:pPr>
        <w:pStyle w:val="59"/>
        <w:ind w:firstLine="420"/>
      </w:pPr>
      <w:r>
        <w:rPr>
          <w:rFonts w:hint="eastAsia"/>
        </w:rPr>
        <w:t>NY/T 1054 绿色食品 产地环境调查、监测与评价规范</w:t>
      </w:r>
    </w:p>
    <w:p>
      <w:pPr>
        <w:pStyle w:val="107"/>
        <w:spacing w:before="312" w:after="312"/>
      </w:pPr>
      <w:bookmarkStart w:id="90" w:name="_Toc118454883"/>
      <w:bookmarkStart w:id="91" w:name="_Toc100661401"/>
      <w:bookmarkStart w:id="92" w:name="_Toc100738079"/>
      <w:bookmarkStart w:id="93" w:name="_Toc118454871"/>
      <w:bookmarkStart w:id="94" w:name="_Toc100734545"/>
      <w:bookmarkStart w:id="95" w:name="_Toc32160"/>
      <w:r>
        <w:rPr>
          <w:rFonts w:hint="eastAsia"/>
          <w:szCs w:val="21"/>
        </w:rPr>
        <w:t>术语和定义</w:t>
      </w:r>
      <w:bookmarkEnd w:id="82"/>
      <w:bookmarkEnd w:id="83"/>
      <w:bookmarkEnd w:id="84"/>
      <w:bookmarkEnd w:id="85"/>
      <w:bookmarkEnd w:id="86"/>
      <w:bookmarkEnd w:id="87"/>
      <w:bookmarkEnd w:id="88"/>
      <w:bookmarkEnd w:id="89"/>
      <w:bookmarkEnd w:id="90"/>
      <w:bookmarkEnd w:id="91"/>
      <w:bookmarkEnd w:id="92"/>
      <w:bookmarkEnd w:id="93"/>
      <w:bookmarkEnd w:id="94"/>
      <w:bookmarkEnd w:id="95"/>
    </w:p>
    <w:sdt>
      <w:sdtPr>
        <w:id w:val="-1909835108"/>
        <w:placeholder>
          <w:docPart w:val="A1F882F7F6C745B5A94979118BB7BC4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96" w:name="_Toc26986532"/>
          <w:bookmarkEnd w:id="96"/>
          <w:r>
            <w:rPr>
              <w:rFonts w:hint="eastAsia"/>
            </w:rPr>
            <w:t>GB/T 19420界定的以及</w:t>
          </w:r>
          <w:r>
            <w:t>下列术语和定义适用于本文件。</w:t>
          </w:r>
        </w:p>
      </w:sdtContent>
    </w:sdt>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食用盐 (食盐)edible salt</w:t>
      </w:r>
    </w:p>
    <w:p>
      <w:pPr>
        <w:pStyle w:val="59"/>
        <w:ind w:firstLine="420"/>
      </w:pPr>
      <w:r>
        <w:rPr>
          <w:rFonts w:hint="eastAsia"/>
        </w:rPr>
        <w:t>以氯化钠为主要成分，直接食用或用于食品加工的盐。</w:t>
      </w:r>
    </w:p>
    <w:p>
      <w:pPr>
        <w:pStyle w:val="59"/>
        <w:ind w:firstLine="420"/>
      </w:pPr>
      <w:r>
        <w:rPr>
          <w:rFonts w:hint="eastAsia"/>
        </w:rPr>
        <w:t>[来源：GB/T 19420—2021，4.1.5]</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井矿盐 well and rock salt</w:t>
      </w:r>
    </w:p>
    <w:p>
      <w:pPr>
        <w:pStyle w:val="59"/>
        <w:ind w:firstLine="420"/>
      </w:pPr>
      <w:r>
        <w:rPr>
          <w:rFonts w:hint="eastAsia"/>
        </w:rPr>
        <w:t>以石盐矿石或地下天然卤水(不含沿海地下卤水)为原料制成的盐。</w:t>
      </w:r>
    </w:p>
    <w:p>
      <w:pPr>
        <w:pStyle w:val="59"/>
        <w:ind w:firstLine="420"/>
      </w:pPr>
      <w:r>
        <w:rPr>
          <w:rFonts w:hint="eastAsia"/>
        </w:rPr>
        <w:t>[来源：GB/T 19420—2021，3.4]</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生态井矿盐 ecological well and rock salt</w:t>
      </w:r>
    </w:p>
    <w:p>
      <w:pPr>
        <w:pStyle w:val="59"/>
        <w:ind w:firstLine="420"/>
      </w:pPr>
      <w:r>
        <w:rPr>
          <w:rFonts w:hint="eastAsia"/>
        </w:rPr>
        <w:t>以产自生态环境良好、无污染的石盐矿为原料，按照生态井矿盐评价技术规范生产，实行全程质量控制，对资源环境无不良影响的优质食用盐。</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生命周期  life cycle</w:t>
      </w:r>
    </w:p>
    <w:p>
      <w:pPr>
        <w:pStyle w:val="59"/>
        <w:ind w:firstLine="420"/>
      </w:pPr>
      <w:r>
        <w:rPr>
          <w:rFonts w:hint="eastAsia"/>
        </w:rPr>
        <w:t>产品系统中前后衔接的一系列阶段，从自然界或从自然界中获取原材料，直至产品的运输环节。对于本标准来说，生命周期包括原材料的获取、能源和材料的生产、产品制造和使用到产品末期的处理和最终处置。</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卤水精制  brine refining</w:t>
      </w:r>
    </w:p>
    <w:p>
      <w:pPr>
        <w:pStyle w:val="59"/>
        <w:ind w:firstLine="420"/>
      </w:pPr>
      <w:r>
        <w:rPr>
          <w:rFonts w:hint="eastAsia"/>
        </w:rPr>
        <w:t>用物理方法除去卤水中可溶或不溶杂质，达到生态井矿盐生产要求的过程。</w:t>
      </w:r>
    </w:p>
    <w:p>
      <w:pPr>
        <w:pStyle w:val="107"/>
        <w:spacing w:before="312" w:after="312"/>
      </w:pPr>
      <w:bookmarkStart w:id="97" w:name="_Toc100661402"/>
      <w:bookmarkStart w:id="98" w:name="_Toc97222815"/>
      <w:bookmarkStart w:id="99" w:name="_Toc100738080"/>
      <w:bookmarkStart w:id="100" w:name="_Toc100734546"/>
      <w:bookmarkStart w:id="101" w:name="_Toc97222494"/>
      <w:bookmarkStart w:id="102" w:name="_Toc97222378"/>
      <w:bookmarkStart w:id="103" w:name="_Toc97277116"/>
      <w:bookmarkStart w:id="104" w:name="_Toc97218256"/>
      <w:bookmarkStart w:id="105" w:name="_Toc118454872"/>
      <w:bookmarkStart w:id="106" w:name="_Toc118454884"/>
      <w:bookmarkStart w:id="107" w:name="_Toc11761"/>
      <w:r>
        <w:rPr>
          <w:rFonts w:hint="eastAsia"/>
        </w:rPr>
        <w:t>生命周期</w:t>
      </w:r>
      <w:bookmarkEnd w:id="97"/>
      <w:bookmarkEnd w:id="98"/>
      <w:bookmarkEnd w:id="99"/>
      <w:bookmarkEnd w:id="100"/>
      <w:bookmarkEnd w:id="101"/>
      <w:bookmarkEnd w:id="102"/>
      <w:bookmarkEnd w:id="103"/>
      <w:bookmarkEnd w:id="104"/>
      <w:bookmarkEnd w:id="105"/>
      <w:bookmarkEnd w:id="106"/>
      <w:bookmarkEnd w:id="107"/>
    </w:p>
    <w:p>
      <w:pPr>
        <w:pStyle w:val="59"/>
        <w:ind w:firstLine="420"/>
      </w:pPr>
      <w:r>
        <w:rPr>
          <w:rFonts w:hint="eastAsia"/>
        </w:rPr>
        <w:t>生态井矿盐生命周期流程见图1。</w:t>
      </w:r>
    </w:p>
    <w:p>
      <w:pPr>
        <w:pStyle w:val="59"/>
        <w:ind w:firstLine="420"/>
      </w:pPr>
      <w:r>
        <w:drawing>
          <wp:inline distT="0" distB="0" distL="114300" distR="114300">
            <wp:extent cx="4986655" cy="2562860"/>
            <wp:effectExtent l="0" t="0" r="4445"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7"/>
                    <a:stretch>
                      <a:fillRect/>
                    </a:stretch>
                  </pic:blipFill>
                  <pic:spPr>
                    <a:xfrm>
                      <a:off x="0" y="0"/>
                      <a:ext cx="4986655" cy="2562860"/>
                    </a:xfrm>
                    <a:prstGeom prst="rect">
                      <a:avLst/>
                    </a:prstGeom>
                    <a:noFill/>
                    <a:ln>
                      <a:noFill/>
                    </a:ln>
                  </pic:spPr>
                </pic:pic>
              </a:graphicData>
            </a:graphic>
          </wp:inline>
        </w:drawing>
      </w:r>
    </w:p>
    <w:p>
      <w:pPr>
        <w:pStyle w:val="117"/>
        <w:spacing w:before="156" w:after="156"/>
      </w:pPr>
      <w:r>
        <w:rPr>
          <w:rFonts w:hint="eastAsia"/>
        </w:rPr>
        <w:t>生态井矿盐生命周期</w:t>
      </w:r>
    </w:p>
    <w:p>
      <w:pPr>
        <w:pStyle w:val="107"/>
        <w:spacing w:before="312" w:after="312"/>
      </w:pPr>
      <w:bookmarkStart w:id="108" w:name="_Toc92284957"/>
      <w:bookmarkStart w:id="109" w:name="_Toc118454873"/>
      <w:bookmarkStart w:id="110" w:name="_Toc100738081"/>
      <w:bookmarkStart w:id="111" w:name="_Toc118454885"/>
      <w:bookmarkStart w:id="112" w:name="_Toc100661403"/>
      <w:bookmarkStart w:id="113" w:name="_Toc100734547"/>
      <w:bookmarkStart w:id="114" w:name="_Toc15344"/>
      <w:r>
        <w:rPr>
          <w:rFonts w:hint="eastAsia"/>
        </w:rPr>
        <w:t>评价体系</w:t>
      </w:r>
      <w:bookmarkEnd w:id="108"/>
      <w:bookmarkEnd w:id="109"/>
      <w:bookmarkEnd w:id="110"/>
      <w:bookmarkEnd w:id="111"/>
      <w:bookmarkEnd w:id="112"/>
      <w:bookmarkEnd w:id="113"/>
      <w:bookmarkEnd w:id="114"/>
    </w:p>
    <w:p>
      <w:pPr>
        <w:pStyle w:val="108"/>
        <w:spacing w:before="156" w:after="156"/>
      </w:pPr>
      <w:bookmarkStart w:id="115" w:name="_Toc118454886"/>
      <w:bookmarkStart w:id="116" w:name="_Toc92284958"/>
      <w:bookmarkStart w:id="117" w:name="_Toc100738082"/>
      <w:bookmarkStart w:id="118" w:name="_Toc7540587"/>
      <w:bookmarkStart w:id="119" w:name="_Toc118454874"/>
      <w:bookmarkStart w:id="120" w:name="_Toc23881488"/>
      <w:bookmarkStart w:id="121" w:name="_Toc100661404"/>
      <w:bookmarkStart w:id="122" w:name="_Toc7433618"/>
      <w:bookmarkStart w:id="123" w:name="_Toc24218912"/>
      <w:bookmarkStart w:id="124" w:name="_Toc100734548"/>
      <w:bookmarkStart w:id="125" w:name="_Toc23881392"/>
      <w:bookmarkStart w:id="126" w:name="_Toc24215657"/>
      <w:bookmarkStart w:id="127" w:name="_Toc24218763"/>
      <w:bookmarkStart w:id="128" w:name="_Toc7432397"/>
      <w:bookmarkStart w:id="129" w:name="_Toc29328"/>
      <w:r>
        <w:rPr>
          <w:rFonts w:hint="eastAsia"/>
        </w:rPr>
        <w:t>体系构成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pStyle w:val="59"/>
        <w:ind w:firstLine="420"/>
      </w:pPr>
      <w:r>
        <w:rPr>
          <w:rFonts w:hint="eastAsia"/>
        </w:rPr>
        <w:t>生态井矿盐</w:t>
      </w:r>
      <w:r>
        <w:t>评价</w:t>
      </w:r>
      <w:r>
        <w:rPr>
          <w:rFonts w:hint="eastAsia"/>
        </w:rPr>
        <w:t>体系</w:t>
      </w:r>
      <w:r>
        <w:t>包括</w:t>
      </w:r>
      <w:r>
        <w:rPr>
          <w:rFonts w:hint="eastAsia"/>
        </w:rPr>
        <w:t>基础</w:t>
      </w:r>
      <w:r>
        <w:t>性</w:t>
      </w:r>
      <w:r>
        <w:rPr>
          <w:rFonts w:hint="eastAsia"/>
        </w:rPr>
        <w:t>评价和</w:t>
      </w:r>
      <w:r>
        <w:t>指标</w:t>
      </w:r>
      <w:r>
        <w:rPr>
          <w:rFonts w:hint="eastAsia"/>
        </w:rPr>
        <w:t>性评价</w:t>
      </w:r>
      <w:r>
        <w:rPr>
          <w:highlight w:val="none"/>
        </w:rPr>
        <w:t>两部分</w:t>
      </w:r>
      <w:r>
        <w:rPr>
          <w:rFonts w:hint="eastAsia"/>
        </w:rPr>
        <w:t>。</w:t>
      </w:r>
      <w:r>
        <w:t>其中</w:t>
      </w:r>
      <w:r>
        <w:rPr>
          <w:rFonts w:hint="eastAsia"/>
        </w:rPr>
        <w:t>：</w:t>
      </w:r>
    </w:p>
    <w:p>
      <w:pPr>
        <w:pStyle w:val="177"/>
      </w:pPr>
      <w:r>
        <w:rPr>
          <w:rFonts w:hint="eastAsia"/>
        </w:rPr>
        <w:t>基础性评价，</w:t>
      </w:r>
      <w:r>
        <w:t>主要</w:t>
      </w:r>
      <w:r>
        <w:rPr>
          <w:rFonts w:hint="eastAsia"/>
        </w:rPr>
        <w:t>包括</w:t>
      </w:r>
      <w:r>
        <w:t>企业的资质、节能环保、工艺技术等方面</w:t>
      </w:r>
      <w:r>
        <w:rPr>
          <w:rFonts w:hint="eastAsia"/>
        </w:rPr>
        <w:t>的评价</w:t>
      </w:r>
      <w:r>
        <w:t>；</w:t>
      </w:r>
    </w:p>
    <w:p>
      <w:pPr>
        <w:pStyle w:val="177"/>
      </w:pPr>
      <w:r>
        <w:rPr>
          <w:rFonts w:hint="eastAsia"/>
        </w:rPr>
        <w:t>指标性评价，主要包括：</w:t>
      </w:r>
    </w:p>
    <w:p>
      <w:pPr>
        <w:pStyle w:val="112"/>
      </w:pPr>
      <w:r>
        <w:rPr>
          <w:rFonts w:hint="eastAsia"/>
        </w:rPr>
        <w:t>资源属性评价：</w:t>
      </w:r>
      <w:r>
        <w:t>主要</w:t>
      </w:r>
      <w:r>
        <w:rPr>
          <w:rFonts w:hint="eastAsia"/>
        </w:rPr>
        <w:t>包括</w:t>
      </w:r>
      <w:r>
        <w:t>企业在</w:t>
      </w:r>
      <w:r>
        <w:rPr>
          <w:rFonts w:hint="eastAsia"/>
        </w:rPr>
        <w:t>生态井矿盐</w:t>
      </w:r>
      <w:r>
        <w:t>生命周期中所</w:t>
      </w:r>
      <w:r>
        <w:rPr>
          <w:rFonts w:hint="eastAsia"/>
        </w:rPr>
        <w:t>使用</w:t>
      </w:r>
      <w:r>
        <w:t>的原材料</w:t>
      </w:r>
      <w:r>
        <w:rPr>
          <w:rFonts w:hint="eastAsia"/>
        </w:rPr>
        <w:t>、</w:t>
      </w:r>
      <w:r>
        <w:t>包装</w:t>
      </w:r>
      <w:r>
        <w:rPr>
          <w:rFonts w:hint="eastAsia"/>
        </w:rPr>
        <w:t>物</w:t>
      </w:r>
      <w:r>
        <w:t>材料等</w:t>
      </w:r>
      <w:r>
        <w:rPr>
          <w:rFonts w:hint="eastAsia"/>
        </w:rPr>
        <w:t>资源消耗以及资源综合利用等</w:t>
      </w:r>
      <w:r>
        <w:t>方面的</w:t>
      </w:r>
      <w:r>
        <w:rPr>
          <w:rFonts w:hint="eastAsia"/>
        </w:rPr>
        <w:t>评价</w:t>
      </w:r>
      <w:r>
        <w:t>；</w:t>
      </w:r>
    </w:p>
    <w:p>
      <w:pPr>
        <w:pStyle w:val="112"/>
      </w:pPr>
      <w:r>
        <w:rPr>
          <w:rFonts w:hint="eastAsia"/>
        </w:rPr>
        <w:t>能源属性评价：</w:t>
      </w:r>
      <w:r>
        <w:t>主要</w:t>
      </w:r>
      <w:r>
        <w:rPr>
          <w:rFonts w:hint="eastAsia"/>
        </w:rPr>
        <w:t>包括</w:t>
      </w:r>
      <w:r>
        <w:t>企业在</w:t>
      </w:r>
      <w:r>
        <w:rPr>
          <w:rFonts w:hint="eastAsia"/>
        </w:rPr>
        <w:t>生态井矿盐</w:t>
      </w:r>
      <w:r>
        <w:t>生命周期中</w:t>
      </w:r>
      <w:r>
        <w:rPr>
          <w:rFonts w:hint="eastAsia"/>
        </w:rPr>
        <w:t>能耗</w:t>
      </w:r>
      <w:r>
        <w:t>等</w:t>
      </w:r>
      <w:r>
        <w:rPr>
          <w:rFonts w:hint="eastAsia"/>
        </w:rPr>
        <w:t>能源使用</w:t>
      </w:r>
      <w:r>
        <w:t>和利用方面的</w:t>
      </w:r>
      <w:r>
        <w:rPr>
          <w:rFonts w:hint="eastAsia"/>
        </w:rPr>
        <w:t>评价</w:t>
      </w:r>
      <w:r>
        <w:t>；</w:t>
      </w:r>
    </w:p>
    <w:p>
      <w:pPr>
        <w:pStyle w:val="112"/>
      </w:pPr>
      <w:r>
        <w:rPr>
          <w:rFonts w:hint="eastAsia"/>
        </w:rPr>
        <w:t>环境属性评价：</w:t>
      </w:r>
      <w:r>
        <w:t>主要</w:t>
      </w:r>
      <w:r>
        <w:rPr>
          <w:rFonts w:hint="eastAsia"/>
        </w:rPr>
        <w:t>包括</w:t>
      </w:r>
      <w:r>
        <w:t>企业选址</w:t>
      </w:r>
      <w:r>
        <w:rPr>
          <w:rFonts w:hint="eastAsia"/>
        </w:rPr>
        <w:t>以及生产</w:t>
      </w:r>
      <w:r>
        <w:t>加工过程中的污染物排放、有毒有害物质释放</w:t>
      </w:r>
      <w:r>
        <w:rPr>
          <w:rFonts w:hint="eastAsia"/>
        </w:rPr>
        <w:t>、环境恢复治理</w:t>
      </w:r>
      <w:r>
        <w:t>等</w:t>
      </w:r>
      <w:r>
        <w:rPr>
          <w:rFonts w:hint="eastAsia"/>
        </w:rPr>
        <w:t>环境</w:t>
      </w:r>
      <w:r>
        <w:t>保护方面的</w:t>
      </w:r>
      <w:r>
        <w:rPr>
          <w:rFonts w:hint="eastAsia"/>
        </w:rPr>
        <w:t>评价</w:t>
      </w:r>
      <w:r>
        <w:t>；</w:t>
      </w:r>
    </w:p>
    <w:p>
      <w:pPr>
        <w:pStyle w:val="112"/>
      </w:pPr>
      <w:r>
        <w:rPr>
          <w:rFonts w:hint="eastAsia"/>
        </w:rPr>
        <w:t>品质</w:t>
      </w:r>
      <w:r>
        <w:t>属性</w:t>
      </w:r>
      <w:r>
        <w:rPr>
          <w:rFonts w:hint="eastAsia"/>
        </w:rPr>
        <w:t>评价：</w:t>
      </w:r>
      <w:r>
        <w:t>主要</w:t>
      </w:r>
      <w:r>
        <w:rPr>
          <w:rFonts w:hint="eastAsia"/>
        </w:rPr>
        <w:t>包括</w:t>
      </w:r>
      <w:r>
        <w:t>产品</w:t>
      </w:r>
      <w:r>
        <w:rPr>
          <w:rFonts w:hint="eastAsia"/>
        </w:rPr>
        <w:t>性能、质量安全</w:t>
      </w:r>
      <w:r>
        <w:t>等方面的</w:t>
      </w:r>
      <w:r>
        <w:rPr>
          <w:rFonts w:hint="eastAsia"/>
        </w:rPr>
        <w:t>评价</w:t>
      </w:r>
      <w:r>
        <w:t>。</w:t>
      </w:r>
      <w:bookmarkStart w:id="130" w:name="_Toc524299392"/>
      <w:bookmarkStart w:id="131" w:name="_Toc522878974"/>
      <w:bookmarkStart w:id="132" w:name="_Toc523959398"/>
      <w:bookmarkStart w:id="133" w:name="_Toc524299302"/>
      <w:bookmarkStart w:id="134" w:name="_Toc529899964"/>
      <w:bookmarkStart w:id="135" w:name="_Toc23881489"/>
      <w:bookmarkStart w:id="136" w:name="_Toc24218764"/>
      <w:bookmarkStart w:id="137" w:name="_Toc529898289"/>
      <w:bookmarkStart w:id="138" w:name="_Toc531151798"/>
      <w:bookmarkStart w:id="139" w:name="_Toc7540588"/>
      <w:bookmarkStart w:id="140" w:name="_Toc7433619"/>
      <w:bookmarkStart w:id="141" w:name="_Toc531033885"/>
      <w:bookmarkStart w:id="142" w:name="_Toc529898390"/>
      <w:bookmarkStart w:id="143" w:name="_Toc7432398"/>
      <w:bookmarkStart w:id="144" w:name="_Toc531277254"/>
      <w:bookmarkStart w:id="145" w:name="_Toc23881393"/>
      <w:bookmarkStart w:id="146" w:name="_Toc5887102"/>
      <w:bookmarkStart w:id="147" w:name="_Toc24218913"/>
      <w:bookmarkStart w:id="148" w:name="_Toc526708215"/>
      <w:bookmarkStart w:id="149" w:name="_Toc24215658"/>
      <w:bookmarkStart w:id="150" w:name="_Toc529900417"/>
      <w:bookmarkStart w:id="151" w:name="_Toc530237515"/>
      <w:bookmarkStart w:id="152" w:name="_Toc5887167"/>
      <w:bookmarkStart w:id="153" w:name="_Toc529953620"/>
      <w:bookmarkStart w:id="154" w:name="_Toc531123029"/>
      <w:bookmarkStart w:id="155" w:name="_Toc529900807"/>
    </w:p>
    <w:p>
      <w:pPr>
        <w:pStyle w:val="108"/>
        <w:spacing w:before="156" w:after="156"/>
      </w:pPr>
      <w:bookmarkStart w:id="156" w:name="_Toc92284959"/>
      <w:bookmarkStart w:id="157" w:name="_Toc118454887"/>
      <w:bookmarkStart w:id="158" w:name="_Toc100661405"/>
      <w:bookmarkStart w:id="159" w:name="_Toc118454875"/>
      <w:bookmarkStart w:id="160" w:name="_Toc100734549"/>
      <w:bookmarkStart w:id="161" w:name="_Toc100738083"/>
      <w:bookmarkStart w:id="162" w:name="_Toc13445"/>
      <w:r>
        <w:rPr>
          <w:rFonts w:hint="eastAsia"/>
        </w:rPr>
        <w:t>基础性</w:t>
      </w:r>
      <w:bookmarkEnd w:id="130"/>
      <w:bookmarkEnd w:id="131"/>
      <w:bookmarkEnd w:id="132"/>
      <w:bookmarkEnd w:id="133"/>
      <w:r>
        <w:rPr>
          <w:rFonts w:hint="eastAsia"/>
        </w:rPr>
        <w:t>评价</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pStyle w:val="68"/>
        <w:spacing w:before="156" w:after="156"/>
      </w:pPr>
      <w:bookmarkStart w:id="163" w:name="_Toc531151799"/>
      <w:bookmarkStart w:id="164" w:name="_Toc529898391"/>
      <w:bookmarkStart w:id="165" w:name="_Toc118454888"/>
      <w:bookmarkStart w:id="166" w:name="_Toc529900808"/>
      <w:bookmarkStart w:id="167" w:name="_Toc530237516"/>
      <w:bookmarkStart w:id="168" w:name="_Toc531123030"/>
      <w:bookmarkStart w:id="169" w:name="_Toc100661406"/>
      <w:bookmarkStart w:id="170" w:name="_Toc529898290"/>
      <w:bookmarkStart w:id="171" w:name="_Toc526708216"/>
      <w:bookmarkStart w:id="172" w:name="_Toc531033886"/>
      <w:bookmarkStart w:id="173" w:name="_Toc529900418"/>
      <w:bookmarkStart w:id="174" w:name="_Toc5887168"/>
      <w:bookmarkStart w:id="175" w:name="_Toc5887103"/>
      <w:bookmarkStart w:id="176" w:name="_Toc529899965"/>
      <w:bookmarkStart w:id="177" w:name="_Toc524299393"/>
      <w:bookmarkStart w:id="178" w:name="_Toc524299303"/>
      <w:bookmarkStart w:id="179" w:name="_Toc529953621"/>
      <w:bookmarkStart w:id="180" w:name="_Toc531277255"/>
      <w:bookmarkStart w:id="181" w:name="_Toc26134"/>
      <w:r>
        <w:rPr>
          <w:rFonts w:hint="eastAsia"/>
        </w:rPr>
        <w:t>评价要求</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pStyle w:val="97"/>
        <w:spacing w:before="156" w:after="156"/>
      </w:pPr>
      <w:r>
        <w:rPr>
          <w:rFonts w:hint="eastAsia"/>
        </w:rPr>
        <w:t>企业资质</w:t>
      </w:r>
    </w:p>
    <w:p>
      <w:pPr>
        <w:pStyle w:val="59"/>
        <w:ind w:firstLine="420"/>
      </w:pPr>
      <w:r>
        <w:rPr>
          <w:rFonts w:hint="eastAsia"/>
        </w:rPr>
        <w:t>生态井矿盐生产企业资质要求包括：</w:t>
      </w:r>
    </w:p>
    <w:p>
      <w:pPr>
        <w:pStyle w:val="177"/>
        <w:numPr>
          <w:ilvl w:val="0"/>
          <w:numId w:val="33"/>
        </w:numPr>
      </w:pPr>
      <w:r>
        <w:rPr>
          <w:rFonts w:hint="eastAsia"/>
        </w:rPr>
        <w:t>应为依法设立的食盐定点生产企业；</w:t>
      </w:r>
    </w:p>
    <w:p>
      <w:pPr>
        <w:pStyle w:val="177"/>
      </w:pPr>
      <w:r>
        <w:rPr>
          <w:rFonts w:hint="eastAsia"/>
        </w:rPr>
        <w:t>应建立实施质量、环境、职业健康安全管理体系、食品安全管理体系，并持续改进；</w:t>
      </w:r>
    </w:p>
    <w:p>
      <w:pPr>
        <w:pStyle w:val="177"/>
      </w:pPr>
      <w:r>
        <w:rPr>
          <w:rFonts w:hint="eastAsia"/>
        </w:rPr>
        <w:t>应独立建设生态井矿盐生产线及对应的管理制度；</w:t>
      </w:r>
    </w:p>
    <w:p>
      <w:pPr>
        <w:pStyle w:val="177"/>
      </w:pPr>
      <w:r>
        <w:rPr>
          <w:rFonts w:hint="eastAsia"/>
        </w:rPr>
        <w:t>近三年无重大安全和环境污染事故</w:t>
      </w:r>
      <w:r>
        <w:rPr>
          <w:rFonts w:hint="eastAsia"/>
          <w:lang w:eastAsia="zh-CN"/>
        </w:rPr>
        <w:t>。</w:t>
      </w:r>
    </w:p>
    <w:p>
      <w:pPr>
        <w:pStyle w:val="97"/>
        <w:spacing w:before="156" w:after="156"/>
      </w:pPr>
      <w:r>
        <w:rPr>
          <w:rFonts w:hint="eastAsia"/>
        </w:rPr>
        <w:t>环境保护</w:t>
      </w:r>
    </w:p>
    <w:p>
      <w:pPr>
        <w:pStyle w:val="235"/>
        <w:ind w:firstLine="420"/>
      </w:pPr>
      <w:r>
        <w:rPr>
          <w:rFonts w:hint="eastAsia"/>
        </w:rPr>
        <w:t>生态井矿盐</w:t>
      </w:r>
      <w:r>
        <w:t>生产企业环境保护要求包括：</w:t>
      </w:r>
    </w:p>
    <w:p>
      <w:pPr>
        <w:pStyle w:val="177"/>
        <w:numPr>
          <w:ilvl w:val="0"/>
          <w:numId w:val="34"/>
        </w:numPr>
        <w:rPr>
          <w:rFonts w:hint="eastAsia"/>
        </w:rPr>
      </w:pPr>
      <w:r>
        <w:rPr>
          <w:rFonts w:hint="eastAsia"/>
        </w:rPr>
        <w:t>建立完备的环境管理与检测机制，包括但不限于环境监测制度、环境监测设备和应急响应机制；</w:t>
      </w:r>
    </w:p>
    <w:p>
      <w:pPr>
        <w:pStyle w:val="177"/>
        <w:numPr>
          <w:ilvl w:val="0"/>
          <w:numId w:val="34"/>
        </w:numPr>
      </w:pPr>
      <w:r>
        <w:rPr>
          <w:rFonts w:hint="eastAsia"/>
        </w:rPr>
        <w:t>生产企业的污染物排放应达到国家和（或）地方污染物排放标准的强制性要求，污染物总量应不超过企业</w:t>
      </w:r>
      <w:r>
        <w:t>所在地</w:t>
      </w:r>
      <w:r>
        <w:rPr>
          <w:rFonts w:hint="eastAsia"/>
        </w:rPr>
        <w:t>国家和地方污染物排放总量控制指标；</w:t>
      </w:r>
    </w:p>
    <w:p>
      <w:pPr>
        <w:pStyle w:val="177"/>
        <w:numPr>
          <w:ilvl w:val="0"/>
          <w:numId w:val="34"/>
        </w:numPr>
      </w:pPr>
      <w:r>
        <w:rPr>
          <w:rFonts w:hint="eastAsia"/>
        </w:rPr>
        <w:t>符合节能环保国家、行业和地方标准并提供污染物排放清单；</w:t>
      </w:r>
    </w:p>
    <w:p>
      <w:pPr>
        <w:pStyle w:val="177"/>
        <w:numPr>
          <w:ilvl w:val="0"/>
          <w:numId w:val="34"/>
        </w:numPr>
      </w:pPr>
      <w:r>
        <w:rPr>
          <w:rFonts w:hint="eastAsia"/>
        </w:rPr>
        <w:t>井矿盐生产企业应有废水、废气、固废、噪音等的污染防治设施，应建立盐泥和灰渣综合利用台账，坚持科学发展，低碳发展，循环发展，着力提高生态效益和社会效益；</w:t>
      </w:r>
    </w:p>
    <w:p>
      <w:pPr>
        <w:pStyle w:val="177"/>
        <w:numPr>
          <w:ilvl w:val="0"/>
          <w:numId w:val="34"/>
        </w:numPr>
      </w:pPr>
      <w:r>
        <w:rPr>
          <w:rFonts w:hint="eastAsia"/>
        </w:rPr>
        <w:t>矿区可绿化区域应实现绿化全覆盖，且无较大面积表土裸露。</w:t>
      </w:r>
    </w:p>
    <w:p>
      <w:pPr>
        <w:pStyle w:val="97"/>
        <w:spacing w:before="156" w:after="156"/>
      </w:pPr>
      <w:r>
        <w:rPr>
          <w:rFonts w:hint="eastAsia"/>
        </w:rPr>
        <w:t>生产工艺和装备</w:t>
      </w:r>
    </w:p>
    <w:p>
      <w:pPr>
        <w:pStyle w:val="235"/>
        <w:ind w:firstLine="420"/>
      </w:pPr>
      <w:r>
        <w:rPr>
          <w:rFonts w:hint="eastAsia"/>
        </w:rPr>
        <w:t>生态井矿盐</w:t>
      </w:r>
      <w:r>
        <w:t>生产企业</w:t>
      </w:r>
      <w:r>
        <w:rPr>
          <w:rFonts w:hint="eastAsia"/>
        </w:rPr>
        <w:t>生产</w:t>
      </w:r>
      <w:r>
        <w:t>工艺</w:t>
      </w:r>
      <w:r>
        <w:rPr>
          <w:rFonts w:hint="eastAsia"/>
        </w:rPr>
        <w:t>和装备</w:t>
      </w:r>
      <w:r>
        <w:t>要求包括：</w:t>
      </w:r>
    </w:p>
    <w:p>
      <w:pPr>
        <w:pStyle w:val="177"/>
        <w:numPr>
          <w:ilvl w:val="0"/>
          <w:numId w:val="35"/>
        </w:numPr>
      </w:pPr>
      <w:r>
        <w:rPr>
          <w:rFonts w:hint="eastAsia"/>
        </w:rPr>
        <w:t>应采用国内领先的技术、工艺和装备；</w:t>
      </w:r>
    </w:p>
    <w:p>
      <w:pPr>
        <w:pStyle w:val="177"/>
      </w:pPr>
      <w:r>
        <w:rPr>
          <w:rFonts w:hint="eastAsia"/>
        </w:rPr>
        <w:t>不应使用国家、行业明令淘汰或禁止的材料，不应超越范围选用限制使用的材料；</w:t>
      </w:r>
    </w:p>
    <w:p>
      <w:pPr>
        <w:pStyle w:val="177"/>
      </w:pPr>
      <w:r>
        <w:rPr>
          <w:rFonts w:hint="eastAsia"/>
        </w:rPr>
        <w:t>工艺过程无污染、无毒、无害</w:t>
      </w:r>
      <w:r>
        <w:rPr>
          <w:rFonts w:hint="eastAsia"/>
          <w:lang w:eastAsia="zh-CN"/>
        </w:rPr>
        <w:t>；</w:t>
      </w:r>
    </w:p>
    <w:p>
      <w:pPr>
        <w:pStyle w:val="177"/>
      </w:pPr>
      <w:r>
        <w:rPr>
          <w:rFonts w:hint="eastAsia"/>
        </w:rPr>
        <w:t>建立能源管理系统，满足二级能源计量要求；</w:t>
      </w:r>
    </w:p>
    <w:p>
      <w:pPr>
        <w:pStyle w:val="177"/>
      </w:pPr>
      <w:r>
        <w:rPr>
          <w:rFonts w:hint="eastAsia"/>
        </w:rPr>
        <w:t>根据相关法律法规以及制造特点，构建环境（烟感、温度、湿度等）与污染源自动监测系统（有害气体及特征污染物、粉尘等）。</w:t>
      </w:r>
    </w:p>
    <w:p>
      <w:pPr>
        <w:pStyle w:val="68"/>
        <w:spacing w:before="156" w:after="156"/>
      </w:pPr>
      <w:bookmarkStart w:id="182" w:name="_Toc100661407"/>
      <w:bookmarkStart w:id="183" w:name="_Toc529900419"/>
      <w:bookmarkStart w:id="184" w:name="_Toc526708227"/>
      <w:bookmarkStart w:id="185" w:name="_Toc118454889"/>
      <w:bookmarkStart w:id="186" w:name="_Toc529898291"/>
      <w:bookmarkStart w:id="187" w:name="_Toc531151800"/>
      <w:bookmarkStart w:id="188" w:name="_Toc5887104"/>
      <w:bookmarkStart w:id="189" w:name="_Toc5887169"/>
      <w:bookmarkStart w:id="190" w:name="_Toc529900809"/>
      <w:bookmarkStart w:id="191" w:name="_Toc529953622"/>
      <w:bookmarkStart w:id="192" w:name="_Toc530237517"/>
      <w:bookmarkStart w:id="193" w:name="_Toc529899966"/>
      <w:bookmarkStart w:id="194" w:name="_Toc531123031"/>
      <w:bookmarkStart w:id="195" w:name="_Toc529898392"/>
      <w:bookmarkStart w:id="196" w:name="_Toc531033887"/>
      <w:bookmarkStart w:id="197" w:name="_Toc531277256"/>
      <w:bookmarkStart w:id="198" w:name="_Toc12358"/>
      <w:r>
        <w:rPr>
          <w:rFonts w:hint="eastAsia"/>
        </w:rPr>
        <w:t>判定依据</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pStyle w:val="97"/>
        <w:spacing w:before="156" w:after="156"/>
      </w:pPr>
      <w:r>
        <w:rPr>
          <w:rFonts w:hint="eastAsia"/>
        </w:rPr>
        <w:t>企业资质</w:t>
      </w:r>
    </w:p>
    <w:p>
      <w:pPr>
        <w:pStyle w:val="235"/>
        <w:ind w:firstLine="420"/>
      </w:pPr>
      <w:r>
        <w:rPr>
          <w:rFonts w:hint="eastAsia"/>
        </w:rPr>
        <w:t>企业资质的判定依据如下：</w:t>
      </w:r>
    </w:p>
    <w:p>
      <w:pPr>
        <w:pStyle w:val="177"/>
        <w:numPr>
          <w:ilvl w:val="0"/>
          <w:numId w:val="36"/>
        </w:numPr>
      </w:pPr>
      <w:r>
        <w:rPr>
          <w:rFonts w:hint="eastAsia"/>
        </w:rPr>
        <w:t>5.</w:t>
      </w:r>
      <w:r>
        <w:t>2.</w:t>
      </w:r>
      <w:r>
        <w:rPr>
          <w:rFonts w:hint="eastAsia"/>
        </w:rPr>
        <w:t>1.1 a)的</w:t>
      </w:r>
      <w:r>
        <w:t>判定依据为国家行政管理部门颁发的、在有效期内的营业执照</w:t>
      </w:r>
      <w:r>
        <w:rPr>
          <w:rFonts w:hint="eastAsia"/>
        </w:rPr>
        <w:t>以及食盐定点生产企业证书；</w:t>
      </w:r>
    </w:p>
    <w:p>
      <w:pPr>
        <w:pStyle w:val="177"/>
      </w:pPr>
      <w:bookmarkStart w:id="199" w:name="_Hlk118453144"/>
      <w:r>
        <w:t>5</w:t>
      </w:r>
      <w:r>
        <w:rPr>
          <w:rFonts w:hint="eastAsia"/>
        </w:rPr>
        <w:t>.</w:t>
      </w:r>
      <w:r>
        <w:t xml:space="preserve">2.1.1 </w:t>
      </w:r>
      <w:r>
        <w:rPr>
          <w:rFonts w:hint="eastAsia"/>
        </w:rPr>
        <w:t>b)的</w:t>
      </w:r>
      <w:r>
        <w:t>判定依据</w:t>
      </w:r>
      <w:r>
        <w:rPr>
          <w:rFonts w:hint="eastAsia"/>
        </w:rPr>
        <w:t>为具有资质的第三方认证机构提供的认证证书或</w:t>
      </w:r>
      <w:r>
        <w:t>其他佐证材料</w:t>
      </w:r>
      <w:r>
        <w:rPr>
          <w:rFonts w:hint="eastAsia"/>
        </w:rPr>
        <w:t>；</w:t>
      </w:r>
    </w:p>
    <w:bookmarkEnd w:id="199"/>
    <w:p>
      <w:pPr>
        <w:pStyle w:val="177"/>
      </w:pPr>
      <w:r>
        <w:rPr>
          <w:rFonts w:hint="eastAsia"/>
        </w:rPr>
        <w:t>5.</w:t>
      </w:r>
      <w:r>
        <w:t>2</w:t>
      </w:r>
      <w:r>
        <w:rPr>
          <w:rFonts w:hint="eastAsia"/>
        </w:rPr>
        <w:t xml:space="preserve">.1.1 </w:t>
      </w:r>
      <w:r>
        <w:t>c)</w:t>
      </w:r>
      <w:r>
        <w:rPr>
          <w:rFonts w:hint="eastAsia"/>
        </w:rPr>
        <w:t>的</w:t>
      </w:r>
      <w:r>
        <w:t>判定</w:t>
      </w:r>
      <w:r>
        <w:rPr>
          <w:rFonts w:hint="eastAsia"/>
        </w:rPr>
        <w:t>依据</w:t>
      </w:r>
      <w:r>
        <w:t>为企业提供的、具有法律</w:t>
      </w:r>
      <w:r>
        <w:rPr>
          <w:rFonts w:hint="eastAsia"/>
        </w:rPr>
        <w:t>效力</w:t>
      </w:r>
      <w:r>
        <w:t>的</w:t>
      </w:r>
      <w:r>
        <w:rPr>
          <w:rFonts w:hint="eastAsia"/>
        </w:rPr>
        <w:t>制度文本、车间布局图等佐证材料；</w:t>
      </w:r>
    </w:p>
    <w:p>
      <w:pPr>
        <w:pStyle w:val="177"/>
      </w:pPr>
      <w:r>
        <w:t>5</w:t>
      </w:r>
      <w:r>
        <w:rPr>
          <w:rFonts w:hint="eastAsia"/>
        </w:rPr>
        <w:t>.</w:t>
      </w:r>
      <w:r>
        <w:t>2.1.1 d)</w:t>
      </w:r>
      <w:r>
        <w:rPr>
          <w:rFonts w:hint="eastAsia"/>
        </w:rPr>
        <w:t>的判定依据为企业关于符合要求的自我声明或其他佐证材料</w:t>
      </w:r>
      <w:r>
        <w:rPr>
          <w:rFonts w:hint="eastAsia"/>
          <w:lang w:eastAsia="zh-CN"/>
        </w:rPr>
        <w:t>。</w:t>
      </w:r>
    </w:p>
    <w:p>
      <w:pPr>
        <w:pStyle w:val="97"/>
        <w:spacing w:before="156" w:after="156"/>
      </w:pPr>
      <w:r>
        <w:rPr>
          <w:rFonts w:hint="eastAsia"/>
        </w:rPr>
        <w:t>环境保护</w:t>
      </w:r>
    </w:p>
    <w:p>
      <w:pPr>
        <w:pStyle w:val="235"/>
        <w:ind w:firstLine="420"/>
      </w:pPr>
      <w:r>
        <w:rPr>
          <w:rFonts w:hint="eastAsia"/>
        </w:rPr>
        <w:t>环境</w:t>
      </w:r>
      <w:r>
        <w:t>保护</w:t>
      </w:r>
      <w:r>
        <w:rPr>
          <w:rFonts w:hint="eastAsia"/>
        </w:rPr>
        <w:t>要求</w:t>
      </w:r>
      <w:r>
        <w:t>的判定依据</w:t>
      </w:r>
      <w:r>
        <w:rPr>
          <w:rFonts w:hint="eastAsia"/>
        </w:rPr>
        <w:t>为企业关于符合要求的自我声明或</w:t>
      </w:r>
      <w:r>
        <w:t>其他佐证材料</w:t>
      </w:r>
      <w:r>
        <w:rPr>
          <w:rFonts w:hint="eastAsia"/>
        </w:rPr>
        <w:t>。企业获得环境管理体系认证的，可不提供其他佐证材料。</w:t>
      </w:r>
    </w:p>
    <w:p>
      <w:pPr>
        <w:pStyle w:val="184"/>
      </w:pPr>
      <w:r>
        <w:rPr>
          <w:rFonts w:hint="eastAsia"/>
        </w:rPr>
        <w:t>环保</w:t>
      </w:r>
      <w:r>
        <w:t>部门出具</w:t>
      </w:r>
      <w:r>
        <w:rPr>
          <w:rFonts w:hint="eastAsia"/>
        </w:rPr>
        <w:t>的</w:t>
      </w:r>
      <w:r>
        <w:t>符合</w:t>
      </w:r>
      <w:r>
        <w:rPr>
          <w:rFonts w:hint="eastAsia"/>
        </w:rPr>
        <w:t>环境</w:t>
      </w:r>
      <w:r>
        <w:t>保护</w:t>
      </w:r>
      <w:r>
        <w:rPr>
          <w:rFonts w:hint="eastAsia"/>
        </w:rPr>
        <w:t>和</w:t>
      </w:r>
      <w:r>
        <w:t>（</w:t>
      </w:r>
      <w:r>
        <w:rPr>
          <w:rFonts w:hint="eastAsia"/>
        </w:rPr>
        <w:t>或</w:t>
      </w:r>
      <w:r>
        <w:t>）</w:t>
      </w:r>
      <w:r>
        <w:rPr>
          <w:rFonts w:hint="eastAsia"/>
        </w:rPr>
        <w:t>污染物排放要求</w:t>
      </w:r>
      <w:r>
        <w:t>的证明</w:t>
      </w:r>
      <w:r>
        <w:rPr>
          <w:rFonts w:hint="eastAsia"/>
        </w:rPr>
        <w:t>文件、第三方机构提供的相关检验检测、认定或评估报告等。</w:t>
      </w:r>
    </w:p>
    <w:p>
      <w:pPr>
        <w:pStyle w:val="97"/>
        <w:spacing w:before="156" w:after="156"/>
      </w:pPr>
      <w:r>
        <w:rPr>
          <w:rFonts w:hint="eastAsia"/>
        </w:rPr>
        <w:t>生产工艺和装备</w:t>
      </w:r>
    </w:p>
    <w:p>
      <w:pPr>
        <w:pStyle w:val="59"/>
        <w:ind w:firstLine="420"/>
      </w:pPr>
      <w:r>
        <w:rPr>
          <w:rFonts w:hint="eastAsia"/>
        </w:rPr>
        <w:t>生产</w:t>
      </w:r>
      <w:r>
        <w:t>工艺</w:t>
      </w:r>
      <w:r>
        <w:rPr>
          <w:rFonts w:hint="eastAsia"/>
        </w:rPr>
        <w:t>和装备</w:t>
      </w:r>
      <w:r>
        <w:t>要求的判定依据</w:t>
      </w:r>
      <w:r>
        <w:rPr>
          <w:rFonts w:hint="eastAsia"/>
        </w:rPr>
        <w:t>为企业关于符合要求的自我声明或其他佐证材料。</w:t>
      </w:r>
    </w:p>
    <w:p>
      <w:pPr>
        <w:pStyle w:val="68"/>
        <w:spacing w:before="156" w:after="156"/>
      </w:pPr>
      <w:bookmarkStart w:id="200" w:name="_Toc5887170"/>
      <w:bookmarkStart w:id="201" w:name="_Toc531123032"/>
      <w:bookmarkStart w:id="202" w:name="_Toc530237518"/>
      <w:bookmarkStart w:id="203" w:name="_Toc529898292"/>
      <w:bookmarkStart w:id="204" w:name="_Toc529900810"/>
      <w:bookmarkStart w:id="205" w:name="_Toc5887105"/>
      <w:bookmarkStart w:id="206" w:name="_Toc531277257"/>
      <w:bookmarkStart w:id="207" w:name="_Toc529953623"/>
      <w:bookmarkStart w:id="208" w:name="_Toc529900420"/>
      <w:bookmarkStart w:id="209" w:name="_Toc100661408"/>
      <w:bookmarkStart w:id="210" w:name="_Toc529899967"/>
      <w:bookmarkStart w:id="211" w:name="_Toc531033888"/>
      <w:bookmarkStart w:id="212" w:name="_Toc531151801"/>
      <w:bookmarkStart w:id="213" w:name="_Toc118454890"/>
      <w:bookmarkStart w:id="214" w:name="_Toc526708228"/>
      <w:bookmarkStart w:id="215" w:name="_Toc529898393"/>
      <w:bookmarkStart w:id="216" w:name="_Toc9600"/>
      <w:r>
        <w:rPr>
          <w:rFonts w:hint="eastAsia"/>
        </w:rPr>
        <w:t>适用环节</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pStyle w:val="235"/>
        <w:ind w:firstLine="420"/>
      </w:pPr>
      <w:r>
        <w:rPr>
          <w:rFonts w:hint="eastAsia"/>
        </w:rPr>
        <w:t>基础性评价</w:t>
      </w:r>
      <w:r>
        <w:t>适用于</w:t>
      </w:r>
      <w:r>
        <w:rPr>
          <w:rFonts w:hint="eastAsia"/>
        </w:rPr>
        <w:t>全生命周期</w:t>
      </w:r>
      <w:r>
        <w:t>。</w:t>
      </w:r>
    </w:p>
    <w:p>
      <w:pPr>
        <w:pStyle w:val="108"/>
        <w:spacing w:before="156" w:after="156"/>
      </w:pPr>
      <w:bookmarkStart w:id="217" w:name="_Toc100738084"/>
      <w:bookmarkStart w:id="218" w:name="_Toc92284960"/>
      <w:bookmarkStart w:id="219" w:name="_Toc100661409"/>
      <w:bookmarkStart w:id="220" w:name="_Toc100734550"/>
      <w:bookmarkStart w:id="221" w:name="_Toc118454876"/>
      <w:bookmarkStart w:id="222" w:name="_Toc118454891"/>
      <w:bookmarkStart w:id="223" w:name="_Toc14623"/>
      <w:r>
        <w:rPr>
          <w:rFonts w:hint="eastAsia"/>
        </w:rPr>
        <w:t>资源属性评价</w:t>
      </w:r>
      <w:bookmarkEnd w:id="217"/>
      <w:bookmarkEnd w:id="218"/>
      <w:bookmarkEnd w:id="219"/>
      <w:bookmarkEnd w:id="220"/>
      <w:bookmarkEnd w:id="221"/>
      <w:bookmarkEnd w:id="222"/>
      <w:bookmarkEnd w:id="223"/>
    </w:p>
    <w:p>
      <w:pPr>
        <w:pStyle w:val="68"/>
        <w:spacing w:before="156" w:after="156"/>
      </w:pPr>
      <w:bookmarkStart w:id="224" w:name="_Toc92284961"/>
      <w:bookmarkStart w:id="225" w:name="_Toc14591"/>
      <w:bookmarkStart w:id="226" w:name="_Toc118454892"/>
      <w:bookmarkStart w:id="227" w:name="_Toc100661410"/>
      <w:bookmarkStart w:id="228" w:name="_Toc6220"/>
      <w:r>
        <w:rPr>
          <w:rFonts w:hint="eastAsia"/>
        </w:rPr>
        <w:t>评价指标</w:t>
      </w:r>
      <w:bookmarkEnd w:id="224"/>
      <w:bookmarkEnd w:id="225"/>
      <w:bookmarkEnd w:id="226"/>
      <w:bookmarkEnd w:id="227"/>
      <w:bookmarkEnd w:id="228"/>
    </w:p>
    <w:p>
      <w:pPr>
        <w:pStyle w:val="235"/>
        <w:ind w:firstLine="420"/>
      </w:pPr>
      <w:r>
        <w:rPr>
          <w:rFonts w:hint="eastAsia"/>
        </w:rPr>
        <w:t>资源</w:t>
      </w:r>
      <w:r>
        <w:t>属性评价</w:t>
      </w:r>
      <w:r>
        <w:rPr>
          <w:rFonts w:hint="eastAsia"/>
        </w:rPr>
        <w:t>指标</w:t>
      </w:r>
      <w:r>
        <w:t>包括：</w:t>
      </w:r>
    </w:p>
    <w:p>
      <w:pPr>
        <w:pStyle w:val="177"/>
        <w:numPr>
          <w:ilvl w:val="0"/>
          <w:numId w:val="37"/>
        </w:numPr>
      </w:pPr>
      <w:r>
        <w:rPr>
          <w:rFonts w:hint="eastAsia"/>
        </w:rPr>
        <w:t>原料卤水（采出卤水）质量；</w:t>
      </w:r>
    </w:p>
    <w:p>
      <w:pPr>
        <w:pStyle w:val="177"/>
      </w:pPr>
      <w:r>
        <w:rPr>
          <w:rFonts w:hint="eastAsia"/>
        </w:rPr>
        <w:t>生产</w:t>
      </w:r>
      <w:r>
        <w:t>用水</w:t>
      </w:r>
      <w:r>
        <w:rPr>
          <w:rFonts w:hint="eastAsia"/>
        </w:rPr>
        <w:t>、</w:t>
      </w:r>
      <w:r>
        <w:t>气</w:t>
      </w:r>
      <w:r>
        <w:rPr>
          <w:rFonts w:hint="eastAsia"/>
        </w:rPr>
        <w:t>、燃料；</w:t>
      </w:r>
    </w:p>
    <w:p>
      <w:pPr>
        <w:pStyle w:val="177"/>
      </w:pPr>
      <w:r>
        <w:rPr>
          <w:rFonts w:hint="eastAsia"/>
        </w:rPr>
        <w:t>碘强化剂；</w:t>
      </w:r>
    </w:p>
    <w:p>
      <w:pPr>
        <w:pStyle w:val="177"/>
      </w:pPr>
      <w:r>
        <w:rPr>
          <w:rFonts w:hint="eastAsia"/>
        </w:rPr>
        <w:t>生产运输接触设备、包装物</w:t>
      </w:r>
      <w:r>
        <w:t>材料</w:t>
      </w:r>
      <w:r>
        <w:rPr>
          <w:rFonts w:hint="eastAsia"/>
        </w:rPr>
        <w:t>；</w:t>
      </w:r>
    </w:p>
    <w:p>
      <w:pPr>
        <w:pStyle w:val="177"/>
      </w:pPr>
      <w:r>
        <w:rPr>
          <w:rFonts w:hint="eastAsia"/>
        </w:rPr>
        <w:t>资源综合利用。</w:t>
      </w:r>
    </w:p>
    <w:p>
      <w:pPr>
        <w:pStyle w:val="68"/>
        <w:spacing w:before="156" w:after="156"/>
      </w:pPr>
      <w:bookmarkStart w:id="229" w:name="_Toc100661411"/>
      <w:bookmarkStart w:id="230" w:name="_Toc118454893"/>
      <w:bookmarkStart w:id="231" w:name="_Toc4308"/>
      <w:bookmarkStart w:id="232" w:name="_Hlk118453344"/>
      <w:r>
        <w:rPr>
          <w:rFonts w:hint="eastAsia"/>
        </w:rPr>
        <w:t>原料卤水（采出卤水）质量</w:t>
      </w:r>
      <w:bookmarkEnd w:id="229"/>
      <w:bookmarkEnd w:id="230"/>
      <w:bookmarkEnd w:id="231"/>
    </w:p>
    <w:bookmarkEnd w:id="232"/>
    <w:p>
      <w:pPr>
        <w:pStyle w:val="97"/>
        <w:spacing w:before="156" w:after="156"/>
      </w:pPr>
      <w:r>
        <w:rPr>
          <w:rFonts w:hint="eastAsia"/>
        </w:rPr>
        <w:t>评价要求</w:t>
      </w:r>
    </w:p>
    <w:p>
      <w:pPr>
        <w:pStyle w:val="235"/>
        <w:ind w:firstLine="420"/>
      </w:pPr>
      <w:r>
        <w:rPr>
          <w:rFonts w:hint="eastAsia"/>
        </w:rPr>
        <w:t>原料卤水（采出卤水）应符合表1的要求。</w:t>
      </w:r>
    </w:p>
    <w:p>
      <w:pPr>
        <w:pStyle w:val="249"/>
        <w:numPr>
          <w:ilvl w:val="0"/>
          <w:numId w:val="16"/>
        </w:numPr>
        <w:spacing w:beforeLines="0" w:afterLines="0"/>
      </w:pPr>
      <w:r>
        <w:rPr>
          <w:rFonts w:hint="eastAsia"/>
        </w:rPr>
        <w:t>原料卤水（采出卤水）表</w:t>
      </w:r>
    </w:p>
    <w:p>
      <w:pPr>
        <w:pStyle w:val="235"/>
        <w:ind w:firstLine="360"/>
        <w:jc w:val="right"/>
        <w:rPr>
          <w:sz w:val="18"/>
          <w:szCs w:val="18"/>
        </w:rPr>
      </w:pPr>
      <w:r>
        <w:rPr>
          <w:rFonts w:hint="eastAsia"/>
          <w:sz w:val="18"/>
          <w:szCs w:val="18"/>
        </w:rPr>
        <w:t>单位为毫克每升（</w:t>
      </w:r>
      <w:r>
        <w:rPr>
          <w:sz w:val="18"/>
          <w:szCs w:val="18"/>
        </w:rPr>
        <w:t>mg/L</w:t>
      </w:r>
      <w:r>
        <w:rPr>
          <w:rFonts w:hint="eastAsia"/>
          <w:sz w:val="18"/>
          <w:szCs w:val="18"/>
        </w:rPr>
        <w:t>）</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02"/>
        <w:gridCol w:w="2835"/>
        <w:gridCol w:w="33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102" w:type="dxa"/>
            <w:tcBorders>
              <w:top w:val="single" w:color="auto" w:sz="8" w:space="0"/>
              <w:bottom w:val="single" w:color="auto" w:sz="8" w:space="0"/>
            </w:tcBorders>
          </w:tcPr>
          <w:p>
            <w:pPr>
              <w:jc w:val="center"/>
              <w:rPr>
                <w:rFonts w:ascii="宋体"/>
                <w:sz w:val="18"/>
              </w:rPr>
            </w:pPr>
            <w:r>
              <w:rPr>
                <w:rFonts w:hint="eastAsia" w:ascii="宋体"/>
                <w:sz w:val="18"/>
              </w:rPr>
              <w:t>项目</w:t>
            </w:r>
          </w:p>
        </w:tc>
        <w:tc>
          <w:tcPr>
            <w:tcW w:w="2835" w:type="dxa"/>
            <w:tcBorders>
              <w:top w:val="single" w:color="auto" w:sz="8" w:space="0"/>
              <w:bottom w:val="single" w:color="auto" w:sz="8" w:space="0"/>
            </w:tcBorders>
          </w:tcPr>
          <w:p>
            <w:pPr>
              <w:jc w:val="center"/>
              <w:rPr>
                <w:rFonts w:ascii="宋体"/>
                <w:sz w:val="18"/>
              </w:rPr>
            </w:pPr>
            <w:r>
              <w:rPr>
                <w:rFonts w:hint="eastAsia" w:ascii="宋体"/>
                <w:sz w:val="18"/>
              </w:rPr>
              <w:t>指标</w:t>
            </w:r>
          </w:p>
        </w:tc>
        <w:tc>
          <w:tcPr>
            <w:tcW w:w="3383" w:type="dxa"/>
            <w:tcBorders>
              <w:top w:val="single" w:color="auto" w:sz="8" w:space="0"/>
              <w:bottom w:val="single" w:color="auto" w:sz="8" w:space="0"/>
            </w:tcBorders>
          </w:tcPr>
          <w:p>
            <w:pPr>
              <w:jc w:val="center"/>
              <w:rPr>
                <w:rFonts w:ascii="宋体"/>
                <w:sz w:val="18"/>
              </w:rPr>
            </w:pPr>
            <w:r>
              <w:rPr>
                <w:rFonts w:hint="eastAsia" w:ascii="宋体"/>
                <w:sz w:val="18"/>
              </w:rPr>
              <w:t>检测方法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102" w:type="dxa"/>
            <w:tcBorders>
              <w:top w:val="single" w:color="auto" w:sz="8" w:space="0"/>
            </w:tcBorders>
          </w:tcPr>
          <w:p>
            <w:pPr>
              <w:jc w:val="center"/>
              <w:rPr>
                <w:rFonts w:ascii="宋体"/>
                <w:sz w:val="18"/>
              </w:rPr>
            </w:pPr>
            <w:r>
              <w:rPr>
                <w:rFonts w:hint="eastAsia" w:ascii="宋体"/>
                <w:sz w:val="18"/>
              </w:rPr>
              <w:t>总汞≤</w:t>
            </w:r>
          </w:p>
        </w:tc>
        <w:tc>
          <w:tcPr>
            <w:tcW w:w="2835" w:type="dxa"/>
            <w:tcBorders>
              <w:top w:val="single" w:color="auto" w:sz="8" w:space="0"/>
            </w:tcBorders>
          </w:tcPr>
          <w:p>
            <w:pPr>
              <w:jc w:val="center"/>
              <w:rPr>
                <w:rFonts w:ascii="宋体"/>
                <w:sz w:val="18"/>
              </w:rPr>
            </w:pPr>
            <w:r>
              <w:rPr>
                <w:rFonts w:ascii="宋体"/>
                <w:sz w:val="18"/>
              </w:rPr>
              <w:t>0.0002</w:t>
            </w:r>
          </w:p>
        </w:tc>
        <w:tc>
          <w:tcPr>
            <w:tcW w:w="3383" w:type="dxa"/>
            <w:tcBorders>
              <w:top w:val="single" w:color="auto" w:sz="8" w:space="0"/>
            </w:tcBorders>
          </w:tcPr>
          <w:p>
            <w:pPr>
              <w:jc w:val="center"/>
              <w:rPr>
                <w:rFonts w:ascii="宋体"/>
                <w:sz w:val="18"/>
              </w:rPr>
            </w:pPr>
            <w:r>
              <w:rPr>
                <w:rFonts w:ascii="宋体"/>
                <w:sz w:val="18"/>
              </w:rPr>
              <w:t>GB 17378.4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102" w:type="dxa"/>
          </w:tcPr>
          <w:p>
            <w:pPr>
              <w:jc w:val="center"/>
              <w:rPr>
                <w:rFonts w:ascii="宋体"/>
                <w:sz w:val="18"/>
              </w:rPr>
            </w:pPr>
            <w:r>
              <w:rPr>
                <w:rFonts w:hint="eastAsia" w:ascii="宋体"/>
                <w:sz w:val="18"/>
              </w:rPr>
              <w:t>镉≤</w:t>
            </w:r>
          </w:p>
        </w:tc>
        <w:tc>
          <w:tcPr>
            <w:tcW w:w="2835" w:type="dxa"/>
          </w:tcPr>
          <w:p>
            <w:pPr>
              <w:jc w:val="center"/>
              <w:rPr>
                <w:rFonts w:ascii="宋体"/>
                <w:sz w:val="18"/>
              </w:rPr>
            </w:pPr>
            <w:r>
              <w:rPr>
                <w:rFonts w:ascii="宋体"/>
                <w:sz w:val="18"/>
              </w:rPr>
              <w:t>0.005</w:t>
            </w:r>
          </w:p>
        </w:tc>
        <w:tc>
          <w:tcPr>
            <w:tcW w:w="3383" w:type="dxa"/>
          </w:tcPr>
          <w:p>
            <w:pPr>
              <w:jc w:val="center"/>
              <w:rPr>
                <w:rFonts w:ascii="宋体"/>
                <w:sz w:val="18"/>
              </w:rPr>
            </w:pPr>
            <w:r>
              <w:rPr>
                <w:rFonts w:ascii="宋体"/>
                <w:sz w:val="18"/>
              </w:rPr>
              <w:t>GB 17378.4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102" w:type="dxa"/>
          </w:tcPr>
          <w:p>
            <w:pPr>
              <w:jc w:val="center"/>
              <w:rPr>
                <w:rFonts w:ascii="宋体"/>
                <w:sz w:val="18"/>
              </w:rPr>
            </w:pPr>
            <w:r>
              <w:rPr>
                <w:rFonts w:hint="eastAsia" w:ascii="宋体"/>
                <w:sz w:val="18"/>
              </w:rPr>
              <w:t>铅≤</w:t>
            </w:r>
          </w:p>
        </w:tc>
        <w:tc>
          <w:tcPr>
            <w:tcW w:w="2835" w:type="dxa"/>
          </w:tcPr>
          <w:p>
            <w:pPr>
              <w:jc w:val="center"/>
              <w:rPr>
                <w:rFonts w:ascii="宋体"/>
                <w:sz w:val="18"/>
              </w:rPr>
            </w:pPr>
            <w:r>
              <w:rPr>
                <w:rFonts w:ascii="宋体"/>
                <w:sz w:val="18"/>
              </w:rPr>
              <w:t>0.005</w:t>
            </w:r>
          </w:p>
        </w:tc>
        <w:tc>
          <w:tcPr>
            <w:tcW w:w="3383" w:type="dxa"/>
          </w:tcPr>
          <w:p>
            <w:pPr>
              <w:jc w:val="center"/>
              <w:rPr>
                <w:rFonts w:ascii="宋体"/>
                <w:sz w:val="18"/>
              </w:rPr>
            </w:pPr>
            <w:r>
              <w:rPr>
                <w:rFonts w:ascii="宋体"/>
                <w:sz w:val="18"/>
              </w:rPr>
              <w:t>GB 17378.4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102" w:type="dxa"/>
          </w:tcPr>
          <w:p>
            <w:pPr>
              <w:jc w:val="center"/>
              <w:rPr>
                <w:rFonts w:ascii="宋体"/>
                <w:sz w:val="18"/>
              </w:rPr>
            </w:pPr>
            <w:r>
              <w:rPr>
                <w:rFonts w:hint="eastAsia" w:ascii="宋体"/>
                <w:sz w:val="18"/>
              </w:rPr>
              <w:t>总砷≤</w:t>
            </w:r>
          </w:p>
        </w:tc>
        <w:tc>
          <w:tcPr>
            <w:tcW w:w="2835" w:type="dxa"/>
          </w:tcPr>
          <w:p>
            <w:pPr>
              <w:jc w:val="center"/>
              <w:rPr>
                <w:rFonts w:ascii="宋体"/>
                <w:sz w:val="18"/>
              </w:rPr>
            </w:pPr>
            <w:r>
              <w:rPr>
                <w:rFonts w:ascii="宋体"/>
                <w:sz w:val="18"/>
              </w:rPr>
              <w:t>0.030</w:t>
            </w:r>
          </w:p>
        </w:tc>
        <w:tc>
          <w:tcPr>
            <w:tcW w:w="3383" w:type="dxa"/>
          </w:tcPr>
          <w:p>
            <w:pPr>
              <w:jc w:val="center"/>
              <w:rPr>
                <w:rFonts w:ascii="宋体"/>
                <w:sz w:val="18"/>
              </w:rPr>
            </w:pPr>
            <w:r>
              <w:rPr>
                <w:rFonts w:ascii="宋体"/>
                <w:sz w:val="18"/>
              </w:rPr>
              <w:t>GB 17378.4</w:t>
            </w:r>
          </w:p>
        </w:tc>
      </w:tr>
    </w:tbl>
    <w:p>
      <w:pPr>
        <w:pStyle w:val="235"/>
        <w:ind w:firstLine="420"/>
      </w:pPr>
    </w:p>
    <w:p>
      <w:pPr>
        <w:pStyle w:val="97"/>
        <w:spacing w:before="156" w:after="156"/>
      </w:pPr>
      <w:r>
        <w:rPr>
          <w:rFonts w:hint="eastAsia"/>
        </w:rPr>
        <w:t>判定依据</w:t>
      </w:r>
    </w:p>
    <w:p>
      <w:pPr>
        <w:pStyle w:val="235"/>
        <w:ind w:firstLine="420"/>
      </w:pPr>
      <w:r>
        <w:rPr>
          <w:rFonts w:hint="eastAsia"/>
        </w:rPr>
        <w:t>依据具有资质的第三方机构检测报告进行判定。</w:t>
      </w:r>
    </w:p>
    <w:p>
      <w:pPr>
        <w:pStyle w:val="97"/>
        <w:spacing w:before="156" w:after="156"/>
      </w:pPr>
      <w:r>
        <w:rPr>
          <w:rFonts w:hint="eastAsia"/>
        </w:rPr>
        <w:t>适用环节</w:t>
      </w:r>
    </w:p>
    <w:p>
      <w:pPr>
        <w:pStyle w:val="235"/>
        <w:ind w:firstLine="420"/>
      </w:pPr>
      <w:r>
        <w:rPr>
          <w:rFonts w:hint="eastAsia"/>
        </w:rPr>
        <w:t>适用于原料卤水（采出卤水）质量的评价。</w:t>
      </w:r>
    </w:p>
    <w:p>
      <w:pPr>
        <w:pStyle w:val="68"/>
        <w:spacing w:before="156" w:after="156"/>
      </w:pPr>
      <w:bookmarkStart w:id="233" w:name="_Toc100661412"/>
      <w:bookmarkStart w:id="234" w:name="_Toc118454894"/>
      <w:bookmarkStart w:id="235" w:name="_Toc30849"/>
      <w:r>
        <w:rPr>
          <w:rFonts w:hint="eastAsia"/>
        </w:rPr>
        <w:t>生产用水、气、燃料</w:t>
      </w:r>
      <w:bookmarkEnd w:id="233"/>
      <w:bookmarkEnd w:id="234"/>
      <w:bookmarkEnd w:id="235"/>
    </w:p>
    <w:p>
      <w:pPr>
        <w:pStyle w:val="97"/>
        <w:spacing w:before="156" w:after="156"/>
      </w:pPr>
      <w:r>
        <w:rPr>
          <w:rFonts w:hint="eastAsia"/>
        </w:rPr>
        <w:t>评价要求</w:t>
      </w:r>
    </w:p>
    <w:p>
      <w:pPr>
        <w:pStyle w:val="235"/>
        <w:ind w:firstLine="420"/>
      </w:pPr>
      <w:r>
        <w:rPr>
          <w:rFonts w:hint="eastAsia"/>
        </w:rPr>
        <w:t>生产用水、气、燃料应符合以下要求：</w:t>
      </w:r>
    </w:p>
    <w:p>
      <w:pPr>
        <w:pStyle w:val="177"/>
        <w:numPr>
          <w:ilvl w:val="0"/>
          <w:numId w:val="38"/>
        </w:numPr>
      </w:pPr>
      <w:r>
        <w:rPr>
          <w:rFonts w:hint="eastAsia"/>
        </w:rPr>
        <w:t>采卤制卤用水水源为地表水的水质应满足GB</w:t>
      </w:r>
      <w:r>
        <w:rPr>
          <w:rFonts w:hint="eastAsia"/>
          <w:lang w:val="en-US" w:eastAsia="zh-CN"/>
        </w:rPr>
        <w:t xml:space="preserve"> </w:t>
      </w:r>
      <w:r>
        <w:rPr>
          <w:rFonts w:hint="eastAsia"/>
        </w:rPr>
        <w:t>3838中Ⅲ类以上水质要求，水源为地下水的水质应满足GB</w:t>
      </w:r>
      <w:r>
        <w:t>/T 14848</w:t>
      </w:r>
      <w:r>
        <w:rPr>
          <w:rFonts w:hint="eastAsia"/>
        </w:rPr>
        <w:t>中Ⅲ类以上水质要求；</w:t>
      </w:r>
    </w:p>
    <w:p>
      <w:pPr>
        <w:pStyle w:val="177"/>
      </w:pPr>
      <w:r>
        <w:rPr>
          <w:rFonts w:hint="eastAsia"/>
        </w:rPr>
        <w:t>生产用水的水质应符合GB 5749的要求；</w:t>
      </w:r>
    </w:p>
    <w:p>
      <w:pPr>
        <w:pStyle w:val="177"/>
      </w:pPr>
      <w:r>
        <w:rPr>
          <w:rFonts w:hint="eastAsia"/>
        </w:rPr>
        <w:t>矿区和厂区的空气质量标准应符合NY/T391-2021中规定的要求。</w:t>
      </w:r>
    </w:p>
    <w:p>
      <w:pPr>
        <w:pStyle w:val="97"/>
        <w:spacing w:before="156" w:after="156"/>
      </w:pPr>
      <w:r>
        <w:rPr>
          <w:rFonts w:hint="eastAsia"/>
        </w:rPr>
        <w:t>判定依据</w:t>
      </w:r>
    </w:p>
    <w:p>
      <w:pPr>
        <w:pStyle w:val="246"/>
        <w:widowControl w:val="0"/>
        <w:numPr>
          <w:ilvl w:val="0"/>
          <w:numId w:val="0"/>
        </w:numPr>
        <w:spacing w:before="156" w:after="156"/>
        <w:ind w:left="839" w:hanging="419"/>
      </w:pPr>
      <w:r>
        <w:rPr>
          <w:rFonts w:hint="eastAsia"/>
        </w:rPr>
        <w:t>生产</w:t>
      </w:r>
      <w:r>
        <w:t>生态</w:t>
      </w:r>
      <w:r>
        <w:rPr>
          <w:rFonts w:hint="eastAsia"/>
        </w:rPr>
        <w:t>井矿盐的生产用水、气、燃料的</w:t>
      </w:r>
      <w:r>
        <w:t>判定依据</w:t>
      </w:r>
      <w:r>
        <w:rPr>
          <w:rFonts w:hint="eastAsia"/>
        </w:rPr>
        <w:t>包括</w:t>
      </w:r>
      <w:r>
        <w:t>：</w:t>
      </w:r>
    </w:p>
    <w:p>
      <w:pPr>
        <w:pStyle w:val="177"/>
        <w:numPr>
          <w:ilvl w:val="0"/>
          <w:numId w:val="39"/>
        </w:numPr>
      </w:pPr>
      <w:r>
        <w:rPr>
          <w:rFonts w:hint="eastAsia"/>
        </w:rPr>
        <w:t>针对</w:t>
      </w:r>
      <w:r>
        <w:t>5.3.</w:t>
      </w:r>
      <w:r>
        <w:rPr>
          <w:rFonts w:hint="eastAsia"/>
        </w:rPr>
        <w:t>3</w:t>
      </w:r>
      <w:r>
        <w:t>.1</w:t>
      </w:r>
      <w:r>
        <w:rPr>
          <w:rFonts w:hint="eastAsia"/>
        </w:rPr>
        <w:t>中a）要求，根据提供的生产用水流向图、水质检验报告及现场检查结果判定；</w:t>
      </w:r>
    </w:p>
    <w:p>
      <w:pPr>
        <w:pStyle w:val="177"/>
      </w:pPr>
      <w:r>
        <w:rPr>
          <w:rFonts w:hint="eastAsia"/>
        </w:rPr>
        <w:t>针对</w:t>
      </w:r>
      <w:r>
        <w:t>5.3.</w:t>
      </w:r>
      <w:r>
        <w:rPr>
          <w:rFonts w:hint="eastAsia"/>
        </w:rPr>
        <w:t>3</w:t>
      </w:r>
      <w:r>
        <w:t>.1</w:t>
      </w:r>
      <w:r>
        <w:rPr>
          <w:rFonts w:hint="eastAsia"/>
        </w:rPr>
        <w:t>中b)、c)要求，</w:t>
      </w:r>
      <w:r>
        <w:t>依据</w:t>
      </w:r>
      <w:r>
        <w:rPr>
          <w:rFonts w:hint="eastAsia"/>
        </w:rPr>
        <w:t>企业提供的检测报告及佐证材料判定。</w:t>
      </w:r>
    </w:p>
    <w:p>
      <w:pPr>
        <w:pStyle w:val="97"/>
        <w:spacing w:before="156" w:after="156"/>
      </w:pPr>
      <w:r>
        <w:rPr>
          <w:rFonts w:hint="eastAsia"/>
        </w:rPr>
        <w:t>适用环节</w:t>
      </w:r>
    </w:p>
    <w:p>
      <w:pPr>
        <w:pStyle w:val="246"/>
        <w:widowControl w:val="0"/>
        <w:numPr>
          <w:ilvl w:val="0"/>
          <w:numId w:val="0"/>
        </w:numPr>
        <w:spacing w:before="156" w:after="156"/>
        <w:ind w:left="839" w:hanging="419"/>
      </w:pPr>
      <w:r>
        <w:rPr>
          <w:rFonts w:hint="eastAsia"/>
        </w:rPr>
        <w:t>生产用水的评价</w:t>
      </w:r>
      <w:r>
        <w:t>适用于</w:t>
      </w:r>
      <w:r>
        <w:rPr>
          <w:rFonts w:hint="eastAsia"/>
        </w:rPr>
        <w:t>生命周期各个</w:t>
      </w:r>
      <w:r>
        <w:t>环节</w:t>
      </w:r>
      <w:r>
        <w:rPr>
          <w:rFonts w:hint="eastAsia"/>
        </w:rPr>
        <w:t>；汽的评价</w:t>
      </w:r>
      <w:r>
        <w:t>适用于</w:t>
      </w:r>
      <w:r>
        <w:rPr>
          <w:rFonts w:hint="eastAsia"/>
        </w:rPr>
        <w:t>蒸发制盐过程</w:t>
      </w:r>
      <w:r>
        <w:t>。</w:t>
      </w:r>
    </w:p>
    <w:p>
      <w:pPr>
        <w:pStyle w:val="68"/>
        <w:spacing w:before="156" w:after="156"/>
      </w:pPr>
      <w:bookmarkStart w:id="236" w:name="_Toc100661413"/>
      <w:bookmarkStart w:id="237" w:name="_Toc118454895"/>
      <w:bookmarkStart w:id="238" w:name="_Toc21338"/>
      <w:r>
        <w:rPr>
          <w:rFonts w:hint="eastAsia"/>
        </w:rPr>
        <w:t>加工助剂、辅料和碘强化剂</w:t>
      </w:r>
      <w:bookmarkEnd w:id="236"/>
      <w:bookmarkEnd w:id="237"/>
      <w:bookmarkEnd w:id="238"/>
    </w:p>
    <w:p>
      <w:pPr>
        <w:pStyle w:val="97"/>
        <w:spacing w:before="156" w:after="156"/>
      </w:pPr>
      <w:r>
        <w:rPr>
          <w:rFonts w:hint="eastAsia"/>
        </w:rPr>
        <w:t>评价要求</w:t>
      </w:r>
    </w:p>
    <w:p>
      <w:pPr>
        <w:pStyle w:val="235"/>
        <w:ind w:firstLine="420"/>
      </w:pPr>
      <w:r>
        <w:rPr>
          <w:rFonts w:hint="eastAsia"/>
        </w:rPr>
        <w:t>加工助剂、辅料和碘强化剂应符合以下要求：</w:t>
      </w:r>
    </w:p>
    <w:p>
      <w:pPr>
        <w:pStyle w:val="177"/>
        <w:numPr>
          <w:ilvl w:val="0"/>
          <w:numId w:val="40"/>
        </w:numPr>
      </w:pPr>
      <w:r>
        <w:rPr>
          <w:rFonts w:hint="eastAsia"/>
        </w:rPr>
        <w:t>卤水精制环节应采用物理方法，不应使用任何加工助剂（如二氧化碳、烧碱、纯碱、絮凝剂等）处理卤水；</w:t>
      </w:r>
    </w:p>
    <w:p>
      <w:pPr>
        <w:pStyle w:val="177"/>
      </w:pPr>
      <w:r>
        <w:rPr>
          <w:rFonts w:hint="eastAsia"/>
        </w:rPr>
        <w:t>育晶制盐环节不应使用阻垢剂等化学试剂防止结垢；</w:t>
      </w:r>
    </w:p>
    <w:p>
      <w:pPr>
        <w:pStyle w:val="177"/>
      </w:pPr>
      <w:r>
        <w:rPr>
          <w:rFonts w:hint="eastAsia"/>
        </w:rPr>
        <w:t>生态井矿盐中不应添加除碘强化剂以外的任何食品添加剂（包括氯化钾、抗结剂、阿拉伯胶等）。碘强化剂种类、添加量及波动范围应符合GB</w:t>
      </w:r>
      <w:r>
        <w:rPr>
          <w:rFonts w:hint="eastAsia"/>
          <w:lang w:val="en-US" w:eastAsia="zh-CN"/>
        </w:rPr>
        <w:t xml:space="preserve"> </w:t>
      </w:r>
      <w:r>
        <w:rPr>
          <w:rFonts w:hint="eastAsia"/>
        </w:rPr>
        <w:t>26878的要求，产品质量应符合以下要求：</w:t>
      </w:r>
    </w:p>
    <w:p>
      <w:pPr>
        <w:pStyle w:val="177"/>
        <w:numPr>
          <w:ilvl w:val="0"/>
          <w:numId w:val="0"/>
        </w:numPr>
        <w:ind w:left="425" w:firstLine="420" w:firstLineChars="200"/>
      </w:pPr>
      <w:r>
        <w:rPr>
          <w:rFonts w:hint="eastAsia"/>
        </w:rPr>
        <w:t>1）碘酸钾应符合</w:t>
      </w:r>
      <w:r>
        <w:t xml:space="preserve">GB </w:t>
      </w:r>
      <w:r>
        <w:rPr>
          <w:rFonts w:hint="eastAsia"/>
        </w:rPr>
        <w:t>26402的要求；</w:t>
      </w:r>
    </w:p>
    <w:p>
      <w:pPr>
        <w:pStyle w:val="177"/>
        <w:numPr>
          <w:ilvl w:val="0"/>
          <w:numId w:val="0"/>
        </w:numPr>
        <w:ind w:left="851"/>
      </w:pPr>
      <w:r>
        <w:rPr>
          <w:rFonts w:hint="eastAsia"/>
        </w:rPr>
        <w:t>2）碘化钾应符合</w:t>
      </w:r>
      <w:r>
        <w:t xml:space="preserve">GB </w:t>
      </w:r>
      <w:r>
        <w:rPr>
          <w:rFonts w:hint="eastAsia"/>
        </w:rPr>
        <w:t>29203的要求；</w:t>
      </w:r>
    </w:p>
    <w:p>
      <w:pPr>
        <w:pStyle w:val="177"/>
        <w:numPr>
          <w:ilvl w:val="255"/>
          <w:numId w:val="0"/>
        </w:numPr>
        <w:ind w:left="425" w:firstLine="420" w:firstLineChars="200"/>
      </w:pPr>
      <w:r>
        <w:rPr>
          <w:rFonts w:hint="eastAsia"/>
        </w:rPr>
        <w:t>3）海藻碘应符合</w:t>
      </w:r>
      <w:r>
        <w:t xml:space="preserve">GB </w:t>
      </w:r>
      <w:r>
        <w:rPr>
          <w:rFonts w:hint="eastAsia"/>
        </w:rPr>
        <w:t>1903.39的要求。</w:t>
      </w:r>
    </w:p>
    <w:p>
      <w:pPr>
        <w:pStyle w:val="177"/>
      </w:pPr>
      <w:r>
        <w:rPr>
          <w:rFonts w:hint="eastAsia"/>
        </w:rPr>
        <w:t xml:space="preserve">不应使用除生产用水以外的其他辅料。 </w:t>
      </w:r>
    </w:p>
    <w:p>
      <w:pPr>
        <w:pStyle w:val="97"/>
        <w:spacing w:before="156" w:after="156"/>
      </w:pPr>
      <w:r>
        <w:rPr>
          <w:rFonts w:hint="eastAsia"/>
        </w:rPr>
        <w:t>判定依据</w:t>
      </w:r>
    </w:p>
    <w:p>
      <w:pPr>
        <w:pStyle w:val="246"/>
        <w:widowControl w:val="0"/>
        <w:numPr>
          <w:ilvl w:val="0"/>
          <w:numId w:val="0"/>
        </w:numPr>
        <w:spacing w:before="156" w:after="156"/>
        <w:ind w:left="839" w:hanging="419"/>
      </w:pPr>
      <w:r>
        <w:rPr>
          <w:rFonts w:hint="eastAsia"/>
        </w:rPr>
        <w:t>生产</w:t>
      </w:r>
      <w:r>
        <w:t>生态</w:t>
      </w:r>
      <w:r>
        <w:rPr>
          <w:rFonts w:hint="eastAsia"/>
        </w:rPr>
        <w:t>井矿盐用加工助剂、辅料和食品添加剂的</w:t>
      </w:r>
      <w:r>
        <w:t>判定依据</w:t>
      </w:r>
      <w:r>
        <w:rPr>
          <w:rFonts w:hint="eastAsia"/>
        </w:rPr>
        <w:t>包括</w:t>
      </w:r>
      <w:r>
        <w:t>：</w:t>
      </w:r>
    </w:p>
    <w:p>
      <w:pPr>
        <w:pStyle w:val="177"/>
        <w:numPr>
          <w:ilvl w:val="0"/>
          <w:numId w:val="41"/>
        </w:numPr>
      </w:pPr>
      <w:r>
        <w:rPr>
          <w:rFonts w:hint="eastAsia"/>
        </w:rPr>
        <w:t>针对</w:t>
      </w:r>
      <w:r>
        <w:t>5.3.</w:t>
      </w:r>
      <w:r>
        <w:rPr>
          <w:rFonts w:hint="eastAsia"/>
        </w:rPr>
        <w:t>4</w:t>
      </w:r>
      <w:r>
        <w:t>.1</w:t>
      </w:r>
      <w:r>
        <w:rPr>
          <w:rFonts w:hint="eastAsia"/>
        </w:rPr>
        <w:t>中a）、b)、d)要求，依据企业自我声明材料和现场检查结果判定；</w:t>
      </w:r>
    </w:p>
    <w:p>
      <w:pPr>
        <w:pStyle w:val="177"/>
      </w:pPr>
      <w:r>
        <w:rPr>
          <w:rFonts w:hint="eastAsia"/>
        </w:rPr>
        <w:t>针对</w:t>
      </w:r>
      <w:r>
        <w:t>5.3.</w:t>
      </w:r>
      <w:r>
        <w:rPr>
          <w:rFonts w:hint="eastAsia"/>
        </w:rPr>
        <w:t>4</w:t>
      </w:r>
      <w:r>
        <w:t>.1</w:t>
      </w:r>
      <w:r>
        <w:rPr>
          <w:rFonts w:hint="eastAsia"/>
        </w:rPr>
        <w:t>中c)要求，依据企业自我</w:t>
      </w:r>
      <w:r>
        <w:t>声明</w:t>
      </w:r>
      <w:r>
        <w:rPr>
          <w:rFonts w:hint="eastAsia"/>
        </w:rPr>
        <w:t>材料和</w:t>
      </w:r>
      <w:r>
        <w:t>（</w:t>
      </w:r>
      <w:r>
        <w:rPr>
          <w:rFonts w:hint="eastAsia"/>
        </w:rPr>
        <w:t>或</w:t>
      </w:r>
      <w:r>
        <w:t>）具有资质的第三方机构检测报告</w:t>
      </w:r>
      <w:r>
        <w:rPr>
          <w:rFonts w:hint="eastAsia"/>
        </w:rPr>
        <w:t>进行</w:t>
      </w:r>
      <w:r>
        <w:t>判定</w:t>
      </w:r>
      <w:r>
        <w:rPr>
          <w:rFonts w:hint="eastAsia"/>
        </w:rPr>
        <w:t>。</w:t>
      </w:r>
    </w:p>
    <w:p>
      <w:pPr>
        <w:pStyle w:val="97"/>
        <w:spacing w:before="156" w:after="156"/>
      </w:pPr>
      <w:r>
        <w:rPr>
          <w:rFonts w:hint="eastAsia"/>
        </w:rPr>
        <w:t>适用环节</w:t>
      </w:r>
    </w:p>
    <w:p>
      <w:pPr>
        <w:pStyle w:val="246"/>
        <w:widowControl w:val="0"/>
        <w:numPr>
          <w:ilvl w:val="0"/>
          <w:numId w:val="0"/>
        </w:numPr>
        <w:spacing w:before="156" w:after="156"/>
        <w:ind w:left="839" w:hanging="419"/>
        <w:rPr>
          <w:rStyle w:val="251"/>
          <w:rFonts w:hAnsi="Calibri" w:cs="宋体"/>
        </w:rPr>
      </w:pPr>
      <w:r>
        <w:rPr>
          <w:rFonts w:hint="eastAsia"/>
        </w:rPr>
        <w:t>生产助剂、辅料和碘强化剂适用于卤水精制、制盐、加碘等环节</w:t>
      </w:r>
      <w:r>
        <w:t>。</w:t>
      </w:r>
    </w:p>
    <w:p>
      <w:pPr>
        <w:pStyle w:val="68"/>
        <w:spacing w:before="156" w:after="156"/>
      </w:pPr>
      <w:bookmarkStart w:id="239" w:name="_Toc118454896"/>
      <w:bookmarkStart w:id="240" w:name="_Toc100661414"/>
      <w:bookmarkStart w:id="241" w:name="_Toc15393"/>
      <w:r>
        <w:rPr>
          <w:rFonts w:hint="eastAsia"/>
        </w:rPr>
        <w:t>包装物材料</w:t>
      </w:r>
      <w:bookmarkEnd w:id="239"/>
      <w:bookmarkEnd w:id="240"/>
      <w:bookmarkEnd w:id="241"/>
    </w:p>
    <w:p>
      <w:pPr>
        <w:pStyle w:val="97"/>
        <w:spacing w:before="156" w:after="156"/>
      </w:pPr>
      <w:r>
        <w:rPr>
          <w:rFonts w:hint="eastAsia"/>
        </w:rPr>
        <w:t>评价要求</w:t>
      </w:r>
    </w:p>
    <w:p>
      <w:pPr>
        <w:pStyle w:val="235"/>
        <w:ind w:firstLine="420"/>
      </w:pPr>
      <w:r>
        <w:rPr>
          <w:rFonts w:hint="eastAsia"/>
        </w:rPr>
        <w:t>生产</w:t>
      </w:r>
      <w:r>
        <w:t>生态</w:t>
      </w:r>
      <w:r>
        <w:rPr>
          <w:rFonts w:hint="eastAsia"/>
        </w:rPr>
        <w:t>井矿盐用包装物材料应符合以下要求：</w:t>
      </w:r>
    </w:p>
    <w:p>
      <w:pPr>
        <w:pStyle w:val="177"/>
        <w:numPr>
          <w:ilvl w:val="0"/>
          <w:numId w:val="42"/>
        </w:numPr>
      </w:pPr>
      <w:r>
        <w:rPr>
          <w:rFonts w:hint="eastAsia"/>
        </w:rPr>
        <w:t>与盐产品直接接触的包装物材料质量应符合GB 4806.1的要求；</w:t>
      </w:r>
    </w:p>
    <w:p>
      <w:pPr>
        <w:pStyle w:val="177"/>
      </w:pPr>
      <w:r>
        <w:rPr>
          <w:rFonts w:hint="eastAsia"/>
        </w:rPr>
        <w:t>应优选易于回收的天然材料制成的包装材料；</w:t>
      </w:r>
    </w:p>
    <w:p>
      <w:pPr>
        <w:pStyle w:val="177"/>
      </w:pPr>
      <w:r>
        <w:rPr>
          <w:rFonts w:hint="eastAsia"/>
        </w:rPr>
        <w:t>包装材料、膜宜用可回收材料。</w:t>
      </w:r>
    </w:p>
    <w:p>
      <w:pPr>
        <w:pStyle w:val="97"/>
        <w:spacing w:before="156" w:after="156"/>
      </w:pPr>
      <w:r>
        <w:rPr>
          <w:rFonts w:hint="eastAsia"/>
        </w:rPr>
        <w:t>判定依据</w:t>
      </w:r>
    </w:p>
    <w:p>
      <w:pPr>
        <w:pStyle w:val="235"/>
        <w:ind w:firstLine="420"/>
      </w:pPr>
      <w:r>
        <w:rPr>
          <w:rFonts w:hint="eastAsia"/>
        </w:rPr>
        <w:t>生产</w:t>
      </w:r>
      <w:r>
        <w:t>生态</w:t>
      </w:r>
      <w:r>
        <w:rPr>
          <w:rFonts w:hint="eastAsia"/>
        </w:rPr>
        <w:t>井矿盐用包装物材料的判定依据包括：</w:t>
      </w:r>
    </w:p>
    <w:p>
      <w:pPr>
        <w:pStyle w:val="177"/>
        <w:numPr>
          <w:ilvl w:val="0"/>
          <w:numId w:val="43"/>
        </w:numPr>
      </w:pPr>
      <w:r>
        <w:rPr>
          <w:rFonts w:hint="eastAsia"/>
        </w:rPr>
        <w:t>针对</w:t>
      </w:r>
      <w:r>
        <w:t>5.3</w:t>
      </w:r>
      <w:r>
        <w:rPr>
          <w:rFonts w:hint="eastAsia"/>
        </w:rPr>
        <w:t>.5.1中 a)要求，</w:t>
      </w:r>
      <w:r>
        <w:t>依据具有资质的第三方机构的检测报告</w:t>
      </w:r>
      <w:r>
        <w:rPr>
          <w:rFonts w:hint="eastAsia"/>
        </w:rPr>
        <w:t>进行</w:t>
      </w:r>
      <w:r>
        <w:t>判定</w:t>
      </w:r>
      <w:r>
        <w:rPr>
          <w:rFonts w:hint="eastAsia"/>
        </w:rPr>
        <w:t>；</w:t>
      </w:r>
    </w:p>
    <w:p>
      <w:pPr>
        <w:pStyle w:val="177"/>
      </w:pPr>
      <w:r>
        <w:rPr>
          <w:rFonts w:hint="eastAsia"/>
        </w:rPr>
        <w:t>针对</w:t>
      </w:r>
      <w:r>
        <w:t>5.3</w:t>
      </w:r>
      <w:r>
        <w:rPr>
          <w:rFonts w:hint="eastAsia"/>
        </w:rPr>
        <w:t xml:space="preserve">.5.1中 </w:t>
      </w:r>
      <w:r>
        <w:t>b</w:t>
      </w:r>
      <w:r>
        <w:rPr>
          <w:rFonts w:hint="eastAsia"/>
        </w:rPr>
        <w:t>)要求，</w:t>
      </w:r>
      <w:r>
        <w:t>依据现场</w:t>
      </w:r>
      <w:r>
        <w:rPr>
          <w:rFonts w:hint="eastAsia"/>
        </w:rPr>
        <w:t>检查结果</w:t>
      </w:r>
      <w:r>
        <w:t>进行判定</w:t>
      </w:r>
      <w:r>
        <w:rPr>
          <w:rFonts w:hint="eastAsia"/>
        </w:rPr>
        <w:t>；</w:t>
      </w:r>
    </w:p>
    <w:p>
      <w:pPr>
        <w:pStyle w:val="177"/>
      </w:pPr>
      <w:r>
        <w:rPr>
          <w:rFonts w:hint="eastAsia"/>
        </w:rPr>
        <w:t>针对</w:t>
      </w:r>
      <w:r>
        <w:t>5.3</w:t>
      </w:r>
      <w:r>
        <w:rPr>
          <w:rFonts w:hint="eastAsia"/>
        </w:rPr>
        <w:t xml:space="preserve">.5.1中 </w:t>
      </w:r>
      <w:r>
        <w:t>c)</w:t>
      </w:r>
      <w:r>
        <w:rPr>
          <w:rFonts w:hint="eastAsia"/>
        </w:rPr>
        <w:t>要求，依据材料使用清单进行</w:t>
      </w:r>
      <w:r>
        <w:t>判定</w:t>
      </w:r>
      <w:r>
        <w:rPr>
          <w:rFonts w:hint="eastAsia"/>
        </w:rPr>
        <w:t>。</w:t>
      </w:r>
    </w:p>
    <w:p>
      <w:pPr>
        <w:pStyle w:val="97"/>
        <w:spacing w:before="156" w:after="156"/>
      </w:pPr>
      <w:r>
        <w:rPr>
          <w:rFonts w:hint="eastAsia"/>
        </w:rPr>
        <w:t>适用环节</w:t>
      </w:r>
    </w:p>
    <w:p>
      <w:pPr>
        <w:pStyle w:val="235"/>
        <w:ind w:firstLine="420"/>
      </w:pPr>
      <w:r>
        <w:t>包装</w:t>
      </w:r>
      <w:r>
        <w:rPr>
          <w:rFonts w:hint="eastAsia"/>
        </w:rPr>
        <w:t>物材料的评价</w:t>
      </w:r>
      <w:r>
        <w:t>适用于</w:t>
      </w:r>
      <w:r>
        <w:rPr>
          <w:rFonts w:hint="eastAsia"/>
        </w:rPr>
        <w:t>生命周期的各个环节</w:t>
      </w:r>
      <w:r>
        <w:t>。</w:t>
      </w:r>
    </w:p>
    <w:p>
      <w:pPr>
        <w:pStyle w:val="68"/>
        <w:spacing w:before="156" w:after="156"/>
      </w:pPr>
      <w:bookmarkStart w:id="242" w:name="_Toc118454897"/>
      <w:bookmarkStart w:id="243" w:name="_Toc18691"/>
      <w:r>
        <w:rPr>
          <w:rFonts w:hint="eastAsia"/>
        </w:rPr>
        <w:t>资源综合利用</w:t>
      </w:r>
      <w:bookmarkEnd w:id="242"/>
      <w:bookmarkEnd w:id="243"/>
    </w:p>
    <w:p>
      <w:pPr>
        <w:pStyle w:val="97"/>
        <w:spacing w:before="156" w:after="156"/>
      </w:pPr>
      <w:r>
        <w:rPr>
          <w:rFonts w:hint="eastAsia"/>
        </w:rPr>
        <w:t>评价要求</w:t>
      </w:r>
    </w:p>
    <w:p>
      <w:pPr>
        <w:pStyle w:val="59"/>
        <w:ind w:firstLine="420"/>
      </w:pPr>
      <w:r>
        <w:rPr>
          <w:rFonts w:hint="eastAsia"/>
        </w:rPr>
        <w:t>资源综合利用应符合以下要求：</w:t>
      </w:r>
    </w:p>
    <w:p>
      <w:pPr>
        <w:pStyle w:val="177"/>
        <w:numPr>
          <w:ilvl w:val="0"/>
          <w:numId w:val="44"/>
        </w:numPr>
      </w:pPr>
      <w:r>
        <w:rPr>
          <w:rFonts w:hint="eastAsia"/>
        </w:rPr>
        <w:t>应根据国家相关规定对共伴生资源进行综合勘查、综合评价和综合开发；</w:t>
      </w:r>
    </w:p>
    <w:p>
      <w:pPr>
        <w:pStyle w:val="177"/>
      </w:pPr>
      <w:r>
        <w:rPr>
          <w:rFonts w:hint="eastAsia"/>
        </w:rPr>
        <w:t>应利用先进适用、经济合理的工艺技术综合回收利用共伴生资源；</w:t>
      </w:r>
    </w:p>
    <w:p>
      <w:pPr>
        <w:pStyle w:val="177"/>
      </w:pPr>
      <w:r>
        <w:rPr>
          <w:rFonts w:hint="eastAsia"/>
        </w:rPr>
        <w:t>对暂不能开采利用的共伴生矿产采取有效保护措施。</w:t>
      </w:r>
    </w:p>
    <w:p>
      <w:pPr>
        <w:pStyle w:val="97"/>
        <w:spacing w:before="156" w:after="156"/>
      </w:pPr>
      <w:r>
        <w:rPr>
          <w:rFonts w:hint="eastAsia"/>
        </w:rPr>
        <w:t>判定依据</w:t>
      </w:r>
    </w:p>
    <w:p>
      <w:pPr>
        <w:pStyle w:val="59"/>
        <w:ind w:firstLine="420"/>
      </w:pPr>
      <w:bookmarkStart w:id="244" w:name="_Hlk118454157"/>
      <w:r>
        <w:rPr>
          <w:rFonts w:hint="eastAsia"/>
        </w:rPr>
        <w:t>依据现场核查结果、生产企业自我声明或其他证明材料进行判定。</w:t>
      </w:r>
    </w:p>
    <w:bookmarkEnd w:id="244"/>
    <w:p>
      <w:pPr>
        <w:pStyle w:val="97"/>
        <w:spacing w:before="156" w:after="156"/>
      </w:pPr>
      <w:r>
        <w:rPr>
          <w:rFonts w:hint="eastAsia"/>
        </w:rPr>
        <w:t>适用环节</w:t>
      </w:r>
    </w:p>
    <w:p>
      <w:pPr>
        <w:pStyle w:val="235"/>
        <w:ind w:firstLine="420"/>
      </w:pPr>
      <w:r>
        <w:rPr>
          <w:rFonts w:hint="eastAsia"/>
        </w:rPr>
        <w:t>资源综合利用的评价适用生命周期的各个环节。</w:t>
      </w:r>
    </w:p>
    <w:p>
      <w:pPr>
        <w:pStyle w:val="108"/>
        <w:spacing w:before="156" w:after="156"/>
      </w:pPr>
      <w:bookmarkStart w:id="245" w:name="_Toc92284962"/>
      <w:bookmarkStart w:id="246" w:name="_Toc100734551"/>
      <w:bookmarkStart w:id="247" w:name="_Toc118454877"/>
      <w:bookmarkStart w:id="248" w:name="_Toc118454898"/>
      <w:bookmarkStart w:id="249" w:name="_Toc100738085"/>
      <w:bookmarkStart w:id="250" w:name="_Toc100661415"/>
      <w:bookmarkStart w:id="251" w:name="_Toc29483"/>
      <w:r>
        <w:rPr>
          <w:rFonts w:hint="eastAsia"/>
        </w:rPr>
        <w:t>能源属性</w:t>
      </w:r>
      <w:bookmarkEnd w:id="245"/>
      <w:r>
        <w:rPr>
          <w:rFonts w:hint="eastAsia"/>
        </w:rPr>
        <w:t>评价</w:t>
      </w:r>
      <w:bookmarkEnd w:id="246"/>
      <w:bookmarkEnd w:id="247"/>
      <w:bookmarkEnd w:id="248"/>
      <w:bookmarkEnd w:id="249"/>
      <w:bookmarkEnd w:id="250"/>
      <w:bookmarkEnd w:id="251"/>
    </w:p>
    <w:p>
      <w:pPr>
        <w:pStyle w:val="68"/>
        <w:spacing w:before="156" w:after="156"/>
      </w:pPr>
      <w:bookmarkStart w:id="252" w:name="_Toc100661416"/>
      <w:bookmarkStart w:id="253" w:name="_Toc92284963"/>
      <w:bookmarkStart w:id="254" w:name="_Toc6614"/>
      <w:bookmarkStart w:id="255" w:name="_Toc118454899"/>
      <w:bookmarkStart w:id="256" w:name="_Toc20223"/>
      <w:r>
        <w:rPr>
          <w:rFonts w:hint="eastAsia"/>
        </w:rPr>
        <w:t>评价指标</w:t>
      </w:r>
      <w:bookmarkEnd w:id="252"/>
      <w:bookmarkEnd w:id="253"/>
      <w:bookmarkEnd w:id="254"/>
      <w:bookmarkEnd w:id="255"/>
      <w:bookmarkEnd w:id="256"/>
    </w:p>
    <w:p>
      <w:pPr>
        <w:pStyle w:val="246"/>
        <w:numPr>
          <w:ilvl w:val="0"/>
          <w:numId w:val="0"/>
        </w:numPr>
        <w:spacing w:before="156" w:after="156"/>
        <w:ind w:left="420"/>
      </w:pPr>
      <w:r>
        <w:rPr>
          <w:rFonts w:hint="eastAsia"/>
        </w:rPr>
        <w:t>能源</w:t>
      </w:r>
      <w:r>
        <w:t>属性</w:t>
      </w:r>
      <w:r>
        <w:rPr>
          <w:rFonts w:hint="eastAsia"/>
        </w:rPr>
        <w:t>评价指标包括：</w:t>
      </w:r>
    </w:p>
    <w:p>
      <w:pPr>
        <w:pStyle w:val="177"/>
        <w:numPr>
          <w:ilvl w:val="0"/>
          <w:numId w:val="45"/>
        </w:numPr>
        <w:rPr>
          <w:rFonts w:hint="eastAsia"/>
        </w:rPr>
      </w:pPr>
      <w:bookmarkStart w:id="257" w:name="_Hlk118453948"/>
      <w:r>
        <w:rPr>
          <w:rFonts w:hint="eastAsia"/>
        </w:rPr>
        <w:t>全过程能耗核算体系；</w:t>
      </w:r>
    </w:p>
    <w:p>
      <w:pPr>
        <w:pStyle w:val="177"/>
        <w:rPr>
          <w:rFonts w:hint="eastAsia"/>
        </w:rPr>
      </w:pPr>
      <w:r>
        <w:rPr>
          <w:rFonts w:hint="eastAsia"/>
        </w:rPr>
        <w:t>能源管理计划；</w:t>
      </w:r>
    </w:p>
    <w:p>
      <w:pPr>
        <w:pStyle w:val="177"/>
        <w:rPr>
          <w:rFonts w:hint="eastAsia"/>
        </w:rPr>
      </w:pPr>
      <w:r>
        <w:rPr>
          <w:rFonts w:hint="eastAsia"/>
        </w:rPr>
        <w:t>单位产品盐综合能耗；</w:t>
      </w:r>
    </w:p>
    <w:p>
      <w:pPr>
        <w:pStyle w:val="177"/>
      </w:pPr>
      <w:r>
        <w:rPr>
          <w:rFonts w:hint="eastAsia"/>
        </w:rPr>
        <w:t>能源管理体系认证。</w:t>
      </w:r>
    </w:p>
    <w:bookmarkEnd w:id="257"/>
    <w:p>
      <w:pPr>
        <w:pStyle w:val="68"/>
        <w:spacing w:before="156" w:after="156"/>
      </w:pPr>
      <w:bookmarkStart w:id="258" w:name="_Toc118454900"/>
      <w:bookmarkStart w:id="259" w:name="_Toc1672"/>
      <w:bookmarkStart w:id="260" w:name="_Hlk118454245"/>
      <w:r>
        <w:rPr>
          <w:rFonts w:hint="eastAsia"/>
        </w:rPr>
        <w:t>全过程能耗核算体系</w:t>
      </w:r>
      <w:bookmarkEnd w:id="258"/>
      <w:bookmarkEnd w:id="259"/>
    </w:p>
    <w:bookmarkEnd w:id="260"/>
    <w:p>
      <w:pPr>
        <w:pStyle w:val="97"/>
        <w:spacing w:before="156" w:after="156"/>
      </w:pPr>
      <w:r>
        <w:rPr>
          <w:rFonts w:hint="eastAsia"/>
        </w:rPr>
        <w:t>评价要求</w:t>
      </w:r>
    </w:p>
    <w:p>
      <w:pPr>
        <w:pStyle w:val="59"/>
        <w:ind w:firstLine="420"/>
        <w:rPr>
          <w:rFonts w:hint="eastAsia"/>
        </w:rPr>
      </w:pPr>
      <w:r>
        <w:rPr>
          <w:rFonts w:hint="eastAsia"/>
        </w:rPr>
        <w:t>应建立全过程能耗管理体系并有效实施。</w:t>
      </w:r>
    </w:p>
    <w:p>
      <w:pPr>
        <w:pStyle w:val="97"/>
        <w:spacing w:before="156" w:after="156"/>
      </w:pPr>
      <w:r>
        <w:rPr>
          <w:rFonts w:hint="eastAsia"/>
        </w:rPr>
        <w:t>判定依据</w:t>
      </w:r>
    </w:p>
    <w:p>
      <w:pPr>
        <w:pStyle w:val="59"/>
        <w:ind w:firstLine="420"/>
        <w:rPr>
          <w:rFonts w:hint="eastAsia"/>
        </w:rPr>
      </w:pPr>
      <w:r>
        <w:rPr>
          <w:rFonts w:hint="eastAsia"/>
        </w:rPr>
        <w:t>依据现场核查结果和企业佐证材料进行判定。</w:t>
      </w:r>
    </w:p>
    <w:p>
      <w:pPr>
        <w:pStyle w:val="97"/>
        <w:spacing w:before="156" w:after="156"/>
        <w:rPr>
          <w:rFonts w:hint="eastAsia"/>
        </w:rPr>
      </w:pPr>
      <w:r>
        <w:rPr>
          <w:rFonts w:hint="eastAsia"/>
        </w:rPr>
        <w:t>适用环节</w:t>
      </w:r>
    </w:p>
    <w:p>
      <w:pPr>
        <w:pStyle w:val="59"/>
        <w:ind w:firstLine="420"/>
        <w:rPr>
          <w:rFonts w:hint="eastAsia"/>
        </w:rPr>
      </w:pPr>
      <w:r>
        <w:rPr>
          <w:rFonts w:hint="eastAsia"/>
        </w:rPr>
        <w:t>全过程能耗核算体系评价适用于生命周期的各个环节。</w:t>
      </w:r>
    </w:p>
    <w:p>
      <w:pPr>
        <w:pStyle w:val="68"/>
        <w:spacing w:before="156" w:after="156"/>
      </w:pPr>
      <w:bookmarkStart w:id="261" w:name="_Toc118454901"/>
      <w:bookmarkStart w:id="262" w:name="_Toc12553"/>
      <w:r>
        <w:rPr>
          <w:rFonts w:hint="eastAsia"/>
        </w:rPr>
        <w:t>能源管理计划</w:t>
      </w:r>
      <w:bookmarkEnd w:id="261"/>
      <w:bookmarkEnd w:id="262"/>
    </w:p>
    <w:p>
      <w:pPr>
        <w:pStyle w:val="97"/>
        <w:spacing w:before="156" w:after="156"/>
      </w:pPr>
      <w:r>
        <w:rPr>
          <w:rFonts w:hint="eastAsia"/>
        </w:rPr>
        <w:t>评价要求</w:t>
      </w:r>
    </w:p>
    <w:p>
      <w:pPr>
        <w:pStyle w:val="59"/>
        <w:ind w:firstLine="420"/>
      </w:pPr>
      <w:r>
        <w:rPr>
          <w:rFonts w:hint="eastAsia"/>
        </w:rPr>
        <w:t>能源管理计划评价要求包括：</w:t>
      </w:r>
    </w:p>
    <w:p>
      <w:pPr>
        <w:pStyle w:val="177"/>
        <w:numPr>
          <w:ilvl w:val="0"/>
          <w:numId w:val="46"/>
        </w:numPr>
        <w:rPr>
          <w:rFonts w:hint="eastAsia"/>
        </w:rPr>
      </w:pPr>
      <w:r>
        <w:rPr>
          <w:rFonts w:hint="eastAsia"/>
        </w:rPr>
        <w:t>有年度能源管理计划；</w:t>
      </w:r>
    </w:p>
    <w:p>
      <w:pPr>
        <w:pStyle w:val="177"/>
        <w:rPr>
          <w:rFonts w:hint="eastAsia"/>
        </w:rPr>
      </w:pPr>
      <w:r>
        <w:rPr>
          <w:rFonts w:hint="eastAsia"/>
        </w:rPr>
        <w:t>节能指标能够分解到下属单位、部门或车间。</w:t>
      </w:r>
    </w:p>
    <w:p>
      <w:pPr>
        <w:pStyle w:val="97"/>
        <w:spacing w:before="156" w:after="156"/>
      </w:pPr>
      <w:r>
        <w:rPr>
          <w:rFonts w:hint="eastAsia"/>
        </w:rPr>
        <w:t>判定依据</w:t>
      </w:r>
    </w:p>
    <w:p>
      <w:pPr>
        <w:pStyle w:val="59"/>
        <w:ind w:firstLine="420"/>
        <w:rPr>
          <w:rFonts w:hint="eastAsia"/>
        </w:rPr>
      </w:pPr>
      <w:r>
        <w:rPr>
          <w:rFonts w:hint="eastAsia"/>
        </w:rPr>
        <w:t>依据现场访谈和生产企业证明材料进行判定。</w:t>
      </w:r>
    </w:p>
    <w:p>
      <w:pPr>
        <w:pStyle w:val="97"/>
        <w:spacing w:before="156" w:after="156"/>
      </w:pPr>
      <w:r>
        <w:rPr>
          <w:rFonts w:hint="eastAsia"/>
        </w:rPr>
        <w:t>适用环节</w:t>
      </w:r>
    </w:p>
    <w:p>
      <w:pPr>
        <w:pStyle w:val="59"/>
        <w:ind w:firstLine="420"/>
        <w:rPr>
          <w:rFonts w:hint="eastAsia"/>
        </w:rPr>
      </w:pPr>
      <w:r>
        <w:rPr>
          <w:rFonts w:hint="eastAsia"/>
        </w:rPr>
        <w:t>能源管理计划评价适用于生命周期的各个环节。</w:t>
      </w:r>
    </w:p>
    <w:p>
      <w:pPr>
        <w:pStyle w:val="68"/>
        <w:spacing w:before="156" w:after="156"/>
      </w:pPr>
      <w:bookmarkStart w:id="263" w:name="_Toc118454902"/>
      <w:bookmarkStart w:id="264" w:name="_Toc26532"/>
      <w:bookmarkStart w:id="265" w:name="_Hlk118454359"/>
      <w:r>
        <w:rPr>
          <w:rFonts w:hint="eastAsia"/>
        </w:rPr>
        <w:t>能源管理体系认证</w:t>
      </w:r>
      <w:bookmarkEnd w:id="263"/>
      <w:bookmarkEnd w:id="264"/>
    </w:p>
    <w:bookmarkEnd w:id="265"/>
    <w:p>
      <w:pPr>
        <w:pStyle w:val="97"/>
        <w:spacing w:before="156" w:after="156"/>
      </w:pPr>
      <w:r>
        <w:rPr>
          <w:rFonts w:hint="eastAsia"/>
        </w:rPr>
        <w:t>评价要求</w:t>
      </w:r>
    </w:p>
    <w:p>
      <w:pPr>
        <w:pStyle w:val="59"/>
        <w:ind w:firstLine="420"/>
        <w:rPr>
          <w:rFonts w:hint="eastAsia"/>
        </w:rPr>
      </w:pPr>
      <w:r>
        <w:rPr>
          <w:rFonts w:hint="eastAsia"/>
        </w:rPr>
        <w:t>生产企业应获得能源管理体系认证。</w:t>
      </w:r>
    </w:p>
    <w:p>
      <w:pPr>
        <w:pStyle w:val="97"/>
        <w:spacing w:before="156" w:after="156"/>
      </w:pPr>
      <w:r>
        <w:rPr>
          <w:rFonts w:hint="eastAsia"/>
        </w:rPr>
        <w:t>判定依据</w:t>
      </w:r>
    </w:p>
    <w:p>
      <w:pPr>
        <w:pStyle w:val="59"/>
        <w:ind w:firstLine="420"/>
        <w:rPr>
          <w:rFonts w:hint="eastAsia"/>
        </w:rPr>
      </w:pPr>
      <w:r>
        <w:rPr>
          <w:rFonts w:hint="eastAsia"/>
        </w:rPr>
        <w:t>依据第三方证明材料进行判定。</w:t>
      </w:r>
    </w:p>
    <w:p>
      <w:pPr>
        <w:pStyle w:val="97"/>
        <w:spacing w:before="156" w:after="156"/>
        <w:rPr>
          <w:rFonts w:hint="eastAsia"/>
        </w:rPr>
      </w:pPr>
      <w:r>
        <w:rPr>
          <w:rFonts w:hint="eastAsia"/>
        </w:rPr>
        <w:t>适用环节</w:t>
      </w:r>
    </w:p>
    <w:p>
      <w:pPr>
        <w:pStyle w:val="59"/>
        <w:ind w:firstLine="420"/>
        <w:rPr>
          <w:rFonts w:hint="eastAsia"/>
        </w:rPr>
      </w:pPr>
      <w:r>
        <w:rPr>
          <w:rFonts w:hint="eastAsia"/>
        </w:rPr>
        <w:t>能源管理体系认评价适用于生命周期的各个环节。</w:t>
      </w:r>
    </w:p>
    <w:p>
      <w:pPr>
        <w:pStyle w:val="68"/>
        <w:spacing w:before="156" w:after="156"/>
      </w:pPr>
      <w:bookmarkStart w:id="266" w:name="_Toc100661417"/>
      <w:bookmarkStart w:id="267" w:name="_Toc19562"/>
      <w:bookmarkStart w:id="268" w:name="_Toc118454903"/>
      <w:bookmarkStart w:id="269" w:name="_Toc92284964"/>
      <w:bookmarkStart w:id="270" w:name="_Toc25899"/>
      <w:r>
        <w:t>单位产品盐综合能耗</w:t>
      </w:r>
      <w:bookmarkEnd w:id="266"/>
      <w:bookmarkEnd w:id="267"/>
      <w:bookmarkEnd w:id="268"/>
      <w:bookmarkEnd w:id="269"/>
      <w:bookmarkEnd w:id="270"/>
    </w:p>
    <w:p>
      <w:pPr>
        <w:pStyle w:val="97"/>
        <w:spacing w:before="156" w:after="156"/>
      </w:pPr>
      <w:r>
        <w:rPr>
          <w:rFonts w:hint="eastAsia"/>
        </w:rPr>
        <w:t>评价要求</w:t>
      </w:r>
    </w:p>
    <w:p>
      <w:pPr>
        <w:pStyle w:val="235"/>
        <w:ind w:firstLine="420"/>
      </w:pPr>
      <w:r>
        <w:t>单位产品盐综合能耗</w:t>
      </w:r>
      <w:r>
        <w:rPr>
          <w:rFonts w:hint="eastAsia"/>
        </w:rPr>
        <w:t>。根据生产工艺，应满足下列指标之一：</w:t>
      </w:r>
    </w:p>
    <w:p>
      <w:pPr>
        <w:pStyle w:val="135"/>
      </w:pPr>
      <w:r>
        <w:rPr>
          <w:rFonts w:hint="eastAsia"/>
        </w:rPr>
        <w:t>真空蒸发工艺单位产品盐综合能耗不大于160</w:t>
      </w:r>
      <w:r>
        <w:t>kg标煤</w:t>
      </w:r>
      <w:r>
        <w:rPr>
          <w:rFonts w:hint="eastAsia"/>
        </w:rPr>
        <w:t>；</w:t>
      </w:r>
    </w:p>
    <w:p>
      <w:pPr>
        <w:pStyle w:val="135"/>
      </w:pPr>
      <w:r>
        <w:rPr>
          <w:rFonts w:hint="eastAsia"/>
        </w:rPr>
        <w:t>机械热压缩工艺单位产品盐综合能耗不大于</w:t>
      </w:r>
      <w:r>
        <w:t>75kg标煤</w:t>
      </w:r>
      <w:r>
        <w:rPr>
          <w:rFonts w:hint="eastAsia"/>
        </w:rPr>
        <w:t>；</w:t>
      </w:r>
    </w:p>
    <w:p>
      <w:pPr>
        <w:pStyle w:val="97"/>
        <w:spacing w:before="156" w:after="156"/>
      </w:pPr>
      <w:r>
        <w:rPr>
          <w:rFonts w:hint="eastAsia"/>
        </w:rPr>
        <w:t>判定依据</w:t>
      </w:r>
    </w:p>
    <w:p>
      <w:pPr>
        <w:pStyle w:val="235"/>
        <w:ind w:firstLine="420"/>
      </w:pPr>
      <w:r>
        <w:rPr>
          <w:rFonts w:hint="eastAsia"/>
        </w:rPr>
        <w:t>依据GB/T 2589计算产品综合能耗，并提供证明材料。</w:t>
      </w:r>
    </w:p>
    <w:p>
      <w:pPr>
        <w:pStyle w:val="97"/>
        <w:spacing w:before="156" w:after="156"/>
      </w:pPr>
      <w:r>
        <w:rPr>
          <w:rFonts w:hint="eastAsia"/>
        </w:rPr>
        <w:t>适用环节</w:t>
      </w:r>
    </w:p>
    <w:p>
      <w:pPr>
        <w:pStyle w:val="235"/>
        <w:ind w:firstLine="420"/>
      </w:pPr>
      <w:bookmarkStart w:id="271" w:name="_Hlk118454208"/>
      <w:r>
        <w:rPr>
          <w:rFonts w:hint="eastAsia"/>
        </w:rPr>
        <w:t>单位</w:t>
      </w:r>
      <w:r>
        <w:t>产品盐综合能耗</w:t>
      </w:r>
      <w:r>
        <w:rPr>
          <w:rFonts w:hint="eastAsia"/>
        </w:rPr>
        <w:t>的评价</w:t>
      </w:r>
      <w:r>
        <w:t>适用于生命周期</w:t>
      </w:r>
      <w:r>
        <w:rPr>
          <w:rFonts w:hint="eastAsia"/>
        </w:rPr>
        <w:t>的各个环节</w:t>
      </w:r>
      <w:r>
        <w:t>。</w:t>
      </w:r>
    </w:p>
    <w:bookmarkEnd w:id="271"/>
    <w:p>
      <w:pPr>
        <w:pStyle w:val="108"/>
        <w:spacing w:before="156" w:after="156"/>
      </w:pPr>
      <w:bookmarkStart w:id="272" w:name="_Toc92284965"/>
      <w:bookmarkStart w:id="273" w:name="_Toc100661418"/>
      <w:bookmarkStart w:id="274" w:name="_Toc118454878"/>
      <w:bookmarkStart w:id="275" w:name="_Toc100738086"/>
      <w:bookmarkStart w:id="276" w:name="_Toc118454904"/>
      <w:bookmarkStart w:id="277" w:name="_Toc100734552"/>
      <w:bookmarkStart w:id="278" w:name="_Toc32125"/>
      <w:r>
        <w:rPr>
          <w:rFonts w:hint="eastAsia"/>
        </w:rPr>
        <w:t>环境属性</w:t>
      </w:r>
      <w:bookmarkEnd w:id="272"/>
      <w:r>
        <w:rPr>
          <w:rFonts w:hint="eastAsia"/>
        </w:rPr>
        <w:t>评价</w:t>
      </w:r>
      <w:bookmarkEnd w:id="273"/>
      <w:bookmarkEnd w:id="274"/>
      <w:bookmarkEnd w:id="275"/>
      <w:bookmarkEnd w:id="276"/>
      <w:bookmarkEnd w:id="277"/>
      <w:bookmarkEnd w:id="278"/>
    </w:p>
    <w:p>
      <w:pPr>
        <w:pStyle w:val="68"/>
        <w:spacing w:before="156" w:after="156"/>
      </w:pPr>
      <w:bookmarkStart w:id="279" w:name="_Toc531277269"/>
      <w:bookmarkStart w:id="280" w:name="_Toc529900433"/>
      <w:bookmarkStart w:id="281" w:name="_Toc118454905"/>
      <w:bookmarkStart w:id="282" w:name="_Toc531123044"/>
      <w:bookmarkStart w:id="283" w:name="_Toc5887182"/>
      <w:bookmarkStart w:id="284" w:name="_Toc530237531"/>
      <w:bookmarkStart w:id="285" w:name="_Toc529898305"/>
      <w:bookmarkStart w:id="286" w:name="_Toc531151813"/>
      <w:bookmarkStart w:id="287" w:name="_Toc531033908"/>
      <w:bookmarkStart w:id="288" w:name="_Toc529953636"/>
      <w:bookmarkStart w:id="289" w:name="_Toc529898406"/>
      <w:bookmarkStart w:id="290" w:name="_Toc529900823"/>
      <w:bookmarkStart w:id="291" w:name="_Toc526708243"/>
      <w:bookmarkStart w:id="292" w:name="_Toc5887117"/>
      <w:bookmarkStart w:id="293" w:name="_Toc529899980"/>
      <w:bookmarkStart w:id="294" w:name="_Toc100661419"/>
      <w:bookmarkStart w:id="295" w:name="_Toc25349"/>
      <w:r>
        <w:rPr>
          <w:rFonts w:hint="eastAsia"/>
        </w:rPr>
        <w:t>评价指标</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pPr>
        <w:pStyle w:val="235"/>
        <w:ind w:firstLine="420"/>
      </w:pPr>
      <w:r>
        <w:rPr>
          <w:rFonts w:hint="eastAsia"/>
        </w:rPr>
        <w:t>环境</w:t>
      </w:r>
      <w:r>
        <w:t>属性评价指标主要包括：</w:t>
      </w:r>
    </w:p>
    <w:p>
      <w:pPr>
        <w:pStyle w:val="177"/>
        <w:numPr>
          <w:ilvl w:val="0"/>
          <w:numId w:val="47"/>
        </w:numPr>
      </w:pPr>
      <w:r>
        <w:rPr>
          <w:rFonts w:hint="eastAsia"/>
        </w:rPr>
        <w:t>产地环境；</w:t>
      </w:r>
    </w:p>
    <w:p>
      <w:pPr>
        <w:pStyle w:val="177"/>
      </w:pPr>
      <w:r>
        <w:rPr>
          <w:rFonts w:hint="eastAsia"/>
        </w:rPr>
        <w:t>废水</w:t>
      </w:r>
      <w:r>
        <w:t>、废气、噪声排放</w:t>
      </w:r>
      <w:r>
        <w:rPr>
          <w:rFonts w:hint="eastAsia"/>
        </w:rPr>
        <w:t>；</w:t>
      </w:r>
    </w:p>
    <w:p>
      <w:pPr>
        <w:pStyle w:val="177"/>
      </w:pPr>
      <w:r>
        <w:rPr>
          <w:rFonts w:hint="eastAsia"/>
          <w:lang w:val="en-US" w:eastAsia="zh-CN"/>
        </w:rPr>
        <w:t>固废</w:t>
      </w:r>
      <w:r>
        <w:t>处置</w:t>
      </w:r>
      <w:r>
        <w:rPr>
          <w:rFonts w:hint="eastAsia"/>
        </w:rPr>
        <w:t>；</w:t>
      </w:r>
    </w:p>
    <w:p>
      <w:pPr>
        <w:pStyle w:val="177"/>
      </w:pPr>
      <w:r>
        <w:rPr>
          <w:rFonts w:hint="eastAsia"/>
        </w:rPr>
        <w:t>环境恢复治理；</w:t>
      </w:r>
    </w:p>
    <w:p>
      <w:pPr>
        <w:pStyle w:val="177"/>
      </w:pPr>
      <w:r>
        <w:rPr>
          <w:rFonts w:hint="eastAsia"/>
        </w:rPr>
        <w:t>运输</w:t>
      </w:r>
      <w:r>
        <w:t>仓储</w:t>
      </w:r>
      <w:r>
        <w:rPr>
          <w:rFonts w:hint="eastAsia"/>
        </w:rPr>
        <w:t>。</w:t>
      </w:r>
    </w:p>
    <w:p>
      <w:pPr>
        <w:pStyle w:val="68"/>
        <w:spacing w:before="156" w:after="156"/>
      </w:pPr>
      <w:bookmarkStart w:id="296" w:name="_Toc118454906"/>
      <w:bookmarkStart w:id="297" w:name="_Toc92284966"/>
      <w:bookmarkStart w:id="298" w:name="_Toc23121"/>
      <w:bookmarkStart w:id="299" w:name="_Toc100661420"/>
      <w:bookmarkStart w:id="300" w:name="_Toc17255"/>
      <w:r>
        <w:rPr>
          <w:rFonts w:hint="eastAsia"/>
        </w:rPr>
        <w:t>产地环境</w:t>
      </w:r>
      <w:bookmarkEnd w:id="296"/>
      <w:bookmarkEnd w:id="297"/>
      <w:bookmarkEnd w:id="298"/>
      <w:bookmarkEnd w:id="299"/>
      <w:bookmarkEnd w:id="300"/>
    </w:p>
    <w:p>
      <w:pPr>
        <w:pStyle w:val="97"/>
        <w:spacing w:before="156" w:after="156"/>
      </w:pPr>
      <w:r>
        <w:rPr>
          <w:rFonts w:hint="eastAsia"/>
        </w:rPr>
        <w:t>评价要求</w:t>
      </w:r>
    </w:p>
    <w:p>
      <w:pPr>
        <w:pStyle w:val="177"/>
        <w:numPr>
          <w:ilvl w:val="0"/>
          <w:numId w:val="48"/>
        </w:numPr>
      </w:pPr>
      <w:r>
        <w:rPr>
          <w:rFonts w:hint="eastAsia"/>
        </w:rPr>
        <w:t>产地环境（包括矿产资源或卤水来源环境质量及加工厂区环境质量）质量符合NY/T 391和NY/T 1054的规定</w:t>
      </w:r>
      <w:r>
        <w:rPr>
          <w:rFonts w:hint="eastAsia"/>
          <w:lang w:eastAsia="zh-CN"/>
        </w:rPr>
        <w:t>；</w:t>
      </w:r>
    </w:p>
    <w:p>
      <w:pPr>
        <w:pStyle w:val="177"/>
      </w:pPr>
      <w:r>
        <w:rPr>
          <w:rFonts w:hint="eastAsia"/>
        </w:rPr>
        <w:t>厂区及生产车间设施清洁卫生状况应符合GB 14881的要求。</w:t>
      </w:r>
    </w:p>
    <w:p>
      <w:pPr>
        <w:pStyle w:val="97"/>
        <w:spacing w:before="156" w:after="156"/>
      </w:pPr>
      <w:r>
        <w:rPr>
          <w:rFonts w:hint="eastAsia"/>
        </w:rPr>
        <w:t>判定依据</w:t>
      </w:r>
    </w:p>
    <w:p>
      <w:pPr>
        <w:pStyle w:val="235"/>
        <w:ind w:firstLine="420"/>
      </w:pPr>
      <w:r>
        <w:rPr>
          <w:rFonts w:hint="eastAsia"/>
        </w:rPr>
        <w:t>针对5.5.2.1要求，依据现场核查结果进行判定。</w:t>
      </w:r>
    </w:p>
    <w:p>
      <w:pPr>
        <w:pStyle w:val="97"/>
        <w:spacing w:before="156" w:after="156"/>
      </w:pPr>
      <w:r>
        <w:rPr>
          <w:rFonts w:hint="eastAsia"/>
        </w:rPr>
        <w:t>适用环节</w:t>
      </w:r>
    </w:p>
    <w:p>
      <w:pPr>
        <w:pStyle w:val="235"/>
        <w:ind w:firstLine="420"/>
      </w:pPr>
      <w:r>
        <w:rPr>
          <w:rFonts w:hint="eastAsia" w:cs="宋体"/>
          <w:szCs w:val="21"/>
        </w:rPr>
        <w:t>适用于</w:t>
      </w:r>
      <w:r>
        <w:t>生命周期</w:t>
      </w:r>
      <w:r>
        <w:rPr>
          <w:rFonts w:hint="eastAsia"/>
        </w:rPr>
        <w:t>的各个环节</w:t>
      </w:r>
      <w:r>
        <w:t>。</w:t>
      </w:r>
    </w:p>
    <w:p>
      <w:pPr>
        <w:pStyle w:val="68"/>
        <w:spacing w:before="156" w:after="156"/>
      </w:pPr>
      <w:bookmarkStart w:id="301" w:name="_Toc100661421"/>
      <w:bookmarkStart w:id="302" w:name="_Toc118454907"/>
      <w:bookmarkStart w:id="303" w:name="_Toc23040"/>
      <w:bookmarkStart w:id="304" w:name="_Hlk118454478"/>
      <w:r>
        <w:rPr>
          <w:rFonts w:hint="eastAsia"/>
        </w:rPr>
        <w:t>废水、废气、噪声排放</w:t>
      </w:r>
      <w:bookmarkEnd w:id="301"/>
      <w:bookmarkEnd w:id="302"/>
      <w:bookmarkEnd w:id="303"/>
    </w:p>
    <w:bookmarkEnd w:id="304"/>
    <w:p>
      <w:pPr>
        <w:pStyle w:val="97"/>
        <w:spacing w:before="156" w:after="156"/>
      </w:pPr>
      <w:r>
        <w:rPr>
          <w:rFonts w:hint="eastAsia"/>
        </w:rPr>
        <w:t>评价要求</w:t>
      </w:r>
    </w:p>
    <w:p>
      <w:pPr>
        <w:pStyle w:val="59"/>
        <w:ind w:firstLine="420"/>
        <w:rPr>
          <w:rFonts w:hint="eastAsia"/>
        </w:rPr>
      </w:pPr>
      <w:r>
        <w:rPr>
          <w:rFonts w:hint="eastAsia"/>
        </w:rPr>
        <w:t>废水、废气、噪声排放评价包括：</w:t>
      </w:r>
    </w:p>
    <w:p>
      <w:pPr>
        <w:pStyle w:val="177"/>
        <w:numPr>
          <w:ilvl w:val="0"/>
          <w:numId w:val="49"/>
        </w:numPr>
      </w:pPr>
      <w:r>
        <w:rPr>
          <w:rFonts w:hint="eastAsia"/>
        </w:rPr>
        <w:t>废水排放应符合GB 8978的要求；</w:t>
      </w:r>
    </w:p>
    <w:p>
      <w:pPr>
        <w:pStyle w:val="177"/>
      </w:pPr>
      <w:r>
        <w:rPr>
          <w:rFonts w:hint="eastAsia"/>
        </w:rPr>
        <w:t xml:space="preserve">废气排放应符合排放符合GB 13271或GB 16297的要求； </w:t>
      </w:r>
    </w:p>
    <w:p>
      <w:pPr>
        <w:pStyle w:val="177"/>
      </w:pPr>
      <w:r>
        <w:rPr>
          <w:rFonts w:hint="eastAsia"/>
        </w:rPr>
        <w:t>噪声排放应符合GB 12348的要求；</w:t>
      </w:r>
    </w:p>
    <w:p>
      <w:pPr>
        <w:pStyle w:val="177"/>
      </w:pPr>
      <w:r>
        <w:rPr>
          <w:rFonts w:hint="eastAsia"/>
        </w:rPr>
        <w:t>宜对废水、废气以及噪声排放进行综合处理和利用。</w:t>
      </w:r>
    </w:p>
    <w:p>
      <w:pPr>
        <w:pStyle w:val="97"/>
        <w:spacing w:before="156" w:after="156"/>
      </w:pPr>
      <w:r>
        <w:rPr>
          <w:rFonts w:hint="eastAsia"/>
        </w:rPr>
        <w:t>判定依据</w:t>
      </w:r>
    </w:p>
    <w:p>
      <w:pPr>
        <w:pStyle w:val="235"/>
        <w:widowControl w:val="0"/>
        <w:ind w:firstLine="420"/>
      </w:pPr>
      <w:r>
        <w:rPr>
          <w:rFonts w:hint="eastAsia"/>
        </w:rPr>
        <w:t>生态井矿盐生产中废水</w:t>
      </w:r>
      <w:r>
        <w:t>、废气、噪声排放</w:t>
      </w:r>
      <w:r>
        <w:rPr>
          <w:rFonts w:hint="eastAsia"/>
        </w:rPr>
        <w:t>要求判定依据如下：</w:t>
      </w:r>
    </w:p>
    <w:p>
      <w:pPr>
        <w:pStyle w:val="177"/>
        <w:numPr>
          <w:ilvl w:val="0"/>
          <w:numId w:val="50"/>
        </w:numPr>
      </w:pPr>
      <w:r>
        <w:rPr>
          <w:rFonts w:hint="eastAsia"/>
        </w:rPr>
        <w:t>针对</w:t>
      </w:r>
      <w:r>
        <w:t>5.5</w:t>
      </w:r>
      <w:r>
        <w:rPr>
          <w:rFonts w:hint="eastAsia"/>
        </w:rPr>
        <w:t>.3.1中a</w:t>
      </w:r>
      <w:r>
        <w:t>)</w:t>
      </w:r>
      <w:r>
        <w:rPr>
          <w:rFonts w:hint="eastAsia"/>
        </w:rPr>
        <w:t>要求，依据现场核查结果和</w:t>
      </w:r>
      <w:r>
        <w:t>具有资质</w:t>
      </w:r>
      <w:r>
        <w:rPr>
          <w:rFonts w:hint="eastAsia"/>
        </w:rPr>
        <w:t>的</w:t>
      </w:r>
      <w:r>
        <w:t>第三方检测报告进行判定</w:t>
      </w:r>
      <w:r>
        <w:rPr>
          <w:rFonts w:hint="eastAsia"/>
        </w:rPr>
        <w:t>；</w:t>
      </w:r>
    </w:p>
    <w:p>
      <w:pPr>
        <w:pStyle w:val="177"/>
      </w:pPr>
      <w:r>
        <w:rPr>
          <w:rFonts w:hint="eastAsia"/>
        </w:rPr>
        <w:t>针对</w:t>
      </w:r>
      <w:r>
        <w:t>5.5</w:t>
      </w:r>
      <w:r>
        <w:rPr>
          <w:rFonts w:hint="eastAsia"/>
        </w:rPr>
        <w:t>.3.1中b</w:t>
      </w:r>
      <w:r>
        <w:t>)</w:t>
      </w:r>
      <w:r>
        <w:rPr>
          <w:rFonts w:hint="eastAsia"/>
        </w:rPr>
        <w:t>和</w:t>
      </w:r>
      <w:r>
        <w:t>c)</w:t>
      </w:r>
      <w:r>
        <w:rPr>
          <w:rFonts w:hint="eastAsia"/>
        </w:rPr>
        <w:t>要求，依据</w:t>
      </w:r>
      <w:r>
        <w:t>具有资质</w:t>
      </w:r>
      <w:r>
        <w:rPr>
          <w:rFonts w:hint="eastAsia"/>
        </w:rPr>
        <w:t>的第三方检测报告结果</w:t>
      </w:r>
      <w:r>
        <w:t>进行判定</w:t>
      </w:r>
      <w:r>
        <w:rPr>
          <w:rFonts w:hint="eastAsia"/>
        </w:rPr>
        <w:t>；</w:t>
      </w:r>
    </w:p>
    <w:p>
      <w:pPr>
        <w:pStyle w:val="177"/>
      </w:pPr>
      <w:r>
        <w:rPr>
          <w:rFonts w:hint="eastAsia"/>
        </w:rPr>
        <w:t>针对5</w:t>
      </w:r>
      <w:r>
        <w:t>.5.3.1</w:t>
      </w:r>
      <w:r>
        <w:rPr>
          <w:rFonts w:hint="eastAsia"/>
        </w:rPr>
        <w:t>中d</w:t>
      </w:r>
      <w:r>
        <w:t>),</w:t>
      </w:r>
      <w:r>
        <w:rPr>
          <w:rFonts w:hint="eastAsia"/>
        </w:rPr>
        <w:t>依据企业自我声明和相关佐证材料。</w:t>
      </w:r>
    </w:p>
    <w:p>
      <w:pPr>
        <w:pStyle w:val="97"/>
        <w:spacing w:before="156" w:after="156"/>
      </w:pPr>
      <w:r>
        <w:rPr>
          <w:rFonts w:hint="eastAsia"/>
        </w:rPr>
        <w:t>适用环节</w:t>
      </w:r>
    </w:p>
    <w:p>
      <w:pPr>
        <w:pStyle w:val="235"/>
        <w:ind w:firstLine="420"/>
      </w:pPr>
      <w:r>
        <w:rPr>
          <w:rFonts w:hint="eastAsia"/>
        </w:rPr>
        <w:t>废水</w:t>
      </w:r>
      <w:r>
        <w:t>、废气和噪声排放</w:t>
      </w:r>
      <w:r>
        <w:rPr>
          <w:rFonts w:hint="eastAsia"/>
        </w:rPr>
        <w:t>的评价</w:t>
      </w:r>
      <w:r>
        <w:t>适用于生命周期</w:t>
      </w:r>
      <w:r>
        <w:rPr>
          <w:rFonts w:hint="eastAsia"/>
        </w:rPr>
        <w:t>的各个环节</w:t>
      </w:r>
      <w:r>
        <w:t>。</w:t>
      </w:r>
    </w:p>
    <w:p>
      <w:pPr>
        <w:pStyle w:val="68"/>
        <w:spacing w:before="156" w:after="156"/>
      </w:pPr>
      <w:bookmarkStart w:id="305" w:name="_Toc118454908"/>
      <w:bookmarkStart w:id="306" w:name="_Toc100661422"/>
      <w:bookmarkStart w:id="307" w:name="_Toc28391"/>
      <w:r>
        <w:rPr>
          <w:rFonts w:hint="eastAsia"/>
        </w:rPr>
        <w:t>固废处置</w:t>
      </w:r>
      <w:bookmarkEnd w:id="305"/>
      <w:bookmarkEnd w:id="306"/>
      <w:bookmarkEnd w:id="307"/>
    </w:p>
    <w:p>
      <w:pPr>
        <w:pStyle w:val="97"/>
        <w:spacing w:before="156" w:after="156"/>
      </w:pPr>
      <w:r>
        <w:rPr>
          <w:rFonts w:hint="eastAsia"/>
        </w:rPr>
        <w:t>评价要求</w:t>
      </w:r>
    </w:p>
    <w:p>
      <w:pPr>
        <w:pStyle w:val="235"/>
        <w:ind w:firstLine="420"/>
      </w:pPr>
      <w:r>
        <w:rPr>
          <w:rFonts w:hint="eastAsia"/>
        </w:rPr>
        <w:t>固废处置应符合以下要求：</w:t>
      </w:r>
    </w:p>
    <w:p>
      <w:pPr>
        <w:pStyle w:val="177"/>
        <w:numPr>
          <w:ilvl w:val="0"/>
          <w:numId w:val="51"/>
        </w:numPr>
      </w:pPr>
      <w:r>
        <w:rPr>
          <w:rFonts w:hint="eastAsia"/>
        </w:rPr>
        <w:t>盐泥处置应避免对环境造成污染，推荐采用综合利用的方式进行处理；</w:t>
      </w:r>
    </w:p>
    <w:p>
      <w:pPr>
        <w:pStyle w:val="177"/>
      </w:pPr>
      <w:r>
        <w:rPr>
          <w:rFonts w:hint="eastAsia"/>
          <w:spacing w:val="-2"/>
          <w:szCs w:val="21"/>
        </w:rPr>
        <w:t>废塑料膜、废包装材料</w:t>
      </w:r>
      <w:r>
        <w:rPr>
          <w:rFonts w:hint="eastAsia"/>
        </w:rPr>
        <w:t>应按规定进行环保处置；</w:t>
      </w:r>
    </w:p>
    <w:p>
      <w:pPr>
        <w:pStyle w:val="177"/>
      </w:pPr>
      <w:r>
        <w:rPr>
          <w:rFonts w:hint="eastAsia"/>
        </w:rPr>
        <w:t>报废仪器设备、零部件等处置应考虑资源再利用；</w:t>
      </w:r>
    </w:p>
    <w:p>
      <w:pPr>
        <w:pStyle w:val="177"/>
      </w:pPr>
      <w:r>
        <w:rPr>
          <w:rFonts w:hint="eastAsia"/>
        </w:rPr>
        <w:t>各类固体废弃物在厂区内堆放时应设定专门场地，并有安全管理措施；</w:t>
      </w:r>
    </w:p>
    <w:p>
      <w:pPr>
        <w:pStyle w:val="177"/>
      </w:pPr>
      <w:r>
        <w:rPr>
          <w:rFonts w:hint="eastAsia"/>
        </w:rPr>
        <w:t>对固废处置能进行综合利用，并回收提取有用矿物或元素。</w:t>
      </w:r>
    </w:p>
    <w:p>
      <w:pPr>
        <w:pStyle w:val="97"/>
        <w:spacing w:before="156" w:after="156"/>
      </w:pPr>
      <w:r>
        <w:rPr>
          <w:rFonts w:hint="eastAsia"/>
        </w:rPr>
        <w:t>判定依据</w:t>
      </w:r>
    </w:p>
    <w:p>
      <w:pPr>
        <w:pStyle w:val="235"/>
        <w:ind w:firstLine="420"/>
      </w:pPr>
      <w:r>
        <w:rPr>
          <w:rFonts w:hint="eastAsia"/>
        </w:rPr>
        <w:t>生态井矿盐</w:t>
      </w:r>
      <w:r>
        <w:rPr>
          <w:rFonts w:hint="eastAsia"/>
          <w:lang w:val="en-US" w:eastAsia="zh-CN"/>
        </w:rPr>
        <w:t>固废</w:t>
      </w:r>
      <w:r>
        <w:rPr>
          <w:rFonts w:hint="eastAsia"/>
        </w:rPr>
        <w:t>处置要求判定依据如下：</w:t>
      </w:r>
    </w:p>
    <w:p>
      <w:pPr>
        <w:pStyle w:val="177"/>
        <w:numPr>
          <w:ilvl w:val="0"/>
          <w:numId w:val="52"/>
        </w:numPr>
      </w:pPr>
      <w:r>
        <w:rPr>
          <w:rFonts w:hint="eastAsia"/>
        </w:rPr>
        <w:t>针对</w:t>
      </w:r>
      <w:r>
        <w:t>5</w:t>
      </w:r>
      <w:r>
        <w:rPr>
          <w:rFonts w:hint="eastAsia"/>
        </w:rPr>
        <w:t>.</w:t>
      </w:r>
      <w:r>
        <w:t>5</w:t>
      </w:r>
      <w:r>
        <w:rPr>
          <w:rFonts w:hint="eastAsia"/>
        </w:rPr>
        <w:t>.4</w:t>
      </w:r>
      <w:r>
        <w:t>.</w:t>
      </w:r>
      <w:r>
        <w:rPr>
          <w:rFonts w:hint="eastAsia"/>
        </w:rPr>
        <w:t>1</w:t>
      </w:r>
      <w:r>
        <w:rPr>
          <w:rFonts w:hint="eastAsia"/>
          <w:lang w:eastAsia="zh-CN"/>
        </w:rPr>
        <w:t>中</w:t>
      </w:r>
      <w:r>
        <w:rPr>
          <w:rFonts w:hint="eastAsia"/>
        </w:rPr>
        <w:t>a）要求</w:t>
      </w:r>
      <w:r>
        <w:t>，依据</w:t>
      </w:r>
      <w:r>
        <w:rPr>
          <w:rFonts w:hint="eastAsia"/>
        </w:rPr>
        <w:t>生产</w:t>
      </w:r>
      <w:r>
        <w:t>企业自我声明或其他</w:t>
      </w:r>
      <w:r>
        <w:rPr>
          <w:rFonts w:hint="eastAsia"/>
        </w:rPr>
        <w:t>证明材料进行</w:t>
      </w:r>
      <w:r>
        <w:t>判定</w:t>
      </w:r>
      <w:r>
        <w:rPr>
          <w:rFonts w:hint="eastAsia"/>
        </w:rPr>
        <w:t>；</w:t>
      </w:r>
    </w:p>
    <w:p>
      <w:pPr>
        <w:pStyle w:val="177"/>
      </w:pPr>
      <w:r>
        <w:rPr>
          <w:rFonts w:hint="eastAsia"/>
        </w:rPr>
        <w:t>针对</w:t>
      </w:r>
      <w:r>
        <w:t>5</w:t>
      </w:r>
      <w:r>
        <w:rPr>
          <w:rFonts w:hint="eastAsia"/>
        </w:rPr>
        <w:t>.</w:t>
      </w:r>
      <w:r>
        <w:t>5</w:t>
      </w:r>
      <w:r>
        <w:rPr>
          <w:rFonts w:hint="eastAsia"/>
        </w:rPr>
        <w:t>.4</w:t>
      </w:r>
      <w:r>
        <w:t>.</w:t>
      </w:r>
      <w:r>
        <w:rPr>
          <w:rFonts w:hint="eastAsia"/>
        </w:rPr>
        <w:t>1</w:t>
      </w:r>
      <w:r>
        <w:rPr>
          <w:rFonts w:hint="eastAsia"/>
          <w:lang w:eastAsia="zh-CN"/>
        </w:rPr>
        <w:t>中</w:t>
      </w:r>
      <w:r>
        <w:rPr>
          <w:rFonts w:hint="eastAsia"/>
        </w:rPr>
        <w:t>b）要求</w:t>
      </w:r>
      <w:r>
        <w:t>，依据</w:t>
      </w:r>
      <w:r>
        <w:rPr>
          <w:rFonts w:hint="eastAsia"/>
        </w:rPr>
        <w:t>生产</w:t>
      </w:r>
      <w:r>
        <w:t>企业自我声明或其他</w:t>
      </w:r>
      <w:r>
        <w:rPr>
          <w:rFonts w:hint="eastAsia"/>
        </w:rPr>
        <w:t>证明材料进行</w:t>
      </w:r>
      <w:r>
        <w:t>判定</w:t>
      </w:r>
      <w:r>
        <w:rPr>
          <w:rFonts w:hint="eastAsia"/>
        </w:rPr>
        <w:t>；</w:t>
      </w:r>
    </w:p>
    <w:p>
      <w:pPr>
        <w:pStyle w:val="177"/>
      </w:pPr>
      <w:r>
        <w:rPr>
          <w:rFonts w:hint="eastAsia"/>
        </w:rPr>
        <w:t>针对</w:t>
      </w:r>
      <w:r>
        <w:t>5</w:t>
      </w:r>
      <w:r>
        <w:rPr>
          <w:rFonts w:hint="eastAsia"/>
        </w:rPr>
        <w:t>.</w:t>
      </w:r>
      <w:r>
        <w:t>5</w:t>
      </w:r>
      <w:r>
        <w:rPr>
          <w:rFonts w:hint="eastAsia"/>
        </w:rPr>
        <w:t>.4</w:t>
      </w:r>
      <w:r>
        <w:t>.</w:t>
      </w:r>
      <w:r>
        <w:rPr>
          <w:rFonts w:hint="eastAsia"/>
        </w:rPr>
        <w:t>1中c）、d</w:t>
      </w:r>
      <w:r>
        <w:t>)</w:t>
      </w:r>
      <w:r>
        <w:rPr>
          <w:rFonts w:hint="eastAsia"/>
        </w:rPr>
        <w:t>要求，</w:t>
      </w:r>
      <w:r>
        <w:t>依据</w:t>
      </w:r>
      <w:r>
        <w:rPr>
          <w:rFonts w:hint="eastAsia"/>
        </w:rPr>
        <w:t>生产</w:t>
      </w:r>
      <w:r>
        <w:t>企业</w:t>
      </w:r>
      <w:r>
        <w:rPr>
          <w:rFonts w:hint="eastAsia"/>
        </w:rPr>
        <w:t>证明材料进行</w:t>
      </w:r>
      <w:r>
        <w:t>判定</w:t>
      </w:r>
      <w:r>
        <w:rPr>
          <w:rFonts w:hint="eastAsia"/>
        </w:rPr>
        <w:t>。</w:t>
      </w:r>
    </w:p>
    <w:p>
      <w:pPr>
        <w:pStyle w:val="97"/>
        <w:spacing w:before="156" w:after="156"/>
      </w:pPr>
      <w:r>
        <w:rPr>
          <w:rFonts w:hint="eastAsia"/>
        </w:rPr>
        <w:t>适用环节</w:t>
      </w:r>
    </w:p>
    <w:p>
      <w:pPr>
        <w:pStyle w:val="235"/>
        <w:ind w:firstLine="420"/>
      </w:pPr>
      <w:r>
        <w:rPr>
          <w:rFonts w:hint="eastAsia"/>
          <w:lang w:val="en-US" w:eastAsia="zh-CN"/>
        </w:rPr>
        <w:t>固废</w:t>
      </w:r>
      <w:r>
        <w:rPr>
          <w:rFonts w:hint="eastAsia"/>
        </w:rPr>
        <w:t>处置的评价适用</w:t>
      </w:r>
      <w:r>
        <w:t>生命周期</w:t>
      </w:r>
      <w:r>
        <w:rPr>
          <w:rFonts w:hint="eastAsia"/>
        </w:rPr>
        <w:t>的各个环节</w:t>
      </w:r>
      <w:r>
        <w:t>。</w:t>
      </w:r>
    </w:p>
    <w:p>
      <w:pPr>
        <w:pStyle w:val="68"/>
        <w:spacing w:before="156" w:after="156"/>
      </w:pPr>
      <w:bookmarkStart w:id="308" w:name="_Toc118454909"/>
      <w:bookmarkStart w:id="309" w:name="_Toc26187"/>
      <w:r>
        <w:rPr>
          <w:rFonts w:hint="eastAsia"/>
        </w:rPr>
        <w:t>环境恢复治理</w:t>
      </w:r>
      <w:bookmarkEnd w:id="308"/>
      <w:bookmarkEnd w:id="309"/>
    </w:p>
    <w:p>
      <w:pPr>
        <w:pStyle w:val="97"/>
        <w:spacing w:before="156" w:after="156"/>
      </w:pPr>
      <w:r>
        <w:rPr>
          <w:rFonts w:hint="eastAsia"/>
        </w:rPr>
        <w:t>评价要求</w:t>
      </w:r>
    </w:p>
    <w:p>
      <w:pPr>
        <w:pStyle w:val="235"/>
        <w:ind w:firstLine="420"/>
      </w:pPr>
      <w:r>
        <w:rPr>
          <w:rFonts w:hint="eastAsia"/>
        </w:rPr>
        <w:t>环境恢复治理应符合以下要求：</w:t>
      </w:r>
    </w:p>
    <w:p>
      <w:pPr>
        <w:pStyle w:val="177"/>
        <w:numPr>
          <w:ilvl w:val="0"/>
          <w:numId w:val="53"/>
        </w:numPr>
      </w:pPr>
      <w:r>
        <w:rPr>
          <w:rFonts w:hint="eastAsia"/>
        </w:rPr>
        <w:t>采取措施对可能引发的地面塌陷、地裂缝、采空区地面沉陷、崩塌、滑坡、泥石流、含水层破坏、地形地貌景观破坏等主要环境要素进行监测；</w:t>
      </w:r>
    </w:p>
    <w:p>
      <w:pPr>
        <w:pStyle w:val="177"/>
      </w:pPr>
      <w:r>
        <w:rPr>
          <w:rFonts w:hint="eastAsia"/>
        </w:rPr>
        <w:t>通过自然恢复、工程和生物相结合的措施，消除或减轻矿山地质灾害隐患、保护修复含水层、恢复地形地貌景观、复垦损毁土地，以改善区域生态环境，促进生态系统良性循环；</w:t>
      </w:r>
    </w:p>
    <w:p>
      <w:pPr>
        <w:pStyle w:val="177"/>
      </w:pPr>
      <w:r>
        <w:rPr>
          <w:rFonts w:hint="eastAsia"/>
        </w:rPr>
        <w:t>对表土进行处置与利用，实现土地复垦、生态修复。</w:t>
      </w:r>
    </w:p>
    <w:p>
      <w:pPr>
        <w:pStyle w:val="97"/>
        <w:spacing w:before="156" w:after="156"/>
      </w:pPr>
      <w:r>
        <w:rPr>
          <w:rFonts w:hint="eastAsia"/>
        </w:rPr>
        <w:t>判定依据</w:t>
      </w:r>
    </w:p>
    <w:p>
      <w:pPr>
        <w:pStyle w:val="59"/>
        <w:ind w:firstLine="420"/>
      </w:pPr>
      <w:r>
        <w:rPr>
          <w:rFonts w:hint="eastAsia"/>
        </w:rPr>
        <w:t>依据现场核查结果、生产企业自我声明或其他证明材料进行判定。</w:t>
      </w:r>
    </w:p>
    <w:p>
      <w:pPr>
        <w:pStyle w:val="97"/>
        <w:spacing w:before="156" w:after="156"/>
      </w:pPr>
      <w:r>
        <w:rPr>
          <w:rFonts w:hint="eastAsia"/>
        </w:rPr>
        <w:t>适用环节</w:t>
      </w:r>
    </w:p>
    <w:p>
      <w:pPr>
        <w:pStyle w:val="59"/>
        <w:ind w:firstLine="420"/>
      </w:pPr>
      <w:r>
        <w:rPr>
          <w:rFonts w:hint="eastAsia"/>
        </w:rPr>
        <w:t>环境恢复治理的评价适用生命周期的各个环节。</w:t>
      </w:r>
    </w:p>
    <w:p>
      <w:pPr>
        <w:pStyle w:val="68"/>
        <w:spacing w:before="156" w:after="156"/>
      </w:pPr>
      <w:bookmarkStart w:id="310" w:name="_Toc100661423"/>
      <w:bookmarkStart w:id="311" w:name="_Toc118454910"/>
      <w:bookmarkStart w:id="312" w:name="_Toc23876"/>
      <w:r>
        <w:rPr>
          <w:rFonts w:hint="eastAsia"/>
        </w:rPr>
        <w:t>运输仓储</w:t>
      </w:r>
      <w:bookmarkEnd w:id="310"/>
      <w:bookmarkEnd w:id="311"/>
      <w:bookmarkEnd w:id="312"/>
    </w:p>
    <w:p>
      <w:pPr>
        <w:pStyle w:val="97"/>
        <w:spacing w:before="156" w:after="156"/>
      </w:pPr>
      <w:r>
        <w:rPr>
          <w:rFonts w:hint="eastAsia"/>
        </w:rPr>
        <w:t>评价要求</w:t>
      </w:r>
    </w:p>
    <w:p>
      <w:pPr>
        <w:pStyle w:val="250"/>
        <w:tabs>
          <w:tab w:val="left" w:pos="855"/>
        </w:tabs>
        <w:ind w:left="0" w:firstLine="416" w:firstLineChars="200"/>
        <w:rPr>
          <w:spacing w:val="-1"/>
          <w:sz w:val="21"/>
          <w:szCs w:val="21"/>
          <w:lang w:eastAsia="zh-CN"/>
        </w:rPr>
      </w:pPr>
      <w:r>
        <w:rPr>
          <w:rFonts w:hint="eastAsia"/>
          <w:spacing w:val="-1"/>
          <w:sz w:val="21"/>
          <w:szCs w:val="21"/>
          <w:lang w:eastAsia="zh-CN"/>
        </w:rPr>
        <w:t>运输仓储应符合下列要求：</w:t>
      </w:r>
    </w:p>
    <w:p>
      <w:pPr>
        <w:pStyle w:val="177"/>
        <w:numPr>
          <w:ilvl w:val="0"/>
          <w:numId w:val="54"/>
        </w:numPr>
      </w:pPr>
      <w:r>
        <w:rPr>
          <w:rFonts w:hint="eastAsia"/>
        </w:rPr>
        <w:t>运输工具应清洁卫生、干燥，并有防雨、防晒设施，不应与能导致产品污染的货物混装；</w:t>
      </w:r>
    </w:p>
    <w:p>
      <w:pPr>
        <w:pStyle w:val="177"/>
      </w:pPr>
      <w:r>
        <w:rPr>
          <w:rFonts w:hint="eastAsia"/>
        </w:rPr>
        <w:t>产品应贮存在清洁卫生、干燥的仓库内，不应与能导致产品污染的物品混存；</w:t>
      </w:r>
    </w:p>
    <w:p>
      <w:pPr>
        <w:pStyle w:val="177"/>
      </w:pPr>
      <w:r>
        <w:rPr>
          <w:rFonts w:hint="eastAsia"/>
        </w:rPr>
        <w:t>应防止雨淋、受潮，产品存放应隔墙离地。</w:t>
      </w:r>
    </w:p>
    <w:p>
      <w:pPr>
        <w:pStyle w:val="97"/>
        <w:spacing w:before="156" w:after="156"/>
      </w:pPr>
      <w:r>
        <w:rPr>
          <w:rFonts w:hint="eastAsia"/>
        </w:rPr>
        <w:t>判定依据</w:t>
      </w:r>
    </w:p>
    <w:p>
      <w:pPr>
        <w:pStyle w:val="235"/>
        <w:widowControl w:val="0"/>
        <w:ind w:firstLine="420"/>
      </w:pPr>
      <w:r>
        <w:rPr>
          <w:rFonts w:hint="eastAsia"/>
        </w:rPr>
        <w:t>针对</w:t>
      </w:r>
      <w:r>
        <w:t>5.5.6.1</w:t>
      </w:r>
      <w:r>
        <w:rPr>
          <w:rFonts w:hint="eastAsia"/>
        </w:rPr>
        <w:t>要求</w:t>
      </w:r>
      <w:r>
        <w:t>，依据</w:t>
      </w:r>
      <w:r>
        <w:rPr>
          <w:rFonts w:hint="eastAsia"/>
        </w:rPr>
        <w:t>生产</w:t>
      </w:r>
      <w:r>
        <w:t>企业自我声明或其他</w:t>
      </w:r>
      <w:r>
        <w:rPr>
          <w:rFonts w:hint="eastAsia"/>
        </w:rPr>
        <w:t>证明材料进行</w:t>
      </w:r>
      <w:r>
        <w:t>判定</w:t>
      </w:r>
      <w:r>
        <w:rPr>
          <w:rFonts w:hint="eastAsia"/>
        </w:rPr>
        <w:t>。</w:t>
      </w:r>
    </w:p>
    <w:p>
      <w:pPr>
        <w:pStyle w:val="97"/>
        <w:spacing w:before="156" w:after="156"/>
      </w:pPr>
      <w:r>
        <w:rPr>
          <w:rFonts w:hint="eastAsia"/>
        </w:rPr>
        <w:t>适用环节</w:t>
      </w:r>
    </w:p>
    <w:p>
      <w:pPr>
        <w:pStyle w:val="235"/>
        <w:ind w:firstLine="420"/>
      </w:pPr>
      <w:bookmarkStart w:id="313" w:name="_Toc8348"/>
      <w:bookmarkStart w:id="314" w:name="_Toc92284967"/>
      <w:r>
        <w:rPr>
          <w:rFonts w:hint="eastAsia"/>
        </w:rPr>
        <w:t>运输</w:t>
      </w:r>
      <w:r>
        <w:t>仓储</w:t>
      </w:r>
      <w:r>
        <w:rPr>
          <w:rFonts w:hint="eastAsia"/>
        </w:rPr>
        <w:t>的评价适用于运输、仓储环节。</w:t>
      </w:r>
      <w:bookmarkEnd w:id="313"/>
      <w:bookmarkEnd w:id="314"/>
    </w:p>
    <w:p>
      <w:pPr>
        <w:pStyle w:val="108"/>
        <w:spacing w:before="156" w:after="156"/>
      </w:pPr>
      <w:bookmarkStart w:id="315" w:name="_Toc100661424"/>
      <w:bookmarkStart w:id="316" w:name="_Toc92284968"/>
      <w:bookmarkStart w:id="317" w:name="_Toc100734553"/>
      <w:bookmarkStart w:id="318" w:name="_Toc118454911"/>
      <w:bookmarkStart w:id="319" w:name="_Toc100738087"/>
      <w:bookmarkStart w:id="320" w:name="_Toc118454879"/>
      <w:bookmarkStart w:id="321" w:name="_Toc8858"/>
      <w:r>
        <w:rPr>
          <w:rFonts w:hint="eastAsia"/>
        </w:rPr>
        <w:t>品质属性评价</w:t>
      </w:r>
      <w:bookmarkEnd w:id="315"/>
      <w:bookmarkEnd w:id="316"/>
      <w:bookmarkEnd w:id="317"/>
      <w:bookmarkEnd w:id="318"/>
      <w:bookmarkEnd w:id="319"/>
      <w:bookmarkEnd w:id="320"/>
      <w:bookmarkEnd w:id="321"/>
    </w:p>
    <w:p>
      <w:pPr>
        <w:pStyle w:val="68"/>
        <w:spacing w:before="156" w:after="156"/>
      </w:pPr>
      <w:bookmarkStart w:id="322" w:name="_Toc526708252"/>
      <w:bookmarkStart w:id="323" w:name="_Toc529900441"/>
      <w:bookmarkStart w:id="324" w:name="_Toc5887190"/>
      <w:bookmarkStart w:id="325" w:name="_Toc529900831"/>
      <w:bookmarkStart w:id="326" w:name="_Toc118454912"/>
      <w:bookmarkStart w:id="327" w:name="_Toc529953644"/>
      <w:bookmarkStart w:id="328" w:name="_Toc529899988"/>
      <w:bookmarkStart w:id="329" w:name="_Toc529898414"/>
      <w:bookmarkStart w:id="330" w:name="_Toc531123052"/>
      <w:bookmarkStart w:id="331" w:name="_Toc100661425"/>
      <w:bookmarkStart w:id="332" w:name="_Toc531033920"/>
      <w:bookmarkStart w:id="333" w:name="_Toc531277277"/>
      <w:bookmarkStart w:id="334" w:name="_Toc531151821"/>
      <w:bookmarkStart w:id="335" w:name="_Toc530237539"/>
      <w:bookmarkStart w:id="336" w:name="_Toc5887125"/>
      <w:bookmarkStart w:id="337" w:name="_Toc529898313"/>
      <w:bookmarkStart w:id="338" w:name="_Toc20162"/>
      <w:r>
        <w:rPr>
          <w:rFonts w:hint="eastAsia"/>
        </w:rPr>
        <w:t>评价指标</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pPr>
        <w:pStyle w:val="235"/>
        <w:ind w:firstLine="420"/>
      </w:pPr>
      <w:r>
        <w:rPr>
          <w:rFonts w:hint="eastAsia"/>
        </w:rPr>
        <w:t>品质</w:t>
      </w:r>
      <w:r>
        <w:t>属性</w:t>
      </w:r>
      <w:r>
        <w:rPr>
          <w:rFonts w:hint="eastAsia"/>
        </w:rPr>
        <w:t>评价</w:t>
      </w:r>
      <w:r>
        <w:t>指标</w:t>
      </w:r>
      <w:r>
        <w:rPr>
          <w:rFonts w:hint="eastAsia"/>
        </w:rPr>
        <w:t>包括</w:t>
      </w:r>
      <w:r>
        <w:t>：</w:t>
      </w:r>
    </w:p>
    <w:p>
      <w:pPr>
        <w:pStyle w:val="177"/>
        <w:numPr>
          <w:ilvl w:val="0"/>
          <w:numId w:val="55"/>
        </w:numPr>
      </w:pPr>
      <w:r>
        <w:rPr>
          <w:rFonts w:hint="eastAsia"/>
        </w:rPr>
        <w:t>感官要求及理化指标</w:t>
      </w:r>
      <w:r>
        <w:t>；</w:t>
      </w:r>
    </w:p>
    <w:p>
      <w:pPr>
        <w:pStyle w:val="177"/>
      </w:pPr>
      <w:r>
        <w:rPr>
          <w:rFonts w:hint="eastAsia"/>
        </w:rPr>
        <w:t>污染物和塑化剂</w:t>
      </w:r>
      <w:r>
        <w:t>限量</w:t>
      </w:r>
      <w:r>
        <w:rPr>
          <w:rFonts w:hint="eastAsia"/>
        </w:rPr>
        <w:t>；</w:t>
      </w:r>
    </w:p>
    <w:p>
      <w:pPr>
        <w:pStyle w:val="177"/>
      </w:pPr>
      <w:r>
        <w:rPr>
          <w:rFonts w:hint="eastAsia"/>
        </w:rPr>
        <w:t>碘强化剂；</w:t>
      </w:r>
    </w:p>
    <w:p>
      <w:pPr>
        <w:pStyle w:val="177"/>
      </w:pPr>
      <w:r>
        <w:rPr>
          <w:rFonts w:hint="eastAsia"/>
        </w:rPr>
        <w:t>其他食品添加剂。</w:t>
      </w:r>
    </w:p>
    <w:p>
      <w:pPr>
        <w:pStyle w:val="68"/>
        <w:spacing w:before="156" w:after="156"/>
      </w:pPr>
      <w:bookmarkStart w:id="339" w:name="_Toc118454913"/>
      <w:bookmarkStart w:id="340" w:name="_Toc100661426"/>
      <w:bookmarkStart w:id="341" w:name="_Toc9468"/>
      <w:r>
        <w:rPr>
          <w:rFonts w:hint="eastAsia"/>
        </w:rPr>
        <w:t>理化指标</w:t>
      </w:r>
      <w:bookmarkEnd w:id="339"/>
      <w:bookmarkEnd w:id="340"/>
      <w:bookmarkEnd w:id="341"/>
    </w:p>
    <w:p>
      <w:pPr>
        <w:pStyle w:val="97"/>
        <w:spacing w:before="156" w:after="156"/>
      </w:pPr>
      <w:r>
        <w:rPr>
          <w:rFonts w:hint="eastAsia"/>
        </w:rPr>
        <w:t>评价要求</w:t>
      </w:r>
    </w:p>
    <w:p>
      <w:pPr>
        <w:pStyle w:val="246"/>
        <w:numPr>
          <w:ilvl w:val="0"/>
          <w:numId w:val="0"/>
        </w:numPr>
        <w:spacing w:before="156" w:after="156"/>
        <w:ind w:left="839" w:hanging="419"/>
      </w:pPr>
      <w:r>
        <w:t>生态井矿盐</w:t>
      </w:r>
      <w:r>
        <w:rPr>
          <w:rFonts w:hint="eastAsia"/>
        </w:rPr>
        <w:t>感官要求应符合GB 2721的规定，理化指标应符合表2的要求。</w:t>
      </w:r>
    </w:p>
    <w:p>
      <w:pPr>
        <w:pStyle w:val="115"/>
        <w:spacing w:before="156" w:after="156"/>
      </w:pPr>
      <w:r>
        <w:rPr>
          <w:rFonts w:hint="eastAsia"/>
        </w:rPr>
        <w:t>理化指标</w:t>
      </w:r>
    </w:p>
    <w:tbl>
      <w:tblPr>
        <w:tblStyle w:val="28"/>
        <w:tblW w:w="903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526"/>
        <w:gridCol w:w="3188"/>
        <w:gridCol w:w="2302"/>
        <w:gridCol w:w="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20" w:type="dxa"/>
        </w:trPr>
        <w:tc>
          <w:tcPr>
            <w:tcW w:w="3534" w:type="dxa"/>
            <w:tcBorders>
              <w:top w:val="single" w:color="auto" w:sz="8" w:space="0"/>
              <w:bottom w:val="single" w:color="auto" w:sz="8" w:space="0"/>
            </w:tcBorders>
            <w:shd w:val="clear" w:color="auto" w:fill="auto"/>
            <w:vAlign w:val="center"/>
          </w:tcPr>
          <w:p>
            <w:pPr>
              <w:pStyle w:val="235"/>
              <w:widowControl w:val="0"/>
              <w:ind w:firstLine="0" w:firstLineChars="0"/>
              <w:jc w:val="center"/>
              <w:rPr>
                <w:rFonts w:hAnsi="宋体"/>
                <w:sz w:val="18"/>
                <w:szCs w:val="18"/>
              </w:rPr>
            </w:pPr>
            <w:r>
              <w:rPr>
                <w:rFonts w:hAnsi="宋体"/>
                <w:sz w:val="18"/>
                <w:szCs w:val="18"/>
              </w:rPr>
              <w:t>项目</w:t>
            </w:r>
          </w:p>
        </w:tc>
        <w:tc>
          <w:tcPr>
            <w:tcW w:w="3195" w:type="dxa"/>
            <w:tcBorders>
              <w:top w:val="single" w:color="auto" w:sz="8" w:space="0"/>
              <w:bottom w:val="single" w:color="auto" w:sz="8" w:space="0"/>
            </w:tcBorders>
            <w:shd w:val="clear" w:color="auto" w:fill="auto"/>
            <w:vAlign w:val="center"/>
          </w:tcPr>
          <w:p>
            <w:pPr>
              <w:pStyle w:val="235"/>
              <w:widowControl w:val="0"/>
              <w:ind w:firstLine="0" w:firstLineChars="0"/>
              <w:jc w:val="center"/>
              <w:rPr>
                <w:rFonts w:hAnsi="宋体"/>
                <w:sz w:val="18"/>
                <w:szCs w:val="18"/>
              </w:rPr>
            </w:pPr>
            <w:r>
              <w:rPr>
                <w:rFonts w:hAnsi="宋体"/>
                <w:sz w:val="18"/>
                <w:szCs w:val="18"/>
              </w:rPr>
              <w:t>指标</w:t>
            </w:r>
          </w:p>
        </w:tc>
        <w:tc>
          <w:tcPr>
            <w:tcW w:w="2307" w:type="dxa"/>
            <w:tcBorders>
              <w:top w:val="single" w:color="auto" w:sz="8" w:space="0"/>
              <w:bottom w:val="single" w:color="auto" w:sz="8" w:space="0"/>
            </w:tcBorders>
            <w:shd w:val="clear" w:color="auto" w:fill="auto"/>
            <w:vAlign w:val="center"/>
          </w:tcPr>
          <w:p>
            <w:pPr>
              <w:pStyle w:val="235"/>
              <w:widowControl w:val="0"/>
              <w:ind w:firstLine="0" w:firstLineChars="0"/>
              <w:jc w:val="center"/>
              <w:rPr>
                <w:rFonts w:hAnsi="宋体"/>
                <w:sz w:val="18"/>
                <w:szCs w:val="18"/>
              </w:rPr>
            </w:pPr>
            <w:r>
              <w:rPr>
                <w:rFonts w:hAnsi="宋体"/>
                <w:sz w:val="18"/>
                <w:szCs w:val="18"/>
              </w:rPr>
              <w:t>检验方法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534" w:type="dxa"/>
            <w:tcBorders>
              <w:top w:val="single" w:color="auto" w:sz="8" w:space="0"/>
            </w:tcBorders>
            <w:shd w:val="clear" w:color="auto" w:fill="auto"/>
            <w:vAlign w:val="center"/>
          </w:tcPr>
          <w:p>
            <w:pPr>
              <w:spacing w:line="240" w:lineRule="auto"/>
              <w:rPr>
                <w:rFonts w:ascii="宋体" w:hAnsi="宋体"/>
                <w:sz w:val="18"/>
                <w:szCs w:val="18"/>
              </w:rPr>
            </w:pPr>
            <w:r>
              <w:rPr>
                <w:rFonts w:hint="eastAsia" w:ascii="宋体" w:hAnsi="宋体"/>
                <w:sz w:val="18"/>
                <w:szCs w:val="18"/>
              </w:rPr>
              <w:t>白度（度）≥</w:t>
            </w:r>
          </w:p>
        </w:tc>
        <w:tc>
          <w:tcPr>
            <w:tcW w:w="3195" w:type="dxa"/>
            <w:tcBorders>
              <w:top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7</w:t>
            </w:r>
            <w:r>
              <w:rPr>
                <w:rFonts w:ascii="宋体" w:hAnsi="宋体"/>
                <w:sz w:val="18"/>
                <w:szCs w:val="18"/>
              </w:rPr>
              <w:t>5</w:t>
            </w:r>
          </w:p>
        </w:tc>
        <w:tc>
          <w:tcPr>
            <w:tcW w:w="2307" w:type="dxa"/>
            <w:gridSpan w:val="2"/>
            <w:tcBorders>
              <w:top w:val="single" w:color="auto" w:sz="8" w:space="0"/>
            </w:tcBorders>
            <w:shd w:val="clear" w:color="auto" w:fill="auto"/>
            <w:vAlign w:val="center"/>
          </w:tcPr>
          <w:p>
            <w:pPr>
              <w:jc w:val="center"/>
            </w:pPr>
            <w:r>
              <w:rPr>
                <w:rFonts w:hint="eastAsia" w:ascii="宋体" w:hAnsi="宋体"/>
                <w:sz w:val="18"/>
                <w:szCs w:val="18"/>
              </w:rPr>
              <w:t>GB/T 13025.2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20" w:type="dxa"/>
        </w:trPr>
        <w:tc>
          <w:tcPr>
            <w:tcW w:w="3534" w:type="dxa"/>
            <w:tcBorders>
              <w:top w:val="single" w:color="auto" w:sz="8" w:space="0"/>
            </w:tcBorders>
            <w:shd w:val="clear" w:color="auto" w:fill="auto"/>
            <w:vAlign w:val="center"/>
          </w:tcPr>
          <w:p>
            <w:pPr>
              <w:spacing w:line="240" w:lineRule="auto"/>
              <w:rPr>
                <w:rFonts w:ascii="宋体" w:hAnsi="宋体"/>
                <w:sz w:val="18"/>
                <w:szCs w:val="18"/>
              </w:rPr>
            </w:pPr>
            <w:r>
              <w:rPr>
                <w:rFonts w:ascii="宋体" w:hAnsi="宋体"/>
                <w:sz w:val="18"/>
                <w:szCs w:val="18"/>
              </w:rPr>
              <w:t>氯化钠（以</w:t>
            </w:r>
            <w:r>
              <w:rPr>
                <w:rFonts w:hint="eastAsia" w:ascii="宋体" w:hAnsi="宋体"/>
                <w:sz w:val="18"/>
                <w:szCs w:val="18"/>
              </w:rPr>
              <w:t>湿基</w:t>
            </w:r>
            <w:r>
              <w:rPr>
                <w:rFonts w:ascii="宋体" w:hAnsi="宋体"/>
                <w:sz w:val="18"/>
                <w:szCs w:val="18"/>
              </w:rPr>
              <w:t>计）</w:t>
            </w:r>
            <w:r>
              <w:rPr>
                <w:rFonts w:hint="eastAsia" w:ascii="宋体" w:hAnsi="宋体"/>
                <w:sz w:val="18"/>
                <w:szCs w:val="18"/>
              </w:rPr>
              <w:t>/(g/100g)≥</w:t>
            </w:r>
          </w:p>
        </w:tc>
        <w:tc>
          <w:tcPr>
            <w:tcW w:w="3195" w:type="dxa"/>
            <w:tcBorders>
              <w:top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99.</w:t>
            </w:r>
            <w:r>
              <w:rPr>
                <w:rFonts w:ascii="宋体" w:hAnsi="宋体"/>
                <w:sz w:val="18"/>
                <w:szCs w:val="18"/>
              </w:rPr>
              <w:t>1</w:t>
            </w:r>
          </w:p>
        </w:tc>
        <w:tc>
          <w:tcPr>
            <w:tcW w:w="2307" w:type="dxa"/>
            <w:tcBorders>
              <w:top w:val="single" w:color="auto" w:sz="8"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GB 5009.42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20" w:type="dxa"/>
        </w:trPr>
        <w:tc>
          <w:tcPr>
            <w:tcW w:w="3534" w:type="dxa"/>
            <w:shd w:val="clear" w:color="auto" w:fill="auto"/>
            <w:vAlign w:val="center"/>
          </w:tcPr>
          <w:p>
            <w:pPr>
              <w:spacing w:line="240" w:lineRule="auto"/>
              <w:rPr>
                <w:rFonts w:ascii="宋体" w:hAnsi="宋体"/>
                <w:sz w:val="18"/>
                <w:szCs w:val="18"/>
              </w:rPr>
            </w:pPr>
            <w:r>
              <w:rPr>
                <w:rFonts w:hint="eastAsia" w:ascii="宋体" w:hAnsi="宋体"/>
                <w:sz w:val="18"/>
                <w:szCs w:val="18"/>
              </w:rPr>
              <w:t>水不溶物 /(g/100g)≤</w:t>
            </w:r>
          </w:p>
        </w:tc>
        <w:tc>
          <w:tcPr>
            <w:tcW w:w="319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0.0</w:t>
            </w:r>
            <w:r>
              <w:rPr>
                <w:rFonts w:ascii="宋体" w:hAnsi="宋体"/>
                <w:sz w:val="18"/>
                <w:szCs w:val="18"/>
              </w:rPr>
              <w:t>3</w:t>
            </w:r>
          </w:p>
        </w:tc>
        <w:tc>
          <w:tcPr>
            <w:tcW w:w="2307"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GB/T 13025.4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20" w:type="dxa"/>
        </w:trPr>
        <w:tc>
          <w:tcPr>
            <w:tcW w:w="3534" w:type="dxa"/>
            <w:shd w:val="clear" w:color="auto" w:fill="auto"/>
            <w:vAlign w:val="center"/>
          </w:tcPr>
          <w:p>
            <w:pPr>
              <w:spacing w:line="240" w:lineRule="auto"/>
              <w:rPr>
                <w:rFonts w:ascii="宋体" w:hAnsi="宋体"/>
                <w:sz w:val="18"/>
                <w:szCs w:val="18"/>
              </w:rPr>
            </w:pPr>
            <w:r>
              <w:rPr>
                <w:rFonts w:hint="eastAsia" w:ascii="宋体" w:hAnsi="宋体"/>
                <w:sz w:val="18"/>
                <w:szCs w:val="18"/>
              </w:rPr>
              <w:t>钡（以Ba计）/（mg/kg）≤</w:t>
            </w:r>
          </w:p>
        </w:tc>
        <w:tc>
          <w:tcPr>
            <w:tcW w:w="319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15.0</w:t>
            </w:r>
          </w:p>
        </w:tc>
        <w:tc>
          <w:tcPr>
            <w:tcW w:w="2307"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GB 5009.42</w:t>
            </w:r>
          </w:p>
        </w:tc>
      </w:tr>
    </w:tbl>
    <w:p>
      <w:pPr>
        <w:pStyle w:val="97"/>
        <w:spacing w:before="156" w:after="156"/>
      </w:pPr>
      <w:r>
        <w:rPr>
          <w:rFonts w:hint="eastAsia"/>
        </w:rPr>
        <w:t>判断</w:t>
      </w:r>
      <w:r>
        <w:t>依据</w:t>
      </w:r>
    </w:p>
    <w:p>
      <w:pPr>
        <w:pStyle w:val="235"/>
        <w:ind w:firstLine="420"/>
      </w:pPr>
      <w:r>
        <w:rPr>
          <w:rFonts w:hint="eastAsia"/>
        </w:rPr>
        <w:t>针对</w:t>
      </w:r>
      <w:r>
        <w:t>5.6.2.1</w:t>
      </w:r>
      <w:r>
        <w:rPr>
          <w:rFonts w:hint="eastAsia"/>
        </w:rPr>
        <w:t>要求，依据</w:t>
      </w:r>
      <w:r>
        <w:t>具有资质</w:t>
      </w:r>
      <w:r>
        <w:rPr>
          <w:rFonts w:hint="eastAsia"/>
        </w:rPr>
        <w:t>的第三方检测报告结果</w:t>
      </w:r>
      <w:r>
        <w:t>进行判定</w:t>
      </w:r>
      <w:r>
        <w:rPr>
          <w:rFonts w:hint="eastAsia"/>
        </w:rPr>
        <w:t>。</w:t>
      </w:r>
    </w:p>
    <w:p>
      <w:pPr>
        <w:pStyle w:val="97"/>
        <w:spacing w:before="156" w:after="156"/>
      </w:pPr>
      <w:r>
        <w:rPr>
          <w:rFonts w:hint="eastAsia"/>
        </w:rPr>
        <w:t>适用</w:t>
      </w:r>
      <w:r>
        <w:t>环节</w:t>
      </w:r>
    </w:p>
    <w:p>
      <w:pPr>
        <w:pStyle w:val="235"/>
        <w:ind w:firstLine="420"/>
      </w:pPr>
      <w:r>
        <w:rPr>
          <w:rFonts w:hint="eastAsia"/>
        </w:rPr>
        <w:t>感官及理化指标的评价</w:t>
      </w:r>
      <w:r>
        <w:t>适用于</w:t>
      </w:r>
      <w:r>
        <w:rPr>
          <w:rFonts w:hint="eastAsia"/>
        </w:rPr>
        <w:t>计量包装</w:t>
      </w:r>
      <w:r>
        <w:t>环节。</w:t>
      </w:r>
    </w:p>
    <w:p>
      <w:pPr>
        <w:pStyle w:val="68"/>
        <w:spacing w:before="156" w:after="156"/>
      </w:pPr>
      <w:bookmarkStart w:id="342" w:name="5.6.2_理化指标"/>
      <w:bookmarkEnd w:id="342"/>
      <w:bookmarkStart w:id="343" w:name="_Toc118454914"/>
      <w:bookmarkStart w:id="344" w:name="_Toc100661427"/>
      <w:bookmarkStart w:id="345" w:name="_Toc25768"/>
      <w:r>
        <w:rPr>
          <w:rFonts w:hint="eastAsia"/>
        </w:rPr>
        <w:t>污染物及塑化剂</w:t>
      </w:r>
      <w:bookmarkEnd w:id="343"/>
      <w:bookmarkEnd w:id="344"/>
      <w:bookmarkEnd w:id="345"/>
    </w:p>
    <w:p>
      <w:pPr>
        <w:pStyle w:val="97"/>
        <w:spacing w:before="156" w:after="156"/>
      </w:pPr>
      <w:r>
        <w:rPr>
          <w:rFonts w:hint="eastAsia"/>
        </w:rPr>
        <w:t>评价要求</w:t>
      </w:r>
    </w:p>
    <w:p>
      <w:pPr>
        <w:pStyle w:val="235"/>
        <w:ind w:firstLine="420"/>
      </w:pPr>
      <w:r>
        <w:rPr>
          <w:rFonts w:hint="eastAsia"/>
        </w:rPr>
        <w:t>生态井矿盐产品的污染物和</w:t>
      </w:r>
      <w:r>
        <w:t>塑化剂</w:t>
      </w:r>
      <w:r>
        <w:rPr>
          <w:rFonts w:hint="eastAsia"/>
        </w:rPr>
        <w:t>限量要求包括</w:t>
      </w:r>
      <w:r>
        <w:t>：</w:t>
      </w:r>
    </w:p>
    <w:p>
      <w:pPr>
        <w:pStyle w:val="177"/>
        <w:numPr>
          <w:ilvl w:val="0"/>
          <w:numId w:val="56"/>
        </w:numPr>
      </w:pPr>
      <w:r>
        <w:rPr>
          <w:rFonts w:hint="eastAsia"/>
        </w:rPr>
        <w:t>污染物</w:t>
      </w:r>
      <w:r>
        <w:t>限</w:t>
      </w:r>
      <w:r>
        <w:rPr>
          <w:rFonts w:hint="eastAsia"/>
        </w:rPr>
        <w:t>量</w:t>
      </w:r>
      <w:r>
        <w:t>要求</w:t>
      </w:r>
      <w:r>
        <w:rPr>
          <w:rFonts w:hint="eastAsia"/>
        </w:rPr>
        <w:t xml:space="preserve">见表3； </w:t>
      </w:r>
    </w:p>
    <w:p>
      <w:pPr>
        <w:pStyle w:val="115"/>
        <w:spacing w:before="156" w:after="156"/>
      </w:pPr>
      <w:r>
        <w:rPr>
          <w:rFonts w:hint="eastAsia"/>
        </w:rPr>
        <w:t>污染物限量</w:t>
      </w:r>
    </w:p>
    <w:p>
      <w:pPr>
        <w:pStyle w:val="59"/>
        <w:ind w:firstLine="199" w:firstLineChars="95"/>
      </w:pPr>
      <w:r>
        <w:rPr>
          <w:rFonts w:hint="eastAsia"/>
        </w:rPr>
        <w:t xml:space="preserve">                                                  单位为毫克每千克（mg/kg）</w:t>
      </w:r>
    </w:p>
    <w:tbl>
      <w:tblPr>
        <w:tblStyle w:val="28"/>
        <w:tblW w:w="918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
        <w:gridCol w:w="4314"/>
        <w:gridCol w:w="2396"/>
        <w:gridCol w:w="2444"/>
        <w:gridCol w:w="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20" w:type="dxa"/>
        </w:trPr>
        <w:tc>
          <w:tcPr>
            <w:tcW w:w="4326" w:type="dxa"/>
            <w:gridSpan w:val="2"/>
            <w:tcBorders>
              <w:top w:val="single" w:color="auto" w:sz="8" w:space="0"/>
              <w:bottom w:val="single" w:color="auto" w:sz="8" w:space="0"/>
            </w:tcBorders>
            <w:shd w:val="clear" w:color="auto" w:fill="auto"/>
            <w:vAlign w:val="center"/>
          </w:tcPr>
          <w:p>
            <w:pPr>
              <w:pStyle w:val="235"/>
              <w:widowControl w:val="0"/>
              <w:ind w:firstLine="0" w:firstLineChars="0"/>
              <w:jc w:val="center"/>
              <w:rPr>
                <w:rFonts w:hAnsi="宋体" w:cs="宋体"/>
                <w:sz w:val="18"/>
                <w:szCs w:val="18"/>
              </w:rPr>
            </w:pPr>
            <w:r>
              <w:rPr>
                <w:rFonts w:hint="eastAsia" w:hAnsi="宋体" w:cs="宋体"/>
                <w:sz w:val="18"/>
                <w:szCs w:val="18"/>
              </w:rPr>
              <w:t>项目</w:t>
            </w:r>
          </w:p>
        </w:tc>
        <w:tc>
          <w:tcPr>
            <w:tcW w:w="2403" w:type="dxa"/>
            <w:tcBorders>
              <w:top w:val="single" w:color="auto" w:sz="8" w:space="0"/>
              <w:bottom w:val="single" w:color="auto" w:sz="8" w:space="0"/>
            </w:tcBorders>
            <w:shd w:val="clear" w:color="auto" w:fill="auto"/>
            <w:vAlign w:val="center"/>
          </w:tcPr>
          <w:p>
            <w:pPr>
              <w:pStyle w:val="235"/>
              <w:widowControl w:val="0"/>
              <w:ind w:firstLine="0" w:firstLineChars="0"/>
              <w:jc w:val="center"/>
              <w:rPr>
                <w:rFonts w:hAnsi="宋体" w:cs="宋体"/>
                <w:sz w:val="18"/>
                <w:szCs w:val="18"/>
              </w:rPr>
            </w:pPr>
            <w:r>
              <w:rPr>
                <w:rFonts w:hint="eastAsia" w:hAnsi="宋体" w:cs="宋体"/>
                <w:sz w:val="18"/>
                <w:szCs w:val="18"/>
              </w:rPr>
              <w:t>限量</w:t>
            </w:r>
          </w:p>
        </w:tc>
        <w:tc>
          <w:tcPr>
            <w:tcW w:w="2451" w:type="dxa"/>
            <w:tcBorders>
              <w:top w:val="single" w:color="auto" w:sz="8" w:space="0"/>
              <w:bottom w:val="single" w:color="auto" w:sz="8" w:space="0"/>
            </w:tcBorders>
            <w:shd w:val="clear" w:color="auto" w:fill="auto"/>
            <w:vAlign w:val="center"/>
          </w:tcPr>
          <w:p>
            <w:pPr>
              <w:pStyle w:val="235"/>
              <w:widowControl w:val="0"/>
              <w:ind w:firstLine="0" w:firstLineChars="0"/>
              <w:jc w:val="center"/>
              <w:rPr>
                <w:rFonts w:hAnsi="宋体" w:cs="宋体"/>
                <w:sz w:val="18"/>
                <w:szCs w:val="18"/>
              </w:rPr>
            </w:pPr>
            <w:r>
              <w:rPr>
                <w:rFonts w:hint="eastAsia" w:hAnsi="宋体" w:cs="宋体"/>
                <w:sz w:val="18"/>
                <w:szCs w:val="18"/>
              </w:rPr>
              <w:t>检验方法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20" w:type="dxa"/>
        </w:trPr>
        <w:tc>
          <w:tcPr>
            <w:tcW w:w="4326" w:type="dxa"/>
            <w:gridSpan w:val="2"/>
            <w:tcBorders>
              <w:top w:val="single" w:color="auto" w:sz="8" w:space="0"/>
            </w:tcBorders>
            <w:shd w:val="clear" w:color="auto" w:fill="auto"/>
            <w:vAlign w:val="center"/>
          </w:tcPr>
          <w:p>
            <w:pPr>
              <w:spacing w:line="240" w:lineRule="auto"/>
              <w:textAlignment w:val="baseline"/>
              <w:rPr>
                <w:rFonts w:ascii="宋体" w:hAnsi="宋体"/>
                <w:sz w:val="18"/>
                <w:szCs w:val="18"/>
              </w:rPr>
            </w:pPr>
            <w:r>
              <w:rPr>
                <w:rFonts w:hint="eastAsia" w:ascii="宋体" w:hAnsi="宋体"/>
                <w:sz w:val="18"/>
                <w:szCs w:val="18"/>
              </w:rPr>
              <w:t>铅（以Pb计）/（mg/kg）≤</w:t>
            </w:r>
          </w:p>
        </w:tc>
        <w:tc>
          <w:tcPr>
            <w:tcW w:w="2403" w:type="dxa"/>
            <w:tcBorders>
              <w:top w:val="single" w:color="auto" w:sz="8" w:space="0"/>
            </w:tcBorders>
            <w:shd w:val="clear" w:color="auto" w:fill="auto"/>
            <w:vAlign w:val="center"/>
          </w:tcPr>
          <w:p>
            <w:pPr>
              <w:spacing w:line="240" w:lineRule="auto"/>
              <w:jc w:val="center"/>
              <w:textAlignment w:val="baseline"/>
              <w:rPr>
                <w:rFonts w:ascii="宋体" w:hAnsi="宋体"/>
                <w:sz w:val="18"/>
                <w:szCs w:val="18"/>
              </w:rPr>
            </w:pPr>
            <w:r>
              <w:rPr>
                <w:rFonts w:hint="eastAsia" w:ascii="宋体" w:hAnsi="宋体"/>
                <w:sz w:val="18"/>
                <w:szCs w:val="18"/>
              </w:rPr>
              <w:t>1</w:t>
            </w:r>
            <w:r>
              <w:rPr>
                <w:rFonts w:ascii="宋体" w:hAnsi="宋体"/>
                <w:sz w:val="18"/>
                <w:szCs w:val="18"/>
              </w:rPr>
              <w:t>.0</w:t>
            </w:r>
          </w:p>
        </w:tc>
        <w:tc>
          <w:tcPr>
            <w:tcW w:w="2451" w:type="dxa"/>
            <w:tcBorders>
              <w:top w:val="single" w:color="auto" w:sz="8" w:space="0"/>
            </w:tcBorders>
            <w:shd w:val="clear" w:color="auto" w:fill="auto"/>
            <w:vAlign w:val="center"/>
          </w:tcPr>
          <w:p>
            <w:pPr>
              <w:spacing w:line="240" w:lineRule="auto"/>
              <w:jc w:val="center"/>
              <w:textAlignment w:val="baseline"/>
              <w:rPr>
                <w:rFonts w:ascii="宋体" w:hAnsi="宋体"/>
                <w:sz w:val="18"/>
                <w:szCs w:val="18"/>
              </w:rPr>
            </w:pPr>
            <w:r>
              <w:rPr>
                <w:rFonts w:hint="eastAsia" w:ascii="宋体" w:hAnsi="宋体"/>
                <w:sz w:val="18"/>
                <w:szCs w:val="18"/>
              </w:rPr>
              <w:t>GB 5009.42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20" w:type="dxa"/>
        </w:trPr>
        <w:tc>
          <w:tcPr>
            <w:tcW w:w="4326" w:type="dxa"/>
            <w:gridSpan w:val="2"/>
            <w:shd w:val="clear" w:color="auto" w:fill="auto"/>
            <w:vAlign w:val="center"/>
          </w:tcPr>
          <w:p>
            <w:pPr>
              <w:spacing w:line="240" w:lineRule="auto"/>
              <w:textAlignment w:val="baseline"/>
              <w:rPr>
                <w:rFonts w:ascii="宋体" w:hAnsi="宋体"/>
                <w:sz w:val="18"/>
                <w:szCs w:val="18"/>
              </w:rPr>
            </w:pPr>
            <w:r>
              <w:rPr>
                <w:rFonts w:hint="eastAsia" w:ascii="宋体" w:hAnsi="宋体"/>
                <w:sz w:val="18"/>
                <w:szCs w:val="18"/>
              </w:rPr>
              <w:t>镉（以Cd计）/（mg/kg）≤</w:t>
            </w:r>
          </w:p>
        </w:tc>
        <w:tc>
          <w:tcPr>
            <w:tcW w:w="2403" w:type="dxa"/>
            <w:shd w:val="clear" w:color="auto" w:fill="auto"/>
            <w:vAlign w:val="center"/>
          </w:tcPr>
          <w:p>
            <w:pPr>
              <w:spacing w:line="240" w:lineRule="auto"/>
              <w:jc w:val="center"/>
              <w:textAlignment w:val="baseline"/>
              <w:rPr>
                <w:rFonts w:ascii="宋体" w:hAnsi="宋体"/>
                <w:sz w:val="18"/>
                <w:szCs w:val="18"/>
              </w:rPr>
            </w:pPr>
            <w:r>
              <w:rPr>
                <w:rFonts w:hint="eastAsia" w:ascii="宋体" w:hAnsi="宋体"/>
                <w:sz w:val="18"/>
                <w:szCs w:val="18"/>
              </w:rPr>
              <w:t>0.2</w:t>
            </w:r>
          </w:p>
        </w:tc>
        <w:tc>
          <w:tcPr>
            <w:tcW w:w="2451" w:type="dxa"/>
            <w:shd w:val="clear" w:color="auto" w:fill="auto"/>
            <w:vAlign w:val="center"/>
          </w:tcPr>
          <w:p>
            <w:pPr>
              <w:spacing w:line="240" w:lineRule="auto"/>
              <w:jc w:val="center"/>
              <w:textAlignment w:val="baseline"/>
              <w:rPr>
                <w:rFonts w:ascii="宋体" w:hAnsi="宋体"/>
                <w:sz w:val="18"/>
                <w:szCs w:val="18"/>
              </w:rPr>
            </w:pPr>
            <w:r>
              <w:rPr>
                <w:rFonts w:hint="eastAsia" w:ascii="宋体" w:hAnsi="宋体"/>
                <w:sz w:val="18"/>
                <w:szCs w:val="18"/>
              </w:rPr>
              <w:t>GB 5009.42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20" w:type="dxa"/>
        </w:trPr>
        <w:tc>
          <w:tcPr>
            <w:tcW w:w="4326" w:type="dxa"/>
            <w:gridSpan w:val="2"/>
            <w:shd w:val="clear" w:color="auto" w:fill="auto"/>
            <w:vAlign w:val="center"/>
          </w:tcPr>
          <w:p>
            <w:pPr>
              <w:spacing w:line="240" w:lineRule="auto"/>
              <w:textAlignment w:val="baseline"/>
              <w:rPr>
                <w:rFonts w:ascii="宋体" w:hAnsi="宋体"/>
                <w:sz w:val="18"/>
                <w:szCs w:val="18"/>
              </w:rPr>
            </w:pPr>
            <w:r>
              <w:rPr>
                <w:rFonts w:hint="eastAsia" w:ascii="宋体" w:hAnsi="宋体"/>
                <w:sz w:val="18"/>
                <w:szCs w:val="18"/>
              </w:rPr>
              <w:t>总汞（以Hg计）/（mg/kg）≤</w:t>
            </w:r>
          </w:p>
        </w:tc>
        <w:tc>
          <w:tcPr>
            <w:tcW w:w="2403" w:type="dxa"/>
            <w:shd w:val="clear" w:color="auto" w:fill="auto"/>
            <w:vAlign w:val="center"/>
          </w:tcPr>
          <w:p>
            <w:pPr>
              <w:spacing w:line="240" w:lineRule="auto"/>
              <w:jc w:val="center"/>
              <w:textAlignment w:val="baseline"/>
              <w:rPr>
                <w:rFonts w:ascii="宋体" w:hAnsi="宋体"/>
                <w:sz w:val="18"/>
                <w:szCs w:val="18"/>
              </w:rPr>
            </w:pPr>
            <w:r>
              <w:rPr>
                <w:rFonts w:hint="eastAsia" w:ascii="宋体" w:hAnsi="宋体"/>
                <w:sz w:val="18"/>
                <w:szCs w:val="18"/>
              </w:rPr>
              <w:t>0.05</w:t>
            </w:r>
          </w:p>
        </w:tc>
        <w:tc>
          <w:tcPr>
            <w:tcW w:w="2451" w:type="dxa"/>
            <w:shd w:val="clear" w:color="auto" w:fill="auto"/>
            <w:vAlign w:val="center"/>
          </w:tcPr>
          <w:p>
            <w:pPr>
              <w:spacing w:line="240" w:lineRule="auto"/>
              <w:jc w:val="center"/>
              <w:textAlignment w:val="baseline"/>
              <w:rPr>
                <w:rFonts w:ascii="宋体" w:hAnsi="宋体"/>
                <w:sz w:val="18"/>
                <w:szCs w:val="18"/>
              </w:rPr>
            </w:pPr>
            <w:r>
              <w:rPr>
                <w:rFonts w:hint="eastAsia" w:ascii="宋体" w:hAnsi="宋体"/>
                <w:sz w:val="18"/>
                <w:szCs w:val="18"/>
              </w:rPr>
              <w:t>GB 5009.42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20" w:type="dxa"/>
        </w:trPr>
        <w:tc>
          <w:tcPr>
            <w:tcW w:w="4326" w:type="dxa"/>
            <w:gridSpan w:val="2"/>
            <w:shd w:val="clear" w:color="auto" w:fill="auto"/>
            <w:vAlign w:val="center"/>
          </w:tcPr>
          <w:p>
            <w:pPr>
              <w:spacing w:line="240" w:lineRule="auto"/>
              <w:textAlignment w:val="baseline"/>
              <w:rPr>
                <w:rFonts w:ascii="宋体" w:hAnsi="宋体"/>
                <w:sz w:val="18"/>
                <w:szCs w:val="18"/>
              </w:rPr>
            </w:pPr>
            <w:r>
              <w:rPr>
                <w:rFonts w:hint="eastAsia" w:ascii="宋体" w:hAnsi="宋体"/>
                <w:sz w:val="18"/>
                <w:szCs w:val="18"/>
              </w:rPr>
              <w:t>总砷（以As计）/（mg/kg）≤</w:t>
            </w:r>
          </w:p>
        </w:tc>
        <w:tc>
          <w:tcPr>
            <w:tcW w:w="2403" w:type="dxa"/>
            <w:shd w:val="clear" w:color="auto" w:fill="auto"/>
            <w:vAlign w:val="center"/>
          </w:tcPr>
          <w:p>
            <w:pPr>
              <w:spacing w:line="240" w:lineRule="auto"/>
              <w:jc w:val="center"/>
              <w:textAlignment w:val="baseline"/>
              <w:rPr>
                <w:rFonts w:ascii="宋体" w:hAnsi="宋体"/>
                <w:sz w:val="18"/>
                <w:szCs w:val="18"/>
              </w:rPr>
            </w:pPr>
            <w:r>
              <w:rPr>
                <w:rFonts w:hint="eastAsia" w:ascii="宋体" w:hAnsi="宋体"/>
                <w:sz w:val="18"/>
                <w:szCs w:val="18"/>
              </w:rPr>
              <w:t>0.2</w:t>
            </w:r>
          </w:p>
        </w:tc>
        <w:tc>
          <w:tcPr>
            <w:tcW w:w="2451" w:type="dxa"/>
            <w:shd w:val="clear" w:color="auto" w:fill="auto"/>
            <w:vAlign w:val="center"/>
          </w:tcPr>
          <w:p>
            <w:pPr>
              <w:spacing w:line="240" w:lineRule="auto"/>
              <w:jc w:val="center"/>
              <w:textAlignment w:val="baseline"/>
              <w:rPr>
                <w:rFonts w:ascii="宋体" w:hAnsi="宋体"/>
                <w:sz w:val="18"/>
                <w:szCs w:val="18"/>
              </w:rPr>
            </w:pPr>
            <w:r>
              <w:rPr>
                <w:rFonts w:hint="eastAsia" w:ascii="宋体" w:hAnsi="宋体"/>
                <w:sz w:val="18"/>
                <w:szCs w:val="18"/>
              </w:rPr>
              <w:t>GB 5009.42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Before w:val="1"/>
          <w:wBefore w:w="6" w:type="dxa"/>
        </w:trPr>
        <w:tc>
          <w:tcPr>
            <w:tcW w:w="4326" w:type="dxa"/>
            <w:shd w:val="clear" w:color="auto" w:fill="auto"/>
            <w:vAlign w:val="center"/>
          </w:tcPr>
          <w:p>
            <w:pPr>
              <w:spacing w:line="240" w:lineRule="auto"/>
              <w:textAlignment w:val="baseline"/>
              <w:rPr>
                <w:rFonts w:ascii="宋体" w:hAnsi="宋体"/>
                <w:sz w:val="18"/>
                <w:szCs w:val="18"/>
              </w:rPr>
            </w:pPr>
            <w:r>
              <w:rPr>
                <w:rFonts w:hint="eastAsia" w:ascii="宋体" w:hAnsi="宋体"/>
                <w:sz w:val="18"/>
                <w:szCs w:val="18"/>
              </w:rPr>
              <w:t>亚硝酸盐（以NaNo</w:t>
            </w:r>
            <w:r>
              <w:rPr>
                <w:rFonts w:ascii="宋体" w:hAnsi="宋体"/>
                <w:sz w:val="18"/>
                <w:szCs w:val="18"/>
                <w:vertAlign w:val="subscript"/>
              </w:rPr>
              <w:t>2</w:t>
            </w:r>
            <w:r>
              <w:rPr>
                <w:rFonts w:hint="eastAsia" w:ascii="宋体" w:hAnsi="宋体"/>
                <w:sz w:val="18"/>
                <w:szCs w:val="18"/>
              </w:rPr>
              <w:t>计）≤</w:t>
            </w:r>
          </w:p>
        </w:tc>
        <w:tc>
          <w:tcPr>
            <w:tcW w:w="2403" w:type="dxa"/>
            <w:shd w:val="clear" w:color="auto" w:fill="auto"/>
            <w:vAlign w:val="center"/>
          </w:tcPr>
          <w:p>
            <w:pPr>
              <w:spacing w:line="240" w:lineRule="auto"/>
              <w:jc w:val="center"/>
              <w:textAlignment w:val="baseline"/>
              <w:rPr>
                <w:rFonts w:ascii="宋体" w:hAnsi="宋体"/>
                <w:sz w:val="18"/>
                <w:szCs w:val="18"/>
              </w:rPr>
            </w:pPr>
            <w:r>
              <w:rPr>
                <w:rFonts w:hint="eastAsia" w:ascii="宋体" w:hAnsi="宋体"/>
                <w:sz w:val="18"/>
                <w:szCs w:val="18"/>
              </w:rPr>
              <w:t>2.0</w:t>
            </w:r>
          </w:p>
        </w:tc>
        <w:tc>
          <w:tcPr>
            <w:tcW w:w="2451" w:type="dxa"/>
            <w:gridSpan w:val="2"/>
            <w:shd w:val="clear" w:color="auto" w:fill="auto"/>
            <w:vAlign w:val="center"/>
          </w:tcPr>
          <w:p>
            <w:pPr>
              <w:spacing w:line="240" w:lineRule="auto"/>
              <w:jc w:val="center"/>
              <w:textAlignment w:val="baseline"/>
              <w:rPr>
                <w:rFonts w:ascii="宋体" w:hAnsi="宋体"/>
                <w:sz w:val="18"/>
                <w:szCs w:val="18"/>
              </w:rPr>
            </w:pPr>
            <w:r>
              <w:rPr>
                <w:rFonts w:hint="eastAsia" w:ascii="宋体" w:hAnsi="宋体"/>
                <w:sz w:val="18"/>
                <w:szCs w:val="18"/>
              </w:rPr>
              <w:t>QB/T4446</w:t>
            </w:r>
          </w:p>
        </w:tc>
      </w:tr>
    </w:tbl>
    <w:p>
      <w:pPr>
        <w:pStyle w:val="59"/>
        <w:ind w:firstLine="420"/>
      </w:pPr>
    </w:p>
    <w:p>
      <w:pPr>
        <w:pStyle w:val="177"/>
      </w:pPr>
      <w:r>
        <w:rPr>
          <w:rFonts w:hint="eastAsia"/>
        </w:rPr>
        <w:t>产品中不应检出邻苯二甲酸酯类塑化剂,检验方法应符合GB 5009.271的要求。</w:t>
      </w:r>
    </w:p>
    <w:p>
      <w:pPr>
        <w:pStyle w:val="97"/>
        <w:spacing w:before="156" w:after="156"/>
      </w:pPr>
      <w:r>
        <w:rPr>
          <w:rFonts w:hint="eastAsia"/>
        </w:rPr>
        <w:t>判断</w:t>
      </w:r>
      <w:r>
        <w:t>依据</w:t>
      </w:r>
    </w:p>
    <w:p>
      <w:pPr>
        <w:pStyle w:val="235"/>
        <w:ind w:firstLine="420"/>
      </w:pPr>
      <w:r>
        <w:rPr>
          <w:rFonts w:hint="eastAsia"/>
        </w:rPr>
        <w:t>针对</w:t>
      </w:r>
      <w:r>
        <w:t>5.6.</w:t>
      </w:r>
      <w:r>
        <w:rPr>
          <w:rFonts w:hint="eastAsia"/>
        </w:rPr>
        <w:t>3</w:t>
      </w:r>
      <w:r>
        <w:t>.1</w:t>
      </w:r>
      <w:r>
        <w:rPr>
          <w:rFonts w:hint="eastAsia"/>
        </w:rPr>
        <w:t>要求，依据</w:t>
      </w:r>
      <w:r>
        <w:t>具有资质</w:t>
      </w:r>
      <w:r>
        <w:rPr>
          <w:rFonts w:hint="eastAsia"/>
        </w:rPr>
        <w:t>的第三方检测报告结果</w:t>
      </w:r>
      <w:r>
        <w:t>进行判定</w:t>
      </w:r>
      <w:r>
        <w:rPr>
          <w:rFonts w:hint="eastAsia"/>
        </w:rPr>
        <w:t>。</w:t>
      </w:r>
    </w:p>
    <w:p>
      <w:pPr>
        <w:pStyle w:val="97"/>
        <w:spacing w:before="156" w:after="156"/>
      </w:pPr>
      <w:r>
        <w:rPr>
          <w:rFonts w:hint="eastAsia"/>
        </w:rPr>
        <w:t>适用</w:t>
      </w:r>
      <w:r>
        <w:t>环节</w:t>
      </w:r>
    </w:p>
    <w:p>
      <w:pPr>
        <w:pStyle w:val="235"/>
        <w:widowControl w:val="0"/>
        <w:ind w:firstLine="420"/>
      </w:pPr>
      <w:r>
        <w:rPr>
          <w:rFonts w:hint="eastAsia"/>
        </w:rPr>
        <w:t>污染物和</w:t>
      </w:r>
      <w:r>
        <w:t>塑化剂</w:t>
      </w:r>
      <w:r>
        <w:rPr>
          <w:rFonts w:hint="eastAsia"/>
        </w:rPr>
        <w:t>限量</w:t>
      </w:r>
      <w:r>
        <w:t>的</w:t>
      </w:r>
      <w:r>
        <w:rPr>
          <w:rFonts w:hint="eastAsia"/>
        </w:rPr>
        <w:t>评价</w:t>
      </w:r>
      <w:r>
        <w:t>适用于</w:t>
      </w:r>
      <w:r>
        <w:rPr>
          <w:rFonts w:hint="eastAsia"/>
        </w:rPr>
        <w:t>生命周期的各个环节</w:t>
      </w:r>
      <w:r>
        <w:t>。</w:t>
      </w:r>
    </w:p>
    <w:p>
      <w:pPr>
        <w:pStyle w:val="68"/>
        <w:spacing w:before="156" w:after="156"/>
      </w:pPr>
      <w:bookmarkStart w:id="346" w:name="_Toc529898417"/>
      <w:bookmarkStart w:id="347" w:name="_Toc531123055"/>
      <w:bookmarkStart w:id="348" w:name="_Toc526708254"/>
      <w:bookmarkStart w:id="349" w:name="_Toc529953647"/>
      <w:bookmarkStart w:id="350" w:name="_Toc531277280"/>
      <w:bookmarkStart w:id="351" w:name="_Toc5887193"/>
      <w:bookmarkStart w:id="352" w:name="_Toc5887128"/>
      <w:bookmarkStart w:id="353" w:name="_Toc529900834"/>
      <w:bookmarkStart w:id="354" w:name="_Toc531033923"/>
      <w:bookmarkStart w:id="355" w:name="_Toc530237542"/>
      <w:bookmarkStart w:id="356" w:name="_Toc529899991"/>
      <w:bookmarkStart w:id="357" w:name="_Toc529900444"/>
      <w:bookmarkStart w:id="358" w:name="_Toc531151824"/>
      <w:bookmarkStart w:id="359" w:name="_Toc100661428"/>
      <w:bookmarkStart w:id="360" w:name="_Toc118454915"/>
      <w:bookmarkStart w:id="361" w:name="_Toc529898316"/>
      <w:bookmarkStart w:id="362" w:name="_Toc10053"/>
      <w:r>
        <w:rPr>
          <w:rFonts w:hint="eastAsia"/>
        </w:rPr>
        <w:t>碘强化剂</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pPr>
        <w:pStyle w:val="97"/>
        <w:spacing w:before="156" w:after="156"/>
      </w:pPr>
      <w:r>
        <w:rPr>
          <w:rFonts w:hint="eastAsia"/>
        </w:rPr>
        <w:t>评价要求</w:t>
      </w:r>
    </w:p>
    <w:p>
      <w:pPr>
        <w:pStyle w:val="235"/>
        <w:widowControl w:val="0"/>
        <w:ind w:firstLine="420"/>
      </w:pPr>
      <w:r>
        <w:rPr>
          <w:rFonts w:hint="eastAsia"/>
        </w:rPr>
        <w:t>生态井矿盐</w:t>
      </w:r>
      <w:r>
        <w:t>产品</w:t>
      </w:r>
      <w:r>
        <w:rPr>
          <w:rFonts w:hint="eastAsia"/>
        </w:rPr>
        <w:t>碘强化剂</w:t>
      </w:r>
      <w:r>
        <w:t>要求</w:t>
      </w:r>
      <w:r>
        <w:rPr>
          <w:rFonts w:hint="eastAsia"/>
        </w:rPr>
        <w:t>包括</w:t>
      </w:r>
      <w:r>
        <w:t>：</w:t>
      </w:r>
    </w:p>
    <w:p>
      <w:pPr>
        <w:pStyle w:val="177"/>
        <w:numPr>
          <w:ilvl w:val="0"/>
          <w:numId w:val="57"/>
        </w:numPr>
      </w:pPr>
      <w:r>
        <w:rPr>
          <w:rFonts w:hint="eastAsia"/>
        </w:rPr>
        <w:t>加碘生态井矿盐：碘强化剂使用种类、添加量、波动范围应符合GB 26878的要求；</w:t>
      </w:r>
    </w:p>
    <w:p>
      <w:pPr>
        <w:pStyle w:val="177"/>
      </w:pPr>
      <w:r>
        <w:rPr>
          <w:rFonts w:hint="eastAsia"/>
        </w:rPr>
        <w:t>未加碘生态井矿盐：碘含量应＜5mg/kg，且应在包装显著位置标注“未加碘”字样。</w:t>
      </w:r>
    </w:p>
    <w:p>
      <w:pPr>
        <w:pStyle w:val="97"/>
        <w:spacing w:before="156" w:after="156"/>
      </w:pPr>
      <w:r>
        <w:rPr>
          <w:rFonts w:hint="eastAsia"/>
        </w:rPr>
        <w:t>判定</w:t>
      </w:r>
      <w:r>
        <w:t>依据</w:t>
      </w:r>
    </w:p>
    <w:p>
      <w:pPr>
        <w:pStyle w:val="235"/>
        <w:ind w:firstLine="420"/>
      </w:pPr>
      <w:r>
        <w:rPr>
          <w:rFonts w:hint="eastAsia"/>
        </w:rPr>
        <w:t>针对</w:t>
      </w:r>
      <w:r>
        <w:t>5.6.4.1</w:t>
      </w:r>
      <w:r>
        <w:rPr>
          <w:rFonts w:hint="eastAsia"/>
        </w:rPr>
        <w:t>要求</w:t>
      </w:r>
      <w:r>
        <w:t>，</w:t>
      </w:r>
      <w:r>
        <w:rPr>
          <w:rFonts w:hint="eastAsia"/>
        </w:rPr>
        <w:t>依据具有资质的第三方检测机构提供的产品检测报告并查阅生产过程检验记录进行判定，碘强化剂的测定方法应按照GB</w:t>
      </w:r>
      <w:r>
        <w:t xml:space="preserve"> </w:t>
      </w:r>
      <w:r>
        <w:rPr>
          <w:rFonts w:hint="eastAsia"/>
        </w:rPr>
        <w:t>5009.42或</w:t>
      </w:r>
      <w:r>
        <w:t xml:space="preserve">GB/T </w:t>
      </w:r>
      <w:r>
        <w:rPr>
          <w:rFonts w:hint="eastAsia"/>
        </w:rPr>
        <w:t>13025.7的规定执行。</w:t>
      </w:r>
    </w:p>
    <w:p>
      <w:pPr>
        <w:pStyle w:val="97"/>
        <w:spacing w:before="156" w:after="156"/>
      </w:pPr>
      <w:r>
        <w:rPr>
          <w:rFonts w:hint="eastAsia"/>
        </w:rPr>
        <w:t>适用</w:t>
      </w:r>
      <w:r>
        <w:t>环节</w:t>
      </w:r>
    </w:p>
    <w:p>
      <w:pPr>
        <w:pStyle w:val="235"/>
        <w:widowControl w:val="0"/>
        <w:ind w:firstLine="420"/>
      </w:pPr>
      <w:r>
        <w:rPr>
          <w:rFonts w:hint="eastAsia"/>
        </w:rPr>
        <w:t>碘强化剂</w:t>
      </w:r>
      <w:r>
        <w:t>的</w:t>
      </w:r>
      <w:r>
        <w:rPr>
          <w:rFonts w:hint="eastAsia"/>
        </w:rPr>
        <w:t>评价</w:t>
      </w:r>
      <w:r>
        <w:t>适用于</w:t>
      </w:r>
      <w:r>
        <w:rPr>
          <w:rFonts w:hint="eastAsia"/>
        </w:rPr>
        <w:t>加碘环节和计量</w:t>
      </w:r>
      <w:r>
        <w:t>包装环节。</w:t>
      </w:r>
    </w:p>
    <w:p>
      <w:pPr>
        <w:pStyle w:val="68"/>
        <w:spacing w:before="156" w:after="156"/>
      </w:pPr>
      <w:bookmarkStart w:id="363" w:name="_Toc529898317"/>
      <w:bookmarkStart w:id="364" w:name="_Toc5887129"/>
      <w:bookmarkStart w:id="365" w:name="_Toc529900445"/>
      <w:bookmarkStart w:id="366" w:name="_Toc531123056"/>
      <w:bookmarkStart w:id="367" w:name="_Toc531033924"/>
      <w:bookmarkStart w:id="368" w:name="_Toc530237543"/>
      <w:bookmarkStart w:id="369" w:name="_Toc529953648"/>
      <w:bookmarkStart w:id="370" w:name="_Toc529900835"/>
      <w:bookmarkStart w:id="371" w:name="_Toc5887194"/>
      <w:bookmarkStart w:id="372" w:name="_Toc526708255"/>
      <w:bookmarkStart w:id="373" w:name="_Toc100661429"/>
      <w:bookmarkStart w:id="374" w:name="_Toc529898418"/>
      <w:bookmarkStart w:id="375" w:name="_Toc531277281"/>
      <w:bookmarkStart w:id="376" w:name="_Toc529899992"/>
      <w:bookmarkStart w:id="377" w:name="_Toc531151825"/>
      <w:bookmarkStart w:id="378" w:name="_Toc118454916"/>
      <w:bookmarkStart w:id="379" w:name="_Toc16509"/>
      <w:r>
        <w:rPr>
          <w:rFonts w:hint="eastAsia"/>
        </w:rPr>
        <w:t>其他食品添加剂</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pStyle w:val="97"/>
        <w:spacing w:before="156" w:after="156"/>
      </w:pPr>
      <w:r>
        <w:rPr>
          <w:rFonts w:hint="eastAsia"/>
        </w:rPr>
        <w:t>评价要求</w:t>
      </w:r>
    </w:p>
    <w:p>
      <w:pPr>
        <w:pStyle w:val="235"/>
        <w:ind w:firstLine="420"/>
      </w:pPr>
      <w:r>
        <w:rPr>
          <w:rFonts w:hint="eastAsia"/>
        </w:rPr>
        <w:t>生态井矿盐</w:t>
      </w:r>
      <w:r>
        <w:t>产品</w:t>
      </w:r>
      <w:r>
        <w:rPr>
          <w:rFonts w:hint="eastAsia"/>
        </w:rPr>
        <w:t>不应使用除</w:t>
      </w:r>
      <w:r>
        <w:t>碘</w:t>
      </w:r>
      <w:r>
        <w:rPr>
          <w:rFonts w:hint="eastAsia"/>
        </w:rPr>
        <w:t>强化剂</w:t>
      </w:r>
      <w:r>
        <w:t>以外</w:t>
      </w:r>
      <w:r>
        <w:rPr>
          <w:rFonts w:hint="eastAsia"/>
        </w:rPr>
        <w:t>的食品添加剂。</w:t>
      </w:r>
    </w:p>
    <w:p>
      <w:pPr>
        <w:pStyle w:val="97"/>
        <w:spacing w:before="156" w:after="156"/>
      </w:pPr>
      <w:r>
        <w:rPr>
          <w:rFonts w:hint="eastAsia"/>
        </w:rPr>
        <w:t>判定</w:t>
      </w:r>
      <w:r>
        <w:t>依据</w:t>
      </w:r>
    </w:p>
    <w:p>
      <w:pPr>
        <w:pStyle w:val="235"/>
        <w:ind w:firstLine="420"/>
      </w:pPr>
      <w:r>
        <w:rPr>
          <w:rFonts w:hint="eastAsia"/>
        </w:rPr>
        <w:t>针对</w:t>
      </w:r>
      <w:r>
        <w:t>5.6.5.1</w:t>
      </w:r>
      <w:r>
        <w:rPr>
          <w:rFonts w:hint="eastAsia"/>
        </w:rPr>
        <w:t>要求</w:t>
      </w:r>
      <w:r>
        <w:t>，</w:t>
      </w:r>
      <w:r>
        <w:rPr>
          <w:rFonts w:hint="eastAsia"/>
        </w:rPr>
        <w:t>依据具有资质的第三方检测机构提供的产品检测报告并查阅生产过程检验记录进行判定。</w:t>
      </w:r>
    </w:p>
    <w:p>
      <w:pPr>
        <w:pStyle w:val="97"/>
        <w:spacing w:before="156" w:after="156"/>
      </w:pPr>
      <w:r>
        <w:rPr>
          <w:rFonts w:hint="eastAsia"/>
        </w:rPr>
        <w:t>适用</w:t>
      </w:r>
      <w:r>
        <w:t>环节</w:t>
      </w:r>
    </w:p>
    <w:p>
      <w:pPr>
        <w:pStyle w:val="235"/>
        <w:widowControl w:val="0"/>
        <w:ind w:firstLine="420"/>
      </w:pPr>
      <w:r>
        <w:rPr>
          <w:rFonts w:hint="eastAsia"/>
        </w:rPr>
        <w:t>添加剂的评价</w:t>
      </w:r>
      <w:r>
        <w:t>适用于</w:t>
      </w:r>
      <w:r>
        <w:rPr>
          <w:rFonts w:hint="eastAsia"/>
        </w:rPr>
        <w:t>生命周期的各个环节</w:t>
      </w:r>
      <w:r>
        <w:t>。</w:t>
      </w:r>
    </w:p>
    <w:p>
      <w:pPr>
        <w:pStyle w:val="59"/>
        <w:ind w:firstLine="420"/>
      </w:pPr>
    </w:p>
    <w:p>
      <w:pPr>
        <w:pStyle w:val="59"/>
        <w:ind w:firstLine="420"/>
      </w:pPr>
    </w:p>
    <w:bookmarkEnd w:id="36"/>
    <w:p>
      <w:pPr>
        <w:pStyle w:val="59"/>
        <w:ind w:firstLine="420"/>
      </w:pPr>
    </w:p>
    <w:p>
      <w:pPr>
        <w:pStyle w:val="59"/>
        <w:ind w:firstLine="0" w:firstLineChars="0"/>
        <w:jc w:val="center"/>
      </w:pPr>
      <w:bookmarkStart w:id="380"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80"/>
    </w:p>
    <w:sectPr>
      <w:pgSz w:w="11906" w:h="16838"/>
      <w:pgMar w:top="2410" w:right="1134" w:bottom="1134" w:left="1134" w:header="1418" w:footer="1134" w:gutter="284"/>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T/CNLICXXXX—2022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T/CNLICXXXX—2022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7B6AA1"/>
    <w:multiLevelType w:val="multilevel"/>
    <w:tmpl w:val="1F7B6AA1"/>
    <w:lvl w:ilvl="0" w:tentative="0">
      <w:start w:val="1"/>
      <w:numFmt w:val="lowerLetter"/>
      <w:pStyle w:val="24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43"/>
      <w:lvlText w:val="%2)"/>
      <w:lvlJc w:val="left"/>
      <w:pPr>
        <w:tabs>
          <w:tab w:val="left" w:pos="1260"/>
        </w:tabs>
        <w:ind w:left="1259" w:hanging="419"/>
      </w:pPr>
      <w:rPr>
        <w:rFonts w:hint="eastAsia"/>
      </w:rPr>
    </w:lvl>
    <w:lvl w:ilvl="2" w:tentative="0">
      <w:start w:val="1"/>
      <w:numFmt w:val="decimal"/>
      <w:pStyle w:val="24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284"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trackRevisions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iOTRhNGQxNWFmZGZkZGVkZmQ4N2I4MWFkNDcxYWQifQ=="/>
  </w:docVars>
  <w:rsids>
    <w:rsidRoot w:val="00943E62"/>
    <w:rsid w:val="0000040A"/>
    <w:rsid w:val="00000A94"/>
    <w:rsid w:val="00001972"/>
    <w:rsid w:val="00001D9A"/>
    <w:rsid w:val="00007B3A"/>
    <w:rsid w:val="000107E0"/>
    <w:rsid w:val="00011FDE"/>
    <w:rsid w:val="000126C0"/>
    <w:rsid w:val="00012FFD"/>
    <w:rsid w:val="00014162"/>
    <w:rsid w:val="00014340"/>
    <w:rsid w:val="00016A9C"/>
    <w:rsid w:val="00022184"/>
    <w:rsid w:val="00022762"/>
    <w:rsid w:val="000238E0"/>
    <w:rsid w:val="000249DB"/>
    <w:rsid w:val="0002595E"/>
    <w:rsid w:val="000303C3"/>
    <w:rsid w:val="000310BB"/>
    <w:rsid w:val="000331D3"/>
    <w:rsid w:val="000346A5"/>
    <w:rsid w:val="000359C3"/>
    <w:rsid w:val="00035A7D"/>
    <w:rsid w:val="000365ED"/>
    <w:rsid w:val="00036928"/>
    <w:rsid w:val="0004249A"/>
    <w:rsid w:val="00043282"/>
    <w:rsid w:val="00044286"/>
    <w:rsid w:val="00047F28"/>
    <w:rsid w:val="000503AA"/>
    <w:rsid w:val="000506A1"/>
    <w:rsid w:val="000515DD"/>
    <w:rsid w:val="0005265A"/>
    <w:rsid w:val="000533AC"/>
    <w:rsid w:val="000539DD"/>
    <w:rsid w:val="00053BD3"/>
    <w:rsid w:val="000556ED"/>
    <w:rsid w:val="00055FE2"/>
    <w:rsid w:val="0005616F"/>
    <w:rsid w:val="00060C2E"/>
    <w:rsid w:val="00061033"/>
    <w:rsid w:val="000619E9"/>
    <w:rsid w:val="000622D4"/>
    <w:rsid w:val="0006357D"/>
    <w:rsid w:val="00065540"/>
    <w:rsid w:val="00067F1E"/>
    <w:rsid w:val="00071CC0"/>
    <w:rsid w:val="00071CFC"/>
    <w:rsid w:val="00073C8C"/>
    <w:rsid w:val="000755EB"/>
    <w:rsid w:val="00077B64"/>
    <w:rsid w:val="00080A1C"/>
    <w:rsid w:val="000815B2"/>
    <w:rsid w:val="00082008"/>
    <w:rsid w:val="00082317"/>
    <w:rsid w:val="00083D2C"/>
    <w:rsid w:val="0008436F"/>
    <w:rsid w:val="000843CA"/>
    <w:rsid w:val="00086AA1"/>
    <w:rsid w:val="00087A77"/>
    <w:rsid w:val="00090CA6"/>
    <w:rsid w:val="00091E5F"/>
    <w:rsid w:val="00092B8A"/>
    <w:rsid w:val="00092FB0"/>
    <w:rsid w:val="000934C5"/>
    <w:rsid w:val="00093D25"/>
    <w:rsid w:val="00093DAB"/>
    <w:rsid w:val="00094AA1"/>
    <w:rsid w:val="00094D73"/>
    <w:rsid w:val="00096D63"/>
    <w:rsid w:val="000A0A12"/>
    <w:rsid w:val="000A0B60"/>
    <w:rsid w:val="000A0EB8"/>
    <w:rsid w:val="000A19FC"/>
    <w:rsid w:val="000A28A9"/>
    <w:rsid w:val="000A296B"/>
    <w:rsid w:val="000A6D4B"/>
    <w:rsid w:val="000A7311"/>
    <w:rsid w:val="000B060F"/>
    <w:rsid w:val="000B1592"/>
    <w:rsid w:val="000B1FF2"/>
    <w:rsid w:val="000B3CDA"/>
    <w:rsid w:val="000B6A0B"/>
    <w:rsid w:val="000C0F6C"/>
    <w:rsid w:val="000C11DB"/>
    <w:rsid w:val="000C1492"/>
    <w:rsid w:val="000C1C04"/>
    <w:rsid w:val="000C1C07"/>
    <w:rsid w:val="000C2FBD"/>
    <w:rsid w:val="000C4B41"/>
    <w:rsid w:val="000C57D6"/>
    <w:rsid w:val="000C6362"/>
    <w:rsid w:val="000C7666"/>
    <w:rsid w:val="000D0A9C"/>
    <w:rsid w:val="000D1795"/>
    <w:rsid w:val="000D1E2B"/>
    <w:rsid w:val="000D329A"/>
    <w:rsid w:val="000D4B9C"/>
    <w:rsid w:val="000D4EB6"/>
    <w:rsid w:val="000D5DFE"/>
    <w:rsid w:val="000D753B"/>
    <w:rsid w:val="000E2548"/>
    <w:rsid w:val="000E4C9E"/>
    <w:rsid w:val="000E6FD7"/>
    <w:rsid w:val="000F06E1"/>
    <w:rsid w:val="000F0E3C"/>
    <w:rsid w:val="000F19D5"/>
    <w:rsid w:val="000F4050"/>
    <w:rsid w:val="000F4AEA"/>
    <w:rsid w:val="000F67E9"/>
    <w:rsid w:val="0010161F"/>
    <w:rsid w:val="001046C5"/>
    <w:rsid w:val="00104926"/>
    <w:rsid w:val="001069B2"/>
    <w:rsid w:val="00113B1E"/>
    <w:rsid w:val="0011711C"/>
    <w:rsid w:val="00122DE8"/>
    <w:rsid w:val="001230FD"/>
    <w:rsid w:val="00124E4F"/>
    <w:rsid w:val="001260B7"/>
    <w:rsid w:val="001265CB"/>
    <w:rsid w:val="001321C6"/>
    <w:rsid w:val="001325C4"/>
    <w:rsid w:val="00133010"/>
    <w:rsid w:val="001338EE"/>
    <w:rsid w:val="00133AAE"/>
    <w:rsid w:val="00135323"/>
    <w:rsid w:val="001356C4"/>
    <w:rsid w:val="00137565"/>
    <w:rsid w:val="00141114"/>
    <w:rsid w:val="00142969"/>
    <w:rsid w:val="00144386"/>
    <w:rsid w:val="001446C2"/>
    <w:rsid w:val="001457E7"/>
    <w:rsid w:val="00145D9D"/>
    <w:rsid w:val="00146388"/>
    <w:rsid w:val="001529E5"/>
    <w:rsid w:val="00152FB3"/>
    <w:rsid w:val="00153996"/>
    <w:rsid w:val="00153C7E"/>
    <w:rsid w:val="00156ACB"/>
    <w:rsid w:val="00156B25"/>
    <w:rsid w:val="00156E1A"/>
    <w:rsid w:val="00157894"/>
    <w:rsid w:val="00157B55"/>
    <w:rsid w:val="0016079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6C4"/>
    <w:rsid w:val="001852C9"/>
    <w:rsid w:val="00186319"/>
    <w:rsid w:val="00187A0B"/>
    <w:rsid w:val="00190087"/>
    <w:rsid w:val="001913C4"/>
    <w:rsid w:val="00192E23"/>
    <w:rsid w:val="0019348F"/>
    <w:rsid w:val="00193A07"/>
    <w:rsid w:val="00194C95"/>
    <w:rsid w:val="00195C34"/>
    <w:rsid w:val="00196EF5"/>
    <w:rsid w:val="001A0F75"/>
    <w:rsid w:val="001A1A53"/>
    <w:rsid w:val="001A234A"/>
    <w:rsid w:val="001A428A"/>
    <w:rsid w:val="001A4CF3"/>
    <w:rsid w:val="001A6696"/>
    <w:rsid w:val="001B06E8"/>
    <w:rsid w:val="001B3AF4"/>
    <w:rsid w:val="001B49CC"/>
    <w:rsid w:val="001B71D0"/>
    <w:rsid w:val="001B71EE"/>
    <w:rsid w:val="001C04A8"/>
    <w:rsid w:val="001C186C"/>
    <w:rsid w:val="001C2C03"/>
    <w:rsid w:val="001C42F7"/>
    <w:rsid w:val="001C49E5"/>
    <w:rsid w:val="001C680C"/>
    <w:rsid w:val="001C6E18"/>
    <w:rsid w:val="001C7FEA"/>
    <w:rsid w:val="001D0499"/>
    <w:rsid w:val="001D0BBE"/>
    <w:rsid w:val="001D0ED4"/>
    <w:rsid w:val="001D212F"/>
    <w:rsid w:val="001D29D7"/>
    <w:rsid w:val="001D2DE7"/>
    <w:rsid w:val="001D411C"/>
    <w:rsid w:val="001D496A"/>
    <w:rsid w:val="001D6873"/>
    <w:rsid w:val="001D6896"/>
    <w:rsid w:val="001E1B6A"/>
    <w:rsid w:val="001E2484"/>
    <w:rsid w:val="001E28F4"/>
    <w:rsid w:val="001E3CC4"/>
    <w:rsid w:val="001E4882"/>
    <w:rsid w:val="001E73AB"/>
    <w:rsid w:val="001F092D"/>
    <w:rsid w:val="001F143A"/>
    <w:rsid w:val="001F1605"/>
    <w:rsid w:val="001F2508"/>
    <w:rsid w:val="001F4816"/>
    <w:rsid w:val="001F5D20"/>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6B1"/>
    <w:rsid w:val="00221B79"/>
    <w:rsid w:val="00221C6B"/>
    <w:rsid w:val="002234FA"/>
    <w:rsid w:val="002253A1"/>
    <w:rsid w:val="00225CF8"/>
    <w:rsid w:val="0022794E"/>
    <w:rsid w:val="002311B3"/>
    <w:rsid w:val="00233D64"/>
    <w:rsid w:val="0023482A"/>
    <w:rsid w:val="002359CB"/>
    <w:rsid w:val="00243540"/>
    <w:rsid w:val="0024497B"/>
    <w:rsid w:val="0024515B"/>
    <w:rsid w:val="00246021"/>
    <w:rsid w:val="0024666E"/>
    <w:rsid w:val="00247BDF"/>
    <w:rsid w:val="00247F52"/>
    <w:rsid w:val="00247FBA"/>
    <w:rsid w:val="002508FC"/>
    <w:rsid w:val="00250B25"/>
    <w:rsid w:val="00250BBE"/>
    <w:rsid w:val="002515C2"/>
    <w:rsid w:val="0025194F"/>
    <w:rsid w:val="0026148A"/>
    <w:rsid w:val="00262696"/>
    <w:rsid w:val="00263D25"/>
    <w:rsid w:val="002643C3"/>
    <w:rsid w:val="00264A0C"/>
    <w:rsid w:val="00266EEB"/>
    <w:rsid w:val="00267EF4"/>
    <w:rsid w:val="00270CB8"/>
    <w:rsid w:val="00272B08"/>
    <w:rsid w:val="00275D1F"/>
    <w:rsid w:val="00277D6A"/>
    <w:rsid w:val="00281BB8"/>
    <w:rsid w:val="00281E9E"/>
    <w:rsid w:val="00282405"/>
    <w:rsid w:val="00285170"/>
    <w:rsid w:val="00285361"/>
    <w:rsid w:val="00290DE1"/>
    <w:rsid w:val="00292A8A"/>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3AF2"/>
    <w:rsid w:val="002A4CEA"/>
    <w:rsid w:val="002A5977"/>
    <w:rsid w:val="002A5A13"/>
    <w:rsid w:val="002A6038"/>
    <w:rsid w:val="002A757F"/>
    <w:rsid w:val="002A7F44"/>
    <w:rsid w:val="002B0C40"/>
    <w:rsid w:val="002B1966"/>
    <w:rsid w:val="002B1B82"/>
    <w:rsid w:val="002B4508"/>
    <w:rsid w:val="002B4AB1"/>
    <w:rsid w:val="002B5779"/>
    <w:rsid w:val="002B716A"/>
    <w:rsid w:val="002B7332"/>
    <w:rsid w:val="002B7F51"/>
    <w:rsid w:val="002C09E7"/>
    <w:rsid w:val="002C1E06"/>
    <w:rsid w:val="002C3F07"/>
    <w:rsid w:val="002C5278"/>
    <w:rsid w:val="002C7EBB"/>
    <w:rsid w:val="002D06C1"/>
    <w:rsid w:val="002D42B5"/>
    <w:rsid w:val="002D453E"/>
    <w:rsid w:val="002D4F1A"/>
    <w:rsid w:val="002D6EC6"/>
    <w:rsid w:val="002D79AC"/>
    <w:rsid w:val="002E039D"/>
    <w:rsid w:val="002E4D5A"/>
    <w:rsid w:val="002E6326"/>
    <w:rsid w:val="002F30E0"/>
    <w:rsid w:val="002F35E4"/>
    <w:rsid w:val="002F3730"/>
    <w:rsid w:val="002F38E1"/>
    <w:rsid w:val="002F5F0E"/>
    <w:rsid w:val="002F7AF6"/>
    <w:rsid w:val="002F7F0F"/>
    <w:rsid w:val="00300E63"/>
    <w:rsid w:val="00302F5F"/>
    <w:rsid w:val="0030441D"/>
    <w:rsid w:val="00306063"/>
    <w:rsid w:val="00307415"/>
    <w:rsid w:val="00313B85"/>
    <w:rsid w:val="00317988"/>
    <w:rsid w:val="003221B4"/>
    <w:rsid w:val="0032227A"/>
    <w:rsid w:val="0032258D"/>
    <w:rsid w:val="00322E62"/>
    <w:rsid w:val="00324D13"/>
    <w:rsid w:val="00324EDD"/>
    <w:rsid w:val="003331E4"/>
    <w:rsid w:val="00334E9C"/>
    <w:rsid w:val="00336C64"/>
    <w:rsid w:val="00337162"/>
    <w:rsid w:val="003374D7"/>
    <w:rsid w:val="0034194F"/>
    <w:rsid w:val="0034364F"/>
    <w:rsid w:val="00343E09"/>
    <w:rsid w:val="00344605"/>
    <w:rsid w:val="003460AB"/>
    <w:rsid w:val="00346B8C"/>
    <w:rsid w:val="003474AA"/>
    <w:rsid w:val="00350D1D"/>
    <w:rsid w:val="00352C83"/>
    <w:rsid w:val="00352E03"/>
    <w:rsid w:val="00352F1A"/>
    <w:rsid w:val="00355E53"/>
    <w:rsid w:val="0035624F"/>
    <w:rsid w:val="003562F4"/>
    <w:rsid w:val="003569BA"/>
    <w:rsid w:val="0036107C"/>
    <w:rsid w:val="003615D2"/>
    <w:rsid w:val="0036429C"/>
    <w:rsid w:val="00364A53"/>
    <w:rsid w:val="003654CB"/>
    <w:rsid w:val="00365AA9"/>
    <w:rsid w:val="00365F86"/>
    <w:rsid w:val="00365F87"/>
    <w:rsid w:val="00366E89"/>
    <w:rsid w:val="003705F4"/>
    <w:rsid w:val="00370D58"/>
    <w:rsid w:val="00371316"/>
    <w:rsid w:val="00373CDE"/>
    <w:rsid w:val="00376713"/>
    <w:rsid w:val="00381815"/>
    <w:rsid w:val="003819AF"/>
    <w:rsid w:val="003820E9"/>
    <w:rsid w:val="00382DE7"/>
    <w:rsid w:val="0038318B"/>
    <w:rsid w:val="00383EAC"/>
    <w:rsid w:val="00384FFC"/>
    <w:rsid w:val="003872FC"/>
    <w:rsid w:val="00387ADC"/>
    <w:rsid w:val="00390020"/>
    <w:rsid w:val="003903D6"/>
    <w:rsid w:val="00390EE6"/>
    <w:rsid w:val="0039118F"/>
    <w:rsid w:val="0039163D"/>
    <w:rsid w:val="00392426"/>
    <w:rsid w:val="00392AD7"/>
    <w:rsid w:val="003938D9"/>
    <w:rsid w:val="00394376"/>
    <w:rsid w:val="003943FF"/>
    <w:rsid w:val="003974EB"/>
    <w:rsid w:val="00397CC5"/>
    <w:rsid w:val="003A0A3A"/>
    <w:rsid w:val="003A1582"/>
    <w:rsid w:val="003A3D9C"/>
    <w:rsid w:val="003A4077"/>
    <w:rsid w:val="003A4AA7"/>
    <w:rsid w:val="003A5C9A"/>
    <w:rsid w:val="003B09AD"/>
    <w:rsid w:val="003B191E"/>
    <w:rsid w:val="003B1F18"/>
    <w:rsid w:val="003B5BF0"/>
    <w:rsid w:val="003B60BF"/>
    <w:rsid w:val="003B6BE3"/>
    <w:rsid w:val="003C010C"/>
    <w:rsid w:val="003C05DA"/>
    <w:rsid w:val="003C0A6C"/>
    <w:rsid w:val="003C14F8"/>
    <w:rsid w:val="003C5964"/>
    <w:rsid w:val="003C5A43"/>
    <w:rsid w:val="003C7E4A"/>
    <w:rsid w:val="003D0519"/>
    <w:rsid w:val="003D0FF6"/>
    <w:rsid w:val="003D262C"/>
    <w:rsid w:val="003D624B"/>
    <w:rsid w:val="003D6D61"/>
    <w:rsid w:val="003D736F"/>
    <w:rsid w:val="003D76DD"/>
    <w:rsid w:val="003E091D"/>
    <w:rsid w:val="003E1C53"/>
    <w:rsid w:val="003E2A69"/>
    <w:rsid w:val="003E2D49"/>
    <w:rsid w:val="003E2FD4"/>
    <w:rsid w:val="003E49F6"/>
    <w:rsid w:val="003E5FDD"/>
    <w:rsid w:val="003E660F"/>
    <w:rsid w:val="003F0841"/>
    <w:rsid w:val="003F23D3"/>
    <w:rsid w:val="003F3F08"/>
    <w:rsid w:val="003F49F1"/>
    <w:rsid w:val="003F6272"/>
    <w:rsid w:val="00400E72"/>
    <w:rsid w:val="00401400"/>
    <w:rsid w:val="00401A0D"/>
    <w:rsid w:val="00403E3A"/>
    <w:rsid w:val="00404869"/>
    <w:rsid w:val="00404922"/>
    <w:rsid w:val="00405884"/>
    <w:rsid w:val="00407D39"/>
    <w:rsid w:val="0041477A"/>
    <w:rsid w:val="00414CBF"/>
    <w:rsid w:val="004167A3"/>
    <w:rsid w:val="00417B71"/>
    <w:rsid w:val="00422C28"/>
    <w:rsid w:val="004234F4"/>
    <w:rsid w:val="00432DAA"/>
    <w:rsid w:val="00434305"/>
    <w:rsid w:val="00435DF7"/>
    <w:rsid w:val="004364BA"/>
    <w:rsid w:val="0044083F"/>
    <w:rsid w:val="00441AE7"/>
    <w:rsid w:val="00445574"/>
    <w:rsid w:val="004467FB"/>
    <w:rsid w:val="00452D6B"/>
    <w:rsid w:val="00454484"/>
    <w:rsid w:val="0045517B"/>
    <w:rsid w:val="0046177D"/>
    <w:rsid w:val="00463B77"/>
    <w:rsid w:val="00463C7B"/>
    <w:rsid w:val="004644A6"/>
    <w:rsid w:val="004659BD"/>
    <w:rsid w:val="00470775"/>
    <w:rsid w:val="00473273"/>
    <w:rsid w:val="004746B1"/>
    <w:rsid w:val="0047583F"/>
    <w:rsid w:val="00475DE8"/>
    <w:rsid w:val="004816D6"/>
    <w:rsid w:val="00481A04"/>
    <w:rsid w:val="00481C44"/>
    <w:rsid w:val="00484936"/>
    <w:rsid w:val="00485C89"/>
    <w:rsid w:val="00486BE3"/>
    <w:rsid w:val="004905E4"/>
    <w:rsid w:val="00490A89"/>
    <w:rsid w:val="00490AB4"/>
    <w:rsid w:val="00492F02"/>
    <w:rsid w:val="0049307E"/>
    <w:rsid w:val="004939AE"/>
    <w:rsid w:val="004A12DF"/>
    <w:rsid w:val="004A1BA8"/>
    <w:rsid w:val="004A4B57"/>
    <w:rsid w:val="004A63FA"/>
    <w:rsid w:val="004A6A3D"/>
    <w:rsid w:val="004A7F0A"/>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6AC"/>
    <w:rsid w:val="004D2253"/>
    <w:rsid w:val="004D4406"/>
    <w:rsid w:val="004D7C42"/>
    <w:rsid w:val="004E0465"/>
    <w:rsid w:val="004E127B"/>
    <w:rsid w:val="004E1C0A"/>
    <w:rsid w:val="004E30C5"/>
    <w:rsid w:val="004E4AA5"/>
    <w:rsid w:val="004E4AEE"/>
    <w:rsid w:val="004E59E3"/>
    <w:rsid w:val="004E67C0"/>
    <w:rsid w:val="004F205D"/>
    <w:rsid w:val="004F391A"/>
    <w:rsid w:val="004F3CFB"/>
    <w:rsid w:val="004F6456"/>
    <w:rsid w:val="004F696E"/>
    <w:rsid w:val="004F6C71"/>
    <w:rsid w:val="00501139"/>
    <w:rsid w:val="0050363E"/>
    <w:rsid w:val="005039BC"/>
    <w:rsid w:val="005043BB"/>
    <w:rsid w:val="00504A3D"/>
    <w:rsid w:val="00505767"/>
    <w:rsid w:val="005073F0"/>
    <w:rsid w:val="005109DB"/>
    <w:rsid w:val="00510A7B"/>
    <w:rsid w:val="00512F6E"/>
    <w:rsid w:val="00513038"/>
    <w:rsid w:val="00514174"/>
    <w:rsid w:val="00514DAB"/>
    <w:rsid w:val="00516088"/>
    <w:rsid w:val="00516B0B"/>
    <w:rsid w:val="00517769"/>
    <w:rsid w:val="005220EC"/>
    <w:rsid w:val="00523F95"/>
    <w:rsid w:val="00524C6D"/>
    <w:rsid w:val="00524D65"/>
    <w:rsid w:val="00525B16"/>
    <w:rsid w:val="005306DA"/>
    <w:rsid w:val="00533D04"/>
    <w:rsid w:val="00534804"/>
    <w:rsid w:val="00534BDF"/>
    <w:rsid w:val="005354EA"/>
    <w:rsid w:val="0053585F"/>
    <w:rsid w:val="00535EC4"/>
    <w:rsid w:val="00535ED9"/>
    <w:rsid w:val="00535F09"/>
    <w:rsid w:val="0053679E"/>
    <w:rsid w:val="0053692B"/>
    <w:rsid w:val="00536BA6"/>
    <w:rsid w:val="00541853"/>
    <w:rsid w:val="00542C89"/>
    <w:rsid w:val="00543BDA"/>
    <w:rsid w:val="005441CC"/>
    <w:rsid w:val="005479DA"/>
    <w:rsid w:val="00547BCC"/>
    <w:rsid w:val="0055013B"/>
    <w:rsid w:val="00551F6F"/>
    <w:rsid w:val="00552C52"/>
    <w:rsid w:val="005545E9"/>
    <w:rsid w:val="00555044"/>
    <w:rsid w:val="00561475"/>
    <w:rsid w:val="00562308"/>
    <w:rsid w:val="0056487B"/>
    <w:rsid w:val="00564FB9"/>
    <w:rsid w:val="00570DB5"/>
    <w:rsid w:val="00571A1B"/>
    <w:rsid w:val="00573D9E"/>
    <w:rsid w:val="005801E3"/>
    <w:rsid w:val="00581802"/>
    <w:rsid w:val="005836A8"/>
    <w:rsid w:val="0058409C"/>
    <w:rsid w:val="00584262"/>
    <w:rsid w:val="005852CF"/>
    <w:rsid w:val="00586630"/>
    <w:rsid w:val="00587ADD"/>
    <w:rsid w:val="00593A49"/>
    <w:rsid w:val="00596160"/>
    <w:rsid w:val="005966E2"/>
    <w:rsid w:val="00597007"/>
    <w:rsid w:val="005A0966"/>
    <w:rsid w:val="005A11B7"/>
    <w:rsid w:val="005A260B"/>
    <w:rsid w:val="005A4A1B"/>
    <w:rsid w:val="005A7830"/>
    <w:rsid w:val="005A78AA"/>
    <w:rsid w:val="005A7FCE"/>
    <w:rsid w:val="005B0F3F"/>
    <w:rsid w:val="005B191C"/>
    <w:rsid w:val="005B3386"/>
    <w:rsid w:val="005B4903"/>
    <w:rsid w:val="005B51CE"/>
    <w:rsid w:val="005B5885"/>
    <w:rsid w:val="005B5CD7"/>
    <w:rsid w:val="005B6CF6"/>
    <w:rsid w:val="005B7422"/>
    <w:rsid w:val="005B78C0"/>
    <w:rsid w:val="005C29B8"/>
    <w:rsid w:val="005C5F21"/>
    <w:rsid w:val="005C7156"/>
    <w:rsid w:val="005D0C75"/>
    <w:rsid w:val="005D2CEE"/>
    <w:rsid w:val="005D4171"/>
    <w:rsid w:val="005D6A95"/>
    <w:rsid w:val="005D6B2C"/>
    <w:rsid w:val="005D6D9C"/>
    <w:rsid w:val="005E2335"/>
    <w:rsid w:val="005E34CA"/>
    <w:rsid w:val="005E3C18"/>
    <w:rsid w:val="005E4250"/>
    <w:rsid w:val="005E4969"/>
    <w:rsid w:val="005E6812"/>
    <w:rsid w:val="005E7881"/>
    <w:rsid w:val="005E78E0"/>
    <w:rsid w:val="005F0D9C"/>
    <w:rsid w:val="005F284E"/>
    <w:rsid w:val="006015CE"/>
    <w:rsid w:val="00601904"/>
    <w:rsid w:val="00604784"/>
    <w:rsid w:val="00606419"/>
    <w:rsid w:val="00607D29"/>
    <w:rsid w:val="00612952"/>
    <w:rsid w:val="00614CC1"/>
    <w:rsid w:val="00615A9D"/>
    <w:rsid w:val="006167A5"/>
    <w:rsid w:val="00617387"/>
    <w:rsid w:val="006205D6"/>
    <w:rsid w:val="006209C8"/>
    <w:rsid w:val="00621DB6"/>
    <w:rsid w:val="0062340C"/>
    <w:rsid w:val="006252D8"/>
    <w:rsid w:val="006259BC"/>
    <w:rsid w:val="0062636B"/>
    <w:rsid w:val="00627590"/>
    <w:rsid w:val="00632182"/>
    <w:rsid w:val="00632AE0"/>
    <w:rsid w:val="006339FD"/>
    <w:rsid w:val="00633C17"/>
    <w:rsid w:val="00634717"/>
    <w:rsid w:val="00634D9E"/>
    <w:rsid w:val="00636B93"/>
    <w:rsid w:val="00636E3E"/>
    <w:rsid w:val="006379F7"/>
    <w:rsid w:val="00637E4D"/>
    <w:rsid w:val="00640620"/>
    <w:rsid w:val="00641A1F"/>
    <w:rsid w:val="00642B95"/>
    <w:rsid w:val="00645904"/>
    <w:rsid w:val="00647789"/>
    <w:rsid w:val="00651ACB"/>
    <w:rsid w:val="00651ADE"/>
    <w:rsid w:val="00651C47"/>
    <w:rsid w:val="00652AB2"/>
    <w:rsid w:val="00653FED"/>
    <w:rsid w:val="00654EC0"/>
    <w:rsid w:val="0065525B"/>
    <w:rsid w:val="00655D4F"/>
    <w:rsid w:val="00656D29"/>
    <w:rsid w:val="006640E5"/>
    <w:rsid w:val="006646F1"/>
    <w:rsid w:val="00664929"/>
    <w:rsid w:val="00664F62"/>
    <w:rsid w:val="006655E1"/>
    <w:rsid w:val="00672060"/>
    <w:rsid w:val="00672324"/>
    <w:rsid w:val="00672BFD"/>
    <w:rsid w:val="006770F4"/>
    <w:rsid w:val="00677A84"/>
    <w:rsid w:val="0068026D"/>
    <w:rsid w:val="0068030D"/>
    <w:rsid w:val="00680A27"/>
    <w:rsid w:val="006816A4"/>
    <w:rsid w:val="006819B8"/>
    <w:rsid w:val="006840A6"/>
    <w:rsid w:val="006850CD"/>
    <w:rsid w:val="00685542"/>
    <w:rsid w:val="00685AAB"/>
    <w:rsid w:val="00694AB1"/>
    <w:rsid w:val="006A07AA"/>
    <w:rsid w:val="006A1E16"/>
    <w:rsid w:val="006A25E5"/>
    <w:rsid w:val="006A2B46"/>
    <w:rsid w:val="006A336D"/>
    <w:rsid w:val="006A37B9"/>
    <w:rsid w:val="006B2672"/>
    <w:rsid w:val="006B2E95"/>
    <w:rsid w:val="006B54BF"/>
    <w:rsid w:val="006B5B3F"/>
    <w:rsid w:val="006B5F44"/>
    <w:rsid w:val="006B5F90"/>
    <w:rsid w:val="006B62E4"/>
    <w:rsid w:val="006C1BBA"/>
    <w:rsid w:val="006C2079"/>
    <w:rsid w:val="006C2426"/>
    <w:rsid w:val="006C5A62"/>
    <w:rsid w:val="006C5D68"/>
    <w:rsid w:val="006C6976"/>
    <w:rsid w:val="006C6DD0"/>
    <w:rsid w:val="006D04EA"/>
    <w:rsid w:val="006D16C4"/>
    <w:rsid w:val="006D3E96"/>
    <w:rsid w:val="006D4195"/>
    <w:rsid w:val="006D4515"/>
    <w:rsid w:val="006D4BB1"/>
    <w:rsid w:val="006D5BA5"/>
    <w:rsid w:val="006D6593"/>
    <w:rsid w:val="006D6BA6"/>
    <w:rsid w:val="006E038F"/>
    <w:rsid w:val="006E3DFF"/>
    <w:rsid w:val="006F03A8"/>
    <w:rsid w:val="006F1E87"/>
    <w:rsid w:val="006F2ACA"/>
    <w:rsid w:val="006F2ADC"/>
    <w:rsid w:val="006F2BFE"/>
    <w:rsid w:val="006F31E9"/>
    <w:rsid w:val="006F6284"/>
    <w:rsid w:val="007002C5"/>
    <w:rsid w:val="00701028"/>
    <w:rsid w:val="007032D3"/>
    <w:rsid w:val="00704387"/>
    <w:rsid w:val="0070548B"/>
    <w:rsid w:val="00705CA6"/>
    <w:rsid w:val="00707669"/>
    <w:rsid w:val="00710655"/>
    <w:rsid w:val="00711CBA"/>
    <w:rsid w:val="00711FB5"/>
    <w:rsid w:val="00712A01"/>
    <w:rsid w:val="00714F58"/>
    <w:rsid w:val="00722FBF"/>
    <w:rsid w:val="00722FC2"/>
    <w:rsid w:val="00724E1B"/>
    <w:rsid w:val="00725583"/>
    <w:rsid w:val="00725949"/>
    <w:rsid w:val="00727FA2"/>
    <w:rsid w:val="007322D9"/>
    <w:rsid w:val="00732BC0"/>
    <w:rsid w:val="0073720F"/>
    <w:rsid w:val="00737796"/>
    <w:rsid w:val="0074165C"/>
    <w:rsid w:val="007428E3"/>
    <w:rsid w:val="00742C35"/>
    <w:rsid w:val="007432CA"/>
    <w:rsid w:val="007439EB"/>
    <w:rsid w:val="00743CB4"/>
    <w:rsid w:val="00743F0A"/>
    <w:rsid w:val="007444E8"/>
    <w:rsid w:val="0074548E"/>
    <w:rsid w:val="00745773"/>
    <w:rsid w:val="00746800"/>
    <w:rsid w:val="007501A8"/>
    <w:rsid w:val="00750957"/>
    <w:rsid w:val="00750D61"/>
    <w:rsid w:val="00750EE1"/>
    <w:rsid w:val="007523EF"/>
    <w:rsid w:val="00752B4D"/>
    <w:rsid w:val="00755402"/>
    <w:rsid w:val="00755D5C"/>
    <w:rsid w:val="00756B26"/>
    <w:rsid w:val="00756EDF"/>
    <w:rsid w:val="007600E3"/>
    <w:rsid w:val="007639F6"/>
    <w:rsid w:val="00765781"/>
    <w:rsid w:val="00765C43"/>
    <w:rsid w:val="00765EFB"/>
    <w:rsid w:val="00766BED"/>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A56"/>
    <w:rsid w:val="007A41C8"/>
    <w:rsid w:val="007A54CE"/>
    <w:rsid w:val="007A6F15"/>
    <w:rsid w:val="007A6FD9"/>
    <w:rsid w:val="007A7FFA"/>
    <w:rsid w:val="007B04EB"/>
    <w:rsid w:val="007B0D4F"/>
    <w:rsid w:val="007B1C91"/>
    <w:rsid w:val="007B5A3D"/>
    <w:rsid w:val="007B5B95"/>
    <w:rsid w:val="007B6032"/>
    <w:rsid w:val="007B68EA"/>
    <w:rsid w:val="007B7453"/>
    <w:rsid w:val="007C2D89"/>
    <w:rsid w:val="007C4593"/>
    <w:rsid w:val="007C5309"/>
    <w:rsid w:val="007C5A34"/>
    <w:rsid w:val="007C6069"/>
    <w:rsid w:val="007D06C4"/>
    <w:rsid w:val="007D1352"/>
    <w:rsid w:val="007D2508"/>
    <w:rsid w:val="007D346A"/>
    <w:rsid w:val="007D3EA5"/>
    <w:rsid w:val="007D6518"/>
    <w:rsid w:val="007D76BD"/>
    <w:rsid w:val="007E0BF1"/>
    <w:rsid w:val="007F09BB"/>
    <w:rsid w:val="007F0ED8"/>
    <w:rsid w:val="007F0F63"/>
    <w:rsid w:val="007F28BE"/>
    <w:rsid w:val="007F3205"/>
    <w:rsid w:val="007F5AA4"/>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5A0"/>
    <w:rsid w:val="008269DD"/>
    <w:rsid w:val="00830621"/>
    <w:rsid w:val="0083267E"/>
    <w:rsid w:val="0083348C"/>
    <w:rsid w:val="008373D3"/>
    <w:rsid w:val="00840617"/>
    <w:rsid w:val="00840F84"/>
    <w:rsid w:val="00842A47"/>
    <w:rsid w:val="00842D73"/>
    <w:rsid w:val="00843C13"/>
    <w:rsid w:val="008454F8"/>
    <w:rsid w:val="00845CDD"/>
    <w:rsid w:val="008465F4"/>
    <w:rsid w:val="0085173A"/>
    <w:rsid w:val="008603CE"/>
    <w:rsid w:val="008620FC"/>
    <w:rsid w:val="008627A5"/>
    <w:rsid w:val="00863E05"/>
    <w:rsid w:val="00865ACA"/>
    <w:rsid w:val="00865D28"/>
    <w:rsid w:val="00865F85"/>
    <w:rsid w:val="00867C10"/>
    <w:rsid w:val="00870439"/>
    <w:rsid w:val="00870DA1"/>
    <w:rsid w:val="00871D8B"/>
    <w:rsid w:val="008823E4"/>
    <w:rsid w:val="00883610"/>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35C"/>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6A3"/>
    <w:rsid w:val="008D2D1D"/>
    <w:rsid w:val="008D453D"/>
    <w:rsid w:val="008D487C"/>
    <w:rsid w:val="008D53AD"/>
    <w:rsid w:val="008D562B"/>
    <w:rsid w:val="008D5733"/>
    <w:rsid w:val="008D622B"/>
    <w:rsid w:val="008D6346"/>
    <w:rsid w:val="008D666C"/>
    <w:rsid w:val="008D7B54"/>
    <w:rsid w:val="008E00DE"/>
    <w:rsid w:val="008E0C9D"/>
    <w:rsid w:val="008E1648"/>
    <w:rsid w:val="008E1B3E"/>
    <w:rsid w:val="008E2319"/>
    <w:rsid w:val="008E4BB6"/>
    <w:rsid w:val="008E5518"/>
    <w:rsid w:val="008E6A84"/>
    <w:rsid w:val="008F0CDC"/>
    <w:rsid w:val="008F17A3"/>
    <w:rsid w:val="008F1ED3"/>
    <w:rsid w:val="008F2191"/>
    <w:rsid w:val="008F4C29"/>
    <w:rsid w:val="008F70BD"/>
    <w:rsid w:val="008F788F"/>
    <w:rsid w:val="008F7EA2"/>
    <w:rsid w:val="009019BF"/>
    <w:rsid w:val="00902722"/>
    <w:rsid w:val="009027BC"/>
    <w:rsid w:val="009062E6"/>
    <w:rsid w:val="00911BE5"/>
    <w:rsid w:val="00913CA9"/>
    <w:rsid w:val="009145AE"/>
    <w:rsid w:val="009146CE"/>
    <w:rsid w:val="00914CA7"/>
    <w:rsid w:val="00915C3E"/>
    <w:rsid w:val="009161A8"/>
    <w:rsid w:val="009245AE"/>
    <w:rsid w:val="009245F5"/>
    <w:rsid w:val="009249EC"/>
    <w:rsid w:val="00924D24"/>
    <w:rsid w:val="009273B3"/>
    <w:rsid w:val="00927FD5"/>
    <w:rsid w:val="009305B5"/>
    <w:rsid w:val="009378DD"/>
    <w:rsid w:val="009429D5"/>
    <w:rsid w:val="00942BF1"/>
    <w:rsid w:val="00943E62"/>
    <w:rsid w:val="00945180"/>
    <w:rsid w:val="00945428"/>
    <w:rsid w:val="0094607B"/>
    <w:rsid w:val="00953604"/>
    <w:rsid w:val="0095496B"/>
    <w:rsid w:val="00960F1E"/>
    <w:rsid w:val="009610DC"/>
    <w:rsid w:val="00961490"/>
    <w:rsid w:val="0096381A"/>
    <w:rsid w:val="00965E04"/>
    <w:rsid w:val="00966B44"/>
    <w:rsid w:val="00966BB9"/>
    <w:rsid w:val="009674AD"/>
    <w:rsid w:val="00970CDC"/>
    <w:rsid w:val="00975727"/>
    <w:rsid w:val="00977010"/>
    <w:rsid w:val="00977D02"/>
    <w:rsid w:val="00977FF9"/>
    <w:rsid w:val="009809BB"/>
    <w:rsid w:val="00980FDE"/>
    <w:rsid w:val="00983416"/>
    <w:rsid w:val="0098364B"/>
    <w:rsid w:val="009908A3"/>
    <w:rsid w:val="009911AF"/>
    <w:rsid w:val="00991875"/>
    <w:rsid w:val="00991F92"/>
    <w:rsid w:val="00992985"/>
    <w:rsid w:val="00993889"/>
    <w:rsid w:val="00994F96"/>
    <w:rsid w:val="0099551B"/>
    <w:rsid w:val="00996BD2"/>
    <w:rsid w:val="00997BF1"/>
    <w:rsid w:val="009A089C"/>
    <w:rsid w:val="009A118E"/>
    <w:rsid w:val="009A149D"/>
    <w:rsid w:val="009A21CD"/>
    <w:rsid w:val="009A278C"/>
    <w:rsid w:val="009A2BC2"/>
    <w:rsid w:val="009A42C1"/>
    <w:rsid w:val="009A5429"/>
    <w:rsid w:val="009A72AD"/>
    <w:rsid w:val="009B09E0"/>
    <w:rsid w:val="009B0BC5"/>
    <w:rsid w:val="009B1247"/>
    <w:rsid w:val="009B6029"/>
    <w:rsid w:val="009B6971"/>
    <w:rsid w:val="009B6BA9"/>
    <w:rsid w:val="009C01A7"/>
    <w:rsid w:val="009C153B"/>
    <w:rsid w:val="009C2013"/>
    <w:rsid w:val="009C20D7"/>
    <w:rsid w:val="009C27F1"/>
    <w:rsid w:val="009C3152"/>
    <w:rsid w:val="009C3257"/>
    <w:rsid w:val="009C4CFA"/>
    <w:rsid w:val="009C5070"/>
    <w:rsid w:val="009C635B"/>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1929"/>
    <w:rsid w:val="00A028C0"/>
    <w:rsid w:val="00A02BAE"/>
    <w:rsid w:val="00A06A6B"/>
    <w:rsid w:val="00A07E47"/>
    <w:rsid w:val="00A129D0"/>
    <w:rsid w:val="00A12C33"/>
    <w:rsid w:val="00A138BA"/>
    <w:rsid w:val="00A14C8E"/>
    <w:rsid w:val="00A153D9"/>
    <w:rsid w:val="00A15F09"/>
    <w:rsid w:val="00A169B6"/>
    <w:rsid w:val="00A20545"/>
    <w:rsid w:val="00A2271D"/>
    <w:rsid w:val="00A237D5"/>
    <w:rsid w:val="00A30EFC"/>
    <w:rsid w:val="00A31984"/>
    <w:rsid w:val="00A31FAB"/>
    <w:rsid w:val="00A32D73"/>
    <w:rsid w:val="00A32ED2"/>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A6D"/>
    <w:rsid w:val="00A668FE"/>
    <w:rsid w:val="00A67866"/>
    <w:rsid w:val="00A70070"/>
    <w:rsid w:val="00A70B07"/>
    <w:rsid w:val="00A723F8"/>
    <w:rsid w:val="00A77CCB"/>
    <w:rsid w:val="00A83D8D"/>
    <w:rsid w:val="00A8446B"/>
    <w:rsid w:val="00A8473F"/>
    <w:rsid w:val="00A862D6"/>
    <w:rsid w:val="00A868A8"/>
    <w:rsid w:val="00A8715E"/>
    <w:rsid w:val="00A92299"/>
    <w:rsid w:val="00A9295B"/>
    <w:rsid w:val="00A93B09"/>
    <w:rsid w:val="00A952D7"/>
    <w:rsid w:val="00A963F7"/>
    <w:rsid w:val="00A96AD8"/>
    <w:rsid w:val="00AA052C"/>
    <w:rsid w:val="00AA1060"/>
    <w:rsid w:val="00AA1E45"/>
    <w:rsid w:val="00AA4286"/>
    <w:rsid w:val="00AA456B"/>
    <w:rsid w:val="00AA57F5"/>
    <w:rsid w:val="00AA672E"/>
    <w:rsid w:val="00AA6EC9"/>
    <w:rsid w:val="00AB2462"/>
    <w:rsid w:val="00AB553B"/>
    <w:rsid w:val="00AB6309"/>
    <w:rsid w:val="00AB6C5F"/>
    <w:rsid w:val="00AB7129"/>
    <w:rsid w:val="00AC27A6"/>
    <w:rsid w:val="00AC30F7"/>
    <w:rsid w:val="00AC3A5A"/>
    <w:rsid w:val="00AC4D95"/>
    <w:rsid w:val="00AC57D5"/>
    <w:rsid w:val="00AC5DF4"/>
    <w:rsid w:val="00AD0AEF"/>
    <w:rsid w:val="00AD0FB3"/>
    <w:rsid w:val="00AD11B7"/>
    <w:rsid w:val="00AD1A94"/>
    <w:rsid w:val="00AD1C05"/>
    <w:rsid w:val="00AD4126"/>
    <w:rsid w:val="00AD421C"/>
    <w:rsid w:val="00AD44FA"/>
    <w:rsid w:val="00AD5E51"/>
    <w:rsid w:val="00AE070A"/>
    <w:rsid w:val="00AE101C"/>
    <w:rsid w:val="00AE2A69"/>
    <w:rsid w:val="00AE37E5"/>
    <w:rsid w:val="00AE385D"/>
    <w:rsid w:val="00AE5EB4"/>
    <w:rsid w:val="00AF0C18"/>
    <w:rsid w:val="00AF15BF"/>
    <w:rsid w:val="00AF336E"/>
    <w:rsid w:val="00AF3D25"/>
    <w:rsid w:val="00AF47C5"/>
    <w:rsid w:val="00AF5398"/>
    <w:rsid w:val="00B04888"/>
    <w:rsid w:val="00B049AF"/>
    <w:rsid w:val="00B0669F"/>
    <w:rsid w:val="00B07242"/>
    <w:rsid w:val="00B10371"/>
    <w:rsid w:val="00B10534"/>
    <w:rsid w:val="00B113DB"/>
    <w:rsid w:val="00B11D8A"/>
    <w:rsid w:val="00B12981"/>
    <w:rsid w:val="00B147DD"/>
    <w:rsid w:val="00B156FD"/>
    <w:rsid w:val="00B21F61"/>
    <w:rsid w:val="00B2494F"/>
    <w:rsid w:val="00B261F1"/>
    <w:rsid w:val="00B265BC"/>
    <w:rsid w:val="00B31082"/>
    <w:rsid w:val="00B31F4C"/>
    <w:rsid w:val="00B31FB1"/>
    <w:rsid w:val="00B33487"/>
    <w:rsid w:val="00B33952"/>
    <w:rsid w:val="00B33C5E"/>
    <w:rsid w:val="00B342F4"/>
    <w:rsid w:val="00B34369"/>
    <w:rsid w:val="00B34DC2"/>
    <w:rsid w:val="00B378E5"/>
    <w:rsid w:val="00B41FA0"/>
    <w:rsid w:val="00B4346D"/>
    <w:rsid w:val="00B440F4"/>
    <w:rsid w:val="00B447A5"/>
    <w:rsid w:val="00B4654C"/>
    <w:rsid w:val="00B47293"/>
    <w:rsid w:val="00B50E50"/>
    <w:rsid w:val="00B52120"/>
    <w:rsid w:val="00B54ABC"/>
    <w:rsid w:val="00B56FBE"/>
    <w:rsid w:val="00B57633"/>
    <w:rsid w:val="00B577A2"/>
    <w:rsid w:val="00B57E5A"/>
    <w:rsid w:val="00B60ACF"/>
    <w:rsid w:val="00B62B58"/>
    <w:rsid w:val="00B65149"/>
    <w:rsid w:val="00B66567"/>
    <w:rsid w:val="00B66F52"/>
    <w:rsid w:val="00B66FE5"/>
    <w:rsid w:val="00B72880"/>
    <w:rsid w:val="00B758BF"/>
    <w:rsid w:val="00B77EC8"/>
    <w:rsid w:val="00B827A6"/>
    <w:rsid w:val="00B831CE"/>
    <w:rsid w:val="00B84544"/>
    <w:rsid w:val="00B86677"/>
    <w:rsid w:val="00B87131"/>
    <w:rsid w:val="00B939B1"/>
    <w:rsid w:val="00B96D40"/>
    <w:rsid w:val="00B97386"/>
    <w:rsid w:val="00BA263B"/>
    <w:rsid w:val="00BA2D96"/>
    <w:rsid w:val="00BA42B2"/>
    <w:rsid w:val="00BA58D4"/>
    <w:rsid w:val="00BA5B9E"/>
    <w:rsid w:val="00BA7C9A"/>
    <w:rsid w:val="00BB5F8F"/>
    <w:rsid w:val="00BB657A"/>
    <w:rsid w:val="00BC13E7"/>
    <w:rsid w:val="00BC1A4E"/>
    <w:rsid w:val="00BC1D34"/>
    <w:rsid w:val="00BC5DC7"/>
    <w:rsid w:val="00BC6B8B"/>
    <w:rsid w:val="00BC73D8"/>
    <w:rsid w:val="00BD38E2"/>
    <w:rsid w:val="00BD52D7"/>
    <w:rsid w:val="00BD5AD2"/>
    <w:rsid w:val="00BE22F3"/>
    <w:rsid w:val="00BE36BD"/>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01E5"/>
    <w:rsid w:val="00C30EEB"/>
    <w:rsid w:val="00C322A5"/>
    <w:rsid w:val="00C33E50"/>
    <w:rsid w:val="00C349B2"/>
    <w:rsid w:val="00C34C20"/>
    <w:rsid w:val="00C34FE3"/>
    <w:rsid w:val="00C35A3E"/>
    <w:rsid w:val="00C40CAC"/>
    <w:rsid w:val="00C42130"/>
    <w:rsid w:val="00C423A4"/>
    <w:rsid w:val="00C423E3"/>
    <w:rsid w:val="00C44BF5"/>
    <w:rsid w:val="00C51BA5"/>
    <w:rsid w:val="00C521D6"/>
    <w:rsid w:val="00C52568"/>
    <w:rsid w:val="00C55232"/>
    <w:rsid w:val="00C553A4"/>
    <w:rsid w:val="00C55A06"/>
    <w:rsid w:val="00C55D03"/>
    <w:rsid w:val="00C55FBD"/>
    <w:rsid w:val="00C601BC"/>
    <w:rsid w:val="00C616D4"/>
    <w:rsid w:val="00C6329F"/>
    <w:rsid w:val="00C63340"/>
    <w:rsid w:val="00C643F9"/>
    <w:rsid w:val="00C64E95"/>
    <w:rsid w:val="00C708FB"/>
    <w:rsid w:val="00C711F0"/>
    <w:rsid w:val="00C71372"/>
    <w:rsid w:val="00C72410"/>
    <w:rsid w:val="00C7287F"/>
    <w:rsid w:val="00C73FE1"/>
    <w:rsid w:val="00C80CB8"/>
    <w:rsid w:val="00C819F8"/>
    <w:rsid w:val="00C8248C"/>
    <w:rsid w:val="00C84E33"/>
    <w:rsid w:val="00C86D6F"/>
    <w:rsid w:val="00C905FC"/>
    <w:rsid w:val="00C92D03"/>
    <w:rsid w:val="00C9319C"/>
    <w:rsid w:val="00C9435D"/>
    <w:rsid w:val="00C94DF2"/>
    <w:rsid w:val="00C96741"/>
    <w:rsid w:val="00C96F0A"/>
    <w:rsid w:val="00CA2D1B"/>
    <w:rsid w:val="00CA375D"/>
    <w:rsid w:val="00CA5982"/>
    <w:rsid w:val="00CA662A"/>
    <w:rsid w:val="00CA67EF"/>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181"/>
    <w:rsid w:val="00CD4A20"/>
    <w:rsid w:val="00CD50A1"/>
    <w:rsid w:val="00CD519E"/>
    <w:rsid w:val="00CE074D"/>
    <w:rsid w:val="00CE0C4F"/>
    <w:rsid w:val="00CE30EA"/>
    <w:rsid w:val="00CE4240"/>
    <w:rsid w:val="00CE7F2B"/>
    <w:rsid w:val="00CF048A"/>
    <w:rsid w:val="00CF155A"/>
    <w:rsid w:val="00CF2947"/>
    <w:rsid w:val="00CF686F"/>
    <w:rsid w:val="00CF6E60"/>
    <w:rsid w:val="00CF7BCA"/>
    <w:rsid w:val="00D00879"/>
    <w:rsid w:val="00D008FD"/>
    <w:rsid w:val="00D0321C"/>
    <w:rsid w:val="00D035EC"/>
    <w:rsid w:val="00D06AB1"/>
    <w:rsid w:val="00D06FC1"/>
    <w:rsid w:val="00D072ED"/>
    <w:rsid w:val="00D07A16"/>
    <w:rsid w:val="00D1067E"/>
    <w:rsid w:val="00D10F50"/>
    <w:rsid w:val="00D11272"/>
    <w:rsid w:val="00D122C2"/>
    <w:rsid w:val="00D126F5"/>
    <w:rsid w:val="00D128D1"/>
    <w:rsid w:val="00D1489E"/>
    <w:rsid w:val="00D20737"/>
    <w:rsid w:val="00D21E81"/>
    <w:rsid w:val="00D223DE"/>
    <w:rsid w:val="00D25E37"/>
    <w:rsid w:val="00D2661A"/>
    <w:rsid w:val="00D27376"/>
    <w:rsid w:val="00D27582"/>
    <w:rsid w:val="00D27EC4"/>
    <w:rsid w:val="00D31B86"/>
    <w:rsid w:val="00D32719"/>
    <w:rsid w:val="00D33333"/>
    <w:rsid w:val="00D352A2"/>
    <w:rsid w:val="00D4162B"/>
    <w:rsid w:val="00D4514F"/>
    <w:rsid w:val="00D451E2"/>
    <w:rsid w:val="00D45E89"/>
    <w:rsid w:val="00D45E8D"/>
    <w:rsid w:val="00D466AE"/>
    <w:rsid w:val="00D4734F"/>
    <w:rsid w:val="00D51BF3"/>
    <w:rsid w:val="00D6246B"/>
    <w:rsid w:val="00D66846"/>
    <w:rsid w:val="00D675FB"/>
    <w:rsid w:val="00D67F1C"/>
    <w:rsid w:val="00D71F25"/>
    <w:rsid w:val="00D72A9C"/>
    <w:rsid w:val="00D759CC"/>
    <w:rsid w:val="00D76844"/>
    <w:rsid w:val="00D77031"/>
    <w:rsid w:val="00D832F5"/>
    <w:rsid w:val="00D84941"/>
    <w:rsid w:val="00D84FA1"/>
    <w:rsid w:val="00D851F0"/>
    <w:rsid w:val="00D86DB7"/>
    <w:rsid w:val="00D87BF5"/>
    <w:rsid w:val="00D90721"/>
    <w:rsid w:val="00D926D0"/>
    <w:rsid w:val="00D93030"/>
    <w:rsid w:val="00D9363C"/>
    <w:rsid w:val="00D950E1"/>
    <w:rsid w:val="00D952A6"/>
    <w:rsid w:val="00D97F99"/>
    <w:rsid w:val="00DA0EF0"/>
    <w:rsid w:val="00DA172A"/>
    <w:rsid w:val="00DA1E08"/>
    <w:rsid w:val="00DA24F8"/>
    <w:rsid w:val="00DA28E8"/>
    <w:rsid w:val="00DA38D3"/>
    <w:rsid w:val="00DA3932"/>
    <w:rsid w:val="00DA3AFC"/>
    <w:rsid w:val="00DA64F8"/>
    <w:rsid w:val="00DA6C15"/>
    <w:rsid w:val="00DB0258"/>
    <w:rsid w:val="00DB3453"/>
    <w:rsid w:val="00DB38EE"/>
    <w:rsid w:val="00DB498B"/>
    <w:rsid w:val="00DB66CA"/>
    <w:rsid w:val="00DB6BCA"/>
    <w:rsid w:val="00DB6F54"/>
    <w:rsid w:val="00DB73F7"/>
    <w:rsid w:val="00DC0321"/>
    <w:rsid w:val="00DC265A"/>
    <w:rsid w:val="00DC3067"/>
    <w:rsid w:val="00DC370B"/>
    <w:rsid w:val="00DC5B90"/>
    <w:rsid w:val="00DC77DE"/>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1FFC"/>
    <w:rsid w:val="00DF44DE"/>
    <w:rsid w:val="00DF6890"/>
    <w:rsid w:val="00DF7AAD"/>
    <w:rsid w:val="00E01138"/>
    <w:rsid w:val="00E02DFB"/>
    <w:rsid w:val="00E030F9"/>
    <w:rsid w:val="00E0311A"/>
    <w:rsid w:val="00E03138"/>
    <w:rsid w:val="00E06404"/>
    <w:rsid w:val="00E0650A"/>
    <w:rsid w:val="00E11A85"/>
    <w:rsid w:val="00E12495"/>
    <w:rsid w:val="00E15CCD"/>
    <w:rsid w:val="00E202EF"/>
    <w:rsid w:val="00E210B5"/>
    <w:rsid w:val="00E2552F"/>
    <w:rsid w:val="00E27227"/>
    <w:rsid w:val="00E3037C"/>
    <w:rsid w:val="00E3137A"/>
    <w:rsid w:val="00E32CCF"/>
    <w:rsid w:val="00E34884"/>
    <w:rsid w:val="00E34A98"/>
    <w:rsid w:val="00E35D1E"/>
    <w:rsid w:val="00E364F9"/>
    <w:rsid w:val="00E365FA"/>
    <w:rsid w:val="00E36789"/>
    <w:rsid w:val="00E40F26"/>
    <w:rsid w:val="00E44A83"/>
    <w:rsid w:val="00E502C1"/>
    <w:rsid w:val="00E502DD"/>
    <w:rsid w:val="00E50D3A"/>
    <w:rsid w:val="00E51387"/>
    <w:rsid w:val="00E519EA"/>
    <w:rsid w:val="00E51E68"/>
    <w:rsid w:val="00E52EFD"/>
    <w:rsid w:val="00E5408A"/>
    <w:rsid w:val="00E56800"/>
    <w:rsid w:val="00E57CD7"/>
    <w:rsid w:val="00E60C63"/>
    <w:rsid w:val="00E62FF9"/>
    <w:rsid w:val="00E6357B"/>
    <w:rsid w:val="00E635D6"/>
    <w:rsid w:val="00E639BC"/>
    <w:rsid w:val="00E664CC"/>
    <w:rsid w:val="00E70388"/>
    <w:rsid w:val="00E70F92"/>
    <w:rsid w:val="00E716AA"/>
    <w:rsid w:val="00E74313"/>
    <w:rsid w:val="00E74C54"/>
    <w:rsid w:val="00E76404"/>
    <w:rsid w:val="00E76887"/>
    <w:rsid w:val="00E77A03"/>
    <w:rsid w:val="00E812EF"/>
    <w:rsid w:val="00E822E8"/>
    <w:rsid w:val="00E82554"/>
    <w:rsid w:val="00E82606"/>
    <w:rsid w:val="00E831C1"/>
    <w:rsid w:val="00E8390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3482"/>
    <w:rsid w:val="00EB363A"/>
    <w:rsid w:val="00EB50C0"/>
    <w:rsid w:val="00EB5EDF"/>
    <w:rsid w:val="00EB60FE"/>
    <w:rsid w:val="00EB74DB"/>
    <w:rsid w:val="00EC5256"/>
    <w:rsid w:val="00EC5359"/>
    <w:rsid w:val="00EC562A"/>
    <w:rsid w:val="00EC65DE"/>
    <w:rsid w:val="00EC69DD"/>
    <w:rsid w:val="00ED067A"/>
    <w:rsid w:val="00ED2B50"/>
    <w:rsid w:val="00EE0350"/>
    <w:rsid w:val="00EE0719"/>
    <w:rsid w:val="00EE0E80"/>
    <w:rsid w:val="00EE22FC"/>
    <w:rsid w:val="00EE613F"/>
    <w:rsid w:val="00EE682F"/>
    <w:rsid w:val="00EE7295"/>
    <w:rsid w:val="00EE7869"/>
    <w:rsid w:val="00EF054A"/>
    <w:rsid w:val="00EF3235"/>
    <w:rsid w:val="00EF7E72"/>
    <w:rsid w:val="00F024E5"/>
    <w:rsid w:val="00F05A29"/>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351C5"/>
    <w:rsid w:val="00F410BB"/>
    <w:rsid w:val="00F420D5"/>
    <w:rsid w:val="00F43406"/>
    <w:rsid w:val="00F4501B"/>
    <w:rsid w:val="00F451EA"/>
    <w:rsid w:val="00F45447"/>
    <w:rsid w:val="00F456C6"/>
    <w:rsid w:val="00F4577B"/>
    <w:rsid w:val="00F46496"/>
    <w:rsid w:val="00F474D0"/>
    <w:rsid w:val="00F50179"/>
    <w:rsid w:val="00F515EE"/>
    <w:rsid w:val="00F525EC"/>
    <w:rsid w:val="00F56511"/>
    <w:rsid w:val="00F6194E"/>
    <w:rsid w:val="00F623AC"/>
    <w:rsid w:val="00F6412A"/>
    <w:rsid w:val="00F65893"/>
    <w:rsid w:val="00F65B89"/>
    <w:rsid w:val="00F66A4A"/>
    <w:rsid w:val="00F66AC6"/>
    <w:rsid w:val="00F678AF"/>
    <w:rsid w:val="00F714D4"/>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836"/>
    <w:rsid w:val="00FB0CB9"/>
    <w:rsid w:val="00FB231D"/>
    <w:rsid w:val="00FB45F1"/>
    <w:rsid w:val="00FB4A72"/>
    <w:rsid w:val="00FB54E8"/>
    <w:rsid w:val="00FB7054"/>
    <w:rsid w:val="00FC145A"/>
    <w:rsid w:val="00FC17B7"/>
    <w:rsid w:val="00FC2CB7"/>
    <w:rsid w:val="00FC4090"/>
    <w:rsid w:val="00FC55B4"/>
    <w:rsid w:val="00FC6FEB"/>
    <w:rsid w:val="00FD00E6"/>
    <w:rsid w:val="00FD09A1"/>
    <w:rsid w:val="00FD2A7C"/>
    <w:rsid w:val="00FD59EB"/>
    <w:rsid w:val="00FD7299"/>
    <w:rsid w:val="00FE1FBE"/>
    <w:rsid w:val="00FE1FE5"/>
    <w:rsid w:val="00FE3901"/>
    <w:rsid w:val="00FE39D3"/>
    <w:rsid w:val="00FE4BCE"/>
    <w:rsid w:val="00FE54AE"/>
    <w:rsid w:val="00FE576A"/>
    <w:rsid w:val="00FE7E79"/>
    <w:rsid w:val="00FF00CC"/>
    <w:rsid w:val="00FF3E7D"/>
    <w:rsid w:val="00FF5B99"/>
    <w:rsid w:val="00FF730C"/>
    <w:rsid w:val="00FF73F4"/>
    <w:rsid w:val="00FF7763"/>
    <w:rsid w:val="00FF7CE4"/>
    <w:rsid w:val="00FF7E39"/>
    <w:rsid w:val="04CB5511"/>
    <w:rsid w:val="1112300D"/>
    <w:rsid w:val="5BD75BAE"/>
    <w:rsid w:val="69AE72E5"/>
    <w:rsid w:val="70DE23BE"/>
    <w:rsid w:val="79A315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52"/>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53"/>
    <w:semiHidden/>
    <w:unhideWhenUsed/>
    <w:qFormat/>
    <w:uiPriority w:val="99"/>
    <w:rPr>
      <w:b/>
      <w:bCs/>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9"/>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Lines="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next w:val="59"/>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34">
    <w:name w:val="一级条标题"/>
    <w:basedOn w:val="233"/>
    <w:next w:val="1"/>
    <w:qFormat/>
    <w:uiPriority w:val="0"/>
    <w:pPr>
      <w:ind w:left="210"/>
      <w:outlineLvl w:val="2"/>
    </w:pPr>
  </w:style>
  <w:style w:type="paragraph" w:customStyle="1" w:styleId="235">
    <w:name w:val="段"/>
    <w:link w:val="23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36">
    <w:name w:val="网格型1"/>
    <w:basedOn w:val="28"/>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7">
    <w:name w:val="段 Char"/>
    <w:link w:val="235"/>
    <w:qFormat/>
    <w:uiPriority w:val="0"/>
    <w:rPr>
      <w:rFonts w:ascii="宋体" w:hAnsi="Times New Roman"/>
      <w:sz w:val="21"/>
    </w:rPr>
  </w:style>
  <w:style w:type="paragraph" w:customStyle="1" w:styleId="238">
    <w:name w:val="二级条标题"/>
    <w:basedOn w:val="234"/>
    <w:next w:val="235"/>
    <w:link w:val="251"/>
    <w:qFormat/>
    <w:uiPriority w:val="0"/>
    <w:pPr>
      <w:spacing w:before="50" w:after="50"/>
      <w:ind w:left="0"/>
      <w:jc w:val="left"/>
      <w:outlineLvl w:val="3"/>
    </w:pPr>
    <w:rPr>
      <w:szCs w:val="21"/>
    </w:rPr>
  </w:style>
  <w:style w:type="paragraph" w:customStyle="1" w:styleId="239">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40">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41">
    <w:name w:val="三级条标题"/>
    <w:basedOn w:val="238"/>
    <w:next w:val="235"/>
    <w:qFormat/>
    <w:uiPriority w:val="0"/>
    <w:pPr>
      <w:outlineLvl w:val="4"/>
    </w:pPr>
  </w:style>
  <w:style w:type="paragraph" w:customStyle="1" w:styleId="242">
    <w:name w:val="示例"/>
    <w:next w:val="1"/>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43">
    <w:name w:val="数字编号列项（二级）"/>
    <w:qFormat/>
    <w:uiPriority w:val="0"/>
    <w:pPr>
      <w:numPr>
        <w:ilvl w:val="1"/>
        <w:numId w:val="32"/>
      </w:numPr>
      <w:jc w:val="both"/>
    </w:pPr>
    <w:rPr>
      <w:rFonts w:ascii="宋体" w:hAnsi="Times New Roman" w:eastAsia="宋体" w:cs="Times New Roman"/>
      <w:sz w:val="21"/>
      <w:lang w:val="en-US" w:eastAsia="zh-CN" w:bidi="ar-SA"/>
    </w:rPr>
  </w:style>
  <w:style w:type="paragraph" w:customStyle="1" w:styleId="244">
    <w:name w:val="四级条标题"/>
    <w:basedOn w:val="241"/>
    <w:next w:val="235"/>
    <w:qFormat/>
    <w:uiPriority w:val="0"/>
    <w:pPr>
      <w:outlineLvl w:val="5"/>
    </w:pPr>
  </w:style>
  <w:style w:type="paragraph" w:customStyle="1" w:styleId="245">
    <w:name w:val="五级条标题"/>
    <w:basedOn w:val="244"/>
    <w:next w:val="235"/>
    <w:qFormat/>
    <w:uiPriority w:val="0"/>
    <w:pPr>
      <w:outlineLvl w:val="6"/>
    </w:pPr>
  </w:style>
  <w:style w:type="paragraph" w:customStyle="1" w:styleId="246">
    <w:name w:val="字母编号列项（一级）"/>
    <w:qFormat/>
    <w:uiPriority w:val="0"/>
    <w:pPr>
      <w:numPr>
        <w:ilvl w:val="0"/>
        <w:numId w:val="32"/>
      </w:numPr>
      <w:jc w:val="both"/>
    </w:pPr>
    <w:rPr>
      <w:rFonts w:ascii="宋体" w:hAnsi="Times New Roman" w:eastAsia="宋体" w:cs="Times New Roman"/>
      <w:sz w:val="21"/>
      <w:lang w:val="en-US" w:eastAsia="zh-CN" w:bidi="ar-SA"/>
    </w:rPr>
  </w:style>
  <w:style w:type="paragraph" w:customStyle="1" w:styleId="247">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248">
    <w:name w:val="编号列项（三级）"/>
    <w:qFormat/>
    <w:uiPriority w:val="0"/>
    <w:pPr>
      <w:numPr>
        <w:ilvl w:val="2"/>
        <w:numId w:val="32"/>
      </w:numPr>
    </w:pPr>
    <w:rPr>
      <w:rFonts w:ascii="宋体" w:hAnsi="Times New Roman" w:eastAsia="宋体" w:cs="Times New Roman"/>
      <w:sz w:val="21"/>
      <w:lang w:val="en-US" w:eastAsia="zh-CN" w:bidi="ar-SA"/>
    </w:rPr>
  </w:style>
  <w:style w:type="paragraph" w:customStyle="1" w:styleId="249">
    <w:name w:val="正文表标题"/>
    <w:next w:val="23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styleId="250">
    <w:name w:val="List Paragraph"/>
    <w:basedOn w:val="1"/>
    <w:qFormat/>
    <w:uiPriority w:val="1"/>
    <w:pPr>
      <w:autoSpaceDE w:val="0"/>
      <w:autoSpaceDN w:val="0"/>
      <w:adjustRightInd/>
      <w:spacing w:before="43" w:line="240" w:lineRule="auto"/>
      <w:ind w:left="1301" w:hanging="319"/>
      <w:jc w:val="left"/>
    </w:pPr>
    <w:rPr>
      <w:rFonts w:ascii="宋体" w:hAnsi="宋体" w:cs="宋体"/>
      <w:kern w:val="0"/>
      <w:sz w:val="22"/>
      <w:szCs w:val="22"/>
      <w:lang w:eastAsia="en-US" w:bidi="en-US"/>
    </w:rPr>
  </w:style>
  <w:style w:type="character" w:customStyle="1" w:styleId="251">
    <w:name w:val="二级条标题 Char"/>
    <w:link w:val="238"/>
    <w:qFormat/>
    <w:uiPriority w:val="0"/>
    <w:rPr>
      <w:rFonts w:ascii="黑体" w:hAnsi="Times New Roman" w:eastAsia="黑体"/>
      <w:sz w:val="21"/>
      <w:szCs w:val="21"/>
    </w:rPr>
  </w:style>
  <w:style w:type="character" w:customStyle="1" w:styleId="252">
    <w:name w:val="批注文字 字符"/>
    <w:basedOn w:val="30"/>
    <w:link w:val="13"/>
    <w:semiHidden/>
    <w:qFormat/>
    <w:uiPriority w:val="99"/>
    <w:rPr>
      <w:kern w:val="2"/>
      <w:sz w:val="21"/>
      <w:szCs w:val="21"/>
    </w:rPr>
  </w:style>
  <w:style w:type="character" w:customStyle="1" w:styleId="253">
    <w:name w:val="批注主题 字符"/>
    <w:basedOn w:val="252"/>
    <w:link w:val="27"/>
    <w:semiHidden/>
    <w:qFormat/>
    <w:uiPriority w:val="99"/>
    <w:rPr>
      <w:b/>
      <w:bCs/>
      <w:kern w:val="2"/>
      <w:sz w:val="21"/>
      <w:szCs w:val="21"/>
    </w:rPr>
  </w:style>
  <w:style w:type="paragraph" w:customStyle="1" w:styleId="254">
    <w:name w:val="修订1"/>
    <w:hidden/>
    <w:semiHidden/>
    <w:qFormat/>
    <w:uiPriority w:val="99"/>
    <w:rPr>
      <w:rFonts w:ascii="Calibri" w:hAnsi="Calibri" w:eastAsia="宋体" w:cs="Times New Roman"/>
      <w:kern w:val="2"/>
      <w:sz w:val="21"/>
      <w:szCs w:val="21"/>
      <w:lang w:val="en-US" w:eastAsia="zh-CN" w:bidi="ar-SA"/>
    </w:rPr>
  </w:style>
  <w:style w:type="paragraph" w:customStyle="1" w:styleId="25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56">
    <w:name w:val="Revision"/>
    <w:hidden/>
    <w:semiHidden/>
    <w:qFormat/>
    <w:uiPriority w:val="99"/>
    <w:rPr>
      <w:rFonts w:ascii="Calibri" w:hAnsi="Calibri" w:eastAsia="宋体" w:cs="Times New Roman"/>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6F18519501E4BFCA84B12216295086C"/>
        <w:style w:val=""/>
        <w:category>
          <w:name w:val="常规"/>
          <w:gallery w:val="placeholder"/>
        </w:category>
        <w:types>
          <w:type w:val="bbPlcHdr"/>
        </w:types>
        <w:behaviors>
          <w:behavior w:val="content"/>
        </w:behaviors>
        <w:description w:val=""/>
        <w:guid w:val="{D5A47A8A-C2C5-4DCB-AC05-863E15E38047}"/>
      </w:docPartPr>
      <w:docPartBody>
        <w:p>
          <w:pPr>
            <w:pStyle w:val="5"/>
          </w:pPr>
          <w:r>
            <w:rPr>
              <w:rStyle w:val="4"/>
              <w:rFonts w:hint="eastAsia"/>
            </w:rPr>
            <w:t>单击或点击此处输入文字。</w:t>
          </w:r>
        </w:p>
      </w:docPartBody>
    </w:docPart>
    <w:docPart>
      <w:docPartPr>
        <w:name w:val="2F0529CDE6524B619D7444D5BEE5252D"/>
        <w:style w:val=""/>
        <w:category>
          <w:name w:val="常规"/>
          <w:gallery w:val="placeholder"/>
        </w:category>
        <w:types>
          <w:type w:val="bbPlcHdr"/>
        </w:types>
        <w:behaviors>
          <w:behavior w:val="content"/>
        </w:behaviors>
        <w:description w:val=""/>
        <w:guid w:val="{07CAAC91-AFA9-4DFC-AE0F-C3226D8EBD54}"/>
      </w:docPartPr>
      <w:docPartBody>
        <w:p>
          <w:pPr>
            <w:pStyle w:val="6"/>
          </w:pPr>
          <w:r>
            <w:rPr>
              <w:rStyle w:val="4"/>
              <w:rFonts w:hint="eastAsia"/>
            </w:rPr>
            <w:t>选择一项。</w:t>
          </w:r>
        </w:p>
      </w:docPartBody>
    </w:docPart>
    <w:docPart>
      <w:docPartPr>
        <w:name w:val="A1F882F7F6C745B5A94979118BB7BC41"/>
        <w:style w:val=""/>
        <w:category>
          <w:name w:val="常规"/>
          <w:gallery w:val="placeholder"/>
        </w:category>
        <w:types>
          <w:type w:val="bbPlcHdr"/>
        </w:types>
        <w:behaviors>
          <w:behavior w:val="content"/>
        </w:behaviors>
        <w:description w:val=""/>
        <w:guid w:val="{C267825D-2E8B-4922-915A-32C98D523871}"/>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1B25D8"/>
    <w:rsid w:val="00054B92"/>
    <w:rsid w:val="001448C0"/>
    <w:rsid w:val="001B25D8"/>
    <w:rsid w:val="00266B47"/>
    <w:rsid w:val="003F08B3"/>
    <w:rsid w:val="007B65E9"/>
    <w:rsid w:val="007F20AF"/>
    <w:rsid w:val="00820BC4"/>
    <w:rsid w:val="00896A47"/>
    <w:rsid w:val="009A34DC"/>
    <w:rsid w:val="00A443B2"/>
    <w:rsid w:val="00A55B90"/>
    <w:rsid w:val="00A93E8A"/>
    <w:rsid w:val="00B662A5"/>
    <w:rsid w:val="00CB4EC7"/>
    <w:rsid w:val="00CD0D63"/>
    <w:rsid w:val="00CE4BA7"/>
    <w:rsid w:val="00DF0772"/>
    <w:rsid w:val="00F53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6F18519501E4BFCA84B1221629508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F0529CDE6524B619D7444D5BEE525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1F882F7F6C745B5A94979118BB7BC4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6013</Words>
  <Characters>6961</Characters>
  <Lines>74</Lines>
  <Paragraphs>20</Paragraphs>
  <TotalTime>0</TotalTime>
  <ScaleCrop>false</ScaleCrop>
  <LinksUpToDate>false</LinksUpToDate>
  <CharactersWithSpaces>7268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2022-11-04T02:45:00Z</dcterms:created>
  <dc:creator>LENOVO</dc:creator>
  <dc:description>&lt;config cover="true" show_menu="true" version="1.0.0" doctype="SDKXY"&gt;_x000d_
&lt;/config&gt;</dc:description>
  <cp:lastModifiedBy>慧敏</cp:lastModifiedBy>
  <cp:lastPrinted>2022-10-17T02:08:00Z</cp:lastPrinted>
  <dcterms:modified xsi:type="dcterms:W3CDTF">2022-11-04T06:58:54Z</dcterms:modified>
  <dc:title>团体标准</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2052-11.1.0.12598</vt:lpwstr>
  </property>
  <property fmtid="{D5CDD505-2E9C-101B-9397-08002B2CF9AE}" pid="15" name="ICV">
    <vt:lpwstr>19A57C6C288143679A34EF5DD65BF38B</vt:lpwstr>
  </property>
</Properties>
</file>