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3227" w14:textId="77777777" w:rsidR="00CB58FB" w:rsidRDefault="00000000" w:rsidP="00CB58FB">
      <w:pPr>
        <w:spacing w:line="360" w:lineRule="auto"/>
        <w:contextualSpacing/>
        <w:jc w:val="center"/>
        <w:rPr>
          <w:b/>
          <w:sz w:val="32"/>
          <w:szCs w:val="32"/>
        </w:rPr>
      </w:pPr>
      <w:r>
        <w:rPr>
          <w:b/>
          <w:sz w:val="32"/>
          <w:szCs w:val="32"/>
        </w:rPr>
        <w:t>《</w:t>
      </w:r>
      <w:r>
        <w:rPr>
          <w:rFonts w:hint="eastAsia"/>
          <w:b/>
          <w:sz w:val="32"/>
          <w:szCs w:val="32"/>
        </w:rPr>
        <w:t>涂布镀锡或镀铬薄钢板制造</w:t>
      </w:r>
      <w:r>
        <w:rPr>
          <w:b/>
          <w:sz w:val="32"/>
          <w:szCs w:val="32"/>
        </w:rPr>
        <w:t>业</w:t>
      </w:r>
      <w:r>
        <w:rPr>
          <w:rFonts w:hint="eastAsia"/>
          <w:b/>
          <w:sz w:val="32"/>
          <w:szCs w:val="32"/>
        </w:rPr>
        <w:t>绿色</w:t>
      </w:r>
      <w:r>
        <w:rPr>
          <w:b/>
          <w:sz w:val="32"/>
          <w:szCs w:val="32"/>
        </w:rPr>
        <w:t>工厂评价要求》</w:t>
      </w:r>
    </w:p>
    <w:p w14:paraId="55477D8E" w14:textId="4DC35636" w:rsidR="00DD666C" w:rsidRDefault="00000000" w:rsidP="00CB58FB">
      <w:pPr>
        <w:spacing w:line="360" w:lineRule="auto"/>
        <w:contextualSpacing/>
        <w:jc w:val="center"/>
        <w:rPr>
          <w:b/>
          <w:sz w:val="32"/>
          <w:szCs w:val="32"/>
        </w:rPr>
      </w:pPr>
      <w:r>
        <w:rPr>
          <w:rFonts w:hint="eastAsia"/>
          <w:b/>
          <w:sz w:val="32"/>
          <w:szCs w:val="32"/>
        </w:rPr>
        <w:t>团体</w:t>
      </w:r>
      <w:r>
        <w:rPr>
          <w:b/>
          <w:sz w:val="32"/>
          <w:szCs w:val="32"/>
        </w:rPr>
        <w:t>标准编制说明</w:t>
      </w:r>
    </w:p>
    <w:p w14:paraId="32A89A16" w14:textId="77777777" w:rsidR="00DD666C" w:rsidRDefault="00000000">
      <w:pPr>
        <w:spacing w:line="360" w:lineRule="auto"/>
        <w:ind w:firstLine="482"/>
        <w:contextualSpacing/>
        <w:jc w:val="center"/>
        <w:rPr>
          <w:b/>
          <w:sz w:val="32"/>
          <w:szCs w:val="32"/>
        </w:rPr>
      </w:pPr>
      <w:r>
        <w:rPr>
          <w:rFonts w:hint="eastAsia"/>
          <w:b/>
          <w:sz w:val="28"/>
          <w:szCs w:val="28"/>
        </w:rPr>
        <w:t>（征求意见稿）</w:t>
      </w:r>
    </w:p>
    <w:p w14:paraId="092C0E3E" w14:textId="77777777" w:rsidR="00DD666C" w:rsidRDefault="00000000">
      <w:pPr>
        <w:spacing w:line="360" w:lineRule="auto"/>
        <w:contextualSpacing/>
        <w:rPr>
          <w:b/>
          <w:sz w:val="24"/>
        </w:rPr>
      </w:pPr>
      <w:r>
        <w:rPr>
          <w:b/>
          <w:sz w:val="24"/>
        </w:rPr>
        <w:t>一、工作简况</w:t>
      </w:r>
    </w:p>
    <w:p w14:paraId="7A2B289A" w14:textId="77777777" w:rsidR="00DD666C" w:rsidRDefault="00000000">
      <w:pPr>
        <w:spacing w:line="360" w:lineRule="auto"/>
        <w:ind w:firstLineChars="100" w:firstLine="241"/>
        <w:contextualSpacing/>
        <w:rPr>
          <w:b/>
          <w:sz w:val="24"/>
        </w:rPr>
      </w:pPr>
      <w:r>
        <w:rPr>
          <w:b/>
          <w:sz w:val="24"/>
        </w:rPr>
        <w:t>1</w:t>
      </w:r>
      <w:r>
        <w:rPr>
          <w:b/>
          <w:sz w:val="24"/>
        </w:rPr>
        <w:t>、任务来源</w:t>
      </w:r>
    </w:p>
    <w:p w14:paraId="64C1921B" w14:textId="77777777" w:rsidR="00DD666C" w:rsidRPr="00DF16D2" w:rsidRDefault="00000000">
      <w:pPr>
        <w:spacing w:line="360" w:lineRule="auto"/>
        <w:ind w:firstLine="480"/>
        <w:contextualSpacing/>
        <w:rPr>
          <w:sz w:val="24"/>
        </w:rPr>
      </w:pPr>
      <w:r w:rsidRPr="00DF16D2">
        <w:rPr>
          <w:sz w:val="24"/>
        </w:rPr>
        <w:t>2016</w:t>
      </w:r>
      <w:r w:rsidRPr="00DF16D2">
        <w:rPr>
          <w:sz w:val="24"/>
        </w:rPr>
        <w:t>年</w:t>
      </w:r>
      <w:r w:rsidRPr="00DF16D2">
        <w:rPr>
          <w:sz w:val="24"/>
        </w:rPr>
        <w:t>11</w:t>
      </w:r>
      <w:r w:rsidRPr="00DF16D2">
        <w:rPr>
          <w:sz w:val="24"/>
        </w:rPr>
        <w:t>月，国务院办公厅发布《关于建立统一的绿色产品标准、认证、标识体系的意见》（国办发〔</w:t>
      </w:r>
      <w:r w:rsidRPr="00DF16D2">
        <w:rPr>
          <w:sz w:val="24"/>
        </w:rPr>
        <w:t>2016</w:t>
      </w:r>
      <w:r w:rsidRPr="00DF16D2">
        <w:rPr>
          <w:sz w:val="24"/>
        </w:rPr>
        <w:t>〕</w:t>
      </w:r>
      <w:r w:rsidRPr="00DF16D2">
        <w:rPr>
          <w:sz w:val="24"/>
        </w:rPr>
        <w:t>86</w:t>
      </w:r>
      <w:r w:rsidRPr="00DF16D2">
        <w:rPr>
          <w:sz w:val="24"/>
        </w:rPr>
        <w:t>号），提出开展绿色产品标准体系顶层设计和系统规划，编制绿色产品标准体系框架和标准明细表，研究制定绿色产品评价标准。</w:t>
      </w:r>
    </w:p>
    <w:p w14:paraId="710F00E1" w14:textId="63A1D8AD" w:rsidR="00DD666C" w:rsidRPr="00DF16D2" w:rsidRDefault="00000000">
      <w:pPr>
        <w:spacing w:line="360" w:lineRule="auto"/>
        <w:ind w:firstLine="480"/>
        <w:contextualSpacing/>
        <w:rPr>
          <w:sz w:val="24"/>
        </w:rPr>
      </w:pPr>
      <w:r w:rsidRPr="00DF16D2">
        <w:rPr>
          <w:sz w:val="24"/>
        </w:rPr>
        <w:t>根据</w:t>
      </w:r>
      <w:r w:rsidRPr="00DF16D2">
        <w:rPr>
          <w:sz w:val="24"/>
        </w:rPr>
        <w:t>2021</w:t>
      </w:r>
      <w:r w:rsidRPr="00DF16D2">
        <w:rPr>
          <w:sz w:val="24"/>
        </w:rPr>
        <w:t>年中国轻工联合会团体标准计划（中轻联综合〔</w:t>
      </w:r>
      <w:r w:rsidRPr="00DF16D2">
        <w:rPr>
          <w:sz w:val="24"/>
        </w:rPr>
        <w:t>2021</w:t>
      </w:r>
      <w:r w:rsidRPr="00DF16D2">
        <w:rPr>
          <w:sz w:val="24"/>
        </w:rPr>
        <w:t>〕</w:t>
      </w:r>
      <w:r w:rsidRPr="00DF16D2">
        <w:rPr>
          <w:sz w:val="24"/>
        </w:rPr>
        <w:t>155</w:t>
      </w:r>
      <w:r w:rsidRPr="00DF16D2">
        <w:rPr>
          <w:sz w:val="24"/>
        </w:rPr>
        <w:t>号），《涂布镀锡或镀铬薄钢板制造业绿色工厂评价要求》（计划号：</w:t>
      </w:r>
      <w:r w:rsidRPr="00DF16D2">
        <w:rPr>
          <w:sz w:val="24"/>
        </w:rPr>
        <w:t>2021025</w:t>
      </w:r>
      <w:r w:rsidRPr="00DF16D2">
        <w:rPr>
          <w:sz w:val="24"/>
        </w:rPr>
        <w:t>）团体标准被列入制定计划。归口单位为中国轻工联合会，主要起草单位包括</w:t>
      </w:r>
      <w:r w:rsidR="00DF42C7" w:rsidRPr="00DF16D2">
        <w:rPr>
          <w:sz w:val="24"/>
        </w:rPr>
        <w:t>浙江金马包装材料有限公司、苏州华源控股股份有限公司、奥瑞金科技股份有限公司、中国食品发酵工业研究院有限公司等</w:t>
      </w:r>
      <w:r w:rsidRPr="00DF16D2">
        <w:rPr>
          <w:sz w:val="24"/>
        </w:rPr>
        <w:t>。</w:t>
      </w:r>
    </w:p>
    <w:p w14:paraId="67A1A73B" w14:textId="77777777" w:rsidR="00DD666C" w:rsidRDefault="00000000">
      <w:pPr>
        <w:spacing w:line="360" w:lineRule="auto"/>
        <w:ind w:firstLineChars="196" w:firstLine="472"/>
        <w:contextualSpacing/>
        <w:rPr>
          <w:b/>
          <w:sz w:val="24"/>
        </w:rPr>
      </w:pPr>
      <w:r>
        <w:rPr>
          <w:b/>
          <w:sz w:val="24"/>
        </w:rPr>
        <w:t>2</w:t>
      </w:r>
      <w:r>
        <w:rPr>
          <w:b/>
          <w:sz w:val="24"/>
        </w:rPr>
        <w:t>、主要工作过程</w:t>
      </w:r>
    </w:p>
    <w:p w14:paraId="3F996710" w14:textId="77777777" w:rsidR="00DD666C" w:rsidRDefault="00000000">
      <w:pPr>
        <w:spacing w:line="360" w:lineRule="auto"/>
        <w:ind w:firstLine="480"/>
        <w:contextualSpacing/>
        <w:rPr>
          <w:sz w:val="24"/>
        </w:rPr>
      </w:pPr>
      <w:r>
        <w:rPr>
          <w:sz w:val="24"/>
        </w:rPr>
        <w:t>1</w:t>
      </w:r>
      <w:r>
        <w:rPr>
          <w:rFonts w:hint="eastAsia"/>
          <w:sz w:val="24"/>
        </w:rPr>
        <w:t>）预研阶段</w:t>
      </w:r>
    </w:p>
    <w:p w14:paraId="7B13A87A" w14:textId="77777777" w:rsidR="00DD666C" w:rsidRDefault="00000000">
      <w:pPr>
        <w:spacing w:line="360" w:lineRule="auto"/>
        <w:ind w:firstLine="480"/>
        <w:contextualSpacing/>
        <w:rPr>
          <w:sz w:val="24"/>
        </w:rPr>
      </w:pPr>
      <w:r>
        <w:rPr>
          <w:rFonts w:hint="eastAsia"/>
          <w:sz w:val="24"/>
        </w:rPr>
        <w:t>根据第二次全国污染源普查调研数据，并结合《工业绿色发展规划（</w:t>
      </w:r>
      <w:r>
        <w:rPr>
          <w:rFonts w:hint="eastAsia"/>
          <w:sz w:val="24"/>
        </w:rPr>
        <w:t xml:space="preserve">2016-2020 </w:t>
      </w:r>
      <w:r>
        <w:rPr>
          <w:rFonts w:hint="eastAsia"/>
          <w:sz w:val="24"/>
        </w:rPr>
        <w:t>年）》以及</w:t>
      </w:r>
      <w:r>
        <w:rPr>
          <w:sz w:val="24"/>
        </w:rPr>
        <w:t>2017</w:t>
      </w:r>
      <w:r>
        <w:rPr>
          <w:sz w:val="24"/>
        </w:rPr>
        <w:t>年</w:t>
      </w:r>
      <w:r>
        <w:rPr>
          <w:rFonts w:hint="eastAsia"/>
          <w:sz w:val="24"/>
        </w:rPr>
        <w:t>发布的</w:t>
      </w:r>
      <w:r>
        <w:rPr>
          <w:sz w:val="24"/>
        </w:rPr>
        <w:t>《绿色产品评价通则》国家标准</w:t>
      </w:r>
      <w:r>
        <w:rPr>
          <w:rFonts w:hint="eastAsia"/>
          <w:sz w:val="24"/>
        </w:rPr>
        <w:t>，制定罐头行业</w:t>
      </w:r>
      <w:r>
        <w:rPr>
          <w:sz w:val="24"/>
        </w:rPr>
        <w:t>绿色产品评价标准体系。</w:t>
      </w:r>
      <w:r>
        <w:rPr>
          <w:rFonts w:hint="eastAsia"/>
          <w:sz w:val="24"/>
        </w:rPr>
        <w:t>涂布镀锡或镀铬薄钢板作</w:t>
      </w:r>
      <w:r>
        <w:rPr>
          <w:sz w:val="24"/>
        </w:rPr>
        <w:t>为</w:t>
      </w:r>
      <w:r>
        <w:rPr>
          <w:rFonts w:hint="eastAsia"/>
          <w:sz w:val="24"/>
        </w:rPr>
        <w:t>罐头食品</w:t>
      </w:r>
      <w:r>
        <w:rPr>
          <w:sz w:val="24"/>
        </w:rPr>
        <w:t>金属</w:t>
      </w:r>
      <w:r>
        <w:rPr>
          <w:rFonts w:hint="eastAsia"/>
          <w:sz w:val="24"/>
        </w:rPr>
        <w:t>包装</w:t>
      </w:r>
      <w:r>
        <w:rPr>
          <w:sz w:val="24"/>
        </w:rPr>
        <w:t>的主要部件，推行绿色制造，推广清洁高效生产工艺，降低产品制造能耗、物耗，提升终端用能产品能效</w:t>
      </w:r>
      <w:r>
        <w:rPr>
          <w:rFonts w:hint="eastAsia"/>
          <w:sz w:val="24"/>
        </w:rPr>
        <w:t>，</w:t>
      </w:r>
      <w:r>
        <w:rPr>
          <w:sz w:val="24"/>
        </w:rPr>
        <w:t>加快建立统一的绿色产品标准、认证、标识体系</w:t>
      </w:r>
      <w:r>
        <w:rPr>
          <w:rFonts w:hint="eastAsia"/>
          <w:sz w:val="24"/>
        </w:rPr>
        <w:t>尤为重要。</w:t>
      </w:r>
    </w:p>
    <w:p w14:paraId="3C333E17" w14:textId="77777777" w:rsidR="00DD666C" w:rsidRDefault="00000000">
      <w:pPr>
        <w:spacing w:line="360" w:lineRule="auto"/>
        <w:ind w:firstLine="480"/>
        <w:contextualSpacing/>
        <w:rPr>
          <w:sz w:val="24"/>
        </w:rPr>
      </w:pPr>
      <w:r>
        <w:rPr>
          <w:rFonts w:hint="eastAsia"/>
          <w:sz w:val="24"/>
        </w:rPr>
        <w:t>2</w:t>
      </w:r>
      <w:r>
        <w:rPr>
          <w:rFonts w:hint="eastAsia"/>
          <w:sz w:val="24"/>
        </w:rPr>
        <w:t>）起草阶段</w:t>
      </w:r>
    </w:p>
    <w:p w14:paraId="14E1D63E" w14:textId="77777777" w:rsidR="00DD666C" w:rsidRDefault="00000000">
      <w:pPr>
        <w:spacing w:line="440" w:lineRule="exact"/>
        <w:ind w:firstLineChars="200" w:firstLine="480"/>
        <w:rPr>
          <w:kern w:val="0"/>
          <w:sz w:val="24"/>
        </w:rPr>
      </w:pPr>
      <w:r>
        <w:rPr>
          <w:rFonts w:hint="eastAsia"/>
          <w:sz w:val="24"/>
        </w:rPr>
        <w:t>标准立项后，</w:t>
      </w:r>
      <w:r>
        <w:rPr>
          <w:sz w:val="24"/>
        </w:rPr>
        <w:t>2021</w:t>
      </w:r>
      <w:r>
        <w:rPr>
          <w:rFonts w:hint="eastAsia"/>
          <w:sz w:val="24"/>
        </w:rPr>
        <w:t>年</w:t>
      </w:r>
      <w:r>
        <w:rPr>
          <w:sz w:val="24"/>
        </w:rPr>
        <w:t>9</w:t>
      </w:r>
      <w:r>
        <w:rPr>
          <w:rFonts w:hint="eastAsia"/>
          <w:sz w:val="24"/>
        </w:rPr>
        <w:t>月，由牵头单位中国食品</w:t>
      </w:r>
      <w:r>
        <w:rPr>
          <w:sz w:val="24"/>
        </w:rPr>
        <w:t>发</w:t>
      </w:r>
      <w:r>
        <w:rPr>
          <w:rFonts w:hint="eastAsia"/>
          <w:sz w:val="24"/>
        </w:rPr>
        <w:t>酵</w:t>
      </w:r>
      <w:r>
        <w:rPr>
          <w:sz w:val="24"/>
        </w:rPr>
        <w:t>研究院有限公司</w:t>
      </w:r>
      <w:r>
        <w:rPr>
          <w:rFonts w:hint="eastAsia"/>
          <w:sz w:val="24"/>
        </w:rPr>
        <w:t>采取线上</w:t>
      </w:r>
      <w:r>
        <w:rPr>
          <w:rFonts w:hint="eastAsia"/>
          <w:sz w:val="24"/>
        </w:rPr>
        <w:t>+</w:t>
      </w:r>
      <w:r>
        <w:rPr>
          <w:rFonts w:hint="eastAsia"/>
          <w:sz w:val="24"/>
        </w:rPr>
        <w:t>线下形式组织召开了《涂布镀锡或镀铬薄钢板制造业绿色工厂评价要求》团体标准第一次起草工作会议，会议主要确定了标准制定思路，工作计划安排，时间节点及任务分工。</w:t>
      </w:r>
      <w:r>
        <w:rPr>
          <w:rFonts w:hint="eastAsia"/>
          <w:kern w:val="0"/>
          <w:sz w:val="24"/>
        </w:rPr>
        <w:t>同时，与会代表对标准征求意见讨论稿进行了深入讨论，提出多项修改意见和建议。会后工作组就不完善的数据进行了进一步的调研，并完善标准文本和标准说明，形成征求意见稿。</w:t>
      </w:r>
    </w:p>
    <w:p w14:paraId="36E4D2DA" w14:textId="3AD915E4" w:rsidR="00DD666C" w:rsidRPr="004B5FF2" w:rsidRDefault="004B5FF2" w:rsidP="004B5FF2">
      <w:pPr>
        <w:spacing w:line="360" w:lineRule="auto"/>
        <w:ind w:firstLine="480"/>
        <w:contextualSpacing/>
        <w:rPr>
          <w:sz w:val="24"/>
        </w:rPr>
      </w:pPr>
      <w:r>
        <w:rPr>
          <w:rFonts w:hint="eastAsia"/>
          <w:sz w:val="24"/>
        </w:rPr>
        <w:t>3</w:t>
      </w:r>
      <w:r>
        <w:rPr>
          <w:rFonts w:hint="eastAsia"/>
          <w:sz w:val="24"/>
        </w:rPr>
        <w:t>）</w:t>
      </w:r>
      <w:r w:rsidR="00000000" w:rsidRPr="004B5FF2">
        <w:rPr>
          <w:rFonts w:hint="eastAsia"/>
          <w:sz w:val="24"/>
        </w:rPr>
        <w:t>征求意见阶段</w:t>
      </w:r>
    </w:p>
    <w:p w14:paraId="0379D63B" w14:textId="14D3B5BF" w:rsidR="00DD666C" w:rsidRPr="004B5FF2" w:rsidRDefault="004B5FF2" w:rsidP="004B5FF2">
      <w:pPr>
        <w:spacing w:line="360" w:lineRule="auto"/>
        <w:ind w:firstLine="480"/>
        <w:contextualSpacing/>
        <w:rPr>
          <w:rFonts w:hint="eastAsia"/>
          <w:sz w:val="24"/>
        </w:rPr>
      </w:pPr>
      <w:bookmarkStart w:id="0" w:name="_Toc23770160"/>
      <w:r>
        <w:rPr>
          <w:rFonts w:hint="eastAsia"/>
          <w:sz w:val="24"/>
        </w:rPr>
        <w:lastRenderedPageBreak/>
        <w:t>4</w:t>
      </w:r>
      <w:r>
        <w:rPr>
          <w:rFonts w:hint="eastAsia"/>
          <w:sz w:val="24"/>
        </w:rPr>
        <w:t>）</w:t>
      </w:r>
      <w:r w:rsidR="00000000" w:rsidRPr="004B5FF2">
        <w:rPr>
          <w:sz w:val="24"/>
        </w:rPr>
        <w:t>审查阶段</w:t>
      </w:r>
    </w:p>
    <w:p w14:paraId="741C5186" w14:textId="18F02087" w:rsidR="00DD666C" w:rsidRPr="004B5FF2" w:rsidRDefault="004B5FF2" w:rsidP="004B5FF2">
      <w:pPr>
        <w:spacing w:line="360" w:lineRule="auto"/>
        <w:ind w:firstLine="480"/>
        <w:contextualSpacing/>
        <w:rPr>
          <w:rFonts w:hint="eastAsia"/>
          <w:sz w:val="24"/>
        </w:rPr>
      </w:pPr>
      <w:r>
        <w:rPr>
          <w:rFonts w:hint="eastAsia"/>
          <w:sz w:val="24"/>
        </w:rPr>
        <w:t>5</w:t>
      </w:r>
      <w:r>
        <w:rPr>
          <w:rFonts w:hint="eastAsia"/>
          <w:sz w:val="24"/>
        </w:rPr>
        <w:t>）</w:t>
      </w:r>
      <w:r w:rsidR="00000000" w:rsidRPr="004B5FF2">
        <w:rPr>
          <w:sz w:val="24"/>
        </w:rPr>
        <w:t>报批阶段</w:t>
      </w:r>
    </w:p>
    <w:p w14:paraId="7D707571" w14:textId="77777777" w:rsidR="00DD666C" w:rsidRDefault="00000000">
      <w:pPr>
        <w:spacing w:line="360" w:lineRule="auto"/>
        <w:ind w:firstLineChars="200" w:firstLine="482"/>
        <w:contextualSpacing/>
        <w:rPr>
          <w:b/>
          <w:sz w:val="24"/>
        </w:rPr>
      </w:pPr>
      <w:r>
        <w:rPr>
          <w:b/>
          <w:sz w:val="24"/>
        </w:rPr>
        <w:t>3</w:t>
      </w:r>
      <w:r>
        <w:rPr>
          <w:b/>
          <w:sz w:val="24"/>
        </w:rPr>
        <w:t>、主要起草单位及起草人所做的工作</w:t>
      </w:r>
    </w:p>
    <w:p w14:paraId="5E566251" w14:textId="5A88C422" w:rsidR="00DD666C" w:rsidRPr="00DF42C7" w:rsidRDefault="00000000">
      <w:pPr>
        <w:spacing w:line="360" w:lineRule="auto"/>
        <w:ind w:firstLineChars="196" w:firstLine="470"/>
        <w:contextualSpacing/>
        <w:rPr>
          <w:sz w:val="24"/>
        </w:rPr>
      </w:pPr>
      <w:bookmarkStart w:id="1" w:name="_Hlk57290058"/>
      <w:r>
        <w:rPr>
          <w:rFonts w:hint="eastAsia"/>
          <w:sz w:val="24"/>
        </w:rPr>
        <w:t>本标准</w:t>
      </w:r>
      <w:r w:rsidR="003B5BC8" w:rsidRPr="003B5BC8">
        <w:rPr>
          <w:rFonts w:hint="eastAsia"/>
          <w:sz w:val="24"/>
        </w:rPr>
        <w:t>要单位成员包括</w:t>
      </w:r>
      <w:r w:rsidR="003B5BC8" w:rsidRPr="003B5BC8">
        <w:rPr>
          <w:rFonts w:hint="eastAsia"/>
          <w:sz w:val="24"/>
        </w:rPr>
        <w:t>XXX</w:t>
      </w:r>
      <w:r w:rsidRPr="00DF42C7">
        <w:rPr>
          <w:rFonts w:hint="eastAsia"/>
          <w:sz w:val="24"/>
        </w:rPr>
        <w:t>。</w:t>
      </w:r>
    </w:p>
    <w:p w14:paraId="3306976A" w14:textId="7A171D5B" w:rsidR="00DD666C" w:rsidRDefault="00000000">
      <w:pPr>
        <w:spacing w:line="360" w:lineRule="auto"/>
        <w:ind w:firstLineChars="196" w:firstLine="470"/>
        <w:contextualSpacing/>
        <w:rPr>
          <w:sz w:val="24"/>
        </w:rPr>
      </w:pPr>
      <w:r>
        <w:rPr>
          <w:rFonts w:hint="eastAsia"/>
          <w:sz w:val="24"/>
        </w:rPr>
        <w:t>主要成员：</w:t>
      </w:r>
      <w:r w:rsidR="003B5BC8" w:rsidRPr="003B5BC8">
        <w:rPr>
          <w:rFonts w:hint="eastAsia"/>
          <w:sz w:val="24"/>
        </w:rPr>
        <w:t>XXX</w:t>
      </w:r>
      <w:r>
        <w:rPr>
          <w:rFonts w:hint="eastAsia"/>
          <w:sz w:val="24"/>
        </w:rPr>
        <w:t>。</w:t>
      </w:r>
    </w:p>
    <w:p w14:paraId="1EEB9D1E" w14:textId="7D11BC03" w:rsidR="00DD666C" w:rsidRDefault="00000000">
      <w:pPr>
        <w:spacing w:line="360" w:lineRule="auto"/>
        <w:ind w:firstLineChars="200" w:firstLine="480"/>
        <w:contextualSpacing/>
        <w:rPr>
          <w:b/>
          <w:sz w:val="24"/>
        </w:rPr>
      </w:pPr>
      <w:r>
        <w:rPr>
          <w:rFonts w:hint="eastAsia"/>
          <w:sz w:val="24"/>
        </w:rPr>
        <w:t>所做的工作：</w:t>
      </w:r>
      <w:r w:rsidR="003B5BC8" w:rsidRPr="003B5BC8">
        <w:rPr>
          <w:rFonts w:hint="eastAsia"/>
          <w:sz w:val="24"/>
        </w:rPr>
        <w:t>XXX</w:t>
      </w:r>
      <w:r>
        <w:rPr>
          <w:rFonts w:hint="eastAsia"/>
          <w:sz w:val="24"/>
        </w:rPr>
        <w:t>负责全面协调工作。</w:t>
      </w:r>
      <w:r w:rsidR="003B5BC8" w:rsidRPr="003B5BC8">
        <w:rPr>
          <w:rFonts w:hint="eastAsia"/>
          <w:sz w:val="24"/>
        </w:rPr>
        <w:t>XXX</w:t>
      </w:r>
      <w:r>
        <w:rPr>
          <w:rFonts w:hint="eastAsia"/>
          <w:sz w:val="24"/>
        </w:rPr>
        <w:t>负责本标准的起草、编写以及收集、分析国内外相关技术文献和资料，并对生产现状和发展情况进行了全面调研，对各方面的意见及建议进行归纳、分析等工作。</w:t>
      </w:r>
      <w:bookmarkEnd w:id="1"/>
    </w:p>
    <w:bookmarkEnd w:id="0"/>
    <w:p w14:paraId="4FF7590C" w14:textId="77777777" w:rsidR="00DD666C" w:rsidRDefault="00000000">
      <w:pPr>
        <w:spacing w:line="360" w:lineRule="auto"/>
        <w:contextualSpacing/>
        <w:rPr>
          <w:b/>
          <w:sz w:val="24"/>
        </w:rPr>
      </w:pPr>
      <w:r>
        <w:rPr>
          <w:b/>
          <w:sz w:val="24"/>
        </w:rPr>
        <w:t>二、标准编制原则</w:t>
      </w:r>
      <w:r>
        <w:rPr>
          <w:rFonts w:hint="eastAsia"/>
          <w:b/>
          <w:sz w:val="24"/>
        </w:rPr>
        <w:t>和主要内容</w:t>
      </w:r>
    </w:p>
    <w:p w14:paraId="5F1FF055" w14:textId="77777777" w:rsidR="00DD666C" w:rsidRDefault="00000000">
      <w:pPr>
        <w:spacing w:line="360" w:lineRule="auto"/>
        <w:ind w:firstLineChars="200" w:firstLine="482"/>
        <w:contextualSpacing/>
        <w:rPr>
          <w:b/>
          <w:sz w:val="24"/>
        </w:rPr>
      </w:pPr>
      <w:r>
        <w:rPr>
          <w:rFonts w:hint="eastAsia"/>
          <w:b/>
          <w:sz w:val="24"/>
        </w:rPr>
        <w:t>1</w:t>
      </w:r>
      <w:r>
        <w:rPr>
          <w:b/>
          <w:sz w:val="24"/>
        </w:rPr>
        <w:t>、编制原则</w:t>
      </w:r>
    </w:p>
    <w:p w14:paraId="6753D7F3" w14:textId="71D93E05" w:rsidR="00DD666C" w:rsidRDefault="00000000" w:rsidP="009E043B">
      <w:pPr>
        <w:autoSpaceDE w:val="0"/>
        <w:autoSpaceDN w:val="0"/>
        <w:adjustRightInd w:val="0"/>
        <w:spacing w:line="440" w:lineRule="exact"/>
        <w:ind w:firstLineChars="200" w:firstLine="480"/>
        <w:rPr>
          <w:kern w:val="0"/>
          <w:sz w:val="24"/>
        </w:rPr>
      </w:pPr>
      <w:r>
        <w:rPr>
          <w:rFonts w:hint="eastAsia"/>
          <w:kern w:val="0"/>
          <w:sz w:val="24"/>
        </w:rPr>
        <w:t>2016</w:t>
      </w:r>
      <w:r>
        <w:rPr>
          <w:rFonts w:hint="eastAsia"/>
          <w:kern w:val="0"/>
          <w:sz w:val="24"/>
        </w:rPr>
        <w:t>年</w:t>
      </w:r>
      <w:r>
        <w:rPr>
          <w:rFonts w:hint="eastAsia"/>
          <w:kern w:val="0"/>
          <w:sz w:val="24"/>
        </w:rPr>
        <w:t>9</w:t>
      </w:r>
      <w:r>
        <w:rPr>
          <w:rFonts w:hint="eastAsia"/>
          <w:kern w:val="0"/>
          <w:sz w:val="24"/>
        </w:rPr>
        <w:t>月</w:t>
      </w:r>
      <w:r>
        <w:rPr>
          <w:rFonts w:hint="eastAsia"/>
          <w:kern w:val="0"/>
          <w:sz w:val="24"/>
        </w:rPr>
        <w:t>7</w:t>
      </w:r>
      <w:r>
        <w:rPr>
          <w:rFonts w:hint="eastAsia"/>
          <w:kern w:val="0"/>
          <w:sz w:val="24"/>
        </w:rPr>
        <w:t>日，</w:t>
      </w:r>
      <w:r>
        <w:rPr>
          <w:kern w:val="0"/>
          <w:sz w:val="24"/>
        </w:rPr>
        <w:t>工业和信息化部、国家标准化管理委员会组织颁布了《绿色制造标准体系建设指南》（工信部联节</w:t>
      </w:r>
      <w:r>
        <w:rPr>
          <w:rFonts w:ascii="宋体" w:hAnsi="宋体" w:hint="eastAsia"/>
          <w:sz w:val="24"/>
        </w:rPr>
        <w:t>〔</w:t>
      </w:r>
      <w:r>
        <w:rPr>
          <w:rFonts w:hint="eastAsia"/>
          <w:sz w:val="24"/>
        </w:rPr>
        <w:t>20</w:t>
      </w:r>
      <w:r>
        <w:rPr>
          <w:sz w:val="24"/>
        </w:rPr>
        <w:t>16</w:t>
      </w:r>
      <w:r>
        <w:rPr>
          <w:rFonts w:ascii="宋体" w:hAnsi="宋体" w:hint="eastAsia"/>
          <w:sz w:val="24"/>
        </w:rPr>
        <w:t>〕</w:t>
      </w:r>
      <w:r>
        <w:rPr>
          <w:kern w:val="0"/>
          <w:sz w:val="24"/>
        </w:rPr>
        <w:t>304</w:t>
      </w:r>
      <w:r>
        <w:rPr>
          <w:kern w:val="0"/>
          <w:sz w:val="24"/>
        </w:rPr>
        <w:t>号）</w:t>
      </w:r>
      <w:r>
        <w:rPr>
          <w:rFonts w:hint="eastAsia"/>
          <w:kern w:val="0"/>
          <w:sz w:val="24"/>
        </w:rPr>
        <w:t>，其中要求考虑工厂生产运行的资源消耗和环境排放，按照工厂生产业务流程建设子体系，主要包括绿色工厂规划、资源节约、能源节约、清洁生产、废物利用、温室气体和污染物排放等方面的标准。同年</w:t>
      </w:r>
      <w:r>
        <w:rPr>
          <w:rFonts w:hint="eastAsia"/>
          <w:kern w:val="0"/>
          <w:sz w:val="24"/>
        </w:rPr>
        <w:t>9</w:t>
      </w:r>
      <w:r>
        <w:rPr>
          <w:rFonts w:hint="eastAsia"/>
          <w:kern w:val="0"/>
          <w:sz w:val="24"/>
        </w:rPr>
        <w:t>月</w:t>
      </w:r>
      <w:r>
        <w:rPr>
          <w:rFonts w:hint="eastAsia"/>
          <w:kern w:val="0"/>
          <w:sz w:val="24"/>
        </w:rPr>
        <w:t>20</w:t>
      </w:r>
      <w:r>
        <w:rPr>
          <w:rFonts w:hint="eastAsia"/>
          <w:kern w:val="0"/>
          <w:sz w:val="24"/>
        </w:rPr>
        <w:t>日，</w:t>
      </w:r>
      <w:r>
        <w:rPr>
          <w:kern w:val="0"/>
          <w:sz w:val="24"/>
        </w:rPr>
        <w:t>工信部发布了《工业和信息化部办公厅关于开展绿色制造体系建设的通知》（工信厅节函</w:t>
      </w:r>
      <w:r>
        <w:rPr>
          <w:rFonts w:ascii="宋体" w:hAnsi="宋体" w:hint="eastAsia"/>
          <w:sz w:val="24"/>
        </w:rPr>
        <w:t>〔</w:t>
      </w:r>
      <w:r>
        <w:rPr>
          <w:rFonts w:hint="eastAsia"/>
          <w:sz w:val="24"/>
        </w:rPr>
        <w:t>20</w:t>
      </w:r>
      <w:r>
        <w:rPr>
          <w:sz w:val="24"/>
        </w:rPr>
        <w:t>16</w:t>
      </w:r>
      <w:r>
        <w:rPr>
          <w:rFonts w:ascii="宋体" w:hAnsi="宋体" w:hint="eastAsia"/>
          <w:sz w:val="24"/>
        </w:rPr>
        <w:t>〕</w:t>
      </w:r>
      <w:r>
        <w:rPr>
          <w:kern w:val="0"/>
          <w:sz w:val="24"/>
        </w:rPr>
        <w:t>586</w:t>
      </w:r>
      <w:r>
        <w:rPr>
          <w:kern w:val="0"/>
          <w:sz w:val="24"/>
        </w:rPr>
        <w:t>号），</w:t>
      </w:r>
      <w:r>
        <w:rPr>
          <w:rFonts w:hint="eastAsia"/>
          <w:kern w:val="0"/>
          <w:sz w:val="24"/>
        </w:rPr>
        <w:t>绿色工厂是制造业的生产单元，是绿色制造的实施主体，属于绿色制造体系的核心支撑单元，侧重于生产过程的绿色化。</w:t>
      </w:r>
      <w:r>
        <w:rPr>
          <w:rFonts w:hint="eastAsia"/>
          <w:kern w:val="0"/>
          <w:sz w:val="24"/>
        </w:rPr>
        <w:t>2018</w:t>
      </w:r>
      <w:r>
        <w:rPr>
          <w:rFonts w:hint="eastAsia"/>
          <w:kern w:val="0"/>
          <w:sz w:val="24"/>
        </w:rPr>
        <w:t>年</w:t>
      </w:r>
      <w:r>
        <w:rPr>
          <w:rFonts w:hint="eastAsia"/>
          <w:kern w:val="0"/>
          <w:sz w:val="24"/>
        </w:rPr>
        <w:t>5</w:t>
      </w:r>
      <w:r>
        <w:rPr>
          <w:rFonts w:hint="eastAsia"/>
          <w:kern w:val="0"/>
          <w:sz w:val="24"/>
        </w:rPr>
        <w:t>月</w:t>
      </w:r>
      <w:r>
        <w:rPr>
          <w:rFonts w:hint="eastAsia"/>
          <w:kern w:val="0"/>
          <w:sz w:val="24"/>
        </w:rPr>
        <w:t>18</w:t>
      </w:r>
      <w:r>
        <w:rPr>
          <w:rFonts w:hint="eastAsia"/>
          <w:kern w:val="0"/>
          <w:sz w:val="24"/>
        </w:rPr>
        <w:t>日，工信部发布了《绿色工厂评价通则》（</w:t>
      </w:r>
      <w:r>
        <w:rPr>
          <w:rFonts w:hint="eastAsia"/>
          <w:kern w:val="0"/>
          <w:sz w:val="24"/>
        </w:rPr>
        <w:t>GB/T 36132</w:t>
      </w:r>
      <w:r w:rsidR="006E7C07">
        <w:rPr>
          <w:rFonts w:hint="eastAsia"/>
          <w:kern w:val="0"/>
          <w:sz w:val="24"/>
        </w:rPr>
        <w:t>—</w:t>
      </w:r>
      <w:r>
        <w:rPr>
          <w:rFonts w:hint="eastAsia"/>
          <w:kern w:val="0"/>
          <w:sz w:val="24"/>
        </w:rPr>
        <w:t>2018</w:t>
      </w:r>
      <w:r>
        <w:rPr>
          <w:rFonts w:hint="eastAsia"/>
          <w:kern w:val="0"/>
          <w:sz w:val="24"/>
        </w:rPr>
        <w:t>）。该标准明确了绿色工厂术语定义，从基本要求、基础设施、管理体系、能源资源投入、产品、环境排放、绩效等方面，按照“厂房集约化、原料无害化、生产洁净化、废物资源化、能源低碳化”的原则，建立了绿色工厂系统评价指标体系，提出了绿色工厂评价通用要求。标准的发布有利于引导广大企业创建绿色工厂，推动工业绿色转型升级，实现绿色发展。</w:t>
      </w:r>
    </w:p>
    <w:p w14:paraId="169074C6" w14:textId="77777777" w:rsidR="00DD666C" w:rsidRDefault="00000000" w:rsidP="009E043B">
      <w:pPr>
        <w:autoSpaceDE w:val="0"/>
        <w:autoSpaceDN w:val="0"/>
        <w:adjustRightInd w:val="0"/>
        <w:spacing w:line="440" w:lineRule="exact"/>
        <w:ind w:firstLineChars="200" w:firstLine="480"/>
        <w:rPr>
          <w:kern w:val="0"/>
          <w:sz w:val="24"/>
        </w:rPr>
      </w:pPr>
      <w:r>
        <w:rPr>
          <w:rFonts w:hint="eastAsia"/>
          <w:kern w:val="0"/>
          <w:sz w:val="24"/>
        </w:rPr>
        <w:t>依据以上文件和标准要求，本标准编制过程中，主要体现如下原则：</w:t>
      </w:r>
    </w:p>
    <w:p w14:paraId="3EDC8E32" w14:textId="77777777" w:rsidR="00DD666C" w:rsidRDefault="00000000" w:rsidP="009E043B">
      <w:pPr>
        <w:autoSpaceDE w:val="0"/>
        <w:autoSpaceDN w:val="0"/>
        <w:adjustRightInd w:val="0"/>
        <w:spacing w:line="440" w:lineRule="exact"/>
        <w:ind w:firstLineChars="200" w:firstLine="480"/>
        <w:rPr>
          <w:kern w:val="0"/>
          <w:sz w:val="24"/>
        </w:rPr>
      </w:pPr>
      <w:r>
        <w:rPr>
          <w:rFonts w:hint="eastAsia"/>
          <w:kern w:val="0"/>
          <w:sz w:val="24"/>
        </w:rPr>
        <w:t>（</w:t>
      </w:r>
      <w:r>
        <w:rPr>
          <w:rFonts w:hint="eastAsia"/>
          <w:kern w:val="0"/>
          <w:sz w:val="24"/>
        </w:rPr>
        <w:t>1</w:t>
      </w:r>
      <w:r>
        <w:rPr>
          <w:rFonts w:hint="eastAsia"/>
          <w:kern w:val="0"/>
          <w:sz w:val="24"/>
        </w:rPr>
        <w:t>）协调性原则：与</w:t>
      </w:r>
      <w:r>
        <w:rPr>
          <w:rFonts w:hint="eastAsia"/>
          <w:sz w:val="24"/>
        </w:rPr>
        <w:t>涂布镀锡或镀铬薄钢板制造</w:t>
      </w:r>
      <w:r>
        <w:rPr>
          <w:sz w:val="24"/>
        </w:rPr>
        <w:t>相关</w:t>
      </w:r>
      <w:r>
        <w:rPr>
          <w:rFonts w:hint="eastAsia"/>
          <w:sz w:val="24"/>
        </w:rPr>
        <w:t>的</w:t>
      </w:r>
      <w:r>
        <w:rPr>
          <w:sz w:val="24"/>
        </w:rPr>
        <w:t>法律、法规、国家与行业标准等的兼容和协调一致，有利于标准的执行</w:t>
      </w:r>
      <w:r>
        <w:rPr>
          <w:rFonts w:hint="eastAsia"/>
          <w:sz w:val="24"/>
        </w:rPr>
        <w:t>。</w:t>
      </w:r>
    </w:p>
    <w:p w14:paraId="2E47EBD5" w14:textId="77777777" w:rsidR="00DD666C" w:rsidRDefault="00000000" w:rsidP="009E043B">
      <w:pPr>
        <w:autoSpaceDE w:val="0"/>
        <w:autoSpaceDN w:val="0"/>
        <w:adjustRightInd w:val="0"/>
        <w:spacing w:line="440" w:lineRule="exact"/>
        <w:ind w:firstLineChars="200" w:firstLine="480"/>
        <w:rPr>
          <w:kern w:val="0"/>
          <w:sz w:val="24"/>
        </w:rPr>
      </w:pPr>
      <w:r>
        <w:rPr>
          <w:rFonts w:hint="eastAsia"/>
          <w:kern w:val="0"/>
          <w:sz w:val="24"/>
        </w:rPr>
        <w:t>（</w:t>
      </w:r>
      <w:r>
        <w:rPr>
          <w:rFonts w:hint="eastAsia"/>
          <w:kern w:val="0"/>
          <w:sz w:val="24"/>
        </w:rPr>
        <w:t>2</w:t>
      </w:r>
      <w:r>
        <w:rPr>
          <w:rFonts w:hint="eastAsia"/>
          <w:kern w:val="0"/>
          <w:sz w:val="24"/>
        </w:rPr>
        <w:t>）规范性原则：</w:t>
      </w:r>
      <w:r>
        <w:rPr>
          <w:sz w:val="24"/>
        </w:rPr>
        <w:t>所述内容具有规范性、科学性、合理性和可行性</w:t>
      </w:r>
      <w:r>
        <w:rPr>
          <w:rFonts w:hint="eastAsia"/>
          <w:sz w:val="24"/>
        </w:rPr>
        <w:t>，</w:t>
      </w:r>
      <w:r>
        <w:rPr>
          <w:kern w:val="0"/>
          <w:sz w:val="24"/>
        </w:rPr>
        <w:t>涉及的指标力求实用和可操作，尽量选取</w:t>
      </w:r>
      <w:r>
        <w:rPr>
          <w:rFonts w:hint="eastAsia"/>
          <w:kern w:val="0"/>
          <w:sz w:val="24"/>
        </w:rPr>
        <w:t>涂布镀锡或镀铬薄钢板</w:t>
      </w:r>
      <w:r>
        <w:rPr>
          <w:kern w:val="0"/>
          <w:sz w:val="24"/>
        </w:rPr>
        <w:t>行业常用指标，便于企业和</w:t>
      </w:r>
      <w:r>
        <w:rPr>
          <w:rFonts w:hint="eastAsia"/>
          <w:kern w:val="0"/>
          <w:sz w:val="24"/>
        </w:rPr>
        <w:t>第三方评价</w:t>
      </w:r>
      <w:r>
        <w:rPr>
          <w:kern w:val="0"/>
          <w:sz w:val="24"/>
        </w:rPr>
        <w:t>人员的理解和掌握。</w:t>
      </w:r>
    </w:p>
    <w:p w14:paraId="182F11CA" w14:textId="77777777" w:rsidR="00DD666C" w:rsidRDefault="00000000" w:rsidP="009E043B">
      <w:pPr>
        <w:autoSpaceDE w:val="0"/>
        <w:autoSpaceDN w:val="0"/>
        <w:adjustRightInd w:val="0"/>
        <w:spacing w:line="440" w:lineRule="exact"/>
        <w:ind w:firstLineChars="200" w:firstLine="480"/>
        <w:rPr>
          <w:kern w:val="0"/>
          <w:sz w:val="24"/>
        </w:rPr>
      </w:pPr>
      <w:r>
        <w:rPr>
          <w:rFonts w:hint="eastAsia"/>
          <w:kern w:val="0"/>
          <w:sz w:val="24"/>
        </w:rPr>
        <w:t>（</w:t>
      </w:r>
      <w:r>
        <w:rPr>
          <w:rFonts w:hint="eastAsia"/>
          <w:kern w:val="0"/>
          <w:sz w:val="24"/>
        </w:rPr>
        <w:t>3</w:t>
      </w:r>
      <w:r>
        <w:rPr>
          <w:rFonts w:hint="eastAsia"/>
          <w:kern w:val="0"/>
          <w:sz w:val="24"/>
        </w:rPr>
        <w:t>）激励性原则：加快推进涂布镀锡或镀铬薄钢板行业的绿色制造，激励企业向“厂房集约化、原料无害化、生产洁净化、废物资源化、能源低碳化”方</w:t>
      </w:r>
      <w:r>
        <w:rPr>
          <w:rFonts w:hint="eastAsia"/>
          <w:kern w:val="0"/>
          <w:sz w:val="24"/>
        </w:rPr>
        <w:lastRenderedPageBreak/>
        <w:t>向发展。</w:t>
      </w:r>
    </w:p>
    <w:p w14:paraId="60CA29D4" w14:textId="77777777" w:rsidR="00DD666C" w:rsidRDefault="00000000" w:rsidP="009E043B">
      <w:pPr>
        <w:autoSpaceDE w:val="0"/>
        <w:autoSpaceDN w:val="0"/>
        <w:adjustRightInd w:val="0"/>
        <w:spacing w:line="440" w:lineRule="exact"/>
        <w:ind w:firstLineChars="200" w:firstLine="480"/>
        <w:rPr>
          <w:b/>
          <w:kern w:val="0"/>
          <w:sz w:val="24"/>
        </w:rPr>
      </w:pPr>
      <w:r>
        <w:rPr>
          <w:rFonts w:hint="eastAsia"/>
          <w:kern w:val="0"/>
          <w:sz w:val="24"/>
        </w:rPr>
        <w:t>（</w:t>
      </w:r>
      <w:r>
        <w:rPr>
          <w:rFonts w:hint="eastAsia"/>
          <w:kern w:val="0"/>
          <w:sz w:val="24"/>
        </w:rPr>
        <w:t>4</w:t>
      </w:r>
      <w:r>
        <w:rPr>
          <w:rFonts w:hint="eastAsia"/>
          <w:kern w:val="0"/>
          <w:sz w:val="24"/>
        </w:rPr>
        <w:t>）创新性原则：按照已有的国家及地方的相关标准要求，充分结合涂布镀锡或镀铬薄钢板行业特点，在评价要求体系中能创新的反映行业绿色工厂建设的领先水平。</w:t>
      </w:r>
    </w:p>
    <w:p w14:paraId="46B393BD" w14:textId="77777777" w:rsidR="00DD666C" w:rsidRDefault="00000000">
      <w:pPr>
        <w:spacing w:line="360" w:lineRule="auto"/>
        <w:ind w:firstLineChars="200" w:firstLine="482"/>
        <w:contextualSpacing/>
        <w:rPr>
          <w:b/>
          <w:sz w:val="24"/>
        </w:rPr>
      </w:pPr>
      <w:r>
        <w:rPr>
          <w:rFonts w:hint="eastAsia"/>
          <w:b/>
          <w:sz w:val="24"/>
        </w:rPr>
        <w:t>2</w:t>
      </w:r>
      <w:r>
        <w:rPr>
          <w:b/>
          <w:sz w:val="24"/>
        </w:rPr>
        <w:t>、</w:t>
      </w:r>
      <w:r>
        <w:rPr>
          <w:rFonts w:hint="eastAsia"/>
          <w:b/>
          <w:sz w:val="24"/>
        </w:rPr>
        <w:t>主</w:t>
      </w:r>
      <w:r>
        <w:rPr>
          <w:b/>
          <w:sz w:val="24"/>
        </w:rPr>
        <w:t>要内容</w:t>
      </w:r>
    </w:p>
    <w:p w14:paraId="72379ED0" w14:textId="77777777" w:rsidR="00DD666C" w:rsidRDefault="00000000">
      <w:pPr>
        <w:pStyle w:val="af"/>
        <w:spacing w:line="440" w:lineRule="exact"/>
        <w:ind w:firstLineChars="200" w:firstLine="482"/>
        <w:outlineLvl w:val="2"/>
        <w:rPr>
          <w:rFonts w:ascii="Times New Roman" w:eastAsia="宋体"/>
          <w:b/>
          <w:kern w:val="0"/>
          <w:sz w:val="24"/>
          <w:szCs w:val="24"/>
        </w:rPr>
      </w:pPr>
      <w:bookmarkStart w:id="2" w:name="_Toc23770164"/>
      <w:bookmarkStart w:id="3" w:name="_Toc23770175"/>
      <w:r>
        <w:rPr>
          <w:rFonts w:ascii="Times New Roman" w:eastAsia="宋体" w:hint="eastAsia"/>
          <w:b/>
          <w:kern w:val="0"/>
          <w:sz w:val="24"/>
          <w:szCs w:val="24"/>
        </w:rPr>
        <w:t>2.1</w:t>
      </w:r>
      <w:r>
        <w:rPr>
          <w:rFonts w:ascii="Times New Roman" w:eastAsia="宋体"/>
          <w:b/>
          <w:kern w:val="0"/>
          <w:sz w:val="24"/>
          <w:szCs w:val="24"/>
        </w:rPr>
        <w:t>适用范围</w:t>
      </w:r>
      <w:bookmarkEnd w:id="2"/>
    </w:p>
    <w:p w14:paraId="5AD473A4" w14:textId="77777777" w:rsidR="00DD666C" w:rsidRDefault="00000000">
      <w:pPr>
        <w:pStyle w:val="afffffff8"/>
        <w:spacing w:line="440" w:lineRule="exact"/>
        <w:ind w:firstLine="480"/>
        <w:rPr>
          <w:rFonts w:ascii="Times New Roman"/>
          <w:sz w:val="24"/>
          <w:szCs w:val="24"/>
        </w:rPr>
      </w:pPr>
      <w:bookmarkStart w:id="4" w:name="OLE_LINK1"/>
      <w:r>
        <w:rPr>
          <w:rFonts w:ascii="Times New Roman" w:hint="eastAsia"/>
          <w:sz w:val="24"/>
          <w:szCs w:val="24"/>
        </w:rPr>
        <w:t>本文件规定了</w:t>
      </w:r>
      <w:r>
        <w:rPr>
          <w:rFonts w:hint="eastAsia"/>
          <w:sz w:val="24"/>
        </w:rPr>
        <w:t>涂布镀锡或镀铬薄钢板</w:t>
      </w:r>
      <w:r>
        <w:rPr>
          <w:rFonts w:ascii="Times New Roman" w:hint="eastAsia"/>
          <w:sz w:val="24"/>
          <w:szCs w:val="24"/>
        </w:rPr>
        <w:t>制造业绿色工厂评价的术语和定义、总则、评价要求、评价程序、评价报告。</w:t>
      </w:r>
    </w:p>
    <w:p w14:paraId="236551F1" w14:textId="77777777" w:rsidR="00DD666C" w:rsidRDefault="00000000">
      <w:pPr>
        <w:pStyle w:val="afffffff8"/>
        <w:spacing w:line="440" w:lineRule="exact"/>
        <w:ind w:firstLine="480"/>
        <w:rPr>
          <w:rFonts w:ascii="Times New Roman"/>
          <w:sz w:val="24"/>
          <w:szCs w:val="24"/>
        </w:rPr>
      </w:pPr>
      <w:r>
        <w:rPr>
          <w:rFonts w:ascii="Times New Roman" w:hint="eastAsia"/>
          <w:sz w:val="24"/>
          <w:szCs w:val="24"/>
        </w:rPr>
        <w:t>本文件适用于</w:t>
      </w:r>
      <w:r>
        <w:rPr>
          <w:rFonts w:hint="eastAsia"/>
          <w:sz w:val="24"/>
        </w:rPr>
        <w:t>涂布镀锡或镀铬薄钢板</w:t>
      </w:r>
      <w:r>
        <w:rPr>
          <w:rFonts w:ascii="Times New Roman" w:hint="eastAsia"/>
          <w:sz w:val="24"/>
          <w:szCs w:val="24"/>
        </w:rPr>
        <w:t>生产企业的绿色工厂评价。</w:t>
      </w:r>
    </w:p>
    <w:p w14:paraId="01054B98" w14:textId="77777777" w:rsidR="00DD666C" w:rsidRDefault="00000000">
      <w:pPr>
        <w:pStyle w:val="af"/>
        <w:spacing w:line="440" w:lineRule="exact"/>
        <w:ind w:firstLineChars="200" w:firstLine="482"/>
        <w:outlineLvl w:val="2"/>
        <w:rPr>
          <w:rFonts w:ascii="Times New Roman" w:eastAsia="宋体"/>
          <w:b/>
          <w:kern w:val="0"/>
          <w:sz w:val="24"/>
          <w:szCs w:val="24"/>
        </w:rPr>
      </w:pPr>
      <w:bookmarkStart w:id="5" w:name="_Toc23770165"/>
      <w:bookmarkEnd w:id="4"/>
      <w:r>
        <w:rPr>
          <w:rFonts w:ascii="Times New Roman" w:eastAsia="宋体" w:hint="eastAsia"/>
          <w:b/>
          <w:kern w:val="0"/>
          <w:sz w:val="24"/>
          <w:szCs w:val="24"/>
        </w:rPr>
        <w:t>2.2</w:t>
      </w:r>
      <w:r>
        <w:rPr>
          <w:rFonts w:ascii="Times New Roman" w:eastAsia="宋体" w:hint="eastAsia"/>
          <w:b/>
          <w:kern w:val="0"/>
          <w:sz w:val="24"/>
          <w:szCs w:val="24"/>
        </w:rPr>
        <w:t>规范性引用文件</w:t>
      </w:r>
      <w:bookmarkEnd w:id="5"/>
    </w:p>
    <w:p w14:paraId="4331ACCF" w14:textId="77777777" w:rsidR="00DD666C" w:rsidRDefault="00000000">
      <w:pPr>
        <w:autoSpaceDE w:val="0"/>
        <w:autoSpaceDN w:val="0"/>
        <w:adjustRightInd w:val="0"/>
        <w:spacing w:line="440" w:lineRule="exact"/>
        <w:ind w:firstLineChars="200" w:firstLine="480"/>
        <w:jc w:val="left"/>
        <w:rPr>
          <w:kern w:val="0"/>
          <w:sz w:val="24"/>
        </w:rPr>
      </w:pPr>
      <w:r>
        <w:rPr>
          <w:rFonts w:hint="eastAsia"/>
          <w:kern w:val="0"/>
          <w:sz w:val="24"/>
        </w:rPr>
        <w:t>给出了本标准引用的有关文件，主要包括相关污染物排放标准、能源和水计量器具配备和管理通则、环境、质量、能源及职业健康安全管理体系要求、产品生态设计通则、能源消耗限额、环境标志产品技术要求、绿色设计产品评价技术规范、清洁生产评价指标体系等。</w:t>
      </w:r>
    </w:p>
    <w:p w14:paraId="63BF4994" w14:textId="77777777" w:rsidR="00DD666C" w:rsidRDefault="00000000">
      <w:pPr>
        <w:pStyle w:val="af"/>
        <w:spacing w:line="440" w:lineRule="exact"/>
        <w:ind w:firstLineChars="200" w:firstLine="482"/>
        <w:outlineLvl w:val="2"/>
        <w:rPr>
          <w:rFonts w:ascii="Times New Roman" w:eastAsia="宋体"/>
          <w:b/>
          <w:kern w:val="0"/>
          <w:sz w:val="24"/>
          <w:szCs w:val="24"/>
        </w:rPr>
      </w:pPr>
      <w:bookmarkStart w:id="6" w:name="_Toc23770166"/>
      <w:r>
        <w:rPr>
          <w:rFonts w:ascii="Times New Roman" w:eastAsia="宋体" w:hint="eastAsia"/>
          <w:b/>
          <w:kern w:val="0"/>
          <w:sz w:val="24"/>
          <w:szCs w:val="24"/>
        </w:rPr>
        <w:t>2.3</w:t>
      </w:r>
      <w:r>
        <w:rPr>
          <w:rFonts w:ascii="Times New Roman" w:eastAsia="宋体" w:hint="eastAsia"/>
          <w:b/>
          <w:kern w:val="0"/>
          <w:sz w:val="24"/>
          <w:szCs w:val="24"/>
        </w:rPr>
        <w:t>术语和定义</w:t>
      </w:r>
      <w:bookmarkEnd w:id="6"/>
    </w:p>
    <w:p w14:paraId="3C76A9E7" w14:textId="4DFB1161" w:rsidR="00DD666C" w:rsidRDefault="00000000" w:rsidP="008900F3">
      <w:pPr>
        <w:autoSpaceDE w:val="0"/>
        <w:autoSpaceDN w:val="0"/>
        <w:adjustRightInd w:val="0"/>
        <w:spacing w:line="440" w:lineRule="exact"/>
        <w:ind w:firstLineChars="200" w:firstLine="480"/>
        <w:rPr>
          <w:kern w:val="0"/>
          <w:sz w:val="24"/>
        </w:rPr>
      </w:pPr>
      <w:r>
        <w:rPr>
          <w:kern w:val="0"/>
          <w:sz w:val="24"/>
        </w:rPr>
        <w:t>给出了</w:t>
      </w:r>
      <w:r>
        <w:rPr>
          <w:rFonts w:hint="eastAsia"/>
          <w:kern w:val="0"/>
          <w:sz w:val="24"/>
        </w:rPr>
        <w:t>绿色工厂</w:t>
      </w:r>
      <w:r>
        <w:rPr>
          <w:kern w:val="0"/>
          <w:sz w:val="24"/>
        </w:rPr>
        <w:t>、</w:t>
      </w:r>
      <w:r>
        <w:rPr>
          <w:rFonts w:hint="eastAsia"/>
          <w:kern w:val="0"/>
          <w:sz w:val="24"/>
        </w:rPr>
        <w:t>绿色设计</w:t>
      </w:r>
      <w:r>
        <w:rPr>
          <w:kern w:val="0"/>
          <w:sz w:val="24"/>
        </w:rPr>
        <w:t>的定义。在确定</w:t>
      </w:r>
      <w:r>
        <w:rPr>
          <w:rFonts w:hint="eastAsia"/>
          <w:kern w:val="0"/>
          <w:sz w:val="24"/>
        </w:rPr>
        <w:t>绿色工厂</w:t>
      </w:r>
      <w:r>
        <w:rPr>
          <w:kern w:val="0"/>
          <w:sz w:val="24"/>
        </w:rPr>
        <w:t>的定义时，参考了《</w:t>
      </w:r>
      <w:r>
        <w:rPr>
          <w:rFonts w:hint="eastAsia"/>
          <w:kern w:val="0"/>
          <w:sz w:val="24"/>
        </w:rPr>
        <w:t>绿色工厂评价通则</w:t>
      </w:r>
      <w:r>
        <w:rPr>
          <w:kern w:val="0"/>
          <w:sz w:val="24"/>
        </w:rPr>
        <w:t>》（</w:t>
      </w:r>
      <w:r>
        <w:rPr>
          <w:kern w:val="0"/>
          <w:sz w:val="24"/>
        </w:rPr>
        <w:t>GB/T 36132</w:t>
      </w:r>
      <w:r w:rsidR="006E7C07">
        <w:rPr>
          <w:rFonts w:hint="eastAsia"/>
          <w:kern w:val="0"/>
          <w:sz w:val="24"/>
        </w:rPr>
        <w:t>—</w:t>
      </w:r>
      <w:r>
        <w:rPr>
          <w:rFonts w:hint="eastAsia"/>
          <w:kern w:val="0"/>
          <w:sz w:val="24"/>
        </w:rPr>
        <w:t>2018</w:t>
      </w:r>
      <w:r>
        <w:rPr>
          <w:kern w:val="0"/>
          <w:sz w:val="24"/>
        </w:rPr>
        <w:t>）。在确定</w:t>
      </w:r>
      <w:r>
        <w:rPr>
          <w:rFonts w:hint="eastAsia"/>
          <w:kern w:val="0"/>
          <w:sz w:val="24"/>
        </w:rPr>
        <w:t>绿色设计</w:t>
      </w:r>
      <w:r>
        <w:rPr>
          <w:kern w:val="0"/>
          <w:sz w:val="24"/>
        </w:rPr>
        <w:t>的定义时，参考了《</w:t>
      </w:r>
      <w:r>
        <w:rPr>
          <w:rFonts w:hint="eastAsia"/>
          <w:kern w:val="0"/>
          <w:sz w:val="24"/>
        </w:rPr>
        <w:t>工生态设计产品评价通则</w:t>
      </w:r>
      <w:r>
        <w:rPr>
          <w:kern w:val="0"/>
          <w:sz w:val="24"/>
        </w:rPr>
        <w:t>》</w:t>
      </w:r>
      <w:r>
        <w:rPr>
          <w:rFonts w:hint="eastAsia"/>
          <w:kern w:val="0"/>
          <w:sz w:val="24"/>
        </w:rPr>
        <w:t>（</w:t>
      </w:r>
      <w:r>
        <w:rPr>
          <w:rFonts w:hint="eastAsia"/>
          <w:kern w:val="0"/>
          <w:sz w:val="24"/>
        </w:rPr>
        <w:t xml:space="preserve">GB/T </w:t>
      </w:r>
      <w:r>
        <w:rPr>
          <w:sz w:val="24"/>
        </w:rPr>
        <w:t>32161</w:t>
      </w:r>
      <w:r>
        <w:rPr>
          <w:rFonts w:hint="eastAsia"/>
          <w:kern w:val="0"/>
          <w:sz w:val="24"/>
        </w:rPr>
        <w:t>）。</w:t>
      </w:r>
    </w:p>
    <w:p w14:paraId="2F60D56A" w14:textId="77777777" w:rsidR="00DD666C" w:rsidRDefault="00000000">
      <w:pPr>
        <w:pStyle w:val="af"/>
        <w:spacing w:line="440" w:lineRule="exact"/>
        <w:ind w:firstLineChars="200" w:firstLine="482"/>
        <w:outlineLvl w:val="2"/>
        <w:rPr>
          <w:rFonts w:ascii="Times New Roman" w:eastAsia="宋体"/>
          <w:b/>
          <w:kern w:val="0"/>
          <w:sz w:val="24"/>
          <w:szCs w:val="24"/>
        </w:rPr>
      </w:pPr>
      <w:bookmarkStart w:id="7" w:name="_Toc23770167"/>
      <w:r>
        <w:rPr>
          <w:rFonts w:ascii="Times New Roman" w:eastAsia="宋体" w:hint="eastAsia"/>
          <w:b/>
          <w:kern w:val="0"/>
          <w:sz w:val="24"/>
          <w:szCs w:val="24"/>
        </w:rPr>
        <w:t>2.4</w:t>
      </w:r>
      <w:r>
        <w:rPr>
          <w:rFonts w:ascii="Times New Roman" w:eastAsia="宋体" w:hint="eastAsia"/>
          <w:b/>
          <w:kern w:val="0"/>
          <w:sz w:val="24"/>
          <w:szCs w:val="24"/>
        </w:rPr>
        <w:t>评价总则</w:t>
      </w:r>
      <w:bookmarkEnd w:id="7"/>
    </w:p>
    <w:p w14:paraId="30E81CD3" w14:textId="77777777" w:rsidR="00DD666C" w:rsidRDefault="00000000" w:rsidP="008900F3">
      <w:pPr>
        <w:spacing w:line="360" w:lineRule="auto"/>
        <w:ind w:firstLineChars="200" w:firstLine="480"/>
        <w:rPr>
          <w:kern w:val="0"/>
          <w:sz w:val="24"/>
        </w:rPr>
      </w:pPr>
      <w:r>
        <w:rPr>
          <w:rFonts w:hint="eastAsia"/>
          <w:kern w:val="0"/>
          <w:sz w:val="24"/>
        </w:rPr>
        <w:t>涂布镀锡或镀铬薄钢板</w:t>
      </w:r>
      <w:r>
        <w:rPr>
          <w:rFonts w:hint="eastAsia"/>
          <w:sz w:val="24"/>
        </w:rPr>
        <w:t>制造业</w:t>
      </w:r>
      <w:r>
        <w:rPr>
          <w:kern w:val="0"/>
          <w:sz w:val="24"/>
        </w:rPr>
        <w:t>绿色工厂评价指标体系</w:t>
      </w:r>
      <w:r>
        <w:rPr>
          <w:rFonts w:hint="eastAsia"/>
          <w:kern w:val="0"/>
          <w:sz w:val="24"/>
        </w:rPr>
        <w:t>与</w:t>
      </w:r>
      <w:r>
        <w:rPr>
          <w:kern w:val="0"/>
          <w:sz w:val="24"/>
        </w:rPr>
        <w:t>《</w:t>
      </w:r>
      <w:r>
        <w:rPr>
          <w:rFonts w:hint="eastAsia"/>
          <w:kern w:val="0"/>
          <w:sz w:val="24"/>
        </w:rPr>
        <w:t>绿色工厂评价通则</w:t>
      </w:r>
      <w:r>
        <w:rPr>
          <w:kern w:val="0"/>
          <w:sz w:val="24"/>
        </w:rPr>
        <w:t>》（</w:t>
      </w:r>
      <w:r>
        <w:rPr>
          <w:kern w:val="0"/>
          <w:sz w:val="24"/>
        </w:rPr>
        <w:t>GB/T 36132</w:t>
      </w:r>
      <w:r>
        <w:rPr>
          <w:kern w:val="0"/>
          <w:sz w:val="24"/>
        </w:rPr>
        <w:t>）</w:t>
      </w:r>
      <w:r>
        <w:rPr>
          <w:rFonts w:hint="eastAsia"/>
          <w:kern w:val="0"/>
          <w:sz w:val="24"/>
        </w:rPr>
        <w:t>中规定的内容保持一致，</w:t>
      </w:r>
      <w:r>
        <w:rPr>
          <w:kern w:val="0"/>
          <w:sz w:val="24"/>
        </w:rPr>
        <w:t>包括基本要求、基础设施、管理体系、能源资源投入、产品、环境排放和绩效</w:t>
      </w:r>
      <w:r>
        <w:rPr>
          <w:rFonts w:hint="eastAsia"/>
          <w:kern w:val="0"/>
          <w:sz w:val="24"/>
        </w:rPr>
        <w:t>，涂布镀锡或镀铬薄钢板行业在进行绿色工厂评价时，应从以上</w:t>
      </w:r>
      <w:r>
        <w:rPr>
          <w:rFonts w:hint="eastAsia"/>
          <w:kern w:val="0"/>
          <w:sz w:val="24"/>
        </w:rPr>
        <w:t>7</w:t>
      </w:r>
      <w:r>
        <w:rPr>
          <w:rFonts w:hint="eastAsia"/>
          <w:kern w:val="0"/>
          <w:sz w:val="24"/>
        </w:rPr>
        <w:t>个方面进行综合评价。</w:t>
      </w:r>
    </w:p>
    <w:p w14:paraId="53A691E9" w14:textId="77777777" w:rsidR="00DD666C" w:rsidRDefault="00000000" w:rsidP="008900F3">
      <w:pPr>
        <w:spacing w:line="360" w:lineRule="auto"/>
        <w:ind w:firstLineChars="200" w:firstLine="480"/>
      </w:pPr>
      <w:r>
        <w:rPr>
          <w:kern w:val="0"/>
          <w:sz w:val="24"/>
        </w:rPr>
        <w:t>涂布镀锡或镀铬薄钢板</w:t>
      </w:r>
      <w:r>
        <w:rPr>
          <w:rFonts w:hint="eastAsia"/>
          <w:kern w:val="0"/>
          <w:sz w:val="24"/>
        </w:rPr>
        <w:t>制造</w:t>
      </w:r>
      <w:r>
        <w:rPr>
          <w:kern w:val="0"/>
          <w:sz w:val="24"/>
        </w:rPr>
        <w:t>业绿色工厂评价体系框架如图</w:t>
      </w:r>
      <w:r>
        <w:rPr>
          <w:kern w:val="0"/>
          <w:sz w:val="24"/>
        </w:rPr>
        <w:t>1</w:t>
      </w:r>
      <w:r>
        <w:rPr>
          <w:kern w:val="0"/>
          <w:sz w:val="24"/>
        </w:rPr>
        <w:t>所示。</w:t>
      </w:r>
    </w:p>
    <w:p w14:paraId="38386785" w14:textId="77777777" w:rsidR="00DD666C" w:rsidRDefault="00000000">
      <w:pPr>
        <w:ind w:firstLineChars="200" w:firstLine="420"/>
        <w:jc w:val="center"/>
      </w:pPr>
      <w:r>
        <w:rPr>
          <w:noProof/>
        </w:rPr>
        <mc:AlternateContent>
          <mc:Choice Requires="wpc">
            <w:drawing>
              <wp:inline distT="0" distB="0" distL="0" distR="0" wp14:anchorId="614FA11B" wp14:editId="46E47694">
                <wp:extent cx="3903980" cy="1939925"/>
                <wp:effectExtent l="0" t="0" r="2540" b="0"/>
                <wp:docPr id="10" name="画布 10"/>
                <wp:cNvGraphicFramePr/>
                <a:graphic xmlns:a="http://schemas.openxmlformats.org/drawingml/2006/main">
                  <a:graphicData uri="http://schemas.microsoft.com/office/word/2010/wordprocessingCanvas">
                    <wpc:wpc>
                      <wpc:bg>
                        <a:noFill/>
                      </wpc:bg>
                      <wpc:whole/>
                      <wps:wsp>
                        <wps:cNvPr id="1" name="矩形 1"/>
                        <wps:cNvSpPr>
                          <a:spLocks noChangeArrowheads="1"/>
                        </wps:cNvSpPr>
                        <wps:spPr bwMode="auto">
                          <a:xfrm>
                            <a:off x="611913" y="540607"/>
                            <a:ext cx="739515" cy="834911"/>
                          </a:xfrm>
                          <a:prstGeom prst="rect">
                            <a:avLst/>
                          </a:prstGeom>
                          <a:solidFill>
                            <a:schemeClr val="lt1">
                              <a:lumMod val="100000"/>
                              <a:lumOff val="0"/>
                            </a:schemeClr>
                          </a:solidFill>
                          <a:ln w="3175">
                            <a:solidFill>
                              <a:schemeClr val="dk1">
                                <a:lumMod val="100000"/>
                                <a:lumOff val="0"/>
                              </a:schemeClr>
                            </a:solidFill>
                            <a:miter lim="800000"/>
                          </a:ln>
                        </wps:spPr>
                        <wps:txbx>
                          <w:txbxContent>
                            <w:p w14:paraId="2264D92B" w14:textId="77777777" w:rsidR="00DD666C" w:rsidRDefault="00000000">
                              <w:pPr>
                                <w:jc w:val="center"/>
                                <w:rPr>
                                  <w:color w:val="000000" w:themeColor="text1"/>
                                  <w:sz w:val="18"/>
                                  <w:szCs w:val="18"/>
                                </w:rPr>
                              </w:pPr>
                              <w:r>
                                <w:rPr>
                                  <w:rFonts w:hint="eastAsia"/>
                                  <w:color w:val="000000" w:themeColor="text1"/>
                                  <w:sz w:val="18"/>
                                  <w:szCs w:val="18"/>
                                </w:rPr>
                                <w:t>能源与资源投入</w:t>
                              </w:r>
                            </w:p>
                          </w:txbxContent>
                        </wps:txbx>
                        <wps:bodyPr rot="0" vert="horz" wrap="square" lIns="91440" tIns="45720" rIns="91440" bIns="45720" anchor="ctr" anchorCtr="0" upright="1">
                          <a:noAutofit/>
                        </wps:bodyPr>
                      </wps:wsp>
                      <wps:wsp>
                        <wps:cNvPr id="3" name="矩形 3"/>
                        <wps:cNvSpPr>
                          <a:spLocks noChangeArrowheads="1"/>
                        </wps:cNvSpPr>
                        <wps:spPr bwMode="auto">
                          <a:xfrm>
                            <a:off x="611913" y="92501"/>
                            <a:ext cx="2702455" cy="392505"/>
                          </a:xfrm>
                          <a:prstGeom prst="rect">
                            <a:avLst/>
                          </a:prstGeom>
                          <a:solidFill>
                            <a:schemeClr val="lt1">
                              <a:lumMod val="100000"/>
                              <a:lumOff val="0"/>
                            </a:schemeClr>
                          </a:solidFill>
                          <a:ln w="3175">
                            <a:solidFill>
                              <a:schemeClr val="dk1">
                                <a:lumMod val="100000"/>
                                <a:lumOff val="0"/>
                              </a:schemeClr>
                            </a:solidFill>
                            <a:miter lim="800000"/>
                          </a:ln>
                        </wps:spPr>
                        <wps:txbx>
                          <w:txbxContent>
                            <w:p w14:paraId="25311F65" w14:textId="77777777" w:rsidR="00DD666C" w:rsidRDefault="00000000">
                              <w:pPr>
                                <w:pStyle w:val="afa"/>
                                <w:spacing w:before="0" w:beforeAutospacing="0" w:after="0" w:afterAutospacing="0"/>
                                <w:jc w:val="center"/>
                              </w:pPr>
                              <w:r>
                                <w:rPr>
                                  <w:rFonts w:ascii="Times New Roman" w:hint="eastAsia"/>
                                  <w:color w:val="000000"/>
                                  <w:kern w:val="2"/>
                                  <w:sz w:val="18"/>
                                  <w:szCs w:val="18"/>
                                </w:rPr>
                                <w:t>管理体系</w:t>
                              </w:r>
                            </w:p>
                          </w:txbxContent>
                        </wps:txbx>
                        <wps:bodyPr rot="0" vert="horz" wrap="square" lIns="91440" tIns="45720" rIns="91440" bIns="45720" anchor="ctr" anchorCtr="0" upright="1">
                          <a:noAutofit/>
                        </wps:bodyPr>
                      </wps:wsp>
                      <wps:wsp>
                        <wps:cNvPr id="4" name="矩形 4"/>
                        <wps:cNvSpPr>
                          <a:spLocks noChangeArrowheads="1"/>
                        </wps:cNvSpPr>
                        <wps:spPr bwMode="auto">
                          <a:xfrm>
                            <a:off x="3410570" y="111801"/>
                            <a:ext cx="370808" cy="1703822"/>
                          </a:xfrm>
                          <a:prstGeom prst="rect">
                            <a:avLst/>
                          </a:prstGeom>
                          <a:solidFill>
                            <a:schemeClr val="lt1">
                              <a:lumMod val="100000"/>
                              <a:lumOff val="0"/>
                            </a:schemeClr>
                          </a:solidFill>
                          <a:ln w="3175">
                            <a:solidFill>
                              <a:schemeClr val="dk1">
                                <a:lumMod val="100000"/>
                                <a:lumOff val="0"/>
                              </a:schemeClr>
                            </a:solidFill>
                            <a:miter lim="800000"/>
                          </a:ln>
                        </wps:spPr>
                        <wps:txbx>
                          <w:txbxContent>
                            <w:p w14:paraId="2F87CB5D" w14:textId="77777777" w:rsidR="00DD666C" w:rsidRDefault="00000000">
                              <w:pPr>
                                <w:pStyle w:val="afa"/>
                                <w:spacing w:before="0" w:beforeAutospacing="0" w:after="0" w:afterAutospacing="0"/>
                                <w:jc w:val="center"/>
                              </w:pPr>
                              <w:r>
                                <w:rPr>
                                  <w:rFonts w:ascii="Times New Roman" w:hint="eastAsia"/>
                                  <w:color w:val="000000"/>
                                  <w:sz w:val="18"/>
                                  <w:szCs w:val="18"/>
                                </w:rPr>
                                <w:t>绩效</w:t>
                              </w:r>
                            </w:p>
                          </w:txbxContent>
                        </wps:txbx>
                        <wps:bodyPr rot="0" vert="horz" wrap="square" lIns="91440" tIns="45720" rIns="91440" bIns="45720" anchor="ctr" anchorCtr="0" upright="1">
                          <a:noAutofit/>
                        </wps:bodyPr>
                      </wps:wsp>
                      <wps:wsp>
                        <wps:cNvPr id="5" name="矩形 5"/>
                        <wps:cNvSpPr>
                          <a:spLocks noChangeArrowheads="1"/>
                        </wps:cNvSpPr>
                        <wps:spPr bwMode="auto">
                          <a:xfrm>
                            <a:off x="2561352" y="564507"/>
                            <a:ext cx="739115" cy="363605"/>
                          </a:xfrm>
                          <a:prstGeom prst="rect">
                            <a:avLst/>
                          </a:prstGeom>
                          <a:solidFill>
                            <a:schemeClr val="lt1">
                              <a:lumMod val="100000"/>
                              <a:lumOff val="0"/>
                            </a:schemeClr>
                          </a:solidFill>
                          <a:ln w="3175">
                            <a:solidFill>
                              <a:schemeClr val="dk1">
                                <a:lumMod val="100000"/>
                                <a:lumOff val="0"/>
                              </a:schemeClr>
                            </a:solidFill>
                            <a:miter lim="800000"/>
                          </a:ln>
                        </wps:spPr>
                        <wps:txbx>
                          <w:txbxContent>
                            <w:p w14:paraId="70DDA5B7" w14:textId="77777777" w:rsidR="00DD666C" w:rsidRDefault="00000000">
                              <w:pPr>
                                <w:pStyle w:val="afa"/>
                                <w:spacing w:before="0" w:beforeAutospacing="0" w:after="0" w:afterAutospacing="0"/>
                                <w:jc w:val="center"/>
                              </w:pPr>
                              <w:r>
                                <w:rPr>
                                  <w:rFonts w:ascii="Times New Roman" w:hint="eastAsia"/>
                                  <w:color w:val="000000"/>
                                  <w:sz w:val="18"/>
                                  <w:szCs w:val="18"/>
                                </w:rPr>
                                <w:t>产品</w:t>
                              </w:r>
                            </w:p>
                          </w:txbxContent>
                        </wps:txbx>
                        <wps:bodyPr rot="0" vert="horz" wrap="square" lIns="91440" tIns="45720" rIns="91440" bIns="45720" anchor="ctr" anchorCtr="0" upright="1">
                          <a:noAutofit/>
                        </wps:bodyPr>
                      </wps:wsp>
                      <wps:wsp>
                        <wps:cNvPr id="6" name="矩形 6"/>
                        <wps:cNvSpPr>
                          <a:spLocks noChangeArrowheads="1"/>
                        </wps:cNvSpPr>
                        <wps:spPr bwMode="auto">
                          <a:xfrm>
                            <a:off x="2561352" y="985913"/>
                            <a:ext cx="739115" cy="365005"/>
                          </a:xfrm>
                          <a:prstGeom prst="rect">
                            <a:avLst/>
                          </a:prstGeom>
                          <a:solidFill>
                            <a:schemeClr val="lt1">
                              <a:lumMod val="100000"/>
                              <a:lumOff val="0"/>
                            </a:schemeClr>
                          </a:solidFill>
                          <a:ln w="3175">
                            <a:solidFill>
                              <a:schemeClr val="dk1">
                                <a:lumMod val="100000"/>
                                <a:lumOff val="0"/>
                              </a:schemeClr>
                            </a:solidFill>
                            <a:miter lim="800000"/>
                          </a:ln>
                        </wps:spPr>
                        <wps:txbx>
                          <w:txbxContent>
                            <w:p w14:paraId="5190F888" w14:textId="77777777" w:rsidR="00DD666C" w:rsidRDefault="00000000">
                              <w:pPr>
                                <w:pStyle w:val="afa"/>
                                <w:spacing w:before="0" w:beforeAutospacing="0" w:after="0" w:afterAutospacing="0"/>
                                <w:jc w:val="center"/>
                              </w:pPr>
                              <w:r>
                                <w:rPr>
                                  <w:rFonts w:ascii="Times New Roman" w:hint="eastAsia"/>
                                  <w:color w:val="000000"/>
                                  <w:sz w:val="18"/>
                                  <w:szCs w:val="18"/>
                                </w:rPr>
                                <w:t>环境排放</w:t>
                              </w:r>
                            </w:p>
                          </w:txbxContent>
                        </wps:txbx>
                        <wps:bodyPr rot="0" vert="horz" wrap="square" lIns="91440" tIns="45720" rIns="91440" bIns="45720" anchor="ctr" anchorCtr="0" upright="1">
                          <a:noAutofit/>
                        </wps:bodyPr>
                      </wps:wsp>
                      <wps:wsp>
                        <wps:cNvPr id="7" name="矩形 7"/>
                        <wps:cNvSpPr>
                          <a:spLocks noChangeArrowheads="1"/>
                        </wps:cNvSpPr>
                        <wps:spPr bwMode="auto">
                          <a:xfrm>
                            <a:off x="611913" y="1423218"/>
                            <a:ext cx="2702455" cy="392405"/>
                          </a:xfrm>
                          <a:prstGeom prst="rect">
                            <a:avLst/>
                          </a:prstGeom>
                          <a:solidFill>
                            <a:schemeClr val="lt1">
                              <a:lumMod val="100000"/>
                              <a:lumOff val="0"/>
                            </a:schemeClr>
                          </a:solidFill>
                          <a:ln w="3175">
                            <a:solidFill>
                              <a:schemeClr val="dk1">
                                <a:lumMod val="100000"/>
                                <a:lumOff val="0"/>
                              </a:schemeClr>
                            </a:solidFill>
                            <a:miter lim="800000"/>
                          </a:ln>
                        </wps:spPr>
                        <wps:txbx>
                          <w:txbxContent>
                            <w:p w14:paraId="00429024" w14:textId="77777777" w:rsidR="00DD666C" w:rsidRDefault="00000000">
                              <w:pPr>
                                <w:pStyle w:val="afa"/>
                                <w:spacing w:before="0" w:beforeAutospacing="0" w:after="0" w:afterAutospacing="0"/>
                                <w:jc w:val="center"/>
                              </w:pPr>
                              <w:r>
                                <w:rPr>
                                  <w:rFonts w:ascii="Times New Roman" w:hint="eastAsia"/>
                                  <w:color w:val="000000"/>
                                  <w:sz w:val="18"/>
                                  <w:szCs w:val="18"/>
                                </w:rPr>
                                <w:t>基础设施</w:t>
                              </w:r>
                            </w:p>
                          </w:txbxContent>
                        </wps:txbx>
                        <wps:bodyPr rot="0" vert="horz" wrap="square" lIns="91440" tIns="45720" rIns="91440" bIns="45720" anchor="ctr" anchorCtr="0" upright="1">
                          <a:noAutofit/>
                        </wps:bodyPr>
                      </wps:wsp>
                      <wps:wsp>
                        <wps:cNvPr id="8" name="矩形 8"/>
                        <wps:cNvSpPr>
                          <a:spLocks noChangeArrowheads="1"/>
                        </wps:cNvSpPr>
                        <wps:spPr bwMode="auto">
                          <a:xfrm>
                            <a:off x="137703" y="122102"/>
                            <a:ext cx="369008" cy="1702822"/>
                          </a:xfrm>
                          <a:prstGeom prst="rect">
                            <a:avLst/>
                          </a:prstGeom>
                          <a:solidFill>
                            <a:schemeClr val="lt1">
                              <a:lumMod val="100000"/>
                              <a:lumOff val="0"/>
                            </a:schemeClr>
                          </a:solidFill>
                          <a:ln w="3175">
                            <a:solidFill>
                              <a:schemeClr val="dk1">
                                <a:lumMod val="100000"/>
                                <a:lumOff val="0"/>
                              </a:schemeClr>
                            </a:solidFill>
                            <a:miter lim="800000"/>
                          </a:ln>
                        </wps:spPr>
                        <wps:txbx>
                          <w:txbxContent>
                            <w:p w14:paraId="6978DA04" w14:textId="77777777" w:rsidR="00DD666C" w:rsidRDefault="00000000">
                              <w:pPr>
                                <w:pStyle w:val="afa"/>
                                <w:spacing w:before="0" w:beforeAutospacing="0" w:after="0" w:afterAutospacing="0"/>
                                <w:jc w:val="center"/>
                              </w:pPr>
                              <w:r>
                                <w:rPr>
                                  <w:rFonts w:ascii="Times New Roman" w:hint="eastAsia"/>
                                  <w:color w:val="000000"/>
                                  <w:sz w:val="18"/>
                                  <w:szCs w:val="18"/>
                                </w:rPr>
                                <w:t>基本要求</w:t>
                              </w:r>
                            </w:p>
                          </w:txbxContent>
                        </wps:txbx>
                        <wps:bodyPr rot="0" vert="horz" wrap="square" lIns="91440" tIns="45720" rIns="91440" bIns="45720" anchor="ctr" anchorCtr="0" upright="1">
                          <a:noAutofit/>
                        </wps:bodyPr>
                      </wps:wsp>
                      <wps:wsp>
                        <wps:cNvPr id="9" name="右箭头 9"/>
                        <wps:cNvSpPr>
                          <a:spLocks noChangeArrowheads="1"/>
                        </wps:cNvSpPr>
                        <wps:spPr bwMode="auto">
                          <a:xfrm>
                            <a:off x="1457630" y="713509"/>
                            <a:ext cx="1041621" cy="508907"/>
                          </a:xfrm>
                          <a:prstGeom prst="rightArrow">
                            <a:avLst>
                              <a:gd name="adj1" fmla="val 50000"/>
                              <a:gd name="adj2" fmla="val 49994"/>
                            </a:avLst>
                          </a:prstGeom>
                          <a:solidFill>
                            <a:schemeClr val="bg1">
                              <a:lumMod val="100000"/>
                              <a:lumOff val="0"/>
                            </a:schemeClr>
                          </a:solidFill>
                          <a:ln w="3175">
                            <a:solidFill>
                              <a:schemeClr val="tx1">
                                <a:lumMod val="100000"/>
                                <a:lumOff val="0"/>
                              </a:schemeClr>
                            </a:solidFill>
                            <a:prstDash val="dash"/>
                            <a:miter lim="800000"/>
                          </a:ln>
                        </wps:spPr>
                        <wps:txbx>
                          <w:txbxContent>
                            <w:p w14:paraId="1EE0F0F4" w14:textId="77777777" w:rsidR="00DD666C" w:rsidRDefault="00000000">
                              <w:pPr>
                                <w:jc w:val="center"/>
                                <w:rPr>
                                  <w:color w:val="000000" w:themeColor="text1"/>
                                  <w:sz w:val="18"/>
                                  <w:szCs w:val="18"/>
                                </w:rPr>
                              </w:pPr>
                              <w:r>
                                <w:rPr>
                                  <w:rFonts w:hint="eastAsia"/>
                                  <w:color w:val="000000" w:themeColor="text1"/>
                                  <w:sz w:val="18"/>
                                  <w:szCs w:val="18"/>
                                </w:rPr>
                                <w:t>生产过程</w:t>
                              </w:r>
                            </w:p>
                          </w:txbxContent>
                        </wps:txbx>
                        <wps:bodyPr rot="0" vert="horz" wrap="square" lIns="91440" tIns="45720" rIns="91440" bIns="45720" anchor="ctr" anchorCtr="0" upright="1">
                          <a:noAutofit/>
                        </wps:bodyPr>
                      </wps:wsp>
                    </wpc:wpc>
                  </a:graphicData>
                </a:graphic>
              </wp:inline>
            </w:drawing>
          </mc:Choice>
          <mc:Fallback>
            <w:pict>
              <v:group w14:anchorId="614FA11B" id="画布 10" o:spid="_x0000_s1026" editas="canvas" style="width:307.4pt;height:152.75pt;mso-position-horizontal-relative:char;mso-position-vertical-relative:line" coordsize="39039,1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039;height:19399;visibility:visible;mso-wrap-style:square">
                  <v:fill o:detectmouseclick="t"/>
                  <v:path o:connecttype="none"/>
                </v:shape>
                <v:rect id="矩形 1" o:spid="_x0000_s1028" style="position:absolute;left:6119;top:5406;width:7395;height:8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" fillcolor="white [3201]" strokecolor="black [3200]" strokeweight=".25pt">
                  <v:textbox>
                    <w:txbxContent>
                      <w:p w14:paraId="2264D92B" w14:textId="77777777" w:rsidR="00DD666C" w:rsidRDefault="00000000">
                        <w:pPr>
                          <w:jc w:val="center"/>
                          <w:rPr>
                            <w:color w:val="000000" w:themeColor="text1"/>
                            <w:sz w:val="18"/>
                            <w:szCs w:val="18"/>
                          </w:rPr>
                        </w:pPr>
                        <w:r>
                          <w:rPr>
                            <w:rFonts w:hint="eastAsia"/>
                            <w:color w:val="000000" w:themeColor="text1"/>
                            <w:sz w:val="18"/>
                            <w:szCs w:val="18"/>
                          </w:rPr>
                          <w:t>能源与资源投入</w:t>
                        </w:r>
                      </w:p>
                    </w:txbxContent>
                  </v:textbox>
                </v:rect>
                <v:rect id="矩形 3" o:spid="_x0000_s1029" style="position:absolute;left:6119;top:925;width:27024;height:3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" fillcolor="white [3201]" strokecolor="black [3200]" strokeweight=".25pt">
                  <v:textbox>
                    <w:txbxContent>
                      <w:p w14:paraId="25311F65" w14:textId="77777777" w:rsidR="00DD666C" w:rsidRDefault="00000000">
                        <w:pPr>
                          <w:pStyle w:val="afa"/>
                          <w:spacing w:before="0" w:beforeAutospacing="0" w:after="0" w:afterAutospacing="0"/>
                          <w:jc w:val="center"/>
                        </w:pPr>
                        <w:r>
                          <w:rPr>
                            <w:rFonts w:ascii="Times New Roman" w:hint="eastAsia"/>
                            <w:color w:val="000000"/>
                            <w:kern w:val="2"/>
                            <w:sz w:val="18"/>
                            <w:szCs w:val="18"/>
                          </w:rPr>
                          <w:t>管理体系</w:t>
                        </w:r>
                      </w:p>
                    </w:txbxContent>
                  </v:textbox>
                </v:rect>
                <v:rect id="矩形 4" o:spid="_x0000_s1030" style="position:absolute;left:34105;top:1118;width:3708;height:17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" fillcolor="white [3201]" strokecolor="black [3200]" strokeweight=".25pt">
                  <v:textbox>
                    <w:txbxContent>
                      <w:p w14:paraId="2F87CB5D" w14:textId="77777777" w:rsidR="00DD666C" w:rsidRDefault="00000000">
                        <w:pPr>
                          <w:pStyle w:val="afa"/>
                          <w:spacing w:before="0" w:beforeAutospacing="0" w:after="0" w:afterAutospacing="0"/>
                          <w:jc w:val="center"/>
                        </w:pPr>
                        <w:r>
                          <w:rPr>
                            <w:rFonts w:ascii="Times New Roman" w:hint="eastAsia"/>
                            <w:color w:val="000000"/>
                            <w:sz w:val="18"/>
                            <w:szCs w:val="18"/>
                          </w:rPr>
                          <w:t>绩效</w:t>
                        </w:r>
                      </w:p>
                    </w:txbxContent>
                  </v:textbox>
                </v:rect>
                <v:rect id="矩形 5" o:spid="_x0000_s1031" style="position:absolute;left:25613;top:5645;width:7391;height:3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" fillcolor="white [3201]" strokecolor="black [3200]" strokeweight=".25pt">
                  <v:textbox>
                    <w:txbxContent>
                      <w:p w14:paraId="70DDA5B7" w14:textId="77777777" w:rsidR="00DD666C" w:rsidRDefault="00000000">
                        <w:pPr>
                          <w:pStyle w:val="afa"/>
                          <w:spacing w:before="0" w:beforeAutospacing="0" w:after="0" w:afterAutospacing="0"/>
                          <w:jc w:val="center"/>
                        </w:pPr>
                        <w:r>
                          <w:rPr>
                            <w:rFonts w:ascii="Times New Roman" w:hint="eastAsia"/>
                            <w:color w:val="000000"/>
                            <w:sz w:val="18"/>
                            <w:szCs w:val="18"/>
                          </w:rPr>
                          <w:t>产品</w:t>
                        </w:r>
                      </w:p>
                    </w:txbxContent>
                  </v:textbox>
                </v:rect>
                <v:rect id="矩形 6" o:spid="_x0000_s1032" style="position:absolute;left:25613;top:9859;width:7391;height:3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" fillcolor="white [3201]" strokecolor="black [3200]" strokeweight=".25pt">
                  <v:textbox>
                    <w:txbxContent>
                      <w:p w14:paraId="5190F888" w14:textId="77777777" w:rsidR="00DD666C" w:rsidRDefault="00000000">
                        <w:pPr>
                          <w:pStyle w:val="afa"/>
                          <w:spacing w:before="0" w:beforeAutospacing="0" w:after="0" w:afterAutospacing="0"/>
                          <w:jc w:val="center"/>
                        </w:pPr>
                        <w:r>
                          <w:rPr>
                            <w:rFonts w:ascii="Times New Roman" w:hint="eastAsia"/>
                            <w:color w:val="000000"/>
                            <w:sz w:val="18"/>
                            <w:szCs w:val="18"/>
                          </w:rPr>
                          <w:t>环境排放</w:t>
                        </w:r>
                      </w:p>
                    </w:txbxContent>
                  </v:textbox>
                </v:rect>
                <v:rect id="矩形 7" o:spid="_x0000_s1033" style="position:absolute;left:6119;top:14232;width:27024;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" fillcolor="white [3201]" strokecolor="black [3200]" strokeweight=".25pt">
                  <v:textbox>
                    <w:txbxContent>
                      <w:p w14:paraId="00429024" w14:textId="77777777" w:rsidR="00DD666C" w:rsidRDefault="00000000">
                        <w:pPr>
                          <w:pStyle w:val="afa"/>
                          <w:spacing w:before="0" w:beforeAutospacing="0" w:after="0" w:afterAutospacing="0"/>
                          <w:jc w:val="center"/>
                        </w:pPr>
                        <w:r>
                          <w:rPr>
                            <w:rFonts w:ascii="Times New Roman" w:hint="eastAsia"/>
                            <w:color w:val="000000"/>
                            <w:sz w:val="18"/>
                            <w:szCs w:val="18"/>
                          </w:rPr>
                          <w:t>基础设施</w:t>
                        </w:r>
                      </w:p>
                    </w:txbxContent>
                  </v:textbox>
                </v:rect>
                <v:rect id="矩形 8" o:spid="_x0000_s1034" style="position:absolute;left:1377;top:1221;width:3690;height:17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" fillcolor="white [3201]" strokecolor="black [3200]" strokeweight=".25pt">
                  <v:textbox>
                    <w:txbxContent>
                      <w:p w14:paraId="6978DA04" w14:textId="77777777" w:rsidR="00DD666C" w:rsidRDefault="00000000">
                        <w:pPr>
                          <w:pStyle w:val="afa"/>
                          <w:spacing w:before="0" w:beforeAutospacing="0" w:after="0" w:afterAutospacing="0"/>
                          <w:jc w:val="center"/>
                        </w:pPr>
                        <w:r>
                          <w:rPr>
                            <w:rFonts w:ascii="Times New Roman" w:hint="eastAsia"/>
                            <w:color w:val="000000"/>
                            <w:sz w:val="18"/>
                            <w:szCs w:val="18"/>
                          </w:rPr>
                          <w:t>基本要求</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9" o:spid="_x0000_s1035" type="#_x0000_t13" style="position:absolute;left:14576;top:7135;width:10416;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" adj="16324" fillcolor="white [3212]" strokecolor="black [3213]" strokeweight=".25pt">
                  <v:stroke dashstyle="dash"/>
                  <v:textbox>
                    <w:txbxContent>
                      <w:p w14:paraId="1EE0F0F4" w14:textId="77777777" w:rsidR="00DD666C" w:rsidRDefault="00000000">
                        <w:pPr>
                          <w:jc w:val="center"/>
                          <w:rPr>
                            <w:color w:val="000000" w:themeColor="text1"/>
                            <w:sz w:val="18"/>
                            <w:szCs w:val="18"/>
                          </w:rPr>
                        </w:pPr>
                        <w:r>
                          <w:rPr>
                            <w:rFonts w:hint="eastAsia"/>
                            <w:color w:val="000000" w:themeColor="text1"/>
                            <w:sz w:val="18"/>
                            <w:szCs w:val="18"/>
                          </w:rPr>
                          <w:t>生产过程</w:t>
                        </w:r>
                      </w:p>
                    </w:txbxContent>
                  </v:textbox>
                </v:shape>
                <w10:anchorlock/>
              </v:group>
            </w:pict>
          </mc:Fallback>
        </mc:AlternateContent>
      </w:r>
    </w:p>
    <w:p w14:paraId="66E824EB" w14:textId="77777777" w:rsidR="00DD666C" w:rsidRDefault="00000000">
      <w:pPr>
        <w:pStyle w:val="a0"/>
        <w:spacing w:before="156" w:after="156"/>
        <w:rPr>
          <w:rFonts w:ascii="Times New Roman"/>
        </w:rPr>
      </w:pPr>
      <w:r>
        <w:rPr>
          <w:rFonts w:ascii="Times New Roman" w:hint="eastAsia"/>
        </w:rPr>
        <w:lastRenderedPageBreak/>
        <w:t>涂布镀锡或镀铬薄钢板制造</w:t>
      </w:r>
      <w:r>
        <w:rPr>
          <w:rFonts w:ascii="Times New Roman"/>
        </w:rPr>
        <w:t>业绿色工厂评价</w:t>
      </w:r>
      <w:r>
        <w:rPr>
          <w:rFonts w:ascii="Times New Roman" w:hint="eastAsia"/>
        </w:rPr>
        <w:t>体系</w:t>
      </w:r>
      <w:r>
        <w:rPr>
          <w:rFonts w:ascii="Times New Roman"/>
        </w:rPr>
        <w:t>框架示意图</w:t>
      </w:r>
    </w:p>
    <w:p w14:paraId="72DD2FC6" w14:textId="77777777" w:rsidR="00DD666C" w:rsidRDefault="00000000">
      <w:pPr>
        <w:spacing w:line="360" w:lineRule="auto"/>
        <w:ind w:firstLineChars="200" w:firstLine="480"/>
        <w:rPr>
          <w:kern w:val="0"/>
          <w:sz w:val="24"/>
        </w:rPr>
      </w:pPr>
      <w:r>
        <w:rPr>
          <w:rFonts w:hint="eastAsia"/>
          <w:kern w:val="0"/>
          <w:sz w:val="24"/>
        </w:rPr>
        <w:t>涂布镀锡或镀铬薄钢板制造</w:t>
      </w:r>
      <w:r>
        <w:rPr>
          <w:kern w:val="0"/>
          <w:sz w:val="24"/>
        </w:rPr>
        <w:t>业绿色工厂</w:t>
      </w:r>
      <w:r>
        <w:rPr>
          <w:rFonts w:hint="eastAsia"/>
          <w:kern w:val="0"/>
          <w:sz w:val="24"/>
        </w:rPr>
        <w:t>评价</w:t>
      </w:r>
      <w:r>
        <w:rPr>
          <w:kern w:val="0"/>
          <w:sz w:val="24"/>
        </w:rPr>
        <w:t>指标</w:t>
      </w:r>
      <w:r>
        <w:rPr>
          <w:rFonts w:hint="eastAsia"/>
          <w:kern w:val="0"/>
          <w:sz w:val="24"/>
        </w:rPr>
        <w:t>包括</w:t>
      </w:r>
      <w:r>
        <w:rPr>
          <w:kern w:val="0"/>
          <w:sz w:val="24"/>
        </w:rPr>
        <w:t>了</w:t>
      </w:r>
      <w:r>
        <w:rPr>
          <w:rFonts w:hint="eastAsia"/>
          <w:kern w:val="0"/>
          <w:sz w:val="24"/>
        </w:rPr>
        <w:t>定性指标和定量指标，定性指标主要侧重在应满足的法律法规、节能环保、工艺技术、相关标准等方面要求；定量指标主要侧重在能够反映工厂层面的绿色特性指标</w:t>
      </w:r>
      <w:r>
        <w:rPr>
          <w:kern w:val="0"/>
          <w:sz w:val="24"/>
        </w:rPr>
        <w:t>。</w:t>
      </w:r>
    </w:p>
    <w:p w14:paraId="2A7EA80E" w14:textId="77777777" w:rsidR="00DD666C" w:rsidRDefault="00000000">
      <w:pPr>
        <w:spacing w:line="360" w:lineRule="auto"/>
        <w:ind w:firstLineChars="200" w:firstLine="480"/>
        <w:rPr>
          <w:kern w:val="0"/>
          <w:sz w:val="24"/>
        </w:rPr>
      </w:pPr>
      <w:r>
        <w:rPr>
          <w:rFonts w:hint="eastAsia"/>
          <w:kern w:val="0"/>
          <w:sz w:val="24"/>
        </w:rPr>
        <w:t>涂布镀锡或镀铬薄钢板制造</w:t>
      </w:r>
      <w:r>
        <w:rPr>
          <w:kern w:val="0"/>
          <w:sz w:val="24"/>
        </w:rPr>
        <w:t>业</w:t>
      </w:r>
      <w:r>
        <w:rPr>
          <w:rFonts w:hint="eastAsia"/>
          <w:kern w:val="0"/>
          <w:sz w:val="24"/>
        </w:rPr>
        <w:t>绿色工厂评价采用定量评价和定性评价相结合的方法，根据实际需要可采用下述评价方法，也可采取下述方法组合或集成的方法。</w:t>
      </w:r>
    </w:p>
    <w:p w14:paraId="5801F4EE" w14:textId="77777777" w:rsidR="00DD666C" w:rsidRDefault="00000000">
      <w:pPr>
        <w:spacing w:line="360" w:lineRule="auto"/>
        <w:ind w:firstLineChars="200" w:firstLine="480"/>
        <w:rPr>
          <w:kern w:val="0"/>
          <w:sz w:val="24"/>
        </w:rPr>
      </w:pPr>
      <w:r>
        <w:rPr>
          <w:rFonts w:hint="eastAsia"/>
          <w:kern w:val="0"/>
          <w:sz w:val="24"/>
        </w:rPr>
        <w:t>a</w:t>
      </w:r>
      <w:r>
        <w:rPr>
          <w:rFonts w:hint="eastAsia"/>
          <w:kern w:val="0"/>
          <w:sz w:val="24"/>
        </w:rPr>
        <w:t>）</w:t>
      </w:r>
      <w:r>
        <w:rPr>
          <w:rFonts w:hint="eastAsia"/>
          <w:kern w:val="0"/>
          <w:sz w:val="24"/>
        </w:rPr>
        <w:tab/>
      </w:r>
      <w:r>
        <w:rPr>
          <w:rFonts w:hint="eastAsia"/>
          <w:kern w:val="0"/>
          <w:sz w:val="24"/>
        </w:rPr>
        <w:t>标准对照法；</w:t>
      </w:r>
    </w:p>
    <w:p w14:paraId="5E1E321D" w14:textId="77777777" w:rsidR="00DD666C" w:rsidRDefault="00000000">
      <w:pPr>
        <w:spacing w:line="360" w:lineRule="auto"/>
        <w:ind w:firstLineChars="200" w:firstLine="480"/>
        <w:rPr>
          <w:kern w:val="0"/>
          <w:sz w:val="24"/>
        </w:rPr>
      </w:pPr>
      <w:r>
        <w:rPr>
          <w:rFonts w:hint="eastAsia"/>
          <w:kern w:val="0"/>
          <w:sz w:val="24"/>
        </w:rPr>
        <w:t>b</w:t>
      </w:r>
      <w:r>
        <w:rPr>
          <w:rFonts w:hint="eastAsia"/>
          <w:kern w:val="0"/>
          <w:sz w:val="24"/>
        </w:rPr>
        <w:t>）类比分析法；</w:t>
      </w:r>
    </w:p>
    <w:p w14:paraId="477572B4" w14:textId="77777777" w:rsidR="00DD666C" w:rsidRDefault="00000000">
      <w:pPr>
        <w:spacing w:line="360" w:lineRule="auto"/>
        <w:ind w:firstLineChars="200" w:firstLine="480"/>
        <w:rPr>
          <w:kern w:val="0"/>
          <w:sz w:val="24"/>
        </w:rPr>
      </w:pPr>
      <w:r>
        <w:rPr>
          <w:rFonts w:hint="eastAsia"/>
          <w:kern w:val="0"/>
          <w:sz w:val="24"/>
        </w:rPr>
        <w:t>c</w:t>
      </w:r>
      <w:r>
        <w:rPr>
          <w:rFonts w:hint="eastAsia"/>
          <w:kern w:val="0"/>
          <w:sz w:val="24"/>
        </w:rPr>
        <w:t>）</w:t>
      </w:r>
      <w:r>
        <w:rPr>
          <w:rFonts w:hint="eastAsia"/>
          <w:kern w:val="0"/>
          <w:sz w:val="24"/>
        </w:rPr>
        <w:tab/>
      </w:r>
      <w:r>
        <w:rPr>
          <w:rFonts w:hint="eastAsia"/>
          <w:kern w:val="0"/>
          <w:sz w:val="24"/>
        </w:rPr>
        <w:t>专家打分法；</w:t>
      </w:r>
    </w:p>
    <w:p w14:paraId="7FBE3A01" w14:textId="77777777" w:rsidR="00DD666C" w:rsidRDefault="00000000">
      <w:pPr>
        <w:spacing w:line="360" w:lineRule="auto"/>
        <w:ind w:firstLineChars="200" w:firstLine="480"/>
        <w:rPr>
          <w:kern w:val="0"/>
          <w:sz w:val="24"/>
        </w:rPr>
      </w:pPr>
      <w:r>
        <w:rPr>
          <w:rFonts w:hint="eastAsia"/>
          <w:kern w:val="0"/>
          <w:sz w:val="24"/>
        </w:rPr>
        <w:t>d</w:t>
      </w:r>
      <w:r>
        <w:rPr>
          <w:rFonts w:hint="eastAsia"/>
          <w:kern w:val="0"/>
          <w:sz w:val="24"/>
        </w:rPr>
        <w:t>）其他方法。</w:t>
      </w:r>
    </w:p>
    <w:p w14:paraId="3FC437AB" w14:textId="77777777" w:rsidR="00DD666C" w:rsidRDefault="00000000">
      <w:pPr>
        <w:pStyle w:val="af"/>
        <w:spacing w:line="440" w:lineRule="exact"/>
        <w:ind w:firstLineChars="200" w:firstLine="482"/>
        <w:outlineLvl w:val="2"/>
        <w:rPr>
          <w:rFonts w:ascii="Times New Roman" w:eastAsia="宋体"/>
          <w:b/>
          <w:kern w:val="0"/>
          <w:sz w:val="24"/>
          <w:szCs w:val="24"/>
        </w:rPr>
      </w:pPr>
      <w:bookmarkStart w:id="8" w:name="_Toc23770168"/>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5</w:t>
      </w:r>
      <w:r>
        <w:rPr>
          <w:rFonts w:ascii="Times New Roman" w:eastAsia="宋体" w:hint="eastAsia"/>
          <w:b/>
          <w:kern w:val="0"/>
          <w:sz w:val="24"/>
          <w:szCs w:val="24"/>
        </w:rPr>
        <w:t>指标要求及来源</w:t>
      </w:r>
      <w:bookmarkEnd w:id="8"/>
    </w:p>
    <w:p w14:paraId="659865F9"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涂布镀锡或镀铬薄钢板制造</w:t>
      </w:r>
      <w:r>
        <w:rPr>
          <w:kern w:val="0"/>
          <w:sz w:val="24"/>
        </w:rPr>
        <w:t>业</w:t>
      </w:r>
      <w:r>
        <w:rPr>
          <w:rFonts w:hint="eastAsia"/>
          <w:kern w:val="0"/>
          <w:sz w:val="24"/>
        </w:rPr>
        <w:t>绿色工厂评价指标参照《绿色工厂评价通则》（</w:t>
      </w:r>
      <w:r>
        <w:rPr>
          <w:rFonts w:hint="eastAsia"/>
          <w:kern w:val="0"/>
          <w:sz w:val="24"/>
        </w:rPr>
        <w:t>GB/T 36132</w:t>
      </w:r>
      <w:r>
        <w:rPr>
          <w:rFonts w:hint="eastAsia"/>
          <w:kern w:val="0"/>
          <w:sz w:val="24"/>
        </w:rPr>
        <w:t>）给出，并根据涂布镀锡或镀铬薄钢板行业特点，删除了部分不适用指标，并增加了涂布镀锡或镀铬薄钢板制造</w:t>
      </w:r>
      <w:r>
        <w:rPr>
          <w:kern w:val="0"/>
          <w:sz w:val="24"/>
        </w:rPr>
        <w:t>业</w:t>
      </w:r>
      <w:r>
        <w:rPr>
          <w:rFonts w:hint="eastAsia"/>
          <w:kern w:val="0"/>
          <w:sz w:val="24"/>
        </w:rPr>
        <w:t>在绿色工厂创建过程中应满足的部分具有行业特点的指标。涂布镀锡或镀铬薄钢板制造业绿色工厂评价指标的一级指标包括基本要求、基础设施、管理体系、能源资源投入、产品、环境排放和绩效等七类，每类一级指标又由若干个二级指标组成。</w:t>
      </w:r>
    </w:p>
    <w:p w14:paraId="228CECE8"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指标分为必选指标和可选指标，其中，必选指标为要求工厂应达到的基础性要求，必选指标不达标的不能评价为绿色工厂，可选指标为希望工厂努力达到的提高性要求，可选指标具有一定的先进性。</w:t>
      </w:r>
    </w:p>
    <w:p w14:paraId="136945E5" w14:textId="77777777" w:rsidR="00DD666C" w:rsidRDefault="00000000">
      <w:pPr>
        <w:pStyle w:val="4"/>
        <w:spacing w:before="0" w:after="0" w:line="377" w:lineRule="auto"/>
        <w:rPr>
          <w:rFonts w:ascii="Times New Roman" w:hAnsi="Times New Roman"/>
          <w:sz w:val="24"/>
        </w:rPr>
      </w:pPr>
      <w:r>
        <w:rPr>
          <w:rFonts w:ascii="Times New Roman" w:hAnsi="Times New Roman" w:hint="eastAsia"/>
          <w:sz w:val="24"/>
        </w:rPr>
        <w:t>2</w:t>
      </w:r>
      <w:r>
        <w:rPr>
          <w:rFonts w:ascii="Times New Roman" w:hAnsi="Times New Roman"/>
          <w:sz w:val="24"/>
        </w:rPr>
        <w:t xml:space="preserve">.5.1  </w:t>
      </w:r>
      <w:r>
        <w:rPr>
          <w:rFonts w:ascii="Times New Roman" w:hAnsi="Times New Roman"/>
          <w:sz w:val="24"/>
        </w:rPr>
        <w:t>基本要求</w:t>
      </w:r>
    </w:p>
    <w:p w14:paraId="48AB0BDA" w14:textId="77777777" w:rsidR="00DD666C" w:rsidRDefault="00000000">
      <w:pPr>
        <w:autoSpaceDE w:val="0"/>
        <w:autoSpaceDN w:val="0"/>
        <w:adjustRightInd w:val="0"/>
        <w:spacing w:line="440" w:lineRule="exact"/>
        <w:ind w:firstLineChars="200" w:firstLine="480"/>
        <w:jc w:val="left"/>
        <w:rPr>
          <w:kern w:val="0"/>
          <w:sz w:val="24"/>
        </w:rPr>
      </w:pPr>
      <w:r>
        <w:rPr>
          <w:rFonts w:hint="eastAsia"/>
          <w:kern w:val="0"/>
          <w:sz w:val="24"/>
        </w:rPr>
        <w:t>基本要求具体包括：合</w:t>
      </w:r>
      <w:proofErr w:type="gramStart"/>
      <w:r>
        <w:rPr>
          <w:rFonts w:hint="eastAsia"/>
          <w:kern w:val="0"/>
          <w:sz w:val="24"/>
        </w:rPr>
        <w:t>规</w:t>
      </w:r>
      <w:proofErr w:type="gramEnd"/>
      <w:r>
        <w:rPr>
          <w:rFonts w:hint="eastAsia"/>
          <w:kern w:val="0"/>
          <w:sz w:val="24"/>
        </w:rPr>
        <w:t>性要求、管理职责要求，全部为必选指标，且为一票否决指标。</w:t>
      </w:r>
    </w:p>
    <w:p w14:paraId="64F283BC" w14:textId="77777777" w:rsidR="00DD666C" w:rsidRDefault="00000000">
      <w:pPr>
        <w:autoSpaceDE w:val="0"/>
        <w:autoSpaceDN w:val="0"/>
        <w:adjustRightInd w:val="0"/>
        <w:spacing w:line="440" w:lineRule="exact"/>
        <w:ind w:firstLineChars="200" w:firstLine="480"/>
        <w:jc w:val="left"/>
        <w:rPr>
          <w:kern w:val="0"/>
          <w:sz w:val="24"/>
        </w:rPr>
      </w:pPr>
      <w:r>
        <w:rPr>
          <w:rFonts w:hint="eastAsia"/>
          <w:kern w:val="0"/>
          <w:sz w:val="24"/>
        </w:rPr>
        <w:t>合</w:t>
      </w:r>
      <w:proofErr w:type="gramStart"/>
      <w:r>
        <w:rPr>
          <w:rFonts w:hint="eastAsia"/>
          <w:kern w:val="0"/>
          <w:sz w:val="24"/>
        </w:rPr>
        <w:t>规</w:t>
      </w:r>
      <w:proofErr w:type="gramEnd"/>
      <w:r>
        <w:rPr>
          <w:rFonts w:hint="eastAsia"/>
          <w:kern w:val="0"/>
          <w:sz w:val="24"/>
        </w:rPr>
        <w:t>性要求从符合法律法规、产业政策、依法排污、无事故证明、企业信用等方面对工厂进行了规定；管理职责要求从最高管理者领导作用和承诺、职责和权限分配、管理组织机构、中长期规划、教育与培训等方面进行了规定。</w:t>
      </w:r>
    </w:p>
    <w:p w14:paraId="46B49F75" w14:textId="77777777" w:rsidR="00DD666C" w:rsidRDefault="00000000">
      <w:pPr>
        <w:pStyle w:val="4"/>
        <w:spacing w:before="0" w:after="0" w:line="377" w:lineRule="auto"/>
        <w:rPr>
          <w:rFonts w:ascii="Times New Roman" w:hAnsi="Times New Roman"/>
          <w:sz w:val="24"/>
        </w:rPr>
      </w:pPr>
      <w:r>
        <w:rPr>
          <w:rFonts w:ascii="Times New Roman" w:hAnsi="Times New Roman" w:hint="eastAsia"/>
          <w:sz w:val="24"/>
        </w:rPr>
        <w:t xml:space="preserve">2.5.2  </w:t>
      </w:r>
      <w:r>
        <w:rPr>
          <w:rFonts w:ascii="Times New Roman" w:hAnsi="Times New Roman" w:hint="eastAsia"/>
          <w:sz w:val="24"/>
        </w:rPr>
        <w:t>基础设施</w:t>
      </w:r>
    </w:p>
    <w:p w14:paraId="1A563561" w14:textId="77777777" w:rsidR="00DD666C" w:rsidRDefault="00000000">
      <w:pPr>
        <w:autoSpaceDE w:val="0"/>
        <w:autoSpaceDN w:val="0"/>
        <w:adjustRightInd w:val="0"/>
        <w:spacing w:line="440" w:lineRule="exact"/>
        <w:ind w:firstLineChars="200" w:firstLine="480"/>
        <w:jc w:val="left"/>
        <w:rPr>
          <w:kern w:val="0"/>
          <w:sz w:val="24"/>
        </w:rPr>
      </w:pPr>
      <w:r>
        <w:rPr>
          <w:rFonts w:hint="eastAsia"/>
          <w:kern w:val="0"/>
          <w:sz w:val="24"/>
        </w:rPr>
        <w:t>基础设施要求包括建筑设施、专用设备设施、通用设备设施、计量设施、污染物处理设备设施和照明六方面的评价指标。</w:t>
      </w:r>
    </w:p>
    <w:p w14:paraId="784A96F6" w14:textId="77777777" w:rsidR="00DD666C" w:rsidRDefault="00000000">
      <w:pPr>
        <w:pStyle w:val="4"/>
        <w:spacing w:before="0" w:after="0" w:line="377" w:lineRule="auto"/>
        <w:rPr>
          <w:rFonts w:ascii="Times New Roman" w:hAnsi="Times New Roman"/>
          <w:sz w:val="24"/>
        </w:rPr>
      </w:pPr>
      <w:r>
        <w:rPr>
          <w:rFonts w:ascii="Times New Roman" w:hAnsi="Times New Roman" w:hint="eastAsia"/>
          <w:sz w:val="24"/>
        </w:rPr>
        <w:lastRenderedPageBreak/>
        <w:t xml:space="preserve">2.5.3  </w:t>
      </w:r>
      <w:r>
        <w:rPr>
          <w:rFonts w:ascii="Times New Roman" w:hAnsi="Times New Roman" w:hint="eastAsia"/>
          <w:sz w:val="24"/>
        </w:rPr>
        <w:t>管理体系</w:t>
      </w:r>
    </w:p>
    <w:p w14:paraId="608E5B91" w14:textId="77777777" w:rsidR="00DD666C" w:rsidRDefault="00000000">
      <w:pPr>
        <w:autoSpaceDE w:val="0"/>
        <w:autoSpaceDN w:val="0"/>
        <w:adjustRightInd w:val="0"/>
        <w:spacing w:line="440" w:lineRule="exact"/>
        <w:ind w:firstLineChars="200" w:firstLine="480"/>
        <w:jc w:val="left"/>
        <w:rPr>
          <w:kern w:val="0"/>
          <w:sz w:val="24"/>
        </w:rPr>
      </w:pPr>
      <w:r>
        <w:rPr>
          <w:rFonts w:hint="eastAsia"/>
          <w:kern w:val="0"/>
          <w:sz w:val="24"/>
        </w:rPr>
        <w:t>管理体系指标具体包括环境管理体系、能源管理体系、质量管理体系、食品安全管理体系、职业健康安全管理体系和社会责任等，必选指标为工厂应建立、实施并保持满足上述五种管理体系，可选指标为工厂通过上述五种管理体系的第三方机构认证并有效运行，以及工厂每年发布了社会责任报告。</w:t>
      </w:r>
    </w:p>
    <w:p w14:paraId="505BC1C9" w14:textId="77777777" w:rsidR="00DD666C" w:rsidRDefault="00000000">
      <w:pPr>
        <w:pStyle w:val="4"/>
        <w:spacing w:before="0" w:after="0" w:line="377" w:lineRule="auto"/>
        <w:rPr>
          <w:rFonts w:ascii="Times New Roman" w:hAnsi="Times New Roman"/>
          <w:sz w:val="24"/>
        </w:rPr>
      </w:pPr>
      <w:r>
        <w:rPr>
          <w:rFonts w:ascii="Times New Roman" w:hAnsi="Times New Roman" w:hint="eastAsia"/>
          <w:sz w:val="24"/>
        </w:rPr>
        <w:t xml:space="preserve">2.5.4  </w:t>
      </w:r>
      <w:r>
        <w:rPr>
          <w:rFonts w:ascii="Times New Roman" w:hAnsi="Times New Roman" w:hint="eastAsia"/>
          <w:sz w:val="24"/>
        </w:rPr>
        <w:t>能源与资源投入</w:t>
      </w:r>
    </w:p>
    <w:p w14:paraId="6B261C60"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能源与资源投入指标具体包括能源投入、资源投入和采购等三个指标。</w:t>
      </w:r>
    </w:p>
    <w:p w14:paraId="301B7F58"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能源投入、资源投入和采购的具体要求均以《绿色工厂评价通则》（</w:t>
      </w:r>
      <w:r>
        <w:rPr>
          <w:rFonts w:hint="eastAsia"/>
          <w:kern w:val="0"/>
          <w:sz w:val="24"/>
        </w:rPr>
        <w:t>GB/T 36132</w:t>
      </w:r>
      <w:r>
        <w:rPr>
          <w:rFonts w:hint="eastAsia"/>
          <w:kern w:val="0"/>
          <w:sz w:val="24"/>
        </w:rPr>
        <w:t>）中的内容为基础确定。资源投入指标中，结合涂布镀锡或镀铬薄钢板制造业特点，采取必要措施减少原材料用</w:t>
      </w:r>
      <w:r>
        <w:rPr>
          <w:kern w:val="0"/>
          <w:sz w:val="24"/>
        </w:rPr>
        <w:t>量</w:t>
      </w:r>
      <w:r>
        <w:rPr>
          <w:rFonts w:hint="eastAsia"/>
          <w:kern w:val="0"/>
          <w:sz w:val="24"/>
        </w:rPr>
        <w:t>，尤其是有害物质的使用，评估有害物质及化学品减量使用或替代的可能性。</w:t>
      </w:r>
    </w:p>
    <w:p w14:paraId="29F11F2C" w14:textId="77777777" w:rsidR="00DD666C" w:rsidRDefault="00000000">
      <w:pPr>
        <w:pStyle w:val="4"/>
        <w:spacing w:before="0" w:after="0" w:line="377" w:lineRule="auto"/>
        <w:rPr>
          <w:rFonts w:ascii="Times New Roman" w:hAnsi="Times New Roman"/>
          <w:sz w:val="24"/>
        </w:rPr>
      </w:pPr>
      <w:r>
        <w:rPr>
          <w:rFonts w:ascii="Times New Roman" w:hAnsi="Times New Roman" w:hint="eastAsia"/>
          <w:sz w:val="24"/>
        </w:rPr>
        <w:t xml:space="preserve">2.5.5  </w:t>
      </w:r>
      <w:r>
        <w:rPr>
          <w:rFonts w:ascii="Times New Roman" w:hAnsi="Times New Roman" w:hint="eastAsia"/>
          <w:sz w:val="24"/>
        </w:rPr>
        <w:t>产品</w:t>
      </w:r>
    </w:p>
    <w:p w14:paraId="2245AA69"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针对生态设计产品、绿色产品要求，引用《产品生态设计通则》（</w:t>
      </w:r>
      <w:r>
        <w:rPr>
          <w:rFonts w:hint="eastAsia"/>
          <w:kern w:val="0"/>
          <w:sz w:val="24"/>
        </w:rPr>
        <w:t>GB/T 24256</w:t>
      </w:r>
      <w:r>
        <w:rPr>
          <w:rFonts w:hint="eastAsia"/>
          <w:kern w:val="0"/>
          <w:sz w:val="24"/>
        </w:rPr>
        <w:t>）、《生态设计产品评价通则》（</w:t>
      </w:r>
      <w:r>
        <w:rPr>
          <w:rFonts w:hint="eastAsia"/>
          <w:kern w:val="0"/>
          <w:sz w:val="24"/>
        </w:rPr>
        <w:t>GB/T 32161</w:t>
      </w:r>
      <w:r>
        <w:rPr>
          <w:rFonts w:hint="eastAsia"/>
          <w:kern w:val="0"/>
          <w:sz w:val="24"/>
        </w:rPr>
        <w:t>）和</w:t>
      </w:r>
      <w:r>
        <w:rPr>
          <w:rFonts w:hint="eastAsia"/>
          <w:kern w:val="0"/>
          <w:sz w:val="24"/>
        </w:rPr>
        <w:t xml:space="preserve">GB </w:t>
      </w:r>
      <w:r>
        <w:rPr>
          <w:kern w:val="0"/>
          <w:sz w:val="24"/>
        </w:rPr>
        <w:t>2762</w:t>
      </w:r>
      <w:r>
        <w:rPr>
          <w:rFonts w:hint="eastAsia"/>
          <w:kern w:val="0"/>
          <w:sz w:val="24"/>
        </w:rPr>
        <w:t>中的污染物限量规定，将产品符合上述要求作为可选指标。将碳足迹核算或核查及改进计划、结果公布等作为涂布镀锡或镀铬薄钢板制造业创建绿色工厂的可选指标，以促进企业进一步从产品全生命周期角度出发，减少污染物排放。</w:t>
      </w:r>
    </w:p>
    <w:p w14:paraId="65A7464C" w14:textId="77777777" w:rsidR="00DD666C" w:rsidRDefault="00000000">
      <w:pPr>
        <w:pStyle w:val="4"/>
        <w:spacing w:before="0" w:after="0" w:line="377" w:lineRule="auto"/>
        <w:rPr>
          <w:rFonts w:ascii="Times New Roman" w:hAnsi="Times New Roman"/>
          <w:sz w:val="24"/>
        </w:rPr>
      </w:pPr>
      <w:r>
        <w:rPr>
          <w:rFonts w:ascii="Times New Roman" w:hAnsi="Times New Roman" w:hint="eastAsia"/>
          <w:sz w:val="24"/>
        </w:rPr>
        <w:t xml:space="preserve">2.5.6  </w:t>
      </w:r>
      <w:r>
        <w:rPr>
          <w:rFonts w:ascii="Times New Roman" w:hAnsi="Times New Roman" w:hint="eastAsia"/>
          <w:sz w:val="24"/>
        </w:rPr>
        <w:t>环境排放</w:t>
      </w:r>
    </w:p>
    <w:p w14:paraId="5D40CEBD"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环境排放指标在《绿色工厂评价通则》（</w:t>
      </w:r>
      <w:r>
        <w:rPr>
          <w:rFonts w:hint="eastAsia"/>
          <w:kern w:val="0"/>
          <w:sz w:val="24"/>
        </w:rPr>
        <w:t>GB/T 36132</w:t>
      </w:r>
      <w:r>
        <w:rPr>
          <w:rFonts w:hint="eastAsia"/>
          <w:kern w:val="0"/>
          <w:sz w:val="24"/>
        </w:rPr>
        <w:t>）规定的大气污染物、水体污染物、固体废物、噪声和温室气体排放等指标的基础之上，增加了污染物排放管理要求，其目的是加强企业污染物排放的台账管理，确保相关部门开展相关监管工作时有据可循。</w:t>
      </w:r>
    </w:p>
    <w:p w14:paraId="1A480F8A" w14:textId="4BF75A32" w:rsidR="00DD666C" w:rsidRDefault="00000000" w:rsidP="008900F3">
      <w:pPr>
        <w:autoSpaceDE w:val="0"/>
        <w:autoSpaceDN w:val="0"/>
        <w:adjustRightInd w:val="0"/>
        <w:spacing w:line="440" w:lineRule="exact"/>
        <w:ind w:firstLineChars="200" w:firstLine="480"/>
        <w:rPr>
          <w:kern w:val="0"/>
          <w:sz w:val="24"/>
        </w:rPr>
      </w:pPr>
      <w:r w:rsidRPr="006E7C07">
        <w:rPr>
          <w:rFonts w:hint="eastAsia"/>
          <w:kern w:val="0"/>
          <w:sz w:val="24"/>
        </w:rPr>
        <w:t>大气污染</w:t>
      </w:r>
      <w:proofErr w:type="gramStart"/>
      <w:r w:rsidRPr="006E7C07">
        <w:rPr>
          <w:rFonts w:hint="eastAsia"/>
          <w:kern w:val="0"/>
          <w:sz w:val="24"/>
        </w:rPr>
        <w:t>物指标</w:t>
      </w:r>
      <w:proofErr w:type="gramEnd"/>
      <w:r w:rsidRPr="006E7C07">
        <w:rPr>
          <w:rFonts w:hint="eastAsia"/>
          <w:kern w:val="0"/>
          <w:sz w:val="24"/>
        </w:rPr>
        <w:t>中将厂区内挥发性有机物无组织废气排放浓度符合《挥发性有机物无组织排放控制标准》（</w:t>
      </w:r>
      <w:r w:rsidRPr="006E7C07">
        <w:rPr>
          <w:rFonts w:hint="eastAsia"/>
          <w:kern w:val="0"/>
          <w:sz w:val="24"/>
        </w:rPr>
        <w:t>GB 37822</w:t>
      </w:r>
      <w:r w:rsidR="006E7C07" w:rsidRPr="006E7C07">
        <w:rPr>
          <w:rFonts w:hint="eastAsia"/>
          <w:kern w:val="0"/>
          <w:sz w:val="24"/>
        </w:rPr>
        <w:t>—</w:t>
      </w:r>
      <w:r w:rsidRPr="006E7C07">
        <w:rPr>
          <w:rFonts w:hint="eastAsia"/>
          <w:kern w:val="0"/>
          <w:sz w:val="24"/>
        </w:rPr>
        <w:t>2019</w:t>
      </w:r>
      <w:r w:rsidRPr="006E7C07">
        <w:rPr>
          <w:rFonts w:hint="eastAsia"/>
          <w:kern w:val="0"/>
          <w:sz w:val="24"/>
        </w:rPr>
        <w:t>）及地</w:t>
      </w:r>
      <w:r>
        <w:rPr>
          <w:rFonts w:hint="eastAsia"/>
          <w:kern w:val="0"/>
          <w:sz w:val="24"/>
        </w:rPr>
        <w:t>方标准要求作为必选指标，突出对挥发性有机废气的收集与治理过程的有效管控，与当下大气污染物排放管理方向保持一致。</w:t>
      </w:r>
    </w:p>
    <w:p w14:paraId="5988E3AB" w14:textId="77777777" w:rsidR="00DD666C" w:rsidRDefault="00000000">
      <w:pPr>
        <w:pStyle w:val="4"/>
        <w:spacing w:before="0" w:after="0" w:line="377" w:lineRule="auto"/>
        <w:rPr>
          <w:sz w:val="24"/>
        </w:rPr>
      </w:pPr>
      <w:r>
        <w:rPr>
          <w:rFonts w:ascii="Times New Roman" w:hAnsi="Times New Roman" w:hint="eastAsia"/>
          <w:sz w:val="24"/>
        </w:rPr>
        <w:t xml:space="preserve">2.5.7  </w:t>
      </w:r>
      <w:r>
        <w:rPr>
          <w:rFonts w:ascii="Times New Roman" w:hAnsi="Times New Roman" w:hint="eastAsia"/>
          <w:sz w:val="24"/>
        </w:rPr>
        <w:t>绩效</w:t>
      </w:r>
    </w:p>
    <w:p w14:paraId="7392FC59"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绩效指标从用地集约化、原料无害化、生产洁净化、废物资源化和能源低碳化五个方面提出了具体的指标要求，主要内容与《绿色工厂评价通则》（</w:t>
      </w:r>
      <w:r>
        <w:rPr>
          <w:rFonts w:hint="eastAsia"/>
          <w:kern w:val="0"/>
          <w:sz w:val="24"/>
        </w:rPr>
        <w:t>GB/T 36132</w:t>
      </w:r>
      <w:r>
        <w:rPr>
          <w:rFonts w:hint="eastAsia"/>
          <w:kern w:val="0"/>
          <w:sz w:val="24"/>
        </w:rPr>
        <w:t>）相一致。</w:t>
      </w:r>
    </w:p>
    <w:p w14:paraId="68E7CB61" w14:textId="4F760E91" w:rsidR="00DD666C" w:rsidRPr="006E7C07" w:rsidRDefault="00000000" w:rsidP="008900F3">
      <w:pPr>
        <w:autoSpaceDE w:val="0"/>
        <w:autoSpaceDN w:val="0"/>
        <w:adjustRightInd w:val="0"/>
        <w:spacing w:line="440" w:lineRule="exact"/>
        <w:ind w:firstLineChars="200" w:firstLine="480"/>
        <w:rPr>
          <w:kern w:val="0"/>
          <w:sz w:val="24"/>
        </w:rPr>
      </w:pPr>
      <w:r>
        <w:rPr>
          <w:rFonts w:hint="eastAsia"/>
          <w:kern w:val="0"/>
          <w:sz w:val="24"/>
        </w:rPr>
        <w:t>涂布镀锡或镀铬薄钢板制造业</w:t>
      </w:r>
      <w:r w:rsidRPr="00584614">
        <w:rPr>
          <w:rFonts w:hint="eastAsia"/>
          <w:kern w:val="0"/>
          <w:sz w:val="24"/>
        </w:rPr>
        <w:t>的生产原料无害化主要体现为绿色环保原材</w:t>
      </w:r>
      <w:r w:rsidRPr="00584614">
        <w:rPr>
          <w:rFonts w:hint="eastAsia"/>
          <w:kern w:val="0"/>
          <w:sz w:val="24"/>
        </w:rPr>
        <w:lastRenderedPageBreak/>
        <w:t>料的使用比例，绿色环保原材料包括镀</w:t>
      </w:r>
      <w:r w:rsidRPr="00584614">
        <w:rPr>
          <w:kern w:val="0"/>
          <w:sz w:val="24"/>
        </w:rPr>
        <w:t>锡</w:t>
      </w:r>
      <w:r w:rsidRPr="00584614">
        <w:rPr>
          <w:rFonts w:hint="eastAsia"/>
          <w:kern w:val="0"/>
          <w:sz w:val="24"/>
        </w:rPr>
        <w:t>或镀铬</w:t>
      </w:r>
      <w:r w:rsidRPr="00584614">
        <w:rPr>
          <w:kern w:val="0"/>
          <w:sz w:val="24"/>
        </w:rPr>
        <w:t>薄</w:t>
      </w:r>
      <w:r w:rsidRPr="00584614">
        <w:rPr>
          <w:rFonts w:hint="eastAsia"/>
          <w:kern w:val="0"/>
          <w:sz w:val="24"/>
        </w:rPr>
        <w:t>钢</w:t>
      </w:r>
      <w:r w:rsidRPr="00584614">
        <w:rPr>
          <w:kern w:val="0"/>
          <w:sz w:val="24"/>
        </w:rPr>
        <w:t>板、</w:t>
      </w:r>
      <w:r w:rsidR="00584614" w:rsidRPr="00584614">
        <w:rPr>
          <w:rFonts w:hint="eastAsia"/>
          <w:kern w:val="0"/>
          <w:sz w:val="24"/>
        </w:rPr>
        <w:t>涂料</w:t>
      </w:r>
      <w:r w:rsidRPr="00584614">
        <w:rPr>
          <w:kern w:val="0"/>
          <w:sz w:val="24"/>
        </w:rPr>
        <w:t>。</w:t>
      </w:r>
      <w:r w:rsidRPr="00584614">
        <w:rPr>
          <w:rFonts w:hint="eastAsia"/>
          <w:kern w:val="0"/>
          <w:sz w:val="24"/>
        </w:rPr>
        <w:t>根</w:t>
      </w:r>
      <w:r>
        <w:rPr>
          <w:rFonts w:hint="eastAsia"/>
          <w:kern w:val="0"/>
          <w:sz w:val="24"/>
        </w:rPr>
        <w:t>据前期对行业企业的实际调研结果，对绿色环保原材</w:t>
      </w:r>
      <w:r w:rsidRPr="006E7C07">
        <w:rPr>
          <w:rFonts w:hint="eastAsia"/>
          <w:kern w:val="0"/>
          <w:sz w:val="24"/>
        </w:rPr>
        <w:t>料的使用率设置两级指标值，必选指标基本值为</w:t>
      </w:r>
      <w:r w:rsidRPr="006E7C07">
        <w:rPr>
          <w:kern w:val="0"/>
          <w:sz w:val="24"/>
        </w:rPr>
        <w:t>85</w:t>
      </w:r>
      <w:r w:rsidRPr="006E7C07">
        <w:rPr>
          <w:rFonts w:hint="eastAsia"/>
          <w:kern w:val="0"/>
          <w:sz w:val="24"/>
        </w:rPr>
        <w:t>%</w:t>
      </w:r>
      <w:r w:rsidRPr="006E7C07">
        <w:rPr>
          <w:rFonts w:hint="eastAsia"/>
          <w:kern w:val="0"/>
          <w:sz w:val="24"/>
        </w:rPr>
        <w:t>，可选指标先进值为</w:t>
      </w:r>
      <w:r w:rsidRPr="006E7C07">
        <w:rPr>
          <w:rFonts w:hint="eastAsia"/>
          <w:kern w:val="0"/>
          <w:sz w:val="24"/>
        </w:rPr>
        <w:t>90%</w:t>
      </w:r>
      <w:r w:rsidRPr="006E7C07">
        <w:rPr>
          <w:rFonts w:hint="eastAsia"/>
          <w:kern w:val="0"/>
          <w:sz w:val="24"/>
        </w:rPr>
        <w:t>。</w:t>
      </w:r>
    </w:p>
    <w:p w14:paraId="1F723B8E" w14:textId="77777777" w:rsidR="00DD666C" w:rsidRPr="006E7C07" w:rsidRDefault="00000000" w:rsidP="008900F3">
      <w:pPr>
        <w:autoSpaceDE w:val="0"/>
        <w:autoSpaceDN w:val="0"/>
        <w:adjustRightInd w:val="0"/>
        <w:spacing w:line="440" w:lineRule="exact"/>
        <w:ind w:firstLineChars="200" w:firstLine="480"/>
        <w:rPr>
          <w:color w:val="FF0000"/>
          <w:kern w:val="0"/>
          <w:sz w:val="24"/>
        </w:rPr>
      </w:pPr>
      <w:r w:rsidRPr="006E7C07">
        <w:rPr>
          <w:rFonts w:hint="eastAsia"/>
          <w:kern w:val="0"/>
          <w:sz w:val="24"/>
        </w:rPr>
        <w:t>涂布镀锡或镀铬薄钢板生产</w:t>
      </w:r>
      <w:r w:rsidRPr="006E7C07">
        <w:rPr>
          <w:kern w:val="0"/>
          <w:sz w:val="24"/>
        </w:rPr>
        <w:t>过程不使用生产用</w:t>
      </w:r>
      <w:r w:rsidRPr="006E7C07">
        <w:rPr>
          <w:rFonts w:hint="eastAsia"/>
          <w:kern w:val="0"/>
          <w:sz w:val="24"/>
        </w:rPr>
        <w:t>水</w:t>
      </w:r>
      <w:r w:rsidRPr="006E7C07">
        <w:rPr>
          <w:kern w:val="0"/>
          <w:sz w:val="24"/>
        </w:rPr>
        <w:t>，</w:t>
      </w:r>
      <w:r w:rsidRPr="006E7C07">
        <w:rPr>
          <w:rFonts w:hint="eastAsia"/>
          <w:kern w:val="0"/>
          <w:sz w:val="24"/>
        </w:rPr>
        <w:t>排放</w:t>
      </w:r>
      <w:r w:rsidRPr="006E7C07">
        <w:rPr>
          <w:kern w:val="0"/>
          <w:sz w:val="24"/>
        </w:rPr>
        <w:t>的</w:t>
      </w:r>
      <w:r w:rsidRPr="006E7C07">
        <w:rPr>
          <w:rFonts w:hint="eastAsia"/>
          <w:kern w:val="0"/>
          <w:sz w:val="24"/>
        </w:rPr>
        <w:t>主</w:t>
      </w:r>
      <w:r w:rsidRPr="006E7C07">
        <w:rPr>
          <w:kern w:val="0"/>
          <w:sz w:val="24"/>
        </w:rPr>
        <w:t>要是生活</w:t>
      </w:r>
      <w:r w:rsidRPr="006E7C07">
        <w:rPr>
          <w:rFonts w:hint="eastAsia"/>
          <w:kern w:val="0"/>
          <w:sz w:val="24"/>
        </w:rPr>
        <w:t>污</w:t>
      </w:r>
      <w:r w:rsidRPr="006E7C07">
        <w:rPr>
          <w:kern w:val="0"/>
          <w:sz w:val="24"/>
        </w:rPr>
        <w:t>水。</w:t>
      </w:r>
      <w:r w:rsidRPr="006E7C07">
        <w:rPr>
          <w:rFonts w:hint="eastAsia"/>
          <w:kern w:val="0"/>
          <w:sz w:val="24"/>
        </w:rPr>
        <w:t>生产洁净</w:t>
      </w:r>
      <w:proofErr w:type="gramStart"/>
      <w:r w:rsidRPr="006E7C07">
        <w:rPr>
          <w:rFonts w:hint="eastAsia"/>
          <w:kern w:val="0"/>
          <w:sz w:val="24"/>
        </w:rPr>
        <w:t>化指标</w:t>
      </w:r>
      <w:proofErr w:type="gramEnd"/>
      <w:r w:rsidRPr="006E7C07">
        <w:rPr>
          <w:rFonts w:hint="eastAsia"/>
          <w:kern w:val="0"/>
          <w:sz w:val="24"/>
        </w:rPr>
        <w:t>包括单位产品废水产生量、单位产品</w:t>
      </w:r>
      <w:r w:rsidRPr="006E7C07">
        <w:rPr>
          <w:kern w:val="0"/>
          <w:sz w:val="24"/>
        </w:rPr>
        <w:t>有机废气产生</w:t>
      </w:r>
      <w:r w:rsidRPr="006E7C07">
        <w:rPr>
          <w:rFonts w:hint="eastAsia"/>
          <w:kern w:val="0"/>
          <w:sz w:val="24"/>
        </w:rPr>
        <w:t>量</w:t>
      </w:r>
      <w:r w:rsidRPr="006E7C07">
        <w:rPr>
          <w:kern w:val="0"/>
          <w:sz w:val="24"/>
        </w:rPr>
        <w:t>等</w:t>
      </w:r>
      <w:r w:rsidRPr="006E7C07">
        <w:rPr>
          <w:rFonts w:hint="eastAsia"/>
          <w:kern w:val="0"/>
          <w:sz w:val="24"/>
        </w:rPr>
        <w:t>。根据行业企业调研的结果，设定</w:t>
      </w:r>
      <w:r w:rsidRPr="006E7C07">
        <w:rPr>
          <w:kern w:val="0"/>
          <w:sz w:val="24"/>
        </w:rPr>
        <w:t>相应的</w:t>
      </w:r>
      <w:r w:rsidRPr="006E7C07">
        <w:rPr>
          <w:rFonts w:hint="eastAsia"/>
          <w:kern w:val="0"/>
          <w:sz w:val="24"/>
        </w:rPr>
        <w:t>基准指标值和</w:t>
      </w:r>
      <w:r w:rsidRPr="006E7C07">
        <w:rPr>
          <w:kern w:val="0"/>
          <w:sz w:val="24"/>
        </w:rPr>
        <w:t>先进</w:t>
      </w:r>
      <w:r w:rsidRPr="006E7C07">
        <w:rPr>
          <w:rFonts w:hint="eastAsia"/>
          <w:kern w:val="0"/>
          <w:sz w:val="24"/>
        </w:rPr>
        <w:t>指标</w:t>
      </w:r>
      <w:r w:rsidRPr="006E7C07">
        <w:rPr>
          <w:kern w:val="0"/>
          <w:sz w:val="24"/>
        </w:rPr>
        <w:t>值。</w:t>
      </w:r>
    </w:p>
    <w:p w14:paraId="7C637EF7" w14:textId="77777777" w:rsidR="00DD666C" w:rsidRDefault="00000000" w:rsidP="008900F3">
      <w:pPr>
        <w:autoSpaceDE w:val="0"/>
        <w:autoSpaceDN w:val="0"/>
        <w:adjustRightInd w:val="0"/>
        <w:spacing w:line="440" w:lineRule="exact"/>
        <w:ind w:firstLineChars="200" w:firstLine="480"/>
        <w:rPr>
          <w:kern w:val="0"/>
          <w:sz w:val="24"/>
          <w:highlight w:val="yellow"/>
        </w:rPr>
      </w:pPr>
      <w:r w:rsidRPr="006E7C07">
        <w:rPr>
          <w:rFonts w:hint="eastAsia"/>
          <w:kern w:val="0"/>
          <w:sz w:val="24"/>
        </w:rPr>
        <w:t>废物资源化指标主要包括对工业固体废物的无害化利用或综合</w:t>
      </w:r>
      <w:r>
        <w:rPr>
          <w:rFonts w:hint="eastAsia"/>
          <w:kern w:val="0"/>
          <w:sz w:val="24"/>
        </w:rPr>
        <w:t>处置，该项作为必选指标。根据行业企业调研的结果，将</w:t>
      </w:r>
      <w:r>
        <w:rPr>
          <w:sz w:val="24"/>
        </w:rPr>
        <w:t>工业固体废物综合利用率</w:t>
      </w:r>
      <w:r>
        <w:rPr>
          <w:rFonts w:hint="eastAsia"/>
          <w:kern w:val="0"/>
          <w:sz w:val="24"/>
        </w:rPr>
        <w:t>达到</w:t>
      </w:r>
      <w:r>
        <w:rPr>
          <w:kern w:val="0"/>
          <w:sz w:val="24"/>
        </w:rPr>
        <w:t>85</w:t>
      </w:r>
      <w:r>
        <w:rPr>
          <w:rFonts w:hint="eastAsia"/>
          <w:kern w:val="0"/>
          <w:sz w:val="24"/>
        </w:rPr>
        <w:t>%</w:t>
      </w:r>
      <w:r>
        <w:rPr>
          <w:rFonts w:hint="eastAsia"/>
          <w:kern w:val="0"/>
          <w:sz w:val="24"/>
        </w:rPr>
        <w:t>及以上作为必选指标，将</w:t>
      </w:r>
      <w:r>
        <w:rPr>
          <w:sz w:val="24"/>
        </w:rPr>
        <w:t>工业固体废物综合利用率</w:t>
      </w:r>
      <w:r>
        <w:rPr>
          <w:rFonts w:hint="eastAsia"/>
          <w:kern w:val="0"/>
          <w:sz w:val="24"/>
        </w:rPr>
        <w:t>达到</w:t>
      </w:r>
      <w:r>
        <w:rPr>
          <w:kern w:val="0"/>
          <w:sz w:val="24"/>
        </w:rPr>
        <w:t>95</w:t>
      </w:r>
      <w:r>
        <w:rPr>
          <w:rFonts w:hint="eastAsia"/>
          <w:kern w:val="0"/>
          <w:sz w:val="24"/>
        </w:rPr>
        <w:t>%</w:t>
      </w:r>
      <w:r>
        <w:rPr>
          <w:rFonts w:hint="eastAsia"/>
          <w:kern w:val="0"/>
          <w:sz w:val="24"/>
        </w:rPr>
        <w:t>及以上作为可选指标。</w:t>
      </w:r>
    </w:p>
    <w:p w14:paraId="100AB568"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能源低碳化指标选取了单位产品综合能耗。根据行业企业调研的结果，设定</w:t>
      </w:r>
      <w:r>
        <w:rPr>
          <w:kern w:val="0"/>
          <w:sz w:val="24"/>
        </w:rPr>
        <w:t>相应的</w:t>
      </w:r>
      <w:r>
        <w:rPr>
          <w:rFonts w:hint="eastAsia"/>
          <w:kern w:val="0"/>
          <w:sz w:val="24"/>
        </w:rPr>
        <w:t>基准指标值和</w:t>
      </w:r>
      <w:r>
        <w:rPr>
          <w:kern w:val="0"/>
          <w:sz w:val="24"/>
        </w:rPr>
        <w:t>先进</w:t>
      </w:r>
      <w:r>
        <w:rPr>
          <w:rFonts w:hint="eastAsia"/>
          <w:kern w:val="0"/>
          <w:sz w:val="24"/>
        </w:rPr>
        <w:t>指标</w:t>
      </w:r>
      <w:r>
        <w:rPr>
          <w:kern w:val="0"/>
          <w:sz w:val="24"/>
        </w:rPr>
        <w:t>值。</w:t>
      </w:r>
    </w:p>
    <w:p w14:paraId="05DE0B03" w14:textId="77777777" w:rsidR="00DD666C" w:rsidRDefault="00000000">
      <w:pPr>
        <w:pStyle w:val="af"/>
        <w:spacing w:line="440" w:lineRule="exact"/>
        <w:ind w:firstLine="0"/>
        <w:outlineLvl w:val="2"/>
        <w:rPr>
          <w:rFonts w:ascii="Times New Roman" w:eastAsia="宋体"/>
          <w:b/>
          <w:kern w:val="0"/>
          <w:sz w:val="24"/>
          <w:szCs w:val="24"/>
        </w:rPr>
      </w:pPr>
      <w:bookmarkStart w:id="9" w:name="_Toc23770169"/>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6</w:t>
      </w:r>
      <w:r>
        <w:rPr>
          <w:rFonts w:ascii="Times New Roman" w:eastAsia="宋体" w:hint="eastAsia"/>
          <w:b/>
          <w:kern w:val="0"/>
          <w:sz w:val="24"/>
          <w:szCs w:val="24"/>
        </w:rPr>
        <w:t>评价程序</w:t>
      </w:r>
      <w:bookmarkEnd w:id="9"/>
    </w:p>
    <w:p w14:paraId="3259165B"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涂布镀锡或镀铬薄钢板制造业绿色工厂评价程序包括企业</w:t>
      </w:r>
      <w:proofErr w:type="gramStart"/>
      <w:r>
        <w:rPr>
          <w:rFonts w:hint="eastAsia"/>
          <w:kern w:val="0"/>
          <w:sz w:val="24"/>
        </w:rPr>
        <w:t>自评价</w:t>
      </w:r>
      <w:proofErr w:type="gramEnd"/>
      <w:r>
        <w:rPr>
          <w:rFonts w:hint="eastAsia"/>
          <w:kern w:val="0"/>
          <w:sz w:val="24"/>
        </w:rPr>
        <w:t>和第三方评价，第三方评价又可细分评价准备、预评价、评价和编写第三方评价报告。</w:t>
      </w:r>
    </w:p>
    <w:p w14:paraId="1EBB779A"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评价准备包括评价项目组组建、搜集绿色工厂自评价报告及支持材料。为了更好的开展工作，项目组成员应当熟悉涂布镀锡或镀铬薄钢板生产工艺流程和绿色工厂评价指标体系，知悉相关评价所需数据资料的采集和分析，能够对采集数据结果的可靠性和准确性进行专业判断。</w:t>
      </w:r>
    </w:p>
    <w:p w14:paraId="18E820EB" w14:textId="77777777" w:rsidR="00DD666C" w:rsidRDefault="00000000" w:rsidP="008900F3">
      <w:pPr>
        <w:autoSpaceDE w:val="0"/>
        <w:autoSpaceDN w:val="0"/>
        <w:adjustRightInd w:val="0"/>
        <w:spacing w:line="440" w:lineRule="exact"/>
        <w:ind w:firstLineChars="200" w:firstLine="480"/>
        <w:rPr>
          <w:kern w:val="0"/>
          <w:sz w:val="24"/>
        </w:rPr>
      </w:pPr>
      <w:proofErr w:type="gramStart"/>
      <w:r>
        <w:rPr>
          <w:rFonts w:hint="eastAsia"/>
          <w:kern w:val="0"/>
          <w:sz w:val="24"/>
        </w:rPr>
        <w:t>预评价</w:t>
      </w:r>
      <w:proofErr w:type="gramEnd"/>
      <w:r>
        <w:rPr>
          <w:rFonts w:hint="eastAsia"/>
          <w:kern w:val="0"/>
          <w:sz w:val="24"/>
        </w:rPr>
        <w:t>则需根据工厂自评价报告及支持材料开展绿色工厂基本要求资格评价，确认基本要求是否符合，确定绿色工厂评价方案。</w:t>
      </w:r>
    </w:p>
    <w:p w14:paraId="1C43A646" w14:textId="77777777" w:rsidR="00DD666C" w:rsidRDefault="00000000" w:rsidP="008900F3">
      <w:pPr>
        <w:autoSpaceDE w:val="0"/>
        <w:autoSpaceDN w:val="0"/>
        <w:adjustRightInd w:val="0"/>
        <w:spacing w:line="440" w:lineRule="exact"/>
        <w:ind w:firstLineChars="200" w:firstLine="480"/>
        <w:rPr>
          <w:kern w:val="0"/>
          <w:sz w:val="24"/>
        </w:rPr>
      </w:pPr>
      <w:r>
        <w:rPr>
          <w:rFonts w:hint="eastAsia"/>
          <w:kern w:val="0"/>
          <w:sz w:val="24"/>
        </w:rPr>
        <w:t>评价则是对工厂按照基本要求、基础设施、管理体系、能源资源投入、产品、环境排放和绩效七个方面进行评价。涂布镀锡或镀铬薄钢板制造业绿色工厂评价指标的计分标准满分为</w:t>
      </w:r>
      <w:r>
        <w:rPr>
          <w:rFonts w:hint="eastAsia"/>
          <w:kern w:val="0"/>
          <w:sz w:val="24"/>
        </w:rPr>
        <w:t>100</w:t>
      </w:r>
      <w:r>
        <w:rPr>
          <w:rFonts w:hint="eastAsia"/>
          <w:kern w:val="0"/>
          <w:sz w:val="24"/>
        </w:rPr>
        <w:t>分，得分在</w:t>
      </w:r>
      <w:r>
        <w:rPr>
          <w:rFonts w:hint="eastAsia"/>
          <w:kern w:val="0"/>
          <w:sz w:val="24"/>
        </w:rPr>
        <w:t>85</w:t>
      </w:r>
      <w:r>
        <w:rPr>
          <w:rFonts w:hint="eastAsia"/>
          <w:kern w:val="0"/>
          <w:sz w:val="24"/>
        </w:rPr>
        <w:t>分以上（含</w:t>
      </w:r>
      <w:r>
        <w:rPr>
          <w:rFonts w:hint="eastAsia"/>
          <w:kern w:val="0"/>
          <w:sz w:val="24"/>
        </w:rPr>
        <w:t>85</w:t>
      </w:r>
      <w:r>
        <w:rPr>
          <w:rFonts w:hint="eastAsia"/>
          <w:kern w:val="0"/>
          <w:sz w:val="24"/>
        </w:rPr>
        <w:t>分）的企业达到绿色工厂评价要求。</w:t>
      </w:r>
    </w:p>
    <w:p w14:paraId="6A4E892B" w14:textId="77777777" w:rsidR="00DD666C" w:rsidRDefault="00000000">
      <w:pPr>
        <w:pStyle w:val="af"/>
        <w:spacing w:line="440" w:lineRule="exact"/>
        <w:ind w:firstLine="0"/>
        <w:outlineLvl w:val="2"/>
        <w:rPr>
          <w:rFonts w:ascii="Times New Roman" w:eastAsia="宋体"/>
          <w:b/>
          <w:kern w:val="0"/>
          <w:sz w:val="24"/>
          <w:szCs w:val="24"/>
        </w:rPr>
      </w:pPr>
      <w:bookmarkStart w:id="10" w:name="_Toc23770170"/>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7</w:t>
      </w:r>
      <w:r>
        <w:rPr>
          <w:rFonts w:ascii="Times New Roman" w:eastAsia="宋体" w:hint="eastAsia"/>
          <w:b/>
          <w:kern w:val="0"/>
          <w:sz w:val="24"/>
          <w:szCs w:val="24"/>
        </w:rPr>
        <w:t>评价报告编写要求</w:t>
      </w:r>
      <w:bookmarkEnd w:id="10"/>
    </w:p>
    <w:p w14:paraId="61F12A3C" w14:textId="77777777" w:rsidR="00DD666C" w:rsidRDefault="00000000">
      <w:pPr>
        <w:spacing w:line="440" w:lineRule="exact"/>
        <w:ind w:firstLineChars="200" w:firstLine="480"/>
        <w:rPr>
          <w:kern w:val="0"/>
          <w:sz w:val="24"/>
        </w:rPr>
      </w:pPr>
      <w:r>
        <w:rPr>
          <w:rFonts w:hint="eastAsia"/>
          <w:kern w:val="0"/>
          <w:sz w:val="24"/>
        </w:rPr>
        <w:t>自评价报告内容包括但不限于：</w:t>
      </w:r>
    </w:p>
    <w:p w14:paraId="7BEE240C"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工厂名称、地址、行业、法定代表人、简介等基本信息，发展现状、工业产业和生产经营情况；</w:t>
      </w:r>
    </w:p>
    <w:p w14:paraId="79E9E1E8"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工厂在绿色发展方面开展的重点工作及取得成绩，下一步拟开展重点工作等；</w:t>
      </w:r>
    </w:p>
    <w:p w14:paraId="1C8C83BC"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工厂的建筑、设备设施、工艺路线、主要耗能设备、计量设备、照明</w:t>
      </w:r>
      <w:r>
        <w:rPr>
          <w:rFonts w:hint="eastAsia"/>
          <w:kern w:val="0"/>
          <w:sz w:val="24"/>
        </w:rPr>
        <w:lastRenderedPageBreak/>
        <w:t>配置情况，以及相关标准执行情况；</w:t>
      </w:r>
    </w:p>
    <w:p w14:paraId="55A67FEA"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工厂各项管理体系建设情况；</w:t>
      </w:r>
    </w:p>
    <w:p w14:paraId="6F860BD2"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工厂能源投入、资源投入、采购、回收利用等方面的现状，以及目前正实施的节约能源资源项目；</w:t>
      </w:r>
    </w:p>
    <w:p w14:paraId="04807300"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工厂的产品质量、产品收率、生态设计等情况；</w:t>
      </w:r>
    </w:p>
    <w:p w14:paraId="4EC87647"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7</w:t>
      </w:r>
      <w:r>
        <w:rPr>
          <w:rFonts w:hint="eastAsia"/>
          <w:kern w:val="0"/>
          <w:sz w:val="24"/>
        </w:rPr>
        <w:t>）</w:t>
      </w:r>
      <w:r>
        <w:rPr>
          <w:rFonts w:hint="eastAsia"/>
          <w:kern w:val="0"/>
          <w:sz w:val="24"/>
        </w:rPr>
        <w:tab/>
      </w:r>
      <w:r>
        <w:rPr>
          <w:rFonts w:hint="eastAsia"/>
          <w:kern w:val="0"/>
          <w:sz w:val="24"/>
        </w:rPr>
        <w:t>工厂主要污染物处理设备配置及运行情况，大气污染物、水体污染物、固体废物、噪声、温室气体的排放及管理等现状；</w:t>
      </w:r>
    </w:p>
    <w:p w14:paraId="7B6E733B"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8</w:t>
      </w:r>
      <w:r>
        <w:rPr>
          <w:rFonts w:hint="eastAsia"/>
          <w:kern w:val="0"/>
          <w:sz w:val="24"/>
        </w:rPr>
        <w:t>）</w:t>
      </w:r>
      <w:r>
        <w:rPr>
          <w:rFonts w:hint="eastAsia"/>
          <w:kern w:val="0"/>
          <w:sz w:val="24"/>
        </w:rPr>
        <w:tab/>
      </w:r>
      <w:r>
        <w:rPr>
          <w:rFonts w:hint="eastAsia"/>
          <w:kern w:val="0"/>
          <w:sz w:val="24"/>
        </w:rPr>
        <w:t>对申报工厂是否符合绿色工厂要求进行自评价，说明各评价指标值及是否符合评价要求情况；</w:t>
      </w:r>
    </w:p>
    <w:p w14:paraId="57479EC9"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9</w:t>
      </w:r>
      <w:r>
        <w:rPr>
          <w:rFonts w:hint="eastAsia"/>
          <w:kern w:val="0"/>
          <w:sz w:val="24"/>
        </w:rPr>
        <w:t>）</w:t>
      </w:r>
      <w:r>
        <w:rPr>
          <w:rFonts w:hint="eastAsia"/>
          <w:kern w:val="0"/>
          <w:sz w:val="24"/>
        </w:rPr>
        <w:tab/>
      </w:r>
      <w:r>
        <w:rPr>
          <w:rFonts w:hint="eastAsia"/>
          <w:kern w:val="0"/>
          <w:sz w:val="24"/>
        </w:rPr>
        <w:t>其他支持证明材料。</w:t>
      </w:r>
    </w:p>
    <w:p w14:paraId="71A364B3"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自评价报告格式参考以下内容：</w:t>
      </w:r>
    </w:p>
    <w:p w14:paraId="245B2582"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工厂基本情况；</w:t>
      </w:r>
    </w:p>
    <w:p w14:paraId="57BAB714"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绿色工厂创建情况；</w:t>
      </w:r>
    </w:p>
    <w:p w14:paraId="310E65B7"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下一步工作；</w:t>
      </w:r>
    </w:p>
    <w:p w14:paraId="1060E318"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绿色工厂创建自评表；</w:t>
      </w:r>
    </w:p>
    <w:p w14:paraId="6FF4B960"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相关证明材料。</w:t>
      </w:r>
    </w:p>
    <w:p w14:paraId="1A7897C8" w14:textId="77777777" w:rsidR="00DD666C" w:rsidRDefault="00000000">
      <w:pPr>
        <w:autoSpaceDE w:val="0"/>
        <w:autoSpaceDN w:val="0"/>
        <w:adjustRightInd w:val="0"/>
        <w:spacing w:line="360" w:lineRule="auto"/>
        <w:ind w:firstLineChars="200" w:firstLine="480"/>
        <w:rPr>
          <w:kern w:val="0"/>
          <w:sz w:val="24"/>
        </w:rPr>
      </w:pPr>
      <w:r>
        <w:rPr>
          <w:kern w:val="0"/>
          <w:sz w:val="24"/>
        </w:rPr>
        <w:t>第三方评价报告内容包括但不限于：</w:t>
      </w:r>
    </w:p>
    <w:p w14:paraId="1F638988"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绿色工厂评价的目的、范围及准则；</w:t>
      </w:r>
    </w:p>
    <w:p w14:paraId="489FF0E3"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绿色工厂评价过程，主要包括评价组织安排、文件评审情况、现场评估情况、核查报告编写及内部技术复核情况；</w:t>
      </w:r>
    </w:p>
    <w:p w14:paraId="3AE8FD12"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对申报工厂的基础设施、管理体系、能源资源投入、产品、环境排放、绩效等方面进行描述，并对工厂自评报告中的相关内容进行核实；</w:t>
      </w:r>
    </w:p>
    <w:p w14:paraId="174175C1"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核实数据真实性、计算范围及计算方法，检查相关计量设备和有关标准的执行等情况；</w:t>
      </w:r>
    </w:p>
    <w:p w14:paraId="454F3B43"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对企业自评所出现的问题情况进行描述；</w:t>
      </w:r>
    </w:p>
    <w:p w14:paraId="0BA1647E"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对申报工厂是否符合绿色工厂要求进行评价，说明各评价指标值及是否符合评价要求情况，描述主要创建做法及工作亮点等；</w:t>
      </w:r>
    </w:p>
    <w:p w14:paraId="4998DF82"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7</w:t>
      </w:r>
      <w:r>
        <w:rPr>
          <w:rFonts w:hint="eastAsia"/>
          <w:kern w:val="0"/>
          <w:sz w:val="24"/>
        </w:rPr>
        <w:t>）</w:t>
      </w:r>
      <w:r>
        <w:rPr>
          <w:rFonts w:hint="eastAsia"/>
          <w:kern w:val="0"/>
          <w:sz w:val="24"/>
        </w:rPr>
        <w:tab/>
      </w:r>
      <w:r>
        <w:rPr>
          <w:rFonts w:hint="eastAsia"/>
          <w:kern w:val="0"/>
          <w:sz w:val="24"/>
        </w:rPr>
        <w:t>对持续创建绿色工厂的下一步工作提出建议；</w:t>
      </w:r>
    </w:p>
    <w:p w14:paraId="08C35EBD"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8</w:t>
      </w:r>
      <w:r>
        <w:rPr>
          <w:rFonts w:hint="eastAsia"/>
          <w:kern w:val="0"/>
          <w:sz w:val="24"/>
        </w:rPr>
        <w:t>）</w:t>
      </w:r>
      <w:r>
        <w:rPr>
          <w:rFonts w:hint="eastAsia"/>
          <w:kern w:val="0"/>
          <w:sz w:val="24"/>
        </w:rPr>
        <w:tab/>
      </w:r>
      <w:r>
        <w:rPr>
          <w:rFonts w:hint="eastAsia"/>
          <w:kern w:val="0"/>
          <w:sz w:val="24"/>
        </w:rPr>
        <w:t>评价支持材料。</w:t>
      </w:r>
    </w:p>
    <w:p w14:paraId="4A162A56"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lastRenderedPageBreak/>
        <w:t>第三方评价报告格式参考以下内容：</w:t>
      </w:r>
    </w:p>
    <w:p w14:paraId="4F630F7D"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概述；</w:t>
      </w:r>
    </w:p>
    <w:p w14:paraId="26561DFB"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评价过程和方法；</w:t>
      </w:r>
    </w:p>
    <w:p w14:paraId="50C8EB6B"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绿色工厂评价；</w:t>
      </w:r>
    </w:p>
    <w:p w14:paraId="46FC3B6B"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评价结论；</w:t>
      </w:r>
    </w:p>
    <w:p w14:paraId="55803FA7"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建议；</w:t>
      </w:r>
    </w:p>
    <w:p w14:paraId="3416C3F5" w14:textId="77777777" w:rsidR="00DD666C" w:rsidRDefault="00000000">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证明材料索引。</w:t>
      </w:r>
    </w:p>
    <w:p w14:paraId="6868631F"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1" w:name="_Toc23770171"/>
      <w:r>
        <w:rPr>
          <w:rFonts w:ascii="Times New Roman" w:eastAsia="宋体" w:hint="eastAsia"/>
          <w:b/>
          <w:kern w:val="0"/>
          <w:sz w:val="24"/>
          <w:szCs w:val="24"/>
        </w:rPr>
        <w:t>三、主要验证</w:t>
      </w:r>
      <w:r>
        <w:rPr>
          <w:rFonts w:ascii="Times New Roman" w:eastAsia="宋体"/>
          <w:b/>
          <w:kern w:val="0"/>
          <w:sz w:val="24"/>
          <w:szCs w:val="24"/>
        </w:rPr>
        <w:t>情况</w:t>
      </w:r>
      <w:bookmarkEnd w:id="11"/>
    </w:p>
    <w:p w14:paraId="07AF834B" w14:textId="77777777" w:rsidR="00DD666C" w:rsidRDefault="00000000">
      <w:pPr>
        <w:spacing w:line="440" w:lineRule="exact"/>
        <w:ind w:firstLine="480"/>
        <w:rPr>
          <w:kern w:val="0"/>
          <w:sz w:val="24"/>
        </w:rPr>
      </w:pPr>
      <w:r>
        <w:rPr>
          <w:rFonts w:hint="eastAsia"/>
          <w:color w:val="000000"/>
          <w:sz w:val="24"/>
        </w:rPr>
        <w:t>本标准中所有评价指标必选项全部符合所获得分值，与设立必选项要求为企业合格要求的目标一致。标准制定工作组通过调研和统计，将目前涂布镀锡或镀铬薄钢板行业先进</w:t>
      </w:r>
      <w:r>
        <w:rPr>
          <w:color w:val="000000"/>
          <w:sz w:val="24"/>
        </w:rPr>
        <w:t>企业</w:t>
      </w:r>
      <w:r>
        <w:rPr>
          <w:rFonts w:hint="eastAsia"/>
          <w:color w:val="000000"/>
          <w:sz w:val="24"/>
        </w:rPr>
        <w:t>实际情况对照本标准，能满足</w:t>
      </w:r>
      <w:r>
        <w:rPr>
          <w:rFonts w:hint="eastAsia"/>
          <w:kern w:val="0"/>
          <w:sz w:val="24"/>
        </w:rPr>
        <w:t>得分在</w:t>
      </w:r>
      <w:r>
        <w:rPr>
          <w:rFonts w:hint="eastAsia"/>
          <w:kern w:val="0"/>
          <w:sz w:val="24"/>
        </w:rPr>
        <w:t>85</w:t>
      </w:r>
      <w:r>
        <w:rPr>
          <w:rFonts w:hint="eastAsia"/>
          <w:kern w:val="0"/>
          <w:sz w:val="24"/>
        </w:rPr>
        <w:t>分以上（含</w:t>
      </w:r>
      <w:r>
        <w:rPr>
          <w:rFonts w:hint="eastAsia"/>
          <w:kern w:val="0"/>
          <w:sz w:val="24"/>
        </w:rPr>
        <w:t>85</w:t>
      </w:r>
      <w:r>
        <w:rPr>
          <w:rFonts w:hint="eastAsia"/>
          <w:kern w:val="0"/>
          <w:sz w:val="24"/>
        </w:rPr>
        <w:t>分）的企业绿色工厂评价要求。</w:t>
      </w:r>
    </w:p>
    <w:p w14:paraId="734C7E5A"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2" w:name="_Toc23770172"/>
      <w:r>
        <w:rPr>
          <w:rFonts w:ascii="Times New Roman" w:eastAsia="宋体" w:hint="eastAsia"/>
          <w:b/>
          <w:kern w:val="0"/>
          <w:sz w:val="24"/>
          <w:szCs w:val="24"/>
        </w:rPr>
        <w:t>四、</w:t>
      </w:r>
      <w:r>
        <w:rPr>
          <w:rFonts w:ascii="Times New Roman" w:eastAsia="宋体"/>
          <w:b/>
          <w:kern w:val="0"/>
          <w:sz w:val="24"/>
          <w:szCs w:val="24"/>
        </w:rPr>
        <w:t>涉及专利情况</w:t>
      </w:r>
      <w:bookmarkEnd w:id="12"/>
    </w:p>
    <w:p w14:paraId="5898460B" w14:textId="77777777" w:rsidR="00DD666C" w:rsidRDefault="00000000">
      <w:pPr>
        <w:spacing w:line="440" w:lineRule="exact"/>
        <w:ind w:firstLine="480"/>
        <w:rPr>
          <w:color w:val="000000"/>
          <w:sz w:val="24"/>
        </w:rPr>
      </w:pPr>
      <w:r>
        <w:rPr>
          <w:color w:val="000000"/>
          <w:sz w:val="24"/>
        </w:rPr>
        <w:t>本标准不涉及专利</w:t>
      </w:r>
      <w:r>
        <w:rPr>
          <w:rFonts w:hint="eastAsia"/>
          <w:color w:val="000000"/>
          <w:sz w:val="24"/>
        </w:rPr>
        <w:t>问题</w:t>
      </w:r>
      <w:r>
        <w:rPr>
          <w:color w:val="000000"/>
          <w:sz w:val="24"/>
        </w:rPr>
        <w:t>。</w:t>
      </w:r>
    </w:p>
    <w:p w14:paraId="64C3FDDE"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3" w:name="_Toc23770173"/>
      <w:r>
        <w:rPr>
          <w:rFonts w:ascii="Times New Roman" w:eastAsia="宋体" w:hint="eastAsia"/>
          <w:b/>
          <w:kern w:val="0"/>
          <w:sz w:val="24"/>
          <w:szCs w:val="24"/>
        </w:rPr>
        <w:t>五、预期达到的社会效益、对产业发展的作用等情况</w:t>
      </w:r>
      <w:bookmarkEnd w:id="13"/>
    </w:p>
    <w:p w14:paraId="792E9D5F" w14:textId="20D0CABB" w:rsidR="00DD666C" w:rsidRDefault="00000000" w:rsidP="008900F3">
      <w:pPr>
        <w:spacing w:line="440" w:lineRule="exact"/>
        <w:ind w:firstLine="480"/>
        <w:rPr>
          <w:color w:val="000000"/>
          <w:sz w:val="24"/>
        </w:rPr>
      </w:pPr>
      <w:r>
        <w:rPr>
          <w:rFonts w:hint="eastAsia"/>
          <w:color w:val="000000"/>
          <w:sz w:val="24"/>
        </w:rPr>
        <w:t>本标准实施后，将引导我国涂布镀锡或镀铬薄钢板制造企业积极建设绿色工厂，构建低碳、循环、环保的绿色生产体系，在节能、减少污染物排放、改善工厂及周边生态环境中发挥重要的作用。本标准的实施可通过采用绿色建筑技术建设改造厂房，可再生能源应用，合理布局厂区内能量流、物质流路径，推广绿色设计和绿色采购，开发生产绿色产品，采用先进适用的清洁生产工艺技术和高效末端治理装备，淘汰落后设备，建立资源回收循环利用机制，推动用</w:t>
      </w:r>
      <w:proofErr w:type="gramStart"/>
      <w:r>
        <w:rPr>
          <w:rFonts w:hint="eastAsia"/>
          <w:color w:val="000000"/>
          <w:sz w:val="24"/>
        </w:rPr>
        <w:t>能结构</w:t>
      </w:r>
      <w:proofErr w:type="gramEnd"/>
      <w:r>
        <w:rPr>
          <w:rFonts w:hint="eastAsia"/>
          <w:color w:val="000000"/>
          <w:sz w:val="24"/>
        </w:rPr>
        <w:t>优化等途径，提升行业绿色发展水平，引导产业向绿色可持续发现发展。</w:t>
      </w:r>
    </w:p>
    <w:p w14:paraId="0C583A1B"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4" w:name="_Toc23770174"/>
      <w:r>
        <w:rPr>
          <w:rFonts w:ascii="Times New Roman" w:eastAsia="宋体" w:hint="eastAsia"/>
          <w:b/>
          <w:kern w:val="0"/>
          <w:sz w:val="24"/>
          <w:szCs w:val="24"/>
        </w:rPr>
        <w:t>六、与</w:t>
      </w:r>
      <w:r>
        <w:rPr>
          <w:rFonts w:ascii="Times New Roman" w:eastAsia="宋体"/>
          <w:b/>
          <w:kern w:val="0"/>
          <w:sz w:val="24"/>
          <w:szCs w:val="24"/>
        </w:rPr>
        <w:t>国际</w:t>
      </w:r>
      <w:r>
        <w:rPr>
          <w:rFonts w:ascii="Times New Roman" w:eastAsia="宋体" w:hint="eastAsia"/>
          <w:b/>
          <w:kern w:val="0"/>
          <w:sz w:val="24"/>
          <w:szCs w:val="24"/>
        </w:rPr>
        <w:t>、</w:t>
      </w:r>
      <w:r>
        <w:rPr>
          <w:rFonts w:ascii="Times New Roman" w:eastAsia="宋体"/>
          <w:b/>
          <w:kern w:val="0"/>
          <w:sz w:val="24"/>
          <w:szCs w:val="24"/>
        </w:rPr>
        <w:t>国外</w:t>
      </w:r>
      <w:r>
        <w:rPr>
          <w:rFonts w:ascii="Times New Roman" w:eastAsia="宋体" w:hint="eastAsia"/>
          <w:b/>
          <w:kern w:val="0"/>
          <w:sz w:val="24"/>
          <w:szCs w:val="24"/>
        </w:rPr>
        <w:t>对比</w:t>
      </w:r>
      <w:r>
        <w:rPr>
          <w:rFonts w:ascii="Times New Roman" w:eastAsia="宋体"/>
          <w:b/>
          <w:kern w:val="0"/>
          <w:sz w:val="24"/>
          <w:szCs w:val="24"/>
        </w:rPr>
        <w:t>情况</w:t>
      </w:r>
      <w:bookmarkEnd w:id="14"/>
    </w:p>
    <w:p w14:paraId="2FB9C333" w14:textId="77777777" w:rsidR="00DD666C" w:rsidRDefault="00000000">
      <w:pPr>
        <w:widowControl/>
        <w:spacing w:line="440" w:lineRule="exact"/>
        <w:ind w:firstLineChars="200" w:firstLine="480"/>
        <w:rPr>
          <w:color w:val="000000"/>
          <w:sz w:val="24"/>
        </w:rPr>
      </w:pPr>
      <w:r>
        <w:rPr>
          <w:rFonts w:hint="eastAsia"/>
          <w:color w:val="000000"/>
          <w:sz w:val="24"/>
        </w:rPr>
        <w:t>本标准没有采用国际标准。</w:t>
      </w:r>
    </w:p>
    <w:p w14:paraId="04824782" w14:textId="77777777" w:rsidR="00DD666C" w:rsidRDefault="00000000">
      <w:pPr>
        <w:widowControl/>
        <w:spacing w:line="440" w:lineRule="exact"/>
        <w:ind w:firstLineChars="200" w:firstLine="480"/>
        <w:rPr>
          <w:color w:val="000000"/>
          <w:sz w:val="24"/>
        </w:rPr>
      </w:pPr>
      <w:r>
        <w:rPr>
          <w:rFonts w:hint="eastAsia"/>
          <w:color w:val="000000"/>
          <w:sz w:val="24"/>
        </w:rPr>
        <w:t>本标准制订过程中未查到同类国际、国外标准。</w:t>
      </w:r>
    </w:p>
    <w:p w14:paraId="14FE00C0" w14:textId="77777777" w:rsidR="00DD666C" w:rsidRDefault="00000000">
      <w:pPr>
        <w:widowControl/>
        <w:spacing w:line="440" w:lineRule="exact"/>
        <w:ind w:firstLineChars="200" w:firstLine="480"/>
        <w:rPr>
          <w:color w:val="000000"/>
          <w:sz w:val="24"/>
        </w:rPr>
      </w:pPr>
      <w:r>
        <w:rPr>
          <w:rFonts w:hint="eastAsia"/>
          <w:color w:val="000000"/>
          <w:sz w:val="24"/>
        </w:rPr>
        <w:t>本标准制订过程中未测试国外的样品。</w:t>
      </w:r>
    </w:p>
    <w:p w14:paraId="6F6F73E7" w14:textId="77777777" w:rsidR="00DD666C" w:rsidRDefault="00000000">
      <w:pPr>
        <w:widowControl/>
        <w:spacing w:line="440" w:lineRule="exact"/>
        <w:ind w:firstLineChars="200" w:firstLine="480"/>
        <w:rPr>
          <w:color w:val="000000"/>
          <w:sz w:val="24"/>
        </w:rPr>
      </w:pPr>
      <w:r>
        <w:rPr>
          <w:rFonts w:hint="eastAsia"/>
          <w:color w:val="000000"/>
          <w:sz w:val="24"/>
        </w:rPr>
        <w:t>本标准水平为国内先进水平。</w:t>
      </w:r>
    </w:p>
    <w:p w14:paraId="21BE60ED"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r>
        <w:rPr>
          <w:rFonts w:ascii="Times New Roman" w:eastAsia="宋体" w:hint="eastAsia"/>
          <w:b/>
          <w:kern w:val="0"/>
          <w:sz w:val="24"/>
          <w:szCs w:val="24"/>
        </w:rPr>
        <w:t>七、在标准体系中的位置，与现行相关法律、法规、规章及相关标准，特别是强</w:t>
      </w:r>
      <w:r>
        <w:rPr>
          <w:rFonts w:ascii="Times New Roman" w:eastAsia="宋体" w:hint="eastAsia"/>
          <w:b/>
          <w:kern w:val="0"/>
          <w:sz w:val="24"/>
          <w:szCs w:val="24"/>
        </w:rPr>
        <w:lastRenderedPageBreak/>
        <w:t>制性标准的协调性</w:t>
      </w:r>
      <w:bookmarkEnd w:id="3"/>
    </w:p>
    <w:p w14:paraId="1F992F41" w14:textId="77777777" w:rsidR="00DD666C" w:rsidRDefault="00000000" w:rsidP="008900F3">
      <w:pPr>
        <w:widowControl/>
        <w:spacing w:line="440" w:lineRule="exact"/>
        <w:ind w:firstLineChars="200" w:firstLine="420"/>
        <w:rPr>
          <w:color w:val="000000"/>
          <w:sz w:val="24"/>
        </w:rPr>
      </w:pPr>
      <w:r>
        <w:rPr>
          <w:noProof/>
        </w:rPr>
        <w:drawing>
          <wp:anchor distT="0" distB="0" distL="114300" distR="114300" simplePos="0" relativeHeight="251659264" behindDoc="0" locked="0" layoutInCell="1" allowOverlap="1" wp14:anchorId="45A5E993" wp14:editId="08FE9621">
            <wp:simplePos x="0" y="0"/>
            <wp:positionH relativeFrom="column">
              <wp:posOffset>-234315</wp:posOffset>
            </wp:positionH>
            <wp:positionV relativeFrom="paragraph">
              <wp:posOffset>889635</wp:posOffset>
            </wp:positionV>
            <wp:extent cx="5634355" cy="2570480"/>
            <wp:effectExtent l="0" t="0" r="4445" b="1270"/>
            <wp:wrapTopAndBottom/>
            <wp:docPr id="2" name="图片 2" descr="http://img.mp.itc.cn/upload/20160930/216aaa324a3743829bddbbb58e8fc4d8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g.mp.itc.cn/upload/20160930/216aaa324a3743829bddbbb58e8fc4d8_th.jpg"/>
                    <pic:cNvPicPr>
                      <a:picLocks noChangeAspect="1" noChangeArrowheads="1"/>
                    </pic:cNvPicPr>
                  </pic:nvPicPr>
                  <pic:blipFill>
                    <a:blip r:embed="rId9">
                      <a:extLst>
                        <a:ext uri="{28A0092B-C50C-407E-A947-70E740481C1C}">
                          <a14:useLocalDpi xmlns:a14="http://schemas.microsoft.com/office/drawing/2010/main" val="0"/>
                        </a:ext>
                      </a:extLst>
                    </a:blip>
                    <a:srcRect b="4778"/>
                    <a:stretch>
                      <a:fillRect/>
                    </a:stretch>
                  </pic:blipFill>
                  <pic:spPr>
                    <a:xfrm>
                      <a:off x="0" y="0"/>
                      <a:ext cx="5634355" cy="2570480"/>
                    </a:xfrm>
                    <a:prstGeom prst="rect">
                      <a:avLst/>
                    </a:prstGeom>
                    <a:noFill/>
                    <a:ln>
                      <a:noFill/>
                    </a:ln>
                  </pic:spPr>
                </pic:pic>
              </a:graphicData>
            </a:graphic>
          </wp:anchor>
        </w:drawing>
      </w:r>
      <w:r>
        <w:rPr>
          <w:rFonts w:hint="eastAsia"/>
          <w:color w:val="000000"/>
          <w:sz w:val="24"/>
        </w:rPr>
        <w:t>本标准申报项目属于工信部绿色制造标准体系中</w:t>
      </w:r>
      <w:r>
        <w:rPr>
          <w:rFonts w:hint="eastAsia"/>
          <w:color w:val="000000"/>
          <w:sz w:val="24"/>
        </w:rPr>
        <w:t xml:space="preserve">GM12 </w:t>
      </w:r>
      <w:r>
        <w:rPr>
          <w:rFonts w:hint="eastAsia"/>
          <w:color w:val="000000"/>
          <w:sz w:val="24"/>
        </w:rPr>
        <w:t>“轻工”大类，</w:t>
      </w:r>
      <w:r>
        <w:rPr>
          <w:rFonts w:hint="eastAsia"/>
          <w:color w:val="000000"/>
          <w:sz w:val="24"/>
        </w:rPr>
        <w:t>06</w:t>
      </w:r>
      <w:r>
        <w:rPr>
          <w:rFonts w:hint="eastAsia"/>
          <w:color w:val="000000"/>
          <w:sz w:val="24"/>
        </w:rPr>
        <w:t>“绿色评价与服务”中类，</w:t>
      </w:r>
      <w:r>
        <w:rPr>
          <w:rFonts w:hint="eastAsia"/>
          <w:color w:val="000000"/>
          <w:sz w:val="24"/>
        </w:rPr>
        <w:t xml:space="preserve"> 01</w:t>
      </w:r>
      <w:r>
        <w:rPr>
          <w:rFonts w:hint="eastAsia"/>
          <w:color w:val="000000"/>
          <w:sz w:val="24"/>
        </w:rPr>
        <w:t>“绿色评价、标识与报告方面的标准”。体系图如下。</w:t>
      </w:r>
    </w:p>
    <w:p w14:paraId="52B68B35" w14:textId="77777777" w:rsidR="00DD666C" w:rsidRDefault="00000000" w:rsidP="008900F3">
      <w:pPr>
        <w:widowControl/>
        <w:spacing w:line="440" w:lineRule="exact"/>
        <w:rPr>
          <w:color w:val="000000"/>
          <w:sz w:val="24"/>
        </w:rPr>
      </w:pPr>
      <w:r>
        <w:rPr>
          <w:color w:val="000000"/>
          <w:sz w:val="24"/>
        </w:rPr>
        <w:t>本标准与相关法律、法规、规章和强制性标准无抵触。</w:t>
      </w:r>
    </w:p>
    <w:p w14:paraId="40074BBE"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5" w:name="_Toc23770176"/>
      <w:r>
        <w:rPr>
          <w:rFonts w:ascii="Times New Roman" w:eastAsia="宋体" w:hint="eastAsia"/>
          <w:b/>
          <w:kern w:val="0"/>
          <w:sz w:val="24"/>
          <w:szCs w:val="24"/>
        </w:rPr>
        <w:t>八、</w:t>
      </w:r>
      <w:r>
        <w:rPr>
          <w:rFonts w:ascii="Times New Roman" w:eastAsia="宋体"/>
          <w:b/>
          <w:kern w:val="0"/>
          <w:sz w:val="24"/>
          <w:szCs w:val="24"/>
        </w:rPr>
        <w:t>重大分歧意见的处理经过和依据</w:t>
      </w:r>
      <w:bookmarkEnd w:id="15"/>
    </w:p>
    <w:p w14:paraId="72F1898B" w14:textId="77777777" w:rsidR="00DD666C" w:rsidRDefault="00000000">
      <w:pPr>
        <w:widowControl/>
        <w:spacing w:line="440" w:lineRule="exact"/>
        <w:ind w:firstLineChars="200" w:firstLine="480"/>
        <w:rPr>
          <w:color w:val="000000"/>
          <w:sz w:val="24"/>
        </w:rPr>
      </w:pPr>
      <w:r>
        <w:rPr>
          <w:rFonts w:hint="eastAsia"/>
          <w:color w:val="000000"/>
          <w:sz w:val="24"/>
        </w:rPr>
        <w:t>无。</w:t>
      </w:r>
    </w:p>
    <w:p w14:paraId="37368B50"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6" w:name="_Toc23770177"/>
      <w:r>
        <w:rPr>
          <w:rFonts w:ascii="Times New Roman" w:eastAsia="宋体" w:hint="eastAsia"/>
          <w:b/>
          <w:kern w:val="0"/>
          <w:sz w:val="24"/>
          <w:szCs w:val="24"/>
        </w:rPr>
        <w:t>九、</w:t>
      </w:r>
      <w:r>
        <w:rPr>
          <w:rFonts w:ascii="Times New Roman" w:eastAsia="宋体"/>
          <w:b/>
          <w:kern w:val="0"/>
          <w:sz w:val="24"/>
          <w:szCs w:val="24"/>
        </w:rPr>
        <w:t>标准性质的建议说明</w:t>
      </w:r>
      <w:bookmarkEnd w:id="16"/>
    </w:p>
    <w:p w14:paraId="428B529B" w14:textId="18C2FA6F" w:rsidR="00DD666C" w:rsidRDefault="00000000">
      <w:pPr>
        <w:autoSpaceDE w:val="0"/>
        <w:autoSpaceDN w:val="0"/>
        <w:adjustRightInd w:val="0"/>
        <w:spacing w:afterLines="50" w:after="156" w:line="440" w:lineRule="exact"/>
        <w:ind w:firstLineChars="200" w:firstLine="480"/>
        <w:jc w:val="left"/>
        <w:rPr>
          <w:color w:val="000000"/>
          <w:sz w:val="24"/>
        </w:rPr>
      </w:pPr>
      <w:r>
        <w:rPr>
          <w:color w:val="000000"/>
          <w:sz w:val="24"/>
        </w:rPr>
        <w:t>本标准建议为推荐性</w:t>
      </w:r>
      <w:r w:rsidR="008900F3">
        <w:rPr>
          <w:rFonts w:hint="eastAsia"/>
          <w:color w:val="000000"/>
          <w:sz w:val="24"/>
        </w:rPr>
        <w:t>团体</w:t>
      </w:r>
      <w:r>
        <w:rPr>
          <w:color w:val="000000"/>
          <w:sz w:val="24"/>
        </w:rPr>
        <w:t>标准</w:t>
      </w:r>
      <w:r>
        <w:rPr>
          <w:rFonts w:hint="eastAsia"/>
          <w:kern w:val="0"/>
          <w:sz w:val="24"/>
        </w:rPr>
        <w:t>。</w:t>
      </w:r>
    </w:p>
    <w:p w14:paraId="75ECD647"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7" w:name="_Toc23770178"/>
      <w:r>
        <w:rPr>
          <w:rFonts w:ascii="Times New Roman" w:eastAsia="宋体" w:hint="eastAsia"/>
          <w:b/>
          <w:kern w:val="0"/>
          <w:sz w:val="24"/>
          <w:szCs w:val="24"/>
        </w:rPr>
        <w:t>十、</w:t>
      </w:r>
      <w:r>
        <w:rPr>
          <w:rFonts w:ascii="Times New Roman" w:eastAsia="宋体"/>
          <w:b/>
          <w:kern w:val="0"/>
          <w:sz w:val="24"/>
          <w:szCs w:val="24"/>
        </w:rPr>
        <w:t>贯彻标准的要求和措施建议</w:t>
      </w:r>
      <w:bookmarkEnd w:id="17"/>
    </w:p>
    <w:p w14:paraId="19E5570F" w14:textId="77777777" w:rsidR="00DD666C" w:rsidRDefault="00000000">
      <w:pPr>
        <w:spacing w:beforeLines="30" w:before="93" w:afterLines="30" w:after="93" w:line="360" w:lineRule="auto"/>
        <w:ind w:firstLineChars="200" w:firstLine="480"/>
        <w:rPr>
          <w:rFonts w:ascii="ˎ̥" w:hAnsi="ˎ̥"/>
          <w:sz w:val="24"/>
        </w:rPr>
      </w:pPr>
      <w:r>
        <w:rPr>
          <w:rFonts w:ascii="ˎ̥" w:hAnsi="ˎ̥" w:hint="eastAsia"/>
          <w:sz w:val="24"/>
        </w:rPr>
        <w:t>建议本标准批准</w:t>
      </w:r>
      <w:r>
        <w:rPr>
          <w:rFonts w:hint="eastAsia"/>
          <w:sz w:val="24"/>
        </w:rPr>
        <w:t>发布</w:t>
      </w:r>
      <w:r>
        <w:rPr>
          <w:rFonts w:hint="eastAsia"/>
          <w:sz w:val="24"/>
        </w:rPr>
        <w:t>6</w:t>
      </w:r>
      <w:r>
        <w:rPr>
          <w:rFonts w:hint="eastAsia"/>
          <w:sz w:val="24"/>
        </w:rPr>
        <w:t>个月后</w:t>
      </w:r>
      <w:r>
        <w:rPr>
          <w:rFonts w:ascii="ˎ̥" w:hAnsi="ˎ̥" w:hint="eastAsia"/>
          <w:sz w:val="24"/>
        </w:rPr>
        <w:t>实施。</w:t>
      </w:r>
    </w:p>
    <w:p w14:paraId="0E499845"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8" w:name="_Toc23770179"/>
      <w:r>
        <w:rPr>
          <w:rFonts w:ascii="Times New Roman" w:eastAsia="宋体" w:hint="eastAsia"/>
          <w:b/>
          <w:kern w:val="0"/>
          <w:sz w:val="24"/>
          <w:szCs w:val="24"/>
        </w:rPr>
        <w:t>十一、废止现行相关标准的建议</w:t>
      </w:r>
      <w:bookmarkEnd w:id="18"/>
    </w:p>
    <w:p w14:paraId="38633CEC" w14:textId="77777777" w:rsidR="00DD666C" w:rsidRDefault="00000000">
      <w:pPr>
        <w:widowControl/>
        <w:spacing w:line="440" w:lineRule="exact"/>
        <w:ind w:firstLineChars="200" w:firstLine="480"/>
        <w:rPr>
          <w:color w:val="000000"/>
          <w:sz w:val="24"/>
        </w:rPr>
      </w:pPr>
      <w:r>
        <w:rPr>
          <w:rFonts w:hint="eastAsia"/>
          <w:color w:val="000000"/>
          <w:sz w:val="24"/>
        </w:rPr>
        <w:t>无。</w:t>
      </w:r>
    </w:p>
    <w:p w14:paraId="522509DE" w14:textId="77777777" w:rsidR="00DD666C" w:rsidRDefault="00000000">
      <w:pPr>
        <w:pStyle w:val="af"/>
        <w:spacing w:beforeLines="50" w:before="156" w:afterLines="50" w:after="156" w:line="440" w:lineRule="exact"/>
        <w:ind w:firstLine="0"/>
        <w:outlineLvl w:val="0"/>
        <w:rPr>
          <w:rFonts w:ascii="Times New Roman" w:eastAsia="宋体"/>
          <w:b/>
          <w:kern w:val="0"/>
          <w:sz w:val="24"/>
          <w:szCs w:val="24"/>
        </w:rPr>
      </w:pPr>
      <w:bookmarkStart w:id="19" w:name="_Toc23770180"/>
      <w:r>
        <w:rPr>
          <w:rFonts w:ascii="Times New Roman" w:eastAsia="宋体" w:hint="eastAsia"/>
          <w:b/>
          <w:kern w:val="0"/>
          <w:sz w:val="24"/>
          <w:szCs w:val="24"/>
        </w:rPr>
        <w:t>十二、其他应予说明的事项</w:t>
      </w:r>
      <w:bookmarkEnd w:id="19"/>
    </w:p>
    <w:p w14:paraId="71F86535" w14:textId="77777777" w:rsidR="00DD666C" w:rsidRDefault="00000000">
      <w:pPr>
        <w:widowControl/>
        <w:spacing w:line="440" w:lineRule="exact"/>
        <w:ind w:firstLineChars="200" w:firstLine="480"/>
        <w:rPr>
          <w:color w:val="000000"/>
          <w:sz w:val="24"/>
        </w:rPr>
      </w:pPr>
      <w:r>
        <w:rPr>
          <w:rFonts w:hint="eastAsia"/>
          <w:color w:val="000000"/>
          <w:sz w:val="24"/>
        </w:rPr>
        <w:t>无。</w:t>
      </w:r>
    </w:p>
    <w:sectPr w:rsidR="00DD666C">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CD60" w14:textId="77777777" w:rsidR="009A3FD9" w:rsidRDefault="009A3FD9">
      <w:r>
        <w:separator/>
      </w:r>
    </w:p>
  </w:endnote>
  <w:endnote w:type="continuationSeparator" w:id="0">
    <w:p w14:paraId="6DCEC3F4" w14:textId="77777777" w:rsidR="009A3FD9" w:rsidRDefault="009A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865159"/>
    </w:sdtPr>
    <w:sdtContent>
      <w:p w14:paraId="254A05BD" w14:textId="77777777" w:rsidR="00DD666C" w:rsidRDefault="00000000">
        <w:pPr>
          <w:pStyle w:val="af3"/>
          <w:jc w:val="center"/>
        </w:pPr>
        <w:r>
          <w:fldChar w:fldCharType="begin"/>
        </w:r>
        <w:r>
          <w:instrText>PAGE   \* MERGEFORMAT</w:instrText>
        </w:r>
        <w:r>
          <w:fldChar w:fldCharType="separate"/>
        </w:r>
        <w:r>
          <w:rPr>
            <w:lang w:val="zh-CN"/>
          </w:rPr>
          <w:t>10</w:t>
        </w:r>
        <w:r>
          <w:fldChar w:fldCharType="end"/>
        </w:r>
      </w:p>
    </w:sdtContent>
  </w:sdt>
  <w:p w14:paraId="23CAE992" w14:textId="77777777" w:rsidR="00DD666C" w:rsidRDefault="00DD666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3C97" w14:textId="77777777" w:rsidR="009A3FD9" w:rsidRDefault="009A3FD9">
      <w:r>
        <w:separator/>
      </w:r>
    </w:p>
  </w:footnote>
  <w:footnote w:type="continuationSeparator" w:id="0">
    <w:p w14:paraId="484E2961" w14:textId="77777777" w:rsidR="009A3FD9" w:rsidRDefault="009A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lvlText w:val="（%2）"/>
      <w:lvlJc w:val="left"/>
      <w:pPr>
        <w:ind w:left="284" w:firstLine="0"/>
      </w:pPr>
      <w:rPr>
        <w:rFonts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lvlText w:val="（%3）"/>
      <w:lvlJc w:val="left"/>
      <w:pPr>
        <w:ind w:left="426" w:firstLine="0"/>
      </w:pPr>
      <w:rPr>
        <w:rFonts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557C2AF5"/>
    <w:multiLevelType w:val="multilevel"/>
    <w:tmpl w:val="557C2AF5"/>
    <w:lvl w:ilvl="0">
      <w:start w:val="1"/>
      <w:numFmt w:val="decimal"/>
      <w:pStyle w:val="a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 w15:restartNumberingAfterBreak="0">
    <w:nsid w:val="63FD1F98"/>
    <w:multiLevelType w:val="singleLevel"/>
    <w:tmpl w:val="63FD1F98"/>
    <w:lvl w:ilvl="0">
      <w:start w:val="2"/>
      <w:numFmt w:val="decimal"/>
      <w:suff w:val="nothing"/>
      <w:lvlText w:val="（%1）"/>
      <w:lvlJc w:val="left"/>
    </w:lvl>
  </w:abstractNum>
  <w:abstractNum w:abstractNumId="4" w15:restartNumberingAfterBreak="0">
    <w:nsid w:val="69897FE2"/>
    <w:multiLevelType w:val="multilevel"/>
    <w:tmpl w:val="69897FE2"/>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CEA2025"/>
    <w:multiLevelType w:val="multilevel"/>
    <w:tmpl w:val="6CEA2025"/>
    <w:lvl w:ilvl="0">
      <w:start w:val="1"/>
      <w:numFmt w:val="none"/>
      <w:pStyle w:val="a1"/>
      <w:suff w:val="nothing"/>
      <w:lvlText w:val="%1"/>
      <w:lvlJc w:val="left"/>
      <w:pPr>
        <w:ind w:left="0" w:firstLine="0"/>
      </w:pPr>
      <w:rPr>
        <w:rFonts w:hint="eastAsia"/>
      </w:rPr>
    </w:lvl>
    <w:lvl w:ilvl="1">
      <w:start w:val="1"/>
      <w:numFmt w:val="decimal"/>
      <w:pStyle w:val="a2"/>
      <w:suff w:val="nothing"/>
      <w:lvlText w:val="%1%2　"/>
      <w:lvlJc w:val="left"/>
      <w:pPr>
        <w:ind w:left="0" w:firstLine="0"/>
      </w:pPr>
      <w:rPr>
        <w:rFonts w:ascii="黑体" w:eastAsia="黑体" w:hint="eastAsia"/>
        <w:b w:val="0"/>
        <w:i w:val="0"/>
        <w:sz w:val="21"/>
      </w:rPr>
    </w:lvl>
    <w:lvl w:ilvl="2">
      <w:start w:val="1"/>
      <w:numFmt w:val="decimal"/>
      <w:pStyle w:val="a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4"/>
      <w:suff w:val="nothing"/>
      <w:lvlText w:val="%1%2.%3.%4　"/>
      <w:lvlJc w:val="left"/>
      <w:pPr>
        <w:ind w:left="0" w:firstLine="0"/>
      </w:pPr>
      <w:rPr>
        <w:rFonts w:ascii="黑体" w:eastAsia="黑体" w:hint="eastAsia"/>
        <w:b w:val="0"/>
        <w:i w:val="0"/>
        <w:sz w:val="21"/>
      </w:rPr>
    </w:lvl>
    <w:lvl w:ilvl="4">
      <w:start w:val="1"/>
      <w:numFmt w:val="decimal"/>
      <w:pStyle w:val="a5"/>
      <w:suff w:val="nothing"/>
      <w:lvlText w:val="%1%2.%3.%4.%5　"/>
      <w:lvlJc w:val="left"/>
      <w:pPr>
        <w:ind w:left="4253" w:firstLine="0"/>
      </w:pPr>
      <w:rPr>
        <w:rFonts w:ascii="黑体" w:eastAsia="黑体" w:hint="eastAsia"/>
        <w:b w:val="0"/>
        <w:i w:val="0"/>
        <w:sz w:val="21"/>
      </w:rPr>
    </w:lvl>
    <w:lvl w:ilvl="5">
      <w:start w:val="1"/>
      <w:numFmt w:val="decimal"/>
      <w:pStyle w:val="a6"/>
      <w:suff w:val="nothing"/>
      <w:lvlText w:val="%1%2.%3.%4.%5.%6　"/>
      <w:lvlJc w:val="left"/>
      <w:pPr>
        <w:ind w:left="0" w:firstLine="0"/>
      </w:pPr>
      <w:rPr>
        <w:rFonts w:ascii="黑体" w:eastAsia="黑体" w:hint="eastAsia"/>
        <w:b w:val="0"/>
        <w:i w:val="0"/>
        <w:sz w:val="21"/>
      </w:rPr>
    </w:lvl>
    <w:lvl w:ilvl="6">
      <w:start w:val="1"/>
      <w:numFmt w:val="decimal"/>
      <w:pStyle w:val="a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886217552">
    <w:abstractNumId w:val="0"/>
  </w:num>
  <w:num w:numId="2" w16cid:durableId="763114103">
    <w:abstractNumId w:val="1"/>
  </w:num>
  <w:num w:numId="3" w16cid:durableId="1509980047">
    <w:abstractNumId w:val="5"/>
  </w:num>
  <w:num w:numId="4" w16cid:durableId="1965429098">
    <w:abstractNumId w:val="2"/>
  </w:num>
  <w:num w:numId="5" w16cid:durableId="1349940190">
    <w:abstractNumId w:val="3"/>
  </w:num>
  <w:num w:numId="6" w16cid:durableId="1432819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BhZDM2MDY1NmRkMTExMzBjMDNkOWFiYjM4MTE4ZjAifQ=="/>
  </w:docVars>
  <w:rsids>
    <w:rsidRoot w:val="00AC030E"/>
    <w:rsid w:val="0000141E"/>
    <w:rsid w:val="00007488"/>
    <w:rsid w:val="00010ED8"/>
    <w:rsid w:val="00011B3A"/>
    <w:rsid w:val="00016DA8"/>
    <w:rsid w:val="000248D9"/>
    <w:rsid w:val="00030B31"/>
    <w:rsid w:val="00033755"/>
    <w:rsid w:val="0004048D"/>
    <w:rsid w:val="00056CB9"/>
    <w:rsid w:val="00060E39"/>
    <w:rsid w:val="00065146"/>
    <w:rsid w:val="000729A7"/>
    <w:rsid w:val="000741C6"/>
    <w:rsid w:val="0007456E"/>
    <w:rsid w:val="00077DE8"/>
    <w:rsid w:val="00082692"/>
    <w:rsid w:val="000847B1"/>
    <w:rsid w:val="0008549F"/>
    <w:rsid w:val="00092F44"/>
    <w:rsid w:val="00096A76"/>
    <w:rsid w:val="000A7F2D"/>
    <w:rsid w:val="000B011B"/>
    <w:rsid w:val="000B69D4"/>
    <w:rsid w:val="000C4E42"/>
    <w:rsid w:val="000D6AF4"/>
    <w:rsid w:val="000E0601"/>
    <w:rsid w:val="000F135C"/>
    <w:rsid w:val="000F37E3"/>
    <w:rsid w:val="000F7089"/>
    <w:rsid w:val="001073BC"/>
    <w:rsid w:val="001165E4"/>
    <w:rsid w:val="0012386C"/>
    <w:rsid w:val="0012492D"/>
    <w:rsid w:val="00126BFD"/>
    <w:rsid w:val="00133064"/>
    <w:rsid w:val="0013344D"/>
    <w:rsid w:val="0013435C"/>
    <w:rsid w:val="00141627"/>
    <w:rsid w:val="0014319B"/>
    <w:rsid w:val="001437AF"/>
    <w:rsid w:val="00146417"/>
    <w:rsid w:val="001671B6"/>
    <w:rsid w:val="0017706D"/>
    <w:rsid w:val="00181791"/>
    <w:rsid w:val="001817CC"/>
    <w:rsid w:val="00187122"/>
    <w:rsid w:val="0018757C"/>
    <w:rsid w:val="0019165A"/>
    <w:rsid w:val="00192FE7"/>
    <w:rsid w:val="00196C4D"/>
    <w:rsid w:val="00197113"/>
    <w:rsid w:val="001A0CF7"/>
    <w:rsid w:val="001A4C4D"/>
    <w:rsid w:val="001A5F0C"/>
    <w:rsid w:val="001A6C0D"/>
    <w:rsid w:val="001B4F9E"/>
    <w:rsid w:val="001C13F3"/>
    <w:rsid w:val="001C7910"/>
    <w:rsid w:val="001D7A40"/>
    <w:rsid w:val="001E4A1F"/>
    <w:rsid w:val="001F0C24"/>
    <w:rsid w:val="001F41E3"/>
    <w:rsid w:val="001F656A"/>
    <w:rsid w:val="001F7BDF"/>
    <w:rsid w:val="002012E8"/>
    <w:rsid w:val="002068C2"/>
    <w:rsid w:val="00210B24"/>
    <w:rsid w:val="0021214E"/>
    <w:rsid w:val="00212D28"/>
    <w:rsid w:val="00217539"/>
    <w:rsid w:val="0022747F"/>
    <w:rsid w:val="00232391"/>
    <w:rsid w:val="002353E9"/>
    <w:rsid w:val="002416F9"/>
    <w:rsid w:val="002438BF"/>
    <w:rsid w:val="00244F69"/>
    <w:rsid w:val="00245D22"/>
    <w:rsid w:val="00261FC7"/>
    <w:rsid w:val="0026436B"/>
    <w:rsid w:val="00264881"/>
    <w:rsid w:val="00265247"/>
    <w:rsid w:val="00285C6D"/>
    <w:rsid w:val="00287846"/>
    <w:rsid w:val="0029487D"/>
    <w:rsid w:val="002972EA"/>
    <w:rsid w:val="002A3C2E"/>
    <w:rsid w:val="002A4DF3"/>
    <w:rsid w:val="002B01D4"/>
    <w:rsid w:val="002D742B"/>
    <w:rsid w:val="002E1062"/>
    <w:rsid w:val="002E1E38"/>
    <w:rsid w:val="002E7C30"/>
    <w:rsid w:val="002F15F6"/>
    <w:rsid w:val="003014FA"/>
    <w:rsid w:val="00302A68"/>
    <w:rsid w:val="0031315D"/>
    <w:rsid w:val="00327BC6"/>
    <w:rsid w:val="00333F80"/>
    <w:rsid w:val="00336678"/>
    <w:rsid w:val="00345CF7"/>
    <w:rsid w:val="003473EB"/>
    <w:rsid w:val="00360129"/>
    <w:rsid w:val="00364AB3"/>
    <w:rsid w:val="00366142"/>
    <w:rsid w:val="00367972"/>
    <w:rsid w:val="003757C9"/>
    <w:rsid w:val="00377295"/>
    <w:rsid w:val="00383721"/>
    <w:rsid w:val="003A04FF"/>
    <w:rsid w:val="003A511C"/>
    <w:rsid w:val="003A6118"/>
    <w:rsid w:val="003B440F"/>
    <w:rsid w:val="003B4785"/>
    <w:rsid w:val="003B5BC8"/>
    <w:rsid w:val="003C6BB2"/>
    <w:rsid w:val="003D083B"/>
    <w:rsid w:val="003D1C44"/>
    <w:rsid w:val="003E25E4"/>
    <w:rsid w:val="003E2D34"/>
    <w:rsid w:val="003E34BC"/>
    <w:rsid w:val="003F51DA"/>
    <w:rsid w:val="004012A3"/>
    <w:rsid w:val="0040171B"/>
    <w:rsid w:val="004144E7"/>
    <w:rsid w:val="004165DD"/>
    <w:rsid w:val="004169CE"/>
    <w:rsid w:val="00417B1E"/>
    <w:rsid w:val="00423C24"/>
    <w:rsid w:val="0042779A"/>
    <w:rsid w:val="004325A3"/>
    <w:rsid w:val="00451445"/>
    <w:rsid w:val="00454B2C"/>
    <w:rsid w:val="00454FFB"/>
    <w:rsid w:val="00457843"/>
    <w:rsid w:val="0046775D"/>
    <w:rsid w:val="0047663A"/>
    <w:rsid w:val="004A53DF"/>
    <w:rsid w:val="004B253C"/>
    <w:rsid w:val="004B3041"/>
    <w:rsid w:val="004B5FF2"/>
    <w:rsid w:val="004B7235"/>
    <w:rsid w:val="004C6440"/>
    <w:rsid w:val="004C72E3"/>
    <w:rsid w:val="004D173C"/>
    <w:rsid w:val="004D17C2"/>
    <w:rsid w:val="004D55B1"/>
    <w:rsid w:val="004E0312"/>
    <w:rsid w:val="004E37C8"/>
    <w:rsid w:val="004E3903"/>
    <w:rsid w:val="004E5A32"/>
    <w:rsid w:val="004E725E"/>
    <w:rsid w:val="004F3CB2"/>
    <w:rsid w:val="004F3D88"/>
    <w:rsid w:val="004F5636"/>
    <w:rsid w:val="00506D70"/>
    <w:rsid w:val="005071A6"/>
    <w:rsid w:val="00507B64"/>
    <w:rsid w:val="00510B25"/>
    <w:rsid w:val="0051145C"/>
    <w:rsid w:val="00513FDA"/>
    <w:rsid w:val="0051526D"/>
    <w:rsid w:val="0051568C"/>
    <w:rsid w:val="0051594F"/>
    <w:rsid w:val="005250CE"/>
    <w:rsid w:val="00527295"/>
    <w:rsid w:val="00531A10"/>
    <w:rsid w:val="005336C6"/>
    <w:rsid w:val="005348F7"/>
    <w:rsid w:val="00540E33"/>
    <w:rsid w:val="00543B19"/>
    <w:rsid w:val="00544BCB"/>
    <w:rsid w:val="00553E12"/>
    <w:rsid w:val="00554DBC"/>
    <w:rsid w:val="00562BB2"/>
    <w:rsid w:val="00581DBC"/>
    <w:rsid w:val="00584614"/>
    <w:rsid w:val="00586CC4"/>
    <w:rsid w:val="00594D4F"/>
    <w:rsid w:val="00594E96"/>
    <w:rsid w:val="005951EF"/>
    <w:rsid w:val="005A098D"/>
    <w:rsid w:val="005A2EF6"/>
    <w:rsid w:val="005A4972"/>
    <w:rsid w:val="005B7FAE"/>
    <w:rsid w:val="005C225C"/>
    <w:rsid w:val="005D0284"/>
    <w:rsid w:val="005D57C7"/>
    <w:rsid w:val="005D7C30"/>
    <w:rsid w:val="005E3D55"/>
    <w:rsid w:val="005F5FDB"/>
    <w:rsid w:val="005F7C6B"/>
    <w:rsid w:val="0060380A"/>
    <w:rsid w:val="006156B8"/>
    <w:rsid w:val="006218AD"/>
    <w:rsid w:val="006230CB"/>
    <w:rsid w:val="00623EEF"/>
    <w:rsid w:val="00632231"/>
    <w:rsid w:val="00634983"/>
    <w:rsid w:val="006379E7"/>
    <w:rsid w:val="0064593F"/>
    <w:rsid w:val="006463B4"/>
    <w:rsid w:val="006526A1"/>
    <w:rsid w:val="00656750"/>
    <w:rsid w:val="00667EEB"/>
    <w:rsid w:val="0067526A"/>
    <w:rsid w:val="00676FC0"/>
    <w:rsid w:val="00677210"/>
    <w:rsid w:val="006801AD"/>
    <w:rsid w:val="0068105F"/>
    <w:rsid w:val="006814AA"/>
    <w:rsid w:val="00690635"/>
    <w:rsid w:val="006914D5"/>
    <w:rsid w:val="00697B24"/>
    <w:rsid w:val="006A51DF"/>
    <w:rsid w:val="006A5257"/>
    <w:rsid w:val="006A6CC5"/>
    <w:rsid w:val="006A7230"/>
    <w:rsid w:val="006B157B"/>
    <w:rsid w:val="006B3845"/>
    <w:rsid w:val="006B4046"/>
    <w:rsid w:val="006C4DA4"/>
    <w:rsid w:val="006C51B1"/>
    <w:rsid w:val="006C6748"/>
    <w:rsid w:val="006D0E6C"/>
    <w:rsid w:val="006D1F40"/>
    <w:rsid w:val="006D2713"/>
    <w:rsid w:val="006E4A05"/>
    <w:rsid w:val="006E7C07"/>
    <w:rsid w:val="007077B6"/>
    <w:rsid w:val="00710091"/>
    <w:rsid w:val="0071141E"/>
    <w:rsid w:val="007212A8"/>
    <w:rsid w:val="007239D1"/>
    <w:rsid w:val="007409D0"/>
    <w:rsid w:val="007413AE"/>
    <w:rsid w:val="00742A92"/>
    <w:rsid w:val="00754C99"/>
    <w:rsid w:val="007569C2"/>
    <w:rsid w:val="00756CB7"/>
    <w:rsid w:val="00765301"/>
    <w:rsid w:val="00766E49"/>
    <w:rsid w:val="0078024A"/>
    <w:rsid w:val="00780A01"/>
    <w:rsid w:val="00785004"/>
    <w:rsid w:val="0079228C"/>
    <w:rsid w:val="007954E7"/>
    <w:rsid w:val="007A1C9A"/>
    <w:rsid w:val="007A2E0C"/>
    <w:rsid w:val="007B0C88"/>
    <w:rsid w:val="007B4794"/>
    <w:rsid w:val="007C6D84"/>
    <w:rsid w:val="007F4442"/>
    <w:rsid w:val="00801911"/>
    <w:rsid w:val="00812DA9"/>
    <w:rsid w:val="00815E94"/>
    <w:rsid w:val="0082084C"/>
    <w:rsid w:val="008225D5"/>
    <w:rsid w:val="00823B8E"/>
    <w:rsid w:val="00824973"/>
    <w:rsid w:val="0082525E"/>
    <w:rsid w:val="00826C12"/>
    <w:rsid w:val="00830EF1"/>
    <w:rsid w:val="00841FA2"/>
    <w:rsid w:val="00847318"/>
    <w:rsid w:val="00855CF1"/>
    <w:rsid w:val="00860EC1"/>
    <w:rsid w:val="008615B2"/>
    <w:rsid w:val="00863FA7"/>
    <w:rsid w:val="008671C8"/>
    <w:rsid w:val="00887468"/>
    <w:rsid w:val="00887597"/>
    <w:rsid w:val="008900F3"/>
    <w:rsid w:val="0089248D"/>
    <w:rsid w:val="008957C8"/>
    <w:rsid w:val="008A6C77"/>
    <w:rsid w:val="008A7505"/>
    <w:rsid w:val="008A7518"/>
    <w:rsid w:val="008C56ED"/>
    <w:rsid w:val="008C63CA"/>
    <w:rsid w:val="008D1690"/>
    <w:rsid w:val="008D3CDB"/>
    <w:rsid w:val="008E1156"/>
    <w:rsid w:val="008E5F7A"/>
    <w:rsid w:val="008F3DFF"/>
    <w:rsid w:val="008F5A64"/>
    <w:rsid w:val="0091418A"/>
    <w:rsid w:val="009334DE"/>
    <w:rsid w:val="00940DAE"/>
    <w:rsid w:val="00941ACF"/>
    <w:rsid w:val="0095460B"/>
    <w:rsid w:val="00960FCE"/>
    <w:rsid w:val="00966D27"/>
    <w:rsid w:val="00975675"/>
    <w:rsid w:val="0098398D"/>
    <w:rsid w:val="00987F6A"/>
    <w:rsid w:val="0099748A"/>
    <w:rsid w:val="009A2FB3"/>
    <w:rsid w:val="009A36B5"/>
    <w:rsid w:val="009A3FD9"/>
    <w:rsid w:val="009A7066"/>
    <w:rsid w:val="009A76D0"/>
    <w:rsid w:val="009B011E"/>
    <w:rsid w:val="009C243C"/>
    <w:rsid w:val="009C6899"/>
    <w:rsid w:val="009C7060"/>
    <w:rsid w:val="009C7AAC"/>
    <w:rsid w:val="009E043B"/>
    <w:rsid w:val="009F1DA6"/>
    <w:rsid w:val="009F2E7C"/>
    <w:rsid w:val="00A05E67"/>
    <w:rsid w:val="00A06023"/>
    <w:rsid w:val="00A07F22"/>
    <w:rsid w:val="00A13A98"/>
    <w:rsid w:val="00A20586"/>
    <w:rsid w:val="00A2189A"/>
    <w:rsid w:val="00A23DDD"/>
    <w:rsid w:val="00A276EA"/>
    <w:rsid w:val="00A370D9"/>
    <w:rsid w:val="00A40823"/>
    <w:rsid w:val="00A41D4E"/>
    <w:rsid w:val="00A47871"/>
    <w:rsid w:val="00A600A1"/>
    <w:rsid w:val="00A60839"/>
    <w:rsid w:val="00A60B00"/>
    <w:rsid w:val="00A645EE"/>
    <w:rsid w:val="00A73EC3"/>
    <w:rsid w:val="00A81A70"/>
    <w:rsid w:val="00A92126"/>
    <w:rsid w:val="00A93129"/>
    <w:rsid w:val="00A97959"/>
    <w:rsid w:val="00AA3521"/>
    <w:rsid w:val="00AC030E"/>
    <w:rsid w:val="00AC08E6"/>
    <w:rsid w:val="00AC5E29"/>
    <w:rsid w:val="00AC6BC4"/>
    <w:rsid w:val="00AE409B"/>
    <w:rsid w:val="00AE4373"/>
    <w:rsid w:val="00AE642D"/>
    <w:rsid w:val="00AF152D"/>
    <w:rsid w:val="00AF7403"/>
    <w:rsid w:val="00AF78B0"/>
    <w:rsid w:val="00B0715D"/>
    <w:rsid w:val="00B14D94"/>
    <w:rsid w:val="00B26FA3"/>
    <w:rsid w:val="00B30445"/>
    <w:rsid w:val="00B321F8"/>
    <w:rsid w:val="00B3384D"/>
    <w:rsid w:val="00B3718B"/>
    <w:rsid w:val="00B40D9F"/>
    <w:rsid w:val="00B524BB"/>
    <w:rsid w:val="00B5509D"/>
    <w:rsid w:val="00B63A23"/>
    <w:rsid w:val="00B72FB1"/>
    <w:rsid w:val="00B758DA"/>
    <w:rsid w:val="00B770DB"/>
    <w:rsid w:val="00B779A0"/>
    <w:rsid w:val="00B82F07"/>
    <w:rsid w:val="00B83B02"/>
    <w:rsid w:val="00B872B5"/>
    <w:rsid w:val="00B9103C"/>
    <w:rsid w:val="00B977FD"/>
    <w:rsid w:val="00BA03FF"/>
    <w:rsid w:val="00BA2425"/>
    <w:rsid w:val="00BA2652"/>
    <w:rsid w:val="00BA59AA"/>
    <w:rsid w:val="00BA7793"/>
    <w:rsid w:val="00BC35E8"/>
    <w:rsid w:val="00BC6F1E"/>
    <w:rsid w:val="00BD0A93"/>
    <w:rsid w:val="00BD33C3"/>
    <w:rsid w:val="00BD5A05"/>
    <w:rsid w:val="00BD7F00"/>
    <w:rsid w:val="00BE277E"/>
    <w:rsid w:val="00BE3978"/>
    <w:rsid w:val="00BE64BF"/>
    <w:rsid w:val="00BE79A0"/>
    <w:rsid w:val="00C31317"/>
    <w:rsid w:val="00C35374"/>
    <w:rsid w:val="00C37947"/>
    <w:rsid w:val="00C41C4C"/>
    <w:rsid w:val="00C5144E"/>
    <w:rsid w:val="00C53427"/>
    <w:rsid w:val="00C60019"/>
    <w:rsid w:val="00C60B7B"/>
    <w:rsid w:val="00C60E44"/>
    <w:rsid w:val="00C66ADB"/>
    <w:rsid w:val="00C720F0"/>
    <w:rsid w:val="00C857E4"/>
    <w:rsid w:val="00C867BB"/>
    <w:rsid w:val="00C94CD0"/>
    <w:rsid w:val="00CA5E23"/>
    <w:rsid w:val="00CB1FCB"/>
    <w:rsid w:val="00CB58FB"/>
    <w:rsid w:val="00CC3600"/>
    <w:rsid w:val="00CD6B18"/>
    <w:rsid w:val="00CE26AF"/>
    <w:rsid w:val="00CE3C14"/>
    <w:rsid w:val="00CE6C0D"/>
    <w:rsid w:val="00CF1C39"/>
    <w:rsid w:val="00CF2AA5"/>
    <w:rsid w:val="00CF3E2B"/>
    <w:rsid w:val="00D10C04"/>
    <w:rsid w:val="00D17BBC"/>
    <w:rsid w:val="00D25955"/>
    <w:rsid w:val="00D318FF"/>
    <w:rsid w:val="00D43710"/>
    <w:rsid w:val="00D47AD4"/>
    <w:rsid w:val="00D47C0B"/>
    <w:rsid w:val="00D62912"/>
    <w:rsid w:val="00D711DF"/>
    <w:rsid w:val="00D715C6"/>
    <w:rsid w:val="00D81ADA"/>
    <w:rsid w:val="00D87084"/>
    <w:rsid w:val="00D90397"/>
    <w:rsid w:val="00D933CF"/>
    <w:rsid w:val="00D96EA3"/>
    <w:rsid w:val="00DB6C9B"/>
    <w:rsid w:val="00DC04C3"/>
    <w:rsid w:val="00DC059C"/>
    <w:rsid w:val="00DC1B12"/>
    <w:rsid w:val="00DD4245"/>
    <w:rsid w:val="00DD666C"/>
    <w:rsid w:val="00DE32CE"/>
    <w:rsid w:val="00DF0A88"/>
    <w:rsid w:val="00DF16D2"/>
    <w:rsid w:val="00DF30CC"/>
    <w:rsid w:val="00DF42C7"/>
    <w:rsid w:val="00E00B63"/>
    <w:rsid w:val="00E01881"/>
    <w:rsid w:val="00E04663"/>
    <w:rsid w:val="00E239E5"/>
    <w:rsid w:val="00E23BDE"/>
    <w:rsid w:val="00E26DF1"/>
    <w:rsid w:val="00E36CDB"/>
    <w:rsid w:val="00E37898"/>
    <w:rsid w:val="00E40020"/>
    <w:rsid w:val="00E416CD"/>
    <w:rsid w:val="00E43409"/>
    <w:rsid w:val="00E453FC"/>
    <w:rsid w:val="00E5402C"/>
    <w:rsid w:val="00E57AC0"/>
    <w:rsid w:val="00E63C14"/>
    <w:rsid w:val="00E736D6"/>
    <w:rsid w:val="00E85878"/>
    <w:rsid w:val="00E954D5"/>
    <w:rsid w:val="00E95E9C"/>
    <w:rsid w:val="00E96DDC"/>
    <w:rsid w:val="00EA09D1"/>
    <w:rsid w:val="00EA24E8"/>
    <w:rsid w:val="00EA5218"/>
    <w:rsid w:val="00EB25F8"/>
    <w:rsid w:val="00EB2B97"/>
    <w:rsid w:val="00EC1F61"/>
    <w:rsid w:val="00EC6CC7"/>
    <w:rsid w:val="00ED0A97"/>
    <w:rsid w:val="00ED33C8"/>
    <w:rsid w:val="00ED3CD0"/>
    <w:rsid w:val="00EE260B"/>
    <w:rsid w:val="00EE6CD5"/>
    <w:rsid w:val="00EF7271"/>
    <w:rsid w:val="00EF7A07"/>
    <w:rsid w:val="00F04670"/>
    <w:rsid w:val="00F1167F"/>
    <w:rsid w:val="00F11CF4"/>
    <w:rsid w:val="00F1305F"/>
    <w:rsid w:val="00F134D2"/>
    <w:rsid w:val="00F243C6"/>
    <w:rsid w:val="00F27E23"/>
    <w:rsid w:val="00F372B9"/>
    <w:rsid w:val="00F44545"/>
    <w:rsid w:val="00F50469"/>
    <w:rsid w:val="00F61459"/>
    <w:rsid w:val="00F70AFD"/>
    <w:rsid w:val="00F74556"/>
    <w:rsid w:val="00F820B7"/>
    <w:rsid w:val="00F84EBC"/>
    <w:rsid w:val="00F86419"/>
    <w:rsid w:val="00F964F3"/>
    <w:rsid w:val="00FB27B3"/>
    <w:rsid w:val="00FB2BE8"/>
    <w:rsid w:val="00FB65A2"/>
    <w:rsid w:val="00FD4616"/>
    <w:rsid w:val="00FD5046"/>
    <w:rsid w:val="00FE02A3"/>
    <w:rsid w:val="00FE32E4"/>
    <w:rsid w:val="00FE5389"/>
    <w:rsid w:val="00FE59E5"/>
    <w:rsid w:val="00FF012A"/>
    <w:rsid w:val="00FF322F"/>
    <w:rsid w:val="151903CD"/>
    <w:rsid w:val="33002277"/>
    <w:rsid w:val="34621989"/>
    <w:rsid w:val="3A423C1E"/>
    <w:rsid w:val="57103A2E"/>
    <w:rsid w:val="66D55168"/>
    <w:rsid w:val="696F1D70"/>
    <w:rsid w:val="7A2859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80B39E7"/>
  <w15:docId w15:val="{B280DB9A-830D-4C2F-A1E5-D251252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
    <w:name w:val="heading 1"/>
    <w:basedOn w:val="a8"/>
    <w:next w:val="a8"/>
    <w:link w:val="10"/>
    <w:qFormat/>
    <w:pPr>
      <w:keepNext/>
      <w:keepLines/>
      <w:spacing w:before="340" w:after="330" w:line="578" w:lineRule="auto"/>
      <w:outlineLvl w:val="0"/>
    </w:pPr>
    <w:rPr>
      <w:b/>
      <w:bCs/>
      <w:kern w:val="44"/>
      <w:sz w:val="44"/>
      <w:szCs w:val="44"/>
    </w:rPr>
  </w:style>
  <w:style w:type="paragraph" w:styleId="2">
    <w:name w:val="heading 2"/>
    <w:basedOn w:val="a8"/>
    <w:next w:val="a8"/>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8"/>
    <w:next w:val="a8"/>
    <w:link w:val="30"/>
    <w:unhideWhenUsed/>
    <w:qFormat/>
    <w:pPr>
      <w:keepNext/>
      <w:keepLines/>
      <w:spacing w:before="260" w:after="260" w:line="416" w:lineRule="auto"/>
      <w:outlineLvl w:val="2"/>
    </w:pPr>
    <w:rPr>
      <w:b/>
      <w:bCs/>
      <w:sz w:val="32"/>
      <w:szCs w:val="32"/>
    </w:rPr>
  </w:style>
  <w:style w:type="paragraph" w:styleId="4">
    <w:name w:val="heading 4"/>
    <w:basedOn w:val="a8"/>
    <w:next w:val="a8"/>
    <w:link w:val="40"/>
    <w:unhideWhenUsed/>
    <w:qFormat/>
    <w:pPr>
      <w:keepNext/>
      <w:keepLines/>
      <w:spacing w:before="280" w:after="290" w:line="376" w:lineRule="auto"/>
      <w:outlineLvl w:val="3"/>
    </w:pPr>
    <w:rPr>
      <w:rFonts w:ascii="Cambria" w:hAnsi="Cambria"/>
      <w:b/>
      <w:bCs/>
      <w:sz w:val="28"/>
      <w:szCs w:val="28"/>
    </w:rPr>
  </w:style>
  <w:style w:type="paragraph" w:styleId="5">
    <w:name w:val="heading 5"/>
    <w:basedOn w:val="a8"/>
    <w:next w:val="a8"/>
    <w:link w:val="50"/>
    <w:unhideWhenUsed/>
    <w:qFormat/>
    <w:pPr>
      <w:keepNext/>
      <w:keepLines/>
      <w:spacing w:before="280" w:after="290" w:line="376" w:lineRule="auto"/>
      <w:outlineLvl w:val="4"/>
    </w:pPr>
    <w:rPr>
      <w:b/>
      <w:bCs/>
      <w:sz w:val="28"/>
      <w:szCs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8">
    <w:name w:val="index 8"/>
    <w:basedOn w:val="a8"/>
    <w:next w:val="a8"/>
    <w:qFormat/>
    <w:pPr>
      <w:ind w:left="1680" w:hanging="210"/>
      <w:jc w:val="left"/>
    </w:pPr>
    <w:rPr>
      <w:rFonts w:ascii="Calibri" w:hAnsi="Calibri"/>
      <w:sz w:val="20"/>
      <w:szCs w:val="20"/>
    </w:rPr>
  </w:style>
  <w:style w:type="paragraph" w:styleId="ac">
    <w:name w:val="caption"/>
    <w:basedOn w:val="a8"/>
    <w:next w:val="a8"/>
    <w:qFormat/>
    <w:pPr>
      <w:spacing w:before="152" w:after="160"/>
    </w:pPr>
    <w:rPr>
      <w:rFonts w:ascii="Arial" w:eastAsia="黑体" w:hAnsi="Arial" w:cs="Arial"/>
      <w:sz w:val="20"/>
      <w:szCs w:val="20"/>
    </w:rPr>
  </w:style>
  <w:style w:type="paragraph" w:styleId="51">
    <w:name w:val="index 5"/>
    <w:basedOn w:val="a8"/>
    <w:next w:val="a8"/>
    <w:qFormat/>
    <w:pPr>
      <w:ind w:left="1050" w:hanging="210"/>
      <w:jc w:val="left"/>
    </w:pPr>
    <w:rPr>
      <w:rFonts w:ascii="Calibri" w:hAnsi="Calibri"/>
      <w:sz w:val="20"/>
      <w:szCs w:val="20"/>
    </w:rPr>
  </w:style>
  <w:style w:type="paragraph" w:styleId="ad">
    <w:name w:val="annotation text"/>
    <w:basedOn w:val="a8"/>
    <w:link w:val="ae"/>
    <w:unhideWhenUsed/>
    <w:qFormat/>
    <w:pPr>
      <w:jc w:val="left"/>
    </w:pPr>
  </w:style>
  <w:style w:type="paragraph" w:styleId="6">
    <w:name w:val="index 6"/>
    <w:basedOn w:val="a8"/>
    <w:next w:val="a8"/>
    <w:qFormat/>
    <w:pPr>
      <w:ind w:left="1260" w:hanging="210"/>
      <w:jc w:val="left"/>
    </w:pPr>
    <w:rPr>
      <w:rFonts w:ascii="Calibri" w:hAnsi="Calibri"/>
      <w:sz w:val="20"/>
      <w:szCs w:val="20"/>
    </w:rPr>
  </w:style>
  <w:style w:type="paragraph" w:styleId="af">
    <w:name w:val="Body Text Indent"/>
    <w:basedOn w:val="a8"/>
    <w:qFormat/>
    <w:pPr>
      <w:ind w:firstLine="570"/>
    </w:pPr>
    <w:rPr>
      <w:rFonts w:ascii="仿宋_GB2312" w:eastAsia="仿宋_GB2312"/>
      <w:sz w:val="28"/>
      <w:szCs w:val="20"/>
    </w:rPr>
  </w:style>
  <w:style w:type="paragraph" w:styleId="41">
    <w:name w:val="index 4"/>
    <w:basedOn w:val="a8"/>
    <w:next w:val="a8"/>
    <w:qFormat/>
    <w:pPr>
      <w:ind w:left="840" w:hanging="210"/>
      <w:jc w:val="left"/>
    </w:pPr>
    <w:rPr>
      <w:rFonts w:ascii="Calibri" w:hAnsi="Calibri"/>
      <w:sz w:val="20"/>
      <w:szCs w:val="20"/>
    </w:rPr>
  </w:style>
  <w:style w:type="paragraph" w:styleId="TOC3">
    <w:name w:val="toc 3"/>
    <w:basedOn w:val="a8"/>
    <w:next w:val="a8"/>
    <w:uiPriority w:val="39"/>
    <w:qFormat/>
    <w:pPr>
      <w:ind w:leftChars="400" w:left="840"/>
    </w:pPr>
  </w:style>
  <w:style w:type="paragraph" w:styleId="31">
    <w:name w:val="index 3"/>
    <w:basedOn w:val="a8"/>
    <w:next w:val="a8"/>
    <w:qFormat/>
    <w:pPr>
      <w:ind w:left="630" w:hanging="210"/>
      <w:jc w:val="left"/>
    </w:pPr>
    <w:rPr>
      <w:rFonts w:ascii="Calibri" w:hAnsi="Calibri"/>
      <w:sz w:val="20"/>
      <w:szCs w:val="20"/>
    </w:rPr>
  </w:style>
  <w:style w:type="paragraph" w:styleId="af0">
    <w:name w:val="Date"/>
    <w:basedOn w:val="a8"/>
    <w:next w:val="a8"/>
    <w:qFormat/>
    <w:pPr>
      <w:ind w:leftChars="2500" w:left="100"/>
    </w:pPr>
  </w:style>
  <w:style w:type="paragraph" w:styleId="af1">
    <w:name w:val="Balloon Text"/>
    <w:basedOn w:val="a8"/>
    <w:link w:val="af2"/>
    <w:qFormat/>
    <w:rPr>
      <w:sz w:val="18"/>
      <w:szCs w:val="18"/>
    </w:rPr>
  </w:style>
  <w:style w:type="paragraph" w:styleId="af3">
    <w:name w:val="footer"/>
    <w:basedOn w:val="a8"/>
    <w:link w:val="af4"/>
    <w:uiPriority w:val="99"/>
    <w:qFormat/>
    <w:pPr>
      <w:snapToGrid w:val="0"/>
      <w:ind w:rightChars="100" w:right="210"/>
      <w:jc w:val="right"/>
    </w:pPr>
    <w:rPr>
      <w:sz w:val="18"/>
      <w:szCs w:val="18"/>
    </w:rPr>
  </w:style>
  <w:style w:type="paragraph" w:styleId="af5">
    <w:name w:val="header"/>
    <w:basedOn w:val="a8"/>
    <w:link w:val="af6"/>
    <w:qFormat/>
    <w:pPr>
      <w:snapToGrid w:val="0"/>
      <w:jc w:val="left"/>
    </w:pPr>
    <w:rPr>
      <w:sz w:val="18"/>
      <w:szCs w:val="18"/>
    </w:rPr>
  </w:style>
  <w:style w:type="paragraph" w:styleId="TOC1">
    <w:name w:val="toc 1"/>
    <w:basedOn w:val="a8"/>
    <w:next w:val="a8"/>
    <w:uiPriority w:val="39"/>
    <w:qFormat/>
  </w:style>
  <w:style w:type="paragraph" w:styleId="af7">
    <w:name w:val="index heading"/>
    <w:basedOn w:val="a8"/>
    <w:next w:val="11"/>
    <w:qFormat/>
    <w:pPr>
      <w:spacing w:before="120" w:after="120"/>
      <w:jc w:val="center"/>
    </w:pPr>
    <w:rPr>
      <w:rFonts w:ascii="Calibri" w:hAnsi="Calibri"/>
      <w:b/>
      <w:bCs/>
      <w:iCs/>
      <w:szCs w:val="20"/>
    </w:rPr>
  </w:style>
  <w:style w:type="paragraph" w:styleId="11">
    <w:name w:val="index 1"/>
    <w:basedOn w:val="a8"/>
    <w:next w:val="af8"/>
    <w:qFormat/>
    <w:pPr>
      <w:tabs>
        <w:tab w:val="right" w:leader="dot" w:pos="9299"/>
      </w:tabs>
      <w:jc w:val="left"/>
    </w:pPr>
    <w:rPr>
      <w:rFonts w:ascii="宋体"/>
      <w:szCs w:val="21"/>
    </w:rPr>
  </w:style>
  <w:style w:type="paragraph" w:customStyle="1" w:styleId="af8">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9">
    <w:name w:val="footnote text"/>
    <w:basedOn w:val="a8"/>
    <w:qFormat/>
    <w:pPr>
      <w:tabs>
        <w:tab w:val="left" w:pos="0"/>
      </w:tabs>
      <w:snapToGrid w:val="0"/>
      <w:ind w:left="720" w:hanging="357"/>
      <w:jc w:val="left"/>
    </w:pPr>
    <w:rPr>
      <w:rFonts w:ascii="宋体"/>
      <w:sz w:val="18"/>
      <w:szCs w:val="18"/>
    </w:rPr>
  </w:style>
  <w:style w:type="paragraph" w:styleId="7">
    <w:name w:val="index 7"/>
    <w:basedOn w:val="a8"/>
    <w:next w:val="a8"/>
    <w:qFormat/>
    <w:pPr>
      <w:ind w:left="1470" w:hanging="210"/>
      <w:jc w:val="left"/>
    </w:pPr>
    <w:rPr>
      <w:rFonts w:ascii="Calibri" w:hAnsi="Calibri"/>
      <w:sz w:val="20"/>
      <w:szCs w:val="20"/>
    </w:rPr>
  </w:style>
  <w:style w:type="paragraph" w:styleId="9">
    <w:name w:val="index 9"/>
    <w:basedOn w:val="a8"/>
    <w:next w:val="a8"/>
    <w:qFormat/>
    <w:pPr>
      <w:ind w:left="1890" w:hanging="210"/>
      <w:jc w:val="left"/>
    </w:pPr>
    <w:rPr>
      <w:rFonts w:ascii="Calibri" w:hAnsi="Calibri"/>
      <w:sz w:val="20"/>
      <w:szCs w:val="20"/>
    </w:rPr>
  </w:style>
  <w:style w:type="paragraph" w:styleId="TOC2">
    <w:name w:val="toc 2"/>
    <w:basedOn w:val="a8"/>
    <w:next w:val="a8"/>
    <w:uiPriority w:val="39"/>
    <w:qFormat/>
    <w:pPr>
      <w:ind w:leftChars="200" w:left="420"/>
    </w:pPr>
  </w:style>
  <w:style w:type="paragraph" w:styleId="HTML">
    <w:name w:val="HTML Preformatted"/>
    <w:basedOn w:val="a8"/>
    <w:qFormat/>
    <w:pPr>
      <w:tabs>
        <w:tab w:val="left" w:pos="360"/>
      </w:tabs>
    </w:pPr>
    <w:rPr>
      <w:rFonts w:ascii="Courier New" w:hAnsi="Courier New" w:cs="Courier New"/>
      <w:sz w:val="20"/>
      <w:szCs w:val="20"/>
    </w:rPr>
  </w:style>
  <w:style w:type="paragraph" w:styleId="afa">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21">
    <w:name w:val="index 2"/>
    <w:basedOn w:val="a8"/>
    <w:next w:val="a8"/>
    <w:qFormat/>
    <w:pPr>
      <w:ind w:left="420" w:hanging="210"/>
      <w:jc w:val="left"/>
    </w:pPr>
    <w:rPr>
      <w:rFonts w:ascii="Calibri" w:hAnsi="Calibri"/>
      <w:sz w:val="20"/>
      <w:szCs w:val="20"/>
    </w:rPr>
  </w:style>
  <w:style w:type="paragraph" w:styleId="afb">
    <w:name w:val="annotation subject"/>
    <w:basedOn w:val="ad"/>
    <w:next w:val="ad"/>
    <w:link w:val="afc"/>
    <w:semiHidden/>
    <w:unhideWhenUsed/>
    <w:rPr>
      <w:b/>
      <w:bCs/>
    </w:rPr>
  </w:style>
  <w:style w:type="table" w:styleId="afd">
    <w:name w:val="Table Grid"/>
    <w:basedOn w:val="aa"/>
    <w:uiPriority w:val="59"/>
    <w:qFormat/>
    <w:pPr>
      <w:numPr>
        <w:numId w:val="1"/>
      </w:numPr>
      <w:tabs>
        <w:tab w:val="left" w:pos="360"/>
      </w:tabs>
      <w:ind w:left="0" w:firstLine="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uiPriority w:val="22"/>
    <w:qFormat/>
    <w:rPr>
      <w:b/>
      <w:bCs/>
    </w:rPr>
  </w:style>
  <w:style w:type="character" w:styleId="aff">
    <w:name w:val="page number"/>
    <w:qFormat/>
    <w:rPr>
      <w:rFonts w:ascii="Times New Roman" w:eastAsia="宋体" w:hAnsi="Times New Roman"/>
      <w:sz w:val="18"/>
    </w:rPr>
  </w:style>
  <w:style w:type="character" w:styleId="aff0">
    <w:name w:val="Hyperlink"/>
    <w:uiPriority w:val="99"/>
    <w:qFormat/>
    <w:rPr>
      <w:color w:val="0000FF"/>
      <w:spacing w:val="0"/>
      <w:w w:val="100"/>
      <w:szCs w:val="21"/>
      <w:u w:val="single"/>
      <w:lang w:val="en-US" w:eastAsia="zh-CN"/>
    </w:rPr>
  </w:style>
  <w:style w:type="character" w:styleId="aff1">
    <w:name w:val="annotation reference"/>
    <w:basedOn w:val="a9"/>
    <w:semiHidden/>
    <w:unhideWhenUsed/>
    <w:qFormat/>
    <w:rPr>
      <w:sz w:val="21"/>
      <w:szCs w:val="21"/>
    </w:rPr>
  </w:style>
  <w:style w:type="character" w:customStyle="1" w:styleId="12">
    <w:name w:val="已访问的超链接1"/>
    <w:qFormat/>
    <w:rPr>
      <w:color w:val="800080"/>
      <w:u w:val="single"/>
    </w:rPr>
  </w:style>
  <w:style w:type="character" w:customStyle="1" w:styleId="af4">
    <w:name w:val="页脚 字符"/>
    <w:link w:val="af3"/>
    <w:uiPriority w:val="99"/>
    <w:qFormat/>
    <w:rPr>
      <w:rFonts w:eastAsia="宋体"/>
      <w:kern w:val="2"/>
      <w:sz w:val="18"/>
      <w:szCs w:val="18"/>
      <w:lang w:val="en-US" w:eastAsia="zh-CN" w:bidi="ar-SA"/>
    </w:rPr>
  </w:style>
  <w:style w:type="character" w:customStyle="1" w:styleId="Char0">
    <w:name w:val="首示例 Char"/>
    <w:link w:val="aff2"/>
    <w:qFormat/>
    <w:rPr>
      <w:rFonts w:ascii="宋体" w:hAnsi="宋体"/>
      <w:kern w:val="2"/>
      <w:sz w:val="18"/>
      <w:szCs w:val="18"/>
    </w:rPr>
  </w:style>
  <w:style w:type="paragraph" w:customStyle="1" w:styleId="aff2">
    <w:name w:val="首示例"/>
    <w:next w:val="af8"/>
    <w:link w:val="Char0"/>
    <w:qFormat/>
    <w:pPr>
      <w:tabs>
        <w:tab w:val="left" w:pos="360"/>
      </w:tabs>
    </w:pPr>
    <w:rPr>
      <w:rFonts w:ascii="宋体" w:hAnsi="宋体"/>
      <w:kern w:val="2"/>
      <w:sz w:val="18"/>
      <w:szCs w:val="18"/>
    </w:rPr>
  </w:style>
  <w:style w:type="character" w:customStyle="1" w:styleId="af6">
    <w:name w:val="页眉 字符"/>
    <w:link w:val="af5"/>
    <w:qFormat/>
    <w:rPr>
      <w:kern w:val="2"/>
      <w:sz w:val="18"/>
      <w:szCs w:val="18"/>
    </w:rPr>
  </w:style>
  <w:style w:type="character" w:customStyle="1" w:styleId="aff3">
    <w:name w:val="发布"/>
    <w:qFormat/>
    <w:rPr>
      <w:rFonts w:ascii="黑体" w:eastAsia="黑体"/>
      <w:spacing w:val="85"/>
      <w:w w:val="100"/>
      <w:position w:val="3"/>
      <w:sz w:val="28"/>
      <w:szCs w:val="28"/>
    </w:rPr>
  </w:style>
  <w:style w:type="character" w:customStyle="1" w:styleId="Char">
    <w:name w:val="段 Char"/>
    <w:link w:val="af8"/>
    <w:qFormat/>
    <w:rPr>
      <w:rFonts w:ascii="宋体"/>
      <w:sz w:val="21"/>
      <w:lang w:val="en-US" w:eastAsia="zh-CN" w:bidi="ar-SA"/>
    </w:rPr>
  </w:style>
  <w:style w:type="character" w:customStyle="1" w:styleId="Char1">
    <w:name w:val="附录公式 Char"/>
    <w:basedOn w:val="Char"/>
    <w:link w:val="aff4"/>
    <w:qFormat/>
    <w:rPr>
      <w:rFonts w:ascii="宋体"/>
      <w:sz w:val="21"/>
      <w:lang w:val="en-US" w:eastAsia="zh-CN" w:bidi="ar-SA"/>
    </w:rPr>
  </w:style>
  <w:style w:type="paragraph" w:customStyle="1" w:styleId="aff4">
    <w:name w:val="附录公式"/>
    <w:basedOn w:val="af8"/>
    <w:next w:val="af8"/>
    <w:link w:val="Char1"/>
    <w:qFormat/>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5">
    <w:name w:val="参考文献、索引标题"/>
    <w:basedOn w:val="a8"/>
    <w:next w:val="af8"/>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6">
    <w:name w:val="章标题"/>
    <w:next w:val="af8"/>
    <w:qFormat/>
    <w:pPr>
      <w:spacing w:beforeLines="100" w:afterLines="100"/>
      <w:jc w:val="both"/>
      <w:outlineLvl w:val="1"/>
    </w:pPr>
    <w:rPr>
      <w:rFonts w:ascii="黑体" w:eastAsia="黑体"/>
      <w:sz w:val="21"/>
    </w:rPr>
  </w:style>
  <w:style w:type="paragraph" w:customStyle="1" w:styleId="aff7">
    <w:name w:val="标准书脚_偶数页"/>
    <w:qFormat/>
    <w:pPr>
      <w:spacing w:before="120"/>
      <w:ind w:left="221"/>
    </w:pPr>
    <w:rPr>
      <w:rFonts w:ascii="宋体"/>
      <w:sz w:val="18"/>
      <w:szCs w:val="18"/>
    </w:rPr>
  </w:style>
  <w:style w:type="paragraph" w:customStyle="1" w:styleId="a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9">
    <w:name w:val="附录公式编号制表符"/>
    <w:basedOn w:val="a8"/>
    <w:next w:val="af8"/>
    <w:qFormat/>
    <w:pPr>
      <w:widowControl/>
      <w:tabs>
        <w:tab w:val="center" w:pos="4201"/>
        <w:tab w:val="right" w:leader="dot" w:pos="9298"/>
      </w:tabs>
      <w:autoSpaceDE w:val="0"/>
      <w:autoSpaceDN w:val="0"/>
    </w:pPr>
    <w:rPr>
      <w:rFonts w:ascii="宋体"/>
      <w:kern w:val="0"/>
      <w:szCs w:val="20"/>
    </w:rPr>
  </w:style>
  <w:style w:type="paragraph" w:customStyle="1" w:styleId="affa">
    <w:name w:val="二级无"/>
    <w:basedOn w:val="affb"/>
    <w:qFormat/>
    <w:pPr>
      <w:spacing w:beforeLines="0" w:afterLines="0"/>
      <w:ind w:left="0"/>
    </w:pPr>
    <w:rPr>
      <w:rFonts w:ascii="宋体" w:eastAsia="宋体"/>
    </w:rPr>
  </w:style>
  <w:style w:type="paragraph" w:customStyle="1" w:styleId="affb">
    <w:name w:val="二级条标题"/>
    <w:basedOn w:val="a"/>
    <w:next w:val="af8"/>
    <w:qFormat/>
    <w:pPr>
      <w:numPr>
        <w:ilvl w:val="0"/>
        <w:numId w:val="0"/>
      </w:numPr>
      <w:spacing w:before="50" w:after="50"/>
      <w:ind w:left="426"/>
      <w:outlineLvl w:val="3"/>
    </w:pPr>
  </w:style>
  <w:style w:type="paragraph" w:customStyle="1" w:styleId="a">
    <w:name w:val="一级条标题"/>
    <w:next w:val="af8"/>
    <w:qFormat/>
    <w:pPr>
      <w:numPr>
        <w:ilvl w:val="1"/>
        <w:numId w:val="2"/>
      </w:numPr>
      <w:spacing w:beforeLines="50" w:afterLines="50"/>
      <w:outlineLvl w:val="2"/>
    </w:pPr>
    <w:rPr>
      <w:rFonts w:ascii="黑体" w:eastAsia="黑体"/>
      <w:sz w:val="21"/>
      <w:szCs w:val="21"/>
    </w:rPr>
  </w:style>
  <w:style w:type="paragraph" w:customStyle="1" w:styleId="affc">
    <w:name w:val="编号列项（三级）"/>
    <w:qFormat/>
    <w:rPr>
      <w:rFonts w:ascii="宋体"/>
      <w:sz w:val="21"/>
    </w:rPr>
  </w:style>
  <w:style w:type="paragraph" w:customStyle="1" w:styleId="affd">
    <w:name w:val="条文脚注"/>
    <w:basedOn w:val="af9"/>
    <w:qFormat/>
    <w:pPr>
      <w:ind w:left="0" w:firstLine="0"/>
      <w:jc w:val="both"/>
    </w:pPr>
  </w:style>
  <w:style w:type="paragraph" w:customStyle="1" w:styleId="affe">
    <w:name w:val="附录标题"/>
    <w:basedOn w:val="af8"/>
    <w:next w:val="af8"/>
    <w:qFormat/>
    <w:pPr>
      <w:ind w:firstLineChars="0" w:firstLine="0"/>
      <w:jc w:val="center"/>
    </w:pPr>
    <w:rPr>
      <w:rFonts w:ascii="黑体" w:eastAsia="黑体"/>
    </w:rPr>
  </w:style>
  <w:style w:type="paragraph" w:customStyle="1" w:styleId="afff">
    <w:name w:val="目次、标准名称标题"/>
    <w:basedOn w:val="a8"/>
    <w:next w:val="af8"/>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0">
    <w:name w:val="正文公式编号制表符"/>
    <w:basedOn w:val="af8"/>
    <w:next w:val="af8"/>
    <w:qFormat/>
    <w:pPr>
      <w:ind w:firstLineChars="0" w:firstLine="0"/>
    </w:pPr>
  </w:style>
  <w:style w:type="paragraph" w:customStyle="1" w:styleId="afff1">
    <w:name w:val="附录四级条标题"/>
    <w:basedOn w:val="afff2"/>
    <w:next w:val="af8"/>
    <w:qFormat/>
    <w:pPr>
      <w:outlineLvl w:val="5"/>
    </w:pPr>
  </w:style>
  <w:style w:type="paragraph" w:customStyle="1" w:styleId="afff2">
    <w:name w:val="附录三级条标题"/>
    <w:basedOn w:val="afff3"/>
    <w:next w:val="af8"/>
    <w:qFormat/>
    <w:pPr>
      <w:outlineLvl w:val="4"/>
    </w:pPr>
  </w:style>
  <w:style w:type="paragraph" w:customStyle="1" w:styleId="afff3">
    <w:name w:val="附录二级条标题"/>
    <w:basedOn w:val="a8"/>
    <w:next w:val="af8"/>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4">
    <w:name w:val="三级无"/>
    <w:basedOn w:val="afff5"/>
    <w:qFormat/>
    <w:pPr>
      <w:spacing w:beforeLines="0" w:afterLines="0"/>
    </w:pPr>
    <w:rPr>
      <w:rFonts w:ascii="宋体" w:eastAsia="宋体"/>
    </w:rPr>
  </w:style>
  <w:style w:type="paragraph" w:customStyle="1" w:styleId="afff5">
    <w:name w:val="三级条标题"/>
    <w:basedOn w:val="affb"/>
    <w:next w:val="af8"/>
    <w:qFormat/>
    <w:pPr>
      <w:ind w:left="0"/>
      <w:outlineLvl w:val="4"/>
    </w:pPr>
  </w:style>
  <w:style w:type="paragraph" w:customStyle="1" w:styleId="afff6">
    <w:name w:val="封面一致性程度标识"/>
    <w:basedOn w:val="afff7"/>
    <w:qFormat/>
    <w:pPr>
      <w:framePr w:wrap="around"/>
      <w:spacing w:before="440"/>
    </w:pPr>
    <w:rPr>
      <w:rFonts w:ascii="宋体" w:eastAsia="宋体"/>
    </w:rPr>
  </w:style>
  <w:style w:type="paragraph" w:customStyle="1" w:styleId="afff7">
    <w:name w:val="封面标准英文名称"/>
    <w:basedOn w:val="afff8"/>
    <w:qFormat/>
    <w:pPr>
      <w:framePr w:wrap="around"/>
      <w:spacing w:before="370" w:line="400" w:lineRule="exact"/>
    </w:pPr>
    <w:rPr>
      <w:rFonts w:ascii="Times New Roman"/>
      <w:sz w:val="28"/>
      <w:szCs w:val="28"/>
    </w:rPr>
  </w:style>
  <w:style w:type="paragraph" w:customStyle="1" w:styleId="a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9">
    <w:name w:val="示例×："/>
    <w:basedOn w:val="aff6"/>
    <w:qFormat/>
    <w:pPr>
      <w:spacing w:beforeLines="0" w:afterLines="0"/>
      <w:ind w:firstLine="363"/>
      <w:outlineLvl w:val="9"/>
    </w:pPr>
    <w:rPr>
      <w:rFonts w:ascii="宋体" w:eastAsia="宋体"/>
      <w:sz w:val="18"/>
      <w:szCs w:val="18"/>
    </w:rPr>
  </w:style>
  <w:style w:type="paragraph" w:customStyle="1" w:styleId="22">
    <w:name w:val="封面一致性程度标识2"/>
    <w:basedOn w:val="afff6"/>
    <w:qFormat/>
    <w:pPr>
      <w:framePr w:wrap="around" w:y="4469"/>
    </w:pPr>
  </w:style>
  <w:style w:type="paragraph" w:customStyle="1" w:styleId="afffa">
    <w:name w:val="附录五级无"/>
    <w:basedOn w:val="afffb"/>
    <w:qFormat/>
    <w:pPr>
      <w:spacing w:beforeLines="0" w:afterLines="0"/>
    </w:pPr>
    <w:rPr>
      <w:rFonts w:ascii="宋体" w:eastAsia="宋体"/>
      <w:szCs w:val="21"/>
    </w:rPr>
  </w:style>
  <w:style w:type="paragraph" w:customStyle="1" w:styleId="afffb">
    <w:name w:val="附录五级条标题"/>
    <w:basedOn w:val="afff1"/>
    <w:next w:val="af8"/>
    <w:qFormat/>
    <w:pPr>
      <w:outlineLvl w:val="6"/>
    </w:pPr>
  </w:style>
  <w:style w:type="paragraph" w:customStyle="1" w:styleId="afffc">
    <w:name w:val="四级条标题"/>
    <w:basedOn w:val="afff5"/>
    <w:next w:val="af8"/>
    <w:qFormat/>
    <w:pPr>
      <w:outlineLvl w:val="5"/>
    </w:pPr>
  </w:style>
  <w:style w:type="paragraph" w:customStyle="1" w:styleId="afffd">
    <w:name w:val="注："/>
    <w:next w:val="af8"/>
    <w:qFormat/>
    <w:pPr>
      <w:widowControl w:val="0"/>
      <w:autoSpaceDE w:val="0"/>
      <w:autoSpaceDN w:val="0"/>
      <w:ind w:left="726" w:hanging="363"/>
      <w:jc w:val="both"/>
    </w:pPr>
    <w:rPr>
      <w:rFonts w:ascii="宋体"/>
      <w:sz w:val="18"/>
      <w:szCs w:val="18"/>
    </w:rPr>
  </w:style>
  <w:style w:type="paragraph" w:customStyle="1" w:styleId="afffe">
    <w:name w:val="附录四级无"/>
    <w:basedOn w:val="afff1"/>
    <w:qFormat/>
    <w:pPr>
      <w:tabs>
        <w:tab w:val="clear" w:pos="360"/>
      </w:tabs>
      <w:spacing w:beforeLines="0" w:afterLines="0"/>
    </w:pPr>
    <w:rPr>
      <w:rFonts w:ascii="宋体" w:eastAsia="宋体"/>
      <w:szCs w:val="21"/>
    </w:rPr>
  </w:style>
  <w:style w:type="paragraph" w:customStyle="1" w:styleId="affff">
    <w:name w:val="标准书脚_奇数页"/>
    <w:qFormat/>
    <w:pPr>
      <w:spacing w:before="120"/>
      <w:ind w:right="198"/>
      <w:jc w:val="right"/>
    </w:pPr>
    <w:rPr>
      <w:rFonts w:ascii="宋体"/>
      <w:sz w:val="18"/>
      <w:szCs w:val="18"/>
    </w:rPr>
  </w:style>
  <w:style w:type="paragraph" w:customStyle="1" w:styleId="affff0">
    <w:name w:val="其他发布部门"/>
    <w:basedOn w:val="affff1"/>
    <w:qFormat/>
    <w:pPr>
      <w:framePr w:wrap="around" w:y="15310"/>
      <w:spacing w:line="0" w:lineRule="atLeast"/>
    </w:pPr>
    <w:rPr>
      <w:rFonts w:ascii="黑体" w:eastAsia="黑体"/>
      <w:b w:val="0"/>
    </w:rPr>
  </w:style>
  <w:style w:type="paragraph" w:customStyle="1" w:styleId="affff1">
    <w:name w:val="发布部门"/>
    <w:next w:val="af8"/>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列项◆（三级）"/>
    <w:basedOn w:val="a8"/>
    <w:qFormat/>
    <w:pPr>
      <w:tabs>
        <w:tab w:val="left" w:pos="1678"/>
      </w:tabs>
      <w:ind w:left="1678" w:hanging="414"/>
    </w:pPr>
    <w:rPr>
      <w:rFonts w:ascii="宋体"/>
      <w:szCs w:val="21"/>
    </w:rPr>
  </w:style>
  <w:style w:type="paragraph" w:customStyle="1" w:styleId="affff3">
    <w:name w:val="其他标准称谓"/>
    <w:next w:val="a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5">
    <w:name w:val="正文图标题"/>
    <w:next w:val="af8"/>
    <w:qFormat/>
    <w:pPr>
      <w:tabs>
        <w:tab w:val="left" w:pos="360"/>
      </w:tabs>
      <w:spacing w:beforeLines="50" w:afterLines="50"/>
      <w:jc w:val="center"/>
    </w:pPr>
    <w:rPr>
      <w:rFonts w:ascii="黑体" w:eastAsia="黑体"/>
      <w:sz w:val="21"/>
    </w:rPr>
  </w:style>
  <w:style w:type="paragraph" w:customStyle="1" w:styleId="affff6">
    <w:name w:val="标准书眉_奇数页"/>
    <w:next w:val="a8"/>
    <w:qFormat/>
    <w:pPr>
      <w:tabs>
        <w:tab w:val="center" w:pos="4154"/>
        <w:tab w:val="right" w:pos="8306"/>
      </w:tabs>
      <w:spacing w:after="220"/>
      <w:jc w:val="right"/>
    </w:pPr>
    <w:rPr>
      <w:rFonts w:ascii="黑体" w:eastAsia="黑体"/>
      <w:sz w:val="21"/>
      <w:szCs w:val="21"/>
    </w:rPr>
  </w:style>
  <w:style w:type="paragraph" w:customStyle="1" w:styleId="affff7">
    <w:name w:val="附录章标题"/>
    <w:next w:val="af8"/>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8">
    <w:name w:val="标准称谓"/>
    <w:next w:val="a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9">
    <w:name w:val="注：（正文）"/>
    <w:basedOn w:val="afffd"/>
    <w:next w:val="af8"/>
    <w:qFormat/>
  </w:style>
  <w:style w:type="paragraph" w:customStyle="1" w:styleId="affffa">
    <w:name w:val="附录图标号"/>
    <w:basedOn w:val="a8"/>
    <w:qFormat/>
    <w:pPr>
      <w:keepNext/>
      <w:pageBreakBefore/>
      <w:widowControl/>
      <w:spacing w:line="14" w:lineRule="exact"/>
      <w:ind w:firstLine="363"/>
      <w:jc w:val="center"/>
      <w:outlineLvl w:val="0"/>
    </w:pPr>
    <w:rPr>
      <w:color w:val="FFFFFF"/>
    </w:rPr>
  </w:style>
  <w:style w:type="paragraph" w:customStyle="1" w:styleId="affffb">
    <w:name w:val="示例内容"/>
    <w:qFormat/>
    <w:pPr>
      <w:ind w:firstLineChars="200" w:firstLine="200"/>
    </w:pPr>
    <w:rPr>
      <w:rFonts w:ascii="宋体"/>
      <w:sz w:val="18"/>
      <w:szCs w:val="18"/>
    </w:rPr>
  </w:style>
  <w:style w:type="paragraph" w:customStyle="1" w:styleId="affffc">
    <w:name w:val="目次、索引正文"/>
    <w:qFormat/>
    <w:pPr>
      <w:spacing w:line="320" w:lineRule="exact"/>
      <w:jc w:val="both"/>
    </w:pPr>
    <w:rPr>
      <w:rFonts w:ascii="宋体"/>
      <w:sz w:val="21"/>
    </w:r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d">
    <w:name w:val="发布日期"/>
    <w:qFormat/>
    <w:pPr>
      <w:framePr w:w="3997" w:h="471" w:hRule="exact" w:vSpace="181" w:wrap="around" w:hAnchor="page" w:x="7089" w:y="14097" w:anchorLock="1"/>
    </w:pPr>
    <w:rPr>
      <w:rFonts w:eastAsia="黑体"/>
      <w:sz w:val="28"/>
    </w:rPr>
  </w:style>
  <w:style w:type="paragraph" w:styleId="affffe">
    <w:name w:val="List Paragraph"/>
    <w:basedOn w:val="a8"/>
    <w:qFormat/>
    <w:pPr>
      <w:ind w:firstLineChars="200" w:firstLine="420"/>
    </w:pPr>
    <w:rPr>
      <w:rFonts w:ascii="Calibri" w:hAnsi="Calibri"/>
      <w:szCs w:val="22"/>
    </w:rPr>
  </w:style>
  <w:style w:type="paragraph" w:customStyle="1" w:styleId="afffff">
    <w:name w:val="附录一级无"/>
    <w:basedOn w:val="afffff0"/>
    <w:qFormat/>
    <w:pPr>
      <w:spacing w:beforeLines="0" w:afterLines="0"/>
    </w:pPr>
    <w:rPr>
      <w:rFonts w:ascii="宋体" w:eastAsia="宋体"/>
      <w:szCs w:val="21"/>
    </w:rPr>
  </w:style>
  <w:style w:type="paragraph" w:customStyle="1" w:styleId="afffff0">
    <w:name w:val="附录一级条标题"/>
    <w:basedOn w:val="affff7"/>
    <w:next w:val="af8"/>
    <w:qFormat/>
    <w:pPr>
      <w:autoSpaceDN w:val="0"/>
      <w:spacing w:beforeLines="50" w:afterLines="50"/>
      <w:outlineLvl w:val="2"/>
    </w:pPr>
  </w:style>
  <w:style w:type="paragraph" w:customStyle="1" w:styleId="afffff1">
    <w:name w:val="注×："/>
    <w:qFormat/>
    <w:pPr>
      <w:widowControl w:val="0"/>
      <w:autoSpaceDE w:val="0"/>
      <w:autoSpaceDN w:val="0"/>
      <w:ind w:left="811" w:hanging="448"/>
      <w:jc w:val="both"/>
    </w:pPr>
    <w:rPr>
      <w:rFonts w:ascii="宋体"/>
      <w:sz w:val="18"/>
      <w:szCs w:val="18"/>
    </w:rPr>
  </w:style>
  <w:style w:type="paragraph" w:customStyle="1" w:styleId="afffff2">
    <w:name w:val="标准书眉一"/>
    <w:qFormat/>
    <w:pPr>
      <w:jc w:val="both"/>
    </w:pPr>
  </w:style>
  <w:style w:type="paragraph" w:customStyle="1" w:styleId="24">
    <w:name w:val="封面标准英文名称2"/>
    <w:basedOn w:val="afff7"/>
    <w:qFormat/>
    <w:pPr>
      <w:framePr w:wrap="around" w:y="4469"/>
    </w:pPr>
  </w:style>
  <w:style w:type="paragraph" w:customStyle="1" w:styleId="afffff3">
    <w:name w:val="标准书眉_偶数页"/>
    <w:basedOn w:val="affff6"/>
    <w:next w:val="a8"/>
    <w:qFormat/>
    <w:pPr>
      <w:jc w:val="left"/>
    </w:pPr>
  </w:style>
  <w:style w:type="paragraph" w:customStyle="1" w:styleId="afffff4">
    <w:name w:val="图表脚注说明"/>
    <w:basedOn w:val="a8"/>
    <w:qFormat/>
    <w:pPr>
      <w:ind w:left="544" w:hanging="181"/>
    </w:pPr>
    <w:rPr>
      <w:rFonts w:ascii="宋体"/>
      <w:sz w:val="18"/>
      <w:szCs w:val="18"/>
    </w:rPr>
  </w:style>
  <w:style w:type="paragraph" w:customStyle="1" w:styleId="afffff5">
    <w:name w:val="标准标志"/>
    <w:next w:val="a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终结线"/>
    <w:basedOn w:val="a8"/>
    <w:qFormat/>
    <w:pPr>
      <w:framePr w:hSpace="181" w:vSpace="181" w:wrap="around" w:vAnchor="text" w:hAnchor="margin" w:xAlign="center" w:y="285"/>
    </w:pPr>
  </w:style>
  <w:style w:type="paragraph" w:customStyle="1" w:styleId="afffff7">
    <w:name w:val="注×：（正文）"/>
    <w:qFormat/>
    <w:pPr>
      <w:ind w:left="811" w:hanging="448"/>
      <w:jc w:val="both"/>
    </w:pPr>
    <w:rPr>
      <w:rFonts w:ascii="宋体"/>
      <w:sz w:val="18"/>
      <w:szCs w:val="18"/>
    </w:rPr>
  </w:style>
  <w:style w:type="paragraph" w:customStyle="1" w:styleId="afffff8">
    <w:name w:val="列项说明数字编号"/>
    <w:qFormat/>
    <w:pPr>
      <w:ind w:leftChars="400" w:left="600" w:hangingChars="200" w:hanging="200"/>
    </w:pPr>
    <w:rPr>
      <w:rFonts w:ascii="宋体"/>
      <w:sz w:val="21"/>
    </w:rPr>
  </w:style>
  <w:style w:type="paragraph" w:customStyle="1" w:styleId="afffff9">
    <w:name w:val="附录数字编号列项（二级）"/>
    <w:qFormat/>
    <w:pPr>
      <w:tabs>
        <w:tab w:val="left" w:pos="840"/>
      </w:tabs>
      <w:ind w:left="839" w:hanging="419"/>
    </w:pPr>
    <w:rPr>
      <w:rFonts w:ascii="宋体"/>
      <w:sz w:val="21"/>
    </w:rPr>
  </w:style>
  <w:style w:type="paragraph" w:customStyle="1" w:styleId="afffffa">
    <w:name w:val="数字编号列项（二级）"/>
    <w:qFormat/>
    <w:pPr>
      <w:tabs>
        <w:tab w:val="left" w:pos="1259"/>
      </w:tabs>
      <w:ind w:left="1259" w:hanging="420"/>
      <w:jc w:val="both"/>
    </w:pPr>
    <w:rPr>
      <w:rFonts w:ascii="宋体"/>
      <w:sz w:val="21"/>
    </w:rPr>
  </w:style>
  <w:style w:type="paragraph" w:customStyle="1" w:styleId="afffffb">
    <w:name w:val="列项——（一级）"/>
    <w:qFormat/>
    <w:pPr>
      <w:widowControl w:val="0"/>
      <w:ind w:left="833" w:hanging="408"/>
      <w:jc w:val="both"/>
    </w:pPr>
    <w:rPr>
      <w:rFonts w:ascii="宋体"/>
      <w:sz w:val="21"/>
    </w:rPr>
  </w:style>
  <w:style w:type="paragraph" w:customStyle="1" w:styleId="afffffc">
    <w:name w:val="列项●（二级）"/>
    <w:qFormat/>
    <w:pPr>
      <w:tabs>
        <w:tab w:val="left" w:pos="760"/>
        <w:tab w:val="left" w:pos="840"/>
      </w:tabs>
      <w:ind w:left="1264" w:hanging="413"/>
      <w:jc w:val="both"/>
    </w:pPr>
    <w:rPr>
      <w:rFonts w:ascii="宋体"/>
      <w:sz w:val="21"/>
    </w:rPr>
  </w:style>
  <w:style w:type="paragraph" w:customStyle="1" w:styleId="afffffd">
    <w:name w:val="封面标准文稿类别"/>
    <w:basedOn w:val="afff6"/>
    <w:qFormat/>
    <w:pPr>
      <w:framePr w:wrap="around"/>
      <w:spacing w:after="160" w:line="240" w:lineRule="auto"/>
    </w:pPr>
    <w:rPr>
      <w:sz w:val="24"/>
    </w:rPr>
  </w:style>
  <w:style w:type="paragraph" w:customStyle="1" w:styleId="afffffe">
    <w:name w:val="其他实施日期"/>
    <w:basedOn w:val="affffff"/>
    <w:qFormat/>
    <w:pPr>
      <w:framePr w:wrap="around"/>
    </w:pPr>
  </w:style>
  <w:style w:type="paragraph" w:customStyle="1" w:styleId="affffff">
    <w:name w:val="实施日期"/>
    <w:basedOn w:val="affffd"/>
    <w:qFormat/>
    <w:pPr>
      <w:framePr w:wrap="around" w:vAnchor="page" w:hAnchor="text"/>
      <w:jc w:val="right"/>
    </w:pPr>
  </w:style>
  <w:style w:type="paragraph" w:customStyle="1" w:styleId="affffff0">
    <w:name w:val="五级条标题"/>
    <w:basedOn w:val="afffc"/>
    <w:next w:val="af8"/>
    <w:qFormat/>
    <w:pPr>
      <w:numPr>
        <w:ilvl w:val="5"/>
      </w:numPr>
      <w:outlineLvl w:val="6"/>
    </w:pPr>
  </w:style>
  <w:style w:type="paragraph" w:customStyle="1" w:styleId="affffff1">
    <w:name w:val="列项说明"/>
    <w:basedOn w:val="a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参考文献"/>
    <w:basedOn w:val="a8"/>
    <w:next w:val="af8"/>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3">
    <w:name w:val="字母编号列项（一级）"/>
    <w:qFormat/>
    <w:pPr>
      <w:tabs>
        <w:tab w:val="left" w:pos="839"/>
      </w:tabs>
      <w:ind w:left="839" w:hanging="419"/>
      <w:jc w:val="both"/>
    </w:pPr>
    <w:rPr>
      <w:rFonts w:ascii="宋体"/>
      <w:sz w:val="21"/>
    </w:rPr>
  </w:style>
  <w:style w:type="paragraph" w:customStyle="1" w:styleId="affffff4">
    <w:name w:val="示例"/>
    <w:next w:val="affffb"/>
    <w:qFormat/>
    <w:pPr>
      <w:widowControl w:val="0"/>
      <w:ind w:firstLine="363"/>
      <w:jc w:val="both"/>
    </w:pPr>
    <w:rPr>
      <w:rFonts w:ascii="宋体"/>
      <w:sz w:val="18"/>
      <w:szCs w:val="18"/>
    </w:rPr>
  </w:style>
  <w:style w:type="paragraph" w:customStyle="1" w:styleId="affffff5">
    <w:name w:val="封面标准文稿编辑信息"/>
    <w:basedOn w:val="afffffd"/>
    <w:qFormat/>
    <w:pPr>
      <w:framePr w:wrap="around"/>
      <w:spacing w:before="180" w:line="180" w:lineRule="exact"/>
    </w:pPr>
    <w:rPr>
      <w:sz w:val="21"/>
    </w:rPr>
  </w:style>
  <w:style w:type="paragraph" w:customStyle="1" w:styleId="affffff6">
    <w:name w:val="封面正文"/>
    <w:qFormat/>
    <w:pPr>
      <w:jc w:val="both"/>
    </w:pPr>
  </w:style>
  <w:style w:type="paragraph" w:customStyle="1" w:styleId="affffff7">
    <w:name w:val="前言、引言标题"/>
    <w:next w:val="af8"/>
    <w:qFormat/>
    <w:pPr>
      <w:keepNext/>
      <w:pageBreakBefore/>
      <w:shd w:val="clear" w:color="FFFFFF" w:fill="FFFFFF"/>
      <w:spacing w:before="640" w:after="560"/>
      <w:jc w:val="center"/>
      <w:outlineLvl w:val="0"/>
    </w:pPr>
    <w:rPr>
      <w:rFonts w:ascii="黑体" w:eastAsia="黑体"/>
      <w:sz w:val="32"/>
    </w:rPr>
  </w:style>
  <w:style w:type="paragraph" w:customStyle="1" w:styleId="affffff8">
    <w:name w:val="附录标识"/>
    <w:basedOn w:val="a8"/>
    <w:next w:val="af8"/>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9">
    <w:name w:val="图标脚注说明"/>
    <w:basedOn w:val="af8"/>
    <w:qFormat/>
    <w:pPr>
      <w:ind w:left="840" w:firstLineChars="0" w:hanging="420"/>
    </w:pPr>
    <w:rPr>
      <w:sz w:val="18"/>
      <w:szCs w:val="18"/>
    </w:rPr>
  </w:style>
  <w:style w:type="paragraph" w:customStyle="1" w:styleId="affffffa">
    <w:name w:val="附录表标号"/>
    <w:basedOn w:val="a8"/>
    <w:next w:val="af8"/>
    <w:qFormat/>
    <w:pPr>
      <w:spacing w:line="14" w:lineRule="exact"/>
      <w:ind w:left="811" w:hanging="448"/>
      <w:jc w:val="center"/>
      <w:outlineLvl w:val="0"/>
    </w:pPr>
    <w:rPr>
      <w:color w:val="FFFFFF"/>
    </w:rPr>
  </w:style>
  <w:style w:type="paragraph" w:customStyle="1" w:styleId="affffffb">
    <w:name w:val="图的脚注"/>
    <w:next w:val="af8"/>
    <w:qFormat/>
    <w:pPr>
      <w:widowControl w:val="0"/>
      <w:ind w:leftChars="200" w:left="840" w:hangingChars="200" w:hanging="420"/>
      <w:jc w:val="both"/>
    </w:pPr>
    <w:rPr>
      <w:rFonts w:ascii="宋体"/>
      <w:sz w:val="18"/>
    </w:rPr>
  </w:style>
  <w:style w:type="paragraph" w:customStyle="1" w:styleId="affffffc">
    <w:name w:val="附录表标题"/>
    <w:basedOn w:val="a8"/>
    <w:next w:val="af8"/>
    <w:qFormat/>
    <w:pPr>
      <w:tabs>
        <w:tab w:val="left" w:pos="180"/>
      </w:tabs>
      <w:spacing w:beforeLines="50" w:afterLines="50"/>
      <w:jc w:val="center"/>
    </w:pPr>
    <w:rPr>
      <w:rFonts w:ascii="黑体" w:eastAsia="黑体"/>
      <w:szCs w:val="21"/>
    </w:rPr>
  </w:style>
  <w:style w:type="paragraph" w:customStyle="1" w:styleId="affffffd">
    <w:name w:val="附录二级无"/>
    <w:basedOn w:val="afff3"/>
    <w:qFormat/>
    <w:pPr>
      <w:tabs>
        <w:tab w:val="clear" w:pos="360"/>
      </w:tabs>
      <w:spacing w:beforeLines="0" w:afterLines="0"/>
    </w:pPr>
    <w:rPr>
      <w:rFonts w:ascii="宋体" w:eastAsia="宋体"/>
      <w:szCs w:val="21"/>
    </w:rPr>
  </w:style>
  <w:style w:type="paragraph" w:customStyle="1" w:styleId="affffffe">
    <w:name w:val="五级无"/>
    <w:basedOn w:val="affffff0"/>
    <w:qFormat/>
    <w:pPr>
      <w:spacing w:beforeLines="0" w:afterLines="0"/>
    </w:pPr>
    <w:rPr>
      <w:rFonts w:ascii="宋体" w:eastAsia="宋体"/>
    </w:rPr>
  </w:style>
  <w:style w:type="paragraph" w:customStyle="1" w:styleId="afffffff">
    <w:name w:val="附录三级无"/>
    <w:basedOn w:val="afff2"/>
    <w:qFormat/>
    <w:pPr>
      <w:tabs>
        <w:tab w:val="clear" w:pos="360"/>
      </w:tabs>
      <w:spacing w:beforeLines="0" w:afterLines="0"/>
    </w:pPr>
    <w:rPr>
      <w:rFonts w:ascii="宋体" w:eastAsia="宋体"/>
      <w:szCs w:val="21"/>
    </w:rPr>
  </w:style>
  <w:style w:type="paragraph" w:customStyle="1" w:styleId="afffffff0">
    <w:name w:val="附录图标题"/>
    <w:basedOn w:val="a8"/>
    <w:next w:val="af8"/>
    <w:qFormat/>
    <w:pPr>
      <w:tabs>
        <w:tab w:val="left" w:pos="363"/>
      </w:tabs>
      <w:spacing w:beforeLines="50" w:afterLines="50"/>
      <w:jc w:val="center"/>
    </w:pPr>
    <w:rPr>
      <w:rFonts w:ascii="黑体" w:eastAsia="黑体"/>
      <w:szCs w:val="21"/>
    </w:rPr>
  </w:style>
  <w:style w:type="paragraph" w:customStyle="1" w:styleId="14">
    <w:name w:val="列出段落1"/>
    <w:basedOn w:val="a8"/>
    <w:qFormat/>
    <w:pPr>
      <w:ind w:firstLineChars="200" w:firstLine="420"/>
    </w:pPr>
    <w:rPr>
      <w:rFonts w:ascii="Calibri" w:hAnsi="Calibri"/>
      <w:szCs w:val="22"/>
    </w:rPr>
  </w:style>
  <w:style w:type="paragraph" w:customStyle="1" w:styleId="afffffff1">
    <w:name w:val="附录字母编号列项（一级）"/>
    <w:qFormat/>
    <w:pPr>
      <w:tabs>
        <w:tab w:val="left" w:pos="839"/>
      </w:tabs>
      <w:ind w:left="839" w:hanging="419"/>
    </w:pPr>
    <w:rPr>
      <w:rFonts w:ascii="宋体"/>
      <w:sz w:val="21"/>
    </w:rPr>
  </w:style>
  <w:style w:type="paragraph" w:customStyle="1" w:styleId="afffffff2">
    <w:name w:val="其他标准标志"/>
    <w:basedOn w:val="afffff5"/>
    <w:qFormat/>
    <w:pPr>
      <w:framePr w:w="6101" w:wrap="around" w:vAnchor="page" w:hAnchor="page" w:x="4673" w:y="942"/>
    </w:pPr>
    <w:rPr>
      <w:w w:val="130"/>
    </w:rPr>
  </w:style>
  <w:style w:type="paragraph" w:customStyle="1" w:styleId="afffffff3">
    <w:name w:val="示例后文字"/>
    <w:basedOn w:val="af8"/>
    <w:next w:val="af8"/>
    <w:qFormat/>
    <w:pPr>
      <w:ind w:firstLine="360"/>
    </w:pPr>
    <w:rPr>
      <w:sz w:val="18"/>
    </w:rPr>
  </w:style>
  <w:style w:type="paragraph" w:customStyle="1" w:styleId="afffffff4">
    <w:name w:val="四级无"/>
    <w:basedOn w:val="afffc"/>
    <w:qFormat/>
    <w:pPr>
      <w:spacing w:beforeLines="0" w:afterLines="0"/>
    </w:pPr>
    <w:rPr>
      <w:rFonts w:ascii="宋体" w:eastAsia="宋体"/>
    </w:rPr>
  </w:style>
  <w:style w:type="paragraph" w:customStyle="1" w:styleId="afffffff5">
    <w:name w:val="一级无"/>
    <w:basedOn w:val="a"/>
    <w:qFormat/>
    <w:pPr>
      <w:spacing w:beforeLines="0" w:afterLines="0"/>
    </w:pPr>
    <w:rPr>
      <w:rFonts w:ascii="宋体" w:eastAsia="宋体"/>
    </w:rPr>
  </w:style>
  <w:style w:type="paragraph" w:customStyle="1" w:styleId="afffffff6">
    <w:name w:val="正文表标题"/>
    <w:next w:val="af8"/>
    <w:qFormat/>
    <w:pPr>
      <w:tabs>
        <w:tab w:val="left" w:pos="360"/>
      </w:tabs>
      <w:spacing w:beforeLines="50" w:afterLines="50"/>
      <w:jc w:val="center"/>
    </w:pPr>
    <w:rPr>
      <w:rFonts w:ascii="黑体" w:eastAsia="黑体"/>
      <w:sz w:val="21"/>
    </w:rPr>
  </w:style>
  <w:style w:type="paragraph" w:customStyle="1" w:styleId="afffffff7">
    <w:name w:val="其他发布日期"/>
    <w:basedOn w:val="affffd"/>
    <w:qFormat/>
    <w:pPr>
      <w:framePr w:wrap="around" w:vAnchor="page" w:hAnchor="text" w:x="1419"/>
    </w:pPr>
  </w:style>
  <w:style w:type="paragraph" w:customStyle="1" w:styleId="25">
    <w:name w:val="封面标准名称2"/>
    <w:basedOn w:val="afff8"/>
    <w:qFormat/>
    <w:pPr>
      <w:framePr w:wrap="around" w:y="4469"/>
      <w:spacing w:beforeLines="630"/>
    </w:pPr>
  </w:style>
  <w:style w:type="paragraph" w:customStyle="1" w:styleId="26">
    <w:name w:val="封面标准文稿类别2"/>
    <w:basedOn w:val="afffffd"/>
    <w:qFormat/>
    <w:pPr>
      <w:framePr w:wrap="around" w:y="4469"/>
    </w:pPr>
  </w:style>
  <w:style w:type="paragraph" w:customStyle="1" w:styleId="27">
    <w:name w:val="封面标准文稿编辑信息2"/>
    <w:basedOn w:val="affffff5"/>
    <w:qFormat/>
    <w:pPr>
      <w:framePr w:wrap="around" w:y="4469"/>
    </w:p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10">
    <w:name w:val="标题 1 字符"/>
    <w:basedOn w:val="a9"/>
    <w:link w:val="1"/>
    <w:qFormat/>
    <w:rPr>
      <w:b/>
      <w:bCs/>
      <w:kern w:val="44"/>
      <w:sz w:val="44"/>
      <w:szCs w:val="44"/>
    </w:rPr>
  </w:style>
  <w:style w:type="paragraph" w:customStyle="1" w:styleId="TOC10">
    <w:name w:val="TOC 标题1"/>
    <w:basedOn w:val="1"/>
    <w:next w:val="a8"/>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f2">
    <w:name w:val="批注框文本 字符"/>
    <w:basedOn w:val="a9"/>
    <w:link w:val="af1"/>
    <w:qFormat/>
    <w:rPr>
      <w:kern w:val="2"/>
      <w:sz w:val="18"/>
      <w:szCs w:val="18"/>
    </w:rPr>
  </w:style>
  <w:style w:type="table" w:customStyle="1" w:styleId="15">
    <w:name w:val="网格型1"/>
    <w:basedOn w:val="a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9"/>
    <w:link w:val="5"/>
    <w:qFormat/>
    <w:rPr>
      <w:b/>
      <w:bCs/>
      <w:kern w:val="2"/>
      <w:sz w:val="28"/>
      <w:szCs w:val="28"/>
    </w:rPr>
  </w:style>
  <w:style w:type="paragraph" w:customStyle="1" w:styleId="afffffff8">
    <w:name w:val="标准文件_段"/>
    <w:link w:val="Char2"/>
    <w:qFormat/>
    <w:pPr>
      <w:autoSpaceDE w:val="0"/>
      <w:autoSpaceDN w:val="0"/>
      <w:ind w:firstLineChars="200" w:firstLine="200"/>
      <w:jc w:val="both"/>
    </w:pPr>
    <w:rPr>
      <w:rFonts w:ascii="宋体"/>
      <w:sz w:val="21"/>
    </w:rPr>
  </w:style>
  <w:style w:type="paragraph" w:customStyle="1" w:styleId="a4">
    <w:name w:val="标准文件_二级条标题"/>
    <w:next w:val="afffffff8"/>
    <w:qFormat/>
    <w:pPr>
      <w:widowControl w:val="0"/>
      <w:numPr>
        <w:ilvl w:val="3"/>
        <w:numId w:val="3"/>
      </w:numPr>
      <w:spacing w:beforeLines="50" w:before="50" w:afterLines="50" w:after="50"/>
      <w:jc w:val="both"/>
      <w:outlineLvl w:val="2"/>
    </w:pPr>
    <w:rPr>
      <w:rFonts w:ascii="黑体" w:eastAsia="黑体"/>
      <w:sz w:val="21"/>
    </w:rPr>
  </w:style>
  <w:style w:type="paragraph" w:customStyle="1" w:styleId="a5">
    <w:name w:val="标准文件_三级条标题"/>
    <w:basedOn w:val="a4"/>
    <w:next w:val="afffffff8"/>
    <w:qFormat/>
    <w:pPr>
      <w:widowControl/>
      <w:numPr>
        <w:ilvl w:val="4"/>
      </w:numPr>
      <w:ind w:left="0"/>
      <w:outlineLvl w:val="3"/>
    </w:pPr>
  </w:style>
  <w:style w:type="paragraph" w:customStyle="1" w:styleId="a6">
    <w:name w:val="标准文件_四级条标题"/>
    <w:next w:val="afffffff8"/>
    <w:qFormat/>
    <w:pPr>
      <w:widowControl w:val="0"/>
      <w:numPr>
        <w:ilvl w:val="5"/>
        <w:numId w:val="3"/>
      </w:numPr>
      <w:spacing w:beforeLines="50" w:before="50" w:afterLines="50" w:after="50"/>
      <w:jc w:val="both"/>
      <w:outlineLvl w:val="4"/>
    </w:pPr>
    <w:rPr>
      <w:rFonts w:ascii="黑体" w:eastAsia="黑体"/>
      <w:sz w:val="21"/>
    </w:rPr>
  </w:style>
  <w:style w:type="paragraph" w:customStyle="1" w:styleId="a7">
    <w:name w:val="标准文件_五级条标题"/>
    <w:next w:val="afffffff8"/>
    <w:qFormat/>
    <w:pPr>
      <w:widowControl w:val="0"/>
      <w:numPr>
        <w:ilvl w:val="6"/>
        <w:numId w:val="3"/>
      </w:numPr>
      <w:spacing w:beforeLines="50" w:before="50" w:afterLines="50" w:after="50"/>
      <w:jc w:val="both"/>
      <w:outlineLvl w:val="5"/>
    </w:pPr>
    <w:rPr>
      <w:rFonts w:ascii="黑体" w:eastAsia="黑体"/>
      <w:sz w:val="21"/>
    </w:rPr>
  </w:style>
  <w:style w:type="paragraph" w:customStyle="1" w:styleId="a2">
    <w:name w:val="标准文件_章标题"/>
    <w:next w:val="afffffff8"/>
    <w:qFormat/>
    <w:pPr>
      <w:numPr>
        <w:ilvl w:val="1"/>
        <w:numId w:val="3"/>
      </w:numPr>
      <w:spacing w:beforeLines="100" w:before="100" w:afterLines="100" w:after="100"/>
      <w:jc w:val="both"/>
      <w:outlineLvl w:val="0"/>
    </w:pPr>
    <w:rPr>
      <w:rFonts w:ascii="黑体" w:eastAsia="黑体"/>
      <w:sz w:val="21"/>
    </w:rPr>
  </w:style>
  <w:style w:type="paragraph" w:customStyle="1" w:styleId="a3">
    <w:name w:val="标准文件_一级条标题"/>
    <w:basedOn w:val="a2"/>
    <w:next w:val="afffffff8"/>
    <w:qFormat/>
    <w:pPr>
      <w:numPr>
        <w:ilvl w:val="2"/>
      </w:numPr>
      <w:spacing w:beforeLines="50" w:before="50" w:afterLines="50" w:after="50"/>
      <w:outlineLvl w:val="1"/>
    </w:pPr>
  </w:style>
  <w:style w:type="paragraph" w:customStyle="1" w:styleId="a1">
    <w:name w:val="前言标题"/>
    <w:next w:val="a8"/>
    <w:qFormat/>
    <w:pPr>
      <w:numPr>
        <w:numId w:val="3"/>
      </w:numPr>
      <w:shd w:val="clear" w:color="FFFFFF" w:fill="FFFFFF"/>
      <w:spacing w:before="540" w:after="600"/>
      <w:jc w:val="center"/>
      <w:outlineLvl w:val="0"/>
    </w:pPr>
    <w:rPr>
      <w:rFonts w:ascii="黑体" w:eastAsia="黑体"/>
      <w:sz w:val="32"/>
    </w:rPr>
  </w:style>
  <w:style w:type="character" w:customStyle="1" w:styleId="Char2">
    <w:name w:val="标准文件_段 Char"/>
    <w:link w:val="afffffff8"/>
    <w:qFormat/>
    <w:rPr>
      <w:rFonts w:ascii="宋体"/>
      <w:sz w:val="21"/>
    </w:rPr>
  </w:style>
  <w:style w:type="paragraph" w:customStyle="1" w:styleId="a0">
    <w:name w:val="标准文件_正文图标题"/>
    <w:next w:val="afffffff8"/>
    <w:qFormat/>
    <w:pPr>
      <w:numPr>
        <w:numId w:val="4"/>
      </w:numPr>
      <w:spacing w:beforeLines="50" w:before="50" w:afterLines="50" w:after="50"/>
      <w:jc w:val="center"/>
    </w:pPr>
    <w:rPr>
      <w:rFonts w:ascii="黑体" w:eastAsia="黑体"/>
      <w:sz w:val="21"/>
    </w:rPr>
  </w:style>
  <w:style w:type="paragraph" w:customStyle="1" w:styleId="16">
    <w:name w:val="修订1"/>
    <w:hidden/>
    <w:uiPriority w:val="99"/>
    <w:unhideWhenUsed/>
    <w:qFormat/>
    <w:rPr>
      <w:kern w:val="2"/>
      <w:sz w:val="21"/>
      <w:szCs w:val="24"/>
    </w:rPr>
  </w:style>
  <w:style w:type="character" w:customStyle="1" w:styleId="ae">
    <w:name w:val="批注文字 字符"/>
    <w:basedOn w:val="a9"/>
    <w:link w:val="ad"/>
    <w:qFormat/>
    <w:rPr>
      <w:kern w:val="2"/>
      <w:sz w:val="21"/>
      <w:szCs w:val="24"/>
    </w:rPr>
  </w:style>
  <w:style w:type="character" w:customStyle="1" w:styleId="afc">
    <w:name w:val="批注主题 字符"/>
    <w:basedOn w:val="ae"/>
    <w:link w:val="afb"/>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650D4EA-2D81-42FB-929F-B544014616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912</Words>
  <Characters>5205</Characters>
  <Application>Microsoft Office Word</Application>
  <DocSecurity>0</DocSecurity>
  <Lines>43</Lines>
  <Paragraphs>12</Paragraphs>
  <ScaleCrop>false</ScaleCrop>
  <Company>WWW.YlmF.CoM</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《聚氨酯合成革  节能环保技术要求》</dc:title>
  <dc:creator>user</dc:creator>
  <cp:lastModifiedBy>wangya0109@126.com</cp:lastModifiedBy>
  <cp:revision>10</cp:revision>
  <cp:lastPrinted>2018-05-23T02:12:00Z</cp:lastPrinted>
  <dcterms:created xsi:type="dcterms:W3CDTF">2022-09-21T01:48:00Z</dcterms:created>
  <dcterms:modified xsi:type="dcterms:W3CDTF">2022-09-30T01:43:00Z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EDC647435309479696A3A310FE989DE9</vt:lpwstr>
  </property>
</Properties>
</file>