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50" w:beforeAutospacing="0" w:afterLines="50" w:afterAutospacing="0"/>
        <w:jc w:val="center"/>
        <w:rPr>
          <w:rFonts w:ascii="Times New Roman" w:cs="Times New Roman"/>
          <w:color w:val="000000"/>
          <w:sz w:val="32"/>
          <w:szCs w:val="32"/>
        </w:rPr>
      </w:pPr>
      <w:r>
        <w:rPr>
          <w:rFonts w:hint="eastAsia"/>
          <w:color w:val="000000"/>
          <w:sz w:val="32"/>
          <w:szCs w:val="32"/>
        </w:rPr>
        <w:t>团体标准《制糖行业绿色工厂评价导则》</w:t>
      </w:r>
      <w:r>
        <w:rPr>
          <w:rFonts w:hint="eastAsia" w:ascii="Times New Roman" w:cs="Times New Roman"/>
          <w:color w:val="000000"/>
          <w:sz w:val="32"/>
          <w:szCs w:val="32"/>
        </w:rPr>
        <w:t>（征求意见稿）</w:t>
      </w:r>
    </w:p>
    <w:p>
      <w:pPr>
        <w:pStyle w:val="3"/>
        <w:spacing w:beforeLines="50" w:beforeAutospacing="0" w:afterLines="50" w:afterAutospacing="0"/>
        <w:jc w:val="center"/>
        <w:rPr>
          <w:rFonts w:hint="eastAsia" w:ascii="Times New Roman" w:cs="Times New Roman"/>
          <w:color w:val="000000"/>
          <w:sz w:val="32"/>
          <w:szCs w:val="32"/>
        </w:rPr>
      </w:pPr>
      <w:r>
        <w:rPr>
          <w:rFonts w:ascii="Times New Roman" w:cs="Times New Roman"/>
          <w:color w:val="000000"/>
          <w:sz w:val="32"/>
          <w:szCs w:val="32"/>
        </w:rPr>
        <w:t>编制说明</w:t>
      </w:r>
    </w:p>
    <w:p/>
    <w:p>
      <w:pPr>
        <w:numPr>
          <w:ilvl w:val="0"/>
          <w:numId w:val="1"/>
        </w:numPr>
        <w:spacing w:line="360" w:lineRule="auto"/>
        <w:rPr>
          <w:rFonts w:asciiTheme="minorEastAsia" w:hAnsiTheme="minorEastAsia" w:eastAsiaTheme="minorEastAsia"/>
          <w:b/>
          <w:bCs/>
          <w:sz w:val="30"/>
          <w:szCs w:val="30"/>
        </w:rPr>
      </w:pPr>
      <w:r>
        <w:rPr>
          <w:rFonts w:asciiTheme="minorEastAsia" w:hAnsiTheme="minorEastAsia" w:eastAsiaTheme="minorEastAsia"/>
          <w:b/>
          <w:bCs/>
          <w:sz w:val="30"/>
          <w:szCs w:val="30"/>
        </w:rPr>
        <w:t>工作简况</w:t>
      </w:r>
    </w:p>
    <w:p>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w:t>
      </w:r>
      <w:r>
        <w:rPr>
          <w:rFonts w:asciiTheme="minorEastAsia" w:hAnsiTheme="minorEastAsia" w:eastAsiaTheme="minorEastAsia"/>
          <w:b/>
          <w:bCs/>
          <w:sz w:val="28"/>
          <w:szCs w:val="28"/>
        </w:rPr>
        <w:t>、任务来源</w:t>
      </w:r>
    </w:p>
    <w:p>
      <w:pPr>
        <w:spacing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本项目根据中国轻工业联合会文件《关于下达&lt;制糖行业绿色工厂评价导则&gt;等6项中国轻工业联合会团体标准计划的通知》（中轻联综合〔2020〕300号），计划编号为2020041，项目名称“</w:t>
      </w:r>
      <w:bookmarkStart w:id="0" w:name="OLE_LINK1"/>
      <w:r>
        <w:rPr>
          <w:rFonts w:hint="eastAsia" w:asciiTheme="minorEastAsia" w:hAnsiTheme="minorEastAsia" w:eastAsiaTheme="minorEastAsia"/>
          <w:sz w:val="28"/>
          <w:szCs w:val="28"/>
        </w:rPr>
        <w:t>制糖行业绿色工厂评价导则</w:t>
      </w:r>
      <w:bookmarkEnd w:id="0"/>
      <w:r>
        <w:rPr>
          <w:rFonts w:hint="eastAsia" w:asciiTheme="minorEastAsia" w:hAnsiTheme="minorEastAsia" w:eastAsiaTheme="minorEastAsia"/>
          <w:sz w:val="28"/>
          <w:szCs w:val="28"/>
        </w:rPr>
        <w:t>”进行制定，主要起草单位广东省科学院生物与医学工程研究所，计划完成时间2022年。</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2、主要</w:t>
      </w:r>
      <w:r>
        <w:rPr>
          <w:rFonts w:asciiTheme="minorEastAsia" w:hAnsiTheme="minorEastAsia" w:eastAsiaTheme="minorEastAsia"/>
          <w:b/>
          <w:sz w:val="28"/>
          <w:szCs w:val="28"/>
        </w:rPr>
        <w:t>工作过程</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（1）起草阶段</w:t>
      </w:r>
    </w:p>
    <w:p>
      <w:pPr>
        <w:spacing w:after="0"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2020年11月，中国轻工业联合会组织各起草单位成立了“制糖行业绿色工厂评价导则”起草工作组，确定工作方案。</w:t>
      </w:r>
    </w:p>
    <w:p>
      <w:pPr>
        <w:spacing w:after="0"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项目小组成立后，迅速开展工作。标准起草工作组广泛收集、认真研究现行法律法规、有关标准、文献资料，并广泛了解广东、广西、云南等主要产糖企业对《制糖行业绿色工厂评价导则》标准制定工作的建议和意见，组织内部专家进行研讨分析，撰写并协调、修改，形成《制糖行业绿色工厂评价导则》标准征求意见稿。</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3、主要参加单位和工作组成员及其所作的工作等</w:t>
      </w:r>
    </w:p>
    <w:p>
      <w:pPr>
        <w:spacing w:after="0"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本标准由广东省科学院生物与医学工程研究所（以下略）等单位共同负责起草。</w:t>
      </w:r>
    </w:p>
    <w:p>
      <w:pPr>
        <w:spacing w:after="0"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主要成员：略。</w:t>
      </w:r>
    </w:p>
    <w:p>
      <w:pPr>
        <w:pStyle w:val="15"/>
        <w:numPr>
          <w:ilvl w:val="0"/>
          <w:numId w:val="2"/>
        </w:numPr>
        <w:spacing w:line="360" w:lineRule="auto"/>
        <w:ind w:firstLineChars="0"/>
        <w:rPr>
          <w:rFonts w:asciiTheme="minorEastAsia" w:hAnsiTheme="minorEastAsia" w:eastAsiaTheme="minorEastAsia"/>
          <w:b/>
          <w:bCs/>
          <w:color w:val="000000" w:themeColor="text1"/>
          <w:sz w:val="30"/>
          <w:szCs w:val="30"/>
        </w:rPr>
      </w:pPr>
      <w:r>
        <w:rPr>
          <w:rFonts w:hint="eastAsia" w:asciiTheme="minorEastAsia" w:hAnsiTheme="minorEastAsia" w:eastAsiaTheme="minorEastAsia"/>
          <w:b/>
          <w:bCs/>
          <w:color w:val="000000" w:themeColor="text1"/>
          <w:sz w:val="30"/>
          <w:szCs w:val="30"/>
        </w:rPr>
        <w:t>标准编制原则和主要内容</w:t>
      </w:r>
    </w:p>
    <w:p>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1、标准编制原则</w:t>
      </w:r>
    </w:p>
    <w:p>
      <w:pPr>
        <w:spacing w:line="360" w:lineRule="auto"/>
        <w:ind w:firstLine="560" w:firstLineChars="200"/>
        <w:jc w:val="both"/>
        <w:rPr>
          <w:rFonts w:asciiTheme="minorEastAsia" w:hAnsiTheme="minorEastAsia" w:eastAsiaTheme="minorEastAsia"/>
          <w:bCs/>
          <w:sz w:val="28"/>
          <w:szCs w:val="28"/>
        </w:rPr>
      </w:pPr>
      <w:r>
        <w:rPr>
          <w:rFonts w:hint="eastAsia" w:asciiTheme="minorEastAsia" w:hAnsiTheme="minorEastAsia" w:eastAsiaTheme="minorEastAsia"/>
          <w:bCs/>
          <w:sz w:val="28"/>
          <w:szCs w:val="28"/>
        </w:rPr>
        <w:t>制定本标准采用的原则为：以国家有关相关法律、法规、规章、技术政策和规划为依据，促进环境效益、经济效益和社会效益的统一，体现重点突出和市场需求的原则；标准修订工作遵循“面向市场、服务产业、自主修订、适时推出”的原则，本标准修订与技术创新、试验验证、产业推进、应用推广相结合，统筹推进。在本标准的编写结构和内容编排等方面依据“标准化工作导则、指南和编写规则”系列标准的要求；在确定本标准主要技术性能指标时，综合考虑生产企业的能力和用户的利益，寻求最大的经济、社会效益，充分体现了标准在技术上的先进性和经济上的合理性。</w:t>
      </w:r>
    </w:p>
    <w:p>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2、主要技术内容的由来以及解决的主要问题</w:t>
      </w:r>
    </w:p>
    <w:p>
      <w:pPr>
        <w:pStyle w:val="15"/>
        <w:spacing w:after="0" w:line="360" w:lineRule="auto"/>
        <w:ind w:firstLine="56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sz w:val="28"/>
          <w:szCs w:val="28"/>
        </w:rPr>
        <w:t>标准包括：范围、规范性引用文件、</w:t>
      </w:r>
      <w:r>
        <w:rPr>
          <w:rFonts w:hint="eastAsia" w:asciiTheme="minorEastAsia" w:hAnsiTheme="minorEastAsia" w:eastAsiaTheme="minorEastAsia"/>
          <w:bCs/>
          <w:color w:val="000000" w:themeColor="text1"/>
          <w:sz w:val="28"/>
          <w:szCs w:val="28"/>
        </w:rPr>
        <w:t>术</w:t>
      </w:r>
      <w:r>
        <w:rPr>
          <w:rFonts w:hint="eastAsia" w:asciiTheme="minorEastAsia" w:hAnsiTheme="minorEastAsia" w:eastAsiaTheme="minorEastAsia"/>
          <w:bCs/>
          <w:sz w:val="28"/>
          <w:szCs w:val="28"/>
        </w:rPr>
        <w:t>语与定义、总则、</w:t>
      </w:r>
      <w:r>
        <w:rPr>
          <w:rFonts w:hint="eastAsia" w:asciiTheme="minorEastAsia" w:hAnsiTheme="minorEastAsia" w:eastAsiaTheme="minorEastAsia"/>
          <w:bCs/>
          <w:color w:val="000000" w:themeColor="text1"/>
          <w:sz w:val="28"/>
          <w:szCs w:val="28"/>
        </w:rPr>
        <w:t>评价要求、评价程序、评价报告7个章节，以及附录A和附录B。标准的内容结合了理论研究与实践经验，兼具合理性与实用性，具体内容如下：</w:t>
      </w:r>
    </w:p>
    <w:p>
      <w:pPr>
        <w:pStyle w:val="15"/>
        <w:numPr>
          <w:ilvl w:val="0"/>
          <w:numId w:val="3"/>
        </w:numPr>
        <w:spacing w:after="0" w:line="360" w:lineRule="auto"/>
        <w:ind w:firstLine="56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范围</w:t>
      </w:r>
    </w:p>
    <w:p>
      <w:pPr>
        <w:pStyle w:val="15"/>
        <w:spacing w:after="0" w:line="360" w:lineRule="auto"/>
        <w:ind w:firstLine="56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明确标准的适用范围。</w:t>
      </w:r>
    </w:p>
    <w:p>
      <w:pPr>
        <w:pStyle w:val="15"/>
        <w:numPr>
          <w:ilvl w:val="0"/>
          <w:numId w:val="3"/>
        </w:numPr>
        <w:spacing w:after="0" w:line="360" w:lineRule="auto"/>
        <w:ind w:firstLine="56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规范性引用文件</w:t>
      </w:r>
    </w:p>
    <w:p>
      <w:pPr>
        <w:pStyle w:val="15"/>
        <w:spacing w:after="0" w:line="360" w:lineRule="auto"/>
        <w:ind w:firstLine="56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详细列出了本标准使用时所涉及的规范性文件。</w:t>
      </w:r>
    </w:p>
    <w:p>
      <w:pPr>
        <w:pStyle w:val="15"/>
        <w:numPr>
          <w:ilvl w:val="0"/>
          <w:numId w:val="3"/>
        </w:numPr>
        <w:spacing w:after="0" w:line="360" w:lineRule="auto"/>
        <w:ind w:firstLine="56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术语与定义</w:t>
      </w:r>
    </w:p>
    <w:p>
      <w:pPr>
        <w:pStyle w:val="15"/>
        <w:spacing w:after="0" w:line="360" w:lineRule="auto"/>
        <w:ind w:firstLine="560" w:firstLineChars="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对绿色工厂、绿色产品、相关方、糖和糖厂等术语和定义做出规范。</w:t>
      </w:r>
    </w:p>
    <w:p>
      <w:pPr>
        <w:pStyle w:val="15"/>
        <w:numPr>
          <w:ilvl w:val="0"/>
          <w:numId w:val="3"/>
        </w:numPr>
        <w:spacing w:after="0" w:line="360" w:lineRule="auto"/>
        <w:ind w:firstLine="56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总则</w:t>
      </w:r>
    </w:p>
    <w:p>
      <w:pPr>
        <w:pStyle w:val="15"/>
        <w:spacing w:after="0" w:line="360" w:lineRule="auto"/>
        <w:ind w:left="440" w:leftChars="200" w:firstLine="0" w:firstLineChars="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对制糖行业绿色工厂评价工作做出总体要求。</w:t>
      </w:r>
    </w:p>
    <w:p>
      <w:pPr>
        <w:pStyle w:val="15"/>
        <w:numPr>
          <w:ilvl w:val="0"/>
          <w:numId w:val="3"/>
        </w:numPr>
        <w:spacing w:after="0" w:line="360" w:lineRule="auto"/>
        <w:ind w:firstLine="56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评价要求</w:t>
      </w:r>
    </w:p>
    <w:p>
      <w:pPr>
        <w:spacing w:after="0"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评价要求包括基本要求、基础设施要求、管理体系要求、能源与资源投入要求、产品要求、环境排放要求和绩效七个方面提出了具体要求。</w:t>
      </w:r>
    </w:p>
    <w:p>
      <w:pPr>
        <w:numPr>
          <w:ilvl w:val="0"/>
          <w:numId w:val="3"/>
        </w:numPr>
        <w:spacing w:after="0"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评价程序</w:t>
      </w:r>
    </w:p>
    <w:p>
      <w:pPr>
        <w:spacing w:after="0" w:line="360" w:lineRule="auto"/>
        <w:ind w:left="440" w:leftChars="200" w:firstLine="280" w:firstLineChars="1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对绿色工厂评价工作流程、评价活动监督做出了规范</w:t>
      </w:r>
      <w:r>
        <w:rPr>
          <w:rFonts w:hint="eastAsia" w:asciiTheme="minorEastAsia" w:hAnsiTheme="minorEastAsia" w:eastAsiaTheme="minorEastAsia"/>
          <w:sz w:val="28"/>
          <w:szCs w:val="28"/>
          <w:lang w:eastAsia="zh-CN"/>
        </w:rPr>
        <w:t>。</w:t>
      </w:r>
    </w:p>
    <w:p>
      <w:pPr>
        <w:numPr>
          <w:ilvl w:val="0"/>
          <w:numId w:val="3"/>
        </w:numPr>
        <w:spacing w:after="0"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评价报告</w:t>
      </w:r>
    </w:p>
    <w:p>
      <w:pPr>
        <w:spacing w:after="0"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对绿色工厂评价报告的内容做出了规范。</w:t>
      </w:r>
    </w:p>
    <w:p>
      <w:pPr>
        <w:numPr>
          <w:ilvl w:val="0"/>
          <w:numId w:val="3"/>
        </w:numPr>
        <w:spacing w:after="0"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附录</w:t>
      </w:r>
    </w:p>
    <w:p>
      <w:pPr>
        <w:spacing w:after="0" w:line="360" w:lineRule="auto"/>
        <w:ind w:firstLine="560" w:firstLineChars="200"/>
        <w:rPr>
          <w:rFonts w:asciiTheme="minorEastAsia" w:hAnsiTheme="minorEastAsia" w:eastAsiaTheme="minorEastAsia"/>
          <w:sz w:val="28"/>
          <w:szCs w:val="28"/>
        </w:rPr>
      </w:pPr>
      <w:bookmarkStart w:id="1" w:name="_GoBack"/>
      <w:bookmarkEnd w:id="1"/>
      <w:r>
        <w:rPr>
          <w:rFonts w:hint="eastAsia" w:asciiTheme="minorEastAsia" w:hAnsiTheme="minorEastAsia" w:eastAsiaTheme="minorEastAsia"/>
          <w:sz w:val="28"/>
          <w:szCs w:val="28"/>
        </w:rPr>
        <w:t>附录A和附录B对绿色工厂评价指标做出了规范。</w:t>
      </w:r>
    </w:p>
    <w:p>
      <w:pPr>
        <w:pStyle w:val="15"/>
        <w:spacing w:after="0"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制定并实施团体标准《制糖行业绿色工厂评价导则》，将节约资源、清洁生产及副产物综合和利用及废弃物资源化绿色发展概念贯穿工厂设计与建设、生产过程及副产物综合利用等各个环节，将改变制糖行业高能源与资源消耗、副产物高值综合利用少以及污染生态环境现状，促进传统制糖行业产品向绿色产品转型，产生明显社会、经济及环境效益。</w:t>
      </w:r>
    </w:p>
    <w:p>
      <w:pPr>
        <w:pStyle w:val="15"/>
        <w:numPr>
          <w:ilvl w:val="0"/>
          <w:numId w:val="2"/>
        </w:numPr>
        <w:spacing w:line="360" w:lineRule="auto"/>
        <w:ind w:firstLineChars="0"/>
        <w:rPr>
          <w:rFonts w:asciiTheme="minorEastAsia" w:hAnsiTheme="minorEastAsia" w:eastAsiaTheme="minorEastAsia"/>
          <w:sz w:val="30"/>
          <w:szCs w:val="30"/>
        </w:rPr>
      </w:pPr>
      <w:r>
        <w:rPr>
          <w:rFonts w:hint="eastAsia" w:asciiTheme="minorEastAsia" w:hAnsiTheme="minorEastAsia" w:eastAsiaTheme="minorEastAsia"/>
          <w:b/>
          <w:bCs/>
          <w:sz w:val="30"/>
          <w:szCs w:val="30"/>
        </w:rPr>
        <w:t>主要试验（或验证）情况</w:t>
      </w:r>
    </w:p>
    <w:p>
      <w:pPr>
        <w:pStyle w:val="4"/>
        <w:ind w:left="0" w:leftChars="0" w:firstLine="560" w:firstLineChars="200"/>
        <w:rPr>
          <w:rFonts w:asciiTheme="minorEastAsia" w:hAnsiTheme="minorEastAsia" w:eastAsiaTheme="minorEastAsia" w:cstheme="minorBidi"/>
          <w:spacing w:val="0"/>
          <w:kern w:val="0"/>
          <w:sz w:val="28"/>
          <w:szCs w:val="28"/>
        </w:rPr>
      </w:pPr>
      <w:r>
        <w:rPr>
          <w:rFonts w:hint="eastAsia" w:asciiTheme="minorEastAsia" w:hAnsiTheme="minorEastAsia" w:eastAsiaTheme="minorEastAsia" w:cstheme="minorBidi"/>
          <w:spacing w:val="0"/>
          <w:kern w:val="0"/>
          <w:sz w:val="28"/>
          <w:szCs w:val="28"/>
        </w:rPr>
        <w:t>本标准不涉及试验（或验证）。</w:t>
      </w:r>
    </w:p>
    <w:p>
      <w:pPr>
        <w:pStyle w:val="4"/>
        <w:ind w:left="0" w:leftChars="0" w:firstLine="0" w:firstLineChars="0"/>
        <w:rPr>
          <w:rFonts w:asciiTheme="minorEastAsia" w:hAnsiTheme="minorEastAsia" w:eastAsiaTheme="minorEastAsia"/>
          <w:b/>
          <w:bCs/>
          <w:spacing w:val="0"/>
          <w:sz w:val="30"/>
          <w:szCs w:val="30"/>
        </w:rPr>
      </w:pPr>
      <w:r>
        <w:rPr>
          <w:rFonts w:hint="eastAsia" w:asciiTheme="minorEastAsia" w:hAnsiTheme="minorEastAsia" w:eastAsiaTheme="minorEastAsia"/>
          <w:b/>
          <w:bCs/>
          <w:spacing w:val="0"/>
          <w:sz w:val="30"/>
          <w:szCs w:val="30"/>
        </w:rPr>
        <w:t>四、标准中涉及专利的情况</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本标准不涉及专利问题。</w:t>
      </w:r>
    </w:p>
    <w:p>
      <w:pPr>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五、预期达到的社会效益、对产业发展的作用等情况</w:t>
      </w:r>
    </w:p>
    <w:p>
      <w:pPr>
        <w:widowControl w:val="0"/>
        <w:adjustRightInd/>
        <w:snapToGrid/>
        <w:spacing w:after="0" w:line="360" w:lineRule="auto"/>
        <w:ind w:firstLine="560" w:firstLineChars="200"/>
        <w:jc w:val="both"/>
        <w:rPr>
          <w:rFonts w:asciiTheme="minorEastAsia" w:hAnsiTheme="minorEastAsia" w:eastAsiaTheme="minorEastAsia"/>
          <w:b/>
          <w:sz w:val="28"/>
          <w:szCs w:val="28"/>
        </w:rPr>
      </w:pPr>
      <w:r>
        <w:rPr>
          <w:rFonts w:hint="eastAsia" w:asciiTheme="minorEastAsia" w:hAnsiTheme="minorEastAsia" w:eastAsiaTheme="minorEastAsia"/>
          <w:sz w:val="28"/>
          <w:szCs w:val="28"/>
        </w:rPr>
        <w:t>该标准的发布实施将引领制糖企业淘汰落后工艺和设备，通过创新或引用新技术新装备，优化生产工艺，提高降低生产水耗、能耗等，提高资源利用率；同时也会促进副产物高值化利用，增加企业经济增长点，进而提高企业经济效益。</w:t>
      </w:r>
    </w:p>
    <w:p>
      <w:pPr>
        <w:numPr>
          <w:ilvl w:val="0"/>
          <w:numId w:val="4"/>
        </w:numPr>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采用国际标准和国外先进标准情况，与国际、国外同类标准水平的对比情况，国内外关键指标对比分析与测试的国外样品、样机的相关数据对比情况</w:t>
      </w:r>
    </w:p>
    <w:p>
      <w:pPr>
        <w:widowControl w:val="0"/>
        <w:adjustRightInd/>
        <w:snapToGrid/>
        <w:spacing w:after="0"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本标准没有采用国际标准。</w:t>
      </w:r>
    </w:p>
    <w:p>
      <w:pPr>
        <w:widowControl w:val="0"/>
        <w:adjustRightInd/>
        <w:snapToGrid/>
        <w:spacing w:after="0"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本标准制定过程中未查到同类国际、国外标准。</w:t>
      </w:r>
    </w:p>
    <w:p>
      <w:pPr>
        <w:widowControl w:val="0"/>
        <w:adjustRightInd/>
        <w:snapToGrid/>
        <w:spacing w:after="0"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本标准制定过程中未测试国外的样品、样机。</w:t>
      </w:r>
    </w:p>
    <w:p>
      <w:pPr>
        <w:widowControl w:val="0"/>
        <w:adjustRightInd/>
        <w:snapToGrid/>
        <w:spacing w:after="0"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本标准水平为国内先进水平。</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b/>
          <w:bCs/>
          <w:sz w:val="30"/>
          <w:szCs w:val="30"/>
        </w:rPr>
        <w:t>七、在标准体系中的位置，与现行相关法律、法规、规章及相关标准，特别是强制性标准的协调性</w:t>
      </w:r>
    </w:p>
    <w:p>
      <w:pPr>
        <w:spacing w:line="360" w:lineRule="auto"/>
        <w:ind w:firstLine="560" w:firstLineChars="200"/>
        <w:rPr>
          <w:rFonts w:ascii="宋体" w:hAnsi="宋体"/>
        </w:rPr>
      </w:pPr>
      <w:r>
        <w:rPr>
          <w:rFonts w:hint="eastAsia" w:asciiTheme="minorEastAsia" w:hAnsiTheme="minorEastAsia" w:eastAsiaTheme="minorEastAsia"/>
          <w:sz w:val="28"/>
          <w:szCs w:val="28"/>
        </w:rPr>
        <w:t>本标准与现行相关法律、法规、规章及相关标准协调一致。</w:t>
      </w:r>
    </w:p>
    <w:p>
      <w:pPr>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八、重大分歧意见的处理经过和依据</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无。</w:t>
      </w:r>
    </w:p>
    <w:p>
      <w:pPr>
        <w:spacing w:line="360" w:lineRule="auto"/>
        <w:rPr>
          <w:rFonts w:asciiTheme="minorEastAsia" w:hAnsiTheme="minorEastAsia" w:eastAsiaTheme="minorEastAsia"/>
          <w:b/>
          <w:sz w:val="30"/>
          <w:szCs w:val="30"/>
        </w:rPr>
      </w:pPr>
      <w:r>
        <w:rPr>
          <w:rFonts w:hint="eastAsia" w:asciiTheme="minorEastAsia" w:hAnsiTheme="minorEastAsia" w:eastAsiaTheme="minorEastAsia"/>
          <w:b/>
          <w:sz w:val="30"/>
          <w:szCs w:val="30"/>
        </w:rPr>
        <w:t>九、标准性质的建议说明</w:t>
      </w:r>
    </w:p>
    <w:p>
      <w:pPr>
        <w:spacing w:line="360" w:lineRule="auto"/>
        <w:ind w:firstLine="560" w:firstLineChars="200"/>
        <w:rPr>
          <w:rFonts w:asciiTheme="minorEastAsia" w:hAnsiTheme="minorEastAsia" w:eastAsiaTheme="minorEastAsia"/>
          <w:color w:val="FF0000"/>
          <w:sz w:val="28"/>
          <w:szCs w:val="28"/>
        </w:rPr>
      </w:pPr>
      <w:r>
        <w:rPr>
          <w:rFonts w:hint="eastAsia" w:asciiTheme="minorEastAsia" w:hAnsiTheme="minorEastAsia" w:eastAsiaTheme="minorEastAsia"/>
          <w:sz w:val="28"/>
          <w:szCs w:val="28"/>
        </w:rPr>
        <w:t>建议本标准的性质为</w:t>
      </w:r>
      <w:r>
        <w:rPr>
          <w:rFonts w:hint="eastAsia" w:asciiTheme="minorEastAsia" w:hAnsiTheme="minorEastAsia" w:eastAsiaTheme="minorEastAsia"/>
          <w:color w:val="000000" w:themeColor="text1"/>
          <w:sz w:val="28"/>
          <w:szCs w:val="28"/>
        </w:rPr>
        <w:t>团体标准。</w:t>
      </w:r>
    </w:p>
    <w:p>
      <w:pPr>
        <w:spacing w:line="360" w:lineRule="auto"/>
        <w:rPr>
          <w:rFonts w:asciiTheme="minorEastAsia" w:hAnsiTheme="minorEastAsia" w:eastAsiaTheme="minorEastAsia"/>
          <w:b/>
          <w:sz w:val="30"/>
          <w:szCs w:val="30"/>
        </w:rPr>
      </w:pPr>
      <w:r>
        <w:rPr>
          <w:rFonts w:hint="eastAsia" w:asciiTheme="minorEastAsia" w:hAnsiTheme="minorEastAsia" w:eastAsiaTheme="minorEastAsia"/>
          <w:b/>
          <w:sz w:val="30"/>
          <w:szCs w:val="30"/>
        </w:rPr>
        <w:t>十、贯彻标准的要求和措施建议</w:t>
      </w:r>
    </w:p>
    <w:p>
      <w:pPr>
        <w:spacing w:line="360" w:lineRule="auto"/>
        <w:ind w:firstLine="560" w:firstLineChars="200"/>
        <w:rPr>
          <w:rFonts w:ascii="宋体" w:hAnsi="宋体"/>
          <w:b/>
          <w:bCs/>
        </w:rPr>
      </w:pPr>
      <w:r>
        <w:rPr>
          <w:rFonts w:hint="eastAsia" w:asciiTheme="minorEastAsia" w:hAnsiTheme="minorEastAsia" w:eastAsiaTheme="minorEastAsia"/>
          <w:sz w:val="28"/>
          <w:szCs w:val="28"/>
        </w:rPr>
        <w:t>建议本标准批准发布</w:t>
      </w:r>
      <w:r>
        <w:rPr>
          <w:rFonts w:asciiTheme="minorEastAsia" w:hAnsiTheme="minorEastAsia" w:eastAsiaTheme="minorEastAsia"/>
          <w:sz w:val="28"/>
          <w:szCs w:val="28"/>
        </w:rPr>
        <w:t>6</w:t>
      </w:r>
      <w:r>
        <w:rPr>
          <w:rFonts w:hint="eastAsia" w:asciiTheme="minorEastAsia" w:hAnsiTheme="minorEastAsia" w:eastAsiaTheme="minorEastAsia"/>
          <w:sz w:val="28"/>
          <w:szCs w:val="28"/>
        </w:rPr>
        <w:t>个月后实施。</w:t>
      </w:r>
    </w:p>
    <w:p>
      <w:pPr>
        <w:spacing w:line="360" w:lineRule="auto"/>
        <w:rPr>
          <w:rFonts w:asciiTheme="minorEastAsia" w:hAnsiTheme="minorEastAsia" w:eastAsiaTheme="minorEastAsia"/>
          <w:b/>
          <w:sz w:val="30"/>
          <w:szCs w:val="30"/>
        </w:rPr>
      </w:pPr>
      <w:r>
        <w:rPr>
          <w:rFonts w:hint="eastAsia" w:asciiTheme="minorEastAsia" w:hAnsiTheme="minorEastAsia" w:eastAsiaTheme="minorEastAsia"/>
          <w:b/>
          <w:sz w:val="30"/>
          <w:szCs w:val="30"/>
        </w:rPr>
        <w:t>十一、废止现行相关标准的建议</w:t>
      </w:r>
    </w:p>
    <w:p>
      <w:pPr>
        <w:pStyle w:val="4"/>
        <w:ind w:left="0" w:leftChars="0" w:firstLine="600" w:firstLineChars="200"/>
        <w:rPr>
          <w:rFonts w:asciiTheme="minorEastAsia" w:hAnsiTheme="minorEastAsia" w:eastAsiaTheme="minorEastAsia"/>
          <w:b/>
          <w:bCs/>
          <w:spacing w:val="0"/>
          <w:sz w:val="30"/>
          <w:szCs w:val="30"/>
        </w:rPr>
      </w:pPr>
      <w:r>
        <w:rPr>
          <w:rFonts w:hint="eastAsia" w:asciiTheme="minorEastAsia" w:hAnsiTheme="minorEastAsia" w:eastAsiaTheme="minorEastAsia"/>
          <w:spacing w:val="0"/>
          <w:sz w:val="30"/>
          <w:szCs w:val="30"/>
        </w:rPr>
        <w:t>无</w:t>
      </w:r>
    </w:p>
    <w:p>
      <w:pPr>
        <w:pStyle w:val="4"/>
        <w:ind w:left="0" w:leftChars="0" w:firstLine="0" w:firstLineChars="0"/>
        <w:rPr>
          <w:rFonts w:asciiTheme="minorEastAsia" w:hAnsiTheme="minorEastAsia" w:eastAsiaTheme="minorEastAsia"/>
          <w:b/>
          <w:bCs/>
          <w:spacing w:val="0"/>
          <w:sz w:val="30"/>
          <w:szCs w:val="30"/>
        </w:rPr>
      </w:pPr>
      <w:r>
        <w:rPr>
          <w:rFonts w:hint="eastAsia" w:asciiTheme="minorEastAsia" w:hAnsiTheme="minorEastAsia" w:eastAsiaTheme="minorEastAsia"/>
          <w:b/>
          <w:bCs/>
          <w:spacing w:val="0"/>
          <w:sz w:val="30"/>
          <w:szCs w:val="30"/>
        </w:rPr>
        <w:t>十二、其它应予说明的事项。</w:t>
      </w:r>
    </w:p>
    <w:p>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在2020年9月项目下达时，主要起草单位之一的“广东省科学院生物工程研究所”，在2021年7月正式更名为“广东省科学院生物与医学工程研究所”，并已在广东省事业单位登记管理局完成事业单位法人证书换领工作。变更后单位性质未发生变化、工作范畴除增加医学版块工作外未发生明显变化。</w:t>
      </w: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76326"/>
    </w:sdtPr>
    <w:sdtContent>
      <w:sdt>
        <w:sdtPr>
          <w:id w:val="98381352"/>
        </w:sdtPr>
        <w:sdtContent>
          <w:p>
            <w:pPr>
              <w:pStyle w:val="6"/>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15336"/>
    <w:multiLevelType w:val="singleLevel"/>
    <w:tmpl w:val="94515336"/>
    <w:lvl w:ilvl="0" w:tentative="0">
      <w:start w:val="1"/>
      <w:numFmt w:val="decimal"/>
      <w:suff w:val="nothing"/>
      <w:lvlText w:val="（%1）"/>
      <w:lvlJc w:val="left"/>
    </w:lvl>
  </w:abstractNum>
  <w:abstractNum w:abstractNumId="1">
    <w:nsid w:val="9765FDC9"/>
    <w:multiLevelType w:val="singleLevel"/>
    <w:tmpl w:val="9765FDC9"/>
    <w:lvl w:ilvl="0" w:tentative="0">
      <w:start w:val="1"/>
      <w:numFmt w:val="chineseCounting"/>
      <w:suff w:val="nothing"/>
      <w:lvlText w:val="%1、"/>
      <w:lvlJc w:val="left"/>
      <w:rPr>
        <w:rFonts w:hint="eastAsia"/>
      </w:rPr>
    </w:lvl>
  </w:abstractNum>
  <w:abstractNum w:abstractNumId="2">
    <w:nsid w:val="200EA550"/>
    <w:multiLevelType w:val="singleLevel"/>
    <w:tmpl w:val="200EA550"/>
    <w:lvl w:ilvl="0" w:tentative="0">
      <w:start w:val="6"/>
      <w:numFmt w:val="chineseCounting"/>
      <w:suff w:val="nothing"/>
      <w:lvlText w:val="%1、"/>
      <w:lvlJc w:val="left"/>
      <w:rPr>
        <w:rFonts w:hint="eastAsia"/>
      </w:rPr>
    </w:lvl>
  </w:abstractNum>
  <w:abstractNum w:abstractNumId="3">
    <w:nsid w:val="42172BC4"/>
    <w:multiLevelType w:val="multilevel"/>
    <w:tmpl w:val="42172BC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ODI4MGJhNDNjYzg2NWFhZjRmODM5YmZhOGJjOTA5ODgifQ=="/>
  </w:docVars>
  <w:rsids>
    <w:rsidRoot w:val="00D31D50"/>
    <w:rsid w:val="00003954"/>
    <w:rsid w:val="000053AB"/>
    <w:rsid w:val="00007FBF"/>
    <w:rsid w:val="0001034F"/>
    <w:rsid w:val="00030754"/>
    <w:rsid w:val="0003124A"/>
    <w:rsid w:val="00036C20"/>
    <w:rsid w:val="000452F8"/>
    <w:rsid w:val="00063E57"/>
    <w:rsid w:val="00065557"/>
    <w:rsid w:val="000673B6"/>
    <w:rsid w:val="00075763"/>
    <w:rsid w:val="000820C3"/>
    <w:rsid w:val="00084365"/>
    <w:rsid w:val="000951D3"/>
    <w:rsid w:val="000A58CF"/>
    <w:rsid w:val="000C5565"/>
    <w:rsid w:val="000D2F91"/>
    <w:rsid w:val="000D4FC4"/>
    <w:rsid w:val="000E1B5B"/>
    <w:rsid w:val="000E29EF"/>
    <w:rsid w:val="00100353"/>
    <w:rsid w:val="00106D8D"/>
    <w:rsid w:val="0011347B"/>
    <w:rsid w:val="00123633"/>
    <w:rsid w:val="00124FF5"/>
    <w:rsid w:val="00135DD4"/>
    <w:rsid w:val="00143AD3"/>
    <w:rsid w:val="00151FD0"/>
    <w:rsid w:val="00157A65"/>
    <w:rsid w:val="00162AB9"/>
    <w:rsid w:val="00171059"/>
    <w:rsid w:val="001719CA"/>
    <w:rsid w:val="00177776"/>
    <w:rsid w:val="001829A3"/>
    <w:rsid w:val="00191B78"/>
    <w:rsid w:val="001B4709"/>
    <w:rsid w:val="001C2D01"/>
    <w:rsid w:val="001C5F21"/>
    <w:rsid w:val="001D5EF4"/>
    <w:rsid w:val="001E1F14"/>
    <w:rsid w:val="001F357A"/>
    <w:rsid w:val="002011AB"/>
    <w:rsid w:val="002023E1"/>
    <w:rsid w:val="00211979"/>
    <w:rsid w:val="00216CB2"/>
    <w:rsid w:val="00223E5C"/>
    <w:rsid w:val="00234945"/>
    <w:rsid w:val="002440B3"/>
    <w:rsid w:val="00245635"/>
    <w:rsid w:val="00255843"/>
    <w:rsid w:val="00284701"/>
    <w:rsid w:val="00287188"/>
    <w:rsid w:val="002929EC"/>
    <w:rsid w:val="00293C37"/>
    <w:rsid w:val="0029741D"/>
    <w:rsid w:val="002A06AF"/>
    <w:rsid w:val="002B1E94"/>
    <w:rsid w:val="002B2E3E"/>
    <w:rsid w:val="002B386D"/>
    <w:rsid w:val="002B6C6B"/>
    <w:rsid w:val="002C1243"/>
    <w:rsid w:val="002D16AA"/>
    <w:rsid w:val="002D619F"/>
    <w:rsid w:val="002E24AD"/>
    <w:rsid w:val="002E5E10"/>
    <w:rsid w:val="002E5FD4"/>
    <w:rsid w:val="002E765C"/>
    <w:rsid w:val="003041A2"/>
    <w:rsid w:val="00323B43"/>
    <w:rsid w:val="00325539"/>
    <w:rsid w:val="00333584"/>
    <w:rsid w:val="00333D42"/>
    <w:rsid w:val="00335725"/>
    <w:rsid w:val="00342AD8"/>
    <w:rsid w:val="00344C4F"/>
    <w:rsid w:val="00347992"/>
    <w:rsid w:val="0035145E"/>
    <w:rsid w:val="00353904"/>
    <w:rsid w:val="00353FD2"/>
    <w:rsid w:val="00360385"/>
    <w:rsid w:val="00362A6B"/>
    <w:rsid w:val="0036554B"/>
    <w:rsid w:val="003714ED"/>
    <w:rsid w:val="00372A3D"/>
    <w:rsid w:val="003847EF"/>
    <w:rsid w:val="0038571B"/>
    <w:rsid w:val="003924A8"/>
    <w:rsid w:val="0039366A"/>
    <w:rsid w:val="00397069"/>
    <w:rsid w:val="003B6B9F"/>
    <w:rsid w:val="003D37D8"/>
    <w:rsid w:val="003D4B28"/>
    <w:rsid w:val="003E58E5"/>
    <w:rsid w:val="003F163B"/>
    <w:rsid w:val="00402565"/>
    <w:rsid w:val="004030B1"/>
    <w:rsid w:val="004066C3"/>
    <w:rsid w:val="00414F79"/>
    <w:rsid w:val="00416CB4"/>
    <w:rsid w:val="00424F51"/>
    <w:rsid w:val="00426133"/>
    <w:rsid w:val="004269E4"/>
    <w:rsid w:val="004358AB"/>
    <w:rsid w:val="00445DAC"/>
    <w:rsid w:val="004563DA"/>
    <w:rsid w:val="00456418"/>
    <w:rsid w:val="004619F0"/>
    <w:rsid w:val="004630B7"/>
    <w:rsid w:val="00466457"/>
    <w:rsid w:val="00482350"/>
    <w:rsid w:val="00482A52"/>
    <w:rsid w:val="004846EB"/>
    <w:rsid w:val="004A1A0D"/>
    <w:rsid w:val="004A4594"/>
    <w:rsid w:val="004A7143"/>
    <w:rsid w:val="004B18E4"/>
    <w:rsid w:val="004C1EB9"/>
    <w:rsid w:val="004C2B3E"/>
    <w:rsid w:val="004D2C52"/>
    <w:rsid w:val="004F001A"/>
    <w:rsid w:val="004F276A"/>
    <w:rsid w:val="004F27A8"/>
    <w:rsid w:val="004F2E43"/>
    <w:rsid w:val="004F6915"/>
    <w:rsid w:val="005168B6"/>
    <w:rsid w:val="00517650"/>
    <w:rsid w:val="00524D05"/>
    <w:rsid w:val="00533906"/>
    <w:rsid w:val="005508DA"/>
    <w:rsid w:val="005571C9"/>
    <w:rsid w:val="00557A1A"/>
    <w:rsid w:val="00565D98"/>
    <w:rsid w:val="005805E0"/>
    <w:rsid w:val="00586453"/>
    <w:rsid w:val="00593F65"/>
    <w:rsid w:val="005A259B"/>
    <w:rsid w:val="005D30BD"/>
    <w:rsid w:val="0060462F"/>
    <w:rsid w:val="006105FC"/>
    <w:rsid w:val="006360E5"/>
    <w:rsid w:val="00652C25"/>
    <w:rsid w:val="00655C34"/>
    <w:rsid w:val="006629E4"/>
    <w:rsid w:val="00663FC8"/>
    <w:rsid w:val="0067161E"/>
    <w:rsid w:val="00673BCC"/>
    <w:rsid w:val="00677C15"/>
    <w:rsid w:val="006811CA"/>
    <w:rsid w:val="00682FE8"/>
    <w:rsid w:val="00696872"/>
    <w:rsid w:val="006B25C3"/>
    <w:rsid w:val="006B47A1"/>
    <w:rsid w:val="006C3019"/>
    <w:rsid w:val="006D408D"/>
    <w:rsid w:val="006D76EB"/>
    <w:rsid w:val="006E0819"/>
    <w:rsid w:val="006F1041"/>
    <w:rsid w:val="006F6AA4"/>
    <w:rsid w:val="00710199"/>
    <w:rsid w:val="00724A42"/>
    <w:rsid w:val="007312CD"/>
    <w:rsid w:val="007338C6"/>
    <w:rsid w:val="007518C8"/>
    <w:rsid w:val="00752658"/>
    <w:rsid w:val="00754C1E"/>
    <w:rsid w:val="00756EBA"/>
    <w:rsid w:val="0075743A"/>
    <w:rsid w:val="007604C4"/>
    <w:rsid w:val="00774077"/>
    <w:rsid w:val="007742C1"/>
    <w:rsid w:val="00774421"/>
    <w:rsid w:val="007823A0"/>
    <w:rsid w:val="00794662"/>
    <w:rsid w:val="00794EDD"/>
    <w:rsid w:val="007D0832"/>
    <w:rsid w:val="007D4D9D"/>
    <w:rsid w:val="007E5470"/>
    <w:rsid w:val="007E797F"/>
    <w:rsid w:val="007F154B"/>
    <w:rsid w:val="007F5ECF"/>
    <w:rsid w:val="00802273"/>
    <w:rsid w:val="0080435A"/>
    <w:rsid w:val="0081683E"/>
    <w:rsid w:val="008172A7"/>
    <w:rsid w:val="00817458"/>
    <w:rsid w:val="0082092D"/>
    <w:rsid w:val="00823BB6"/>
    <w:rsid w:val="008313D6"/>
    <w:rsid w:val="00831E4D"/>
    <w:rsid w:val="00841A16"/>
    <w:rsid w:val="0085188B"/>
    <w:rsid w:val="0085209A"/>
    <w:rsid w:val="00876F8C"/>
    <w:rsid w:val="0088666F"/>
    <w:rsid w:val="008873BC"/>
    <w:rsid w:val="008916C7"/>
    <w:rsid w:val="008B5920"/>
    <w:rsid w:val="008B7726"/>
    <w:rsid w:val="008C067E"/>
    <w:rsid w:val="008C761E"/>
    <w:rsid w:val="008D3A01"/>
    <w:rsid w:val="008E7EDE"/>
    <w:rsid w:val="00902897"/>
    <w:rsid w:val="009050B4"/>
    <w:rsid w:val="009054E9"/>
    <w:rsid w:val="00905B33"/>
    <w:rsid w:val="0090701B"/>
    <w:rsid w:val="00911327"/>
    <w:rsid w:val="00911B44"/>
    <w:rsid w:val="00915654"/>
    <w:rsid w:val="00926520"/>
    <w:rsid w:val="00931ED1"/>
    <w:rsid w:val="00952C06"/>
    <w:rsid w:val="00970EAE"/>
    <w:rsid w:val="00987902"/>
    <w:rsid w:val="00993C2A"/>
    <w:rsid w:val="00995C84"/>
    <w:rsid w:val="009A0BC7"/>
    <w:rsid w:val="009A1A01"/>
    <w:rsid w:val="009A4164"/>
    <w:rsid w:val="009C1532"/>
    <w:rsid w:val="009D5428"/>
    <w:rsid w:val="009D76B2"/>
    <w:rsid w:val="009F0DD2"/>
    <w:rsid w:val="00A13C2E"/>
    <w:rsid w:val="00A302E2"/>
    <w:rsid w:val="00A336E8"/>
    <w:rsid w:val="00A350A4"/>
    <w:rsid w:val="00A358BA"/>
    <w:rsid w:val="00A421D8"/>
    <w:rsid w:val="00A57517"/>
    <w:rsid w:val="00A6457D"/>
    <w:rsid w:val="00A73EB8"/>
    <w:rsid w:val="00A74E3A"/>
    <w:rsid w:val="00A8479D"/>
    <w:rsid w:val="00A915E5"/>
    <w:rsid w:val="00A96D20"/>
    <w:rsid w:val="00AB0543"/>
    <w:rsid w:val="00AB30B3"/>
    <w:rsid w:val="00AB53A3"/>
    <w:rsid w:val="00AD096C"/>
    <w:rsid w:val="00AD6204"/>
    <w:rsid w:val="00AD73CF"/>
    <w:rsid w:val="00AE216B"/>
    <w:rsid w:val="00AE62D4"/>
    <w:rsid w:val="00AF069D"/>
    <w:rsid w:val="00AF2F28"/>
    <w:rsid w:val="00AF7C21"/>
    <w:rsid w:val="00B07A57"/>
    <w:rsid w:val="00B12C89"/>
    <w:rsid w:val="00B15DBD"/>
    <w:rsid w:val="00B24437"/>
    <w:rsid w:val="00B2689A"/>
    <w:rsid w:val="00B37A1D"/>
    <w:rsid w:val="00B40DC7"/>
    <w:rsid w:val="00B5050C"/>
    <w:rsid w:val="00B52802"/>
    <w:rsid w:val="00B531CC"/>
    <w:rsid w:val="00B540BF"/>
    <w:rsid w:val="00B6120D"/>
    <w:rsid w:val="00B62127"/>
    <w:rsid w:val="00B6282A"/>
    <w:rsid w:val="00B66B27"/>
    <w:rsid w:val="00B75407"/>
    <w:rsid w:val="00B80E30"/>
    <w:rsid w:val="00B850C8"/>
    <w:rsid w:val="00B86B54"/>
    <w:rsid w:val="00B91DE0"/>
    <w:rsid w:val="00B973FA"/>
    <w:rsid w:val="00BB0588"/>
    <w:rsid w:val="00BC2EFD"/>
    <w:rsid w:val="00BC440B"/>
    <w:rsid w:val="00BC7A85"/>
    <w:rsid w:val="00BD0316"/>
    <w:rsid w:val="00BE370E"/>
    <w:rsid w:val="00BE7EC5"/>
    <w:rsid w:val="00BF26F0"/>
    <w:rsid w:val="00BF51FB"/>
    <w:rsid w:val="00C02835"/>
    <w:rsid w:val="00C036A7"/>
    <w:rsid w:val="00C23E18"/>
    <w:rsid w:val="00C2515F"/>
    <w:rsid w:val="00C2608D"/>
    <w:rsid w:val="00C27AE4"/>
    <w:rsid w:val="00C307A2"/>
    <w:rsid w:val="00C31D8B"/>
    <w:rsid w:val="00C42E4E"/>
    <w:rsid w:val="00C51F79"/>
    <w:rsid w:val="00C5781B"/>
    <w:rsid w:val="00C60E86"/>
    <w:rsid w:val="00C6200B"/>
    <w:rsid w:val="00C67684"/>
    <w:rsid w:val="00C927B3"/>
    <w:rsid w:val="00C92F96"/>
    <w:rsid w:val="00CA739D"/>
    <w:rsid w:val="00CB71D9"/>
    <w:rsid w:val="00CC2F25"/>
    <w:rsid w:val="00CD2F60"/>
    <w:rsid w:val="00CD45CC"/>
    <w:rsid w:val="00CD6E40"/>
    <w:rsid w:val="00CD7AFE"/>
    <w:rsid w:val="00CE6CD2"/>
    <w:rsid w:val="00CF1B87"/>
    <w:rsid w:val="00D06271"/>
    <w:rsid w:val="00D12612"/>
    <w:rsid w:val="00D26A92"/>
    <w:rsid w:val="00D31D50"/>
    <w:rsid w:val="00D354AA"/>
    <w:rsid w:val="00D419F2"/>
    <w:rsid w:val="00D563B8"/>
    <w:rsid w:val="00D64C62"/>
    <w:rsid w:val="00D65324"/>
    <w:rsid w:val="00D65487"/>
    <w:rsid w:val="00D66040"/>
    <w:rsid w:val="00D70759"/>
    <w:rsid w:val="00D76A34"/>
    <w:rsid w:val="00DB149F"/>
    <w:rsid w:val="00DB47C9"/>
    <w:rsid w:val="00DC372F"/>
    <w:rsid w:val="00DD0B2B"/>
    <w:rsid w:val="00DD5B58"/>
    <w:rsid w:val="00DD64E6"/>
    <w:rsid w:val="00DF04B7"/>
    <w:rsid w:val="00DF7030"/>
    <w:rsid w:val="00E022B5"/>
    <w:rsid w:val="00E07DDD"/>
    <w:rsid w:val="00E109FA"/>
    <w:rsid w:val="00E1108B"/>
    <w:rsid w:val="00E12B9D"/>
    <w:rsid w:val="00E24E3E"/>
    <w:rsid w:val="00E65928"/>
    <w:rsid w:val="00E67A61"/>
    <w:rsid w:val="00E81348"/>
    <w:rsid w:val="00E87C2F"/>
    <w:rsid w:val="00E951CD"/>
    <w:rsid w:val="00EA6742"/>
    <w:rsid w:val="00EC3A1A"/>
    <w:rsid w:val="00EC4EB8"/>
    <w:rsid w:val="00ED055D"/>
    <w:rsid w:val="00EE4FA5"/>
    <w:rsid w:val="00EF47FC"/>
    <w:rsid w:val="00F02A5B"/>
    <w:rsid w:val="00F03050"/>
    <w:rsid w:val="00F0587B"/>
    <w:rsid w:val="00F2074D"/>
    <w:rsid w:val="00F51B51"/>
    <w:rsid w:val="00F53405"/>
    <w:rsid w:val="00F5688C"/>
    <w:rsid w:val="00F61607"/>
    <w:rsid w:val="00F71E3C"/>
    <w:rsid w:val="00F759A6"/>
    <w:rsid w:val="00FA353B"/>
    <w:rsid w:val="00FB6DF4"/>
    <w:rsid w:val="00FB7CCB"/>
    <w:rsid w:val="00FC3116"/>
    <w:rsid w:val="00FC767F"/>
    <w:rsid w:val="00FD74DE"/>
    <w:rsid w:val="00FE0F80"/>
    <w:rsid w:val="00FE537D"/>
    <w:rsid w:val="00FF35DB"/>
    <w:rsid w:val="01A1125E"/>
    <w:rsid w:val="01D52DD1"/>
    <w:rsid w:val="0AE33CC2"/>
    <w:rsid w:val="17837933"/>
    <w:rsid w:val="19765830"/>
    <w:rsid w:val="21E11A55"/>
    <w:rsid w:val="260638C1"/>
    <w:rsid w:val="28665E9B"/>
    <w:rsid w:val="2C2D6D7E"/>
    <w:rsid w:val="3EE3426B"/>
    <w:rsid w:val="428A1EE8"/>
    <w:rsid w:val="4E855521"/>
    <w:rsid w:val="53655F9F"/>
    <w:rsid w:val="55033E2C"/>
    <w:rsid w:val="550C305F"/>
    <w:rsid w:val="57760143"/>
    <w:rsid w:val="5889335C"/>
    <w:rsid w:val="6022114F"/>
    <w:rsid w:val="61517C2B"/>
    <w:rsid w:val="655E133F"/>
    <w:rsid w:val="693D3743"/>
    <w:rsid w:val="6D0A2D70"/>
    <w:rsid w:val="7A0D3160"/>
    <w:rsid w:val="7AE85672"/>
    <w:rsid w:val="7CEB7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4"/>
    <w:basedOn w:val="1"/>
    <w:next w:val="1"/>
    <w:link w:val="14"/>
    <w:qFormat/>
    <w:uiPriority w:val="99"/>
    <w:pPr>
      <w:adjustRightInd/>
      <w:snapToGrid/>
      <w:spacing w:before="100" w:beforeAutospacing="1" w:after="100" w:afterAutospacing="1"/>
      <w:outlineLvl w:val="3"/>
    </w:pPr>
    <w:rPr>
      <w:rFonts w:ascii="宋体" w:hAnsi="宋体" w:eastAsia="宋体" w:cs="宋体"/>
      <w:b/>
      <w:bCs/>
      <w:sz w:val="24"/>
      <w:szCs w:val="2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6"/>
    <w:qFormat/>
    <w:uiPriority w:val="99"/>
    <w:pPr>
      <w:widowControl w:val="0"/>
      <w:adjustRightInd/>
      <w:snapToGrid/>
      <w:spacing w:after="0" w:line="360" w:lineRule="auto"/>
      <w:ind w:left="575" w:leftChars="274" w:firstLine="372" w:firstLineChars="129"/>
      <w:jc w:val="both"/>
    </w:pPr>
    <w:rPr>
      <w:rFonts w:ascii="Times New Roman" w:hAnsi="Times New Roman" w:eastAsia="宋体" w:cs="Times New Roman"/>
      <w:spacing w:val="24"/>
      <w:kern w:val="2"/>
      <w:sz w:val="24"/>
      <w:szCs w:val="24"/>
    </w:rPr>
  </w:style>
  <w:style w:type="paragraph" w:styleId="5">
    <w:name w:val="Balloon Text"/>
    <w:basedOn w:val="1"/>
    <w:link w:val="18"/>
    <w:semiHidden/>
    <w:unhideWhenUsed/>
    <w:qFormat/>
    <w:uiPriority w:val="99"/>
    <w:pPr>
      <w:spacing w:after="0"/>
    </w:pPr>
    <w:rPr>
      <w:sz w:val="18"/>
      <w:szCs w:val="18"/>
    </w:rPr>
  </w:style>
  <w:style w:type="paragraph" w:styleId="6">
    <w:name w:val="footer"/>
    <w:basedOn w:val="1"/>
    <w:link w:val="13"/>
    <w:unhideWhenUsed/>
    <w:qFormat/>
    <w:uiPriority w:val="99"/>
    <w:pPr>
      <w:tabs>
        <w:tab w:val="center" w:pos="4153"/>
        <w:tab w:val="right" w:pos="8306"/>
      </w:tabs>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customStyle="1" w:styleId="12">
    <w:name w:val="页眉 Char"/>
    <w:basedOn w:val="10"/>
    <w:link w:val="7"/>
    <w:semiHidden/>
    <w:qFormat/>
    <w:uiPriority w:val="99"/>
    <w:rPr>
      <w:rFonts w:ascii="Tahoma" w:hAnsi="Tahoma"/>
      <w:sz w:val="18"/>
      <w:szCs w:val="18"/>
    </w:rPr>
  </w:style>
  <w:style w:type="character" w:customStyle="1" w:styleId="13">
    <w:name w:val="页脚 Char"/>
    <w:basedOn w:val="10"/>
    <w:link w:val="6"/>
    <w:qFormat/>
    <w:uiPriority w:val="99"/>
    <w:rPr>
      <w:rFonts w:ascii="Tahoma" w:hAnsi="Tahoma"/>
      <w:sz w:val="18"/>
      <w:szCs w:val="18"/>
    </w:rPr>
  </w:style>
  <w:style w:type="character" w:customStyle="1" w:styleId="14">
    <w:name w:val="标题 4 Char"/>
    <w:basedOn w:val="10"/>
    <w:link w:val="3"/>
    <w:qFormat/>
    <w:uiPriority w:val="99"/>
    <w:rPr>
      <w:rFonts w:ascii="宋体" w:hAnsi="宋体" w:eastAsia="宋体" w:cs="宋体"/>
      <w:b/>
      <w:bCs/>
      <w:sz w:val="24"/>
      <w:szCs w:val="24"/>
    </w:rPr>
  </w:style>
  <w:style w:type="paragraph" w:styleId="15">
    <w:name w:val="List Paragraph"/>
    <w:basedOn w:val="1"/>
    <w:qFormat/>
    <w:uiPriority w:val="34"/>
    <w:pPr>
      <w:ind w:firstLine="420" w:firstLineChars="200"/>
    </w:pPr>
  </w:style>
  <w:style w:type="character" w:customStyle="1" w:styleId="16">
    <w:name w:val="正文文本缩进 Char"/>
    <w:basedOn w:val="10"/>
    <w:link w:val="4"/>
    <w:qFormat/>
    <w:uiPriority w:val="99"/>
    <w:rPr>
      <w:rFonts w:ascii="Times New Roman" w:hAnsi="Times New Roman" w:eastAsia="宋体" w:cs="Times New Roman"/>
      <w:spacing w:val="24"/>
      <w:kern w:val="2"/>
      <w:sz w:val="24"/>
      <w:szCs w:val="24"/>
    </w:rPr>
  </w:style>
  <w:style w:type="paragraph" w:customStyle="1" w:styleId="17">
    <w:name w:val="Char Char Char1 Char Char Char Char Char Char Char Char Char Char"/>
    <w:basedOn w:val="1"/>
    <w:qFormat/>
    <w:uiPriority w:val="0"/>
    <w:pPr>
      <w:adjustRightInd/>
      <w:snapToGrid/>
      <w:spacing w:after="160" w:line="240" w:lineRule="exact"/>
    </w:pPr>
    <w:rPr>
      <w:rFonts w:ascii="Verdana" w:hAnsi="Verdana" w:eastAsia="宋体" w:cs="Times New Roman"/>
      <w:sz w:val="18"/>
      <w:szCs w:val="20"/>
      <w:lang w:eastAsia="en-US"/>
    </w:rPr>
  </w:style>
  <w:style w:type="character" w:customStyle="1" w:styleId="18">
    <w:name w:val="批注框文本 Char"/>
    <w:basedOn w:val="10"/>
    <w:link w:val="5"/>
    <w:semiHidden/>
    <w:qFormat/>
    <w:uiPriority w:val="99"/>
    <w:rPr>
      <w:rFonts w:ascii="Tahoma" w:hAnsi="Tahoma"/>
      <w:sz w:val="18"/>
      <w:szCs w:val="18"/>
    </w:rPr>
  </w:style>
  <w:style w:type="paragraph" w:customStyle="1" w:styleId="19">
    <w:name w:val="Char Char Char1 Char Char Char Char Char Char Char Char Char Char1"/>
    <w:basedOn w:val="1"/>
    <w:qFormat/>
    <w:uiPriority w:val="0"/>
    <w:pPr>
      <w:adjustRightInd/>
      <w:snapToGrid/>
      <w:spacing w:after="160" w:line="240" w:lineRule="exact"/>
    </w:pPr>
    <w:rPr>
      <w:rFonts w:ascii="Verdana" w:hAnsi="Verdana" w:eastAsia="宋体" w:cs="Times New Roman"/>
      <w:sz w:val="18"/>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211A20-1719-4F5A-9659-B2E13BFF9979}">
  <ds:schemaRefs/>
</ds:datastoreItem>
</file>

<file path=docProps/app.xml><?xml version="1.0" encoding="utf-8"?>
<Properties xmlns="http://schemas.openxmlformats.org/officeDocument/2006/extended-properties" xmlns:vt="http://schemas.openxmlformats.org/officeDocument/2006/docPropsVTypes">
  <Template>Normal</Template>
  <Pages>5</Pages>
  <Words>1820</Words>
  <Characters>1844</Characters>
  <Lines>13</Lines>
  <Paragraphs>3</Paragraphs>
  <TotalTime>14</TotalTime>
  <ScaleCrop>false</ScaleCrop>
  <LinksUpToDate>false</LinksUpToDate>
  <CharactersWithSpaces>1844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2022-09-13T07:39:00Z</dcterms:created>
  <dc:creator>Administrator</dc:creator>
  <cp:lastModifiedBy>莫莫</cp:lastModifiedBy>
  <dcterms:modified xsi:type="dcterms:W3CDTF">2022-09-16T06:15:22Z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68AD927A34AB45E7B5273E35B89C9DFE</vt:lpwstr>
  </property>
</Properties>
</file>