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83.080.01</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1"/>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lang w:eastAsia="zh-CN"/>
                    </w:rPr>
                    <w:t>     </w:t>
                  </w:r>
                  <w:r>
                    <w:fldChar w:fldCharType="end"/>
                  </w:r>
                  <w:bookmarkEnd w:id="1"/>
                </w:p>
              </w:tc>
            </w:tr>
          </w:tbl>
          <w:p>
            <w:pPr>
              <w:pStyle w:val="18"/>
              <w:framePr w:wrap="notBeside" w:vAnchor="page" w:hAnchor="page" w:x="1372" w:y="568"/>
              <w:tabs>
                <w:tab w:val="clear" w:pos="4153"/>
                <w:tab w:val="clear" w:pos="8306"/>
              </w:tabs>
              <w:spacing w:before="40"/>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G</w:t>
            </w:r>
            <w:r>
              <w:rPr>
                <w:rFonts w:hint="eastAsia" w:ascii="黑体" w:hAnsi="黑体" w:eastAsia="黑体"/>
                <w:sz w:val="21"/>
                <w:szCs w:val="21"/>
                <w:lang w:val="en-US" w:eastAsia="zh-CN"/>
              </w:rPr>
              <w:t>31</w:t>
            </w:r>
            <w:r>
              <w:rPr>
                <w:rFonts w:ascii="黑体" w:hAnsi="黑体" w:eastAsia="黑体"/>
                <w:sz w:val="21"/>
                <w:szCs w:val="21"/>
              </w:rPr>
              <w:fldChar w:fldCharType="end"/>
            </w:r>
            <w:bookmarkEnd w:id="2"/>
          </w:p>
        </w:tc>
      </w:tr>
    </w:tbl>
    <w:p>
      <w:pPr>
        <w:pStyle w:val="52"/>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7"/>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8"/>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rPr>
          <w:rFonts w:ascii="黑体" w:hAnsi="黑体" w:eastAsia="黑体"/>
          <w:sz w:val="10"/>
          <w:szCs w:val="10"/>
        </w:rPr>
      </w:pPr>
      <w:r>
        <w:rPr>
          <w:rFonts w:ascii="黑体" w:hAnsi="黑体" w:eastAsia="黑体"/>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2"/>
        <w:framePr w:w="9639" w:h="6976" w:hRule="exact" w:hSpace="0" w:vSpace="0" w:wrap="around" w:hAnchor="page" w:y="6408"/>
        <w:jc w:val="center"/>
        <w:rPr>
          <w:rFonts w:ascii="黑体" w:hAnsi="黑体" w:eastAsia="黑体"/>
          <w:b w:val="0"/>
          <w:bCs w:val="0"/>
          <w:w w:val="100"/>
        </w:rPr>
      </w:pPr>
    </w:p>
    <w:p>
      <w:pPr>
        <w:pStyle w:val="19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抗菌塑木复合门窗</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Antibacterial plastic wood composite door and window</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3"/>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中国轻工业联合会</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567" w:right="1134" w:bottom="1134" w:left="1134" w:header="1418" w:footer="1134" w:gutter="284"/>
          <w:cols w:space="425" w:num="1"/>
          <w:titlePg/>
          <w:docGrid w:linePitch="312" w:charSpace="0"/>
        </w:sectPr>
      </w:pPr>
      <w:r>
        <w:rPr>
          <w:rFonts w:hint="eastAsia"/>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45" w:name="_GoBack"/>
      <w:bookmarkEnd w:id="45"/>
      <w:bookmarkStart w:id="21" w:name="BookMark2"/>
      <w:r>
        <w:rPr>
          <w:spacing w:val="320"/>
        </w:rPr>
        <w:t>前</w:t>
      </w:r>
      <w:r>
        <w:t>言</w:t>
      </w:r>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rPr>
        <w:t>请注意本文件的某些内容可能涉及专利。本文件的发布机构不承担识别专利的责任。</w:t>
      </w:r>
    </w:p>
    <w:p>
      <w:pPr>
        <w:pStyle w:val="58"/>
        <w:ind w:firstLine="420"/>
      </w:pPr>
    </w:p>
    <w:p>
      <w:pPr>
        <w:pStyle w:val="58"/>
        <w:ind w:firstLine="420"/>
      </w:pPr>
      <w:r>
        <w:rPr>
          <w:rFonts w:hint="eastAsia"/>
        </w:rPr>
        <w:t>本文件由中国轻工业联合会提出并归口。</w:t>
      </w:r>
    </w:p>
    <w:p>
      <w:pPr>
        <w:pStyle w:val="58"/>
        <w:ind w:firstLine="420"/>
      </w:pPr>
      <w:r>
        <w:rPr>
          <w:rFonts w:hint="eastAsia"/>
        </w:rPr>
        <w:t>本文件起草单位：北京工商大学、山东霞光集团有限公司、安徽科居新材料科技有限公司、中国京冶工程技术有限公司、浙江武林集团、南京工业大学、湖南愿景住宅工业科技有限公司。</w:t>
      </w:r>
    </w:p>
    <w:p>
      <w:pPr>
        <w:pStyle w:val="58"/>
        <w:ind w:firstLine="420"/>
      </w:pPr>
      <w:r>
        <w:rPr>
          <w:rFonts w:hint="eastAsia"/>
        </w:rPr>
        <w:t>本文件主要起草人：胡晶、朱莽、叶润露、金立赞、吴昊、方海、谢新林。</w:t>
      </w:r>
    </w:p>
    <w:p>
      <w:pPr>
        <w:pStyle w:val="58"/>
        <w:ind w:firstLine="420"/>
      </w:pPr>
    </w:p>
    <w:p>
      <w:pPr>
        <w:pStyle w:val="58"/>
        <w:ind w:firstLine="420"/>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1C8E9EE74B93451B982C5DB310FCE558"/>
        </w:placeholder>
      </w:sdtPr>
      <w:sdtContent>
        <w:p>
          <w:pPr>
            <w:pStyle w:val="179"/>
            <w:spacing w:before="2" w:beforeLines="1" w:after="528" w:afterLines="220"/>
          </w:pPr>
          <w:bookmarkStart w:id="23" w:name="NEW_STAND_NAME"/>
          <w:r>
            <w:rPr>
              <w:rFonts w:hint="eastAsia"/>
            </w:rPr>
            <w:t>抗菌塑木复合门窗</w:t>
          </w:r>
        </w:p>
      </w:sdtContent>
    </w:sdt>
    <w:bookmarkEnd w:id="23"/>
    <w:p>
      <w:pPr>
        <w:pStyle w:val="106"/>
        <w:spacing w:before="240" w:after="240"/>
      </w:pPr>
      <w:bookmarkStart w:id="24" w:name="_Toc17233325"/>
      <w:bookmarkStart w:id="25" w:name="_Toc26986771"/>
      <w:bookmarkStart w:id="26" w:name="_Toc26986530"/>
      <w:bookmarkStart w:id="27" w:name="_Toc26648465"/>
      <w:bookmarkStart w:id="28" w:name="_Toc24884211"/>
      <w:bookmarkStart w:id="29" w:name="_Toc17233333"/>
      <w:bookmarkStart w:id="30" w:name="_Toc26718930"/>
      <w:bookmarkStart w:id="31" w:name="_Toc24884218"/>
      <w:r>
        <w:rPr>
          <w:rFonts w:hint="eastAsia"/>
        </w:rPr>
        <w:t>范围</w:t>
      </w:r>
      <w:bookmarkEnd w:id="24"/>
      <w:bookmarkEnd w:id="25"/>
      <w:bookmarkEnd w:id="26"/>
      <w:bookmarkEnd w:id="27"/>
      <w:bookmarkEnd w:id="28"/>
      <w:bookmarkEnd w:id="29"/>
      <w:bookmarkEnd w:id="30"/>
      <w:bookmarkEnd w:id="31"/>
    </w:p>
    <w:p>
      <w:pPr>
        <w:pStyle w:val="58"/>
        <w:ind w:firstLine="420"/>
      </w:pPr>
      <w:bookmarkStart w:id="32" w:name="_Toc17233334"/>
      <w:bookmarkStart w:id="33" w:name="_Toc26648466"/>
      <w:bookmarkStart w:id="34" w:name="_Toc24884219"/>
      <w:bookmarkStart w:id="35" w:name="_Toc17233326"/>
      <w:bookmarkStart w:id="36" w:name="_Toc24884212"/>
      <w:r>
        <w:rPr>
          <w:rFonts w:hint="eastAsia"/>
        </w:rPr>
        <w:t xml:space="preserve">本文件规定了抗菌塑木复合门窗的术语和定义、技术要求、试验方法、检验规则和标志。 </w:t>
      </w:r>
    </w:p>
    <w:p>
      <w:pPr>
        <w:pStyle w:val="58"/>
        <w:ind w:firstLine="420"/>
      </w:pPr>
      <w:r>
        <w:rPr>
          <w:rFonts w:hint="eastAsia"/>
        </w:rPr>
        <w:t>本文件适用于通过添加抗菌剂、涂覆抗菌漆膜或使用具有抗菌功能的树脂为基体加工的具有抗菌或防霉功能的塑木复合门窗，其他配套产品如延伸墙板、延伸柜体等也可参考使用。</w:t>
      </w:r>
    </w:p>
    <w:p>
      <w:pPr>
        <w:pStyle w:val="106"/>
        <w:spacing w:before="240" w:after="240"/>
      </w:pPr>
      <w:bookmarkStart w:id="37" w:name="_Toc26718931"/>
      <w:bookmarkStart w:id="38" w:name="_Toc269865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E29CF24E79564E4A8D671E41FCDD338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rPr>
          <w:rFonts w:hint="eastAsia"/>
        </w:rPr>
      </w:pPr>
      <w:r>
        <w:t xml:space="preserve">GB/T 2828.1-2012 </w:t>
      </w:r>
      <w:r>
        <w:rPr>
          <w:rFonts w:hint="eastAsia"/>
        </w:rPr>
        <w:t>计数抽样检验程序 第1部分：按接收质量限（AQL）检索的逐批检验抽样计划</w:t>
      </w:r>
    </w:p>
    <w:p>
      <w:pPr>
        <w:pStyle w:val="58"/>
        <w:ind w:firstLine="420"/>
      </w:pPr>
      <w:r>
        <w:rPr>
          <w:rFonts w:hint="eastAsia"/>
        </w:rPr>
        <w:t>GB</w:t>
      </w:r>
      <w:r>
        <w:t xml:space="preserve">/T 5823 </w:t>
      </w:r>
      <w:r>
        <w:rPr>
          <w:rFonts w:hint="eastAsia"/>
        </w:rPr>
        <w:t>建筑门窗术语</w:t>
      </w:r>
    </w:p>
    <w:p>
      <w:pPr>
        <w:pStyle w:val="58"/>
        <w:ind w:firstLine="420"/>
        <w:rPr>
          <w:rFonts w:hint="eastAsia"/>
        </w:rPr>
      </w:pPr>
      <w:r>
        <w:t xml:space="preserve">GB/T 12003 </w:t>
      </w:r>
      <w:r>
        <w:rPr>
          <w:rFonts w:hint="eastAsia"/>
        </w:rPr>
        <w:t>未增塑聚氯乙烯</w:t>
      </w:r>
      <w:r>
        <w:t>(PVC-U)塑料窗外形尺寸的测定</w:t>
      </w:r>
    </w:p>
    <w:p>
      <w:pPr>
        <w:pStyle w:val="58"/>
        <w:ind w:firstLine="420"/>
      </w:pPr>
      <w:r>
        <w:rPr>
          <w:rFonts w:hint="eastAsia"/>
        </w:rPr>
        <w:t>GB</w:t>
      </w:r>
      <w:r>
        <w:t xml:space="preserve"> 18580 </w:t>
      </w:r>
      <w:r>
        <w:rPr>
          <w:rFonts w:hint="eastAsia"/>
        </w:rPr>
        <w:t>室内装饰装修材料 人造板及其制品中甲醛释放限量</w:t>
      </w:r>
    </w:p>
    <w:p>
      <w:pPr>
        <w:pStyle w:val="58"/>
        <w:ind w:firstLine="420"/>
      </w:pPr>
      <w:r>
        <w:t>GB 18584 室内装饰装修材料</w:t>
      </w:r>
      <w:r>
        <w:rPr>
          <w:rFonts w:hint="eastAsia"/>
        </w:rPr>
        <w:t xml:space="preserve"> 木家具中有害物质限量</w:t>
      </w:r>
    </w:p>
    <w:p>
      <w:pPr>
        <w:pStyle w:val="58"/>
        <w:ind w:firstLine="420"/>
      </w:pPr>
      <w:r>
        <w:rPr>
          <w:rFonts w:hint="eastAsia"/>
        </w:rPr>
        <w:t>GB/T 21866-</w:t>
      </w:r>
      <w:r>
        <w:t>2008</w:t>
      </w:r>
      <w:r>
        <w:rPr>
          <w:rFonts w:hint="eastAsia"/>
        </w:rPr>
        <w:t xml:space="preserve"> 抗菌涂料(漆膜)抗菌性测定法和抗菌效果</w:t>
      </w:r>
    </w:p>
    <w:p>
      <w:pPr>
        <w:pStyle w:val="58"/>
        <w:ind w:firstLine="420"/>
      </w:pPr>
      <w:r>
        <w:t xml:space="preserve">GB/T 35469-2017 </w:t>
      </w:r>
      <w:r>
        <w:rPr>
          <w:rFonts w:hint="eastAsia"/>
        </w:rPr>
        <w:t>建筑木塑复合材料防霉性能测试方法</w:t>
      </w:r>
    </w:p>
    <w:p>
      <w:pPr>
        <w:pStyle w:val="58"/>
        <w:ind w:firstLine="420"/>
      </w:pPr>
      <w:r>
        <w:rPr>
          <w:rFonts w:hint="eastAsia"/>
        </w:rPr>
        <w:t>JC/T 2221-2014 建筑用木塑门</w:t>
      </w:r>
    </w:p>
    <w:p>
      <w:pPr>
        <w:pStyle w:val="58"/>
        <w:ind w:firstLine="420"/>
      </w:pPr>
      <w:r>
        <w:rPr>
          <w:rFonts w:hint="eastAsia"/>
        </w:rPr>
        <w:t>JC/T</w:t>
      </w:r>
      <w:r>
        <w:t xml:space="preserve"> </w:t>
      </w:r>
      <w:r>
        <w:rPr>
          <w:rFonts w:hint="eastAsia"/>
        </w:rPr>
        <w:t>2222 塑木复合材料术语</w:t>
      </w:r>
    </w:p>
    <w:p>
      <w:pPr>
        <w:pStyle w:val="58"/>
        <w:ind w:firstLine="420"/>
      </w:pPr>
      <w:r>
        <w:rPr>
          <w:rFonts w:hint="eastAsia"/>
        </w:rPr>
        <w:t>JC/T</w:t>
      </w:r>
      <w:r>
        <w:t xml:space="preserve"> </w:t>
      </w:r>
      <w:r>
        <w:rPr>
          <w:rFonts w:hint="eastAsia"/>
        </w:rPr>
        <w:t>2223</w:t>
      </w:r>
      <w:r>
        <w:t xml:space="preserve"> </w:t>
      </w:r>
      <w:r>
        <w:rPr>
          <w:rFonts w:hint="eastAsia"/>
        </w:rPr>
        <w:t>室内装饰装修用木塑型材</w:t>
      </w:r>
    </w:p>
    <w:p>
      <w:pPr>
        <w:pStyle w:val="58"/>
        <w:ind w:firstLine="420"/>
      </w:pPr>
      <w:r>
        <w:rPr>
          <w:rFonts w:hint="eastAsia"/>
        </w:rPr>
        <w:t>JGJ</w:t>
      </w:r>
      <w:r>
        <w:t xml:space="preserve"> </w:t>
      </w:r>
      <w:r>
        <w:rPr>
          <w:rFonts w:hint="eastAsia"/>
        </w:rPr>
        <w:t>113-2015</w:t>
      </w:r>
      <w:r>
        <w:t xml:space="preserve"> </w:t>
      </w:r>
      <w:r>
        <w:rPr>
          <w:rFonts w:hint="eastAsia"/>
        </w:rPr>
        <w:t>建筑玻璃应用技术规程</w:t>
      </w:r>
      <w:r>
        <w:t xml:space="preserve"> </w:t>
      </w:r>
      <w:r>
        <w:rPr>
          <w:rFonts w:hint="eastAsia"/>
        </w:rPr>
        <w:t>门窗规范</w:t>
      </w:r>
    </w:p>
    <w:p>
      <w:pPr>
        <w:pStyle w:val="106"/>
        <w:spacing w:before="240" w:after="240"/>
      </w:pPr>
      <w:r>
        <w:rPr>
          <w:rFonts w:hint="eastAsia"/>
          <w:szCs w:val="21"/>
        </w:rPr>
        <w:t>术语和定义</w:t>
      </w:r>
    </w:p>
    <w:sdt>
      <w:sdtPr>
        <w:id w:val="-1909835108"/>
        <w:placeholder>
          <w:docPart w:val="C4D3ADAF7EB14BA8967C4E0370AADC5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ind w:firstLine="420"/>
          </w:pPr>
          <w:bookmarkStart w:id="40" w:name="_Toc26986532"/>
          <w:bookmarkEnd w:id="40"/>
          <w:r>
            <w:rPr>
              <w:rFonts w:hint="eastAsia"/>
            </w:rPr>
            <w:t>GB/T 5823、</w:t>
          </w:r>
          <w:r>
            <w:t>JC/T 2222界定的以及下列术语和定义适用于本文件。</w:t>
          </w:r>
        </w:p>
      </w:sdtContent>
    </w:sdt>
    <w:p>
      <w:pPr>
        <w:pStyle w:val="58"/>
        <w:ind w:firstLine="422"/>
        <w:rPr>
          <w:b/>
          <w:bCs/>
        </w:rPr>
      </w:pPr>
      <w:r>
        <w:rPr>
          <w:rFonts w:hint="eastAsia"/>
          <w:b/>
          <w:bCs/>
        </w:rPr>
        <w:t xml:space="preserve">塑木复合门窗 </w:t>
      </w:r>
      <w:bookmarkStart w:id="41" w:name="_Hlk81490629"/>
      <w:r>
        <w:rPr>
          <w:b/>
          <w:bCs/>
        </w:rPr>
        <w:t>wood-plastic</w:t>
      </w:r>
      <w:r>
        <w:rPr>
          <w:rFonts w:hint="eastAsia"/>
          <w:b/>
          <w:bCs/>
        </w:rPr>
        <w:t xml:space="preserve"> c</w:t>
      </w:r>
      <w:r>
        <w:rPr>
          <w:b/>
          <w:bCs/>
        </w:rPr>
        <w:t>omplex windows and door</w:t>
      </w:r>
      <w:bookmarkEnd w:id="41"/>
    </w:p>
    <w:p>
      <w:pPr>
        <w:pStyle w:val="58"/>
        <w:ind w:firstLine="420"/>
      </w:pPr>
      <w:r>
        <w:rPr>
          <w:rFonts w:hint="eastAsia"/>
        </w:rPr>
        <w:t>采用塑木复合型材制作框、扇杆件结构的门、窗的总称。</w:t>
      </w:r>
    </w:p>
    <w:p>
      <w:pPr>
        <w:pStyle w:val="58"/>
        <w:ind w:firstLine="422"/>
        <w:rPr>
          <w:b/>
          <w:bCs/>
        </w:rPr>
      </w:pPr>
      <w:r>
        <w:rPr>
          <w:rFonts w:hint="eastAsia"/>
          <w:b/>
          <w:bCs/>
        </w:rPr>
        <w:t xml:space="preserve">抗菌塑木复合门窗 </w:t>
      </w:r>
      <w:r>
        <w:rPr>
          <w:b/>
          <w:bCs/>
        </w:rPr>
        <w:t xml:space="preserve">antimicrobial </w:t>
      </w:r>
      <w:r>
        <w:rPr>
          <w:rFonts w:hint="eastAsia"/>
          <w:b/>
          <w:bCs/>
        </w:rPr>
        <w:t>property</w:t>
      </w:r>
      <w:r>
        <w:rPr>
          <w:b/>
          <w:bCs/>
        </w:rPr>
        <w:t xml:space="preserve"> wood-plastic complex windows and door</w:t>
      </w:r>
    </w:p>
    <w:p>
      <w:pPr>
        <w:pStyle w:val="58"/>
        <w:ind w:firstLine="420"/>
      </w:pPr>
      <w:r>
        <w:rPr>
          <w:rFonts w:hint="eastAsia"/>
        </w:rPr>
        <w:t>可视面具有抗菌、防霉性能的塑木复合门窗。</w:t>
      </w:r>
    </w:p>
    <w:p>
      <w:pPr>
        <w:pStyle w:val="58"/>
        <w:ind w:firstLine="420"/>
      </w:pPr>
      <w:r>
        <w:rPr>
          <w:rFonts w:hint="eastAsia"/>
        </w:rPr>
        <w:t xml:space="preserve"> 注：可视面包括门扇、门框、门锁、窗框。</w:t>
      </w:r>
    </w:p>
    <w:p>
      <w:pPr>
        <w:pStyle w:val="106"/>
        <w:spacing w:before="240" w:after="240"/>
      </w:pPr>
      <w:r>
        <w:rPr>
          <w:rFonts w:hint="eastAsia"/>
        </w:rPr>
        <w:t>材料</w:t>
      </w:r>
    </w:p>
    <w:p>
      <w:pPr>
        <w:pStyle w:val="106"/>
        <w:numPr>
          <w:ilvl w:val="0"/>
          <w:numId w:val="0"/>
        </w:numPr>
        <w:spacing w:before="240" w:after="240"/>
      </w:pPr>
      <w:r>
        <w:rPr>
          <w:rFonts w:hint="eastAsia"/>
        </w:rPr>
        <w:t>4</w:t>
      </w:r>
      <w:r>
        <w:t xml:space="preserve">.1 </w:t>
      </w:r>
      <w:r>
        <w:rPr>
          <w:rFonts w:hint="eastAsia"/>
        </w:rPr>
        <w:t xml:space="preserve">型材 </w:t>
      </w:r>
    </w:p>
    <w:p>
      <w:pPr>
        <w:pStyle w:val="58"/>
        <w:ind w:firstLine="420"/>
      </w:pPr>
      <w:r>
        <w:rPr>
          <w:rFonts w:hint="eastAsia"/>
        </w:rPr>
        <w:t>塑木型材技术要求应符合</w:t>
      </w:r>
      <w:r>
        <w:t>JC/T 2223</w:t>
      </w:r>
      <w:r>
        <w:rPr>
          <w:rFonts w:hint="eastAsia"/>
        </w:rPr>
        <w:t>的规定。</w:t>
      </w:r>
      <w:r>
        <w:t xml:space="preserve"> </w:t>
      </w:r>
    </w:p>
    <w:p>
      <w:pPr>
        <w:pStyle w:val="106"/>
        <w:numPr>
          <w:ilvl w:val="0"/>
          <w:numId w:val="0"/>
        </w:numPr>
        <w:spacing w:before="240" w:after="240"/>
      </w:pPr>
      <w:r>
        <w:rPr>
          <w:rFonts w:hint="eastAsia"/>
        </w:rPr>
        <w:t>4</w:t>
      </w:r>
      <w:r>
        <w:t xml:space="preserve">.2 </w:t>
      </w:r>
      <w:r>
        <w:rPr>
          <w:rFonts w:hint="eastAsia"/>
        </w:rPr>
        <w:t>玻璃</w:t>
      </w:r>
    </w:p>
    <w:p>
      <w:pPr>
        <w:pStyle w:val="58"/>
        <w:ind w:firstLine="0" w:firstLineChars="0"/>
      </w:pPr>
      <w:r>
        <w:rPr>
          <w:rFonts w:hint="eastAsia"/>
        </w:rPr>
        <w:t xml:space="preserve"> </w:t>
      </w:r>
      <w:r>
        <w:t xml:space="preserve">   </w:t>
      </w:r>
      <w:r>
        <w:rPr>
          <w:rFonts w:hint="eastAsia"/>
        </w:rPr>
        <w:t>玻璃应满足相应产品标准的要求。玻璃的品种、厚度和最大许用面积应符合JGJ113有关规定。</w:t>
      </w:r>
    </w:p>
    <w:p>
      <w:pPr>
        <w:pStyle w:val="106"/>
        <w:numPr>
          <w:ilvl w:val="0"/>
          <w:numId w:val="0"/>
        </w:numPr>
        <w:spacing w:before="240" w:after="240"/>
      </w:pPr>
      <w:r>
        <w:rPr>
          <w:rFonts w:hint="eastAsia"/>
        </w:rPr>
        <w:t>4</w:t>
      </w:r>
      <w:r>
        <w:t xml:space="preserve">.3 </w:t>
      </w:r>
      <w:r>
        <w:rPr>
          <w:rFonts w:hint="eastAsia"/>
        </w:rPr>
        <w:t>密封胶条</w:t>
      </w:r>
    </w:p>
    <w:p>
      <w:pPr>
        <w:pStyle w:val="58"/>
        <w:ind w:firstLine="0" w:firstLineChars="0"/>
      </w:pPr>
      <w:r>
        <w:t>4</w:t>
      </w:r>
      <w:r>
        <w:rPr>
          <w:rFonts w:hint="eastAsia"/>
        </w:rPr>
        <w:t>.</w:t>
      </w:r>
      <w:r>
        <w:t>3</w:t>
      </w:r>
      <w:r>
        <w:rPr>
          <w:rFonts w:hint="eastAsia"/>
        </w:rPr>
        <w:t>.1 门窗玻璃安装、杆件连接及附件装配所用密封胶应与所接触的各种材料相容,并与接触材料具有良好粘结性。</w:t>
      </w:r>
    </w:p>
    <w:p>
      <w:pPr>
        <w:pStyle w:val="58"/>
        <w:ind w:firstLine="0" w:firstLineChars="0"/>
      </w:pPr>
      <w:r>
        <w:t>4</w:t>
      </w:r>
      <w:r>
        <w:rPr>
          <w:rFonts w:hint="eastAsia"/>
        </w:rPr>
        <w:t>.</w:t>
      </w:r>
      <w:r>
        <w:t>3</w:t>
      </w:r>
      <w:r>
        <w:rPr>
          <w:rFonts w:hint="eastAsia"/>
        </w:rPr>
        <w:t>.2 密封胶条与型材不应发生粘连。</w:t>
      </w:r>
    </w:p>
    <w:p>
      <w:pPr>
        <w:pStyle w:val="58"/>
        <w:ind w:firstLine="0" w:firstLineChars="0"/>
      </w:pPr>
      <w:r>
        <w:t>4</w:t>
      </w:r>
      <w:r>
        <w:rPr>
          <w:rFonts w:hint="eastAsia"/>
        </w:rPr>
        <w:t>.</w:t>
      </w:r>
      <w:r>
        <w:t>3</w:t>
      </w:r>
      <w:r>
        <w:rPr>
          <w:rFonts w:hint="eastAsia"/>
        </w:rPr>
        <w:t>.3 玻璃支承块、定位块等弹性材料应符合JGJ113的规定。</w:t>
      </w:r>
    </w:p>
    <w:p>
      <w:pPr>
        <w:pStyle w:val="106"/>
        <w:numPr>
          <w:ilvl w:val="0"/>
          <w:numId w:val="0"/>
        </w:numPr>
        <w:spacing w:before="240" w:after="240"/>
      </w:pPr>
      <w:r>
        <w:rPr>
          <w:rFonts w:hint="eastAsia"/>
        </w:rPr>
        <w:t>4</w:t>
      </w:r>
      <w:r>
        <w:t xml:space="preserve">.4 </w:t>
      </w:r>
      <w:r>
        <w:rPr>
          <w:rFonts w:hint="eastAsia"/>
        </w:rPr>
        <w:t>其他材料</w:t>
      </w:r>
    </w:p>
    <w:p>
      <w:pPr>
        <w:pStyle w:val="58"/>
        <w:ind w:firstLine="0" w:firstLineChars="0"/>
      </w:pPr>
      <w:r>
        <w:t>4</w:t>
      </w:r>
      <w:r>
        <w:rPr>
          <w:rFonts w:hint="eastAsia"/>
        </w:rPr>
        <w:t>.</w:t>
      </w:r>
      <w:r>
        <w:t>4</w:t>
      </w:r>
      <w:r>
        <w:rPr>
          <w:rFonts w:hint="eastAsia"/>
        </w:rPr>
        <w:t>.1 五金件、加强衬板、连接件、紧固件、纱门窗应满足相应标准要求。门窗框扇连接、锁固用功能性五金配件应满足整樘门、窗承载能力及反复启闭性能的要求。</w:t>
      </w:r>
    </w:p>
    <w:p>
      <w:pPr>
        <w:pStyle w:val="58"/>
        <w:ind w:firstLine="0" w:firstLineChars="0"/>
      </w:pPr>
      <w:r>
        <w:t>4</w:t>
      </w:r>
      <w:r>
        <w:rPr>
          <w:rFonts w:hint="eastAsia"/>
        </w:rPr>
        <w:t>.</w:t>
      </w:r>
      <w:r>
        <w:t>4</w:t>
      </w:r>
      <w:r>
        <w:rPr>
          <w:rFonts w:hint="eastAsia"/>
        </w:rPr>
        <w:t>.</w:t>
      </w:r>
      <w:r>
        <w:t>2</w:t>
      </w:r>
      <w:r>
        <w:rPr>
          <w:rFonts w:hint="eastAsia"/>
        </w:rPr>
        <w:t xml:space="preserve"> 执手、合页、滑撑等五金件的连接部位应使用加强衬板,加强衬板的壁厚不应小于1.5mm,长度不应小于300mm。</w:t>
      </w:r>
    </w:p>
    <w:p>
      <w:pPr>
        <w:pStyle w:val="106"/>
        <w:spacing w:before="240" w:after="240"/>
      </w:pPr>
      <w:r>
        <w:rPr>
          <w:rFonts w:hint="eastAsia"/>
        </w:rPr>
        <w:t>技术要求</w:t>
      </w:r>
    </w:p>
    <w:p>
      <w:pPr>
        <w:pStyle w:val="106"/>
        <w:numPr>
          <w:ilvl w:val="0"/>
          <w:numId w:val="0"/>
        </w:numPr>
        <w:spacing w:before="240" w:after="240"/>
      </w:pPr>
      <w:r>
        <w:t>5</w:t>
      </w:r>
      <w:r>
        <w:rPr>
          <w:rFonts w:hint="eastAsia"/>
        </w:rPr>
        <w:t>.1 外观</w:t>
      </w:r>
    </w:p>
    <w:p>
      <w:pPr>
        <w:pStyle w:val="58"/>
        <w:ind w:firstLine="420"/>
      </w:pPr>
      <w:r>
        <w:rPr>
          <w:rFonts w:hint="eastAsia"/>
        </w:rPr>
        <w:t>门窗可视面应表面平整,不应有明显的色差、凹凸不平。不应有毛刺、油污或其他污迹。连接处不应有外溢的胶黏剂。涂饰面木塑门外观质量应符合JC/T 2221-2014中4.2.1条款规定。</w:t>
      </w:r>
    </w:p>
    <w:p>
      <w:pPr>
        <w:pStyle w:val="106"/>
        <w:numPr>
          <w:ilvl w:val="0"/>
          <w:numId w:val="0"/>
        </w:numPr>
        <w:spacing w:before="240" w:after="240"/>
      </w:pPr>
      <w:r>
        <w:t>5</w:t>
      </w:r>
      <w:r>
        <w:rPr>
          <w:rFonts w:hint="eastAsia"/>
        </w:rPr>
        <w:t>.2 尺寸偏差</w:t>
      </w:r>
    </w:p>
    <w:p>
      <w:pPr>
        <w:pStyle w:val="58"/>
        <w:ind w:firstLine="0" w:firstLineChars="0"/>
      </w:pPr>
      <w:r>
        <w:t>5</w:t>
      </w:r>
      <w:r>
        <w:rPr>
          <w:rFonts w:hint="eastAsia"/>
        </w:rPr>
        <w:t>.2.1 门框、门扇尺寸偏差应符合JC/T 2221-2014中4.1条款规定。</w:t>
      </w:r>
    </w:p>
    <w:p>
      <w:pPr>
        <w:pStyle w:val="58"/>
        <w:ind w:firstLine="0" w:firstLineChars="0"/>
      </w:pPr>
      <w:r>
        <w:t>5</w:t>
      </w:r>
      <w:r>
        <w:rPr>
          <w:rFonts w:hint="eastAsia"/>
        </w:rPr>
        <w:t>.2.2 窗框、窗扇尺寸偏差应符合表</w:t>
      </w:r>
      <w:r>
        <w:t>1</w:t>
      </w:r>
      <w:r>
        <w:rPr>
          <w:rFonts w:hint="eastAsia"/>
        </w:rPr>
        <w:t>的规定。</w:t>
      </w:r>
    </w:p>
    <w:p>
      <w:pPr>
        <w:pStyle w:val="58"/>
        <w:ind w:firstLine="420"/>
        <w:jc w:val="center"/>
      </w:pPr>
    </w:p>
    <w:p>
      <w:pPr>
        <w:pStyle w:val="114"/>
        <w:spacing w:before="120" w:after="120"/>
      </w:pPr>
      <w:r>
        <w:rPr>
          <w:rFonts w:hint="eastAsia"/>
        </w:rPr>
        <w:t>窗框、窗扇尺寸偏差</w:t>
      </w:r>
    </w:p>
    <w:p>
      <w:pPr>
        <w:pStyle w:val="114"/>
        <w:numPr>
          <w:ilvl w:val="0"/>
          <w:numId w:val="0"/>
        </w:numPr>
        <w:spacing w:before="120" w:after="120"/>
        <w:ind w:firstLine="7980" w:firstLineChars="3800"/>
        <w:jc w:val="left"/>
        <w:rPr>
          <w:rFonts w:hint="eastAsia"/>
        </w:rPr>
      </w:pPr>
      <w:r>
        <w:rPr>
          <w:rFonts w:hint="eastAsia"/>
        </w:rPr>
        <w:t>（单位：mm）</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3115"/>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58"/>
              <w:ind w:firstLine="0" w:firstLineChars="0"/>
              <w:jc w:val="center"/>
            </w:pPr>
            <w:r>
              <w:rPr>
                <w:rFonts w:hint="eastAsia"/>
              </w:rPr>
              <w:t>项目</w:t>
            </w:r>
          </w:p>
        </w:tc>
        <w:tc>
          <w:tcPr>
            <w:tcW w:w="3115" w:type="dxa"/>
          </w:tcPr>
          <w:p>
            <w:pPr>
              <w:pStyle w:val="58"/>
              <w:ind w:firstLine="0" w:firstLineChars="0"/>
              <w:jc w:val="center"/>
            </w:pPr>
            <w:r>
              <w:rPr>
                <w:rFonts w:hint="eastAsia"/>
              </w:rPr>
              <w:t>尺寸范围</w:t>
            </w:r>
          </w:p>
        </w:tc>
        <w:tc>
          <w:tcPr>
            <w:tcW w:w="3115" w:type="dxa"/>
          </w:tcPr>
          <w:p>
            <w:pPr>
              <w:pStyle w:val="58"/>
              <w:ind w:firstLine="0" w:firstLineChars="0"/>
              <w:jc w:val="center"/>
            </w:pPr>
            <w:r>
              <w:rPr>
                <w:rFonts w:hint="eastAsia"/>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58"/>
              <w:ind w:firstLine="0" w:firstLineChars="0"/>
              <w:jc w:val="center"/>
            </w:pPr>
            <w:r>
              <w:rPr>
                <w:rFonts w:hint="eastAsia"/>
              </w:rPr>
              <w:t>窗宽度和高度构造尺寸对边尺寸之差</w:t>
            </w:r>
          </w:p>
        </w:tc>
        <w:tc>
          <w:tcPr>
            <w:tcW w:w="3115" w:type="dxa"/>
          </w:tcPr>
          <w:p>
            <w:pPr>
              <w:pStyle w:val="58"/>
              <w:ind w:firstLine="0" w:firstLineChars="0"/>
              <w:jc w:val="center"/>
            </w:pPr>
            <w:r>
              <w:rPr>
                <w:rFonts w:hint="eastAsia"/>
              </w:rPr>
              <w:t>—</w:t>
            </w:r>
          </w:p>
        </w:tc>
        <w:tc>
          <w:tcPr>
            <w:tcW w:w="3115" w:type="dxa"/>
          </w:tcPr>
          <w:p>
            <w:pPr>
              <w:pStyle w:val="58"/>
              <w:ind w:firstLine="0" w:firstLineChars="0"/>
              <w:jc w:val="center"/>
            </w:pPr>
            <w:r>
              <w:rPr>
                <w:rFonts w:hint="eastAsia"/>
              </w:rPr>
              <w:t>≤</w:t>
            </w: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3114" w:type="dxa"/>
            <w:vMerge w:val="restart"/>
          </w:tcPr>
          <w:p>
            <w:pPr>
              <w:pStyle w:val="58"/>
              <w:ind w:firstLine="0" w:firstLineChars="0"/>
              <w:jc w:val="center"/>
            </w:pPr>
            <w:r>
              <w:rPr>
                <w:rFonts w:hint="eastAsia"/>
              </w:rPr>
              <w:t>宽度和高度</w:t>
            </w:r>
          </w:p>
        </w:tc>
        <w:tc>
          <w:tcPr>
            <w:tcW w:w="3115" w:type="dxa"/>
          </w:tcPr>
          <w:p>
            <w:pPr>
              <w:pStyle w:val="58"/>
              <w:ind w:firstLine="0" w:firstLineChars="0"/>
              <w:jc w:val="center"/>
            </w:pPr>
            <w:r>
              <w:rPr>
                <w:rFonts w:hint="eastAsia"/>
              </w:rPr>
              <w:t>≤</w:t>
            </w:r>
            <w:r>
              <w:t>15</w:t>
            </w:r>
            <w:r>
              <w:rPr>
                <w:rFonts w:hint="eastAsia"/>
              </w:rPr>
              <w:t>00</w:t>
            </w:r>
          </w:p>
        </w:tc>
        <w:tc>
          <w:tcPr>
            <w:tcW w:w="3115" w:type="dxa"/>
          </w:tcPr>
          <w:p>
            <w:pPr>
              <w:pStyle w:val="58"/>
              <w:ind w:firstLine="0" w:firstLineChars="0"/>
              <w:jc w:val="center"/>
            </w:pPr>
            <w:r>
              <w:rPr>
                <w:rFonts w:hint="eastAsia"/>
              </w:rPr>
              <w:t>±</w:t>
            </w: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3114" w:type="dxa"/>
            <w:vMerge w:val="continue"/>
          </w:tcPr>
          <w:p>
            <w:pPr>
              <w:pStyle w:val="58"/>
              <w:ind w:firstLine="0" w:firstLineChars="0"/>
              <w:jc w:val="center"/>
            </w:pPr>
          </w:p>
        </w:tc>
        <w:tc>
          <w:tcPr>
            <w:tcW w:w="3115" w:type="dxa"/>
          </w:tcPr>
          <w:p>
            <w:pPr>
              <w:pStyle w:val="58"/>
              <w:ind w:firstLine="0" w:firstLineChars="0"/>
              <w:jc w:val="center"/>
            </w:pPr>
            <w:r>
              <w:t>&gt;1500</w:t>
            </w:r>
          </w:p>
        </w:tc>
        <w:tc>
          <w:tcPr>
            <w:tcW w:w="3115" w:type="dxa"/>
          </w:tcPr>
          <w:p>
            <w:pPr>
              <w:pStyle w:val="58"/>
              <w:ind w:firstLine="0" w:firstLineChars="0"/>
              <w:jc w:val="center"/>
            </w:pPr>
            <w:r>
              <w:rPr>
                <w:rFonts w:hint="eastAsia"/>
              </w:rPr>
              <w:t>±</w:t>
            </w: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58"/>
              <w:ind w:firstLine="0" w:firstLineChars="0"/>
              <w:jc w:val="center"/>
            </w:pPr>
            <w:r>
              <w:rPr>
                <w:rFonts w:hint="eastAsia"/>
              </w:rPr>
              <w:t>窗框、窗扇对角线之差</w:t>
            </w:r>
          </w:p>
        </w:tc>
        <w:tc>
          <w:tcPr>
            <w:tcW w:w="3115" w:type="dxa"/>
          </w:tcPr>
          <w:p>
            <w:pPr>
              <w:pStyle w:val="58"/>
              <w:ind w:firstLine="0" w:firstLineChars="0"/>
              <w:jc w:val="center"/>
            </w:pPr>
            <w:r>
              <w:rPr>
                <w:rFonts w:hint="eastAsia"/>
              </w:rPr>
              <w:t>—</w:t>
            </w:r>
          </w:p>
        </w:tc>
        <w:tc>
          <w:tcPr>
            <w:tcW w:w="3115" w:type="dxa"/>
          </w:tcPr>
          <w:p>
            <w:pPr>
              <w:pStyle w:val="58"/>
              <w:ind w:firstLine="0" w:firstLineChars="0"/>
              <w:jc w:val="center"/>
            </w:pPr>
            <w:r>
              <w:rPr>
                <w:rFonts w:hint="eastAsia"/>
              </w:rPr>
              <w:t>≤3.0</w:t>
            </w:r>
          </w:p>
        </w:tc>
      </w:tr>
    </w:tbl>
    <w:p>
      <w:pPr>
        <w:pStyle w:val="58"/>
        <w:ind w:firstLine="420"/>
      </w:pPr>
    </w:p>
    <w:p>
      <w:pPr>
        <w:pStyle w:val="106"/>
        <w:numPr>
          <w:ilvl w:val="0"/>
          <w:numId w:val="0"/>
        </w:numPr>
        <w:spacing w:before="240" w:after="240"/>
      </w:pPr>
      <w:r>
        <w:rPr>
          <w:rFonts w:hint="eastAsia"/>
        </w:rPr>
        <w:t>5.3装配质量</w:t>
      </w:r>
    </w:p>
    <w:p>
      <w:pPr>
        <w:rPr>
          <w:rFonts w:hAnsi="Times New Roman"/>
          <w:szCs w:val="20"/>
        </w:rPr>
      </w:pPr>
      <w:r>
        <w:rPr>
          <w:rFonts w:hint="eastAsia" w:hAnsi="Times New Roman" w:cs="Times New Roman"/>
          <w:sz w:val="21"/>
          <w:szCs w:val="20"/>
        </w:rPr>
        <w:t>5.3.1 框、扇相邻构件装配间隙不应大于0.3mm，相邻两构件同一平面高低差不应大于0.5mm。</w:t>
      </w:r>
    </w:p>
    <w:p>
      <w:pPr>
        <w:rPr>
          <w:rFonts w:hAnsi="Times New Roman"/>
          <w:szCs w:val="20"/>
        </w:rPr>
      </w:pPr>
      <w:r>
        <w:rPr>
          <w:rFonts w:hint="eastAsia" w:hAnsi="Times New Roman" w:cs="Times New Roman"/>
          <w:sz w:val="21"/>
          <w:szCs w:val="20"/>
        </w:rPr>
        <w:t>5.3.2 平开门窗、平开下悬门窗、推拉门窗关闭时,框、扇四周配合间隙应满足设计要求,允许偏差为计值的±1.0mm。</w:t>
      </w:r>
    </w:p>
    <w:p>
      <w:pPr>
        <w:rPr>
          <w:rFonts w:hAnsi="Times New Roman"/>
          <w:szCs w:val="20"/>
        </w:rPr>
      </w:pPr>
      <w:r>
        <w:rPr>
          <w:rFonts w:hint="eastAsia" w:hAnsi="Times New Roman" w:cs="Times New Roman"/>
          <w:sz w:val="21"/>
          <w:szCs w:val="20"/>
        </w:rPr>
        <w:t>5.3.3 平开门窗、平开下悬门窗、推拉门窗关闭时,扇、框搭接量应满足设计要求,且窗扇与窗框搭接量允许偏差±1.0mm,门扇与门框搭接量允许偏差±2.0mm。门窗扇与门窗框室内侧搭接量的实测值不应小于5.0mm。</w:t>
      </w:r>
    </w:p>
    <w:p>
      <w:pPr>
        <w:rPr>
          <w:rFonts w:hAnsi="Times New Roman"/>
          <w:szCs w:val="20"/>
        </w:rPr>
      </w:pPr>
      <w:r>
        <w:rPr>
          <w:rFonts w:hint="eastAsia" w:hAnsi="Times New Roman" w:cs="Times New Roman"/>
          <w:sz w:val="21"/>
          <w:szCs w:val="20"/>
        </w:rPr>
        <w:t>5.3.4 五金配件安装位置和数量应符合设计要求。五金配件承载能力应与扇重量和抗风压要求相匹配,门、窗扇的锁闭点不宜少于2个。当扇高大于1.2m 时,锁闭点不应少于3个。外平开窗扇的宽度不宜大于700mm,高度不宜大于1500mm。</w:t>
      </w:r>
    </w:p>
    <w:p>
      <w:pPr>
        <w:rPr>
          <w:rFonts w:hAnsi="Times New Roman"/>
          <w:szCs w:val="20"/>
        </w:rPr>
      </w:pPr>
      <w:r>
        <w:rPr>
          <w:rFonts w:hint="eastAsia" w:hAnsi="Times New Roman" w:cs="Times New Roman"/>
          <w:sz w:val="21"/>
          <w:szCs w:val="20"/>
        </w:rPr>
        <w:t>5.3.5 框、扇组角连接处应采用连接件组装,连接处缝隙应采用注胶等密封措施。</w:t>
      </w:r>
    </w:p>
    <w:p>
      <w:pPr>
        <w:rPr>
          <w:rFonts w:hAnsi="Times New Roman"/>
          <w:szCs w:val="20"/>
        </w:rPr>
      </w:pPr>
      <w:r>
        <w:rPr>
          <w:rFonts w:hint="eastAsia" w:hAnsi="Times New Roman" w:cs="Times New Roman"/>
          <w:sz w:val="21"/>
          <w:szCs w:val="20"/>
        </w:rPr>
        <w:t>5.3.6 密封条和毛条装配后应均匀、牢固,接口严密,无脱槽、收缩、虚压等现象,密封条和毛条应易于更换。</w:t>
      </w:r>
    </w:p>
    <w:p>
      <w:pPr>
        <w:rPr>
          <w:rFonts w:hAnsi="Times New Roman"/>
          <w:szCs w:val="20"/>
        </w:rPr>
      </w:pPr>
      <w:r>
        <w:rPr>
          <w:rFonts w:hint="eastAsia" w:hAnsi="Times New Roman" w:cs="Times New Roman"/>
          <w:sz w:val="21"/>
          <w:szCs w:val="20"/>
        </w:rPr>
        <w:t>5.3.7 压条装配后应牢固。压条角部对接处的间隙不应大于1mm。</w:t>
      </w:r>
    </w:p>
    <w:p>
      <w:pPr>
        <w:rPr>
          <w:rFonts w:hAnsi="Times New Roman"/>
          <w:szCs w:val="20"/>
        </w:rPr>
      </w:pPr>
      <w:r>
        <w:rPr>
          <w:rFonts w:hint="eastAsia" w:hAnsi="Times New Roman" w:cs="Times New Roman"/>
          <w:sz w:val="21"/>
          <w:szCs w:val="20"/>
        </w:rPr>
        <w:t>5.3.8 玻璃装配应符合JGJ113的规定。门窗有耐火完整性要求时,所用的玻璃夹持装置应和木塑型材可靠连接。</w:t>
      </w:r>
    </w:p>
    <w:p>
      <w:pPr>
        <w:pStyle w:val="58"/>
        <w:ind w:firstLine="420"/>
      </w:pPr>
    </w:p>
    <w:p>
      <w:pPr>
        <w:pStyle w:val="106"/>
        <w:numPr>
          <w:ilvl w:val="0"/>
          <w:numId w:val="0"/>
        </w:numPr>
        <w:spacing w:before="240" w:after="240"/>
      </w:pPr>
      <w:r>
        <w:rPr>
          <w:rFonts w:hint="eastAsia"/>
        </w:rPr>
        <w:t>5.4 物理性能</w:t>
      </w:r>
    </w:p>
    <w:p>
      <w:r>
        <w:rPr>
          <w:rFonts w:hint="eastAsia" w:hAnsi="Times New Roman" w:cs="Times New Roman"/>
          <w:sz w:val="21"/>
          <w:szCs w:val="20"/>
        </w:rPr>
        <w:t xml:space="preserve">    抗菌木塑门窗物理性能应符合JC/T 2221-2014中4.3条款规定。</w:t>
      </w:r>
    </w:p>
    <w:p>
      <w:pPr>
        <w:pStyle w:val="106"/>
        <w:numPr>
          <w:ilvl w:val="0"/>
          <w:numId w:val="0"/>
        </w:numPr>
        <w:spacing w:before="240" w:after="240"/>
      </w:pPr>
      <w:r>
        <w:rPr>
          <w:rFonts w:hint="eastAsia"/>
        </w:rPr>
        <w:t>5</w:t>
      </w:r>
      <w:r>
        <w:t>.</w:t>
      </w:r>
      <w:r>
        <w:rPr>
          <w:rFonts w:hint="eastAsia"/>
        </w:rPr>
        <w:t>5</w:t>
      </w:r>
      <w:r>
        <w:t xml:space="preserve"> </w:t>
      </w:r>
      <w:r>
        <w:rPr>
          <w:rFonts w:hint="eastAsia"/>
        </w:rPr>
        <w:t>抗菌性能</w:t>
      </w:r>
    </w:p>
    <w:p>
      <w:pPr>
        <w:pStyle w:val="58"/>
        <w:ind w:firstLine="420"/>
      </w:pPr>
      <w:bookmarkStart w:id="42" w:name="_Hlk85459523"/>
      <w:r>
        <w:rPr>
          <w:rFonts w:hint="eastAsia"/>
        </w:rPr>
        <w:t>抗菌塑木门窗的门扇、门框、门锁、窗框、窗扇抗细菌性能应符合表GB</w:t>
      </w:r>
      <w:r>
        <w:t xml:space="preserve">/T </w:t>
      </w:r>
      <w:r>
        <w:rPr>
          <w:rFonts w:hint="eastAsia"/>
        </w:rPr>
        <w:t>21</w:t>
      </w:r>
      <w:r>
        <w:t>866</w:t>
      </w:r>
      <w:r>
        <w:rPr>
          <w:rFonts w:hint="eastAsia"/>
        </w:rPr>
        <w:t>—2</w:t>
      </w:r>
      <w:r>
        <w:t>008</w:t>
      </w:r>
      <w:r>
        <w:rPr>
          <w:rFonts w:hint="eastAsia"/>
        </w:rPr>
        <w:t>条款9</w:t>
      </w:r>
      <w:r>
        <w:t>.1</w:t>
      </w:r>
      <w:r>
        <w:rPr>
          <w:rFonts w:hint="eastAsia"/>
        </w:rPr>
        <w:t>规定的I级，经耐久试验后，抗菌等级不低于II级。</w:t>
      </w:r>
    </w:p>
    <w:bookmarkEnd w:id="42"/>
    <w:p>
      <w:pPr>
        <w:pStyle w:val="106"/>
        <w:numPr>
          <w:ilvl w:val="0"/>
          <w:numId w:val="0"/>
        </w:numPr>
        <w:spacing w:before="240" w:after="240"/>
      </w:pPr>
      <w:r>
        <w:rPr>
          <w:rFonts w:hint="eastAsia"/>
        </w:rPr>
        <w:t>5</w:t>
      </w:r>
      <w:r>
        <w:t>.</w:t>
      </w:r>
      <w:r>
        <w:rPr>
          <w:rFonts w:hint="eastAsia"/>
        </w:rPr>
        <w:t>6</w:t>
      </w:r>
      <w:r>
        <w:t xml:space="preserve"> </w:t>
      </w:r>
      <w:r>
        <w:rPr>
          <w:rFonts w:hint="eastAsia"/>
        </w:rPr>
        <w:t>防霉性能</w:t>
      </w:r>
    </w:p>
    <w:p>
      <w:pPr>
        <w:pStyle w:val="58"/>
        <w:ind w:firstLine="420"/>
      </w:pPr>
      <w:r>
        <w:rPr>
          <w:rFonts w:hint="eastAsia"/>
        </w:rPr>
        <w:t>抗菌塑木门窗的门扇、门框、窗框、窗扇防霉性能应符合</w:t>
      </w:r>
      <w:r>
        <w:t>GB/T 35469-2017</w:t>
      </w:r>
      <w:r>
        <w:rPr>
          <w:rFonts w:hint="eastAsia"/>
        </w:rPr>
        <w:t>条款</w:t>
      </w:r>
      <w:r>
        <w:t>9.5</w:t>
      </w:r>
      <w:r>
        <w:rPr>
          <w:rFonts w:hint="eastAsia"/>
        </w:rPr>
        <w:t>防霉等级0或1级的要求，经耐久试验后，防霉等级不低于1级。</w:t>
      </w:r>
    </w:p>
    <w:p>
      <w:pPr>
        <w:pStyle w:val="106"/>
        <w:numPr>
          <w:ilvl w:val="0"/>
          <w:numId w:val="0"/>
        </w:numPr>
        <w:spacing w:before="240" w:after="240"/>
      </w:pPr>
      <w:r>
        <w:rPr>
          <w:rFonts w:hint="eastAsia"/>
        </w:rPr>
        <w:t>5</w:t>
      </w:r>
      <w:r>
        <w:t>.7</w:t>
      </w:r>
      <w:r>
        <w:rPr>
          <w:rFonts w:hint="eastAsia"/>
        </w:rPr>
        <w:t>有害物质限量</w:t>
      </w:r>
    </w:p>
    <w:p>
      <w:pPr>
        <w:pStyle w:val="58"/>
        <w:ind w:firstLine="420"/>
      </w:pPr>
      <w:r>
        <w:rPr>
          <w:rFonts w:hint="eastAsia"/>
        </w:rPr>
        <w:t>抗菌木塑门有害物质限量应符合表</w:t>
      </w:r>
      <w:r>
        <w:t>2的规定</w:t>
      </w:r>
      <w:r>
        <w:rPr>
          <w:rFonts w:hint="eastAsia"/>
        </w:rPr>
        <w:t>。</w:t>
      </w:r>
    </w:p>
    <w:p>
      <w:pPr>
        <w:widowControl w:val="0"/>
        <w:spacing w:after="160" w:line="328" w:lineRule="auto"/>
        <w:jc w:val="center"/>
        <w:rPr>
          <w:color w:val="000000"/>
          <w:sz w:val="20"/>
          <w:szCs w:val="20"/>
        </w:rPr>
      </w:pPr>
    </w:p>
    <w:p>
      <w:pPr>
        <w:pStyle w:val="114"/>
        <w:spacing w:before="120" w:after="120"/>
      </w:pPr>
      <w:r>
        <w:rPr>
          <w:rFonts w:hint="eastAsia"/>
        </w:rPr>
        <w:t>有害物质限量要求</w:t>
      </w:r>
    </w:p>
    <w:tbl>
      <w:tblPr>
        <w:tblStyle w:val="28"/>
        <w:tblW w:w="0" w:type="auto"/>
        <w:jc w:val="center"/>
        <w:tblLayout w:type="fixed"/>
        <w:tblCellMar>
          <w:top w:w="0" w:type="dxa"/>
          <w:left w:w="10" w:type="dxa"/>
          <w:bottom w:w="0" w:type="dxa"/>
          <w:right w:w="10" w:type="dxa"/>
        </w:tblCellMar>
      </w:tblPr>
      <w:tblGrid>
        <w:gridCol w:w="2594"/>
        <w:gridCol w:w="3180"/>
        <w:gridCol w:w="2590"/>
      </w:tblGrid>
      <w:tr>
        <w:tblPrEx>
          <w:tblCellMar>
            <w:top w:w="0" w:type="dxa"/>
            <w:left w:w="10" w:type="dxa"/>
            <w:bottom w:w="0" w:type="dxa"/>
            <w:right w:w="10" w:type="dxa"/>
          </w:tblCellMar>
        </w:tblPrEx>
        <w:trPr>
          <w:trHeight w:val="384" w:hRule="atLeast"/>
          <w:jc w:val="center"/>
        </w:trPr>
        <w:tc>
          <w:tcPr>
            <w:tcW w:w="5774" w:type="dxa"/>
            <w:gridSpan w:val="2"/>
            <w:tcBorders>
              <w:top w:val="single" w:color="auto" w:sz="4" w:space="0"/>
              <w:left w:val="single" w:color="auto" w:sz="4" w:space="0"/>
              <w:bottom w:val="nil"/>
              <w:right w:val="nil"/>
            </w:tcBorders>
            <w:shd w:val="clear" w:color="auto" w:fill="FFFFFF"/>
            <w:vAlign w:val="bottom"/>
          </w:tcPr>
          <w:p>
            <w:pPr>
              <w:widowControl w:val="0"/>
              <w:spacing w:line="328"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检验项目</w:t>
            </w:r>
          </w:p>
        </w:tc>
        <w:tc>
          <w:tcPr>
            <w:tcW w:w="2590" w:type="dxa"/>
            <w:tcBorders>
              <w:top w:val="single" w:color="auto" w:sz="4" w:space="0"/>
              <w:left w:val="single" w:color="auto" w:sz="4" w:space="0"/>
              <w:bottom w:val="nil"/>
              <w:right w:val="single" w:color="auto" w:sz="4" w:space="0"/>
            </w:tcBorders>
            <w:shd w:val="clear" w:color="auto" w:fill="FFFFFF"/>
            <w:vAlign w:val="bottom"/>
          </w:tcPr>
          <w:p>
            <w:pPr>
              <w:widowControl w:val="0"/>
              <w:spacing w:line="328"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限</w:t>
            </w:r>
            <w:r>
              <w:rPr>
                <w:rFonts w:hint="eastAsia" w:ascii="Times New Roman" w:hAnsi="Times New Roman" w:cs="Times New Roman"/>
                <w:color w:val="000000"/>
                <w:sz w:val="20"/>
                <w:szCs w:val="20"/>
              </w:rPr>
              <w:t>量值</w:t>
            </w:r>
          </w:p>
        </w:tc>
      </w:tr>
      <w:tr>
        <w:tblPrEx>
          <w:tblCellMar>
            <w:top w:w="0" w:type="dxa"/>
            <w:left w:w="10" w:type="dxa"/>
            <w:bottom w:w="0" w:type="dxa"/>
            <w:right w:w="10" w:type="dxa"/>
          </w:tblCellMar>
        </w:tblPrEx>
        <w:trPr>
          <w:trHeight w:val="686" w:hRule="atLeast"/>
          <w:jc w:val="center"/>
        </w:trPr>
        <w:tc>
          <w:tcPr>
            <w:tcW w:w="5774" w:type="dxa"/>
            <w:gridSpan w:val="2"/>
            <w:tcBorders>
              <w:top w:val="single" w:color="auto" w:sz="4" w:space="0"/>
              <w:left w:val="single" w:color="auto" w:sz="4" w:space="0"/>
              <w:bottom w:val="nil"/>
              <w:right w:val="nil"/>
            </w:tcBorders>
            <w:shd w:val="clear" w:color="auto" w:fill="FFFFFF"/>
            <w:vAlign w:val="center"/>
          </w:tcPr>
          <w:p>
            <w:pPr>
              <w:widowControl w:val="0"/>
              <w:spacing w:line="328" w:lineRule="auto"/>
              <w:jc w:val="center"/>
              <w:rPr>
                <w:rFonts w:hAnsi="Times New Roman" w:cs="Times New Roman"/>
                <w:sz w:val="21"/>
                <w:szCs w:val="20"/>
              </w:rPr>
            </w:pPr>
            <w:r>
              <w:rPr>
                <w:rFonts w:hint="eastAsia" w:hAnsi="Times New Roman" w:cs="Times New Roman"/>
                <w:sz w:val="21"/>
                <w:szCs w:val="20"/>
              </w:rPr>
              <w:t>甲酸释放量（室内用）/（mg/m3）</w:t>
            </w:r>
          </w:p>
        </w:tc>
        <w:tc>
          <w:tcPr>
            <w:tcW w:w="2590" w:type="dxa"/>
            <w:tcBorders>
              <w:top w:val="single" w:color="auto" w:sz="4" w:space="0"/>
              <w:left w:val="single" w:color="auto" w:sz="4" w:space="0"/>
              <w:bottom w:val="nil"/>
              <w:right w:val="single" w:color="auto" w:sz="4" w:space="0"/>
            </w:tcBorders>
            <w:shd w:val="clear" w:color="auto" w:fill="FFFFFF"/>
            <w:vAlign w:val="center"/>
          </w:tcPr>
          <w:p>
            <w:pPr>
              <w:widowControl w:val="0"/>
              <w:spacing w:line="328" w:lineRule="auto"/>
              <w:jc w:val="center"/>
              <w:rPr>
                <w:rFonts w:hAnsi="Times New Roman" w:cs="Times New Roman"/>
                <w:sz w:val="21"/>
                <w:szCs w:val="20"/>
              </w:rPr>
            </w:pPr>
            <w:r>
              <w:rPr>
                <w:rFonts w:hint="eastAsia" w:hAnsi="Times New Roman" w:cs="Times New Roman"/>
                <w:sz w:val="21"/>
                <w:szCs w:val="20"/>
              </w:rPr>
              <w:t>≤0.124</w:t>
            </w:r>
          </w:p>
        </w:tc>
      </w:tr>
      <w:tr>
        <w:tblPrEx>
          <w:tblCellMar>
            <w:top w:w="0" w:type="dxa"/>
            <w:left w:w="10" w:type="dxa"/>
            <w:bottom w:w="0" w:type="dxa"/>
            <w:right w:w="10" w:type="dxa"/>
          </w:tblCellMar>
        </w:tblPrEx>
        <w:trPr>
          <w:trHeight w:val="360" w:hRule="atLeast"/>
          <w:jc w:val="center"/>
        </w:trPr>
        <w:tc>
          <w:tcPr>
            <w:tcW w:w="2594" w:type="dxa"/>
            <w:vMerge w:val="restart"/>
            <w:tcBorders>
              <w:top w:val="single" w:color="auto" w:sz="4" w:space="0"/>
              <w:left w:val="single" w:color="auto" w:sz="4" w:space="0"/>
              <w:bottom w:val="nil"/>
              <w:right w:val="nil"/>
            </w:tcBorders>
            <w:shd w:val="clear" w:color="auto" w:fill="FFFFFF"/>
            <w:vAlign w:val="center"/>
          </w:tcPr>
          <w:p>
            <w:pPr>
              <w:widowControl w:val="0"/>
              <w:spacing w:line="328" w:lineRule="auto"/>
              <w:jc w:val="center"/>
              <w:rPr>
                <w:rFonts w:hAnsi="Times New Roman" w:cs="Times New Roman"/>
                <w:sz w:val="21"/>
                <w:szCs w:val="20"/>
              </w:rPr>
            </w:pPr>
            <w:r>
              <w:rPr>
                <w:rFonts w:hint="eastAsia" w:hAnsi="Times New Roman" w:cs="Times New Roman"/>
                <w:sz w:val="21"/>
                <w:szCs w:val="20"/>
              </w:rPr>
              <w:t>重金属含量a/ (mg/kg)</w:t>
            </w:r>
          </w:p>
        </w:tc>
        <w:tc>
          <w:tcPr>
            <w:tcW w:w="3180" w:type="dxa"/>
            <w:tcBorders>
              <w:top w:val="single" w:color="auto" w:sz="4" w:space="0"/>
              <w:left w:val="single" w:color="auto" w:sz="4" w:space="0"/>
              <w:bottom w:val="nil"/>
              <w:right w:val="nil"/>
            </w:tcBorders>
            <w:shd w:val="clear" w:color="auto" w:fill="FFFFFF"/>
            <w:vAlign w:val="center"/>
          </w:tcPr>
          <w:p>
            <w:pPr>
              <w:widowControl w:val="0"/>
              <w:spacing w:line="328" w:lineRule="auto"/>
              <w:jc w:val="center"/>
              <w:rPr>
                <w:rFonts w:hAnsi="Times New Roman" w:cs="Times New Roman"/>
                <w:sz w:val="21"/>
                <w:szCs w:val="20"/>
              </w:rPr>
            </w:pPr>
            <w:r>
              <w:rPr>
                <w:rFonts w:hint="eastAsia" w:hAnsi="Times New Roman" w:cs="Times New Roman"/>
                <w:sz w:val="21"/>
                <w:szCs w:val="20"/>
              </w:rPr>
              <w:t>可溶性铅</w:t>
            </w:r>
          </w:p>
        </w:tc>
        <w:tc>
          <w:tcPr>
            <w:tcW w:w="2590" w:type="dxa"/>
            <w:tcBorders>
              <w:top w:val="single" w:color="auto" w:sz="4" w:space="0"/>
              <w:left w:val="single" w:color="auto" w:sz="4" w:space="0"/>
              <w:bottom w:val="nil"/>
              <w:right w:val="single" w:color="auto" w:sz="4" w:space="0"/>
            </w:tcBorders>
            <w:shd w:val="clear" w:color="auto" w:fill="FFFFFF"/>
            <w:vAlign w:val="center"/>
          </w:tcPr>
          <w:p>
            <w:pPr>
              <w:widowControl w:val="0"/>
              <w:spacing w:line="328" w:lineRule="auto"/>
              <w:jc w:val="center"/>
              <w:rPr>
                <w:rFonts w:hAnsi="Times New Roman" w:cs="Times New Roman"/>
                <w:sz w:val="21"/>
                <w:szCs w:val="20"/>
              </w:rPr>
            </w:pPr>
            <w:r>
              <w:rPr>
                <w:rFonts w:hint="eastAsia" w:hAnsi="Times New Roman" w:cs="Times New Roman"/>
                <w:sz w:val="21"/>
                <w:szCs w:val="20"/>
              </w:rPr>
              <w:t>≤90</w:t>
            </w:r>
          </w:p>
        </w:tc>
      </w:tr>
      <w:tr>
        <w:tblPrEx>
          <w:tblCellMar>
            <w:top w:w="0" w:type="dxa"/>
            <w:left w:w="10" w:type="dxa"/>
            <w:bottom w:w="0" w:type="dxa"/>
            <w:right w:w="10" w:type="dxa"/>
          </w:tblCellMar>
        </w:tblPrEx>
        <w:trPr>
          <w:trHeight w:val="360" w:hRule="atLeast"/>
          <w:jc w:val="center"/>
        </w:trPr>
        <w:tc>
          <w:tcPr>
            <w:tcW w:w="2594" w:type="dxa"/>
            <w:vMerge w:val="continue"/>
            <w:tcBorders>
              <w:top w:val="single" w:color="auto" w:sz="4" w:space="0"/>
              <w:left w:val="single" w:color="auto" w:sz="4" w:space="0"/>
              <w:bottom w:val="nil"/>
              <w:right w:val="nil"/>
            </w:tcBorders>
            <w:vAlign w:val="center"/>
          </w:tcPr>
          <w:p>
            <w:pPr>
              <w:widowControl w:val="0"/>
              <w:spacing w:line="328" w:lineRule="auto"/>
              <w:jc w:val="center"/>
              <w:rPr>
                <w:rFonts w:hAnsi="Times New Roman" w:cs="Times New Roman"/>
                <w:sz w:val="21"/>
                <w:szCs w:val="20"/>
              </w:rPr>
            </w:pPr>
          </w:p>
        </w:tc>
        <w:tc>
          <w:tcPr>
            <w:tcW w:w="3180" w:type="dxa"/>
            <w:tcBorders>
              <w:top w:val="single" w:color="auto" w:sz="4" w:space="0"/>
              <w:left w:val="single" w:color="auto" w:sz="4" w:space="0"/>
              <w:bottom w:val="nil"/>
              <w:right w:val="nil"/>
            </w:tcBorders>
            <w:shd w:val="clear" w:color="auto" w:fill="FFFFFF"/>
            <w:vAlign w:val="center"/>
          </w:tcPr>
          <w:p>
            <w:pPr>
              <w:widowControl w:val="0"/>
              <w:spacing w:line="328" w:lineRule="auto"/>
              <w:jc w:val="center"/>
              <w:rPr>
                <w:rFonts w:hAnsi="Times New Roman" w:cs="Times New Roman"/>
                <w:sz w:val="21"/>
                <w:szCs w:val="20"/>
              </w:rPr>
            </w:pPr>
            <w:r>
              <w:rPr>
                <w:rFonts w:hint="eastAsia" w:hAnsi="Times New Roman" w:cs="Times New Roman"/>
                <w:sz w:val="21"/>
                <w:szCs w:val="20"/>
              </w:rPr>
              <w:t>可溶性镉</w:t>
            </w:r>
          </w:p>
        </w:tc>
        <w:tc>
          <w:tcPr>
            <w:tcW w:w="2590" w:type="dxa"/>
            <w:tcBorders>
              <w:top w:val="single" w:color="auto" w:sz="4" w:space="0"/>
              <w:left w:val="single" w:color="auto" w:sz="4" w:space="0"/>
              <w:bottom w:val="nil"/>
              <w:right w:val="single" w:color="auto" w:sz="4" w:space="0"/>
            </w:tcBorders>
            <w:shd w:val="clear" w:color="auto" w:fill="FFFFFF"/>
            <w:vAlign w:val="center"/>
          </w:tcPr>
          <w:p>
            <w:pPr>
              <w:widowControl w:val="0"/>
              <w:spacing w:line="328" w:lineRule="auto"/>
              <w:jc w:val="center"/>
              <w:rPr>
                <w:rFonts w:hAnsi="Times New Roman" w:cs="Times New Roman"/>
                <w:sz w:val="21"/>
                <w:szCs w:val="20"/>
              </w:rPr>
            </w:pPr>
            <w:r>
              <w:rPr>
                <w:rFonts w:hint="eastAsia" w:hAnsi="Times New Roman" w:cs="Times New Roman"/>
                <w:sz w:val="21"/>
                <w:szCs w:val="20"/>
              </w:rPr>
              <w:t>≤75</w:t>
            </w:r>
          </w:p>
        </w:tc>
      </w:tr>
      <w:tr>
        <w:tblPrEx>
          <w:tblCellMar>
            <w:top w:w="0" w:type="dxa"/>
            <w:left w:w="10" w:type="dxa"/>
            <w:bottom w:w="0" w:type="dxa"/>
            <w:right w:w="10" w:type="dxa"/>
          </w:tblCellMar>
        </w:tblPrEx>
        <w:trPr>
          <w:trHeight w:val="348" w:hRule="atLeast"/>
          <w:jc w:val="center"/>
        </w:trPr>
        <w:tc>
          <w:tcPr>
            <w:tcW w:w="2594" w:type="dxa"/>
            <w:vMerge w:val="continue"/>
            <w:tcBorders>
              <w:top w:val="single" w:color="auto" w:sz="4" w:space="0"/>
              <w:left w:val="single" w:color="auto" w:sz="4" w:space="0"/>
              <w:bottom w:val="nil"/>
              <w:right w:val="nil"/>
            </w:tcBorders>
            <w:vAlign w:val="center"/>
          </w:tcPr>
          <w:p>
            <w:pPr>
              <w:widowControl w:val="0"/>
              <w:spacing w:line="328" w:lineRule="auto"/>
              <w:jc w:val="center"/>
              <w:rPr>
                <w:rFonts w:hAnsi="Times New Roman" w:cs="Times New Roman"/>
                <w:sz w:val="21"/>
                <w:szCs w:val="20"/>
              </w:rPr>
            </w:pPr>
          </w:p>
        </w:tc>
        <w:tc>
          <w:tcPr>
            <w:tcW w:w="3180" w:type="dxa"/>
            <w:tcBorders>
              <w:top w:val="single" w:color="auto" w:sz="4" w:space="0"/>
              <w:left w:val="single" w:color="auto" w:sz="4" w:space="0"/>
              <w:bottom w:val="nil"/>
              <w:right w:val="nil"/>
            </w:tcBorders>
            <w:shd w:val="clear" w:color="auto" w:fill="FFFFFF"/>
            <w:vAlign w:val="center"/>
          </w:tcPr>
          <w:p>
            <w:pPr>
              <w:widowControl w:val="0"/>
              <w:spacing w:line="328" w:lineRule="auto"/>
              <w:jc w:val="center"/>
              <w:rPr>
                <w:rFonts w:hAnsi="Times New Roman" w:cs="Times New Roman"/>
                <w:sz w:val="21"/>
                <w:szCs w:val="20"/>
              </w:rPr>
            </w:pPr>
            <w:r>
              <w:rPr>
                <w:rFonts w:hint="eastAsia" w:hAnsi="Times New Roman" w:cs="Times New Roman"/>
                <w:sz w:val="21"/>
                <w:szCs w:val="20"/>
              </w:rPr>
              <w:t>诃溶性絡</w:t>
            </w:r>
          </w:p>
        </w:tc>
        <w:tc>
          <w:tcPr>
            <w:tcW w:w="2590" w:type="dxa"/>
            <w:tcBorders>
              <w:top w:val="single" w:color="auto" w:sz="4" w:space="0"/>
              <w:left w:val="single" w:color="auto" w:sz="4" w:space="0"/>
              <w:bottom w:val="nil"/>
              <w:right w:val="single" w:color="auto" w:sz="4" w:space="0"/>
            </w:tcBorders>
            <w:shd w:val="clear" w:color="auto" w:fill="FFFFFF"/>
            <w:vAlign w:val="center"/>
          </w:tcPr>
          <w:p>
            <w:pPr>
              <w:widowControl w:val="0"/>
              <w:spacing w:line="328" w:lineRule="auto"/>
              <w:jc w:val="center"/>
              <w:rPr>
                <w:rFonts w:hAnsi="Times New Roman" w:cs="Times New Roman"/>
                <w:sz w:val="21"/>
                <w:szCs w:val="20"/>
              </w:rPr>
            </w:pPr>
            <w:r>
              <w:rPr>
                <w:rFonts w:hint="eastAsia" w:hAnsi="Times New Roman" w:cs="Times New Roman"/>
                <w:sz w:val="21"/>
                <w:szCs w:val="20"/>
              </w:rPr>
              <w:t>≤60</w:t>
            </w:r>
          </w:p>
        </w:tc>
      </w:tr>
      <w:tr>
        <w:tblPrEx>
          <w:tblCellMar>
            <w:top w:w="0" w:type="dxa"/>
            <w:left w:w="10" w:type="dxa"/>
            <w:bottom w:w="0" w:type="dxa"/>
            <w:right w:w="10" w:type="dxa"/>
          </w:tblCellMar>
        </w:tblPrEx>
        <w:trPr>
          <w:trHeight w:val="348" w:hRule="atLeast"/>
          <w:jc w:val="center"/>
        </w:trPr>
        <w:tc>
          <w:tcPr>
            <w:tcW w:w="2594" w:type="dxa"/>
            <w:vMerge w:val="continue"/>
            <w:tcBorders>
              <w:top w:val="single" w:color="auto" w:sz="4" w:space="0"/>
              <w:left w:val="single" w:color="auto" w:sz="4" w:space="0"/>
              <w:bottom w:val="nil"/>
              <w:right w:val="nil"/>
            </w:tcBorders>
            <w:vAlign w:val="center"/>
          </w:tcPr>
          <w:p>
            <w:pPr>
              <w:widowControl w:val="0"/>
              <w:spacing w:line="328" w:lineRule="auto"/>
              <w:jc w:val="center"/>
              <w:rPr>
                <w:rFonts w:hAnsi="Times New Roman" w:cs="Times New Roman"/>
                <w:sz w:val="21"/>
                <w:szCs w:val="20"/>
              </w:rPr>
            </w:pPr>
          </w:p>
        </w:tc>
        <w:tc>
          <w:tcPr>
            <w:tcW w:w="3180" w:type="dxa"/>
            <w:tcBorders>
              <w:top w:val="single" w:color="auto" w:sz="4" w:space="0"/>
              <w:left w:val="single" w:color="auto" w:sz="4" w:space="0"/>
              <w:bottom w:val="single" w:color="auto" w:sz="4" w:space="0"/>
              <w:right w:val="nil"/>
            </w:tcBorders>
            <w:shd w:val="clear" w:color="auto" w:fill="FFFFFF"/>
            <w:vAlign w:val="center"/>
          </w:tcPr>
          <w:p>
            <w:pPr>
              <w:widowControl w:val="0"/>
              <w:spacing w:line="328" w:lineRule="auto"/>
              <w:jc w:val="center"/>
              <w:rPr>
                <w:rFonts w:hAnsi="Times New Roman" w:cs="Times New Roman"/>
                <w:sz w:val="21"/>
                <w:szCs w:val="20"/>
              </w:rPr>
            </w:pPr>
            <w:r>
              <w:rPr>
                <w:rFonts w:hint="eastAsia" w:hAnsi="Times New Roman" w:cs="Times New Roman"/>
                <w:sz w:val="21"/>
                <w:szCs w:val="20"/>
              </w:rPr>
              <w:t>可溶性汞</w:t>
            </w:r>
          </w:p>
        </w:tc>
        <w:tc>
          <w:tcPr>
            <w:tcW w:w="2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line="328" w:lineRule="auto"/>
              <w:jc w:val="center"/>
              <w:rPr>
                <w:rFonts w:hAnsi="Times New Roman" w:cs="Times New Roman"/>
                <w:sz w:val="21"/>
                <w:szCs w:val="20"/>
              </w:rPr>
            </w:pPr>
            <w:r>
              <w:rPr>
                <w:rFonts w:hint="eastAsia" w:hAnsi="Times New Roman" w:cs="Times New Roman"/>
                <w:sz w:val="21"/>
                <w:szCs w:val="20"/>
              </w:rPr>
              <w:t>≤60</w:t>
            </w:r>
          </w:p>
        </w:tc>
      </w:tr>
      <w:tr>
        <w:tblPrEx>
          <w:tblCellMar>
            <w:top w:w="0" w:type="dxa"/>
            <w:left w:w="10" w:type="dxa"/>
            <w:bottom w:w="0" w:type="dxa"/>
            <w:right w:w="10" w:type="dxa"/>
          </w:tblCellMar>
        </w:tblPrEx>
        <w:trPr>
          <w:trHeight w:val="396" w:hRule="atLeast"/>
          <w:jc w:val="center"/>
        </w:trPr>
        <w:tc>
          <w:tcPr>
            <w:tcW w:w="8364" w:type="dxa"/>
            <w:gridSpan w:val="3"/>
            <w:tcBorders>
              <w:top w:val="single" w:color="auto" w:sz="4" w:space="0"/>
              <w:left w:val="single" w:color="auto" w:sz="4" w:space="0"/>
              <w:bottom w:val="single" w:color="auto" w:sz="4" w:space="0"/>
              <w:right w:val="single" w:color="auto" w:sz="4" w:space="0"/>
            </w:tcBorders>
            <w:shd w:val="clear" w:color="auto" w:fill="FFFFFF"/>
          </w:tcPr>
          <w:p>
            <w:pPr>
              <w:widowControl w:val="0"/>
              <w:spacing w:line="328" w:lineRule="auto"/>
              <w:ind w:firstLine="500"/>
              <w:rPr>
                <w:rFonts w:ascii="Times New Roman" w:hAnsi="Times New Roman" w:cs="Times New Roman"/>
                <w:color w:val="000000"/>
                <w:sz w:val="20"/>
                <w:szCs w:val="20"/>
              </w:rPr>
            </w:pPr>
            <w:r>
              <w:rPr>
                <w:rFonts w:ascii="Times New Roman" w:hAnsi="Times New Roman" w:cs="Times New Roman"/>
                <w:color w:val="000000"/>
                <w:sz w:val="20"/>
                <w:szCs w:val="20"/>
                <w:vertAlign w:val="superscript"/>
              </w:rPr>
              <w:t>a</w:t>
            </w:r>
            <w:r>
              <w:rPr>
                <w:rFonts w:ascii="Times New Roman" w:hAnsi="Times New Roman" w:cs="Times New Roman"/>
                <w:color w:val="000000"/>
                <w:sz w:val="20"/>
                <w:szCs w:val="20"/>
              </w:rPr>
              <w:t>可溶性</w:t>
            </w:r>
            <w:r>
              <w:rPr>
                <w:rFonts w:hint="eastAsia" w:ascii="Times New Roman" w:hAnsi="Times New Roman" w:cs="Times New Roman"/>
                <w:color w:val="000000"/>
                <w:sz w:val="20"/>
                <w:szCs w:val="20"/>
              </w:rPr>
              <w:t>重</w:t>
            </w:r>
            <w:r>
              <w:rPr>
                <w:rFonts w:ascii="Times New Roman" w:hAnsi="Times New Roman" w:cs="Times New Roman"/>
                <w:color w:val="000000"/>
                <w:sz w:val="20"/>
                <w:szCs w:val="20"/>
              </w:rPr>
              <w:t>金属仅对色漆饰面的木塑门逬行测试。</w:t>
            </w:r>
          </w:p>
        </w:tc>
      </w:tr>
    </w:tbl>
    <w:p>
      <w:pPr>
        <w:pStyle w:val="58"/>
        <w:ind w:firstLine="420"/>
      </w:pPr>
    </w:p>
    <w:p>
      <w:pPr>
        <w:pStyle w:val="106"/>
        <w:numPr>
          <w:ilvl w:val="0"/>
          <w:numId w:val="0"/>
        </w:numPr>
        <w:spacing w:before="240" w:after="240"/>
      </w:pPr>
      <w:r>
        <w:rPr>
          <w:rFonts w:hint="eastAsia"/>
        </w:rPr>
        <w:t>6试验方法</w:t>
      </w:r>
    </w:p>
    <w:p>
      <w:pPr>
        <w:pStyle w:val="106"/>
        <w:numPr>
          <w:ilvl w:val="0"/>
          <w:numId w:val="0"/>
        </w:numPr>
        <w:spacing w:before="240" w:after="240"/>
      </w:pPr>
      <w:r>
        <w:rPr>
          <w:rFonts w:hint="eastAsia"/>
        </w:rPr>
        <w:t>6</w:t>
      </w:r>
      <w:r>
        <w:t>.1</w:t>
      </w:r>
      <w:r>
        <w:rPr>
          <w:rFonts w:hint="eastAsia"/>
        </w:rPr>
        <w:t>外观质量检验</w:t>
      </w:r>
    </w:p>
    <w:p>
      <w:pPr>
        <w:pStyle w:val="58"/>
        <w:ind w:firstLine="420"/>
      </w:pPr>
      <w:r>
        <w:rPr>
          <w:rFonts w:hint="eastAsia"/>
        </w:rPr>
        <w:t>门窗外观质量按JC/T 2221-2014条款5</w:t>
      </w:r>
      <w:r>
        <w:t>.1</w:t>
      </w:r>
      <w:r>
        <w:rPr>
          <w:rFonts w:hint="eastAsia"/>
        </w:rPr>
        <w:t>的规定进行。</w:t>
      </w:r>
    </w:p>
    <w:p>
      <w:pPr>
        <w:pStyle w:val="106"/>
        <w:numPr>
          <w:ilvl w:val="0"/>
          <w:numId w:val="0"/>
        </w:numPr>
        <w:spacing w:before="240" w:after="240"/>
      </w:pPr>
      <w:r>
        <w:rPr>
          <w:rFonts w:hint="eastAsia"/>
        </w:rPr>
        <w:t>6</w:t>
      </w:r>
      <w:r>
        <w:t xml:space="preserve">.2 </w:t>
      </w:r>
      <w:r>
        <w:rPr>
          <w:rFonts w:hint="eastAsia"/>
        </w:rPr>
        <w:t>尺寸偏差</w:t>
      </w:r>
    </w:p>
    <w:p>
      <w:pPr>
        <w:pStyle w:val="58"/>
        <w:ind w:firstLine="420"/>
      </w:pPr>
      <w:r>
        <w:t xml:space="preserve">测量方法应符合 GB/T 12003的规定。 </w:t>
      </w:r>
    </w:p>
    <w:p>
      <w:pPr>
        <w:pStyle w:val="106"/>
        <w:numPr>
          <w:ilvl w:val="0"/>
          <w:numId w:val="0"/>
        </w:numPr>
        <w:spacing w:before="240" w:after="240"/>
      </w:pPr>
      <w:r>
        <w:rPr>
          <w:rFonts w:hint="eastAsia"/>
        </w:rPr>
        <w:t>6</w:t>
      </w:r>
      <w:r>
        <w:t>.3</w:t>
      </w:r>
      <w:r>
        <w:rPr>
          <w:rFonts w:hint="eastAsia"/>
        </w:rPr>
        <w:t xml:space="preserve"> 装配质量</w:t>
      </w:r>
    </w:p>
    <w:p>
      <w:pPr>
        <w:pStyle w:val="58"/>
        <w:ind w:firstLine="0" w:firstLineChars="0"/>
      </w:pPr>
      <w:r>
        <w:t xml:space="preserve">6.3.1 门窗框、门窗扇相邻构件装配间隙用精度为0.1mm 的塞尺测量;相邻两构件连接处同一平面高 低差用精度为0.02mm 深度尺进行测量。 </w:t>
      </w:r>
    </w:p>
    <w:p>
      <w:pPr>
        <w:pStyle w:val="58"/>
        <w:ind w:firstLine="0" w:firstLineChars="0"/>
      </w:pPr>
      <w:r>
        <w:t>6.3.2 门窗框、门窗扇配合间隙用精度不低于0.1mm 的塞尺和游标卡尺检测。</w:t>
      </w:r>
    </w:p>
    <w:p>
      <w:pPr>
        <w:pStyle w:val="58"/>
        <w:ind w:firstLine="0" w:firstLineChars="0"/>
      </w:pPr>
      <w:r>
        <w:t xml:space="preserve">6.3.3 门、窗框与扇四周搭接量,应采用精度为0.02mm 的量具,在门、窗扇宽度和高度的中点进行检测。 五金配件安装采用目测检查,并用金属直尺测量。 </w:t>
      </w:r>
    </w:p>
    <w:p>
      <w:pPr>
        <w:pStyle w:val="58"/>
        <w:ind w:firstLine="0" w:firstLineChars="0"/>
      </w:pPr>
      <w:r>
        <w:t xml:space="preserve">6.3.4 五金配件安装采用目测检查,并用金属直尺测量。 </w:t>
      </w:r>
    </w:p>
    <w:p>
      <w:pPr>
        <w:pStyle w:val="58"/>
        <w:ind w:firstLine="0" w:firstLineChars="0"/>
      </w:pPr>
      <w:r>
        <w:t>6.3.5 框组角、扇组角连接处采用目测检查。</w:t>
      </w:r>
    </w:p>
    <w:p>
      <w:pPr>
        <w:pStyle w:val="58"/>
        <w:ind w:firstLine="0" w:firstLineChars="0"/>
      </w:pPr>
      <w:r>
        <w:t>6.3.6 密封条、毛条装配应采用目测检查。</w:t>
      </w:r>
    </w:p>
    <w:p>
      <w:pPr>
        <w:pStyle w:val="58"/>
        <w:ind w:firstLine="0" w:firstLineChars="0"/>
      </w:pPr>
      <w:r>
        <w:t xml:space="preserve">6.3.7 目测检查压条装配是否牢固,用精度0.1mm 塞尺测量压条对接处的间隙。 </w:t>
      </w:r>
    </w:p>
    <w:p>
      <w:pPr>
        <w:pStyle w:val="58"/>
        <w:ind w:firstLine="0" w:firstLineChars="0"/>
      </w:pPr>
      <w:r>
        <w:t xml:space="preserve">6.3.8 玻璃装配质量采用目测和手试方法进行检查。 </w:t>
      </w:r>
    </w:p>
    <w:p>
      <w:pPr>
        <w:pStyle w:val="106"/>
        <w:numPr>
          <w:ilvl w:val="0"/>
          <w:numId w:val="0"/>
        </w:numPr>
        <w:spacing w:before="240" w:after="240"/>
      </w:pPr>
      <w:r>
        <w:rPr>
          <w:rFonts w:hint="eastAsia"/>
        </w:rPr>
        <w:t>6</w:t>
      </w:r>
      <w:r>
        <w:t xml:space="preserve">.4 </w:t>
      </w:r>
      <w:r>
        <w:rPr>
          <w:rFonts w:hint="eastAsia"/>
        </w:rPr>
        <w:t>物理性能</w:t>
      </w:r>
    </w:p>
    <w:p>
      <w:pPr>
        <w:pStyle w:val="58"/>
        <w:ind w:firstLine="420"/>
      </w:pPr>
      <w:r>
        <w:rPr>
          <w:rFonts w:hint="eastAsia"/>
        </w:rPr>
        <w:t>门窗物理性能测试按JC/T 2221-2014条款5</w:t>
      </w:r>
      <w:r>
        <w:t>.3</w:t>
      </w:r>
      <w:r>
        <w:rPr>
          <w:rFonts w:hint="eastAsia"/>
        </w:rPr>
        <w:t>的规定进行。</w:t>
      </w:r>
    </w:p>
    <w:p>
      <w:pPr>
        <w:pStyle w:val="106"/>
        <w:numPr>
          <w:ilvl w:val="0"/>
          <w:numId w:val="0"/>
        </w:numPr>
        <w:spacing w:before="240" w:after="240"/>
      </w:pPr>
      <w:r>
        <w:t>6.5</w:t>
      </w:r>
      <w:r>
        <w:rPr>
          <w:rFonts w:hint="eastAsia"/>
        </w:rPr>
        <w:t>抗菌性能</w:t>
      </w:r>
    </w:p>
    <w:p>
      <w:pPr>
        <w:pStyle w:val="58"/>
        <w:ind w:firstLine="420"/>
      </w:pPr>
      <w:r>
        <w:t>抗菌木塑门</w:t>
      </w:r>
      <w:r>
        <w:rPr>
          <w:rFonts w:hint="eastAsia"/>
        </w:rPr>
        <w:t>抗菌性能按GB</w:t>
      </w:r>
      <w:r>
        <w:t xml:space="preserve">/T </w:t>
      </w:r>
      <w:r>
        <w:rPr>
          <w:rFonts w:hint="eastAsia"/>
        </w:rPr>
        <w:t>21</w:t>
      </w:r>
      <w:r>
        <w:t>866</w:t>
      </w:r>
      <w:r>
        <w:rPr>
          <w:rFonts w:hint="eastAsia"/>
        </w:rPr>
        <w:t>—2</w:t>
      </w:r>
      <w:r>
        <w:t>008</w:t>
      </w:r>
      <w:r>
        <w:rPr>
          <w:rFonts w:hint="eastAsia"/>
        </w:rPr>
        <w:t>的规定进行。</w:t>
      </w:r>
    </w:p>
    <w:p>
      <w:pPr>
        <w:pStyle w:val="106"/>
        <w:numPr>
          <w:ilvl w:val="0"/>
          <w:numId w:val="0"/>
        </w:numPr>
        <w:spacing w:before="240" w:after="240"/>
      </w:pPr>
      <w:r>
        <w:rPr>
          <w:rFonts w:hint="eastAsia"/>
        </w:rPr>
        <w:t>6</w:t>
      </w:r>
      <w:r>
        <w:t xml:space="preserve">.6 </w:t>
      </w:r>
      <w:r>
        <w:rPr>
          <w:rFonts w:hint="eastAsia"/>
        </w:rPr>
        <w:t>防霉性能</w:t>
      </w:r>
    </w:p>
    <w:p>
      <w:pPr>
        <w:pStyle w:val="58"/>
        <w:ind w:firstLine="0" w:firstLineChars="0"/>
      </w:pPr>
      <w:r>
        <w:rPr>
          <w:rFonts w:hint="eastAsia"/>
        </w:rPr>
        <w:t xml:space="preserve"> </w:t>
      </w:r>
      <w:r>
        <w:t xml:space="preserve">   </w:t>
      </w:r>
      <w:r>
        <w:rPr>
          <w:rFonts w:hint="eastAsia"/>
        </w:rPr>
        <w:t>门窗防霉性能按</w:t>
      </w:r>
      <w:r>
        <w:t>GB/T 35469-2017</w:t>
      </w:r>
      <w:r>
        <w:rPr>
          <w:rFonts w:hint="eastAsia"/>
        </w:rPr>
        <w:t>的规定进行。</w:t>
      </w:r>
    </w:p>
    <w:p>
      <w:pPr>
        <w:pStyle w:val="106"/>
        <w:numPr>
          <w:ilvl w:val="0"/>
          <w:numId w:val="0"/>
        </w:numPr>
        <w:spacing w:before="240" w:after="240"/>
      </w:pPr>
      <w:r>
        <w:rPr>
          <w:rFonts w:hint="eastAsia"/>
        </w:rPr>
        <w:t>6</w:t>
      </w:r>
      <w:r>
        <w:t xml:space="preserve">.7 </w:t>
      </w:r>
      <w:r>
        <w:rPr>
          <w:rFonts w:hint="eastAsia" w:hAnsi="黑体"/>
          <w:sz w:val="20"/>
        </w:rPr>
        <w:t>有害物质</w:t>
      </w:r>
      <w:r>
        <w:rPr>
          <w:rFonts w:hint="eastAsia"/>
        </w:rPr>
        <w:t>检验方法</w:t>
      </w:r>
    </w:p>
    <w:p>
      <w:pPr>
        <w:pStyle w:val="58"/>
        <w:ind w:firstLine="0" w:firstLineChars="0"/>
      </w:pPr>
      <w:r>
        <w:rPr>
          <w:rFonts w:hint="eastAsia"/>
        </w:rPr>
        <w:t>6</w:t>
      </w:r>
      <w:r>
        <w:t xml:space="preserve">.7.1 </w:t>
      </w:r>
      <w:r>
        <w:rPr>
          <w:rFonts w:hint="eastAsia"/>
        </w:rPr>
        <w:t>甲醛释放量</w:t>
      </w:r>
    </w:p>
    <w:p>
      <w:pPr>
        <w:pStyle w:val="58"/>
        <w:ind w:firstLine="420"/>
      </w:pPr>
      <w:r>
        <w:rPr>
          <w:rFonts w:hint="eastAsia"/>
        </w:rPr>
        <w:t>按</w:t>
      </w:r>
      <w:r>
        <w:t>GB 18580</w:t>
      </w:r>
      <w:r>
        <w:rPr>
          <w:rFonts w:hint="eastAsia"/>
        </w:rPr>
        <w:t>-</w:t>
      </w:r>
      <w:r>
        <w:t>2017的规定进行，用</w:t>
      </w:r>
      <w:r>
        <w:rPr>
          <w:rFonts w:hint="eastAsia"/>
        </w:rPr>
        <w:t>用</w:t>
      </w:r>
      <w:r>
        <w:rPr>
          <w:rFonts w:ascii="Times New Roman"/>
        </w:rPr>
        <w:t>1m</w:t>
      </w:r>
      <w:r>
        <w:rPr>
          <w:rFonts w:ascii="Times New Roman"/>
          <w:vertAlign w:val="superscript"/>
        </w:rPr>
        <w:t>3</w:t>
      </w:r>
      <w:r>
        <w:t>气候箱法测定</w:t>
      </w:r>
      <w:r>
        <w:rPr>
          <w:rFonts w:hint="eastAsia"/>
        </w:rPr>
        <w:t>。</w:t>
      </w:r>
    </w:p>
    <w:p>
      <w:pPr>
        <w:pStyle w:val="58"/>
        <w:ind w:firstLine="0" w:firstLineChars="0"/>
      </w:pPr>
      <w:r>
        <w:rPr>
          <w:rFonts w:hint="eastAsia"/>
        </w:rPr>
        <w:t>6</w:t>
      </w:r>
      <w:r>
        <w:t xml:space="preserve">.7.2 </w:t>
      </w:r>
      <w:r>
        <w:rPr>
          <w:rFonts w:hint="eastAsia"/>
        </w:rPr>
        <w:t>可溶性重金属</w:t>
      </w:r>
    </w:p>
    <w:p>
      <w:pPr>
        <w:pStyle w:val="58"/>
        <w:ind w:firstLine="0" w:firstLineChars="0"/>
      </w:pPr>
      <w:r>
        <w:rPr>
          <w:rFonts w:hint="eastAsia"/>
        </w:rPr>
        <w:t xml:space="preserve"> </w:t>
      </w:r>
      <w:r>
        <w:t xml:space="preserve">   </w:t>
      </w:r>
      <w:r>
        <w:rPr>
          <w:rFonts w:hint="eastAsia"/>
        </w:rPr>
        <w:t>按</w:t>
      </w:r>
      <w:r>
        <w:t>GB 18584的规定进行</w:t>
      </w:r>
      <w:r>
        <w:rPr>
          <w:rFonts w:hint="eastAsia"/>
        </w:rPr>
        <w:t>。</w:t>
      </w:r>
    </w:p>
    <w:p>
      <w:pPr>
        <w:spacing w:before="100" w:beforeAutospacing="1" w:after="100" w:afterAutospacing="1"/>
        <w:rPr>
          <w:rFonts w:ascii="黑体" w:hAnsi="黑体" w:eastAsia="黑体"/>
          <w:sz w:val="20"/>
          <w:szCs w:val="20"/>
        </w:rPr>
      </w:pPr>
      <w:r>
        <w:rPr>
          <w:rFonts w:hint="eastAsia" w:ascii="黑体" w:hAnsi="黑体" w:eastAsia="黑体"/>
          <w:sz w:val="20"/>
          <w:szCs w:val="20"/>
        </w:rPr>
        <w:t>7</w:t>
      </w:r>
      <w:r>
        <w:rPr>
          <w:rFonts w:ascii="黑体" w:hAnsi="黑体" w:eastAsia="黑体"/>
          <w:sz w:val="20"/>
          <w:szCs w:val="20"/>
        </w:rPr>
        <w:t>.</w:t>
      </w:r>
      <w:r>
        <w:rPr>
          <w:rFonts w:hint="eastAsia" w:ascii="黑体" w:hAnsi="黑体" w:eastAsia="黑体"/>
          <w:sz w:val="20"/>
          <w:szCs w:val="20"/>
        </w:rPr>
        <w:t>检验规则</w:t>
      </w:r>
    </w:p>
    <w:p>
      <w:pPr>
        <w:pStyle w:val="106"/>
        <w:numPr>
          <w:ilvl w:val="0"/>
          <w:numId w:val="0"/>
        </w:numPr>
        <w:spacing w:before="240" w:after="240"/>
      </w:pPr>
      <w:r>
        <w:rPr>
          <w:rFonts w:hint="eastAsia" w:hAnsi="黑体"/>
          <w:sz w:val="20"/>
        </w:rPr>
        <w:t xml:space="preserve">7.1 检验分类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rFonts w:hint="eastAsia"/>
          <w:sz w:val="20"/>
          <w:szCs w:val="20"/>
        </w:rPr>
        <w:t xml:space="preserve">    检验分为出厂检验和型式检验。</w:t>
      </w:r>
    </w:p>
    <w:p>
      <w:pPr>
        <w:pStyle w:val="106"/>
        <w:numPr>
          <w:ilvl w:val="0"/>
          <w:numId w:val="0"/>
        </w:numPr>
        <w:spacing w:before="240" w:after="240"/>
        <w:rPr>
          <w:rFonts w:hAnsi="黑体"/>
          <w:sz w:val="20"/>
        </w:rPr>
      </w:pPr>
      <w:r>
        <w:rPr>
          <w:rFonts w:hint="eastAsia" w:hAnsi="黑体"/>
          <w:sz w:val="20"/>
        </w:rPr>
        <w:t xml:space="preserve">7.2 出厂检验 </w:t>
      </w:r>
    </w:p>
    <w:p>
      <w:pPr>
        <w:pStyle w:val="58"/>
        <w:ind w:firstLine="420"/>
      </w:pPr>
      <w:r>
        <w:rPr>
          <w:rFonts w:hint="eastAsia"/>
        </w:rPr>
        <w:t>出厂检验项目为外观、尺寸偏差及装配质量。</w:t>
      </w:r>
    </w:p>
    <w:p>
      <w:pPr>
        <w:pStyle w:val="106"/>
        <w:numPr>
          <w:ilvl w:val="0"/>
          <w:numId w:val="0"/>
        </w:numPr>
        <w:spacing w:before="240" w:after="240"/>
      </w:pPr>
      <w:r>
        <w:rPr>
          <w:rFonts w:hint="eastAsia" w:hAnsi="黑体"/>
          <w:sz w:val="20"/>
        </w:rPr>
        <w:t xml:space="preserve">7.3 型式检验 </w:t>
      </w:r>
    </w:p>
    <w:p>
      <w:pPr>
        <w:spacing w:before="100" w:beforeAutospacing="1" w:after="100" w:afterAutospacing="1"/>
        <w:ind w:firstLine="400" w:firstLineChars="200"/>
        <w:rPr>
          <w:sz w:val="20"/>
          <w:szCs w:val="20"/>
        </w:rPr>
      </w:pPr>
      <w:r>
        <w:rPr>
          <w:rFonts w:hint="eastAsia"/>
          <w:sz w:val="20"/>
          <w:szCs w:val="20"/>
        </w:rPr>
        <w:t xml:space="preserve">本标准规定的所有要求为型式检验项目。一般情况下有下列情况之一时需进行型式检验: </w:t>
      </w:r>
    </w:p>
    <w:p>
      <w:pPr>
        <w:spacing w:before="100" w:beforeAutospacing="1" w:after="100" w:afterAutospacing="1"/>
        <w:ind w:firstLine="400" w:firstLineChars="200"/>
        <w:rPr>
          <w:sz w:val="20"/>
          <w:szCs w:val="20"/>
        </w:rPr>
      </w:pPr>
      <w:r>
        <w:rPr>
          <w:rFonts w:ascii="Times New Roman" w:hAnsi="Times New Roman" w:cs="Times New Roman"/>
          <w:sz w:val="20"/>
          <w:szCs w:val="20"/>
        </w:rPr>
        <w:t>a</w:t>
      </w:r>
      <w:r>
        <w:rPr>
          <w:rFonts w:hint="eastAsia"/>
          <w:sz w:val="20"/>
          <w:szCs w:val="20"/>
        </w:rPr>
        <w:t>)</w:t>
      </w:r>
      <w:r>
        <w:rPr>
          <w:sz w:val="20"/>
          <w:szCs w:val="20"/>
        </w:rPr>
        <w:t>新产品或老产品转厂生产的试制定型鉴定;</w:t>
      </w:r>
    </w:p>
    <w:p>
      <w:pPr>
        <w:spacing w:before="100" w:beforeAutospacing="1" w:after="100" w:afterAutospacing="1"/>
        <w:ind w:firstLine="400" w:firstLineChars="200"/>
        <w:rPr>
          <w:rFonts w:hint="eastAsia" w:ascii="FZSSK--GBK1-0" w:hAnsi="FZSSK--GBK1-0"/>
          <w:color w:val="000000"/>
          <w:sz w:val="19"/>
          <w:szCs w:val="19"/>
        </w:rPr>
      </w:pPr>
      <w:r>
        <w:rPr>
          <w:rFonts w:ascii="Times New Roman" w:hAnsi="Times New Roman" w:cs="Times New Roman"/>
          <w:sz w:val="20"/>
          <w:szCs w:val="20"/>
        </w:rPr>
        <w:t>b</w:t>
      </w:r>
      <w:r>
        <w:rPr>
          <w:rFonts w:hint="eastAsia"/>
          <w:sz w:val="20"/>
          <w:szCs w:val="20"/>
        </w:rPr>
        <w:t>)</w:t>
      </w:r>
      <w:r>
        <w:rPr>
          <w:rFonts w:ascii="FZSSK--GBK1-0" w:hAnsi="FZSSK--GBK1-0"/>
          <w:color w:val="000000"/>
          <w:sz w:val="19"/>
          <w:szCs w:val="19"/>
        </w:rPr>
        <w:t>正式生产后</w:t>
      </w:r>
      <w:r>
        <w:rPr>
          <w:rFonts w:ascii="E-BZ" w:hAnsi="E-BZ"/>
          <w:color w:val="000000"/>
          <w:sz w:val="19"/>
          <w:szCs w:val="19"/>
        </w:rPr>
        <w:t>,</w:t>
      </w:r>
      <w:r>
        <w:rPr>
          <w:rFonts w:ascii="FZSSK--GBK1-0" w:hAnsi="FZSSK--GBK1-0"/>
          <w:color w:val="000000"/>
          <w:sz w:val="19"/>
          <w:szCs w:val="19"/>
        </w:rPr>
        <w:t>当结构</w:t>
      </w:r>
      <w:r>
        <w:rPr>
          <w:rFonts w:ascii="E-BZ" w:hAnsi="E-BZ"/>
          <w:color w:val="000000"/>
          <w:sz w:val="19"/>
          <w:szCs w:val="19"/>
        </w:rPr>
        <w:t>、</w:t>
      </w:r>
      <w:r>
        <w:rPr>
          <w:rFonts w:ascii="FZSSK--GBK1-0" w:hAnsi="FZSSK--GBK1-0"/>
          <w:color w:val="000000"/>
          <w:sz w:val="19"/>
          <w:szCs w:val="19"/>
        </w:rPr>
        <w:t>材料</w:t>
      </w:r>
      <w:r>
        <w:rPr>
          <w:rFonts w:ascii="E-BZ" w:hAnsi="E-BZ"/>
          <w:color w:val="000000"/>
          <w:sz w:val="19"/>
          <w:szCs w:val="19"/>
        </w:rPr>
        <w:t>、</w:t>
      </w:r>
      <w:r>
        <w:rPr>
          <w:rFonts w:ascii="FZSSK--GBK1-0" w:hAnsi="FZSSK--GBK1-0"/>
          <w:color w:val="000000"/>
          <w:sz w:val="19"/>
          <w:szCs w:val="19"/>
        </w:rPr>
        <w:t>工艺有较大改变而可能影响产品性能时</w:t>
      </w:r>
      <w:r>
        <w:rPr>
          <w:rFonts w:hint="eastAsia" w:ascii="FZSSK--GBK1-0" w:hAnsi="FZSSK--GBK1-0"/>
          <w:color w:val="000000"/>
          <w:sz w:val="19"/>
          <w:szCs w:val="19"/>
        </w:rPr>
        <w:t>；</w:t>
      </w:r>
    </w:p>
    <w:p>
      <w:pPr>
        <w:spacing w:before="100" w:beforeAutospacing="1" w:after="100" w:afterAutospacing="1"/>
        <w:ind w:firstLine="400" w:firstLineChars="200"/>
        <w:rPr>
          <w:sz w:val="20"/>
          <w:szCs w:val="20"/>
        </w:rPr>
      </w:pPr>
      <w:r>
        <w:rPr>
          <w:sz w:val="20"/>
          <w:szCs w:val="20"/>
        </w:rPr>
        <w:t>c) 正常生产时,每两年检测一次</w:t>
      </w:r>
      <w:r>
        <w:rPr>
          <w:rFonts w:hint="eastAsia"/>
          <w:sz w:val="20"/>
          <w:szCs w:val="20"/>
        </w:rPr>
        <w:t>；</w:t>
      </w:r>
    </w:p>
    <w:p>
      <w:pPr>
        <w:spacing w:before="100" w:beforeAutospacing="1" w:after="100" w:afterAutospacing="1"/>
        <w:ind w:firstLine="400" w:firstLineChars="200"/>
        <w:rPr>
          <w:sz w:val="20"/>
          <w:szCs w:val="20"/>
        </w:rPr>
      </w:pPr>
      <w:r>
        <w:rPr>
          <w:sz w:val="20"/>
          <w:szCs w:val="20"/>
        </w:rPr>
        <w:t>d) 产品长期停产后,恢复生产时</w:t>
      </w:r>
      <w:r>
        <w:rPr>
          <w:rFonts w:hint="eastAsia"/>
          <w:sz w:val="20"/>
          <w:szCs w:val="20"/>
        </w:rPr>
        <w:t>；</w:t>
      </w:r>
    </w:p>
    <w:p>
      <w:pPr>
        <w:spacing w:before="100" w:beforeAutospacing="1" w:after="100" w:afterAutospacing="1"/>
        <w:ind w:firstLine="400" w:firstLineChars="200"/>
        <w:rPr>
          <w:sz w:val="20"/>
          <w:szCs w:val="20"/>
        </w:rPr>
      </w:pPr>
      <w:r>
        <w:rPr>
          <w:sz w:val="20"/>
          <w:szCs w:val="20"/>
        </w:rPr>
        <w:t>e) 出厂检验结果与上次型式检验有较大差异时。</w:t>
      </w:r>
    </w:p>
    <w:p>
      <w:pPr>
        <w:pStyle w:val="106"/>
        <w:numPr>
          <w:ilvl w:val="0"/>
          <w:numId w:val="0"/>
        </w:numPr>
        <w:spacing w:before="240" w:after="240"/>
      </w:pPr>
      <w:r>
        <w:rPr>
          <w:rFonts w:hint="eastAsia" w:hAnsi="黑体"/>
          <w:sz w:val="20"/>
        </w:rPr>
        <w:t xml:space="preserve">7.4 抽样方案及判定规则 </w:t>
      </w:r>
    </w:p>
    <w:p>
      <w:pPr>
        <w:pStyle w:val="67"/>
        <w:numPr>
          <w:ilvl w:val="3"/>
          <w:numId w:val="0"/>
        </w:numPr>
        <w:spacing w:before="120" w:after="120"/>
      </w:pPr>
      <w:r>
        <w:rPr>
          <w:rFonts w:hint="eastAsia" w:hAnsi="黑体"/>
          <w:sz w:val="20"/>
        </w:rPr>
        <w:t>7.4.1</w:t>
      </w:r>
      <w:r>
        <w:rPr>
          <w:rFonts w:hint="eastAsia" w:ascii="宋体" w:hAnsi="宋体" w:eastAsia="宋体" w:cs="宋体"/>
          <w:sz w:val="20"/>
        </w:rPr>
        <w:t>外观、尺寸偏差及装配质量采用</w:t>
      </w:r>
      <w:bookmarkStart w:id="43" w:name="_Hlk105699473"/>
      <w:r>
        <w:rPr>
          <w:rFonts w:hint="eastAsia" w:ascii="宋体" w:hAnsi="宋体" w:eastAsia="宋体" w:cs="宋体"/>
          <w:sz w:val="20"/>
        </w:rPr>
        <w:t>GB/T 2828.1-2012</w:t>
      </w:r>
      <w:bookmarkEnd w:id="43"/>
      <w:r>
        <w:rPr>
          <w:rFonts w:hint="eastAsia" w:ascii="宋体" w:hAnsi="宋体" w:eastAsia="宋体" w:cs="宋体"/>
          <w:sz w:val="20"/>
        </w:rPr>
        <w:t>规定的一般检查水平Ⅱ，接收质量限AQL=6.5正常检验二次抽样方案，并按表2判定该批产品是否合格。</w:t>
      </w:r>
    </w:p>
    <w:p>
      <w:pPr>
        <w:pStyle w:val="114"/>
        <w:spacing w:before="120" w:after="120"/>
      </w:pPr>
      <w:r>
        <w:rPr>
          <w:rFonts w:hint="eastAsia"/>
        </w:rPr>
        <w:t>抽样方案</w:t>
      </w:r>
    </w:p>
    <w:tbl>
      <w:tblPr>
        <w:tblStyle w:val="28"/>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46"/>
        <w:gridCol w:w="1390"/>
        <w:gridCol w:w="1390"/>
        <w:gridCol w:w="1406"/>
        <w:gridCol w:w="1396"/>
        <w:gridCol w:w="139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546" w:type="dxa"/>
            <w:vMerge w:val="restart"/>
            <w:tcBorders>
              <w:top w:val="single" w:color="000000" w:sz="12" w:space="0"/>
              <w:bottom w:val="single" w:color="000000" w:sz="4" w:space="0"/>
            </w:tcBorders>
            <w:vAlign w:val="center"/>
          </w:tcPr>
          <w:p>
            <w:pPr>
              <w:pStyle w:val="233"/>
              <w:ind w:firstLine="0" w:firstLineChars="0"/>
              <w:jc w:val="center"/>
              <w:rPr>
                <w:rFonts w:hAnsi="宋体" w:cs="宋体"/>
                <w:sz w:val="18"/>
                <w:szCs w:val="18"/>
              </w:rPr>
            </w:pPr>
            <w:r>
              <w:rPr>
                <w:rFonts w:hint="eastAsia" w:hAnsi="宋体" w:cs="宋体"/>
                <w:sz w:val="18"/>
                <w:szCs w:val="18"/>
              </w:rPr>
              <w:t>批量/个</w:t>
            </w:r>
          </w:p>
        </w:tc>
        <w:tc>
          <w:tcPr>
            <w:tcW w:w="1390" w:type="dxa"/>
            <w:vMerge w:val="restart"/>
            <w:tcBorders>
              <w:top w:val="single" w:color="000000" w:sz="12" w:space="0"/>
              <w:bottom w:val="single" w:color="000000" w:sz="4" w:space="0"/>
            </w:tcBorders>
            <w:vAlign w:val="center"/>
          </w:tcPr>
          <w:p>
            <w:pPr>
              <w:pStyle w:val="233"/>
              <w:ind w:firstLine="0" w:firstLineChars="0"/>
              <w:jc w:val="center"/>
              <w:rPr>
                <w:rFonts w:hAnsi="宋体" w:cs="宋体"/>
                <w:sz w:val="18"/>
                <w:szCs w:val="18"/>
              </w:rPr>
            </w:pPr>
            <w:r>
              <w:rPr>
                <w:rFonts w:hint="eastAsia" w:hAnsi="宋体" w:cs="宋体"/>
                <w:sz w:val="18"/>
                <w:szCs w:val="18"/>
              </w:rPr>
              <w:t>样本</w:t>
            </w:r>
          </w:p>
        </w:tc>
        <w:tc>
          <w:tcPr>
            <w:tcW w:w="1390" w:type="dxa"/>
            <w:vMerge w:val="restart"/>
            <w:tcBorders>
              <w:top w:val="single" w:color="000000" w:sz="12" w:space="0"/>
              <w:bottom w:val="single" w:color="000000" w:sz="4" w:space="0"/>
            </w:tcBorders>
            <w:vAlign w:val="center"/>
          </w:tcPr>
          <w:p>
            <w:pPr>
              <w:pStyle w:val="233"/>
              <w:ind w:firstLine="0" w:firstLineChars="0"/>
              <w:jc w:val="center"/>
              <w:rPr>
                <w:rFonts w:hAnsi="宋体" w:cs="宋体"/>
                <w:sz w:val="18"/>
                <w:szCs w:val="18"/>
              </w:rPr>
            </w:pPr>
            <w:r>
              <w:rPr>
                <w:rFonts w:hint="eastAsia" w:hAnsi="宋体" w:cs="宋体"/>
                <w:sz w:val="18"/>
                <w:szCs w:val="18"/>
              </w:rPr>
              <w:t>样本大小</w:t>
            </w:r>
          </w:p>
          <w:p>
            <w:pPr>
              <w:pStyle w:val="233"/>
              <w:ind w:firstLine="0" w:firstLineChars="0"/>
              <w:jc w:val="center"/>
              <w:rPr>
                <w:rFonts w:hAnsi="宋体" w:cs="宋体"/>
                <w:sz w:val="18"/>
                <w:szCs w:val="18"/>
              </w:rPr>
            </w:pPr>
            <w:r>
              <w:rPr>
                <w:rFonts w:hint="eastAsia" w:hAnsi="宋体" w:cs="宋体"/>
                <w:sz w:val="18"/>
                <w:szCs w:val="18"/>
              </w:rPr>
              <w:t>n</w:t>
            </w:r>
          </w:p>
        </w:tc>
        <w:tc>
          <w:tcPr>
            <w:tcW w:w="1406" w:type="dxa"/>
            <w:vMerge w:val="restart"/>
            <w:tcBorders>
              <w:top w:val="single" w:color="000000" w:sz="12" w:space="0"/>
              <w:bottom w:val="single" w:color="000000" w:sz="4" w:space="0"/>
            </w:tcBorders>
            <w:vAlign w:val="center"/>
          </w:tcPr>
          <w:p>
            <w:pPr>
              <w:pStyle w:val="233"/>
              <w:ind w:firstLine="0" w:firstLineChars="0"/>
              <w:jc w:val="center"/>
              <w:rPr>
                <w:rFonts w:hAnsi="宋体" w:cs="宋体"/>
                <w:sz w:val="18"/>
                <w:szCs w:val="18"/>
              </w:rPr>
            </w:pPr>
            <w:r>
              <w:rPr>
                <w:rFonts w:hint="eastAsia" w:hAnsi="宋体" w:cs="宋体"/>
                <w:sz w:val="18"/>
                <w:szCs w:val="18"/>
              </w:rPr>
              <w:t>累计样本大小</w:t>
            </w:r>
          </w:p>
        </w:tc>
        <w:tc>
          <w:tcPr>
            <w:tcW w:w="2790" w:type="dxa"/>
            <w:gridSpan w:val="2"/>
            <w:tcBorders>
              <w:top w:val="single" w:color="000000" w:sz="12" w:space="0"/>
              <w:bottom w:val="single" w:color="000000" w:sz="4" w:space="0"/>
            </w:tcBorders>
            <w:vAlign w:val="center"/>
          </w:tcPr>
          <w:p>
            <w:pPr>
              <w:pStyle w:val="233"/>
              <w:ind w:firstLine="0" w:firstLineChars="0"/>
              <w:jc w:val="center"/>
              <w:rPr>
                <w:rFonts w:hAnsi="宋体" w:cs="宋体"/>
                <w:sz w:val="18"/>
                <w:szCs w:val="18"/>
              </w:rPr>
            </w:pPr>
            <w:r>
              <w:rPr>
                <w:rFonts w:hint="eastAsia" w:hAnsi="宋体" w:cs="宋体"/>
                <w:sz w:val="18"/>
                <w:szCs w:val="18"/>
              </w:rPr>
              <w:t>AQL=6.5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546" w:type="dxa"/>
            <w:vMerge w:val="continue"/>
            <w:tcBorders>
              <w:top w:val="single" w:color="000000" w:sz="4" w:space="0"/>
              <w:bottom w:val="single" w:color="000000" w:sz="12" w:space="0"/>
            </w:tcBorders>
            <w:vAlign w:val="center"/>
          </w:tcPr>
          <w:p>
            <w:pPr>
              <w:pStyle w:val="233"/>
              <w:ind w:firstLine="0" w:firstLineChars="0"/>
              <w:jc w:val="center"/>
              <w:rPr>
                <w:rFonts w:hAnsi="宋体" w:cs="宋体"/>
                <w:sz w:val="18"/>
                <w:szCs w:val="18"/>
              </w:rPr>
            </w:pPr>
          </w:p>
        </w:tc>
        <w:tc>
          <w:tcPr>
            <w:tcW w:w="1390" w:type="dxa"/>
            <w:vMerge w:val="continue"/>
            <w:tcBorders>
              <w:top w:val="single" w:color="000000" w:sz="4" w:space="0"/>
              <w:bottom w:val="single" w:color="000000" w:sz="12" w:space="0"/>
            </w:tcBorders>
            <w:vAlign w:val="center"/>
          </w:tcPr>
          <w:p>
            <w:pPr>
              <w:pStyle w:val="233"/>
              <w:ind w:firstLine="0" w:firstLineChars="0"/>
              <w:jc w:val="center"/>
              <w:rPr>
                <w:rFonts w:hAnsi="宋体" w:cs="宋体"/>
                <w:sz w:val="18"/>
                <w:szCs w:val="18"/>
              </w:rPr>
            </w:pPr>
          </w:p>
        </w:tc>
        <w:tc>
          <w:tcPr>
            <w:tcW w:w="1390" w:type="dxa"/>
            <w:vMerge w:val="continue"/>
            <w:tcBorders>
              <w:top w:val="single" w:color="000000" w:sz="4" w:space="0"/>
              <w:bottom w:val="single" w:color="000000" w:sz="12" w:space="0"/>
            </w:tcBorders>
            <w:vAlign w:val="center"/>
          </w:tcPr>
          <w:p>
            <w:pPr>
              <w:pStyle w:val="233"/>
              <w:ind w:firstLine="0" w:firstLineChars="0"/>
              <w:jc w:val="center"/>
              <w:rPr>
                <w:rFonts w:hAnsi="宋体" w:cs="宋体"/>
                <w:sz w:val="18"/>
                <w:szCs w:val="18"/>
              </w:rPr>
            </w:pPr>
          </w:p>
        </w:tc>
        <w:tc>
          <w:tcPr>
            <w:tcW w:w="1406" w:type="dxa"/>
            <w:vMerge w:val="continue"/>
            <w:tcBorders>
              <w:top w:val="single" w:color="000000" w:sz="4" w:space="0"/>
              <w:bottom w:val="single" w:color="000000" w:sz="12" w:space="0"/>
            </w:tcBorders>
            <w:vAlign w:val="center"/>
          </w:tcPr>
          <w:p>
            <w:pPr>
              <w:pStyle w:val="233"/>
              <w:ind w:firstLine="0" w:firstLineChars="0"/>
              <w:jc w:val="center"/>
              <w:rPr>
                <w:rFonts w:hAnsi="宋体" w:cs="宋体"/>
                <w:sz w:val="18"/>
                <w:szCs w:val="18"/>
              </w:rPr>
            </w:pPr>
          </w:p>
        </w:tc>
        <w:tc>
          <w:tcPr>
            <w:tcW w:w="1396" w:type="dxa"/>
            <w:tcBorders>
              <w:top w:val="single" w:color="000000" w:sz="4" w:space="0"/>
              <w:bottom w:val="single" w:color="000000" w:sz="12" w:space="0"/>
            </w:tcBorders>
            <w:vAlign w:val="center"/>
          </w:tcPr>
          <w:p>
            <w:pPr>
              <w:pStyle w:val="233"/>
              <w:ind w:firstLine="0" w:firstLineChars="0"/>
              <w:jc w:val="center"/>
              <w:rPr>
                <w:rFonts w:hAnsi="宋体" w:cs="宋体"/>
                <w:sz w:val="18"/>
                <w:szCs w:val="18"/>
              </w:rPr>
            </w:pPr>
            <w:r>
              <w:rPr>
                <w:rFonts w:hint="eastAsia" w:hAnsi="宋体" w:cs="宋体"/>
                <w:sz w:val="18"/>
                <w:szCs w:val="18"/>
              </w:rPr>
              <w:t>接收数Ac</w:t>
            </w:r>
          </w:p>
        </w:tc>
        <w:tc>
          <w:tcPr>
            <w:tcW w:w="1394" w:type="dxa"/>
            <w:tcBorders>
              <w:top w:val="single" w:color="000000" w:sz="4" w:space="0"/>
              <w:bottom w:val="single" w:color="000000" w:sz="12" w:space="0"/>
            </w:tcBorders>
            <w:vAlign w:val="center"/>
          </w:tcPr>
          <w:p>
            <w:pPr>
              <w:pStyle w:val="233"/>
              <w:ind w:firstLine="0" w:firstLineChars="0"/>
              <w:jc w:val="center"/>
              <w:rPr>
                <w:rFonts w:hAnsi="宋体" w:cs="宋体"/>
                <w:sz w:val="18"/>
                <w:szCs w:val="18"/>
              </w:rPr>
            </w:pPr>
            <w:r>
              <w:rPr>
                <w:rFonts w:hint="eastAsia" w:hAnsi="宋体" w:cs="宋体"/>
                <w:sz w:val="18"/>
                <w:szCs w:val="18"/>
              </w:rPr>
              <w:t>拒收数Re</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546" w:type="dxa"/>
            <w:vMerge w:val="restart"/>
            <w:tcBorders>
              <w:top w:val="single" w:color="000000" w:sz="12" w:space="0"/>
            </w:tcBorders>
            <w:vAlign w:val="center"/>
          </w:tcPr>
          <w:p>
            <w:pPr>
              <w:pStyle w:val="233"/>
              <w:ind w:firstLine="0" w:firstLineChars="0"/>
              <w:jc w:val="center"/>
              <w:rPr>
                <w:rFonts w:ascii="Times New Roman"/>
                <w:sz w:val="18"/>
                <w:szCs w:val="18"/>
              </w:rPr>
            </w:pPr>
            <w:r>
              <w:rPr>
                <w:rFonts w:ascii="Times New Roman"/>
                <w:sz w:val="18"/>
                <w:szCs w:val="18"/>
              </w:rPr>
              <w:t>2</w:t>
            </w:r>
            <w:r>
              <w:rPr>
                <w:rFonts w:hint="eastAsia" w:ascii="Times New Roman"/>
                <w:sz w:val="18"/>
                <w:szCs w:val="18"/>
              </w:rPr>
              <w:t>~</w:t>
            </w:r>
            <w:r>
              <w:rPr>
                <w:rFonts w:ascii="Times New Roman"/>
                <w:sz w:val="18"/>
                <w:szCs w:val="18"/>
              </w:rPr>
              <w:t>8</w:t>
            </w:r>
          </w:p>
        </w:tc>
        <w:tc>
          <w:tcPr>
            <w:tcW w:w="1390" w:type="dxa"/>
            <w:tcBorders>
              <w:top w:val="single" w:color="000000" w:sz="12" w:space="0"/>
            </w:tcBorders>
            <w:vAlign w:val="center"/>
          </w:tcPr>
          <w:p>
            <w:pPr>
              <w:pStyle w:val="233"/>
              <w:ind w:firstLine="0" w:firstLineChars="0"/>
              <w:jc w:val="center"/>
              <w:rPr>
                <w:rFonts w:hAnsi="宋体" w:cs="宋体"/>
                <w:sz w:val="18"/>
                <w:szCs w:val="18"/>
              </w:rPr>
            </w:pPr>
            <w:r>
              <w:rPr>
                <w:rFonts w:hint="eastAsia" w:hAnsi="宋体" w:cs="宋体"/>
                <w:sz w:val="18"/>
                <w:szCs w:val="18"/>
              </w:rPr>
              <w:t>第一</w:t>
            </w:r>
          </w:p>
        </w:tc>
        <w:tc>
          <w:tcPr>
            <w:tcW w:w="1390" w:type="dxa"/>
            <w:tcBorders>
              <w:top w:val="single" w:color="000000" w:sz="12" w:space="0"/>
            </w:tcBorders>
            <w:vAlign w:val="center"/>
          </w:tcPr>
          <w:p>
            <w:pPr>
              <w:pStyle w:val="233"/>
              <w:ind w:firstLine="0" w:firstLineChars="0"/>
              <w:jc w:val="center"/>
              <w:rPr>
                <w:rFonts w:hAnsi="宋体" w:cs="宋体"/>
                <w:sz w:val="18"/>
                <w:szCs w:val="18"/>
              </w:rPr>
            </w:pPr>
            <w:r>
              <w:rPr>
                <w:rFonts w:hAnsi="宋体" w:cs="宋体"/>
                <w:sz w:val="18"/>
                <w:szCs w:val="18"/>
              </w:rPr>
              <w:t>2</w:t>
            </w:r>
          </w:p>
        </w:tc>
        <w:tc>
          <w:tcPr>
            <w:tcW w:w="1406" w:type="dxa"/>
            <w:tcBorders>
              <w:top w:val="single" w:color="000000" w:sz="12" w:space="0"/>
            </w:tcBorders>
            <w:vAlign w:val="center"/>
          </w:tcPr>
          <w:p>
            <w:pPr>
              <w:pStyle w:val="233"/>
              <w:ind w:firstLine="0" w:firstLineChars="0"/>
              <w:jc w:val="center"/>
              <w:rPr>
                <w:rFonts w:hAnsi="宋体" w:cs="宋体"/>
                <w:sz w:val="18"/>
                <w:szCs w:val="18"/>
              </w:rPr>
            </w:pPr>
            <w:r>
              <w:rPr>
                <w:rFonts w:hAnsi="宋体" w:cs="宋体"/>
                <w:sz w:val="18"/>
                <w:szCs w:val="18"/>
              </w:rPr>
              <w:t>2</w:t>
            </w:r>
          </w:p>
        </w:tc>
        <w:tc>
          <w:tcPr>
            <w:tcW w:w="1396" w:type="dxa"/>
            <w:tcBorders>
              <w:top w:val="single" w:color="000000" w:sz="12" w:space="0"/>
            </w:tcBorders>
            <w:vAlign w:val="center"/>
          </w:tcPr>
          <w:p>
            <w:pPr>
              <w:pStyle w:val="233"/>
              <w:ind w:firstLine="0" w:firstLineChars="0"/>
              <w:jc w:val="center"/>
              <w:rPr>
                <w:rFonts w:hAnsi="宋体" w:cs="宋体"/>
                <w:sz w:val="18"/>
                <w:szCs w:val="18"/>
              </w:rPr>
            </w:pPr>
            <w:r>
              <w:rPr>
                <w:rFonts w:hAnsi="宋体" w:cs="宋体"/>
                <w:sz w:val="18"/>
                <w:szCs w:val="18"/>
              </w:rPr>
              <w:t>0</w:t>
            </w:r>
          </w:p>
        </w:tc>
        <w:tc>
          <w:tcPr>
            <w:tcW w:w="1394" w:type="dxa"/>
            <w:tcBorders>
              <w:top w:val="single" w:color="000000" w:sz="12" w:space="0"/>
            </w:tcBorders>
            <w:vAlign w:val="center"/>
          </w:tcPr>
          <w:p>
            <w:pPr>
              <w:pStyle w:val="233"/>
              <w:ind w:firstLine="0" w:firstLineChars="0"/>
              <w:jc w:val="center"/>
              <w:rPr>
                <w:rFonts w:hAnsi="宋体" w:cs="宋体"/>
                <w:sz w:val="18"/>
                <w:szCs w:val="18"/>
              </w:rPr>
            </w:pPr>
            <w:r>
              <w:rPr>
                <w:rFonts w:hAnsi="宋体" w:cs="宋体"/>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546" w:type="dxa"/>
            <w:vMerge w:val="continue"/>
            <w:vAlign w:val="center"/>
          </w:tcPr>
          <w:p>
            <w:pPr>
              <w:pStyle w:val="233"/>
              <w:ind w:firstLine="0" w:firstLineChars="0"/>
              <w:jc w:val="center"/>
              <w:rPr>
                <w:rFonts w:ascii="Times New Roman"/>
                <w:sz w:val="18"/>
                <w:szCs w:val="18"/>
              </w:rPr>
            </w:pPr>
          </w:p>
        </w:tc>
        <w:tc>
          <w:tcPr>
            <w:tcW w:w="1390" w:type="dxa"/>
            <w:vAlign w:val="center"/>
          </w:tcPr>
          <w:p>
            <w:pPr>
              <w:pStyle w:val="233"/>
              <w:ind w:firstLine="0" w:firstLineChars="0"/>
              <w:jc w:val="center"/>
              <w:rPr>
                <w:rFonts w:hAnsi="宋体" w:cs="宋体"/>
                <w:sz w:val="18"/>
                <w:szCs w:val="18"/>
              </w:rPr>
            </w:pPr>
            <w:r>
              <w:rPr>
                <w:rFonts w:hint="eastAsia" w:hAnsi="宋体" w:cs="宋体"/>
                <w:sz w:val="18"/>
                <w:szCs w:val="18"/>
              </w:rPr>
              <w:t>第二</w:t>
            </w:r>
          </w:p>
        </w:tc>
        <w:tc>
          <w:tcPr>
            <w:tcW w:w="1390" w:type="dxa"/>
            <w:vAlign w:val="center"/>
          </w:tcPr>
          <w:p>
            <w:pPr>
              <w:pStyle w:val="233"/>
              <w:ind w:firstLine="0" w:firstLineChars="0"/>
              <w:jc w:val="center"/>
              <w:rPr>
                <w:rFonts w:hAnsi="宋体" w:cs="宋体"/>
                <w:sz w:val="18"/>
                <w:szCs w:val="18"/>
              </w:rPr>
            </w:pPr>
            <w:r>
              <w:rPr>
                <w:rFonts w:hAnsi="宋体" w:cs="宋体"/>
                <w:sz w:val="18"/>
                <w:szCs w:val="18"/>
              </w:rPr>
              <w:t>2</w:t>
            </w:r>
          </w:p>
        </w:tc>
        <w:tc>
          <w:tcPr>
            <w:tcW w:w="1406" w:type="dxa"/>
            <w:vAlign w:val="center"/>
          </w:tcPr>
          <w:p>
            <w:pPr>
              <w:pStyle w:val="233"/>
              <w:ind w:firstLine="0" w:firstLineChars="0"/>
              <w:jc w:val="center"/>
              <w:rPr>
                <w:rFonts w:hAnsi="宋体" w:cs="宋体"/>
                <w:sz w:val="18"/>
                <w:szCs w:val="18"/>
              </w:rPr>
            </w:pPr>
            <w:r>
              <w:rPr>
                <w:rFonts w:hAnsi="宋体" w:cs="宋体"/>
                <w:sz w:val="18"/>
                <w:szCs w:val="18"/>
              </w:rPr>
              <w:t>4</w:t>
            </w:r>
          </w:p>
        </w:tc>
        <w:tc>
          <w:tcPr>
            <w:tcW w:w="1396" w:type="dxa"/>
            <w:vAlign w:val="center"/>
          </w:tcPr>
          <w:p>
            <w:pPr>
              <w:pStyle w:val="233"/>
              <w:ind w:firstLine="0" w:firstLineChars="0"/>
              <w:jc w:val="center"/>
              <w:rPr>
                <w:rFonts w:hAnsi="宋体" w:cs="宋体"/>
                <w:sz w:val="18"/>
                <w:szCs w:val="18"/>
              </w:rPr>
            </w:pPr>
            <w:r>
              <w:rPr>
                <w:rFonts w:hAnsi="宋体" w:cs="宋体"/>
                <w:sz w:val="18"/>
                <w:szCs w:val="18"/>
              </w:rPr>
              <w:t>0</w:t>
            </w:r>
          </w:p>
        </w:tc>
        <w:tc>
          <w:tcPr>
            <w:tcW w:w="1394" w:type="dxa"/>
            <w:vAlign w:val="center"/>
          </w:tcPr>
          <w:p>
            <w:pPr>
              <w:pStyle w:val="233"/>
              <w:ind w:firstLine="0" w:firstLineChars="0"/>
              <w:jc w:val="center"/>
              <w:rPr>
                <w:rFonts w:hAnsi="宋体" w:cs="宋体"/>
                <w:sz w:val="18"/>
                <w:szCs w:val="18"/>
              </w:rPr>
            </w:pPr>
            <w:r>
              <w:rPr>
                <w:rFonts w:hAnsi="宋体" w:cs="宋体"/>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546" w:type="dxa"/>
            <w:vMerge w:val="restart"/>
            <w:vAlign w:val="center"/>
          </w:tcPr>
          <w:p>
            <w:pPr>
              <w:pStyle w:val="233"/>
              <w:ind w:firstLine="0" w:firstLineChars="0"/>
              <w:jc w:val="center"/>
              <w:rPr>
                <w:rFonts w:ascii="Times New Roman"/>
                <w:sz w:val="18"/>
                <w:szCs w:val="18"/>
              </w:rPr>
            </w:pPr>
            <w:r>
              <w:rPr>
                <w:rFonts w:ascii="Times New Roman"/>
                <w:sz w:val="18"/>
                <w:szCs w:val="18"/>
              </w:rPr>
              <w:t>9~15</w:t>
            </w:r>
          </w:p>
        </w:tc>
        <w:tc>
          <w:tcPr>
            <w:tcW w:w="1390" w:type="dxa"/>
            <w:vAlign w:val="center"/>
          </w:tcPr>
          <w:p>
            <w:pPr>
              <w:pStyle w:val="233"/>
              <w:ind w:firstLine="0" w:firstLineChars="0"/>
              <w:jc w:val="center"/>
              <w:rPr>
                <w:rFonts w:hAnsi="宋体" w:cs="宋体"/>
                <w:sz w:val="18"/>
                <w:szCs w:val="18"/>
              </w:rPr>
            </w:pPr>
            <w:r>
              <w:rPr>
                <w:rFonts w:hint="eastAsia" w:hAnsi="宋体" w:cs="宋体"/>
                <w:sz w:val="18"/>
                <w:szCs w:val="18"/>
              </w:rPr>
              <w:t>第一</w:t>
            </w:r>
          </w:p>
        </w:tc>
        <w:tc>
          <w:tcPr>
            <w:tcW w:w="1390" w:type="dxa"/>
            <w:vAlign w:val="center"/>
          </w:tcPr>
          <w:p>
            <w:pPr>
              <w:pStyle w:val="233"/>
              <w:ind w:firstLine="0" w:firstLineChars="0"/>
              <w:jc w:val="center"/>
              <w:rPr>
                <w:rFonts w:hAnsi="宋体" w:cs="宋体"/>
                <w:sz w:val="18"/>
                <w:szCs w:val="18"/>
              </w:rPr>
            </w:pPr>
            <w:r>
              <w:rPr>
                <w:rFonts w:hAnsi="宋体" w:cs="宋体"/>
                <w:sz w:val="18"/>
                <w:szCs w:val="18"/>
              </w:rPr>
              <w:t>2</w:t>
            </w:r>
          </w:p>
        </w:tc>
        <w:tc>
          <w:tcPr>
            <w:tcW w:w="1406" w:type="dxa"/>
            <w:vAlign w:val="center"/>
          </w:tcPr>
          <w:p>
            <w:pPr>
              <w:pStyle w:val="233"/>
              <w:ind w:firstLine="0" w:firstLineChars="0"/>
              <w:jc w:val="center"/>
              <w:rPr>
                <w:rFonts w:hAnsi="宋体" w:cs="宋体"/>
                <w:sz w:val="18"/>
                <w:szCs w:val="18"/>
              </w:rPr>
            </w:pPr>
            <w:r>
              <w:rPr>
                <w:rFonts w:hAnsi="宋体" w:cs="宋体"/>
                <w:sz w:val="18"/>
                <w:szCs w:val="18"/>
              </w:rPr>
              <w:t>2</w:t>
            </w:r>
          </w:p>
        </w:tc>
        <w:tc>
          <w:tcPr>
            <w:tcW w:w="1396" w:type="dxa"/>
            <w:vAlign w:val="center"/>
          </w:tcPr>
          <w:p>
            <w:pPr>
              <w:pStyle w:val="233"/>
              <w:ind w:firstLine="0" w:firstLineChars="0"/>
              <w:jc w:val="center"/>
              <w:rPr>
                <w:rFonts w:hAnsi="宋体" w:cs="宋体"/>
                <w:sz w:val="18"/>
                <w:szCs w:val="18"/>
              </w:rPr>
            </w:pPr>
            <w:r>
              <w:rPr>
                <w:rFonts w:hAnsi="宋体" w:cs="宋体"/>
                <w:sz w:val="18"/>
                <w:szCs w:val="18"/>
              </w:rPr>
              <w:t>0</w:t>
            </w:r>
          </w:p>
        </w:tc>
        <w:tc>
          <w:tcPr>
            <w:tcW w:w="1394" w:type="dxa"/>
            <w:vAlign w:val="center"/>
          </w:tcPr>
          <w:p>
            <w:pPr>
              <w:pStyle w:val="233"/>
              <w:ind w:firstLine="0" w:firstLineChars="0"/>
              <w:jc w:val="center"/>
              <w:rPr>
                <w:rFonts w:hAnsi="宋体" w:cs="宋体"/>
                <w:sz w:val="18"/>
                <w:szCs w:val="18"/>
              </w:rPr>
            </w:pPr>
            <w:r>
              <w:rPr>
                <w:rFonts w:hAnsi="宋体" w:cs="宋体"/>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546" w:type="dxa"/>
            <w:vMerge w:val="continue"/>
            <w:vAlign w:val="center"/>
          </w:tcPr>
          <w:p>
            <w:pPr>
              <w:pStyle w:val="233"/>
              <w:ind w:firstLine="0" w:firstLineChars="0"/>
              <w:jc w:val="center"/>
              <w:rPr>
                <w:rFonts w:ascii="Times New Roman"/>
                <w:sz w:val="18"/>
                <w:szCs w:val="18"/>
              </w:rPr>
            </w:pPr>
          </w:p>
        </w:tc>
        <w:tc>
          <w:tcPr>
            <w:tcW w:w="1390" w:type="dxa"/>
            <w:vAlign w:val="center"/>
          </w:tcPr>
          <w:p>
            <w:pPr>
              <w:pStyle w:val="233"/>
              <w:ind w:firstLine="0" w:firstLineChars="0"/>
              <w:jc w:val="center"/>
              <w:rPr>
                <w:rFonts w:hAnsi="宋体" w:cs="宋体"/>
                <w:sz w:val="18"/>
                <w:szCs w:val="18"/>
              </w:rPr>
            </w:pPr>
            <w:r>
              <w:rPr>
                <w:rFonts w:hint="eastAsia" w:hAnsi="宋体" w:cs="宋体"/>
                <w:sz w:val="18"/>
                <w:szCs w:val="18"/>
              </w:rPr>
              <w:t>第二</w:t>
            </w:r>
          </w:p>
        </w:tc>
        <w:tc>
          <w:tcPr>
            <w:tcW w:w="1390" w:type="dxa"/>
            <w:vAlign w:val="center"/>
          </w:tcPr>
          <w:p>
            <w:pPr>
              <w:pStyle w:val="233"/>
              <w:ind w:firstLine="0" w:firstLineChars="0"/>
              <w:jc w:val="center"/>
              <w:rPr>
                <w:rFonts w:hAnsi="宋体" w:cs="宋体"/>
                <w:sz w:val="18"/>
                <w:szCs w:val="18"/>
              </w:rPr>
            </w:pPr>
            <w:r>
              <w:rPr>
                <w:rFonts w:hAnsi="宋体" w:cs="宋体"/>
                <w:sz w:val="18"/>
                <w:szCs w:val="18"/>
              </w:rPr>
              <w:t>2</w:t>
            </w:r>
          </w:p>
        </w:tc>
        <w:tc>
          <w:tcPr>
            <w:tcW w:w="1406" w:type="dxa"/>
            <w:vAlign w:val="center"/>
          </w:tcPr>
          <w:p>
            <w:pPr>
              <w:pStyle w:val="233"/>
              <w:ind w:firstLine="0" w:firstLineChars="0"/>
              <w:jc w:val="center"/>
              <w:rPr>
                <w:rFonts w:hAnsi="宋体" w:cs="宋体"/>
                <w:sz w:val="18"/>
                <w:szCs w:val="18"/>
              </w:rPr>
            </w:pPr>
            <w:r>
              <w:rPr>
                <w:rFonts w:hAnsi="宋体" w:cs="宋体"/>
                <w:sz w:val="18"/>
                <w:szCs w:val="18"/>
              </w:rPr>
              <w:t>4</w:t>
            </w:r>
          </w:p>
        </w:tc>
        <w:tc>
          <w:tcPr>
            <w:tcW w:w="1396" w:type="dxa"/>
            <w:vAlign w:val="center"/>
          </w:tcPr>
          <w:p>
            <w:pPr>
              <w:pStyle w:val="233"/>
              <w:ind w:firstLine="0" w:firstLineChars="0"/>
              <w:jc w:val="center"/>
              <w:rPr>
                <w:rFonts w:hAnsi="宋体" w:cs="宋体"/>
                <w:sz w:val="18"/>
                <w:szCs w:val="18"/>
              </w:rPr>
            </w:pPr>
            <w:r>
              <w:rPr>
                <w:rFonts w:hAnsi="宋体" w:cs="宋体"/>
                <w:sz w:val="18"/>
                <w:szCs w:val="18"/>
              </w:rPr>
              <w:t>0</w:t>
            </w:r>
          </w:p>
        </w:tc>
        <w:tc>
          <w:tcPr>
            <w:tcW w:w="1394" w:type="dxa"/>
            <w:vAlign w:val="center"/>
          </w:tcPr>
          <w:p>
            <w:pPr>
              <w:pStyle w:val="233"/>
              <w:ind w:firstLine="0" w:firstLineChars="0"/>
              <w:jc w:val="center"/>
              <w:rPr>
                <w:rFonts w:hAnsi="宋体" w:cs="宋体"/>
                <w:sz w:val="18"/>
                <w:szCs w:val="18"/>
              </w:rPr>
            </w:pPr>
            <w:r>
              <w:rPr>
                <w:rFonts w:hAnsi="宋体" w:cs="宋体"/>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546" w:type="dxa"/>
            <w:vMerge w:val="restart"/>
            <w:vAlign w:val="center"/>
          </w:tcPr>
          <w:p>
            <w:pPr>
              <w:pStyle w:val="233"/>
              <w:ind w:firstLine="0" w:firstLineChars="0"/>
              <w:jc w:val="center"/>
              <w:rPr>
                <w:rFonts w:ascii="Times New Roman"/>
                <w:sz w:val="18"/>
                <w:szCs w:val="18"/>
              </w:rPr>
            </w:pPr>
            <w:r>
              <w:rPr>
                <w:rFonts w:ascii="Times New Roman"/>
                <w:sz w:val="18"/>
                <w:szCs w:val="18"/>
              </w:rPr>
              <w:t>16~25</w:t>
            </w:r>
          </w:p>
        </w:tc>
        <w:tc>
          <w:tcPr>
            <w:tcW w:w="1390" w:type="dxa"/>
            <w:vAlign w:val="center"/>
          </w:tcPr>
          <w:p>
            <w:pPr>
              <w:pStyle w:val="233"/>
              <w:ind w:firstLine="0" w:firstLineChars="0"/>
              <w:jc w:val="center"/>
              <w:rPr>
                <w:rFonts w:hAnsi="宋体" w:cs="宋体"/>
                <w:sz w:val="18"/>
                <w:szCs w:val="18"/>
              </w:rPr>
            </w:pPr>
            <w:r>
              <w:rPr>
                <w:rFonts w:hint="eastAsia" w:hAnsi="宋体" w:cs="宋体"/>
                <w:sz w:val="18"/>
                <w:szCs w:val="18"/>
              </w:rPr>
              <w:t>第一</w:t>
            </w:r>
          </w:p>
        </w:tc>
        <w:tc>
          <w:tcPr>
            <w:tcW w:w="1390" w:type="dxa"/>
            <w:vAlign w:val="center"/>
          </w:tcPr>
          <w:p>
            <w:pPr>
              <w:pStyle w:val="233"/>
              <w:ind w:firstLine="0" w:firstLineChars="0"/>
              <w:jc w:val="center"/>
              <w:rPr>
                <w:rFonts w:hAnsi="宋体" w:cs="宋体"/>
                <w:sz w:val="18"/>
                <w:szCs w:val="18"/>
              </w:rPr>
            </w:pPr>
            <w:r>
              <w:rPr>
                <w:rFonts w:hAnsi="宋体" w:cs="宋体"/>
                <w:sz w:val="18"/>
                <w:szCs w:val="18"/>
              </w:rPr>
              <w:t>3</w:t>
            </w:r>
          </w:p>
        </w:tc>
        <w:tc>
          <w:tcPr>
            <w:tcW w:w="1406" w:type="dxa"/>
            <w:vAlign w:val="center"/>
          </w:tcPr>
          <w:p>
            <w:pPr>
              <w:pStyle w:val="233"/>
              <w:ind w:firstLine="0" w:firstLineChars="0"/>
              <w:jc w:val="center"/>
              <w:rPr>
                <w:rFonts w:hAnsi="宋体" w:cs="宋体"/>
                <w:sz w:val="18"/>
                <w:szCs w:val="18"/>
              </w:rPr>
            </w:pPr>
            <w:r>
              <w:rPr>
                <w:rFonts w:hAnsi="宋体" w:cs="宋体"/>
                <w:sz w:val="18"/>
                <w:szCs w:val="18"/>
              </w:rPr>
              <w:t>3</w:t>
            </w:r>
          </w:p>
        </w:tc>
        <w:tc>
          <w:tcPr>
            <w:tcW w:w="1396" w:type="dxa"/>
            <w:vAlign w:val="center"/>
          </w:tcPr>
          <w:p>
            <w:pPr>
              <w:pStyle w:val="233"/>
              <w:ind w:firstLine="0" w:firstLineChars="0"/>
              <w:jc w:val="center"/>
              <w:rPr>
                <w:rFonts w:hAnsi="宋体" w:cs="宋体"/>
                <w:sz w:val="18"/>
                <w:szCs w:val="18"/>
              </w:rPr>
            </w:pPr>
            <w:r>
              <w:rPr>
                <w:rFonts w:hAnsi="宋体" w:cs="宋体"/>
                <w:sz w:val="18"/>
                <w:szCs w:val="18"/>
              </w:rPr>
              <w:t>0</w:t>
            </w:r>
          </w:p>
        </w:tc>
        <w:tc>
          <w:tcPr>
            <w:tcW w:w="1394" w:type="dxa"/>
            <w:vAlign w:val="center"/>
          </w:tcPr>
          <w:p>
            <w:pPr>
              <w:pStyle w:val="233"/>
              <w:ind w:firstLine="0" w:firstLineChars="0"/>
              <w:jc w:val="center"/>
              <w:rPr>
                <w:rFonts w:hAnsi="宋体" w:cs="宋体"/>
                <w:sz w:val="18"/>
                <w:szCs w:val="18"/>
              </w:rPr>
            </w:pPr>
            <w:r>
              <w:rPr>
                <w:rFonts w:hAnsi="宋体" w:cs="宋体"/>
                <w:sz w:val="18"/>
                <w:szCs w:val="18"/>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546" w:type="dxa"/>
            <w:vMerge w:val="continue"/>
            <w:vAlign w:val="center"/>
          </w:tcPr>
          <w:p>
            <w:pPr>
              <w:pStyle w:val="233"/>
              <w:ind w:firstLine="0" w:firstLineChars="0"/>
              <w:jc w:val="center"/>
              <w:rPr>
                <w:rFonts w:ascii="Times New Roman"/>
                <w:sz w:val="18"/>
                <w:szCs w:val="18"/>
              </w:rPr>
            </w:pPr>
          </w:p>
        </w:tc>
        <w:tc>
          <w:tcPr>
            <w:tcW w:w="1390" w:type="dxa"/>
            <w:vAlign w:val="center"/>
          </w:tcPr>
          <w:p>
            <w:pPr>
              <w:pStyle w:val="233"/>
              <w:ind w:firstLine="0" w:firstLineChars="0"/>
              <w:jc w:val="center"/>
              <w:rPr>
                <w:rFonts w:hAnsi="宋体" w:cs="宋体"/>
                <w:sz w:val="18"/>
                <w:szCs w:val="18"/>
              </w:rPr>
            </w:pPr>
            <w:r>
              <w:rPr>
                <w:rFonts w:hint="eastAsia" w:hAnsi="宋体" w:cs="宋体"/>
                <w:sz w:val="18"/>
                <w:szCs w:val="18"/>
              </w:rPr>
              <w:t>第二</w:t>
            </w:r>
          </w:p>
        </w:tc>
        <w:tc>
          <w:tcPr>
            <w:tcW w:w="1390" w:type="dxa"/>
            <w:vAlign w:val="center"/>
          </w:tcPr>
          <w:p>
            <w:pPr>
              <w:pStyle w:val="233"/>
              <w:ind w:firstLine="0" w:firstLineChars="0"/>
              <w:jc w:val="center"/>
              <w:rPr>
                <w:rFonts w:hAnsi="宋体" w:cs="宋体"/>
                <w:sz w:val="18"/>
                <w:szCs w:val="18"/>
              </w:rPr>
            </w:pPr>
            <w:r>
              <w:rPr>
                <w:rFonts w:hAnsi="宋体" w:cs="宋体"/>
                <w:sz w:val="18"/>
                <w:szCs w:val="18"/>
              </w:rPr>
              <w:t>3</w:t>
            </w:r>
          </w:p>
        </w:tc>
        <w:tc>
          <w:tcPr>
            <w:tcW w:w="1406" w:type="dxa"/>
            <w:vAlign w:val="center"/>
          </w:tcPr>
          <w:p>
            <w:pPr>
              <w:pStyle w:val="233"/>
              <w:ind w:firstLine="0" w:firstLineChars="0"/>
              <w:jc w:val="center"/>
              <w:rPr>
                <w:rFonts w:hAnsi="宋体" w:cs="宋体"/>
                <w:sz w:val="18"/>
                <w:szCs w:val="18"/>
              </w:rPr>
            </w:pPr>
            <w:r>
              <w:rPr>
                <w:rFonts w:hAnsi="宋体" w:cs="宋体"/>
                <w:sz w:val="18"/>
                <w:szCs w:val="18"/>
              </w:rPr>
              <w:t>6</w:t>
            </w:r>
          </w:p>
        </w:tc>
        <w:tc>
          <w:tcPr>
            <w:tcW w:w="1396" w:type="dxa"/>
            <w:vAlign w:val="center"/>
          </w:tcPr>
          <w:p>
            <w:pPr>
              <w:pStyle w:val="233"/>
              <w:ind w:firstLine="0" w:firstLineChars="0"/>
              <w:jc w:val="center"/>
              <w:rPr>
                <w:rFonts w:hAnsi="宋体" w:cs="宋体"/>
                <w:sz w:val="18"/>
                <w:szCs w:val="18"/>
              </w:rPr>
            </w:pPr>
            <w:r>
              <w:rPr>
                <w:rFonts w:hAnsi="宋体" w:cs="宋体"/>
                <w:sz w:val="18"/>
                <w:szCs w:val="18"/>
              </w:rPr>
              <w:t>1</w:t>
            </w:r>
          </w:p>
        </w:tc>
        <w:tc>
          <w:tcPr>
            <w:tcW w:w="1394" w:type="dxa"/>
            <w:vAlign w:val="center"/>
          </w:tcPr>
          <w:p>
            <w:pPr>
              <w:pStyle w:val="233"/>
              <w:ind w:firstLine="0" w:firstLineChars="0"/>
              <w:jc w:val="center"/>
              <w:rPr>
                <w:rFonts w:hAnsi="宋体" w:cs="宋体"/>
                <w:sz w:val="18"/>
                <w:szCs w:val="18"/>
              </w:rPr>
            </w:pPr>
            <w:r>
              <w:rPr>
                <w:rFonts w:hAnsi="宋体" w:cs="宋体"/>
                <w:sz w:val="18"/>
                <w:szCs w:val="18"/>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546" w:type="dxa"/>
            <w:vMerge w:val="restart"/>
            <w:vAlign w:val="center"/>
          </w:tcPr>
          <w:p>
            <w:pPr>
              <w:pStyle w:val="233"/>
              <w:ind w:firstLine="0" w:firstLineChars="0"/>
              <w:jc w:val="center"/>
              <w:rPr>
                <w:rFonts w:ascii="Times New Roman"/>
                <w:sz w:val="18"/>
                <w:szCs w:val="18"/>
              </w:rPr>
            </w:pPr>
            <w:r>
              <w:rPr>
                <w:rFonts w:ascii="Times New Roman"/>
                <w:sz w:val="18"/>
                <w:szCs w:val="18"/>
              </w:rPr>
              <w:t>26~50</w:t>
            </w:r>
          </w:p>
        </w:tc>
        <w:tc>
          <w:tcPr>
            <w:tcW w:w="1390" w:type="dxa"/>
            <w:vAlign w:val="center"/>
          </w:tcPr>
          <w:p>
            <w:pPr>
              <w:pStyle w:val="233"/>
              <w:ind w:firstLine="0" w:firstLineChars="0"/>
              <w:jc w:val="center"/>
              <w:rPr>
                <w:rFonts w:hAnsi="宋体" w:cs="宋体"/>
                <w:sz w:val="18"/>
                <w:szCs w:val="18"/>
              </w:rPr>
            </w:pPr>
            <w:r>
              <w:rPr>
                <w:rFonts w:hint="eastAsia" w:hAnsi="宋体" w:cs="宋体"/>
                <w:sz w:val="18"/>
                <w:szCs w:val="18"/>
              </w:rPr>
              <w:t>第一</w:t>
            </w:r>
          </w:p>
        </w:tc>
        <w:tc>
          <w:tcPr>
            <w:tcW w:w="1390" w:type="dxa"/>
            <w:vAlign w:val="center"/>
          </w:tcPr>
          <w:p>
            <w:pPr>
              <w:pStyle w:val="233"/>
              <w:ind w:firstLine="0" w:firstLineChars="0"/>
              <w:jc w:val="center"/>
              <w:rPr>
                <w:rFonts w:hAnsi="宋体" w:cs="宋体"/>
                <w:sz w:val="18"/>
                <w:szCs w:val="18"/>
              </w:rPr>
            </w:pPr>
            <w:r>
              <w:rPr>
                <w:rFonts w:hAnsi="宋体" w:cs="宋体"/>
                <w:sz w:val="18"/>
                <w:szCs w:val="18"/>
              </w:rPr>
              <w:t>5</w:t>
            </w:r>
          </w:p>
        </w:tc>
        <w:tc>
          <w:tcPr>
            <w:tcW w:w="1406" w:type="dxa"/>
            <w:vAlign w:val="center"/>
          </w:tcPr>
          <w:p>
            <w:pPr>
              <w:pStyle w:val="233"/>
              <w:ind w:firstLine="0" w:firstLineChars="0"/>
              <w:jc w:val="center"/>
              <w:rPr>
                <w:rFonts w:hAnsi="宋体" w:cs="宋体"/>
                <w:sz w:val="18"/>
                <w:szCs w:val="18"/>
              </w:rPr>
            </w:pPr>
            <w:r>
              <w:rPr>
                <w:rFonts w:hAnsi="宋体" w:cs="宋体"/>
                <w:sz w:val="18"/>
                <w:szCs w:val="18"/>
              </w:rPr>
              <w:t>5</w:t>
            </w:r>
          </w:p>
        </w:tc>
        <w:tc>
          <w:tcPr>
            <w:tcW w:w="1396" w:type="dxa"/>
            <w:vAlign w:val="center"/>
          </w:tcPr>
          <w:p>
            <w:pPr>
              <w:pStyle w:val="233"/>
              <w:ind w:firstLine="0" w:firstLineChars="0"/>
              <w:jc w:val="center"/>
              <w:rPr>
                <w:rFonts w:hAnsi="宋体" w:cs="宋体"/>
                <w:sz w:val="18"/>
                <w:szCs w:val="18"/>
              </w:rPr>
            </w:pPr>
            <w:r>
              <w:rPr>
                <w:rFonts w:hAnsi="宋体" w:cs="宋体"/>
                <w:sz w:val="18"/>
                <w:szCs w:val="18"/>
              </w:rPr>
              <w:t>0</w:t>
            </w:r>
          </w:p>
        </w:tc>
        <w:tc>
          <w:tcPr>
            <w:tcW w:w="1394" w:type="dxa"/>
            <w:vAlign w:val="center"/>
          </w:tcPr>
          <w:p>
            <w:pPr>
              <w:pStyle w:val="233"/>
              <w:ind w:firstLine="0" w:firstLineChars="0"/>
              <w:jc w:val="center"/>
              <w:rPr>
                <w:rFonts w:hAnsi="宋体" w:cs="宋体"/>
                <w:sz w:val="18"/>
                <w:szCs w:val="18"/>
              </w:rPr>
            </w:pPr>
            <w:r>
              <w:rPr>
                <w:rFonts w:hAnsi="宋体" w:cs="宋体"/>
                <w:sz w:val="18"/>
                <w:szCs w:val="18"/>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546" w:type="dxa"/>
            <w:vMerge w:val="continue"/>
            <w:vAlign w:val="center"/>
          </w:tcPr>
          <w:p>
            <w:pPr>
              <w:pStyle w:val="233"/>
              <w:ind w:firstLine="0" w:firstLineChars="0"/>
              <w:jc w:val="center"/>
              <w:rPr>
                <w:rFonts w:ascii="Times New Roman"/>
                <w:sz w:val="18"/>
                <w:szCs w:val="18"/>
              </w:rPr>
            </w:pPr>
          </w:p>
        </w:tc>
        <w:tc>
          <w:tcPr>
            <w:tcW w:w="1390" w:type="dxa"/>
            <w:vAlign w:val="center"/>
          </w:tcPr>
          <w:p>
            <w:pPr>
              <w:pStyle w:val="233"/>
              <w:ind w:firstLine="0" w:firstLineChars="0"/>
              <w:jc w:val="center"/>
              <w:rPr>
                <w:rFonts w:hAnsi="宋体" w:cs="宋体"/>
                <w:sz w:val="18"/>
                <w:szCs w:val="18"/>
              </w:rPr>
            </w:pPr>
            <w:r>
              <w:rPr>
                <w:rFonts w:hint="eastAsia" w:hAnsi="宋体" w:cs="宋体"/>
                <w:sz w:val="18"/>
                <w:szCs w:val="18"/>
              </w:rPr>
              <w:t>第二</w:t>
            </w:r>
          </w:p>
        </w:tc>
        <w:tc>
          <w:tcPr>
            <w:tcW w:w="1390" w:type="dxa"/>
            <w:vAlign w:val="center"/>
          </w:tcPr>
          <w:p>
            <w:pPr>
              <w:pStyle w:val="233"/>
              <w:ind w:firstLine="0" w:firstLineChars="0"/>
              <w:jc w:val="center"/>
              <w:rPr>
                <w:rFonts w:hAnsi="宋体" w:cs="宋体"/>
                <w:sz w:val="18"/>
                <w:szCs w:val="18"/>
              </w:rPr>
            </w:pPr>
            <w:r>
              <w:rPr>
                <w:rFonts w:hAnsi="宋体" w:cs="宋体"/>
                <w:sz w:val="18"/>
                <w:szCs w:val="18"/>
              </w:rPr>
              <w:t>5</w:t>
            </w:r>
          </w:p>
        </w:tc>
        <w:tc>
          <w:tcPr>
            <w:tcW w:w="1406" w:type="dxa"/>
            <w:vAlign w:val="center"/>
          </w:tcPr>
          <w:p>
            <w:pPr>
              <w:pStyle w:val="233"/>
              <w:ind w:firstLine="0" w:firstLineChars="0"/>
              <w:jc w:val="center"/>
              <w:rPr>
                <w:rFonts w:hAnsi="宋体" w:cs="宋体"/>
                <w:sz w:val="18"/>
                <w:szCs w:val="18"/>
              </w:rPr>
            </w:pPr>
            <w:r>
              <w:rPr>
                <w:rFonts w:hAnsi="宋体" w:cs="宋体"/>
                <w:sz w:val="18"/>
                <w:szCs w:val="18"/>
              </w:rPr>
              <w:t>10</w:t>
            </w:r>
          </w:p>
        </w:tc>
        <w:tc>
          <w:tcPr>
            <w:tcW w:w="1396" w:type="dxa"/>
            <w:vAlign w:val="center"/>
          </w:tcPr>
          <w:p>
            <w:pPr>
              <w:pStyle w:val="233"/>
              <w:ind w:firstLine="0" w:firstLineChars="0"/>
              <w:jc w:val="center"/>
              <w:rPr>
                <w:rFonts w:hAnsi="宋体" w:cs="宋体"/>
                <w:sz w:val="18"/>
                <w:szCs w:val="18"/>
              </w:rPr>
            </w:pPr>
            <w:r>
              <w:rPr>
                <w:rFonts w:hAnsi="宋体" w:cs="宋体"/>
                <w:sz w:val="18"/>
                <w:szCs w:val="18"/>
              </w:rPr>
              <w:t>1</w:t>
            </w:r>
          </w:p>
        </w:tc>
        <w:tc>
          <w:tcPr>
            <w:tcW w:w="1394" w:type="dxa"/>
            <w:vAlign w:val="center"/>
          </w:tcPr>
          <w:p>
            <w:pPr>
              <w:pStyle w:val="233"/>
              <w:ind w:firstLine="0" w:firstLineChars="0"/>
              <w:jc w:val="center"/>
              <w:rPr>
                <w:rFonts w:hAnsi="宋体" w:cs="宋体"/>
                <w:sz w:val="18"/>
                <w:szCs w:val="18"/>
              </w:rPr>
            </w:pPr>
            <w:r>
              <w:rPr>
                <w:rFonts w:hAnsi="宋体" w:cs="宋体"/>
                <w:sz w:val="18"/>
                <w:szCs w:val="18"/>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546" w:type="dxa"/>
            <w:vMerge w:val="restart"/>
            <w:vAlign w:val="center"/>
          </w:tcPr>
          <w:p>
            <w:pPr>
              <w:pStyle w:val="233"/>
              <w:ind w:firstLine="0" w:firstLineChars="0"/>
              <w:jc w:val="center"/>
              <w:rPr>
                <w:rFonts w:ascii="Times New Roman"/>
                <w:sz w:val="18"/>
                <w:szCs w:val="18"/>
              </w:rPr>
            </w:pPr>
            <w:r>
              <w:rPr>
                <w:rFonts w:ascii="Times New Roman"/>
                <w:sz w:val="18"/>
                <w:szCs w:val="18"/>
              </w:rPr>
              <w:t>51~90</w:t>
            </w:r>
          </w:p>
        </w:tc>
        <w:tc>
          <w:tcPr>
            <w:tcW w:w="1390" w:type="dxa"/>
            <w:vAlign w:val="center"/>
          </w:tcPr>
          <w:p>
            <w:pPr>
              <w:pStyle w:val="233"/>
              <w:ind w:firstLine="0" w:firstLineChars="0"/>
              <w:jc w:val="center"/>
              <w:rPr>
                <w:rFonts w:hAnsi="宋体" w:cs="宋体"/>
                <w:sz w:val="18"/>
                <w:szCs w:val="18"/>
              </w:rPr>
            </w:pPr>
            <w:r>
              <w:rPr>
                <w:rFonts w:hint="eastAsia" w:hAnsi="宋体" w:cs="宋体"/>
                <w:sz w:val="18"/>
                <w:szCs w:val="18"/>
              </w:rPr>
              <w:t>第一</w:t>
            </w:r>
          </w:p>
        </w:tc>
        <w:tc>
          <w:tcPr>
            <w:tcW w:w="1390" w:type="dxa"/>
            <w:vAlign w:val="center"/>
          </w:tcPr>
          <w:p>
            <w:pPr>
              <w:pStyle w:val="233"/>
              <w:ind w:firstLine="0" w:firstLineChars="0"/>
              <w:jc w:val="center"/>
              <w:rPr>
                <w:rFonts w:hAnsi="宋体" w:cs="宋体"/>
                <w:sz w:val="18"/>
                <w:szCs w:val="18"/>
              </w:rPr>
            </w:pPr>
            <w:r>
              <w:rPr>
                <w:rFonts w:hAnsi="宋体" w:cs="宋体"/>
                <w:sz w:val="18"/>
                <w:szCs w:val="18"/>
              </w:rPr>
              <w:t>8</w:t>
            </w:r>
          </w:p>
        </w:tc>
        <w:tc>
          <w:tcPr>
            <w:tcW w:w="1406" w:type="dxa"/>
            <w:vAlign w:val="center"/>
          </w:tcPr>
          <w:p>
            <w:pPr>
              <w:pStyle w:val="233"/>
              <w:ind w:firstLine="0" w:firstLineChars="0"/>
              <w:jc w:val="center"/>
              <w:rPr>
                <w:rFonts w:hAnsi="宋体" w:cs="宋体"/>
                <w:sz w:val="18"/>
                <w:szCs w:val="18"/>
              </w:rPr>
            </w:pPr>
            <w:r>
              <w:rPr>
                <w:rFonts w:hAnsi="宋体" w:cs="宋体"/>
                <w:sz w:val="18"/>
                <w:szCs w:val="18"/>
              </w:rPr>
              <w:t>8</w:t>
            </w:r>
          </w:p>
        </w:tc>
        <w:tc>
          <w:tcPr>
            <w:tcW w:w="1396" w:type="dxa"/>
            <w:vAlign w:val="center"/>
          </w:tcPr>
          <w:p>
            <w:pPr>
              <w:pStyle w:val="233"/>
              <w:ind w:firstLine="0" w:firstLineChars="0"/>
              <w:jc w:val="center"/>
              <w:rPr>
                <w:rFonts w:hAnsi="宋体" w:cs="宋体"/>
                <w:sz w:val="18"/>
                <w:szCs w:val="18"/>
              </w:rPr>
            </w:pPr>
            <w:r>
              <w:rPr>
                <w:rFonts w:hAnsi="宋体" w:cs="宋体"/>
                <w:sz w:val="18"/>
                <w:szCs w:val="18"/>
              </w:rPr>
              <w:t>0</w:t>
            </w:r>
          </w:p>
        </w:tc>
        <w:tc>
          <w:tcPr>
            <w:tcW w:w="1394" w:type="dxa"/>
            <w:vAlign w:val="center"/>
          </w:tcPr>
          <w:p>
            <w:pPr>
              <w:pStyle w:val="233"/>
              <w:ind w:firstLine="0" w:firstLineChars="0"/>
              <w:jc w:val="center"/>
              <w:rPr>
                <w:rFonts w:hAnsi="宋体" w:cs="宋体"/>
                <w:sz w:val="18"/>
                <w:szCs w:val="18"/>
              </w:rPr>
            </w:pPr>
            <w:r>
              <w:rPr>
                <w:rFonts w:hAnsi="宋体" w:cs="宋体"/>
                <w:sz w:val="18"/>
                <w:szCs w:val="18"/>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546" w:type="dxa"/>
            <w:vMerge w:val="continue"/>
            <w:vAlign w:val="center"/>
          </w:tcPr>
          <w:p>
            <w:pPr>
              <w:pStyle w:val="233"/>
              <w:ind w:firstLine="0" w:firstLineChars="0"/>
              <w:jc w:val="center"/>
              <w:rPr>
                <w:rFonts w:ascii="Times New Roman"/>
                <w:sz w:val="18"/>
                <w:szCs w:val="18"/>
              </w:rPr>
            </w:pPr>
          </w:p>
        </w:tc>
        <w:tc>
          <w:tcPr>
            <w:tcW w:w="1390" w:type="dxa"/>
            <w:vAlign w:val="center"/>
          </w:tcPr>
          <w:p>
            <w:pPr>
              <w:pStyle w:val="233"/>
              <w:ind w:firstLine="0" w:firstLineChars="0"/>
              <w:jc w:val="center"/>
              <w:rPr>
                <w:rFonts w:hAnsi="宋体" w:cs="宋体"/>
                <w:sz w:val="18"/>
                <w:szCs w:val="18"/>
              </w:rPr>
            </w:pPr>
            <w:r>
              <w:rPr>
                <w:rFonts w:hint="eastAsia" w:hAnsi="宋体" w:cs="宋体"/>
                <w:sz w:val="18"/>
                <w:szCs w:val="18"/>
              </w:rPr>
              <w:t>第二</w:t>
            </w:r>
          </w:p>
        </w:tc>
        <w:tc>
          <w:tcPr>
            <w:tcW w:w="1390" w:type="dxa"/>
            <w:vAlign w:val="center"/>
          </w:tcPr>
          <w:p>
            <w:pPr>
              <w:pStyle w:val="233"/>
              <w:ind w:firstLine="0" w:firstLineChars="0"/>
              <w:jc w:val="center"/>
              <w:rPr>
                <w:rFonts w:hAnsi="宋体" w:cs="宋体"/>
                <w:sz w:val="18"/>
                <w:szCs w:val="18"/>
              </w:rPr>
            </w:pPr>
            <w:r>
              <w:rPr>
                <w:rFonts w:hAnsi="宋体" w:cs="宋体"/>
                <w:sz w:val="18"/>
                <w:szCs w:val="18"/>
              </w:rPr>
              <w:t>8</w:t>
            </w:r>
          </w:p>
        </w:tc>
        <w:tc>
          <w:tcPr>
            <w:tcW w:w="1406" w:type="dxa"/>
            <w:vAlign w:val="center"/>
          </w:tcPr>
          <w:p>
            <w:pPr>
              <w:pStyle w:val="233"/>
              <w:ind w:firstLine="0" w:firstLineChars="0"/>
              <w:jc w:val="center"/>
              <w:rPr>
                <w:rFonts w:hAnsi="宋体" w:cs="宋体"/>
                <w:sz w:val="18"/>
                <w:szCs w:val="18"/>
              </w:rPr>
            </w:pPr>
            <w:r>
              <w:rPr>
                <w:rFonts w:hAnsi="宋体" w:cs="宋体"/>
                <w:sz w:val="18"/>
                <w:szCs w:val="18"/>
              </w:rPr>
              <w:t>16</w:t>
            </w:r>
          </w:p>
        </w:tc>
        <w:tc>
          <w:tcPr>
            <w:tcW w:w="1396" w:type="dxa"/>
            <w:vAlign w:val="center"/>
          </w:tcPr>
          <w:p>
            <w:pPr>
              <w:pStyle w:val="233"/>
              <w:ind w:firstLine="0" w:firstLineChars="0"/>
              <w:jc w:val="center"/>
              <w:rPr>
                <w:rFonts w:hAnsi="宋体" w:cs="宋体"/>
                <w:sz w:val="18"/>
                <w:szCs w:val="18"/>
              </w:rPr>
            </w:pPr>
            <w:r>
              <w:rPr>
                <w:rFonts w:hAnsi="宋体" w:cs="宋体"/>
                <w:sz w:val="18"/>
                <w:szCs w:val="18"/>
              </w:rPr>
              <w:t>3</w:t>
            </w:r>
          </w:p>
        </w:tc>
        <w:tc>
          <w:tcPr>
            <w:tcW w:w="1394" w:type="dxa"/>
            <w:vAlign w:val="center"/>
          </w:tcPr>
          <w:p>
            <w:pPr>
              <w:pStyle w:val="233"/>
              <w:ind w:firstLine="0" w:firstLineChars="0"/>
              <w:jc w:val="center"/>
              <w:rPr>
                <w:rFonts w:hAnsi="宋体" w:cs="宋体"/>
                <w:sz w:val="18"/>
                <w:szCs w:val="18"/>
              </w:rPr>
            </w:pPr>
            <w:r>
              <w:rPr>
                <w:rFonts w:hAnsi="宋体" w:cs="宋体"/>
                <w:sz w:val="18"/>
                <w:szCs w:val="18"/>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546" w:type="dxa"/>
            <w:vMerge w:val="restart"/>
            <w:vAlign w:val="center"/>
          </w:tcPr>
          <w:p>
            <w:pPr>
              <w:pStyle w:val="233"/>
              <w:ind w:firstLine="0" w:firstLineChars="0"/>
              <w:jc w:val="center"/>
              <w:rPr>
                <w:rFonts w:ascii="Times New Roman"/>
                <w:sz w:val="18"/>
                <w:szCs w:val="18"/>
              </w:rPr>
            </w:pPr>
            <w:r>
              <w:rPr>
                <w:rFonts w:ascii="Times New Roman"/>
                <w:sz w:val="18"/>
                <w:szCs w:val="18"/>
              </w:rPr>
              <w:t>91~150</w:t>
            </w:r>
          </w:p>
        </w:tc>
        <w:tc>
          <w:tcPr>
            <w:tcW w:w="1390" w:type="dxa"/>
            <w:vAlign w:val="center"/>
          </w:tcPr>
          <w:p>
            <w:pPr>
              <w:pStyle w:val="233"/>
              <w:ind w:firstLine="0" w:firstLineChars="0"/>
              <w:jc w:val="center"/>
              <w:rPr>
                <w:rFonts w:hAnsi="宋体" w:cs="宋体"/>
                <w:sz w:val="18"/>
                <w:szCs w:val="18"/>
              </w:rPr>
            </w:pPr>
            <w:r>
              <w:rPr>
                <w:rFonts w:hint="eastAsia" w:hAnsi="宋体" w:cs="宋体"/>
                <w:sz w:val="18"/>
                <w:szCs w:val="18"/>
              </w:rPr>
              <w:t>第一</w:t>
            </w:r>
          </w:p>
        </w:tc>
        <w:tc>
          <w:tcPr>
            <w:tcW w:w="1390" w:type="dxa"/>
            <w:vAlign w:val="center"/>
          </w:tcPr>
          <w:p>
            <w:pPr>
              <w:pStyle w:val="233"/>
              <w:ind w:firstLine="0" w:firstLineChars="0"/>
              <w:jc w:val="center"/>
              <w:rPr>
                <w:rFonts w:hAnsi="宋体" w:cs="宋体"/>
                <w:sz w:val="18"/>
                <w:szCs w:val="18"/>
              </w:rPr>
            </w:pPr>
            <w:r>
              <w:rPr>
                <w:rFonts w:hAnsi="宋体" w:cs="宋体"/>
                <w:sz w:val="18"/>
                <w:szCs w:val="18"/>
              </w:rPr>
              <w:t>13</w:t>
            </w:r>
          </w:p>
        </w:tc>
        <w:tc>
          <w:tcPr>
            <w:tcW w:w="1406" w:type="dxa"/>
            <w:vAlign w:val="center"/>
          </w:tcPr>
          <w:p>
            <w:pPr>
              <w:pStyle w:val="233"/>
              <w:ind w:firstLine="0" w:firstLineChars="0"/>
              <w:jc w:val="center"/>
              <w:rPr>
                <w:rFonts w:hAnsi="宋体" w:cs="宋体"/>
                <w:sz w:val="18"/>
                <w:szCs w:val="18"/>
              </w:rPr>
            </w:pPr>
            <w:r>
              <w:rPr>
                <w:rFonts w:hAnsi="宋体" w:cs="宋体"/>
                <w:sz w:val="18"/>
                <w:szCs w:val="18"/>
              </w:rPr>
              <w:t>13</w:t>
            </w:r>
          </w:p>
        </w:tc>
        <w:tc>
          <w:tcPr>
            <w:tcW w:w="1396" w:type="dxa"/>
            <w:vAlign w:val="center"/>
          </w:tcPr>
          <w:p>
            <w:pPr>
              <w:pStyle w:val="233"/>
              <w:ind w:firstLine="0" w:firstLineChars="0"/>
              <w:jc w:val="center"/>
              <w:rPr>
                <w:rFonts w:hAnsi="宋体" w:cs="宋体"/>
                <w:sz w:val="18"/>
                <w:szCs w:val="18"/>
              </w:rPr>
            </w:pPr>
            <w:r>
              <w:rPr>
                <w:rFonts w:hAnsi="宋体" w:cs="宋体"/>
                <w:sz w:val="18"/>
                <w:szCs w:val="18"/>
              </w:rPr>
              <w:t>1</w:t>
            </w:r>
          </w:p>
        </w:tc>
        <w:tc>
          <w:tcPr>
            <w:tcW w:w="1394" w:type="dxa"/>
            <w:vAlign w:val="center"/>
          </w:tcPr>
          <w:p>
            <w:pPr>
              <w:pStyle w:val="233"/>
              <w:ind w:firstLine="0" w:firstLineChars="0"/>
              <w:jc w:val="center"/>
              <w:rPr>
                <w:rFonts w:hAnsi="宋体" w:cs="宋体"/>
                <w:sz w:val="18"/>
                <w:szCs w:val="18"/>
              </w:rPr>
            </w:pPr>
            <w:r>
              <w:rPr>
                <w:rFonts w:hAnsi="宋体" w:cs="宋体"/>
                <w:sz w:val="18"/>
                <w:szCs w:val="18"/>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546" w:type="dxa"/>
            <w:vMerge w:val="continue"/>
            <w:vAlign w:val="center"/>
          </w:tcPr>
          <w:p>
            <w:pPr>
              <w:pStyle w:val="233"/>
              <w:ind w:firstLine="0" w:firstLineChars="0"/>
              <w:jc w:val="center"/>
              <w:rPr>
                <w:rFonts w:hAnsi="宋体" w:cs="宋体"/>
                <w:sz w:val="18"/>
                <w:szCs w:val="18"/>
              </w:rPr>
            </w:pPr>
          </w:p>
        </w:tc>
        <w:tc>
          <w:tcPr>
            <w:tcW w:w="1390" w:type="dxa"/>
            <w:vAlign w:val="center"/>
          </w:tcPr>
          <w:p>
            <w:pPr>
              <w:pStyle w:val="233"/>
              <w:ind w:firstLine="0" w:firstLineChars="0"/>
              <w:jc w:val="center"/>
              <w:rPr>
                <w:rFonts w:hAnsi="宋体" w:cs="宋体"/>
                <w:sz w:val="18"/>
                <w:szCs w:val="18"/>
              </w:rPr>
            </w:pPr>
            <w:r>
              <w:rPr>
                <w:rFonts w:hint="eastAsia" w:hAnsi="宋体" w:cs="宋体"/>
                <w:sz w:val="18"/>
                <w:szCs w:val="18"/>
              </w:rPr>
              <w:t>第二</w:t>
            </w:r>
          </w:p>
        </w:tc>
        <w:tc>
          <w:tcPr>
            <w:tcW w:w="1390" w:type="dxa"/>
            <w:vAlign w:val="center"/>
          </w:tcPr>
          <w:p>
            <w:pPr>
              <w:pStyle w:val="233"/>
              <w:ind w:firstLine="0" w:firstLineChars="0"/>
              <w:jc w:val="center"/>
              <w:rPr>
                <w:rFonts w:hAnsi="宋体" w:cs="宋体"/>
                <w:sz w:val="18"/>
                <w:szCs w:val="18"/>
              </w:rPr>
            </w:pPr>
            <w:r>
              <w:rPr>
                <w:rFonts w:hAnsi="宋体" w:cs="宋体"/>
                <w:sz w:val="18"/>
                <w:szCs w:val="18"/>
              </w:rPr>
              <w:t>13</w:t>
            </w:r>
          </w:p>
        </w:tc>
        <w:tc>
          <w:tcPr>
            <w:tcW w:w="1406" w:type="dxa"/>
            <w:vAlign w:val="center"/>
          </w:tcPr>
          <w:p>
            <w:pPr>
              <w:pStyle w:val="233"/>
              <w:ind w:firstLine="0" w:firstLineChars="0"/>
              <w:jc w:val="center"/>
              <w:rPr>
                <w:rFonts w:hAnsi="宋体" w:cs="宋体"/>
                <w:sz w:val="18"/>
                <w:szCs w:val="18"/>
              </w:rPr>
            </w:pPr>
            <w:r>
              <w:rPr>
                <w:rFonts w:hAnsi="宋体" w:cs="宋体"/>
                <w:sz w:val="18"/>
                <w:szCs w:val="18"/>
              </w:rPr>
              <w:t>26</w:t>
            </w:r>
          </w:p>
        </w:tc>
        <w:tc>
          <w:tcPr>
            <w:tcW w:w="1396" w:type="dxa"/>
            <w:vAlign w:val="center"/>
          </w:tcPr>
          <w:p>
            <w:pPr>
              <w:pStyle w:val="233"/>
              <w:ind w:firstLine="0" w:firstLineChars="0"/>
              <w:jc w:val="center"/>
              <w:rPr>
                <w:rFonts w:hAnsi="宋体" w:cs="宋体"/>
                <w:sz w:val="18"/>
                <w:szCs w:val="18"/>
              </w:rPr>
            </w:pPr>
            <w:r>
              <w:rPr>
                <w:rFonts w:hAnsi="宋体" w:cs="宋体"/>
                <w:sz w:val="18"/>
                <w:szCs w:val="18"/>
              </w:rPr>
              <w:t>4</w:t>
            </w:r>
          </w:p>
        </w:tc>
        <w:tc>
          <w:tcPr>
            <w:tcW w:w="1394" w:type="dxa"/>
            <w:vAlign w:val="center"/>
          </w:tcPr>
          <w:p>
            <w:pPr>
              <w:pStyle w:val="233"/>
              <w:ind w:firstLine="0" w:firstLineChars="0"/>
              <w:jc w:val="center"/>
              <w:rPr>
                <w:rFonts w:hAnsi="宋体" w:cs="宋体"/>
                <w:sz w:val="18"/>
                <w:szCs w:val="18"/>
              </w:rPr>
            </w:pPr>
            <w:r>
              <w:rPr>
                <w:rFonts w:hAnsi="宋体" w:cs="宋体"/>
                <w:sz w:val="18"/>
                <w:szCs w:val="18"/>
              </w:rPr>
              <w:t>5</w:t>
            </w:r>
          </w:p>
        </w:tc>
      </w:tr>
    </w:tbl>
    <w:p>
      <w:pPr>
        <w:pStyle w:val="58"/>
        <w:ind w:firstLine="420"/>
      </w:pPr>
    </w:p>
    <w:p>
      <w:pPr>
        <w:spacing w:before="100" w:beforeAutospacing="1" w:after="100" w:afterAutospacing="1"/>
        <w:rPr>
          <w:rFonts w:hint="eastAsia" w:ascii="黑体" w:hAnsi="黑体" w:eastAsia="黑体" w:cs="Times New Roman"/>
          <w:sz w:val="20"/>
          <w:szCs w:val="20"/>
        </w:rPr>
      </w:pPr>
      <w:r>
        <w:rPr>
          <w:rFonts w:hint="eastAsia" w:ascii="黑体" w:hAnsi="黑体" w:eastAsia="黑体" w:cs="Times New Roman"/>
          <w:sz w:val="20"/>
          <w:szCs w:val="20"/>
        </w:rPr>
        <w:t>7</w:t>
      </w:r>
      <w:r>
        <w:rPr>
          <w:rFonts w:ascii="黑体" w:hAnsi="黑体" w:eastAsia="黑体" w:cs="Times New Roman"/>
          <w:sz w:val="20"/>
          <w:szCs w:val="20"/>
        </w:rPr>
        <w:t xml:space="preserve">.4.2 </w:t>
      </w:r>
      <w:r>
        <w:rPr>
          <w:sz w:val="20"/>
          <w:szCs w:val="20"/>
        </w:rPr>
        <w:t>在</w:t>
      </w:r>
      <w:r>
        <w:rPr>
          <w:rFonts w:hint="eastAsia"/>
          <w:sz w:val="20"/>
          <w:szCs w:val="20"/>
        </w:rPr>
        <w:t>外观、尺寸偏差及装配质量</w:t>
      </w:r>
      <w:r>
        <w:rPr>
          <w:sz w:val="20"/>
          <w:szCs w:val="20"/>
        </w:rPr>
        <w:t>合格的样本中随机抽取足够样品用于5.4～5.7要求的项目检验，若有不合格项，应在原批中重新双倍取样，对不合格项进行复检，复检结果若全部合格，则判该批为合格，否则判定该批不合格。</w:t>
      </w:r>
    </w:p>
    <w:p>
      <w:pPr>
        <w:spacing w:before="100" w:beforeAutospacing="1" w:after="100" w:afterAutospacing="1"/>
      </w:pPr>
      <w:r>
        <w:rPr>
          <w:rFonts w:hint="eastAsia" w:ascii="黑体" w:hAnsi="黑体" w:eastAsia="黑体"/>
          <w:sz w:val="20"/>
          <w:szCs w:val="20"/>
        </w:rPr>
        <w:t xml:space="preserve">8 标志、包装、运输和贮存 </w:t>
      </w:r>
    </w:p>
    <w:p>
      <w:pPr>
        <w:pStyle w:val="106"/>
        <w:numPr>
          <w:ilvl w:val="0"/>
          <w:numId w:val="0"/>
        </w:numPr>
        <w:spacing w:before="240" w:after="240"/>
        <w:rPr>
          <w:rFonts w:hAnsi="黑体"/>
          <w:sz w:val="20"/>
        </w:rPr>
      </w:pPr>
      <w:r>
        <w:rPr>
          <w:rFonts w:hint="eastAsia" w:hAnsi="黑体"/>
          <w:sz w:val="20"/>
        </w:rPr>
        <w:t xml:space="preserve">8.1 标志 </w:t>
      </w:r>
    </w:p>
    <w:p>
      <w:pPr>
        <w:pStyle w:val="58"/>
        <w:ind w:firstLine="0" w:firstLineChars="0"/>
      </w:pPr>
      <w:r>
        <w:rPr>
          <w:rFonts w:hint="eastAsia"/>
        </w:rPr>
        <w:t>8</w:t>
      </w:r>
      <w:r>
        <w:t>.1.1</w:t>
      </w:r>
      <w:r>
        <w:rPr>
          <w:rFonts w:hint="eastAsia"/>
        </w:rPr>
        <w:t>产品标志</w:t>
      </w:r>
    </w:p>
    <w:p>
      <w:pPr>
        <w:pStyle w:val="58"/>
        <w:ind w:firstLine="400"/>
      </w:pPr>
      <w:r>
        <w:rPr>
          <w:rFonts w:hint="eastAsia"/>
          <w:sz w:val="20"/>
        </w:rPr>
        <w:t>产品入库前，应在产品适当的部位标记产品名称、规格和生产日期。</w:t>
      </w:r>
    </w:p>
    <w:p>
      <w:pPr>
        <w:spacing w:before="100" w:beforeAutospacing="1" w:after="100" w:afterAutospacing="1"/>
        <w:rPr>
          <w:sz w:val="20"/>
          <w:szCs w:val="20"/>
        </w:rPr>
      </w:pPr>
      <w:r>
        <w:rPr>
          <w:rFonts w:hint="eastAsia"/>
          <w:sz w:val="20"/>
          <w:szCs w:val="20"/>
        </w:rPr>
        <w:t>8</w:t>
      </w:r>
      <w:r>
        <w:rPr>
          <w:sz w:val="20"/>
          <w:szCs w:val="20"/>
        </w:rPr>
        <w:t xml:space="preserve">.1.2 </w:t>
      </w:r>
      <w:r>
        <w:rPr>
          <w:rFonts w:hint="eastAsia"/>
          <w:sz w:val="20"/>
          <w:szCs w:val="20"/>
        </w:rPr>
        <w:t>包装标志</w:t>
      </w:r>
    </w:p>
    <w:p>
      <w:pPr>
        <w:spacing w:before="100" w:beforeAutospacing="1" w:after="100" w:afterAutospacing="1"/>
        <w:ind w:firstLine="400" w:firstLineChars="200"/>
        <w:rPr>
          <w:sz w:val="20"/>
          <w:szCs w:val="20"/>
        </w:rPr>
      </w:pPr>
      <w:r>
        <w:rPr>
          <w:rFonts w:hint="eastAsia"/>
          <w:sz w:val="20"/>
          <w:szCs w:val="20"/>
        </w:rPr>
        <w:t>在产品包装上应有生产厂家名称、地址、产品标记、生产日期、商标、规格、数量及防潮、防晒等。</w:t>
      </w:r>
    </w:p>
    <w:p>
      <w:pPr>
        <w:pStyle w:val="106"/>
        <w:numPr>
          <w:ilvl w:val="0"/>
          <w:numId w:val="0"/>
        </w:numPr>
        <w:spacing w:before="240" w:after="240"/>
        <w:rPr>
          <w:rFonts w:hAnsi="黑体"/>
          <w:sz w:val="20"/>
        </w:rPr>
      </w:pPr>
      <w:r>
        <w:rPr>
          <w:rFonts w:hint="eastAsia" w:hAnsi="黑体"/>
          <w:sz w:val="20"/>
        </w:rPr>
        <w:t>8</w:t>
      </w:r>
      <w:r>
        <w:rPr>
          <w:rFonts w:hAnsi="黑体"/>
          <w:sz w:val="20"/>
        </w:rPr>
        <w:t xml:space="preserve">.2 </w:t>
      </w:r>
      <w:r>
        <w:rPr>
          <w:rFonts w:hint="eastAsia" w:hAnsi="黑体"/>
          <w:sz w:val="20"/>
        </w:rPr>
        <w:t>包装和运输</w:t>
      </w:r>
    </w:p>
    <w:p>
      <w:pPr>
        <w:spacing w:before="100" w:beforeAutospacing="1" w:after="100" w:afterAutospacing="1"/>
        <w:ind w:firstLine="400" w:firstLineChars="200"/>
        <w:rPr>
          <w:sz w:val="20"/>
          <w:szCs w:val="20"/>
        </w:rPr>
      </w:pPr>
      <w:r>
        <w:rPr>
          <w:rFonts w:hint="eastAsia"/>
          <w:sz w:val="20"/>
          <w:szCs w:val="20"/>
        </w:rPr>
        <w:t>产品出厂时应该按产品类别、规格、等级分别包装，企业应根据自己产品的特点提供详细的中文安装和使用说明书，包装和运输时产品应避免划伤表面和磕碰，且防雨防潮。</w:t>
      </w:r>
    </w:p>
    <w:p>
      <w:pPr>
        <w:spacing w:before="100" w:beforeAutospacing="1" w:after="100" w:afterAutospacing="1"/>
        <w:rPr>
          <w:rFonts w:ascii="黑体" w:hAnsi="黑体" w:eastAsia="黑体"/>
          <w:sz w:val="20"/>
          <w:szCs w:val="20"/>
        </w:rPr>
      </w:pPr>
      <w:r>
        <w:rPr>
          <w:rFonts w:hint="eastAsia" w:ascii="黑体" w:hAnsi="黑体" w:eastAsia="黑体"/>
          <w:sz w:val="20"/>
          <w:szCs w:val="20"/>
        </w:rPr>
        <w:t>8</w:t>
      </w:r>
      <w:r>
        <w:rPr>
          <w:rFonts w:ascii="黑体" w:hAnsi="黑体" w:eastAsia="黑体"/>
          <w:sz w:val="20"/>
          <w:szCs w:val="20"/>
        </w:rPr>
        <w:t xml:space="preserve">.3 </w:t>
      </w:r>
      <w:r>
        <w:rPr>
          <w:rFonts w:hint="eastAsia" w:ascii="黑体" w:hAnsi="黑体" w:eastAsia="黑体"/>
          <w:sz w:val="20"/>
          <w:szCs w:val="20"/>
        </w:rPr>
        <w:t>运输</w:t>
      </w:r>
    </w:p>
    <w:p>
      <w:pPr>
        <w:spacing w:before="100" w:beforeAutospacing="1" w:after="100" w:afterAutospacing="1"/>
        <w:ind w:firstLine="400" w:firstLineChars="200"/>
        <w:rPr>
          <w:sz w:val="20"/>
          <w:szCs w:val="20"/>
        </w:rPr>
      </w:pPr>
      <w:r>
        <w:rPr>
          <w:rFonts w:hint="eastAsia"/>
          <w:sz w:val="20"/>
          <w:szCs w:val="20"/>
        </w:rPr>
        <w:t>产品在贮存过程中应平整堆放，堆放高度不宜超过1</w:t>
      </w:r>
      <w:r>
        <w:rPr>
          <w:sz w:val="20"/>
          <w:szCs w:val="20"/>
        </w:rPr>
        <w:t>.5</w:t>
      </w:r>
      <w:r>
        <w:rPr>
          <w:rFonts w:hint="eastAsia"/>
          <w:sz w:val="20"/>
          <w:szCs w:val="20"/>
        </w:rPr>
        <w:t>m，防止污染，不得受潮、雨淋和暴晒。贮存时应按类别、规格、等级分别堆放，每堆应有相应的标记。</w:t>
      </w:r>
    </w:p>
    <w:p>
      <w:pPr>
        <w:spacing w:before="100" w:beforeAutospacing="1" w:after="100" w:afterAutospacing="1"/>
        <w:ind w:firstLine="400" w:firstLineChars="200"/>
        <w:rPr>
          <w:rFonts w:hint="eastAsia"/>
          <w:sz w:val="20"/>
          <w:szCs w:val="20"/>
        </w:rPr>
      </w:pPr>
    </w:p>
    <w:bookmarkEnd w:id="22"/>
    <w:p>
      <w:pPr>
        <w:pStyle w:val="58"/>
        <w:ind w:firstLine="0" w:firstLineChars="0"/>
        <w:jc w:val="center"/>
      </w:pPr>
      <w:bookmarkStart w:id="44" w:name="BookMark8"/>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pgSz w:w="11906" w:h="16838"/>
      <w:pgMar w:top="2410" w:right="1134" w:bottom="1134" w:left="1134" w:header="1418" w:footer="1134" w:gutter="284"/>
      <w:pgNumType w:start="1"/>
      <w:cols w:space="425"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FZSSK--GBK1-0">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E-BZ">
    <w:altName w:val="Cambria"/>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1" w:cryptProviderType="rsaAES" w:cryptAlgorithmClass="hash" w:cryptAlgorithmType="typeAny" w:cryptAlgorithmSid="14" w:cryptSpinCount="100000" w:hash="QTxlcBaTHhYkHGCMmAJnJIBWe7pPu0MXYLC+xtRFelTvj5dJ18tBWs33M7jBW4RMFCcHGtgr6EHE8s7uNR0frA==" w:salt="rfJP1iFqQbcOADFHvdrLw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lZTdmODAwZjdjZDI4NDgyMTM5MzZjMjliMGFhNmYifQ=="/>
  </w:docVars>
  <w:rsids>
    <w:rsidRoot w:val="00172A27"/>
    <w:rsid w:val="0000040A"/>
    <w:rsid w:val="00000A94"/>
    <w:rsid w:val="00001972"/>
    <w:rsid w:val="00001D9A"/>
    <w:rsid w:val="00007B3A"/>
    <w:rsid w:val="000107E0"/>
    <w:rsid w:val="00011FDE"/>
    <w:rsid w:val="00012FFD"/>
    <w:rsid w:val="00014162"/>
    <w:rsid w:val="00014340"/>
    <w:rsid w:val="00016A9C"/>
    <w:rsid w:val="00021D66"/>
    <w:rsid w:val="00021E49"/>
    <w:rsid w:val="00022184"/>
    <w:rsid w:val="00022762"/>
    <w:rsid w:val="000238E0"/>
    <w:rsid w:val="000249DB"/>
    <w:rsid w:val="000253EB"/>
    <w:rsid w:val="0002595E"/>
    <w:rsid w:val="000303C3"/>
    <w:rsid w:val="000331D3"/>
    <w:rsid w:val="000346A5"/>
    <w:rsid w:val="000359C3"/>
    <w:rsid w:val="00035A7D"/>
    <w:rsid w:val="000365ED"/>
    <w:rsid w:val="0004249A"/>
    <w:rsid w:val="00043282"/>
    <w:rsid w:val="00044286"/>
    <w:rsid w:val="00044BE4"/>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2EA"/>
    <w:rsid w:val="000A7311"/>
    <w:rsid w:val="000B060F"/>
    <w:rsid w:val="000B1592"/>
    <w:rsid w:val="000B1FF2"/>
    <w:rsid w:val="000B3CDA"/>
    <w:rsid w:val="000B6A0B"/>
    <w:rsid w:val="000C0F6C"/>
    <w:rsid w:val="000C11DB"/>
    <w:rsid w:val="000C1492"/>
    <w:rsid w:val="000C1F49"/>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174F7"/>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22A3"/>
    <w:rsid w:val="001642FA"/>
    <w:rsid w:val="001649EB"/>
    <w:rsid w:val="00164BAF"/>
    <w:rsid w:val="00164FA8"/>
    <w:rsid w:val="00165065"/>
    <w:rsid w:val="00165434"/>
    <w:rsid w:val="0016580B"/>
    <w:rsid w:val="00165F49"/>
    <w:rsid w:val="00166B88"/>
    <w:rsid w:val="001676B5"/>
    <w:rsid w:val="0016770A"/>
    <w:rsid w:val="00170804"/>
    <w:rsid w:val="001708E9"/>
    <w:rsid w:val="00172A27"/>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18E"/>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43D"/>
    <w:rsid w:val="00202AA4"/>
    <w:rsid w:val="002031F7"/>
    <w:rsid w:val="002040E6"/>
    <w:rsid w:val="00204A0C"/>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403E"/>
    <w:rsid w:val="0026148A"/>
    <w:rsid w:val="00262696"/>
    <w:rsid w:val="00262DD8"/>
    <w:rsid w:val="00263D25"/>
    <w:rsid w:val="002643C3"/>
    <w:rsid w:val="002649D4"/>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533"/>
    <w:rsid w:val="002A757F"/>
    <w:rsid w:val="002A7F44"/>
    <w:rsid w:val="002B0C40"/>
    <w:rsid w:val="002B1966"/>
    <w:rsid w:val="002B3829"/>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5662"/>
    <w:rsid w:val="002E6326"/>
    <w:rsid w:val="002F30E0"/>
    <w:rsid w:val="002F35E4"/>
    <w:rsid w:val="002F3730"/>
    <w:rsid w:val="002F38E1"/>
    <w:rsid w:val="002F7AF6"/>
    <w:rsid w:val="00300E63"/>
    <w:rsid w:val="003014D7"/>
    <w:rsid w:val="00301B9A"/>
    <w:rsid w:val="00302F5F"/>
    <w:rsid w:val="0030441D"/>
    <w:rsid w:val="00306063"/>
    <w:rsid w:val="00313B85"/>
    <w:rsid w:val="00317988"/>
    <w:rsid w:val="003221B4"/>
    <w:rsid w:val="0032258D"/>
    <w:rsid w:val="00322E62"/>
    <w:rsid w:val="00324D13"/>
    <w:rsid w:val="00324EDD"/>
    <w:rsid w:val="003331E4"/>
    <w:rsid w:val="00333F1D"/>
    <w:rsid w:val="00336C64"/>
    <w:rsid w:val="003370D5"/>
    <w:rsid w:val="00337162"/>
    <w:rsid w:val="0034194F"/>
    <w:rsid w:val="00342C18"/>
    <w:rsid w:val="00343885"/>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38E0"/>
    <w:rsid w:val="00376713"/>
    <w:rsid w:val="00381815"/>
    <w:rsid w:val="003819AF"/>
    <w:rsid w:val="003820E9"/>
    <w:rsid w:val="00382DE7"/>
    <w:rsid w:val="00384A30"/>
    <w:rsid w:val="00384FFC"/>
    <w:rsid w:val="003872FC"/>
    <w:rsid w:val="00387ADC"/>
    <w:rsid w:val="00390020"/>
    <w:rsid w:val="003903D6"/>
    <w:rsid w:val="00390EE6"/>
    <w:rsid w:val="0039118F"/>
    <w:rsid w:val="00392AD7"/>
    <w:rsid w:val="003938D9"/>
    <w:rsid w:val="00394376"/>
    <w:rsid w:val="003943FF"/>
    <w:rsid w:val="003955DC"/>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186C"/>
    <w:rsid w:val="003D262C"/>
    <w:rsid w:val="003D2F4D"/>
    <w:rsid w:val="003D6D61"/>
    <w:rsid w:val="003E091D"/>
    <w:rsid w:val="003E1C53"/>
    <w:rsid w:val="003E2A69"/>
    <w:rsid w:val="003E2D49"/>
    <w:rsid w:val="003E2FD4"/>
    <w:rsid w:val="003E47F3"/>
    <w:rsid w:val="003E49F6"/>
    <w:rsid w:val="003E660F"/>
    <w:rsid w:val="003E7778"/>
    <w:rsid w:val="003F0841"/>
    <w:rsid w:val="003F23D3"/>
    <w:rsid w:val="003F3F08"/>
    <w:rsid w:val="003F49F1"/>
    <w:rsid w:val="003F6272"/>
    <w:rsid w:val="00400E72"/>
    <w:rsid w:val="00401400"/>
    <w:rsid w:val="00401F3D"/>
    <w:rsid w:val="00404869"/>
    <w:rsid w:val="00405884"/>
    <w:rsid w:val="00407D39"/>
    <w:rsid w:val="0041057B"/>
    <w:rsid w:val="004122B2"/>
    <w:rsid w:val="004138AB"/>
    <w:rsid w:val="0041477A"/>
    <w:rsid w:val="004167A3"/>
    <w:rsid w:val="00424615"/>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12B2"/>
    <w:rsid w:val="004746B1"/>
    <w:rsid w:val="0047583F"/>
    <w:rsid w:val="00475DE8"/>
    <w:rsid w:val="00481C44"/>
    <w:rsid w:val="00484936"/>
    <w:rsid w:val="00485C89"/>
    <w:rsid w:val="00486BE3"/>
    <w:rsid w:val="004874CA"/>
    <w:rsid w:val="004905E4"/>
    <w:rsid w:val="00490A89"/>
    <w:rsid w:val="00490AB4"/>
    <w:rsid w:val="00492F02"/>
    <w:rsid w:val="004939AE"/>
    <w:rsid w:val="004963DF"/>
    <w:rsid w:val="004A12DF"/>
    <w:rsid w:val="004A1BA8"/>
    <w:rsid w:val="004A4B57"/>
    <w:rsid w:val="004A63FA"/>
    <w:rsid w:val="004A6A3D"/>
    <w:rsid w:val="004A725C"/>
    <w:rsid w:val="004B0272"/>
    <w:rsid w:val="004B2701"/>
    <w:rsid w:val="004B2E1B"/>
    <w:rsid w:val="004B3AA8"/>
    <w:rsid w:val="004B3E93"/>
    <w:rsid w:val="004C071B"/>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0B5"/>
    <w:rsid w:val="004E59E3"/>
    <w:rsid w:val="004E67C0"/>
    <w:rsid w:val="004F3295"/>
    <w:rsid w:val="004F391A"/>
    <w:rsid w:val="004F3CFB"/>
    <w:rsid w:val="004F6456"/>
    <w:rsid w:val="004F696E"/>
    <w:rsid w:val="004F6C71"/>
    <w:rsid w:val="00501139"/>
    <w:rsid w:val="0050363E"/>
    <w:rsid w:val="005039BC"/>
    <w:rsid w:val="005043BB"/>
    <w:rsid w:val="00504A3D"/>
    <w:rsid w:val="00505767"/>
    <w:rsid w:val="00506542"/>
    <w:rsid w:val="005073F0"/>
    <w:rsid w:val="00510A7B"/>
    <w:rsid w:val="00512F6E"/>
    <w:rsid w:val="00513038"/>
    <w:rsid w:val="00514174"/>
    <w:rsid w:val="0051494B"/>
    <w:rsid w:val="00516088"/>
    <w:rsid w:val="00516B0B"/>
    <w:rsid w:val="005220EC"/>
    <w:rsid w:val="00523F95"/>
    <w:rsid w:val="00524D65"/>
    <w:rsid w:val="00525B16"/>
    <w:rsid w:val="005266E1"/>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687D"/>
    <w:rsid w:val="00570829"/>
    <w:rsid w:val="00573D9E"/>
    <w:rsid w:val="005801E3"/>
    <w:rsid w:val="00581802"/>
    <w:rsid w:val="0058233B"/>
    <w:rsid w:val="005836A8"/>
    <w:rsid w:val="0058409C"/>
    <w:rsid w:val="00584262"/>
    <w:rsid w:val="00586630"/>
    <w:rsid w:val="00587ADD"/>
    <w:rsid w:val="00593A49"/>
    <w:rsid w:val="0059430B"/>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DEC"/>
    <w:rsid w:val="005D4171"/>
    <w:rsid w:val="005D53EF"/>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6D6"/>
    <w:rsid w:val="00645904"/>
    <w:rsid w:val="00651ACB"/>
    <w:rsid w:val="00651C47"/>
    <w:rsid w:val="00652AB2"/>
    <w:rsid w:val="00653FED"/>
    <w:rsid w:val="00654EC0"/>
    <w:rsid w:val="0065525B"/>
    <w:rsid w:val="00655D4F"/>
    <w:rsid w:val="00656D29"/>
    <w:rsid w:val="00657B82"/>
    <w:rsid w:val="00660AA9"/>
    <w:rsid w:val="006640E5"/>
    <w:rsid w:val="006646F1"/>
    <w:rsid w:val="00664929"/>
    <w:rsid w:val="00664F62"/>
    <w:rsid w:val="006655E1"/>
    <w:rsid w:val="00672060"/>
    <w:rsid w:val="00672BFD"/>
    <w:rsid w:val="006770F4"/>
    <w:rsid w:val="00677A84"/>
    <w:rsid w:val="0068026D"/>
    <w:rsid w:val="00680A27"/>
    <w:rsid w:val="006816A4"/>
    <w:rsid w:val="006819B8"/>
    <w:rsid w:val="006837CF"/>
    <w:rsid w:val="006840A6"/>
    <w:rsid w:val="006850CD"/>
    <w:rsid w:val="00685AAB"/>
    <w:rsid w:val="006962B1"/>
    <w:rsid w:val="006A07AA"/>
    <w:rsid w:val="006A25E5"/>
    <w:rsid w:val="006A2B46"/>
    <w:rsid w:val="006A336D"/>
    <w:rsid w:val="006A37B9"/>
    <w:rsid w:val="006B2672"/>
    <w:rsid w:val="006B2F4F"/>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34DA"/>
    <w:rsid w:val="006F6284"/>
    <w:rsid w:val="007002C5"/>
    <w:rsid w:val="00704387"/>
    <w:rsid w:val="00705B07"/>
    <w:rsid w:val="00707572"/>
    <w:rsid w:val="00707669"/>
    <w:rsid w:val="00711CBA"/>
    <w:rsid w:val="00711FB5"/>
    <w:rsid w:val="00712A01"/>
    <w:rsid w:val="00714F58"/>
    <w:rsid w:val="00722FBF"/>
    <w:rsid w:val="00722FC2"/>
    <w:rsid w:val="00724E1B"/>
    <w:rsid w:val="00725949"/>
    <w:rsid w:val="00727870"/>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6B7"/>
    <w:rsid w:val="00765152"/>
    <w:rsid w:val="00765C43"/>
    <w:rsid w:val="00765EFB"/>
    <w:rsid w:val="00766A4E"/>
    <w:rsid w:val="007671CA"/>
    <w:rsid w:val="00767C61"/>
    <w:rsid w:val="0077008A"/>
    <w:rsid w:val="00773A98"/>
    <w:rsid w:val="00773C1F"/>
    <w:rsid w:val="00774DA4"/>
    <w:rsid w:val="00776599"/>
    <w:rsid w:val="0078114B"/>
    <w:rsid w:val="00781DD2"/>
    <w:rsid w:val="00783ECF"/>
    <w:rsid w:val="0078413A"/>
    <w:rsid w:val="007959E8"/>
    <w:rsid w:val="00795E9C"/>
    <w:rsid w:val="007A0521"/>
    <w:rsid w:val="007A2E12"/>
    <w:rsid w:val="007A33C1"/>
    <w:rsid w:val="007A3475"/>
    <w:rsid w:val="007A41C8"/>
    <w:rsid w:val="007A54CE"/>
    <w:rsid w:val="007A6FD9"/>
    <w:rsid w:val="007A7FFA"/>
    <w:rsid w:val="007B04EB"/>
    <w:rsid w:val="007B0D4F"/>
    <w:rsid w:val="007B5A3D"/>
    <w:rsid w:val="007B5B95"/>
    <w:rsid w:val="007B6032"/>
    <w:rsid w:val="007B68EA"/>
    <w:rsid w:val="007B7453"/>
    <w:rsid w:val="007B75E8"/>
    <w:rsid w:val="007C2D89"/>
    <w:rsid w:val="007C4593"/>
    <w:rsid w:val="007C5309"/>
    <w:rsid w:val="007C6069"/>
    <w:rsid w:val="007D06C4"/>
    <w:rsid w:val="007D1352"/>
    <w:rsid w:val="007D2508"/>
    <w:rsid w:val="007D346A"/>
    <w:rsid w:val="007D6518"/>
    <w:rsid w:val="007D76BD"/>
    <w:rsid w:val="007E0BF1"/>
    <w:rsid w:val="007E49DB"/>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DFD"/>
    <w:rsid w:val="0083348C"/>
    <w:rsid w:val="008364E5"/>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6964"/>
    <w:rsid w:val="00867C10"/>
    <w:rsid w:val="00870439"/>
    <w:rsid w:val="00870DA1"/>
    <w:rsid w:val="00883F93"/>
    <w:rsid w:val="00884DB3"/>
    <w:rsid w:val="00885437"/>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488"/>
    <w:rsid w:val="008B0C9C"/>
    <w:rsid w:val="008B166D"/>
    <w:rsid w:val="008B17F4"/>
    <w:rsid w:val="008B1D3B"/>
    <w:rsid w:val="008B3615"/>
    <w:rsid w:val="008B4AC4"/>
    <w:rsid w:val="008B50C8"/>
    <w:rsid w:val="008B5281"/>
    <w:rsid w:val="008B7E05"/>
    <w:rsid w:val="008C1797"/>
    <w:rsid w:val="008C219C"/>
    <w:rsid w:val="008C475E"/>
    <w:rsid w:val="008C619A"/>
    <w:rsid w:val="008D0CE8"/>
    <w:rsid w:val="008D2D1D"/>
    <w:rsid w:val="008D3705"/>
    <w:rsid w:val="008D453D"/>
    <w:rsid w:val="008D53AD"/>
    <w:rsid w:val="008D562B"/>
    <w:rsid w:val="008D5733"/>
    <w:rsid w:val="008D622B"/>
    <w:rsid w:val="008D666C"/>
    <w:rsid w:val="008D7B54"/>
    <w:rsid w:val="008E0C9D"/>
    <w:rsid w:val="008E1648"/>
    <w:rsid w:val="008E1B3E"/>
    <w:rsid w:val="008E2319"/>
    <w:rsid w:val="008E3CE7"/>
    <w:rsid w:val="008E4BB6"/>
    <w:rsid w:val="008E5518"/>
    <w:rsid w:val="008E6A84"/>
    <w:rsid w:val="008F0CDC"/>
    <w:rsid w:val="008F17A3"/>
    <w:rsid w:val="008F1ED3"/>
    <w:rsid w:val="008F4C29"/>
    <w:rsid w:val="008F70BD"/>
    <w:rsid w:val="008F788F"/>
    <w:rsid w:val="008F7EA2"/>
    <w:rsid w:val="00900D44"/>
    <w:rsid w:val="00902722"/>
    <w:rsid w:val="009027BC"/>
    <w:rsid w:val="009035EF"/>
    <w:rsid w:val="009062E6"/>
    <w:rsid w:val="00911BE5"/>
    <w:rsid w:val="00913CA9"/>
    <w:rsid w:val="009145AE"/>
    <w:rsid w:val="009146CE"/>
    <w:rsid w:val="00914CA7"/>
    <w:rsid w:val="00915C3E"/>
    <w:rsid w:val="009161A8"/>
    <w:rsid w:val="009245AE"/>
    <w:rsid w:val="009245F5"/>
    <w:rsid w:val="009249EC"/>
    <w:rsid w:val="0092575E"/>
    <w:rsid w:val="009273B3"/>
    <w:rsid w:val="009305B5"/>
    <w:rsid w:val="009367FE"/>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5F3F"/>
    <w:rsid w:val="00977010"/>
    <w:rsid w:val="00977D02"/>
    <w:rsid w:val="00977FF9"/>
    <w:rsid w:val="009809BB"/>
    <w:rsid w:val="0098364B"/>
    <w:rsid w:val="009908A3"/>
    <w:rsid w:val="009911AF"/>
    <w:rsid w:val="00991875"/>
    <w:rsid w:val="00991F92"/>
    <w:rsid w:val="00992985"/>
    <w:rsid w:val="00993889"/>
    <w:rsid w:val="0099551B"/>
    <w:rsid w:val="009966BE"/>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3D0B"/>
    <w:rsid w:val="009E4A58"/>
    <w:rsid w:val="009E5A2D"/>
    <w:rsid w:val="009E5AB2"/>
    <w:rsid w:val="009E6219"/>
    <w:rsid w:val="009F03B3"/>
    <w:rsid w:val="009F2069"/>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181"/>
    <w:rsid w:val="00A4661E"/>
    <w:rsid w:val="00A55BD6"/>
    <w:rsid w:val="00A55D50"/>
    <w:rsid w:val="00A57142"/>
    <w:rsid w:val="00A64378"/>
    <w:rsid w:val="00A648CD"/>
    <w:rsid w:val="00A6537A"/>
    <w:rsid w:val="00A65596"/>
    <w:rsid w:val="00A67866"/>
    <w:rsid w:val="00A70B07"/>
    <w:rsid w:val="00A723F8"/>
    <w:rsid w:val="00A73B25"/>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0E17"/>
    <w:rsid w:val="00AB6309"/>
    <w:rsid w:val="00AB6C5F"/>
    <w:rsid w:val="00AB7129"/>
    <w:rsid w:val="00AC27A6"/>
    <w:rsid w:val="00AC30F7"/>
    <w:rsid w:val="00AC3A5A"/>
    <w:rsid w:val="00AC4D95"/>
    <w:rsid w:val="00AC5DF4"/>
    <w:rsid w:val="00AD0AEF"/>
    <w:rsid w:val="00AD11B7"/>
    <w:rsid w:val="00AD1A94"/>
    <w:rsid w:val="00AD1C05"/>
    <w:rsid w:val="00AD32CA"/>
    <w:rsid w:val="00AD4126"/>
    <w:rsid w:val="00AD421C"/>
    <w:rsid w:val="00AD44FA"/>
    <w:rsid w:val="00AE070A"/>
    <w:rsid w:val="00AE101C"/>
    <w:rsid w:val="00AE2A69"/>
    <w:rsid w:val="00AE37E5"/>
    <w:rsid w:val="00AE502F"/>
    <w:rsid w:val="00AE5EB4"/>
    <w:rsid w:val="00AF0C18"/>
    <w:rsid w:val="00AF47C5"/>
    <w:rsid w:val="00AF5398"/>
    <w:rsid w:val="00B049AF"/>
    <w:rsid w:val="00B06B95"/>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4D8"/>
    <w:rsid w:val="00B378E5"/>
    <w:rsid w:val="00B4346D"/>
    <w:rsid w:val="00B440F4"/>
    <w:rsid w:val="00B445B0"/>
    <w:rsid w:val="00B447A5"/>
    <w:rsid w:val="00B4654C"/>
    <w:rsid w:val="00B47293"/>
    <w:rsid w:val="00B50E50"/>
    <w:rsid w:val="00B51BB4"/>
    <w:rsid w:val="00B52120"/>
    <w:rsid w:val="00B538F5"/>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471F"/>
    <w:rsid w:val="00BB5F8F"/>
    <w:rsid w:val="00BB657A"/>
    <w:rsid w:val="00BC1A4E"/>
    <w:rsid w:val="00BC5DC7"/>
    <w:rsid w:val="00BC6B8B"/>
    <w:rsid w:val="00BC73D8"/>
    <w:rsid w:val="00BD292E"/>
    <w:rsid w:val="00BD3819"/>
    <w:rsid w:val="00BD52D7"/>
    <w:rsid w:val="00BD5AD2"/>
    <w:rsid w:val="00BD6783"/>
    <w:rsid w:val="00BD7859"/>
    <w:rsid w:val="00BE22F3"/>
    <w:rsid w:val="00BE5B52"/>
    <w:rsid w:val="00BE7B8D"/>
    <w:rsid w:val="00BF0993"/>
    <w:rsid w:val="00BF10A9"/>
    <w:rsid w:val="00BF1703"/>
    <w:rsid w:val="00BF231C"/>
    <w:rsid w:val="00BF51E5"/>
    <w:rsid w:val="00BF5342"/>
    <w:rsid w:val="00BF6C84"/>
    <w:rsid w:val="00BF6E02"/>
    <w:rsid w:val="00BF74A6"/>
    <w:rsid w:val="00C013AD"/>
    <w:rsid w:val="00C04904"/>
    <w:rsid w:val="00C056B3"/>
    <w:rsid w:val="00C103E5"/>
    <w:rsid w:val="00C13319"/>
    <w:rsid w:val="00C13EE9"/>
    <w:rsid w:val="00C17D50"/>
    <w:rsid w:val="00C21540"/>
    <w:rsid w:val="00C21906"/>
    <w:rsid w:val="00C21BFA"/>
    <w:rsid w:val="00C24C8D"/>
    <w:rsid w:val="00C25FE2"/>
    <w:rsid w:val="00C26B53"/>
    <w:rsid w:val="00C279B2"/>
    <w:rsid w:val="00C335A0"/>
    <w:rsid w:val="00C33E50"/>
    <w:rsid w:val="00C34C20"/>
    <w:rsid w:val="00C35A3E"/>
    <w:rsid w:val="00C41D34"/>
    <w:rsid w:val="00C42130"/>
    <w:rsid w:val="00C423A4"/>
    <w:rsid w:val="00C423E3"/>
    <w:rsid w:val="00C44BF5"/>
    <w:rsid w:val="00C521D6"/>
    <w:rsid w:val="00C55232"/>
    <w:rsid w:val="00C553A4"/>
    <w:rsid w:val="00C55A06"/>
    <w:rsid w:val="00C55D03"/>
    <w:rsid w:val="00C601BC"/>
    <w:rsid w:val="00C60777"/>
    <w:rsid w:val="00C6329F"/>
    <w:rsid w:val="00C63340"/>
    <w:rsid w:val="00C643F9"/>
    <w:rsid w:val="00C64E95"/>
    <w:rsid w:val="00C71372"/>
    <w:rsid w:val="00C72410"/>
    <w:rsid w:val="00C7287F"/>
    <w:rsid w:val="00C80CB8"/>
    <w:rsid w:val="00C8144D"/>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6F3"/>
    <w:rsid w:val="00CB2C0B"/>
    <w:rsid w:val="00CB517D"/>
    <w:rsid w:val="00CC038D"/>
    <w:rsid w:val="00CC08DB"/>
    <w:rsid w:val="00CC39FF"/>
    <w:rsid w:val="00CC3C2F"/>
    <w:rsid w:val="00CC4AC8"/>
    <w:rsid w:val="00CC5233"/>
    <w:rsid w:val="00CC5DE6"/>
    <w:rsid w:val="00CC6E4E"/>
    <w:rsid w:val="00CC6FE8"/>
    <w:rsid w:val="00CC7202"/>
    <w:rsid w:val="00CD2335"/>
    <w:rsid w:val="00CD2808"/>
    <w:rsid w:val="00CD28BF"/>
    <w:rsid w:val="00CD4092"/>
    <w:rsid w:val="00CD4A20"/>
    <w:rsid w:val="00CD50A1"/>
    <w:rsid w:val="00CD519E"/>
    <w:rsid w:val="00CD772A"/>
    <w:rsid w:val="00CE0C4F"/>
    <w:rsid w:val="00CE30EA"/>
    <w:rsid w:val="00CE7D1B"/>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3673"/>
    <w:rsid w:val="00D248FD"/>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7475"/>
    <w:rsid w:val="00D63F7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194C"/>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2BAD"/>
    <w:rsid w:val="00DE6E81"/>
    <w:rsid w:val="00DE703F"/>
    <w:rsid w:val="00DE7595"/>
    <w:rsid w:val="00DF1961"/>
    <w:rsid w:val="00DF2CB6"/>
    <w:rsid w:val="00DF44DE"/>
    <w:rsid w:val="00E01138"/>
    <w:rsid w:val="00E02DFB"/>
    <w:rsid w:val="00E030F9"/>
    <w:rsid w:val="00E0311A"/>
    <w:rsid w:val="00E03138"/>
    <w:rsid w:val="00E06404"/>
    <w:rsid w:val="00E11A85"/>
    <w:rsid w:val="00E12495"/>
    <w:rsid w:val="00E13F1B"/>
    <w:rsid w:val="00E15CCD"/>
    <w:rsid w:val="00E202EF"/>
    <w:rsid w:val="00E203E2"/>
    <w:rsid w:val="00E210B5"/>
    <w:rsid w:val="00E2552F"/>
    <w:rsid w:val="00E312D9"/>
    <w:rsid w:val="00E3137A"/>
    <w:rsid w:val="00E316F6"/>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3CB8"/>
    <w:rsid w:val="00E74313"/>
    <w:rsid w:val="00E74C54"/>
    <w:rsid w:val="00E76DCF"/>
    <w:rsid w:val="00E77A03"/>
    <w:rsid w:val="00E814C1"/>
    <w:rsid w:val="00E822E8"/>
    <w:rsid w:val="00E82554"/>
    <w:rsid w:val="00E82606"/>
    <w:rsid w:val="00E831C1"/>
    <w:rsid w:val="00E846C8"/>
    <w:rsid w:val="00E84957"/>
    <w:rsid w:val="00E84A55"/>
    <w:rsid w:val="00E85BFF"/>
    <w:rsid w:val="00E90391"/>
    <w:rsid w:val="00E906C2"/>
    <w:rsid w:val="00E90790"/>
    <w:rsid w:val="00E9311F"/>
    <w:rsid w:val="00E934D1"/>
    <w:rsid w:val="00E948EC"/>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7A72"/>
    <w:rsid w:val="00ED067A"/>
    <w:rsid w:val="00ED2B50"/>
    <w:rsid w:val="00EE0350"/>
    <w:rsid w:val="00EE0719"/>
    <w:rsid w:val="00EE0E80"/>
    <w:rsid w:val="00EE613F"/>
    <w:rsid w:val="00EE7295"/>
    <w:rsid w:val="00EE7869"/>
    <w:rsid w:val="00EF054A"/>
    <w:rsid w:val="00EF3235"/>
    <w:rsid w:val="00EF7E72"/>
    <w:rsid w:val="00F026BD"/>
    <w:rsid w:val="00F06D37"/>
    <w:rsid w:val="00F07B9D"/>
    <w:rsid w:val="00F11586"/>
    <w:rsid w:val="00F1183B"/>
    <w:rsid w:val="00F11C9F"/>
    <w:rsid w:val="00F12263"/>
    <w:rsid w:val="00F1409D"/>
    <w:rsid w:val="00F14214"/>
    <w:rsid w:val="00F157A9"/>
    <w:rsid w:val="00F16F00"/>
    <w:rsid w:val="00F25BB6"/>
    <w:rsid w:val="00F26B7E"/>
    <w:rsid w:val="00F27A3B"/>
    <w:rsid w:val="00F337AB"/>
    <w:rsid w:val="00F33817"/>
    <w:rsid w:val="00F37D7D"/>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8710A"/>
    <w:rsid w:val="00F9108B"/>
    <w:rsid w:val="00F91349"/>
    <w:rsid w:val="00F92C1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22C2"/>
    <w:rsid w:val="00FE3901"/>
    <w:rsid w:val="00FE39D3"/>
    <w:rsid w:val="00FE4BCE"/>
    <w:rsid w:val="00FE54AE"/>
    <w:rsid w:val="00FE576A"/>
    <w:rsid w:val="00FE7E79"/>
    <w:rsid w:val="00FF3E7D"/>
    <w:rsid w:val="00FF51E2"/>
    <w:rsid w:val="00FF59BB"/>
    <w:rsid w:val="00FF5B99"/>
    <w:rsid w:val="00FF730C"/>
    <w:rsid w:val="00FF73F4"/>
    <w:rsid w:val="00FF7CE4"/>
    <w:rsid w:val="00FF7E39"/>
    <w:rsid w:val="0B97030F"/>
    <w:rsid w:val="18D02678"/>
    <w:rsid w:val="1BCD1ECF"/>
    <w:rsid w:val="213E0B0C"/>
    <w:rsid w:val="224E1290"/>
    <w:rsid w:val="326A39BF"/>
    <w:rsid w:val="35176776"/>
    <w:rsid w:val="36403378"/>
    <w:rsid w:val="36464FF0"/>
    <w:rsid w:val="3D070656"/>
    <w:rsid w:val="425F778B"/>
    <w:rsid w:val="448624CD"/>
    <w:rsid w:val="450A14A3"/>
    <w:rsid w:val="49F330A0"/>
    <w:rsid w:val="4CD35DE7"/>
    <w:rsid w:val="4D73321D"/>
    <w:rsid w:val="51697E9A"/>
    <w:rsid w:val="58026081"/>
    <w:rsid w:val="5C502557"/>
    <w:rsid w:val="5D172CE4"/>
    <w:rsid w:val="6056251D"/>
    <w:rsid w:val="6125328D"/>
    <w:rsid w:val="62F871D5"/>
    <w:rsid w:val="63460B72"/>
    <w:rsid w:val="640F230E"/>
    <w:rsid w:val="66E80A43"/>
    <w:rsid w:val="69BB62E8"/>
    <w:rsid w:val="6C564386"/>
    <w:rsid w:val="776A74F7"/>
    <w:rsid w:val="78FC5A97"/>
    <w:rsid w:val="7D7B76FF"/>
    <w:rsid w:val="7EDF6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spacing w:before="280" w:after="290" w:line="376" w:lineRule="auto"/>
      <w:outlineLvl w:val="4"/>
    </w:pPr>
    <w:rPr>
      <w:b/>
      <w:bCs/>
      <w:sz w:val="28"/>
      <w:szCs w:val="28"/>
    </w:rPr>
  </w:style>
  <w:style w:type="paragraph" w:styleId="7">
    <w:name w:val="heading 6"/>
    <w:basedOn w:val="1"/>
    <w:next w:val="1"/>
    <w:link w:val="41"/>
    <w:qFormat/>
    <w:uiPriority w:val="0"/>
    <w:pPr>
      <w:keepNext/>
      <w:keepLines/>
      <w:spacing w:before="240" w:after="64" w:line="320" w:lineRule="auto"/>
      <w:outlineLvl w:val="5"/>
    </w:pPr>
    <w:rPr>
      <w:rFonts w:ascii="Arial" w:hAnsi="Arial" w:eastAsia="黑体"/>
      <w:b/>
      <w:bCs/>
    </w:rPr>
  </w:style>
  <w:style w:type="paragraph" w:styleId="8">
    <w:name w:val="heading 7"/>
    <w:basedOn w:val="1"/>
    <w:next w:val="1"/>
    <w:link w:val="42"/>
    <w:qFormat/>
    <w:uiPriority w:val="0"/>
    <w:pPr>
      <w:keepNext/>
      <w:keepLines/>
      <w:spacing w:before="240" w:after="64" w:line="320" w:lineRule="auto"/>
      <w:outlineLvl w:val="6"/>
    </w:pPr>
    <w:rPr>
      <w:b/>
      <w:bCs/>
    </w:rPr>
  </w:style>
  <w:style w:type="paragraph" w:styleId="9">
    <w:name w:val="heading 8"/>
    <w:basedOn w:val="1"/>
    <w:next w:val="1"/>
    <w:link w:val="43"/>
    <w:qFormat/>
    <w:uiPriority w:val="0"/>
    <w:pPr>
      <w:keepNext/>
      <w:keepLines/>
      <w:spacing w:before="240" w:after="64" w:line="320" w:lineRule="auto"/>
      <w:outlineLvl w:val="7"/>
    </w:pPr>
    <w:rPr>
      <w:rFonts w:ascii="Arial" w:hAnsi="Arial" w:eastAsia="黑体"/>
    </w:rPr>
  </w:style>
  <w:style w:type="paragraph" w:styleId="10">
    <w:name w:val="heading 9"/>
    <w:basedOn w:val="1"/>
    <w:next w:val="1"/>
    <w:link w:val="44"/>
    <w:qFormat/>
    <w:uiPriority w:val="0"/>
    <w:pPr>
      <w:keepNext/>
      <w:keepLines/>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style>
  <w:style w:type="paragraph" w:styleId="12">
    <w:name w:val="Normal Indent"/>
    <w:basedOn w:val="1"/>
    <w:qFormat/>
    <w:uiPriority w:val="0"/>
    <w:pPr>
      <w:ind w:firstLine="420"/>
    </w:pPr>
  </w:style>
  <w:style w:type="paragraph" w:styleId="13">
    <w:name w:val="Body Text"/>
    <w:basedOn w:val="1"/>
    <w:link w:val="88"/>
    <w:qFormat/>
    <w:uiPriority w:val="0"/>
    <w:pPr>
      <w:spacing w:after="120"/>
    </w:pPr>
  </w:style>
  <w:style w:type="paragraph" w:styleId="14">
    <w:name w:val="toc 5"/>
    <w:basedOn w:val="1"/>
    <w:next w:val="1"/>
    <w:unhideWhenUsed/>
    <w:qFormat/>
    <w:uiPriority w:val="39"/>
    <w:pPr>
      <w:ind w:left="839"/>
    </w:pPr>
  </w:style>
  <w:style w:type="paragraph" w:styleId="15">
    <w:name w:val="toc 3"/>
    <w:basedOn w:val="1"/>
    <w:next w:val="1"/>
    <w:unhideWhenUsed/>
    <w:qFormat/>
    <w:uiPriority w:val="39"/>
    <w:pPr>
      <w:spacing w:line="300" w:lineRule="exact"/>
      <w:ind w:left="420"/>
    </w:pPr>
  </w:style>
  <w:style w:type="paragraph" w:styleId="16">
    <w:name w:val="Balloon Text"/>
    <w:basedOn w:val="1"/>
    <w:link w:val="47"/>
    <w:semiHidden/>
    <w:unhideWhenUsed/>
    <w:qFormat/>
    <w:uiPriority w:val="99"/>
    <w:rPr>
      <w:sz w:val="18"/>
      <w:szCs w:val="18"/>
    </w:rPr>
  </w:style>
  <w:style w:type="paragraph" w:styleId="17">
    <w:name w:val="footer"/>
    <w:basedOn w:val="1"/>
    <w:link w:val="46"/>
    <w:qFormat/>
    <w:uiPriority w:val="99"/>
    <w:pPr>
      <w:tabs>
        <w:tab w:val="center" w:pos="4153"/>
        <w:tab w:val="right" w:pos="8306"/>
      </w:tabs>
      <w:snapToGrid w:val="0"/>
      <w:jc w:val="right"/>
    </w:pPr>
    <w:rPr>
      <w:sz w:val="18"/>
      <w:szCs w:val="18"/>
    </w:rPr>
  </w:style>
  <w:style w:type="paragraph" w:styleId="18">
    <w:name w:val="header"/>
    <w:basedOn w:val="1"/>
    <w:link w:val="45"/>
    <w:qFormat/>
    <w:uiPriority w:val="99"/>
    <w:pP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toc 4"/>
    <w:basedOn w:val="1"/>
    <w:next w:val="1"/>
    <w:unhideWhenUsed/>
    <w:qFormat/>
    <w:uiPriority w:val="39"/>
    <w:pPr>
      <w:tabs>
        <w:tab w:val="right" w:leader="dot" w:pos="9344"/>
      </w:tabs>
      <w:spacing w:line="300" w:lineRule="exact"/>
      <w:ind w:left="629"/>
    </w:pPr>
  </w:style>
  <w:style w:type="paragraph" w:styleId="21">
    <w:name w:val="footnote text"/>
    <w:basedOn w:val="1"/>
    <w:next w:val="1"/>
    <w:link w:val="101"/>
    <w:semiHidden/>
    <w:qFormat/>
    <w:uiPriority w:val="0"/>
    <w:pPr>
      <w:snapToGrid w:val="0"/>
      <w:spacing w:line="300" w:lineRule="exact"/>
      <w:ind w:left="400" w:leftChars="200" w:hanging="200" w:hangingChars="200"/>
    </w:pPr>
    <w:rPr>
      <w:sz w:val="18"/>
      <w:szCs w:val="18"/>
    </w:rPr>
  </w:style>
  <w:style w:type="paragraph" w:styleId="22">
    <w:name w:val="toc 6"/>
    <w:basedOn w:val="1"/>
    <w:next w:val="1"/>
    <w:unhideWhenUsed/>
    <w:qFormat/>
    <w:uiPriority w:val="39"/>
    <w:pPr>
      <w:spacing w:line="300" w:lineRule="exact"/>
      <w:ind w:left="1049"/>
    </w:pPr>
  </w:style>
  <w:style w:type="paragraph" w:styleId="23">
    <w:name w:val="table of figures"/>
    <w:basedOn w:val="1"/>
    <w:next w:val="1"/>
    <w:semiHidden/>
    <w:qFormat/>
    <w:uiPriority w:val="0"/>
  </w:style>
  <w:style w:type="paragraph" w:styleId="24">
    <w:name w:val="toc 2"/>
    <w:basedOn w:val="1"/>
    <w:next w:val="1"/>
    <w:unhideWhenUsed/>
    <w:qFormat/>
    <w:uiPriority w:val="39"/>
    <w:pPr>
      <w:tabs>
        <w:tab w:val="right" w:leader="dot" w:pos="9344"/>
      </w:tabs>
      <w:spacing w:line="300" w:lineRule="exact"/>
      <w:ind w:left="210"/>
    </w:pPr>
  </w:style>
  <w:style w:type="paragraph" w:styleId="25">
    <w:name w:val="HTML Preformatted"/>
    <w:basedOn w:val="1"/>
    <w:link w:val="23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26">
    <w:name w:val="Normal (Web)"/>
    <w:basedOn w:val="1"/>
    <w:unhideWhenUsed/>
    <w:qFormat/>
    <w:uiPriority w:val="99"/>
    <w:pPr>
      <w:spacing w:before="100" w:beforeAutospacing="1" w:after="100" w:afterAutospacing="1"/>
    </w:p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rFonts w:ascii="Times New Roman" w:hAnsi="Times New Roman" w:eastAsia="宋体" w:cs="Times New Roman"/>
      <w:b/>
      <w:bCs/>
      <w:kern w:val="44"/>
      <w:sz w:val="44"/>
      <w:szCs w:val="44"/>
    </w:rPr>
  </w:style>
  <w:style w:type="character" w:customStyle="1" w:styleId="37">
    <w:name w:val="标题 2 字符"/>
    <w:link w:val="3"/>
    <w:qFormat/>
    <w:uiPriority w:val="0"/>
    <w:rPr>
      <w:rFonts w:ascii="Arial" w:hAnsi="Arial" w:eastAsia="黑体" w:cs="Times New Roman"/>
      <w:b/>
      <w:bCs/>
      <w:sz w:val="32"/>
      <w:szCs w:val="32"/>
    </w:rPr>
  </w:style>
  <w:style w:type="character" w:customStyle="1" w:styleId="38">
    <w:name w:val="标题 3 字符"/>
    <w:link w:val="4"/>
    <w:qFormat/>
    <w:uiPriority w:val="0"/>
    <w:rPr>
      <w:rFonts w:ascii="Times New Roman" w:hAnsi="Times New Roman" w:eastAsia="宋体" w:cs="Times New Roman"/>
      <w:b/>
      <w:bCs/>
      <w:sz w:val="32"/>
      <w:szCs w:val="32"/>
    </w:rPr>
  </w:style>
  <w:style w:type="character" w:customStyle="1" w:styleId="39">
    <w:name w:val="标题 4 字符"/>
    <w:link w:val="5"/>
    <w:qFormat/>
    <w:uiPriority w:val="0"/>
    <w:rPr>
      <w:rFonts w:ascii="Arial" w:hAnsi="Arial" w:eastAsia="黑体" w:cs="Times New Roman"/>
      <w:b/>
      <w:bCs/>
      <w:sz w:val="28"/>
      <w:szCs w:val="28"/>
    </w:rPr>
  </w:style>
  <w:style w:type="character" w:customStyle="1" w:styleId="40">
    <w:name w:val="标题 5 字符"/>
    <w:link w:val="6"/>
    <w:qFormat/>
    <w:uiPriority w:val="0"/>
    <w:rPr>
      <w:rFonts w:ascii="Times New Roman" w:hAnsi="Times New Roman" w:eastAsia="宋体" w:cs="Times New Roman"/>
      <w:b/>
      <w:bCs/>
      <w:sz w:val="28"/>
      <w:szCs w:val="28"/>
    </w:rPr>
  </w:style>
  <w:style w:type="character" w:customStyle="1" w:styleId="41">
    <w:name w:val="标题 6 字符"/>
    <w:link w:val="7"/>
    <w:qFormat/>
    <w:uiPriority w:val="0"/>
    <w:rPr>
      <w:rFonts w:ascii="Arial" w:hAnsi="Arial" w:eastAsia="黑体" w:cs="Times New Roman"/>
      <w:b/>
      <w:bCs/>
      <w:sz w:val="24"/>
      <w:szCs w:val="24"/>
    </w:rPr>
  </w:style>
  <w:style w:type="character" w:customStyle="1" w:styleId="42">
    <w:name w:val="标题 7 字符"/>
    <w:link w:val="8"/>
    <w:qFormat/>
    <w:uiPriority w:val="0"/>
    <w:rPr>
      <w:rFonts w:ascii="Times New Roman" w:hAnsi="Times New Roman" w:eastAsia="宋体" w:cs="Times New Roman"/>
      <w:b/>
      <w:bCs/>
      <w:sz w:val="24"/>
      <w:szCs w:val="24"/>
    </w:rPr>
  </w:style>
  <w:style w:type="character" w:customStyle="1" w:styleId="43">
    <w:name w:val="标题 8 字符"/>
    <w:link w:val="9"/>
    <w:qFormat/>
    <w:uiPriority w:val="0"/>
    <w:rPr>
      <w:rFonts w:ascii="Arial" w:hAnsi="Arial" w:eastAsia="黑体" w:cs="Times New Roman"/>
      <w:sz w:val="24"/>
      <w:szCs w:val="24"/>
    </w:rPr>
  </w:style>
  <w:style w:type="character" w:customStyle="1" w:styleId="44">
    <w:name w:val="标题 9 字符"/>
    <w:link w:val="10"/>
    <w:qFormat/>
    <w:uiPriority w:val="0"/>
    <w:rPr>
      <w:rFonts w:ascii="Arial" w:hAnsi="Arial" w:eastAsia="黑体" w:cs="Times New Roman"/>
      <w:szCs w:val="21"/>
    </w:rPr>
  </w:style>
  <w:style w:type="character" w:customStyle="1" w:styleId="45">
    <w:name w:val="页眉 字符"/>
    <w:link w:val="18"/>
    <w:qFormat/>
    <w:uiPriority w:val="99"/>
    <w:rPr>
      <w:rFonts w:ascii="Times New Roman" w:hAnsi="Times New Roman" w:eastAsia="宋体" w:cs="Times New Roman"/>
      <w:sz w:val="18"/>
      <w:szCs w:val="18"/>
    </w:rPr>
  </w:style>
  <w:style w:type="character" w:customStyle="1" w:styleId="46">
    <w:name w:val="页脚 字符"/>
    <w:link w:val="17"/>
    <w:qFormat/>
    <w:uiPriority w:val="99"/>
    <w:rPr>
      <w:rFonts w:ascii="宋体" w:hAnsi="Times New Roman" w:eastAsia="宋体" w:cs="Times New Roman"/>
      <w:sz w:val="18"/>
      <w:szCs w:val="18"/>
    </w:rPr>
  </w:style>
  <w:style w:type="character" w:customStyle="1" w:styleId="47">
    <w:name w:val="批注框文本 字符"/>
    <w:link w:val="16"/>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rPr>
  </w:style>
  <w:style w:type="character" w:customStyle="1" w:styleId="50">
    <w:name w:val="标题 字符"/>
    <w:link w:val="27"/>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eastAsia="黑体"/>
    </w:rPr>
  </w:style>
  <w:style w:type="paragraph" w:customStyle="1" w:styleId="57">
    <w:name w:val="标准文件_标准正文"/>
    <w:basedOn w:val="1"/>
    <w:next w:val="58"/>
    <w:qFormat/>
    <w:uiPriority w:val="0"/>
    <w:pPr>
      <w:snapToGrid w:val="0"/>
      <w:ind w:firstLine="200" w:firstLineChars="200"/>
    </w:p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snapToGrid/>
      <w:ind w:firstLine="0" w:firstLineChars="0"/>
    </w:pPr>
    <w:rPr>
      <w:kern w:val="2"/>
    </w:rPr>
  </w:style>
  <w:style w:type="paragraph" w:customStyle="1" w:styleId="60">
    <w:name w:val="标准文件_标准部门"/>
    <w:basedOn w:val="1"/>
    <w:qFormat/>
    <w:uiPriority w:val="0"/>
    <w:pPr>
      <w:jc w:val="center"/>
    </w:pPr>
    <w:rPr>
      <w:rFonts w:ascii="黑体" w:eastAsia="黑体"/>
      <w:sz w:val="44"/>
    </w:rPr>
  </w:style>
  <w:style w:type="paragraph" w:customStyle="1" w:styleId="61">
    <w:name w:val="标准文件_标准代替"/>
    <w:basedOn w:val="1"/>
    <w:next w:val="1"/>
    <w:qFormat/>
    <w:uiPriority w:val="0"/>
    <w:pPr>
      <w:spacing w:line="310" w:lineRule="exact"/>
      <w:jc w:val="right"/>
    </w:pPr>
  </w:style>
  <w:style w:type="paragraph" w:customStyle="1" w:styleId="62">
    <w:name w:val="标准文件_标准名称标题"/>
    <w:basedOn w:val="1"/>
    <w:next w:val="1"/>
    <w:qFormat/>
    <w:uiPriority w:val="0"/>
    <w:pPr>
      <w:shd w:val="clear" w:color="FFFFFF" w:fill="FFFFFF"/>
      <w:spacing w:before="640" w:after="100"/>
      <w:jc w:val="center"/>
    </w:pPr>
    <w:rPr>
      <w:rFonts w:ascii="黑体" w:eastAsia="黑体"/>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shd w:val="clear" w:color="FFFFFF" w:fill="FFFFFF"/>
      <w:spacing w:before="40" w:beforeLines="40" w:after="50" w:afterLines="50"/>
      <w:jc w:val="center"/>
      <w:outlineLvl w:val="0"/>
    </w:pPr>
    <w:rPr>
      <w:rFonts w:ascii="黑体" w:eastAsia="黑体"/>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sz w:val="28"/>
    </w:rPr>
  </w:style>
  <w:style w:type="paragraph" w:customStyle="1" w:styleId="71">
    <w:name w:val="标准文件_封面标准分类号"/>
    <w:basedOn w:val="1"/>
    <w:qFormat/>
    <w:uiPriority w:val="0"/>
    <w:rPr>
      <w:rFonts w:ascii="黑体" w:eastAsia="黑体"/>
      <w:b/>
      <w:sz w:val="28"/>
    </w:rPr>
  </w:style>
  <w:style w:type="paragraph" w:customStyle="1" w:styleId="72">
    <w:name w:val="标准文件_封面标准名称"/>
    <w:basedOn w:val="1"/>
    <w:qFormat/>
    <w:uiPriority w:val="0"/>
    <w:pPr>
      <w:jc w:val="center"/>
    </w:pPr>
    <w:rPr>
      <w:rFonts w:ascii="黑体" w:eastAsia="黑体"/>
      <w:sz w:val="52"/>
    </w:rPr>
  </w:style>
  <w:style w:type="paragraph" w:customStyle="1" w:styleId="73">
    <w:name w:val="标准文件_封面标准英文名称"/>
    <w:basedOn w:val="1"/>
    <w:qFormat/>
    <w:uiPriority w:val="0"/>
    <w:pPr>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ind w:right="-51" w:firstLine="0" w:firstLineChars="0"/>
    </w:p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3"/>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pPr>
  </w:style>
  <w:style w:type="paragraph" w:customStyle="1" w:styleId="93">
    <w:name w:val="标准文件_目录标题"/>
    <w:basedOn w:val="1"/>
    <w:qFormat/>
    <w:uiPriority w:val="0"/>
    <w:pPr>
      <w:spacing w:after="150" w:afterLines="150"/>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ind w:left="0" w:firstLine="200"/>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ind w:firstLine="200" w:firstLineChars="200"/>
    </w:pPr>
    <w:rPr>
      <w:sz w:val="18"/>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1"/>
    <w:semiHidden/>
    <w:qFormat/>
    <w:uiPriority w:val="0"/>
    <w:rPr>
      <w:rFonts w:ascii="宋体" w:hAnsi="Times New Roman" w:eastAsia="宋体" w:cs="Times New Roman"/>
      <w:sz w:val="18"/>
      <w:szCs w:val="18"/>
    </w:rPr>
  </w:style>
  <w:style w:type="paragraph" w:customStyle="1" w:styleId="102">
    <w:name w:val="标准文件_条文脚注"/>
    <w:basedOn w:val="21"/>
    <w:qFormat/>
    <w:uiPriority w:val="0"/>
    <w:pPr>
      <w:adjustRightInd w:val="0"/>
      <w:spacing w:line="240" w:lineRule="auto"/>
      <w:ind w:left="0" w:leftChars="0" w:firstLine="200" w:firstLineChars="200"/>
      <w:jc w:val="both"/>
    </w:pPr>
  </w:style>
  <w:style w:type="paragraph" w:customStyle="1" w:styleId="103">
    <w:name w:val="标准文件_图表脚注"/>
    <w:basedOn w:val="1"/>
    <w:next w:val="58"/>
    <w:qFormat/>
    <w:uiPriority w:val="0"/>
    <w:pPr>
      <w:numPr>
        <w:ilvl w:val="0"/>
        <w:numId w:val="12"/>
      </w:numPr>
    </w:pPr>
    <w:rPr>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snapToGrid/>
      <w:ind w:left="79" w:hanging="79" w:hangingChars="80"/>
    </w:p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pPr>
    <w:rPr>
      <w:sz w:val="18"/>
      <w:szCs w:val="20"/>
    </w:rPr>
  </w:style>
  <w:style w:type="paragraph" w:customStyle="1" w:styleId="113">
    <w:name w:val="标准文件_英文注×："/>
    <w:basedOn w:val="1"/>
    <w:qFormat/>
    <w:uiPriority w:val="0"/>
    <w:pPr>
      <w:numPr>
        <w:ilvl w:val="0"/>
        <w:numId w:val="15"/>
      </w:numPr>
      <w:tabs>
        <w:tab w:val="left" w:pos="210"/>
      </w:tabs>
      <w:autoSpaceDE w:val="0"/>
      <w:autoSpaceDN w:val="0"/>
    </w:pPr>
    <w:rPr>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p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p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hAnsi="Times New Roman"/>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ordWrap w:val="0"/>
      <w:overflowPunct w:val="0"/>
      <w:autoSpaceDE w:val="0"/>
      <w:autoSpaceDN w:val="0"/>
      <w:textAlignment w:val="baseline"/>
      <w:outlineLvl w:val="3"/>
    </w:pPr>
    <w:rPr>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rPr>
      <w:bCs/>
      <w:iCs/>
    </w:rPr>
  </w:style>
  <w:style w:type="paragraph" w:customStyle="1" w:styleId="145">
    <w:name w:val="目录 31"/>
    <w:basedOn w:val="1"/>
    <w:next w:val="1"/>
    <w:semiHidden/>
    <w:qFormat/>
    <w:uiPriority w:val="0"/>
    <w:rPr>
      <w:iCs/>
    </w:rPr>
  </w:style>
  <w:style w:type="paragraph" w:customStyle="1" w:styleId="146">
    <w:name w:val="目录 41"/>
    <w:basedOn w:val="1"/>
    <w:next w:val="1"/>
    <w:semiHidden/>
    <w:qFormat/>
    <w:uiPriority w:val="0"/>
  </w:style>
  <w:style w:type="paragraph" w:customStyle="1" w:styleId="147">
    <w:name w:val="目录 51"/>
    <w:basedOn w:val="1"/>
    <w:next w:val="1"/>
    <w:semiHidden/>
    <w:qFormat/>
    <w:uiPriority w:val="0"/>
  </w:style>
  <w:style w:type="paragraph" w:customStyle="1" w:styleId="148">
    <w:name w:val="目录 61"/>
    <w:basedOn w:val="1"/>
    <w:next w:val="1"/>
    <w:semiHidden/>
    <w:qFormat/>
    <w:uiPriority w:val="0"/>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p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p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pPr>
  </w:style>
  <w:style w:type="paragraph" w:customStyle="1" w:styleId="161">
    <w:name w:val="一级无标题条"/>
    <w:basedOn w:val="1"/>
    <w:qFormat/>
    <w:uiPriority w:val="0"/>
    <w:pPr>
      <w:numPr>
        <w:ilvl w:val="2"/>
        <w:numId w:val="20"/>
      </w:numPr>
      <w:spacing w:before="10" w:after="10"/>
    </w:p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ind w:left="783"/>
    </w:pPr>
    <w:rPr>
      <w:rFonts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numPr>
        <w:ilvl w:val="0"/>
        <w:numId w:val="29"/>
      </w:numPr>
    </w:pPr>
    <w:rPr>
      <w:rFonts w:hAnsi="Times New Roman"/>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left="1271" w:hanging="420" w:firstLineChars="0"/>
    </w:pPr>
  </w:style>
  <w:style w:type="paragraph" w:customStyle="1" w:styleId="190">
    <w:name w:val="标准文件_三级项2"/>
    <w:basedOn w:val="58"/>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next w:val="58"/>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character" w:customStyle="1" w:styleId="232">
    <w:name w:val="HTML 预设格式 字符"/>
    <w:basedOn w:val="30"/>
    <w:link w:val="25"/>
    <w:semiHidden/>
    <w:qFormat/>
    <w:uiPriority w:val="99"/>
    <w:rPr>
      <w:rFonts w:ascii="宋体" w:hAnsi="宋体" w:cs="宋体"/>
      <w:sz w:val="24"/>
      <w:szCs w:val="24"/>
    </w:rPr>
  </w:style>
  <w:style w:type="paragraph" w:customStyle="1" w:styleId="23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C8E9EE74B93451B982C5DB310FCE558"/>
        <w:style w:val=""/>
        <w:category>
          <w:name w:val="常规"/>
          <w:gallery w:val="placeholder"/>
        </w:category>
        <w:types>
          <w:type w:val="bbPlcHdr"/>
        </w:types>
        <w:behaviors>
          <w:behavior w:val="content"/>
        </w:behaviors>
        <w:description w:val=""/>
        <w:guid w:val="{6BE5AC05-4656-4F6E-AB95-46464959FE17}"/>
      </w:docPartPr>
      <w:docPartBody>
        <w:p>
          <w:pPr>
            <w:pStyle w:val="5"/>
          </w:pPr>
          <w:r>
            <w:rPr>
              <w:rStyle w:val="4"/>
              <w:rFonts w:hint="eastAsia"/>
            </w:rPr>
            <w:t>单击或点击此处输入文字。</w:t>
          </w:r>
        </w:p>
      </w:docPartBody>
    </w:docPart>
    <w:docPart>
      <w:docPartPr>
        <w:name w:val="E29CF24E79564E4A8D671E41FCDD3388"/>
        <w:style w:val=""/>
        <w:category>
          <w:name w:val="常规"/>
          <w:gallery w:val="placeholder"/>
        </w:category>
        <w:types>
          <w:type w:val="bbPlcHdr"/>
        </w:types>
        <w:behaviors>
          <w:behavior w:val="content"/>
        </w:behaviors>
        <w:description w:val=""/>
        <w:guid w:val="{029E0CBA-C20C-4769-A95E-702C351543D9}"/>
      </w:docPartPr>
      <w:docPartBody>
        <w:p>
          <w:pPr>
            <w:pStyle w:val="6"/>
          </w:pPr>
          <w:r>
            <w:rPr>
              <w:rStyle w:val="4"/>
              <w:rFonts w:hint="eastAsia"/>
            </w:rPr>
            <w:t>选择一项。</w:t>
          </w:r>
        </w:p>
      </w:docPartBody>
    </w:docPart>
    <w:docPart>
      <w:docPartPr>
        <w:name w:val="C4D3ADAF7EB14BA8967C4E0370AADC57"/>
        <w:style w:val=""/>
        <w:category>
          <w:name w:val="常规"/>
          <w:gallery w:val="placeholder"/>
        </w:category>
        <w:types>
          <w:type w:val="bbPlcHdr"/>
        </w:types>
        <w:behaviors>
          <w:behavior w:val="content"/>
        </w:behaviors>
        <w:description w:val=""/>
        <w:guid w:val="{923714E5-7C4B-4436-84AD-A3E3D4AFB91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5AA"/>
    <w:rsid w:val="00027910"/>
    <w:rsid w:val="003A78DB"/>
    <w:rsid w:val="00596057"/>
    <w:rsid w:val="009061C6"/>
    <w:rsid w:val="00AB5FE2"/>
    <w:rsid w:val="00AD08DC"/>
    <w:rsid w:val="00BB5F66"/>
    <w:rsid w:val="00C7751A"/>
    <w:rsid w:val="00D775AA"/>
    <w:rsid w:val="00E51802"/>
    <w:rsid w:val="00F6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C8E9EE74B93451B982C5DB310FCE5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29CF24E79564E4A8D671E41FCDD33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4D3ADAF7EB14BA8967C4E0370AADC5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20114-0F15-4742-BC8F-0E15D1D3F643}">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8</Pages>
  <Words>3133</Words>
  <Characters>3919</Characters>
  <Lines>33</Lines>
  <Paragraphs>9</Paragraphs>
  <TotalTime>66</TotalTime>
  <ScaleCrop>false</ScaleCrop>
  <LinksUpToDate>false</LinksUpToDate>
  <CharactersWithSpaces>4095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2021-06-24T02:16:00Z</dcterms:created>
  <dc:creator>hujing</dc:creator>
  <dc:description>&lt;config cover="true" show_menu="true" version="1.0.0" doctype="SDKXY"&gt;_x000d_
&lt;/config&gt;</dc:description>
  <cp:lastModifiedBy>综合业务部</cp:lastModifiedBy>
  <cp:lastPrinted>2021-02-02T08:22:00Z</cp:lastPrinted>
  <dcterms:modified xsi:type="dcterms:W3CDTF">2022-06-10T07:09:33Z</dcterms:modified>
  <dc:title>团体标准</dc:title>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2052-11.1.0.11744</vt:lpwstr>
  </property>
  <property fmtid="{D5CDD505-2E9C-101B-9397-08002B2CF9AE}" pid="15" name="ICV">
    <vt:lpwstr>69BB8A9D669A4F90A0D1A737C113CA38</vt:lpwstr>
  </property>
</Properties>
</file>