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center" w:pos="4201"/>
          <w:tab w:val="right" w:leader="dot" w:pos="9298"/>
        </w:tabs>
        <w:rPr>
          <w:rFonts w:ascii="仿宋" w:hAnsi="仿宋" w:eastAsia="仿宋" w:cs="仿宋"/>
          <w:sz w:val="32"/>
          <w:szCs w:val="32"/>
        </w:rPr>
      </w:pPr>
      <w:r>
        <w:rPr>
          <w:rFonts w:hint="eastAsia" w:ascii="仿宋" w:hAnsi="仿宋" w:eastAsia="仿宋" w:cs="仿宋"/>
          <w:sz w:val="32"/>
          <w:szCs w:val="32"/>
        </w:rPr>
        <w:t xml:space="preserve">附件：  </w:t>
      </w:r>
      <w:r>
        <w:rPr>
          <w:rFonts w:hint="eastAsia" w:hAnsi="宋体"/>
        </w:rPr>
        <w:t xml:space="preserve">     </w:t>
      </w:r>
    </w:p>
    <w:p>
      <w:pPr>
        <w:pStyle w:val="13"/>
        <w:tabs>
          <w:tab w:val="center" w:pos="4201"/>
          <w:tab w:val="right" w:leader="dot" w:pos="9298"/>
        </w:tabs>
        <w:ind w:firstLine="3200" w:firstLineChars="1000"/>
        <w:rPr>
          <w:rFonts w:ascii="仿宋" w:hAnsi="仿宋" w:eastAsia="仿宋" w:cs="仿宋"/>
          <w:sz w:val="32"/>
          <w:szCs w:val="32"/>
        </w:rPr>
      </w:pPr>
      <w:r>
        <w:rPr>
          <w:rFonts w:hint="eastAsia" w:ascii="仿宋" w:hAnsi="仿宋" w:eastAsia="仿宋" w:cs="仿宋"/>
          <w:sz w:val="32"/>
          <w:szCs w:val="32"/>
        </w:rPr>
        <w:t>8项</w:t>
      </w:r>
      <w:bookmarkStart w:id="0" w:name="_GoBack"/>
      <w:bookmarkEnd w:id="0"/>
      <w:r>
        <w:rPr>
          <w:rFonts w:hint="eastAsia" w:ascii="仿宋" w:hAnsi="仿宋" w:eastAsia="仿宋" w:cs="仿宋"/>
          <w:sz w:val="32"/>
          <w:szCs w:val="32"/>
        </w:rPr>
        <w:t>团体标准编号、名称、主要内容等一览表</w:t>
      </w:r>
    </w:p>
    <w:p>
      <w:pPr>
        <w:pStyle w:val="13"/>
        <w:tabs>
          <w:tab w:val="center" w:pos="4201"/>
          <w:tab w:val="right" w:leader="dot" w:pos="9298"/>
        </w:tabs>
        <w:ind w:firstLine="0" w:firstLineChars="0"/>
        <w:rPr>
          <w:rFonts w:hAnsi="宋体"/>
        </w:rPr>
      </w:pPr>
    </w:p>
    <w:tbl>
      <w:tblPr>
        <w:tblStyle w:val="8"/>
        <w:tblW w:w="13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298"/>
        <w:gridCol w:w="2432"/>
        <w:gridCol w:w="4688"/>
        <w:gridCol w:w="1178"/>
        <w:gridCol w:w="11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3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序号</w:t>
            </w:r>
          </w:p>
        </w:tc>
        <w:tc>
          <w:tcPr>
            <w:tcW w:w="2298"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标准编号</w:t>
            </w:r>
          </w:p>
        </w:tc>
        <w:tc>
          <w:tcPr>
            <w:tcW w:w="2432"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标准名称</w:t>
            </w:r>
          </w:p>
        </w:tc>
        <w:tc>
          <w:tcPr>
            <w:tcW w:w="4688"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标准主要内容</w:t>
            </w:r>
          </w:p>
        </w:tc>
        <w:tc>
          <w:tcPr>
            <w:tcW w:w="1178"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代替标准</w:t>
            </w:r>
          </w:p>
        </w:tc>
        <w:tc>
          <w:tcPr>
            <w:tcW w:w="1193"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采标情况</w:t>
            </w:r>
          </w:p>
        </w:tc>
        <w:tc>
          <w:tcPr>
            <w:tcW w:w="109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36" w:type="dxa"/>
            <w:vAlign w:val="center"/>
          </w:tcPr>
          <w:p>
            <w:pPr>
              <w:pStyle w:val="13"/>
              <w:tabs>
                <w:tab w:val="center" w:pos="4201"/>
                <w:tab w:val="right" w:leader="dot" w:pos="9298"/>
              </w:tabs>
              <w:ind w:firstLine="210" w:firstLineChars="100"/>
              <w:jc w:val="left"/>
              <w:rPr>
                <w:rFonts w:ascii="仿宋" w:hAnsi="仿宋" w:eastAsia="仿宋" w:cs="仿宋"/>
              </w:rPr>
            </w:pPr>
            <w:r>
              <w:rPr>
                <w:rFonts w:hint="eastAsia" w:ascii="仿宋" w:hAnsi="仿宋" w:eastAsia="仿宋" w:cs="仿宋"/>
              </w:rPr>
              <w:t>1</w:t>
            </w:r>
          </w:p>
        </w:tc>
        <w:tc>
          <w:tcPr>
            <w:tcW w:w="2298" w:type="dxa"/>
            <w:vAlign w:val="center"/>
          </w:tcPr>
          <w:p>
            <w:pPr>
              <w:pStyle w:val="13"/>
              <w:tabs>
                <w:tab w:val="center" w:pos="4201"/>
                <w:tab w:val="right" w:leader="dot" w:pos="9298"/>
              </w:tabs>
              <w:ind w:firstLine="0" w:firstLineChars="0"/>
              <w:rPr>
                <w:rFonts w:ascii="仿宋" w:hAnsi="仿宋" w:eastAsia="仿宋" w:cs="仿宋"/>
              </w:rPr>
            </w:pPr>
            <w:r>
              <w:rPr>
                <w:rFonts w:hint="eastAsia" w:ascii="仿宋" w:hAnsi="仿宋" w:eastAsia="仿宋" w:cs="仿宋"/>
              </w:rPr>
              <w:t>T/CNLIC  0038-2021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家用电冰箱 除乙烯功能试验方法及评价要求</w:t>
            </w:r>
          </w:p>
        </w:tc>
        <w:tc>
          <w:tcPr>
            <w:tcW w:w="468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本文件规定了家用电冰箱除乙烯功能的术语和定义、技术要求、试验方法及评价要求。</w:t>
            </w:r>
          </w:p>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本文件适用于声称具有除乙烯功能的家用电冰箱及其功能部件（模块）除乙烯功能的测试及评价。</w:t>
            </w:r>
          </w:p>
        </w:tc>
        <w:tc>
          <w:tcPr>
            <w:tcW w:w="117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36" w:type="dxa"/>
            <w:vAlign w:val="center"/>
          </w:tcPr>
          <w:p>
            <w:pPr>
              <w:pStyle w:val="13"/>
              <w:tabs>
                <w:tab w:val="center" w:pos="4201"/>
                <w:tab w:val="right" w:leader="dot" w:pos="9298"/>
              </w:tabs>
              <w:ind w:firstLine="210" w:firstLineChars="100"/>
              <w:jc w:val="left"/>
              <w:rPr>
                <w:rFonts w:ascii="仿宋" w:hAnsi="仿宋" w:eastAsia="仿宋" w:cs="仿宋"/>
              </w:rPr>
            </w:pPr>
            <w:r>
              <w:rPr>
                <w:rFonts w:hint="eastAsia" w:ascii="仿宋" w:hAnsi="仿宋" w:eastAsia="仿宋" w:cs="仿宋"/>
              </w:rPr>
              <w:t>2</w:t>
            </w:r>
          </w:p>
        </w:tc>
        <w:tc>
          <w:tcPr>
            <w:tcW w:w="2298" w:type="dxa"/>
            <w:vAlign w:val="center"/>
          </w:tcPr>
          <w:p>
            <w:pPr>
              <w:pStyle w:val="13"/>
              <w:tabs>
                <w:tab w:val="center" w:pos="4201"/>
                <w:tab w:val="right" w:leader="dot" w:pos="9298"/>
              </w:tabs>
              <w:ind w:firstLine="0" w:firstLineChars="0"/>
              <w:rPr>
                <w:rFonts w:ascii="仿宋" w:hAnsi="仿宋" w:eastAsia="仿宋" w:cs="仿宋"/>
              </w:rPr>
            </w:pPr>
            <w:r>
              <w:rPr>
                <w:rFonts w:hint="eastAsia" w:ascii="仿宋" w:hAnsi="仿宋" w:eastAsia="仿宋" w:cs="仿宋"/>
              </w:rPr>
              <w:t>T/CNLIC  0039-2021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家用电冰箱 冷冻室除菌功能试验方法及评价要求</w:t>
            </w:r>
          </w:p>
        </w:tc>
        <w:tc>
          <w:tcPr>
            <w:tcW w:w="468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本文件规定了家用电冰箱冷冻室除菌功能的术语和定义、技术要求、试验方法及评价要求。</w:t>
            </w:r>
          </w:p>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本文件适用于声称具有冷冻室除菌功能的家用电冰箱除菌功能的测试及评价。</w:t>
            </w:r>
          </w:p>
        </w:tc>
        <w:tc>
          <w:tcPr>
            <w:tcW w:w="117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636" w:type="dxa"/>
            <w:vAlign w:val="center"/>
          </w:tcPr>
          <w:p>
            <w:pPr>
              <w:pStyle w:val="13"/>
              <w:tabs>
                <w:tab w:val="center" w:pos="4201"/>
                <w:tab w:val="right" w:leader="dot" w:pos="9298"/>
              </w:tabs>
              <w:ind w:firstLine="210" w:firstLineChars="100"/>
              <w:rPr>
                <w:rFonts w:ascii="仿宋" w:hAnsi="仿宋" w:eastAsia="仿宋" w:cs="仿宋"/>
              </w:rPr>
            </w:pPr>
            <w:r>
              <w:rPr>
                <w:rFonts w:hint="eastAsia" w:ascii="仿宋" w:hAnsi="仿宋" w:eastAsia="仿宋" w:cs="仿宋"/>
              </w:rPr>
              <w:t>3</w:t>
            </w:r>
          </w:p>
        </w:tc>
        <w:tc>
          <w:tcPr>
            <w:tcW w:w="2298" w:type="dxa"/>
            <w:vAlign w:val="center"/>
          </w:tcPr>
          <w:p>
            <w:pPr>
              <w:pStyle w:val="13"/>
              <w:tabs>
                <w:tab w:val="center" w:pos="4201"/>
                <w:tab w:val="right" w:leader="dot" w:pos="9298"/>
              </w:tabs>
              <w:ind w:firstLine="0" w:firstLineChars="0"/>
              <w:rPr>
                <w:rFonts w:ascii="仿宋" w:hAnsi="仿宋" w:eastAsia="仿宋" w:cs="仿宋"/>
              </w:rPr>
            </w:pPr>
            <w:r>
              <w:rPr>
                <w:rFonts w:hint="eastAsia" w:ascii="仿宋" w:hAnsi="仿宋" w:eastAsia="仿宋" w:cs="仿宋"/>
              </w:rPr>
              <w:t>T/CNLIC  0040-2021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家用电冰箱 婴幼儿食品储藏功能试验方法及评价要求</w:t>
            </w:r>
          </w:p>
        </w:tc>
        <w:tc>
          <w:tcPr>
            <w:tcW w:w="468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本文件规定了家用电冰箱婴幼儿食品储藏功能的术语和定义、技术要求、试验方法及评价要求。</w:t>
            </w:r>
          </w:p>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本文件适用于声称具有婴幼儿食品储藏功能的家用电冰箱婴幼儿食品储藏功能的测试及评价。</w:t>
            </w:r>
          </w:p>
        </w:tc>
        <w:tc>
          <w:tcPr>
            <w:tcW w:w="117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636" w:type="dxa"/>
            <w:vAlign w:val="center"/>
          </w:tcPr>
          <w:p>
            <w:pPr>
              <w:pStyle w:val="13"/>
              <w:tabs>
                <w:tab w:val="center" w:pos="4201"/>
                <w:tab w:val="right" w:leader="dot" w:pos="9298"/>
              </w:tabs>
              <w:ind w:firstLine="210" w:firstLineChars="100"/>
              <w:rPr>
                <w:rFonts w:ascii="仿宋" w:hAnsi="仿宋" w:eastAsia="仿宋" w:cs="仿宋"/>
              </w:rPr>
            </w:pPr>
            <w:r>
              <w:rPr>
                <w:rFonts w:hint="eastAsia" w:ascii="仿宋" w:hAnsi="仿宋" w:eastAsia="仿宋" w:cs="仿宋"/>
              </w:rPr>
              <w:t>4</w:t>
            </w:r>
          </w:p>
        </w:tc>
        <w:tc>
          <w:tcPr>
            <w:tcW w:w="2298" w:type="dxa"/>
            <w:vAlign w:val="center"/>
          </w:tcPr>
          <w:p>
            <w:pPr>
              <w:pStyle w:val="13"/>
              <w:tabs>
                <w:tab w:val="center" w:pos="4201"/>
                <w:tab w:val="right" w:leader="dot" w:pos="9298"/>
              </w:tabs>
              <w:ind w:firstLine="0" w:firstLineChars="0"/>
              <w:rPr>
                <w:rFonts w:ascii="仿宋" w:hAnsi="仿宋" w:eastAsia="仿宋" w:cs="仿宋"/>
              </w:rPr>
            </w:pPr>
            <w:r>
              <w:rPr>
                <w:rFonts w:hint="eastAsia" w:ascii="仿宋" w:hAnsi="仿宋" w:eastAsia="仿宋" w:cs="仿宋"/>
              </w:rPr>
              <w:t>T/CNLIC  0041-2021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绿色设计产品评价技术规范 酱油</w:t>
            </w:r>
          </w:p>
        </w:tc>
        <w:tc>
          <w:tcPr>
            <w:tcW w:w="468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本标准规定了酱油绿色设计产品的术语和定义、评价要求、产品生命周期评价报告编制方法和评价方法。</w:t>
            </w:r>
          </w:p>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本标准适用于以非转基因大豆、小麦粉为主要原料，经微生物发酵制成的具有特殊色、香、味的酱油的绿色设计产品评价。</w:t>
            </w:r>
          </w:p>
        </w:tc>
        <w:tc>
          <w:tcPr>
            <w:tcW w:w="117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36" w:type="dxa"/>
            <w:vAlign w:val="center"/>
          </w:tcPr>
          <w:p>
            <w:pPr>
              <w:pStyle w:val="13"/>
              <w:tabs>
                <w:tab w:val="center" w:pos="4201"/>
                <w:tab w:val="right" w:leader="dot" w:pos="9298"/>
              </w:tabs>
              <w:ind w:firstLine="210" w:firstLineChars="100"/>
              <w:rPr>
                <w:rFonts w:ascii="仿宋" w:hAnsi="仿宋" w:eastAsia="仿宋" w:cs="仿宋"/>
              </w:rPr>
            </w:pPr>
            <w:r>
              <w:rPr>
                <w:rFonts w:hint="eastAsia" w:ascii="仿宋" w:hAnsi="仿宋" w:eastAsia="仿宋" w:cs="仿宋"/>
              </w:rPr>
              <w:t>5</w:t>
            </w:r>
          </w:p>
        </w:tc>
        <w:tc>
          <w:tcPr>
            <w:tcW w:w="2298" w:type="dxa"/>
            <w:vAlign w:val="center"/>
          </w:tcPr>
          <w:p>
            <w:pPr>
              <w:pStyle w:val="13"/>
              <w:tabs>
                <w:tab w:val="center" w:pos="4201"/>
                <w:tab w:val="right" w:leader="dot" w:pos="9298"/>
              </w:tabs>
              <w:ind w:firstLine="0" w:firstLineChars="0"/>
              <w:rPr>
                <w:rFonts w:ascii="仿宋" w:hAnsi="仿宋" w:eastAsia="仿宋" w:cs="仿宋"/>
              </w:rPr>
            </w:pPr>
            <w:r>
              <w:rPr>
                <w:rFonts w:hint="eastAsia" w:ascii="仿宋" w:hAnsi="仿宋" w:eastAsia="仿宋" w:cs="仿宋"/>
              </w:rPr>
              <w:t>T/CNLIC  0042-2021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绿色设计产品评价技术规范 蚝油</w:t>
            </w:r>
          </w:p>
        </w:tc>
        <w:tc>
          <w:tcPr>
            <w:tcW w:w="468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本标准规定了蚝油绿色设计产品的术语和定义、评价要求、产品生命周期评价报告编制方法和评价方法。</w:t>
            </w:r>
          </w:p>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本标准适用于利用牡蛎蒸/煮后的汁液进行浓缩，再加入食糖、食盐、淀粉或改性淀粉等原料，辅以其他配料和食品添加剂制成的蚝油的绿色设计产品评价。</w:t>
            </w:r>
          </w:p>
        </w:tc>
        <w:tc>
          <w:tcPr>
            <w:tcW w:w="117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636" w:type="dxa"/>
            <w:vAlign w:val="center"/>
          </w:tcPr>
          <w:p>
            <w:pPr>
              <w:pStyle w:val="13"/>
              <w:tabs>
                <w:tab w:val="center" w:pos="4201"/>
                <w:tab w:val="right" w:leader="dot" w:pos="9298"/>
              </w:tabs>
              <w:ind w:firstLine="210" w:firstLineChars="100"/>
              <w:rPr>
                <w:rFonts w:ascii="仿宋" w:hAnsi="仿宋" w:eastAsia="仿宋" w:cs="仿宋"/>
              </w:rPr>
            </w:pPr>
            <w:r>
              <w:rPr>
                <w:rFonts w:hint="eastAsia" w:ascii="仿宋" w:hAnsi="仿宋" w:eastAsia="仿宋" w:cs="仿宋"/>
              </w:rPr>
              <w:t>6</w:t>
            </w:r>
          </w:p>
        </w:tc>
        <w:tc>
          <w:tcPr>
            <w:tcW w:w="2298" w:type="dxa"/>
            <w:vAlign w:val="center"/>
          </w:tcPr>
          <w:p>
            <w:pPr>
              <w:pStyle w:val="13"/>
              <w:tabs>
                <w:tab w:val="center" w:pos="4201"/>
                <w:tab w:val="right" w:leader="dot" w:pos="9298"/>
              </w:tabs>
              <w:ind w:firstLine="0" w:firstLineChars="0"/>
              <w:rPr>
                <w:rFonts w:ascii="仿宋" w:hAnsi="仿宋" w:eastAsia="仿宋" w:cs="仿宋"/>
              </w:rPr>
            </w:pPr>
            <w:r>
              <w:rPr>
                <w:rFonts w:hint="eastAsia" w:ascii="仿宋" w:hAnsi="仿宋" w:eastAsia="仿宋" w:cs="仿宋"/>
              </w:rPr>
              <w:t>T/CNLIC  0043-2021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绿色设计产品评价技术规范 辣椒酱</w:t>
            </w:r>
          </w:p>
        </w:tc>
        <w:tc>
          <w:tcPr>
            <w:tcW w:w="468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本标准规定了辣椒酱绿色设计产品的术语和定义、评价要求、产品生命周期评价报告编制方法和评价方法。</w:t>
            </w:r>
          </w:p>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本标准适用于以鲜辣椒为主要原料，经发酵等特定工艺加工而制成酱状的辣椒酱的绿色设计产品评价。</w:t>
            </w:r>
          </w:p>
        </w:tc>
        <w:tc>
          <w:tcPr>
            <w:tcW w:w="1178"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ascii="仿宋" w:hAnsi="仿宋" w:eastAsia="仿宋" w:cs="仿宋"/>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ascii="仿宋" w:hAnsi="仿宋" w:eastAsia="仿宋" w:cs="仿宋"/>
              </w:rPr>
            </w:pPr>
            <w:r>
              <w:rPr>
                <w:rFonts w:hint="eastAsia" w:ascii="仿宋" w:hAnsi="仿宋" w:eastAsia="仿宋" w:cs="仿宋"/>
              </w:rPr>
              <w:t>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36" w:type="dxa"/>
            <w:vAlign w:val="center"/>
          </w:tcPr>
          <w:p>
            <w:pPr>
              <w:pStyle w:val="13"/>
              <w:tabs>
                <w:tab w:val="center" w:pos="4201"/>
                <w:tab w:val="right" w:leader="dot" w:pos="9298"/>
              </w:tabs>
              <w:ind w:firstLine="210" w:firstLineChars="100"/>
              <w:rPr>
                <w:rFonts w:hAnsi="宋体"/>
              </w:rPr>
            </w:pPr>
            <w:r>
              <w:rPr>
                <w:rFonts w:hint="eastAsia" w:hAnsi="宋体"/>
              </w:rPr>
              <w:t>7</w:t>
            </w:r>
          </w:p>
        </w:tc>
        <w:tc>
          <w:tcPr>
            <w:tcW w:w="2298" w:type="dxa"/>
            <w:vAlign w:val="center"/>
          </w:tcPr>
          <w:p>
            <w:pPr>
              <w:pStyle w:val="13"/>
              <w:tabs>
                <w:tab w:val="center" w:pos="4201"/>
                <w:tab w:val="right" w:leader="dot" w:pos="9298"/>
              </w:tabs>
              <w:ind w:firstLine="0" w:firstLineChars="0"/>
              <w:rPr>
                <w:rFonts w:ascii="仿宋" w:hAnsi="仿宋" w:eastAsia="仿宋" w:cs="仿宋"/>
                <w:szCs w:val="21"/>
              </w:rPr>
            </w:pPr>
            <w:r>
              <w:rPr>
                <w:rFonts w:hint="eastAsia" w:ascii="仿宋" w:hAnsi="仿宋" w:eastAsia="仿宋" w:cs="仿宋"/>
                <w:szCs w:val="21"/>
              </w:rPr>
              <w:t>T/CNLIC  0044-2021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szCs w:val="21"/>
              </w:rPr>
            </w:pPr>
            <w:r>
              <w:rPr>
                <w:rFonts w:hint="eastAsia" w:ascii="仿宋" w:hAnsi="仿宋" w:eastAsia="仿宋" w:cs="仿宋"/>
                <w:szCs w:val="21"/>
              </w:rPr>
              <w:t>住宅整体装修技术规范</w:t>
            </w:r>
          </w:p>
        </w:tc>
        <w:tc>
          <w:tcPr>
            <w:tcW w:w="4688" w:type="dxa"/>
            <w:vAlign w:val="center"/>
          </w:tcPr>
          <w:p>
            <w:pPr>
              <w:pStyle w:val="13"/>
              <w:tabs>
                <w:tab w:val="center" w:pos="4201"/>
                <w:tab w:val="right" w:leader="dot" w:pos="9298"/>
              </w:tabs>
              <w:ind w:firstLine="420"/>
              <w:rPr>
                <w:rFonts w:ascii="仿宋" w:hAnsi="仿宋" w:eastAsia="仿宋" w:cs="仿宋"/>
                <w:szCs w:val="21"/>
              </w:rPr>
            </w:pPr>
            <w:r>
              <w:rPr>
                <w:rFonts w:hint="eastAsia" w:ascii="仿宋" w:hAnsi="仿宋" w:eastAsia="仿宋" w:cs="仿宋"/>
                <w:szCs w:val="21"/>
              </w:rPr>
              <w:t>本文件规定了住宅整体装修的术语和定义、材料要求、设计规范、施工规范、验收标准、服务规范。</w:t>
            </w:r>
          </w:p>
          <w:p>
            <w:pPr>
              <w:pStyle w:val="13"/>
              <w:tabs>
                <w:tab w:val="center" w:pos="4201"/>
                <w:tab w:val="right" w:leader="dot" w:pos="9298"/>
              </w:tabs>
              <w:ind w:firstLine="420"/>
              <w:rPr>
                <w:rFonts w:ascii="仿宋" w:hAnsi="仿宋" w:eastAsia="仿宋" w:cs="仿宋"/>
                <w:szCs w:val="21"/>
              </w:rPr>
            </w:pPr>
            <w:r>
              <w:rPr>
                <w:rFonts w:hint="eastAsia" w:ascii="仿宋" w:hAnsi="仿宋" w:eastAsia="仿宋" w:cs="仿宋"/>
                <w:szCs w:val="21"/>
              </w:rPr>
              <w:t>本文件适用于住宅整体装修，局部装修可参考使用。</w:t>
            </w:r>
          </w:p>
        </w:tc>
        <w:tc>
          <w:tcPr>
            <w:tcW w:w="1178" w:type="dxa"/>
            <w:vAlign w:val="center"/>
          </w:tcPr>
          <w:p>
            <w:pPr>
              <w:pStyle w:val="13"/>
              <w:tabs>
                <w:tab w:val="center" w:pos="4201"/>
                <w:tab w:val="right" w:leader="dot" w:pos="9298"/>
              </w:tabs>
              <w:ind w:firstLine="420"/>
              <w:rPr>
                <w:rFonts w:hAnsi="宋体"/>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hAnsi="宋体"/>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hAnsi="宋体"/>
              </w:rPr>
            </w:pPr>
            <w:r>
              <w:rPr>
                <w:rFonts w:hint="eastAsia" w:ascii="仿宋" w:hAnsi="仿宋" w:eastAsia="仿宋" w:cs="仿宋"/>
              </w:rPr>
              <w:t>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636" w:type="dxa"/>
            <w:vAlign w:val="center"/>
          </w:tcPr>
          <w:p>
            <w:pPr>
              <w:pStyle w:val="13"/>
              <w:tabs>
                <w:tab w:val="center" w:pos="4201"/>
                <w:tab w:val="right" w:leader="dot" w:pos="9298"/>
              </w:tabs>
              <w:ind w:firstLine="210" w:firstLineChars="100"/>
              <w:rPr>
                <w:rFonts w:hAnsi="宋体"/>
              </w:rPr>
            </w:pPr>
            <w:r>
              <w:rPr>
                <w:rFonts w:hint="eastAsia" w:hAnsi="宋体"/>
              </w:rPr>
              <w:t>8</w:t>
            </w:r>
          </w:p>
        </w:tc>
        <w:tc>
          <w:tcPr>
            <w:tcW w:w="2298" w:type="dxa"/>
            <w:vAlign w:val="center"/>
          </w:tcPr>
          <w:p>
            <w:pPr>
              <w:pStyle w:val="13"/>
              <w:tabs>
                <w:tab w:val="center" w:pos="4201"/>
                <w:tab w:val="right" w:leader="dot" w:pos="9298"/>
              </w:tabs>
              <w:ind w:firstLine="0" w:firstLineChars="0"/>
              <w:jc w:val="center"/>
              <w:rPr>
                <w:rFonts w:ascii="仿宋" w:hAnsi="仿宋" w:eastAsia="仿宋" w:cs="仿宋"/>
                <w:szCs w:val="21"/>
              </w:rPr>
            </w:pPr>
            <w:r>
              <w:rPr>
                <w:rFonts w:hint="eastAsia" w:ascii="仿宋" w:hAnsi="仿宋" w:eastAsia="仿宋" w:cs="仿宋"/>
                <w:szCs w:val="21"/>
              </w:rPr>
              <w:t>T/CNLIC  0045-2021</w:t>
            </w:r>
          </w:p>
        </w:tc>
        <w:tc>
          <w:tcPr>
            <w:tcW w:w="2432" w:type="dxa"/>
            <w:vAlign w:val="center"/>
          </w:tcPr>
          <w:p>
            <w:pPr>
              <w:pStyle w:val="13"/>
              <w:tabs>
                <w:tab w:val="center" w:pos="4201"/>
                <w:tab w:val="right" w:leader="dot" w:pos="9298"/>
              </w:tabs>
              <w:ind w:firstLine="0" w:firstLineChars="0"/>
              <w:jc w:val="center"/>
              <w:rPr>
                <w:rFonts w:ascii="仿宋" w:hAnsi="仿宋" w:eastAsia="仿宋" w:cs="仿宋"/>
                <w:szCs w:val="21"/>
              </w:rPr>
            </w:pPr>
            <w:r>
              <w:rPr>
                <w:rFonts w:hint="eastAsia" w:ascii="仿宋" w:hAnsi="仿宋" w:eastAsia="仿宋" w:cs="仿宋"/>
                <w:szCs w:val="21"/>
              </w:rPr>
              <w:t>电动自行车 防水连接线</w:t>
            </w:r>
          </w:p>
        </w:tc>
        <w:tc>
          <w:tcPr>
            <w:tcW w:w="4688" w:type="dxa"/>
            <w:vAlign w:val="center"/>
          </w:tcPr>
          <w:p>
            <w:pPr>
              <w:pStyle w:val="13"/>
              <w:tabs>
                <w:tab w:val="center" w:pos="4201"/>
                <w:tab w:val="right" w:leader="dot" w:pos="9298"/>
              </w:tabs>
              <w:ind w:firstLine="420"/>
              <w:jc w:val="left"/>
              <w:rPr>
                <w:rFonts w:ascii="仿宋" w:hAnsi="仿宋" w:eastAsia="仿宋" w:cs="仿宋"/>
                <w:szCs w:val="21"/>
              </w:rPr>
            </w:pPr>
            <w:r>
              <w:rPr>
                <w:rFonts w:hint="eastAsia" w:ascii="仿宋" w:hAnsi="仿宋" w:eastAsia="仿宋" w:cs="仿宋"/>
                <w:szCs w:val="21"/>
              </w:rPr>
              <w:t>本文件规定了防水连接器及线束产品的分类、尺寸精度、要求、试验方法、检验规则、包装、运输、贮存。</w:t>
            </w:r>
          </w:p>
          <w:p>
            <w:pPr>
              <w:pStyle w:val="13"/>
              <w:tabs>
                <w:tab w:val="center" w:pos="4201"/>
                <w:tab w:val="right" w:leader="dot" w:pos="9298"/>
              </w:tabs>
              <w:ind w:firstLine="420"/>
              <w:jc w:val="left"/>
              <w:rPr>
                <w:rFonts w:ascii="仿宋" w:hAnsi="仿宋" w:eastAsia="仿宋" w:cs="仿宋"/>
                <w:szCs w:val="21"/>
              </w:rPr>
            </w:pPr>
            <w:r>
              <w:rPr>
                <w:rFonts w:hint="eastAsia" w:ascii="仿宋" w:hAnsi="仿宋" w:eastAsia="仿宋" w:cs="仿宋"/>
                <w:szCs w:val="21"/>
              </w:rPr>
              <w:t>本文件适用于装配在国内销售的电动自行车内的主线束部件及与主线束相连接的接插件。</w:t>
            </w:r>
          </w:p>
          <w:p>
            <w:pPr>
              <w:pStyle w:val="13"/>
              <w:tabs>
                <w:tab w:val="center" w:pos="4201"/>
                <w:tab w:val="right" w:leader="dot" w:pos="9298"/>
              </w:tabs>
              <w:ind w:firstLine="0" w:firstLineChars="0"/>
              <w:jc w:val="center"/>
              <w:rPr>
                <w:rFonts w:ascii="仿宋" w:hAnsi="仿宋" w:eastAsia="仿宋" w:cs="仿宋"/>
                <w:szCs w:val="21"/>
              </w:rPr>
            </w:pPr>
          </w:p>
        </w:tc>
        <w:tc>
          <w:tcPr>
            <w:tcW w:w="1178" w:type="dxa"/>
            <w:vAlign w:val="center"/>
          </w:tcPr>
          <w:p>
            <w:pPr>
              <w:pStyle w:val="13"/>
              <w:tabs>
                <w:tab w:val="center" w:pos="4201"/>
                <w:tab w:val="right" w:leader="dot" w:pos="9298"/>
              </w:tabs>
              <w:ind w:firstLine="420"/>
              <w:rPr>
                <w:rFonts w:hAnsi="宋体"/>
              </w:rPr>
            </w:pPr>
            <w:r>
              <w:rPr>
                <w:rFonts w:hint="eastAsia" w:ascii="仿宋" w:hAnsi="仿宋" w:eastAsia="仿宋" w:cs="仿宋"/>
              </w:rPr>
              <w:t>无</w:t>
            </w:r>
          </w:p>
        </w:tc>
        <w:tc>
          <w:tcPr>
            <w:tcW w:w="1193" w:type="dxa"/>
            <w:vAlign w:val="center"/>
          </w:tcPr>
          <w:p>
            <w:pPr>
              <w:pStyle w:val="13"/>
              <w:tabs>
                <w:tab w:val="center" w:pos="4201"/>
                <w:tab w:val="right" w:leader="dot" w:pos="9298"/>
              </w:tabs>
              <w:ind w:firstLine="420"/>
              <w:rPr>
                <w:rFonts w:hAnsi="宋体"/>
              </w:rPr>
            </w:pPr>
            <w:r>
              <w:rPr>
                <w:rFonts w:hint="eastAsia" w:ascii="仿宋" w:hAnsi="仿宋" w:eastAsia="仿宋" w:cs="仿宋"/>
              </w:rPr>
              <w:t>无</w:t>
            </w:r>
          </w:p>
        </w:tc>
        <w:tc>
          <w:tcPr>
            <w:tcW w:w="1096" w:type="dxa"/>
            <w:vAlign w:val="center"/>
          </w:tcPr>
          <w:p>
            <w:pPr>
              <w:pStyle w:val="13"/>
              <w:tabs>
                <w:tab w:val="center" w:pos="4201"/>
                <w:tab w:val="right" w:leader="dot" w:pos="9298"/>
              </w:tabs>
              <w:ind w:firstLine="0" w:firstLineChars="0"/>
              <w:jc w:val="center"/>
              <w:rPr>
                <w:rFonts w:hAnsi="宋体"/>
              </w:rPr>
            </w:pPr>
            <w:r>
              <w:rPr>
                <w:rFonts w:hint="eastAsia" w:ascii="仿宋" w:hAnsi="仿宋" w:eastAsia="仿宋" w:cs="仿宋"/>
              </w:rPr>
              <w:t>发布之日起实施</w:t>
            </w:r>
          </w:p>
        </w:tc>
      </w:tr>
    </w:tbl>
    <w:p/>
    <w:sectPr>
      <w:pgSz w:w="16838" w:h="11906" w:orient="landscape"/>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1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6A"/>
    <w:rsid w:val="000A7BC8"/>
    <w:rsid w:val="000B22D4"/>
    <w:rsid w:val="001065E8"/>
    <w:rsid w:val="00140C17"/>
    <w:rsid w:val="00155CC9"/>
    <w:rsid w:val="001956CC"/>
    <w:rsid w:val="001C497C"/>
    <w:rsid w:val="001F6441"/>
    <w:rsid w:val="002340E0"/>
    <w:rsid w:val="0024582F"/>
    <w:rsid w:val="002B3E6B"/>
    <w:rsid w:val="004E6330"/>
    <w:rsid w:val="005361F7"/>
    <w:rsid w:val="00555E88"/>
    <w:rsid w:val="005E1035"/>
    <w:rsid w:val="00601353"/>
    <w:rsid w:val="006053B4"/>
    <w:rsid w:val="00614287"/>
    <w:rsid w:val="0066777A"/>
    <w:rsid w:val="007259DA"/>
    <w:rsid w:val="007C0C48"/>
    <w:rsid w:val="008D720D"/>
    <w:rsid w:val="00902C7A"/>
    <w:rsid w:val="009147BF"/>
    <w:rsid w:val="00976ED7"/>
    <w:rsid w:val="009B3451"/>
    <w:rsid w:val="00A04551"/>
    <w:rsid w:val="00A362B8"/>
    <w:rsid w:val="00A50CE7"/>
    <w:rsid w:val="00A77C22"/>
    <w:rsid w:val="00A81B6D"/>
    <w:rsid w:val="00B53EB9"/>
    <w:rsid w:val="00C71E64"/>
    <w:rsid w:val="00CC4EFC"/>
    <w:rsid w:val="00E02E6A"/>
    <w:rsid w:val="00E10E4A"/>
    <w:rsid w:val="00E60000"/>
    <w:rsid w:val="00ED07CB"/>
    <w:rsid w:val="00F12886"/>
    <w:rsid w:val="018D431D"/>
    <w:rsid w:val="022026DF"/>
    <w:rsid w:val="02652B6B"/>
    <w:rsid w:val="03192DD4"/>
    <w:rsid w:val="03354CE2"/>
    <w:rsid w:val="03694694"/>
    <w:rsid w:val="03A97577"/>
    <w:rsid w:val="04507F19"/>
    <w:rsid w:val="04701326"/>
    <w:rsid w:val="06F06D10"/>
    <w:rsid w:val="07162B28"/>
    <w:rsid w:val="07E1735B"/>
    <w:rsid w:val="08BC0EC3"/>
    <w:rsid w:val="095E6DEA"/>
    <w:rsid w:val="09E71DEC"/>
    <w:rsid w:val="0B92035C"/>
    <w:rsid w:val="0CE93BEC"/>
    <w:rsid w:val="0E073C02"/>
    <w:rsid w:val="0EFA5041"/>
    <w:rsid w:val="10087C4D"/>
    <w:rsid w:val="10725EA8"/>
    <w:rsid w:val="14960796"/>
    <w:rsid w:val="14C67460"/>
    <w:rsid w:val="196061BB"/>
    <w:rsid w:val="19EB4A16"/>
    <w:rsid w:val="1BF24FC0"/>
    <w:rsid w:val="1D035623"/>
    <w:rsid w:val="1E1A0369"/>
    <w:rsid w:val="23185F3C"/>
    <w:rsid w:val="24267E99"/>
    <w:rsid w:val="26AA67C9"/>
    <w:rsid w:val="2BC2788C"/>
    <w:rsid w:val="2CF22DA9"/>
    <w:rsid w:val="2D7107D7"/>
    <w:rsid w:val="2EB15DDC"/>
    <w:rsid w:val="2F04010B"/>
    <w:rsid w:val="2F9962C7"/>
    <w:rsid w:val="2FD80A82"/>
    <w:rsid w:val="32162378"/>
    <w:rsid w:val="327D3EFA"/>
    <w:rsid w:val="33F412EF"/>
    <w:rsid w:val="34AC290A"/>
    <w:rsid w:val="34B6500B"/>
    <w:rsid w:val="35143731"/>
    <w:rsid w:val="380F0B68"/>
    <w:rsid w:val="39BF730A"/>
    <w:rsid w:val="39E84AB3"/>
    <w:rsid w:val="3BB02950"/>
    <w:rsid w:val="3BDD0777"/>
    <w:rsid w:val="3D724298"/>
    <w:rsid w:val="3D8E247D"/>
    <w:rsid w:val="3E4B3FC3"/>
    <w:rsid w:val="3EC9652D"/>
    <w:rsid w:val="415633F2"/>
    <w:rsid w:val="44ED57B8"/>
    <w:rsid w:val="45850A54"/>
    <w:rsid w:val="45996D7C"/>
    <w:rsid w:val="467469BB"/>
    <w:rsid w:val="469A0233"/>
    <w:rsid w:val="47570D53"/>
    <w:rsid w:val="475A2FED"/>
    <w:rsid w:val="49D25E3C"/>
    <w:rsid w:val="4D67434F"/>
    <w:rsid w:val="4EBD6112"/>
    <w:rsid w:val="529A789A"/>
    <w:rsid w:val="52EB57D4"/>
    <w:rsid w:val="53C02525"/>
    <w:rsid w:val="53D828B0"/>
    <w:rsid w:val="54E1799D"/>
    <w:rsid w:val="550F2C00"/>
    <w:rsid w:val="57AF40E0"/>
    <w:rsid w:val="583C04B9"/>
    <w:rsid w:val="58AE488A"/>
    <w:rsid w:val="59205FB0"/>
    <w:rsid w:val="5A4210BA"/>
    <w:rsid w:val="5A93245F"/>
    <w:rsid w:val="5B487437"/>
    <w:rsid w:val="5ED06035"/>
    <w:rsid w:val="603919E2"/>
    <w:rsid w:val="608C0593"/>
    <w:rsid w:val="62302306"/>
    <w:rsid w:val="63E47408"/>
    <w:rsid w:val="654D7A6D"/>
    <w:rsid w:val="66BD05A5"/>
    <w:rsid w:val="68071A17"/>
    <w:rsid w:val="69671693"/>
    <w:rsid w:val="6ABE4D65"/>
    <w:rsid w:val="6C140A80"/>
    <w:rsid w:val="6C745BFD"/>
    <w:rsid w:val="72E5558B"/>
    <w:rsid w:val="762F55F7"/>
    <w:rsid w:val="76B81988"/>
    <w:rsid w:val="76D12A06"/>
    <w:rsid w:val="78CA2074"/>
    <w:rsid w:val="7C56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18"/>
      <w:jc w:val="left"/>
    </w:pPr>
    <w:rPr>
      <w:rFonts w:ascii="宋体" w:hAnsi="宋体"/>
      <w:kern w:val="0"/>
      <w:szCs w:val="21"/>
      <w:lang w:eastAsia="en-US"/>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TML Keyboard"/>
    <w:qFormat/>
    <w:uiPriority w:val="0"/>
    <w:rPr>
      <w:rFonts w:ascii="Courier New" w:hAnsi="Courier New"/>
      <w:sz w:val="20"/>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段"/>
    <w:link w:val="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段 Char"/>
    <w:basedOn w:val="9"/>
    <w:link w:val="13"/>
    <w:qFormat/>
    <w:uiPriority w:val="0"/>
    <w:rPr>
      <w:rFonts w:ascii="宋体" w:hAnsi="Times New Roman" w:eastAsia="宋体" w:cs="Times New Roman"/>
      <w:kern w:val="0"/>
      <w:szCs w:val="20"/>
    </w:rPr>
  </w:style>
  <w:style w:type="character" w:customStyle="1" w:styleId="15">
    <w:name w:val="批注框文本 Char"/>
    <w:basedOn w:val="9"/>
    <w:link w:val="3"/>
    <w:semiHidden/>
    <w:qFormat/>
    <w:uiPriority w:val="99"/>
    <w:rPr>
      <w:sz w:val="18"/>
      <w:szCs w:val="18"/>
    </w:rPr>
  </w:style>
  <w:style w:type="paragraph" w:customStyle="1" w:styleId="16">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BBA2E-EDB8-4424-B7A0-3F83CA61E477}">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1357</Characters>
  <Lines>11</Lines>
  <Paragraphs>3</Paragraphs>
  <TotalTime>14</TotalTime>
  <ScaleCrop>false</ScaleCrop>
  <LinksUpToDate>false</LinksUpToDate>
  <CharactersWithSpaces>1592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2019-06-24T06:04:00Z</dcterms:created>
  <dc:creator>NIEBO</dc:creator>
  <cp:lastModifiedBy>NIEBO</cp:lastModifiedBy>
  <cp:lastPrinted>2021-10-27T03:05:00Z</cp:lastPrinted>
  <dcterms:modified xsi:type="dcterms:W3CDTF">2021-12-29T07:00:48Z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8BDCCDDA317B4C59A88170D6D3BA2936</vt:lpwstr>
  </property>
</Properties>
</file>