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8"/>
        <w:framePr w:w="2220" w:h="1023" w:hRule="exact" w:wrap="around"/>
        <w:rPr>
          <w:rFonts w:hAnsi="黑体" w:cs="MS Mincho"/>
        </w:rPr>
      </w:pPr>
      <w:r>
        <w:rPr>
          <w:rFonts w:hAnsi="黑体"/>
        </w:rPr>
        <w:t>ICS</w:t>
      </w:r>
      <w:r>
        <w:rPr>
          <w:rFonts w:hint="eastAsia" w:hAnsi="宋体" w:eastAsia="MS Mincho" w:cs="MS Mincho"/>
        </w:rPr>
        <w:t> </w:t>
      </w:r>
      <w:r>
        <w:rPr>
          <w:rFonts w:hint="eastAsia" w:hAnsi="黑体" w:cs="MS Mincho"/>
        </w:rPr>
        <w:t>67.</w:t>
      </w:r>
      <w:r>
        <w:rPr>
          <w:rFonts w:hAnsi="黑体" w:cs="MS Mincho"/>
        </w:rPr>
        <w:t>060</w:t>
      </w:r>
    </w:p>
    <w:p>
      <w:pPr>
        <w:pStyle w:val="168"/>
        <w:framePr w:w="2220" w:h="1023" w:hRule="exact" w:wrap="around"/>
        <w:rPr>
          <w:rFonts w:hAnsi="黑体"/>
        </w:rPr>
      </w:pPr>
      <w:r>
        <w:rPr>
          <w:rFonts w:hint="eastAsia" w:hAnsi="黑体" w:cs="MS Mincho"/>
        </w:rPr>
        <w:t>分类号：X</w:t>
      </w:r>
      <w:r>
        <w:rPr>
          <w:rFonts w:hAnsi="黑体" w:cs="MS Mincho"/>
        </w:rPr>
        <w:t>80</w:t>
      </w:r>
    </w:p>
    <w:p>
      <w:pPr>
        <w:pStyle w:val="111"/>
        <w:framePr w:wrap="around"/>
        <w:rPr>
          <w:rFonts w:ascii="宋体" w:hAnsi="宋体"/>
          <w:b w:val="0"/>
        </w:rPr>
      </w:pPr>
    </w:p>
    <w:p>
      <w:pPr>
        <w:pStyle w:val="112"/>
        <w:framePr w:wrap="around"/>
        <w:rPr>
          <w:rFonts w:hAnsi="宋体"/>
          <w:b w:val="0"/>
        </w:rPr>
      </w:pPr>
      <w:r>
        <w:rPr>
          <w:rFonts w:hint="eastAsia" w:hAnsi="宋体"/>
          <w:b w:val="0"/>
        </w:rPr>
        <w:t>中国轻工业联合会团体标准</w:t>
      </w:r>
    </w:p>
    <w:p>
      <w:pPr>
        <w:pStyle w:val="92"/>
        <w:framePr w:wrap="around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T/CNLIC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XXXX</w:t>
      </w:r>
      <w:r>
        <w:rPr>
          <w:rFonts w:ascii="宋体" w:hAnsi="宋体" w:eastAsia="宋体"/>
        </w:rPr>
        <w:t>—</w:t>
      </w:r>
      <w:bookmarkStart w:id="0" w:name="StdNo2"/>
      <w:r>
        <w:rPr>
          <w:rFonts w:ascii="宋体" w:hAnsi="宋体" w:eastAsia="宋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XXXX</w:t>
      </w:r>
      <w:r>
        <w:rPr>
          <w:rFonts w:ascii="宋体" w:hAnsi="宋体" w:eastAsia="宋体"/>
        </w:rPr>
        <w:fldChar w:fldCharType="end"/>
      </w:r>
      <w:bookmarkEnd w:id="0"/>
    </w:p>
    <w:tbl>
      <w:tblPr>
        <w:tblStyle w:val="4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1"/>
              <w:framePr w:wrap="around"/>
              <w:rPr>
                <w:rFonts w:hAnsi="宋体"/>
              </w:rPr>
            </w:pPr>
            <w:bookmarkStart w:id="1" w:name="DT"/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1521460</wp:posOffset>
                      </wp:positionV>
                      <wp:extent cx="1143000" cy="228600"/>
                      <wp:effectExtent l="0" t="0" r="0" b="0"/>
                      <wp:wrapNone/>
                      <wp:docPr id="4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119.8pt;height:18pt;width:90pt;z-index:-251654144;mso-width-relative:page;mso-height-relative:page;" fillcolor="#FFFFFF" filled="t" stroked="f" coordsize="21600,21600" o:gfxdata="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MVOiDYAAAACwEAAA8AAAAAAAAA&#10;AQAgAAAAIgAAAGRycy9kb3ducmV2LnhtbFBLAQIUABQAAAAIAIdO4kDe/V4xnwEAAFkDAAAOAAAA&#10;AAAAAAEAIAAAACcBAABkcnMvZTJvRG9jLnhtbFBLBQYAAAAABgAGAFkBAAA4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1"/>
          </w:p>
        </w:tc>
      </w:tr>
    </w:tbl>
    <w:p>
      <w:pPr>
        <w:pStyle w:val="92"/>
        <w:framePr w:wrap="around"/>
        <w:rPr>
          <w:rFonts w:ascii="宋体" w:hAnsi="宋体" w:eastAsia="宋体"/>
        </w:rPr>
      </w:pPr>
    </w:p>
    <w:p>
      <w:pPr>
        <w:pStyle w:val="92"/>
        <w:framePr w:wrap="around"/>
        <w:rPr>
          <w:rFonts w:ascii="宋体" w:hAnsi="宋体" w:eastAsia="宋体"/>
        </w:rPr>
      </w:pPr>
    </w:p>
    <w:p>
      <w:pPr>
        <w:pStyle w:val="123"/>
        <w:framePr w:wrap="around"/>
        <w:rPr>
          <w:rFonts w:hAnsi="黑体"/>
        </w:rPr>
      </w:pPr>
      <w:r>
        <w:rPr>
          <w:rFonts w:hint="eastAsia" w:hAnsi="黑体"/>
        </w:rPr>
        <w:t>无麸质食品</w:t>
      </w:r>
    </w:p>
    <w:p>
      <w:pPr>
        <w:pStyle w:val="124"/>
        <w:framePr w:wrap="around"/>
        <w:rPr>
          <w:rFonts w:eastAsia="Arial Unicode MS"/>
          <w:b/>
        </w:rPr>
      </w:pPr>
      <w:r>
        <w:rPr>
          <w:rFonts w:eastAsia="Arial Unicode MS"/>
          <w:b/>
        </w:rPr>
        <w:t>Gluten-free food</w:t>
      </w:r>
    </w:p>
    <w:p>
      <w:pPr>
        <w:pStyle w:val="124"/>
        <w:framePr w:wrap="around"/>
        <w:rPr>
          <w:rFonts w:ascii="宋体" w:hAnsi="宋体" w:eastAsia="宋体"/>
        </w:rPr>
      </w:pPr>
      <w:r>
        <w:rPr>
          <w:rFonts w:hint="eastAsia" w:eastAsia="Arial Unicode MS"/>
          <w:b/>
        </w:rPr>
        <w:t>（</w:t>
      </w:r>
      <w:r>
        <w:rPr>
          <w:rFonts w:hint="eastAsia" w:ascii="微软雅黑" w:hAnsi="微软雅黑" w:eastAsia="微软雅黑" w:cs="微软雅黑"/>
          <w:b/>
        </w:rPr>
        <w:t>征求意见稿</w:t>
      </w:r>
      <w:r>
        <w:rPr>
          <w:rFonts w:hint="eastAsia" w:eastAsia="Arial Unicode MS"/>
          <w:b/>
        </w:rPr>
        <w:t>）</w:t>
      </w:r>
    </w:p>
    <w:p>
      <w:pPr>
        <w:pStyle w:val="175"/>
        <w:framePr w:wrap="around" w:hAnchor="page" w:x="1292"/>
        <w:rPr>
          <w:rFonts w:ascii="宋体" w:hAnsi="宋体" w:eastAsia="宋体"/>
        </w:rPr>
      </w:pPr>
      <w:bookmarkStart w:id="2" w:name="FY"/>
      <w:r>
        <w:rPr>
          <w:rFonts w:ascii="宋体" w:hAnsi="宋体" w:eastAsia="宋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XXXX</w:t>
      </w:r>
      <w:r>
        <w:rPr>
          <w:rFonts w:ascii="宋体" w:hAnsi="宋体" w:eastAsia="宋体"/>
        </w:rPr>
        <w:fldChar w:fldCharType="end"/>
      </w:r>
      <w:bookmarkEnd w:id="2"/>
      <w:r>
        <w:rPr>
          <w:rFonts w:ascii="宋体" w:hAnsi="宋体" w:eastAsia="宋体"/>
        </w:rPr>
        <w:t xml:space="preserve"> - </w:t>
      </w:r>
      <w:bookmarkStart w:id="3" w:name="FM"/>
      <w:r>
        <w:rPr>
          <w:rFonts w:ascii="宋体" w:hAnsi="宋体" w:eastAsia="宋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</w:t>
      </w:r>
      <w:r>
        <w:rPr>
          <w:rFonts w:ascii="宋体" w:hAnsi="宋体" w:eastAsia="宋体"/>
        </w:rPr>
        <w:fldChar w:fldCharType="end"/>
      </w:r>
      <w:bookmarkEnd w:id="3"/>
      <w:r>
        <w:rPr>
          <w:rFonts w:ascii="宋体" w:hAnsi="宋体" w:eastAsia="宋体"/>
        </w:rPr>
        <w:t xml:space="preserve"> - </w:t>
      </w:r>
      <w:bookmarkStart w:id="4" w:name="FD"/>
      <w:r>
        <w:rPr>
          <w:rFonts w:ascii="宋体" w:hAnsi="宋体" w:eastAsia="宋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</w:t>
      </w:r>
      <w:r>
        <w:rPr>
          <w:rFonts w:ascii="宋体" w:hAnsi="宋体" w:eastAsia="宋体"/>
        </w:rPr>
        <w:fldChar w:fldCharType="end"/>
      </w:r>
      <w:bookmarkEnd w:id="4"/>
      <w:r>
        <w:rPr>
          <w:rFonts w:hint="eastAsia" w:ascii="宋体" w:hAnsi="宋体" w:eastAsia="宋体"/>
        </w:rPr>
        <w:t>发布</w: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h2s81gAAAAsBAAAPAAAA&#10;AAAAAAEAIAAAACIAAABkcnMvZG93bnJldi54bWxQSwECFAAUAAAACACHTuJAwQlvNN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76"/>
        <w:framePr w:wrap="around" w:hAnchor="page" w:x="6936"/>
        <w:rPr>
          <w:rFonts w:ascii="宋体" w:hAnsi="宋体" w:eastAsia="宋体"/>
        </w:rPr>
      </w:pPr>
      <w:bookmarkStart w:id="5" w:name="SY"/>
      <w:r>
        <w:rPr>
          <w:rFonts w:ascii="宋体" w:hAnsi="宋体" w:eastAsia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XXXX</w:t>
      </w:r>
      <w:r>
        <w:rPr>
          <w:rFonts w:ascii="宋体" w:hAnsi="宋体" w:eastAsia="宋体"/>
        </w:rPr>
        <w:fldChar w:fldCharType="end"/>
      </w:r>
      <w:bookmarkEnd w:id="5"/>
      <w:r>
        <w:rPr>
          <w:rFonts w:ascii="宋体" w:hAnsi="宋体" w:eastAsia="宋体"/>
        </w:rPr>
        <w:t xml:space="preserve"> - </w:t>
      </w:r>
      <w:bookmarkStart w:id="6" w:name="SM"/>
      <w:r>
        <w:rPr>
          <w:rFonts w:ascii="宋体" w:hAnsi="宋体" w:eastAsia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</w:t>
      </w:r>
      <w:r>
        <w:rPr>
          <w:rFonts w:ascii="宋体" w:hAnsi="宋体" w:eastAsia="宋体"/>
        </w:rPr>
        <w:fldChar w:fldCharType="end"/>
      </w:r>
      <w:bookmarkEnd w:id="6"/>
      <w:r>
        <w:rPr>
          <w:rFonts w:ascii="宋体" w:hAnsi="宋体" w:eastAsia="宋体"/>
        </w:rPr>
        <w:t xml:space="preserve"> - </w:t>
      </w:r>
      <w:bookmarkStart w:id="7" w:name="SD"/>
      <w:r>
        <w:rPr>
          <w:rFonts w:ascii="宋体" w:hAnsi="宋体" w:eastAsia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ascii="宋体" w:hAnsi="宋体" w:eastAsia="宋体"/>
        </w:rPr>
        <w:t>XX</w:t>
      </w:r>
      <w:r>
        <w:rPr>
          <w:rFonts w:ascii="宋体" w:hAnsi="宋体" w:eastAsia="宋体"/>
        </w:rPr>
        <w:fldChar w:fldCharType="end"/>
      </w:r>
      <w:bookmarkEnd w:id="7"/>
      <w:r>
        <w:rPr>
          <w:rFonts w:hint="eastAsia" w:ascii="宋体" w:hAnsi="宋体" w:eastAsia="宋体"/>
        </w:rPr>
        <w:t>实施</w:t>
      </w:r>
    </w:p>
    <w:p>
      <w:pPr>
        <w:pStyle w:val="119"/>
        <w:framePr w:wrap="around"/>
        <w:rPr>
          <w:rFonts w:hAnsi="宋体"/>
          <w:b w:val="0"/>
        </w:rPr>
      </w:pPr>
      <w:r>
        <w:rPr>
          <w:rFonts w:hint="eastAsia" w:hAnsi="宋体"/>
          <w:b w:val="0"/>
        </w:rPr>
        <w:t>中 国 轻 工 业 联 合 会 发布</w:t>
      </w:r>
    </w:p>
    <w:p>
      <w:pPr>
        <w:pStyle w:val="82"/>
        <w:rPr>
          <w:rFonts w:hAnsi="宋体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6" w:h="16838"/>
          <w:pgMar w:top="567" w:right="1134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w:rPr>
          <w:rFonts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283845</wp:posOffset>
                </wp:positionV>
                <wp:extent cx="2737485" cy="850265"/>
                <wp:effectExtent l="0" t="0" r="5715" b="63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bookmarkStart w:id="22" w:name="c3"/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T/</w:t>
                            </w:r>
                            <w:bookmarkEnd w:id="22"/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CNLIC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8.6pt;margin-top:22.35pt;height:66.95pt;width:215.55pt;z-index:251661312;mso-width-relative:page;mso-height-relative:page;" fillcolor="#FFFFFF" filled="t" stroked="f" coordsize="21600,21600" o:gfxdata="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ymUj1wAAAAoBAAAPAAAAAAAAAAEAIAAAACIAAABkcnMvZG93bnJldi54&#10;bWxQSwECFAAUAAAACACHTuJA+4HposIBAAB3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96"/>
                          <w:szCs w:val="96"/>
                        </w:rPr>
                      </w:pPr>
                      <w:bookmarkStart w:id="22" w:name="c3"/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T/</w:t>
                      </w:r>
                      <w:bookmarkEnd w:id="22"/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CNLIC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-1524000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0pt;margin-top:184.25pt;height:0pt;width:481.9pt;z-index:251660288;mso-width-relative:page;mso-height-relative:page;" filled="f" stroked="t" coordsize="21600,21600" o:gfxdata="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rUD62QAAAAwBAAAP&#10;AAAAAAAAAAEAIAAAACIAAABkcnMvZG93bnJldi54bWxQSwECFAAUAAAACACHTuJAUjVe/t4BAADP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7"/>
        <w:rPr>
          <w:rFonts w:hAnsi="黑体"/>
        </w:rPr>
      </w:pPr>
      <w:bookmarkStart w:id="8" w:name="_Toc447198882"/>
      <w:bookmarkStart w:id="9" w:name="_Toc447118972"/>
      <w:bookmarkStart w:id="10" w:name="_Toc447198478"/>
      <w:bookmarkStart w:id="11" w:name="_Toc446924883"/>
      <w:r>
        <w:rPr>
          <w:rFonts w:hint="eastAsia" w:hAnsi="黑体"/>
        </w:rPr>
        <w:t>前</w:t>
      </w:r>
      <w:bookmarkStart w:id="12" w:name="BKQY"/>
      <w:r>
        <w:t>  </w:t>
      </w:r>
      <w:r>
        <w:rPr>
          <w:rFonts w:hint="eastAsia" w:hAnsi="黑体"/>
        </w:rPr>
        <w:t>言</w:t>
      </w:r>
      <w:bookmarkEnd w:id="8"/>
      <w:bookmarkEnd w:id="9"/>
      <w:bookmarkEnd w:id="10"/>
      <w:bookmarkEnd w:id="11"/>
      <w:bookmarkEnd w:id="12"/>
    </w:p>
    <w:p>
      <w:pPr>
        <w:pStyle w:val="82"/>
        <w:rPr>
          <w:rFonts w:ascii="Times New Roman" w:hAnsi="宋体"/>
        </w:rPr>
      </w:pPr>
      <w:r>
        <w:rPr>
          <w:rFonts w:ascii="Times New Roman" w:hAnsi="宋体"/>
        </w:rPr>
        <w:t>本标准按照</w:t>
      </w:r>
      <w:r>
        <w:rPr>
          <w:rFonts w:ascii="Times New Roman"/>
        </w:rPr>
        <w:t>GB/T 1.1</w:t>
      </w:r>
      <w:r>
        <w:rPr>
          <w:rFonts w:hint="eastAsia" w:ascii="Times New Roman"/>
        </w:rPr>
        <w:t>－</w:t>
      </w:r>
      <w:r>
        <w:rPr>
          <w:rFonts w:ascii="Times New Roman"/>
        </w:rPr>
        <w:t>20</w:t>
      </w:r>
      <w:r>
        <w:rPr>
          <w:rFonts w:hint="eastAsia" w:ascii="Times New Roman"/>
          <w:lang w:val="en-US" w:eastAsia="zh-CN"/>
        </w:rPr>
        <w:t>20</w:t>
      </w:r>
      <w:r>
        <w:rPr>
          <w:rFonts w:ascii="Times New Roman" w:hAnsi="宋体"/>
        </w:rPr>
        <w:t>给出的规则起草。</w:t>
      </w:r>
    </w:p>
    <w:p>
      <w:pPr>
        <w:pStyle w:val="82"/>
        <w:rPr>
          <w:rFonts w:ascii="Times New Roman" w:hAnsi="宋体"/>
        </w:rPr>
      </w:pPr>
      <w:r>
        <w:rPr>
          <w:rFonts w:hint="eastAsia" w:ascii="Times New Roman"/>
        </w:rPr>
        <w:t>请注意本文件的某些内容可能涉及专利。本文件的发布机构不承担识别专利的责任。</w:t>
      </w:r>
    </w:p>
    <w:p>
      <w:pPr>
        <w:pStyle w:val="82"/>
        <w:ind w:firstLineChars="0"/>
        <w:rPr>
          <w:rFonts w:ascii="Times New Roman"/>
        </w:rPr>
      </w:pPr>
      <w:r>
        <w:rPr>
          <w:rFonts w:ascii="Times New Roman" w:hAnsi="宋体"/>
        </w:rPr>
        <w:t>本标准由中国轻工业联合会提出并归口。</w:t>
      </w:r>
    </w:p>
    <w:p>
      <w:pPr>
        <w:pStyle w:val="82"/>
        <w:ind w:firstLine="410" w:firstLineChars="0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本标准主要起草单位：</w:t>
      </w:r>
    </w:p>
    <w:p>
      <w:pPr>
        <w:pStyle w:val="82"/>
        <w:ind w:firstLineChars="0"/>
        <w:rPr>
          <w:rFonts w:ascii="Times New Roman"/>
        </w:rPr>
      </w:pPr>
      <w:r>
        <w:rPr>
          <w:rFonts w:ascii="Times New Roman" w:hAnsi="宋体"/>
        </w:rPr>
        <w:t>本标准主要起草人：</w:t>
      </w:r>
      <w:r>
        <w:rPr>
          <w:rFonts w:ascii="Times New Roman"/>
        </w:rPr>
        <w:t xml:space="preserve"> </w:t>
      </w:r>
    </w:p>
    <w:p>
      <w:pPr>
        <w:pStyle w:val="82"/>
        <w:ind w:firstLineChars="0"/>
        <w:rPr>
          <w:rFonts w:ascii="Times New Roman"/>
        </w:rPr>
      </w:pPr>
      <w:r>
        <w:rPr>
          <w:rFonts w:ascii="Times New Roman" w:hAnsi="宋体"/>
        </w:rPr>
        <w:t>本标准为首次发布。</w:t>
      </w:r>
    </w:p>
    <w:p>
      <w:pPr>
        <w:pStyle w:val="95"/>
        <w:rPr>
          <w:rFonts w:hAnsi="黑体"/>
        </w:rPr>
      </w:pPr>
      <w:r>
        <w:rPr>
          <w:rFonts w:hint="eastAsia" w:hAnsi="黑体"/>
        </w:rPr>
        <w:t>无麸质食品</w:t>
      </w:r>
    </w:p>
    <w:p>
      <w:pPr>
        <w:pStyle w:val="90"/>
        <w:spacing w:before="156" w:beforeLines="50" w:after="156" w:afterLines="50"/>
        <w:rPr>
          <w:rFonts w:hAnsi="黑体"/>
        </w:rPr>
      </w:pPr>
      <w:bookmarkStart w:id="13" w:name="_Toc447118973"/>
      <w:bookmarkStart w:id="14" w:name="_Toc446924884"/>
      <w:bookmarkStart w:id="15" w:name="_Toc447198479"/>
      <w:bookmarkStart w:id="16" w:name="_Toc447198883"/>
      <w:r>
        <w:rPr>
          <w:rFonts w:hint="eastAsia" w:hAnsi="黑体"/>
        </w:rPr>
        <w:t>范围</w:t>
      </w:r>
    </w:p>
    <w:p>
      <w:pPr>
        <w:pStyle w:val="82"/>
        <w:rPr>
          <w:rFonts w:ascii="Times New Roman"/>
        </w:rPr>
      </w:pPr>
      <w:r>
        <w:rPr>
          <w:rFonts w:ascii="Times New Roman"/>
        </w:rPr>
        <w:t>本标准规定了</w:t>
      </w:r>
      <w:r>
        <w:rPr>
          <w:rFonts w:hint="eastAsia" w:ascii="Times New Roman"/>
        </w:rPr>
        <w:t>无麸质食品</w:t>
      </w:r>
      <w:r>
        <w:rPr>
          <w:rFonts w:ascii="Times New Roman"/>
        </w:rPr>
        <w:t>的术语和定义、产品分类、</w:t>
      </w:r>
      <w:r>
        <w:rPr>
          <w:rFonts w:hint="eastAsia" w:ascii="Times New Roman"/>
        </w:rPr>
        <w:t>技术</w:t>
      </w:r>
      <w:r>
        <w:rPr>
          <w:rFonts w:ascii="Times New Roman"/>
        </w:rPr>
        <w:t>要求、</w:t>
      </w:r>
      <w:r>
        <w:rPr>
          <w:rFonts w:hint="eastAsia" w:ascii="Times New Roman"/>
        </w:rPr>
        <w:t>试验</w:t>
      </w:r>
      <w:r>
        <w:rPr>
          <w:rFonts w:ascii="Times New Roman"/>
        </w:rPr>
        <w:t>方法</w:t>
      </w:r>
      <w:r>
        <w:rPr>
          <w:rFonts w:hint="eastAsia" w:ascii="Times New Roman"/>
        </w:rPr>
        <w:t>和标签</w:t>
      </w:r>
      <w:r>
        <w:rPr>
          <w:rFonts w:ascii="Times New Roman"/>
        </w:rPr>
        <w:t>。</w:t>
      </w:r>
    </w:p>
    <w:p>
      <w:pPr>
        <w:pStyle w:val="82"/>
        <w:rPr>
          <w:rFonts w:ascii="Times New Roman"/>
        </w:rPr>
      </w:pPr>
      <w:r>
        <w:rPr>
          <w:rFonts w:ascii="Times New Roman"/>
        </w:rPr>
        <w:t>本标准适用于</w:t>
      </w:r>
      <w:r>
        <w:rPr>
          <w:rFonts w:hint="eastAsia" w:ascii="Times New Roman"/>
        </w:rPr>
        <w:t>无麸质食品</w:t>
      </w:r>
      <w:r>
        <w:rPr>
          <w:rFonts w:ascii="Times New Roman"/>
        </w:rPr>
        <w:t>的生产</w:t>
      </w:r>
      <w:r>
        <w:rPr>
          <w:rFonts w:hint="eastAsia" w:ascii="Times New Roman"/>
        </w:rPr>
        <w:t>和流通</w:t>
      </w:r>
      <w:r>
        <w:rPr>
          <w:rFonts w:ascii="Times New Roman"/>
        </w:rPr>
        <w:t>。</w:t>
      </w:r>
    </w:p>
    <w:p>
      <w:pPr>
        <w:pStyle w:val="90"/>
        <w:spacing w:before="156" w:beforeLines="50" w:after="156" w:afterLines="50"/>
        <w:rPr>
          <w:rFonts w:hAnsi="黑体"/>
        </w:rPr>
      </w:pPr>
      <w:r>
        <w:rPr>
          <w:rFonts w:hint="eastAsia" w:hAnsi="黑体"/>
        </w:rPr>
        <w:t>规范性引用文件</w:t>
      </w:r>
    </w:p>
    <w:p>
      <w:pPr>
        <w:pStyle w:val="82"/>
        <w:rPr>
          <w:rFonts w:hAnsi="宋体"/>
        </w:rPr>
      </w:pPr>
      <w:r>
        <w:rPr>
          <w:rFonts w:hint="eastAsia" w:hAnsi="宋体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82"/>
        <w:rPr>
          <w:rFonts w:hint="eastAsia" w:ascii="Times New Roman"/>
        </w:rPr>
      </w:pPr>
      <w:r>
        <w:rPr>
          <w:rFonts w:hint="eastAsia" w:ascii="Times New Roman"/>
        </w:rPr>
        <w:t>G</w:t>
      </w:r>
      <w:r>
        <w:rPr>
          <w:rFonts w:ascii="Times New Roman"/>
        </w:rPr>
        <w:t xml:space="preserve">B 7718 </w:t>
      </w:r>
      <w:r>
        <w:rPr>
          <w:rFonts w:hint="eastAsia" w:ascii="Times New Roman"/>
        </w:rPr>
        <w:t>食品安全国家标准 预包装食品标签通则</w:t>
      </w:r>
    </w:p>
    <w:p>
      <w:pPr>
        <w:pStyle w:val="82"/>
        <w:rPr>
          <w:rFonts w:hint="eastAsia" w:ascii="Times New Roman"/>
        </w:rPr>
      </w:pPr>
      <w:r>
        <w:rPr>
          <w:rFonts w:ascii="Times New Roman" w:hAnsi="Times New Roman" w:eastAsia="仿宋_GB2312"/>
          <w:color w:val="000000"/>
          <w:sz w:val="21"/>
          <w:szCs w:val="21"/>
        </w:rPr>
        <w:t>CODEX STAN 118-1979</w:t>
      </w:r>
      <w:r>
        <w:rPr>
          <w:rFonts w:hint="eastAsia" w:ascii="Times New Roman" w:hAnsi="Times New Roman" w:eastAsia="仿宋_GB2312"/>
          <w:color w:val="000000"/>
          <w:sz w:val="21"/>
          <w:szCs w:val="21"/>
        </w:rPr>
        <w:t>《</w:t>
      </w:r>
      <w:r>
        <w:rPr>
          <w:rFonts w:ascii="Times New Roman" w:hAnsi="Times New Roman" w:eastAsia="仿宋_GB2312"/>
          <w:color w:val="000000"/>
          <w:sz w:val="21"/>
          <w:szCs w:val="21"/>
        </w:rPr>
        <w:t>Codex standard for foods for special dietary use for intolerant to gluten</w:t>
      </w:r>
      <w:r>
        <w:rPr>
          <w:rFonts w:hint="eastAsia" w:ascii="Times New Roman" w:hAnsi="Times New Roman" w:eastAsia="仿宋_GB2312"/>
          <w:color w:val="000000"/>
          <w:sz w:val="21"/>
          <w:szCs w:val="21"/>
        </w:rPr>
        <w:t>》</w:t>
      </w:r>
      <w:bookmarkStart w:id="23" w:name="_GoBack"/>
      <w:bookmarkEnd w:id="23"/>
    </w:p>
    <w:p>
      <w:pPr>
        <w:pStyle w:val="90"/>
        <w:spacing w:before="156" w:beforeLines="50" w:after="156" w:afterLines="50"/>
        <w:rPr>
          <w:rFonts w:hAnsi="黑体"/>
        </w:rPr>
      </w:pPr>
      <w:r>
        <w:rPr>
          <w:rFonts w:hint="eastAsia" w:hAnsi="黑体"/>
        </w:rPr>
        <w:t>术语和定义</w:t>
      </w:r>
    </w:p>
    <w:p>
      <w:pPr>
        <w:pStyle w:val="82"/>
        <w:rPr>
          <w:rFonts w:ascii="Times New Roman"/>
        </w:rPr>
      </w:pPr>
      <w:r>
        <w:rPr>
          <w:rFonts w:ascii="Times New Roman"/>
        </w:rPr>
        <w:t>下列术语和定义适用于本标准。</w:t>
      </w:r>
    </w:p>
    <w:p>
      <w:pPr>
        <w:pStyle w:val="87"/>
        <w:spacing w:before="156" w:after="156"/>
        <w:rPr>
          <w:rFonts w:ascii="Times New Roman"/>
        </w:rPr>
      </w:pPr>
      <w:bookmarkStart w:id="17" w:name="_Toc494361239"/>
      <w:bookmarkEnd w:id="17"/>
      <w:bookmarkStart w:id="18" w:name="_Toc494361240"/>
      <w:r>
        <w:rPr>
          <w:rFonts w:hint="eastAsia" w:ascii="Times New Roman"/>
        </w:rPr>
        <w:t>无麸质食品</w:t>
      </w:r>
      <w:r>
        <w:rPr>
          <w:rFonts w:ascii="Times New Roman"/>
        </w:rPr>
        <w:t xml:space="preserve"> </w:t>
      </w:r>
      <w:bookmarkEnd w:id="18"/>
      <w:r>
        <w:rPr>
          <w:rFonts w:hint="eastAsia" w:ascii="黑体" w:hAnsi="黑体" w:eastAsia="黑体" w:cs="黑体"/>
        </w:rPr>
        <w:t>Glute</w:t>
      </w:r>
      <w:r>
        <w:rPr>
          <w:rFonts w:hint="eastAsia" w:ascii="黑体" w:hAnsi="黑体" w:eastAsia="黑体" w:cs="黑体"/>
          <w:lang w:val="en-US" w:eastAsia="zh-CN"/>
        </w:rPr>
        <w:t>n</w:t>
      </w:r>
      <w:r>
        <w:rPr>
          <w:rFonts w:hint="eastAsia" w:ascii="黑体" w:hAnsi="黑体" w:eastAsia="黑体" w:cs="黑体"/>
        </w:rPr>
        <w:t>-free food</w:t>
      </w:r>
    </w:p>
    <w:p>
      <w:pPr>
        <w:pStyle w:val="82"/>
        <w:numPr>
          <w:ilvl w:val="0"/>
          <w:numId w:val="18"/>
        </w:numPr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不含小麦（即所有小麦品种，如硬粒小麦、斯佩耳特小麦）、黑麦、大麦及其杂交品系的食品成分所组成或制成的食品，在出售或提供给消费者的食品中麸质含量不超过20mg/kg,和/或</w:t>
      </w:r>
    </w:p>
    <w:p>
      <w:pPr>
        <w:pStyle w:val="82"/>
        <w:numPr>
          <w:ilvl w:val="0"/>
          <w:numId w:val="18"/>
        </w:numPr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控制添加小麦（即所有小麦品种，如硬粒小麦、斯佩耳特小麦）、黑麦、大麦及其杂交品系的食品成分用量所组成或制成的食品，在出售或提供给消费者的食品中麸质含量不超过20mg/kg,和/或</w:t>
      </w:r>
    </w:p>
    <w:p>
      <w:pPr>
        <w:pStyle w:val="82"/>
        <w:numPr>
          <w:ilvl w:val="0"/>
          <w:numId w:val="18"/>
        </w:numPr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 xml:space="preserve">含有来源于小麦（即所有小麦品种，如硬粒小麦、斯佩耳特小麦）、黑麦、大麦及其杂交品系的食品成分所组成的食品，但经过特殊加工处理去除麸质，在出售或提供给消费者的食品中麸质含量不超过20 mg/kg。 </w:t>
      </w:r>
    </w:p>
    <w:p>
      <w:pPr>
        <w:pStyle w:val="90"/>
        <w:spacing w:before="156" w:beforeLines="50" w:after="156" w:afterLines="50"/>
      </w:pPr>
      <w:bookmarkStart w:id="19" w:name="_Toc486677277"/>
      <w:r>
        <w:rPr>
          <w:rFonts w:hint="eastAsia"/>
        </w:rPr>
        <w:t>要求</w:t>
      </w:r>
    </w:p>
    <w:p>
      <w:pPr>
        <w:pStyle w:val="87"/>
        <w:spacing w:before="156" w:after="156"/>
      </w:pPr>
      <w:r>
        <w:rPr>
          <w:rFonts w:hint="eastAsia"/>
        </w:rPr>
        <w:t>麸质含量要求</w:t>
      </w:r>
    </w:p>
    <w:p>
      <w:pPr>
        <w:pStyle w:val="82"/>
      </w:pPr>
      <w:r>
        <w:rPr>
          <w:rFonts w:hint="eastAsia"/>
        </w:rPr>
        <w:t>无麸质食品和极低量麸质食品中麸质含量要求见表1。</w:t>
      </w:r>
    </w:p>
    <w:p>
      <w:pPr>
        <w:pStyle w:val="82"/>
        <w:ind w:firstLine="0" w:firstLineChars="0"/>
        <w:jc w:val="center"/>
      </w:pPr>
      <w:r>
        <w:rPr>
          <w:rFonts w:hint="eastAsia"/>
        </w:rPr>
        <w:t>表1</w:t>
      </w:r>
      <w:r>
        <w:t xml:space="preserve"> </w:t>
      </w:r>
      <w:r>
        <w:rPr>
          <w:rFonts w:hint="eastAsia"/>
        </w:rPr>
        <w:t>无麸质食品食品中麸质含量要求</w:t>
      </w:r>
    </w:p>
    <w:tbl>
      <w:tblPr>
        <w:tblStyle w:val="4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1" w:type="dxa"/>
          </w:tcPr>
          <w:p>
            <w:pPr>
              <w:pStyle w:val="8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类别</w:t>
            </w:r>
          </w:p>
        </w:tc>
        <w:tc>
          <w:tcPr>
            <w:tcW w:w="3115" w:type="dxa"/>
          </w:tcPr>
          <w:p>
            <w:pPr>
              <w:pStyle w:val="8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无麸质食品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1" w:type="dxa"/>
          </w:tcPr>
          <w:p>
            <w:pPr>
              <w:pStyle w:val="8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麸质含量（mg/kg）</w:t>
            </w:r>
          </w:p>
        </w:tc>
        <w:tc>
          <w:tcPr>
            <w:tcW w:w="3115" w:type="dxa"/>
          </w:tcPr>
          <w:p>
            <w:pPr>
              <w:pStyle w:val="8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≤</w:t>
            </w:r>
            <w:r>
              <w:rPr>
                <w:rFonts w:ascii="Times New Roman"/>
                <w:szCs w:val="18"/>
              </w:rPr>
              <w:t>20</w:t>
            </w:r>
          </w:p>
        </w:tc>
      </w:tr>
    </w:tbl>
    <w:p>
      <w:pPr>
        <w:pStyle w:val="87"/>
        <w:spacing w:before="156" w:after="156"/>
      </w:pPr>
      <w:r>
        <w:rPr>
          <w:rFonts w:hint="eastAsia"/>
        </w:rPr>
        <w:t>其他要求</w:t>
      </w:r>
    </w:p>
    <w:p>
      <w:pPr>
        <w:pStyle w:val="82"/>
      </w:pPr>
      <w:r>
        <w:rPr>
          <w:rFonts w:hint="eastAsia" w:hAnsi="宋体"/>
          <w:lang w:val="en-US" w:eastAsia="zh-CN"/>
        </w:rPr>
        <w:t>感官、理化和食品安全应符合相应的产品标准要求。</w:t>
      </w:r>
    </w:p>
    <w:bookmarkEnd w:id="19"/>
    <w:p>
      <w:pPr>
        <w:pStyle w:val="90"/>
        <w:spacing w:before="312" w:after="312"/>
      </w:pPr>
      <w:r>
        <w:rPr>
          <w:rFonts w:hint="eastAsia"/>
        </w:rPr>
        <w:t>试验方法</w:t>
      </w:r>
    </w:p>
    <w:p>
      <w:pPr>
        <w:pStyle w:val="82"/>
        <w:rPr>
          <w:sz w:val="21"/>
          <w:szCs w:val="21"/>
        </w:rPr>
      </w:pPr>
      <w:bookmarkStart w:id="20" w:name="OLE_LINK30"/>
      <w:bookmarkStart w:id="21" w:name="OLE_LINK29"/>
      <w:r>
        <w:rPr>
          <w:rFonts w:hint="eastAsia"/>
          <w:sz w:val="21"/>
          <w:szCs w:val="21"/>
        </w:rPr>
        <w:t>食品中麸质含量的测定</w:t>
      </w:r>
      <w:r>
        <w:rPr>
          <w:rFonts w:hint="eastAsia"/>
          <w:sz w:val="21"/>
          <w:szCs w:val="21"/>
          <w:lang w:val="en-US" w:eastAsia="zh-CN"/>
        </w:rPr>
        <w:t>参考</w:t>
      </w:r>
      <w:r>
        <w:rPr>
          <w:rFonts w:ascii="Times New Roman" w:hAnsi="Times New Roman" w:eastAsia="仿宋_GB2312"/>
          <w:color w:val="000000"/>
          <w:sz w:val="21"/>
          <w:szCs w:val="21"/>
        </w:rPr>
        <w:t>CODEX STAN 118-1979</w:t>
      </w:r>
      <w:r>
        <w:rPr>
          <w:rFonts w:hint="eastAsia" w:ascii="Times New Roman" w:hAnsi="Times New Roman" w:eastAsia="仿宋_GB2312"/>
          <w:color w:val="000000"/>
          <w:sz w:val="21"/>
          <w:szCs w:val="21"/>
        </w:rPr>
        <w:t>《</w:t>
      </w:r>
      <w:r>
        <w:rPr>
          <w:rFonts w:ascii="Times New Roman" w:hAnsi="Times New Roman" w:eastAsia="仿宋_GB2312"/>
          <w:color w:val="000000"/>
          <w:sz w:val="21"/>
          <w:szCs w:val="21"/>
        </w:rPr>
        <w:t>Codex standard for foods for special dietary use for intolerant to gluten</w:t>
      </w:r>
      <w:r>
        <w:rPr>
          <w:rFonts w:hint="eastAsia" w:ascii="Times New Roman" w:hAnsi="Times New Roman" w:eastAsia="仿宋_GB2312"/>
          <w:color w:val="000000"/>
          <w:sz w:val="21"/>
          <w:szCs w:val="21"/>
        </w:rPr>
        <w:t>》</w:t>
      </w:r>
      <w:r>
        <w:rPr>
          <w:rFonts w:hint="eastAsia"/>
          <w:sz w:val="21"/>
          <w:szCs w:val="21"/>
          <w:lang w:val="en-US" w:eastAsia="zh-CN"/>
        </w:rPr>
        <w:t>规定的</w:t>
      </w:r>
      <w:r>
        <w:rPr>
          <w:rFonts w:hint="eastAsia"/>
          <w:sz w:val="21"/>
          <w:szCs w:val="21"/>
          <w:lang w:val="en-US" w:eastAsia="zh-CN"/>
        </w:rPr>
        <w:t>采用基于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  <w:t>R5</w:t>
      </w:r>
      <w:r>
        <w:rPr>
          <w:rFonts w:hint="eastAsia"/>
          <w:sz w:val="21"/>
          <w:szCs w:val="21"/>
          <w:lang w:val="en-US" w:eastAsia="zh-CN"/>
        </w:rPr>
        <w:t>单克隆抗体的酶联免疫吸附分析</w:t>
      </w:r>
      <w:r>
        <w:rPr>
          <w:rFonts w:hint="default" w:ascii="Times New Roman" w:hAnsi="Times New Roman" w:cs="Times New Roman"/>
          <w:sz w:val="21"/>
          <w:szCs w:val="21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ELISA</w:t>
      </w:r>
      <w:r>
        <w:rPr>
          <w:rFonts w:hint="default"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方法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lang w:val="en-US" w:eastAsia="zh-CN"/>
        </w:rPr>
        <w:t>或其他等效方法</w:t>
      </w:r>
      <w:r>
        <w:rPr>
          <w:rFonts w:hint="eastAsia"/>
          <w:sz w:val="21"/>
          <w:szCs w:val="21"/>
        </w:rPr>
        <w:t>测定。</w:t>
      </w:r>
    </w:p>
    <w:bookmarkEnd w:id="13"/>
    <w:bookmarkEnd w:id="14"/>
    <w:bookmarkEnd w:id="15"/>
    <w:bookmarkEnd w:id="16"/>
    <w:bookmarkEnd w:id="20"/>
    <w:bookmarkEnd w:id="21"/>
    <w:p>
      <w:pPr>
        <w:pStyle w:val="90"/>
      </w:pPr>
      <w:r>
        <w:rPr>
          <w:rFonts w:hint="eastAsia"/>
        </w:rPr>
        <w:t>标签</w:t>
      </w:r>
    </w:p>
    <w:p>
      <w:pPr>
        <w:pStyle w:val="87"/>
        <w:ind w:left="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预包装食品类无麸质食品的产品标签应符合</w:t>
      </w:r>
      <w:r>
        <w:rPr>
          <w:rFonts w:ascii="Times New Roman" w:eastAsia="宋体"/>
        </w:rPr>
        <w:t>GB 7718</w:t>
      </w:r>
      <w:r>
        <w:rPr>
          <w:rFonts w:hint="eastAsia" w:ascii="宋体" w:hAnsi="宋体" w:eastAsia="宋体" w:cs="宋体"/>
        </w:rPr>
        <w:t>的规定。</w:t>
      </w:r>
    </w:p>
    <w:p>
      <w:pPr>
        <w:pStyle w:val="87"/>
        <w:numPr>
          <w:ilvl w:val="0"/>
          <w:numId w:val="0"/>
        </w:numPr>
        <w:rPr>
          <w:color w:val="FFFFFF"/>
        </w:rPr>
      </w:pPr>
      <w:r>
        <w:rPr>
          <w:rFonts w:hint="eastAsia" w:hAnsi="黑体" w:cs="宋体"/>
        </w:rPr>
        <w:t>6</w:t>
      </w:r>
      <w:r>
        <w:rPr>
          <w:rFonts w:hAnsi="黑体" w:cs="宋体"/>
        </w:rPr>
        <w:t xml:space="preserve">.2  </w:t>
      </w:r>
      <w:r>
        <w:rPr>
          <w:rFonts w:hint="eastAsia" w:ascii="宋体" w:hAnsi="宋体" w:eastAsia="宋体" w:cs="宋体"/>
        </w:rPr>
        <w:t>符合本文件规定的食品，其产品标签中可标示“无麸质”等字样或类似表述。对于产品标签标示了“无麸质”或类似表述的产品，其标签中应同时标示麸质含量。</w:t>
      </w:r>
    </w:p>
    <w:sectPr>
      <w:headerReference r:id="rId7" w:type="default"/>
      <w:footerReference r:id="rId8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</w:pPr>
    <w:r>
      <w:fldChar w:fldCharType="begin"/>
    </w:r>
    <w:r>
      <w:instrText xml:space="preserve"> PAGE  \* MERGEFORMAT </w:instrText>
    </w:r>
    <w:r>
      <w:fldChar w:fldCharType="separate"/>
    </w:r>
    <w: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ind w:firstLine="7350" w:firstLineChars="3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ind w:firstLine="7350" w:firstLineChars="3500"/>
    </w:pPr>
    <w:r>
      <w:rPr>
        <w:rFonts w:hint="eastAsia"/>
      </w:rPr>
      <w:t>T/CNLIC  XXXX-XXXX</w:t>
    </w:r>
  </w:p>
  <w:p>
    <w:pPr>
      <w:pStyle w:val="1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framePr w:wrap="around" w:vAnchor="text" w:hAnchor="margin" w:xAlign="outside" w:y="1"/>
      <w:rPr>
        <w:rStyle w:val="50"/>
      </w:rPr>
    </w:pPr>
    <w:r>
      <w:rPr>
        <w:rStyle w:val="50"/>
      </w:rPr>
      <w:fldChar w:fldCharType="begin"/>
    </w:r>
    <w:r>
      <w:rPr>
        <w:rStyle w:val="50"/>
      </w:rPr>
      <w:instrText xml:space="preserve">PAGE  </w:instrText>
    </w:r>
    <w:r>
      <w:rPr>
        <w:rStyle w:val="50"/>
      </w:rPr>
      <w:fldChar w:fldCharType="separate"/>
    </w:r>
    <w:r>
      <w:rPr>
        <w:rStyle w:val="50"/>
      </w:rPr>
      <w:t>I</w:t>
    </w:r>
    <w:r>
      <w:rPr>
        <w:rStyle w:val="50"/>
      </w:rPr>
      <w:fldChar w:fldCharType="end"/>
    </w:r>
  </w:p>
  <w:p>
    <w:pPr>
      <w:pStyle w:val="30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ind w:firstLine="7350" w:firstLineChars="3500"/>
    </w:pPr>
    <w:r>
      <w:rPr>
        <w:rFonts w:hint="eastAsia"/>
      </w:rPr>
      <w:t>T/CNLIC  XXXX-XXXX</w:t>
    </w:r>
  </w:p>
  <w:p>
    <w:pPr>
      <w:pStyle w:val="82"/>
      <w:ind w:firstLine="7350" w:firstLineChars="3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79607"/>
    <w:multiLevelType w:val="singleLevel"/>
    <w:tmpl w:val="FE37960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0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pStyle w:val="189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16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9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83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6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1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pStyle w:val="192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9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0">
      <w:start w:val="1"/>
      <w:numFmt w:val="upperLetter"/>
      <w:pStyle w:val="14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4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9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pStyle w:val="191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3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99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6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10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7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3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2"/>
      <w:suff w:val="nothing"/>
      <w:lvlText w:val="表%1.%2　"/>
      <w:lvlJc w:val="left"/>
      <w:pPr>
        <w:ind w:left="567" w:hanging="567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7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2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4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4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4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4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10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pStyle w:val="188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F1"/>
    <w:rsid w:val="000029E3"/>
    <w:rsid w:val="00010AE9"/>
    <w:rsid w:val="00013BD8"/>
    <w:rsid w:val="0003244A"/>
    <w:rsid w:val="000378B5"/>
    <w:rsid w:val="000456D0"/>
    <w:rsid w:val="0004695C"/>
    <w:rsid w:val="0004734F"/>
    <w:rsid w:val="00047C85"/>
    <w:rsid w:val="000518CD"/>
    <w:rsid w:val="00053327"/>
    <w:rsid w:val="000609EA"/>
    <w:rsid w:val="00061962"/>
    <w:rsid w:val="0007030A"/>
    <w:rsid w:val="0007651E"/>
    <w:rsid w:val="00083D1D"/>
    <w:rsid w:val="00084995"/>
    <w:rsid w:val="00096C26"/>
    <w:rsid w:val="000A28F1"/>
    <w:rsid w:val="000A3692"/>
    <w:rsid w:val="000A4361"/>
    <w:rsid w:val="000C033D"/>
    <w:rsid w:val="000E11B5"/>
    <w:rsid w:val="000E3DE7"/>
    <w:rsid w:val="000F2D50"/>
    <w:rsid w:val="000F6D54"/>
    <w:rsid w:val="00142639"/>
    <w:rsid w:val="0014563C"/>
    <w:rsid w:val="00152011"/>
    <w:rsid w:val="00157F1B"/>
    <w:rsid w:val="00160CC7"/>
    <w:rsid w:val="00161CB0"/>
    <w:rsid w:val="00182463"/>
    <w:rsid w:val="00186B08"/>
    <w:rsid w:val="001B438B"/>
    <w:rsid w:val="001C19FB"/>
    <w:rsid w:val="001E1FC6"/>
    <w:rsid w:val="001E62F6"/>
    <w:rsid w:val="001F6F98"/>
    <w:rsid w:val="001F761C"/>
    <w:rsid w:val="002055F1"/>
    <w:rsid w:val="00242AFE"/>
    <w:rsid w:val="002574A1"/>
    <w:rsid w:val="00277485"/>
    <w:rsid w:val="00292088"/>
    <w:rsid w:val="00296A7E"/>
    <w:rsid w:val="002A1055"/>
    <w:rsid w:val="002A6206"/>
    <w:rsid w:val="002A68D8"/>
    <w:rsid w:val="002B17E5"/>
    <w:rsid w:val="002B675D"/>
    <w:rsid w:val="002B6A7F"/>
    <w:rsid w:val="002C1180"/>
    <w:rsid w:val="002D2310"/>
    <w:rsid w:val="002D6134"/>
    <w:rsid w:val="002D7FCA"/>
    <w:rsid w:val="002F02A4"/>
    <w:rsid w:val="002F1909"/>
    <w:rsid w:val="002F1D02"/>
    <w:rsid w:val="002F4E2C"/>
    <w:rsid w:val="002F6AC4"/>
    <w:rsid w:val="002F7FC7"/>
    <w:rsid w:val="00316E3A"/>
    <w:rsid w:val="003345B8"/>
    <w:rsid w:val="003409A1"/>
    <w:rsid w:val="00341446"/>
    <w:rsid w:val="003450CB"/>
    <w:rsid w:val="003605E1"/>
    <w:rsid w:val="00361069"/>
    <w:rsid w:val="003621D3"/>
    <w:rsid w:val="003657C0"/>
    <w:rsid w:val="003704E0"/>
    <w:rsid w:val="00371CBC"/>
    <w:rsid w:val="00373BE7"/>
    <w:rsid w:val="00374251"/>
    <w:rsid w:val="00384A27"/>
    <w:rsid w:val="003855A4"/>
    <w:rsid w:val="003923CC"/>
    <w:rsid w:val="003A0882"/>
    <w:rsid w:val="003B6C23"/>
    <w:rsid w:val="003C1D12"/>
    <w:rsid w:val="003C233C"/>
    <w:rsid w:val="003C31E9"/>
    <w:rsid w:val="003C33DA"/>
    <w:rsid w:val="003D4004"/>
    <w:rsid w:val="003D61F6"/>
    <w:rsid w:val="003E35E7"/>
    <w:rsid w:val="003E6DCA"/>
    <w:rsid w:val="003F45CD"/>
    <w:rsid w:val="00400900"/>
    <w:rsid w:val="00402F74"/>
    <w:rsid w:val="00407FCA"/>
    <w:rsid w:val="004120A2"/>
    <w:rsid w:val="004135AC"/>
    <w:rsid w:val="00427948"/>
    <w:rsid w:val="00427C57"/>
    <w:rsid w:val="004321CC"/>
    <w:rsid w:val="00432ACC"/>
    <w:rsid w:val="004462B2"/>
    <w:rsid w:val="0045087A"/>
    <w:rsid w:val="00451770"/>
    <w:rsid w:val="00452AB6"/>
    <w:rsid w:val="00452CFB"/>
    <w:rsid w:val="00453207"/>
    <w:rsid w:val="00462012"/>
    <w:rsid w:val="004628A7"/>
    <w:rsid w:val="00471C38"/>
    <w:rsid w:val="00493B63"/>
    <w:rsid w:val="00494F52"/>
    <w:rsid w:val="004A0727"/>
    <w:rsid w:val="004A4139"/>
    <w:rsid w:val="004A76DB"/>
    <w:rsid w:val="004B444A"/>
    <w:rsid w:val="004C57CA"/>
    <w:rsid w:val="004D18EA"/>
    <w:rsid w:val="004F0CB4"/>
    <w:rsid w:val="004F2F42"/>
    <w:rsid w:val="00504545"/>
    <w:rsid w:val="00505FC7"/>
    <w:rsid w:val="0051124D"/>
    <w:rsid w:val="00514B73"/>
    <w:rsid w:val="00516865"/>
    <w:rsid w:val="00527C21"/>
    <w:rsid w:val="005422EF"/>
    <w:rsid w:val="00561882"/>
    <w:rsid w:val="00576E50"/>
    <w:rsid w:val="00585756"/>
    <w:rsid w:val="005A5595"/>
    <w:rsid w:val="005B0266"/>
    <w:rsid w:val="005B44F7"/>
    <w:rsid w:val="005B6483"/>
    <w:rsid w:val="005B7C40"/>
    <w:rsid w:val="005C6292"/>
    <w:rsid w:val="005D2029"/>
    <w:rsid w:val="005E0433"/>
    <w:rsid w:val="005F0D30"/>
    <w:rsid w:val="005F1B33"/>
    <w:rsid w:val="00605F42"/>
    <w:rsid w:val="00623EF2"/>
    <w:rsid w:val="006250B4"/>
    <w:rsid w:val="0062773B"/>
    <w:rsid w:val="00631397"/>
    <w:rsid w:val="00633B65"/>
    <w:rsid w:val="00647E0B"/>
    <w:rsid w:val="00652A25"/>
    <w:rsid w:val="006542E1"/>
    <w:rsid w:val="006669EF"/>
    <w:rsid w:val="00667D85"/>
    <w:rsid w:val="00670A47"/>
    <w:rsid w:val="00680AD3"/>
    <w:rsid w:val="00684B3E"/>
    <w:rsid w:val="006A1A06"/>
    <w:rsid w:val="006B4C59"/>
    <w:rsid w:val="006D02AE"/>
    <w:rsid w:val="006D4721"/>
    <w:rsid w:val="006D6C53"/>
    <w:rsid w:val="006E4534"/>
    <w:rsid w:val="006F3224"/>
    <w:rsid w:val="006F5B61"/>
    <w:rsid w:val="006F5EE8"/>
    <w:rsid w:val="00704A41"/>
    <w:rsid w:val="00720A32"/>
    <w:rsid w:val="00725F67"/>
    <w:rsid w:val="0074264E"/>
    <w:rsid w:val="007466D4"/>
    <w:rsid w:val="00747F96"/>
    <w:rsid w:val="00754C57"/>
    <w:rsid w:val="007571C8"/>
    <w:rsid w:val="00761762"/>
    <w:rsid w:val="00761C0B"/>
    <w:rsid w:val="007A68BA"/>
    <w:rsid w:val="007B39DE"/>
    <w:rsid w:val="007B5D7E"/>
    <w:rsid w:val="007B755F"/>
    <w:rsid w:val="007C1F5C"/>
    <w:rsid w:val="007D3B60"/>
    <w:rsid w:val="007D653D"/>
    <w:rsid w:val="007F5B2C"/>
    <w:rsid w:val="00801FA1"/>
    <w:rsid w:val="0080794A"/>
    <w:rsid w:val="008100D1"/>
    <w:rsid w:val="00811B01"/>
    <w:rsid w:val="00812957"/>
    <w:rsid w:val="00815597"/>
    <w:rsid w:val="008203B6"/>
    <w:rsid w:val="0082217E"/>
    <w:rsid w:val="00826732"/>
    <w:rsid w:val="008341D8"/>
    <w:rsid w:val="00836C07"/>
    <w:rsid w:val="00837D4C"/>
    <w:rsid w:val="00842DF2"/>
    <w:rsid w:val="00845D04"/>
    <w:rsid w:val="00847C84"/>
    <w:rsid w:val="0085046E"/>
    <w:rsid w:val="00855621"/>
    <w:rsid w:val="00874B5F"/>
    <w:rsid w:val="00880732"/>
    <w:rsid w:val="008812ED"/>
    <w:rsid w:val="00884404"/>
    <w:rsid w:val="008868B4"/>
    <w:rsid w:val="00891501"/>
    <w:rsid w:val="008B5672"/>
    <w:rsid w:val="008C28EA"/>
    <w:rsid w:val="008C37F2"/>
    <w:rsid w:val="008C3DAB"/>
    <w:rsid w:val="008D5656"/>
    <w:rsid w:val="008E1F5D"/>
    <w:rsid w:val="008E2F2F"/>
    <w:rsid w:val="008F1483"/>
    <w:rsid w:val="008F30ED"/>
    <w:rsid w:val="009019E5"/>
    <w:rsid w:val="009129BA"/>
    <w:rsid w:val="009146C8"/>
    <w:rsid w:val="00942D71"/>
    <w:rsid w:val="00946A57"/>
    <w:rsid w:val="009617B5"/>
    <w:rsid w:val="00962FD4"/>
    <w:rsid w:val="00991DB6"/>
    <w:rsid w:val="009C79B3"/>
    <w:rsid w:val="009D3A2C"/>
    <w:rsid w:val="009D67B9"/>
    <w:rsid w:val="009F023B"/>
    <w:rsid w:val="009F4C85"/>
    <w:rsid w:val="009F799F"/>
    <w:rsid w:val="00A2051E"/>
    <w:rsid w:val="00A255A1"/>
    <w:rsid w:val="00A319D3"/>
    <w:rsid w:val="00A5067A"/>
    <w:rsid w:val="00A51250"/>
    <w:rsid w:val="00A54B67"/>
    <w:rsid w:val="00A56B01"/>
    <w:rsid w:val="00A624F0"/>
    <w:rsid w:val="00A645F8"/>
    <w:rsid w:val="00A65A8A"/>
    <w:rsid w:val="00A678AB"/>
    <w:rsid w:val="00A71327"/>
    <w:rsid w:val="00A749F5"/>
    <w:rsid w:val="00A8570D"/>
    <w:rsid w:val="00A92896"/>
    <w:rsid w:val="00AA0C56"/>
    <w:rsid w:val="00AC2075"/>
    <w:rsid w:val="00AC795A"/>
    <w:rsid w:val="00AD654B"/>
    <w:rsid w:val="00AD7070"/>
    <w:rsid w:val="00AD720D"/>
    <w:rsid w:val="00AE1A5C"/>
    <w:rsid w:val="00AF3E60"/>
    <w:rsid w:val="00AF3FA1"/>
    <w:rsid w:val="00B03A2C"/>
    <w:rsid w:val="00B20759"/>
    <w:rsid w:val="00B220C7"/>
    <w:rsid w:val="00B244C2"/>
    <w:rsid w:val="00B24EAA"/>
    <w:rsid w:val="00B302E4"/>
    <w:rsid w:val="00B30CC8"/>
    <w:rsid w:val="00B34224"/>
    <w:rsid w:val="00B34444"/>
    <w:rsid w:val="00B404A6"/>
    <w:rsid w:val="00B55510"/>
    <w:rsid w:val="00B76488"/>
    <w:rsid w:val="00B76D94"/>
    <w:rsid w:val="00B83DFA"/>
    <w:rsid w:val="00B867B4"/>
    <w:rsid w:val="00B86B22"/>
    <w:rsid w:val="00B92CCF"/>
    <w:rsid w:val="00B974C9"/>
    <w:rsid w:val="00BA2C35"/>
    <w:rsid w:val="00BA3F7A"/>
    <w:rsid w:val="00BB6FD6"/>
    <w:rsid w:val="00BC4771"/>
    <w:rsid w:val="00BD3FD4"/>
    <w:rsid w:val="00BD4ADA"/>
    <w:rsid w:val="00BD7374"/>
    <w:rsid w:val="00BE053D"/>
    <w:rsid w:val="00BE1779"/>
    <w:rsid w:val="00BE3AE0"/>
    <w:rsid w:val="00BE7F8A"/>
    <w:rsid w:val="00BF2D34"/>
    <w:rsid w:val="00BF6EE9"/>
    <w:rsid w:val="00C04577"/>
    <w:rsid w:val="00C06602"/>
    <w:rsid w:val="00C3079F"/>
    <w:rsid w:val="00C32E2A"/>
    <w:rsid w:val="00C42E2E"/>
    <w:rsid w:val="00C52F73"/>
    <w:rsid w:val="00C53DB3"/>
    <w:rsid w:val="00C701CE"/>
    <w:rsid w:val="00C70268"/>
    <w:rsid w:val="00C82D73"/>
    <w:rsid w:val="00C8337E"/>
    <w:rsid w:val="00C9358F"/>
    <w:rsid w:val="00CB763D"/>
    <w:rsid w:val="00CC1190"/>
    <w:rsid w:val="00CC15D2"/>
    <w:rsid w:val="00CD5F83"/>
    <w:rsid w:val="00CE1A5A"/>
    <w:rsid w:val="00CE2662"/>
    <w:rsid w:val="00CE672E"/>
    <w:rsid w:val="00CF2B25"/>
    <w:rsid w:val="00CF4131"/>
    <w:rsid w:val="00CF5581"/>
    <w:rsid w:val="00D03C66"/>
    <w:rsid w:val="00D047D1"/>
    <w:rsid w:val="00D07CB2"/>
    <w:rsid w:val="00D24274"/>
    <w:rsid w:val="00D24A7B"/>
    <w:rsid w:val="00D376C1"/>
    <w:rsid w:val="00D37F3F"/>
    <w:rsid w:val="00D4042D"/>
    <w:rsid w:val="00D40CBB"/>
    <w:rsid w:val="00D436D3"/>
    <w:rsid w:val="00D57B50"/>
    <w:rsid w:val="00D6672D"/>
    <w:rsid w:val="00D82D91"/>
    <w:rsid w:val="00D85790"/>
    <w:rsid w:val="00D93E80"/>
    <w:rsid w:val="00D96E99"/>
    <w:rsid w:val="00DA4B52"/>
    <w:rsid w:val="00DB19D0"/>
    <w:rsid w:val="00DE749C"/>
    <w:rsid w:val="00DF6974"/>
    <w:rsid w:val="00E168F1"/>
    <w:rsid w:val="00E2191C"/>
    <w:rsid w:val="00E351B8"/>
    <w:rsid w:val="00E367E5"/>
    <w:rsid w:val="00E47D0A"/>
    <w:rsid w:val="00E52604"/>
    <w:rsid w:val="00E54357"/>
    <w:rsid w:val="00E57579"/>
    <w:rsid w:val="00E6792C"/>
    <w:rsid w:val="00E708F6"/>
    <w:rsid w:val="00E7375E"/>
    <w:rsid w:val="00E8696F"/>
    <w:rsid w:val="00E8766B"/>
    <w:rsid w:val="00E9065E"/>
    <w:rsid w:val="00EB53D7"/>
    <w:rsid w:val="00EC55C2"/>
    <w:rsid w:val="00EC699D"/>
    <w:rsid w:val="00ED265D"/>
    <w:rsid w:val="00EE5840"/>
    <w:rsid w:val="00EE5A87"/>
    <w:rsid w:val="00F12C6A"/>
    <w:rsid w:val="00F13C12"/>
    <w:rsid w:val="00F15559"/>
    <w:rsid w:val="00F27124"/>
    <w:rsid w:val="00F278A8"/>
    <w:rsid w:val="00F3268B"/>
    <w:rsid w:val="00F35270"/>
    <w:rsid w:val="00F4217A"/>
    <w:rsid w:val="00F42EF9"/>
    <w:rsid w:val="00F47007"/>
    <w:rsid w:val="00F52509"/>
    <w:rsid w:val="00F5410B"/>
    <w:rsid w:val="00F5456B"/>
    <w:rsid w:val="00F5785C"/>
    <w:rsid w:val="00F57B56"/>
    <w:rsid w:val="00F64677"/>
    <w:rsid w:val="00F71897"/>
    <w:rsid w:val="00F83CF8"/>
    <w:rsid w:val="00F85BCA"/>
    <w:rsid w:val="00F961EB"/>
    <w:rsid w:val="00FB2758"/>
    <w:rsid w:val="00FC2E70"/>
    <w:rsid w:val="00FC6A6C"/>
    <w:rsid w:val="00FE53F9"/>
    <w:rsid w:val="00FE6F70"/>
    <w:rsid w:val="00FE7B94"/>
    <w:rsid w:val="00FE7C9B"/>
    <w:rsid w:val="00FF0DF2"/>
    <w:rsid w:val="00FF7931"/>
    <w:rsid w:val="02DA5434"/>
    <w:rsid w:val="09674DE9"/>
    <w:rsid w:val="12CC46D4"/>
    <w:rsid w:val="18604C82"/>
    <w:rsid w:val="205E6167"/>
    <w:rsid w:val="3BD807A8"/>
    <w:rsid w:val="3DE9349E"/>
    <w:rsid w:val="418F6B03"/>
    <w:rsid w:val="43816729"/>
    <w:rsid w:val="49842E5E"/>
    <w:rsid w:val="4A4944F4"/>
    <w:rsid w:val="509927F9"/>
    <w:rsid w:val="65ED3270"/>
    <w:rsid w:val="697D3F1E"/>
    <w:rsid w:val="71C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5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8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0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2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3">
    <w:name w:val="Normal Indent"/>
    <w:basedOn w:val="1"/>
    <w:qFormat/>
    <w:uiPriority w:val="0"/>
    <w:pPr>
      <w:ind w:firstLine="420"/>
    </w:pPr>
    <w:rPr>
      <w:rFonts w:ascii="宋体" w:hAnsi="宋体"/>
      <w:color w:val="00000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73"/>
    <w:semiHidden/>
    <w:unhideWhenUsed/>
    <w:qFormat/>
    <w:uiPriority w:val="0"/>
    <w:pPr>
      <w:jc w:val="left"/>
    </w:pPr>
  </w:style>
  <w:style w:type="paragraph" w:styleId="1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9">
    <w:name w:val="HTML Address"/>
    <w:basedOn w:val="1"/>
    <w:link w:val="76"/>
    <w:qFormat/>
    <w:uiPriority w:val="0"/>
    <w:rPr>
      <w:i/>
      <w:iCs/>
    </w:rPr>
  </w:style>
  <w:style w:type="paragraph" w:styleId="2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2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23">
    <w:name w:val="Plain Text"/>
    <w:basedOn w:val="1"/>
    <w:link w:val="205"/>
    <w:qFormat/>
    <w:uiPriority w:val="0"/>
    <w:rPr>
      <w:rFonts w:hint="eastAsia" w:ascii="宋体" w:hAnsi="Courier New"/>
      <w:color w:val="000000"/>
      <w:szCs w:val="20"/>
    </w:rPr>
  </w:style>
  <w:style w:type="paragraph" w:styleId="24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25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6">
    <w:name w:val="Date"/>
    <w:basedOn w:val="1"/>
    <w:next w:val="1"/>
    <w:link w:val="77"/>
    <w:qFormat/>
    <w:uiPriority w:val="0"/>
    <w:pPr>
      <w:ind w:left="100" w:leftChars="2500"/>
    </w:pPr>
  </w:style>
  <w:style w:type="paragraph" w:styleId="27">
    <w:name w:val="endnote text"/>
    <w:basedOn w:val="1"/>
    <w:link w:val="78"/>
    <w:semiHidden/>
    <w:qFormat/>
    <w:uiPriority w:val="0"/>
    <w:pPr>
      <w:snapToGrid w:val="0"/>
      <w:jc w:val="left"/>
    </w:pPr>
  </w:style>
  <w:style w:type="paragraph" w:styleId="28">
    <w:name w:val="Balloon Text"/>
    <w:basedOn w:val="1"/>
    <w:link w:val="79"/>
    <w:qFormat/>
    <w:uiPriority w:val="0"/>
    <w:rPr>
      <w:sz w:val="18"/>
      <w:szCs w:val="18"/>
    </w:rPr>
  </w:style>
  <w:style w:type="paragraph" w:styleId="29">
    <w:name w:val="footer"/>
    <w:basedOn w:val="1"/>
    <w:link w:val="80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30">
    <w:name w:val="header"/>
    <w:basedOn w:val="1"/>
    <w:link w:val="81"/>
    <w:qFormat/>
    <w:uiPriority w:val="0"/>
    <w:pPr>
      <w:snapToGrid w:val="0"/>
      <w:jc w:val="left"/>
    </w:pPr>
    <w:rPr>
      <w:sz w:val="18"/>
      <w:szCs w:val="18"/>
    </w:rPr>
  </w:style>
  <w:style w:type="paragraph" w:styleId="31">
    <w:name w:val="toc 1"/>
    <w:basedOn w:val="1"/>
    <w:next w:val="1"/>
    <w:semiHidden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32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33">
    <w:name w:val="index heading"/>
    <w:basedOn w:val="1"/>
    <w:next w:val="3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4">
    <w:name w:val="index 1"/>
    <w:basedOn w:val="1"/>
    <w:next w:val="1"/>
    <w:unhideWhenUsed/>
    <w:qFormat/>
    <w:uiPriority w:val="0"/>
  </w:style>
  <w:style w:type="paragraph" w:styleId="35">
    <w:name w:val="footnote text"/>
    <w:basedOn w:val="1"/>
    <w:link w:val="83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3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3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9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4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41">
    <w:name w:val="HTML Preformatted"/>
    <w:basedOn w:val="1"/>
    <w:link w:val="84"/>
    <w:qFormat/>
    <w:uiPriority w:val="0"/>
    <w:rPr>
      <w:rFonts w:ascii="Courier New" w:hAnsi="Courier New" w:cs="Courier New"/>
      <w:sz w:val="20"/>
      <w:szCs w:val="20"/>
    </w:rPr>
  </w:style>
  <w:style w:type="paragraph" w:styleId="4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FF0000"/>
      <w:kern w:val="0"/>
      <w:sz w:val="24"/>
      <w:szCs w:val="28"/>
    </w:rPr>
  </w:style>
  <w:style w:type="paragraph" w:styleId="4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44">
    <w:name w:val="Title"/>
    <w:basedOn w:val="1"/>
    <w:link w:val="85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5">
    <w:name w:val="annotation subject"/>
    <w:basedOn w:val="17"/>
    <w:next w:val="17"/>
    <w:link w:val="74"/>
    <w:semiHidden/>
    <w:uiPriority w:val="0"/>
    <w:rPr>
      <w:b/>
      <w:bCs/>
    </w:rPr>
  </w:style>
  <w:style w:type="table" w:styleId="47">
    <w:name w:val="Table Grid"/>
    <w:basedOn w:val="4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9">
    <w:name w:val="endnote reference"/>
    <w:semiHidden/>
    <w:qFormat/>
    <w:uiPriority w:val="0"/>
    <w:rPr>
      <w:vertAlign w:val="superscript"/>
    </w:rPr>
  </w:style>
  <w:style w:type="character" w:styleId="50">
    <w:name w:val="page number"/>
    <w:qFormat/>
    <w:uiPriority w:val="0"/>
    <w:rPr>
      <w:rFonts w:ascii="Times New Roman" w:hAnsi="Times New Roman" w:eastAsia="宋体"/>
      <w:sz w:val="18"/>
    </w:rPr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line number"/>
    <w:basedOn w:val="48"/>
    <w:qFormat/>
    <w:uiPriority w:val="0"/>
  </w:style>
  <w:style w:type="character" w:styleId="53">
    <w:name w:val="HTML Definition"/>
    <w:qFormat/>
    <w:uiPriority w:val="0"/>
    <w:rPr>
      <w:i/>
      <w:iCs/>
    </w:rPr>
  </w:style>
  <w:style w:type="character" w:styleId="54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55">
    <w:name w:val="HTML Acronym"/>
    <w:basedOn w:val="48"/>
    <w:qFormat/>
    <w:uiPriority w:val="0"/>
  </w:style>
  <w:style w:type="character" w:styleId="56">
    <w:name w:val="HTML Variable"/>
    <w:qFormat/>
    <w:uiPriority w:val="0"/>
    <w:rPr>
      <w:i/>
      <w:iCs/>
    </w:rPr>
  </w:style>
  <w:style w:type="character" w:styleId="57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58">
    <w:name w:val="HTML Code"/>
    <w:qFormat/>
    <w:uiPriority w:val="0"/>
    <w:rPr>
      <w:rFonts w:ascii="Courier New" w:hAnsi="Courier New"/>
      <w:sz w:val="20"/>
      <w:szCs w:val="20"/>
    </w:rPr>
  </w:style>
  <w:style w:type="character" w:styleId="59">
    <w:name w:val="annotation reference"/>
    <w:semiHidden/>
    <w:qFormat/>
    <w:uiPriority w:val="0"/>
    <w:rPr>
      <w:sz w:val="21"/>
      <w:szCs w:val="21"/>
    </w:rPr>
  </w:style>
  <w:style w:type="character" w:styleId="60">
    <w:name w:val="HTML Cite"/>
    <w:qFormat/>
    <w:uiPriority w:val="0"/>
    <w:rPr>
      <w:i/>
      <w:iCs/>
    </w:rPr>
  </w:style>
  <w:style w:type="character" w:styleId="61">
    <w:name w:val="footnote reference"/>
    <w:semiHidden/>
    <w:qFormat/>
    <w:uiPriority w:val="0"/>
    <w:rPr>
      <w:vertAlign w:val="superscript"/>
    </w:rPr>
  </w:style>
  <w:style w:type="character" w:styleId="62">
    <w:name w:val="HTML Keyboard"/>
    <w:qFormat/>
    <w:uiPriority w:val="0"/>
    <w:rPr>
      <w:rFonts w:ascii="Courier New" w:hAnsi="Courier New"/>
      <w:sz w:val="20"/>
      <w:szCs w:val="20"/>
    </w:rPr>
  </w:style>
  <w:style w:type="character" w:styleId="63">
    <w:name w:val="HTML Sample"/>
    <w:qFormat/>
    <w:uiPriority w:val="0"/>
    <w:rPr>
      <w:rFonts w:ascii="Courier New" w:hAnsi="Courier New"/>
    </w:rPr>
  </w:style>
  <w:style w:type="character" w:customStyle="1" w:styleId="64">
    <w:name w:val="标题 1 字符"/>
    <w:basedOn w:val="4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5">
    <w:name w:val="标题 2 字符"/>
    <w:basedOn w:val="48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66">
    <w:name w:val="标题 3 字符"/>
    <w:basedOn w:val="48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7">
    <w:name w:val="标题 4 字符"/>
    <w:basedOn w:val="4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8">
    <w:name w:val="标题 5 字符"/>
    <w:basedOn w:val="48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9">
    <w:name w:val="标题 6 字符"/>
    <w:basedOn w:val="4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0">
    <w:name w:val="标题 7 字符"/>
    <w:basedOn w:val="4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1">
    <w:name w:val="标题 8 字符"/>
    <w:basedOn w:val="48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72">
    <w:name w:val="标题 9 字符"/>
    <w:basedOn w:val="48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73">
    <w:name w:val="批注文字 字符"/>
    <w:basedOn w:val="48"/>
    <w:link w:val="17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4">
    <w:name w:val="批注主题 字符"/>
    <w:basedOn w:val="73"/>
    <w:link w:val="45"/>
    <w:semiHidden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75">
    <w:name w:val="文档结构图 字符"/>
    <w:basedOn w:val="48"/>
    <w:link w:val="1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76">
    <w:name w:val="HTML 地址 字符"/>
    <w:basedOn w:val="48"/>
    <w:link w:val="19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77">
    <w:name w:val="日期 字符"/>
    <w:basedOn w:val="48"/>
    <w:link w:val="26"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尾注文本 字符"/>
    <w:basedOn w:val="48"/>
    <w:link w:val="2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9">
    <w:name w:val="批注框文本 字符"/>
    <w:basedOn w:val="48"/>
    <w:link w:val="2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0">
    <w:name w:val="页脚 字符"/>
    <w:basedOn w:val="48"/>
    <w:link w:val="2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1">
    <w:name w:val="页眉 字符"/>
    <w:basedOn w:val="48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2">
    <w:name w:val="段"/>
    <w:link w:val="8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3">
    <w:name w:val="脚注文本 字符"/>
    <w:basedOn w:val="48"/>
    <w:link w:val="35"/>
    <w:uiPriority w:val="0"/>
    <w:rPr>
      <w:rFonts w:ascii="宋体"/>
      <w:kern w:val="2"/>
      <w:sz w:val="18"/>
      <w:szCs w:val="18"/>
    </w:rPr>
  </w:style>
  <w:style w:type="character" w:customStyle="1" w:styleId="84">
    <w:name w:val="HTML 预设格式 字符"/>
    <w:basedOn w:val="48"/>
    <w:link w:val="4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85">
    <w:name w:val="标题 字符"/>
    <w:basedOn w:val="48"/>
    <w:link w:val="44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86">
    <w:name w:val="段 Char"/>
    <w:link w:val="82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7">
    <w:name w:val="一级条标题"/>
    <w:next w:val="82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0">
    <w:name w:val="章标题"/>
    <w:next w:val="82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1">
    <w:name w:val="二级条标题"/>
    <w:basedOn w:val="87"/>
    <w:next w:val="82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目次、标准名称标题"/>
    <w:basedOn w:val="1"/>
    <w:next w:val="8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6">
    <w:name w:val="三级条标题"/>
    <w:basedOn w:val="91"/>
    <w:next w:val="82"/>
    <w:qFormat/>
    <w:uiPriority w:val="0"/>
    <w:pPr>
      <w:numPr>
        <w:ilvl w:val="3"/>
      </w:numPr>
      <w:outlineLvl w:val="4"/>
    </w:pPr>
  </w:style>
  <w:style w:type="paragraph" w:customStyle="1" w:styleId="97">
    <w:name w:val="示例"/>
    <w:next w:val="9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四级条标题"/>
    <w:basedOn w:val="96"/>
    <w:next w:val="82"/>
    <w:qFormat/>
    <w:uiPriority w:val="0"/>
    <w:pPr>
      <w:numPr>
        <w:ilvl w:val="4"/>
      </w:numPr>
      <w:outlineLvl w:val="5"/>
    </w:pPr>
  </w:style>
  <w:style w:type="paragraph" w:customStyle="1" w:styleId="101">
    <w:name w:val="五级条标题"/>
    <w:basedOn w:val="100"/>
    <w:next w:val="82"/>
    <w:qFormat/>
    <w:uiPriority w:val="0"/>
    <w:pPr>
      <w:numPr>
        <w:ilvl w:val="5"/>
      </w:numPr>
      <w:outlineLvl w:val="6"/>
    </w:pPr>
  </w:style>
  <w:style w:type="paragraph" w:customStyle="1" w:styleId="102">
    <w:name w:val="注："/>
    <w:next w:val="82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106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示例×："/>
    <w:basedOn w:val="90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08">
    <w:name w:val="二级无"/>
    <w:basedOn w:val="91"/>
    <w:link w:val="201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09">
    <w:name w:val="注：（正文）"/>
    <w:basedOn w:val="102"/>
    <w:next w:val="82"/>
    <w:qFormat/>
    <w:uiPriority w:val="0"/>
  </w:style>
  <w:style w:type="paragraph" w:customStyle="1" w:styleId="110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1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1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4">
    <w:name w:val="标准书眉_偶数页"/>
    <w:basedOn w:val="89"/>
    <w:next w:val="1"/>
    <w:qFormat/>
    <w:uiPriority w:val="0"/>
    <w:pPr>
      <w:jc w:val="left"/>
    </w:pPr>
  </w:style>
  <w:style w:type="paragraph" w:customStyle="1" w:styleId="1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6">
    <w:name w:val="参考文献"/>
    <w:basedOn w:val="1"/>
    <w:next w:val="8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7">
    <w:name w:val="参考文献、索引标题"/>
    <w:basedOn w:val="1"/>
    <w:next w:val="8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11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19">
    <w:name w:val="发布部门"/>
    <w:next w:val="8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2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2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4">
    <w:name w:val="封面标准英文名称"/>
    <w:basedOn w:val="123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25">
    <w:name w:val="封面一致性程度标识"/>
    <w:basedOn w:val="124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26">
    <w:name w:val="封面标准文稿类别"/>
    <w:basedOn w:val="125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27">
    <w:name w:val="封面标准文稿编辑信息"/>
    <w:basedOn w:val="126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2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附录标识"/>
    <w:basedOn w:val="1"/>
    <w:next w:val="82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0">
    <w:name w:val="附录标题"/>
    <w:basedOn w:val="82"/>
    <w:next w:val="8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31">
    <w:name w:val="附录表标号"/>
    <w:basedOn w:val="1"/>
    <w:next w:val="82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2">
    <w:name w:val="附录表标题"/>
    <w:basedOn w:val="1"/>
    <w:next w:val="82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3">
    <w:name w:val="附录二级条标题"/>
    <w:basedOn w:val="1"/>
    <w:next w:val="82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34">
    <w:name w:val="附录二级无"/>
    <w:basedOn w:val="13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5">
    <w:name w:val="附录公式"/>
    <w:basedOn w:val="82"/>
    <w:next w:val="82"/>
    <w:link w:val="136"/>
    <w:qFormat/>
    <w:uiPriority w:val="0"/>
  </w:style>
  <w:style w:type="character" w:customStyle="1" w:styleId="136">
    <w:name w:val="附录公式 Char"/>
    <w:basedOn w:val="86"/>
    <w:link w:val="135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37">
    <w:name w:val="附录公式编号制表符"/>
    <w:basedOn w:val="1"/>
    <w:next w:val="8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38">
    <w:name w:val="附录三级条标题"/>
    <w:basedOn w:val="133"/>
    <w:next w:val="82"/>
    <w:qFormat/>
    <w:uiPriority w:val="0"/>
    <w:pPr>
      <w:numPr>
        <w:ilvl w:val="4"/>
      </w:numPr>
      <w:outlineLvl w:val="4"/>
    </w:pPr>
  </w:style>
  <w:style w:type="paragraph" w:customStyle="1" w:styleId="139">
    <w:name w:val="附录三级无"/>
    <w:basedOn w:val="13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0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1">
    <w:name w:val="附录四级条标题"/>
    <w:basedOn w:val="138"/>
    <w:next w:val="82"/>
    <w:qFormat/>
    <w:uiPriority w:val="0"/>
    <w:pPr>
      <w:numPr>
        <w:ilvl w:val="5"/>
      </w:numPr>
      <w:outlineLvl w:val="5"/>
    </w:pPr>
  </w:style>
  <w:style w:type="paragraph" w:customStyle="1" w:styleId="142">
    <w:name w:val="附录四级无"/>
    <w:basedOn w:val="14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3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44">
    <w:name w:val="附录图标题"/>
    <w:basedOn w:val="1"/>
    <w:next w:val="82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45">
    <w:name w:val="附录五级条标题"/>
    <w:basedOn w:val="141"/>
    <w:next w:val="82"/>
    <w:qFormat/>
    <w:uiPriority w:val="0"/>
    <w:pPr>
      <w:numPr>
        <w:ilvl w:val="6"/>
      </w:numPr>
      <w:outlineLvl w:val="6"/>
    </w:pPr>
  </w:style>
  <w:style w:type="paragraph" w:customStyle="1" w:styleId="146">
    <w:name w:val="附录五级无"/>
    <w:basedOn w:val="14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7">
    <w:name w:val="附录章标题"/>
    <w:next w:val="82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8">
    <w:name w:val="附录一级条标题"/>
    <w:basedOn w:val="147"/>
    <w:next w:val="82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49">
    <w:name w:val="附录一级无"/>
    <w:basedOn w:val="14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0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5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4">
    <w:name w:val="其他标准标志"/>
    <w:basedOn w:val="111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5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56">
    <w:name w:val="其他发布部门"/>
    <w:basedOn w:val="119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57">
    <w:name w:val="前言、引言标题"/>
    <w:next w:val="8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8">
    <w:name w:val="三级无"/>
    <w:basedOn w:val="96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59">
    <w:name w:val="实施日期"/>
    <w:basedOn w:val="120"/>
    <w:qFormat/>
    <w:uiPriority w:val="0"/>
    <w:pPr>
      <w:framePr w:wrap="around" w:vAnchor="page" w:hAnchor="text"/>
      <w:jc w:val="right"/>
    </w:pPr>
  </w:style>
  <w:style w:type="paragraph" w:customStyle="1" w:styleId="160">
    <w:name w:val="示例后文字"/>
    <w:basedOn w:val="82"/>
    <w:next w:val="82"/>
    <w:qFormat/>
    <w:uiPriority w:val="0"/>
    <w:pPr>
      <w:ind w:firstLine="360"/>
    </w:pPr>
    <w:rPr>
      <w:sz w:val="18"/>
    </w:rPr>
  </w:style>
  <w:style w:type="paragraph" w:customStyle="1" w:styleId="161">
    <w:name w:val="首示例"/>
    <w:next w:val="82"/>
    <w:link w:val="162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62">
    <w:name w:val="首示例 Char"/>
    <w:link w:val="161"/>
    <w:qFormat/>
    <w:uiPriority w:val="0"/>
    <w:rPr>
      <w:rFonts w:ascii="宋体" w:hAnsi="宋体"/>
      <w:kern w:val="2"/>
      <w:sz w:val="18"/>
      <w:szCs w:val="18"/>
    </w:rPr>
  </w:style>
  <w:style w:type="paragraph" w:customStyle="1" w:styleId="163">
    <w:name w:val="四级无"/>
    <w:basedOn w:val="10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4">
    <w:name w:val="条文脚注"/>
    <w:basedOn w:val="35"/>
    <w:qFormat/>
    <w:uiPriority w:val="0"/>
    <w:pPr>
      <w:numPr>
        <w:numId w:val="0"/>
      </w:numPr>
      <w:jc w:val="both"/>
    </w:pPr>
  </w:style>
  <w:style w:type="paragraph" w:customStyle="1" w:styleId="165">
    <w:name w:val="图标脚注说明"/>
    <w:basedOn w:val="8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6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67">
    <w:name w:val="图的脚注"/>
    <w:next w:val="8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9">
    <w:name w:val="五级无"/>
    <w:basedOn w:val="10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0">
    <w:name w:val="一级无"/>
    <w:basedOn w:val="8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1">
    <w:name w:val="正文表标题"/>
    <w:next w:val="82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2">
    <w:name w:val="正文公式编号制表符"/>
    <w:basedOn w:val="82"/>
    <w:next w:val="82"/>
    <w:qFormat/>
    <w:uiPriority w:val="0"/>
    <w:pPr>
      <w:ind w:firstLine="0" w:firstLineChars="0"/>
    </w:pPr>
  </w:style>
  <w:style w:type="paragraph" w:customStyle="1" w:styleId="173">
    <w:name w:val="正文图标题"/>
    <w:next w:val="82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75">
    <w:name w:val="其他发布日期"/>
    <w:basedOn w:val="120"/>
    <w:qFormat/>
    <w:uiPriority w:val="0"/>
    <w:pPr>
      <w:framePr w:wrap="around" w:vAnchor="page" w:hAnchor="text" w:x="1419"/>
    </w:pPr>
  </w:style>
  <w:style w:type="paragraph" w:customStyle="1" w:styleId="176">
    <w:name w:val="其他实施日期"/>
    <w:basedOn w:val="159"/>
    <w:qFormat/>
    <w:uiPriority w:val="0"/>
    <w:pPr>
      <w:framePr w:wrap="around"/>
    </w:pPr>
  </w:style>
  <w:style w:type="paragraph" w:customStyle="1" w:styleId="177">
    <w:name w:val="封面标准名称2"/>
    <w:basedOn w:val="123"/>
    <w:qFormat/>
    <w:uiPriority w:val="0"/>
    <w:pPr>
      <w:framePr w:wrap="around" w:y="4469"/>
      <w:spacing w:beforeLines="630"/>
    </w:pPr>
  </w:style>
  <w:style w:type="paragraph" w:customStyle="1" w:styleId="178">
    <w:name w:val="封面标准英文名称2"/>
    <w:basedOn w:val="124"/>
    <w:qFormat/>
    <w:uiPriority w:val="0"/>
    <w:pPr>
      <w:framePr w:wrap="around" w:y="4469"/>
    </w:pPr>
  </w:style>
  <w:style w:type="paragraph" w:customStyle="1" w:styleId="179">
    <w:name w:val="封面一致性程度标识2"/>
    <w:basedOn w:val="125"/>
    <w:qFormat/>
    <w:uiPriority w:val="0"/>
    <w:pPr>
      <w:framePr w:wrap="around" w:y="4469"/>
    </w:pPr>
  </w:style>
  <w:style w:type="paragraph" w:customStyle="1" w:styleId="180">
    <w:name w:val="封面标准文稿类别2"/>
    <w:basedOn w:val="126"/>
    <w:qFormat/>
    <w:uiPriority w:val="0"/>
    <w:pPr>
      <w:framePr w:wrap="around" w:y="4469"/>
    </w:pPr>
  </w:style>
  <w:style w:type="paragraph" w:customStyle="1" w:styleId="181">
    <w:name w:val="封面标准文稿编辑信息2"/>
    <w:basedOn w:val="127"/>
    <w:qFormat/>
    <w:uiPriority w:val="0"/>
    <w:pPr>
      <w:framePr w:wrap="around" w:y="4469"/>
    </w:pPr>
  </w:style>
  <w:style w:type="paragraph" w:customStyle="1" w:styleId="182">
    <w:name w:val="图表脚注"/>
    <w:next w:val="8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3">
    <w:name w:val="二级无标题条"/>
    <w:basedOn w:val="1"/>
    <w:qFormat/>
    <w:uiPriority w:val="0"/>
    <w:pPr>
      <w:numPr>
        <w:ilvl w:val="3"/>
        <w:numId w:val="4"/>
      </w:numPr>
    </w:pPr>
  </w:style>
  <w:style w:type="character" w:customStyle="1" w:styleId="184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85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186">
    <w:name w:val="列项——"/>
    <w:qFormat/>
    <w:uiPriority w:val="0"/>
    <w:pPr>
      <w:widowControl w:val="0"/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7">
    <w:name w:val="列项·"/>
    <w:qFormat/>
    <w:uiPriority w:val="0"/>
    <w:pPr>
      <w:tabs>
        <w:tab w:val="left" w:pos="0"/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8">
    <w:name w:val="三级无标题条"/>
    <w:basedOn w:val="1"/>
    <w:qFormat/>
    <w:uiPriority w:val="0"/>
    <w:pPr>
      <w:numPr>
        <w:ilvl w:val="4"/>
        <w:numId w:val="6"/>
      </w:numPr>
    </w:pPr>
  </w:style>
  <w:style w:type="paragraph" w:customStyle="1" w:styleId="189">
    <w:name w:val="四级无标题条"/>
    <w:basedOn w:val="1"/>
    <w:qFormat/>
    <w:uiPriority w:val="0"/>
    <w:pPr>
      <w:numPr>
        <w:ilvl w:val="5"/>
        <w:numId w:val="7"/>
      </w:numPr>
    </w:pPr>
  </w:style>
  <w:style w:type="paragraph" w:customStyle="1" w:styleId="190">
    <w:name w:val="无标题条"/>
    <w:next w:val="82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1">
    <w:name w:val="五级无标题条"/>
    <w:basedOn w:val="1"/>
    <w:qFormat/>
    <w:uiPriority w:val="0"/>
    <w:pPr>
      <w:numPr>
        <w:ilvl w:val="6"/>
        <w:numId w:val="3"/>
      </w:numPr>
    </w:pPr>
  </w:style>
  <w:style w:type="paragraph" w:customStyle="1" w:styleId="192">
    <w:name w:val="一级无标题条"/>
    <w:basedOn w:val="1"/>
    <w:qFormat/>
    <w:uiPriority w:val="0"/>
    <w:pPr>
      <w:numPr>
        <w:ilvl w:val="2"/>
        <w:numId w:val="9"/>
      </w:numPr>
    </w:pPr>
  </w:style>
  <w:style w:type="character" w:customStyle="1" w:styleId="193">
    <w:name w:val="附录章标题 Char"/>
    <w:qFormat/>
    <w:uiPriority w:val="0"/>
    <w:rPr>
      <w:rFonts w:ascii="黑体" w:eastAsia="黑体"/>
      <w:kern w:val="21"/>
      <w:sz w:val="21"/>
      <w:lang w:val="en-US" w:eastAsia="zh-CN" w:bidi="ar-SA"/>
    </w:rPr>
  </w:style>
  <w:style w:type="character" w:customStyle="1" w:styleId="194">
    <w:name w:val="附录一级条标题 Char"/>
    <w:basedOn w:val="193"/>
    <w:qFormat/>
    <w:uiPriority w:val="0"/>
    <w:rPr>
      <w:rFonts w:ascii="黑体" w:eastAsia="黑体"/>
      <w:kern w:val="21"/>
      <w:sz w:val="21"/>
      <w:lang w:val="en-US" w:eastAsia="zh-CN" w:bidi="ar-SA"/>
    </w:rPr>
  </w:style>
  <w:style w:type="table" w:customStyle="1" w:styleId="195">
    <w:name w:val="网格型1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6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Cs w:val="21"/>
      <w:lang w:eastAsia="en-US"/>
    </w:rPr>
  </w:style>
  <w:style w:type="paragraph" w:customStyle="1" w:styleId="19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8">
    <w:name w:val="bluetxt1"/>
    <w:basedOn w:val="48"/>
    <w:qFormat/>
    <w:uiPriority w:val="0"/>
  </w:style>
  <w:style w:type="paragraph" w:customStyle="1" w:styleId="19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0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1">
    <w:name w:val="二级无 Char"/>
    <w:link w:val="108"/>
    <w:qFormat/>
    <w:locked/>
    <w:uiPriority w:val="99"/>
    <w:rPr>
      <w:rFonts w:ascii="宋体"/>
      <w:sz w:val="21"/>
      <w:szCs w:val="21"/>
    </w:rPr>
  </w:style>
  <w:style w:type="paragraph" w:customStyle="1" w:styleId="202">
    <w:name w:val="默认段落字体 Para Char Char Char Char"/>
    <w:basedOn w:val="1"/>
    <w:qFormat/>
    <w:uiPriority w:val="0"/>
  </w:style>
  <w:style w:type="character" w:customStyle="1" w:styleId="203">
    <w:name w:val="label"/>
    <w:basedOn w:val="48"/>
    <w:qFormat/>
    <w:uiPriority w:val="0"/>
  </w:style>
  <w:style w:type="character" w:customStyle="1" w:styleId="204">
    <w:name w:val="text-success"/>
    <w:basedOn w:val="48"/>
    <w:qFormat/>
    <w:uiPriority w:val="0"/>
  </w:style>
  <w:style w:type="character" w:customStyle="1" w:styleId="205">
    <w:name w:val="纯文本 字符"/>
    <w:basedOn w:val="48"/>
    <w:link w:val="23"/>
    <w:qFormat/>
    <w:uiPriority w:val="0"/>
    <w:rPr>
      <w:rFonts w:ascii="宋体" w:hAnsi="Courier New"/>
      <w:color w:val="000000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443</Words>
  <Characters>2526</Characters>
  <Lines>21</Lines>
  <Paragraphs>5</Paragraphs>
  <TotalTime>0</TotalTime>
  <ScaleCrop>false</ScaleCrop>
  <LinksUpToDate>false</LinksUpToDate>
  <CharactersWithSpaces>2964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2020-02-25T07:03:00Z</dcterms:created>
  <dc:creator>lyz</dc:creator>
  <cp:lastModifiedBy>Sho</cp:lastModifiedBy>
  <dcterms:modified xsi:type="dcterms:W3CDTF">2021-08-12T09:40:42Z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7BDDA8497EDB490D8678205AC61F10F4</vt:lpwstr>
  </property>
</Properties>
</file>