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A5" w:rsidRDefault="00116086">
      <w:pPr>
        <w:pStyle w:val="afffffff"/>
        <w:framePr w:w="2220" w:h="1023" w:hRule="exact" w:wrap="around"/>
        <w:rPr>
          <w:rFonts w:hAnsi="黑体" w:cs="MS Mincho"/>
        </w:rPr>
      </w:pPr>
      <w:r>
        <w:rPr>
          <w:rFonts w:hAnsi="黑体"/>
        </w:rPr>
        <w:t>ICS</w:t>
      </w:r>
      <w:r>
        <w:rPr>
          <w:rFonts w:eastAsia="MS Mincho" w:hAnsi="宋体" w:cs="MS Mincho" w:hint="eastAsia"/>
        </w:rPr>
        <w:t> </w:t>
      </w:r>
      <w:r>
        <w:rPr>
          <w:rFonts w:hAnsi="黑体" w:cs="MS Mincho"/>
        </w:rPr>
        <w:t>13.020.20</w:t>
      </w:r>
    </w:p>
    <w:p w:rsidR="00D10EA5" w:rsidRDefault="00116086">
      <w:pPr>
        <w:pStyle w:val="afffffff"/>
        <w:framePr w:w="2220" w:h="1023" w:hRule="exact" w:wrap="around"/>
        <w:rPr>
          <w:rFonts w:hAnsi="黑体"/>
        </w:rPr>
      </w:pPr>
      <w:r>
        <w:rPr>
          <w:rFonts w:hAnsi="黑体" w:cs="MS Mincho" w:hint="eastAsia"/>
        </w:rPr>
        <w:t>C</w:t>
      </w:r>
      <w:r>
        <w:rPr>
          <w:rFonts w:hAnsi="黑体" w:cs="MS Mincho"/>
        </w:rPr>
        <w:t>CS Z04</w:t>
      </w:r>
    </w:p>
    <w:p w:rsidR="00D10EA5" w:rsidRDefault="00D10EA5">
      <w:pPr>
        <w:pStyle w:val="affff8"/>
        <w:framePr w:wrap="around"/>
        <w:rPr>
          <w:rFonts w:ascii="宋体" w:hAnsi="宋体"/>
          <w:b w:val="0"/>
        </w:rPr>
      </w:pPr>
    </w:p>
    <w:p w:rsidR="00D10EA5" w:rsidRDefault="00116086">
      <w:pPr>
        <w:pStyle w:val="affff9"/>
        <w:framePr w:wrap="around"/>
        <w:rPr>
          <w:rFonts w:hAnsi="宋体"/>
          <w:b w:val="0"/>
        </w:rPr>
      </w:pPr>
      <w:r>
        <w:rPr>
          <w:rFonts w:hAnsi="宋体" w:hint="eastAsia"/>
          <w:b w:val="0"/>
        </w:rPr>
        <w:t>中国轻工业联合会团体标准</w:t>
      </w:r>
    </w:p>
    <w:p w:rsidR="00D10EA5" w:rsidRDefault="00116086">
      <w:pPr>
        <w:pStyle w:val="22"/>
        <w:framePr w:wrap="around"/>
        <w:rPr>
          <w:rFonts w:ascii="Times New Roman" w:eastAsia="宋体"/>
        </w:rPr>
      </w:pPr>
      <w:r>
        <w:rPr>
          <w:rFonts w:ascii="Times New Roman" w:eastAsia="宋体"/>
        </w:rPr>
        <w:t>T/</w:t>
      </w:r>
      <w:proofErr w:type="gramStart"/>
      <w:r>
        <w:rPr>
          <w:rFonts w:ascii="Times New Roman" w:eastAsia="宋体"/>
        </w:rPr>
        <w:t>CNLIC  XXXX</w:t>
      </w:r>
      <w:proofErr w:type="gramEnd"/>
      <w:r>
        <w:rPr>
          <w:rFonts w:ascii="Times New Roman" w:eastAsia="宋体"/>
        </w:rPr>
        <w:t>—</w:t>
      </w:r>
      <w:bookmarkStart w:id="0"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r>
      <w:r>
        <w:rPr>
          <w:rFonts w:ascii="Times New Roman" w:eastAsia="宋体"/>
        </w:rPr>
        <w:fldChar w:fldCharType="separate"/>
      </w:r>
      <w:r>
        <w:rPr>
          <w:rFonts w:ascii="Times New Roman" w:eastAsia="宋体"/>
        </w:rPr>
        <w:t>XXXX</w:t>
      </w:r>
      <w:r>
        <w:rPr>
          <w:rFonts w:ascii="Times New Roman" w:eastAsia="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0EA5">
        <w:tc>
          <w:tcPr>
            <w:tcW w:w="9356" w:type="dxa"/>
            <w:tcBorders>
              <w:top w:val="nil"/>
              <w:left w:val="nil"/>
              <w:bottom w:val="nil"/>
              <w:right w:val="nil"/>
            </w:tcBorders>
            <w:shd w:val="clear" w:color="auto" w:fill="auto"/>
          </w:tcPr>
          <w:bookmarkStart w:id="1" w:name="DT"/>
          <w:p w:rsidR="00D10EA5" w:rsidRDefault="00116086">
            <w:pPr>
              <w:pStyle w:val="afffff2"/>
              <w:framePr w:wrap="around"/>
              <w:rPr>
                <w:rFonts w:hAnsi="宋体"/>
              </w:rPr>
            </w:pPr>
            <w:r>
              <w:rPr>
                <w:rFonts w:hAnsi="宋体"/>
                <w:noProof/>
              </w:rPr>
              <mc:AlternateContent>
                <mc:Choice Requires="wps">
                  <w:drawing>
                    <wp:anchor distT="0" distB="0" distL="114300" distR="114300" simplePos="0" relativeHeight="251656192" behindDoc="0" locked="0" layoutInCell="1" allowOverlap="1">
                      <wp:simplePos x="0" y="0"/>
                      <wp:positionH relativeFrom="column">
                        <wp:posOffset>-203200</wp:posOffset>
                      </wp:positionH>
                      <wp:positionV relativeFrom="paragraph">
                        <wp:posOffset>171450</wp:posOffset>
                      </wp:positionV>
                      <wp:extent cx="612013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16pt;margin-top:13.5pt;height:0pt;width:481.9pt;z-index:251656192;mso-width-relative:page;mso-height-relative:page;" filled="f" stroked="t" coordsize="21600,21600" o:gfxdata="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PDAO1wAAAAkBAAAPAAAAAAAAAAEAIAAAACIAAABkcnMvZG93&#10;bnJldi54bWxQSwECFAAUAAAACACHTuJAM2NewMgBAACfAwAADgAAAAAAAAABACAAAAAmAQAAZHJz&#10;L2Uyb0RvYy54bWxQSwUGAAAAAAYABgBZAQAAYAU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824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FTog2AAAAAsBAAAPAAAAAAAAAAEAIAAAACIA&#10;AABkcnMvZG93bnJldi54bWxQSwECFAAUAAAACACHTuJAz3wu1gkCAAAgBAAADgAAAAAAAAABACAA&#10;AAAnAQAAZHJzL2Uyb0RvYy54bWxQSwUGAAAAAAYABgBZAQAAogUAAAAA&#10;">
                      <v:fill on="t" focussize="0,0"/>
                      <v:stroke on="f"/>
                      <v:imagedata o:title=""/>
                      <o:lock v:ext="edit" aspectratio="f"/>
                    </v:rect>
                  </w:pict>
                </mc:Fallback>
              </mc:AlternateContent>
            </w:r>
            <w:bookmarkEnd w:id="1"/>
          </w:p>
        </w:tc>
      </w:tr>
    </w:tbl>
    <w:p w:rsidR="00D10EA5" w:rsidRDefault="00D10EA5">
      <w:pPr>
        <w:pStyle w:val="22"/>
        <w:framePr w:wrap="around"/>
        <w:rPr>
          <w:rFonts w:ascii="宋体" w:eastAsia="宋体" w:hAnsi="宋体"/>
        </w:rPr>
      </w:pPr>
    </w:p>
    <w:p w:rsidR="00D10EA5" w:rsidRDefault="00D10EA5">
      <w:pPr>
        <w:pStyle w:val="22"/>
        <w:framePr w:wrap="around"/>
        <w:rPr>
          <w:rFonts w:ascii="宋体" w:eastAsia="宋体" w:hAnsi="宋体"/>
        </w:rPr>
      </w:pPr>
    </w:p>
    <w:p w:rsidR="00D10EA5" w:rsidRDefault="00116086">
      <w:pPr>
        <w:pStyle w:val="afffff3"/>
        <w:framePr w:wrap="around" w:x="1354" w:y="6179"/>
        <w:rPr>
          <w:rFonts w:hAnsi="黑体"/>
        </w:rPr>
      </w:pPr>
      <w:r>
        <w:rPr>
          <w:rFonts w:hAnsi="黑体"/>
        </w:rPr>
        <w:t>绿色设计产品评价</w:t>
      </w:r>
      <w:r>
        <w:rPr>
          <w:rFonts w:hAnsi="黑体" w:hint="eastAsia"/>
        </w:rPr>
        <w:t>技术</w:t>
      </w:r>
      <w:r>
        <w:rPr>
          <w:rFonts w:hAnsi="黑体"/>
        </w:rPr>
        <w:t>规范</w:t>
      </w:r>
      <w:r>
        <w:rPr>
          <w:rFonts w:hAnsi="黑体" w:hint="eastAsia"/>
        </w:rPr>
        <w:t xml:space="preserve"> </w:t>
      </w:r>
      <w:r>
        <w:rPr>
          <w:rFonts w:hAnsi="黑体" w:hint="eastAsia"/>
        </w:rPr>
        <w:t>家用洗碗机</w:t>
      </w:r>
    </w:p>
    <w:p w:rsidR="00D10EA5" w:rsidRDefault="00116086">
      <w:pPr>
        <w:pStyle w:val="afffff4"/>
        <w:framePr w:wrap="around" w:x="1354" w:y="6179"/>
        <w:rPr>
          <w:rFonts w:ascii="宋体" w:eastAsia="宋体" w:hAnsi="宋体"/>
        </w:rPr>
      </w:pPr>
      <w:r>
        <w:rPr>
          <w:rFonts w:eastAsia="Arial Unicode MS"/>
          <w:b/>
          <w:bCs/>
        </w:rPr>
        <w:t>Technical specification</w:t>
      </w:r>
      <w:r>
        <w:rPr>
          <w:rFonts w:eastAsia="Arial Unicode MS" w:hint="eastAsia"/>
          <w:b/>
          <w:bCs/>
        </w:rPr>
        <w:t xml:space="preserve"> </w:t>
      </w:r>
      <w:r>
        <w:rPr>
          <w:rFonts w:eastAsia="Arial Unicode MS"/>
          <w:b/>
          <w:bCs/>
        </w:rPr>
        <w:t>for</w:t>
      </w:r>
      <w:r>
        <w:rPr>
          <w:rFonts w:eastAsia="Arial Unicode MS" w:hint="eastAsia"/>
          <w:b/>
          <w:bCs/>
        </w:rPr>
        <w:t xml:space="preserve"> </w:t>
      </w:r>
      <w:r>
        <w:rPr>
          <w:rFonts w:eastAsia="Arial Unicode MS"/>
          <w:b/>
          <w:bCs/>
        </w:rPr>
        <w:t>green-design</w:t>
      </w:r>
      <w:r>
        <w:rPr>
          <w:rFonts w:eastAsia="Arial Unicode MS" w:hint="eastAsia"/>
          <w:b/>
          <w:bCs/>
        </w:rPr>
        <w:t xml:space="preserve"> </w:t>
      </w:r>
      <w:r>
        <w:rPr>
          <w:rFonts w:eastAsia="Arial Unicode MS"/>
          <w:b/>
          <w:bCs/>
        </w:rPr>
        <w:t>product assessment</w:t>
      </w:r>
      <w:r>
        <w:rPr>
          <w:rFonts w:eastAsiaTheme="minorEastAsia" w:hAnsiTheme="minorEastAsia" w:hint="eastAsia"/>
          <w:bCs/>
          <w:color w:val="333333"/>
          <w:sz w:val="18"/>
          <w:szCs w:val="18"/>
          <w:shd w:val="clear" w:color="auto" w:fill="FFFFFF"/>
        </w:rPr>
        <w:t>—</w:t>
      </w:r>
      <w:r>
        <w:rPr>
          <w:rFonts w:eastAsia="Arial Unicode MS"/>
          <w:b/>
        </w:rPr>
        <w:t>H</w:t>
      </w:r>
      <w:r>
        <w:rPr>
          <w:rFonts w:eastAsia="Arial Unicode MS" w:hint="eastAsia"/>
          <w:b/>
        </w:rPr>
        <w:t>ousehold</w:t>
      </w:r>
      <w:r>
        <w:rPr>
          <w:rFonts w:eastAsia="Arial Unicode MS"/>
          <w:b/>
        </w:rPr>
        <w:t xml:space="preserve"> dishwasher</w:t>
      </w:r>
    </w:p>
    <w:bookmarkStart w:id="2" w:name="FY"/>
    <w:p w:rsidR="00D10EA5" w:rsidRDefault="00116086">
      <w:pPr>
        <w:pStyle w:val="afffffff4"/>
        <w:framePr w:wrap="around" w:hAnchor="page" w:x="1292"/>
        <w:rPr>
          <w:rFonts w:ascii="宋体" w:eastAsia="宋体" w:hAnsi="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2"/>
      <w:r>
        <w:rPr>
          <w:rFonts w:eastAsia="宋体"/>
        </w:rPr>
        <w:t xml:space="preserve"> - </w:t>
      </w:r>
      <w:bookmarkStart w:id="3"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3"/>
      <w:r>
        <w:rPr>
          <w:rFonts w:eastAsia="宋体"/>
        </w:rPr>
        <w:t xml:space="preserve"> - </w:t>
      </w:r>
      <w:bookmarkStart w:id="4"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516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MtL/PXAAAACwEAAA8AAAAAAAAAAQAgAAAAIgAAAGRycy9kb3du&#10;cmV2LnhtbFBLAQIUABQAAAAIAIdO4kCGf9guxwEAAJ8DAAAOAAAAAAAAAAEAIAAAACYBAABkcnMv&#10;ZTJvRG9jLnhtbFBLBQYAAAAABgAGAFkBAABfBQAAAAA=&#10;">
                <v:fill on="f" focussize="0,0"/>
                <v:stroke color="#000000" joinstyle="round"/>
                <v:imagedata o:title=""/>
                <o:lock v:ext="edit" aspectratio="f"/>
                <w10:anchorlock/>
              </v:line>
            </w:pict>
          </mc:Fallback>
        </mc:AlternateContent>
      </w:r>
    </w:p>
    <w:bookmarkStart w:id="5" w:name="SY"/>
    <w:p w:rsidR="00D10EA5" w:rsidRDefault="00116086">
      <w:pPr>
        <w:pStyle w:val="afffffff5"/>
        <w:framePr w:wrap="around" w:hAnchor="page" w:x="6936"/>
        <w:rPr>
          <w:rFonts w:ascii="宋体" w:eastAsia="宋体" w:hAnsi="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w:t>
      </w:r>
      <w:r>
        <w:rPr>
          <w:rFonts w:eastAsia="宋体"/>
        </w:rPr>
        <w:t>XXX</w:t>
      </w:r>
      <w:r>
        <w:rPr>
          <w:rFonts w:eastAsia="宋体"/>
        </w:rPr>
        <w:fldChar w:fldCharType="end"/>
      </w:r>
      <w:bookmarkEnd w:id="5"/>
      <w:r>
        <w:rPr>
          <w:rFonts w:eastAsia="宋体"/>
        </w:rPr>
        <w:t xml:space="preserve"> - </w:t>
      </w:r>
      <w:bookmarkStart w:id="6"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6"/>
      <w:r>
        <w:rPr>
          <w:rFonts w:eastAsia="宋体"/>
        </w:rPr>
        <w:t xml:space="preserve"> - </w:t>
      </w:r>
      <w:bookmarkStart w:id="7"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7"/>
      <w:r>
        <w:rPr>
          <w:rFonts w:ascii="宋体" w:eastAsia="宋体" w:hAnsi="宋体" w:hint="eastAsia"/>
        </w:rPr>
        <w:t>实施</w:t>
      </w:r>
    </w:p>
    <w:p w:rsidR="00D10EA5" w:rsidRDefault="00097066">
      <w:pPr>
        <w:pStyle w:val="affff1"/>
        <w:ind w:firstLine="400"/>
        <w:rPr>
          <w:rFonts w:hAnsi="宋体"/>
        </w:rPr>
        <w:sectPr w:rsidR="00D10EA5">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sidRPr="00097066">
        <w:rPr>
          <w:rFonts w:hAnsi="黑体"/>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-150825</wp:posOffset>
                </wp:positionH>
                <wp:positionV relativeFrom="paragraph">
                  <wp:posOffset>9011920</wp:posOffset>
                </wp:positionV>
                <wp:extent cx="62674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B543E"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pt,709.6pt" to="481.6pt,7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" strokecolor="#4472c4 [3204]" strokeweight=".5pt">
                <v:stroke joinstyle="miter"/>
              </v:line>
            </w:pict>
          </mc:Fallback>
        </mc:AlternateContent>
      </w:r>
      <w:r w:rsidR="00116086">
        <w:rPr>
          <w:rFonts w:hAnsi="黑体"/>
          <w:noProof/>
        </w:rPr>
        <mc:AlternateContent>
          <mc:Choice Requires="wpg">
            <w:drawing>
              <wp:anchor distT="0" distB="0" distL="114300" distR="114300" simplePos="0" relativeHeight="251660288" behindDoc="0" locked="0" layoutInCell="1" allowOverlap="1">
                <wp:simplePos x="0" y="0"/>
                <wp:positionH relativeFrom="column">
                  <wp:posOffset>-329209</wp:posOffset>
                </wp:positionH>
                <wp:positionV relativeFrom="paragraph">
                  <wp:posOffset>9268943</wp:posOffset>
                </wp:positionV>
                <wp:extent cx="6833568" cy="594360"/>
                <wp:effectExtent l="0" t="0" r="5715" b="0"/>
                <wp:wrapNone/>
                <wp:docPr id="5" name="组合 13"/>
                <wp:cNvGraphicFramePr/>
                <a:graphic xmlns:a="http://schemas.openxmlformats.org/drawingml/2006/main">
                  <a:graphicData uri="http://schemas.microsoft.com/office/word/2010/wordprocessingGroup">
                    <wpg:wgp>
                      <wpg:cNvGrpSpPr/>
                      <wpg:grpSpPr>
                        <a:xfrm>
                          <a:off x="0" y="0"/>
                          <a:ext cx="6833568" cy="594360"/>
                          <a:chOff x="4206" y="15454"/>
                          <a:chExt cx="11015" cy="936"/>
                        </a:xfrm>
                      </wpg:grpSpPr>
                      <wps:wsp>
                        <wps:cNvPr id="6" name="fmFrame7"/>
                        <wps:cNvSpPr txBox="1">
                          <a:spLocks noChangeArrowheads="1"/>
                        </wps:cNvSpPr>
                        <wps:spPr bwMode="auto">
                          <a:xfrm>
                            <a:off x="4206" y="15454"/>
                            <a:ext cx="11015" cy="936"/>
                          </a:xfrm>
                          <a:prstGeom prst="rect">
                            <a:avLst/>
                          </a:prstGeom>
                          <a:solidFill>
                            <a:srgbClr val="FFFFFF"/>
                          </a:solidFill>
                          <a:ln>
                            <a:noFill/>
                          </a:ln>
                        </wps:spPr>
                        <wps:txbx>
                          <w:txbxContent>
                            <w:p w:rsidR="00D10EA5" w:rsidRDefault="00116086" w:rsidP="00097066">
                              <w:pPr>
                                <w:pStyle w:val="afffff0"/>
                                <w:spacing w:line="400" w:lineRule="exact"/>
                                <w:ind w:rightChars="1011" w:right="2123" w:firstLineChars="241" w:firstLine="849"/>
                                <w:rPr>
                                  <w:b w:val="0"/>
                                  <w:spacing w:val="-14"/>
                                  <w:szCs w:val="28"/>
                                </w:rPr>
                              </w:pPr>
                              <w:r>
                                <w:rPr>
                                  <w:rFonts w:hint="eastAsia"/>
                                  <w:b w:val="0"/>
                                  <w:spacing w:val="-12"/>
                                  <w:szCs w:val="28"/>
                                </w:rPr>
                                <w:t>中</w:t>
                              </w:r>
                              <w:r w:rsidR="00097066">
                                <w:rPr>
                                  <w:rFonts w:hint="eastAsia"/>
                                  <w:b w:val="0"/>
                                  <w:spacing w:val="-12"/>
                                  <w:szCs w:val="28"/>
                                </w:rPr>
                                <w:t xml:space="preserve"> </w:t>
                              </w:r>
                              <w:r>
                                <w:rPr>
                                  <w:rFonts w:hint="eastAsia"/>
                                  <w:b w:val="0"/>
                                  <w:spacing w:val="-12"/>
                                  <w:szCs w:val="28"/>
                                </w:rPr>
                                <w:t>国</w:t>
                              </w:r>
                              <w:r w:rsidR="00097066">
                                <w:rPr>
                                  <w:rFonts w:hint="eastAsia"/>
                                  <w:b w:val="0"/>
                                  <w:spacing w:val="-12"/>
                                  <w:szCs w:val="28"/>
                                </w:rPr>
                                <w:t xml:space="preserve"> </w:t>
                              </w:r>
                              <w:r>
                                <w:rPr>
                                  <w:rFonts w:hint="eastAsia"/>
                                  <w:b w:val="0"/>
                                  <w:spacing w:val="-12"/>
                                  <w:szCs w:val="28"/>
                                </w:rPr>
                                <w:t>轻</w:t>
                              </w:r>
                              <w:r w:rsidR="00097066">
                                <w:rPr>
                                  <w:rFonts w:hint="eastAsia"/>
                                  <w:b w:val="0"/>
                                  <w:spacing w:val="-12"/>
                                  <w:szCs w:val="28"/>
                                </w:rPr>
                                <w:t xml:space="preserve"> </w:t>
                              </w:r>
                              <w:r>
                                <w:rPr>
                                  <w:rFonts w:hint="eastAsia"/>
                                  <w:b w:val="0"/>
                                  <w:spacing w:val="-12"/>
                                  <w:szCs w:val="28"/>
                                </w:rPr>
                                <w:t>工</w:t>
                              </w:r>
                              <w:r w:rsidR="00097066">
                                <w:rPr>
                                  <w:rFonts w:hint="eastAsia"/>
                                  <w:b w:val="0"/>
                                  <w:spacing w:val="-12"/>
                                  <w:szCs w:val="28"/>
                                </w:rPr>
                                <w:t xml:space="preserve"> </w:t>
                              </w:r>
                              <w:r>
                                <w:rPr>
                                  <w:rFonts w:hint="eastAsia"/>
                                  <w:b w:val="0"/>
                                  <w:spacing w:val="-12"/>
                                  <w:szCs w:val="28"/>
                                </w:rPr>
                                <w:t>业</w:t>
                              </w:r>
                              <w:r w:rsidR="00097066">
                                <w:rPr>
                                  <w:rFonts w:hint="eastAsia"/>
                                  <w:b w:val="0"/>
                                  <w:spacing w:val="-12"/>
                                  <w:szCs w:val="28"/>
                                </w:rPr>
                                <w:t xml:space="preserve"> </w:t>
                              </w:r>
                              <w:r>
                                <w:rPr>
                                  <w:rFonts w:hint="eastAsia"/>
                                  <w:b w:val="0"/>
                                  <w:spacing w:val="-12"/>
                                  <w:szCs w:val="28"/>
                                </w:rPr>
                                <w:t>联</w:t>
                              </w:r>
                              <w:r w:rsidR="00097066">
                                <w:rPr>
                                  <w:rFonts w:hint="eastAsia"/>
                                  <w:b w:val="0"/>
                                  <w:spacing w:val="-12"/>
                                  <w:szCs w:val="28"/>
                                </w:rPr>
                                <w:t xml:space="preserve"> </w:t>
                              </w:r>
                              <w:r>
                                <w:rPr>
                                  <w:rFonts w:hint="eastAsia"/>
                                  <w:b w:val="0"/>
                                  <w:spacing w:val="-12"/>
                                  <w:szCs w:val="28"/>
                                </w:rPr>
                                <w:t>合</w:t>
                              </w:r>
                              <w:r w:rsidR="00097066">
                                <w:rPr>
                                  <w:rFonts w:hint="eastAsia"/>
                                  <w:b w:val="0"/>
                                  <w:spacing w:val="-12"/>
                                  <w:szCs w:val="28"/>
                                </w:rPr>
                                <w:t xml:space="preserve"> </w:t>
                              </w:r>
                              <w:r>
                                <w:rPr>
                                  <w:rFonts w:hint="eastAsia"/>
                                  <w:b w:val="0"/>
                                  <w:spacing w:val="-12"/>
                                  <w:szCs w:val="28"/>
                                </w:rPr>
                                <w:t>会</w:t>
                              </w:r>
                            </w:p>
                            <w:p w:rsidR="00D10EA5" w:rsidRDefault="00116086" w:rsidP="00097066">
                              <w:pPr>
                                <w:pStyle w:val="afffff0"/>
                                <w:spacing w:line="400" w:lineRule="exact"/>
                                <w:ind w:rightChars="1002" w:right="2104" w:firstLineChars="471" w:firstLine="1810"/>
                                <w:jc w:val="both"/>
                                <w:rPr>
                                  <w:b w:val="0"/>
                                  <w:szCs w:val="28"/>
                                </w:rPr>
                              </w:pPr>
                              <w:r>
                                <w:rPr>
                                  <w:rFonts w:hint="eastAsia"/>
                                  <w:b w:val="0"/>
                                  <w:spacing w:val="4"/>
                                  <w:szCs w:val="28"/>
                                </w:rPr>
                                <w:t>中国家用电器标准与技术产业联盟</w:t>
                              </w:r>
                            </w:p>
                          </w:txbxContent>
                        </wps:txbx>
                        <wps:bodyPr rot="0" vert="horz" wrap="square" lIns="0" tIns="0" rIns="0" bIns="0" anchor="t" anchorCtr="0" upright="1">
                          <a:noAutofit/>
                        </wps:bodyPr>
                      </wps:wsp>
                      <wps:wsp>
                        <wps:cNvPr id="7" name="文本框 15"/>
                        <wps:cNvSpPr txBox="1">
                          <a:spLocks noChangeArrowheads="1"/>
                        </wps:cNvSpPr>
                        <wps:spPr bwMode="auto">
                          <a:xfrm>
                            <a:off x="12561" y="15454"/>
                            <a:ext cx="2280" cy="624"/>
                          </a:xfrm>
                          <a:prstGeom prst="rect">
                            <a:avLst/>
                          </a:prstGeom>
                          <a:noFill/>
                          <a:ln>
                            <a:noFill/>
                          </a:ln>
                        </wps:spPr>
                        <wps:txbx>
                          <w:txbxContent>
                            <w:p w:rsidR="00D10EA5" w:rsidRDefault="00116086">
                              <w:pPr>
                                <w:rPr>
                                  <w:sz w:val="28"/>
                                  <w:szCs w:val="28"/>
                                </w:rPr>
                              </w:pPr>
                              <w:r>
                                <w:rPr>
                                  <w:rFonts w:ascii="宋体" w:hint="eastAsia"/>
                                  <w:spacing w:val="-14"/>
                                  <w:w w:val="135"/>
                                  <w:kern w:val="0"/>
                                  <w:sz w:val="28"/>
                                  <w:szCs w:val="28"/>
                                </w:rPr>
                                <w:t>发布</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3" o:spid="_x0000_s1026" style="position:absolute;left:0;text-align:left;margin-left:-25.9pt;margin-top:729.85pt;width:538.1pt;height:46.8pt;z-index:251660288;mso-width-relative:margin;mso-height-relative:margin" coordorigin="4206,15454" coordsize="1101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">
                <v:shapetype id="_x0000_t202" coordsize="21600,21600" o:spt="202" path="m,l,21600r21600,l21600,xe">
                  <v:stroke joinstyle="miter"/>
                  <v:path gradientshapeok="t" o:connecttype="rect"/>
                </v:shapetype>
                <v:shape id="fmFrame7" o:spid="_x0000_s1027" type="#_x0000_t202" style="position:absolute;left:4206;top:15454;width:11015;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D10EA5" w:rsidRDefault="00116086" w:rsidP="00097066">
                        <w:pPr>
                          <w:pStyle w:val="afffff0"/>
                          <w:spacing w:line="400" w:lineRule="exact"/>
                          <w:ind w:rightChars="1011" w:right="2123" w:firstLineChars="241" w:firstLine="849"/>
                          <w:rPr>
                            <w:b w:val="0"/>
                            <w:spacing w:val="-14"/>
                            <w:szCs w:val="28"/>
                          </w:rPr>
                        </w:pPr>
                        <w:r>
                          <w:rPr>
                            <w:rFonts w:hint="eastAsia"/>
                            <w:b w:val="0"/>
                            <w:spacing w:val="-12"/>
                            <w:szCs w:val="28"/>
                          </w:rPr>
                          <w:t>中</w:t>
                        </w:r>
                        <w:r w:rsidR="00097066">
                          <w:rPr>
                            <w:rFonts w:hint="eastAsia"/>
                            <w:b w:val="0"/>
                            <w:spacing w:val="-12"/>
                            <w:szCs w:val="28"/>
                          </w:rPr>
                          <w:t xml:space="preserve"> </w:t>
                        </w:r>
                        <w:r>
                          <w:rPr>
                            <w:rFonts w:hint="eastAsia"/>
                            <w:b w:val="0"/>
                            <w:spacing w:val="-12"/>
                            <w:szCs w:val="28"/>
                          </w:rPr>
                          <w:t>国</w:t>
                        </w:r>
                        <w:r w:rsidR="00097066">
                          <w:rPr>
                            <w:rFonts w:hint="eastAsia"/>
                            <w:b w:val="0"/>
                            <w:spacing w:val="-12"/>
                            <w:szCs w:val="28"/>
                          </w:rPr>
                          <w:t xml:space="preserve"> </w:t>
                        </w:r>
                        <w:r>
                          <w:rPr>
                            <w:rFonts w:hint="eastAsia"/>
                            <w:b w:val="0"/>
                            <w:spacing w:val="-12"/>
                            <w:szCs w:val="28"/>
                          </w:rPr>
                          <w:t>轻</w:t>
                        </w:r>
                        <w:r w:rsidR="00097066">
                          <w:rPr>
                            <w:rFonts w:hint="eastAsia"/>
                            <w:b w:val="0"/>
                            <w:spacing w:val="-12"/>
                            <w:szCs w:val="28"/>
                          </w:rPr>
                          <w:t xml:space="preserve"> </w:t>
                        </w:r>
                        <w:r>
                          <w:rPr>
                            <w:rFonts w:hint="eastAsia"/>
                            <w:b w:val="0"/>
                            <w:spacing w:val="-12"/>
                            <w:szCs w:val="28"/>
                          </w:rPr>
                          <w:t>工</w:t>
                        </w:r>
                        <w:r w:rsidR="00097066">
                          <w:rPr>
                            <w:rFonts w:hint="eastAsia"/>
                            <w:b w:val="0"/>
                            <w:spacing w:val="-12"/>
                            <w:szCs w:val="28"/>
                          </w:rPr>
                          <w:t xml:space="preserve"> </w:t>
                        </w:r>
                        <w:r>
                          <w:rPr>
                            <w:rFonts w:hint="eastAsia"/>
                            <w:b w:val="0"/>
                            <w:spacing w:val="-12"/>
                            <w:szCs w:val="28"/>
                          </w:rPr>
                          <w:t>业</w:t>
                        </w:r>
                        <w:r w:rsidR="00097066">
                          <w:rPr>
                            <w:rFonts w:hint="eastAsia"/>
                            <w:b w:val="0"/>
                            <w:spacing w:val="-12"/>
                            <w:szCs w:val="28"/>
                          </w:rPr>
                          <w:t xml:space="preserve"> </w:t>
                        </w:r>
                        <w:r>
                          <w:rPr>
                            <w:rFonts w:hint="eastAsia"/>
                            <w:b w:val="0"/>
                            <w:spacing w:val="-12"/>
                            <w:szCs w:val="28"/>
                          </w:rPr>
                          <w:t>联</w:t>
                        </w:r>
                        <w:r w:rsidR="00097066">
                          <w:rPr>
                            <w:rFonts w:hint="eastAsia"/>
                            <w:b w:val="0"/>
                            <w:spacing w:val="-12"/>
                            <w:szCs w:val="28"/>
                          </w:rPr>
                          <w:t xml:space="preserve"> </w:t>
                        </w:r>
                        <w:r>
                          <w:rPr>
                            <w:rFonts w:hint="eastAsia"/>
                            <w:b w:val="0"/>
                            <w:spacing w:val="-12"/>
                            <w:szCs w:val="28"/>
                          </w:rPr>
                          <w:t>合</w:t>
                        </w:r>
                        <w:r w:rsidR="00097066">
                          <w:rPr>
                            <w:rFonts w:hint="eastAsia"/>
                            <w:b w:val="0"/>
                            <w:spacing w:val="-12"/>
                            <w:szCs w:val="28"/>
                          </w:rPr>
                          <w:t xml:space="preserve"> </w:t>
                        </w:r>
                        <w:r>
                          <w:rPr>
                            <w:rFonts w:hint="eastAsia"/>
                            <w:b w:val="0"/>
                            <w:spacing w:val="-12"/>
                            <w:szCs w:val="28"/>
                          </w:rPr>
                          <w:t>会</w:t>
                        </w:r>
                      </w:p>
                      <w:p w:rsidR="00D10EA5" w:rsidRDefault="00116086" w:rsidP="00097066">
                        <w:pPr>
                          <w:pStyle w:val="afffff0"/>
                          <w:spacing w:line="400" w:lineRule="exact"/>
                          <w:ind w:rightChars="1002" w:right="2104" w:firstLineChars="471" w:firstLine="1810"/>
                          <w:jc w:val="both"/>
                          <w:rPr>
                            <w:b w:val="0"/>
                            <w:szCs w:val="28"/>
                          </w:rPr>
                        </w:pPr>
                        <w:r>
                          <w:rPr>
                            <w:rFonts w:hint="eastAsia"/>
                            <w:b w:val="0"/>
                            <w:spacing w:val="4"/>
                            <w:szCs w:val="28"/>
                          </w:rPr>
                          <w:t>中国家用电器标准与技术产业联盟</w:t>
                        </w:r>
                      </w:p>
                    </w:txbxContent>
                  </v:textbox>
                </v:shape>
                <v:shape id="文本框 15" o:spid="_x0000_s1028" type="#_x0000_t202" style="position:absolute;left:12561;top:15454;width:22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10EA5" w:rsidRDefault="00116086">
                        <w:pPr>
                          <w:rPr>
                            <w:sz w:val="28"/>
                            <w:szCs w:val="28"/>
                          </w:rPr>
                        </w:pPr>
                        <w:r>
                          <w:rPr>
                            <w:rFonts w:ascii="宋体" w:hint="eastAsia"/>
                            <w:spacing w:val="-14"/>
                            <w:w w:val="135"/>
                            <w:kern w:val="0"/>
                            <w:sz w:val="28"/>
                            <w:szCs w:val="28"/>
                          </w:rPr>
                          <w:t>发布</w:t>
                        </w:r>
                      </w:p>
                    </w:txbxContent>
                  </v:textbox>
                </v:shape>
              </v:group>
            </w:pict>
          </mc:Fallback>
        </mc:AlternateContent>
      </w:r>
      <w:r w:rsidR="00116086">
        <w:rPr>
          <w:rFonts w:hAnsi="宋体"/>
          <w:noProof/>
        </w:rPr>
        <mc:AlternateContent>
          <mc:Choice Requires="wps">
            <w:drawing>
              <wp:anchor distT="0" distB="0" distL="114300" distR="114300" simplePos="0" relativeHeight="251657216" behindDoc="0" locked="0" layoutInCell="1" allowOverlap="1">
                <wp:simplePos x="0" y="0"/>
                <wp:positionH relativeFrom="column">
                  <wp:posOffset>1760220</wp:posOffset>
                </wp:positionH>
                <wp:positionV relativeFrom="paragraph">
                  <wp:posOffset>283845</wp:posOffset>
                </wp:positionV>
                <wp:extent cx="4363085" cy="8502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085" cy="850265"/>
                        </a:xfrm>
                        <a:prstGeom prst="rect">
                          <a:avLst/>
                        </a:prstGeom>
                        <a:solidFill>
                          <a:srgbClr val="FFFFFF"/>
                        </a:solidFill>
                        <a:ln>
                          <a:noFill/>
                        </a:ln>
                      </wps:spPr>
                      <wps:txbx>
                        <w:txbxContent>
                          <w:p w:rsidR="00D10EA5" w:rsidRDefault="00116086" w:rsidP="00097066">
                            <w:pPr>
                              <w:ind w:leftChars="537" w:left="1128" w:rightChars="-507" w:right="-1065" w:firstLineChars="132" w:firstLine="1272"/>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 id="Text Box 4" o:spid="_x0000_s1029" type="#_x0000_t202" style="position:absolute;left:0;text-align:left;margin-left:138.6pt;margin-top:22.35pt;width:343.55pt;height:66.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" stroked="f">
                <v:textbox>
                  <w:txbxContent>
                    <w:p w:rsidR="00D10EA5" w:rsidRDefault="00116086" w:rsidP="00097066">
                      <w:pPr>
                        <w:ind w:leftChars="537" w:left="1128" w:rightChars="-507" w:right="-1065" w:firstLineChars="132" w:firstLine="1272"/>
                        <w:rPr>
                          <w:b/>
                          <w:sz w:val="96"/>
                          <w:szCs w:val="96"/>
                        </w:rPr>
                      </w:pPr>
                      <w:bookmarkStart w:id="9" w:name="c3"/>
                      <w:r>
                        <w:rPr>
                          <w:rFonts w:hint="eastAsia"/>
                          <w:b/>
                          <w:sz w:val="96"/>
                          <w:szCs w:val="96"/>
                        </w:rPr>
                        <w:t>T/</w:t>
                      </w:r>
                      <w:bookmarkEnd w:id="9"/>
                      <w:r>
                        <w:rPr>
                          <w:rFonts w:hint="eastAsia"/>
                          <w:b/>
                          <w:sz w:val="96"/>
                          <w:szCs w:val="96"/>
                        </w:rPr>
                        <w:t>CNLIC</w:t>
                      </w:r>
                    </w:p>
                  </w:txbxContent>
                </v:textbox>
              </v:shape>
            </w:pict>
          </mc:Fallback>
        </mc:AlternateContent>
      </w:r>
      <w:r>
        <w:rPr>
          <w:rFonts w:hAnsi="宋体" w:hint="eastAsia"/>
        </w:rPr>
        <w:t>.</w:t>
      </w:r>
    </w:p>
    <w:p w:rsidR="00D10EA5" w:rsidRDefault="00116086">
      <w:pPr>
        <w:pStyle w:val="affff4"/>
        <w:rPr>
          <w:rFonts w:ascii="宋体" w:eastAsia="宋体" w:hAnsi="宋体"/>
        </w:rPr>
      </w:pPr>
      <w:bookmarkStart w:id="10" w:name="_Toc446924883"/>
      <w:bookmarkStart w:id="11" w:name="_Toc447118972"/>
      <w:bookmarkStart w:id="12" w:name="_Toc447198478"/>
      <w:r>
        <w:rPr>
          <w:rFonts w:ascii="宋体" w:eastAsia="宋体" w:hAnsi="宋体" w:hint="eastAsia"/>
        </w:rPr>
        <w:lastRenderedPageBreak/>
        <w:t>目</w:t>
      </w:r>
      <w:bookmarkStart w:id="13" w:name="BKML"/>
      <w:r>
        <w:rPr>
          <w:rFonts w:ascii="宋体" w:eastAsia="宋体"/>
        </w:rPr>
        <w:t>  </w:t>
      </w:r>
      <w:r>
        <w:rPr>
          <w:rFonts w:ascii="宋体" w:eastAsia="宋体" w:hAnsi="宋体" w:hint="eastAsia"/>
        </w:rPr>
        <w:t>次</w:t>
      </w:r>
      <w:bookmarkEnd w:id="13"/>
    </w:p>
    <w:p w:rsidR="00D10EA5" w:rsidRDefault="00116086">
      <w:pPr>
        <w:pStyle w:val="10"/>
        <w:tabs>
          <w:tab w:val="clear" w:pos="9344"/>
          <w:tab w:val="right" w:leader="dot" w:pos="9354"/>
        </w:tabs>
      </w:pPr>
      <w:r>
        <w:fldChar w:fldCharType="begin"/>
      </w:r>
      <w:r>
        <w:instrText xml:space="preserve"> TOC \h \z \t "</w:instrText>
      </w:r>
      <w:r>
        <w:instrText>章标题</w:instrText>
      </w:r>
      <w:r>
        <w:instrText>,1,</w:instrText>
      </w:r>
      <w:r>
        <w:instrText>参考文献</w:instrText>
      </w:r>
      <w:r>
        <w:instrText>,1,</w:instrText>
      </w:r>
      <w:r>
        <w:instrText>附录标识</w:instrText>
      </w:r>
      <w:r>
        <w:instrText>,1,</w:instrText>
      </w:r>
      <w:r>
        <w:instrText>前言、引言标题</w:instrText>
      </w:r>
      <w:r>
        <w:instrText xml:space="preserve">,1" </w:instrText>
      </w:r>
      <w:r>
        <w:fldChar w:fldCharType="separate"/>
      </w:r>
      <w:hyperlink w:anchor="_Toc27295" w:history="1">
        <w:r>
          <w:rPr>
            <w:rFonts w:hAnsi="黑体" w:hint="eastAsia"/>
          </w:rPr>
          <w:t>前</w:t>
        </w:r>
        <w:r>
          <w:t>  </w:t>
        </w:r>
        <w:r>
          <w:rPr>
            <w:rFonts w:hAnsi="黑体" w:hint="eastAsia"/>
          </w:rPr>
          <w:t>言</w:t>
        </w:r>
        <w:r>
          <w:tab/>
        </w:r>
        <w:r>
          <w:fldChar w:fldCharType="begin"/>
        </w:r>
        <w:r>
          <w:instrText xml:space="preserve"> PAGEREF _Toc27295 </w:instrText>
        </w:r>
        <w:r>
          <w:fldChar w:fldCharType="separate"/>
        </w:r>
        <w:r>
          <w:t>II</w:t>
        </w:r>
        <w:r>
          <w:fldChar w:fldCharType="end"/>
        </w:r>
      </w:hyperlink>
    </w:p>
    <w:p w:rsidR="00D10EA5" w:rsidRDefault="00116086">
      <w:pPr>
        <w:pStyle w:val="10"/>
        <w:tabs>
          <w:tab w:val="clear" w:pos="9344"/>
          <w:tab w:val="right" w:leader="dot" w:pos="9354"/>
        </w:tabs>
      </w:pPr>
      <w:hyperlink w:anchor="_Toc2394" w:history="1">
        <w:r>
          <w:rPr>
            <w:rFonts w:ascii="黑体" w:eastAsia="黑体" w:hint="eastAsia"/>
            <w:szCs w:val="21"/>
          </w:rPr>
          <w:t xml:space="preserve">1 </w:t>
        </w:r>
        <w:r>
          <w:rPr>
            <w:rFonts w:hAnsi="黑体" w:hint="eastAsia"/>
          </w:rPr>
          <w:t>范围</w:t>
        </w:r>
        <w:r>
          <w:tab/>
        </w:r>
        <w:r>
          <w:fldChar w:fldCharType="begin"/>
        </w:r>
        <w:r>
          <w:instrText xml:space="preserve"> PAGEREF _Toc2394 </w:instrText>
        </w:r>
        <w:r>
          <w:fldChar w:fldCharType="separate"/>
        </w:r>
        <w:r>
          <w:t>1</w:t>
        </w:r>
        <w:r>
          <w:fldChar w:fldCharType="end"/>
        </w:r>
      </w:hyperlink>
    </w:p>
    <w:p w:rsidR="00D10EA5" w:rsidRDefault="00116086">
      <w:pPr>
        <w:pStyle w:val="10"/>
        <w:tabs>
          <w:tab w:val="clear" w:pos="9344"/>
          <w:tab w:val="right" w:leader="dot" w:pos="9354"/>
        </w:tabs>
      </w:pPr>
      <w:hyperlink w:anchor="_Toc24486" w:history="1">
        <w:r>
          <w:rPr>
            <w:rFonts w:ascii="黑体" w:eastAsia="黑体" w:hint="eastAsia"/>
            <w:szCs w:val="21"/>
          </w:rPr>
          <w:t xml:space="preserve">2 </w:t>
        </w:r>
        <w:r>
          <w:rPr>
            <w:rFonts w:hAnsi="黑体" w:hint="eastAsia"/>
          </w:rPr>
          <w:t>规范性引用文件</w:t>
        </w:r>
        <w:r>
          <w:tab/>
        </w:r>
        <w:r>
          <w:fldChar w:fldCharType="begin"/>
        </w:r>
        <w:r>
          <w:instrText xml:space="preserve"> PAGEREF _Toc24486 </w:instrText>
        </w:r>
        <w:r>
          <w:fldChar w:fldCharType="separate"/>
        </w:r>
        <w:r>
          <w:t>1</w:t>
        </w:r>
        <w:r>
          <w:fldChar w:fldCharType="end"/>
        </w:r>
      </w:hyperlink>
    </w:p>
    <w:p w:rsidR="00D10EA5" w:rsidRDefault="00116086">
      <w:pPr>
        <w:pStyle w:val="10"/>
        <w:tabs>
          <w:tab w:val="clear" w:pos="9344"/>
          <w:tab w:val="right" w:leader="dot" w:pos="9354"/>
        </w:tabs>
      </w:pPr>
      <w:hyperlink w:anchor="_Toc3642" w:history="1">
        <w:r>
          <w:rPr>
            <w:rFonts w:ascii="黑体" w:eastAsia="黑体" w:hint="eastAsia"/>
            <w:szCs w:val="21"/>
          </w:rPr>
          <w:t xml:space="preserve">3 </w:t>
        </w:r>
        <w:r>
          <w:rPr>
            <w:rFonts w:hAnsi="黑体" w:hint="eastAsia"/>
          </w:rPr>
          <w:t>术语和定义</w:t>
        </w:r>
        <w:r>
          <w:tab/>
        </w:r>
        <w:r>
          <w:fldChar w:fldCharType="begin"/>
        </w:r>
        <w:r>
          <w:instrText xml:space="preserve"> PAGEREF _Toc3642 </w:instrText>
        </w:r>
        <w:r>
          <w:fldChar w:fldCharType="separate"/>
        </w:r>
        <w:r>
          <w:t>2</w:t>
        </w:r>
        <w:r>
          <w:fldChar w:fldCharType="end"/>
        </w:r>
      </w:hyperlink>
    </w:p>
    <w:p w:rsidR="00D10EA5" w:rsidRDefault="00116086">
      <w:pPr>
        <w:pStyle w:val="10"/>
        <w:tabs>
          <w:tab w:val="clear" w:pos="9344"/>
          <w:tab w:val="right" w:leader="dot" w:pos="9354"/>
        </w:tabs>
      </w:pPr>
      <w:hyperlink w:anchor="_Toc21320" w:history="1">
        <w:r>
          <w:rPr>
            <w:rFonts w:ascii="黑体" w:eastAsia="黑体" w:hint="eastAsia"/>
            <w:szCs w:val="21"/>
          </w:rPr>
          <w:t xml:space="preserve">4 </w:t>
        </w:r>
        <w:r>
          <w:rPr>
            <w:rFonts w:hAnsi="黑体" w:hint="eastAsia"/>
          </w:rPr>
          <w:t>评价要求</w:t>
        </w:r>
        <w:r>
          <w:tab/>
        </w:r>
        <w:r>
          <w:fldChar w:fldCharType="begin"/>
        </w:r>
        <w:r>
          <w:instrText xml:space="preserve"> PAGEREF _Toc21320 </w:instrText>
        </w:r>
        <w:r>
          <w:fldChar w:fldCharType="separate"/>
        </w:r>
        <w:r>
          <w:t>2</w:t>
        </w:r>
        <w:r>
          <w:fldChar w:fldCharType="end"/>
        </w:r>
      </w:hyperlink>
    </w:p>
    <w:p w:rsidR="00D10EA5" w:rsidRDefault="00116086">
      <w:pPr>
        <w:pStyle w:val="10"/>
        <w:tabs>
          <w:tab w:val="clear" w:pos="9344"/>
          <w:tab w:val="right" w:leader="dot" w:pos="9354"/>
        </w:tabs>
      </w:pPr>
      <w:hyperlink w:anchor="_Toc8752" w:history="1">
        <w:r>
          <w:rPr>
            <w:rFonts w:ascii="黑体" w:eastAsia="黑体" w:hint="eastAsia"/>
            <w:szCs w:val="21"/>
          </w:rPr>
          <w:t xml:space="preserve">5 </w:t>
        </w:r>
        <w:r>
          <w:rPr>
            <w:rFonts w:hint="eastAsia"/>
          </w:rPr>
          <w:t>产品生命周期评价报告编制方法</w:t>
        </w:r>
        <w:r>
          <w:tab/>
        </w:r>
        <w:r>
          <w:fldChar w:fldCharType="begin"/>
        </w:r>
        <w:r>
          <w:instrText xml:space="preserve"> PAGEREF _Toc8752 </w:instrText>
        </w:r>
        <w:r>
          <w:fldChar w:fldCharType="separate"/>
        </w:r>
        <w:r>
          <w:t>4</w:t>
        </w:r>
        <w:r>
          <w:fldChar w:fldCharType="end"/>
        </w:r>
      </w:hyperlink>
    </w:p>
    <w:p w:rsidR="00D10EA5" w:rsidRDefault="00116086">
      <w:pPr>
        <w:pStyle w:val="10"/>
        <w:tabs>
          <w:tab w:val="clear" w:pos="9344"/>
          <w:tab w:val="right" w:leader="dot" w:pos="9354"/>
        </w:tabs>
      </w:pPr>
      <w:hyperlink w:anchor="_Toc27117" w:history="1">
        <w:r>
          <w:rPr>
            <w:rFonts w:ascii="黑体" w:eastAsia="黑体" w:hint="eastAsia"/>
            <w:szCs w:val="21"/>
          </w:rPr>
          <w:t xml:space="preserve">6 </w:t>
        </w:r>
        <w:r>
          <w:rPr>
            <w:rFonts w:hint="eastAsia"/>
          </w:rPr>
          <w:t>评价方法</w:t>
        </w:r>
        <w:r>
          <w:tab/>
        </w:r>
        <w:r>
          <w:fldChar w:fldCharType="begin"/>
        </w:r>
        <w:r>
          <w:instrText xml:space="preserve"> PAGEREF _Toc27117 </w:instrText>
        </w:r>
        <w:r>
          <w:fldChar w:fldCharType="separate"/>
        </w:r>
        <w:r>
          <w:t>5</w:t>
        </w:r>
        <w:r>
          <w:fldChar w:fldCharType="end"/>
        </w:r>
      </w:hyperlink>
    </w:p>
    <w:p w:rsidR="00D10EA5" w:rsidRDefault="00116086">
      <w:pPr>
        <w:pStyle w:val="10"/>
        <w:tabs>
          <w:tab w:val="clear" w:pos="9344"/>
          <w:tab w:val="right" w:leader="dot" w:pos="9354"/>
        </w:tabs>
      </w:pPr>
      <w:hyperlink w:anchor="_Toc2377" w:history="1">
        <w:r>
          <w:rPr>
            <w:rFonts w:hint="eastAsia"/>
          </w:rPr>
          <w:t>附录</w:t>
        </w:r>
        <w:r>
          <w:rPr>
            <w:rFonts w:hint="eastAsia"/>
          </w:rPr>
          <w:t>A</w:t>
        </w:r>
        <w:r>
          <w:rPr>
            <w:rFonts w:hint="eastAsia"/>
          </w:rPr>
          <w:t>（资料性）</w:t>
        </w:r>
        <w:r>
          <w:rPr>
            <w:rFonts w:hint="eastAsia"/>
            <w:lang w:bidi="en-US"/>
          </w:rPr>
          <w:t>洗碗机生命周期评价</w:t>
        </w:r>
        <w:r>
          <w:rPr>
            <w:rFonts w:hAnsi="黑体" w:hint="eastAsia"/>
            <w:lang w:bidi="en-US"/>
          </w:rPr>
          <w:t>方法</w:t>
        </w:r>
        <w:r>
          <w:tab/>
        </w:r>
        <w:r>
          <w:fldChar w:fldCharType="begin"/>
        </w:r>
        <w:r>
          <w:instrText xml:space="preserve"> PAGEREF _Toc2377 </w:instrText>
        </w:r>
        <w:r>
          <w:fldChar w:fldCharType="separate"/>
        </w:r>
        <w:r>
          <w:t>6</w:t>
        </w:r>
        <w:r>
          <w:fldChar w:fldCharType="end"/>
        </w:r>
      </w:hyperlink>
    </w:p>
    <w:p w:rsidR="00D10EA5" w:rsidRDefault="00116086">
      <w:pPr>
        <w:pStyle w:val="10"/>
        <w:tabs>
          <w:tab w:val="clear" w:pos="9344"/>
          <w:tab w:val="right" w:leader="dot" w:pos="9354"/>
        </w:tabs>
      </w:pPr>
      <w:hyperlink w:anchor="_Toc19371" w:history="1">
        <w:r>
          <w:rPr>
            <w:rFonts w:hAnsi="黑体" w:hint="eastAsia"/>
          </w:rPr>
          <w:t>参考文献</w:t>
        </w:r>
        <w:r>
          <w:tab/>
        </w:r>
        <w:r>
          <w:fldChar w:fldCharType="begin"/>
        </w:r>
        <w:r>
          <w:instrText xml:space="preserve"> PAGEREF _Toc19371 </w:instrText>
        </w:r>
        <w:r>
          <w:fldChar w:fldCharType="separate"/>
        </w:r>
        <w:r>
          <w:t>12</w:t>
        </w:r>
        <w:r>
          <w:fldChar w:fldCharType="end"/>
        </w:r>
      </w:hyperlink>
    </w:p>
    <w:p w:rsidR="00D10EA5" w:rsidRDefault="00116086">
      <w:pPr>
        <w:pStyle w:val="affff1"/>
        <w:ind w:firstLineChars="0" w:firstLine="0"/>
        <w:rPr>
          <w:rFonts w:hAnsi="宋体"/>
        </w:rPr>
      </w:pPr>
      <w:r>
        <w:rPr>
          <w:rFonts w:hAnsi="宋体"/>
          <w:kern w:val="2"/>
          <w:sz w:val="21"/>
          <w:szCs w:val="21"/>
        </w:rPr>
        <w:fldChar w:fldCharType="end"/>
      </w:r>
    </w:p>
    <w:p w:rsidR="00D10EA5" w:rsidRDefault="00116086">
      <w:pPr>
        <w:pStyle w:val="affffff7"/>
        <w:rPr>
          <w:rFonts w:hAnsi="黑体"/>
        </w:rPr>
      </w:pPr>
      <w:bookmarkStart w:id="14" w:name="_Toc447198882"/>
      <w:bookmarkStart w:id="15" w:name="_Toc20645587"/>
      <w:bookmarkStart w:id="16" w:name="_Toc27295"/>
      <w:r>
        <w:rPr>
          <w:rFonts w:hAnsi="黑体" w:hint="eastAsia"/>
        </w:rPr>
        <w:t>前</w:t>
      </w:r>
      <w:bookmarkStart w:id="17" w:name="BKQY"/>
      <w:r>
        <w:t>  </w:t>
      </w:r>
      <w:r>
        <w:rPr>
          <w:rFonts w:hAnsi="黑体" w:hint="eastAsia"/>
        </w:rPr>
        <w:t>言</w:t>
      </w:r>
      <w:bookmarkEnd w:id="10"/>
      <w:bookmarkEnd w:id="11"/>
      <w:bookmarkEnd w:id="12"/>
      <w:bookmarkEnd w:id="14"/>
      <w:bookmarkEnd w:id="15"/>
      <w:bookmarkEnd w:id="16"/>
      <w:bookmarkEnd w:id="17"/>
    </w:p>
    <w:p w:rsidR="00D10EA5" w:rsidRDefault="00116086">
      <w:pPr>
        <w:pStyle w:val="afff"/>
        <w:ind w:firstLineChars="200" w:firstLine="420"/>
        <w:rPr>
          <w:rFonts w:ascii="Times New Roman" w:hAnsi="Times New Roman"/>
          <w:lang w:eastAsia="zh-CN"/>
        </w:rPr>
      </w:pPr>
      <w:r>
        <w:rPr>
          <w:rFonts w:ascii="Times New Roman" w:hAnsi="Times New Roman" w:hint="eastAsia"/>
          <w:lang w:eastAsia="zh-CN"/>
        </w:rPr>
        <w:t>本文件按照</w:t>
      </w:r>
      <w:r>
        <w:rPr>
          <w:rFonts w:ascii="Times New Roman" w:hAnsi="Times New Roman"/>
          <w:lang w:eastAsia="zh-CN"/>
        </w:rPr>
        <w:t>GB/T 1.1—2020</w:t>
      </w:r>
      <w:r>
        <w:rPr>
          <w:rFonts w:ascii="Times New Roman" w:hAnsi="Times New Roman"/>
          <w:lang w:eastAsia="zh-CN"/>
        </w:rPr>
        <w:t>《标准化工作导则</w:t>
      </w:r>
      <w:r>
        <w:rPr>
          <w:rFonts w:ascii="Times New Roman" w:hAnsi="Times New Roman"/>
          <w:lang w:eastAsia="zh-CN"/>
        </w:rPr>
        <w:t xml:space="preserve"> </w:t>
      </w:r>
      <w:r>
        <w:rPr>
          <w:rFonts w:ascii="Times New Roman" w:hAnsi="Times New Roman"/>
          <w:lang w:eastAsia="zh-CN"/>
        </w:rPr>
        <w:t>第</w:t>
      </w:r>
      <w:r>
        <w:rPr>
          <w:rFonts w:ascii="Times New Roman" w:hAnsi="Times New Roman"/>
          <w:lang w:eastAsia="zh-CN"/>
        </w:rPr>
        <w:t>1</w:t>
      </w:r>
      <w:r>
        <w:rPr>
          <w:rFonts w:ascii="Times New Roman" w:hAnsi="Times New Roman"/>
          <w:lang w:eastAsia="zh-CN"/>
        </w:rPr>
        <w:t>部分：标准化文件的结构和起草规则》的规定起草。</w:t>
      </w:r>
    </w:p>
    <w:p w:rsidR="00D10EA5" w:rsidRDefault="00116086">
      <w:pPr>
        <w:pStyle w:val="affff1"/>
        <w:ind w:firstLineChars="0"/>
        <w:rPr>
          <w:rFonts w:ascii="Times New Roman"/>
          <w:sz w:val="21"/>
          <w:szCs w:val="21"/>
        </w:rPr>
      </w:pPr>
      <w:r>
        <w:rPr>
          <w:rFonts w:ascii="Times New Roman" w:hAnsi="宋体"/>
          <w:sz w:val="21"/>
          <w:szCs w:val="21"/>
        </w:rPr>
        <w:t>本</w:t>
      </w:r>
      <w:r>
        <w:rPr>
          <w:rFonts w:ascii="Times New Roman" w:hAnsi="宋体" w:hint="eastAsia"/>
          <w:sz w:val="21"/>
          <w:szCs w:val="21"/>
        </w:rPr>
        <w:t>文件</w:t>
      </w:r>
      <w:r>
        <w:rPr>
          <w:rFonts w:ascii="Times New Roman" w:hAnsi="宋体"/>
          <w:sz w:val="21"/>
          <w:szCs w:val="21"/>
        </w:rPr>
        <w:t>由中国轻工业联合会和中国家用电器标准与技术产业联盟提出并归口。</w:t>
      </w:r>
    </w:p>
    <w:p w:rsidR="00D10EA5" w:rsidRDefault="00116086">
      <w:pPr>
        <w:pStyle w:val="affff1"/>
        <w:ind w:firstLineChars="0" w:firstLine="410"/>
        <w:rPr>
          <w:rFonts w:ascii="Times New Roman"/>
          <w:sz w:val="21"/>
          <w:szCs w:val="21"/>
        </w:rPr>
      </w:pPr>
      <w:r>
        <w:rPr>
          <w:rFonts w:ascii="Times New Roman" w:hAnsi="宋体"/>
          <w:sz w:val="21"/>
          <w:szCs w:val="21"/>
        </w:rPr>
        <w:t>本</w:t>
      </w:r>
      <w:r>
        <w:rPr>
          <w:rFonts w:ascii="Times New Roman" w:hAnsi="宋体" w:hint="eastAsia"/>
          <w:sz w:val="21"/>
          <w:szCs w:val="21"/>
        </w:rPr>
        <w:t>文件</w:t>
      </w:r>
      <w:r>
        <w:rPr>
          <w:rFonts w:ascii="Times New Roman" w:hAnsi="宋体"/>
          <w:sz w:val="21"/>
          <w:szCs w:val="21"/>
        </w:rPr>
        <w:t>起草单位：</w:t>
      </w:r>
      <w:bookmarkStart w:id="18" w:name="_GoBack"/>
      <w:bookmarkEnd w:id="18"/>
    </w:p>
    <w:p w:rsidR="00D10EA5" w:rsidRDefault="00116086">
      <w:pPr>
        <w:pStyle w:val="affff1"/>
        <w:ind w:firstLineChars="0" w:firstLine="410"/>
        <w:rPr>
          <w:rFonts w:ascii="Times New Roman"/>
          <w:sz w:val="21"/>
          <w:szCs w:val="21"/>
        </w:rPr>
      </w:pPr>
      <w:r>
        <w:rPr>
          <w:rFonts w:ascii="Times New Roman" w:hAnsi="宋体"/>
          <w:sz w:val="21"/>
          <w:szCs w:val="21"/>
        </w:rPr>
        <w:t>本</w:t>
      </w:r>
      <w:r>
        <w:rPr>
          <w:rFonts w:ascii="Times New Roman" w:hAnsi="宋体" w:hint="eastAsia"/>
          <w:sz w:val="21"/>
          <w:szCs w:val="21"/>
        </w:rPr>
        <w:t>文件</w:t>
      </w:r>
      <w:r>
        <w:rPr>
          <w:rFonts w:ascii="Times New Roman" w:hAnsi="宋体"/>
          <w:sz w:val="21"/>
          <w:szCs w:val="21"/>
        </w:rPr>
        <w:t>主要起草人：</w:t>
      </w:r>
      <w:r w:rsidR="00FA5C09">
        <w:rPr>
          <w:rFonts w:ascii="Times New Roman"/>
          <w:sz w:val="21"/>
          <w:szCs w:val="21"/>
        </w:rPr>
        <w:t xml:space="preserve"> </w:t>
      </w:r>
    </w:p>
    <w:p w:rsidR="00D10EA5" w:rsidRDefault="00116086">
      <w:pPr>
        <w:pStyle w:val="affff1"/>
        <w:ind w:firstLineChars="0"/>
        <w:rPr>
          <w:rFonts w:ascii="Times New Roman" w:hAnsi="宋体"/>
          <w:sz w:val="21"/>
          <w:szCs w:val="21"/>
        </w:rPr>
        <w:sectPr w:rsidR="00D10EA5">
          <w:headerReference w:type="even" r:id="rId13"/>
          <w:headerReference w:type="default" r:id="rId14"/>
          <w:footerReference w:type="default" r:id="rId15"/>
          <w:pgSz w:w="11906" w:h="16838"/>
          <w:pgMar w:top="567" w:right="1134" w:bottom="1134" w:left="1418" w:header="1021" w:footer="1134" w:gutter="0"/>
          <w:pgNumType w:fmt="upperRoman" w:start="1"/>
          <w:cols w:space="425"/>
          <w:formProt w:val="0"/>
          <w:docGrid w:type="lines" w:linePitch="312"/>
        </w:sectPr>
      </w:pPr>
      <w:r>
        <w:rPr>
          <w:rFonts w:ascii="Times New Roman" w:hAnsi="宋体"/>
          <w:sz w:val="21"/>
          <w:szCs w:val="21"/>
        </w:rPr>
        <w:t>本</w:t>
      </w:r>
      <w:r>
        <w:rPr>
          <w:rFonts w:ascii="Times New Roman" w:hAnsi="宋体" w:hint="eastAsia"/>
          <w:sz w:val="21"/>
          <w:szCs w:val="21"/>
        </w:rPr>
        <w:t>文件</w:t>
      </w:r>
      <w:r>
        <w:rPr>
          <w:rFonts w:ascii="Times New Roman" w:hAnsi="宋体"/>
          <w:sz w:val="21"/>
          <w:szCs w:val="21"/>
        </w:rPr>
        <w:t>为首次发布。</w:t>
      </w:r>
    </w:p>
    <w:p w:rsidR="00D10EA5" w:rsidRDefault="00116086">
      <w:pPr>
        <w:pStyle w:val="affff4"/>
        <w:rPr>
          <w:rFonts w:hAnsi="黑体"/>
        </w:rPr>
      </w:pPr>
      <w:r>
        <w:rPr>
          <w:rFonts w:hAnsi="黑体"/>
        </w:rPr>
        <w:t>绿色设计产品评价</w:t>
      </w:r>
      <w:r>
        <w:rPr>
          <w:rFonts w:hAnsi="黑体" w:hint="eastAsia"/>
        </w:rPr>
        <w:t>技术</w:t>
      </w:r>
      <w:r>
        <w:rPr>
          <w:rFonts w:hAnsi="黑体"/>
        </w:rPr>
        <w:t>规范</w:t>
      </w:r>
      <w:r>
        <w:rPr>
          <w:rFonts w:hAnsi="黑体" w:hint="eastAsia"/>
        </w:rPr>
        <w:t xml:space="preserve"> </w:t>
      </w:r>
      <w:r>
        <w:rPr>
          <w:rFonts w:hAnsi="黑体" w:hint="eastAsia"/>
        </w:rPr>
        <w:t>洗碗机</w:t>
      </w:r>
    </w:p>
    <w:p w:rsidR="00D10EA5" w:rsidRDefault="00116086">
      <w:pPr>
        <w:pStyle w:val="a7"/>
        <w:spacing w:beforeLines="50" w:before="156" w:afterLines="50" w:after="156"/>
        <w:rPr>
          <w:rFonts w:hAnsi="黑体"/>
        </w:rPr>
      </w:pPr>
      <w:bookmarkStart w:id="19" w:name="_Toc20645588"/>
      <w:bookmarkStart w:id="20" w:name="_Toc2394"/>
      <w:bookmarkStart w:id="21" w:name="_Toc447198479"/>
      <w:bookmarkStart w:id="22" w:name="_Toc446924884"/>
      <w:bookmarkStart w:id="23" w:name="_Toc447198883"/>
      <w:bookmarkStart w:id="24" w:name="_Toc447118973"/>
      <w:r>
        <w:rPr>
          <w:rFonts w:hAnsi="黑体" w:hint="eastAsia"/>
        </w:rPr>
        <w:t>范围</w:t>
      </w:r>
      <w:bookmarkEnd w:id="19"/>
      <w:bookmarkEnd w:id="20"/>
    </w:p>
    <w:p w:rsidR="00D10EA5" w:rsidRDefault="00116086">
      <w:pPr>
        <w:tabs>
          <w:tab w:val="center" w:pos="4201"/>
          <w:tab w:val="right" w:leader="dot" w:pos="9298"/>
        </w:tabs>
        <w:autoSpaceDE w:val="0"/>
        <w:autoSpaceDN w:val="0"/>
        <w:ind w:firstLineChars="200" w:firstLine="420"/>
        <w:rPr>
          <w:rFonts w:ascii="宋体"/>
          <w:szCs w:val="20"/>
        </w:rPr>
      </w:pPr>
      <w:r>
        <w:rPr>
          <w:rFonts w:ascii="宋体" w:hint="eastAsia"/>
          <w:szCs w:val="20"/>
        </w:rPr>
        <w:t>本文件规定了家用洗碗机绿色设计产品的术语和定义、评价要求、生命周期评价报告编制方法和评价方法。</w:t>
      </w:r>
    </w:p>
    <w:p w:rsidR="00D10EA5" w:rsidRDefault="00116086">
      <w:pPr>
        <w:pStyle w:val="afff"/>
        <w:ind w:left="0" w:firstLineChars="200" w:firstLine="420"/>
        <w:rPr>
          <w:szCs w:val="20"/>
          <w:lang w:eastAsia="zh-CN"/>
        </w:rPr>
      </w:pPr>
      <w:r>
        <w:rPr>
          <w:rFonts w:hint="eastAsia"/>
          <w:szCs w:val="20"/>
          <w:lang w:eastAsia="zh-CN"/>
        </w:rPr>
        <w:t>本文件适用于家用洗碗机（以下简称“洗碗机”）绿色设计产品评价。</w:t>
      </w:r>
    </w:p>
    <w:p w:rsidR="00D10EA5" w:rsidRDefault="00116086">
      <w:pPr>
        <w:pStyle w:val="afff"/>
        <w:ind w:left="0" w:firstLineChars="200" w:firstLine="420"/>
        <w:rPr>
          <w:lang w:eastAsia="zh-CN"/>
        </w:rPr>
      </w:pPr>
      <w:r>
        <w:rPr>
          <w:rFonts w:hint="eastAsia"/>
          <w:szCs w:val="20"/>
          <w:lang w:eastAsia="zh-CN"/>
        </w:rPr>
        <w:t>本文件不适用于水槽式洗碗机、商用或其他特殊用途洗碗机。</w:t>
      </w:r>
    </w:p>
    <w:p w:rsidR="00D10EA5" w:rsidRDefault="00116086">
      <w:pPr>
        <w:pStyle w:val="a7"/>
        <w:spacing w:beforeLines="50" w:before="156" w:afterLines="50" w:after="156"/>
        <w:rPr>
          <w:rFonts w:hAnsi="黑体"/>
        </w:rPr>
      </w:pPr>
      <w:bookmarkStart w:id="25" w:name="_Toc20645589"/>
      <w:bookmarkStart w:id="26" w:name="_Toc24486"/>
      <w:r>
        <w:rPr>
          <w:rFonts w:hAnsi="黑体" w:hint="eastAsia"/>
        </w:rPr>
        <w:t>规范性引用文件</w:t>
      </w:r>
      <w:bookmarkEnd w:id="25"/>
      <w:bookmarkEnd w:id="26"/>
    </w:p>
    <w:p w:rsidR="00D10EA5" w:rsidRDefault="00116086">
      <w:pPr>
        <w:pStyle w:val="a9"/>
        <w:numPr>
          <w:ilvl w:val="0"/>
          <w:numId w:val="0"/>
        </w:numPr>
        <w:spacing w:beforeLines="0" w:afterLines="0"/>
        <w:ind w:firstLineChars="200" w:firstLine="420"/>
        <w:outlineLvl w:val="9"/>
        <w:rPr>
          <w:rFonts w:ascii="宋体" w:eastAsia="宋体" w:hAnsi="宋体"/>
        </w:rPr>
      </w:pPr>
      <w:r>
        <w:rPr>
          <w:rFonts w:ascii="宋体" w:eastAsia="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10EA5" w:rsidRDefault="00116086">
      <w:pPr>
        <w:pStyle w:val="a9"/>
        <w:numPr>
          <w:ilvl w:val="0"/>
          <w:numId w:val="0"/>
        </w:numPr>
        <w:spacing w:beforeLines="0" w:afterLines="0"/>
        <w:ind w:firstLineChars="200" w:firstLine="420"/>
        <w:rPr>
          <w:rFonts w:ascii="Times New Roman" w:eastAsia="宋体" w:hAnsi="宋体"/>
          <w:lang w:bidi="en-US"/>
        </w:rPr>
      </w:pPr>
      <w:r>
        <w:rPr>
          <w:rFonts w:ascii="Times New Roman" w:eastAsia="宋体" w:hAnsi="宋体" w:hint="eastAsia"/>
          <w:lang w:bidi="en-US"/>
        </w:rPr>
        <w:t>GB/T</w:t>
      </w:r>
      <w:r>
        <w:rPr>
          <w:rFonts w:ascii="Times New Roman" w:eastAsia="宋体" w:hAnsi="宋体"/>
          <w:lang w:bidi="en-US"/>
        </w:rPr>
        <w:t xml:space="preserve"> </w:t>
      </w:r>
      <w:r>
        <w:rPr>
          <w:rFonts w:ascii="Times New Roman" w:eastAsia="宋体" w:hAnsi="宋体" w:hint="eastAsia"/>
          <w:lang w:bidi="en-US"/>
        </w:rPr>
        <w:t xml:space="preserve">191  </w:t>
      </w:r>
      <w:r>
        <w:rPr>
          <w:rFonts w:ascii="Times New Roman" w:eastAsia="宋体" w:hAnsi="宋体" w:hint="eastAsia"/>
          <w:lang w:bidi="en-US"/>
        </w:rPr>
        <w:t>包装储运图示标志</w:t>
      </w:r>
    </w:p>
    <w:p w:rsidR="00D10EA5" w:rsidRDefault="00116086">
      <w:pPr>
        <w:pStyle w:val="a9"/>
        <w:numPr>
          <w:ilvl w:val="0"/>
          <w:numId w:val="0"/>
        </w:numPr>
        <w:spacing w:beforeLines="0" w:afterLines="0"/>
        <w:ind w:firstLineChars="200" w:firstLine="420"/>
        <w:rPr>
          <w:rFonts w:ascii="Times New Roman" w:eastAsia="宋体"/>
        </w:rPr>
      </w:pPr>
      <w:r>
        <w:rPr>
          <w:rFonts w:ascii="Times New Roman" w:eastAsia="宋体" w:hint="eastAsia"/>
        </w:rPr>
        <w:t>GB/T</w:t>
      </w:r>
      <w:r>
        <w:rPr>
          <w:rFonts w:ascii="Times New Roman" w:eastAsia="宋体"/>
        </w:rPr>
        <w:t xml:space="preserve"> </w:t>
      </w:r>
      <w:r>
        <w:rPr>
          <w:rFonts w:ascii="Times New Roman" w:eastAsia="宋体" w:hint="eastAsia"/>
        </w:rPr>
        <w:t xml:space="preserve">1019  </w:t>
      </w:r>
      <w:r>
        <w:rPr>
          <w:rFonts w:ascii="Times New Roman" w:eastAsia="宋体" w:hint="eastAsia"/>
        </w:rPr>
        <w:t>家用和类似用途电器包装通则</w:t>
      </w:r>
    </w:p>
    <w:p w:rsidR="00D10EA5" w:rsidRDefault="00116086">
      <w:pPr>
        <w:pStyle w:val="affff1"/>
        <w:rPr>
          <w:rFonts w:ascii="Times New Roman"/>
          <w:sz w:val="21"/>
          <w:szCs w:val="21"/>
        </w:rPr>
      </w:pPr>
      <w:r>
        <w:rPr>
          <w:rFonts w:ascii="Times New Roman"/>
          <w:sz w:val="21"/>
          <w:szCs w:val="21"/>
        </w:rPr>
        <w:t xml:space="preserve">GB/T 4214.3  </w:t>
      </w:r>
      <w:r>
        <w:rPr>
          <w:rFonts w:ascii="Times New Roman" w:hint="eastAsia"/>
          <w:sz w:val="21"/>
          <w:szCs w:val="21"/>
        </w:rPr>
        <w:t>家用和类似用途电器噪声测试方法</w:t>
      </w:r>
      <w:r>
        <w:rPr>
          <w:rFonts w:ascii="Times New Roman" w:hint="eastAsia"/>
          <w:sz w:val="21"/>
          <w:szCs w:val="21"/>
        </w:rPr>
        <w:t xml:space="preserve"> </w:t>
      </w:r>
      <w:r>
        <w:rPr>
          <w:rFonts w:ascii="Times New Roman" w:hint="eastAsia"/>
          <w:sz w:val="21"/>
          <w:szCs w:val="21"/>
        </w:rPr>
        <w:t>洗碗机的特殊要求</w:t>
      </w:r>
    </w:p>
    <w:p w:rsidR="00D10EA5" w:rsidRDefault="00116086">
      <w:pPr>
        <w:pStyle w:val="affff1"/>
        <w:rPr>
          <w:rFonts w:ascii="Times New Roman"/>
          <w:sz w:val="21"/>
          <w:szCs w:val="21"/>
        </w:rPr>
      </w:pPr>
      <w:r>
        <w:rPr>
          <w:rFonts w:ascii="Times New Roman" w:hint="eastAsia"/>
          <w:sz w:val="21"/>
          <w:szCs w:val="21"/>
        </w:rPr>
        <w:t>G</w:t>
      </w:r>
      <w:r>
        <w:rPr>
          <w:rFonts w:ascii="Times New Roman"/>
          <w:sz w:val="21"/>
          <w:szCs w:val="21"/>
        </w:rPr>
        <w:t xml:space="preserve">B 4343.1  </w:t>
      </w:r>
      <w:r>
        <w:rPr>
          <w:rFonts w:ascii="Times New Roman" w:hint="eastAsia"/>
          <w:sz w:val="21"/>
          <w:szCs w:val="21"/>
        </w:rPr>
        <w:t>家用电器、电动工具和类似器具的电磁兼容要求</w:t>
      </w:r>
      <w:r>
        <w:rPr>
          <w:rFonts w:ascii="Times New Roman" w:hint="eastAsia"/>
          <w:sz w:val="21"/>
          <w:szCs w:val="21"/>
        </w:rPr>
        <w:t xml:space="preserve"> </w:t>
      </w:r>
      <w:r>
        <w:rPr>
          <w:rFonts w:ascii="Times New Roman" w:hint="eastAsia"/>
          <w:sz w:val="21"/>
          <w:szCs w:val="21"/>
        </w:rPr>
        <w:t>第</w:t>
      </w:r>
      <w:r>
        <w:rPr>
          <w:rFonts w:ascii="Times New Roman" w:hint="eastAsia"/>
          <w:sz w:val="21"/>
          <w:szCs w:val="21"/>
        </w:rPr>
        <w:t>1</w:t>
      </w:r>
      <w:r>
        <w:rPr>
          <w:rFonts w:ascii="Times New Roman" w:hint="eastAsia"/>
          <w:sz w:val="21"/>
          <w:szCs w:val="21"/>
        </w:rPr>
        <w:t>部分：发射</w:t>
      </w:r>
    </w:p>
    <w:p w:rsidR="00D10EA5" w:rsidRDefault="00116086">
      <w:pPr>
        <w:pStyle w:val="affff1"/>
        <w:rPr>
          <w:rFonts w:ascii="Times New Roman"/>
          <w:sz w:val="21"/>
          <w:szCs w:val="21"/>
        </w:rPr>
      </w:pPr>
      <w:r>
        <w:rPr>
          <w:rFonts w:ascii="Times New Roman" w:hint="eastAsia"/>
          <w:sz w:val="21"/>
          <w:szCs w:val="21"/>
        </w:rPr>
        <w:t>G</w:t>
      </w:r>
      <w:r>
        <w:rPr>
          <w:rFonts w:ascii="Times New Roman"/>
          <w:sz w:val="21"/>
          <w:szCs w:val="21"/>
        </w:rPr>
        <w:t>B</w:t>
      </w:r>
      <w:r>
        <w:rPr>
          <w:rFonts w:ascii="Times New Roman" w:hint="eastAsia"/>
          <w:sz w:val="21"/>
          <w:szCs w:val="21"/>
        </w:rPr>
        <w:t xml:space="preserve"> </w:t>
      </w:r>
      <w:r>
        <w:rPr>
          <w:rFonts w:ascii="Times New Roman"/>
          <w:sz w:val="21"/>
          <w:szCs w:val="21"/>
        </w:rPr>
        <w:t xml:space="preserve">4343.2  </w:t>
      </w:r>
      <w:r>
        <w:rPr>
          <w:rFonts w:ascii="Times New Roman" w:hint="eastAsia"/>
          <w:sz w:val="21"/>
          <w:szCs w:val="21"/>
        </w:rPr>
        <w:t>家用电器、电动工具和类似器具的电磁兼容要求</w:t>
      </w:r>
      <w:r>
        <w:rPr>
          <w:rFonts w:ascii="Times New Roman" w:hint="eastAsia"/>
          <w:sz w:val="21"/>
          <w:szCs w:val="21"/>
        </w:rPr>
        <w:t xml:space="preserve"> </w:t>
      </w:r>
      <w:r>
        <w:rPr>
          <w:rFonts w:ascii="Times New Roman" w:hint="eastAsia"/>
          <w:sz w:val="21"/>
          <w:szCs w:val="21"/>
        </w:rPr>
        <w:t>第</w:t>
      </w:r>
      <w:r>
        <w:rPr>
          <w:rFonts w:ascii="Times New Roman" w:hint="eastAsia"/>
          <w:sz w:val="21"/>
          <w:szCs w:val="21"/>
        </w:rPr>
        <w:t>2</w:t>
      </w:r>
      <w:r>
        <w:rPr>
          <w:rFonts w:ascii="Times New Roman" w:hint="eastAsia"/>
          <w:sz w:val="21"/>
          <w:szCs w:val="21"/>
        </w:rPr>
        <w:t>部分：抗扰</w:t>
      </w:r>
      <w:r>
        <w:rPr>
          <w:rFonts w:ascii="Times New Roman" w:hint="eastAsia"/>
          <w:sz w:val="21"/>
          <w:szCs w:val="21"/>
        </w:rPr>
        <w:t>度</w:t>
      </w:r>
    </w:p>
    <w:p w:rsidR="00D10EA5" w:rsidRDefault="00116086">
      <w:pPr>
        <w:pStyle w:val="affff1"/>
        <w:rPr>
          <w:rFonts w:ascii="Times New Roman"/>
          <w:sz w:val="21"/>
          <w:szCs w:val="21"/>
        </w:rPr>
      </w:pPr>
      <w:r>
        <w:rPr>
          <w:rFonts w:ascii="Times New Roman" w:hint="eastAsia"/>
          <w:sz w:val="21"/>
          <w:szCs w:val="21"/>
        </w:rPr>
        <w:t>G</w:t>
      </w:r>
      <w:r>
        <w:rPr>
          <w:rFonts w:ascii="Times New Roman"/>
          <w:sz w:val="21"/>
          <w:szCs w:val="21"/>
        </w:rPr>
        <w:t xml:space="preserve">B 4706.1  </w:t>
      </w:r>
      <w:r>
        <w:rPr>
          <w:rFonts w:ascii="Times New Roman" w:hint="eastAsia"/>
          <w:sz w:val="21"/>
          <w:szCs w:val="21"/>
        </w:rPr>
        <w:t>家用和类似用途电器的安全</w:t>
      </w:r>
      <w:r>
        <w:rPr>
          <w:rFonts w:ascii="Times New Roman" w:hint="eastAsia"/>
          <w:sz w:val="21"/>
          <w:szCs w:val="21"/>
        </w:rPr>
        <w:t xml:space="preserve"> </w:t>
      </w:r>
      <w:r>
        <w:rPr>
          <w:rFonts w:ascii="Times New Roman" w:hint="eastAsia"/>
          <w:sz w:val="21"/>
          <w:szCs w:val="21"/>
        </w:rPr>
        <w:t>第</w:t>
      </w:r>
      <w:r>
        <w:rPr>
          <w:rFonts w:ascii="Times New Roman" w:hint="eastAsia"/>
          <w:sz w:val="21"/>
          <w:szCs w:val="21"/>
        </w:rPr>
        <w:t>1</w:t>
      </w:r>
      <w:r>
        <w:rPr>
          <w:rFonts w:ascii="Times New Roman" w:hint="eastAsia"/>
          <w:sz w:val="21"/>
          <w:szCs w:val="21"/>
        </w:rPr>
        <w:t>部分：通用要求</w:t>
      </w:r>
    </w:p>
    <w:p w:rsidR="00D10EA5" w:rsidRDefault="00116086">
      <w:pPr>
        <w:pStyle w:val="a9"/>
        <w:numPr>
          <w:ilvl w:val="0"/>
          <w:numId w:val="0"/>
        </w:numPr>
        <w:spacing w:beforeLines="0" w:afterLines="0"/>
        <w:ind w:firstLineChars="200" w:firstLine="420"/>
        <w:rPr>
          <w:rFonts w:ascii="Times New Roman" w:eastAsia="宋体"/>
        </w:rPr>
      </w:pPr>
      <w:r>
        <w:rPr>
          <w:rFonts w:ascii="Times New Roman" w:eastAsia="宋体"/>
        </w:rPr>
        <w:t>GB 4706.25</w:t>
      </w:r>
      <w:r>
        <w:rPr>
          <w:rFonts w:ascii="Times New Roman" w:eastAsia="宋体" w:hint="eastAsia"/>
        </w:rPr>
        <w:t xml:space="preserve">  </w:t>
      </w:r>
      <w:r>
        <w:rPr>
          <w:rFonts w:ascii="Times New Roman" w:eastAsia="宋体" w:hint="eastAsia"/>
        </w:rPr>
        <w:t>家用和类似用途电器的安全</w:t>
      </w:r>
      <w:r>
        <w:rPr>
          <w:rFonts w:ascii="Times New Roman" w:eastAsia="宋体" w:hint="eastAsia"/>
        </w:rPr>
        <w:t xml:space="preserve"> </w:t>
      </w:r>
      <w:r>
        <w:rPr>
          <w:rFonts w:ascii="Times New Roman" w:eastAsia="宋体" w:hint="eastAsia"/>
        </w:rPr>
        <w:t>洗碗机的特殊要求</w:t>
      </w:r>
    </w:p>
    <w:p w:rsidR="00D10EA5" w:rsidRDefault="00116086">
      <w:pPr>
        <w:ind w:firstLineChars="200" w:firstLine="420"/>
        <w:rPr>
          <w:szCs w:val="21"/>
        </w:rPr>
      </w:pPr>
      <w:r>
        <w:rPr>
          <w:szCs w:val="21"/>
        </w:rPr>
        <w:t>GB/T 5296.2</w:t>
      </w:r>
      <w:r>
        <w:rPr>
          <w:rFonts w:hint="eastAsia"/>
          <w:szCs w:val="21"/>
        </w:rPr>
        <w:t xml:space="preserve">  </w:t>
      </w:r>
      <w:r>
        <w:rPr>
          <w:rFonts w:hint="eastAsia"/>
          <w:szCs w:val="21"/>
        </w:rPr>
        <w:t>消费品使用说明</w:t>
      </w:r>
      <w:r>
        <w:rPr>
          <w:rFonts w:hint="eastAsia"/>
          <w:szCs w:val="21"/>
        </w:rPr>
        <w:t xml:space="preserve"> </w:t>
      </w:r>
      <w:r>
        <w:rPr>
          <w:rFonts w:hint="eastAsia"/>
          <w:szCs w:val="21"/>
        </w:rPr>
        <w:t>第</w:t>
      </w:r>
      <w:r>
        <w:rPr>
          <w:rFonts w:hint="eastAsia"/>
          <w:szCs w:val="21"/>
        </w:rPr>
        <w:t>2</w:t>
      </w:r>
      <w:r>
        <w:rPr>
          <w:rFonts w:hint="eastAsia"/>
          <w:szCs w:val="21"/>
        </w:rPr>
        <w:t>部分：家用和类似用途电器</w:t>
      </w:r>
    </w:p>
    <w:p w:rsidR="00D10EA5" w:rsidRDefault="00116086">
      <w:pPr>
        <w:ind w:firstLineChars="200" w:firstLine="420"/>
        <w:rPr>
          <w:szCs w:val="21"/>
        </w:rPr>
      </w:pPr>
      <w:r>
        <w:rPr>
          <w:rFonts w:hint="eastAsia"/>
          <w:szCs w:val="21"/>
        </w:rPr>
        <w:t>G</w:t>
      </w:r>
      <w:r>
        <w:rPr>
          <w:szCs w:val="21"/>
        </w:rPr>
        <w:t xml:space="preserve">B/T 16288  </w:t>
      </w:r>
      <w:r>
        <w:rPr>
          <w:rFonts w:hint="eastAsia"/>
          <w:szCs w:val="21"/>
        </w:rPr>
        <w:t>塑料制品的标志</w:t>
      </w:r>
    </w:p>
    <w:p w:rsidR="00D10EA5" w:rsidRDefault="00116086">
      <w:pPr>
        <w:pStyle w:val="a9"/>
        <w:numPr>
          <w:ilvl w:val="0"/>
          <w:numId w:val="0"/>
        </w:numPr>
        <w:spacing w:beforeLines="0" w:afterLines="0"/>
        <w:ind w:firstLineChars="200" w:firstLine="420"/>
        <w:rPr>
          <w:rFonts w:ascii="Times New Roman" w:eastAsia="宋体"/>
          <w:kern w:val="2"/>
        </w:rPr>
      </w:pPr>
      <w:r>
        <w:rPr>
          <w:rFonts w:ascii="Times New Roman" w:eastAsia="宋体" w:hint="eastAsia"/>
          <w:kern w:val="2"/>
        </w:rPr>
        <w:t xml:space="preserve">GB/T 16716.1  </w:t>
      </w:r>
      <w:r>
        <w:rPr>
          <w:rFonts w:ascii="Times New Roman" w:eastAsia="宋体" w:hint="eastAsia"/>
          <w:kern w:val="2"/>
        </w:rPr>
        <w:t>包装与环境</w:t>
      </w:r>
      <w:r>
        <w:rPr>
          <w:rFonts w:ascii="Times New Roman" w:eastAsia="宋体" w:hint="eastAsia"/>
          <w:kern w:val="2"/>
        </w:rPr>
        <w:t xml:space="preserve"> </w:t>
      </w:r>
      <w:r>
        <w:rPr>
          <w:rFonts w:ascii="Times New Roman" w:eastAsia="宋体" w:hint="eastAsia"/>
          <w:kern w:val="2"/>
        </w:rPr>
        <w:t>第</w:t>
      </w:r>
      <w:r>
        <w:rPr>
          <w:rFonts w:ascii="Times New Roman" w:eastAsia="宋体" w:hint="eastAsia"/>
          <w:kern w:val="2"/>
        </w:rPr>
        <w:t>1</w:t>
      </w:r>
      <w:r>
        <w:rPr>
          <w:rFonts w:ascii="Times New Roman" w:eastAsia="宋体" w:hint="eastAsia"/>
          <w:kern w:val="2"/>
        </w:rPr>
        <w:t>部分：通则</w:t>
      </w:r>
    </w:p>
    <w:p w:rsidR="00D10EA5" w:rsidRDefault="00116086">
      <w:pPr>
        <w:pStyle w:val="affff1"/>
        <w:rPr>
          <w:rFonts w:ascii="Times New Roman"/>
          <w:kern w:val="2"/>
          <w:sz w:val="21"/>
          <w:szCs w:val="21"/>
        </w:rPr>
      </w:pPr>
      <w:r>
        <w:rPr>
          <w:rFonts w:ascii="Times New Roman" w:hint="eastAsia"/>
          <w:kern w:val="2"/>
          <w:sz w:val="21"/>
          <w:szCs w:val="21"/>
        </w:rPr>
        <w:t xml:space="preserve">GB 17625.1 </w:t>
      </w:r>
      <w:r>
        <w:rPr>
          <w:rFonts w:ascii="Times New Roman"/>
          <w:kern w:val="2"/>
          <w:sz w:val="21"/>
          <w:szCs w:val="21"/>
        </w:rPr>
        <w:t xml:space="preserve"> </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限值</w:t>
      </w:r>
      <w:r>
        <w:rPr>
          <w:rFonts w:ascii="Times New Roman" w:hint="eastAsia"/>
          <w:kern w:val="2"/>
          <w:sz w:val="21"/>
          <w:szCs w:val="21"/>
        </w:rPr>
        <w:t xml:space="preserve"> </w:t>
      </w:r>
      <w:r>
        <w:rPr>
          <w:rFonts w:ascii="Times New Roman" w:hint="eastAsia"/>
          <w:kern w:val="2"/>
          <w:sz w:val="21"/>
          <w:szCs w:val="21"/>
        </w:rPr>
        <w:t>谐波电流发射限值</w:t>
      </w:r>
      <w:r>
        <w:rPr>
          <w:rFonts w:ascii="Times New Roman" w:hint="eastAsia"/>
          <w:kern w:val="2"/>
          <w:sz w:val="21"/>
          <w:szCs w:val="21"/>
        </w:rPr>
        <w:t>(</w:t>
      </w:r>
      <w:proofErr w:type="gramStart"/>
      <w:r>
        <w:rPr>
          <w:rFonts w:ascii="Times New Roman" w:hint="eastAsia"/>
          <w:kern w:val="2"/>
          <w:sz w:val="21"/>
          <w:szCs w:val="21"/>
        </w:rPr>
        <w:t>设备每相输入</w:t>
      </w:r>
      <w:proofErr w:type="gramEnd"/>
      <w:r>
        <w:rPr>
          <w:rFonts w:ascii="Times New Roman" w:hint="eastAsia"/>
          <w:kern w:val="2"/>
          <w:sz w:val="21"/>
          <w:szCs w:val="21"/>
        </w:rPr>
        <w:t>电流≤</w:t>
      </w:r>
      <w:r>
        <w:rPr>
          <w:rFonts w:ascii="Times New Roman" w:hint="eastAsia"/>
          <w:kern w:val="2"/>
          <w:sz w:val="21"/>
          <w:szCs w:val="21"/>
        </w:rPr>
        <w:t>16A)</w:t>
      </w:r>
    </w:p>
    <w:p w:rsidR="00D10EA5" w:rsidRDefault="00116086">
      <w:pPr>
        <w:pStyle w:val="affff1"/>
        <w:rPr>
          <w:rFonts w:ascii="Times New Roman"/>
          <w:kern w:val="2"/>
          <w:sz w:val="21"/>
          <w:szCs w:val="21"/>
        </w:rPr>
      </w:pPr>
      <w:r>
        <w:rPr>
          <w:rFonts w:ascii="Times New Roman" w:hint="eastAsia"/>
          <w:kern w:val="2"/>
          <w:sz w:val="21"/>
          <w:szCs w:val="21"/>
        </w:rPr>
        <w:t>G</w:t>
      </w:r>
      <w:r>
        <w:rPr>
          <w:rFonts w:ascii="Times New Roman"/>
          <w:kern w:val="2"/>
          <w:sz w:val="21"/>
          <w:szCs w:val="21"/>
        </w:rPr>
        <w:t xml:space="preserve">B 17625.2  </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限值</w:t>
      </w:r>
      <w:r>
        <w:rPr>
          <w:rFonts w:ascii="Times New Roman" w:hint="eastAsia"/>
          <w:kern w:val="2"/>
          <w:sz w:val="21"/>
          <w:szCs w:val="21"/>
        </w:rPr>
        <w:t xml:space="preserve"> </w:t>
      </w:r>
      <w:proofErr w:type="gramStart"/>
      <w:r>
        <w:rPr>
          <w:rFonts w:ascii="Times New Roman" w:hint="eastAsia"/>
          <w:kern w:val="2"/>
          <w:sz w:val="21"/>
          <w:szCs w:val="21"/>
        </w:rPr>
        <w:t>对每相额定电流</w:t>
      </w:r>
      <w:proofErr w:type="gramEnd"/>
      <w:r>
        <w:rPr>
          <w:rFonts w:ascii="Times New Roman" w:hint="eastAsia"/>
          <w:kern w:val="2"/>
          <w:sz w:val="21"/>
          <w:szCs w:val="21"/>
        </w:rPr>
        <w:t>≤</w:t>
      </w:r>
      <w:r>
        <w:rPr>
          <w:rFonts w:ascii="Times New Roman" w:hint="eastAsia"/>
          <w:kern w:val="2"/>
          <w:sz w:val="21"/>
          <w:szCs w:val="21"/>
        </w:rPr>
        <w:t>16A</w:t>
      </w:r>
      <w:r>
        <w:rPr>
          <w:rFonts w:ascii="Times New Roman" w:hint="eastAsia"/>
          <w:kern w:val="2"/>
          <w:sz w:val="21"/>
          <w:szCs w:val="21"/>
        </w:rPr>
        <w:t>且无条件接入的设备在公用低压供电系统中产生的电压变化、电压波动和闪烁的限制</w:t>
      </w:r>
    </w:p>
    <w:p w:rsidR="00D10EA5" w:rsidRDefault="00116086">
      <w:pPr>
        <w:pStyle w:val="affff1"/>
        <w:rPr>
          <w:rFonts w:ascii="Times New Roman"/>
          <w:kern w:val="2"/>
          <w:sz w:val="21"/>
          <w:szCs w:val="21"/>
        </w:rPr>
      </w:pPr>
      <w:r>
        <w:rPr>
          <w:rFonts w:ascii="Times New Roman" w:hint="eastAsia"/>
          <w:kern w:val="2"/>
          <w:sz w:val="21"/>
          <w:szCs w:val="21"/>
        </w:rPr>
        <w:t>G</w:t>
      </w:r>
      <w:r>
        <w:rPr>
          <w:rFonts w:ascii="Times New Roman"/>
          <w:kern w:val="2"/>
          <w:sz w:val="21"/>
          <w:szCs w:val="21"/>
        </w:rPr>
        <w:t xml:space="preserve">B/T 18455  </w:t>
      </w:r>
      <w:r>
        <w:rPr>
          <w:rFonts w:ascii="Times New Roman" w:hint="eastAsia"/>
          <w:kern w:val="2"/>
          <w:sz w:val="21"/>
          <w:szCs w:val="21"/>
        </w:rPr>
        <w:t>包装回收标志</w:t>
      </w:r>
    </w:p>
    <w:p w:rsidR="00D10EA5" w:rsidRDefault="00116086">
      <w:pPr>
        <w:tabs>
          <w:tab w:val="center" w:pos="4201"/>
          <w:tab w:val="right" w:leader="dot" w:pos="9298"/>
        </w:tabs>
        <w:autoSpaceDE w:val="0"/>
        <w:autoSpaceDN w:val="0"/>
        <w:ind w:firstLineChars="200" w:firstLine="420"/>
        <w:rPr>
          <w:szCs w:val="21"/>
        </w:rPr>
      </w:pPr>
      <w:r>
        <w:rPr>
          <w:rFonts w:hint="eastAsia"/>
          <w:szCs w:val="21"/>
        </w:rPr>
        <w:t xml:space="preserve">GB/T 19001  </w:t>
      </w:r>
      <w:r>
        <w:rPr>
          <w:rFonts w:hint="eastAsia"/>
          <w:szCs w:val="21"/>
        </w:rPr>
        <w:t>质量管理体系</w:t>
      </w:r>
      <w:r>
        <w:rPr>
          <w:rFonts w:hint="eastAsia"/>
          <w:szCs w:val="21"/>
        </w:rPr>
        <w:t xml:space="preserve"> </w:t>
      </w:r>
      <w:r>
        <w:rPr>
          <w:rFonts w:hint="eastAsia"/>
          <w:szCs w:val="21"/>
        </w:rPr>
        <w:t>要求</w:t>
      </w:r>
    </w:p>
    <w:p w:rsidR="00D10EA5" w:rsidRDefault="00116086">
      <w:pPr>
        <w:tabs>
          <w:tab w:val="center" w:pos="4201"/>
          <w:tab w:val="right" w:leader="dot" w:pos="9298"/>
        </w:tabs>
        <w:autoSpaceDE w:val="0"/>
        <w:autoSpaceDN w:val="0"/>
        <w:ind w:firstLineChars="200" w:firstLine="420"/>
        <w:rPr>
          <w:szCs w:val="21"/>
        </w:rPr>
      </w:pPr>
      <w:r>
        <w:rPr>
          <w:rFonts w:hint="eastAsia"/>
          <w:szCs w:val="21"/>
        </w:rPr>
        <w:t>G</w:t>
      </w:r>
      <w:r>
        <w:rPr>
          <w:szCs w:val="21"/>
        </w:rPr>
        <w:t xml:space="preserve">B/T 23384  </w:t>
      </w:r>
      <w:r>
        <w:rPr>
          <w:rFonts w:hint="eastAsia"/>
          <w:szCs w:val="21"/>
        </w:rPr>
        <w:t>产品及零部件可回收利用标识</w:t>
      </w:r>
    </w:p>
    <w:p w:rsidR="00D10EA5" w:rsidRDefault="00116086">
      <w:pPr>
        <w:tabs>
          <w:tab w:val="center" w:pos="4201"/>
          <w:tab w:val="right" w:leader="dot" w:pos="9298"/>
        </w:tabs>
        <w:autoSpaceDE w:val="0"/>
        <w:autoSpaceDN w:val="0"/>
        <w:ind w:firstLineChars="200" w:firstLine="420"/>
        <w:rPr>
          <w:szCs w:val="21"/>
        </w:rPr>
      </w:pPr>
      <w:r>
        <w:rPr>
          <w:rFonts w:hint="eastAsia"/>
          <w:szCs w:val="21"/>
        </w:rPr>
        <w:t xml:space="preserve">GB/T 24001  </w:t>
      </w:r>
      <w:r>
        <w:rPr>
          <w:rFonts w:hint="eastAsia"/>
          <w:szCs w:val="21"/>
        </w:rPr>
        <w:t>环境管理体系</w:t>
      </w:r>
      <w:r>
        <w:rPr>
          <w:rFonts w:hint="eastAsia"/>
          <w:szCs w:val="21"/>
        </w:rPr>
        <w:t xml:space="preserve"> </w:t>
      </w:r>
      <w:r>
        <w:rPr>
          <w:rFonts w:hint="eastAsia"/>
          <w:szCs w:val="21"/>
        </w:rPr>
        <w:t>要求及使用指南</w:t>
      </w:r>
    </w:p>
    <w:p w:rsidR="00D10EA5" w:rsidRDefault="00116086">
      <w:pPr>
        <w:pStyle w:val="afff"/>
        <w:ind w:left="0" w:firstLineChars="200" w:firstLine="420"/>
        <w:jc w:val="both"/>
        <w:rPr>
          <w:rFonts w:ascii="Times New Roman" w:hAnsi="Times New Roman"/>
          <w:lang w:eastAsia="zh-CN"/>
        </w:rPr>
      </w:pPr>
      <w:r>
        <w:rPr>
          <w:rFonts w:ascii="Times New Roman" w:eastAsia="Times New Roman" w:hAnsi="Times New Roman"/>
          <w:lang w:eastAsia="zh-CN"/>
        </w:rPr>
        <w:t>GB</w:t>
      </w:r>
      <w:r>
        <w:rPr>
          <w:rFonts w:ascii="Times New Roman" w:eastAsia="Times New Roman" w:hAnsi="Times New Roman"/>
          <w:spacing w:val="-2"/>
          <w:lang w:eastAsia="zh-CN"/>
        </w:rPr>
        <w:t>/</w:t>
      </w:r>
      <w:r>
        <w:rPr>
          <w:rFonts w:ascii="Times New Roman" w:eastAsia="Times New Roman" w:hAnsi="Times New Roman"/>
          <w:lang w:eastAsia="zh-CN"/>
        </w:rPr>
        <w:t>T 240</w:t>
      </w:r>
      <w:r>
        <w:rPr>
          <w:rFonts w:ascii="Times New Roman" w:eastAsia="Times New Roman" w:hAnsi="Times New Roman"/>
          <w:spacing w:val="-3"/>
          <w:lang w:eastAsia="zh-CN"/>
        </w:rPr>
        <w:t>4</w:t>
      </w:r>
      <w:r>
        <w:rPr>
          <w:rFonts w:ascii="Times New Roman" w:eastAsia="Times New Roman" w:hAnsi="Times New Roman"/>
          <w:lang w:eastAsia="zh-CN"/>
        </w:rPr>
        <w:t xml:space="preserve">0 </w:t>
      </w:r>
      <w:r>
        <w:rPr>
          <w:rFonts w:ascii="Times New Roman" w:hAnsi="Times New Roman" w:hint="eastAsia"/>
          <w:lang w:eastAsia="zh-CN"/>
        </w:rPr>
        <w:t xml:space="preserve"> </w:t>
      </w:r>
      <w:r>
        <w:rPr>
          <w:rFonts w:ascii="Times New Roman"/>
          <w:spacing w:val="-3"/>
          <w:lang w:eastAsia="zh-CN"/>
        </w:rPr>
        <w:t>环</w:t>
      </w:r>
      <w:r>
        <w:rPr>
          <w:rFonts w:ascii="Times New Roman"/>
          <w:lang w:eastAsia="zh-CN"/>
        </w:rPr>
        <w:t>境</w:t>
      </w:r>
      <w:r>
        <w:rPr>
          <w:rFonts w:ascii="Times New Roman"/>
          <w:spacing w:val="-3"/>
          <w:lang w:eastAsia="zh-CN"/>
        </w:rPr>
        <w:t>管</w:t>
      </w:r>
      <w:r>
        <w:rPr>
          <w:rFonts w:ascii="Times New Roman"/>
          <w:lang w:eastAsia="zh-CN"/>
        </w:rPr>
        <w:t>理</w:t>
      </w:r>
      <w:r>
        <w:rPr>
          <w:rFonts w:ascii="Times New Roman" w:hint="eastAsia"/>
          <w:lang w:eastAsia="zh-CN"/>
        </w:rPr>
        <w:t xml:space="preserve"> </w:t>
      </w:r>
      <w:r>
        <w:rPr>
          <w:rFonts w:ascii="Times New Roman"/>
          <w:spacing w:val="-3"/>
          <w:lang w:eastAsia="zh-CN"/>
        </w:rPr>
        <w:t>生</w:t>
      </w:r>
      <w:r>
        <w:rPr>
          <w:rFonts w:ascii="Times New Roman"/>
          <w:lang w:eastAsia="zh-CN"/>
        </w:rPr>
        <w:t>命周</w:t>
      </w:r>
      <w:r>
        <w:rPr>
          <w:rFonts w:ascii="Times New Roman"/>
          <w:spacing w:val="-3"/>
          <w:lang w:eastAsia="zh-CN"/>
        </w:rPr>
        <w:t>期</w:t>
      </w:r>
      <w:r>
        <w:rPr>
          <w:rFonts w:ascii="Times New Roman"/>
          <w:lang w:eastAsia="zh-CN"/>
        </w:rPr>
        <w:t>评价</w:t>
      </w:r>
      <w:r>
        <w:rPr>
          <w:rFonts w:ascii="Times New Roman" w:hint="eastAsia"/>
          <w:lang w:eastAsia="zh-CN"/>
        </w:rPr>
        <w:t xml:space="preserve"> </w:t>
      </w:r>
      <w:r>
        <w:rPr>
          <w:rFonts w:ascii="Times New Roman"/>
          <w:spacing w:val="-3"/>
          <w:lang w:eastAsia="zh-CN"/>
        </w:rPr>
        <w:t>原</w:t>
      </w:r>
      <w:r>
        <w:rPr>
          <w:rFonts w:ascii="Times New Roman"/>
          <w:lang w:eastAsia="zh-CN"/>
        </w:rPr>
        <w:t>则</w:t>
      </w:r>
      <w:r>
        <w:rPr>
          <w:rFonts w:ascii="Times New Roman"/>
          <w:spacing w:val="-3"/>
          <w:lang w:eastAsia="zh-CN"/>
        </w:rPr>
        <w:t>与</w:t>
      </w:r>
      <w:r>
        <w:rPr>
          <w:rFonts w:ascii="Times New Roman"/>
          <w:lang w:eastAsia="zh-CN"/>
        </w:rPr>
        <w:t>框架</w:t>
      </w:r>
    </w:p>
    <w:p w:rsidR="00D10EA5" w:rsidRDefault="00116086">
      <w:pPr>
        <w:pStyle w:val="afff"/>
        <w:ind w:left="0" w:firstLineChars="200" w:firstLine="420"/>
        <w:jc w:val="both"/>
        <w:rPr>
          <w:rFonts w:ascii="Times New Roman" w:hAnsi="Times New Roman"/>
          <w:lang w:eastAsia="zh-CN"/>
        </w:rPr>
      </w:pPr>
      <w:r>
        <w:rPr>
          <w:rFonts w:ascii="Times New Roman" w:eastAsia="Times New Roman" w:hAnsi="Times New Roman"/>
          <w:lang w:eastAsia="zh-CN"/>
        </w:rPr>
        <w:t>GB</w:t>
      </w:r>
      <w:r>
        <w:rPr>
          <w:rFonts w:ascii="Times New Roman" w:eastAsia="Times New Roman" w:hAnsi="Times New Roman"/>
          <w:spacing w:val="-2"/>
          <w:lang w:eastAsia="zh-CN"/>
        </w:rPr>
        <w:t>/</w:t>
      </w:r>
      <w:r>
        <w:rPr>
          <w:rFonts w:ascii="Times New Roman" w:eastAsia="Times New Roman" w:hAnsi="Times New Roman"/>
          <w:lang w:eastAsia="zh-CN"/>
        </w:rPr>
        <w:t>T 240</w:t>
      </w:r>
      <w:r>
        <w:rPr>
          <w:rFonts w:ascii="Times New Roman" w:eastAsia="Times New Roman" w:hAnsi="Times New Roman"/>
          <w:spacing w:val="-3"/>
          <w:lang w:eastAsia="zh-CN"/>
        </w:rPr>
        <w:t>4</w:t>
      </w:r>
      <w:r>
        <w:rPr>
          <w:rFonts w:ascii="Times New Roman" w:eastAsia="Times New Roman" w:hAnsi="Times New Roman"/>
          <w:lang w:eastAsia="zh-CN"/>
        </w:rPr>
        <w:t xml:space="preserve">4 </w:t>
      </w:r>
      <w:r>
        <w:rPr>
          <w:rFonts w:ascii="Times New Roman" w:hAnsi="Times New Roman" w:hint="eastAsia"/>
          <w:lang w:eastAsia="zh-CN"/>
        </w:rPr>
        <w:t xml:space="preserve"> </w:t>
      </w:r>
      <w:r>
        <w:rPr>
          <w:rFonts w:ascii="Times New Roman"/>
          <w:spacing w:val="-3"/>
          <w:lang w:eastAsia="zh-CN"/>
        </w:rPr>
        <w:t>环</w:t>
      </w:r>
      <w:r>
        <w:rPr>
          <w:rFonts w:ascii="Times New Roman"/>
          <w:lang w:eastAsia="zh-CN"/>
        </w:rPr>
        <w:t>境</w:t>
      </w:r>
      <w:r>
        <w:rPr>
          <w:rFonts w:ascii="Times New Roman"/>
          <w:spacing w:val="-3"/>
          <w:lang w:eastAsia="zh-CN"/>
        </w:rPr>
        <w:t>管</w:t>
      </w:r>
      <w:r>
        <w:rPr>
          <w:rFonts w:ascii="Times New Roman"/>
          <w:lang w:eastAsia="zh-CN"/>
        </w:rPr>
        <w:t>理</w:t>
      </w:r>
      <w:r>
        <w:rPr>
          <w:rFonts w:ascii="Times New Roman" w:hint="eastAsia"/>
          <w:lang w:eastAsia="zh-CN"/>
        </w:rPr>
        <w:t xml:space="preserve"> </w:t>
      </w:r>
      <w:r>
        <w:rPr>
          <w:rFonts w:ascii="Times New Roman"/>
          <w:spacing w:val="-3"/>
          <w:lang w:eastAsia="zh-CN"/>
        </w:rPr>
        <w:t>生</w:t>
      </w:r>
      <w:r>
        <w:rPr>
          <w:rFonts w:ascii="Times New Roman"/>
          <w:lang w:eastAsia="zh-CN"/>
        </w:rPr>
        <w:t>命周</w:t>
      </w:r>
      <w:r>
        <w:rPr>
          <w:rFonts w:ascii="Times New Roman"/>
          <w:spacing w:val="-3"/>
          <w:lang w:eastAsia="zh-CN"/>
        </w:rPr>
        <w:t>期</w:t>
      </w:r>
      <w:r>
        <w:rPr>
          <w:rFonts w:ascii="Times New Roman"/>
          <w:lang w:eastAsia="zh-CN"/>
        </w:rPr>
        <w:t>评价</w:t>
      </w:r>
      <w:r>
        <w:rPr>
          <w:rFonts w:ascii="Times New Roman" w:hint="eastAsia"/>
          <w:lang w:eastAsia="zh-CN"/>
        </w:rPr>
        <w:t xml:space="preserve"> </w:t>
      </w:r>
      <w:r>
        <w:rPr>
          <w:rFonts w:ascii="Times New Roman"/>
          <w:spacing w:val="-3"/>
          <w:lang w:eastAsia="zh-CN"/>
        </w:rPr>
        <w:t>要</w:t>
      </w:r>
      <w:r>
        <w:rPr>
          <w:rFonts w:ascii="Times New Roman"/>
          <w:lang w:eastAsia="zh-CN"/>
        </w:rPr>
        <w:t>求</w:t>
      </w:r>
      <w:r>
        <w:rPr>
          <w:rFonts w:ascii="Times New Roman"/>
          <w:spacing w:val="-3"/>
          <w:lang w:eastAsia="zh-CN"/>
        </w:rPr>
        <w:t>与</w:t>
      </w:r>
      <w:r>
        <w:rPr>
          <w:rFonts w:ascii="Times New Roman"/>
          <w:lang w:eastAsia="zh-CN"/>
        </w:rPr>
        <w:t>指南</w:t>
      </w:r>
    </w:p>
    <w:p w:rsidR="00D10EA5" w:rsidRDefault="00116086">
      <w:pPr>
        <w:tabs>
          <w:tab w:val="center" w:pos="4201"/>
          <w:tab w:val="right" w:leader="dot" w:pos="9298"/>
        </w:tabs>
        <w:autoSpaceDE w:val="0"/>
        <w:autoSpaceDN w:val="0"/>
        <w:ind w:firstLineChars="200" w:firstLine="420"/>
        <w:rPr>
          <w:szCs w:val="21"/>
        </w:rPr>
      </w:pPr>
      <w:r>
        <w:rPr>
          <w:szCs w:val="21"/>
        </w:rPr>
        <w:t>GB/T</w:t>
      </w:r>
      <w:r>
        <w:rPr>
          <w:rFonts w:hint="eastAsia"/>
          <w:szCs w:val="21"/>
        </w:rPr>
        <w:t xml:space="preserve"> </w:t>
      </w:r>
      <w:r>
        <w:rPr>
          <w:szCs w:val="21"/>
        </w:rPr>
        <w:t>24256</w:t>
      </w:r>
      <w:r>
        <w:rPr>
          <w:rFonts w:hint="eastAsia"/>
          <w:szCs w:val="21"/>
        </w:rPr>
        <w:t xml:space="preserve">  </w:t>
      </w:r>
      <w:r>
        <w:rPr>
          <w:rFonts w:hint="eastAsia"/>
          <w:szCs w:val="21"/>
        </w:rPr>
        <w:t>产品生态设计通则</w:t>
      </w:r>
    </w:p>
    <w:p w:rsidR="00D10EA5" w:rsidRDefault="00116086">
      <w:pPr>
        <w:tabs>
          <w:tab w:val="center" w:pos="4201"/>
          <w:tab w:val="right" w:leader="dot" w:pos="9298"/>
        </w:tabs>
        <w:autoSpaceDE w:val="0"/>
        <w:autoSpaceDN w:val="0"/>
        <w:ind w:firstLineChars="200" w:firstLine="420"/>
        <w:rPr>
          <w:szCs w:val="21"/>
        </w:rPr>
      </w:pPr>
      <w:r>
        <w:rPr>
          <w:rFonts w:hint="eastAsia"/>
          <w:szCs w:val="21"/>
        </w:rPr>
        <w:t>G</w:t>
      </w:r>
      <w:r>
        <w:rPr>
          <w:szCs w:val="21"/>
        </w:rPr>
        <w:t xml:space="preserve">B/T 26125  </w:t>
      </w:r>
      <w:r>
        <w:rPr>
          <w:rFonts w:hint="eastAsia"/>
          <w:szCs w:val="21"/>
        </w:rPr>
        <w:t>电子电气产品</w:t>
      </w:r>
      <w:r>
        <w:rPr>
          <w:rFonts w:hint="eastAsia"/>
          <w:szCs w:val="21"/>
        </w:rPr>
        <w:t xml:space="preserve"> </w:t>
      </w:r>
      <w:r>
        <w:rPr>
          <w:rFonts w:hint="eastAsia"/>
          <w:szCs w:val="21"/>
        </w:rPr>
        <w:t>六种限用物质（铅、汞、镉、六价铬、多溴联苯和多溴二苯醚）的测定</w:t>
      </w:r>
    </w:p>
    <w:p w:rsidR="00D10EA5" w:rsidRDefault="00116086">
      <w:pPr>
        <w:tabs>
          <w:tab w:val="center" w:pos="4201"/>
          <w:tab w:val="right" w:leader="dot" w:pos="9298"/>
        </w:tabs>
        <w:autoSpaceDE w:val="0"/>
        <w:autoSpaceDN w:val="0"/>
        <w:ind w:firstLineChars="200" w:firstLine="420"/>
        <w:rPr>
          <w:szCs w:val="21"/>
        </w:rPr>
      </w:pPr>
      <w:r>
        <w:rPr>
          <w:szCs w:val="21"/>
        </w:rPr>
        <w:t>GB/T 26572</w:t>
      </w:r>
      <w:r>
        <w:rPr>
          <w:rFonts w:hint="eastAsia"/>
          <w:szCs w:val="21"/>
        </w:rPr>
        <w:t xml:space="preserve">  </w:t>
      </w:r>
      <w:r>
        <w:rPr>
          <w:rFonts w:hint="eastAsia"/>
          <w:szCs w:val="21"/>
        </w:rPr>
        <w:t>电子电气产品中限用物质的限量要求</w:t>
      </w:r>
    </w:p>
    <w:p w:rsidR="00D10EA5" w:rsidRDefault="00116086">
      <w:pPr>
        <w:tabs>
          <w:tab w:val="center" w:pos="4201"/>
          <w:tab w:val="right" w:leader="dot" w:pos="9298"/>
        </w:tabs>
        <w:autoSpaceDE w:val="0"/>
        <w:autoSpaceDN w:val="0"/>
        <w:ind w:firstLineChars="200" w:firstLine="420"/>
        <w:rPr>
          <w:szCs w:val="21"/>
        </w:rPr>
      </w:pPr>
      <w:r>
        <w:rPr>
          <w:szCs w:val="21"/>
        </w:rPr>
        <w:t>GB/T 31268</w:t>
      </w:r>
      <w:r>
        <w:rPr>
          <w:rFonts w:hint="eastAsia"/>
          <w:szCs w:val="21"/>
        </w:rPr>
        <w:t xml:space="preserve">  </w:t>
      </w:r>
      <w:r>
        <w:rPr>
          <w:rFonts w:hint="eastAsia"/>
          <w:szCs w:val="21"/>
        </w:rPr>
        <w:t>限制商品过度包装</w:t>
      </w:r>
      <w:r>
        <w:rPr>
          <w:rFonts w:hint="eastAsia"/>
          <w:szCs w:val="21"/>
        </w:rPr>
        <w:t xml:space="preserve"> </w:t>
      </w:r>
      <w:r>
        <w:rPr>
          <w:rFonts w:hint="eastAsia"/>
          <w:szCs w:val="21"/>
        </w:rPr>
        <w:t>通则</w:t>
      </w:r>
    </w:p>
    <w:p w:rsidR="00D10EA5" w:rsidRDefault="00116086">
      <w:pPr>
        <w:tabs>
          <w:tab w:val="center" w:pos="4201"/>
          <w:tab w:val="right" w:leader="dot" w:pos="9298"/>
        </w:tabs>
        <w:autoSpaceDE w:val="0"/>
        <w:autoSpaceDN w:val="0"/>
        <w:ind w:firstLineChars="200" w:firstLine="420"/>
        <w:rPr>
          <w:szCs w:val="21"/>
        </w:rPr>
      </w:pPr>
      <w:r>
        <w:rPr>
          <w:szCs w:val="21"/>
        </w:rPr>
        <w:t>GB/T 32161</w:t>
      </w:r>
      <w:r>
        <w:rPr>
          <w:rFonts w:hint="eastAsia"/>
          <w:szCs w:val="21"/>
        </w:rPr>
        <w:t xml:space="preserve">  </w:t>
      </w:r>
      <w:r>
        <w:rPr>
          <w:rFonts w:hint="eastAsia"/>
          <w:szCs w:val="21"/>
        </w:rPr>
        <w:t>生态设计产品评价通则</w:t>
      </w:r>
    </w:p>
    <w:p w:rsidR="00D10EA5" w:rsidRDefault="00116086">
      <w:pPr>
        <w:tabs>
          <w:tab w:val="center" w:pos="4201"/>
          <w:tab w:val="right" w:leader="dot" w:pos="9298"/>
        </w:tabs>
        <w:autoSpaceDE w:val="0"/>
        <w:autoSpaceDN w:val="0"/>
        <w:ind w:firstLineChars="200" w:firstLine="420"/>
        <w:rPr>
          <w:szCs w:val="21"/>
        </w:rPr>
      </w:pPr>
      <w:r>
        <w:rPr>
          <w:rFonts w:hint="eastAsia"/>
          <w:szCs w:val="21"/>
        </w:rPr>
        <w:t>G</w:t>
      </w:r>
      <w:r>
        <w:rPr>
          <w:szCs w:val="21"/>
        </w:rPr>
        <w:t xml:space="preserve">B/T 32162  </w:t>
      </w:r>
      <w:r>
        <w:rPr>
          <w:rFonts w:hint="eastAsia"/>
          <w:szCs w:val="21"/>
        </w:rPr>
        <w:t>生态设计产品标识</w:t>
      </w:r>
    </w:p>
    <w:p w:rsidR="00D10EA5" w:rsidRDefault="00116086">
      <w:pPr>
        <w:tabs>
          <w:tab w:val="center" w:pos="4201"/>
          <w:tab w:val="right" w:leader="dot" w:pos="9298"/>
        </w:tabs>
        <w:autoSpaceDE w:val="0"/>
        <w:autoSpaceDN w:val="0"/>
        <w:ind w:firstLineChars="200" w:firstLine="420"/>
        <w:rPr>
          <w:szCs w:val="21"/>
        </w:rPr>
      </w:pPr>
      <w:r>
        <w:rPr>
          <w:szCs w:val="21"/>
        </w:rPr>
        <w:t xml:space="preserve">GB/T 32355.2  </w:t>
      </w:r>
      <w:r>
        <w:rPr>
          <w:rFonts w:hint="eastAsia"/>
          <w:szCs w:val="21"/>
        </w:rPr>
        <w:t>电工电子产品可再生利用率评价值</w:t>
      </w:r>
      <w:r>
        <w:rPr>
          <w:rFonts w:hint="eastAsia"/>
          <w:szCs w:val="21"/>
        </w:rPr>
        <w:t xml:space="preserve"> </w:t>
      </w:r>
      <w:r>
        <w:rPr>
          <w:rFonts w:hint="eastAsia"/>
          <w:szCs w:val="21"/>
        </w:rPr>
        <w:t>第</w:t>
      </w:r>
      <w:r>
        <w:rPr>
          <w:rFonts w:hint="eastAsia"/>
          <w:szCs w:val="21"/>
        </w:rPr>
        <w:t>2</w:t>
      </w:r>
      <w:r>
        <w:rPr>
          <w:rFonts w:hint="eastAsia"/>
          <w:szCs w:val="21"/>
        </w:rPr>
        <w:t>部分：洗衣机、电视机和微型计算机</w:t>
      </w:r>
    </w:p>
    <w:p w:rsidR="00D10EA5" w:rsidRDefault="00116086">
      <w:pPr>
        <w:pStyle w:val="affff1"/>
        <w:rPr>
          <w:rFonts w:ascii="Times New Roman" w:hAnsi="宋体"/>
          <w:sz w:val="21"/>
          <w:szCs w:val="21"/>
        </w:rPr>
      </w:pPr>
      <w:r>
        <w:rPr>
          <w:rFonts w:ascii="Times New Roman" w:hAnsi="宋体" w:hint="eastAsia"/>
          <w:sz w:val="21"/>
          <w:szCs w:val="21"/>
        </w:rPr>
        <w:t xml:space="preserve">GB 38383-2019  </w:t>
      </w:r>
      <w:r>
        <w:rPr>
          <w:rFonts w:ascii="Times New Roman" w:hAnsi="宋体" w:hint="eastAsia"/>
          <w:sz w:val="21"/>
          <w:szCs w:val="21"/>
        </w:rPr>
        <w:t>洗碗机</w:t>
      </w:r>
      <w:proofErr w:type="gramStart"/>
      <w:r>
        <w:rPr>
          <w:rFonts w:ascii="Times New Roman" w:hAnsi="宋体" w:hint="eastAsia"/>
          <w:sz w:val="21"/>
          <w:szCs w:val="21"/>
        </w:rPr>
        <w:t>能效水效限定</w:t>
      </w:r>
      <w:proofErr w:type="gramEnd"/>
      <w:r>
        <w:rPr>
          <w:rFonts w:ascii="Times New Roman" w:hAnsi="宋体" w:hint="eastAsia"/>
          <w:sz w:val="21"/>
          <w:szCs w:val="21"/>
        </w:rPr>
        <w:t>值及等级</w:t>
      </w:r>
    </w:p>
    <w:p w:rsidR="00D10EA5" w:rsidRDefault="00116086">
      <w:pPr>
        <w:pStyle w:val="a7"/>
        <w:spacing w:beforeLines="50" w:before="156" w:afterLines="50" w:after="156"/>
        <w:rPr>
          <w:rFonts w:hAnsi="黑体"/>
        </w:rPr>
      </w:pPr>
      <w:bookmarkStart w:id="27" w:name="_Toc20645590"/>
      <w:bookmarkStart w:id="28" w:name="_Toc3642"/>
      <w:r>
        <w:rPr>
          <w:rFonts w:hAnsi="黑体" w:hint="eastAsia"/>
        </w:rPr>
        <w:t>术语和定义</w:t>
      </w:r>
      <w:bookmarkEnd w:id="27"/>
      <w:bookmarkEnd w:id="28"/>
    </w:p>
    <w:p w:rsidR="00D10EA5" w:rsidRDefault="00116086">
      <w:pPr>
        <w:pStyle w:val="affff1"/>
        <w:rPr>
          <w:rFonts w:ascii="Times New Roman"/>
          <w:sz w:val="21"/>
          <w:szCs w:val="21"/>
        </w:rPr>
      </w:pPr>
      <w:r>
        <w:rPr>
          <w:rFonts w:ascii="Times New Roman"/>
          <w:sz w:val="21"/>
          <w:szCs w:val="21"/>
          <w:lang w:bidi="en-US"/>
        </w:rPr>
        <w:t>GB/T 4288</w:t>
      </w:r>
      <w:r>
        <w:rPr>
          <w:rFonts w:ascii="Times New Roman" w:hint="eastAsia"/>
          <w:sz w:val="21"/>
          <w:szCs w:val="21"/>
          <w:lang w:bidi="en-US"/>
        </w:rPr>
        <w:t>、</w:t>
      </w:r>
      <w:r>
        <w:rPr>
          <w:rFonts w:ascii="Times New Roman" w:hint="eastAsia"/>
          <w:sz w:val="21"/>
          <w:szCs w:val="21"/>
          <w:lang w:bidi="en-US"/>
        </w:rPr>
        <w:t>G</w:t>
      </w:r>
      <w:r>
        <w:rPr>
          <w:rFonts w:ascii="Times New Roman"/>
          <w:sz w:val="21"/>
          <w:szCs w:val="21"/>
          <w:lang w:bidi="en-US"/>
        </w:rPr>
        <w:t>B 4706.1</w:t>
      </w:r>
      <w:r>
        <w:rPr>
          <w:rFonts w:ascii="Times New Roman" w:hint="eastAsia"/>
          <w:sz w:val="21"/>
          <w:szCs w:val="21"/>
          <w:lang w:bidi="en-US"/>
        </w:rPr>
        <w:t>、</w:t>
      </w:r>
      <w:r>
        <w:rPr>
          <w:rFonts w:ascii="Times New Roman" w:hint="eastAsia"/>
          <w:sz w:val="21"/>
          <w:szCs w:val="21"/>
          <w:lang w:bidi="en-US"/>
        </w:rPr>
        <w:t>G</w:t>
      </w:r>
      <w:r>
        <w:rPr>
          <w:rFonts w:ascii="Times New Roman"/>
          <w:sz w:val="21"/>
          <w:szCs w:val="21"/>
          <w:lang w:bidi="en-US"/>
        </w:rPr>
        <w:t>B 4706.25</w:t>
      </w:r>
      <w:r>
        <w:rPr>
          <w:rFonts w:ascii="Times New Roman" w:hint="eastAsia"/>
          <w:sz w:val="21"/>
          <w:szCs w:val="21"/>
          <w:lang w:bidi="en-US"/>
        </w:rPr>
        <w:t>、</w:t>
      </w:r>
      <w:r>
        <w:rPr>
          <w:rFonts w:ascii="Times New Roman" w:hint="eastAsia"/>
          <w:sz w:val="21"/>
          <w:szCs w:val="21"/>
          <w:lang w:bidi="en-US"/>
        </w:rPr>
        <w:t>G</w:t>
      </w:r>
      <w:r>
        <w:rPr>
          <w:rFonts w:ascii="Times New Roman"/>
          <w:sz w:val="21"/>
          <w:szCs w:val="21"/>
          <w:lang w:bidi="en-US"/>
        </w:rPr>
        <w:t>B/T 32161</w:t>
      </w:r>
      <w:r>
        <w:rPr>
          <w:rFonts w:ascii="Times New Roman" w:hint="eastAsia"/>
          <w:sz w:val="21"/>
          <w:szCs w:val="21"/>
          <w:lang w:bidi="en-US"/>
        </w:rPr>
        <w:t>、</w:t>
      </w:r>
      <w:r>
        <w:rPr>
          <w:rFonts w:ascii="Times New Roman" w:hint="eastAsia"/>
          <w:sz w:val="21"/>
          <w:szCs w:val="21"/>
          <w:lang w:bidi="en-US"/>
        </w:rPr>
        <w:t>G</w:t>
      </w:r>
      <w:r>
        <w:rPr>
          <w:rFonts w:ascii="Times New Roman"/>
          <w:sz w:val="21"/>
          <w:szCs w:val="21"/>
          <w:lang w:bidi="en-US"/>
        </w:rPr>
        <w:t>B/T 32162</w:t>
      </w:r>
      <w:r>
        <w:rPr>
          <w:rFonts w:ascii="Times New Roman" w:hint="eastAsia"/>
          <w:sz w:val="21"/>
          <w:szCs w:val="21"/>
          <w:lang w:bidi="en-US"/>
        </w:rPr>
        <w:t>等界定的</w:t>
      </w:r>
      <w:r>
        <w:rPr>
          <w:rFonts w:ascii="Times New Roman"/>
          <w:sz w:val="21"/>
          <w:szCs w:val="21"/>
          <w:lang w:bidi="en-US"/>
        </w:rPr>
        <w:t>以及</w:t>
      </w:r>
      <w:r>
        <w:rPr>
          <w:rFonts w:ascii="Times New Roman"/>
          <w:sz w:val="21"/>
          <w:szCs w:val="21"/>
        </w:rPr>
        <w:t>下列术语和定义适用于本文件。</w:t>
      </w:r>
    </w:p>
    <w:p w:rsidR="00D10EA5" w:rsidRDefault="00D10EA5">
      <w:pPr>
        <w:pStyle w:val="a8"/>
        <w:spacing w:before="156" w:after="156"/>
        <w:rPr>
          <w:rFonts w:ascii="宋体" w:eastAsia="宋体" w:hAnsi="宋体"/>
        </w:rPr>
      </w:pPr>
    </w:p>
    <w:p w:rsidR="00D10EA5" w:rsidRDefault="00116086">
      <w:pPr>
        <w:pStyle w:val="affff1"/>
        <w:rPr>
          <w:rFonts w:ascii="黑体" w:eastAsia="黑体" w:hAnsi="黑体"/>
          <w:sz w:val="21"/>
          <w:szCs w:val="21"/>
          <w:lang w:bidi="en-US"/>
        </w:rPr>
      </w:pPr>
      <w:r>
        <w:rPr>
          <w:rFonts w:ascii="黑体" w:eastAsia="黑体" w:hAnsi="黑体" w:hint="eastAsia"/>
          <w:sz w:val="21"/>
          <w:szCs w:val="21"/>
          <w:lang w:bidi="en-US"/>
        </w:rPr>
        <w:t>绿色设计</w:t>
      </w:r>
      <w:r>
        <w:rPr>
          <w:rFonts w:ascii="黑体" w:eastAsia="黑体" w:hAnsi="黑体" w:hint="eastAsia"/>
          <w:sz w:val="21"/>
          <w:szCs w:val="21"/>
          <w:lang w:bidi="en-US"/>
        </w:rPr>
        <w:t xml:space="preserve"> green-design</w:t>
      </w:r>
    </w:p>
    <w:p w:rsidR="00D10EA5" w:rsidRDefault="00116086">
      <w:pPr>
        <w:pStyle w:val="affff1"/>
        <w:rPr>
          <w:rFonts w:ascii="黑体" w:eastAsia="黑体" w:hAnsi="黑体"/>
          <w:sz w:val="21"/>
          <w:szCs w:val="21"/>
          <w:lang w:bidi="en-US"/>
        </w:rPr>
      </w:pPr>
      <w:r>
        <w:rPr>
          <w:rFonts w:ascii="黑体" w:eastAsia="黑体" w:hAnsi="黑体" w:hint="eastAsia"/>
          <w:sz w:val="21"/>
          <w:szCs w:val="21"/>
          <w:lang w:bidi="en-US"/>
        </w:rPr>
        <w:t>生态设计</w:t>
      </w:r>
      <w:r>
        <w:rPr>
          <w:rFonts w:ascii="黑体" w:eastAsia="黑体" w:hAnsi="黑体" w:hint="eastAsia"/>
          <w:sz w:val="21"/>
          <w:szCs w:val="21"/>
          <w:lang w:bidi="en-US"/>
        </w:rPr>
        <w:t xml:space="preserve"> eco-design</w:t>
      </w:r>
    </w:p>
    <w:p w:rsidR="00D10EA5" w:rsidRDefault="00116086">
      <w:pPr>
        <w:pStyle w:val="affff1"/>
        <w:rPr>
          <w:rFonts w:hAnsi="宋体"/>
          <w:sz w:val="21"/>
          <w:szCs w:val="21"/>
          <w:lang w:bidi="en-US"/>
        </w:rPr>
      </w:pPr>
      <w:r>
        <w:rPr>
          <w:rFonts w:hAnsi="宋体" w:hint="eastAsia"/>
          <w:sz w:val="21"/>
          <w:szCs w:val="21"/>
          <w:lang w:bidi="en-US"/>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rsidR="00D10EA5" w:rsidRDefault="00D10EA5">
      <w:pPr>
        <w:pStyle w:val="a8"/>
        <w:spacing w:before="156" w:after="156"/>
        <w:rPr>
          <w:rFonts w:ascii="宋体" w:eastAsia="宋体" w:hAnsi="宋体"/>
        </w:rPr>
      </w:pPr>
    </w:p>
    <w:p w:rsidR="00D10EA5" w:rsidRDefault="00116086">
      <w:pPr>
        <w:pStyle w:val="affff1"/>
        <w:rPr>
          <w:rFonts w:ascii="黑体" w:eastAsia="黑体" w:hAnsi="黑体"/>
          <w:sz w:val="21"/>
          <w:szCs w:val="21"/>
          <w:lang w:bidi="en-US"/>
        </w:rPr>
      </w:pPr>
      <w:r>
        <w:rPr>
          <w:rFonts w:ascii="黑体" w:eastAsia="黑体" w:hAnsi="黑体" w:hint="eastAsia"/>
          <w:sz w:val="21"/>
          <w:szCs w:val="21"/>
          <w:lang w:bidi="en-US"/>
        </w:rPr>
        <w:t>绿色设计产品</w:t>
      </w:r>
      <w:r>
        <w:rPr>
          <w:rFonts w:ascii="黑体" w:eastAsia="黑体" w:hAnsi="黑体" w:hint="eastAsia"/>
          <w:sz w:val="21"/>
          <w:szCs w:val="21"/>
          <w:lang w:bidi="en-US"/>
        </w:rPr>
        <w:t xml:space="preserve"> green-design products</w:t>
      </w:r>
    </w:p>
    <w:p w:rsidR="00D10EA5" w:rsidRDefault="00116086">
      <w:pPr>
        <w:pStyle w:val="affff1"/>
        <w:rPr>
          <w:rFonts w:ascii="黑体" w:eastAsia="黑体" w:hAnsi="黑体"/>
          <w:sz w:val="21"/>
          <w:szCs w:val="21"/>
          <w:lang w:bidi="en-US"/>
        </w:rPr>
      </w:pPr>
      <w:r>
        <w:rPr>
          <w:rFonts w:ascii="黑体" w:eastAsia="黑体" w:hAnsi="黑体" w:hint="eastAsia"/>
          <w:sz w:val="21"/>
          <w:szCs w:val="21"/>
          <w:lang w:bidi="en-US"/>
        </w:rPr>
        <w:t>生态设计产品</w:t>
      </w:r>
      <w:r>
        <w:rPr>
          <w:rFonts w:ascii="黑体" w:eastAsia="黑体" w:hAnsi="黑体" w:hint="eastAsia"/>
          <w:sz w:val="21"/>
          <w:szCs w:val="21"/>
          <w:lang w:bidi="en-US"/>
        </w:rPr>
        <w:t xml:space="preserve"> eco-design products</w:t>
      </w:r>
    </w:p>
    <w:p w:rsidR="00D10EA5" w:rsidRDefault="00116086">
      <w:pPr>
        <w:pStyle w:val="affff1"/>
        <w:rPr>
          <w:rFonts w:hAnsi="宋体"/>
          <w:sz w:val="21"/>
          <w:szCs w:val="21"/>
          <w:lang w:bidi="en-US"/>
        </w:rPr>
      </w:pPr>
      <w:r>
        <w:rPr>
          <w:rFonts w:hAnsi="宋体" w:hint="eastAsia"/>
          <w:sz w:val="21"/>
          <w:szCs w:val="21"/>
          <w:lang w:bidi="en-US"/>
        </w:rPr>
        <w:t>符合绿色（生态）设计（</w:t>
      </w:r>
      <w:r>
        <w:rPr>
          <w:rFonts w:hAnsi="宋体" w:hint="eastAsia"/>
          <w:sz w:val="21"/>
          <w:szCs w:val="21"/>
          <w:lang w:bidi="en-US"/>
        </w:rPr>
        <w:t>3</w:t>
      </w:r>
      <w:r>
        <w:rPr>
          <w:rFonts w:hAnsi="宋体"/>
          <w:sz w:val="21"/>
          <w:szCs w:val="21"/>
          <w:lang w:bidi="en-US"/>
        </w:rPr>
        <w:t>.1</w:t>
      </w:r>
      <w:r>
        <w:rPr>
          <w:rFonts w:hAnsi="宋体" w:hint="eastAsia"/>
          <w:sz w:val="21"/>
          <w:szCs w:val="21"/>
          <w:lang w:bidi="en-US"/>
        </w:rPr>
        <w:t>）理念和评价要求的产品。</w:t>
      </w:r>
    </w:p>
    <w:p w:rsidR="00D10EA5" w:rsidRDefault="00D10EA5">
      <w:pPr>
        <w:pStyle w:val="affff1"/>
        <w:rPr>
          <w:rFonts w:hAnsi="宋体"/>
          <w:sz w:val="21"/>
          <w:szCs w:val="21"/>
          <w:lang w:bidi="en-US"/>
        </w:rPr>
      </w:pPr>
    </w:p>
    <w:p w:rsidR="00D10EA5" w:rsidRDefault="00116086">
      <w:pPr>
        <w:pStyle w:val="a7"/>
        <w:spacing w:beforeLines="50" w:before="156" w:afterLines="50" w:after="156"/>
        <w:rPr>
          <w:rFonts w:hAnsi="黑体"/>
        </w:rPr>
      </w:pPr>
      <w:bookmarkStart w:id="29" w:name="_Toc20645591"/>
      <w:bookmarkStart w:id="30" w:name="_Toc21320"/>
      <w:r>
        <w:rPr>
          <w:rFonts w:hAnsi="黑体" w:hint="eastAsia"/>
        </w:rPr>
        <w:t>评价要求</w:t>
      </w:r>
      <w:bookmarkEnd w:id="29"/>
      <w:bookmarkEnd w:id="30"/>
    </w:p>
    <w:p w:rsidR="00D10EA5" w:rsidRDefault="00116086">
      <w:pPr>
        <w:pStyle w:val="a8"/>
        <w:spacing w:beforeLines="0" w:afterLines="0"/>
      </w:pPr>
      <w:r>
        <w:rPr>
          <w:rFonts w:hint="eastAsia"/>
        </w:rPr>
        <w:t>基本要求</w:t>
      </w:r>
    </w:p>
    <w:p w:rsidR="00D10EA5" w:rsidRDefault="00116086">
      <w:pPr>
        <w:pStyle w:val="a9"/>
        <w:spacing w:beforeLines="0" w:afterLines="0"/>
      </w:pPr>
      <w:bookmarkStart w:id="31" w:name="_Toc489882949"/>
      <w:bookmarkStart w:id="32" w:name="_Toc504576311"/>
      <w:r>
        <w:rPr>
          <w:rFonts w:hint="eastAsia"/>
        </w:rPr>
        <w:t>生产主体</w:t>
      </w:r>
      <w:bookmarkEnd w:id="31"/>
      <w:bookmarkEnd w:id="32"/>
      <w:r>
        <w:rPr>
          <w:rFonts w:hint="eastAsia"/>
        </w:rPr>
        <w:t>的基本要求</w:t>
      </w:r>
    </w:p>
    <w:p w:rsidR="00D10EA5" w:rsidRDefault="00116086">
      <w:pPr>
        <w:pStyle w:val="aa"/>
        <w:spacing w:beforeLines="0" w:afterLines="0"/>
        <w:rPr>
          <w:rFonts w:ascii="Times New Roman" w:eastAsia="宋体"/>
        </w:rPr>
      </w:pPr>
      <w:bookmarkStart w:id="33" w:name="_Toc504576312"/>
      <w:bookmarkStart w:id="34" w:name="_Toc489882950"/>
      <w:r>
        <w:rPr>
          <w:rFonts w:ascii="Times New Roman" w:eastAsia="宋体" w:hAnsi="宋体" w:hint="eastAsia"/>
          <w:lang w:bidi="en-US"/>
        </w:rPr>
        <w:t>生产企业的污染物排放应达到国家或地方污染物排放标准的要求，污染物总量控制应达到国家和地方污染物排放总量控制指标；应严格执行节能环保相关国家标准并提供标准清单，</w:t>
      </w:r>
      <w:r>
        <w:rPr>
          <w:rFonts w:ascii="Times New Roman" w:eastAsia="宋体" w:hAnsi="宋体"/>
          <w:lang w:bidi="en-US"/>
        </w:rPr>
        <w:t>近三年无重大质量、安全和环境事故。</w:t>
      </w:r>
      <w:bookmarkEnd w:id="33"/>
    </w:p>
    <w:p w:rsidR="00D10EA5" w:rsidRDefault="00116086">
      <w:pPr>
        <w:pStyle w:val="aa"/>
        <w:spacing w:beforeLines="0" w:afterLines="0"/>
        <w:rPr>
          <w:rFonts w:ascii="Times New Roman" w:eastAsia="宋体" w:hAnsi="宋体"/>
          <w:lang w:bidi="en-US"/>
        </w:rPr>
      </w:pPr>
      <w:bookmarkStart w:id="35" w:name="_Toc504576313"/>
      <w:r>
        <w:rPr>
          <w:rFonts w:ascii="Times New Roman" w:eastAsia="宋体" w:hAnsi="宋体" w:hint="eastAsia"/>
          <w:lang w:bidi="en-US"/>
        </w:rPr>
        <w:t>生产企业应按照</w:t>
      </w:r>
      <w:r>
        <w:rPr>
          <w:rFonts w:ascii="Times New Roman" w:eastAsia="宋体" w:hAnsi="宋体" w:hint="eastAsia"/>
          <w:lang w:bidi="en-US"/>
        </w:rPr>
        <w:t>GB/T 19001</w:t>
      </w:r>
      <w:r>
        <w:rPr>
          <w:rFonts w:ascii="Times New Roman" w:eastAsia="宋体" w:hAnsi="宋体" w:hint="eastAsia"/>
          <w:lang w:bidi="en-US"/>
        </w:rPr>
        <w:t>、</w:t>
      </w:r>
      <w:r>
        <w:rPr>
          <w:rFonts w:ascii="Times New Roman" w:eastAsia="宋体" w:hAnsi="宋体" w:hint="eastAsia"/>
          <w:lang w:bidi="en-US"/>
        </w:rPr>
        <w:t>GB/T 24001</w:t>
      </w:r>
      <w:r>
        <w:rPr>
          <w:rFonts w:ascii="Times New Roman" w:eastAsia="宋体" w:hAnsi="宋体" w:hint="eastAsia"/>
          <w:lang w:bidi="en-US"/>
        </w:rPr>
        <w:t>分别建立、实施、保持并持续改进质量管理和环境管理、能源和职业健康体系等体系</w:t>
      </w:r>
      <w:bookmarkEnd w:id="34"/>
      <w:bookmarkEnd w:id="35"/>
      <w:r>
        <w:rPr>
          <w:rFonts w:ascii="Times New Roman" w:eastAsia="宋体" w:hAnsi="宋体" w:hint="eastAsia"/>
          <w:lang w:bidi="en-US"/>
        </w:rPr>
        <w:t>。</w:t>
      </w:r>
    </w:p>
    <w:p w:rsidR="00D10EA5" w:rsidRDefault="00116086">
      <w:pPr>
        <w:pStyle w:val="aa"/>
        <w:spacing w:beforeLines="0" w:afterLines="0"/>
        <w:rPr>
          <w:rFonts w:ascii="Times New Roman" w:eastAsia="宋体" w:hAnsi="宋体"/>
          <w:lang w:bidi="en-US"/>
        </w:rPr>
      </w:pPr>
      <w:bookmarkStart w:id="36" w:name="_Toc489882952"/>
      <w:bookmarkStart w:id="37" w:name="_Toc504576315"/>
      <w:r>
        <w:rPr>
          <w:rFonts w:ascii="Times New Roman" w:eastAsia="宋体" w:hAnsi="宋体" w:hint="eastAsia"/>
          <w:lang w:bidi="en-US"/>
        </w:rPr>
        <w:t>生产企业应按照</w:t>
      </w:r>
      <w:r>
        <w:rPr>
          <w:rFonts w:ascii="Times New Roman" w:eastAsia="宋体" w:hAnsi="宋体"/>
          <w:lang w:bidi="en-US"/>
        </w:rPr>
        <w:t>GB/T</w:t>
      </w:r>
      <w:r>
        <w:rPr>
          <w:rFonts w:ascii="Times New Roman" w:eastAsia="宋体" w:hAnsi="宋体" w:hint="eastAsia"/>
          <w:lang w:bidi="en-US"/>
        </w:rPr>
        <w:t xml:space="preserve"> </w:t>
      </w:r>
      <w:r>
        <w:rPr>
          <w:rFonts w:ascii="Times New Roman" w:eastAsia="宋体" w:hAnsi="宋体"/>
          <w:lang w:bidi="en-US"/>
        </w:rPr>
        <w:t>24256</w:t>
      </w:r>
      <w:r>
        <w:rPr>
          <w:rFonts w:ascii="Times New Roman" w:eastAsia="宋体" w:hAnsi="宋体" w:hint="eastAsia"/>
          <w:lang w:bidi="en-US"/>
        </w:rPr>
        <w:t>的相关要求开展产品绿色设计工作，设计工作在考虑环境要求</w:t>
      </w:r>
      <w:r>
        <w:rPr>
          <w:rFonts w:ascii="Times New Roman" w:eastAsia="宋体" w:hAnsi="宋体" w:hint="eastAsia"/>
          <w:lang w:bidi="en-US"/>
        </w:rPr>
        <w:t>的同时，还应适当考虑产品全生命周期内的耐用性、可靠性、可维修性、可重复使用性、可再制造、模块化、智能化以及对环境产生不良影响部件的易拆解（分离）性和易回收性等，应形成产品绿色设计方案。</w:t>
      </w:r>
      <w:bookmarkEnd w:id="36"/>
      <w:bookmarkEnd w:id="37"/>
    </w:p>
    <w:p w:rsidR="00D10EA5" w:rsidRDefault="00116086">
      <w:pPr>
        <w:pStyle w:val="aa"/>
        <w:spacing w:beforeLines="0" w:afterLines="0"/>
        <w:rPr>
          <w:rFonts w:ascii="Times New Roman" w:eastAsia="宋体" w:hAnsi="宋体"/>
          <w:lang w:bidi="en-US"/>
        </w:rPr>
      </w:pPr>
      <w:r>
        <w:rPr>
          <w:rFonts w:ascii="Times New Roman" w:eastAsia="宋体" w:hAnsi="宋体" w:hint="eastAsia"/>
          <w:lang w:bidi="en-US"/>
        </w:rPr>
        <w:t>生产企业应采用国家鼓励的先进技术和工艺，不应使用国家或有关部门发布的淘汰或禁止的技术、工艺、装备及相关物质；设计、生产过程中应以节约材料为原则制定要求。</w:t>
      </w:r>
    </w:p>
    <w:p w:rsidR="00D10EA5" w:rsidRDefault="00116086">
      <w:pPr>
        <w:pStyle w:val="aa"/>
        <w:spacing w:beforeLines="0" w:afterLines="0"/>
        <w:rPr>
          <w:rFonts w:ascii="Times New Roman" w:eastAsia="宋体" w:hAnsi="宋体"/>
          <w:lang w:bidi="en-US"/>
        </w:rPr>
      </w:pPr>
      <w:bookmarkStart w:id="38" w:name="_Toc504576316"/>
      <w:bookmarkStart w:id="39" w:name="_Toc489882953"/>
      <w:r>
        <w:rPr>
          <w:rFonts w:ascii="Times New Roman" w:eastAsia="宋体" w:hAnsi="宋体" w:hint="eastAsia"/>
          <w:lang w:bidi="en-US"/>
        </w:rPr>
        <w:t>生产企业应开展绿色供应链管理，并建立绿色供应链管理绩效评价机制、程序，确定评价指标和评价方法。生产企业应对产品主要原材料供应方、生产协作方、相关服务方等提出相关质量、环境、</w:t>
      </w:r>
      <w:r>
        <w:rPr>
          <w:rFonts w:ascii="Times New Roman" w:eastAsia="宋体" w:hAnsi="宋体" w:hint="eastAsia"/>
          <w:lang w:bidi="en-US"/>
        </w:rPr>
        <w:t>能源和安全等方面的管理要求。</w:t>
      </w:r>
    </w:p>
    <w:bookmarkEnd w:id="38"/>
    <w:bookmarkEnd w:id="39"/>
    <w:p w:rsidR="00D10EA5" w:rsidRDefault="00116086">
      <w:pPr>
        <w:pStyle w:val="aa"/>
        <w:spacing w:beforeLines="0" w:afterLines="0"/>
        <w:rPr>
          <w:rFonts w:ascii="Times New Roman" w:eastAsia="宋体" w:hAnsi="宋体"/>
          <w:lang w:bidi="en-US"/>
        </w:rPr>
      </w:pPr>
      <w:r>
        <w:rPr>
          <w:rFonts w:ascii="Times New Roman" w:eastAsia="宋体" w:hAnsi="宋体" w:hint="eastAsia"/>
          <w:lang w:bidi="en-US"/>
        </w:rPr>
        <w:t>生产企业的主要用能设备应满足相关国家能效标准</w:t>
      </w:r>
      <w:r>
        <w:rPr>
          <w:rFonts w:ascii="Times New Roman" w:eastAsia="宋体" w:hAnsi="宋体" w:hint="eastAsia"/>
          <w:lang w:bidi="en-US"/>
        </w:rPr>
        <w:t>2</w:t>
      </w:r>
      <w:r>
        <w:rPr>
          <w:rFonts w:ascii="Times New Roman" w:eastAsia="宋体" w:hAnsi="宋体" w:hint="eastAsia"/>
          <w:lang w:bidi="en-US"/>
        </w:rPr>
        <w:t>级及以上。</w:t>
      </w:r>
    </w:p>
    <w:p w:rsidR="00D10EA5" w:rsidRDefault="00116086">
      <w:pPr>
        <w:pStyle w:val="a9"/>
        <w:spacing w:beforeLines="0" w:afterLines="0"/>
      </w:pPr>
      <w:bookmarkStart w:id="40" w:name="_Toc489882955"/>
      <w:bookmarkStart w:id="41" w:name="_Toc504576318"/>
      <w:r>
        <w:rPr>
          <w:rFonts w:hint="eastAsia"/>
        </w:rPr>
        <w:t>产品</w:t>
      </w:r>
      <w:bookmarkEnd w:id="40"/>
      <w:bookmarkEnd w:id="41"/>
      <w:r>
        <w:rPr>
          <w:rFonts w:hint="eastAsia"/>
        </w:rPr>
        <w:t>的基本要求</w:t>
      </w:r>
    </w:p>
    <w:p w:rsidR="00D10EA5" w:rsidRDefault="00116086">
      <w:pPr>
        <w:pStyle w:val="aa"/>
        <w:spacing w:beforeLines="0" w:afterLines="0"/>
        <w:rPr>
          <w:rFonts w:ascii="Times New Roman" w:eastAsia="宋体"/>
        </w:rPr>
      </w:pPr>
      <w:r>
        <w:rPr>
          <w:rFonts w:ascii="Times New Roman" w:eastAsia="宋体" w:hAnsi="宋体" w:hint="eastAsia"/>
        </w:rPr>
        <w:t>产品的安全性能应符合</w:t>
      </w:r>
      <w:r>
        <w:rPr>
          <w:rFonts w:ascii="Times New Roman" w:eastAsia="宋体" w:hAnsi="宋体" w:hint="eastAsia"/>
        </w:rPr>
        <w:t>GB 4706.1</w:t>
      </w:r>
      <w:r>
        <w:rPr>
          <w:rFonts w:ascii="Times New Roman" w:eastAsia="宋体" w:hAnsi="宋体" w:hint="eastAsia"/>
        </w:rPr>
        <w:t>和</w:t>
      </w:r>
      <w:r>
        <w:rPr>
          <w:rFonts w:ascii="Times New Roman" w:eastAsia="宋体" w:hAnsi="宋体" w:hint="eastAsia"/>
        </w:rPr>
        <w:t>GB 4706.25</w:t>
      </w:r>
      <w:r>
        <w:rPr>
          <w:rFonts w:ascii="Times New Roman" w:eastAsia="宋体" w:hAnsi="宋体" w:hint="eastAsia"/>
        </w:rPr>
        <w:t>的有关要求。</w:t>
      </w:r>
    </w:p>
    <w:p w:rsidR="00D10EA5" w:rsidRDefault="00116086">
      <w:pPr>
        <w:pStyle w:val="aa"/>
        <w:spacing w:beforeLines="0" w:afterLines="0"/>
        <w:rPr>
          <w:rFonts w:ascii="Times New Roman" w:eastAsia="宋体"/>
        </w:rPr>
      </w:pPr>
      <w:r>
        <w:rPr>
          <w:rFonts w:ascii="Times New Roman" w:eastAsia="宋体" w:hAnsi="宋体" w:hint="eastAsia"/>
        </w:rPr>
        <w:t>产品的电磁兼容性能应符合</w:t>
      </w:r>
      <w:r>
        <w:rPr>
          <w:rFonts w:ascii="Times New Roman" w:eastAsia="宋体" w:hAnsi="宋体" w:hint="eastAsia"/>
        </w:rPr>
        <w:t>GB 17625.1</w:t>
      </w:r>
      <w:r>
        <w:rPr>
          <w:rFonts w:ascii="Times New Roman" w:eastAsia="宋体" w:hAnsi="宋体" w:hint="eastAsia"/>
        </w:rPr>
        <w:t>和</w:t>
      </w:r>
      <w:r>
        <w:rPr>
          <w:rFonts w:ascii="Times New Roman" w:eastAsia="宋体" w:hAnsi="宋体" w:hint="eastAsia"/>
        </w:rPr>
        <w:t>GB 4343</w:t>
      </w:r>
      <w:r>
        <w:rPr>
          <w:rFonts w:ascii="Times New Roman" w:eastAsia="宋体" w:hAnsi="宋体"/>
        </w:rPr>
        <w:t>.1</w:t>
      </w:r>
      <w:r>
        <w:rPr>
          <w:rFonts w:ascii="Times New Roman" w:eastAsia="宋体" w:hAnsi="宋体" w:hint="eastAsia"/>
        </w:rPr>
        <w:t>的有关要求。</w:t>
      </w:r>
    </w:p>
    <w:p w:rsidR="00D10EA5" w:rsidRDefault="00116086">
      <w:pPr>
        <w:pStyle w:val="aa"/>
        <w:spacing w:beforeLines="0" w:afterLines="0"/>
        <w:rPr>
          <w:rFonts w:ascii="Times New Roman" w:eastAsia="宋体"/>
        </w:rPr>
      </w:pPr>
      <w:bookmarkStart w:id="42" w:name="_Toc504576320"/>
      <w:r>
        <w:rPr>
          <w:rFonts w:ascii="Times New Roman" w:eastAsia="宋体" w:hAnsi="宋体"/>
        </w:rPr>
        <w:t>产品</w:t>
      </w:r>
      <w:r>
        <w:rPr>
          <w:rFonts w:ascii="Times New Roman" w:eastAsia="宋体" w:hAnsi="宋体" w:hint="eastAsia"/>
        </w:rPr>
        <w:t>使用说明</w:t>
      </w:r>
      <w:r>
        <w:rPr>
          <w:rFonts w:ascii="Times New Roman" w:eastAsia="宋体" w:hAnsi="宋体"/>
        </w:rPr>
        <w:t>应符合</w:t>
      </w:r>
      <w:r>
        <w:rPr>
          <w:rFonts w:ascii="Times New Roman" w:eastAsia="宋体"/>
        </w:rPr>
        <w:t>GB/T 5296.2</w:t>
      </w:r>
      <w:r>
        <w:rPr>
          <w:rFonts w:ascii="Times New Roman" w:eastAsia="宋体" w:hAnsi="宋体"/>
        </w:rPr>
        <w:t>的要求，并包含限用物质使用、需特殊处理材料及产品废弃后的有关循环利用的相关说明</w:t>
      </w:r>
      <w:r>
        <w:rPr>
          <w:rFonts w:ascii="Times New Roman" w:eastAsia="宋体" w:hAnsi="宋体" w:hint="eastAsia"/>
        </w:rPr>
        <w:t>要求</w:t>
      </w:r>
      <w:r>
        <w:rPr>
          <w:rFonts w:ascii="Times New Roman" w:eastAsia="宋体" w:hAnsi="宋体"/>
        </w:rPr>
        <w:t>。生产企业宜通过适当的方式发布产品拆解技术指导信息，信息应便于相关组织获取。</w:t>
      </w:r>
      <w:bookmarkEnd w:id="42"/>
    </w:p>
    <w:p w:rsidR="00D10EA5" w:rsidRDefault="00116086">
      <w:pPr>
        <w:pStyle w:val="aa"/>
        <w:spacing w:beforeLines="0" w:afterLines="0"/>
        <w:rPr>
          <w:rFonts w:ascii="Times New Roman" w:eastAsia="宋体"/>
        </w:rPr>
      </w:pPr>
      <w:bookmarkStart w:id="43" w:name="_Toc504576321"/>
      <w:r>
        <w:rPr>
          <w:rFonts w:ascii="Times New Roman" w:eastAsia="宋体" w:hAnsi="宋体"/>
        </w:rPr>
        <w:t>产品包装应符合</w:t>
      </w:r>
      <w:r>
        <w:rPr>
          <w:rFonts w:ascii="Times New Roman" w:eastAsia="宋体" w:hAnsi="宋体" w:hint="eastAsia"/>
          <w:lang w:bidi="en-US"/>
        </w:rPr>
        <w:t>GB/T</w:t>
      </w:r>
      <w:r>
        <w:rPr>
          <w:rFonts w:ascii="Times New Roman" w:eastAsia="宋体" w:hAnsi="宋体"/>
          <w:lang w:bidi="en-US"/>
        </w:rPr>
        <w:t xml:space="preserve"> </w:t>
      </w:r>
      <w:r>
        <w:rPr>
          <w:rFonts w:ascii="Times New Roman" w:eastAsia="宋体" w:hAnsi="宋体" w:hint="eastAsia"/>
          <w:lang w:bidi="en-US"/>
        </w:rPr>
        <w:t>191</w:t>
      </w:r>
      <w:r>
        <w:rPr>
          <w:rFonts w:ascii="Times New Roman" w:eastAsia="宋体" w:hAnsi="宋体"/>
        </w:rPr>
        <w:t>、</w:t>
      </w:r>
      <w:r>
        <w:rPr>
          <w:rFonts w:ascii="Times New Roman" w:eastAsia="宋体"/>
        </w:rPr>
        <w:t>GB/T 1019</w:t>
      </w:r>
      <w:r>
        <w:rPr>
          <w:rFonts w:ascii="Times New Roman" w:eastAsia="宋体" w:hAnsi="宋体"/>
        </w:rPr>
        <w:t>和</w:t>
      </w:r>
      <w:r>
        <w:rPr>
          <w:rFonts w:ascii="Times New Roman" w:eastAsia="宋体"/>
        </w:rPr>
        <w:t>GB/T 31268</w:t>
      </w:r>
      <w:r>
        <w:rPr>
          <w:rFonts w:ascii="Times New Roman" w:eastAsia="宋体" w:hAnsi="宋体"/>
        </w:rPr>
        <w:t>的有关要求。</w:t>
      </w:r>
      <w:bookmarkEnd w:id="43"/>
    </w:p>
    <w:p w:rsidR="00D10EA5" w:rsidRDefault="00116086">
      <w:pPr>
        <w:pStyle w:val="aa"/>
        <w:spacing w:beforeLines="0" w:afterLines="0"/>
        <w:rPr>
          <w:rFonts w:ascii="Times New Roman" w:eastAsia="宋体"/>
        </w:rPr>
      </w:pPr>
      <w:bookmarkStart w:id="44" w:name="_Toc504576322"/>
      <w:r>
        <w:rPr>
          <w:rFonts w:ascii="Times New Roman" w:eastAsia="宋体" w:hAnsi="宋体"/>
        </w:rPr>
        <w:t>产品中的限用物质含量，应符合</w:t>
      </w:r>
      <w:r>
        <w:rPr>
          <w:rFonts w:ascii="Times New Roman" w:eastAsia="宋体"/>
        </w:rPr>
        <w:t>GB/T 26572</w:t>
      </w:r>
      <w:r>
        <w:rPr>
          <w:rFonts w:ascii="Times New Roman" w:eastAsia="宋体" w:hAnsi="宋体"/>
        </w:rPr>
        <w:t>中限用物质限量的</w:t>
      </w:r>
      <w:r>
        <w:rPr>
          <w:rFonts w:ascii="Times New Roman" w:eastAsia="宋体" w:hAnsi="宋体" w:hint="eastAsia"/>
        </w:rPr>
        <w:t>有关</w:t>
      </w:r>
      <w:r>
        <w:rPr>
          <w:rFonts w:ascii="Times New Roman" w:eastAsia="宋体" w:hAnsi="宋体"/>
        </w:rPr>
        <w:t>要求。</w:t>
      </w:r>
      <w:r>
        <w:rPr>
          <w:rFonts w:ascii="Times New Roman" w:eastAsia="宋体" w:hAnsi="宋体" w:hint="eastAsia"/>
        </w:rPr>
        <w:t>限用物质应用例外详见《达标管理目录限用物质应用例外清单》</w:t>
      </w:r>
      <w:r>
        <w:rPr>
          <w:rFonts w:ascii="Times New Roman" w:eastAsia="宋体" w:hAnsi="宋体"/>
        </w:rPr>
        <w:t>。</w:t>
      </w:r>
    </w:p>
    <w:p w:rsidR="00D10EA5" w:rsidRDefault="00116086">
      <w:pPr>
        <w:pStyle w:val="aa"/>
        <w:spacing w:beforeLines="0" w:afterLines="0"/>
        <w:rPr>
          <w:rFonts w:ascii="Times New Roman" w:eastAsia="宋体" w:hAnsi="宋体"/>
        </w:rPr>
      </w:pPr>
      <w:r>
        <w:rPr>
          <w:rFonts w:ascii="Times New Roman" w:eastAsia="宋体" w:hAnsi="宋体" w:hint="eastAsia"/>
        </w:rPr>
        <w:t>产品</w:t>
      </w:r>
      <w:r>
        <w:rPr>
          <w:rFonts w:ascii="Times New Roman" w:eastAsia="宋体" w:hAnsi="宋体"/>
        </w:rPr>
        <w:t>包装材料中的重金属含量，应符合</w:t>
      </w:r>
      <w:r>
        <w:rPr>
          <w:rFonts w:ascii="Times New Roman" w:eastAsia="宋体"/>
        </w:rPr>
        <w:t>GB/T 16716.1</w:t>
      </w:r>
      <w:r>
        <w:rPr>
          <w:rFonts w:ascii="Times New Roman" w:eastAsia="宋体" w:hAnsi="宋体"/>
        </w:rPr>
        <w:t>的</w:t>
      </w:r>
      <w:r>
        <w:rPr>
          <w:rFonts w:ascii="Times New Roman" w:eastAsia="宋体" w:hAnsi="宋体" w:hint="eastAsia"/>
        </w:rPr>
        <w:t>有关</w:t>
      </w:r>
      <w:r>
        <w:rPr>
          <w:rFonts w:ascii="Times New Roman" w:eastAsia="宋体" w:hAnsi="宋体"/>
        </w:rPr>
        <w:t>要求。</w:t>
      </w:r>
      <w:bookmarkEnd w:id="44"/>
    </w:p>
    <w:p w:rsidR="00D10EA5" w:rsidRDefault="00116086">
      <w:pPr>
        <w:pStyle w:val="aa"/>
        <w:spacing w:beforeLines="0" w:afterLines="0"/>
        <w:rPr>
          <w:rFonts w:ascii="Times New Roman" w:eastAsia="宋体" w:hAnsi="宋体"/>
        </w:rPr>
      </w:pPr>
      <w:r>
        <w:rPr>
          <w:rFonts w:ascii="Times New Roman" w:eastAsia="宋体" w:hAnsi="宋体" w:hint="eastAsia"/>
        </w:rPr>
        <w:t>产品的待机功率和关机功率及明示具有除菌功能的洗碗机的除菌率，应符合</w:t>
      </w:r>
      <w:r>
        <w:rPr>
          <w:rFonts w:ascii="Times New Roman" w:eastAsia="宋体" w:hAnsi="宋体" w:hint="eastAsia"/>
        </w:rPr>
        <w:t>QB/T 1520</w:t>
      </w:r>
      <w:r>
        <w:rPr>
          <w:rFonts w:ascii="Times New Roman" w:eastAsia="宋体" w:hAnsi="宋体" w:hint="eastAsia"/>
        </w:rPr>
        <w:t>的有关要求</w:t>
      </w:r>
      <w:r>
        <w:rPr>
          <w:rFonts w:ascii="Times New Roman" w:eastAsia="宋体" w:hAnsi="宋体"/>
        </w:rPr>
        <w:t>。</w:t>
      </w:r>
    </w:p>
    <w:p w:rsidR="00D10EA5" w:rsidRDefault="00116086">
      <w:pPr>
        <w:pStyle w:val="a8"/>
        <w:spacing w:beforeLines="0" w:afterLines="0"/>
      </w:pPr>
      <w:r>
        <w:rPr>
          <w:rFonts w:hint="eastAsia"/>
        </w:rPr>
        <w:t>评价指标要求</w:t>
      </w:r>
    </w:p>
    <w:p w:rsidR="00D10EA5" w:rsidRDefault="00116086">
      <w:pPr>
        <w:pStyle w:val="affff1"/>
        <w:rPr>
          <w:sz w:val="21"/>
          <w:szCs w:val="21"/>
          <w:lang w:bidi="en-US"/>
        </w:rPr>
      </w:pPr>
      <w:r>
        <w:rPr>
          <w:rFonts w:hint="eastAsia"/>
          <w:sz w:val="21"/>
          <w:szCs w:val="21"/>
          <w:lang w:bidi="en-US"/>
        </w:rPr>
        <w:t>绿色洗碗机的评价指标应符合表</w:t>
      </w:r>
      <w:r>
        <w:rPr>
          <w:rFonts w:ascii="Times New Roman"/>
          <w:sz w:val="21"/>
          <w:szCs w:val="21"/>
          <w:lang w:bidi="en-US"/>
        </w:rPr>
        <w:t>1</w:t>
      </w:r>
      <w:r>
        <w:rPr>
          <w:rFonts w:hint="eastAsia"/>
          <w:sz w:val="21"/>
          <w:szCs w:val="21"/>
          <w:lang w:bidi="en-US"/>
        </w:rPr>
        <w:t>的规定。</w:t>
      </w:r>
    </w:p>
    <w:p w:rsidR="00D10EA5" w:rsidRDefault="00116086">
      <w:pPr>
        <w:pStyle w:val="affff1"/>
        <w:ind w:firstLineChars="0" w:firstLine="0"/>
        <w:jc w:val="center"/>
        <w:rPr>
          <w:rFonts w:ascii="黑体" w:eastAsia="黑体" w:hAnsi="黑体"/>
          <w:sz w:val="21"/>
          <w:szCs w:val="21"/>
          <w:lang w:bidi="en-US"/>
        </w:rPr>
      </w:pPr>
      <w:r>
        <w:rPr>
          <w:rFonts w:ascii="黑体" w:eastAsia="黑体" w:hAnsi="黑体" w:hint="eastAsia"/>
          <w:sz w:val="21"/>
          <w:szCs w:val="21"/>
          <w:lang w:bidi="en-US"/>
        </w:rPr>
        <w:t>表</w:t>
      </w:r>
      <w:r>
        <w:rPr>
          <w:rFonts w:ascii="黑体" w:eastAsia="黑体" w:hAnsi="黑体" w:hint="eastAsia"/>
          <w:sz w:val="21"/>
          <w:szCs w:val="21"/>
          <w:lang w:bidi="en-US"/>
        </w:rPr>
        <w:t xml:space="preserve">1 </w:t>
      </w:r>
      <w:r>
        <w:rPr>
          <w:rFonts w:ascii="黑体" w:eastAsia="黑体" w:hAnsi="黑体" w:hint="eastAsia"/>
          <w:sz w:val="21"/>
          <w:szCs w:val="21"/>
          <w:lang w:bidi="en-US"/>
        </w:rPr>
        <w:t>洗碗机绿色评价指标要求</w:t>
      </w:r>
    </w:p>
    <w:tbl>
      <w:tblPr>
        <w:tblW w:w="47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987"/>
        <w:gridCol w:w="1454"/>
        <w:gridCol w:w="1450"/>
        <w:gridCol w:w="2693"/>
        <w:gridCol w:w="1841"/>
      </w:tblGrid>
      <w:tr w:rsidR="00D10EA5">
        <w:trPr>
          <w:jc w:val="center"/>
        </w:trPr>
        <w:tc>
          <w:tcPr>
            <w:tcW w:w="254"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序号</w:t>
            </w:r>
          </w:p>
        </w:tc>
        <w:tc>
          <w:tcPr>
            <w:tcW w:w="556"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一级指标</w:t>
            </w:r>
          </w:p>
        </w:tc>
        <w:tc>
          <w:tcPr>
            <w:tcW w:w="1636" w:type="pct"/>
            <w:gridSpan w:val="2"/>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二级指标</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基准值</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评价依据</w:t>
            </w:r>
            <w:r>
              <w:rPr>
                <w:rFonts w:hint="eastAsia"/>
                <w:sz w:val="18"/>
                <w:szCs w:val="18"/>
              </w:rPr>
              <w:t>/</w:t>
            </w:r>
            <w:r>
              <w:rPr>
                <w:rFonts w:hint="eastAsia"/>
                <w:sz w:val="18"/>
                <w:szCs w:val="18"/>
              </w:rPr>
              <w:t>方法</w:t>
            </w:r>
          </w:p>
        </w:tc>
      </w:tr>
      <w:tr w:rsidR="00D10EA5">
        <w:trPr>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restar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资源属性</w:t>
            </w:r>
          </w:p>
        </w:tc>
        <w:tc>
          <w:tcPr>
            <w:tcW w:w="1636" w:type="pct"/>
            <w:gridSpan w:val="2"/>
            <w:tcBorders>
              <w:top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材料节约性</w:t>
            </w:r>
          </w:p>
        </w:tc>
        <w:tc>
          <w:tcPr>
            <w:tcW w:w="151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对产品使用的消费后回收材料、可再生材料、可生物降解材料等进行自我声明。</w:t>
            </w:r>
          </w:p>
        </w:tc>
        <w:tc>
          <w:tcPr>
            <w:tcW w:w="103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设计文件和自我声明文件（含材料清单及计算说明）</w:t>
            </w:r>
          </w:p>
        </w:tc>
      </w:tr>
      <w:tr w:rsidR="00D10EA5">
        <w:trPr>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9" w:type="pct"/>
            <w:vMerge w:val="restart"/>
            <w:tcBorders>
              <w:top w:val="single" w:sz="4" w:space="0" w:color="auto"/>
              <w:right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材料可循环性</w:t>
            </w:r>
          </w:p>
        </w:tc>
        <w:tc>
          <w:tcPr>
            <w:tcW w:w="817" w:type="pct"/>
            <w:tcBorders>
              <w:left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可回收利用标识</w:t>
            </w:r>
          </w:p>
        </w:tc>
        <w:tc>
          <w:tcPr>
            <w:tcW w:w="151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产品及零部件可回收利用标识符合</w:t>
            </w:r>
            <w:r>
              <w:rPr>
                <w:rFonts w:hint="eastAsia"/>
                <w:sz w:val="18"/>
                <w:szCs w:val="18"/>
              </w:rPr>
              <w:t>G</w:t>
            </w:r>
            <w:r>
              <w:rPr>
                <w:sz w:val="18"/>
                <w:szCs w:val="18"/>
              </w:rPr>
              <w:t>B/T 23384</w:t>
            </w:r>
            <w:r>
              <w:rPr>
                <w:rFonts w:hint="eastAsia"/>
                <w:sz w:val="18"/>
                <w:szCs w:val="18"/>
              </w:rPr>
              <w:t>的规定要求</w:t>
            </w:r>
          </w:p>
        </w:tc>
        <w:tc>
          <w:tcPr>
            <w:tcW w:w="103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提供标识使用说明及相关管理说明文件</w:t>
            </w:r>
          </w:p>
        </w:tc>
      </w:tr>
      <w:tr w:rsidR="00D10EA5">
        <w:trPr>
          <w:trHeight w:val="215"/>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9" w:type="pct"/>
            <w:vMerge/>
            <w:tcBorders>
              <w:right w:val="single" w:sz="4" w:space="0" w:color="auto"/>
            </w:tcBorders>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7" w:type="pct"/>
            <w:tcBorders>
              <w:left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易拆解性</w:t>
            </w:r>
          </w:p>
        </w:tc>
        <w:tc>
          <w:tcPr>
            <w:tcW w:w="151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产品采用模块化的设计，专业人员使用一般工具可将产品拆卸成部件，以便于产品维修、升级或回收再利用。</w:t>
            </w:r>
          </w:p>
        </w:tc>
        <w:tc>
          <w:tcPr>
            <w:tcW w:w="103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提供设计文件和拆解说明</w:t>
            </w:r>
          </w:p>
        </w:tc>
      </w:tr>
      <w:tr w:rsidR="00D10EA5">
        <w:trPr>
          <w:trHeight w:val="215"/>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9" w:type="pct"/>
            <w:vMerge/>
            <w:tcBorders>
              <w:right w:val="single" w:sz="4" w:space="0" w:color="auto"/>
            </w:tcBorders>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7" w:type="pct"/>
            <w:vMerge w:val="restart"/>
            <w:tcBorders>
              <w:left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易回收性</w:t>
            </w:r>
          </w:p>
        </w:tc>
        <w:tc>
          <w:tcPr>
            <w:tcW w:w="151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在不影响产品功能的情况下，质量大于</w:t>
            </w:r>
            <w:r>
              <w:rPr>
                <w:rFonts w:hint="eastAsia"/>
                <w:sz w:val="18"/>
                <w:szCs w:val="18"/>
              </w:rPr>
              <w:t>25</w:t>
            </w:r>
            <w:r>
              <w:rPr>
                <w:sz w:val="18"/>
                <w:szCs w:val="18"/>
              </w:rPr>
              <w:t xml:space="preserve"> </w:t>
            </w:r>
            <w:r>
              <w:rPr>
                <w:rFonts w:hint="eastAsia"/>
                <w:sz w:val="18"/>
                <w:szCs w:val="18"/>
              </w:rPr>
              <w:t>g</w:t>
            </w:r>
            <w:r>
              <w:rPr>
                <w:rFonts w:hint="eastAsia"/>
                <w:sz w:val="18"/>
                <w:szCs w:val="18"/>
              </w:rPr>
              <w:t>的塑料部件应使用单聚物或者共聚物。</w:t>
            </w:r>
          </w:p>
        </w:tc>
        <w:tc>
          <w:tcPr>
            <w:tcW w:w="103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提供设计文件和拆解说明</w:t>
            </w:r>
          </w:p>
        </w:tc>
      </w:tr>
      <w:tr w:rsidR="00D10EA5">
        <w:trPr>
          <w:trHeight w:val="2218"/>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9" w:type="pct"/>
            <w:vMerge/>
            <w:tcBorders>
              <w:right w:val="single" w:sz="4" w:space="0" w:color="auto"/>
            </w:tcBorders>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817" w:type="pct"/>
            <w:vMerge/>
            <w:tcBorders>
              <w:left w:val="single" w:sz="4" w:space="0" w:color="auto"/>
            </w:tcBorders>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51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质量超过</w:t>
            </w:r>
            <w:r>
              <w:rPr>
                <w:rFonts w:hint="eastAsia"/>
                <w:sz w:val="18"/>
                <w:szCs w:val="18"/>
              </w:rPr>
              <w:t>25</w:t>
            </w:r>
            <w:r>
              <w:rPr>
                <w:sz w:val="18"/>
                <w:szCs w:val="18"/>
              </w:rPr>
              <w:t xml:space="preserve"> </w:t>
            </w:r>
            <w:r>
              <w:rPr>
                <w:rFonts w:hint="eastAsia"/>
                <w:sz w:val="18"/>
                <w:szCs w:val="18"/>
              </w:rPr>
              <w:t>g</w:t>
            </w:r>
            <w:r>
              <w:rPr>
                <w:rFonts w:hint="eastAsia"/>
                <w:sz w:val="18"/>
                <w:szCs w:val="18"/>
              </w:rPr>
              <w:t>且平面面积超过</w:t>
            </w:r>
            <w:r>
              <w:rPr>
                <w:rFonts w:hint="eastAsia"/>
                <w:sz w:val="18"/>
                <w:szCs w:val="18"/>
              </w:rPr>
              <w:t>200</w:t>
            </w:r>
            <w:r>
              <w:rPr>
                <w:sz w:val="18"/>
                <w:szCs w:val="18"/>
              </w:rPr>
              <w:t xml:space="preserve"> </w:t>
            </w:r>
            <w:r>
              <w:rPr>
                <w:rFonts w:hint="eastAsia"/>
                <w:sz w:val="18"/>
                <w:szCs w:val="18"/>
              </w:rPr>
              <w:t>mm</w:t>
            </w:r>
            <w:r>
              <w:rPr>
                <w:rFonts w:hint="eastAsia"/>
                <w:sz w:val="18"/>
                <w:szCs w:val="18"/>
                <w:vertAlign w:val="superscript"/>
              </w:rPr>
              <w:t>2</w:t>
            </w:r>
            <w:r>
              <w:rPr>
                <w:rFonts w:hint="eastAsia"/>
                <w:sz w:val="18"/>
                <w:szCs w:val="18"/>
              </w:rPr>
              <w:t>的塑料部件应按照</w:t>
            </w:r>
            <w:r>
              <w:rPr>
                <w:rFonts w:hint="eastAsia"/>
                <w:sz w:val="18"/>
                <w:szCs w:val="18"/>
              </w:rPr>
              <w:t>GB/T 16288</w:t>
            </w:r>
            <w:r>
              <w:rPr>
                <w:rFonts w:hint="eastAsia"/>
                <w:sz w:val="18"/>
                <w:szCs w:val="18"/>
              </w:rPr>
              <w:t>进行标识。以下情况除外：</w:t>
            </w:r>
          </w:p>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——由于标识影响了塑料部件的性能或功能；</w:t>
            </w:r>
          </w:p>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——由于生产工艺的原因，从技术上无法进行标识；</w:t>
            </w:r>
          </w:p>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——标识增加了产品故障率，或导致了原本可避免的材料浪费；</w:t>
            </w:r>
          </w:p>
        </w:tc>
        <w:tc>
          <w:tcPr>
            <w:tcW w:w="1037" w:type="pct"/>
            <w:tcBorders>
              <w:bottom w:val="single" w:sz="4" w:space="0" w:color="auto"/>
            </w:tcBorders>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提供设计文件和标识文件</w:t>
            </w:r>
          </w:p>
        </w:tc>
      </w:tr>
      <w:tr w:rsidR="00D10EA5">
        <w:trPr>
          <w:trHeight w:val="215"/>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Merge w:val="restar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包装材料环保性</w:t>
            </w:r>
          </w:p>
        </w:tc>
        <w:tc>
          <w:tcPr>
            <w:tcW w:w="151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包装材质为纸盒（袋）者，推荐优先使用回收纸混合模式，满足</w:t>
            </w:r>
            <w:r>
              <w:rPr>
                <w:rFonts w:hint="eastAsia"/>
                <w:sz w:val="18"/>
                <w:szCs w:val="18"/>
              </w:rPr>
              <w:t>G</w:t>
            </w:r>
            <w:r>
              <w:rPr>
                <w:sz w:val="18"/>
                <w:szCs w:val="18"/>
              </w:rPr>
              <w:t>B/T 31268</w:t>
            </w:r>
            <w:r>
              <w:rPr>
                <w:rFonts w:hint="eastAsia"/>
                <w:sz w:val="18"/>
                <w:szCs w:val="18"/>
              </w:rPr>
              <w:t>相关要求</w:t>
            </w:r>
          </w:p>
        </w:tc>
        <w:tc>
          <w:tcPr>
            <w:tcW w:w="103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提供包装纸材质说明</w:t>
            </w:r>
          </w:p>
        </w:tc>
      </w:tr>
      <w:tr w:rsidR="00D10EA5">
        <w:trPr>
          <w:trHeight w:val="417"/>
          <w:jc w:val="center"/>
        </w:trPr>
        <w:tc>
          <w:tcPr>
            <w:tcW w:w="254" w:type="pct"/>
            <w:vAlign w:val="center"/>
          </w:tcPr>
          <w:p w:rsidR="00D10EA5" w:rsidRDefault="00D10EA5">
            <w:pPr>
              <w:widowControl/>
              <w:numPr>
                <w:ilvl w:val="0"/>
                <w:numId w:val="18"/>
              </w:numPr>
              <w:tabs>
                <w:tab w:val="left" w:pos="0"/>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51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应按照</w:t>
            </w:r>
            <w:r>
              <w:rPr>
                <w:rFonts w:hint="eastAsia"/>
                <w:sz w:val="18"/>
                <w:szCs w:val="18"/>
              </w:rPr>
              <w:t>G</w:t>
            </w:r>
            <w:r>
              <w:rPr>
                <w:sz w:val="18"/>
                <w:szCs w:val="18"/>
              </w:rPr>
              <w:t>B/T</w:t>
            </w:r>
            <w:r>
              <w:rPr>
                <w:rFonts w:hint="eastAsia"/>
                <w:sz w:val="18"/>
                <w:szCs w:val="18"/>
              </w:rPr>
              <w:t xml:space="preserve"> </w:t>
            </w:r>
            <w:r>
              <w:rPr>
                <w:sz w:val="18"/>
                <w:szCs w:val="18"/>
              </w:rPr>
              <w:t>18455</w:t>
            </w:r>
            <w:r>
              <w:rPr>
                <w:rFonts w:hint="eastAsia"/>
                <w:sz w:val="18"/>
                <w:szCs w:val="18"/>
              </w:rPr>
              <w:t>标识</w:t>
            </w:r>
          </w:p>
        </w:tc>
        <w:tc>
          <w:tcPr>
            <w:tcW w:w="103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提供证明材料</w:t>
            </w:r>
          </w:p>
        </w:tc>
      </w:tr>
      <w:tr w:rsidR="00D10EA5">
        <w:trPr>
          <w:trHeight w:val="215"/>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51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选择符合</w:t>
            </w:r>
            <w:r>
              <w:rPr>
                <w:rFonts w:hint="eastAsia"/>
                <w:sz w:val="18"/>
                <w:szCs w:val="18"/>
              </w:rPr>
              <w:t>G</w:t>
            </w:r>
            <w:r>
              <w:rPr>
                <w:sz w:val="18"/>
                <w:szCs w:val="18"/>
              </w:rPr>
              <w:t>B/T</w:t>
            </w:r>
            <w:r>
              <w:rPr>
                <w:rFonts w:hint="eastAsia"/>
                <w:sz w:val="18"/>
                <w:szCs w:val="18"/>
              </w:rPr>
              <w:t xml:space="preserve"> </w:t>
            </w:r>
            <w:r>
              <w:rPr>
                <w:sz w:val="18"/>
                <w:szCs w:val="18"/>
              </w:rPr>
              <w:t>16716.1</w:t>
            </w:r>
            <w:r>
              <w:rPr>
                <w:rFonts w:hint="eastAsia"/>
                <w:sz w:val="18"/>
                <w:szCs w:val="18"/>
              </w:rPr>
              <w:t>关于包装的通用要求，包括包装的减量化、重复使用、回收利用和最终处理等要求。</w:t>
            </w:r>
          </w:p>
        </w:tc>
        <w:tc>
          <w:tcPr>
            <w:tcW w:w="1037" w:type="pct"/>
            <w:tcBorders>
              <w:bottom w:val="single" w:sz="4" w:space="0" w:color="auto"/>
            </w:tcBorders>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提供证明材料</w:t>
            </w:r>
          </w:p>
        </w:tc>
      </w:tr>
      <w:tr w:rsidR="00D10EA5">
        <w:trPr>
          <w:trHeight w:val="416"/>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restar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环境属性</w:t>
            </w:r>
          </w:p>
        </w:tc>
        <w:tc>
          <w:tcPr>
            <w:tcW w:w="819" w:type="pct"/>
            <w:vAlign w:val="center"/>
          </w:tcPr>
          <w:p w:rsidR="00D10EA5" w:rsidRDefault="00116086">
            <w:pPr>
              <w:tabs>
                <w:tab w:val="center" w:pos="4201"/>
                <w:tab w:val="right" w:leader="dot" w:pos="9298"/>
              </w:tabs>
              <w:autoSpaceDE w:val="0"/>
              <w:autoSpaceDN w:val="0"/>
              <w:snapToGrid w:val="0"/>
              <w:ind w:rightChars="-33" w:right="-69"/>
              <w:jc w:val="center"/>
              <w:rPr>
                <w:sz w:val="18"/>
                <w:szCs w:val="18"/>
              </w:rPr>
            </w:pPr>
            <w:r>
              <w:rPr>
                <w:rFonts w:hint="eastAsia"/>
                <w:sz w:val="18"/>
                <w:szCs w:val="18"/>
              </w:rPr>
              <w:t>包装材料有害物质含量</w:t>
            </w:r>
          </w:p>
        </w:tc>
        <w:tc>
          <w:tcPr>
            <w:tcW w:w="817" w:type="pct"/>
            <w:vAlign w:val="center"/>
          </w:tcPr>
          <w:p w:rsidR="00D10EA5" w:rsidRDefault="00116086">
            <w:pPr>
              <w:tabs>
                <w:tab w:val="center" w:pos="4201"/>
                <w:tab w:val="right" w:leader="dot" w:pos="9298"/>
              </w:tabs>
              <w:autoSpaceDE w:val="0"/>
              <w:autoSpaceDN w:val="0"/>
              <w:snapToGrid w:val="0"/>
              <w:ind w:rightChars="-33" w:right="-69"/>
              <w:jc w:val="center"/>
              <w:rPr>
                <w:sz w:val="18"/>
                <w:szCs w:val="18"/>
              </w:rPr>
            </w:pPr>
            <w:r>
              <w:rPr>
                <w:rFonts w:hint="eastAsia"/>
                <w:sz w:val="18"/>
                <w:szCs w:val="18"/>
              </w:rPr>
              <w:t>氢氟氯化碳</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不得作为发泡剂使用</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提供证明材料</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r>
              <w:rPr>
                <w:rFonts w:hint="eastAsia"/>
                <w:sz w:val="18"/>
                <w:szCs w:val="18"/>
              </w:rPr>
              <w:t>可再生利用率</w:t>
            </w:r>
            <w:r>
              <w:rPr>
                <w:rFonts w:hint="eastAsia"/>
                <w:sz w:val="18"/>
                <w:szCs w:val="18"/>
              </w:rPr>
              <w:t>/%</w:t>
            </w:r>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7</w:t>
            </w:r>
            <w:r>
              <w:rPr>
                <w:sz w:val="18"/>
                <w:szCs w:val="18"/>
              </w:rPr>
              <w:t>0</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w:t>
            </w:r>
            <w:r>
              <w:rPr>
                <w:sz w:val="18"/>
                <w:szCs w:val="18"/>
              </w:rPr>
              <w:t>B/T</w:t>
            </w:r>
            <w:r>
              <w:rPr>
                <w:rFonts w:hint="eastAsia"/>
                <w:sz w:val="18"/>
                <w:szCs w:val="18"/>
              </w:rPr>
              <w:t xml:space="preserve"> </w:t>
            </w:r>
            <w:r>
              <w:rPr>
                <w:sz w:val="18"/>
                <w:szCs w:val="18"/>
              </w:rPr>
              <w:t>32355.2</w:t>
            </w:r>
            <w:r>
              <w:rPr>
                <w:rFonts w:hint="eastAsia"/>
                <w:sz w:val="18"/>
                <w:szCs w:val="18"/>
              </w:rPr>
              <w:t>测算，提供证明材料</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r>
              <w:rPr>
                <w:rFonts w:hint="eastAsia"/>
                <w:sz w:val="18"/>
                <w:szCs w:val="18"/>
              </w:rPr>
              <w:t>噪声</w:t>
            </w:r>
            <w:r>
              <w:rPr>
                <w:rFonts w:hint="eastAsia"/>
                <w:sz w:val="18"/>
                <w:szCs w:val="18"/>
              </w:rPr>
              <w:t>/</w:t>
            </w:r>
            <w:r>
              <w:rPr>
                <w:sz w:val="18"/>
                <w:szCs w:val="18"/>
              </w:rPr>
              <w:t xml:space="preserve"> dB(A)</w:t>
            </w:r>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 xml:space="preserve">58 </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w:t>
            </w:r>
            <w:r>
              <w:rPr>
                <w:sz w:val="18"/>
                <w:szCs w:val="18"/>
              </w:rPr>
              <w:t>B</w:t>
            </w:r>
            <w:r>
              <w:rPr>
                <w:rFonts w:hint="eastAsia"/>
                <w:sz w:val="18"/>
                <w:szCs w:val="18"/>
              </w:rPr>
              <w:t>/</w:t>
            </w:r>
            <w:r>
              <w:rPr>
                <w:sz w:val="18"/>
                <w:szCs w:val="18"/>
              </w:rPr>
              <w:t>T4214.3</w:t>
            </w:r>
            <w:r>
              <w:rPr>
                <w:rFonts w:hint="eastAsia"/>
                <w:sz w:val="18"/>
                <w:szCs w:val="18"/>
              </w:rPr>
              <w:t>测试，并提供检测报告</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restar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产品属性</w:t>
            </w: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r>
              <w:rPr>
                <w:rFonts w:hint="eastAsia"/>
                <w:sz w:val="18"/>
                <w:szCs w:val="18"/>
              </w:rPr>
              <w:t>清洁指数</w:t>
            </w:r>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1.12</w:t>
            </w:r>
          </w:p>
        </w:tc>
        <w:tc>
          <w:tcPr>
            <w:tcW w:w="103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GB 38383-2019</w:t>
            </w:r>
            <w:r>
              <w:rPr>
                <w:rFonts w:hint="eastAsia"/>
                <w:sz w:val="18"/>
                <w:szCs w:val="18"/>
              </w:rPr>
              <w:t>进行测试，满足能效等级</w:t>
            </w:r>
            <w:r>
              <w:rPr>
                <w:rFonts w:hint="eastAsia"/>
                <w:sz w:val="18"/>
                <w:szCs w:val="18"/>
              </w:rPr>
              <w:t>3</w:t>
            </w:r>
            <w:r>
              <w:rPr>
                <w:rFonts w:hint="eastAsia"/>
                <w:sz w:val="18"/>
                <w:szCs w:val="18"/>
              </w:rPr>
              <w:t>级，并提供检测报告</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proofErr w:type="gramStart"/>
            <w:r>
              <w:rPr>
                <w:rFonts w:hint="eastAsia"/>
                <w:sz w:val="18"/>
                <w:szCs w:val="18"/>
              </w:rPr>
              <w:t>能效指数</w:t>
            </w:r>
            <w:proofErr w:type="gramEnd"/>
            <w:r>
              <w:rPr>
                <w:rFonts w:hint="eastAsia"/>
                <w:sz w:val="18"/>
                <w:szCs w:val="18"/>
              </w:rPr>
              <w:t>EEI</w:t>
            </w:r>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50</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GB 38383-2019</w:t>
            </w:r>
            <w:r>
              <w:rPr>
                <w:rFonts w:hint="eastAsia"/>
                <w:sz w:val="18"/>
                <w:szCs w:val="18"/>
              </w:rPr>
              <w:t>进行测试，满足能效等级</w:t>
            </w:r>
            <w:r>
              <w:rPr>
                <w:rFonts w:hint="eastAsia"/>
                <w:sz w:val="18"/>
                <w:szCs w:val="18"/>
              </w:rPr>
              <w:t>3</w:t>
            </w:r>
            <w:r>
              <w:rPr>
                <w:rFonts w:hint="eastAsia"/>
                <w:sz w:val="18"/>
                <w:szCs w:val="18"/>
              </w:rPr>
              <w:t>级，并提供检测报告</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proofErr w:type="gramStart"/>
            <w:r>
              <w:rPr>
                <w:rFonts w:hint="eastAsia"/>
                <w:sz w:val="18"/>
                <w:szCs w:val="18"/>
              </w:rPr>
              <w:t>水效指数</w:t>
            </w:r>
            <w:proofErr w:type="gramEnd"/>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45</w:t>
            </w:r>
          </w:p>
        </w:tc>
        <w:tc>
          <w:tcPr>
            <w:tcW w:w="1037" w:type="pct"/>
            <w:vAlign w:val="center"/>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GB 38383-2019</w:t>
            </w:r>
            <w:r>
              <w:rPr>
                <w:rFonts w:hint="eastAsia"/>
                <w:sz w:val="18"/>
                <w:szCs w:val="18"/>
              </w:rPr>
              <w:t>进行测试，满足能效等级</w:t>
            </w:r>
            <w:r>
              <w:rPr>
                <w:rFonts w:hint="eastAsia"/>
                <w:sz w:val="18"/>
                <w:szCs w:val="18"/>
              </w:rPr>
              <w:t>3</w:t>
            </w:r>
            <w:r>
              <w:rPr>
                <w:rFonts w:hint="eastAsia"/>
                <w:sz w:val="18"/>
                <w:szCs w:val="18"/>
              </w:rPr>
              <w:t>级，并提供检测报告</w:t>
            </w:r>
          </w:p>
        </w:tc>
      </w:tr>
      <w:tr w:rsidR="00D10EA5">
        <w:trPr>
          <w:jc w:val="center"/>
        </w:trPr>
        <w:tc>
          <w:tcPr>
            <w:tcW w:w="254" w:type="pct"/>
            <w:vAlign w:val="center"/>
          </w:tcPr>
          <w:p w:rsidR="00D10EA5" w:rsidRDefault="00D10EA5">
            <w:pPr>
              <w:widowControl/>
              <w:numPr>
                <w:ilvl w:val="0"/>
                <w:numId w:val="18"/>
              </w:numPr>
              <w:tabs>
                <w:tab w:val="left" w:pos="78"/>
                <w:tab w:val="center" w:pos="4201"/>
                <w:tab w:val="right" w:leader="dot" w:pos="9298"/>
              </w:tabs>
              <w:autoSpaceDE w:val="0"/>
              <w:autoSpaceDN w:val="0"/>
              <w:snapToGrid w:val="0"/>
              <w:ind w:left="-84" w:rightChars="-33" w:right="-69" w:hanging="2"/>
              <w:jc w:val="center"/>
              <w:rPr>
                <w:sz w:val="18"/>
                <w:szCs w:val="18"/>
              </w:rPr>
            </w:pPr>
          </w:p>
        </w:tc>
        <w:tc>
          <w:tcPr>
            <w:tcW w:w="556" w:type="pct"/>
            <w:vMerge/>
            <w:vAlign w:val="center"/>
          </w:tcPr>
          <w:p w:rsidR="00D10EA5" w:rsidRDefault="00D10EA5">
            <w:pPr>
              <w:tabs>
                <w:tab w:val="center" w:pos="4201"/>
                <w:tab w:val="right" w:leader="dot" w:pos="9298"/>
              </w:tabs>
              <w:autoSpaceDE w:val="0"/>
              <w:autoSpaceDN w:val="0"/>
              <w:snapToGrid w:val="0"/>
              <w:ind w:leftChars="-39" w:left="-82" w:rightChars="-33" w:right="-69"/>
              <w:jc w:val="center"/>
              <w:rPr>
                <w:sz w:val="18"/>
                <w:szCs w:val="18"/>
              </w:rPr>
            </w:pPr>
          </w:p>
        </w:tc>
        <w:tc>
          <w:tcPr>
            <w:tcW w:w="1636" w:type="pct"/>
            <w:gridSpan w:val="2"/>
            <w:vAlign w:val="center"/>
          </w:tcPr>
          <w:p w:rsidR="00D10EA5" w:rsidRDefault="00116086">
            <w:pPr>
              <w:tabs>
                <w:tab w:val="center" w:pos="4201"/>
                <w:tab w:val="right" w:leader="dot" w:pos="9298"/>
              </w:tabs>
              <w:autoSpaceDE w:val="0"/>
              <w:autoSpaceDN w:val="0"/>
              <w:snapToGrid w:val="0"/>
              <w:ind w:rightChars="-33" w:right="-69"/>
              <w:jc w:val="right"/>
              <w:rPr>
                <w:sz w:val="18"/>
                <w:szCs w:val="18"/>
              </w:rPr>
            </w:pPr>
            <w:r>
              <w:rPr>
                <w:rFonts w:hint="eastAsia"/>
                <w:sz w:val="18"/>
                <w:szCs w:val="18"/>
              </w:rPr>
              <w:t>干燥指数</w:t>
            </w:r>
            <w:r>
              <w:rPr>
                <w:rFonts w:hint="eastAsia"/>
                <w:sz w:val="18"/>
                <w:szCs w:val="18"/>
              </w:rPr>
              <w:t xml:space="preserve">          </w:t>
            </w:r>
            <w:r>
              <w:rPr>
                <w:rFonts w:hint="eastAsia"/>
                <w:sz w:val="18"/>
                <w:szCs w:val="18"/>
              </w:rPr>
              <w:t>≥</w:t>
            </w:r>
          </w:p>
        </w:tc>
        <w:tc>
          <w:tcPr>
            <w:tcW w:w="1517" w:type="pct"/>
            <w:vAlign w:val="center"/>
          </w:tcPr>
          <w:p w:rsidR="00D10EA5" w:rsidRDefault="00116086">
            <w:pPr>
              <w:tabs>
                <w:tab w:val="center" w:pos="4201"/>
                <w:tab w:val="right" w:leader="dot" w:pos="9298"/>
              </w:tabs>
              <w:autoSpaceDE w:val="0"/>
              <w:autoSpaceDN w:val="0"/>
              <w:snapToGrid w:val="0"/>
              <w:ind w:leftChars="-39" w:left="-82" w:rightChars="-33" w:right="-69"/>
              <w:jc w:val="center"/>
              <w:rPr>
                <w:sz w:val="18"/>
                <w:szCs w:val="18"/>
              </w:rPr>
            </w:pPr>
            <w:r>
              <w:rPr>
                <w:sz w:val="18"/>
                <w:szCs w:val="18"/>
              </w:rPr>
              <w:t>1.08</w:t>
            </w:r>
          </w:p>
        </w:tc>
        <w:tc>
          <w:tcPr>
            <w:tcW w:w="1037" w:type="pct"/>
          </w:tcPr>
          <w:p w:rsidR="00D10EA5" w:rsidRDefault="00116086">
            <w:pPr>
              <w:tabs>
                <w:tab w:val="center" w:pos="4201"/>
                <w:tab w:val="right" w:leader="dot" w:pos="9298"/>
              </w:tabs>
              <w:autoSpaceDE w:val="0"/>
              <w:autoSpaceDN w:val="0"/>
              <w:snapToGrid w:val="0"/>
              <w:ind w:leftChars="-39" w:left="-82" w:rightChars="-33" w:right="-69"/>
              <w:jc w:val="left"/>
              <w:rPr>
                <w:sz w:val="18"/>
                <w:szCs w:val="18"/>
              </w:rPr>
            </w:pPr>
            <w:r>
              <w:rPr>
                <w:rFonts w:hint="eastAsia"/>
                <w:sz w:val="18"/>
                <w:szCs w:val="18"/>
              </w:rPr>
              <w:t>按照</w:t>
            </w:r>
            <w:r>
              <w:rPr>
                <w:rFonts w:hint="eastAsia"/>
                <w:sz w:val="18"/>
                <w:szCs w:val="18"/>
              </w:rPr>
              <w:t>GB 38383-2019</w:t>
            </w:r>
            <w:r>
              <w:rPr>
                <w:rFonts w:hint="eastAsia"/>
                <w:sz w:val="18"/>
                <w:szCs w:val="18"/>
              </w:rPr>
              <w:t>进行测试，满足能效等级</w:t>
            </w:r>
            <w:r>
              <w:rPr>
                <w:rFonts w:hint="eastAsia"/>
                <w:sz w:val="18"/>
                <w:szCs w:val="18"/>
              </w:rPr>
              <w:t>3</w:t>
            </w:r>
            <w:r>
              <w:rPr>
                <w:rFonts w:hint="eastAsia"/>
                <w:sz w:val="18"/>
                <w:szCs w:val="18"/>
              </w:rPr>
              <w:t>级，并提供检测报告</w:t>
            </w:r>
          </w:p>
        </w:tc>
      </w:tr>
    </w:tbl>
    <w:p w:rsidR="00D10EA5" w:rsidRDefault="00D10EA5">
      <w:pPr>
        <w:pStyle w:val="affff1"/>
        <w:ind w:firstLine="400"/>
      </w:pPr>
    </w:p>
    <w:p w:rsidR="00D10EA5" w:rsidRDefault="00116086">
      <w:pPr>
        <w:pStyle w:val="a7"/>
        <w:spacing w:beforeLines="50" w:before="156" w:afterLines="50" w:after="156"/>
      </w:pPr>
      <w:bookmarkStart w:id="45" w:name="_Toc20645592"/>
      <w:bookmarkStart w:id="46" w:name="_Toc8752"/>
      <w:bookmarkStart w:id="47" w:name="_Toc486677277"/>
      <w:r>
        <w:rPr>
          <w:rFonts w:hint="eastAsia"/>
        </w:rPr>
        <w:t>产品生命周期评价报告编制方法</w:t>
      </w:r>
      <w:bookmarkEnd w:id="45"/>
      <w:bookmarkEnd w:id="46"/>
    </w:p>
    <w:bookmarkEnd w:id="47"/>
    <w:p w:rsidR="00D10EA5" w:rsidRDefault="00116086">
      <w:pPr>
        <w:pStyle w:val="a8"/>
        <w:spacing w:before="156" w:after="156"/>
      </w:pPr>
      <w:r>
        <w:rPr>
          <w:rFonts w:hint="eastAsia"/>
        </w:rPr>
        <w:t>方法</w:t>
      </w:r>
    </w:p>
    <w:p w:rsidR="00D10EA5" w:rsidRDefault="00116086">
      <w:pPr>
        <w:widowControl/>
        <w:autoSpaceDE w:val="0"/>
        <w:autoSpaceDN w:val="0"/>
        <w:ind w:firstLineChars="200" w:firstLine="420"/>
        <w:rPr>
          <w:kern w:val="0"/>
          <w:szCs w:val="22"/>
        </w:rPr>
      </w:pPr>
      <w:r>
        <w:rPr>
          <w:kern w:val="0"/>
          <w:szCs w:val="22"/>
        </w:rPr>
        <w:t>依据</w:t>
      </w:r>
      <w:r>
        <w:rPr>
          <w:kern w:val="0"/>
          <w:szCs w:val="22"/>
        </w:rPr>
        <w:t>GB/T 24040</w:t>
      </w:r>
      <w:r>
        <w:rPr>
          <w:kern w:val="0"/>
          <w:szCs w:val="22"/>
        </w:rPr>
        <w:t>、</w:t>
      </w:r>
      <w:r>
        <w:rPr>
          <w:kern w:val="0"/>
          <w:szCs w:val="22"/>
        </w:rPr>
        <w:t>GB/T 24044</w:t>
      </w:r>
      <w:r>
        <w:rPr>
          <w:kern w:val="0"/>
          <w:szCs w:val="22"/>
        </w:rPr>
        <w:t>和</w:t>
      </w:r>
      <w:r>
        <w:rPr>
          <w:kern w:val="0"/>
          <w:szCs w:val="22"/>
        </w:rPr>
        <w:t>GB/T 32161</w:t>
      </w:r>
      <w:r>
        <w:rPr>
          <w:kern w:val="0"/>
          <w:szCs w:val="22"/>
        </w:rPr>
        <w:t>给出的生命周期评价方法学框架及总体要求</w:t>
      </w:r>
      <w:r>
        <w:rPr>
          <w:rFonts w:hint="eastAsia"/>
          <w:kern w:val="0"/>
          <w:szCs w:val="22"/>
        </w:rPr>
        <w:t>编制洗碗机的</w:t>
      </w:r>
      <w:r>
        <w:rPr>
          <w:kern w:val="0"/>
          <w:szCs w:val="22"/>
        </w:rPr>
        <w:t>生命周期评价</w:t>
      </w:r>
      <w:r>
        <w:rPr>
          <w:rFonts w:hint="eastAsia"/>
          <w:kern w:val="0"/>
          <w:szCs w:val="22"/>
        </w:rPr>
        <w:t>报告</w:t>
      </w:r>
      <w:r>
        <w:rPr>
          <w:kern w:val="0"/>
          <w:szCs w:val="22"/>
        </w:rPr>
        <w:t>。</w:t>
      </w:r>
      <w:r>
        <w:rPr>
          <w:rFonts w:hint="eastAsia"/>
          <w:kern w:val="0"/>
          <w:szCs w:val="22"/>
        </w:rPr>
        <w:t>见附录</w:t>
      </w:r>
      <w:r>
        <w:rPr>
          <w:kern w:val="0"/>
          <w:szCs w:val="22"/>
        </w:rPr>
        <w:t>A</w:t>
      </w:r>
      <w:r>
        <w:rPr>
          <w:rFonts w:hint="eastAsia"/>
          <w:kern w:val="0"/>
          <w:szCs w:val="22"/>
        </w:rPr>
        <w:t>。</w:t>
      </w:r>
    </w:p>
    <w:p w:rsidR="00D10EA5" w:rsidRDefault="00116086">
      <w:pPr>
        <w:pStyle w:val="a8"/>
        <w:spacing w:before="156" w:after="156"/>
      </w:pPr>
      <w:r>
        <w:t>报告内容框架</w:t>
      </w:r>
    </w:p>
    <w:p w:rsidR="00D10EA5" w:rsidRDefault="00116086">
      <w:pPr>
        <w:pStyle w:val="a9"/>
        <w:spacing w:before="156" w:after="156"/>
      </w:pPr>
      <w:bookmarkStart w:id="48" w:name="_Hlk5720228"/>
      <w:r>
        <w:t>基本信息</w:t>
      </w:r>
    </w:p>
    <w:p w:rsidR="00D10EA5" w:rsidRDefault="00116086">
      <w:pPr>
        <w:widowControl/>
        <w:autoSpaceDE w:val="0"/>
        <w:autoSpaceDN w:val="0"/>
        <w:ind w:firstLineChars="200" w:firstLine="420"/>
        <w:rPr>
          <w:kern w:val="0"/>
          <w:szCs w:val="22"/>
        </w:rPr>
      </w:pPr>
      <w:r>
        <w:rPr>
          <w:kern w:val="0"/>
          <w:szCs w:val="22"/>
        </w:rPr>
        <w:t>报告应</w:t>
      </w:r>
      <w:bookmarkEnd w:id="48"/>
      <w:r>
        <w:rPr>
          <w:kern w:val="0"/>
          <w:szCs w:val="22"/>
        </w:rPr>
        <w:t>提供报告信息、申请者信息、评估对象信息、采用的标准信息等基本信息，其中报告信息包括报告编号、编制人员、审核人员、发布日期等，申请者信息包括公司全称、组织机构代码、地址、联系人、联系方式等。</w:t>
      </w:r>
    </w:p>
    <w:p w:rsidR="00D10EA5" w:rsidRDefault="00116086">
      <w:pPr>
        <w:widowControl/>
        <w:autoSpaceDE w:val="0"/>
        <w:autoSpaceDN w:val="0"/>
        <w:ind w:firstLineChars="200" w:firstLine="420"/>
        <w:rPr>
          <w:kern w:val="0"/>
          <w:szCs w:val="22"/>
        </w:rPr>
      </w:pPr>
      <w:r>
        <w:rPr>
          <w:kern w:val="0"/>
          <w:szCs w:val="22"/>
        </w:rPr>
        <w:t>在报告中应提供产品的主要技术参数和功能，包括：物理形态、生产厂家、使用范围等。产品重量、包装的大小和材质也应在生命周期评价报告中阐明。</w:t>
      </w:r>
    </w:p>
    <w:p w:rsidR="00D10EA5" w:rsidRDefault="00116086">
      <w:pPr>
        <w:pStyle w:val="a9"/>
        <w:spacing w:before="156" w:after="156"/>
      </w:pPr>
      <w:r>
        <w:rPr>
          <w:rFonts w:hint="eastAsia"/>
        </w:rPr>
        <w:t>符合性评价</w:t>
      </w:r>
    </w:p>
    <w:p w:rsidR="00D10EA5" w:rsidRDefault="00116086">
      <w:pPr>
        <w:pStyle w:val="affff1"/>
        <w:rPr>
          <w:sz w:val="21"/>
          <w:szCs w:val="21"/>
        </w:rPr>
      </w:pPr>
      <w:r>
        <w:rPr>
          <w:rFonts w:hint="eastAsia"/>
          <w:sz w:val="21"/>
          <w:szCs w:val="21"/>
        </w:rPr>
        <w:t>报告中应提供对基本要求和评价指标要求的符合性情况，并提供所有评价指标报告期比基期改进情况的说明，或同等功能产品对比</w:t>
      </w:r>
      <w:r>
        <w:rPr>
          <w:rFonts w:hint="eastAsia"/>
          <w:sz w:val="21"/>
          <w:szCs w:val="21"/>
        </w:rPr>
        <w:t>情况的说明。</w:t>
      </w:r>
    </w:p>
    <w:p w:rsidR="00D10EA5" w:rsidRDefault="00116086">
      <w:pPr>
        <w:pStyle w:val="a9"/>
        <w:spacing w:before="156" w:after="156"/>
      </w:pPr>
      <w:r>
        <w:t>生命周期评价</w:t>
      </w:r>
      <w:r>
        <w:rPr>
          <w:rFonts w:hint="eastAsia"/>
        </w:rPr>
        <w:t>报告</w:t>
      </w:r>
    </w:p>
    <w:p w:rsidR="00D10EA5" w:rsidRDefault="00116086">
      <w:pPr>
        <w:pStyle w:val="aa"/>
        <w:spacing w:before="156" w:after="156"/>
        <w:rPr>
          <w:sz w:val="12"/>
          <w:szCs w:val="12"/>
        </w:rPr>
      </w:pPr>
      <w:r>
        <w:rPr>
          <w:spacing w:val="-4"/>
          <w:w w:val="110"/>
        </w:rPr>
        <w:t>评</w:t>
      </w:r>
      <w:r>
        <w:rPr>
          <w:w w:val="110"/>
        </w:rPr>
        <w:t>价</w:t>
      </w:r>
      <w:r>
        <w:rPr>
          <w:spacing w:val="-4"/>
          <w:w w:val="110"/>
        </w:rPr>
        <w:t>对</w:t>
      </w:r>
      <w:r>
        <w:rPr>
          <w:w w:val="110"/>
        </w:rPr>
        <w:t>象</w:t>
      </w:r>
      <w:r>
        <w:rPr>
          <w:spacing w:val="-4"/>
          <w:w w:val="110"/>
        </w:rPr>
        <w:t>及</w:t>
      </w:r>
      <w:r>
        <w:rPr>
          <w:w w:val="110"/>
        </w:rPr>
        <w:t>工具</w:t>
      </w:r>
    </w:p>
    <w:p w:rsidR="00D10EA5" w:rsidRDefault="00116086">
      <w:pPr>
        <w:widowControl/>
        <w:autoSpaceDE w:val="0"/>
        <w:autoSpaceDN w:val="0"/>
        <w:ind w:firstLineChars="200" w:firstLine="420"/>
      </w:pPr>
      <w:r>
        <w:t>报告</w:t>
      </w:r>
      <w:r>
        <w:rPr>
          <w:spacing w:val="-3"/>
        </w:rPr>
        <w:t>中</w:t>
      </w:r>
      <w:r>
        <w:t>应</w:t>
      </w:r>
      <w:r>
        <w:rPr>
          <w:spacing w:val="-3"/>
        </w:rPr>
        <w:t>详</w:t>
      </w:r>
      <w:r>
        <w:t>细</w:t>
      </w:r>
      <w:r>
        <w:rPr>
          <w:spacing w:val="-3"/>
        </w:rPr>
        <w:t>描</w:t>
      </w:r>
      <w:r>
        <w:t>述</w:t>
      </w:r>
      <w:r>
        <w:rPr>
          <w:spacing w:val="-3"/>
        </w:rPr>
        <w:t>评</w:t>
      </w:r>
      <w:r>
        <w:t>估</w:t>
      </w:r>
      <w:r>
        <w:rPr>
          <w:spacing w:val="-3"/>
        </w:rPr>
        <w:t>的</w:t>
      </w:r>
      <w:r>
        <w:rPr>
          <w:kern w:val="0"/>
          <w:szCs w:val="22"/>
        </w:rPr>
        <w:t>对象</w:t>
      </w:r>
      <w:r>
        <w:rPr>
          <w:rFonts w:hint="eastAsia"/>
          <w:kern w:val="0"/>
          <w:szCs w:val="22"/>
        </w:rPr>
        <w:t>、</w:t>
      </w:r>
      <w:r>
        <w:t>功</w:t>
      </w:r>
      <w:r>
        <w:rPr>
          <w:spacing w:val="-3"/>
        </w:rPr>
        <w:t>能</w:t>
      </w:r>
      <w:r>
        <w:t>单</w:t>
      </w:r>
      <w:r>
        <w:rPr>
          <w:spacing w:val="-3"/>
        </w:rPr>
        <w:t>位</w:t>
      </w:r>
      <w:r>
        <w:t>和</w:t>
      </w:r>
      <w:r>
        <w:rPr>
          <w:spacing w:val="-3"/>
        </w:rPr>
        <w:t>产</w:t>
      </w:r>
      <w:r>
        <w:t>品</w:t>
      </w:r>
      <w:r>
        <w:rPr>
          <w:spacing w:val="-3"/>
        </w:rPr>
        <w:t>主要</w:t>
      </w:r>
      <w:r>
        <w:t>功能</w:t>
      </w:r>
      <w:r>
        <w:rPr>
          <w:rFonts w:hint="eastAsia"/>
        </w:rPr>
        <w:t>，</w:t>
      </w:r>
      <w:r>
        <w:t>提</w:t>
      </w:r>
      <w:r>
        <w:rPr>
          <w:spacing w:val="-3"/>
        </w:rPr>
        <w:t>供</w:t>
      </w:r>
      <w:r>
        <w:t>产</w:t>
      </w:r>
      <w:r>
        <w:rPr>
          <w:spacing w:val="-3"/>
        </w:rPr>
        <w:t>品</w:t>
      </w:r>
      <w:r>
        <w:t>的</w:t>
      </w:r>
      <w:r>
        <w:rPr>
          <w:spacing w:val="-3"/>
        </w:rPr>
        <w:t>材</w:t>
      </w:r>
      <w:r>
        <w:t>料</w:t>
      </w:r>
      <w:r>
        <w:rPr>
          <w:spacing w:val="-3"/>
        </w:rPr>
        <w:t>构成</w:t>
      </w:r>
      <w:r>
        <w:t>及主</w:t>
      </w:r>
      <w:r>
        <w:rPr>
          <w:spacing w:val="-3"/>
        </w:rPr>
        <w:t>要</w:t>
      </w:r>
      <w:r>
        <w:t>技</w:t>
      </w:r>
      <w:r>
        <w:rPr>
          <w:spacing w:val="-3"/>
        </w:rPr>
        <w:t>术</w:t>
      </w:r>
      <w:r>
        <w:t>参</w:t>
      </w:r>
      <w:r>
        <w:rPr>
          <w:spacing w:val="-3"/>
        </w:rPr>
        <w:t>数</w:t>
      </w:r>
      <w:r>
        <w:t>表，绘制</w:t>
      </w:r>
      <w:r>
        <w:rPr>
          <w:spacing w:val="-3"/>
        </w:rPr>
        <w:t>并</w:t>
      </w:r>
      <w:r>
        <w:t>说</w:t>
      </w:r>
      <w:r>
        <w:rPr>
          <w:spacing w:val="-3"/>
        </w:rPr>
        <w:t>明</w:t>
      </w:r>
      <w:r>
        <w:t>产</w:t>
      </w:r>
      <w:r>
        <w:rPr>
          <w:spacing w:val="-3"/>
        </w:rPr>
        <w:t>品</w:t>
      </w:r>
      <w:r>
        <w:t>的</w:t>
      </w:r>
      <w:r>
        <w:rPr>
          <w:spacing w:val="-3"/>
        </w:rPr>
        <w:t>系</w:t>
      </w:r>
      <w:r>
        <w:t>统</w:t>
      </w:r>
      <w:r>
        <w:rPr>
          <w:spacing w:val="-3"/>
        </w:rPr>
        <w:t>边</w:t>
      </w:r>
      <w:r>
        <w:t>界，</w:t>
      </w:r>
      <w:r>
        <w:rPr>
          <w:spacing w:val="-3"/>
        </w:rPr>
        <w:t>披</w:t>
      </w:r>
      <w:r>
        <w:t>露</w:t>
      </w:r>
      <w:r>
        <w:rPr>
          <w:spacing w:val="-3"/>
        </w:rPr>
        <w:t>所</w:t>
      </w:r>
      <w:r>
        <w:t>使</w:t>
      </w:r>
      <w:r>
        <w:rPr>
          <w:spacing w:val="-3"/>
        </w:rPr>
        <w:t>用</w:t>
      </w:r>
      <w:r>
        <w:t>的</w:t>
      </w:r>
      <w:r>
        <w:rPr>
          <w:spacing w:val="-3"/>
        </w:rPr>
        <w:t>基</w:t>
      </w:r>
      <w:r>
        <w:t>于</w:t>
      </w:r>
      <w:r>
        <w:rPr>
          <w:spacing w:val="-3"/>
        </w:rPr>
        <w:t>中</w:t>
      </w:r>
      <w:r>
        <w:t>国生</w:t>
      </w:r>
      <w:r>
        <w:rPr>
          <w:spacing w:val="-3"/>
        </w:rPr>
        <w:t>命</w:t>
      </w:r>
      <w:r>
        <w:t>周</w:t>
      </w:r>
      <w:r>
        <w:rPr>
          <w:spacing w:val="-3"/>
        </w:rPr>
        <w:t>期</w:t>
      </w:r>
      <w:r>
        <w:t>数</w:t>
      </w:r>
      <w:r>
        <w:rPr>
          <w:spacing w:val="-3"/>
        </w:rPr>
        <w:t>据</w:t>
      </w:r>
      <w:r>
        <w:t>库</w:t>
      </w:r>
      <w:r>
        <w:rPr>
          <w:spacing w:val="-3"/>
        </w:rPr>
        <w:t>的</w:t>
      </w:r>
      <w:r>
        <w:t>软</w:t>
      </w:r>
      <w:r>
        <w:rPr>
          <w:spacing w:val="-3"/>
        </w:rPr>
        <w:t>件</w:t>
      </w:r>
      <w:r>
        <w:t>工</w:t>
      </w:r>
      <w:r>
        <w:rPr>
          <w:spacing w:val="-1"/>
        </w:rPr>
        <w:t>具</w:t>
      </w:r>
      <w:r>
        <w:t>。</w:t>
      </w:r>
    </w:p>
    <w:p w:rsidR="00D10EA5" w:rsidRDefault="00116086">
      <w:pPr>
        <w:widowControl/>
        <w:autoSpaceDE w:val="0"/>
        <w:autoSpaceDN w:val="0"/>
        <w:ind w:firstLineChars="200" w:firstLine="420"/>
      </w:pPr>
      <w:r>
        <w:t>本</w:t>
      </w:r>
      <w:r>
        <w:rPr>
          <w:rFonts w:hint="eastAsia"/>
        </w:rPr>
        <w:t>文件</w:t>
      </w:r>
      <w:r>
        <w:rPr>
          <w:spacing w:val="-1"/>
        </w:rPr>
        <w:t>以</w:t>
      </w:r>
      <w:r>
        <w:rPr>
          <w:rFonts w:ascii="宋体" w:hAnsi="宋体"/>
          <w:spacing w:val="-3"/>
        </w:rPr>
        <w:t>“</w:t>
      </w:r>
      <w:r>
        <w:t>1</w:t>
      </w:r>
      <w:r>
        <w:rPr>
          <w:spacing w:val="-3"/>
        </w:rPr>
        <w:t>台</w:t>
      </w:r>
      <w:r>
        <w:rPr>
          <w:rFonts w:hint="eastAsia"/>
        </w:rPr>
        <w:t>洗碗机</w:t>
      </w:r>
      <w:r>
        <w:rPr>
          <w:rFonts w:ascii="宋体" w:hAnsi="宋体"/>
        </w:rPr>
        <w:t>”</w:t>
      </w:r>
      <w:r>
        <w:rPr>
          <w:spacing w:val="-3"/>
        </w:rPr>
        <w:t>为</w:t>
      </w:r>
      <w:r>
        <w:rPr>
          <w:kern w:val="0"/>
          <w:szCs w:val="22"/>
        </w:rPr>
        <w:t>功</w:t>
      </w:r>
      <w:r>
        <w:rPr>
          <w:spacing w:val="-3"/>
          <w:kern w:val="0"/>
          <w:szCs w:val="22"/>
        </w:rPr>
        <w:t>能</w:t>
      </w:r>
      <w:r>
        <w:t>单</w:t>
      </w:r>
      <w:r>
        <w:rPr>
          <w:spacing w:val="-3"/>
        </w:rPr>
        <w:t>位</w:t>
      </w:r>
      <w:r>
        <w:t>来</w:t>
      </w:r>
      <w:r>
        <w:rPr>
          <w:spacing w:val="-3"/>
        </w:rPr>
        <w:t>表</w:t>
      </w:r>
      <w:r>
        <w:t>示。</w:t>
      </w:r>
    </w:p>
    <w:p w:rsidR="00D10EA5" w:rsidRDefault="00116086">
      <w:pPr>
        <w:pStyle w:val="aa"/>
        <w:spacing w:before="156" w:after="156"/>
        <w:rPr>
          <w:w w:val="110"/>
        </w:rPr>
      </w:pPr>
      <w:r>
        <w:rPr>
          <w:rFonts w:hint="eastAsia"/>
          <w:w w:val="110"/>
        </w:rPr>
        <w:t>生命周期</w:t>
      </w:r>
      <w:r>
        <w:rPr>
          <w:w w:val="110"/>
        </w:rPr>
        <w:t>清单分析</w:t>
      </w:r>
    </w:p>
    <w:p w:rsidR="00D10EA5" w:rsidRDefault="00116086">
      <w:pPr>
        <w:widowControl/>
        <w:autoSpaceDE w:val="0"/>
        <w:autoSpaceDN w:val="0"/>
        <w:ind w:firstLineChars="200" w:firstLine="408"/>
        <w:rPr>
          <w:spacing w:val="-3"/>
        </w:rPr>
      </w:pPr>
      <w:r>
        <w:rPr>
          <w:spacing w:val="-3"/>
        </w:rPr>
        <w:t>报告中应提供考虑的生命周期阶段，说明每个阶段所考虑的清单因子及收集到的现场数据或背景数据，涉及到数据分配的情况应说明分配方法和结果。</w:t>
      </w:r>
    </w:p>
    <w:p w:rsidR="00D10EA5" w:rsidRDefault="00116086">
      <w:pPr>
        <w:widowControl/>
        <w:autoSpaceDE w:val="0"/>
        <w:autoSpaceDN w:val="0"/>
        <w:ind w:firstLineChars="200" w:firstLine="408"/>
        <w:rPr>
          <w:spacing w:val="-3"/>
        </w:rPr>
      </w:pPr>
      <w:r>
        <w:rPr>
          <w:rFonts w:hint="eastAsia"/>
          <w:spacing w:val="-3"/>
        </w:rPr>
        <w:t>这些数据资料可能包含</w:t>
      </w:r>
      <w:r>
        <w:rPr>
          <w:rFonts w:hint="eastAsia"/>
          <w:spacing w:val="-3"/>
        </w:rPr>
        <w:t>BOM</w:t>
      </w:r>
      <w:r>
        <w:rPr>
          <w:rFonts w:hint="eastAsia"/>
          <w:spacing w:val="-3"/>
        </w:rPr>
        <w:t>表、</w:t>
      </w:r>
      <w:r>
        <w:rPr>
          <w:spacing w:val="-3"/>
        </w:rPr>
        <w:t>生产能耗</w:t>
      </w:r>
      <w:r>
        <w:rPr>
          <w:rFonts w:hint="eastAsia"/>
          <w:spacing w:val="-3"/>
        </w:rPr>
        <w:t>、</w:t>
      </w:r>
      <w:r>
        <w:rPr>
          <w:spacing w:val="-3"/>
        </w:rPr>
        <w:t>环境排放</w:t>
      </w:r>
      <w:r>
        <w:rPr>
          <w:rFonts w:hint="eastAsia"/>
          <w:spacing w:val="-3"/>
        </w:rPr>
        <w:t>、</w:t>
      </w:r>
      <w:r>
        <w:rPr>
          <w:spacing w:val="-3"/>
        </w:rPr>
        <w:t>上游供应商数据</w:t>
      </w:r>
      <w:r>
        <w:rPr>
          <w:rFonts w:hint="eastAsia"/>
          <w:spacing w:val="-3"/>
        </w:rPr>
        <w:t>等。</w:t>
      </w:r>
    </w:p>
    <w:p w:rsidR="00D10EA5" w:rsidRDefault="00116086">
      <w:pPr>
        <w:pStyle w:val="aa"/>
        <w:spacing w:before="156" w:after="156"/>
        <w:rPr>
          <w:w w:val="110"/>
        </w:rPr>
      </w:pPr>
      <w:r>
        <w:rPr>
          <w:w w:val="110"/>
        </w:rPr>
        <w:t>生命周期影响评价</w:t>
      </w:r>
    </w:p>
    <w:p w:rsidR="00D10EA5" w:rsidRDefault="00116086">
      <w:pPr>
        <w:widowControl/>
        <w:autoSpaceDE w:val="0"/>
        <w:autoSpaceDN w:val="0"/>
        <w:ind w:firstLineChars="200" w:firstLine="420"/>
      </w:pPr>
      <w:r>
        <w:t>报告</w:t>
      </w:r>
      <w:r>
        <w:rPr>
          <w:spacing w:val="-3"/>
        </w:rPr>
        <w:t>中</w:t>
      </w:r>
      <w:r>
        <w:t>应</w:t>
      </w:r>
      <w:r>
        <w:rPr>
          <w:spacing w:val="-3"/>
        </w:rPr>
        <w:t>提供</w:t>
      </w:r>
      <w:r>
        <w:t>产</w:t>
      </w:r>
      <w:r>
        <w:rPr>
          <w:spacing w:val="-3"/>
        </w:rPr>
        <w:t>品</w:t>
      </w:r>
      <w:r>
        <w:t>生命</w:t>
      </w:r>
      <w:r>
        <w:rPr>
          <w:spacing w:val="-3"/>
        </w:rPr>
        <w:t>周</w:t>
      </w:r>
      <w:r>
        <w:t>期各</w:t>
      </w:r>
      <w:r>
        <w:rPr>
          <w:spacing w:val="-3"/>
        </w:rPr>
        <w:t>阶</w:t>
      </w:r>
      <w:r>
        <w:t>段的</w:t>
      </w:r>
      <w:r>
        <w:rPr>
          <w:spacing w:val="-3"/>
        </w:rPr>
        <w:t>不</w:t>
      </w:r>
      <w:r>
        <w:t>同</w:t>
      </w:r>
      <w:r>
        <w:rPr>
          <w:spacing w:val="-3"/>
        </w:rPr>
        <w:t>影</w:t>
      </w:r>
      <w:r>
        <w:t>响类</w:t>
      </w:r>
      <w:r>
        <w:rPr>
          <w:spacing w:val="-3"/>
        </w:rPr>
        <w:t>型</w:t>
      </w:r>
      <w:r>
        <w:t>的特</w:t>
      </w:r>
      <w:r>
        <w:rPr>
          <w:spacing w:val="-3"/>
        </w:rPr>
        <w:t>征</w:t>
      </w:r>
      <w:r>
        <w:t>化值</w:t>
      </w:r>
      <w:r>
        <w:rPr>
          <w:spacing w:val="-3"/>
        </w:rPr>
        <w:t>，</w:t>
      </w:r>
      <w:r>
        <w:t>并</w:t>
      </w:r>
      <w:r>
        <w:rPr>
          <w:spacing w:val="-3"/>
        </w:rPr>
        <w:t>对</w:t>
      </w:r>
      <w:r>
        <w:t>不同</w:t>
      </w:r>
      <w:r>
        <w:rPr>
          <w:spacing w:val="-3"/>
        </w:rPr>
        <w:t>影</w:t>
      </w:r>
      <w:r>
        <w:t>响类</w:t>
      </w:r>
      <w:r>
        <w:rPr>
          <w:spacing w:val="-3"/>
        </w:rPr>
        <w:t>型</w:t>
      </w:r>
      <w:r>
        <w:t>在各</w:t>
      </w:r>
      <w:r>
        <w:rPr>
          <w:spacing w:val="-3"/>
        </w:rPr>
        <w:t>生</w:t>
      </w:r>
      <w:r>
        <w:t>命</w:t>
      </w:r>
      <w:r>
        <w:rPr>
          <w:spacing w:val="-3"/>
        </w:rPr>
        <w:t>周</w:t>
      </w:r>
      <w:r>
        <w:t>期</w:t>
      </w:r>
      <w:r>
        <w:rPr>
          <w:spacing w:val="-3"/>
        </w:rPr>
        <w:t>阶</w:t>
      </w:r>
      <w:r>
        <w:t>段</w:t>
      </w:r>
      <w:r>
        <w:rPr>
          <w:spacing w:val="-3"/>
        </w:rPr>
        <w:t>的</w:t>
      </w:r>
      <w:r>
        <w:t>分</w:t>
      </w:r>
      <w:r>
        <w:rPr>
          <w:spacing w:val="-3"/>
        </w:rPr>
        <w:t>布</w:t>
      </w:r>
      <w:r>
        <w:t>情况</w:t>
      </w:r>
      <w:r>
        <w:rPr>
          <w:spacing w:val="-3"/>
        </w:rPr>
        <w:t>进</w:t>
      </w:r>
      <w:r>
        <w:t>行</w:t>
      </w:r>
      <w:r>
        <w:rPr>
          <w:spacing w:val="-3"/>
        </w:rPr>
        <w:t>比</w:t>
      </w:r>
      <w:r>
        <w:t>较</w:t>
      </w:r>
      <w:r>
        <w:rPr>
          <w:spacing w:val="-3"/>
        </w:rPr>
        <w:t>分</w:t>
      </w:r>
      <w:r>
        <w:t>析。</w:t>
      </w:r>
    </w:p>
    <w:p w:rsidR="00D10EA5" w:rsidRDefault="00116086">
      <w:pPr>
        <w:widowControl/>
        <w:autoSpaceDE w:val="0"/>
        <w:autoSpaceDN w:val="0"/>
        <w:ind w:firstLineChars="200" w:firstLine="420"/>
        <w:rPr>
          <w:sz w:val="15"/>
          <w:szCs w:val="15"/>
        </w:rPr>
      </w:pPr>
      <w:r>
        <w:rPr>
          <w:rFonts w:hint="eastAsia"/>
        </w:rPr>
        <w:t>这些</w:t>
      </w:r>
      <w:proofErr w:type="gramStart"/>
      <w:r>
        <w:rPr>
          <w:rFonts w:hint="eastAsia"/>
        </w:rPr>
        <w:t>特征化值如</w:t>
      </w:r>
      <w:proofErr w:type="gramEnd"/>
      <w:r>
        <w:rPr>
          <w:rFonts w:hint="eastAsia"/>
        </w:rPr>
        <w:t>国内节能减</w:t>
      </w:r>
      <w:proofErr w:type="gramStart"/>
      <w:r>
        <w:rPr>
          <w:rFonts w:hint="eastAsia"/>
        </w:rPr>
        <w:t>排相关</w:t>
      </w:r>
      <w:proofErr w:type="gramEnd"/>
      <w:r>
        <w:rPr>
          <w:rFonts w:hint="eastAsia"/>
        </w:rPr>
        <w:t>的约束性指标：</w:t>
      </w:r>
      <w:r>
        <w:t>二氧化碳</w:t>
      </w:r>
      <w:r>
        <w:rPr>
          <w:rFonts w:hint="eastAsia"/>
        </w:rPr>
        <w:t>、资源消耗、能源消耗、二氧化硫、氮氧化物、氨氮、</w:t>
      </w:r>
      <w:r>
        <w:rPr>
          <w:rFonts w:hint="eastAsia"/>
        </w:rPr>
        <w:t>COD</w:t>
      </w:r>
      <w:r>
        <w:rPr>
          <w:rFonts w:hint="eastAsia"/>
        </w:rPr>
        <w:t>等。</w:t>
      </w:r>
    </w:p>
    <w:p w:rsidR="00D10EA5" w:rsidRDefault="00116086">
      <w:pPr>
        <w:pStyle w:val="aa"/>
        <w:spacing w:before="156" w:after="156"/>
        <w:rPr>
          <w:w w:val="110"/>
        </w:rPr>
      </w:pPr>
      <w:r>
        <w:rPr>
          <w:w w:val="110"/>
        </w:rPr>
        <w:t>绿色设计改进方案</w:t>
      </w:r>
    </w:p>
    <w:p w:rsidR="00D10EA5" w:rsidRDefault="00116086">
      <w:pPr>
        <w:widowControl/>
        <w:autoSpaceDE w:val="0"/>
        <w:autoSpaceDN w:val="0"/>
        <w:ind w:firstLineChars="200" w:firstLine="428"/>
      </w:pPr>
      <w:r>
        <w:rPr>
          <w:spacing w:val="2"/>
        </w:rPr>
        <w:t>在分析</w:t>
      </w:r>
      <w:r>
        <w:t>指</w:t>
      </w:r>
      <w:r>
        <w:rPr>
          <w:spacing w:val="2"/>
        </w:rPr>
        <w:t>标的</w:t>
      </w:r>
      <w:r>
        <w:rPr>
          <w:spacing w:val="-3"/>
        </w:rPr>
        <w:t>符合</w:t>
      </w:r>
      <w:r>
        <w:rPr>
          <w:spacing w:val="2"/>
        </w:rPr>
        <w:t>性</w:t>
      </w:r>
      <w:r>
        <w:t>评价</w:t>
      </w:r>
      <w:r>
        <w:rPr>
          <w:spacing w:val="2"/>
        </w:rPr>
        <w:t>结果以</w:t>
      </w:r>
      <w:r>
        <w:t>及</w:t>
      </w:r>
      <w:r>
        <w:rPr>
          <w:spacing w:val="2"/>
        </w:rPr>
        <w:t>生命</w:t>
      </w:r>
      <w:r>
        <w:t>周</w:t>
      </w:r>
      <w:r>
        <w:rPr>
          <w:spacing w:val="2"/>
        </w:rPr>
        <w:t>期评</w:t>
      </w:r>
      <w:r>
        <w:t>价结</w:t>
      </w:r>
      <w:r>
        <w:rPr>
          <w:spacing w:val="2"/>
        </w:rPr>
        <w:t>果的基</w:t>
      </w:r>
      <w:r>
        <w:t>础</w:t>
      </w:r>
      <w:r>
        <w:rPr>
          <w:spacing w:val="2"/>
        </w:rPr>
        <w:t>上，</w:t>
      </w:r>
      <w:r>
        <w:t>提</w:t>
      </w:r>
      <w:r>
        <w:rPr>
          <w:spacing w:val="2"/>
        </w:rPr>
        <w:t>出产</w:t>
      </w:r>
      <w:r>
        <w:rPr>
          <w:spacing w:val="6"/>
        </w:rPr>
        <w:t>品</w:t>
      </w:r>
      <w:r>
        <w:t>绿</w:t>
      </w:r>
      <w:r>
        <w:rPr>
          <w:spacing w:val="2"/>
        </w:rPr>
        <w:t>色设</w:t>
      </w:r>
      <w:r>
        <w:rPr>
          <w:spacing w:val="3"/>
        </w:rPr>
        <w:t>计</w:t>
      </w:r>
      <w:r>
        <w:t>改</w:t>
      </w:r>
      <w:r>
        <w:rPr>
          <w:spacing w:val="2"/>
        </w:rPr>
        <w:t>进的</w:t>
      </w:r>
      <w:r>
        <w:t>具</w:t>
      </w:r>
      <w:r>
        <w:rPr>
          <w:spacing w:val="2"/>
        </w:rPr>
        <w:t>体</w:t>
      </w:r>
      <w:r>
        <w:t>方案</w:t>
      </w:r>
      <w:r>
        <w:rPr>
          <w:rFonts w:hint="eastAsia"/>
        </w:rPr>
        <w:t>，</w:t>
      </w:r>
      <w:proofErr w:type="gramStart"/>
      <w:r>
        <w:rPr>
          <w:rFonts w:hint="eastAsia"/>
        </w:rPr>
        <w:t>如</w:t>
      </w:r>
      <w:r>
        <w:t>比表</w:t>
      </w:r>
      <w:proofErr w:type="gramEnd"/>
      <w:r>
        <w:rPr>
          <w:rFonts w:hint="eastAsia"/>
        </w:rPr>
        <w:t>1</w:t>
      </w:r>
      <w:r>
        <w:rPr>
          <w:rFonts w:hint="eastAsia"/>
        </w:rPr>
        <w:t>中各项指标要求更高的方案。</w:t>
      </w:r>
    </w:p>
    <w:p w:rsidR="00D10EA5" w:rsidRDefault="00116086">
      <w:pPr>
        <w:pStyle w:val="a9"/>
        <w:spacing w:before="156" w:after="156"/>
      </w:pPr>
      <w:r>
        <w:t>评价报告主要结论</w:t>
      </w:r>
    </w:p>
    <w:p w:rsidR="00D10EA5" w:rsidRDefault="00116086">
      <w:pPr>
        <w:widowControl/>
        <w:autoSpaceDE w:val="0"/>
        <w:autoSpaceDN w:val="0"/>
        <w:ind w:firstLineChars="200" w:firstLine="420"/>
      </w:pPr>
      <w:r>
        <w:t>应说</w:t>
      </w:r>
      <w:r>
        <w:rPr>
          <w:spacing w:val="-3"/>
        </w:rPr>
        <w:t>明</w:t>
      </w:r>
      <w:r>
        <w:t>该</w:t>
      </w:r>
      <w:r>
        <w:rPr>
          <w:spacing w:val="-3"/>
        </w:rPr>
        <w:t>产</w:t>
      </w:r>
      <w:r>
        <w:t>品</w:t>
      </w:r>
      <w:r>
        <w:rPr>
          <w:spacing w:val="-3"/>
        </w:rPr>
        <w:t>对</w:t>
      </w:r>
      <w:r>
        <w:t>评</w:t>
      </w:r>
      <w:r>
        <w:rPr>
          <w:spacing w:val="-3"/>
        </w:rPr>
        <w:t>价</w:t>
      </w:r>
      <w:r>
        <w:t>指</w:t>
      </w:r>
      <w:r>
        <w:rPr>
          <w:spacing w:val="-3"/>
        </w:rPr>
        <w:t>标</w:t>
      </w:r>
      <w:r>
        <w:t>的符</w:t>
      </w:r>
      <w:r>
        <w:rPr>
          <w:spacing w:val="-3"/>
        </w:rPr>
        <w:t>合</w:t>
      </w:r>
      <w:r>
        <w:t>性</w:t>
      </w:r>
      <w:r>
        <w:rPr>
          <w:spacing w:val="-3"/>
        </w:rPr>
        <w:t>结论</w:t>
      </w:r>
      <w:r>
        <w:rPr>
          <w:spacing w:val="-32"/>
        </w:rPr>
        <w:t>、</w:t>
      </w:r>
      <w:r>
        <w:rPr>
          <w:spacing w:val="-3"/>
        </w:rPr>
        <w:t>生</w:t>
      </w:r>
      <w:r>
        <w:t>命</w:t>
      </w:r>
      <w:r>
        <w:rPr>
          <w:spacing w:val="-3"/>
        </w:rPr>
        <w:t>周期</w:t>
      </w:r>
      <w:r>
        <w:t>评价</w:t>
      </w:r>
      <w:r>
        <w:rPr>
          <w:spacing w:val="-3"/>
        </w:rPr>
        <w:t>结果</w:t>
      </w:r>
      <w:r>
        <w:rPr>
          <w:spacing w:val="-32"/>
        </w:rPr>
        <w:t>、</w:t>
      </w:r>
      <w:r>
        <w:rPr>
          <w:spacing w:val="-3"/>
        </w:rPr>
        <w:t>提</w:t>
      </w:r>
      <w:r>
        <w:t>出</w:t>
      </w:r>
      <w:r>
        <w:rPr>
          <w:spacing w:val="-3"/>
        </w:rPr>
        <w:t>的</w:t>
      </w:r>
      <w:r>
        <w:t>改</w:t>
      </w:r>
      <w:r>
        <w:rPr>
          <w:spacing w:val="-3"/>
        </w:rPr>
        <w:t>进方</w:t>
      </w:r>
      <w:r>
        <w:t>案</w:t>
      </w:r>
      <w:r>
        <w:rPr>
          <w:spacing w:val="-34"/>
        </w:rPr>
        <w:t>，</w:t>
      </w:r>
      <w:r>
        <w:t>并</w:t>
      </w:r>
      <w:r>
        <w:rPr>
          <w:spacing w:val="-3"/>
        </w:rPr>
        <w:t>根</w:t>
      </w:r>
      <w:r>
        <w:t>据</w:t>
      </w:r>
      <w:r>
        <w:rPr>
          <w:spacing w:val="-3"/>
        </w:rPr>
        <w:t>评</w:t>
      </w:r>
      <w:r>
        <w:t>价</w:t>
      </w:r>
      <w:r>
        <w:rPr>
          <w:spacing w:val="-3"/>
        </w:rPr>
        <w:t>结</w:t>
      </w:r>
      <w:r>
        <w:t>论初步判</w:t>
      </w:r>
      <w:r>
        <w:rPr>
          <w:spacing w:val="-3"/>
        </w:rPr>
        <w:t>断</w:t>
      </w:r>
      <w:r>
        <w:t>该</w:t>
      </w:r>
      <w:r>
        <w:rPr>
          <w:spacing w:val="-3"/>
        </w:rPr>
        <w:t>产</w:t>
      </w:r>
      <w:r>
        <w:t>品</w:t>
      </w:r>
      <w:r>
        <w:rPr>
          <w:spacing w:val="-3"/>
        </w:rPr>
        <w:t>是</w:t>
      </w:r>
      <w:r>
        <w:t>否</w:t>
      </w:r>
      <w:r>
        <w:rPr>
          <w:spacing w:val="-3"/>
        </w:rPr>
        <w:t>为</w:t>
      </w:r>
      <w:r>
        <w:t>绿</w:t>
      </w:r>
      <w:r>
        <w:rPr>
          <w:spacing w:val="-3"/>
        </w:rPr>
        <w:t>色</w:t>
      </w:r>
      <w:r>
        <w:t>设计</w:t>
      </w:r>
      <w:r>
        <w:rPr>
          <w:spacing w:val="-3"/>
        </w:rPr>
        <w:t>产</w:t>
      </w:r>
      <w:r>
        <w:t>品。</w:t>
      </w:r>
    </w:p>
    <w:p w:rsidR="00D10EA5" w:rsidRDefault="00116086">
      <w:pPr>
        <w:pStyle w:val="a9"/>
        <w:spacing w:before="156" w:after="156"/>
      </w:pPr>
      <w:r>
        <w:t>附件</w:t>
      </w:r>
    </w:p>
    <w:p w:rsidR="00D10EA5" w:rsidRDefault="00116086">
      <w:pPr>
        <w:widowControl/>
        <w:autoSpaceDE w:val="0"/>
        <w:autoSpaceDN w:val="0"/>
        <w:ind w:firstLineChars="200" w:firstLine="408"/>
      </w:pPr>
      <w:r>
        <w:rPr>
          <w:spacing w:val="-3"/>
        </w:rPr>
        <w:t>报</w:t>
      </w:r>
      <w:r>
        <w:t>告</w:t>
      </w:r>
      <w:r>
        <w:rPr>
          <w:spacing w:val="-3"/>
        </w:rPr>
        <w:t>中</w:t>
      </w:r>
      <w:r>
        <w:t>应</w:t>
      </w:r>
      <w:r>
        <w:rPr>
          <w:spacing w:val="-3"/>
        </w:rPr>
        <w:t>在</w:t>
      </w:r>
      <w:r>
        <w:t>附</w:t>
      </w:r>
      <w:r>
        <w:rPr>
          <w:spacing w:val="-3"/>
        </w:rPr>
        <w:t>件</w:t>
      </w:r>
      <w:r>
        <w:t>中</w:t>
      </w:r>
      <w:r>
        <w:rPr>
          <w:spacing w:val="-3"/>
        </w:rPr>
        <w:t>提</w:t>
      </w:r>
      <w:r>
        <w:t>供：</w:t>
      </w:r>
    </w:p>
    <w:p w:rsidR="00D10EA5" w:rsidRDefault="00116086">
      <w:pPr>
        <w:pStyle w:val="afff"/>
        <w:ind w:left="0" w:firstLineChars="200" w:firstLine="420"/>
        <w:rPr>
          <w:rFonts w:ascii="Times New Roman" w:hAnsi="Times New Roman"/>
          <w:lang w:eastAsia="zh-CN"/>
        </w:rPr>
      </w:pPr>
      <w:r>
        <w:rPr>
          <w:rFonts w:ascii="Times New Roman" w:hAnsi="Times New Roman"/>
          <w:lang w:eastAsia="zh-CN"/>
        </w:rPr>
        <w:t>—</w:t>
      </w:r>
      <w:r>
        <w:rPr>
          <w:rFonts w:ascii="Times New Roman" w:hAnsi="Times New Roman"/>
          <w:spacing w:val="-3"/>
          <w:lang w:eastAsia="zh-CN"/>
        </w:rPr>
        <w:t>—</w:t>
      </w:r>
      <w:r>
        <w:rPr>
          <w:rFonts w:ascii="Times New Roman" w:hAnsi="Times New Roman"/>
          <w:lang w:eastAsia="zh-CN"/>
        </w:rPr>
        <w:t>产品</w:t>
      </w:r>
      <w:r>
        <w:rPr>
          <w:rFonts w:ascii="Times New Roman" w:hAnsi="Times New Roman"/>
          <w:spacing w:val="-3"/>
          <w:lang w:eastAsia="zh-CN"/>
        </w:rPr>
        <w:t>原</w:t>
      </w:r>
      <w:r>
        <w:rPr>
          <w:rFonts w:ascii="Times New Roman" w:hAnsi="Times New Roman"/>
          <w:lang w:eastAsia="zh-CN"/>
        </w:rPr>
        <w:t>始</w:t>
      </w:r>
      <w:r>
        <w:rPr>
          <w:rFonts w:ascii="Times New Roman" w:hAnsi="Times New Roman"/>
          <w:spacing w:val="-3"/>
          <w:lang w:eastAsia="zh-CN"/>
        </w:rPr>
        <w:t>包</w:t>
      </w:r>
      <w:r>
        <w:rPr>
          <w:rFonts w:ascii="Times New Roman" w:hAnsi="Times New Roman"/>
          <w:lang w:eastAsia="zh-CN"/>
        </w:rPr>
        <w:t>装</w:t>
      </w:r>
      <w:r>
        <w:rPr>
          <w:rFonts w:ascii="Times New Roman" w:hAnsi="Times New Roman"/>
          <w:spacing w:val="-3"/>
          <w:lang w:eastAsia="zh-CN"/>
        </w:rPr>
        <w:t>图</w:t>
      </w:r>
      <w:r>
        <w:rPr>
          <w:rFonts w:ascii="Times New Roman" w:hAnsi="Times New Roman"/>
          <w:lang w:eastAsia="zh-CN"/>
        </w:rPr>
        <w:t>；</w:t>
      </w:r>
    </w:p>
    <w:p w:rsidR="00D10EA5" w:rsidRDefault="00116086">
      <w:pPr>
        <w:pStyle w:val="afff"/>
        <w:ind w:left="0" w:firstLineChars="200" w:firstLine="420"/>
        <w:rPr>
          <w:rFonts w:ascii="Times New Roman" w:hAnsi="Times New Roman"/>
          <w:lang w:eastAsia="zh-CN"/>
        </w:rPr>
      </w:pPr>
      <w:r>
        <w:rPr>
          <w:rFonts w:ascii="Times New Roman" w:hAnsi="Times New Roman"/>
          <w:lang w:eastAsia="zh-CN"/>
        </w:rPr>
        <w:t>—</w:t>
      </w:r>
      <w:r>
        <w:rPr>
          <w:rFonts w:ascii="Times New Roman" w:hAnsi="Times New Roman"/>
          <w:spacing w:val="-3"/>
          <w:lang w:eastAsia="zh-CN"/>
        </w:rPr>
        <w:t>—</w:t>
      </w:r>
      <w:r>
        <w:rPr>
          <w:rFonts w:ascii="Times New Roman" w:hAnsi="Times New Roman"/>
          <w:lang w:eastAsia="zh-CN"/>
        </w:rPr>
        <w:t>产品</w:t>
      </w:r>
      <w:r>
        <w:rPr>
          <w:rFonts w:ascii="Times New Roman" w:hAnsi="Times New Roman"/>
          <w:spacing w:val="-3"/>
          <w:lang w:eastAsia="zh-CN"/>
        </w:rPr>
        <w:t>生</w:t>
      </w:r>
      <w:r>
        <w:rPr>
          <w:rFonts w:ascii="Times New Roman" w:hAnsi="Times New Roman"/>
          <w:lang w:eastAsia="zh-CN"/>
        </w:rPr>
        <w:t>产</w:t>
      </w:r>
      <w:r>
        <w:rPr>
          <w:rFonts w:ascii="Times New Roman" w:hAnsi="Times New Roman"/>
          <w:spacing w:val="-3"/>
          <w:lang w:eastAsia="zh-CN"/>
        </w:rPr>
        <w:t>材</w:t>
      </w:r>
      <w:r>
        <w:rPr>
          <w:rFonts w:ascii="Times New Roman" w:hAnsi="Times New Roman"/>
          <w:lang w:eastAsia="zh-CN"/>
        </w:rPr>
        <w:t>料</w:t>
      </w:r>
      <w:r>
        <w:rPr>
          <w:rFonts w:ascii="Times New Roman" w:hAnsi="Times New Roman"/>
          <w:spacing w:val="-3"/>
          <w:lang w:eastAsia="zh-CN"/>
        </w:rPr>
        <w:t>清</w:t>
      </w:r>
      <w:r>
        <w:rPr>
          <w:rFonts w:ascii="Times New Roman" w:hAnsi="Times New Roman"/>
          <w:lang w:eastAsia="zh-CN"/>
        </w:rPr>
        <w:t>单；</w:t>
      </w:r>
    </w:p>
    <w:p w:rsidR="00D10EA5" w:rsidRDefault="00116086">
      <w:pPr>
        <w:pStyle w:val="afff"/>
        <w:ind w:left="0" w:firstLineChars="200" w:firstLine="420"/>
        <w:rPr>
          <w:rFonts w:ascii="Times New Roman" w:hAnsi="Times New Roman"/>
          <w:lang w:eastAsia="zh-CN"/>
        </w:rPr>
      </w:pPr>
      <w:r>
        <w:rPr>
          <w:rFonts w:ascii="Times New Roman" w:hAnsi="Times New Roman"/>
          <w:lang w:eastAsia="zh-CN"/>
        </w:rPr>
        <w:t>—</w:t>
      </w:r>
      <w:r>
        <w:rPr>
          <w:rFonts w:ascii="Times New Roman" w:hAnsi="Times New Roman"/>
          <w:spacing w:val="-3"/>
          <w:lang w:eastAsia="zh-CN"/>
        </w:rPr>
        <w:t>—</w:t>
      </w:r>
      <w:r>
        <w:rPr>
          <w:rFonts w:ascii="Times New Roman" w:hAnsi="Times New Roman"/>
          <w:lang w:eastAsia="zh-CN"/>
        </w:rPr>
        <w:t>产品</w:t>
      </w:r>
      <w:r>
        <w:rPr>
          <w:rFonts w:ascii="Times New Roman" w:hAnsi="Times New Roman"/>
          <w:spacing w:val="-3"/>
          <w:lang w:eastAsia="zh-CN"/>
        </w:rPr>
        <w:t>工</w:t>
      </w:r>
      <w:r>
        <w:rPr>
          <w:rFonts w:ascii="Times New Roman" w:hAnsi="Times New Roman"/>
          <w:lang w:eastAsia="zh-CN"/>
        </w:rPr>
        <w:t>艺</w:t>
      </w:r>
      <w:r>
        <w:rPr>
          <w:rFonts w:ascii="Times New Roman" w:hAnsi="Times New Roman"/>
          <w:spacing w:val="-3"/>
          <w:lang w:eastAsia="zh-CN"/>
        </w:rPr>
        <w:t>表</w:t>
      </w:r>
      <w:r>
        <w:rPr>
          <w:rFonts w:ascii="Times New Roman" w:hAnsi="Times New Roman"/>
          <w:lang w:eastAsia="zh-CN"/>
        </w:rPr>
        <w:t>（</w:t>
      </w:r>
      <w:r>
        <w:rPr>
          <w:rFonts w:ascii="Times New Roman" w:hAnsi="Times New Roman"/>
          <w:spacing w:val="-3"/>
          <w:lang w:eastAsia="zh-CN"/>
        </w:rPr>
        <w:t>产</w:t>
      </w:r>
      <w:r>
        <w:rPr>
          <w:rFonts w:ascii="Times New Roman" w:hAnsi="Times New Roman"/>
          <w:lang w:eastAsia="zh-CN"/>
        </w:rPr>
        <w:t>品</w:t>
      </w:r>
      <w:r>
        <w:rPr>
          <w:rFonts w:ascii="Times New Roman" w:hAnsi="Times New Roman"/>
          <w:spacing w:val="-3"/>
          <w:lang w:eastAsia="zh-CN"/>
        </w:rPr>
        <w:t>生</w:t>
      </w:r>
      <w:r>
        <w:rPr>
          <w:rFonts w:ascii="Times New Roman" w:hAnsi="Times New Roman"/>
          <w:lang w:eastAsia="zh-CN"/>
        </w:rPr>
        <w:t>产</w:t>
      </w:r>
      <w:r>
        <w:rPr>
          <w:rFonts w:ascii="Times New Roman" w:hAnsi="Times New Roman"/>
          <w:spacing w:val="-3"/>
          <w:lang w:eastAsia="zh-CN"/>
        </w:rPr>
        <w:t>工</w:t>
      </w:r>
      <w:r>
        <w:rPr>
          <w:rFonts w:ascii="Times New Roman" w:hAnsi="Times New Roman"/>
          <w:lang w:eastAsia="zh-CN"/>
        </w:rPr>
        <w:t>艺过</w:t>
      </w:r>
      <w:r>
        <w:rPr>
          <w:rFonts w:ascii="Times New Roman" w:hAnsi="Times New Roman"/>
          <w:spacing w:val="-3"/>
          <w:lang w:eastAsia="zh-CN"/>
        </w:rPr>
        <w:t>程</w:t>
      </w:r>
      <w:r>
        <w:rPr>
          <w:rFonts w:ascii="Times New Roman" w:hAnsi="Times New Roman"/>
          <w:lang w:eastAsia="zh-CN"/>
        </w:rPr>
        <w:t>示</w:t>
      </w:r>
      <w:r>
        <w:rPr>
          <w:rFonts w:ascii="Times New Roman" w:hAnsi="Times New Roman"/>
          <w:spacing w:val="-3"/>
          <w:lang w:eastAsia="zh-CN"/>
        </w:rPr>
        <w:t>意</w:t>
      </w:r>
      <w:r>
        <w:rPr>
          <w:rFonts w:ascii="Times New Roman" w:hAnsi="Times New Roman"/>
          <w:spacing w:val="-1"/>
          <w:lang w:eastAsia="zh-CN"/>
        </w:rPr>
        <w:t>图</w:t>
      </w:r>
      <w:r>
        <w:rPr>
          <w:rFonts w:ascii="Times New Roman" w:hAnsi="Times New Roman"/>
          <w:spacing w:val="-3"/>
          <w:lang w:eastAsia="zh-CN"/>
        </w:rPr>
        <w:t>等</w:t>
      </w:r>
      <w:r>
        <w:rPr>
          <w:rFonts w:ascii="Times New Roman" w:hAnsi="Times New Roman"/>
          <w:lang w:eastAsia="zh-CN"/>
        </w:rPr>
        <w:t>）；</w:t>
      </w:r>
    </w:p>
    <w:p w:rsidR="00D10EA5" w:rsidRDefault="00116086">
      <w:pPr>
        <w:pStyle w:val="afff"/>
        <w:ind w:left="0" w:firstLineChars="200" w:firstLine="420"/>
        <w:rPr>
          <w:rFonts w:ascii="Times New Roman" w:hAnsi="Times New Roman"/>
          <w:lang w:eastAsia="zh-CN"/>
        </w:rPr>
      </w:pPr>
      <w:r>
        <w:rPr>
          <w:rFonts w:ascii="Times New Roman" w:hAnsi="Times New Roman"/>
          <w:lang w:eastAsia="zh-CN"/>
        </w:rPr>
        <w:t>—</w:t>
      </w:r>
      <w:r>
        <w:rPr>
          <w:rFonts w:ascii="Times New Roman" w:hAnsi="Times New Roman"/>
          <w:spacing w:val="-3"/>
          <w:lang w:eastAsia="zh-CN"/>
        </w:rPr>
        <w:t>—</w:t>
      </w:r>
      <w:r>
        <w:rPr>
          <w:rFonts w:ascii="Times New Roman" w:hAnsi="Times New Roman"/>
          <w:lang w:eastAsia="zh-CN"/>
        </w:rPr>
        <w:t>各单</w:t>
      </w:r>
      <w:r>
        <w:rPr>
          <w:rFonts w:ascii="Times New Roman" w:hAnsi="Times New Roman"/>
          <w:spacing w:val="-3"/>
          <w:lang w:eastAsia="zh-CN"/>
        </w:rPr>
        <w:t>元</w:t>
      </w:r>
      <w:r>
        <w:rPr>
          <w:rFonts w:ascii="Times New Roman" w:hAnsi="Times New Roman"/>
          <w:lang w:eastAsia="zh-CN"/>
        </w:rPr>
        <w:t>过</w:t>
      </w:r>
      <w:r>
        <w:rPr>
          <w:rFonts w:ascii="Times New Roman" w:hAnsi="Times New Roman"/>
          <w:spacing w:val="-3"/>
          <w:lang w:eastAsia="zh-CN"/>
        </w:rPr>
        <w:t>程</w:t>
      </w:r>
      <w:r>
        <w:rPr>
          <w:rFonts w:ascii="Times New Roman" w:hAnsi="Times New Roman"/>
          <w:lang w:eastAsia="zh-CN"/>
        </w:rPr>
        <w:t>的</w:t>
      </w:r>
      <w:r>
        <w:rPr>
          <w:rFonts w:ascii="Times New Roman" w:hAnsi="Times New Roman"/>
          <w:spacing w:val="-3"/>
          <w:lang w:eastAsia="zh-CN"/>
        </w:rPr>
        <w:t>数</w:t>
      </w:r>
      <w:r>
        <w:rPr>
          <w:rFonts w:ascii="Times New Roman" w:hAnsi="Times New Roman"/>
          <w:lang w:eastAsia="zh-CN"/>
        </w:rPr>
        <w:t>据</w:t>
      </w:r>
      <w:r>
        <w:rPr>
          <w:rFonts w:ascii="Times New Roman" w:hAnsi="Times New Roman"/>
          <w:spacing w:val="-3"/>
          <w:lang w:eastAsia="zh-CN"/>
        </w:rPr>
        <w:t>收</w:t>
      </w:r>
      <w:r>
        <w:rPr>
          <w:rFonts w:ascii="Times New Roman" w:hAnsi="Times New Roman"/>
          <w:lang w:eastAsia="zh-CN"/>
        </w:rPr>
        <w:t>集</w:t>
      </w:r>
      <w:r>
        <w:rPr>
          <w:rFonts w:ascii="Times New Roman" w:hAnsi="Times New Roman"/>
          <w:spacing w:val="-3"/>
          <w:lang w:eastAsia="zh-CN"/>
        </w:rPr>
        <w:t>表</w:t>
      </w:r>
      <w:r>
        <w:rPr>
          <w:rFonts w:ascii="Times New Roman" w:hAnsi="Times New Roman"/>
          <w:lang w:eastAsia="zh-CN"/>
        </w:rPr>
        <w:t>；</w:t>
      </w:r>
    </w:p>
    <w:p w:rsidR="00D10EA5" w:rsidRDefault="00116086">
      <w:pPr>
        <w:pStyle w:val="afff"/>
        <w:ind w:left="0" w:firstLineChars="200" w:firstLine="420"/>
        <w:rPr>
          <w:lang w:bidi="en-US"/>
        </w:rPr>
      </w:pPr>
      <w:r>
        <w:rPr>
          <w:rFonts w:ascii="Times New Roman" w:hAnsi="Times New Roman"/>
          <w:lang w:eastAsia="zh-CN"/>
        </w:rPr>
        <w:t>—</w:t>
      </w:r>
      <w:r>
        <w:rPr>
          <w:rFonts w:ascii="Times New Roman" w:hAnsi="Times New Roman"/>
          <w:spacing w:val="-3"/>
          <w:lang w:eastAsia="zh-CN"/>
        </w:rPr>
        <w:t>—</w:t>
      </w:r>
      <w:r>
        <w:rPr>
          <w:rFonts w:ascii="Times New Roman" w:hAnsi="Times New Roman"/>
          <w:lang w:eastAsia="zh-CN"/>
        </w:rPr>
        <w:t>其他。</w:t>
      </w:r>
    </w:p>
    <w:p w:rsidR="00D10EA5" w:rsidRDefault="00116086">
      <w:pPr>
        <w:pStyle w:val="a7"/>
        <w:spacing w:beforeLines="50" w:before="156" w:afterLines="50" w:after="156"/>
      </w:pPr>
      <w:bookmarkStart w:id="49" w:name="_Toc20645593"/>
      <w:bookmarkStart w:id="50" w:name="_Toc27117"/>
      <w:r>
        <w:rPr>
          <w:rFonts w:hint="eastAsia"/>
        </w:rPr>
        <w:t>评价方法</w:t>
      </w:r>
      <w:bookmarkEnd w:id="49"/>
      <w:bookmarkEnd w:id="50"/>
    </w:p>
    <w:p w:rsidR="00D10EA5" w:rsidRDefault="00116086">
      <w:pPr>
        <w:widowControl/>
        <w:autoSpaceDE w:val="0"/>
        <w:autoSpaceDN w:val="0"/>
        <w:ind w:firstLineChars="200" w:firstLine="440"/>
        <w:rPr>
          <w:rStyle w:val="fontstyle01"/>
          <w:rFonts w:hint="default"/>
        </w:rPr>
      </w:pPr>
      <w:r>
        <w:rPr>
          <w:rStyle w:val="fontstyle01"/>
          <w:rFonts w:hint="default"/>
        </w:rPr>
        <w:t>可按照</w:t>
      </w:r>
      <w:r>
        <w:rPr>
          <w:rStyle w:val="fontstyle11"/>
        </w:rPr>
        <w:t>4.1</w:t>
      </w:r>
      <w:r>
        <w:rPr>
          <w:rStyle w:val="fontstyle01"/>
          <w:rFonts w:hint="default"/>
        </w:rPr>
        <w:t>基本要求和</w:t>
      </w:r>
      <w:r>
        <w:rPr>
          <w:rStyle w:val="fontstyle11"/>
        </w:rPr>
        <w:t>4.2</w:t>
      </w:r>
      <w:r>
        <w:rPr>
          <w:rStyle w:val="fontstyle01"/>
          <w:rFonts w:hint="default"/>
        </w:rPr>
        <w:t>评价指标要求开展自我评价或第三方评价，同时满足以下条件，并按照相关程序要求经过公示无异议后的洗碗机可称为绿色设计产品，并可按照</w:t>
      </w:r>
      <w:r>
        <w:rPr>
          <w:rStyle w:val="fontstyle11"/>
        </w:rPr>
        <w:t>GB/T</w:t>
      </w:r>
      <w:r>
        <w:rPr>
          <w:rStyle w:val="fontstyle11"/>
          <w:rFonts w:hint="eastAsia"/>
        </w:rPr>
        <w:t xml:space="preserve"> </w:t>
      </w:r>
      <w:r>
        <w:rPr>
          <w:rStyle w:val="fontstyle11"/>
        </w:rPr>
        <w:t>32162</w:t>
      </w:r>
      <w:r>
        <w:rPr>
          <w:rStyle w:val="fontstyle01"/>
          <w:rFonts w:hint="default"/>
        </w:rPr>
        <w:t>要求粘贴标识。</w:t>
      </w:r>
    </w:p>
    <w:p w:rsidR="00D10EA5" w:rsidRDefault="00116086">
      <w:pPr>
        <w:widowControl/>
        <w:autoSpaceDE w:val="0"/>
        <w:autoSpaceDN w:val="0"/>
        <w:rPr>
          <w:kern w:val="0"/>
          <w:szCs w:val="21"/>
          <w:lang w:bidi="en-US"/>
        </w:rPr>
      </w:pPr>
      <w:r>
        <w:rPr>
          <w:rStyle w:val="fontstyle11"/>
        </w:rPr>
        <w:t xml:space="preserve">    a) </w:t>
      </w:r>
      <w:r>
        <w:rPr>
          <w:rStyle w:val="fontstyle01"/>
          <w:rFonts w:hint="default"/>
        </w:rPr>
        <w:t>满足基本要求（见</w:t>
      </w:r>
      <w:r>
        <w:rPr>
          <w:rStyle w:val="fontstyle11"/>
        </w:rPr>
        <w:t>4.1</w:t>
      </w:r>
      <w:r>
        <w:rPr>
          <w:rStyle w:val="fontstyle01"/>
          <w:rFonts w:hint="default"/>
        </w:rPr>
        <w:t>）和评价指标要求（见</w:t>
      </w:r>
      <w:r>
        <w:rPr>
          <w:rStyle w:val="fontstyle11"/>
        </w:rPr>
        <w:t>4.2</w:t>
      </w:r>
      <w:r>
        <w:rPr>
          <w:rStyle w:val="fontstyle01"/>
          <w:rFonts w:hint="default"/>
        </w:rPr>
        <w:t>）；</w:t>
      </w:r>
      <w:r>
        <w:rPr>
          <w:rFonts w:hint="eastAsia"/>
          <w:color w:val="000000"/>
          <w:sz w:val="22"/>
          <w:szCs w:val="22"/>
        </w:rPr>
        <w:br/>
      </w:r>
      <w:r>
        <w:rPr>
          <w:rStyle w:val="fontstyle11"/>
        </w:rPr>
        <w:t xml:space="preserve">    b) </w:t>
      </w:r>
      <w:r>
        <w:rPr>
          <w:rStyle w:val="fontstyle01"/>
          <w:rFonts w:hint="default"/>
        </w:rPr>
        <w:t>按照第</w:t>
      </w:r>
      <w:r>
        <w:rPr>
          <w:rStyle w:val="fontstyle11"/>
        </w:rPr>
        <w:t>5</w:t>
      </w:r>
      <w:r>
        <w:rPr>
          <w:rStyle w:val="fontstyle11"/>
        </w:rPr>
        <w:t>章</w:t>
      </w:r>
      <w:r>
        <w:rPr>
          <w:rStyle w:val="fontstyle01"/>
          <w:rFonts w:hint="default"/>
        </w:rPr>
        <w:t>提供洗碗机生命周期评价报告。</w:t>
      </w:r>
      <w:r>
        <w:rPr>
          <w:rFonts w:hint="eastAsia"/>
          <w:color w:val="000000"/>
          <w:sz w:val="22"/>
          <w:szCs w:val="22"/>
        </w:rPr>
        <w:br/>
      </w:r>
      <w:r>
        <w:rPr>
          <w:rStyle w:val="fontstyle01"/>
          <w:rFonts w:hint="default"/>
        </w:rPr>
        <w:t xml:space="preserve">    </w:t>
      </w:r>
      <w:r>
        <w:rPr>
          <w:rStyle w:val="fontstyle01"/>
          <w:rFonts w:hint="default"/>
        </w:rPr>
        <w:t>按照</w:t>
      </w:r>
      <w:r>
        <w:rPr>
          <w:rStyle w:val="fontstyle11"/>
        </w:rPr>
        <w:t>GB/T 32162</w:t>
      </w:r>
      <w:r>
        <w:rPr>
          <w:rStyle w:val="fontstyle01"/>
          <w:rFonts w:hint="default"/>
        </w:rPr>
        <w:t>要求粘贴标识的产品以各种形式进行相关信息自我声明时，声明内容应包括但不限于</w:t>
      </w:r>
      <w:r>
        <w:rPr>
          <w:rStyle w:val="fontstyle11"/>
        </w:rPr>
        <w:t>4.1</w:t>
      </w:r>
      <w:r>
        <w:rPr>
          <w:rStyle w:val="fontstyle01"/>
          <w:rFonts w:hint="default"/>
        </w:rPr>
        <w:t>和</w:t>
      </w:r>
      <w:r>
        <w:rPr>
          <w:rStyle w:val="fontstyle11"/>
        </w:rPr>
        <w:t>4.2</w:t>
      </w:r>
      <w:r>
        <w:rPr>
          <w:rStyle w:val="fontstyle01"/>
          <w:rFonts w:hint="default"/>
        </w:rPr>
        <w:t>的要求，但需要提供一定的符合有关要求的验证说明材料。</w:t>
      </w:r>
    </w:p>
    <w:p w:rsidR="00D10EA5" w:rsidRDefault="00116086">
      <w:pPr>
        <w:pStyle w:val="afc"/>
      </w:pPr>
      <w:r>
        <w:rPr>
          <w:rFonts w:ascii="宋体" w:hAnsi="宋体"/>
        </w:rPr>
        <w:br w:type="page"/>
      </w:r>
      <w:bookmarkStart w:id="51" w:name="_Toc2377"/>
      <w:r>
        <w:rPr>
          <w:rFonts w:hAnsi="黑体"/>
        </w:rPr>
        <w:br/>
      </w:r>
      <w:bookmarkStart w:id="52" w:name="_Toc20645594"/>
      <w:r>
        <w:rPr>
          <w:rFonts w:hAnsi="黑体" w:hint="eastAsia"/>
        </w:rPr>
        <w:t>（资料性）</w:t>
      </w:r>
      <w:r>
        <w:rPr>
          <w:rFonts w:hAnsi="黑体"/>
        </w:rPr>
        <w:br/>
      </w:r>
      <w:r>
        <w:rPr>
          <w:rFonts w:hAnsi="黑体" w:hint="eastAsia"/>
          <w:lang w:bidi="en-US"/>
        </w:rPr>
        <w:t>洗碗机生命周期评价方法</w:t>
      </w:r>
      <w:bookmarkEnd w:id="51"/>
      <w:bookmarkEnd w:id="52"/>
    </w:p>
    <w:bookmarkEnd w:id="21"/>
    <w:bookmarkEnd w:id="22"/>
    <w:bookmarkEnd w:id="23"/>
    <w:bookmarkEnd w:id="24"/>
    <w:p w:rsidR="00D10EA5" w:rsidRDefault="00116086">
      <w:pPr>
        <w:pStyle w:val="afd"/>
        <w:spacing w:beforeLines="0" w:afterLines="0"/>
        <w:rPr>
          <w:rFonts w:hAnsi="黑体"/>
          <w:szCs w:val="21"/>
          <w:lang w:val="zh-CN"/>
        </w:rPr>
      </w:pPr>
      <w:r>
        <w:rPr>
          <w:rFonts w:hAnsi="黑体" w:hint="eastAsia"/>
          <w:szCs w:val="21"/>
          <w:lang w:val="zh-CN"/>
        </w:rPr>
        <w:t>目的</w:t>
      </w:r>
    </w:p>
    <w:p w:rsidR="00D10EA5" w:rsidRDefault="00116086">
      <w:pPr>
        <w:pStyle w:val="affff1"/>
        <w:spacing w:beforeLines="50" w:before="156" w:afterLines="50" w:after="156"/>
        <w:ind w:firstLineChars="213" w:firstLine="447"/>
        <w:rPr>
          <w:rFonts w:ascii="Times New Roman"/>
          <w:sz w:val="21"/>
          <w:szCs w:val="21"/>
          <w:lang w:val="zh-CN"/>
        </w:rPr>
      </w:pPr>
      <w:r>
        <w:rPr>
          <w:rFonts w:ascii="Times New Roman" w:hint="eastAsia"/>
          <w:sz w:val="21"/>
          <w:szCs w:val="21"/>
          <w:lang w:val="zh-CN"/>
        </w:rPr>
        <w:t>洗碗机原料的获取、生产、运输、销售、使用到最终废弃处理的过程中对环境造成的影响，通过评价洗碗机全生命周期的环境影响大小，提出洗碗机绿色设计改进方案，从而提升洗碗机的生态友好性。</w:t>
      </w:r>
    </w:p>
    <w:p w:rsidR="00D10EA5" w:rsidRDefault="00116086">
      <w:pPr>
        <w:pStyle w:val="afd"/>
        <w:spacing w:beforeLines="0" w:afterLines="0"/>
        <w:rPr>
          <w:szCs w:val="21"/>
        </w:rPr>
      </w:pPr>
      <w:r>
        <w:rPr>
          <w:rFonts w:hint="eastAsia"/>
          <w:szCs w:val="21"/>
        </w:rPr>
        <w:t>范围</w:t>
      </w:r>
    </w:p>
    <w:p w:rsidR="00D10EA5" w:rsidRDefault="00116086">
      <w:pPr>
        <w:pStyle w:val="affff1"/>
        <w:rPr>
          <w:rFonts w:ascii="Times New Roman"/>
          <w:sz w:val="21"/>
          <w:szCs w:val="21"/>
          <w:lang w:val="zh-CN"/>
        </w:rPr>
      </w:pPr>
      <w:r>
        <w:rPr>
          <w:rFonts w:ascii="Times New Roman" w:hint="eastAsia"/>
          <w:sz w:val="21"/>
          <w:szCs w:val="21"/>
          <w:lang w:val="zh-CN"/>
        </w:rPr>
        <w:t>应根据评价目的确定评价范围，确保两者相适应。定义生命周期评价范围时，应考虑一下内容并</w:t>
      </w:r>
      <w:proofErr w:type="gramStart"/>
      <w:r>
        <w:rPr>
          <w:rFonts w:ascii="Times New Roman" w:hint="eastAsia"/>
          <w:sz w:val="21"/>
          <w:szCs w:val="21"/>
          <w:lang w:val="zh-CN"/>
        </w:rPr>
        <w:t>作出</w:t>
      </w:r>
      <w:proofErr w:type="gramEnd"/>
      <w:r>
        <w:rPr>
          <w:rFonts w:ascii="Times New Roman" w:hint="eastAsia"/>
          <w:sz w:val="21"/>
          <w:szCs w:val="21"/>
          <w:lang w:val="zh-CN"/>
        </w:rPr>
        <w:t>清洗描述：</w:t>
      </w:r>
    </w:p>
    <w:p w:rsidR="00D10EA5" w:rsidRDefault="00116086">
      <w:pPr>
        <w:pStyle w:val="afe"/>
        <w:spacing w:before="156" w:after="156"/>
      </w:pPr>
      <w:r>
        <w:rPr>
          <w:rFonts w:hint="eastAsia"/>
        </w:rPr>
        <w:t>功能单位</w:t>
      </w:r>
    </w:p>
    <w:p w:rsidR="00D10EA5" w:rsidRDefault="00116086">
      <w:pPr>
        <w:pStyle w:val="affff1"/>
        <w:rPr>
          <w:rFonts w:ascii="Times New Roman"/>
          <w:sz w:val="21"/>
          <w:szCs w:val="21"/>
          <w:lang w:val="zh-CN"/>
        </w:rPr>
      </w:pPr>
      <w:r>
        <w:rPr>
          <w:rFonts w:ascii="Times New Roman" w:hint="eastAsia"/>
          <w:sz w:val="21"/>
          <w:szCs w:val="21"/>
          <w:lang w:val="zh-CN"/>
        </w:rPr>
        <w:t>本文件以</w:t>
      </w:r>
      <w:r>
        <w:rPr>
          <w:rFonts w:ascii="Times New Roman" w:hint="eastAsia"/>
          <w:sz w:val="21"/>
          <w:szCs w:val="21"/>
          <w:lang w:val="zh-CN"/>
        </w:rPr>
        <w:t>1</w:t>
      </w:r>
      <w:r>
        <w:rPr>
          <w:rFonts w:ascii="Times New Roman" w:hint="eastAsia"/>
          <w:sz w:val="21"/>
          <w:szCs w:val="21"/>
          <w:lang w:val="zh-CN"/>
        </w:rPr>
        <w:t>台洗碗机为功能单位来表示。同时考虑具体功能、使用寿命、是否包括包装材料等。</w:t>
      </w:r>
    </w:p>
    <w:p w:rsidR="00D10EA5" w:rsidRDefault="00116086">
      <w:pPr>
        <w:pStyle w:val="afe"/>
        <w:spacing w:before="156" w:after="156"/>
      </w:pPr>
      <w:r>
        <w:rPr>
          <w:rFonts w:hint="eastAsia"/>
        </w:rPr>
        <w:t>系统边界</w:t>
      </w:r>
    </w:p>
    <w:p w:rsidR="00D10EA5" w:rsidRDefault="00116086">
      <w:pPr>
        <w:pStyle w:val="affff1"/>
        <w:rPr>
          <w:sz w:val="21"/>
          <w:szCs w:val="21"/>
        </w:rPr>
      </w:pPr>
      <w:r>
        <w:rPr>
          <w:rFonts w:hint="eastAsia"/>
          <w:sz w:val="21"/>
          <w:szCs w:val="21"/>
        </w:rPr>
        <w:t>本文件界定的系统边界包括资源开采、原材料及辅料生产、能源生产、产品生产、产品使用到产品报废、回收、循环利用及处置、主要原材料</w:t>
      </w:r>
      <w:r>
        <w:rPr>
          <w:rFonts w:hint="eastAsia"/>
          <w:sz w:val="21"/>
          <w:szCs w:val="21"/>
        </w:rPr>
        <w:t>/</w:t>
      </w:r>
      <w:r>
        <w:rPr>
          <w:rFonts w:hint="eastAsia"/>
          <w:sz w:val="21"/>
          <w:szCs w:val="21"/>
        </w:rPr>
        <w:t>部件</w:t>
      </w:r>
      <w:r>
        <w:rPr>
          <w:rFonts w:hint="eastAsia"/>
          <w:sz w:val="21"/>
          <w:szCs w:val="21"/>
        </w:rPr>
        <w:t>/</w:t>
      </w:r>
      <w:r>
        <w:rPr>
          <w:rFonts w:hint="eastAsia"/>
          <w:sz w:val="21"/>
          <w:szCs w:val="21"/>
        </w:rPr>
        <w:t>整机的运输等生命周期阶段，包括但不限于如下过程：</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零部件和元器件的原材料开采与生产；</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零部件的生产组装；</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辅料生产（氮气、锡）；</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能源生产（如重油、煤焦油、天然气、石油焦粉、煤气、电力）；</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原料及能源的运输；</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产品正常运作过程中的能源和物质消耗，待机状态下的能耗；</w:t>
      </w:r>
    </w:p>
    <w:p w:rsidR="00D10EA5" w:rsidRDefault="00116086">
      <w:pPr>
        <w:pStyle w:val="affff1"/>
        <w:numPr>
          <w:ilvl w:val="0"/>
          <w:numId w:val="19"/>
        </w:numPr>
        <w:tabs>
          <w:tab w:val="clear" w:pos="4201"/>
          <w:tab w:val="center" w:pos="709"/>
        </w:tabs>
        <w:ind w:firstLineChars="0"/>
        <w:rPr>
          <w:sz w:val="21"/>
          <w:szCs w:val="21"/>
        </w:rPr>
      </w:pPr>
      <w:r>
        <w:rPr>
          <w:rFonts w:hint="eastAsia"/>
          <w:sz w:val="21"/>
          <w:szCs w:val="21"/>
        </w:rPr>
        <w:t>产品废弃后的回收、</w:t>
      </w:r>
      <w:r>
        <w:rPr>
          <w:rFonts w:hint="eastAsia"/>
          <w:sz w:val="21"/>
          <w:szCs w:val="21"/>
        </w:rPr>
        <w:t>拆解、循环利用和处置。</w:t>
      </w:r>
    </w:p>
    <w:p w:rsidR="00D10EA5" w:rsidRDefault="00D10EA5">
      <w:pPr>
        <w:pStyle w:val="affff1"/>
        <w:tabs>
          <w:tab w:val="clear" w:pos="4201"/>
          <w:tab w:val="center" w:pos="709"/>
        </w:tabs>
        <w:ind w:firstLineChars="0" w:firstLine="0"/>
        <w:rPr>
          <w:sz w:val="21"/>
          <w:szCs w:val="21"/>
        </w:rPr>
      </w:pPr>
    </w:p>
    <w:p w:rsidR="00D10EA5" w:rsidRDefault="00116086">
      <w:pPr>
        <w:pStyle w:val="affff1"/>
        <w:tabs>
          <w:tab w:val="clear" w:pos="4201"/>
          <w:tab w:val="center" w:pos="709"/>
        </w:tabs>
        <w:ind w:firstLineChars="0" w:firstLine="0"/>
        <w:jc w:val="center"/>
        <w:rPr>
          <w:sz w:val="21"/>
          <w:szCs w:val="21"/>
        </w:rPr>
      </w:pPr>
      <w:r>
        <w:rPr>
          <w:noProof/>
        </w:rPr>
        <w:drawing>
          <wp:inline distT="0" distB="0" distL="0" distR="0">
            <wp:extent cx="6010275" cy="25482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10275" cy="2548255"/>
                    </a:xfrm>
                    <a:prstGeom prst="rect">
                      <a:avLst/>
                    </a:prstGeom>
                    <a:noFill/>
                    <a:ln>
                      <a:noFill/>
                    </a:ln>
                  </pic:spPr>
                </pic:pic>
              </a:graphicData>
            </a:graphic>
          </wp:inline>
        </w:drawing>
      </w:r>
    </w:p>
    <w:p w:rsidR="00D10EA5" w:rsidRDefault="00116086">
      <w:pPr>
        <w:pStyle w:val="affff1"/>
        <w:tabs>
          <w:tab w:val="clear" w:pos="4201"/>
          <w:tab w:val="center" w:pos="709"/>
        </w:tabs>
        <w:ind w:firstLineChars="0" w:firstLine="0"/>
        <w:jc w:val="center"/>
        <w:rPr>
          <w:rFonts w:ascii="黑体" w:eastAsia="黑体" w:hAnsi="黑体"/>
        </w:rPr>
      </w:pPr>
      <w:r>
        <w:rPr>
          <w:rFonts w:ascii="黑体" w:eastAsia="黑体" w:hAnsi="黑体" w:hint="eastAsia"/>
        </w:rPr>
        <w:t>图</w:t>
      </w:r>
      <w:r>
        <w:rPr>
          <w:rFonts w:ascii="黑体" w:eastAsia="黑体" w:hAnsi="黑体"/>
        </w:rPr>
        <w:t>A</w:t>
      </w:r>
      <w:r>
        <w:rPr>
          <w:rFonts w:ascii="黑体" w:eastAsia="黑体" w:hAnsi="黑体" w:hint="eastAsia"/>
        </w:rPr>
        <w:t>.</w:t>
      </w:r>
      <w:r>
        <w:rPr>
          <w:rFonts w:ascii="黑体" w:eastAsia="黑体" w:hAnsi="黑体"/>
        </w:rPr>
        <w:t xml:space="preserve">1 </w:t>
      </w:r>
      <w:r>
        <w:rPr>
          <w:rFonts w:ascii="黑体" w:eastAsia="黑体" w:hAnsi="黑体" w:hint="eastAsia"/>
        </w:rPr>
        <w:t>洗碗机生命周期系统边界图</w:t>
      </w:r>
    </w:p>
    <w:p w:rsidR="00D10EA5" w:rsidRDefault="00116086">
      <w:pPr>
        <w:pStyle w:val="affff1"/>
        <w:spacing w:beforeLines="50" w:before="156" w:afterLines="50" w:after="156"/>
        <w:ind w:firstLineChars="213" w:firstLine="447"/>
        <w:rPr>
          <w:rFonts w:ascii="Times New Roman"/>
          <w:strike/>
          <w:sz w:val="21"/>
          <w:szCs w:val="21"/>
          <w:lang w:val="zh-CN"/>
        </w:rPr>
      </w:pPr>
      <w:r>
        <w:rPr>
          <w:rFonts w:ascii="Times New Roman"/>
          <w:sz w:val="21"/>
          <w:szCs w:val="21"/>
          <w:lang w:val="zh-CN"/>
        </w:rPr>
        <w:t>LCA</w:t>
      </w:r>
      <w:r>
        <w:rPr>
          <w:rFonts w:ascii="Times New Roman" w:hint="eastAsia"/>
          <w:sz w:val="21"/>
          <w:szCs w:val="21"/>
          <w:lang w:val="zh-CN"/>
        </w:rPr>
        <w:t>研究的时间应在规定的期限内。数据应反映具有代表性的时期（</w:t>
      </w:r>
      <w:proofErr w:type="gramStart"/>
      <w:r>
        <w:rPr>
          <w:rFonts w:ascii="Times New Roman" w:hint="eastAsia"/>
          <w:sz w:val="21"/>
          <w:szCs w:val="21"/>
          <w:lang w:val="zh-CN"/>
        </w:rPr>
        <w:t>取最近</w:t>
      </w:r>
      <w:proofErr w:type="gramEnd"/>
      <w:r>
        <w:rPr>
          <w:rFonts w:ascii="Times New Roman" w:hint="eastAsia"/>
          <w:sz w:val="21"/>
          <w:szCs w:val="21"/>
          <w:lang w:val="zh-CN"/>
        </w:rPr>
        <w:t>一</w:t>
      </w:r>
      <w:r>
        <w:rPr>
          <w:rFonts w:hint="eastAsia"/>
          <w:szCs w:val="21"/>
          <w:lang w:val="zh-CN"/>
        </w:rPr>
        <w:t>年</w:t>
      </w:r>
      <w:r>
        <w:rPr>
          <w:rFonts w:ascii="Times New Roman" w:hint="eastAsia"/>
          <w:sz w:val="21"/>
          <w:szCs w:val="21"/>
          <w:lang w:val="zh-CN"/>
        </w:rPr>
        <w:t>内有效值）。如果未能取到一年内有效值，应做具体说明。</w:t>
      </w:r>
    </w:p>
    <w:p w:rsidR="00D10EA5" w:rsidRDefault="00116086">
      <w:pPr>
        <w:pStyle w:val="afe"/>
        <w:spacing w:before="156" w:after="156"/>
      </w:pPr>
      <w:r>
        <w:rPr>
          <w:rFonts w:hint="eastAsia"/>
        </w:rPr>
        <w:t>数据取舍原则</w:t>
      </w:r>
    </w:p>
    <w:p w:rsidR="00D10EA5" w:rsidRDefault="00116086">
      <w:pPr>
        <w:pStyle w:val="affff1"/>
        <w:rPr>
          <w:sz w:val="21"/>
          <w:szCs w:val="21"/>
        </w:rPr>
      </w:pPr>
      <w:r>
        <w:rPr>
          <w:rFonts w:hint="eastAsia"/>
          <w:sz w:val="21"/>
          <w:szCs w:val="21"/>
        </w:rPr>
        <w:t>单元过程数据种类很多，应对数据进行适当的取舍，原则如下：</w:t>
      </w:r>
    </w:p>
    <w:p w:rsidR="00D10EA5" w:rsidRDefault="00116086">
      <w:pPr>
        <w:pStyle w:val="affff1"/>
        <w:rPr>
          <w:sz w:val="21"/>
          <w:szCs w:val="21"/>
        </w:rPr>
      </w:pPr>
      <w:r>
        <w:rPr>
          <w:rFonts w:hint="eastAsia"/>
          <w:sz w:val="21"/>
          <w:szCs w:val="21"/>
        </w:rPr>
        <w:t>——能源的所有输入均列出；</w:t>
      </w:r>
    </w:p>
    <w:p w:rsidR="00D10EA5" w:rsidRDefault="00116086">
      <w:pPr>
        <w:pStyle w:val="affff1"/>
        <w:rPr>
          <w:sz w:val="21"/>
          <w:szCs w:val="21"/>
        </w:rPr>
      </w:pPr>
      <w:r>
        <w:rPr>
          <w:rFonts w:hint="eastAsia"/>
          <w:sz w:val="21"/>
          <w:szCs w:val="21"/>
        </w:rPr>
        <w:t>——原料的所有输入均列出；</w:t>
      </w:r>
    </w:p>
    <w:p w:rsidR="00D10EA5" w:rsidRDefault="00116086">
      <w:pPr>
        <w:pStyle w:val="affff1"/>
        <w:rPr>
          <w:sz w:val="21"/>
          <w:szCs w:val="21"/>
        </w:rPr>
      </w:pPr>
      <w:r>
        <w:rPr>
          <w:rFonts w:hint="eastAsia"/>
          <w:sz w:val="21"/>
          <w:szCs w:val="21"/>
        </w:rPr>
        <w:t>——辅助材料质量小于原料总消耗</w:t>
      </w:r>
      <w:r>
        <w:rPr>
          <w:rFonts w:hint="eastAsia"/>
          <w:sz w:val="21"/>
          <w:szCs w:val="21"/>
        </w:rPr>
        <w:t>1%</w:t>
      </w:r>
      <w:r>
        <w:rPr>
          <w:rFonts w:hint="eastAsia"/>
          <w:sz w:val="21"/>
          <w:szCs w:val="21"/>
        </w:rPr>
        <w:t>的项目输入可忽略；总共忽略不大于</w:t>
      </w:r>
      <w:r>
        <w:rPr>
          <w:rFonts w:hint="eastAsia"/>
          <w:sz w:val="21"/>
          <w:szCs w:val="21"/>
        </w:rPr>
        <w:t>5%</w:t>
      </w:r>
    </w:p>
    <w:p w:rsidR="00D10EA5" w:rsidRDefault="00116086">
      <w:pPr>
        <w:pStyle w:val="affff1"/>
        <w:rPr>
          <w:sz w:val="21"/>
          <w:szCs w:val="21"/>
        </w:rPr>
      </w:pPr>
      <w:r>
        <w:rPr>
          <w:rFonts w:hint="eastAsia"/>
          <w:sz w:val="21"/>
          <w:szCs w:val="21"/>
        </w:rPr>
        <w:t>——大气、水体的各种排放均列出；</w:t>
      </w:r>
    </w:p>
    <w:p w:rsidR="00D10EA5" w:rsidRDefault="00116086">
      <w:pPr>
        <w:pStyle w:val="affff1"/>
        <w:rPr>
          <w:sz w:val="21"/>
          <w:szCs w:val="21"/>
        </w:rPr>
      </w:pPr>
      <w:r>
        <w:rPr>
          <w:rFonts w:hint="eastAsia"/>
          <w:sz w:val="21"/>
          <w:szCs w:val="21"/>
        </w:rPr>
        <w:t>——小于固体废弃物排放总量</w:t>
      </w:r>
      <w:r>
        <w:rPr>
          <w:rFonts w:hint="eastAsia"/>
          <w:sz w:val="21"/>
          <w:szCs w:val="21"/>
        </w:rPr>
        <w:t>1%</w:t>
      </w:r>
      <w:r>
        <w:rPr>
          <w:rFonts w:hint="eastAsia"/>
          <w:sz w:val="21"/>
          <w:szCs w:val="21"/>
        </w:rPr>
        <w:t>的一般性固体废弃物可忽略；</w:t>
      </w:r>
    </w:p>
    <w:p w:rsidR="00D10EA5" w:rsidRDefault="00116086">
      <w:pPr>
        <w:pStyle w:val="affff1"/>
        <w:rPr>
          <w:sz w:val="21"/>
          <w:szCs w:val="21"/>
        </w:rPr>
      </w:pPr>
      <w:r>
        <w:rPr>
          <w:rFonts w:hint="eastAsia"/>
          <w:sz w:val="21"/>
          <w:szCs w:val="21"/>
        </w:rPr>
        <w:t>——道路与厂房的基础设置、各工序的设备、厂区内人员及生活设施的消耗和排放均忽略；</w:t>
      </w:r>
    </w:p>
    <w:p w:rsidR="00D10EA5" w:rsidRDefault="00116086">
      <w:pPr>
        <w:pStyle w:val="affff1"/>
        <w:rPr>
          <w:sz w:val="21"/>
          <w:szCs w:val="21"/>
        </w:rPr>
      </w:pPr>
      <w:r>
        <w:rPr>
          <w:rFonts w:hint="eastAsia"/>
          <w:sz w:val="21"/>
          <w:szCs w:val="21"/>
        </w:rPr>
        <w:t>——任何有毒有害的材料和物质均应包含于清单中，不可忽略。</w:t>
      </w:r>
    </w:p>
    <w:p w:rsidR="00D10EA5" w:rsidRDefault="00116086">
      <w:pPr>
        <w:pStyle w:val="afd"/>
        <w:spacing w:beforeLines="0" w:afterLines="0"/>
      </w:pPr>
      <w:r>
        <w:rPr>
          <w:rFonts w:hint="eastAsia"/>
          <w:szCs w:val="21"/>
        </w:rPr>
        <w:t>生命周期清单分析</w:t>
      </w:r>
    </w:p>
    <w:p w:rsidR="00D10EA5" w:rsidRDefault="00116086">
      <w:pPr>
        <w:pStyle w:val="afe"/>
        <w:spacing w:before="156" w:after="156"/>
      </w:pPr>
      <w:r>
        <w:rPr>
          <w:rFonts w:hint="eastAsia"/>
        </w:rPr>
        <w:t>总则</w:t>
      </w:r>
    </w:p>
    <w:p w:rsidR="00D10EA5" w:rsidRDefault="00116086">
      <w:pPr>
        <w:pStyle w:val="affff1"/>
        <w:tabs>
          <w:tab w:val="clear" w:pos="4201"/>
          <w:tab w:val="center" w:pos="709"/>
        </w:tabs>
        <w:ind w:firstLineChars="0"/>
        <w:rPr>
          <w:sz w:val="21"/>
          <w:szCs w:val="21"/>
        </w:rPr>
      </w:pPr>
      <w:r>
        <w:rPr>
          <w:rFonts w:hint="eastAsia"/>
          <w:sz w:val="21"/>
          <w:szCs w:val="21"/>
        </w:rPr>
        <w:t>应编制洗碗机系统边界内的所有材料</w:t>
      </w:r>
      <w:r>
        <w:rPr>
          <w:rFonts w:hint="eastAsia"/>
          <w:sz w:val="21"/>
          <w:szCs w:val="21"/>
        </w:rPr>
        <w:t>/</w:t>
      </w:r>
      <w:r>
        <w:rPr>
          <w:rFonts w:hint="eastAsia"/>
          <w:sz w:val="21"/>
          <w:szCs w:val="21"/>
        </w:rPr>
        <w:t>能源输入、输出清单，作为产品生命周期评价的依据。如果数据清单有特殊情况、异常点或其他问题，应在报告中进行明确说明。</w:t>
      </w:r>
    </w:p>
    <w:p w:rsidR="00D10EA5" w:rsidRDefault="00116086">
      <w:pPr>
        <w:pStyle w:val="affff1"/>
        <w:tabs>
          <w:tab w:val="clear" w:pos="4201"/>
          <w:tab w:val="center" w:pos="709"/>
        </w:tabs>
        <w:ind w:firstLineChars="0"/>
        <w:rPr>
          <w:sz w:val="21"/>
          <w:szCs w:val="21"/>
        </w:rPr>
      </w:pPr>
      <w:r>
        <w:rPr>
          <w:rFonts w:hint="eastAsia"/>
          <w:sz w:val="21"/>
          <w:szCs w:val="21"/>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w:t>
      </w:r>
      <w:r>
        <w:rPr>
          <w:rFonts w:hint="eastAsia"/>
          <w:sz w:val="21"/>
          <w:szCs w:val="21"/>
        </w:rPr>
        <w:t>后，将产品各单元过程中相同影响因素的数据求和，以获取该影响因素的总量，为产品的影响评价提供必要的数据。</w:t>
      </w:r>
    </w:p>
    <w:p w:rsidR="00D10EA5" w:rsidRDefault="00116086">
      <w:pPr>
        <w:pStyle w:val="afe"/>
        <w:spacing w:before="156" w:after="156"/>
      </w:pPr>
      <w:r>
        <w:rPr>
          <w:rFonts w:hint="eastAsia"/>
        </w:rPr>
        <w:t>数据收集</w:t>
      </w:r>
    </w:p>
    <w:p w:rsidR="00D10EA5" w:rsidRDefault="00116086">
      <w:pPr>
        <w:pStyle w:val="aff"/>
        <w:spacing w:before="156" w:after="156"/>
      </w:pPr>
      <w:r>
        <w:rPr>
          <w:rFonts w:hint="eastAsia"/>
        </w:rPr>
        <w:t>概况</w:t>
      </w:r>
    </w:p>
    <w:p w:rsidR="00D10EA5" w:rsidRDefault="00116086">
      <w:pPr>
        <w:pStyle w:val="affff1"/>
        <w:tabs>
          <w:tab w:val="clear" w:pos="4201"/>
          <w:tab w:val="center" w:pos="709"/>
        </w:tabs>
        <w:ind w:firstLineChars="0"/>
        <w:rPr>
          <w:sz w:val="21"/>
          <w:szCs w:val="21"/>
        </w:rPr>
      </w:pPr>
      <w:r>
        <w:rPr>
          <w:rFonts w:hint="eastAsia"/>
          <w:sz w:val="21"/>
          <w:szCs w:val="21"/>
        </w:rPr>
        <w:t>应将以下要素纳入数据清单：</w:t>
      </w:r>
    </w:p>
    <w:p w:rsidR="00D10EA5" w:rsidRDefault="00116086">
      <w:pPr>
        <w:pStyle w:val="affff1"/>
        <w:tabs>
          <w:tab w:val="clear" w:pos="4201"/>
          <w:tab w:val="center" w:pos="709"/>
        </w:tabs>
        <w:ind w:firstLineChars="0"/>
        <w:rPr>
          <w:sz w:val="21"/>
          <w:szCs w:val="21"/>
        </w:rPr>
      </w:pPr>
      <w:r>
        <w:rPr>
          <w:rFonts w:hint="eastAsia"/>
          <w:sz w:val="21"/>
          <w:szCs w:val="21"/>
        </w:rPr>
        <w:t>——原材料采购和预加工；</w:t>
      </w:r>
    </w:p>
    <w:p w:rsidR="00D10EA5" w:rsidRDefault="00116086">
      <w:pPr>
        <w:pStyle w:val="affff1"/>
        <w:tabs>
          <w:tab w:val="clear" w:pos="4201"/>
          <w:tab w:val="center" w:pos="709"/>
        </w:tabs>
        <w:ind w:firstLineChars="0"/>
        <w:rPr>
          <w:sz w:val="21"/>
          <w:szCs w:val="21"/>
        </w:rPr>
      </w:pPr>
      <w:r>
        <w:rPr>
          <w:rFonts w:hint="eastAsia"/>
          <w:sz w:val="21"/>
          <w:szCs w:val="21"/>
        </w:rPr>
        <w:t>——生产；</w:t>
      </w:r>
    </w:p>
    <w:p w:rsidR="00D10EA5" w:rsidRDefault="00116086">
      <w:pPr>
        <w:pStyle w:val="affff1"/>
        <w:tabs>
          <w:tab w:val="clear" w:pos="4201"/>
          <w:tab w:val="center" w:pos="709"/>
        </w:tabs>
        <w:ind w:firstLineChars="0"/>
        <w:rPr>
          <w:sz w:val="21"/>
          <w:szCs w:val="21"/>
        </w:rPr>
      </w:pPr>
      <w:r>
        <w:rPr>
          <w:rFonts w:hint="eastAsia"/>
          <w:sz w:val="21"/>
          <w:szCs w:val="21"/>
        </w:rPr>
        <w:t>——产品分配和储存；</w:t>
      </w:r>
    </w:p>
    <w:p w:rsidR="00D10EA5" w:rsidRDefault="00116086">
      <w:pPr>
        <w:pStyle w:val="affff1"/>
        <w:tabs>
          <w:tab w:val="clear" w:pos="4201"/>
          <w:tab w:val="center" w:pos="709"/>
        </w:tabs>
        <w:ind w:firstLineChars="0"/>
        <w:rPr>
          <w:sz w:val="21"/>
          <w:szCs w:val="21"/>
        </w:rPr>
      </w:pPr>
      <w:r>
        <w:rPr>
          <w:rFonts w:hint="eastAsia"/>
          <w:sz w:val="21"/>
          <w:szCs w:val="21"/>
        </w:rPr>
        <w:t>——试用阶段；</w:t>
      </w:r>
    </w:p>
    <w:p w:rsidR="00D10EA5" w:rsidRDefault="00116086">
      <w:pPr>
        <w:pStyle w:val="affff1"/>
        <w:tabs>
          <w:tab w:val="clear" w:pos="4201"/>
          <w:tab w:val="center" w:pos="709"/>
        </w:tabs>
        <w:ind w:firstLineChars="0"/>
        <w:rPr>
          <w:sz w:val="21"/>
          <w:szCs w:val="21"/>
        </w:rPr>
      </w:pPr>
      <w:r>
        <w:rPr>
          <w:rFonts w:hint="eastAsia"/>
          <w:sz w:val="21"/>
          <w:szCs w:val="21"/>
        </w:rPr>
        <w:t>——物流；</w:t>
      </w:r>
    </w:p>
    <w:p w:rsidR="00D10EA5" w:rsidRDefault="00116086">
      <w:pPr>
        <w:pStyle w:val="affff1"/>
        <w:tabs>
          <w:tab w:val="clear" w:pos="4201"/>
          <w:tab w:val="center" w:pos="709"/>
        </w:tabs>
        <w:ind w:firstLineChars="0"/>
        <w:rPr>
          <w:sz w:val="21"/>
          <w:szCs w:val="21"/>
        </w:rPr>
      </w:pPr>
      <w:r>
        <w:rPr>
          <w:rFonts w:hint="eastAsia"/>
          <w:sz w:val="21"/>
          <w:szCs w:val="21"/>
        </w:rPr>
        <w:t>——寿命终止。</w:t>
      </w:r>
    </w:p>
    <w:p w:rsidR="00D10EA5" w:rsidRDefault="00116086">
      <w:pPr>
        <w:pStyle w:val="affff1"/>
        <w:tabs>
          <w:tab w:val="clear" w:pos="4201"/>
          <w:tab w:val="center" w:pos="709"/>
        </w:tabs>
        <w:ind w:firstLineChars="0"/>
        <w:rPr>
          <w:sz w:val="21"/>
          <w:szCs w:val="21"/>
        </w:rPr>
      </w:pPr>
      <w:r>
        <w:rPr>
          <w:rFonts w:hint="eastAsia"/>
          <w:sz w:val="21"/>
          <w:szCs w:val="21"/>
        </w:rPr>
        <w:t>基于</w:t>
      </w:r>
      <w:r>
        <w:rPr>
          <w:rFonts w:hint="eastAsia"/>
          <w:sz w:val="21"/>
          <w:szCs w:val="21"/>
        </w:rPr>
        <w:t>L</w:t>
      </w:r>
      <w:r>
        <w:rPr>
          <w:sz w:val="21"/>
          <w:szCs w:val="21"/>
        </w:rPr>
        <w:t>CA</w:t>
      </w:r>
      <w:r>
        <w:rPr>
          <w:rFonts w:hint="eastAsia"/>
          <w:sz w:val="21"/>
          <w:szCs w:val="21"/>
        </w:rPr>
        <w:t>的信息中要使用的数据可分为两类：现场数据和背景数据。主要数据尽量使用现场数据，如果“现场数据”收集缺乏，可以选择“背景数据”。</w:t>
      </w:r>
    </w:p>
    <w:p w:rsidR="00D10EA5" w:rsidRDefault="00116086">
      <w:pPr>
        <w:pStyle w:val="affff1"/>
        <w:rPr>
          <w:sz w:val="21"/>
          <w:szCs w:val="21"/>
        </w:rPr>
      </w:pPr>
      <w:r>
        <w:rPr>
          <w:rFonts w:hint="eastAsia"/>
          <w:sz w:val="21"/>
          <w:szCs w:val="21"/>
        </w:rPr>
        <w:t>现场数据是在现场具体操作过程中收集来的。主要包括生产过程的能源与水资源消耗、产品原料的使用量、产品主要包装材料的使用量、和废物产生量等等。现场数据还应包括运输数据，即产品原料、主要包装的部分从制造地点到最终交货点的运输距离。</w:t>
      </w:r>
    </w:p>
    <w:p w:rsidR="00D10EA5" w:rsidRDefault="00116086">
      <w:pPr>
        <w:pStyle w:val="affff1"/>
        <w:rPr>
          <w:sz w:val="21"/>
          <w:szCs w:val="21"/>
        </w:rPr>
      </w:pPr>
      <w:r>
        <w:rPr>
          <w:rFonts w:hint="eastAsia"/>
          <w:sz w:val="21"/>
          <w:szCs w:val="21"/>
        </w:rPr>
        <w:t>背景数据应当包括主要原料的生产数据、权威的电力的组合的数据（如火力、水、风力发电等）、不同运输类型造成的环境影响以及洗碗机生产和废弃后回收处理过程的排放数据。</w:t>
      </w:r>
    </w:p>
    <w:p w:rsidR="00D10EA5" w:rsidRDefault="00116086">
      <w:pPr>
        <w:pStyle w:val="aff"/>
        <w:spacing w:before="156" w:after="156"/>
      </w:pPr>
      <w:r>
        <w:rPr>
          <w:rFonts w:hint="eastAsia"/>
        </w:rPr>
        <w:t>现场数据采集</w:t>
      </w:r>
    </w:p>
    <w:p w:rsidR="00D10EA5" w:rsidRDefault="00116086">
      <w:pPr>
        <w:pStyle w:val="affff1"/>
        <w:tabs>
          <w:tab w:val="clear" w:pos="4201"/>
          <w:tab w:val="center" w:pos="709"/>
        </w:tabs>
        <w:ind w:firstLineChars="0"/>
        <w:rPr>
          <w:sz w:val="21"/>
          <w:szCs w:val="21"/>
        </w:rPr>
      </w:pPr>
      <w:r>
        <w:rPr>
          <w:rFonts w:hint="eastAsia"/>
          <w:sz w:val="21"/>
          <w:szCs w:val="21"/>
        </w:rPr>
        <w:t>应描述代表某一特定设施或一组设施的活动而直接测量或收集的数据相关采集规程。可直接对过程进行的测量或者通过采访或问</w:t>
      </w:r>
      <w:proofErr w:type="gramStart"/>
      <w:r>
        <w:rPr>
          <w:rFonts w:hint="eastAsia"/>
          <w:sz w:val="21"/>
          <w:szCs w:val="21"/>
        </w:rPr>
        <w:t>券</w:t>
      </w:r>
      <w:proofErr w:type="gramEnd"/>
      <w:r>
        <w:rPr>
          <w:rFonts w:hint="eastAsia"/>
          <w:sz w:val="21"/>
          <w:szCs w:val="21"/>
        </w:rPr>
        <w:t>调查从经营者处获得的测量值为特定过程最具代表性的数据来源。</w:t>
      </w:r>
    </w:p>
    <w:p w:rsidR="00D10EA5" w:rsidRDefault="00116086">
      <w:pPr>
        <w:pStyle w:val="affff1"/>
        <w:tabs>
          <w:tab w:val="clear" w:pos="4201"/>
          <w:tab w:val="center" w:pos="709"/>
        </w:tabs>
        <w:ind w:firstLineChars="0"/>
        <w:rPr>
          <w:sz w:val="21"/>
          <w:szCs w:val="21"/>
        </w:rPr>
      </w:pPr>
      <w:r>
        <w:rPr>
          <w:rFonts w:hint="eastAsia"/>
          <w:sz w:val="21"/>
          <w:szCs w:val="21"/>
        </w:rPr>
        <w:t>外购物料应由其生产者提供相关数据。</w:t>
      </w:r>
    </w:p>
    <w:p w:rsidR="00D10EA5" w:rsidRDefault="00116086">
      <w:pPr>
        <w:pStyle w:val="affff1"/>
        <w:tabs>
          <w:tab w:val="clear" w:pos="4201"/>
          <w:tab w:val="center" w:pos="709"/>
        </w:tabs>
        <w:ind w:firstLineChars="0"/>
        <w:rPr>
          <w:sz w:val="21"/>
          <w:szCs w:val="21"/>
        </w:rPr>
      </w:pPr>
      <w:r>
        <w:rPr>
          <w:rFonts w:hint="eastAsia"/>
          <w:sz w:val="21"/>
          <w:szCs w:val="21"/>
        </w:rPr>
        <w:t>现场数据的质量要求包括：</w:t>
      </w:r>
    </w:p>
    <w:p w:rsidR="00D10EA5" w:rsidRDefault="00116086">
      <w:pPr>
        <w:pStyle w:val="affff1"/>
        <w:numPr>
          <w:ilvl w:val="0"/>
          <w:numId w:val="20"/>
        </w:numPr>
        <w:tabs>
          <w:tab w:val="clear" w:pos="4201"/>
          <w:tab w:val="center" w:pos="709"/>
        </w:tabs>
        <w:ind w:firstLineChars="0"/>
        <w:rPr>
          <w:sz w:val="21"/>
          <w:szCs w:val="21"/>
        </w:rPr>
      </w:pPr>
      <w:r>
        <w:rPr>
          <w:rFonts w:hint="eastAsia"/>
          <w:sz w:val="21"/>
          <w:szCs w:val="21"/>
        </w:rPr>
        <w:t>代表性：现场数据应按照企业生产单元收集所确定范围内的生产统计数据。</w:t>
      </w:r>
    </w:p>
    <w:p w:rsidR="00D10EA5" w:rsidRDefault="00116086">
      <w:pPr>
        <w:pStyle w:val="affff1"/>
        <w:numPr>
          <w:ilvl w:val="0"/>
          <w:numId w:val="20"/>
        </w:numPr>
        <w:tabs>
          <w:tab w:val="clear" w:pos="4201"/>
          <w:tab w:val="center" w:pos="709"/>
        </w:tabs>
        <w:ind w:firstLineChars="0"/>
        <w:rPr>
          <w:sz w:val="21"/>
          <w:szCs w:val="21"/>
        </w:rPr>
      </w:pPr>
      <w:r>
        <w:rPr>
          <w:rFonts w:hint="eastAsia"/>
          <w:sz w:val="21"/>
          <w:szCs w:val="21"/>
        </w:rPr>
        <w:t>完整性：现场数据应采集完整的生命周期要求数据。</w:t>
      </w:r>
    </w:p>
    <w:p w:rsidR="00D10EA5" w:rsidRDefault="00116086">
      <w:pPr>
        <w:pStyle w:val="affff1"/>
        <w:numPr>
          <w:ilvl w:val="0"/>
          <w:numId w:val="20"/>
        </w:numPr>
        <w:tabs>
          <w:tab w:val="clear" w:pos="4201"/>
          <w:tab w:val="center" w:pos="709"/>
        </w:tabs>
        <w:ind w:left="0" w:firstLineChars="0" w:firstLine="426"/>
        <w:rPr>
          <w:sz w:val="21"/>
          <w:szCs w:val="21"/>
        </w:rPr>
      </w:pPr>
      <w:r>
        <w:rPr>
          <w:rFonts w:hint="eastAsia"/>
          <w:sz w:val="21"/>
          <w:szCs w:val="21"/>
        </w:rPr>
        <w:t>准确性：现场数据中的资源、能源、原材料消耗数据应该来自于生产单元的实际生产统计记录；环境排放数据优先选择相关的环境检测报告，或由排污因子或物料平衡公式计算获得。所有现场数据均须转换为单位产品，即</w:t>
      </w:r>
      <w:r>
        <w:rPr>
          <w:rFonts w:hint="eastAsia"/>
          <w:sz w:val="21"/>
          <w:szCs w:val="21"/>
        </w:rPr>
        <w:t>1</w:t>
      </w:r>
      <w:r>
        <w:rPr>
          <w:rFonts w:hint="eastAsia"/>
          <w:sz w:val="21"/>
          <w:szCs w:val="21"/>
        </w:rPr>
        <w:t>台洗碗机为基准折算，且需要详细记录相关的原始数据、数据来源、计算过程等等。</w:t>
      </w:r>
    </w:p>
    <w:p w:rsidR="00D10EA5" w:rsidRDefault="00116086">
      <w:pPr>
        <w:pStyle w:val="affff1"/>
        <w:numPr>
          <w:ilvl w:val="0"/>
          <w:numId w:val="20"/>
        </w:numPr>
        <w:tabs>
          <w:tab w:val="clear" w:pos="4201"/>
          <w:tab w:val="center" w:pos="709"/>
        </w:tabs>
        <w:ind w:left="0" w:firstLineChars="0" w:firstLine="426"/>
        <w:rPr>
          <w:sz w:val="21"/>
          <w:szCs w:val="21"/>
        </w:rPr>
      </w:pPr>
      <w:r>
        <w:rPr>
          <w:rFonts w:hint="eastAsia"/>
          <w:sz w:val="21"/>
          <w:szCs w:val="21"/>
        </w:rPr>
        <w:t>一致性：企业现场数据收集时应保持相同的数据来源、统计口径、处理规则等。</w:t>
      </w:r>
    </w:p>
    <w:p w:rsidR="00D10EA5" w:rsidRDefault="00116086">
      <w:pPr>
        <w:pStyle w:val="affff1"/>
        <w:tabs>
          <w:tab w:val="clear" w:pos="4201"/>
          <w:tab w:val="center" w:pos="709"/>
        </w:tabs>
        <w:ind w:firstLineChars="0"/>
        <w:rPr>
          <w:sz w:val="21"/>
          <w:szCs w:val="21"/>
        </w:rPr>
      </w:pPr>
      <w:r>
        <w:rPr>
          <w:rFonts w:hint="eastAsia"/>
          <w:sz w:val="21"/>
          <w:szCs w:val="21"/>
        </w:rPr>
        <w:t>典型现场数据来源包括：</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原材料（零部件）出入库记录；</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产品</w:t>
      </w:r>
      <w:r>
        <w:rPr>
          <w:rFonts w:hint="eastAsia"/>
          <w:sz w:val="21"/>
          <w:szCs w:val="21"/>
        </w:rPr>
        <w:t>B</w:t>
      </w:r>
      <w:r>
        <w:rPr>
          <w:sz w:val="21"/>
          <w:szCs w:val="21"/>
        </w:rPr>
        <w:t>OM</w:t>
      </w:r>
      <w:r>
        <w:rPr>
          <w:rFonts w:hint="eastAsia"/>
          <w:sz w:val="21"/>
          <w:szCs w:val="21"/>
        </w:rPr>
        <w:t>清单；</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产品使用过程能源消耗和污染物排放；</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生产统计报表；</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设备仪表的计量数据；</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设备的运行日志；</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试验测试结果；</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模拟数据；</w:t>
      </w:r>
    </w:p>
    <w:p w:rsidR="00D10EA5" w:rsidRDefault="00116086">
      <w:pPr>
        <w:pStyle w:val="affff1"/>
        <w:numPr>
          <w:ilvl w:val="0"/>
          <w:numId w:val="21"/>
        </w:numPr>
        <w:tabs>
          <w:tab w:val="clear" w:pos="4201"/>
          <w:tab w:val="center" w:pos="709"/>
        </w:tabs>
        <w:ind w:firstLineChars="0"/>
        <w:rPr>
          <w:sz w:val="21"/>
          <w:szCs w:val="21"/>
        </w:rPr>
      </w:pPr>
      <w:r>
        <w:rPr>
          <w:rFonts w:hint="eastAsia"/>
          <w:sz w:val="21"/>
          <w:szCs w:val="21"/>
        </w:rPr>
        <w:t>抽样数据等方面。</w:t>
      </w:r>
    </w:p>
    <w:p w:rsidR="00D10EA5" w:rsidRDefault="00116086">
      <w:pPr>
        <w:pStyle w:val="aff"/>
        <w:spacing w:before="156" w:after="156"/>
      </w:pPr>
      <w:r>
        <w:rPr>
          <w:rFonts w:hint="eastAsia"/>
        </w:rPr>
        <w:t>背景数据采集</w:t>
      </w:r>
    </w:p>
    <w:p w:rsidR="00D10EA5" w:rsidRDefault="00116086">
      <w:pPr>
        <w:pStyle w:val="affff1"/>
        <w:tabs>
          <w:tab w:val="clear" w:pos="4201"/>
          <w:tab w:val="center" w:pos="709"/>
        </w:tabs>
        <w:ind w:firstLineChars="0"/>
        <w:rPr>
          <w:sz w:val="21"/>
          <w:szCs w:val="21"/>
        </w:rPr>
      </w:pPr>
      <w:r>
        <w:rPr>
          <w:rFonts w:hint="eastAsia"/>
          <w:sz w:val="21"/>
          <w:szCs w:val="21"/>
        </w:rPr>
        <w:t>背景数据不是直接测量或计算而得到的数据。背景数据可为行业现场数据，即对产品生命周期研究所考虑的特定部门，或者为跨行业背景数据。背景数据宜用于后台进程，除非背景数据比现场数据更具有代表性或更适合前台进程。所使用数据的来源应有清楚的文件记载并应载入产品生命周期评价报告。</w:t>
      </w:r>
    </w:p>
    <w:p w:rsidR="00D10EA5" w:rsidRDefault="00116086">
      <w:pPr>
        <w:pStyle w:val="affff1"/>
        <w:tabs>
          <w:tab w:val="clear" w:pos="4201"/>
          <w:tab w:val="center" w:pos="709"/>
        </w:tabs>
        <w:ind w:firstLineChars="0"/>
        <w:rPr>
          <w:sz w:val="21"/>
          <w:szCs w:val="21"/>
        </w:rPr>
      </w:pPr>
      <w:r>
        <w:rPr>
          <w:rFonts w:hint="eastAsia"/>
          <w:sz w:val="21"/>
          <w:szCs w:val="21"/>
        </w:rPr>
        <w:t>背景数据的质量要求包括：</w:t>
      </w:r>
    </w:p>
    <w:p w:rsidR="00D10EA5" w:rsidRDefault="00116086">
      <w:pPr>
        <w:pStyle w:val="affff1"/>
        <w:numPr>
          <w:ilvl w:val="0"/>
          <w:numId w:val="22"/>
        </w:numPr>
        <w:tabs>
          <w:tab w:val="clear" w:pos="4201"/>
          <w:tab w:val="center" w:pos="709"/>
        </w:tabs>
        <w:ind w:left="0" w:firstLineChars="0" w:firstLine="426"/>
        <w:rPr>
          <w:sz w:val="21"/>
          <w:szCs w:val="21"/>
        </w:rPr>
      </w:pPr>
      <w:r>
        <w:rPr>
          <w:rFonts w:hint="eastAsia"/>
          <w:sz w:val="21"/>
          <w:szCs w:val="21"/>
        </w:rPr>
        <w:t>代表性：背景数据应优先选择企业的原材料供应商提供的符合相关</w:t>
      </w:r>
      <w:r>
        <w:rPr>
          <w:rFonts w:hint="eastAsia"/>
          <w:sz w:val="21"/>
          <w:szCs w:val="21"/>
        </w:rPr>
        <w:t>L</w:t>
      </w:r>
      <w:r>
        <w:rPr>
          <w:sz w:val="21"/>
          <w:szCs w:val="21"/>
        </w:rPr>
        <w:t>CA</w:t>
      </w:r>
      <w:r>
        <w:rPr>
          <w:rFonts w:hint="eastAsia"/>
          <w:sz w:val="21"/>
          <w:szCs w:val="21"/>
        </w:rPr>
        <w:t>标准要求的、经第三方独立验证的上游产品</w:t>
      </w:r>
      <w:r>
        <w:rPr>
          <w:rFonts w:hint="eastAsia"/>
          <w:sz w:val="21"/>
          <w:szCs w:val="21"/>
        </w:rPr>
        <w:t>L</w:t>
      </w:r>
      <w:r>
        <w:rPr>
          <w:sz w:val="21"/>
          <w:szCs w:val="21"/>
        </w:rPr>
        <w:t>CA</w:t>
      </w:r>
      <w:r>
        <w:rPr>
          <w:rFonts w:hint="eastAsia"/>
          <w:sz w:val="21"/>
          <w:szCs w:val="21"/>
        </w:rPr>
        <w:t>报告中的数据。若无，须优先选择代表中国国内平均生产水平的公开</w:t>
      </w:r>
      <w:r>
        <w:rPr>
          <w:rFonts w:hint="eastAsia"/>
          <w:sz w:val="21"/>
          <w:szCs w:val="21"/>
        </w:rPr>
        <w:t>L</w:t>
      </w:r>
      <w:r>
        <w:rPr>
          <w:sz w:val="21"/>
          <w:szCs w:val="21"/>
        </w:rPr>
        <w:t>CA</w:t>
      </w:r>
      <w:r>
        <w:rPr>
          <w:rFonts w:hint="eastAsia"/>
          <w:sz w:val="21"/>
          <w:szCs w:val="21"/>
        </w:rPr>
        <w:t>数据，数据的参考年限应优先选择近年数据。在没有符合要求的中国国内数据的情况下，可以选择国外同类技术数据作为背景数据。</w:t>
      </w:r>
    </w:p>
    <w:p w:rsidR="00D10EA5" w:rsidRDefault="00116086">
      <w:pPr>
        <w:pStyle w:val="affff1"/>
        <w:numPr>
          <w:ilvl w:val="0"/>
          <w:numId w:val="22"/>
        </w:numPr>
        <w:tabs>
          <w:tab w:val="clear" w:pos="4201"/>
          <w:tab w:val="center" w:pos="709"/>
        </w:tabs>
        <w:ind w:left="0" w:firstLineChars="0" w:firstLine="426"/>
        <w:rPr>
          <w:sz w:val="21"/>
          <w:szCs w:val="21"/>
        </w:rPr>
      </w:pPr>
      <w:r>
        <w:rPr>
          <w:rFonts w:hint="eastAsia"/>
          <w:sz w:val="21"/>
          <w:szCs w:val="21"/>
        </w:rPr>
        <w:t>完整性：背景数据的系统边界应该从资源开采到这些原辅材料或能源产品出厂为止。</w:t>
      </w:r>
    </w:p>
    <w:p w:rsidR="00D10EA5" w:rsidRDefault="00116086">
      <w:pPr>
        <w:pStyle w:val="affff1"/>
        <w:numPr>
          <w:ilvl w:val="0"/>
          <w:numId w:val="22"/>
        </w:numPr>
        <w:tabs>
          <w:tab w:val="clear" w:pos="4201"/>
          <w:tab w:val="center" w:pos="709"/>
        </w:tabs>
        <w:ind w:left="0" w:firstLineChars="0" w:firstLine="426"/>
        <w:rPr>
          <w:sz w:val="21"/>
          <w:szCs w:val="21"/>
        </w:rPr>
      </w:pPr>
      <w:r>
        <w:rPr>
          <w:rFonts w:hint="eastAsia"/>
          <w:sz w:val="21"/>
          <w:szCs w:val="21"/>
        </w:rPr>
        <w:t>一致性：所有被选择的背景数据应完整覆盖本文件确定的生命周期清单因子，并且应将背景数据转换</w:t>
      </w:r>
      <w:proofErr w:type="gramStart"/>
      <w:r>
        <w:rPr>
          <w:rFonts w:hint="eastAsia"/>
          <w:sz w:val="21"/>
          <w:szCs w:val="21"/>
        </w:rPr>
        <w:t>为一致</w:t>
      </w:r>
      <w:proofErr w:type="gramEnd"/>
      <w:r>
        <w:rPr>
          <w:rFonts w:hint="eastAsia"/>
          <w:sz w:val="21"/>
          <w:szCs w:val="21"/>
        </w:rPr>
        <w:t>的物质名录后再进行计算。</w:t>
      </w:r>
    </w:p>
    <w:p w:rsidR="00D10EA5" w:rsidRDefault="00116086">
      <w:pPr>
        <w:pStyle w:val="aff"/>
        <w:spacing w:before="156" w:after="156"/>
      </w:pPr>
      <w:r>
        <w:rPr>
          <w:rFonts w:hint="eastAsia"/>
        </w:rPr>
        <w:t>原材料、零部件采购和预加工（从摇篮到大门）</w:t>
      </w:r>
    </w:p>
    <w:p w:rsidR="00D10EA5" w:rsidRDefault="00116086">
      <w:pPr>
        <w:pStyle w:val="affff1"/>
        <w:rPr>
          <w:sz w:val="21"/>
          <w:szCs w:val="21"/>
        </w:rPr>
      </w:pPr>
      <w:r>
        <w:rPr>
          <w:rFonts w:hint="eastAsia"/>
          <w:sz w:val="21"/>
          <w:szCs w:val="21"/>
        </w:rPr>
        <w:t>该阶段始于从大自然提取资源，结束于洗碗机零部件生产，包括：</w:t>
      </w:r>
    </w:p>
    <w:p w:rsidR="00D10EA5" w:rsidRDefault="00116086">
      <w:pPr>
        <w:pStyle w:val="affff1"/>
        <w:rPr>
          <w:sz w:val="21"/>
          <w:szCs w:val="21"/>
        </w:rPr>
      </w:pPr>
      <w:r>
        <w:rPr>
          <w:rFonts w:hint="eastAsia"/>
          <w:sz w:val="21"/>
          <w:szCs w:val="21"/>
        </w:rPr>
        <w:t>——资源开采和提取；</w:t>
      </w:r>
    </w:p>
    <w:p w:rsidR="00D10EA5" w:rsidRDefault="00116086">
      <w:pPr>
        <w:pStyle w:val="affff1"/>
        <w:rPr>
          <w:sz w:val="21"/>
          <w:szCs w:val="21"/>
        </w:rPr>
      </w:pPr>
      <w:r>
        <w:rPr>
          <w:rFonts w:hint="eastAsia"/>
          <w:sz w:val="21"/>
          <w:szCs w:val="21"/>
        </w:rPr>
        <w:t>——所有材料的预加工；</w:t>
      </w:r>
    </w:p>
    <w:p w:rsidR="00D10EA5" w:rsidRDefault="00116086">
      <w:pPr>
        <w:pStyle w:val="affff1"/>
        <w:rPr>
          <w:sz w:val="21"/>
          <w:szCs w:val="21"/>
        </w:rPr>
      </w:pPr>
      <w:r>
        <w:rPr>
          <w:rFonts w:hint="eastAsia"/>
          <w:sz w:val="21"/>
          <w:szCs w:val="21"/>
        </w:rPr>
        <w:t>——零部件生产；</w:t>
      </w:r>
    </w:p>
    <w:p w:rsidR="00D10EA5" w:rsidRDefault="00116086">
      <w:pPr>
        <w:pStyle w:val="affff1"/>
        <w:rPr>
          <w:sz w:val="21"/>
          <w:szCs w:val="21"/>
        </w:rPr>
      </w:pPr>
      <w:r>
        <w:rPr>
          <w:rFonts w:hint="eastAsia"/>
          <w:sz w:val="21"/>
          <w:szCs w:val="21"/>
        </w:rPr>
        <w:t>——材料、零部件的采购；</w:t>
      </w:r>
    </w:p>
    <w:p w:rsidR="00D10EA5" w:rsidRDefault="00116086">
      <w:pPr>
        <w:pStyle w:val="affff1"/>
        <w:rPr>
          <w:sz w:val="21"/>
          <w:szCs w:val="21"/>
        </w:rPr>
      </w:pPr>
      <w:r>
        <w:rPr>
          <w:rFonts w:hint="eastAsia"/>
          <w:sz w:val="21"/>
          <w:szCs w:val="21"/>
        </w:rPr>
        <w:t>——</w:t>
      </w:r>
      <w:r>
        <w:rPr>
          <w:rFonts w:hint="eastAsia"/>
          <w:sz w:val="21"/>
          <w:szCs w:val="21"/>
        </w:rPr>
        <w:t>材料、零部件的运输。</w:t>
      </w:r>
    </w:p>
    <w:p w:rsidR="00D10EA5" w:rsidRDefault="00116086">
      <w:pPr>
        <w:pStyle w:val="aff"/>
        <w:spacing w:before="156" w:after="156"/>
      </w:pPr>
      <w:r>
        <w:rPr>
          <w:rFonts w:hint="eastAsia"/>
        </w:rPr>
        <w:t>生产</w:t>
      </w:r>
    </w:p>
    <w:p w:rsidR="00D10EA5" w:rsidRDefault="00116086">
      <w:pPr>
        <w:pStyle w:val="affff1"/>
        <w:rPr>
          <w:sz w:val="21"/>
        </w:rPr>
      </w:pPr>
      <w:r>
        <w:rPr>
          <w:rFonts w:hint="eastAsia"/>
          <w:sz w:val="21"/>
        </w:rPr>
        <w:t>该阶段始于洗碗机组装，结束于成品离开生产设施。生产活动包括制造、制造过程间半成品的运输、产品包装等。</w:t>
      </w:r>
    </w:p>
    <w:p w:rsidR="00D10EA5" w:rsidRDefault="00116086">
      <w:pPr>
        <w:pStyle w:val="affff1"/>
        <w:ind w:firstLineChars="0" w:firstLine="0"/>
        <w:rPr>
          <w:sz w:val="21"/>
        </w:rPr>
      </w:pPr>
      <w:r>
        <w:rPr>
          <w:rFonts w:hint="eastAsia"/>
          <w:sz w:val="21"/>
        </w:rPr>
        <w:t>B322-B325</w:t>
      </w:r>
      <w:r>
        <w:rPr>
          <w:rFonts w:hint="eastAsia"/>
          <w:sz w:val="21"/>
        </w:rPr>
        <w:t>改写成</w:t>
      </w:r>
      <w:r>
        <w:rPr>
          <w:rFonts w:hint="eastAsia"/>
          <w:sz w:val="21"/>
        </w:rPr>
        <w:t>3</w:t>
      </w:r>
      <w:r>
        <w:rPr>
          <w:rFonts w:hint="eastAsia"/>
          <w:sz w:val="21"/>
        </w:rPr>
        <w:t>部分</w:t>
      </w:r>
    </w:p>
    <w:p w:rsidR="00D10EA5" w:rsidRDefault="00116086">
      <w:pPr>
        <w:pStyle w:val="aff"/>
        <w:spacing w:before="156" w:after="156"/>
      </w:pPr>
      <w:r>
        <w:rPr>
          <w:rFonts w:hint="eastAsia"/>
        </w:rPr>
        <w:t>产品运输</w:t>
      </w:r>
    </w:p>
    <w:p w:rsidR="00D10EA5" w:rsidRDefault="00116086">
      <w:pPr>
        <w:pStyle w:val="affff1"/>
        <w:rPr>
          <w:sz w:val="21"/>
        </w:rPr>
      </w:pPr>
      <w:r>
        <w:rPr>
          <w:rFonts w:hint="eastAsia"/>
          <w:sz w:val="21"/>
        </w:rPr>
        <w:t>该阶段将洗碗机分配给各地经销商、超市及商场，可沿着供应链将其储存在各点，应考虑的运输参数包括运输方式、车辆类型、燃料消耗量、装货速率、回空数量、运输距离、根据负载限制因素（即高密度产品质量和低密度产品体积）的商品运输分配以及燃料用量。</w:t>
      </w:r>
    </w:p>
    <w:p w:rsidR="00D10EA5" w:rsidRDefault="00116086">
      <w:pPr>
        <w:pStyle w:val="aff"/>
        <w:spacing w:before="156" w:after="156"/>
      </w:pPr>
      <w:r>
        <w:rPr>
          <w:rFonts w:hint="eastAsia"/>
        </w:rPr>
        <w:t>使用阶段</w:t>
      </w:r>
    </w:p>
    <w:p w:rsidR="00D10EA5" w:rsidRDefault="00116086">
      <w:pPr>
        <w:pStyle w:val="affff1"/>
        <w:rPr>
          <w:sz w:val="21"/>
        </w:rPr>
      </w:pPr>
      <w:r>
        <w:rPr>
          <w:rFonts w:hint="eastAsia"/>
          <w:sz w:val="21"/>
        </w:rPr>
        <w:t>该阶段始于消费者拥有产品，结束于产品报废。包括使用</w:t>
      </w:r>
      <w:r>
        <w:rPr>
          <w:rFonts w:hint="eastAsia"/>
          <w:sz w:val="21"/>
        </w:rPr>
        <w:t>/</w:t>
      </w:r>
      <w:r>
        <w:rPr>
          <w:rFonts w:hint="eastAsia"/>
          <w:sz w:val="21"/>
        </w:rPr>
        <w:t>消费模式、使用期间的资源、能源消耗等等。</w:t>
      </w:r>
      <w:r>
        <w:t>使</w:t>
      </w:r>
      <w:r>
        <w:t>用过程</w:t>
      </w:r>
      <w:r>
        <w:rPr>
          <w:rFonts w:hint="eastAsia"/>
        </w:rPr>
        <w:t>至少按</w:t>
      </w:r>
      <w:r>
        <w:rPr>
          <w:rFonts w:hint="eastAsia"/>
        </w:rPr>
        <w:t>1960</w:t>
      </w:r>
      <w:r>
        <w:rPr>
          <w:rFonts w:hint="eastAsia"/>
        </w:rPr>
        <w:t>个使用周期计算。</w:t>
      </w:r>
    </w:p>
    <w:p w:rsidR="00D10EA5" w:rsidRDefault="00116086">
      <w:pPr>
        <w:pStyle w:val="aff"/>
        <w:spacing w:before="156" w:after="156"/>
      </w:pPr>
      <w:r>
        <w:rPr>
          <w:rFonts w:hint="eastAsia"/>
        </w:rPr>
        <w:t>寿命终止</w:t>
      </w:r>
    </w:p>
    <w:p w:rsidR="00D10EA5" w:rsidRDefault="00116086">
      <w:pPr>
        <w:pStyle w:val="affff1"/>
        <w:rPr>
          <w:sz w:val="21"/>
        </w:rPr>
      </w:pPr>
      <w:r>
        <w:rPr>
          <w:rFonts w:hint="eastAsia"/>
          <w:sz w:val="21"/>
        </w:rPr>
        <w:t>该阶段始于用户终止使用，结束于产品作为废弃物再次进入流通领域或回收渠道。</w:t>
      </w:r>
    </w:p>
    <w:p w:rsidR="00D10EA5" w:rsidRDefault="00116086">
      <w:pPr>
        <w:pStyle w:val="afe"/>
        <w:spacing w:before="156" w:after="156"/>
      </w:pPr>
      <w:r>
        <w:rPr>
          <w:rFonts w:hint="eastAsia"/>
        </w:rPr>
        <w:t>数据分配</w:t>
      </w:r>
    </w:p>
    <w:p w:rsidR="00D10EA5" w:rsidRDefault="00116086">
      <w:pPr>
        <w:pStyle w:val="affff1"/>
        <w:rPr>
          <w:sz w:val="21"/>
        </w:rPr>
      </w:pPr>
      <w:r>
        <w:rPr>
          <w:rFonts w:hint="eastAsia"/>
          <w:sz w:val="21"/>
        </w:rPr>
        <w:t>在进行洗碗机生命周期评价的过程中涉及到数据分配问题，特别是洗碗机的生产环节。对于一条流水线上或一个车间里会同时生产多种型号洗碗机，很难就某单个型号的产品生产来收集清单数据，往往会就某个车间、某条流水线或某个工艺来收集数据，然后再分配到具体的产品上。针对洗碗机生产阶段，因生产的产品主要材料、功能比较一致，因此本文件选取“重量分配”作为分摊的比例，即重量越大的产品，其分摊额度就越大。</w:t>
      </w:r>
    </w:p>
    <w:p w:rsidR="00D10EA5" w:rsidRDefault="00116086">
      <w:pPr>
        <w:pStyle w:val="afe"/>
        <w:spacing w:before="156" w:after="156"/>
      </w:pPr>
      <w:r>
        <w:rPr>
          <w:rFonts w:hint="eastAsia"/>
        </w:rPr>
        <w:t>数据计算</w:t>
      </w:r>
    </w:p>
    <w:p w:rsidR="00D10EA5" w:rsidRDefault="00116086">
      <w:pPr>
        <w:pStyle w:val="aff"/>
        <w:spacing w:before="156" w:after="156"/>
      </w:pPr>
      <w:r>
        <w:rPr>
          <w:rFonts w:hint="eastAsia"/>
        </w:rPr>
        <w:t>数据分析</w:t>
      </w:r>
    </w:p>
    <w:p w:rsidR="00D10EA5" w:rsidRDefault="00116086">
      <w:pPr>
        <w:pStyle w:val="affff1"/>
        <w:rPr>
          <w:sz w:val="21"/>
        </w:rPr>
      </w:pPr>
      <w:r>
        <w:rPr>
          <w:rFonts w:hint="eastAsia"/>
          <w:sz w:val="21"/>
        </w:rPr>
        <w:t>根据表</w:t>
      </w:r>
      <w:r>
        <w:rPr>
          <w:sz w:val="21"/>
        </w:rPr>
        <w:t>A.1</w:t>
      </w:r>
      <w:r>
        <w:rPr>
          <w:rFonts w:hAnsi="宋体" w:hint="eastAsia"/>
          <w:sz w:val="21"/>
        </w:rPr>
        <w:t>～</w:t>
      </w:r>
      <w:r>
        <w:rPr>
          <w:sz w:val="21"/>
        </w:rPr>
        <w:t>A.4</w:t>
      </w:r>
      <w:r>
        <w:rPr>
          <w:rFonts w:hint="eastAsia"/>
          <w:sz w:val="21"/>
        </w:rPr>
        <w:t>对应需要的数据，进行填报。</w:t>
      </w:r>
    </w:p>
    <w:p w:rsidR="00D10EA5" w:rsidRDefault="00116086">
      <w:pPr>
        <w:pStyle w:val="affff1"/>
        <w:numPr>
          <w:ilvl w:val="0"/>
          <w:numId w:val="23"/>
        </w:numPr>
        <w:tabs>
          <w:tab w:val="clear" w:pos="4201"/>
          <w:tab w:val="center" w:pos="709"/>
        </w:tabs>
        <w:ind w:left="426" w:firstLineChars="0" w:firstLine="0"/>
        <w:rPr>
          <w:sz w:val="21"/>
        </w:rPr>
      </w:pPr>
      <w:r>
        <w:rPr>
          <w:rFonts w:hint="eastAsia"/>
          <w:sz w:val="21"/>
        </w:rPr>
        <w:t>现场数据可通过企业调研、上游厂家提供、采样监测等途径进行收集</w:t>
      </w:r>
      <w:r>
        <w:rPr>
          <w:rFonts w:hint="eastAsia"/>
          <w:sz w:val="21"/>
        </w:rPr>
        <w:t>，所收集的数据要求为企</w:t>
      </w:r>
    </w:p>
    <w:p w:rsidR="00D10EA5" w:rsidRDefault="00116086">
      <w:pPr>
        <w:pStyle w:val="affff1"/>
        <w:tabs>
          <w:tab w:val="clear" w:pos="4201"/>
          <w:tab w:val="center" w:pos="709"/>
        </w:tabs>
        <w:ind w:left="426" w:firstLineChars="134" w:firstLine="281"/>
        <w:rPr>
          <w:sz w:val="21"/>
        </w:rPr>
      </w:pPr>
      <w:r>
        <w:rPr>
          <w:rFonts w:hint="eastAsia"/>
          <w:sz w:val="21"/>
        </w:rPr>
        <w:t>业三年平均统计数据，并能够反映企业的实际生产水平。</w:t>
      </w:r>
    </w:p>
    <w:p w:rsidR="00D10EA5" w:rsidRDefault="00116086">
      <w:pPr>
        <w:pStyle w:val="affff1"/>
        <w:numPr>
          <w:ilvl w:val="0"/>
          <w:numId w:val="23"/>
        </w:numPr>
        <w:tabs>
          <w:tab w:val="clear" w:pos="4201"/>
          <w:tab w:val="center" w:pos="709"/>
        </w:tabs>
        <w:ind w:firstLineChars="0"/>
        <w:rPr>
          <w:sz w:val="21"/>
        </w:rPr>
      </w:pPr>
      <w:r>
        <w:rPr>
          <w:rFonts w:hint="eastAsia"/>
          <w:sz w:val="21"/>
        </w:rPr>
        <w:t>从实际调研过程中无法获得的数据，即背景数据，采用权威中国生命周期数据库等相关数据库</w:t>
      </w:r>
    </w:p>
    <w:p w:rsidR="00D10EA5" w:rsidRDefault="00116086">
      <w:pPr>
        <w:pStyle w:val="affff1"/>
        <w:tabs>
          <w:tab w:val="clear" w:pos="4201"/>
          <w:tab w:val="center" w:pos="709"/>
        </w:tabs>
        <w:ind w:left="420" w:firstLineChars="137" w:firstLine="288"/>
        <w:rPr>
          <w:sz w:val="21"/>
        </w:rPr>
      </w:pPr>
      <w:r>
        <w:rPr>
          <w:rFonts w:hint="eastAsia"/>
          <w:sz w:val="21"/>
        </w:rPr>
        <w:t>进行替代，在这一步骤中所涉及到的单元过程包括洗碗机相关零部件生产、组装</w:t>
      </w:r>
      <w:proofErr w:type="gramStart"/>
      <w:r>
        <w:rPr>
          <w:rFonts w:hint="eastAsia"/>
          <w:sz w:val="21"/>
        </w:rPr>
        <w:t>组装</w:t>
      </w:r>
      <w:proofErr w:type="gramEnd"/>
      <w:r>
        <w:rPr>
          <w:rFonts w:hint="eastAsia"/>
          <w:sz w:val="21"/>
        </w:rPr>
        <w:t>、包装材</w:t>
      </w:r>
    </w:p>
    <w:p w:rsidR="00D10EA5" w:rsidRDefault="00116086">
      <w:pPr>
        <w:pStyle w:val="affff1"/>
        <w:tabs>
          <w:tab w:val="clear" w:pos="4201"/>
          <w:tab w:val="center" w:pos="709"/>
        </w:tabs>
        <w:ind w:left="420" w:firstLineChars="137" w:firstLine="288"/>
        <w:rPr>
          <w:sz w:val="21"/>
        </w:rPr>
      </w:pPr>
      <w:r>
        <w:rPr>
          <w:rFonts w:hint="eastAsia"/>
          <w:sz w:val="21"/>
        </w:rPr>
        <w:t>料、能源消耗以及产品的运输。</w:t>
      </w:r>
    </w:p>
    <w:p w:rsidR="00D10EA5" w:rsidRDefault="00D10EA5">
      <w:pPr>
        <w:pStyle w:val="affff1"/>
        <w:tabs>
          <w:tab w:val="clear" w:pos="4201"/>
          <w:tab w:val="center" w:pos="709"/>
        </w:tabs>
        <w:ind w:left="420" w:firstLineChars="137" w:firstLine="288"/>
        <w:rPr>
          <w:sz w:val="21"/>
        </w:rPr>
      </w:pPr>
    </w:p>
    <w:p w:rsidR="00D10EA5" w:rsidRDefault="00116086">
      <w:pPr>
        <w:pStyle w:val="affff1"/>
        <w:tabs>
          <w:tab w:val="clear" w:pos="4201"/>
          <w:tab w:val="center" w:pos="709"/>
        </w:tabs>
        <w:ind w:firstLineChars="0" w:firstLine="0"/>
        <w:jc w:val="center"/>
        <w:rPr>
          <w:rFonts w:ascii="黑体" w:eastAsia="黑体" w:hAnsi="黑体"/>
        </w:rPr>
      </w:pPr>
      <w:r>
        <w:rPr>
          <w:rFonts w:ascii="黑体" w:eastAsia="黑体" w:hAnsi="黑体" w:hint="eastAsia"/>
        </w:rPr>
        <w:t>表</w:t>
      </w:r>
      <w:r>
        <w:rPr>
          <w:rFonts w:ascii="黑体" w:eastAsia="黑体" w:hAnsi="黑体"/>
        </w:rPr>
        <w:t>A.1</w:t>
      </w:r>
      <w:r>
        <w:rPr>
          <w:rFonts w:ascii="黑体" w:eastAsia="黑体" w:hAnsi="黑体" w:hint="eastAsia"/>
        </w:rPr>
        <w:t>洗碗机所用原材料</w:t>
      </w:r>
      <w:r>
        <w:rPr>
          <w:rFonts w:ascii="黑体" w:eastAsia="黑体" w:hAnsi="黑体" w:hint="eastAsia"/>
        </w:rPr>
        <w:t>/</w:t>
      </w:r>
      <w:r>
        <w:rPr>
          <w:rFonts w:ascii="黑体" w:eastAsia="黑体" w:hAnsi="黑体" w:hint="eastAsia"/>
        </w:rPr>
        <w:t>预制部件清单</w:t>
      </w:r>
    </w:p>
    <w:tbl>
      <w:tblPr>
        <w:tblStyle w:val="afffa"/>
        <w:tblW w:w="0" w:type="auto"/>
        <w:tblLook w:val="04A0" w:firstRow="1" w:lastRow="0" w:firstColumn="1" w:lastColumn="0" w:noHBand="0" w:noVBand="1"/>
      </w:tblPr>
      <w:tblGrid>
        <w:gridCol w:w="1331"/>
        <w:gridCol w:w="1332"/>
        <w:gridCol w:w="1339"/>
        <w:gridCol w:w="1332"/>
        <w:gridCol w:w="1332"/>
        <w:gridCol w:w="1346"/>
        <w:gridCol w:w="1332"/>
      </w:tblGrid>
      <w:tr w:rsidR="00D10EA5">
        <w:tc>
          <w:tcPr>
            <w:tcW w:w="2734" w:type="dxa"/>
            <w:gridSpan w:val="2"/>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类别</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原料</w:t>
            </w:r>
            <w:r>
              <w:rPr>
                <w:rFonts w:hint="eastAsia"/>
                <w:sz w:val="20"/>
                <w:szCs w:val="20"/>
              </w:rPr>
              <w:t>/</w:t>
            </w:r>
            <w:r>
              <w:rPr>
                <w:rFonts w:hint="eastAsia"/>
                <w:sz w:val="20"/>
                <w:szCs w:val="20"/>
              </w:rPr>
              <w:t>预制部件名称</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规格型号</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材料种类</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重量（</w:t>
            </w:r>
            <w:r>
              <w:rPr>
                <w:rFonts w:hint="eastAsia"/>
                <w:sz w:val="20"/>
                <w:szCs w:val="20"/>
              </w:rPr>
              <w:t>kg</w:t>
            </w:r>
            <w:r>
              <w:rPr>
                <w:rFonts w:hint="eastAsia"/>
                <w:sz w:val="20"/>
                <w:szCs w:val="20"/>
              </w:rPr>
              <w:t>）</w:t>
            </w:r>
          </w:p>
        </w:tc>
        <w:tc>
          <w:tcPr>
            <w:tcW w:w="1368"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数量</w:t>
            </w:r>
          </w:p>
        </w:tc>
      </w:tr>
      <w:tr w:rsidR="00D10EA5">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产品本体</w:t>
            </w: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电机</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塑料件</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拉手</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proofErr w:type="gramStart"/>
            <w:r>
              <w:rPr>
                <w:rFonts w:hint="eastAsia"/>
                <w:sz w:val="20"/>
                <w:szCs w:val="20"/>
              </w:rPr>
              <w:t>钣</w:t>
            </w:r>
            <w:proofErr w:type="gramEnd"/>
            <w:r>
              <w:rPr>
                <w:rFonts w:hint="eastAsia"/>
                <w:sz w:val="20"/>
                <w:szCs w:val="20"/>
              </w:rPr>
              <w:t>金件及金属件</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内胆</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篮架</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阀门及管路件</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排水管</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电气组件类</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继电器</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restart"/>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电线</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电源线</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Merge/>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r w:rsidR="00D10EA5">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包装材料</w:t>
            </w:r>
          </w:p>
        </w:tc>
        <w:tc>
          <w:tcPr>
            <w:tcW w:w="1367" w:type="dxa"/>
            <w:vAlign w:val="center"/>
          </w:tcPr>
          <w:p w:rsidR="00D10EA5" w:rsidRDefault="00116086">
            <w:pPr>
              <w:pStyle w:val="affff1"/>
              <w:tabs>
                <w:tab w:val="clear" w:pos="4201"/>
                <w:tab w:val="center" w:pos="709"/>
              </w:tabs>
              <w:ind w:firstLineChars="0" w:firstLine="0"/>
              <w:jc w:val="center"/>
              <w:rPr>
                <w:sz w:val="20"/>
                <w:szCs w:val="20"/>
              </w:rPr>
            </w:pPr>
            <w:r>
              <w:rPr>
                <w:rFonts w:hint="eastAsia"/>
                <w:sz w:val="20"/>
                <w:szCs w:val="20"/>
              </w:rPr>
              <w:t>包装箱</w:t>
            </w: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7" w:type="dxa"/>
            <w:vAlign w:val="center"/>
          </w:tcPr>
          <w:p w:rsidR="00D10EA5" w:rsidRDefault="00D10EA5">
            <w:pPr>
              <w:pStyle w:val="affff1"/>
              <w:tabs>
                <w:tab w:val="clear" w:pos="4201"/>
                <w:tab w:val="center" w:pos="709"/>
              </w:tabs>
              <w:ind w:firstLineChars="0" w:firstLine="0"/>
              <w:jc w:val="center"/>
              <w:rPr>
                <w:sz w:val="20"/>
                <w:szCs w:val="20"/>
              </w:rPr>
            </w:pPr>
          </w:p>
        </w:tc>
        <w:tc>
          <w:tcPr>
            <w:tcW w:w="1368" w:type="dxa"/>
            <w:vAlign w:val="center"/>
          </w:tcPr>
          <w:p w:rsidR="00D10EA5" w:rsidRDefault="00D10EA5">
            <w:pPr>
              <w:pStyle w:val="affff1"/>
              <w:tabs>
                <w:tab w:val="clear" w:pos="4201"/>
                <w:tab w:val="center" w:pos="709"/>
              </w:tabs>
              <w:ind w:firstLineChars="0" w:firstLine="0"/>
              <w:jc w:val="center"/>
              <w:rPr>
                <w:sz w:val="20"/>
                <w:szCs w:val="20"/>
              </w:rPr>
            </w:pPr>
          </w:p>
        </w:tc>
      </w:tr>
    </w:tbl>
    <w:p w:rsidR="00D10EA5" w:rsidRDefault="00D10EA5">
      <w:pPr>
        <w:pStyle w:val="affff1"/>
        <w:tabs>
          <w:tab w:val="clear" w:pos="4201"/>
          <w:tab w:val="center" w:pos="709"/>
        </w:tabs>
        <w:ind w:firstLineChars="0" w:firstLine="0"/>
        <w:rPr>
          <w:sz w:val="21"/>
        </w:rPr>
      </w:pPr>
    </w:p>
    <w:p w:rsidR="00D10EA5" w:rsidRDefault="00116086">
      <w:pPr>
        <w:pStyle w:val="affff1"/>
        <w:tabs>
          <w:tab w:val="clear" w:pos="4201"/>
          <w:tab w:val="center" w:pos="709"/>
        </w:tabs>
        <w:ind w:firstLineChars="0" w:firstLine="0"/>
        <w:jc w:val="center"/>
        <w:rPr>
          <w:rFonts w:ascii="黑体" w:eastAsia="黑体" w:hAnsi="黑体"/>
        </w:rPr>
      </w:pPr>
      <w:r>
        <w:rPr>
          <w:rFonts w:ascii="黑体" w:eastAsia="黑体" w:hAnsi="黑体" w:hint="eastAsia"/>
        </w:rPr>
        <w:t>表</w:t>
      </w:r>
      <w:r>
        <w:rPr>
          <w:rFonts w:ascii="黑体" w:eastAsia="黑体" w:hAnsi="黑体"/>
        </w:rPr>
        <w:t>A</w:t>
      </w:r>
      <w:r>
        <w:rPr>
          <w:rFonts w:ascii="黑体" w:eastAsia="黑体" w:hAnsi="黑体" w:hint="eastAsia"/>
        </w:rPr>
        <w:t>.</w:t>
      </w:r>
      <w:r>
        <w:rPr>
          <w:rFonts w:ascii="黑体" w:eastAsia="黑体" w:hAnsi="黑体"/>
        </w:rPr>
        <w:t>2</w:t>
      </w:r>
      <w:r>
        <w:rPr>
          <w:rFonts w:ascii="黑体" w:eastAsia="黑体" w:hAnsi="黑体" w:hint="eastAsia"/>
        </w:rPr>
        <w:t>洗碗机运输阶段清单</w:t>
      </w:r>
    </w:p>
    <w:tbl>
      <w:tblPr>
        <w:tblStyle w:val="afffa"/>
        <w:tblW w:w="0" w:type="auto"/>
        <w:tblLook w:val="04A0" w:firstRow="1" w:lastRow="0" w:firstColumn="1" w:lastColumn="0" w:noHBand="0" w:noVBand="1"/>
      </w:tblPr>
      <w:tblGrid>
        <w:gridCol w:w="1870"/>
        <w:gridCol w:w="1874"/>
        <w:gridCol w:w="1874"/>
        <w:gridCol w:w="1863"/>
        <w:gridCol w:w="1863"/>
      </w:tblGrid>
      <w:tr w:rsidR="00D10EA5">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运输对象</w:t>
            </w:r>
            <w:r>
              <w:rPr>
                <w:rFonts w:hint="eastAsia"/>
                <w:sz w:val="20"/>
              </w:rPr>
              <w:t>/</w:t>
            </w:r>
            <w:r>
              <w:rPr>
                <w:rFonts w:hint="eastAsia"/>
                <w:sz w:val="20"/>
              </w:rPr>
              <w:t>零部件</w:t>
            </w:r>
          </w:p>
          <w:p w:rsidR="00D10EA5" w:rsidRDefault="00116086">
            <w:pPr>
              <w:pStyle w:val="affff1"/>
              <w:tabs>
                <w:tab w:val="clear" w:pos="4201"/>
                <w:tab w:val="center" w:pos="709"/>
              </w:tabs>
              <w:ind w:firstLineChars="0" w:firstLine="0"/>
              <w:jc w:val="center"/>
              <w:rPr>
                <w:sz w:val="20"/>
              </w:rPr>
            </w:pPr>
            <w:r>
              <w:rPr>
                <w:rFonts w:hint="eastAsia"/>
                <w:sz w:val="20"/>
              </w:rPr>
              <w:t>名称</w:t>
            </w:r>
          </w:p>
        </w:tc>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质量（公斤</w:t>
            </w:r>
            <w:r>
              <w:rPr>
                <w:rFonts w:hint="eastAsia"/>
                <w:sz w:val="20"/>
              </w:rPr>
              <w:t>/kg</w:t>
            </w:r>
            <w:r>
              <w:rPr>
                <w:rFonts w:hint="eastAsia"/>
                <w:sz w:val="20"/>
              </w:rPr>
              <w:t>）</w:t>
            </w:r>
          </w:p>
        </w:tc>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运输距离（公里</w:t>
            </w:r>
            <w:r>
              <w:rPr>
                <w:rFonts w:hint="eastAsia"/>
                <w:sz w:val="20"/>
              </w:rPr>
              <w:t>/km</w:t>
            </w:r>
            <w:r>
              <w:rPr>
                <w:rFonts w:hint="eastAsia"/>
                <w:sz w:val="20"/>
              </w:rPr>
              <w:t>）</w:t>
            </w:r>
          </w:p>
        </w:tc>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运输工具</w:t>
            </w:r>
          </w:p>
        </w:tc>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燃料类型</w:t>
            </w:r>
          </w:p>
        </w:tc>
      </w:tr>
      <w:tr w:rsidR="00D10EA5">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洗碗机</w:t>
            </w: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r>
      <w:tr w:rsidR="00D10EA5">
        <w:tc>
          <w:tcPr>
            <w:tcW w:w="1914" w:type="dxa"/>
          </w:tcPr>
          <w:p w:rsidR="00D10EA5" w:rsidRDefault="00116086">
            <w:pPr>
              <w:pStyle w:val="affff1"/>
              <w:tabs>
                <w:tab w:val="clear" w:pos="4201"/>
                <w:tab w:val="center" w:pos="709"/>
              </w:tabs>
              <w:ind w:firstLineChars="0" w:firstLine="0"/>
              <w:jc w:val="center"/>
              <w:rPr>
                <w:sz w:val="20"/>
              </w:rPr>
            </w:pPr>
            <w:r>
              <w:rPr>
                <w:rFonts w:hint="eastAsia"/>
                <w:sz w:val="20"/>
              </w:rPr>
              <w:t>……</w:t>
            </w: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c>
          <w:tcPr>
            <w:tcW w:w="1914" w:type="dxa"/>
          </w:tcPr>
          <w:p w:rsidR="00D10EA5" w:rsidRDefault="00D10EA5">
            <w:pPr>
              <w:pStyle w:val="affff1"/>
              <w:tabs>
                <w:tab w:val="clear" w:pos="4201"/>
                <w:tab w:val="center" w:pos="709"/>
              </w:tabs>
              <w:ind w:firstLineChars="0" w:firstLine="0"/>
              <w:jc w:val="center"/>
              <w:rPr>
                <w:sz w:val="20"/>
              </w:rPr>
            </w:pPr>
          </w:p>
        </w:tc>
      </w:tr>
    </w:tbl>
    <w:p w:rsidR="00D10EA5" w:rsidRDefault="00D10EA5">
      <w:pPr>
        <w:pStyle w:val="affff1"/>
        <w:tabs>
          <w:tab w:val="clear" w:pos="4201"/>
          <w:tab w:val="center" w:pos="709"/>
        </w:tabs>
        <w:ind w:firstLineChars="0" w:firstLine="0"/>
        <w:rPr>
          <w:sz w:val="21"/>
        </w:rPr>
      </w:pPr>
    </w:p>
    <w:p w:rsidR="00D10EA5" w:rsidRDefault="00116086">
      <w:pPr>
        <w:pStyle w:val="affff1"/>
        <w:tabs>
          <w:tab w:val="clear" w:pos="4201"/>
          <w:tab w:val="center" w:pos="709"/>
        </w:tabs>
        <w:ind w:firstLineChars="0" w:firstLine="0"/>
        <w:jc w:val="center"/>
        <w:rPr>
          <w:rFonts w:ascii="黑体" w:eastAsia="黑体" w:hAnsi="黑体"/>
        </w:rPr>
      </w:pPr>
      <w:r>
        <w:rPr>
          <w:rFonts w:ascii="黑体" w:eastAsia="黑体" w:hAnsi="黑体" w:hint="eastAsia"/>
        </w:rPr>
        <w:t>表</w:t>
      </w:r>
      <w:r>
        <w:rPr>
          <w:rFonts w:ascii="黑体" w:eastAsia="黑体" w:hAnsi="黑体"/>
        </w:rPr>
        <w:t>A.3</w:t>
      </w:r>
      <w:r>
        <w:rPr>
          <w:rFonts w:ascii="黑体" w:eastAsia="黑体" w:hAnsi="黑体" w:hint="eastAsia"/>
        </w:rPr>
        <w:t>洗碗机生产阶段清单</w:t>
      </w:r>
    </w:p>
    <w:tbl>
      <w:tblPr>
        <w:tblStyle w:val="afffa"/>
        <w:tblW w:w="0" w:type="auto"/>
        <w:tblLook w:val="04A0" w:firstRow="1" w:lastRow="0" w:firstColumn="1" w:lastColumn="0" w:noHBand="0" w:noVBand="1"/>
      </w:tblPr>
      <w:tblGrid>
        <w:gridCol w:w="2331"/>
        <w:gridCol w:w="2347"/>
        <w:gridCol w:w="2333"/>
        <w:gridCol w:w="2333"/>
      </w:tblGrid>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能耗</w:t>
            </w:r>
            <w:r>
              <w:rPr>
                <w:rFonts w:hint="eastAsia"/>
                <w:sz w:val="20"/>
              </w:rPr>
              <w:t>/</w:t>
            </w:r>
            <w:r>
              <w:rPr>
                <w:rFonts w:hint="eastAsia"/>
                <w:sz w:val="20"/>
              </w:rPr>
              <w:t>其他物质消耗量种类</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单位</w:t>
            </w:r>
          </w:p>
        </w:tc>
        <w:tc>
          <w:tcPr>
            <w:tcW w:w="2393"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热值</w:t>
            </w:r>
          </w:p>
        </w:tc>
        <w:tc>
          <w:tcPr>
            <w:tcW w:w="2393"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单位产品消耗量</w:t>
            </w:r>
          </w:p>
        </w:tc>
      </w:tr>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电</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千瓦时（</w:t>
            </w:r>
            <w:r>
              <w:rPr>
                <w:rFonts w:hint="eastAsia"/>
                <w:sz w:val="20"/>
              </w:rPr>
              <w:t>kWh</w:t>
            </w:r>
            <w:r>
              <w:rPr>
                <w:rFonts w:hint="eastAsia"/>
                <w:sz w:val="20"/>
              </w:rPr>
              <w:t>）</w:t>
            </w:r>
          </w:p>
        </w:tc>
        <w:tc>
          <w:tcPr>
            <w:tcW w:w="2393"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w:t>
            </w:r>
          </w:p>
        </w:tc>
        <w:tc>
          <w:tcPr>
            <w:tcW w:w="2393" w:type="dxa"/>
            <w:vAlign w:val="center"/>
          </w:tcPr>
          <w:p w:rsidR="00D10EA5" w:rsidRDefault="00D10EA5">
            <w:pPr>
              <w:pStyle w:val="affff1"/>
              <w:tabs>
                <w:tab w:val="clear" w:pos="4201"/>
                <w:tab w:val="center" w:pos="709"/>
              </w:tabs>
              <w:ind w:firstLineChars="0" w:firstLine="0"/>
              <w:jc w:val="center"/>
              <w:rPr>
                <w:sz w:val="20"/>
              </w:rPr>
            </w:pPr>
          </w:p>
        </w:tc>
      </w:tr>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燃料</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公斤（</w:t>
            </w:r>
            <w:r>
              <w:rPr>
                <w:rFonts w:hint="eastAsia"/>
                <w:sz w:val="20"/>
              </w:rPr>
              <w:t>kg</w:t>
            </w:r>
            <w:r>
              <w:rPr>
                <w:rFonts w:hint="eastAsia"/>
                <w:sz w:val="20"/>
              </w:rPr>
              <w:t>）</w:t>
            </w:r>
          </w:p>
        </w:tc>
        <w:tc>
          <w:tcPr>
            <w:tcW w:w="2393" w:type="dxa"/>
            <w:vAlign w:val="center"/>
          </w:tcPr>
          <w:p w:rsidR="00D10EA5" w:rsidRDefault="00D10EA5">
            <w:pPr>
              <w:pStyle w:val="affff1"/>
              <w:tabs>
                <w:tab w:val="clear" w:pos="4201"/>
                <w:tab w:val="center" w:pos="709"/>
              </w:tabs>
              <w:ind w:firstLineChars="0" w:firstLine="0"/>
              <w:jc w:val="center"/>
              <w:rPr>
                <w:sz w:val="20"/>
              </w:rPr>
            </w:pPr>
          </w:p>
        </w:tc>
        <w:tc>
          <w:tcPr>
            <w:tcW w:w="2393" w:type="dxa"/>
            <w:vAlign w:val="center"/>
          </w:tcPr>
          <w:p w:rsidR="00D10EA5" w:rsidRDefault="00D10EA5">
            <w:pPr>
              <w:pStyle w:val="affff1"/>
              <w:tabs>
                <w:tab w:val="clear" w:pos="4201"/>
                <w:tab w:val="center" w:pos="709"/>
              </w:tabs>
              <w:ind w:firstLineChars="0" w:firstLine="0"/>
              <w:jc w:val="center"/>
              <w:rPr>
                <w:sz w:val="20"/>
              </w:rPr>
            </w:pPr>
          </w:p>
        </w:tc>
      </w:tr>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天然气</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立方米（</w:t>
            </w:r>
            <w:r>
              <w:rPr>
                <w:rFonts w:hint="eastAsia"/>
                <w:sz w:val="20"/>
              </w:rPr>
              <w:t>m</w:t>
            </w:r>
            <w:r>
              <w:rPr>
                <w:rFonts w:hint="eastAsia"/>
                <w:sz w:val="20"/>
              </w:rPr>
              <w:t>³）</w:t>
            </w:r>
          </w:p>
        </w:tc>
        <w:tc>
          <w:tcPr>
            <w:tcW w:w="2393" w:type="dxa"/>
            <w:vAlign w:val="center"/>
          </w:tcPr>
          <w:p w:rsidR="00D10EA5" w:rsidRDefault="00D10EA5">
            <w:pPr>
              <w:pStyle w:val="affff1"/>
              <w:tabs>
                <w:tab w:val="clear" w:pos="4201"/>
                <w:tab w:val="center" w:pos="709"/>
              </w:tabs>
              <w:ind w:firstLineChars="0" w:firstLine="0"/>
              <w:jc w:val="center"/>
              <w:rPr>
                <w:sz w:val="20"/>
              </w:rPr>
            </w:pPr>
          </w:p>
        </w:tc>
        <w:tc>
          <w:tcPr>
            <w:tcW w:w="2393" w:type="dxa"/>
            <w:vAlign w:val="center"/>
          </w:tcPr>
          <w:p w:rsidR="00D10EA5" w:rsidRDefault="00D10EA5">
            <w:pPr>
              <w:pStyle w:val="affff1"/>
              <w:tabs>
                <w:tab w:val="clear" w:pos="4201"/>
                <w:tab w:val="center" w:pos="709"/>
              </w:tabs>
              <w:ind w:firstLineChars="0" w:firstLine="0"/>
              <w:jc w:val="center"/>
              <w:rPr>
                <w:sz w:val="20"/>
              </w:rPr>
            </w:pPr>
          </w:p>
        </w:tc>
      </w:tr>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液化石油气</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立方米（</w:t>
            </w:r>
            <w:r>
              <w:rPr>
                <w:rFonts w:hint="eastAsia"/>
                <w:sz w:val="20"/>
              </w:rPr>
              <w:t>m</w:t>
            </w:r>
            <w:r>
              <w:rPr>
                <w:rFonts w:hint="eastAsia"/>
                <w:sz w:val="20"/>
              </w:rPr>
              <w:t>³）</w:t>
            </w:r>
          </w:p>
        </w:tc>
        <w:tc>
          <w:tcPr>
            <w:tcW w:w="2393" w:type="dxa"/>
            <w:vAlign w:val="center"/>
          </w:tcPr>
          <w:p w:rsidR="00D10EA5" w:rsidRDefault="00D10EA5">
            <w:pPr>
              <w:pStyle w:val="affff1"/>
              <w:tabs>
                <w:tab w:val="clear" w:pos="4201"/>
                <w:tab w:val="center" w:pos="709"/>
              </w:tabs>
              <w:ind w:firstLineChars="0" w:firstLine="0"/>
              <w:jc w:val="center"/>
              <w:rPr>
                <w:sz w:val="20"/>
              </w:rPr>
            </w:pPr>
          </w:p>
        </w:tc>
        <w:tc>
          <w:tcPr>
            <w:tcW w:w="2393" w:type="dxa"/>
            <w:vAlign w:val="center"/>
          </w:tcPr>
          <w:p w:rsidR="00D10EA5" w:rsidRDefault="00D10EA5">
            <w:pPr>
              <w:pStyle w:val="affff1"/>
              <w:tabs>
                <w:tab w:val="clear" w:pos="4201"/>
                <w:tab w:val="center" w:pos="709"/>
              </w:tabs>
              <w:ind w:firstLineChars="0" w:firstLine="0"/>
              <w:jc w:val="center"/>
              <w:rPr>
                <w:sz w:val="20"/>
              </w:rPr>
            </w:pPr>
          </w:p>
        </w:tc>
      </w:tr>
      <w:tr w:rsidR="00D10EA5">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燃油</w:t>
            </w:r>
          </w:p>
        </w:tc>
        <w:tc>
          <w:tcPr>
            <w:tcW w:w="2392"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升（</w:t>
            </w:r>
            <w:r>
              <w:rPr>
                <w:rFonts w:hint="eastAsia"/>
                <w:sz w:val="20"/>
              </w:rPr>
              <w:t>L</w:t>
            </w:r>
            <w:r>
              <w:rPr>
                <w:rFonts w:hint="eastAsia"/>
                <w:sz w:val="20"/>
              </w:rPr>
              <w:t>）</w:t>
            </w:r>
          </w:p>
        </w:tc>
        <w:tc>
          <w:tcPr>
            <w:tcW w:w="2393" w:type="dxa"/>
            <w:vAlign w:val="center"/>
          </w:tcPr>
          <w:p w:rsidR="00D10EA5" w:rsidRDefault="00D10EA5">
            <w:pPr>
              <w:pStyle w:val="affff1"/>
              <w:tabs>
                <w:tab w:val="clear" w:pos="4201"/>
                <w:tab w:val="center" w:pos="709"/>
              </w:tabs>
              <w:ind w:firstLineChars="0" w:firstLine="0"/>
              <w:jc w:val="center"/>
              <w:rPr>
                <w:sz w:val="20"/>
              </w:rPr>
            </w:pPr>
          </w:p>
        </w:tc>
        <w:tc>
          <w:tcPr>
            <w:tcW w:w="2393" w:type="dxa"/>
            <w:vAlign w:val="center"/>
          </w:tcPr>
          <w:p w:rsidR="00D10EA5" w:rsidRDefault="00D10EA5">
            <w:pPr>
              <w:pStyle w:val="affff1"/>
              <w:tabs>
                <w:tab w:val="clear" w:pos="4201"/>
                <w:tab w:val="center" w:pos="709"/>
              </w:tabs>
              <w:ind w:firstLineChars="0" w:firstLine="0"/>
              <w:jc w:val="center"/>
              <w:rPr>
                <w:sz w:val="20"/>
              </w:rPr>
            </w:pPr>
          </w:p>
        </w:tc>
      </w:tr>
    </w:tbl>
    <w:p w:rsidR="00D10EA5" w:rsidRDefault="00D10EA5">
      <w:pPr>
        <w:pStyle w:val="affff1"/>
        <w:tabs>
          <w:tab w:val="clear" w:pos="4201"/>
          <w:tab w:val="center" w:pos="709"/>
        </w:tabs>
        <w:ind w:firstLineChars="0" w:firstLine="0"/>
        <w:rPr>
          <w:sz w:val="21"/>
        </w:rPr>
      </w:pPr>
    </w:p>
    <w:p w:rsidR="00D10EA5" w:rsidRDefault="00116086">
      <w:pPr>
        <w:pStyle w:val="affff1"/>
        <w:tabs>
          <w:tab w:val="clear" w:pos="4201"/>
          <w:tab w:val="center" w:pos="709"/>
        </w:tabs>
        <w:ind w:firstLineChars="0" w:firstLine="0"/>
        <w:jc w:val="center"/>
        <w:rPr>
          <w:rFonts w:ascii="黑体" w:eastAsia="黑体" w:hAnsi="黑体"/>
        </w:rPr>
      </w:pPr>
      <w:r>
        <w:rPr>
          <w:rFonts w:ascii="黑体" w:eastAsia="黑体" w:hAnsi="黑体" w:hint="eastAsia"/>
        </w:rPr>
        <w:t>表</w:t>
      </w:r>
      <w:r>
        <w:rPr>
          <w:rFonts w:ascii="黑体" w:eastAsia="黑体" w:hAnsi="黑体"/>
        </w:rPr>
        <w:t>A.4</w:t>
      </w:r>
      <w:r>
        <w:rPr>
          <w:rFonts w:ascii="黑体" w:eastAsia="黑体" w:hAnsi="黑体" w:hint="eastAsia"/>
        </w:rPr>
        <w:t>洗碗机使用阶段清单</w:t>
      </w:r>
    </w:p>
    <w:tbl>
      <w:tblPr>
        <w:tblStyle w:val="afffa"/>
        <w:tblW w:w="0" w:type="auto"/>
        <w:tblLook w:val="04A0" w:firstRow="1" w:lastRow="0" w:firstColumn="1" w:lastColumn="0" w:noHBand="0" w:noVBand="1"/>
      </w:tblPr>
      <w:tblGrid>
        <w:gridCol w:w="3111"/>
        <w:gridCol w:w="3122"/>
        <w:gridCol w:w="3111"/>
      </w:tblGrid>
      <w:tr w:rsidR="00D10EA5">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名称</w:t>
            </w:r>
          </w:p>
        </w:tc>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单位</w:t>
            </w:r>
          </w:p>
        </w:tc>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数量</w:t>
            </w:r>
          </w:p>
        </w:tc>
      </w:tr>
      <w:tr w:rsidR="00D10EA5">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设计使用寿命</w:t>
            </w:r>
          </w:p>
        </w:tc>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次</w:t>
            </w:r>
          </w:p>
        </w:tc>
        <w:tc>
          <w:tcPr>
            <w:tcW w:w="3190" w:type="dxa"/>
            <w:vAlign w:val="center"/>
          </w:tcPr>
          <w:p w:rsidR="00D10EA5" w:rsidRDefault="00D10EA5">
            <w:pPr>
              <w:pStyle w:val="affff1"/>
              <w:tabs>
                <w:tab w:val="clear" w:pos="4201"/>
                <w:tab w:val="center" w:pos="709"/>
              </w:tabs>
              <w:ind w:firstLineChars="0" w:firstLine="0"/>
              <w:jc w:val="center"/>
              <w:rPr>
                <w:sz w:val="20"/>
              </w:rPr>
            </w:pPr>
          </w:p>
        </w:tc>
      </w:tr>
      <w:tr w:rsidR="00D10EA5">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单位洗涤周期耗电量</w:t>
            </w:r>
          </w:p>
        </w:tc>
        <w:tc>
          <w:tcPr>
            <w:tcW w:w="3190" w:type="dxa"/>
            <w:vAlign w:val="center"/>
          </w:tcPr>
          <w:p w:rsidR="00D10EA5" w:rsidRDefault="00116086">
            <w:pPr>
              <w:pStyle w:val="affff1"/>
              <w:tabs>
                <w:tab w:val="clear" w:pos="4201"/>
                <w:tab w:val="center" w:pos="709"/>
              </w:tabs>
              <w:ind w:firstLineChars="0" w:firstLine="0"/>
              <w:jc w:val="center"/>
              <w:rPr>
                <w:sz w:val="20"/>
              </w:rPr>
            </w:pPr>
            <w:r>
              <w:rPr>
                <w:rFonts w:hint="eastAsia"/>
                <w:sz w:val="20"/>
              </w:rPr>
              <w:t>千瓦时每次（</w:t>
            </w:r>
            <w:r>
              <w:rPr>
                <w:rFonts w:hint="eastAsia"/>
                <w:sz w:val="20"/>
              </w:rPr>
              <w:t>kWh</w:t>
            </w:r>
            <w:r>
              <w:rPr>
                <w:sz w:val="20"/>
              </w:rPr>
              <w:t>/</w:t>
            </w:r>
            <w:r>
              <w:rPr>
                <w:rFonts w:hint="eastAsia"/>
                <w:sz w:val="20"/>
              </w:rPr>
              <w:t>次）</w:t>
            </w:r>
          </w:p>
        </w:tc>
        <w:tc>
          <w:tcPr>
            <w:tcW w:w="3190" w:type="dxa"/>
            <w:vAlign w:val="center"/>
          </w:tcPr>
          <w:p w:rsidR="00D10EA5" w:rsidRDefault="00D10EA5">
            <w:pPr>
              <w:pStyle w:val="affff1"/>
              <w:tabs>
                <w:tab w:val="clear" w:pos="4201"/>
                <w:tab w:val="center" w:pos="709"/>
              </w:tabs>
              <w:ind w:firstLineChars="0" w:firstLine="0"/>
              <w:jc w:val="center"/>
              <w:rPr>
                <w:sz w:val="20"/>
              </w:rPr>
            </w:pPr>
          </w:p>
        </w:tc>
      </w:tr>
    </w:tbl>
    <w:p w:rsidR="00D10EA5" w:rsidRDefault="00D10EA5">
      <w:pPr>
        <w:pStyle w:val="affff1"/>
        <w:tabs>
          <w:tab w:val="clear" w:pos="4201"/>
          <w:tab w:val="center" w:pos="709"/>
        </w:tabs>
        <w:ind w:firstLineChars="0" w:firstLine="0"/>
        <w:rPr>
          <w:sz w:val="21"/>
        </w:rPr>
      </w:pPr>
    </w:p>
    <w:p w:rsidR="00D10EA5" w:rsidRDefault="00116086">
      <w:pPr>
        <w:pStyle w:val="aff"/>
        <w:spacing w:before="156" w:after="156"/>
      </w:pPr>
      <w:r>
        <w:rPr>
          <w:rFonts w:hint="eastAsia"/>
        </w:rPr>
        <w:t>清单分析</w:t>
      </w:r>
    </w:p>
    <w:p w:rsidR="00D10EA5" w:rsidRDefault="00116086">
      <w:pPr>
        <w:pStyle w:val="affff1"/>
        <w:rPr>
          <w:sz w:val="21"/>
        </w:rPr>
      </w:pPr>
      <w:r>
        <w:rPr>
          <w:rFonts w:hint="eastAsia"/>
          <w:sz w:val="21"/>
        </w:rPr>
        <w:t>所收集的数据进行核实后，利用生命周期评估软件进行数据的分析处理，用以建立生命周期评价科学完整的计算程序。通过建立各个过程单元模块，输入各过程单元的数据，可得到全部输入与输出物质和排放清单，选择</w:t>
      </w:r>
      <w:r>
        <w:rPr>
          <w:sz w:val="21"/>
        </w:rPr>
        <w:t>A.4.2</w:t>
      </w:r>
      <w:r>
        <w:rPr>
          <w:rFonts w:hint="eastAsia"/>
          <w:sz w:val="21"/>
        </w:rPr>
        <w:t>中附表各个清单因子的量（以</w:t>
      </w:r>
      <w:r>
        <w:rPr>
          <w:rFonts w:hint="eastAsia"/>
          <w:sz w:val="21"/>
        </w:rPr>
        <w:t>kg</w:t>
      </w:r>
      <w:r>
        <w:rPr>
          <w:rFonts w:hint="eastAsia"/>
          <w:sz w:val="21"/>
        </w:rPr>
        <w:t>为单位），为分类</w:t>
      </w:r>
      <w:proofErr w:type="gramStart"/>
      <w:r>
        <w:rPr>
          <w:rFonts w:hint="eastAsia"/>
          <w:sz w:val="21"/>
        </w:rPr>
        <w:t>评价做</w:t>
      </w:r>
      <w:proofErr w:type="gramEnd"/>
      <w:r>
        <w:rPr>
          <w:rFonts w:hint="eastAsia"/>
          <w:sz w:val="21"/>
        </w:rPr>
        <w:t>准备。</w:t>
      </w:r>
    </w:p>
    <w:p w:rsidR="00D10EA5" w:rsidRDefault="00116086">
      <w:pPr>
        <w:pStyle w:val="afd"/>
        <w:spacing w:beforeLines="0" w:afterLines="0"/>
        <w:rPr>
          <w:szCs w:val="21"/>
        </w:rPr>
      </w:pPr>
      <w:r>
        <w:rPr>
          <w:rFonts w:hint="eastAsia"/>
          <w:szCs w:val="21"/>
        </w:rPr>
        <w:t>影响评价</w:t>
      </w:r>
    </w:p>
    <w:p w:rsidR="00D10EA5" w:rsidRDefault="00116086">
      <w:pPr>
        <w:pStyle w:val="afe"/>
        <w:spacing w:before="156" w:after="156"/>
      </w:pPr>
      <w:r>
        <w:rPr>
          <w:rFonts w:hint="eastAsia"/>
        </w:rPr>
        <w:t>影响类型</w:t>
      </w:r>
    </w:p>
    <w:p w:rsidR="00D10EA5" w:rsidRDefault="00116086">
      <w:pPr>
        <w:pStyle w:val="affff1"/>
        <w:rPr>
          <w:sz w:val="21"/>
        </w:rPr>
      </w:pPr>
      <w:r>
        <w:rPr>
          <w:rFonts w:hint="eastAsia"/>
          <w:sz w:val="21"/>
        </w:rPr>
        <w:t>洗碗机的影响类型采用气候变化指标。建议选择国内节能减</w:t>
      </w:r>
      <w:proofErr w:type="gramStart"/>
      <w:r>
        <w:rPr>
          <w:rFonts w:hint="eastAsia"/>
          <w:sz w:val="21"/>
        </w:rPr>
        <w:t>排相关</w:t>
      </w:r>
      <w:proofErr w:type="gramEnd"/>
      <w:r>
        <w:rPr>
          <w:rFonts w:hint="eastAsia"/>
          <w:sz w:val="21"/>
        </w:rPr>
        <w:t>的约束性指标：二氧化碳、资源消耗、能源消耗、二氧化硫、氮氧化物、氨氮、</w:t>
      </w:r>
      <w:r>
        <w:rPr>
          <w:rFonts w:hint="eastAsia"/>
          <w:sz w:val="21"/>
        </w:rPr>
        <w:t>COD</w:t>
      </w:r>
      <w:r>
        <w:rPr>
          <w:rFonts w:hint="eastAsia"/>
          <w:sz w:val="21"/>
        </w:rPr>
        <w:t>等。</w:t>
      </w:r>
    </w:p>
    <w:p w:rsidR="00D10EA5" w:rsidRDefault="00116086">
      <w:pPr>
        <w:pStyle w:val="afe"/>
        <w:spacing w:before="156" w:after="156"/>
      </w:pPr>
      <w:r>
        <w:rPr>
          <w:rFonts w:hint="eastAsia"/>
        </w:rPr>
        <w:t>清单因子归类</w:t>
      </w:r>
    </w:p>
    <w:p w:rsidR="00D10EA5" w:rsidRDefault="00116086">
      <w:pPr>
        <w:pStyle w:val="affff1"/>
        <w:rPr>
          <w:sz w:val="21"/>
        </w:rPr>
      </w:pPr>
      <w:r>
        <w:rPr>
          <w:rFonts w:hint="eastAsia"/>
          <w:sz w:val="21"/>
        </w:rPr>
        <w:t>根据清单因子的物理化学性质，将对</w:t>
      </w:r>
      <w:proofErr w:type="gramStart"/>
      <w:r>
        <w:rPr>
          <w:rFonts w:hint="eastAsia"/>
          <w:sz w:val="21"/>
        </w:rPr>
        <w:t>某影响</w:t>
      </w:r>
      <w:proofErr w:type="gramEnd"/>
      <w:r>
        <w:rPr>
          <w:rFonts w:hint="eastAsia"/>
          <w:sz w:val="21"/>
        </w:rPr>
        <w:t>类型有贡献的因子归到一起。例如，将对气候变化有贡献的二氧化碳、一氧化二氮等清单因子归到气候变化影响类型里面。</w:t>
      </w:r>
    </w:p>
    <w:p w:rsidR="00D10EA5" w:rsidRDefault="00D10EA5">
      <w:pPr>
        <w:pStyle w:val="affff1"/>
        <w:rPr>
          <w:sz w:val="21"/>
        </w:rPr>
      </w:pPr>
    </w:p>
    <w:p w:rsidR="00D10EA5" w:rsidRDefault="00116086">
      <w:pPr>
        <w:pStyle w:val="affff1"/>
        <w:ind w:firstLineChars="0" w:firstLine="0"/>
        <w:jc w:val="center"/>
        <w:rPr>
          <w:rFonts w:ascii="黑体" w:eastAsia="黑体" w:hAnsi="黑体"/>
        </w:rPr>
      </w:pPr>
      <w:r>
        <w:rPr>
          <w:rFonts w:ascii="黑体" w:eastAsia="黑体" w:hAnsi="黑体" w:hint="eastAsia"/>
        </w:rPr>
        <w:t>表</w:t>
      </w:r>
      <w:r>
        <w:rPr>
          <w:rFonts w:ascii="黑体" w:eastAsia="黑体" w:hAnsi="黑体"/>
        </w:rPr>
        <w:t>A.5</w:t>
      </w:r>
      <w:r>
        <w:rPr>
          <w:rFonts w:ascii="黑体" w:eastAsia="黑体" w:hAnsi="黑体" w:hint="eastAsia"/>
        </w:rPr>
        <w:t>洗碗机生命周期清单影响因子归类</w:t>
      </w:r>
    </w:p>
    <w:tbl>
      <w:tblPr>
        <w:tblStyle w:val="afffa"/>
        <w:tblW w:w="0" w:type="auto"/>
        <w:tblLook w:val="04A0" w:firstRow="1" w:lastRow="0" w:firstColumn="1" w:lastColumn="0" w:noHBand="0" w:noVBand="1"/>
      </w:tblPr>
      <w:tblGrid>
        <w:gridCol w:w="2183"/>
        <w:gridCol w:w="7161"/>
      </w:tblGrid>
      <w:tr w:rsidR="00D10EA5">
        <w:tc>
          <w:tcPr>
            <w:tcW w:w="2235" w:type="dxa"/>
          </w:tcPr>
          <w:p w:rsidR="00D10EA5" w:rsidRDefault="00116086">
            <w:pPr>
              <w:pStyle w:val="affff1"/>
              <w:ind w:firstLineChars="0" w:firstLine="0"/>
              <w:jc w:val="center"/>
              <w:rPr>
                <w:sz w:val="20"/>
              </w:rPr>
            </w:pPr>
            <w:r>
              <w:rPr>
                <w:rFonts w:hint="eastAsia"/>
                <w:sz w:val="20"/>
              </w:rPr>
              <w:t>影响类型</w:t>
            </w:r>
          </w:p>
        </w:tc>
        <w:tc>
          <w:tcPr>
            <w:tcW w:w="7335" w:type="dxa"/>
          </w:tcPr>
          <w:p w:rsidR="00D10EA5" w:rsidRDefault="00116086">
            <w:pPr>
              <w:pStyle w:val="affff1"/>
              <w:ind w:firstLineChars="0" w:firstLine="0"/>
              <w:jc w:val="center"/>
              <w:rPr>
                <w:sz w:val="20"/>
              </w:rPr>
            </w:pPr>
            <w:r>
              <w:rPr>
                <w:rFonts w:hint="eastAsia"/>
                <w:sz w:val="20"/>
              </w:rPr>
              <w:t>清单因子归类</w:t>
            </w:r>
          </w:p>
        </w:tc>
      </w:tr>
      <w:tr w:rsidR="00D10EA5">
        <w:tc>
          <w:tcPr>
            <w:tcW w:w="2235" w:type="dxa"/>
          </w:tcPr>
          <w:p w:rsidR="00D10EA5" w:rsidRDefault="00116086">
            <w:pPr>
              <w:pStyle w:val="affff1"/>
              <w:ind w:firstLineChars="0" w:firstLine="0"/>
              <w:jc w:val="center"/>
              <w:rPr>
                <w:sz w:val="20"/>
              </w:rPr>
            </w:pPr>
            <w:r>
              <w:rPr>
                <w:rFonts w:hint="eastAsia"/>
                <w:sz w:val="20"/>
              </w:rPr>
              <w:t>气候变化</w:t>
            </w:r>
            <w:r>
              <w:rPr>
                <w:rFonts w:hint="eastAsia"/>
                <w:sz w:val="20"/>
              </w:rPr>
              <w:t>/</w:t>
            </w:r>
            <w:r>
              <w:rPr>
                <w:rFonts w:hint="eastAsia"/>
                <w:sz w:val="20"/>
              </w:rPr>
              <w:t>碳足迹</w:t>
            </w:r>
          </w:p>
        </w:tc>
        <w:tc>
          <w:tcPr>
            <w:tcW w:w="7335" w:type="dxa"/>
          </w:tcPr>
          <w:p w:rsidR="00D10EA5" w:rsidRDefault="00116086">
            <w:pPr>
              <w:pStyle w:val="affff1"/>
              <w:ind w:firstLineChars="0" w:firstLine="0"/>
              <w:jc w:val="center"/>
              <w:rPr>
                <w:sz w:val="20"/>
              </w:rPr>
            </w:pPr>
            <w:r>
              <w:rPr>
                <w:rFonts w:hint="eastAsia"/>
                <w:sz w:val="20"/>
              </w:rPr>
              <w:t>二氧化碳（</w:t>
            </w:r>
            <w:r>
              <w:rPr>
                <w:rFonts w:hint="eastAsia"/>
                <w:sz w:val="20"/>
              </w:rPr>
              <w:t>C</w:t>
            </w:r>
            <w:r>
              <w:rPr>
                <w:sz w:val="20"/>
              </w:rPr>
              <w:t>O</w:t>
            </w:r>
            <w:r>
              <w:rPr>
                <w:sz w:val="20"/>
                <w:vertAlign w:val="subscript"/>
              </w:rPr>
              <w:t>2</w:t>
            </w:r>
            <w:r>
              <w:rPr>
                <w:rFonts w:hint="eastAsia"/>
                <w:sz w:val="20"/>
              </w:rPr>
              <w:t>）、甲烷（</w:t>
            </w:r>
            <w:r>
              <w:rPr>
                <w:rFonts w:hint="eastAsia"/>
                <w:sz w:val="20"/>
              </w:rPr>
              <w:t>C</w:t>
            </w:r>
            <w:r>
              <w:rPr>
                <w:sz w:val="20"/>
              </w:rPr>
              <w:t>H</w:t>
            </w:r>
            <w:r>
              <w:rPr>
                <w:sz w:val="20"/>
                <w:vertAlign w:val="subscript"/>
              </w:rPr>
              <w:t>4</w:t>
            </w:r>
            <w:r>
              <w:rPr>
                <w:rFonts w:hint="eastAsia"/>
                <w:sz w:val="20"/>
              </w:rPr>
              <w:t>）、氧化亚氮（</w:t>
            </w:r>
            <w:r>
              <w:rPr>
                <w:rFonts w:hint="eastAsia"/>
                <w:sz w:val="20"/>
              </w:rPr>
              <w:t>N</w:t>
            </w:r>
            <w:r>
              <w:rPr>
                <w:sz w:val="20"/>
                <w:vertAlign w:val="subscript"/>
              </w:rPr>
              <w:t>2</w:t>
            </w:r>
            <w:r>
              <w:rPr>
                <w:sz w:val="20"/>
              </w:rPr>
              <w:t>O</w:t>
            </w:r>
            <w:r>
              <w:rPr>
                <w:rFonts w:hint="eastAsia"/>
                <w:sz w:val="20"/>
              </w:rPr>
              <w:t>）、氢氟碳化物（</w:t>
            </w:r>
            <w:r>
              <w:rPr>
                <w:rFonts w:hint="eastAsia"/>
                <w:sz w:val="20"/>
              </w:rPr>
              <w:t>H</w:t>
            </w:r>
            <w:r>
              <w:rPr>
                <w:sz w:val="20"/>
              </w:rPr>
              <w:t>FC</w:t>
            </w:r>
            <w:r>
              <w:rPr>
                <w:rFonts w:hint="eastAsia"/>
                <w:sz w:val="20"/>
              </w:rPr>
              <w:t>s</w:t>
            </w:r>
            <w:r>
              <w:rPr>
                <w:rFonts w:hint="eastAsia"/>
                <w:sz w:val="20"/>
              </w:rPr>
              <w:t>）、</w:t>
            </w:r>
            <w:proofErr w:type="gramStart"/>
            <w:r>
              <w:rPr>
                <w:rFonts w:hint="eastAsia"/>
                <w:sz w:val="20"/>
              </w:rPr>
              <w:t>全氟碳化物</w:t>
            </w:r>
            <w:proofErr w:type="gramEnd"/>
            <w:r>
              <w:rPr>
                <w:rFonts w:hint="eastAsia"/>
                <w:sz w:val="20"/>
              </w:rPr>
              <w:t>（</w:t>
            </w:r>
            <w:r>
              <w:rPr>
                <w:rFonts w:hint="eastAsia"/>
                <w:sz w:val="20"/>
              </w:rPr>
              <w:t>P</w:t>
            </w:r>
            <w:r>
              <w:rPr>
                <w:sz w:val="20"/>
              </w:rPr>
              <w:t>FC</w:t>
            </w:r>
            <w:r>
              <w:rPr>
                <w:rFonts w:hint="eastAsia"/>
                <w:sz w:val="20"/>
              </w:rPr>
              <w:t>s</w:t>
            </w:r>
            <w:r>
              <w:rPr>
                <w:rFonts w:hint="eastAsia"/>
                <w:sz w:val="20"/>
              </w:rPr>
              <w:t>）、六氟化硫（</w:t>
            </w:r>
            <w:r>
              <w:rPr>
                <w:rFonts w:hint="eastAsia"/>
                <w:sz w:val="20"/>
              </w:rPr>
              <w:t>S</w:t>
            </w:r>
            <w:r>
              <w:rPr>
                <w:sz w:val="20"/>
              </w:rPr>
              <w:t>F</w:t>
            </w:r>
            <w:r>
              <w:rPr>
                <w:sz w:val="20"/>
                <w:vertAlign w:val="subscript"/>
              </w:rPr>
              <w:t>6</w:t>
            </w:r>
            <w:r>
              <w:rPr>
                <w:rFonts w:hint="eastAsia"/>
                <w:sz w:val="20"/>
              </w:rPr>
              <w:t>）</w:t>
            </w:r>
          </w:p>
        </w:tc>
      </w:tr>
    </w:tbl>
    <w:p w:rsidR="00D10EA5" w:rsidRDefault="00D10EA5">
      <w:pPr>
        <w:pStyle w:val="affff1"/>
        <w:ind w:firstLine="400"/>
      </w:pPr>
    </w:p>
    <w:p w:rsidR="00D10EA5" w:rsidRDefault="00116086">
      <w:pPr>
        <w:pStyle w:val="afe"/>
        <w:spacing w:before="156" w:after="156"/>
      </w:pPr>
      <w:r>
        <w:rPr>
          <w:rFonts w:hint="eastAsia"/>
        </w:rPr>
        <w:t>分类评价</w:t>
      </w:r>
    </w:p>
    <w:p w:rsidR="00D10EA5" w:rsidRDefault="00116086">
      <w:pPr>
        <w:pStyle w:val="affff1"/>
        <w:rPr>
          <w:sz w:val="21"/>
        </w:rPr>
      </w:pPr>
      <w:r>
        <w:rPr>
          <w:rFonts w:hint="eastAsia"/>
          <w:sz w:val="21"/>
        </w:rPr>
        <w:t>计算出不同影响类型的特征化模型，采用公示（</w:t>
      </w:r>
      <w:r>
        <w:rPr>
          <w:rFonts w:hint="eastAsia"/>
          <w:sz w:val="21"/>
        </w:rPr>
        <w:t>A</w:t>
      </w:r>
      <w:r>
        <w:rPr>
          <w:sz w:val="21"/>
        </w:rPr>
        <w:t>.</w:t>
      </w:r>
      <w:r>
        <w:rPr>
          <w:rFonts w:hint="eastAsia"/>
          <w:sz w:val="21"/>
        </w:rPr>
        <w:t>1</w:t>
      </w:r>
      <w:r>
        <w:rPr>
          <w:rFonts w:hint="eastAsia"/>
          <w:sz w:val="21"/>
        </w:rPr>
        <w:t>）进行计算。分类评价的结果采用附表中的当量物质表示。</w:t>
      </w:r>
    </w:p>
    <w:p w:rsidR="00D10EA5" w:rsidRDefault="00116086">
      <w:pPr>
        <w:pStyle w:val="affff1"/>
        <w:rPr>
          <w:sz w:val="21"/>
        </w:rPr>
      </w:pPr>
      <w:r>
        <w:rPr>
          <w:sz w:val="21"/>
        </w:rPr>
        <w:t>除</w:t>
      </w:r>
      <w:r>
        <w:rPr>
          <w:rFonts w:hint="eastAsia"/>
          <w:sz w:val="21"/>
        </w:rPr>
        <w:t>CO</w:t>
      </w:r>
      <w:r>
        <w:rPr>
          <w:sz w:val="21"/>
          <w:vertAlign w:val="subscript"/>
        </w:rPr>
        <w:t>2</w:t>
      </w:r>
      <w:r>
        <w:rPr>
          <w:rFonts w:hint="eastAsia"/>
          <w:sz w:val="21"/>
        </w:rPr>
        <w:t>当量外，还应包含其他指标。</w:t>
      </w:r>
    </w:p>
    <w:p w:rsidR="00D10EA5" w:rsidRDefault="00116086">
      <w:pPr>
        <w:pStyle w:val="affff1"/>
        <w:ind w:firstLineChars="0" w:firstLine="0"/>
        <w:jc w:val="center"/>
        <w:rPr>
          <w:rFonts w:ascii="黑体" w:eastAsia="黑体" w:hAnsi="黑体"/>
        </w:rPr>
      </w:pPr>
      <w:r>
        <w:rPr>
          <w:rFonts w:ascii="黑体" w:eastAsia="黑体" w:hAnsi="黑体" w:hint="eastAsia"/>
        </w:rPr>
        <w:t>表</w:t>
      </w:r>
      <w:r>
        <w:rPr>
          <w:rFonts w:ascii="黑体" w:eastAsia="黑体" w:hAnsi="黑体"/>
        </w:rPr>
        <w:t>A.6</w:t>
      </w:r>
      <w:r>
        <w:rPr>
          <w:rFonts w:ascii="黑体" w:eastAsia="黑体" w:hAnsi="黑体" w:hint="eastAsia"/>
        </w:rPr>
        <w:t>洗碗机生命周期影响评价的特征化因子</w:t>
      </w:r>
    </w:p>
    <w:tbl>
      <w:tblPr>
        <w:tblStyle w:val="afffa"/>
        <w:tblW w:w="0" w:type="auto"/>
        <w:tblLook w:val="04A0" w:firstRow="1" w:lastRow="0" w:firstColumn="1" w:lastColumn="0" w:noHBand="0" w:noVBand="1"/>
      </w:tblPr>
      <w:tblGrid>
        <w:gridCol w:w="2323"/>
        <w:gridCol w:w="2338"/>
        <w:gridCol w:w="2339"/>
        <w:gridCol w:w="2344"/>
      </w:tblGrid>
      <w:tr w:rsidR="00D10EA5">
        <w:tc>
          <w:tcPr>
            <w:tcW w:w="2392" w:type="dxa"/>
            <w:vAlign w:val="center"/>
          </w:tcPr>
          <w:p w:rsidR="00D10EA5" w:rsidRDefault="00116086">
            <w:pPr>
              <w:pStyle w:val="affff1"/>
              <w:ind w:firstLineChars="0" w:firstLine="0"/>
              <w:jc w:val="center"/>
              <w:rPr>
                <w:sz w:val="20"/>
                <w:szCs w:val="20"/>
              </w:rPr>
            </w:pPr>
            <w:r>
              <w:rPr>
                <w:rFonts w:hint="eastAsia"/>
                <w:sz w:val="20"/>
                <w:szCs w:val="20"/>
              </w:rPr>
              <w:t>影响类型</w:t>
            </w:r>
          </w:p>
        </w:tc>
        <w:tc>
          <w:tcPr>
            <w:tcW w:w="2392" w:type="dxa"/>
            <w:vAlign w:val="center"/>
          </w:tcPr>
          <w:p w:rsidR="00D10EA5" w:rsidRDefault="00116086">
            <w:pPr>
              <w:pStyle w:val="affff1"/>
              <w:ind w:firstLineChars="0" w:firstLine="0"/>
              <w:jc w:val="center"/>
              <w:rPr>
                <w:sz w:val="20"/>
                <w:szCs w:val="20"/>
              </w:rPr>
            </w:pPr>
            <w:r>
              <w:rPr>
                <w:rFonts w:hint="eastAsia"/>
                <w:sz w:val="20"/>
                <w:szCs w:val="20"/>
              </w:rPr>
              <w:t>单位</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指标参数</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特征化因子</w:t>
            </w:r>
          </w:p>
        </w:tc>
      </w:tr>
      <w:tr w:rsidR="00D10EA5">
        <w:tc>
          <w:tcPr>
            <w:tcW w:w="2392" w:type="dxa"/>
            <w:vMerge w:val="restart"/>
            <w:vAlign w:val="center"/>
          </w:tcPr>
          <w:p w:rsidR="00D10EA5" w:rsidRDefault="00116086">
            <w:pPr>
              <w:pStyle w:val="affff1"/>
              <w:ind w:firstLineChars="0" w:firstLine="0"/>
              <w:jc w:val="center"/>
              <w:rPr>
                <w:sz w:val="20"/>
                <w:szCs w:val="20"/>
              </w:rPr>
            </w:pPr>
            <w:r>
              <w:rPr>
                <w:rFonts w:hint="eastAsia"/>
                <w:sz w:val="20"/>
                <w:szCs w:val="20"/>
              </w:rPr>
              <w:t>全球变暖</w:t>
            </w:r>
          </w:p>
        </w:tc>
        <w:tc>
          <w:tcPr>
            <w:tcW w:w="2392" w:type="dxa"/>
            <w:vMerge w:val="restart"/>
            <w:vAlign w:val="center"/>
          </w:tcPr>
          <w:p w:rsidR="00D10EA5" w:rsidRDefault="00116086">
            <w:pPr>
              <w:pStyle w:val="affff1"/>
              <w:ind w:firstLineChars="0" w:firstLine="0"/>
              <w:jc w:val="center"/>
              <w:rPr>
                <w:sz w:val="20"/>
                <w:szCs w:val="20"/>
              </w:rPr>
            </w:pPr>
            <w:r>
              <w:rPr>
                <w:rFonts w:hint="eastAsia"/>
                <w:sz w:val="20"/>
                <w:szCs w:val="20"/>
              </w:rPr>
              <w:t>C</w:t>
            </w:r>
            <w:r>
              <w:rPr>
                <w:sz w:val="20"/>
                <w:szCs w:val="20"/>
              </w:rPr>
              <w:t>O</w:t>
            </w:r>
            <w:r>
              <w:rPr>
                <w:sz w:val="20"/>
                <w:szCs w:val="20"/>
                <w:vertAlign w:val="subscript"/>
              </w:rPr>
              <w:t>2</w:t>
            </w:r>
            <w:r>
              <w:rPr>
                <w:rFonts w:hint="eastAsia"/>
                <w:sz w:val="20"/>
                <w:szCs w:val="20"/>
              </w:rPr>
              <w:t>当量·</w:t>
            </w:r>
            <w:r>
              <w:rPr>
                <w:rFonts w:hint="eastAsia"/>
                <w:sz w:val="20"/>
                <w:szCs w:val="20"/>
              </w:rPr>
              <w:t>kg</w:t>
            </w:r>
            <w:r>
              <w:rPr>
                <w:rFonts w:hint="eastAsia"/>
                <w:sz w:val="20"/>
                <w:szCs w:val="20"/>
                <w:vertAlign w:val="superscript"/>
              </w:rPr>
              <w:t>-</w:t>
            </w:r>
            <w:r>
              <w:rPr>
                <w:sz w:val="20"/>
                <w:szCs w:val="20"/>
                <w:vertAlign w:val="superscript"/>
              </w:rPr>
              <w:t>1</w:t>
            </w:r>
          </w:p>
        </w:tc>
        <w:tc>
          <w:tcPr>
            <w:tcW w:w="2393" w:type="dxa"/>
            <w:vAlign w:val="center"/>
          </w:tcPr>
          <w:p w:rsidR="00D10EA5" w:rsidRDefault="00116086">
            <w:pPr>
              <w:pStyle w:val="affff1"/>
              <w:ind w:firstLineChars="0" w:firstLine="0"/>
              <w:jc w:val="center"/>
              <w:rPr>
                <w:sz w:val="20"/>
                <w:szCs w:val="20"/>
              </w:rPr>
            </w:pPr>
            <w:r>
              <w:rPr>
                <w:rFonts w:hint="eastAsia"/>
                <w:sz w:val="20"/>
              </w:rPr>
              <w:t>二氧化碳（</w:t>
            </w:r>
            <w:r>
              <w:rPr>
                <w:rFonts w:hint="eastAsia"/>
                <w:sz w:val="20"/>
              </w:rPr>
              <w:t>C</w:t>
            </w:r>
            <w:r>
              <w:rPr>
                <w:sz w:val="20"/>
              </w:rPr>
              <w:t>O</w:t>
            </w:r>
            <w:r>
              <w:rPr>
                <w:sz w:val="20"/>
                <w:vertAlign w:val="subscript"/>
              </w:rPr>
              <w:t>2</w:t>
            </w:r>
            <w:r>
              <w:rPr>
                <w:rFonts w:hint="eastAsia"/>
                <w:sz w:val="20"/>
              </w:rPr>
              <w:t>）</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rPr>
              <w:t>甲烷（</w:t>
            </w:r>
            <w:r>
              <w:rPr>
                <w:rFonts w:hint="eastAsia"/>
                <w:sz w:val="20"/>
              </w:rPr>
              <w:t>C</w:t>
            </w:r>
            <w:r>
              <w:rPr>
                <w:sz w:val="20"/>
              </w:rPr>
              <w:t>H</w:t>
            </w:r>
            <w:r>
              <w:rPr>
                <w:sz w:val="20"/>
                <w:vertAlign w:val="subscript"/>
              </w:rPr>
              <w:t>4</w:t>
            </w:r>
            <w:r>
              <w:rPr>
                <w:rFonts w:hint="eastAsia"/>
                <w:sz w:val="20"/>
              </w:rPr>
              <w:t>）</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2</w:t>
            </w:r>
            <w:r>
              <w:rPr>
                <w:sz w:val="20"/>
                <w:szCs w:val="20"/>
              </w:rPr>
              <w:t>5</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rPr>
              <w:t>氧化亚氮（</w:t>
            </w:r>
            <w:r>
              <w:rPr>
                <w:rFonts w:hint="eastAsia"/>
                <w:sz w:val="20"/>
              </w:rPr>
              <w:t>N</w:t>
            </w:r>
            <w:r>
              <w:rPr>
                <w:sz w:val="20"/>
                <w:vertAlign w:val="subscript"/>
              </w:rPr>
              <w:t>2</w:t>
            </w:r>
            <w:r>
              <w:rPr>
                <w:sz w:val="20"/>
              </w:rPr>
              <w:t>O</w:t>
            </w:r>
            <w:r>
              <w:rPr>
                <w:rFonts w:hint="eastAsia"/>
                <w:sz w:val="20"/>
              </w:rPr>
              <w:t>）</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2</w:t>
            </w:r>
            <w:r>
              <w:rPr>
                <w:sz w:val="20"/>
                <w:szCs w:val="20"/>
              </w:rPr>
              <w:t>98</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11</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4</w:t>
            </w:r>
            <w:r>
              <w:rPr>
                <w:sz w:val="20"/>
                <w:szCs w:val="20"/>
              </w:rPr>
              <w:t>.75E003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12</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.09E004</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113</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6</w:t>
            </w:r>
            <w:r>
              <w:rPr>
                <w:sz w:val="20"/>
                <w:szCs w:val="20"/>
              </w:rPr>
              <w:t>.13E003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114</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E004</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115</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7</w:t>
            </w:r>
            <w:r>
              <w:rPr>
                <w:sz w:val="20"/>
                <w:szCs w:val="20"/>
              </w:rPr>
              <w:t>.37E003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500</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3</w:t>
            </w:r>
            <w:r>
              <w:rPr>
                <w:sz w:val="20"/>
                <w:szCs w:val="20"/>
              </w:rPr>
              <w:t>7</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502</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0</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22</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.81E003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123</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7</w:t>
            </w:r>
            <w:r>
              <w:rPr>
                <w:sz w:val="20"/>
                <w:szCs w:val="20"/>
              </w:rPr>
              <w:t>7</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141</w:t>
            </w:r>
            <w:r>
              <w:rPr>
                <w:rFonts w:hint="eastAsia"/>
                <w:sz w:val="20"/>
                <w:szCs w:val="20"/>
              </w:rPr>
              <w:t>b</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7</w:t>
            </w:r>
            <w:r>
              <w:rPr>
                <w:sz w:val="20"/>
                <w:szCs w:val="20"/>
              </w:rPr>
              <w:t>25</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142</w:t>
            </w:r>
            <w:r>
              <w:rPr>
                <w:rFonts w:hint="eastAsia"/>
                <w:sz w:val="20"/>
                <w:szCs w:val="20"/>
              </w:rPr>
              <w:t>b</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2</w:t>
            </w:r>
            <w:r>
              <w:rPr>
                <w:sz w:val="20"/>
                <w:szCs w:val="20"/>
              </w:rPr>
              <w:t>.31E003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134</w:t>
            </w:r>
            <w:r>
              <w:rPr>
                <w:rFonts w:hint="eastAsia"/>
                <w:sz w:val="20"/>
                <w:szCs w:val="20"/>
              </w:rPr>
              <w:t>a</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.43E003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125</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3</w:t>
            </w:r>
            <w:r>
              <w:rPr>
                <w:sz w:val="20"/>
                <w:szCs w:val="20"/>
              </w:rPr>
              <w:t>.5E003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32</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6</w:t>
            </w:r>
            <w:r>
              <w:rPr>
                <w:sz w:val="20"/>
                <w:szCs w:val="20"/>
              </w:rPr>
              <w:t>75</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407C</w:t>
            </w:r>
            <w:r>
              <w:rPr>
                <w:rFonts w:hint="eastAsia"/>
                <w:sz w:val="20"/>
                <w:szCs w:val="20"/>
              </w:rPr>
              <w:t>c</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.5E003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410A</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1</w:t>
            </w:r>
            <w:r>
              <w:rPr>
                <w:sz w:val="20"/>
                <w:szCs w:val="20"/>
              </w:rPr>
              <w:t>.7E003</w:t>
            </w:r>
          </w:p>
        </w:tc>
      </w:tr>
      <w:tr w:rsidR="00D10EA5">
        <w:tc>
          <w:tcPr>
            <w:tcW w:w="2392" w:type="dxa"/>
            <w:vMerge/>
            <w:vAlign w:val="center"/>
          </w:tcPr>
          <w:p w:rsidR="00D10EA5" w:rsidRDefault="00D10EA5">
            <w:pPr>
              <w:pStyle w:val="affff1"/>
              <w:ind w:firstLineChars="0" w:firstLine="0"/>
              <w:jc w:val="center"/>
              <w:rPr>
                <w:sz w:val="20"/>
                <w:szCs w:val="20"/>
              </w:rPr>
            </w:pPr>
          </w:p>
        </w:tc>
        <w:tc>
          <w:tcPr>
            <w:tcW w:w="2392" w:type="dxa"/>
            <w:vMerge/>
            <w:vAlign w:val="center"/>
          </w:tcPr>
          <w:p w:rsidR="00D10EA5" w:rsidRDefault="00D10EA5">
            <w:pPr>
              <w:pStyle w:val="affff1"/>
              <w:ind w:firstLineChars="0" w:firstLine="0"/>
              <w:jc w:val="center"/>
              <w:rPr>
                <w:sz w:val="20"/>
                <w:szCs w:val="20"/>
              </w:rPr>
            </w:pPr>
          </w:p>
        </w:tc>
        <w:tc>
          <w:tcPr>
            <w:tcW w:w="2393" w:type="dxa"/>
            <w:vAlign w:val="center"/>
          </w:tcPr>
          <w:p w:rsidR="00D10EA5" w:rsidRDefault="00116086">
            <w:pPr>
              <w:pStyle w:val="affff1"/>
              <w:ind w:firstLineChars="0" w:firstLine="0"/>
              <w:jc w:val="center"/>
              <w:rPr>
                <w:sz w:val="20"/>
                <w:szCs w:val="20"/>
              </w:rPr>
            </w:pPr>
            <w:r>
              <w:rPr>
                <w:rFonts w:hint="eastAsia"/>
                <w:sz w:val="20"/>
                <w:szCs w:val="20"/>
              </w:rPr>
              <w:t>R</w:t>
            </w:r>
            <w:r>
              <w:rPr>
                <w:sz w:val="20"/>
                <w:szCs w:val="20"/>
              </w:rPr>
              <w:t>152</w:t>
            </w:r>
          </w:p>
        </w:tc>
        <w:tc>
          <w:tcPr>
            <w:tcW w:w="2393" w:type="dxa"/>
            <w:vAlign w:val="center"/>
          </w:tcPr>
          <w:p w:rsidR="00D10EA5" w:rsidRDefault="00116086">
            <w:pPr>
              <w:pStyle w:val="affff1"/>
              <w:ind w:firstLineChars="0" w:firstLine="0"/>
              <w:jc w:val="center"/>
              <w:rPr>
                <w:sz w:val="20"/>
                <w:szCs w:val="20"/>
              </w:rPr>
            </w:pPr>
            <w:r>
              <w:rPr>
                <w:rFonts w:hint="eastAsia"/>
                <w:sz w:val="20"/>
                <w:szCs w:val="20"/>
              </w:rPr>
              <w:t>4</w:t>
            </w:r>
            <w:r>
              <w:rPr>
                <w:sz w:val="20"/>
                <w:szCs w:val="20"/>
              </w:rPr>
              <w:t>5</w:t>
            </w:r>
          </w:p>
        </w:tc>
      </w:tr>
    </w:tbl>
    <w:p w:rsidR="00D10EA5" w:rsidRDefault="00D10EA5">
      <w:pPr>
        <w:pStyle w:val="affff1"/>
        <w:ind w:firstLine="400"/>
      </w:pPr>
    </w:p>
    <w:p w:rsidR="00D10EA5" w:rsidRDefault="00116086">
      <w:pPr>
        <w:pStyle w:val="afe"/>
        <w:spacing w:before="156" w:after="156"/>
      </w:pPr>
      <w:r>
        <w:rPr>
          <w:rFonts w:hint="eastAsia"/>
        </w:rPr>
        <w:t>计算方法</w:t>
      </w:r>
    </w:p>
    <w:p w:rsidR="00D10EA5" w:rsidRDefault="00116086">
      <w:pPr>
        <w:pStyle w:val="affff1"/>
        <w:spacing w:before="156" w:after="156"/>
        <w:ind w:firstLine="400"/>
      </w:pPr>
      <w:r>
        <w:rPr>
          <w:rFonts w:hint="eastAsia"/>
        </w:rPr>
        <w:t>不同影响类型的特征化模型，采用公式（</w:t>
      </w:r>
      <w:r>
        <w:rPr>
          <w:rFonts w:hint="eastAsia"/>
        </w:rPr>
        <w:t>A</w:t>
      </w:r>
      <w:r>
        <w:t>.</w:t>
      </w:r>
      <w:r>
        <w:rPr>
          <w:rFonts w:hint="eastAsia"/>
        </w:rPr>
        <w:t>1</w:t>
      </w:r>
      <w:r>
        <w:rPr>
          <w:rFonts w:hint="eastAsia"/>
        </w:rPr>
        <w:t>）进行计算。</w:t>
      </w:r>
    </w:p>
    <w:p w:rsidR="00D10EA5" w:rsidRDefault="00116086">
      <w:pPr>
        <w:pStyle w:val="affff1"/>
        <w:jc w:val="right"/>
        <w:rPr>
          <w:sz w:val="21"/>
        </w:rPr>
      </w:pPr>
      <m:oMath>
        <m:sSub>
          <m:sSubPr>
            <m:ctrlPr>
              <w:rPr>
                <w:rFonts w:ascii="Cambria Math" w:hAnsi="Cambria Math"/>
                <w:sz w:val="21"/>
              </w:rPr>
            </m:ctrlPr>
          </m:sSubPr>
          <m:e>
            <m:r>
              <w:rPr>
                <w:rFonts w:ascii="Cambria Math" w:hAnsi="Cambria Math"/>
                <w:sz w:val="21"/>
              </w:rPr>
              <m:t>EP</m:t>
            </m:r>
          </m:e>
          <m:sub>
            <m:r>
              <w:rPr>
                <w:rFonts w:ascii="Cambria Math" w:hAnsi="Cambria Math" w:hint="eastAsia"/>
                <w:sz w:val="21"/>
              </w:rPr>
              <m:t>i</m:t>
            </m:r>
          </m:sub>
        </m:sSub>
        <m:r>
          <w:rPr>
            <w:rFonts w:ascii="Cambria Math" w:hAnsi="Cambria Math"/>
            <w:sz w:val="21"/>
          </w:rPr>
          <m:t>=</m:t>
        </m:r>
        <m:nary>
          <m:naryPr>
            <m:chr m:val="∑"/>
            <m:limLoc m:val="undOvr"/>
            <m:subHide m:val="1"/>
            <m:supHide m:val="1"/>
            <m:ctrlPr>
              <w:rPr>
                <w:rFonts w:ascii="Cambria Math" w:hAnsi="Cambria Math"/>
                <w:i/>
                <w:sz w:val="21"/>
              </w:rPr>
            </m:ctrlPr>
          </m:naryPr>
          <m:sub/>
          <m:sup/>
          <m:e>
            <m:r>
              <w:rPr>
                <w:rFonts w:ascii="Cambria Math" w:hAnsi="Cambria Math"/>
                <w:sz w:val="21"/>
              </w:rPr>
              <m:t>E</m:t>
            </m:r>
            <m:sSub>
              <m:sSubPr>
                <m:ctrlPr>
                  <w:rPr>
                    <w:rFonts w:ascii="Cambria Math" w:hAnsi="Cambria Math"/>
                    <w:i/>
                    <w:sz w:val="21"/>
                  </w:rPr>
                </m:ctrlPr>
              </m:sSubPr>
              <m:e>
                <m:r>
                  <w:rPr>
                    <w:rFonts w:ascii="Cambria Math" w:hAnsi="Cambria Math"/>
                    <w:sz w:val="21"/>
                  </w:rPr>
                  <m:t>P</m:t>
                </m:r>
              </m:e>
              <m:sub>
                <m:r>
                  <w:rPr>
                    <w:rFonts w:ascii="Cambria Math" w:hAnsi="Cambria Math" w:hint="eastAsia"/>
                    <w:sz w:val="21"/>
                  </w:rPr>
                  <m:t>ij</m:t>
                </m:r>
              </m:sub>
            </m:sSub>
          </m:e>
        </m:nary>
        <m:r>
          <w:rPr>
            <w:rFonts w:ascii="Cambria Math" w:hAnsi="Cambria Math"/>
            <w:sz w:val="21"/>
          </w:rPr>
          <m:t>=</m:t>
        </m:r>
        <m:nary>
          <m:naryPr>
            <m:chr m:val="∑"/>
            <m:limLoc m:val="undOvr"/>
            <m:subHide m:val="1"/>
            <m:supHide m:val="1"/>
            <m:ctrlPr>
              <w:rPr>
                <w:rFonts w:ascii="Cambria Math" w:hAnsi="Cambria Math"/>
                <w:i/>
                <w:sz w:val="21"/>
              </w:rPr>
            </m:ctrlPr>
          </m:naryPr>
          <m:sub/>
          <m:sup/>
          <m:e>
            <m:sSub>
              <m:sSubPr>
                <m:ctrlPr>
                  <w:rPr>
                    <w:rFonts w:ascii="Cambria Math" w:hAnsi="Cambria Math"/>
                    <w:i/>
                    <w:sz w:val="21"/>
                  </w:rPr>
                </m:ctrlPr>
              </m:sSubPr>
              <m:e>
                <m:r>
                  <w:rPr>
                    <w:rFonts w:ascii="Cambria Math" w:hAnsi="Cambria Math"/>
                    <w:sz w:val="21"/>
                  </w:rPr>
                  <m:t>Q</m:t>
                </m:r>
              </m:e>
              <m:sub>
                <m:r>
                  <w:rPr>
                    <w:rFonts w:ascii="Cambria Math" w:hAnsi="Cambria Math" w:hint="eastAsia"/>
                    <w:sz w:val="21"/>
                  </w:rPr>
                  <m:t>j</m:t>
                </m:r>
              </m:sub>
            </m:sSub>
          </m:e>
        </m:nary>
        <m:r>
          <w:rPr>
            <w:rFonts w:ascii="Cambria Math" w:hAnsi="Cambria Math"/>
            <w:sz w:val="21"/>
          </w:rPr>
          <m:t>×</m:t>
        </m:r>
        <m:r>
          <w:rPr>
            <w:rFonts w:ascii="Cambria Math" w:hAnsi="Cambria Math"/>
            <w:sz w:val="21"/>
          </w:rPr>
          <m:t>E</m:t>
        </m:r>
        <m:sSub>
          <m:sSubPr>
            <m:ctrlPr>
              <w:rPr>
                <w:rFonts w:ascii="Cambria Math" w:hAnsi="Cambria Math"/>
                <w:i/>
                <w:sz w:val="21"/>
              </w:rPr>
            </m:ctrlPr>
          </m:sSubPr>
          <m:e>
            <m:r>
              <w:rPr>
                <w:rFonts w:ascii="Cambria Math" w:hAnsi="Cambria Math"/>
                <w:sz w:val="21"/>
              </w:rPr>
              <m:t>F</m:t>
            </m:r>
          </m:e>
          <m:sub>
            <m:r>
              <w:rPr>
                <w:rFonts w:ascii="Cambria Math" w:hAnsi="Cambria Math" w:hint="eastAsia"/>
                <w:sz w:val="21"/>
              </w:rPr>
              <m:t>ij</m:t>
            </m:r>
          </m:sub>
        </m:sSub>
      </m:oMath>
      <w:r>
        <w:rPr>
          <w:rFonts w:hint="eastAsia"/>
          <w:sz w:val="21"/>
        </w:rPr>
        <w:t xml:space="preserve"> </w:t>
      </w:r>
      <w:r>
        <w:rPr>
          <w:sz w:val="21"/>
        </w:rPr>
        <w:t xml:space="preserve">                           </w:t>
      </w:r>
      <w:r>
        <w:rPr>
          <w:rFonts w:hint="eastAsia"/>
          <w:sz w:val="21"/>
        </w:rPr>
        <w:t>（</w:t>
      </w:r>
      <w:r>
        <w:rPr>
          <w:rFonts w:hint="eastAsia"/>
          <w:sz w:val="21"/>
        </w:rPr>
        <w:t>A</w:t>
      </w:r>
      <w:r>
        <w:rPr>
          <w:sz w:val="21"/>
        </w:rPr>
        <w:t>.</w:t>
      </w:r>
      <w:r>
        <w:rPr>
          <w:rFonts w:hint="eastAsia"/>
          <w:sz w:val="21"/>
        </w:rPr>
        <w:t>1</w:t>
      </w:r>
      <w:r>
        <w:rPr>
          <w:rFonts w:hint="eastAsia"/>
          <w:sz w:val="21"/>
        </w:rPr>
        <w:t>）</w:t>
      </w:r>
    </w:p>
    <w:p w:rsidR="00D10EA5" w:rsidRDefault="00116086">
      <w:pPr>
        <w:pStyle w:val="affff1"/>
        <w:rPr>
          <w:sz w:val="21"/>
          <w:szCs w:val="21"/>
        </w:rPr>
      </w:pPr>
      <w:r>
        <w:rPr>
          <w:rFonts w:hint="eastAsia"/>
          <w:sz w:val="21"/>
          <w:szCs w:val="21"/>
        </w:rPr>
        <w:t>式中：</w:t>
      </w:r>
    </w:p>
    <w:p w:rsidR="00D10EA5" w:rsidRDefault="00116086">
      <w:pPr>
        <w:pStyle w:val="affff1"/>
        <w:rPr>
          <w:sz w:val="21"/>
          <w:szCs w:val="21"/>
        </w:rPr>
      </w:pPr>
      <m:oMath>
        <m:sSub>
          <m:sSubPr>
            <m:ctrlPr>
              <w:rPr>
                <w:rFonts w:ascii="Cambria Math" w:hAnsi="Cambria Math"/>
                <w:sz w:val="21"/>
              </w:rPr>
            </m:ctrlPr>
          </m:sSubPr>
          <m:e>
            <m:r>
              <w:rPr>
                <w:rFonts w:ascii="Cambria Math" w:hAnsi="Cambria Math"/>
                <w:sz w:val="21"/>
              </w:rPr>
              <m:t>EP</m:t>
            </m:r>
          </m:e>
          <m:sub>
            <m:r>
              <w:rPr>
                <w:rFonts w:ascii="Cambria Math" w:hAnsi="Cambria Math" w:hint="eastAsia"/>
                <w:sz w:val="21"/>
              </w:rPr>
              <m:t>i</m:t>
            </m:r>
          </m:sub>
        </m:sSub>
      </m:oMath>
      <w:r>
        <w:rPr>
          <w:rFonts w:hint="eastAsia"/>
          <w:sz w:val="21"/>
          <w:szCs w:val="21"/>
        </w:rPr>
        <w:t>——第</w:t>
      </w:r>
      <w:proofErr w:type="spellStart"/>
      <w:r>
        <w:rPr>
          <w:rFonts w:hint="eastAsia"/>
          <w:sz w:val="21"/>
          <w:szCs w:val="21"/>
        </w:rPr>
        <w:t>i</w:t>
      </w:r>
      <w:proofErr w:type="spellEnd"/>
      <w:r>
        <w:rPr>
          <w:rFonts w:hint="eastAsia"/>
          <w:sz w:val="21"/>
          <w:szCs w:val="21"/>
        </w:rPr>
        <w:t>种环境类别特征化值；</w:t>
      </w:r>
    </w:p>
    <w:p w:rsidR="00D10EA5" w:rsidRDefault="00116086">
      <w:pPr>
        <w:pStyle w:val="affff1"/>
        <w:rPr>
          <w:sz w:val="21"/>
          <w:szCs w:val="21"/>
        </w:rPr>
      </w:pPr>
      <m:oMath>
        <m:r>
          <w:rPr>
            <w:rFonts w:ascii="Cambria Math" w:hAnsi="Cambria Math"/>
            <w:sz w:val="21"/>
          </w:rPr>
          <m:t>E</m:t>
        </m:r>
        <m:sSub>
          <m:sSubPr>
            <m:ctrlPr>
              <w:rPr>
                <w:rFonts w:ascii="Cambria Math" w:hAnsi="Cambria Math"/>
                <w:i/>
                <w:sz w:val="21"/>
              </w:rPr>
            </m:ctrlPr>
          </m:sSubPr>
          <m:e>
            <m:r>
              <w:rPr>
                <w:rFonts w:ascii="Cambria Math" w:hAnsi="Cambria Math"/>
                <w:sz w:val="21"/>
              </w:rPr>
              <m:t>P</m:t>
            </m:r>
          </m:e>
          <m:sub>
            <m:r>
              <w:rPr>
                <w:rFonts w:ascii="Cambria Math" w:hAnsi="Cambria Math" w:hint="eastAsia"/>
                <w:sz w:val="21"/>
              </w:rPr>
              <m:t>ij</m:t>
            </m:r>
          </m:sub>
        </m:sSub>
      </m:oMath>
      <w:r>
        <w:rPr>
          <w:rFonts w:hint="eastAsia"/>
          <w:sz w:val="21"/>
          <w:szCs w:val="21"/>
        </w:rPr>
        <w:t>——第</w:t>
      </w:r>
      <w:proofErr w:type="spellStart"/>
      <w:r>
        <w:rPr>
          <w:rFonts w:hint="eastAsia"/>
          <w:sz w:val="21"/>
          <w:szCs w:val="21"/>
        </w:rPr>
        <w:t>i</w:t>
      </w:r>
      <w:proofErr w:type="spellEnd"/>
      <w:r>
        <w:rPr>
          <w:rFonts w:hint="eastAsia"/>
          <w:sz w:val="21"/>
          <w:szCs w:val="21"/>
        </w:rPr>
        <w:t>种环境</w:t>
      </w:r>
      <w:proofErr w:type="gramStart"/>
      <w:r>
        <w:rPr>
          <w:rFonts w:hint="eastAsia"/>
          <w:sz w:val="21"/>
          <w:szCs w:val="21"/>
        </w:rPr>
        <w:t>类别种第</w:t>
      </w:r>
      <w:proofErr w:type="gramEnd"/>
      <w:r>
        <w:rPr>
          <w:rFonts w:hint="eastAsia"/>
          <w:sz w:val="21"/>
          <w:szCs w:val="21"/>
        </w:rPr>
        <w:t>j</w:t>
      </w:r>
      <w:r>
        <w:rPr>
          <w:rFonts w:hint="eastAsia"/>
          <w:sz w:val="21"/>
          <w:szCs w:val="21"/>
        </w:rPr>
        <w:t>种污染物的贡献；</w:t>
      </w:r>
    </w:p>
    <w:p w:rsidR="00D10EA5" w:rsidRDefault="00116086">
      <w:pPr>
        <w:pStyle w:val="affff1"/>
        <w:rPr>
          <w:sz w:val="21"/>
          <w:szCs w:val="21"/>
        </w:rPr>
      </w:pPr>
      <m:oMath>
        <m:sSub>
          <m:sSubPr>
            <m:ctrlPr>
              <w:rPr>
                <w:rFonts w:ascii="Cambria Math" w:hAnsi="Cambria Math"/>
                <w:i/>
                <w:sz w:val="21"/>
              </w:rPr>
            </m:ctrlPr>
          </m:sSubPr>
          <m:e>
            <m:r>
              <w:rPr>
                <w:rFonts w:ascii="Cambria Math" w:hAnsi="Cambria Math"/>
                <w:sz w:val="21"/>
              </w:rPr>
              <m:t>Q</m:t>
            </m:r>
          </m:e>
          <m:sub>
            <m:r>
              <w:rPr>
                <w:rFonts w:ascii="Cambria Math" w:hAnsi="Cambria Math" w:hint="eastAsia"/>
                <w:sz w:val="21"/>
              </w:rPr>
              <m:t>j</m:t>
            </m:r>
          </m:sub>
        </m:sSub>
      </m:oMath>
      <w:r>
        <w:rPr>
          <w:rFonts w:hint="eastAsia"/>
          <w:sz w:val="21"/>
          <w:szCs w:val="21"/>
        </w:rPr>
        <w:t>——第</w:t>
      </w:r>
      <w:r>
        <w:rPr>
          <w:rFonts w:hint="eastAsia"/>
          <w:sz w:val="21"/>
          <w:szCs w:val="21"/>
        </w:rPr>
        <w:t>j</w:t>
      </w:r>
      <w:r>
        <w:rPr>
          <w:rFonts w:hint="eastAsia"/>
          <w:sz w:val="21"/>
          <w:szCs w:val="21"/>
        </w:rPr>
        <w:t>种污染物的排放量；</w:t>
      </w:r>
    </w:p>
    <w:p w:rsidR="00D10EA5" w:rsidRDefault="00116086">
      <w:pPr>
        <w:pStyle w:val="affff1"/>
        <w:rPr>
          <w:sz w:val="21"/>
          <w:szCs w:val="21"/>
        </w:rPr>
      </w:pPr>
      <m:oMath>
        <m:r>
          <w:rPr>
            <w:rFonts w:ascii="Cambria Math" w:hAnsi="Cambria Math"/>
            <w:sz w:val="21"/>
          </w:rPr>
          <m:t>E</m:t>
        </m:r>
        <m:sSub>
          <m:sSubPr>
            <m:ctrlPr>
              <w:rPr>
                <w:rFonts w:ascii="Cambria Math" w:hAnsi="Cambria Math"/>
                <w:i/>
                <w:sz w:val="21"/>
              </w:rPr>
            </m:ctrlPr>
          </m:sSubPr>
          <m:e>
            <m:r>
              <w:rPr>
                <w:rFonts w:ascii="Cambria Math" w:hAnsi="Cambria Math"/>
                <w:sz w:val="21"/>
              </w:rPr>
              <m:t>F</m:t>
            </m:r>
          </m:e>
          <m:sub>
            <m:r>
              <w:rPr>
                <w:rFonts w:ascii="Cambria Math" w:hAnsi="Cambria Math" w:hint="eastAsia"/>
                <w:sz w:val="21"/>
              </w:rPr>
              <m:t>ij</m:t>
            </m:r>
          </m:sub>
        </m:sSub>
      </m:oMath>
      <w:r>
        <w:rPr>
          <w:rFonts w:hint="eastAsia"/>
          <w:sz w:val="21"/>
          <w:szCs w:val="21"/>
        </w:rPr>
        <w:t>——第</w:t>
      </w:r>
      <w:proofErr w:type="spellStart"/>
      <w:r>
        <w:rPr>
          <w:rFonts w:hint="eastAsia"/>
          <w:sz w:val="21"/>
          <w:szCs w:val="21"/>
        </w:rPr>
        <w:t>i</w:t>
      </w:r>
      <w:proofErr w:type="spellEnd"/>
      <w:r>
        <w:rPr>
          <w:rFonts w:hint="eastAsia"/>
          <w:sz w:val="21"/>
          <w:szCs w:val="21"/>
        </w:rPr>
        <w:t>种环境类别中第</w:t>
      </w:r>
      <w:r>
        <w:rPr>
          <w:rFonts w:hint="eastAsia"/>
          <w:sz w:val="21"/>
          <w:szCs w:val="21"/>
        </w:rPr>
        <w:t>j</w:t>
      </w:r>
      <w:r>
        <w:rPr>
          <w:rFonts w:hint="eastAsia"/>
          <w:sz w:val="21"/>
          <w:szCs w:val="21"/>
        </w:rPr>
        <w:t>种污染物的特征化因子。</w:t>
      </w:r>
    </w:p>
    <w:p w:rsidR="00D10EA5" w:rsidRDefault="00116086">
      <w:pPr>
        <w:widowControl/>
        <w:jc w:val="left"/>
        <w:rPr>
          <w:rFonts w:ascii="宋体"/>
          <w:kern w:val="0"/>
          <w:sz w:val="20"/>
          <w:szCs w:val="20"/>
        </w:rPr>
      </w:pPr>
      <w:r>
        <w:br w:type="page"/>
      </w:r>
    </w:p>
    <w:p w:rsidR="00D10EA5" w:rsidRDefault="00116086">
      <w:pPr>
        <w:pStyle w:val="a7"/>
        <w:numPr>
          <w:ilvl w:val="0"/>
          <w:numId w:val="0"/>
        </w:numPr>
        <w:spacing w:beforeLines="50" w:before="156" w:afterLines="50" w:after="156"/>
        <w:jc w:val="center"/>
        <w:rPr>
          <w:rFonts w:hAnsi="黑体"/>
        </w:rPr>
      </w:pPr>
      <w:bookmarkStart w:id="53" w:name="_Toc19371"/>
      <w:r>
        <w:rPr>
          <w:rFonts w:hAnsi="黑体" w:hint="eastAsia"/>
        </w:rPr>
        <w:t>参考文献</w:t>
      </w:r>
      <w:bookmarkEnd w:id="53"/>
    </w:p>
    <w:p w:rsidR="00D10EA5" w:rsidRDefault="00116086">
      <w:pPr>
        <w:pStyle w:val="affff1"/>
        <w:rPr>
          <w:sz w:val="21"/>
          <w:szCs w:val="21"/>
        </w:rPr>
      </w:pPr>
      <w:r>
        <w:rPr>
          <w:rFonts w:ascii="Times New Roman"/>
          <w:sz w:val="21"/>
          <w:szCs w:val="21"/>
        </w:rPr>
        <w:t>[1] GB/T 4214.1</w:t>
      </w:r>
      <w:r>
        <w:rPr>
          <w:sz w:val="21"/>
          <w:szCs w:val="21"/>
        </w:rPr>
        <w:t xml:space="preserve">  </w:t>
      </w:r>
      <w:r>
        <w:rPr>
          <w:rFonts w:hint="eastAsia"/>
          <w:sz w:val="21"/>
          <w:szCs w:val="21"/>
        </w:rPr>
        <w:t>家用和类似用途电器噪声测试方法</w:t>
      </w:r>
      <w:r>
        <w:rPr>
          <w:rFonts w:hint="eastAsia"/>
          <w:sz w:val="21"/>
          <w:szCs w:val="21"/>
        </w:rPr>
        <w:t xml:space="preserve"> </w:t>
      </w:r>
      <w:r>
        <w:rPr>
          <w:rFonts w:hint="eastAsia"/>
          <w:sz w:val="21"/>
          <w:szCs w:val="21"/>
        </w:rPr>
        <w:t>第</w:t>
      </w:r>
      <w:r>
        <w:rPr>
          <w:rFonts w:ascii="Times New Roman"/>
          <w:sz w:val="21"/>
          <w:szCs w:val="21"/>
        </w:rPr>
        <w:t>1</w:t>
      </w:r>
      <w:r>
        <w:rPr>
          <w:rFonts w:hint="eastAsia"/>
          <w:sz w:val="21"/>
          <w:szCs w:val="21"/>
        </w:rPr>
        <w:t>部分：通用要求</w:t>
      </w:r>
    </w:p>
    <w:p w:rsidR="00D10EA5" w:rsidRDefault="00116086">
      <w:pPr>
        <w:tabs>
          <w:tab w:val="center" w:pos="4201"/>
          <w:tab w:val="right" w:leader="dot" w:pos="9298"/>
        </w:tabs>
        <w:autoSpaceDE w:val="0"/>
        <w:autoSpaceDN w:val="0"/>
        <w:ind w:firstLineChars="200" w:firstLine="420"/>
        <w:rPr>
          <w:szCs w:val="21"/>
        </w:rPr>
      </w:pPr>
      <w:r>
        <w:rPr>
          <w:rFonts w:hint="eastAsia"/>
        </w:rPr>
        <w:t>[</w:t>
      </w:r>
      <w:r>
        <w:t>2]</w:t>
      </w:r>
      <w:r>
        <w:rPr>
          <w:rFonts w:hint="eastAsia"/>
          <w:szCs w:val="21"/>
        </w:rPr>
        <w:t xml:space="preserve"> G</w:t>
      </w:r>
      <w:r>
        <w:rPr>
          <w:szCs w:val="21"/>
        </w:rPr>
        <w:t xml:space="preserve">B/T 20290  </w:t>
      </w:r>
      <w:r>
        <w:rPr>
          <w:rFonts w:hint="eastAsia"/>
          <w:szCs w:val="21"/>
        </w:rPr>
        <w:t>家用电动洗碗机</w:t>
      </w:r>
      <w:r>
        <w:rPr>
          <w:rFonts w:hint="eastAsia"/>
          <w:szCs w:val="21"/>
        </w:rPr>
        <w:t xml:space="preserve"> </w:t>
      </w:r>
      <w:r>
        <w:rPr>
          <w:rFonts w:hint="eastAsia"/>
          <w:szCs w:val="21"/>
        </w:rPr>
        <w:t>性能测试方法</w:t>
      </w:r>
    </w:p>
    <w:p w:rsidR="00D10EA5" w:rsidRDefault="00116086">
      <w:pPr>
        <w:tabs>
          <w:tab w:val="center" w:pos="4201"/>
          <w:tab w:val="right" w:leader="dot" w:pos="9298"/>
        </w:tabs>
        <w:autoSpaceDE w:val="0"/>
        <w:autoSpaceDN w:val="0"/>
        <w:ind w:firstLineChars="200" w:firstLine="420"/>
        <w:rPr>
          <w:szCs w:val="21"/>
        </w:rPr>
      </w:pPr>
      <w:r>
        <w:rPr>
          <w:szCs w:val="21"/>
        </w:rPr>
        <w:t xml:space="preserve">[3] </w:t>
      </w:r>
      <w:r>
        <w:rPr>
          <w:rFonts w:hint="eastAsia"/>
          <w:szCs w:val="21"/>
        </w:rPr>
        <w:t xml:space="preserve">GB/T 20862 </w:t>
      </w:r>
      <w:r>
        <w:rPr>
          <w:szCs w:val="21"/>
        </w:rPr>
        <w:t xml:space="preserve"> </w:t>
      </w:r>
      <w:r>
        <w:rPr>
          <w:rFonts w:hint="eastAsia"/>
          <w:szCs w:val="21"/>
        </w:rPr>
        <w:t>产品可回收利用率计算方法导则</w:t>
      </w:r>
    </w:p>
    <w:p w:rsidR="00D10EA5" w:rsidRDefault="00116086">
      <w:pPr>
        <w:tabs>
          <w:tab w:val="center" w:pos="4201"/>
          <w:tab w:val="right" w:leader="dot" w:pos="9298"/>
        </w:tabs>
        <w:autoSpaceDE w:val="0"/>
        <w:autoSpaceDN w:val="0"/>
        <w:ind w:firstLineChars="200" w:firstLine="420"/>
        <w:rPr>
          <w:szCs w:val="21"/>
        </w:rPr>
      </w:pPr>
      <w:r>
        <w:rPr>
          <w:szCs w:val="21"/>
        </w:rPr>
        <w:t xml:space="preserve">[4] </w:t>
      </w:r>
      <w:r>
        <w:rPr>
          <w:szCs w:val="21"/>
        </w:rPr>
        <w:t>GB/T 33761-2017</w:t>
      </w:r>
      <w:r>
        <w:rPr>
          <w:rFonts w:hint="eastAsia"/>
          <w:szCs w:val="21"/>
        </w:rPr>
        <w:t xml:space="preserve">  </w:t>
      </w:r>
      <w:r>
        <w:rPr>
          <w:rFonts w:hint="eastAsia"/>
          <w:szCs w:val="21"/>
        </w:rPr>
        <w:t>绿色产品评价标准通则</w:t>
      </w:r>
    </w:p>
    <w:p w:rsidR="00D10EA5" w:rsidRDefault="00116086">
      <w:pPr>
        <w:tabs>
          <w:tab w:val="center" w:pos="4201"/>
          <w:tab w:val="right" w:leader="dot" w:pos="9298"/>
        </w:tabs>
        <w:autoSpaceDE w:val="0"/>
        <w:autoSpaceDN w:val="0"/>
        <w:ind w:firstLineChars="200" w:firstLine="420"/>
        <w:rPr>
          <w:szCs w:val="21"/>
        </w:rPr>
      </w:pPr>
      <w:r>
        <w:rPr>
          <w:szCs w:val="21"/>
        </w:rPr>
        <w:t xml:space="preserve">[5] </w:t>
      </w:r>
      <w:r>
        <w:rPr>
          <w:rFonts w:hint="eastAsia"/>
          <w:szCs w:val="21"/>
        </w:rPr>
        <w:t>G</w:t>
      </w:r>
      <w:r>
        <w:rPr>
          <w:szCs w:val="21"/>
        </w:rPr>
        <w:t xml:space="preserve">B/T 34664  </w:t>
      </w:r>
      <w:r>
        <w:rPr>
          <w:rFonts w:hint="eastAsia"/>
          <w:szCs w:val="21"/>
        </w:rPr>
        <w:t>电子电气生态设计产品评价通则</w:t>
      </w:r>
    </w:p>
    <w:sectPr w:rsidR="00D10EA5">
      <w:footerReference w:type="default" r:id="rId17"/>
      <w:pgSz w:w="11906" w:h="16838"/>
      <w:pgMar w:top="567" w:right="1134" w:bottom="1134" w:left="1418" w:header="850"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86" w:rsidRDefault="00116086">
      <w:r>
        <w:separator/>
      </w:r>
    </w:p>
  </w:endnote>
  <w:endnote w:type="continuationSeparator" w:id="0">
    <w:p w:rsidR="00116086" w:rsidRDefault="001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1" w:usb1="080E0000" w:usb2="0000000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a"/>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2"/>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0EA5" w:rsidRDefault="00116086">
                          <w:pPr>
                            <w:pStyle w:val="affff2"/>
                          </w:pPr>
                          <w:r>
                            <w:fldChar w:fldCharType="begin"/>
                          </w:r>
                          <w:r>
                            <w:instrText xml:space="preserve"> PAGE  \* MERGEFORMAT </w:instrText>
                          </w:r>
                          <w:r>
                            <w:fldChar w:fldCharType="separate"/>
                          </w:r>
                          <w:r w:rsidR="00FA5C09">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q7BA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VnCrsEAwAAzg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D10EA5" w:rsidRDefault="00116086">
                    <w:pPr>
                      <w:pStyle w:val="affff2"/>
                    </w:pPr>
                    <w:r>
                      <w:fldChar w:fldCharType="begin"/>
                    </w:r>
                    <w:r>
                      <w:instrText xml:space="preserve"> PAGE  \* MERGEFORMAT </w:instrText>
                    </w:r>
                    <w:r>
                      <w:fldChar w:fldCharType="separate"/>
                    </w:r>
                    <w:r w:rsidR="00FA5C09">
                      <w:rPr>
                        <w:noProof/>
                      </w:rPr>
                      <w:t>II</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2"/>
    </w:pPr>
    <w:r>
      <w:fldChar w:fldCharType="begin"/>
    </w:r>
    <w:r>
      <w:instrText xml:space="preserve"> PAGE  \* MERGEFORMAT </w:instrText>
    </w:r>
    <w:r>
      <w:fldChar w:fldCharType="separate"/>
    </w:r>
    <w:r w:rsidR="00FA5C09">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86" w:rsidRDefault="00116086">
      <w:r>
        <w:separator/>
      </w:r>
    </w:p>
  </w:footnote>
  <w:footnote w:type="continuationSeparator" w:id="0">
    <w:p w:rsidR="00116086" w:rsidRDefault="0011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1"/>
      <w:ind w:firstLineChars="3500" w:firstLine="7000"/>
    </w:pPr>
    <w:r>
      <w:rPr>
        <w:rFonts w:hint="eastAsia"/>
      </w:rPr>
      <w:t>T/</w:t>
    </w:r>
    <w:proofErr w:type="gramStart"/>
    <w:r>
      <w:rPr>
        <w:rFonts w:hint="eastAsia"/>
      </w:rPr>
      <w:t>CNLIC  XXXX</w:t>
    </w:r>
    <w:proofErr w:type="gramEnd"/>
    <w:r>
      <w:rPr>
        <w:rFonts w:hint="eastAsia"/>
      </w:rPr>
      <w:t>-XXXX</w:t>
    </w:r>
  </w:p>
  <w:p w:rsidR="00D10EA5" w:rsidRDefault="00D10EA5">
    <w:pPr>
      <w:pStyle w:val="a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D10EA5">
    <w:pPr>
      <w:pStyle w:val="affff1"/>
      <w:ind w:firstLineChars="3500" w:firstLine="7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5"/>
      <w:framePr w:wrap="around" w:vAnchor="text" w:hAnchor="margin" w:xAlign="outside" w:y="1"/>
      <w:rPr>
        <w:rStyle w:val="afffc"/>
      </w:rPr>
    </w:pPr>
    <w:r>
      <w:rPr>
        <w:rStyle w:val="afffc"/>
      </w:rPr>
      <w:fldChar w:fldCharType="begin"/>
    </w:r>
    <w:r>
      <w:rPr>
        <w:rStyle w:val="afffc"/>
      </w:rPr>
      <w:instrText xml:space="preserve">PAGE  </w:instrText>
    </w:r>
    <w:r>
      <w:rPr>
        <w:rStyle w:val="afffc"/>
      </w:rPr>
      <w:fldChar w:fldCharType="separate"/>
    </w:r>
    <w:r>
      <w:rPr>
        <w:rStyle w:val="afffc"/>
      </w:rPr>
      <w:t>I</w:t>
    </w:r>
    <w:r>
      <w:rPr>
        <w:rStyle w:val="afffc"/>
      </w:rPr>
      <w:fldChar w:fldCharType="end"/>
    </w:r>
  </w:p>
  <w:p w:rsidR="00D10EA5" w:rsidRDefault="00D10EA5">
    <w:pPr>
      <w:pStyle w:val="afff5"/>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1"/>
      <w:ind w:firstLineChars="0" w:firstLine="0"/>
      <w:jc w:val="left"/>
    </w:pPr>
    <w:r>
      <w:rPr>
        <w:rFonts w:hint="eastAsia"/>
      </w:rPr>
      <w:t>T/</w:t>
    </w:r>
    <w:proofErr w:type="gramStart"/>
    <w:r>
      <w:rPr>
        <w:rFonts w:hint="eastAsia"/>
      </w:rPr>
      <w:t>CNLIC  XXXX</w:t>
    </w:r>
    <w:proofErr w:type="gramEnd"/>
    <w:r>
      <w:rPr>
        <w:rFonts w:hint="eastAsia"/>
      </w:rPr>
      <w:t>-XXXX</w:t>
    </w:r>
  </w:p>
  <w:p w:rsidR="00D10EA5" w:rsidRDefault="00D10EA5">
    <w:pPr>
      <w:pStyle w:val="afff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5" w:rsidRDefault="00116086">
    <w:pPr>
      <w:pStyle w:val="affff1"/>
      <w:ind w:firstLineChars="0" w:firstLine="0"/>
      <w:jc w:val="right"/>
      <w:rPr>
        <w:rFonts w:ascii="Times New Roman"/>
        <w:sz w:val="21"/>
        <w:szCs w:val="21"/>
      </w:rPr>
    </w:pPr>
    <w:r>
      <w:rPr>
        <w:rFonts w:ascii="Times New Roman"/>
        <w:sz w:val="21"/>
        <w:szCs w:val="21"/>
      </w:rPr>
      <w:t>T/CNLICXXXX-XXXX</w:t>
    </w:r>
  </w:p>
  <w:p w:rsidR="00D10EA5" w:rsidRDefault="00D10EA5">
    <w:pPr>
      <w:pStyle w:val="affff1"/>
      <w:ind w:firstLineChars="3500" w:firstLine="7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1AB"/>
    <w:multiLevelType w:val="multilevel"/>
    <w:tmpl w:val="04E861A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A8364F"/>
    <w:multiLevelType w:val="multilevel"/>
    <w:tmpl w:val="1FA8364F"/>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7"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3543"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3D26622"/>
    <w:multiLevelType w:val="multilevel"/>
    <w:tmpl w:val="23D26622"/>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6B44C1D"/>
    <w:multiLevelType w:val="multilevel"/>
    <w:tmpl w:val="36B44C1D"/>
    <w:lvl w:ilvl="0">
      <w:start w:val="1"/>
      <w:numFmt w:val="decimal"/>
      <w:lvlText w:val="%1"/>
      <w:lvlJc w:val="center"/>
      <w:pPr>
        <w:ind w:left="420" w:hanging="420"/>
      </w:pPr>
      <w:rPr>
        <w:rFonts w:hint="eastAsia"/>
      </w:rPr>
    </w:lvl>
    <w:lvl w:ilvl="1">
      <w:start w:val="1"/>
      <w:numFmt w:val="lowerLetter"/>
      <w:lvlText w:val="%2)"/>
      <w:lvlJc w:val="left"/>
      <w:pPr>
        <w:ind w:left="754" w:hanging="420"/>
      </w:pPr>
    </w:lvl>
    <w:lvl w:ilvl="2">
      <w:start w:val="1"/>
      <w:numFmt w:val="lowerRoman"/>
      <w:lvlText w:val="%3."/>
      <w:lvlJc w:val="right"/>
      <w:pPr>
        <w:ind w:left="1174" w:hanging="420"/>
      </w:pPr>
    </w:lvl>
    <w:lvl w:ilvl="3">
      <w:start w:val="1"/>
      <w:numFmt w:val="decimal"/>
      <w:lvlText w:val="%4."/>
      <w:lvlJc w:val="left"/>
      <w:pPr>
        <w:ind w:left="1594" w:hanging="420"/>
      </w:pPr>
    </w:lvl>
    <w:lvl w:ilvl="4">
      <w:start w:val="1"/>
      <w:numFmt w:val="lowerLetter"/>
      <w:lvlText w:val="%5)"/>
      <w:lvlJc w:val="left"/>
      <w:pPr>
        <w:ind w:left="2014" w:hanging="420"/>
      </w:pPr>
    </w:lvl>
    <w:lvl w:ilvl="5">
      <w:start w:val="1"/>
      <w:numFmt w:val="lowerRoman"/>
      <w:lvlText w:val="%6."/>
      <w:lvlJc w:val="right"/>
      <w:pPr>
        <w:ind w:left="2434" w:hanging="420"/>
      </w:pPr>
    </w:lvl>
    <w:lvl w:ilvl="6">
      <w:start w:val="1"/>
      <w:numFmt w:val="decimal"/>
      <w:lvlText w:val="%7."/>
      <w:lvlJc w:val="left"/>
      <w:pPr>
        <w:ind w:left="2854" w:hanging="420"/>
      </w:pPr>
    </w:lvl>
    <w:lvl w:ilvl="7">
      <w:start w:val="1"/>
      <w:numFmt w:val="lowerLetter"/>
      <w:lvlText w:val="%8)"/>
      <w:lvlJc w:val="left"/>
      <w:pPr>
        <w:ind w:left="3274" w:hanging="420"/>
      </w:pPr>
    </w:lvl>
    <w:lvl w:ilvl="8">
      <w:start w:val="1"/>
      <w:numFmt w:val="lowerRoman"/>
      <w:lvlText w:val="%9."/>
      <w:lvlJc w:val="right"/>
      <w:pPr>
        <w:ind w:left="3694" w:hanging="420"/>
      </w:pPr>
    </w:lvl>
  </w:abstractNum>
  <w:abstractNum w:abstractNumId="12"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454A5DB7"/>
    <w:multiLevelType w:val="multilevel"/>
    <w:tmpl w:val="454A5DB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B09654F"/>
    <w:multiLevelType w:val="multilevel"/>
    <w:tmpl w:val="4B09654F"/>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2"/>
  </w:num>
  <w:num w:numId="2">
    <w:abstractNumId w:val="7"/>
  </w:num>
  <w:num w:numId="3">
    <w:abstractNumId w:val="10"/>
  </w:num>
  <w:num w:numId="4">
    <w:abstractNumId w:val="3"/>
  </w:num>
  <w:num w:numId="5">
    <w:abstractNumId w:val="13"/>
  </w:num>
  <w:num w:numId="6">
    <w:abstractNumId w:val="22"/>
  </w:num>
  <w:num w:numId="7">
    <w:abstractNumId w:val="1"/>
  </w:num>
  <w:num w:numId="8">
    <w:abstractNumId w:val="16"/>
  </w:num>
  <w:num w:numId="9">
    <w:abstractNumId w:val="5"/>
  </w:num>
  <w:num w:numId="10">
    <w:abstractNumId w:val="20"/>
  </w:num>
  <w:num w:numId="11">
    <w:abstractNumId w:val="18"/>
  </w:num>
  <w:num w:numId="12">
    <w:abstractNumId w:val="21"/>
  </w:num>
  <w:num w:numId="13">
    <w:abstractNumId w:val="9"/>
  </w:num>
  <w:num w:numId="14">
    <w:abstractNumId w:val="2"/>
  </w:num>
  <w:num w:numId="15">
    <w:abstractNumId w:val="4"/>
  </w:num>
  <w:num w:numId="16">
    <w:abstractNumId w:val="19"/>
  </w:num>
  <w:num w:numId="17">
    <w:abstractNumId w:val="17"/>
  </w:num>
  <w:num w:numId="18">
    <w:abstractNumId w:val="11"/>
  </w:num>
  <w:num w:numId="19">
    <w:abstractNumId w:val="6"/>
  </w:num>
  <w:num w:numId="20">
    <w:abstractNumId w:val="0"/>
  </w:num>
  <w:num w:numId="21">
    <w:abstractNumId w:val="14"/>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F1"/>
    <w:rsid w:val="000029E3"/>
    <w:rsid w:val="00010AE9"/>
    <w:rsid w:val="00013BD8"/>
    <w:rsid w:val="00020565"/>
    <w:rsid w:val="00034D49"/>
    <w:rsid w:val="0004695C"/>
    <w:rsid w:val="0004734F"/>
    <w:rsid w:val="00050239"/>
    <w:rsid w:val="000518CD"/>
    <w:rsid w:val="00053327"/>
    <w:rsid w:val="00064E7D"/>
    <w:rsid w:val="0007030A"/>
    <w:rsid w:val="0007651E"/>
    <w:rsid w:val="00083E38"/>
    <w:rsid w:val="00096C26"/>
    <w:rsid w:val="00097066"/>
    <w:rsid w:val="000A28F1"/>
    <w:rsid w:val="000A3692"/>
    <w:rsid w:val="000A4361"/>
    <w:rsid w:val="000A49CE"/>
    <w:rsid w:val="000A4C50"/>
    <w:rsid w:val="000B400C"/>
    <w:rsid w:val="000F132D"/>
    <w:rsid w:val="000F1BEB"/>
    <w:rsid w:val="000F2D02"/>
    <w:rsid w:val="000F2D50"/>
    <w:rsid w:val="000F6D54"/>
    <w:rsid w:val="001112DD"/>
    <w:rsid w:val="00111C95"/>
    <w:rsid w:val="00116086"/>
    <w:rsid w:val="00127828"/>
    <w:rsid w:val="00135DE3"/>
    <w:rsid w:val="00142639"/>
    <w:rsid w:val="00152011"/>
    <w:rsid w:val="00157F1B"/>
    <w:rsid w:val="00160CC7"/>
    <w:rsid w:val="00161CB0"/>
    <w:rsid w:val="00163D0E"/>
    <w:rsid w:val="00182463"/>
    <w:rsid w:val="001825A5"/>
    <w:rsid w:val="00186B08"/>
    <w:rsid w:val="00186C03"/>
    <w:rsid w:val="00196500"/>
    <w:rsid w:val="001A6E92"/>
    <w:rsid w:val="001B0F54"/>
    <w:rsid w:val="001B2CFC"/>
    <w:rsid w:val="001B438B"/>
    <w:rsid w:val="001C19FB"/>
    <w:rsid w:val="001C364F"/>
    <w:rsid w:val="001D6E6D"/>
    <w:rsid w:val="001E1FC6"/>
    <w:rsid w:val="001E62F6"/>
    <w:rsid w:val="001F07F4"/>
    <w:rsid w:val="001F4DBE"/>
    <w:rsid w:val="001F6F98"/>
    <w:rsid w:val="001F761C"/>
    <w:rsid w:val="002034F3"/>
    <w:rsid w:val="002055F1"/>
    <w:rsid w:val="00215ACD"/>
    <w:rsid w:val="002278E8"/>
    <w:rsid w:val="00242AFE"/>
    <w:rsid w:val="0024622D"/>
    <w:rsid w:val="002501FC"/>
    <w:rsid w:val="0025042F"/>
    <w:rsid w:val="00254DCA"/>
    <w:rsid w:val="0027330F"/>
    <w:rsid w:val="0028149E"/>
    <w:rsid w:val="00292088"/>
    <w:rsid w:val="0029373E"/>
    <w:rsid w:val="00296A7E"/>
    <w:rsid w:val="00297114"/>
    <w:rsid w:val="002A60B5"/>
    <w:rsid w:val="002A61DB"/>
    <w:rsid w:val="002A68D8"/>
    <w:rsid w:val="002B6A7F"/>
    <w:rsid w:val="002D6134"/>
    <w:rsid w:val="002F02A4"/>
    <w:rsid w:val="002F1909"/>
    <w:rsid w:val="002F1D02"/>
    <w:rsid w:val="002F4E2C"/>
    <w:rsid w:val="002F7FC7"/>
    <w:rsid w:val="0031584B"/>
    <w:rsid w:val="00316E3A"/>
    <w:rsid w:val="003345B8"/>
    <w:rsid w:val="0033713B"/>
    <w:rsid w:val="003409A1"/>
    <w:rsid w:val="003450CB"/>
    <w:rsid w:val="00345A04"/>
    <w:rsid w:val="003605E1"/>
    <w:rsid w:val="00361069"/>
    <w:rsid w:val="00361401"/>
    <w:rsid w:val="003657C0"/>
    <w:rsid w:val="003675C0"/>
    <w:rsid w:val="003704E0"/>
    <w:rsid w:val="00371CBC"/>
    <w:rsid w:val="00373BE7"/>
    <w:rsid w:val="00374251"/>
    <w:rsid w:val="00384A27"/>
    <w:rsid w:val="003855A4"/>
    <w:rsid w:val="003859B0"/>
    <w:rsid w:val="0039211A"/>
    <w:rsid w:val="003A0882"/>
    <w:rsid w:val="003B184A"/>
    <w:rsid w:val="003B2A7B"/>
    <w:rsid w:val="003B6C23"/>
    <w:rsid w:val="003C1D12"/>
    <w:rsid w:val="003C233C"/>
    <w:rsid w:val="003C31E9"/>
    <w:rsid w:val="003D61F6"/>
    <w:rsid w:val="003E35E7"/>
    <w:rsid w:val="003E52F3"/>
    <w:rsid w:val="003E5CD4"/>
    <w:rsid w:val="003E6DCA"/>
    <w:rsid w:val="003F45CD"/>
    <w:rsid w:val="00400900"/>
    <w:rsid w:val="00402F74"/>
    <w:rsid w:val="00407FCA"/>
    <w:rsid w:val="004120A2"/>
    <w:rsid w:val="00413125"/>
    <w:rsid w:val="004135AC"/>
    <w:rsid w:val="00427C57"/>
    <w:rsid w:val="004358B2"/>
    <w:rsid w:val="004462B2"/>
    <w:rsid w:val="00447B3D"/>
    <w:rsid w:val="0045087A"/>
    <w:rsid w:val="00450F04"/>
    <w:rsid w:val="00451770"/>
    <w:rsid w:val="00452AB6"/>
    <w:rsid w:val="00452CFB"/>
    <w:rsid w:val="00453207"/>
    <w:rsid w:val="00462012"/>
    <w:rsid w:val="004628A7"/>
    <w:rsid w:val="004650CD"/>
    <w:rsid w:val="00471C38"/>
    <w:rsid w:val="00477640"/>
    <w:rsid w:val="00493B63"/>
    <w:rsid w:val="00494F52"/>
    <w:rsid w:val="004975D5"/>
    <w:rsid w:val="004A0727"/>
    <w:rsid w:val="004A4139"/>
    <w:rsid w:val="004A52FD"/>
    <w:rsid w:val="004A76DB"/>
    <w:rsid w:val="004B444A"/>
    <w:rsid w:val="004B5603"/>
    <w:rsid w:val="004C472A"/>
    <w:rsid w:val="004F0CB4"/>
    <w:rsid w:val="004F2166"/>
    <w:rsid w:val="004F2F42"/>
    <w:rsid w:val="00505FC7"/>
    <w:rsid w:val="0051124D"/>
    <w:rsid w:val="005129EB"/>
    <w:rsid w:val="00514B73"/>
    <w:rsid w:val="00516865"/>
    <w:rsid w:val="00527C21"/>
    <w:rsid w:val="00535A89"/>
    <w:rsid w:val="00561882"/>
    <w:rsid w:val="00563C44"/>
    <w:rsid w:val="00576E50"/>
    <w:rsid w:val="005816C5"/>
    <w:rsid w:val="005820CE"/>
    <w:rsid w:val="00585756"/>
    <w:rsid w:val="005945B8"/>
    <w:rsid w:val="005A536C"/>
    <w:rsid w:val="005A5595"/>
    <w:rsid w:val="005A7620"/>
    <w:rsid w:val="005B0266"/>
    <w:rsid w:val="005B24BA"/>
    <w:rsid w:val="005B6483"/>
    <w:rsid w:val="005B7C40"/>
    <w:rsid w:val="005C6292"/>
    <w:rsid w:val="005D2029"/>
    <w:rsid w:val="005E0433"/>
    <w:rsid w:val="005F0D30"/>
    <w:rsid w:val="005F2B30"/>
    <w:rsid w:val="00600203"/>
    <w:rsid w:val="00605F42"/>
    <w:rsid w:val="00610CC2"/>
    <w:rsid w:val="00610F0D"/>
    <w:rsid w:val="006201B9"/>
    <w:rsid w:val="00623EF2"/>
    <w:rsid w:val="006250B4"/>
    <w:rsid w:val="0062773B"/>
    <w:rsid w:val="00633B65"/>
    <w:rsid w:val="006467A8"/>
    <w:rsid w:val="00647E0B"/>
    <w:rsid w:val="00652A25"/>
    <w:rsid w:val="006542E1"/>
    <w:rsid w:val="006669EF"/>
    <w:rsid w:val="00667D85"/>
    <w:rsid w:val="00670A47"/>
    <w:rsid w:val="00680AD3"/>
    <w:rsid w:val="00684B3E"/>
    <w:rsid w:val="00685A04"/>
    <w:rsid w:val="006A1A06"/>
    <w:rsid w:val="006A47F4"/>
    <w:rsid w:val="006A56E7"/>
    <w:rsid w:val="006B4C59"/>
    <w:rsid w:val="006C5BCB"/>
    <w:rsid w:val="006D02AE"/>
    <w:rsid w:val="006D243C"/>
    <w:rsid w:val="006D3488"/>
    <w:rsid w:val="006D4721"/>
    <w:rsid w:val="006D6C53"/>
    <w:rsid w:val="006E4534"/>
    <w:rsid w:val="006F3224"/>
    <w:rsid w:val="006F5EE8"/>
    <w:rsid w:val="007136AC"/>
    <w:rsid w:val="00720A32"/>
    <w:rsid w:val="00721CE0"/>
    <w:rsid w:val="00725F67"/>
    <w:rsid w:val="0074264E"/>
    <w:rsid w:val="00745195"/>
    <w:rsid w:val="007466D4"/>
    <w:rsid w:val="00747F96"/>
    <w:rsid w:val="00750CC2"/>
    <w:rsid w:val="00754C57"/>
    <w:rsid w:val="007571C8"/>
    <w:rsid w:val="00761762"/>
    <w:rsid w:val="00761C0B"/>
    <w:rsid w:val="00762CE0"/>
    <w:rsid w:val="00764C7D"/>
    <w:rsid w:val="007742DD"/>
    <w:rsid w:val="007743C3"/>
    <w:rsid w:val="00775EC6"/>
    <w:rsid w:val="007763FD"/>
    <w:rsid w:val="00793E46"/>
    <w:rsid w:val="007A37A6"/>
    <w:rsid w:val="007A68BA"/>
    <w:rsid w:val="007B39DE"/>
    <w:rsid w:val="007B5D7E"/>
    <w:rsid w:val="007B755F"/>
    <w:rsid w:val="007D653D"/>
    <w:rsid w:val="007F0E12"/>
    <w:rsid w:val="00801FA1"/>
    <w:rsid w:val="0080794A"/>
    <w:rsid w:val="008100D1"/>
    <w:rsid w:val="00811B01"/>
    <w:rsid w:val="0081280F"/>
    <w:rsid w:val="00812957"/>
    <w:rsid w:val="00815597"/>
    <w:rsid w:val="008203B6"/>
    <w:rsid w:val="0082217E"/>
    <w:rsid w:val="008231C5"/>
    <w:rsid w:val="00826732"/>
    <w:rsid w:val="008341D8"/>
    <w:rsid w:val="00835A4F"/>
    <w:rsid w:val="00836C07"/>
    <w:rsid w:val="00842DF2"/>
    <w:rsid w:val="00845D04"/>
    <w:rsid w:val="00847C84"/>
    <w:rsid w:val="0085046E"/>
    <w:rsid w:val="00853980"/>
    <w:rsid w:val="00855621"/>
    <w:rsid w:val="008579B0"/>
    <w:rsid w:val="008677CB"/>
    <w:rsid w:val="00880732"/>
    <w:rsid w:val="008812ED"/>
    <w:rsid w:val="00884FD4"/>
    <w:rsid w:val="00891501"/>
    <w:rsid w:val="00891A94"/>
    <w:rsid w:val="008A3B19"/>
    <w:rsid w:val="008B3182"/>
    <w:rsid w:val="008B434A"/>
    <w:rsid w:val="008B5225"/>
    <w:rsid w:val="008B5672"/>
    <w:rsid w:val="008B7890"/>
    <w:rsid w:val="008C3DAB"/>
    <w:rsid w:val="008D5656"/>
    <w:rsid w:val="008D7C22"/>
    <w:rsid w:val="008E1F5D"/>
    <w:rsid w:val="008E2F2F"/>
    <w:rsid w:val="008E5117"/>
    <w:rsid w:val="008F133A"/>
    <w:rsid w:val="008F30ED"/>
    <w:rsid w:val="008F7942"/>
    <w:rsid w:val="009129A4"/>
    <w:rsid w:val="00913515"/>
    <w:rsid w:val="00916571"/>
    <w:rsid w:val="00946A57"/>
    <w:rsid w:val="0095264C"/>
    <w:rsid w:val="009617B5"/>
    <w:rsid w:val="00962FD4"/>
    <w:rsid w:val="0098042B"/>
    <w:rsid w:val="00991064"/>
    <w:rsid w:val="00991DB6"/>
    <w:rsid w:val="0099408B"/>
    <w:rsid w:val="009A18FC"/>
    <w:rsid w:val="009B2043"/>
    <w:rsid w:val="009C79B3"/>
    <w:rsid w:val="009D3272"/>
    <w:rsid w:val="009D3A2C"/>
    <w:rsid w:val="009D67B9"/>
    <w:rsid w:val="009F023B"/>
    <w:rsid w:val="009F27E6"/>
    <w:rsid w:val="009F4C85"/>
    <w:rsid w:val="009F799F"/>
    <w:rsid w:val="009F7D87"/>
    <w:rsid w:val="00A1316F"/>
    <w:rsid w:val="00A2051E"/>
    <w:rsid w:val="00A319D3"/>
    <w:rsid w:val="00A51250"/>
    <w:rsid w:val="00A54B67"/>
    <w:rsid w:val="00A56B01"/>
    <w:rsid w:val="00A624F0"/>
    <w:rsid w:val="00A645F8"/>
    <w:rsid w:val="00A678AB"/>
    <w:rsid w:val="00A71327"/>
    <w:rsid w:val="00A8570D"/>
    <w:rsid w:val="00A87431"/>
    <w:rsid w:val="00A9395E"/>
    <w:rsid w:val="00AA0C56"/>
    <w:rsid w:val="00AC2075"/>
    <w:rsid w:val="00AC795A"/>
    <w:rsid w:val="00AD1711"/>
    <w:rsid w:val="00AD2670"/>
    <w:rsid w:val="00AD39CF"/>
    <w:rsid w:val="00AD654B"/>
    <w:rsid w:val="00AD720D"/>
    <w:rsid w:val="00AE180D"/>
    <w:rsid w:val="00AF05C4"/>
    <w:rsid w:val="00AF27FF"/>
    <w:rsid w:val="00AF3E60"/>
    <w:rsid w:val="00B0101A"/>
    <w:rsid w:val="00B03A2C"/>
    <w:rsid w:val="00B20759"/>
    <w:rsid w:val="00B220C7"/>
    <w:rsid w:val="00B2376F"/>
    <w:rsid w:val="00B244C2"/>
    <w:rsid w:val="00B24EAA"/>
    <w:rsid w:val="00B302E4"/>
    <w:rsid w:val="00B30CC8"/>
    <w:rsid w:val="00B34444"/>
    <w:rsid w:val="00B35286"/>
    <w:rsid w:val="00B37701"/>
    <w:rsid w:val="00B40035"/>
    <w:rsid w:val="00B404A6"/>
    <w:rsid w:val="00B6362F"/>
    <w:rsid w:val="00B744CA"/>
    <w:rsid w:val="00B76488"/>
    <w:rsid w:val="00B76D94"/>
    <w:rsid w:val="00B8048C"/>
    <w:rsid w:val="00B83DFA"/>
    <w:rsid w:val="00B867B4"/>
    <w:rsid w:val="00B92CCF"/>
    <w:rsid w:val="00BA2C35"/>
    <w:rsid w:val="00BA3F7A"/>
    <w:rsid w:val="00BC4771"/>
    <w:rsid w:val="00BC77ED"/>
    <w:rsid w:val="00BD0F69"/>
    <w:rsid w:val="00BD7374"/>
    <w:rsid w:val="00BE053D"/>
    <w:rsid w:val="00BE1779"/>
    <w:rsid w:val="00BE3AE0"/>
    <w:rsid w:val="00BE4B79"/>
    <w:rsid w:val="00BE51E7"/>
    <w:rsid w:val="00BE6231"/>
    <w:rsid w:val="00BE7F8A"/>
    <w:rsid w:val="00BF0539"/>
    <w:rsid w:val="00BF2D34"/>
    <w:rsid w:val="00BF6EE9"/>
    <w:rsid w:val="00C03A66"/>
    <w:rsid w:val="00C04577"/>
    <w:rsid w:val="00C04582"/>
    <w:rsid w:val="00C06602"/>
    <w:rsid w:val="00C25C51"/>
    <w:rsid w:val="00C3079F"/>
    <w:rsid w:val="00C32E2A"/>
    <w:rsid w:val="00C32EF3"/>
    <w:rsid w:val="00C43A45"/>
    <w:rsid w:val="00C462D6"/>
    <w:rsid w:val="00C470E0"/>
    <w:rsid w:val="00C62D25"/>
    <w:rsid w:val="00C701CE"/>
    <w:rsid w:val="00C80B8C"/>
    <w:rsid w:val="00C82D73"/>
    <w:rsid w:val="00C8337E"/>
    <w:rsid w:val="00C92365"/>
    <w:rsid w:val="00C9358F"/>
    <w:rsid w:val="00CB763D"/>
    <w:rsid w:val="00CC1190"/>
    <w:rsid w:val="00CC15D2"/>
    <w:rsid w:val="00CD5F83"/>
    <w:rsid w:val="00CE1A5A"/>
    <w:rsid w:val="00CE2662"/>
    <w:rsid w:val="00CE672E"/>
    <w:rsid w:val="00CF2B25"/>
    <w:rsid w:val="00CF4131"/>
    <w:rsid w:val="00CF5581"/>
    <w:rsid w:val="00D0106B"/>
    <w:rsid w:val="00D047D1"/>
    <w:rsid w:val="00D10EA5"/>
    <w:rsid w:val="00D116B8"/>
    <w:rsid w:val="00D17280"/>
    <w:rsid w:val="00D24274"/>
    <w:rsid w:val="00D24A7B"/>
    <w:rsid w:val="00D24B58"/>
    <w:rsid w:val="00D327D7"/>
    <w:rsid w:val="00D34FE5"/>
    <w:rsid w:val="00D376C1"/>
    <w:rsid w:val="00D37F3F"/>
    <w:rsid w:val="00D40CBB"/>
    <w:rsid w:val="00D436D3"/>
    <w:rsid w:val="00D50883"/>
    <w:rsid w:val="00D52D35"/>
    <w:rsid w:val="00D57B50"/>
    <w:rsid w:val="00D6672D"/>
    <w:rsid w:val="00D841C6"/>
    <w:rsid w:val="00D85790"/>
    <w:rsid w:val="00D859D1"/>
    <w:rsid w:val="00D93E80"/>
    <w:rsid w:val="00D946AD"/>
    <w:rsid w:val="00DA4B52"/>
    <w:rsid w:val="00DB19D0"/>
    <w:rsid w:val="00DB1B6D"/>
    <w:rsid w:val="00DB5B06"/>
    <w:rsid w:val="00DB76F3"/>
    <w:rsid w:val="00DC022F"/>
    <w:rsid w:val="00DC1295"/>
    <w:rsid w:val="00DC2C46"/>
    <w:rsid w:val="00DC5231"/>
    <w:rsid w:val="00DC6947"/>
    <w:rsid w:val="00DD2E5F"/>
    <w:rsid w:val="00DE4C8F"/>
    <w:rsid w:val="00DE704E"/>
    <w:rsid w:val="00DE749C"/>
    <w:rsid w:val="00DF590F"/>
    <w:rsid w:val="00DF6974"/>
    <w:rsid w:val="00E15C50"/>
    <w:rsid w:val="00E168F1"/>
    <w:rsid w:val="00E17A78"/>
    <w:rsid w:val="00E41B17"/>
    <w:rsid w:val="00E52604"/>
    <w:rsid w:val="00E54357"/>
    <w:rsid w:val="00E57579"/>
    <w:rsid w:val="00E7338B"/>
    <w:rsid w:val="00E7375E"/>
    <w:rsid w:val="00E82EE5"/>
    <w:rsid w:val="00E8696F"/>
    <w:rsid w:val="00E8766B"/>
    <w:rsid w:val="00E9065E"/>
    <w:rsid w:val="00EA07AC"/>
    <w:rsid w:val="00ED265D"/>
    <w:rsid w:val="00EE5840"/>
    <w:rsid w:val="00EE5A87"/>
    <w:rsid w:val="00EF661E"/>
    <w:rsid w:val="00F07F29"/>
    <w:rsid w:val="00F12C6A"/>
    <w:rsid w:val="00F13C12"/>
    <w:rsid w:val="00F15559"/>
    <w:rsid w:val="00F1715E"/>
    <w:rsid w:val="00F22EA5"/>
    <w:rsid w:val="00F27B12"/>
    <w:rsid w:val="00F3268B"/>
    <w:rsid w:val="00F33A5C"/>
    <w:rsid w:val="00F34F73"/>
    <w:rsid w:val="00F35270"/>
    <w:rsid w:val="00F4217A"/>
    <w:rsid w:val="00F47007"/>
    <w:rsid w:val="00F52509"/>
    <w:rsid w:val="00F5456B"/>
    <w:rsid w:val="00F5785C"/>
    <w:rsid w:val="00F64677"/>
    <w:rsid w:val="00F71897"/>
    <w:rsid w:val="00F83CF8"/>
    <w:rsid w:val="00F84E18"/>
    <w:rsid w:val="00F961EB"/>
    <w:rsid w:val="00F97FE5"/>
    <w:rsid w:val="00FA587F"/>
    <w:rsid w:val="00FA5C09"/>
    <w:rsid w:val="00FB0A69"/>
    <w:rsid w:val="00FB2758"/>
    <w:rsid w:val="00FC2E70"/>
    <w:rsid w:val="00FC6A6C"/>
    <w:rsid w:val="00FD3EEB"/>
    <w:rsid w:val="00FD5ABB"/>
    <w:rsid w:val="00FE53F9"/>
    <w:rsid w:val="00FE6F70"/>
    <w:rsid w:val="00FE7B94"/>
    <w:rsid w:val="00FE7C9B"/>
    <w:rsid w:val="00FF7931"/>
    <w:rsid w:val="02DA5434"/>
    <w:rsid w:val="09674DE9"/>
    <w:rsid w:val="18604C82"/>
    <w:rsid w:val="205E6167"/>
    <w:rsid w:val="24C77BC8"/>
    <w:rsid w:val="2E4C7789"/>
    <w:rsid w:val="36536E8F"/>
    <w:rsid w:val="3BD807A8"/>
    <w:rsid w:val="43816729"/>
    <w:rsid w:val="697D3F1E"/>
    <w:rsid w:val="7E52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F10F7DE-23AE-4D9B-AF04-404A69F0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lsdException w:name="footnote text" w:uiPriority="0" w:qFormat="1"/>
    <w:lsdException w:name="annotation text" w:semiHidden="1" w:uiPriority="0"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pPr>
      <w:widowControl w:val="0"/>
      <w:jc w:val="both"/>
    </w:pPr>
    <w:rPr>
      <w:rFonts w:ascii="Times New Roman" w:hAnsi="Times New Roman"/>
      <w:kern w:val="2"/>
      <w:sz w:val="21"/>
      <w:szCs w:val="24"/>
    </w:rPr>
  </w:style>
  <w:style w:type="paragraph" w:styleId="1">
    <w:name w:val="heading 1"/>
    <w:basedOn w:val="aff7"/>
    <w:next w:val="aff7"/>
    <w:link w:val="1Char"/>
    <w:qFormat/>
    <w:pPr>
      <w:keepNext/>
      <w:keepLines/>
      <w:spacing w:before="340" w:after="330" w:line="578" w:lineRule="auto"/>
      <w:outlineLvl w:val="0"/>
    </w:pPr>
    <w:rPr>
      <w:b/>
      <w:bCs/>
      <w:kern w:val="44"/>
      <w:sz w:val="44"/>
      <w:szCs w:val="44"/>
    </w:rPr>
  </w:style>
  <w:style w:type="paragraph" w:styleId="2">
    <w:name w:val="heading 2"/>
    <w:basedOn w:val="aff7"/>
    <w:next w:val="aff7"/>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Char"/>
    <w:qFormat/>
    <w:pPr>
      <w:keepNext/>
      <w:keepLines/>
      <w:spacing w:before="260" w:after="260" w:line="416" w:lineRule="auto"/>
      <w:outlineLvl w:val="2"/>
    </w:pPr>
    <w:rPr>
      <w:b/>
      <w:bCs/>
      <w:sz w:val="32"/>
      <w:szCs w:val="32"/>
    </w:rPr>
  </w:style>
  <w:style w:type="paragraph" w:styleId="4">
    <w:name w:val="heading 4"/>
    <w:basedOn w:val="aff7"/>
    <w:next w:val="a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Char"/>
    <w:qFormat/>
    <w:pPr>
      <w:keepNext/>
      <w:keepLines/>
      <w:spacing w:before="280" w:after="290" w:line="376" w:lineRule="auto"/>
      <w:outlineLvl w:val="4"/>
    </w:pPr>
    <w:rPr>
      <w:b/>
      <w:bCs/>
      <w:sz w:val="28"/>
      <w:szCs w:val="28"/>
    </w:rPr>
  </w:style>
  <w:style w:type="paragraph" w:styleId="6">
    <w:name w:val="heading 6"/>
    <w:basedOn w:val="aff7"/>
    <w:next w:val="aff7"/>
    <w:link w:val="6Char"/>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Char"/>
    <w:qFormat/>
    <w:pPr>
      <w:keepNext/>
      <w:keepLines/>
      <w:spacing w:before="240" w:after="64" w:line="320" w:lineRule="auto"/>
      <w:outlineLvl w:val="6"/>
    </w:pPr>
    <w:rPr>
      <w:b/>
      <w:bCs/>
      <w:sz w:val="24"/>
    </w:rPr>
  </w:style>
  <w:style w:type="paragraph" w:styleId="8">
    <w:name w:val="heading 8"/>
    <w:basedOn w:val="aff7"/>
    <w:next w:val="aff7"/>
    <w:link w:val="8Char"/>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Char"/>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80">
    <w:name w:val="index 8"/>
    <w:basedOn w:val="aff7"/>
    <w:next w:val="aff7"/>
    <w:qFormat/>
    <w:pPr>
      <w:ind w:left="1680" w:hanging="210"/>
      <w:jc w:val="left"/>
    </w:pPr>
    <w:rPr>
      <w:rFonts w:ascii="Calibri" w:hAnsi="Calibri"/>
      <w:sz w:val="20"/>
      <w:szCs w:val="20"/>
    </w:rPr>
  </w:style>
  <w:style w:type="paragraph" w:styleId="affb">
    <w:name w:val="Normal Indent"/>
    <w:basedOn w:val="aff7"/>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0">
    <w:name w:val="index 5"/>
    <w:basedOn w:val="aff7"/>
    <w:next w:val="aff7"/>
    <w:qFormat/>
    <w:pPr>
      <w:ind w:left="1050" w:hanging="210"/>
      <w:jc w:val="left"/>
    </w:pPr>
    <w:rPr>
      <w:rFonts w:ascii="Calibri" w:hAnsi="Calibri"/>
      <w:sz w:val="20"/>
      <w:szCs w:val="20"/>
    </w:rPr>
  </w:style>
  <w:style w:type="paragraph" w:styleId="affd">
    <w:name w:val="Document Map"/>
    <w:basedOn w:val="aff7"/>
    <w:link w:val="Char"/>
    <w:semiHidden/>
    <w:qFormat/>
    <w:pPr>
      <w:shd w:val="clear" w:color="auto" w:fill="000080"/>
    </w:pPr>
  </w:style>
  <w:style w:type="paragraph" w:styleId="affe">
    <w:name w:val="annotation text"/>
    <w:basedOn w:val="aff7"/>
    <w:link w:val="Char0"/>
    <w:semiHidden/>
    <w:unhideWhenUsed/>
    <w:qFormat/>
    <w:pPr>
      <w:jc w:val="left"/>
    </w:pPr>
  </w:style>
  <w:style w:type="paragraph" w:styleId="60">
    <w:name w:val="index 6"/>
    <w:basedOn w:val="aff7"/>
    <w:next w:val="aff7"/>
    <w:qFormat/>
    <w:pPr>
      <w:ind w:left="1260" w:hanging="210"/>
      <w:jc w:val="left"/>
    </w:pPr>
    <w:rPr>
      <w:rFonts w:ascii="Calibri" w:hAnsi="Calibri"/>
      <w:sz w:val="20"/>
      <w:szCs w:val="20"/>
    </w:rPr>
  </w:style>
  <w:style w:type="paragraph" w:styleId="afff">
    <w:name w:val="Body Text"/>
    <w:basedOn w:val="aff7"/>
    <w:link w:val="Char1"/>
    <w:uiPriority w:val="1"/>
    <w:qFormat/>
    <w:pPr>
      <w:ind w:left="118"/>
      <w:jc w:val="left"/>
    </w:pPr>
    <w:rPr>
      <w:rFonts w:ascii="宋体" w:hAnsi="宋体"/>
      <w:kern w:val="0"/>
      <w:szCs w:val="21"/>
      <w:lang w:eastAsia="en-US"/>
    </w:rPr>
  </w:style>
  <w:style w:type="paragraph" w:styleId="HTML">
    <w:name w:val="HTML Address"/>
    <w:basedOn w:val="aff7"/>
    <w:link w:val="HTMLChar"/>
    <w:qFormat/>
    <w:rPr>
      <w:i/>
      <w:iCs/>
    </w:rPr>
  </w:style>
  <w:style w:type="paragraph" w:styleId="40">
    <w:name w:val="index 4"/>
    <w:basedOn w:val="aff7"/>
    <w:next w:val="aff7"/>
    <w:qFormat/>
    <w:pPr>
      <w:ind w:left="840" w:hanging="210"/>
      <w:jc w:val="left"/>
    </w:pPr>
    <w:rPr>
      <w:rFonts w:ascii="Calibri" w:hAnsi="Calibri"/>
      <w:sz w:val="20"/>
      <w:szCs w:val="20"/>
    </w:rPr>
  </w:style>
  <w:style w:type="paragraph" w:styleId="afff0">
    <w:name w:val="Plain Text"/>
    <w:basedOn w:val="aff7"/>
    <w:link w:val="Char2"/>
    <w:rPr>
      <w:rFonts w:ascii="宋体" w:hAnsi="Courier New" w:hint="eastAsia"/>
      <w:color w:val="000000"/>
      <w:szCs w:val="20"/>
    </w:rPr>
  </w:style>
  <w:style w:type="paragraph" w:styleId="30">
    <w:name w:val="index 3"/>
    <w:basedOn w:val="aff7"/>
    <w:next w:val="aff7"/>
    <w:qFormat/>
    <w:pPr>
      <w:ind w:left="630" w:hanging="210"/>
      <w:jc w:val="left"/>
    </w:pPr>
    <w:rPr>
      <w:rFonts w:ascii="Calibri" w:hAnsi="Calibri"/>
      <w:sz w:val="20"/>
      <w:szCs w:val="20"/>
    </w:rPr>
  </w:style>
  <w:style w:type="paragraph" w:styleId="afff1">
    <w:name w:val="Date"/>
    <w:basedOn w:val="aff7"/>
    <w:next w:val="aff7"/>
    <w:link w:val="Char3"/>
    <w:pPr>
      <w:ind w:leftChars="2500" w:left="100"/>
    </w:pPr>
  </w:style>
  <w:style w:type="paragraph" w:styleId="afff2">
    <w:name w:val="endnote text"/>
    <w:basedOn w:val="aff7"/>
    <w:link w:val="Char4"/>
    <w:semiHidden/>
    <w:qFormat/>
    <w:pPr>
      <w:snapToGrid w:val="0"/>
      <w:jc w:val="left"/>
    </w:pPr>
  </w:style>
  <w:style w:type="paragraph" w:styleId="afff3">
    <w:name w:val="Balloon Text"/>
    <w:basedOn w:val="aff7"/>
    <w:link w:val="Char5"/>
    <w:qFormat/>
    <w:rPr>
      <w:sz w:val="18"/>
      <w:szCs w:val="18"/>
    </w:rPr>
  </w:style>
  <w:style w:type="paragraph" w:styleId="afff4">
    <w:name w:val="footer"/>
    <w:basedOn w:val="aff7"/>
    <w:link w:val="Char6"/>
    <w:uiPriority w:val="99"/>
    <w:qFormat/>
    <w:pPr>
      <w:snapToGrid w:val="0"/>
      <w:ind w:rightChars="100" w:right="210"/>
      <w:jc w:val="right"/>
    </w:pPr>
    <w:rPr>
      <w:sz w:val="18"/>
      <w:szCs w:val="18"/>
    </w:rPr>
  </w:style>
  <w:style w:type="paragraph" w:styleId="afff5">
    <w:name w:val="header"/>
    <w:basedOn w:val="aff7"/>
    <w:link w:val="Char7"/>
    <w:qFormat/>
    <w:pPr>
      <w:snapToGrid w:val="0"/>
      <w:jc w:val="left"/>
    </w:pPr>
    <w:rPr>
      <w:sz w:val="18"/>
      <w:szCs w:val="18"/>
    </w:rPr>
  </w:style>
  <w:style w:type="paragraph" w:styleId="10">
    <w:name w:val="toc 1"/>
    <w:basedOn w:val="aff7"/>
    <w:next w:val="aff7"/>
    <w:uiPriority w:val="39"/>
    <w:unhideWhenUsed/>
    <w:qFormat/>
    <w:pPr>
      <w:tabs>
        <w:tab w:val="right" w:leader="dot" w:pos="9344"/>
      </w:tabs>
    </w:pPr>
  </w:style>
  <w:style w:type="paragraph" w:styleId="afff6">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Char8"/>
    <w:qFormat/>
    <w:pPr>
      <w:numPr>
        <w:numId w:val="1"/>
      </w:numPr>
      <w:snapToGrid w:val="0"/>
      <w:jc w:val="left"/>
    </w:pPr>
    <w:rPr>
      <w:rFonts w:ascii="宋体"/>
      <w:sz w:val="18"/>
      <w:szCs w:val="18"/>
    </w:rPr>
  </w:style>
  <w:style w:type="paragraph" w:styleId="70">
    <w:name w:val="index 7"/>
    <w:basedOn w:val="aff7"/>
    <w:next w:val="aff7"/>
    <w:qFormat/>
    <w:pPr>
      <w:ind w:left="1470" w:hanging="210"/>
      <w:jc w:val="left"/>
    </w:pPr>
    <w:rPr>
      <w:rFonts w:ascii="Calibri" w:hAnsi="Calibri"/>
      <w:sz w:val="20"/>
      <w:szCs w:val="20"/>
    </w:rPr>
  </w:style>
  <w:style w:type="paragraph" w:styleId="90">
    <w:name w:val="index 9"/>
    <w:basedOn w:val="aff7"/>
    <w:next w:val="aff7"/>
    <w:qFormat/>
    <w:pPr>
      <w:ind w:left="1890" w:hanging="210"/>
      <w:jc w:val="left"/>
    </w:pPr>
    <w:rPr>
      <w:rFonts w:ascii="Calibri" w:hAnsi="Calibri"/>
      <w:sz w:val="20"/>
      <w:szCs w:val="20"/>
    </w:rPr>
  </w:style>
  <w:style w:type="paragraph" w:styleId="HTML0">
    <w:name w:val="HTML Preformatted"/>
    <w:basedOn w:val="aff7"/>
    <w:link w:val="HTMLChar0"/>
    <w:qFormat/>
    <w:rPr>
      <w:rFonts w:ascii="Courier New" w:hAnsi="Courier New" w:cs="Courier New"/>
      <w:sz w:val="20"/>
      <w:szCs w:val="20"/>
    </w:rPr>
  </w:style>
  <w:style w:type="paragraph" w:styleId="afff7">
    <w:name w:val="Normal (Web)"/>
    <w:basedOn w:val="aff7"/>
    <w:pPr>
      <w:widowControl/>
      <w:spacing w:before="100" w:beforeAutospacing="1" w:after="100" w:afterAutospacing="1"/>
      <w:jc w:val="left"/>
    </w:pPr>
    <w:rPr>
      <w:rFonts w:ascii="宋体" w:hAnsi="宋体"/>
      <w:color w:val="FF0000"/>
      <w:kern w:val="0"/>
      <w:sz w:val="24"/>
      <w:szCs w:val="28"/>
    </w:rPr>
  </w:style>
  <w:style w:type="paragraph" w:styleId="20">
    <w:name w:val="index 2"/>
    <w:basedOn w:val="aff7"/>
    <w:next w:val="aff7"/>
    <w:qFormat/>
    <w:pPr>
      <w:ind w:left="420" w:hanging="210"/>
      <w:jc w:val="left"/>
    </w:pPr>
    <w:rPr>
      <w:rFonts w:ascii="Calibri" w:hAnsi="Calibri"/>
      <w:sz w:val="20"/>
      <w:szCs w:val="20"/>
    </w:rPr>
  </w:style>
  <w:style w:type="paragraph" w:styleId="afff8">
    <w:name w:val="Title"/>
    <w:basedOn w:val="aff7"/>
    <w:link w:val="Char9"/>
    <w:qFormat/>
    <w:pPr>
      <w:spacing w:before="240" w:after="60"/>
      <w:jc w:val="center"/>
      <w:outlineLvl w:val="0"/>
    </w:pPr>
    <w:rPr>
      <w:rFonts w:ascii="Arial" w:hAnsi="Arial" w:cs="Arial"/>
      <w:b/>
      <w:bCs/>
      <w:sz w:val="32"/>
      <w:szCs w:val="32"/>
    </w:rPr>
  </w:style>
  <w:style w:type="paragraph" w:styleId="afff9">
    <w:name w:val="annotation subject"/>
    <w:basedOn w:val="affe"/>
    <w:next w:val="affe"/>
    <w:link w:val="Chara"/>
    <w:semiHidden/>
    <w:rPr>
      <w:b/>
      <w:bCs/>
    </w:rPr>
  </w:style>
  <w:style w:type="table" w:styleId="afffa">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endnote reference"/>
    <w:semiHidden/>
    <w:qFormat/>
    <w:rPr>
      <w:vertAlign w:val="superscript"/>
    </w:rPr>
  </w:style>
  <w:style w:type="character" w:styleId="afffc">
    <w:name w:val="page number"/>
    <w:qFormat/>
    <w:rPr>
      <w:rFonts w:ascii="Times New Roman" w:eastAsia="宋体" w:hAnsi="Times New Roman"/>
      <w:sz w:val="18"/>
    </w:rPr>
  </w:style>
  <w:style w:type="character" w:styleId="afffd">
    <w:name w:val="line number"/>
    <w:basedOn w:val="aff8"/>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8"/>
    <w:qFormat/>
  </w:style>
  <w:style w:type="character" w:styleId="HTML4">
    <w:name w:val="HTML Variable"/>
    <w:qFormat/>
    <w:rPr>
      <w:i/>
      <w:iCs/>
    </w:rPr>
  </w:style>
  <w:style w:type="character" w:styleId="afffe">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f">
    <w:name w:val="annotation reference"/>
    <w:semiHidden/>
    <w:qFormat/>
    <w:rPr>
      <w:sz w:val="21"/>
      <w:szCs w:val="21"/>
    </w:rPr>
  </w:style>
  <w:style w:type="character" w:styleId="HTML6">
    <w:name w:val="HTML Cite"/>
    <w:qFormat/>
    <w:rPr>
      <w:i/>
      <w:iCs/>
    </w:rPr>
  </w:style>
  <w:style w:type="character" w:styleId="affff0">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71">
    <w:name w:val="目录 71"/>
    <w:basedOn w:val="aff7"/>
    <w:next w:val="aff7"/>
    <w:semiHidden/>
    <w:qFormat/>
    <w:pPr>
      <w:tabs>
        <w:tab w:val="right" w:leader="dot" w:pos="9241"/>
      </w:tabs>
      <w:ind w:firstLineChars="500" w:firstLine="505"/>
      <w:jc w:val="left"/>
    </w:pPr>
    <w:rPr>
      <w:rFonts w:ascii="宋体"/>
      <w:szCs w:val="21"/>
    </w:rPr>
  </w:style>
  <w:style w:type="paragraph" w:customStyle="1" w:styleId="51">
    <w:name w:val="目录 51"/>
    <w:basedOn w:val="aff7"/>
    <w:next w:val="aff7"/>
    <w:semiHidden/>
    <w:qFormat/>
    <w:pPr>
      <w:tabs>
        <w:tab w:val="right" w:leader="dot" w:pos="9241"/>
      </w:tabs>
      <w:ind w:firstLineChars="300" w:firstLine="300"/>
      <w:jc w:val="left"/>
    </w:pPr>
    <w:rPr>
      <w:rFonts w:ascii="宋体"/>
      <w:szCs w:val="21"/>
    </w:rPr>
  </w:style>
  <w:style w:type="paragraph" w:customStyle="1" w:styleId="31">
    <w:name w:val="目录 31"/>
    <w:basedOn w:val="aff7"/>
    <w:next w:val="aff7"/>
    <w:semiHidden/>
    <w:qFormat/>
    <w:pPr>
      <w:tabs>
        <w:tab w:val="right" w:leader="dot" w:pos="9241"/>
      </w:tabs>
      <w:ind w:firstLineChars="100" w:firstLine="102"/>
      <w:jc w:val="left"/>
    </w:pPr>
    <w:rPr>
      <w:rFonts w:ascii="宋体"/>
      <w:szCs w:val="21"/>
    </w:rPr>
  </w:style>
  <w:style w:type="paragraph" w:customStyle="1" w:styleId="81">
    <w:name w:val="目录 81"/>
    <w:basedOn w:val="aff7"/>
    <w:next w:val="aff7"/>
    <w:semiHidden/>
    <w:qFormat/>
    <w:pPr>
      <w:tabs>
        <w:tab w:val="right" w:leader="dot" w:pos="9241"/>
      </w:tabs>
      <w:ind w:firstLineChars="600" w:firstLine="607"/>
      <w:jc w:val="left"/>
    </w:pPr>
    <w:rPr>
      <w:rFonts w:ascii="宋体"/>
      <w:szCs w:val="21"/>
    </w:rPr>
  </w:style>
  <w:style w:type="paragraph" w:customStyle="1" w:styleId="110">
    <w:name w:val="目录 11"/>
    <w:basedOn w:val="aff7"/>
    <w:next w:val="aff7"/>
    <w:uiPriority w:val="39"/>
    <w:qFormat/>
    <w:pPr>
      <w:tabs>
        <w:tab w:val="right" w:leader="dot" w:pos="9241"/>
      </w:tabs>
      <w:spacing w:beforeLines="25" w:afterLines="25"/>
      <w:jc w:val="left"/>
    </w:pPr>
    <w:rPr>
      <w:rFonts w:ascii="宋体"/>
      <w:szCs w:val="21"/>
    </w:rPr>
  </w:style>
  <w:style w:type="paragraph" w:customStyle="1" w:styleId="41">
    <w:name w:val="目录 41"/>
    <w:basedOn w:val="aff7"/>
    <w:next w:val="aff7"/>
    <w:semiHidden/>
    <w:qFormat/>
    <w:pPr>
      <w:tabs>
        <w:tab w:val="right" w:leader="dot" w:pos="9241"/>
      </w:tabs>
      <w:ind w:firstLineChars="200" w:firstLine="198"/>
      <w:jc w:val="left"/>
    </w:pPr>
    <w:rPr>
      <w:rFonts w:ascii="宋体"/>
      <w:szCs w:val="21"/>
    </w:rPr>
  </w:style>
  <w:style w:type="paragraph" w:customStyle="1" w:styleId="61">
    <w:name w:val="目录 61"/>
    <w:basedOn w:val="aff7"/>
    <w:next w:val="aff7"/>
    <w:semiHidden/>
    <w:qFormat/>
    <w:pPr>
      <w:tabs>
        <w:tab w:val="right" w:leader="dot" w:pos="9241"/>
      </w:tabs>
      <w:ind w:firstLineChars="400" w:firstLine="403"/>
      <w:jc w:val="left"/>
    </w:pPr>
    <w:rPr>
      <w:rFonts w:ascii="宋体"/>
      <w:szCs w:val="21"/>
    </w:rPr>
  </w:style>
  <w:style w:type="paragraph" w:customStyle="1" w:styleId="21">
    <w:name w:val="目录 21"/>
    <w:basedOn w:val="aff7"/>
    <w:next w:val="aff7"/>
    <w:semiHidden/>
    <w:qFormat/>
    <w:pPr>
      <w:tabs>
        <w:tab w:val="right" w:leader="dot" w:pos="9241"/>
      </w:tabs>
    </w:pPr>
    <w:rPr>
      <w:rFonts w:ascii="宋体"/>
      <w:szCs w:val="21"/>
    </w:rPr>
  </w:style>
  <w:style w:type="paragraph" w:customStyle="1" w:styleId="91">
    <w:name w:val="目录 91"/>
    <w:basedOn w:val="aff7"/>
    <w:next w:val="aff7"/>
    <w:semiHidden/>
    <w:qFormat/>
    <w:pPr>
      <w:ind w:left="1470"/>
      <w:jc w:val="left"/>
    </w:pPr>
    <w:rPr>
      <w:sz w:val="20"/>
      <w:szCs w:val="20"/>
    </w:rPr>
  </w:style>
  <w:style w:type="character" w:customStyle="1" w:styleId="12">
    <w:name w:val="已访问的超链接1"/>
    <w:qFormat/>
    <w:rPr>
      <w:color w:val="800080"/>
      <w:u w:val="single"/>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批注文字 Char"/>
    <w:link w:val="affe"/>
    <w:uiPriority w:val="99"/>
    <w:semiHidden/>
    <w:qFormat/>
    <w:rPr>
      <w:rFonts w:ascii="Times New Roman" w:eastAsia="宋体" w:hAnsi="Times New Roman" w:cs="Times New Roman"/>
      <w:szCs w:val="24"/>
    </w:rPr>
  </w:style>
  <w:style w:type="character" w:customStyle="1" w:styleId="Chara">
    <w:name w:val="批注主题 Char"/>
    <w:link w:val="afff9"/>
    <w:semiHidden/>
    <w:qFormat/>
    <w:rPr>
      <w:rFonts w:ascii="Times New Roman" w:eastAsia="宋体" w:hAnsi="Times New Roman" w:cs="Times New Roman"/>
      <w:b/>
      <w:bCs/>
      <w:szCs w:val="24"/>
    </w:rPr>
  </w:style>
  <w:style w:type="character" w:customStyle="1" w:styleId="Char">
    <w:name w:val="文档结构图 Char"/>
    <w:link w:val="affd"/>
    <w:semiHidden/>
    <w:qFormat/>
    <w:rPr>
      <w:rFonts w:ascii="Times New Roman" w:eastAsia="宋体" w:hAnsi="Times New Roman" w:cs="Times New Roman"/>
      <w:szCs w:val="24"/>
      <w:shd w:val="clear" w:color="auto" w:fill="000080"/>
    </w:rPr>
  </w:style>
  <w:style w:type="character" w:customStyle="1" w:styleId="HTMLChar">
    <w:name w:val="HTML 地址 Char"/>
    <w:link w:val="HTML"/>
    <w:qFormat/>
    <w:rPr>
      <w:rFonts w:ascii="Times New Roman" w:eastAsia="宋体" w:hAnsi="Times New Roman" w:cs="Times New Roman"/>
      <w:i/>
      <w:iCs/>
      <w:szCs w:val="24"/>
    </w:rPr>
  </w:style>
  <w:style w:type="character" w:customStyle="1" w:styleId="Char3">
    <w:name w:val="日期 Char"/>
    <w:link w:val="afff1"/>
    <w:qFormat/>
    <w:rPr>
      <w:rFonts w:ascii="Times New Roman" w:eastAsia="宋体" w:hAnsi="Times New Roman" w:cs="Times New Roman"/>
      <w:szCs w:val="24"/>
    </w:rPr>
  </w:style>
  <w:style w:type="character" w:customStyle="1" w:styleId="Char4">
    <w:name w:val="尾注文本 Char"/>
    <w:link w:val="afff2"/>
    <w:semiHidden/>
    <w:qFormat/>
    <w:rPr>
      <w:rFonts w:ascii="Times New Roman" w:eastAsia="宋体" w:hAnsi="Times New Roman" w:cs="Times New Roman"/>
      <w:szCs w:val="24"/>
    </w:rPr>
  </w:style>
  <w:style w:type="character" w:customStyle="1" w:styleId="Char5">
    <w:name w:val="批注框文本 Char"/>
    <w:link w:val="afff3"/>
    <w:qFormat/>
    <w:rPr>
      <w:rFonts w:ascii="Times New Roman" w:eastAsia="宋体" w:hAnsi="Times New Roman" w:cs="Times New Roman"/>
      <w:sz w:val="18"/>
      <w:szCs w:val="18"/>
    </w:rPr>
  </w:style>
  <w:style w:type="character" w:customStyle="1" w:styleId="Char6">
    <w:name w:val="页脚 Char"/>
    <w:link w:val="afff4"/>
    <w:uiPriority w:val="99"/>
    <w:qFormat/>
    <w:rPr>
      <w:rFonts w:ascii="Times New Roman" w:eastAsia="宋体" w:hAnsi="Times New Roman" w:cs="Times New Roman"/>
      <w:sz w:val="18"/>
      <w:szCs w:val="18"/>
    </w:rPr>
  </w:style>
  <w:style w:type="character" w:customStyle="1" w:styleId="Char7">
    <w:name w:val="页眉 Char"/>
    <w:link w:val="afff5"/>
    <w:qFormat/>
    <w:rPr>
      <w:rFonts w:ascii="Times New Roman" w:eastAsia="宋体" w:hAnsi="Times New Roman" w:cs="Times New Roman"/>
      <w:sz w:val="18"/>
      <w:szCs w:val="18"/>
    </w:rPr>
  </w:style>
  <w:style w:type="paragraph" w:customStyle="1" w:styleId="affff1">
    <w:name w:val="段"/>
    <w:link w:val="Charb"/>
    <w:qFormat/>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8">
    <w:name w:val="脚注文本 Char"/>
    <w:link w:val="af3"/>
    <w:qFormat/>
    <w:rPr>
      <w:rFonts w:ascii="宋体"/>
      <w:kern w:val="2"/>
      <w:sz w:val="18"/>
      <w:szCs w:val="18"/>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9">
    <w:name w:val="标题 Char"/>
    <w:link w:val="afff8"/>
    <w:qFormat/>
    <w:rPr>
      <w:rFonts w:ascii="Arial" w:eastAsia="宋体" w:hAnsi="Arial" w:cs="Arial"/>
      <w:b/>
      <w:bCs/>
      <w:sz w:val="32"/>
      <w:szCs w:val="32"/>
    </w:rPr>
  </w:style>
  <w:style w:type="character" w:customStyle="1" w:styleId="Charb">
    <w:name w:val="段 Char"/>
    <w:link w:val="affff1"/>
    <w:qFormat/>
    <w:rPr>
      <w:rFonts w:ascii="宋体"/>
      <w:lang w:val="en-US" w:eastAsia="zh-CN" w:bidi="ar-SA"/>
    </w:rPr>
  </w:style>
  <w:style w:type="paragraph" w:customStyle="1" w:styleId="a8">
    <w:name w:val="一级条标题"/>
    <w:next w:val="affff1"/>
    <w:qFormat/>
    <w:pPr>
      <w:numPr>
        <w:ilvl w:val="1"/>
        <w:numId w:val="2"/>
      </w:numPr>
      <w:spacing w:beforeLines="50" w:afterLines="50"/>
      <w:outlineLvl w:val="2"/>
    </w:pPr>
    <w:rPr>
      <w:rFonts w:ascii="黑体" w:eastAsia="黑体" w:hAnsi="Times New Roman"/>
      <w:sz w:val="21"/>
      <w:szCs w:val="21"/>
    </w:rPr>
  </w:style>
  <w:style w:type="paragraph" w:customStyle="1" w:styleId="affff2">
    <w:name w:val="标准书脚_奇数页"/>
    <w:qFormat/>
    <w:pPr>
      <w:spacing w:before="120"/>
      <w:ind w:right="198"/>
      <w:jc w:val="right"/>
    </w:pPr>
    <w:rPr>
      <w:rFonts w:ascii="宋体" w:hAnsi="Times New Roman"/>
      <w:sz w:val="18"/>
      <w:szCs w:val="18"/>
    </w:rPr>
  </w:style>
  <w:style w:type="paragraph" w:customStyle="1" w:styleId="affff3">
    <w:name w:val="标准书眉_奇数页"/>
    <w:next w:val="aff7"/>
    <w:qFormat/>
    <w:pPr>
      <w:tabs>
        <w:tab w:val="center" w:pos="4154"/>
        <w:tab w:val="right" w:pos="8306"/>
      </w:tabs>
      <w:spacing w:after="220"/>
      <w:jc w:val="right"/>
    </w:pPr>
    <w:rPr>
      <w:rFonts w:ascii="黑体" w:eastAsia="黑体" w:hAnsi="Times New Roman"/>
      <w:sz w:val="21"/>
      <w:szCs w:val="21"/>
    </w:rPr>
  </w:style>
  <w:style w:type="paragraph" w:customStyle="1" w:styleId="a7">
    <w:name w:val="章标题"/>
    <w:next w:val="affff1"/>
    <w:link w:val="Charc"/>
    <w:qFormat/>
    <w:pPr>
      <w:numPr>
        <w:numId w:val="2"/>
      </w:numPr>
      <w:spacing w:beforeLines="100" w:afterLines="100"/>
      <w:jc w:val="both"/>
      <w:outlineLvl w:val="1"/>
    </w:pPr>
    <w:rPr>
      <w:rFonts w:ascii="黑体" w:eastAsia="黑体" w:hAnsi="Times New Roman"/>
      <w:sz w:val="21"/>
    </w:rPr>
  </w:style>
  <w:style w:type="paragraph" w:customStyle="1" w:styleId="a9">
    <w:name w:val="二级条标题"/>
    <w:basedOn w:val="a8"/>
    <w:next w:val="affff1"/>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
    <w:name w:val="列项——（一级）"/>
    <w:qFormat/>
    <w:pPr>
      <w:widowControl w:val="0"/>
      <w:numPr>
        <w:numId w:val="3"/>
      </w:numPr>
      <w:jc w:val="both"/>
    </w:pPr>
    <w:rPr>
      <w:rFonts w:ascii="宋体" w:hAnsi="Times New Roman"/>
      <w:sz w:val="21"/>
    </w:rPr>
  </w:style>
  <w:style w:type="paragraph" w:customStyle="1" w:styleId="af0">
    <w:name w:val="列项●（二级）"/>
    <w:qFormat/>
    <w:pPr>
      <w:numPr>
        <w:ilvl w:val="1"/>
        <w:numId w:val="3"/>
      </w:numPr>
      <w:tabs>
        <w:tab w:val="left" w:pos="840"/>
      </w:tabs>
      <w:jc w:val="both"/>
    </w:pPr>
    <w:rPr>
      <w:rFonts w:ascii="宋体" w:hAnsi="Times New Roman"/>
      <w:sz w:val="21"/>
    </w:rPr>
  </w:style>
  <w:style w:type="paragraph" w:customStyle="1" w:styleId="affff4">
    <w:name w:val="目次、标准名称标题"/>
    <w:basedOn w:val="aff7"/>
    <w:next w:val="af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1"/>
    <w:qFormat/>
    <w:pPr>
      <w:numPr>
        <w:ilvl w:val="3"/>
      </w:numPr>
      <w:ind w:left="0"/>
      <w:outlineLvl w:val="4"/>
    </w:pPr>
  </w:style>
  <w:style w:type="paragraph" w:customStyle="1" w:styleId="a2">
    <w:name w:val="示例"/>
    <w:next w:val="affff5"/>
    <w:qFormat/>
    <w:pPr>
      <w:widowControl w:val="0"/>
      <w:numPr>
        <w:numId w:val="4"/>
      </w:numPr>
      <w:jc w:val="both"/>
    </w:pPr>
    <w:rPr>
      <w:rFonts w:ascii="宋体" w:hAnsi="Times New Roman"/>
      <w:sz w:val="18"/>
      <w:szCs w:val="18"/>
    </w:rPr>
  </w:style>
  <w:style w:type="paragraph" w:customStyle="1" w:styleId="affff5">
    <w:name w:val="示例内容"/>
    <w:qFormat/>
    <w:pPr>
      <w:ind w:firstLineChars="200" w:firstLine="200"/>
    </w:pPr>
    <w:rPr>
      <w:rFonts w:ascii="宋体" w:hAnsi="Times New Roman"/>
      <w:sz w:val="18"/>
      <w:szCs w:val="18"/>
    </w:rPr>
  </w:style>
  <w:style w:type="paragraph" w:customStyle="1" w:styleId="af5">
    <w:name w:val="数字编号列项（二级）"/>
    <w:qFormat/>
    <w:pPr>
      <w:numPr>
        <w:ilvl w:val="1"/>
        <w:numId w:val="5"/>
      </w:numPr>
      <w:jc w:val="both"/>
    </w:pPr>
    <w:rPr>
      <w:rFonts w:ascii="宋体" w:hAnsi="Times New Roman"/>
      <w:sz w:val="21"/>
    </w:rPr>
  </w:style>
  <w:style w:type="paragraph" w:customStyle="1" w:styleId="ab">
    <w:name w:val="四级条标题"/>
    <w:basedOn w:val="aa"/>
    <w:next w:val="affff1"/>
    <w:qFormat/>
    <w:pPr>
      <w:numPr>
        <w:ilvl w:val="4"/>
      </w:numPr>
      <w:outlineLvl w:val="5"/>
    </w:pPr>
  </w:style>
  <w:style w:type="paragraph" w:customStyle="1" w:styleId="ac">
    <w:name w:val="五级条标题"/>
    <w:basedOn w:val="ab"/>
    <w:next w:val="affff1"/>
    <w:qFormat/>
    <w:pPr>
      <w:numPr>
        <w:ilvl w:val="5"/>
      </w:numPr>
      <w:outlineLvl w:val="6"/>
    </w:pPr>
  </w:style>
  <w:style w:type="paragraph" w:customStyle="1" w:styleId="aff5">
    <w:name w:val="注："/>
    <w:next w:val="affff1"/>
    <w:qFormat/>
    <w:pPr>
      <w:widowControl w:val="0"/>
      <w:numPr>
        <w:numId w:val="6"/>
      </w:numPr>
      <w:autoSpaceDE w:val="0"/>
      <w:autoSpaceDN w:val="0"/>
      <w:jc w:val="both"/>
    </w:pPr>
    <w:rPr>
      <w:rFonts w:ascii="宋体" w:hAnsi="Times New Roman"/>
      <w:sz w:val="18"/>
      <w:szCs w:val="18"/>
    </w:rPr>
  </w:style>
  <w:style w:type="paragraph" w:customStyle="1" w:styleId="a">
    <w:name w:val="注×："/>
    <w:qFormat/>
    <w:pPr>
      <w:widowControl w:val="0"/>
      <w:numPr>
        <w:numId w:val="7"/>
      </w:numPr>
      <w:autoSpaceDE w:val="0"/>
      <w:autoSpaceDN w:val="0"/>
      <w:jc w:val="both"/>
    </w:pPr>
    <w:rPr>
      <w:rFonts w:ascii="宋体" w:hAnsi="Times New Roman"/>
      <w:sz w:val="18"/>
      <w:szCs w:val="18"/>
    </w:rPr>
  </w:style>
  <w:style w:type="paragraph" w:customStyle="1" w:styleId="af4">
    <w:name w:val="字母编号列项（一级）"/>
    <w:qFormat/>
    <w:pPr>
      <w:numPr>
        <w:numId w:val="5"/>
      </w:numPr>
      <w:jc w:val="both"/>
    </w:pPr>
    <w:rPr>
      <w:rFonts w:ascii="宋体" w:hAnsi="Times New Roman"/>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hAnsi="Times New Roman"/>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6">
    <w:name w:val="二级无"/>
    <w:basedOn w:val="a9"/>
    <w:link w:val="Chard"/>
    <w:uiPriority w:val="99"/>
    <w:qFormat/>
    <w:pPr>
      <w:spacing w:beforeLines="0" w:afterLines="0"/>
    </w:pPr>
    <w:rPr>
      <w:rFonts w:ascii="宋体" w:eastAsia="宋体"/>
      <w:sz w:val="20"/>
    </w:rPr>
  </w:style>
  <w:style w:type="paragraph" w:customStyle="1" w:styleId="affff7">
    <w:name w:val="注：（正文）"/>
    <w:basedOn w:val="aff5"/>
    <w:next w:val="affff1"/>
    <w:qFormat/>
  </w:style>
  <w:style w:type="paragraph" w:customStyle="1" w:styleId="a5">
    <w:name w:val="注×：（正文）"/>
    <w:qFormat/>
    <w:pPr>
      <w:numPr>
        <w:numId w:val="9"/>
      </w:numPr>
      <w:jc w:val="both"/>
    </w:pPr>
    <w:rPr>
      <w:rFonts w:ascii="宋体" w:hAnsi="Times New Roman"/>
      <w:sz w:val="18"/>
      <w:szCs w:val="18"/>
    </w:rPr>
  </w:style>
  <w:style w:type="paragraph" w:customStyle="1" w:styleId="affff8">
    <w:name w:val="标准标志"/>
    <w:next w:val="aff7"/>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f9">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a">
    <w:name w:val="标准书脚_偶数页"/>
    <w:qFormat/>
    <w:pPr>
      <w:spacing w:before="120"/>
      <w:ind w:left="221"/>
    </w:pPr>
    <w:rPr>
      <w:rFonts w:ascii="宋体" w:hAnsi="Times New Roman"/>
      <w:sz w:val="18"/>
      <w:szCs w:val="18"/>
    </w:rPr>
  </w:style>
  <w:style w:type="paragraph" w:customStyle="1" w:styleId="affffb">
    <w:name w:val="标准书眉_偶数页"/>
    <w:basedOn w:val="affff3"/>
    <w:next w:val="aff7"/>
    <w:qFormat/>
    <w:pPr>
      <w:jc w:val="left"/>
    </w:pPr>
  </w:style>
  <w:style w:type="paragraph" w:customStyle="1" w:styleId="affffc">
    <w:name w:val="标准书眉一"/>
    <w:qFormat/>
    <w:pPr>
      <w:jc w:val="both"/>
    </w:pPr>
    <w:rPr>
      <w:rFonts w:ascii="Times New Roman" w:hAnsi="Times New Roman"/>
    </w:rPr>
  </w:style>
  <w:style w:type="paragraph" w:customStyle="1" w:styleId="affffd">
    <w:name w:val="参考文献"/>
    <w:basedOn w:val="aff7"/>
    <w:next w:val="af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参考文献、索引标题"/>
    <w:basedOn w:val="aff7"/>
    <w:next w:val="af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
    <w:name w:val="发布"/>
    <w:qFormat/>
    <w:rPr>
      <w:rFonts w:ascii="黑体" w:eastAsia="黑体"/>
      <w:spacing w:val="85"/>
      <w:w w:val="100"/>
      <w:position w:val="3"/>
      <w:sz w:val="28"/>
      <w:szCs w:val="28"/>
    </w:rPr>
  </w:style>
  <w:style w:type="paragraph" w:customStyle="1" w:styleId="afffff0">
    <w:name w:val="发布部门"/>
    <w:next w:val="affff1"/>
    <w:qFormat/>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f1">
    <w:name w:val="发布日期"/>
    <w:qFormat/>
    <w:pPr>
      <w:framePr w:w="3997" w:h="471" w:hRule="exact" w:vSpace="181" w:wrap="around" w:hAnchor="page" w:x="7089" w:y="14097" w:anchorLock="1"/>
    </w:pPr>
    <w:rPr>
      <w:rFonts w:ascii="Times New Roman" w:eastAsia="黑体" w:hAnsi="Times New Roman"/>
      <w:sz w:val="28"/>
    </w:rPr>
  </w:style>
  <w:style w:type="paragraph" w:customStyle="1" w:styleId="afffff2">
    <w:name w:val="封面标准代替信息"/>
    <w:qFormat/>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f4">
    <w:name w:val="封面标准英文名称"/>
    <w:basedOn w:val="afffff3"/>
    <w:qFormat/>
    <w:pPr>
      <w:framePr w:wrap="around"/>
      <w:spacing w:before="370" w:line="400" w:lineRule="exact"/>
    </w:pPr>
    <w:rPr>
      <w:rFonts w:ascii="Times New Roman"/>
      <w:sz w:val="28"/>
      <w:szCs w:val="28"/>
    </w:rPr>
  </w:style>
  <w:style w:type="paragraph" w:customStyle="1" w:styleId="afffff5">
    <w:name w:val="封面一致性程度标识"/>
    <w:basedOn w:val="afffff4"/>
    <w:qFormat/>
    <w:pPr>
      <w:framePr w:wrap="around"/>
      <w:spacing w:before="440"/>
    </w:pPr>
    <w:rPr>
      <w:rFonts w:ascii="宋体" w:eastAsia="宋体"/>
    </w:rPr>
  </w:style>
  <w:style w:type="paragraph" w:customStyle="1" w:styleId="afffff6">
    <w:name w:val="封面标准文稿类别"/>
    <w:basedOn w:val="afffff5"/>
    <w:qFormat/>
    <w:pPr>
      <w:framePr w:wrap="around"/>
      <w:spacing w:after="160" w:line="240" w:lineRule="auto"/>
    </w:pPr>
    <w:rPr>
      <w:sz w:val="24"/>
    </w:rPr>
  </w:style>
  <w:style w:type="paragraph" w:customStyle="1" w:styleId="afffff7">
    <w:name w:val="封面标准文稿编辑信息"/>
    <w:basedOn w:val="afffff6"/>
    <w:qFormat/>
    <w:pPr>
      <w:framePr w:wrap="around"/>
      <w:spacing w:before="180" w:line="180" w:lineRule="exact"/>
    </w:pPr>
    <w:rPr>
      <w:sz w:val="21"/>
    </w:rPr>
  </w:style>
  <w:style w:type="paragraph" w:customStyle="1" w:styleId="afffff8">
    <w:name w:val="封面正文"/>
    <w:qFormat/>
    <w:pPr>
      <w:jc w:val="both"/>
    </w:pPr>
    <w:rPr>
      <w:rFonts w:ascii="Times New Roman" w:hAnsi="Times New Roman"/>
    </w:rPr>
  </w:style>
  <w:style w:type="paragraph" w:customStyle="1" w:styleId="afc">
    <w:name w:val="附录标识"/>
    <w:basedOn w:val="aff7"/>
    <w:next w:val="affff1"/>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附录标题"/>
    <w:basedOn w:val="affff1"/>
    <w:next w:val="affff1"/>
    <w:qFormat/>
    <w:pPr>
      <w:ind w:firstLineChars="0" w:firstLine="0"/>
      <w:jc w:val="center"/>
    </w:pPr>
    <w:rPr>
      <w:rFonts w:ascii="黑体" w:eastAsia="黑体"/>
    </w:rPr>
  </w:style>
  <w:style w:type="paragraph" w:customStyle="1" w:styleId="af9">
    <w:name w:val="附录表标号"/>
    <w:basedOn w:val="aff7"/>
    <w:next w:val="affff1"/>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1"/>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1"/>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a">
    <w:name w:val="附录二级无"/>
    <w:basedOn w:val="aff"/>
    <w:qFormat/>
    <w:pPr>
      <w:tabs>
        <w:tab w:val="clear" w:pos="360"/>
      </w:tabs>
      <w:spacing w:beforeLines="0" w:afterLines="0"/>
    </w:pPr>
    <w:rPr>
      <w:rFonts w:ascii="宋体" w:eastAsia="宋体"/>
      <w:szCs w:val="21"/>
    </w:rPr>
  </w:style>
  <w:style w:type="paragraph" w:customStyle="1" w:styleId="afffffb">
    <w:name w:val="附录公式"/>
    <w:basedOn w:val="affff1"/>
    <w:next w:val="affff1"/>
    <w:link w:val="Chare"/>
    <w:qFormat/>
  </w:style>
  <w:style w:type="character" w:customStyle="1" w:styleId="Chare">
    <w:name w:val="附录公式 Char"/>
    <w:link w:val="afffffb"/>
    <w:qFormat/>
    <w:rPr>
      <w:rFonts w:ascii="宋体" w:eastAsia="宋体" w:hAnsi="Times New Roman" w:cs="Times New Roman"/>
      <w:kern w:val="0"/>
      <w:szCs w:val="20"/>
      <w:lang w:val="en-US" w:eastAsia="zh-CN" w:bidi="ar-SA"/>
    </w:rPr>
  </w:style>
  <w:style w:type="paragraph" w:customStyle="1" w:styleId="afffffc">
    <w:name w:val="附录公式编号制表符"/>
    <w:basedOn w:val="aff7"/>
    <w:next w:val="affff1"/>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1"/>
    <w:qFormat/>
    <w:pPr>
      <w:numPr>
        <w:ilvl w:val="4"/>
      </w:numPr>
      <w:outlineLvl w:val="4"/>
    </w:pPr>
  </w:style>
  <w:style w:type="paragraph" w:customStyle="1" w:styleId="afffffd">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hAnsi="Times New Roman"/>
      <w:sz w:val="21"/>
    </w:rPr>
  </w:style>
  <w:style w:type="paragraph" w:customStyle="1" w:styleId="aff1">
    <w:name w:val="附录四级条标题"/>
    <w:basedOn w:val="aff0"/>
    <w:next w:val="affff1"/>
    <w:qFormat/>
    <w:pPr>
      <w:numPr>
        <w:ilvl w:val="5"/>
      </w:numPr>
      <w:outlineLvl w:val="5"/>
    </w:pPr>
  </w:style>
  <w:style w:type="paragraph" w:customStyle="1" w:styleId="afffffe">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1"/>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1"/>
    <w:qFormat/>
    <w:pPr>
      <w:numPr>
        <w:ilvl w:val="6"/>
      </w:numPr>
      <w:outlineLvl w:val="6"/>
    </w:pPr>
  </w:style>
  <w:style w:type="paragraph" w:customStyle="1" w:styleId="affffff">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1"/>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e">
    <w:name w:val="附录一级条标题"/>
    <w:basedOn w:val="afd"/>
    <w:next w:val="affff1"/>
    <w:qFormat/>
    <w:pPr>
      <w:numPr>
        <w:ilvl w:val="2"/>
      </w:numPr>
      <w:autoSpaceDN w:val="0"/>
      <w:spacing w:beforeLines="50" w:afterLines="50"/>
      <w:outlineLvl w:val="2"/>
    </w:pPr>
  </w:style>
  <w:style w:type="paragraph" w:customStyle="1" w:styleId="affffff0">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hAnsi="Times New Roman"/>
      <w:sz w:val="21"/>
    </w:rPr>
  </w:style>
  <w:style w:type="paragraph" w:customStyle="1" w:styleId="affffff1">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列项说明数字编号"/>
    <w:qFormat/>
    <w:pPr>
      <w:ind w:leftChars="400" w:left="600" w:hangingChars="200" w:hanging="200"/>
    </w:pPr>
    <w:rPr>
      <w:rFonts w:ascii="宋体" w:hAnsi="Times New Roman"/>
      <w:sz w:val="21"/>
    </w:rPr>
  </w:style>
  <w:style w:type="paragraph" w:customStyle="1" w:styleId="affffff3">
    <w:name w:val="目次、索引正文"/>
    <w:qFormat/>
    <w:pPr>
      <w:spacing w:line="320" w:lineRule="exact"/>
      <w:jc w:val="both"/>
    </w:pPr>
    <w:rPr>
      <w:rFonts w:ascii="宋体" w:hAnsi="Times New Roman"/>
      <w:sz w:val="21"/>
    </w:rPr>
  </w:style>
  <w:style w:type="paragraph" w:customStyle="1" w:styleId="affffff4">
    <w:name w:val="其他标准标志"/>
    <w:basedOn w:val="affff8"/>
    <w:qFormat/>
    <w:pPr>
      <w:framePr w:w="6101" w:wrap="around" w:vAnchor="page" w:hAnchor="page" w:x="4673" w:y="942"/>
    </w:pPr>
    <w:rPr>
      <w:w w:val="130"/>
    </w:rPr>
  </w:style>
  <w:style w:type="paragraph" w:customStyle="1" w:styleId="affffff5">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ff0"/>
    <w:qFormat/>
    <w:pPr>
      <w:framePr w:wrap="around" w:y="15310"/>
      <w:spacing w:line="0" w:lineRule="atLeast"/>
    </w:pPr>
    <w:rPr>
      <w:rFonts w:ascii="黑体" w:eastAsia="黑体"/>
      <w:b w:val="0"/>
    </w:rPr>
  </w:style>
  <w:style w:type="paragraph" w:customStyle="1" w:styleId="affffff7">
    <w:name w:val="前言、引言标题"/>
    <w:next w:val="affff1"/>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fffff8">
    <w:name w:val="三级无"/>
    <w:basedOn w:val="aa"/>
    <w:uiPriority w:val="99"/>
    <w:qFormat/>
    <w:pPr>
      <w:spacing w:beforeLines="0" w:afterLines="0"/>
    </w:pPr>
    <w:rPr>
      <w:rFonts w:ascii="宋体" w:eastAsia="宋体"/>
    </w:rPr>
  </w:style>
  <w:style w:type="paragraph" w:customStyle="1" w:styleId="affffff9">
    <w:name w:val="实施日期"/>
    <w:basedOn w:val="afffff1"/>
    <w:qFormat/>
    <w:pPr>
      <w:framePr w:wrap="around" w:vAnchor="page" w:hAnchor="text"/>
      <w:jc w:val="right"/>
    </w:pPr>
  </w:style>
  <w:style w:type="paragraph" w:customStyle="1" w:styleId="affffffa">
    <w:name w:val="示例后文字"/>
    <w:basedOn w:val="affff1"/>
    <w:next w:val="affff1"/>
    <w:qFormat/>
    <w:pPr>
      <w:ind w:firstLine="360"/>
    </w:pPr>
    <w:rPr>
      <w:sz w:val="18"/>
    </w:rPr>
  </w:style>
  <w:style w:type="paragraph" w:customStyle="1" w:styleId="a1">
    <w:name w:val="首示例"/>
    <w:next w:val="affff1"/>
    <w:link w:val="Charf"/>
    <w:qFormat/>
    <w:pPr>
      <w:numPr>
        <w:numId w:val="14"/>
      </w:numPr>
      <w:tabs>
        <w:tab w:val="left" w:pos="360"/>
      </w:tabs>
      <w:ind w:firstLine="0"/>
    </w:pPr>
    <w:rPr>
      <w:rFonts w:ascii="宋体" w:hAnsi="宋体"/>
      <w:sz w:val="18"/>
      <w:szCs w:val="18"/>
    </w:rPr>
  </w:style>
  <w:style w:type="character" w:customStyle="1" w:styleId="Charf">
    <w:name w:val="首示例 Char"/>
    <w:link w:val="a1"/>
    <w:qFormat/>
    <w:rPr>
      <w:rFonts w:ascii="宋体" w:hAnsi="宋体"/>
      <w:sz w:val="18"/>
      <w:szCs w:val="18"/>
      <w:lang w:bidi="ar-SA"/>
    </w:rPr>
  </w:style>
  <w:style w:type="paragraph" w:customStyle="1" w:styleId="affffffb">
    <w:name w:val="四级无"/>
    <w:basedOn w:val="ab"/>
    <w:qFormat/>
    <w:pPr>
      <w:spacing w:beforeLines="0" w:afterLines="0"/>
    </w:pPr>
    <w:rPr>
      <w:rFonts w:ascii="宋体" w:eastAsia="宋体"/>
    </w:rPr>
  </w:style>
  <w:style w:type="paragraph" w:customStyle="1" w:styleId="affffffc">
    <w:name w:val="条文脚注"/>
    <w:basedOn w:val="af3"/>
    <w:qFormat/>
    <w:pPr>
      <w:numPr>
        <w:numId w:val="0"/>
      </w:numPr>
      <w:jc w:val="both"/>
    </w:pPr>
  </w:style>
  <w:style w:type="paragraph" w:customStyle="1" w:styleId="affffffd">
    <w:name w:val="图标脚注说明"/>
    <w:basedOn w:val="affff1"/>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e">
    <w:name w:val="图的脚注"/>
    <w:next w:val="affff1"/>
    <w:qFormat/>
    <w:pPr>
      <w:widowControl w:val="0"/>
      <w:ind w:leftChars="200" w:left="840" w:hangingChars="200" w:hanging="420"/>
      <w:jc w:val="both"/>
    </w:pPr>
    <w:rPr>
      <w:rFonts w:ascii="宋体" w:hAnsi="Times New Roman"/>
      <w:sz w:val="18"/>
    </w:rPr>
  </w:style>
  <w:style w:type="paragraph" w:customStyle="1" w:styleId="afffffff">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f0">
    <w:name w:val="五级无"/>
    <w:basedOn w:val="ac"/>
    <w:qFormat/>
    <w:pPr>
      <w:spacing w:beforeLines="0" w:afterLines="0"/>
    </w:pPr>
    <w:rPr>
      <w:rFonts w:ascii="宋体" w:eastAsia="宋体"/>
    </w:rPr>
  </w:style>
  <w:style w:type="paragraph" w:customStyle="1" w:styleId="afffffff1">
    <w:name w:val="一级无"/>
    <w:basedOn w:val="a8"/>
    <w:qFormat/>
    <w:pPr>
      <w:spacing w:beforeLines="0" w:afterLines="0"/>
    </w:pPr>
    <w:rPr>
      <w:rFonts w:ascii="宋体" w:eastAsia="宋体"/>
    </w:rPr>
  </w:style>
  <w:style w:type="paragraph" w:customStyle="1" w:styleId="afb">
    <w:name w:val="正文表标题"/>
    <w:next w:val="affff1"/>
    <w:qFormat/>
    <w:pPr>
      <w:numPr>
        <w:numId w:val="16"/>
      </w:numPr>
      <w:tabs>
        <w:tab w:val="left" w:pos="360"/>
      </w:tabs>
      <w:spacing w:beforeLines="50" w:afterLines="50"/>
      <w:jc w:val="center"/>
    </w:pPr>
    <w:rPr>
      <w:rFonts w:ascii="黑体" w:eastAsia="黑体" w:hAnsi="Times New Roman"/>
      <w:sz w:val="21"/>
    </w:rPr>
  </w:style>
  <w:style w:type="paragraph" w:customStyle="1" w:styleId="afffffff2">
    <w:name w:val="正文公式编号制表符"/>
    <w:basedOn w:val="affff1"/>
    <w:next w:val="affff1"/>
    <w:qFormat/>
    <w:pPr>
      <w:ind w:firstLineChars="0" w:firstLine="0"/>
    </w:pPr>
  </w:style>
  <w:style w:type="paragraph" w:customStyle="1" w:styleId="af8">
    <w:name w:val="正文图标题"/>
    <w:next w:val="affff1"/>
    <w:qFormat/>
    <w:pPr>
      <w:numPr>
        <w:numId w:val="17"/>
      </w:numPr>
      <w:tabs>
        <w:tab w:val="left" w:pos="360"/>
      </w:tabs>
      <w:spacing w:beforeLines="50" w:afterLines="50"/>
      <w:jc w:val="center"/>
    </w:pPr>
    <w:rPr>
      <w:rFonts w:ascii="黑体" w:eastAsia="黑体" w:hAnsi="Times New Roman"/>
      <w:sz w:val="21"/>
    </w:rPr>
  </w:style>
  <w:style w:type="paragraph" w:customStyle="1" w:styleId="afffffff3">
    <w:name w:val="终结线"/>
    <w:basedOn w:val="aff7"/>
    <w:qFormat/>
    <w:pPr>
      <w:framePr w:hSpace="181" w:vSpace="181" w:wrap="around" w:vAnchor="text" w:hAnchor="margin" w:xAlign="center" w:y="285"/>
    </w:pPr>
  </w:style>
  <w:style w:type="paragraph" w:customStyle="1" w:styleId="afffffff4">
    <w:name w:val="其他发布日期"/>
    <w:basedOn w:val="afffff1"/>
    <w:qFormat/>
    <w:pPr>
      <w:framePr w:wrap="around" w:vAnchor="page" w:hAnchor="text" w:x="1419"/>
    </w:pPr>
  </w:style>
  <w:style w:type="paragraph" w:customStyle="1" w:styleId="afffffff5">
    <w:name w:val="其他实施日期"/>
    <w:basedOn w:val="affffff9"/>
    <w:qFormat/>
    <w:pPr>
      <w:framePr w:wrap="around"/>
    </w:pPr>
  </w:style>
  <w:style w:type="paragraph" w:customStyle="1" w:styleId="23">
    <w:name w:val="封面标准名称2"/>
    <w:basedOn w:val="afffff3"/>
    <w:qFormat/>
    <w:pPr>
      <w:framePr w:wrap="around" w:y="4469"/>
      <w:spacing w:beforeLines="630"/>
    </w:pPr>
  </w:style>
  <w:style w:type="paragraph" w:customStyle="1" w:styleId="24">
    <w:name w:val="封面标准英文名称2"/>
    <w:basedOn w:val="afffff4"/>
    <w:qFormat/>
    <w:pPr>
      <w:framePr w:wrap="around" w:y="4469"/>
    </w:pPr>
  </w:style>
  <w:style w:type="paragraph" w:customStyle="1" w:styleId="25">
    <w:name w:val="封面一致性程度标识2"/>
    <w:basedOn w:val="afffff5"/>
    <w:qFormat/>
    <w:pPr>
      <w:framePr w:wrap="around" w:y="4469"/>
    </w:pPr>
  </w:style>
  <w:style w:type="paragraph" w:customStyle="1" w:styleId="26">
    <w:name w:val="封面标准文稿类别2"/>
    <w:basedOn w:val="afffff6"/>
    <w:qFormat/>
    <w:pPr>
      <w:framePr w:wrap="around" w:y="4469"/>
    </w:pPr>
  </w:style>
  <w:style w:type="paragraph" w:customStyle="1" w:styleId="27">
    <w:name w:val="封面标准文稿编辑信息2"/>
    <w:basedOn w:val="afffff7"/>
    <w:qFormat/>
    <w:pPr>
      <w:framePr w:wrap="around" w:y="4469"/>
    </w:pPr>
  </w:style>
  <w:style w:type="paragraph" w:customStyle="1" w:styleId="afffffff6">
    <w:name w:val="图表脚注"/>
    <w:next w:val="affff1"/>
    <w:qFormat/>
    <w:pPr>
      <w:ind w:leftChars="200" w:left="300" w:hangingChars="100" w:hanging="100"/>
      <w:jc w:val="both"/>
    </w:pPr>
    <w:rPr>
      <w:rFonts w:ascii="宋体" w:hAnsi="Times New Roman"/>
      <w:sz w:val="18"/>
    </w:rPr>
  </w:style>
  <w:style w:type="paragraph" w:customStyle="1" w:styleId="a3">
    <w:name w:val="二级无标题条"/>
    <w:basedOn w:val="aff7"/>
    <w:qFormat/>
    <w:pPr>
      <w:numPr>
        <w:ilvl w:val="3"/>
        <w:numId w:val="4"/>
      </w:numPr>
    </w:pPr>
  </w:style>
  <w:style w:type="character" w:customStyle="1" w:styleId="afffffff7">
    <w:name w:val="个人答复风格"/>
    <w:qFormat/>
    <w:rPr>
      <w:rFonts w:ascii="Arial" w:eastAsia="宋体" w:hAnsi="Arial" w:cs="Arial"/>
      <w:color w:val="auto"/>
      <w:sz w:val="20"/>
    </w:rPr>
  </w:style>
  <w:style w:type="character" w:customStyle="1" w:styleId="afffffff8">
    <w:name w:val="个人撰写风格"/>
    <w:qFormat/>
    <w:rPr>
      <w:rFonts w:ascii="Arial" w:eastAsia="宋体" w:hAnsi="Arial" w:cs="Arial"/>
      <w:color w:val="auto"/>
      <w:sz w:val="20"/>
    </w:rPr>
  </w:style>
  <w:style w:type="paragraph" w:customStyle="1" w:styleId="afffffff9">
    <w:name w:val="列项——"/>
    <w:qFormat/>
    <w:pPr>
      <w:widowControl w:val="0"/>
      <w:tabs>
        <w:tab w:val="left" w:pos="854"/>
      </w:tabs>
      <w:ind w:leftChars="200" w:left="200" w:hangingChars="200" w:hanging="200"/>
      <w:jc w:val="both"/>
    </w:pPr>
    <w:rPr>
      <w:rFonts w:ascii="宋体" w:hAnsi="Times New Roman"/>
      <w:sz w:val="21"/>
    </w:rPr>
  </w:style>
  <w:style w:type="paragraph" w:customStyle="1" w:styleId="afffffffa">
    <w:name w:val="列项·"/>
    <w:qFormat/>
    <w:pPr>
      <w:tabs>
        <w:tab w:val="left" w:pos="0"/>
        <w:tab w:val="left" w:pos="840"/>
      </w:tabs>
      <w:ind w:leftChars="200" w:left="840" w:hangingChars="200" w:hanging="420"/>
      <w:jc w:val="both"/>
    </w:pPr>
    <w:rPr>
      <w:rFonts w:ascii="宋体" w:hAnsi="Times New Roman"/>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b">
    <w:name w:val="无标题条"/>
    <w:next w:val="affff1"/>
    <w:qFormat/>
    <w:pPr>
      <w:jc w:val="both"/>
    </w:pPr>
    <w:rPr>
      <w:rFonts w:ascii="Times New Roman" w:hAnsi="Times New Roman"/>
      <w:sz w:val="21"/>
    </w:rPr>
  </w:style>
  <w:style w:type="paragraph" w:customStyle="1" w:styleId="af2">
    <w:name w:val="五级无标题条"/>
    <w:basedOn w:val="aff7"/>
    <w:pPr>
      <w:numPr>
        <w:ilvl w:val="6"/>
        <w:numId w:val="3"/>
      </w:numPr>
    </w:pPr>
  </w:style>
  <w:style w:type="paragraph" w:customStyle="1" w:styleId="a6">
    <w:name w:val="一级无标题条"/>
    <w:basedOn w:val="aff7"/>
    <w:pPr>
      <w:numPr>
        <w:ilvl w:val="2"/>
        <w:numId w:val="9"/>
      </w:numPr>
    </w:pPr>
  </w:style>
  <w:style w:type="character" w:customStyle="1" w:styleId="Charf0">
    <w:name w:val="附录章标题 Char"/>
    <w:rPr>
      <w:rFonts w:ascii="黑体" w:eastAsia="黑体"/>
      <w:kern w:val="21"/>
      <w:sz w:val="21"/>
      <w:lang w:val="en-US" w:eastAsia="zh-CN" w:bidi="ar-SA"/>
    </w:rPr>
  </w:style>
  <w:style w:type="character" w:customStyle="1" w:styleId="Charf1">
    <w:name w:val="附录一级条标题 Char"/>
    <w:rPr>
      <w:rFonts w:ascii="黑体" w:eastAsia="黑体"/>
      <w:kern w:val="21"/>
      <w:sz w:val="21"/>
      <w:lang w:val="en-US" w:eastAsia="zh-CN" w:bidi="ar-SA"/>
    </w:rPr>
  </w:style>
  <w:style w:type="table" w:customStyle="1" w:styleId="14">
    <w:name w:val="网格型1"/>
    <w:basedOn w:val="a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pPr>
      <w:widowControl/>
      <w:spacing w:after="160" w:line="240" w:lineRule="exact"/>
      <w:jc w:val="left"/>
    </w:pPr>
    <w:rPr>
      <w:rFonts w:ascii="黑体" w:eastAsia="黑体" w:hAnsi="Verdana"/>
      <w:kern w:val="0"/>
      <w:szCs w:val="21"/>
      <w:lang w:eastAsia="en-US"/>
    </w:rPr>
  </w:style>
  <w:style w:type="paragraph" w:customStyle="1" w:styleId="Charf2">
    <w:name w:val="Char"/>
    <w:basedOn w:val="aff7"/>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style>
  <w:style w:type="paragraph" w:customStyle="1" w:styleId="15">
    <w:name w:val="列出段落1"/>
    <w:basedOn w:val="aff7"/>
    <w:pPr>
      <w:ind w:firstLineChars="200" w:firstLine="420"/>
    </w:pPr>
    <w:rPr>
      <w:rFonts w:ascii="Calibri" w:hAnsi="Calibri"/>
      <w:szCs w:val="22"/>
    </w:rPr>
  </w:style>
  <w:style w:type="paragraph" w:customStyle="1" w:styleId="28">
    <w:name w:val="列出段落2"/>
    <w:basedOn w:val="aff7"/>
    <w:uiPriority w:val="34"/>
    <w:qFormat/>
    <w:pPr>
      <w:ind w:firstLineChars="200" w:firstLine="420"/>
    </w:pPr>
    <w:rPr>
      <w:rFonts w:ascii="Calibri" w:hAnsi="Calibri"/>
      <w:szCs w:val="22"/>
    </w:rPr>
  </w:style>
  <w:style w:type="character" w:customStyle="1" w:styleId="Chard">
    <w:name w:val="二级无 Char"/>
    <w:link w:val="affff6"/>
    <w:uiPriority w:val="99"/>
    <w:locked/>
    <w:rPr>
      <w:rFonts w:ascii="宋体"/>
      <w:szCs w:val="21"/>
    </w:rPr>
  </w:style>
  <w:style w:type="paragraph" w:customStyle="1" w:styleId="ParaCharCharCharChar">
    <w:name w:val="默认段落字体 Para Char Char Char Char"/>
    <w:basedOn w:val="aff7"/>
  </w:style>
  <w:style w:type="character" w:customStyle="1" w:styleId="label">
    <w:name w:val="label"/>
    <w:basedOn w:val="aff8"/>
  </w:style>
  <w:style w:type="character" w:customStyle="1" w:styleId="text-success">
    <w:name w:val="text-success"/>
    <w:basedOn w:val="aff8"/>
  </w:style>
  <w:style w:type="character" w:customStyle="1" w:styleId="Char2">
    <w:name w:val="纯文本 Char"/>
    <w:link w:val="afff0"/>
    <w:rPr>
      <w:rFonts w:ascii="宋体" w:hAnsi="Courier New"/>
      <w:color w:val="000000"/>
      <w:kern w:val="2"/>
      <w:sz w:val="21"/>
    </w:rPr>
  </w:style>
  <w:style w:type="character" w:customStyle="1" w:styleId="Char1">
    <w:name w:val="正文文本 Char"/>
    <w:link w:val="afff"/>
    <w:uiPriority w:val="1"/>
    <w:rPr>
      <w:rFonts w:ascii="宋体" w:hAnsi="宋体" w:cs="Times New Roman"/>
      <w:sz w:val="21"/>
      <w:szCs w:val="21"/>
      <w:lang w:eastAsia="en-US"/>
    </w:rPr>
  </w:style>
  <w:style w:type="character" w:customStyle="1" w:styleId="Charc">
    <w:name w:val="章标题 Char"/>
    <w:link w:val="a7"/>
    <w:rPr>
      <w:rFonts w:ascii="黑体" w:eastAsia="黑体"/>
      <w:sz w:val="21"/>
      <w:lang w:bidi="ar-SA"/>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customStyle="1" w:styleId="fontstyle01">
    <w:name w:val="fontstyle01"/>
    <w:rPr>
      <w:rFonts w:ascii="宋体" w:eastAsia="宋体" w:hAnsi="宋体" w:hint="eastAsia"/>
      <w:color w:val="000000"/>
      <w:sz w:val="22"/>
      <w:szCs w:val="22"/>
    </w:rPr>
  </w:style>
  <w:style w:type="character" w:customStyle="1" w:styleId="fontstyle11">
    <w:name w:val="fontstyle11"/>
    <w:rPr>
      <w:rFonts w:ascii="Times New Roman" w:hAnsi="Times New Roman" w:cs="Times New Roman" w:hint="default"/>
      <w:color w:val="000000"/>
      <w:sz w:val="22"/>
      <w:szCs w:val="22"/>
    </w:rPr>
  </w:style>
  <w:style w:type="character" w:styleId="afffffffc">
    <w:name w:val="Placeholder Text"/>
    <w:basedOn w:val="aff8"/>
    <w:uiPriority w:val="99"/>
    <w:unhideWhenUsed/>
    <w:rPr>
      <w:color w:val="808080"/>
    </w:rPr>
  </w:style>
  <w:style w:type="paragraph" w:customStyle="1" w:styleId="16">
    <w:name w:val="修订1"/>
    <w:hidden/>
    <w:uiPriority w:val="99"/>
    <w:unhideWhenUse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A0C6E-1EDB-4B6B-86C2-EF127604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tangxj</cp:lastModifiedBy>
  <cp:revision>10</cp:revision>
  <cp:lastPrinted>2021-05-11T07:33:00Z</cp:lastPrinted>
  <dcterms:created xsi:type="dcterms:W3CDTF">2021-06-04T08:08:00Z</dcterms:created>
  <dcterms:modified xsi:type="dcterms:W3CDTF">2021-07-30T07:08:00Z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