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639" w:h="624" w:hRule="exact" w:hSpace="181" w:vSpace="181" w:wrap="around" w:vAnchor="page" w:hAnchor="page" w:x="1419" w:y="2286" w:anchorLock="1"/>
        <w:kinsoku w:val="0"/>
        <w:overflowPunct w:val="0"/>
        <w:autoSpaceDE w:val="0"/>
        <w:autoSpaceDN w:val="0"/>
        <w:spacing w:line="0" w:lineRule="atLeast"/>
        <w:jc w:val="distribute"/>
        <w:rPr>
          <w:rFonts w:ascii="Times New Roman" w:hAnsi="Times New Roman" w:eastAsia="宋体" w:cs="Times New Roman"/>
          <w:bCs/>
          <w:color w:val="auto"/>
          <w:spacing w:val="20"/>
          <w:w w:val="148"/>
          <w:kern w:val="0"/>
          <w:sz w:val="48"/>
          <w:szCs w:val="20"/>
          <w:highlight w:val="none"/>
        </w:rPr>
      </w:pPr>
      <w:r>
        <w:rPr>
          <w:rFonts w:ascii="Times New Roman" w:hAnsi="Times New Roman" w:eastAsia="宋体" w:cs="Times New Roman"/>
          <w:bCs/>
          <w:color w:val="auto"/>
          <w:spacing w:val="20"/>
          <w:w w:val="148"/>
          <w:kern w:val="0"/>
          <w:sz w:val="48"/>
          <w:szCs w:val="20"/>
          <w:highlight w:val="none"/>
        </w:rPr>
        <w:t>团体标准</w:t>
      </w:r>
    </w:p>
    <w:p>
      <w:pPr>
        <w:framePr w:w="9140" w:h="1242" w:hRule="exact" w:hSpace="284" w:wrap="around" w:vAnchor="page" w:hAnchor="page" w:x="1645" w:y="2910" w:anchorLock="1"/>
        <w:widowControl/>
        <w:spacing w:before="357" w:line="280" w:lineRule="exact"/>
        <w:jc w:val="right"/>
        <w:rPr>
          <w:rFonts w:hint="default" w:ascii="Times New Roman" w:hAnsi="Times New Roman" w:eastAsia="宋体" w:cs="Times New Roman"/>
          <w:color w:val="auto"/>
          <w:kern w:val="0"/>
          <w:sz w:val="28"/>
          <w:szCs w:val="28"/>
          <w:highlight w:val="none"/>
          <w:lang w:val="en-US" w:eastAsia="zh-CN"/>
        </w:rPr>
      </w:pPr>
      <w:r>
        <w:rPr>
          <w:rFonts w:ascii="Times New Roman" w:hAnsi="Times New Roman" w:eastAsia="宋体" w:cs="Times New Roman"/>
          <w:color w:val="auto"/>
          <w:kern w:val="0"/>
          <w:sz w:val="28"/>
          <w:szCs w:val="28"/>
          <w:highlight w:val="none"/>
        </w:rPr>
        <w:t>T/CNLIC  XXXX—</w:t>
      </w:r>
      <w:r>
        <w:rPr>
          <w:rFonts w:hint="eastAsia" w:ascii="Times New Roman" w:hAnsi="Times New Roman" w:eastAsia="宋体" w:cs="Times New Roman"/>
          <w:color w:val="auto"/>
          <w:kern w:val="0"/>
          <w:sz w:val="28"/>
          <w:szCs w:val="28"/>
          <w:highlight w:val="none"/>
          <w:lang w:val="en-US" w:eastAsia="zh-CN"/>
        </w:rPr>
        <w:t>XXXX</w:t>
      </w:r>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color w:val="auto"/>
                <w:kern w:val="0"/>
                <w:szCs w:val="21"/>
                <w:highlight w:val="none"/>
              </w:rPr>
            </w:pPr>
            <w:bookmarkStart w:id="0" w:name="DT"/>
            <w:r>
              <w:rPr>
                <w:rFonts w:ascii="Times New Roman" w:hAnsi="Times New Roman" w:eastAsia="宋体" w:cs="Times New Roman"/>
                <w:color w:val="auto"/>
                <w:kern w:val="0"/>
                <w:szCs w:val="21"/>
                <w:highlight w:val="none"/>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17" name="矩形 3"/>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372.8pt;margin-top:119.8pt;height:18pt;width:90pt;z-index:-251655168;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xU6INgA&#10;AAALAQAADwAAAAAAAAABACAAAAAiAAAAZHJzL2Rvd25yZXYueG1sUEsBAhQAFAAAAAgAh07iQJYa&#10;TZofAgAAMgQAAA4AAAAAAAAAAQAgAAAAJwEAAGRycy9lMm9Eb2MueG1sUEsFBgAAAAAGAAYAWQEA&#10;ALgFAAAAAA==&#10;">
                      <v:fill on="t" focussize="0,0"/>
                      <v:stroke on="f"/>
                      <v:imagedata o:title=""/>
                      <o:lock v:ext="edit" aspectratio="f"/>
                      <v:textbox>
                        <w:txbxContent>
                          <w:p/>
                        </w:txbxContent>
                      </v:textbox>
                    </v:rect>
                  </w:pict>
                </mc:Fallback>
              </mc:AlternateContent>
            </w:r>
            <w:bookmarkEnd w:id="0"/>
          </w:p>
        </w:tc>
      </w:tr>
    </w:tbl>
    <w:p>
      <w:pPr>
        <w:framePr w:w="9140" w:h="1242" w:hRule="exact" w:hSpace="284" w:wrap="around" w:vAnchor="page" w:hAnchor="page" w:x="1645" w:y="2910" w:anchorLock="1"/>
        <w:widowControl/>
        <w:spacing w:before="357" w:line="280" w:lineRule="exact"/>
        <w:jc w:val="right"/>
        <w:rPr>
          <w:rFonts w:ascii="Times New Roman" w:hAnsi="Times New Roman" w:eastAsia="宋体" w:cs="Times New Roman"/>
          <w:color w:val="auto"/>
          <w:kern w:val="0"/>
          <w:sz w:val="28"/>
          <w:szCs w:val="28"/>
          <w:highlight w:val="none"/>
        </w:rPr>
      </w:pPr>
    </w:p>
    <w:p>
      <w:pPr>
        <w:framePr w:w="9140" w:h="1242" w:hRule="exact" w:hSpace="284" w:wrap="around" w:vAnchor="page" w:hAnchor="page" w:x="1645" w:y="2910" w:anchorLock="1"/>
        <w:widowControl/>
        <w:spacing w:before="357" w:line="280" w:lineRule="exact"/>
        <w:jc w:val="right"/>
        <w:rPr>
          <w:rFonts w:ascii="Times New Roman" w:hAnsi="Times New Roman" w:eastAsia="宋体" w:cs="Times New Roman"/>
          <w:color w:val="auto"/>
          <w:kern w:val="0"/>
          <w:sz w:val="28"/>
          <w:szCs w:val="28"/>
          <w:highlight w:val="none"/>
        </w:rPr>
      </w:pPr>
    </w:p>
    <w:p>
      <w:pPr>
        <w:pStyle w:val="86"/>
        <w:spacing w:before="312" w:after="312"/>
        <w:rPr>
          <w:color w:val="auto"/>
          <w:highlight w:val="none"/>
        </w:rPr>
      </w:pPr>
      <w:r>
        <w:rPr>
          <w:rFonts w:hint="eastAsia"/>
          <w:color w:val="auto"/>
          <w:highlight w:val="none"/>
        </w:rPr>
        <w:t>绿色设计产品评价技术规范  辣椒酱</w:t>
      </w:r>
    </w:p>
    <w:p>
      <w:pPr>
        <w:framePr w:w="9639" w:h="6917" w:hRule="exact" w:wrap="around" w:vAnchor="page" w:hAnchor="page" w:xAlign="center" w:y="6408" w:anchorLock="1"/>
        <w:spacing w:line="680" w:lineRule="exact"/>
        <w:jc w:val="center"/>
        <w:textAlignment w:val="center"/>
        <w:rPr>
          <w:rFonts w:ascii="Times New Roman" w:hAnsi="Times New Roman" w:eastAsia="宋体" w:cs="Times New Roman"/>
          <w:color w:val="auto"/>
          <w:kern w:val="0"/>
          <w:sz w:val="52"/>
          <w:szCs w:val="20"/>
          <w:highlight w:val="none"/>
        </w:rPr>
      </w:pPr>
      <w:r>
        <w:rPr>
          <w:rFonts w:hint="eastAsia"/>
          <w:color w:val="auto"/>
          <w:sz w:val="24"/>
          <w:highlight w:val="none"/>
        </w:rPr>
        <w:t xml:space="preserve"> </w:t>
      </w:r>
      <w:r>
        <w:rPr>
          <w:color w:val="auto"/>
          <w:highlight w:val="none"/>
        </w:rPr>
        <w:t xml:space="preserve">Technical specification for green-design </w:t>
      </w:r>
      <w:r>
        <w:rPr>
          <w:rFonts w:hint="eastAsia"/>
          <w:color w:val="auto"/>
          <w:highlight w:val="none"/>
        </w:rPr>
        <w:t>p</w:t>
      </w:r>
      <w:r>
        <w:rPr>
          <w:color w:val="auto"/>
          <w:highlight w:val="none"/>
        </w:rPr>
        <w:t>roduct assessment—</w:t>
      </w:r>
      <w:r>
        <w:rPr>
          <w:rFonts w:hint="eastAsia"/>
          <w:color w:val="auto"/>
          <w:highlight w:val="none"/>
        </w:rPr>
        <w:t>Chili paste</w:t>
      </w:r>
    </w:p>
    <w:p>
      <w:pPr>
        <w:framePr w:w="9639" w:h="6917" w:hRule="exact" w:wrap="around" w:vAnchor="page" w:hAnchor="page" w:xAlign="center" w:y="6408" w:anchorLock="1"/>
        <w:spacing w:before="370" w:line="400" w:lineRule="exact"/>
        <w:jc w:val="center"/>
        <w:textAlignment w:val="center"/>
        <w:rPr>
          <w:rFonts w:ascii="Times New Roman" w:hAnsi="Times New Roman" w:eastAsia="宋体" w:cs="Times New Roman"/>
          <w:color w:val="auto"/>
          <w:kern w:val="0"/>
          <w:sz w:val="28"/>
          <w:szCs w:val="28"/>
          <w:highlight w:val="none"/>
        </w:rPr>
      </w:pPr>
      <w:r>
        <w:rPr>
          <w:rFonts w:hint="eastAsia" w:ascii="Times New Roman" w:hAnsi="Times New Roman" w:eastAsia="宋体" w:cs="Times New Roman"/>
          <w:color w:val="auto"/>
          <w:kern w:val="0"/>
          <w:sz w:val="28"/>
          <w:szCs w:val="28"/>
          <w:highlight w:val="none"/>
        </w:rPr>
        <w:t>（草稿）</w:t>
      </w:r>
    </w:p>
    <w:p>
      <w:pPr>
        <w:framePr w:w="3997" w:h="471" w:hRule="exact" w:vSpace="181" w:wrap="around" w:vAnchor="page" w:hAnchor="page" w:x="1419" w:y="14097" w:anchorLock="1"/>
        <w:widowControl/>
        <w:jc w:val="left"/>
        <w:rPr>
          <w:rFonts w:ascii="Times New Roman" w:hAnsi="Times New Roman" w:eastAsia="宋体" w:cs="Times New Roman"/>
          <w:color w:val="auto"/>
          <w:kern w:val="0"/>
          <w:sz w:val="28"/>
          <w:szCs w:val="20"/>
          <w:highlight w:val="none"/>
        </w:rPr>
      </w:pPr>
      <w:r>
        <w:rPr>
          <w:rFonts w:hint="eastAsia" w:ascii="Times New Roman" w:hAnsi="Times New Roman" w:eastAsia="宋体" w:cs="Times New Roman"/>
          <w:color w:val="auto"/>
          <w:kern w:val="0"/>
          <w:sz w:val="28"/>
          <w:szCs w:val="20"/>
          <w:highlight w:val="none"/>
          <w:lang w:val="en-US" w:eastAsia="zh-CN"/>
        </w:rPr>
        <w:t>XXXX</w:t>
      </w:r>
      <w:r>
        <w:rPr>
          <w:rFonts w:ascii="Times New Roman" w:hAnsi="Times New Roman" w:eastAsia="宋体" w:cs="Times New Roman"/>
          <w:color w:val="auto"/>
          <w:kern w:val="0"/>
          <w:sz w:val="28"/>
          <w:szCs w:val="20"/>
          <w:highlight w:val="none"/>
        </w:rPr>
        <w:t xml:space="preserve">- </w:t>
      </w:r>
      <w:r>
        <w:rPr>
          <w:rFonts w:hint="eastAsia" w:ascii="Times New Roman" w:hAnsi="Times New Roman" w:eastAsia="宋体" w:cs="Times New Roman"/>
          <w:color w:val="auto"/>
          <w:kern w:val="0"/>
          <w:sz w:val="28"/>
          <w:szCs w:val="20"/>
          <w:highlight w:val="none"/>
          <w:lang w:val="en-US" w:eastAsia="zh-CN"/>
        </w:rPr>
        <w:t>XX</w:t>
      </w:r>
      <w:r>
        <w:rPr>
          <w:rFonts w:ascii="Times New Roman" w:hAnsi="Times New Roman" w:eastAsia="宋体" w:cs="Times New Roman"/>
          <w:color w:val="auto"/>
          <w:kern w:val="0"/>
          <w:sz w:val="28"/>
          <w:szCs w:val="20"/>
          <w:highlight w:val="none"/>
        </w:rPr>
        <w:t xml:space="preserve"> - </w:t>
      </w:r>
      <w:r>
        <w:rPr>
          <w:rFonts w:hint="eastAsia" w:ascii="Times New Roman" w:hAnsi="Times New Roman" w:eastAsia="宋体" w:cs="Times New Roman"/>
          <w:color w:val="auto"/>
          <w:kern w:val="0"/>
          <w:sz w:val="28"/>
          <w:szCs w:val="20"/>
          <w:highlight w:val="none"/>
          <w:lang w:val="en-US" w:eastAsia="zh-CN"/>
        </w:rPr>
        <w:t>XX</w:t>
      </w:r>
      <w:r>
        <w:rPr>
          <w:rFonts w:ascii="Times New Roman" w:hAnsi="Times New Roman" w:eastAsia="宋体" w:cs="Times New Roman"/>
          <w:color w:val="auto"/>
          <w:kern w:val="0"/>
          <w:sz w:val="28"/>
          <w:szCs w:val="20"/>
          <w:highlight w:val="none"/>
        </w:rPr>
        <w:t>发布</w:t>
      </w:r>
      <w:r>
        <w:rPr>
          <w:rFonts w:ascii="Times New Roman" w:hAnsi="Times New Roman" w:eastAsia="宋体" w:cs="Times New Roman"/>
          <w:color w:val="auto"/>
          <w:kern w:val="0"/>
          <w:sz w:val="28"/>
          <w:szCs w:val="20"/>
          <w:highlight w:val="none"/>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33020" b="19050"/>
                <wp:wrapNone/>
                <wp:docPr id="16"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y0v89cAAAAL&#10;AQAADwAAAAAAAAABACAAAAAiAAAAZHJzL2Rvd25yZXYueG1sUEsBAhQAFAAAAAgAh07iQOzs6DHk&#10;AQAAqwMAAA4AAAAAAAAAAQAgAAAAJgEAAGRycy9lMm9Eb2MueG1sUEsFBgAAAAAGAAYAWQEAAHwF&#10;AAAAAA==&#10;">
                <v:fill on="f" focussize="0,0"/>
                <v:stroke color="#000000" joinstyle="round"/>
                <v:imagedata o:title=""/>
                <o:lock v:ext="edit" aspectratio="f"/>
                <w10:anchorlock/>
              </v:line>
            </w:pict>
          </mc:Fallback>
        </mc:AlternateContent>
      </w:r>
    </w:p>
    <w:p>
      <w:pPr>
        <w:framePr w:w="3997" w:h="471" w:hRule="exact" w:vSpace="181" w:wrap="around" w:vAnchor="page" w:hAnchor="page" w:x="7089" w:y="14097" w:anchorLock="1"/>
        <w:widowControl/>
        <w:jc w:val="center"/>
        <w:rPr>
          <w:rFonts w:ascii="Times New Roman" w:hAnsi="Times New Roman" w:eastAsia="宋体" w:cs="Times New Roman"/>
          <w:color w:val="auto"/>
          <w:kern w:val="0"/>
          <w:sz w:val="28"/>
          <w:szCs w:val="20"/>
          <w:highlight w:val="none"/>
        </w:rPr>
      </w:pPr>
      <w:r>
        <w:rPr>
          <w:rFonts w:hint="eastAsia" w:ascii="Times New Roman" w:hAnsi="Times New Roman" w:eastAsia="宋体" w:cs="Times New Roman"/>
          <w:color w:val="auto"/>
          <w:kern w:val="0"/>
          <w:sz w:val="28"/>
          <w:szCs w:val="20"/>
          <w:highlight w:val="none"/>
          <w:lang w:val="en-US" w:eastAsia="zh-CN"/>
        </w:rPr>
        <w:t>XXXX</w:t>
      </w:r>
      <w:r>
        <w:rPr>
          <w:rFonts w:ascii="Times New Roman" w:hAnsi="Times New Roman" w:eastAsia="宋体" w:cs="Times New Roman"/>
          <w:color w:val="auto"/>
          <w:kern w:val="0"/>
          <w:sz w:val="28"/>
          <w:szCs w:val="20"/>
          <w:highlight w:val="none"/>
        </w:rPr>
        <w:t xml:space="preserve"> - </w:t>
      </w:r>
      <w:r>
        <w:rPr>
          <w:rFonts w:hint="eastAsia" w:ascii="Times New Roman" w:hAnsi="Times New Roman" w:eastAsia="宋体" w:cs="Times New Roman"/>
          <w:color w:val="auto"/>
          <w:kern w:val="0"/>
          <w:sz w:val="28"/>
          <w:szCs w:val="20"/>
          <w:highlight w:val="none"/>
          <w:lang w:val="en-US" w:eastAsia="zh-CN"/>
        </w:rPr>
        <w:t>XX</w:t>
      </w:r>
      <w:r>
        <w:rPr>
          <w:rFonts w:ascii="Times New Roman" w:hAnsi="Times New Roman" w:eastAsia="宋体" w:cs="Times New Roman"/>
          <w:color w:val="auto"/>
          <w:kern w:val="0"/>
          <w:sz w:val="28"/>
          <w:szCs w:val="20"/>
          <w:highlight w:val="none"/>
        </w:rPr>
        <w:t xml:space="preserve"> - </w:t>
      </w:r>
      <w:r>
        <w:rPr>
          <w:rFonts w:hint="eastAsia" w:ascii="Times New Roman" w:hAnsi="Times New Roman" w:eastAsia="宋体" w:cs="Times New Roman"/>
          <w:color w:val="auto"/>
          <w:kern w:val="0"/>
          <w:sz w:val="28"/>
          <w:szCs w:val="20"/>
          <w:highlight w:val="none"/>
          <w:lang w:val="en-US" w:eastAsia="zh-CN"/>
        </w:rPr>
        <w:t>XX</w:t>
      </w:r>
      <w:r>
        <w:rPr>
          <w:rFonts w:ascii="Times New Roman" w:hAnsi="Times New Roman" w:eastAsia="宋体" w:cs="Times New Roman"/>
          <w:color w:val="auto"/>
          <w:kern w:val="0"/>
          <w:sz w:val="28"/>
          <w:szCs w:val="20"/>
          <w:highlight w:val="none"/>
        </w:rPr>
        <w:t>实施</w:t>
      </w:r>
    </w:p>
    <w:p>
      <w:pPr>
        <w:framePr w:w="7938" w:h="1134" w:hRule="exact" w:hSpace="125" w:vSpace="181" w:wrap="around" w:vAnchor="page" w:hAnchor="page" w:x="2150" w:y="14630" w:anchorLock="1"/>
        <w:widowControl/>
        <w:jc w:val="center"/>
        <w:rPr>
          <w:rFonts w:ascii="Times New Roman" w:hAnsi="Times New Roman" w:eastAsia="宋体" w:cs="Times New Roman"/>
          <w:color w:val="auto"/>
          <w:spacing w:val="20"/>
          <w:w w:val="135"/>
          <w:kern w:val="0"/>
          <w:sz w:val="28"/>
          <w:szCs w:val="20"/>
          <w:highlight w:val="none"/>
        </w:rPr>
      </w:pPr>
      <w:r>
        <w:rPr>
          <w:rFonts w:ascii="Times New Roman" w:hAnsi="Times New Roman" w:eastAsia="宋体" w:cs="Times New Roman"/>
          <w:color w:val="auto"/>
          <w:spacing w:val="20"/>
          <w:w w:val="135"/>
          <w:kern w:val="0"/>
          <w:sz w:val="28"/>
          <w:szCs w:val="20"/>
          <w:highlight w:val="none"/>
        </w:rPr>
        <w:t>中国轻工业联合会发布</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33020" b="19050"/>
                <wp:wrapNone/>
                <wp:docPr id="1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XW8AjXAAAACQEA&#10;AA8AAAAAAAAAAQAgAAAAIgAAAGRycy9kb3ducmV2LnhtbFBLAQIUABQAAAAIAIdO4kA4Z+uV4gEA&#10;AKsDAAAOAAAAAAAAAAEAIAAAACYBAABkcnMvZTJvRG9jLnhtbFBLBQYAAAAABgAGAFkBAAB6BQAA&#10;AAA=&#10;">
                <v:fill on="f" focussize="0,0"/>
                <v:stroke color="#000000" joinstyle="round"/>
                <v:imagedata o:title=""/>
                <o:lock v:ext="edit" aspectratio="f"/>
              </v:line>
            </w:pict>
          </mc:Fallback>
        </mc:AlternateContent>
      </w:r>
    </w:p>
    <w:p>
      <w:pP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I</w:t>
      </w:r>
      <w:r>
        <w:rPr>
          <w:rFonts w:ascii="Times New Roman" w:hAnsi="Times New Roman" w:eastAsia="宋体" w:cs="Times New Roman"/>
          <w:color w:val="auto"/>
          <w:szCs w:val="20"/>
          <w:highlight w:val="none"/>
        </w:rPr>
        <w:t>CS</w:t>
      </w:r>
      <w:r>
        <w:rPr>
          <w:rFonts w:hint="eastAsia" w:ascii="Times New Roman" w:hAnsi="Times New Roman" w:eastAsia="宋体" w:cs="Times New Roman"/>
          <w:color w:val="auto"/>
          <w:szCs w:val="20"/>
          <w:highlight w:val="none"/>
        </w:rPr>
        <w:t xml:space="preserve"> 67.220</w:t>
      </w:r>
    </w:p>
    <w:p>
      <w:pPr>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X</w:t>
      </w:r>
      <w:r>
        <w:rPr>
          <w:rFonts w:hint="eastAsia" w:ascii="Times New Roman" w:hAnsi="Times New Roman" w:eastAsia="宋体" w:cs="Times New Roman"/>
          <w:color w:val="auto"/>
          <w:szCs w:val="20"/>
          <w:highlight w:val="none"/>
        </w:rPr>
        <w:t xml:space="preserve"> 66</w:t>
      </w:r>
    </w:p>
    <w:p>
      <w:pPr>
        <w:rPr>
          <w:rFonts w:ascii="Times New Roman" w:hAnsi="Times New Roman" w:eastAsia="宋体" w:cs="Times New Roman"/>
          <w:color w:val="auto"/>
          <w:szCs w:val="20"/>
          <w:highlight w:val="none"/>
        </w:rPr>
      </w:pPr>
    </w:p>
    <w:p>
      <w:pPr>
        <w:rPr>
          <w:rFonts w:ascii="Times New Roman" w:hAnsi="Times New Roman" w:eastAsia="宋体" w:cs="Times New Roman"/>
          <w:color w:val="auto"/>
          <w:szCs w:val="20"/>
          <w:highlight w:val="none"/>
        </w:rPr>
        <w:sectPr>
          <w:headerReference r:id="rId3" w:type="default"/>
          <w:footerReference r:id="rId5" w:type="default"/>
          <w:headerReference r:id="rId4" w:type="even"/>
          <w:footerReference r:id="rId6" w:type="even"/>
          <w:pgSz w:w="11906" w:h="16838"/>
          <w:pgMar w:top="567" w:right="1134" w:bottom="1134" w:left="1417" w:header="0" w:footer="0" w:gutter="0"/>
          <w:pgNumType w:start="0"/>
          <w:cols w:space="425" w:num="1"/>
          <w:titlePg/>
          <w:docGrid w:type="lines" w:linePitch="312" w:charSpace="0"/>
        </w:sectPr>
      </w:pPr>
    </w:p>
    <w:p>
      <w:pPr>
        <w:pStyle w:val="26"/>
        <w:ind w:firstLine="640"/>
        <w:jc w:val="center"/>
        <w:rPr>
          <w:rFonts w:ascii="Times New Roman"/>
          <w:color w:val="auto"/>
          <w:sz w:val="32"/>
          <w:highlight w:val="none"/>
        </w:rPr>
      </w:pPr>
      <w:bookmarkStart w:id="1" w:name="_Toc514680616"/>
      <w:bookmarkStart w:id="2" w:name="_Toc514680776"/>
      <w:bookmarkStart w:id="3" w:name="_Toc6679250"/>
      <w:bookmarkStart w:id="4" w:name="_Toc447198478"/>
      <w:bookmarkStart w:id="5" w:name="_Toc447118972"/>
      <w:bookmarkStart w:id="6" w:name="_Toc446924883"/>
    </w:p>
    <w:p>
      <w:pPr>
        <w:pStyle w:val="26"/>
        <w:ind w:firstLine="640"/>
        <w:jc w:val="center"/>
        <w:rPr>
          <w:rFonts w:ascii="Times New Roman"/>
          <w:color w:val="auto"/>
          <w:sz w:val="32"/>
          <w:highlight w:val="none"/>
        </w:rPr>
      </w:pPr>
    </w:p>
    <w:p>
      <w:pPr>
        <w:pStyle w:val="26"/>
        <w:ind w:firstLine="640"/>
        <w:jc w:val="center"/>
        <w:rPr>
          <w:rFonts w:ascii="Times New Roman"/>
          <w:color w:val="auto"/>
          <w:sz w:val="32"/>
          <w:highlight w:val="none"/>
        </w:rPr>
      </w:pPr>
    </w:p>
    <w:p>
      <w:pPr>
        <w:pStyle w:val="26"/>
        <w:ind w:firstLine="640"/>
        <w:jc w:val="center"/>
        <w:rPr>
          <w:rFonts w:ascii="Times New Roman"/>
          <w:color w:val="auto"/>
          <w:sz w:val="32"/>
          <w:highlight w:val="none"/>
        </w:rPr>
      </w:pPr>
    </w:p>
    <w:p>
      <w:pPr>
        <w:pStyle w:val="26"/>
        <w:ind w:firstLine="640"/>
        <w:jc w:val="center"/>
        <w:rPr>
          <w:rFonts w:ascii="Times New Roman"/>
          <w:color w:val="auto"/>
          <w:sz w:val="32"/>
          <w:highlight w:val="none"/>
        </w:rPr>
      </w:pPr>
      <w:r>
        <w:rPr>
          <w:rFonts w:ascii="Times New Roman"/>
          <w:color w:val="auto"/>
          <w:sz w:val="32"/>
          <w:highlight w:val="none"/>
        </w:rPr>
        <w:t>目</w:t>
      </w:r>
      <w:bookmarkStart w:id="7" w:name="BKML"/>
      <w:r>
        <w:rPr>
          <w:rFonts w:ascii="Times New Roman"/>
          <w:color w:val="auto"/>
          <w:sz w:val="32"/>
          <w:highlight w:val="none"/>
        </w:rPr>
        <w:t> 次</w:t>
      </w:r>
      <w:bookmarkEnd w:id="1"/>
      <w:bookmarkEnd w:id="2"/>
      <w:bookmarkEnd w:id="3"/>
      <w:bookmarkEnd w:id="7"/>
    </w:p>
    <w:p>
      <w:pPr>
        <w:pStyle w:val="26"/>
        <w:rPr>
          <w:color w:val="auto"/>
          <w:szCs w:val="21"/>
          <w:highlight w:val="none"/>
        </w:rPr>
      </w:pPr>
      <w:r>
        <w:rPr>
          <w:rFonts w:hint="eastAsia"/>
          <w:color w:val="auto"/>
          <w:szCs w:val="21"/>
          <w:highlight w:val="none"/>
        </w:rPr>
        <w:t>前言</w:t>
      </w:r>
      <w:r>
        <w:rPr>
          <w:color w:val="auto"/>
          <w:szCs w:val="21"/>
          <w:highlight w:val="none"/>
        </w:rPr>
        <w:t>.....................................................................</w:t>
      </w:r>
      <w:r>
        <w:rPr>
          <w:rFonts w:hint="eastAsia" w:hAnsi="宋体"/>
          <w:color w:val="auto"/>
          <w:szCs w:val="21"/>
          <w:highlight w:val="none"/>
        </w:rPr>
        <w:t>Ⅰ</w:t>
      </w:r>
    </w:p>
    <w:p>
      <w:pPr>
        <w:pStyle w:val="26"/>
        <w:rPr>
          <w:color w:val="auto"/>
          <w:szCs w:val="21"/>
          <w:highlight w:val="none"/>
        </w:rPr>
      </w:pPr>
      <w:r>
        <w:rPr>
          <w:rFonts w:hint="eastAsia"/>
          <w:color w:val="auto"/>
          <w:szCs w:val="21"/>
          <w:highlight w:val="none"/>
        </w:rPr>
        <w:t>1 范围</w:t>
      </w:r>
      <w:r>
        <w:rPr>
          <w:color w:val="auto"/>
          <w:szCs w:val="21"/>
          <w:highlight w:val="none"/>
        </w:rPr>
        <w:t>....................................................................1</w:t>
      </w:r>
    </w:p>
    <w:p>
      <w:pPr>
        <w:pStyle w:val="26"/>
        <w:rPr>
          <w:color w:val="auto"/>
          <w:szCs w:val="21"/>
          <w:highlight w:val="none"/>
        </w:rPr>
      </w:pPr>
      <w:r>
        <w:rPr>
          <w:rFonts w:hint="eastAsia"/>
          <w:color w:val="auto"/>
          <w:szCs w:val="21"/>
          <w:highlight w:val="none"/>
        </w:rPr>
        <w:t>2 规范性引用文件</w:t>
      </w:r>
      <w:r>
        <w:rPr>
          <w:color w:val="auto"/>
          <w:szCs w:val="21"/>
          <w:highlight w:val="none"/>
        </w:rPr>
        <w:t>..........................................................1</w:t>
      </w:r>
    </w:p>
    <w:p>
      <w:pPr>
        <w:pStyle w:val="26"/>
        <w:rPr>
          <w:color w:val="auto"/>
          <w:szCs w:val="21"/>
          <w:highlight w:val="none"/>
        </w:rPr>
      </w:pPr>
      <w:r>
        <w:rPr>
          <w:rFonts w:hint="eastAsia"/>
          <w:color w:val="auto"/>
          <w:szCs w:val="21"/>
          <w:highlight w:val="none"/>
        </w:rPr>
        <w:t>3 术语和定义</w:t>
      </w:r>
      <w:r>
        <w:rPr>
          <w:color w:val="auto"/>
          <w:szCs w:val="21"/>
          <w:highlight w:val="none"/>
        </w:rPr>
        <w:t>..............................................................2</w:t>
      </w:r>
    </w:p>
    <w:p>
      <w:pPr>
        <w:pStyle w:val="26"/>
        <w:rPr>
          <w:color w:val="auto"/>
          <w:szCs w:val="21"/>
          <w:highlight w:val="none"/>
        </w:rPr>
      </w:pPr>
      <w:r>
        <w:rPr>
          <w:rFonts w:hint="eastAsia"/>
          <w:color w:val="auto"/>
          <w:szCs w:val="21"/>
          <w:highlight w:val="none"/>
        </w:rPr>
        <w:t>4 评价要求</w:t>
      </w:r>
      <w:r>
        <w:rPr>
          <w:color w:val="auto"/>
          <w:szCs w:val="21"/>
          <w:highlight w:val="none"/>
        </w:rPr>
        <w:t>................................................................3</w:t>
      </w:r>
    </w:p>
    <w:p>
      <w:pPr>
        <w:pStyle w:val="26"/>
        <w:rPr>
          <w:color w:val="auto"/>
          <w:szCs w:val="21"/>
          <w:highlight w:val="none"/>
        </w:rPr>
      </w:pPr>
      <w:r>
        <w:rPr>
          <w:rFonts w:hint="eastAsia"/>
          <w:color w:val="auto"/>
          <w:szCs w:val="21"/>
          <w:highlight w:val="none"/>
        </w:rPr>
        <w:t>5 指标计算方法</w:t>
      </w:r>
    </w:p>
    <w:p>
      <w:pPr>
        <w:pStyle w:val="26"/>
        <w:rPr>
          <w:color w:val="auto"/>
          <w:szCs w:val="21"/>
          <w:highlight w:val="none"/>
        </w:rPr>
      </w:pPr>
      <w:r>
        <w:rPr>
          <w:rFonts w:hint="eastAsia"/>
          <w:color w:val="auto"/>
          <w:szCs w:val="21"/>
          <w:highlight w:val="none"/>
        </w:rPr>
        <w:t>6 产品生命周期评价报告编制方法</w:t>
      </w:r>
      <w:r>
        <w:rPr>
          <w:color w:val="auto"/>
          <w:szCs w:val="21"/>
          <w:highlight w:val="none"/>
        </w:rPr>
        <w:t>............................................5</w:t>
      </w:r>
    </w:p>
    <w:p>
      <w:pPr>
        <w:pStyle w:val="26"/>
        <w:rPr>
          <w:color w:val="auto"/>
          <w:szCs w:val="21"/>
          <w:highlight w:val="none"/>
        </w:rPr>
      </w:pPr>
      <w:r>
        <w:rPr>
          <w:rFonts w:hint="eastAsia"/>
          <w:color w:val="auto"/>
          <w:szCs w:val="21"/>
          <w:highlight w:val="none"/>
        </w:rPr>
        <w:t>7 评价方法</w:t>
      </w:r>
      <w:r>
        <w:rPr>
          <w:color w:val="auto"/>
          <w:szCs w:val="21"/>
          <w:highlight w:val="none"/>
        </w:rPr>
        <w:t>................................................................6</w:t>
      </w:r>
    </w:p>
    <w:p>
      <w:pPr>
        <w:pStyle w:val="26"/>
        <w:rPr>
          <w:color w:val="auto"/>
          <w:szCs w:val="21"/>
          <w:highlight w:val="none"/>
        </w:rPr>
      </w:pPr>
      <w:r>
        <w:rPr>
          <w:rFonts w:hint="eastAsia"/>
          <w:color w:val="auto"/>
          <w:szCs w:val="21"/>
          <w:highlight w:val="none"/>
        </w:rPr>
        <w:t>附录A（规范性附录）检验方法和指标计算方法</w:t>
      </w:r>
      <w:r>
        <w:rPr>
          <w:color w:val="auto"/>
          <w:szCs w:val="21"/>
          <w:highlight w:val="none"/>
        </w:rPr>
        <w:t>..................................7</w:t>
      </w:r>
    </w:p>
    <w:p>
      <w:pPr>
        <w:pStyle w:val="26"/>
        <w:rPr>
          <w:color w:val="auto"/>
          <w:szCs w:val="21"/>
          <w:highlight w:val="none"/>
        </w:rPr>
      </w:pPr>
      <w:r>
        <w:rPr>
          <w:rFonts w:hint="eastAsia"/>
          <w:color w:val="auto"/>
          <w:szCs w:val="21"/>
          <w:highlight w:val="none"/>
        </w:rPr>
        <w:t>附录B（资料性附录）辣椒酱产品生命周期评价方法</w:t>
      </w:r>
      <w:r>
        <w:rPr>
          <w:color w:val="auto"/>
          <w:szCs w:val="21"/>
          <w:highlight w:val="none"/>
        </w:rPr>
        <w:t>..............................10</w:t>
      </w:r>
    </w:p>
    <w:p>
      <w:pPr>
        <w:rPr>
          <w:color w:val="auto"/>
          <w:highlight w:val="none"/>
        </w:rPr>
      </w:pPr>
    </w:p>
    <w:p>
      <w:pPr>
        <w:rPr>
          <w:rFonts w:ascii="Times New Roman" w:hAnsi="Times New Roman" w:eastAsia="宋体" w:cs="Times New Roman"/>
          <w:color w:val="auto"/>
          <w:sz w:val="28"/>
          <w:szCs w:val="20"/>
          <w:highlight w:val="none"/>
        </w:rPr>
      </w:pPr>
    </w:p>
    <w:p>
      <w:pPr>
        <w:rPr>
          <w:rFonts w:ascii="Times New Roman" w:hAnsi="Times New Roman" w:eastAsia="宋体" w:cs="Times New Roman"/>
          <w:color w:val="auto"/>
          <w:sz w:val="28"/>
          <w:szCs w:val="20"/>
          <w:highlight w:val="none"/>
        </w:rPr>
      </w:pPr>
    </w:p>
    <w:p>
      <w:pPr>
        <w:tabs>
          <w:tab w:val="left" w:pos="4750"/>
        </w:tabs>
        <w:rPr>
          <w:rFonts w:cs="Times New Roman" w:asciiTheme="majorEastAsia" w:hAnsiTheme="majorEastAsia" w:eastAsiaTheme="majorEastAsia"/>
          <w:bCs/>
          <w:color w:val="auto"/>
          <w:kern w:val="44"/>
          <w:sz w:val="32"/>
          <w:szCs w:val="32"/>
          <w:highlight w:val="none"/>
        </w:rPr>
      </w:pPr>
      <w:bookmarkStart w:id="8" w:name="_Toc6679251"/>
      <w:bookmarkStart w:id="9" w:name="_Toc514680617"/>
    </w:p>
    <w:p>
      <w:pPr>
        <w:pStyle w:val="2"/>
        <w:jc w:val="center"/>
        <w:rPr>
          <w:rFonts w:asciiTheme="majorEastAsia" w:hAnsiTheme="majorEastAsia" w:eastAsiaTheme="majorEastAsia"/>
          <w:b w:val="0"/>
          <w:color w:val="auto"/>
          <w:sz w:val="32"/>
          <w:szCs w:val="32"/>
          <w:highlight w:val="none"/>
        </w:rPr>
        <w:sectPr>
          <w:footerReference r:id="rId7" w:type="default"/>
          <w:type w:val="continuous"/>
          <w:pgSz w:w="11906" w:h="16838"/>
          <w:pgMar w:top="1440" w:right="1800" w:bottom="1440" w:left="1800" w:header="1418" w:footer="1134" w:gutter="0"/>
          <w:pgNumType w:fmt="upperRoman" w:start="1"/>
          <w:cols w:space="425" w:num="1"/>
          <w:formProt w:val="0"/>
          <w:docGrid w:type="lines" w:linePitch="312" w:charSpace="0"/>
        </w:sectPr>
      </w:pPr>
    </w:p>
    <w:p>
      <w:pPr>
        <w:pStyle w:val="2"/>
        <w:jc w:val="center"/>
        <w:rPr>
          <w:rFonts w:asciiTheme="majorEastAsia" w:hAnsiTheme="majorEastAsia" w:eastAsiaTheme="majorEastAsia"/>
          <w:b w:val="0"/>
          <w:color w:val="auto"/>
          <w:sz w:val="32"/>
          <w:szCs w:val="32"/>
          <w:highlight w:val="none"/>
        </w:rPr>
      </w:pPr>
      <w:r>
        <w:rPr>
          <w:rFonts w:asciiTheme="majorEastAsia" w:hAnsiTheme="majorEastAsia" w:eastAsiaTheme="majorEastAsia"/>
          <w:b w:val="0"/>
          <w:color w:val="auto"/>
          <w:sz w:val="32"/>
          <w:szCs w:val="32"/>
          <w:highlight w:val="none"/>
        </w:rPr>
        <w:t>前</w:t>
      </w:r>
      <w:bookmarkStart w:id="10" w:name="BKQY"/>
      <w:r>
        <w:rPr>
          <w:rFonts w:asciiTheme="majorEastAsia" w:hAnsiTheme="majorEastAsia" w:eastAsiaTheme="majorEastAsia"/>
          <w:b w:val="0"/>
          <w:color w:val="auto"/>
          <w:sz w:val="32"/>
          <w:szCs w:val="32"/>
          <w:highlight w:val="none"/>
        </w:rPr>
        <w:t>  言</w:t>
      </w:r>
      <w:bookmarkEnd w:id="4"/>
      <w:bookmarkEnd w:id="5"/>
      <w:bookmarkEnd w:id="6"/>
      <w:bookmarkEnd w:id="8"/>
      <w:bookmarkEnd w:id="9"/>
      <w:bookmarkEnd w:id="10"/>
    </w:p>
    <w:p>
      <w:pPr>
        <w:pStyle w:val="26"/>
        <w:rPr>
          <w:rFonts w:hAnsi="宋体"/>
          <w:color w:val="auto"/>
          <w:kern w:val="2"/>
          <w:szCs w:val="21"/>
          <w:highlight w:val="none"/>
        </w:rPr>
      </w:pPr>
      <w:r>
        <w:rPr>
          <w:rFonts w:hint="eastAsia" w:hAnsi="宋体"/>
          <w:color w:val="auto"/>
          <w:kern w:val="2"/>
          <w:szCs w:val="21"/>
          <w:highlight w:val="none"/>
        </w:rPr>
        <w:t>本标准按照GB/T 1.1-20</w:t>
      </w:r>
      <w:r>
        <w:rPr>
          <w:rFonts w:hint="eastAsia" w:hAnsi="宋体"/>
          <w:color w:val="auto"/>
          <w:kern w:val="2"/>
          <w:szCs w:val="21"/>
          <w:highlight w:val="none"/>
          <w:lang w:val="en-US" w:eastAsia="zh-CN"/>
        </w:rPr>
        <w:t>20</w:t>
      </w:r>
      <w:r>
        <w:rPr>
          <w:rFonts w:hint="eastAsia" w:hAnsi="宋体"/>
          <w:color w:val="auto"/>
          <w:kern w:val="2"/>
          <w:szCs w:val="21"/>
          <w:highlight w:val="none"/>
        </w:rPr>
        <w:t xml:space="preserve"> 给出的规则起草。</w:t>
      </w:r>
    </w:p>
    <w:p>
      <w:pPr>
        <w:pStyle w:val="26"/>
        <w:rPr>
          <w:rFonts w:hAnsi="宋体"/>
          <w:color w:val="auto"/>
          <w:kern w:val="2"/>
          <w:szCs w:val="21"/>
          <w:highlight w:val="none"/>
        </w:rPr>
      </w:pPr>
      <w:r>
        <w:rPr>
          <w:rFonts w:hint="eastAsia"/>
          <w:color w:val="auto"/>
          <w:szCs w:val="21"/>
          <w:highlight w:val="none"/>
        </w:rPr>
        <w:t>本标准由中国轻工业联合会提出</w:t>
      </w:r>
      <w:bookmarkStart w:id="17" w:name="_GoBack"/>
      <w:bookmarkEnd w:id="17"/>
      <w:r>
        <w:rPr>
          <w:rFonts w:hint="eastAsia"/>
          <w:color w:val="auto"/>
          <w:szCs w:val="21"/>
          <w:highlight w:val="none"/>
        </w:rPr>
        <w:t>并归口。</w:t>
      </w:r>
    </w:p>
    <w:p>
      <w:pPr>
        <w:pStyle w:val="26"/>
        <w:rPr>
          <w:rFonts w:hAnsi="宋体"/>
          <w:color w:val="auto"/>
          <w:kern w:val="2"/>
          <w:szCs w:val="21"/>
          <w:highlight w:val="none"/>
        </w:rPr>
      </w:pPr>
      <w:r>
        <w:rPr>
          <w:rFonts w:hint="eastAsia" w:hAnsi="宋体"/>
          <w:color w:val="auto"/>
          <w:kern w:val="2"/>
          <w:szCs w:val="21"/>
          <w:highlight w:val="none"/>
        </w:rPr>
        <w:t>本标准起草单位：暂略。</w:t>
      </w:r>
    </w:p>
    <w:p>
      <w:pPr>
        <w:pStyle w:val="26"/>
        <w:rPr>
          <w:rFonts w:hAnsi="宋体"/>
          <w:color w:val="auto"/>
          <w:kern w:val="2"/>
          <w:szCs w:val="21"/>
          <w:highlight w:val="none"/>
        </w:rPr>
      </w:pPr>
      <w:r>
        <w:rPr>
          <w:rFonts w:hint="eastAsia" w:hAnsi="宋体"/>
          <w:color w:val="auto"/>
          <w:kern w:val="2"/>
          <w:szCs w:val="21"/>
          <w:highlight w:val="none"/>
        </w:rPr>
        <w:t>本标准主要起草人：暂略。</w:t>
      </w: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widowControl/>
        <w:jc w:val="left"/>
        <w:rPr>
          <w:b/>
          <w:color w:val="auto"/>
          <w:sz w:val="30"/>
          <w:szCs w:val="30"/>
          <w:highlight w:val="none"/>
        </w:rPr>
        <w:sectPr>
          <w:footerReference r:id="rId8" w:type="default"/>
          <w:pgSz w:w="11906" w:h="16838"/>
          <w:pgMar w:top="1440" w:right="1800" w:bottom="1440" w:left="1800" w:header="1418" w:footer="1134" w:gutter="0"/>
          <w:pgNumType w:fmt="upperRoman" w:start="1"/>
          <w:cols w:space="425" w:num="1"/>
          <w:formProt w:val="0"/>
          <w:docGrid w:type="lines" w:linePitch="312" w:charSpace="0"/>
        </w:sectPr>
      </w:pPr>
      <w:r>
        <w:rPr>
          <w:rFonts w:ascii="Times New Roman" w:hAnsi="Times New Roman" w:cs="Times New Roman"/>
          <w:color w:val="auto"/>
          <w:highlight w:val="none"/>
        </w:rPr>
        <w:br w:type="page"/>
      </w:r>
    </w:p>
    <w:p>
      <w:pPr>
        <w:pStyle w:val="121"/>
        <w:rPr>
          <w:b/>
          <w:color w:val="auto"/>
          <w:sz w:val="30"/>
          <w:szCs w:val="30"/>
          <w:highlight w:val="none"/>
        </w:rPr>
      </w:pPr>
      <w:r>
        <w:rPr>
          <w:rFonts w:hint="eastAsia"/>
          <w:b/>
          <w:color w:val="auto"/>
          <w:sz w:val="30"/>
          <w:szCs w:val="30"/>
          <w:highlight w:val="none"/>
        </w:rPr>
        <w:t>绿色设计产品评价技术规范</w:t>
      </w:r>
      <w:r>
        <w:rPr>
          <w:b/>
          <w:color w:val="auto"/>
          <w:sz w:val="30"/>
          <w:szCs w:val="30"/>
          <w:highlight w:val="none"/>
        </w:rPr>
        <w:t xml:space="preserve">  </w:t>
      </w:r>
      <w:r>
        <w:rPr>
          <w:rFonts w:hint="eastAsia"/>
          <w:b/>
          <w:color w:val="auto"/>
          <w:sz w:val="30"/>
          <w:szCs w:val="30"/>
          <w:highlight w:val="none"/>
        </w:rPr>
        <w:t>辣椒酱</w:t>
      </w:r>
    </w:p>
    <w:p>
      <w:pPr>
        <w:pStyle w:val="51"/>
        <w:spacing w:before="312" w:after="312"/>
        <w:rPr>
          <w:color w:val="auto"/>
          <w:szCs w:val="21"/>
          <w:highlight w:val="none"/>
        </w:rPr>
      </w:pPr>
      <w:r>
        <w:rPr>
          <w:rFonts w:hint="eastAsia"/>
          <w:color w:val="auto"/>
          <w:szCs w:val="21"/>
          <w:highlight w:val="none"/>
        </w:rPr>
        <w:t>范围</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本标准规定了辣椒酱绿色设计产品的术语和定义、评价要求、指标计算方法、生命周期评价报告编制方法和评价方法。</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本标准适用于辣椒酱绿色设计产品评价。</w:t>
      </w:r>
    </w:p>
    <w:p>
      <w:pPr>
        <w:pStyle w:val="51"/>
        <w:spacing w:before="312" w:after="312"/>
        <w:rPr>
          <w:color w:val="auto"/>
          <w:szCs w:val="21"/>
          <w:highlight w:val="none"/>
        </w:rPr>
      </w:pPr>
      <w:r>
        <w:rPr>
          <w:rFonts w:hint="eastAsia"/>
          <w:color w:val="auto"/>
          <w:szCs w:val="21"/>
          <w:highlight w:val="none"/>
        </w:rPr>
        <w:t xml:space="preserve">规范性引用文件 </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下列文件对于本文件的应用是必不可少的。凡是注日期的引用文件，仅注日期的版本适用于本文件。凡是不注日期的引用文件，其最新版本（包括所有的修改单）适用于本文件。</w:t>
      </w:r>
      <w:r>
        <w:rPr>
          <w:rFonts w:hAnsi="宋体"/>
          <w:color w:val="auto"/>
          <w:szCs w:val="21"/>
          <w:highlight w:val="none"/>
        </w:rPr>
        <w:t xml:space="preserve"> </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GB</w:t>
      </w:r>
      <w:r>
        <w:rPr>
          <w:rFonts w:hAnsi="宋体"/>
          <w:color w:val="auto"/>
          <w:szCs w:val="21"/>
          <w:highlight w:val="none"/>
        </w:rPr>
        <w:t>/T</w:t>
      </w:r>
      <w:r>
        <w:rPr>
          <w:rFonts w:hint="eastAsia" w:hAnsi="宋体"/>
          <w:color w:val="auto"/>
          <w:szCs w:val="21"/>
          <w:highlight w:val="none"/>
        </w:rPr>
        <w:t xml:space="preserve"> 2589  综合能耗计算通则</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G</w:t>
      </w:r>
      <w:r>
        <w:rPr>
          <w:rFonts w:hAnsi="宋体"/>
          <w:color w:val="auto"/>
          <w:szCs w:val="21"/>
          <w:highlight w:val="none"/>
        </w:rPr>
        <w:t xml:space="preserve">B 2762 </w:t>
      </w:r>
      <w:r>
        <w:rPr>
          <w:rFonts w:hint="eastAsia" w:hAnsi="宋体"/>
          <w:color w:val="auto"/>
          <w:szCs w:val="21"/>
          <w:highlight w:val="none"/>
        </w:rPr>
        <w:t>食品安全国家标准 食品中污染物限量</w:t>
      </w:r>
    </w:p>
    <w:p>
      <w:pPr>
        <w:pStyle w:val="64"/>
        <w:numPr>
          <w:ilvl w:val="0"/>
          <w:numId w:val="0"/>
        </w:numPr>
        <w:spacing w:line="300" w:lineRule="auto"/>
        <w:ind w:firstLine="420" w:firstLineChars="200"/>
        <w:rPr>
          <w:rFonts w:hAnsi="宋体"/>
          <w:color w:val="auto"/>
          <w:szCs w:val="21"/>
          <w:highlight w:val="none"/>
        </w:rPr>
      </w:pPr>
      <w:r>
        <w:rPr>
          <w:rFonts w:hAnsi="宋体"/>
          <w:color w:val="auto"/>
          <w:szCs w:val="21"/>
          <w:highlight w:val="none"/>
        </w:rPr>
        <w:t xml:space="preserve">GB 2763 </w:t>
      </w:r>
      <w:r>
        <w:rPr>
          <w:rFonts w:hint="eastAsia" w:hAnsi="宋体"/>
          <w:color w:val="auto"/>
          <w:szCs w:val="21"/>
          <w:highlight w:val="none"/>
        </w:rPr>
        <w:t>食品安全国家标准 食品中农药最大残留限量</w:t>
      </w:r>
    </w:p>
    <w:p>
      <w:pPr>
        <w:pStyle w:val="64"/>
        <w:numPr>
          <w:ilvl w:val="0"/>
          <w:numId w:val="0"/>
        </w:numPr>
        <w:spacing w:line="300" w:lineRule="auto"/>
        <w:ind w:firstLine="420" w:firstLineChars="200"/>
        <w:rPr>
          <w:color w:val="auto"/>
          <w:szCs w:val="21"/>
          <w:highlight w:val="none"/>
        </w:rPr>
      </w:pPr>
      <w:r>
        <w:rPr>
          <w:color w:val="auto"/>
          <w:szCs w:val="21"/>
          <w:highlight w:val="none"/>
        </w:rPr>
        <w:t>GB 4789.2</w:t>
      </w:r>
      <w:r>
        <w:rPr>
          <w:rFonts w:hint="eastAsia"/>
          <w:color w:val="auto"/>
          <w:szCs w:val="21"/>
          <w:highlight w:val="none"/>
        </w:rPr>
        <w:t>食品安全国家标准 食品微生物学检验 菌落总数测定</w:t>
      </w:r>
    </w:p>
    <w:p>
      <w:pPr>
        <w:pStyle w:val="64"/>
        <w:numPr>
          <w:ilvl w:val="0"/>
          <w:numId w:val="0"/>
        </w:numPr>
        <w:spacing w:line="300" w:lineRule="auto"/>
        <w:ind w:firstLine="420" w:firstLineChars="200"/>
        <w:rPr>
          <w:rFonts w:hAnsi="宋体"/>
          <w:color w:val="auto"/>
          <w:szCs w:val="21"/>
          <w:highlight w:val="none"/>
        </w:rPr>
      </w:pPr>
      <w:r>
        <w:rPr>
          <w:color w:val="auto"/>
          <w:szCs w:val="21"/>
          <w:highlight w:val="none"/>
        </w:rPr>
        <w:t>GB/T 5009.40</w:t>
      </w:r>
      <w:r>
        <w:rPr>
          <w:rFonts w:hint="eastAsia"/>
          <w:color w:val="auto"/>
          <w:szCs w:val="21"/>
          <w:highlight w:val="none"/>
        </w:rPr>
        <w:t>酱卫生标准的分析方法</w:t>
      </w:r>
    </w:p>
    <w:p>
      <w:pPr>
        <w:pStyle w:val="64"/>
        <w:numPr>
          <w:ilvl w:val="0"/>
          <w:numId w:val="0"/>
        </w:numPr>
        <w:spacing w:line="300" w:lineRule="auto"/>
        <w:ind w:firstLine="420" w:firstLineChars="200"/>
        <w:rPr>
          <w:rFonts w:hAnsi="宋体"/>
          <w:color w:val="auto"/>
          <w:szCs w:val="21"/>
          <w:highlight w:val="none"/>
        </w:rPr>
      </w:pPr>
      <w:r>
        <w:rPr>
          <w:rFonts w:hAnsi="宋体"/>
          <w:color w:val="auto"/>
          <w:szCs w:val="21"/>
          <w:highlight w:val="none"/>
        </w:rPr>
        <w:t xml:space="preserve">GB/T 16157 </w:t>
      </w:r>
      <w:r>
        <w:rPr>
          <w:rFonts w:hint="eastAsia" w:hAnsi="宋体"/>
          <w:color w:val="auto"/>
          <w:szCs w:val="21"/>
          <w:highlight w:val="none"/>
        </w:rPr>
        <w:t>固定污染源排气中颗粒物测定与气态污染物采样方法</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GB</w:t>
      </w:r>
      <w:r>
        <w:rPr>
          <w:rFonts w:hAnsi="宋体"/>
          <w:color w:val="auto"/>
          <w:szCs w:val="21"/>
          <w:highlight w:val="none"/>
        </w:rPr>
        <w:t xml:space="preserve"> </w:t>
      </w:r>
      <w:r>
        <w:rPr>
          <w:rFonts w:hint="eastAsia" w:hAnsi="宋体"/>
          <w:color w:val="auto"/>
          <w:szCs w:val="21"/>
          <w:highlight w:val="none"/>
        </w:rPr>
        <w:t>17167 用能单位能源计量器具配备和管理通则</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GB 18597 危险废物贮存污染控制标准</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GB 18599 一般工业固体废物贮存、处置场污染控制标准</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GB/T 19001 质量管理体系 要求</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GB/T 23331 能源管理体系 要求</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GB/T 24001 环境管理体系 要求及使用指南</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GB/T 24040 环境管理生命周期评价原则与框架</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GB/T 24044 环境管理生命周期评价要求与指南</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GB/T 28001 职业健康安全管理体系</w:t>
      </w:r>
    </w:p>
    <w:p>
      <w:pPr>
        <w:pStyle w:val="64"/>
        <w:numPr>
          <w:ilvl w:val="0"/>
          <w:numId w:val="0"/>
        </w:numPr>
        <w:spacing w:line="300" w:lineRule="auto"/>
        <w:ind w:firstLine="420" w:firstLineChars="200"/>
        <w:rPr>
          <w:rFonts w:hAnsi="宋体"/>
          <w:color w:val="auto"/>
          <w:szCs w:val="21"/>
          <w:highlight w:val="none"/>
        </w:rPr>
      </w:pPr>
      <w:r>
        <w:rPr>
          <w:rFonts w:hint="eastAsia"/>
          <w:color w:val="auto"/>
          <w:highlight w:val="none"/>
        </w:rPr>
        <w:t>GB 31644 食品安全国家标准 复合调味料</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GB/T 32161 生态设计产品评价通则</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HJ 57 固定污染源废气中二氧化硫的测定 定电位电解法</w:t>
      </w:r>
    </w:p>
    <w:p>
      <w:pPr>
        <w:pStyle w:val="64"/>
        <w:numPr>
          <w:ilvl w:val="0"/>
          <w:numId w:val="0"/>
        </w:numPr>
        <w:spacing w:line="300" w:lineRule="auto"/>
        <w:ind w:firstLine="420" w:firstLineChars="200"/>
        <w:rPr>
          <w:rFonts w:hAnsi="宋体"/>
          <w:color w:val="auto"/>
          <w:szCs w:val="21"/>
          <w:highlight w:val="none"/>
        </w:rPr>
      </w:pPr>
      <w:r>
        <w:rPr>
          <w:rFonts w:hAnsi="宋体"/>
          <w:color w:val="auto"/>
          <w:szCs w:val="21"/>
          <w:highlight w:val="none"/>
        </w:rPr>
        <w:t xml:space="preserve">HJ/T 353 </w:t>
      </w:r>
      <w:r>
        <w:rPr>
          <w:rFonts w:hint="eastAsia" w:hAnsi="宋体"/>
          <w:color w:val="auto"/>
          <w:szCs w:val="21"/>
          <w:highlight w:val="none"/>
        </w:rPr>
        <w:t>水污染源在线监测系统安装技术规范</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HJ 535 水质氨氮的测定 纳氏试剂分光光度法</w:t>
      </w:r>
    </w:p>
    <w:p>
      <w:pPr>
        <w:pStyle w:val="64"/>
        <w:numPr>
          <w:ilvl w:val="0"/>
          <w:numId w:val="0"/>
        </w:numPr>
        <w:spacing w:line="300" w:lineRule="auto"/>
        <w:ind w:firstLine="420" w:firstLineChars="200"/>
        <w:rPr>
          <w:rFonts w:hAnsi="宋体"/>
          <w:color w:val="auto"/>
          <w:szCs w:val="21"/>
          <w:highlight w:val="none"/>
        </w:rPr>
      </w:pPr>
      <w:r>
        <w:rPr>
          <w:rFonts w:hint="eastAsia" w:hAnsi="宋体"/>
          <w:color w:val="auto"/>
          <w:szCs w:val="21"/>
          <w:highlight w:val="none"/>
        </w:rPr>
        <w:t>HJ 828</w:t>
      </w:r>
      <w:r>
        <w:rPr>
          <w:rFonts w:hAnsi="宋体"/>
          <w:color w:val="auto"/>
          <w:szCs w:val="21"/>
          <w:highlight w:val="none"/>
        </w:rPr>
        <w:t xml:space="preserve"> </w:t>
      </w:r>
      <w:r>
        <w:rPr>
          <w:rFonts w:hint="eastAsia" w:hAnsi="宋体"/>
          <w:color w:val="auto"/>
          <w:szCs w:val="21"/>
          <w:highlight w:val="none"/>
        </w:rPr>
        <w:t>水质 化学需氧量的测定 重铬酸盐法</w:t>
      </w:r>
    </w:p>
    <w:p>
      <w:pPr>
        <w:pStyle w:val="51"/>
        <w:spacing w:before="312" w:after="312"/>
        <w:rPr>
          <w:color w:val="auto"/>
          <w:szCs w:val="21"/>
          <w:highlight w:val="none"/>
        </w:rPr>
      </w:pPr>
      <w:r>
        <w:rPr>
          <w:rFonts w:hint="eastAsia"/>
          <w:color w:val="auto"/>
          <w:szCs w:val="21"/>
          <w:highlight w:val="none"/>
        </w:rPr>
        <w:t>术语和定义</w:t>
      </w:r>
    </w:p>
    <w:p>
      <w:pPr>
        <w:pStyle w:val="26"/>
        <w:rPr>
          <w:color w:val="auto"/>
          <w:szCs w:val="21"/>
          <w:highlight w:val="none"/>
        </w:rPr>
      </w:pPr>
      <w:r>
        <w:rPr>
          <w:rFonts w:hint="eastAsia"/>
          <w:color w:val="auto"/>
          <w:szCs w:val="21"/>
          <w:highlight w:val="none"/>
        </w:rPr>
        <w:t>下列术语和定义适用于文本文件。</w:t>
      </w:r>
    </w:p>
    <w:p>
      <w:pPr>
        <w:pStyle w:val="50"/>
        <w:spacing w:before="156" w:after="156"/>
        <w:ind w:left="0"/>
        <w:rPr>
          <w:color w:val="auto"/>
          <w:highlight w:val="none"/>
        </w:rPr>
      </w:pPr>
    </w:p>
    <w:p>
      <w:pPr>
        <w:pStyle w:val="50"/>
        <w:numPr>
          <w:ilvl w:val="0"/>
          <w:numId w:val="0"/>
        </w:numPr>
        <w:spacing w:before="156" w:after="156"/>
        <w:ind w:firstLine="420" w:firstLineChars="200"/>
        <w:rPr>
          <w:color w:val="auto"/>
          <w:highlight w:val="none"/>
        </w:rPr>
      </w:pPr>
      <w:r>
        <w:rPr>
          <w:rFonts w:hint="eastAsia"/>
          <w:color w:val="auto"/>
          <w:highlight w:val="none"/>
        </w:rPr>
        <w:t>绿色设计</w:t>
      </w:r>
      <w:r>
        <w:rPr>
          <w:color w:val="auto"/>
          <w:highlight w:val="none"/>
        </w:rPr>
        <w:t>green-design</w:t>
      </w:r>
    </w:p>
    <w:p>
      <w:pPr>
        <w:pStyle w:val="50"/>
        <w:numPr>
          <w:ilvl w:val="0"/>
          <w:numId w:val="0"/>
        </w:numPr>
        <w:spacing w:before="156" w:after="156"/>
        <w:ind w:firstLine="420" w:firstLineChars="200"/>
        <w:rPr>
          <w:color w:val="auto"/>
          <w:highlight w:val="none"/>
        </w:rPr>
      </w:pPr>
      <w:r>
        <w:rPr>
          <w:rFonts w:hint="eastAsia"/>
          <w:color w:val="auto"/>
          <w:highlight w:val="none"/>
        </w:rPr>
        <w:t>生态设计 eco-</w:t>
      </w:r>
      <w:r>
        <w:rPr>
          <w:color w:val="auto"/>
          <w:highlight w:val="none"/>
        </w:rPr>
        <w:t xml:space="preserve"> design</w:t>
      </w:r>
    </w:p>
    <w:p>
      <w:pPr>
        <w:pStyle w:val="26"/>
        <w:rPr>
          <w:color w:val="auto"/>
          <w:szCs w:val="21"/>
          <w:highlight w:val="none"/>
        </w:rPr>
      </w:pPr>
      <w:r>
        <w:rPr>
          <w:rFonts w:hint="eastAsia"/>
          <w:color w:val="auto"/>
          <w:szCs w:val="21"/>
          <w:highlight w:val="none"/>
        </w:rPr>
        <w:t>按照全生命周期的理念，在产品设计开发阶段系统考虑原材料选用、生产、销售、使用、回收、处理等各个环节对资源环境造成的影响，力求产品在全生命周期中最大限度降低资源消耗、尽可能少用或不用含有有毒有害物质的原材料，减少污染物产生和排放，从而实现环境保护的活动。</w:t>
      </w:r>
    </w:p>
    <w:p>
      <w:pPr>
        <w:pStyle w:val="50"/>
        <w:spacing w:before="156" w:after="156"/>
        <w:ind w:left="0"/>
        <w:rPr>
          <w:color w:val="auto"/>
          <w:highlight w:val="none"/>
        </w:rPr>
      </w:pPr>
    </w:p>
    <w:p>
      <w:pPr>
        <w:pStyle w:val="50"/>
        <w:numPr>
          <w:ilvl w:val="0"/>
          <w:numId w:val="0"/>
        </w:numPr>
        <w:spacing w:before="156" w:after="156"/>
        <w:ind w:firstLine="420" w:firstLineChars="200"/>
        <w:rPr>
          <w:color w:val="auto"/>
          <w:highlight w:val="none"/>
        </w:rPr>
      </w:pPr>
      <w:r>
        <w:rPr>
          <w:rFonts w:hint="eastAsia"/>
          <w:color w:val="auto"/>
          <w:highlight w:val="none"/>
        </w:rPr>
        <w:t xml:space="preserve">绿色设计产品 </w:t>
      </w:r>
      <w:r>
        <w:rPr>
          <w:color w:val="auto"/>
          <w:highlight w:val="none"/>
        </w:rPr>
        <w:t>green-design product</w:t>
      </w:r>
    </w:p>
    <w:p>
      <w:pPr>
        <w:pStyle w:val="50"/>
        <w:numPr>
          <w:ilvl w:val="0"/>
          <w:numId w:val="0"/>
        </w:numPr>
        <w:spacing w:before="156" w:after="156"/>
        <w:ind w:firstLine="420" w:firstLineChars="200"/>
        <w:rPr>
          <w:color w:val="auto"/>
          <w:highlight w:val="none"/>
        </w:rPr>
      </w:pPr>
      <w:r>
        <w:rPr>
          <w:rFonts w:hint="eastAsia"/>
          <w:color w:val="auto"/>
          <w:highlight w:val="none"/>
        </w:rPr>
        <w:t>生态设计产品 eco- design product</w:t>
      </w:r>
    </w:p>
    <w:p>
      <w:pPr>
        <w:pStyle w:val="26"/>
        <w:rPr>
          <w:color w:val="auto"/>
          <w:szCs w:val="21"/>
          <w:highlight w:val="none"/>
        </w:rPr>
      </w:pPr>
      <w:r>
        <w:rPr>
          <w:rFonts w:hint="eastAsia"/>
          <w:color w:val="auto"/>
          <w:szCs w:val="21"/>
          <w:highlight w:val="none"/>
        </w:rPr>
        <w:t>符合绿色设计理念和评价要求的产品。</w:t>
      </w:r>
    </w:p>
    <w:p>
      <w:pPr>
        <w:pStyle w:val="50"/>
        <w:spacing w:before="156" w:after="156"/>
        <w:ind w:left="0"/>
        <w:rPr>
          <w:color w:val="auto"/>
          <w:highlight w:val="none"/>
        </w:rPr>
      </w:pPr>
    </w:p>
    <w:p>
      <w:pPr>
        <w:pStyle w:val="50"/>
        <w:numPr>
          <w:ilvl w:val="0"/>
          <w:numId w:val="0"/>
        </w:numPr>
        <w:spacing w:before="156" w:after="156"/>
        <w:ind w:firstLine="420" w:firstLineChars="200"/>
        <w:rPr>
          <w:color w:val="auto"/>
          <w:highlight w:val="none"/>
        </w:rPr>
      </w:pPr>
      <w:r>
        <w:rPr>
          <w:rFonts w:hint="eastAsia"/>
          <w:color w:val="auto"/>
          <w:highlight w:val="none"/>
        </w:rPr>
        <w:t xml:space="preserve">辣椒酱 soy sauce  </w:t>
      </w:r>
    </w:p>
    <w:p>
      <w:pPr>
        <w:widowControl/>
        <w:shd w:val="clear" w:color="auto" w:fill="FFFFFF"/>
        <w:ind w:firstLine="420" w:firstLineChars="200"/>
        <w:jc w:val="left"/>
        <w:rPr>
          <w:rFonts w:hint="eastAsia" w:ascii="MicrosoftJhengHeiUIRegular" w:hAnsi="MicrosoftJhengHeiUIRegular"/>
          <w:color w:val="auto"/>
          <w:highlight w:val="none"/>
        </w:rPr>
      </w:pPr>
      <w:r>
        <w:rPr>
          <w:rFonts w:hint="eastAsia" w:ascii="Courier New" w:hAnsi="Courier New" w:cs="Courier New"/>
          <w:color w:val="auto"/>
          <w:kern w:val="0"/>
          <w:szCs w:val="21"/>
          <w:highlight w:val="none"/>
        </w:rPr>
        <w:t>以鲜辣椒为主要原料，经发酵等特定工艺加工而制成的酱状食品</w:t>
      </w:r>
      <w:r>
        <w:rPr>
          <w:rFonts w:hint="eastAsia"/>
          <w:color w:val="auto"/>
          <w:szCs w:val="21"/>
          <w:highlight w:val="none"/>
        </w:rPr>
        <w:t>。</w:t>
      </w:r>
    </w:p>
    <w:p>
      <w:pPr>
        <w:pStyle w:val="50"/>
        <w:spacing w:before="156" w:after="156"/>
        <w:ind w:left="0"/>
        <w:rPr>
          <w:rFonts w:hint="eastAsia" w:ascii="MicrosoftJhengHeiUIRegular" w:hAnsi="MicrosoftJhengHeiUIRegular"/>
          <w:color w:val="auto"/>
          <w:highlight w:val="none"/>
        </w:rPr>
      </w:pPr>
    </w:p>
    <w:p>
      <w:pPr>
        <w:pStyle w:val="50"/>
        <w:numPr>
          <w:ilvl w:val="0"/>
          <w:numId w:val="0"/>
        </w:numPr>
        <w:spacing w:before="156" w:after="156"/>
        <w:ind w:firstLine="420" w:firstLineChars="200"/>
        <w:rPr>
          <w:rFonts w:hint="eastAsia" w:ascii="MicrosoftJhengHeiUIRegular" w:hAnsi="MicrosoftJhengHeiUIRegular"/>
          <w:color w:val="auto"/>
          <w:highlight w:val="none"/>
        </w:rPr>
      </w:pPr>
      <w:r>
        <w:rPr>
          <w:rFonts w:hint="eastAsia"/>
          <w:color w:val="auto"/>
          <w:highlight w:val="none"/>
        </w:rPr>
        <w:t>生命周期 life cycle</w:t>
      </w:r>
    </w:p>
    <w:p>
      <w:pPr>
        <w:pStyle w:val="26"/>
        <w:rPr>
          <w:color w:val="auto"/>
          <w:szCs w:val="21"/>
          <w:highlight w:val="none"/>
        </w:rPr>
      </w:pPr>
      <w:r>
        <w:rPr>
          <w:rFonts w:hint="eastAsia"/>
          <w:color w:val="auto"/>
          <w:szCs w:val="21"/>
          <w:highlight w:val="none"/>
        </w:rPr>
        <w:t>产品系统中前后衔接的一系列阶段，从自然界或从自然资源中获取原材料，直至最终处置。</w:t>
      </w:r>
    </w:p>
    <w:p>
      <w:pPr>
        <w:pStyle w:val="50"/>
        <w:spacing w:before="156" w:after="156"/>
        <w:ind w:left="0"/>
        <w:rPr>
          <w:rFonts w:hint="eastAsia" w:ascii="MicrosoftJhengHeiUIRegular" w:hAnsi="MicrosoftJhengHeiUIRegular"/>
          <w:color w:val="auto"/>
          <w:highlight w:val="none"/>
        </w:rPr>
      </w:pPr>
    </w:p>
    <w:p>
      <w:pPr>
        <w:pStyle w:val="50"/>
        <w:numPr>
          <w:ilvl w:val="0"/>
          <w:numId w:val="0"/>
        </w:numPr>
        <w:spacing w:before="156" w:after="156"/>
        <w:ind w:firstLine="420" w:firstLineChars="200"/>
        <w:rPr>
          <w:rFonts w:hint="eastAsia" w:ascii="MicrosoftJhengHeiUIRegular" w:hAnsi="MicrosoftJhengHeiUIRegular"/>
          <w:color w:val="auto"/>
          <w:highlight w:val="none"/>
        </w:rPr>
      </w:pPr>
      <w:r>
        <w:rPr>
          <w:rFonts w:hint="eastAsia" w:hAnsi="黑体"/>
          <w:color w:val="auto"/>
          <w:highlight w:val="none"/>
        </w:rPr>
        <w:t xml:space="preserve">生命周期评价 </w:t>
      </w:r>
      <w:r>
        <w:rPr>
          <w:rFonts w:ascii="MicrosoftJhengHeiUIRegular" w:hAnsi="MicrosoftJhengHeiUIRegular"/>
          <w:color w:val="auto"/>
          <w:highlight w:val="none"/>
        </w:rPr>
        <w:t>life cycle assessment</w:t>
      </w:r>
    </w:p>
    <w:p>
      <w:pPr>
        <w:pStyle w:val="26"/>
        <w:rPr>
          <w:color w:val="auto"/>
          <w:szCs w:val="21"/>
          <w:highlight w:val="none"/>
        </w:rPr>
      </w:pPr>
      <w:r>
        <w:rPr>
          <w:rFonts w:hint="eastAsia"/>
          <w:color w:val="auto"/>
          <w:szCs w:val="21"/>
          <w:highlight w:val="none"/>
        </w:rPr>
        <w:t>理解和评价产品系统在产品整个生命周期中的潜在环境影响大小和重要性的阶段。</w:t>
      </w:r>
    </w:p>
    <w:p>
      <w:pPr>
        <w:pStyle w:val="50"/>
        <w:spacing w:before="156" w:after="156"/>
        <w:ind w:left="0"/>
        <w:rPr>
          <w:rFonts w:hint="eastAsia" w:ascii="MicrosoftJhengHeiUIRegular" w:hAnsi="MicrosoftJhengHeiUIRegular"/>
          <w:color w:val="auto"/>
          <w:highlight w:val="none"/>
        </w:rPr>
      </w:pPr>
    </w:p>
    <w:p>
      <w:pPr>
        <w:pStyle w:val="50"/>
        <w:numPr>
          <w:ilvl w:val="0"/>
          <w:numId w:val="0"/>
        </w:numPr>
        <w:spacing w:before="156" w:after="156"/>
        <w:ind w:firstLine="420" w:firstLineChars="200"/>
        <w:rPr>
          <w:rFonts w:hint="eastAsia" w:ascii="MicrosoftJhengHeiUIRegular" w:hAnsi="MicrosoftJhengHeiUIRegular"/>
          <w:color w:val="auto"/>
          <w:highlight w:val="none"/>
        </w:rPr>
      </w:pPr>
      <w:r>
        <w:rPr>
          <w:rFonts w:hint="eastAsia"/>
          <w:color w:val="auto"/>
          <w:highlight w:val="none"/>
        </w:rPr>
        <w:t>评价指标基准值</w:t>
      </w:r>
      <w:r>
        <w:rPr>
          <w:color w:val="auto"/>
          <w:highlight w:val="none"/>
        </w:rPr>
        <w:t xml:space="preserve">  reference value of assessment indicator</w:t>
      </w:r>
    </w:p>
    <w:p>
      <w:pPr>
        <w:pStyle w:val="26"/>
        <w:rPr>
          <w:color w:val="auto"/>
          <w:szCs w:val="21"/>
          <w:highlight w:val="none"/>
        </w:rPr>
      </w:pPr>
      <w:r>
        <w:rPr>
          <w:rFonts w:hint="eastAsia"/>
          <w:color w:val="auto"/>
          <w:szCs w:val="21"/>
          <w:highlight w:val="none"/>
        </w:rPr>
        <w:t>为评价辣椒酱产品绿色设计而设定的指标参照值。</w:t>
      </w:r>
    </w:p>
    <w:p>
      <w:pPr>
        <w:pStyle w:val="50"/>
        <w:spacing w:before="156" w:after="156"/>
        <w:ind w:left="0"/>
        <w:rPr>
          <w:color w:val="auto"/>
          <w:highlight w:val="none"/>
        </w:rPr>
      </w:pPr>
    </w:p>
    <w:p>
      <w:pPr>
        <w:pStyle w:val="50"/>
        <w:numPr>
          <w:ilvl w:val="0"/>
          <w:numId w:val="0"/>
        </w:numPr>
        <w:spacing w:before="156" w:after="156"/>
        <w:ind w:firstLine="420" w:firstLineChars="200"/>
        <w:rPr>
          <w:color w:val="auto"/>
          <w:highlight w:val="none"/>
        </w:rPr>
      </w:pPr>
      <w:r>
        <w:rPr>
          <w:rFonts w:hint="eastAsia" w:hAnsi="黑体"/>
          <w:color w:val="auto"/>
          <w:highlight w:val="none"/>
        </w:rPr>
        <w:t xml:space="preserve">现场数据 </w:t>
      </w:r>
      <w:r>
        <w:rPr>
          <w:rFonts w:ascii="MicrosoftJhengHeiUIRegular" w:hAnsi="MicrosoftJhengHeiUIRegular"/>
          <w:color w:val="auto"/>
          <w:highlight w:val="none"/>
        </w:rPr>
        <w:t>field data</w:t>
      </w:r>
    </w:p>
    <w:p>
      <w:pPr>
        <w:pStyle w:val="26"/>
        <w:rPr>
          <w:color w:val="auto"/>
          <w:szCs w:val="21"/>
          <w:highlight w:val="none"/>
        </w:rPr>
      </w:pPr>
      <w:r>
        <w:rPr>
          <w:rFonts w:hint="eastAsia"/>
          <w:color w:val="auto"/>
          <w:szCs w:val="21"/>
          <w:highlight w:val="none"/>
        </w:rPr>
        <w:t>通过直接定量测量方式获得的产品生命周期活动数据。</w:t>
      </w:r>
    </w:p>
    <w:p>
      <w:pPr>
        <w:pStyle w:val="50"/>
        <w:spacing w:before="156" w:after="156"/>
        <w:ind w:left="0"/>
        <w:rPr>
          <w:color w:val="auto"/>
          <w:highlight w:val="none"/>
        </w:rPr>
      </w:pPr>
    </w:p>
    <w:p>
      <w:pPr>
        <w:pStyle w:val="50"/>
        <w:numPr>
          <w:ilvl w:val="0"/>
          <w:numId w:val="0"/>
        </w:numPr>
        <w:spacing w:before="156" w:after="156"/>
        <w:ind w:firstLine="420" w:firstLineChars="200"/>
        <w:rPr>
          <w:color w:val="auto"/>
          <w:highlight w:val="none"/>
        </w:rPr>
      </w:pPr>
      <w:r>
        <w:rPr>
          <w:rFonts w:hint="eastAsia" w:hAnsi="黑体"/>
          <w:color w:val="auto"/>
          <w:highlight w:val="none"/>
        </w:rPr>
        <w:t xml:space="preserve">背景数据 </w:t>
      </w:r>
      <w:r>
        <w:rPr>
          <w:rFonts w:ascii="MicrosoftJhengHeiUIRegular" w:hAnsi="MicrosoftJhengHeiUIRegular"/>
          <w:color w:val="auto"/>
          <w:highlight w:val="none"/>
        </w:rPr>
        <w:t>background data</w:t>
      </w:r>
    </w:p>
    <w:p>
      <w:pPr>
        <w:pStyle w:val="26"/>
        <w:rPr>
          <w:color w:val="auto"/>
          <w:highlight w:val="none"/>
        </w:rPr>
      </w:pPr>
      <w:r>
        <w:rPr>
          <w:rFonts w:hint="eastAsia"/>
          <w:color w:val="auto"/>
          <w:szCs w:val="21"/>
          <w:highlight w:val="none"/>
        </w:rPr>
        <w:t>通过直接测量以外的来源获得的产品生命周期活动数据。</w:t>
      </w:r>
    </w:p>
    <w:p>
      <w:pPr>
        <w:pStyle w:val="51"/>
        <w:spacing w:before="312" w:after="312"/>
        <w:rPr>
          <w:rFonts w:hAnsi="宋体"/>
          <w:color w:val="auto"/>
          <w:szCs w:val="21"/>
          <w:highlight w:val="none"/>
        </w:rPr>
      </w:pPr>
      <w:r>
        <w:rPr>
          <w:rFonts w:hint="eastAsia" w:hAnsi="宋体"/>
          <w:color w:val="auto"/>
          <w:szCs w:val="21"/>
          <w:highlight w:val="none"/>
        </w:rPr>
        <w:t>评价要求</w:t>
      </w:r>
    </w:p>
    <w:p>
      <w:pPr>
        <w:pStyle w:val="50"/>
        <w:spacing w:before="156" w:after="156"/>
        <w:ind w:left="0"/>
        <w:rPr>
          <w:rFonts w:hAnsi="宋体"/>
          <w:color w:val="auto"/>
          <w:highlight w:val="none"/>
        </w:rPr>
      </w:pPr>
      <w:r>
        <w:rPr>
          <w:rFonts w:hint="eastAsia" w:hAnsi="宋体"/>
          <w:color w:val="auto"/>
          <w:highlight w:val="none"/>
        </w:rPr>
        <w:t>基本要求</w:t>
      </w:r>
    </w:p>
    <w:p>
      <w:pPr>
        <w:pStyle w:val="50"/>
        <w:numPr>
          <w:ilvl w:val="2"/>
          <w:numId w:val="3"/>
        </w:numPr>
        <w:spacing w:before="156" w:after="156"/>
        <w:rPr>
          <w:rFonts w:ascii="宋体" w:hAnsi="宋体" w:eastAsia="宋体"/>
          <w:color w:val="auto"/>
          <w:highlight w:val="none"/>
        </w:rPr>
      </w:pPr>
      <w:r>
        <w:rPr>
          <w:rFonts w:hint="eastAsia" w:ascii="宋体" w:hAnsi="宋体" w:eastAsia="宋体"/>
          <w:color w:val="auto"/>
          <w:highlight w:val="none"/>
        </w:rPr>
        <w:t>生产企业近三年无重大安全和环境污染事故。企业在生产过程中应实施清洁生产，通过清洁生产审核。</w:t>
      </w:r>
    </w:p>
    <w:p>
      <w:pPr>
        <w:pStyle w:val="50"/>
        <w:numPr>
          <w:ilvl w:val="2"/>
          <w:numId w:val="3"/>
        </w:numPr>
        <w:spacing w:before="156" w:after="156"/>
        <w:rPr>
          <w:rFonts w:ascii="宋体" w:hAnsi="宋体" w:eastAsia="宋体"/>
          <w:color w:val="auto"/>
          <w:highlight w:val="none"/>
        </w:rPr>
      </w:pPr>
      <w:r>
        <w:rPr>
          <w:rFonts w:hint="eastAsia" w:ascii="宋体" w:hAnsi="宋体" w:eastAsia="宋体"/>
          <w:color w:val="auto"/>
          <w:highlight w:val="none"/>
        </w:rPr>
        <w:t>企业不应采用国家或有关部门明确淘汰或禁止的生产工艺与装备。宜采用国家鼓励的、符合国家产业和技术政策发展方向的先进技术工艺。</w:t>
      </w:r>
    </w:p>
    <w:p>
      <w:pPr>
        <w:pStyle w:val="50"/>
        <w:numPr>
          <w:ilvl w:val="2"/>
          <w:numId w:val="3"/>
        </w:numPr>
        <w:spacing w:before="156" w:after="156"/>
        <w:rPr>
          <w:rFonts w:ascii="宋体" w:hAnsi="宋体" w:eastAsia="宋体"/>
          <w:color w:val="auto"/>
          <w:highlight w:val="none"/>
        </w:rPr>
      </w:pPr>
      <w:r>
        <w:rPr>
          <w:rFonts w:hint="eastAsia" w:ascii="宋体" w:hAnsi="宋体" w:eastAsia="宋体"/>
          <w:color w:val="auto"/>
          <w:highlight w:val="none"/>
        </w:rPr>
        <w:t>生产企业污染物总量控制应达到国家和地方污染物排放总量控制指标。</w:t>
      </w:r>
    </w:p>
    <w:p>
      <w:pPr>
        <w:pStyle w:val="50"/>
        <w:numPr>
          <w:ilvl w:val="2"/>
          <w:numId w:val="3"/>
        </w:numPr>
        <w:spacing w:before="156" w:after="156"/>
        <w:rPr>
          <w:rFonts w:ascii="宋体" w:hAnsi="宋体" w:eastAsia="宋体"/>
          <w:color w:val="auto"/>
          <w:highlight w:val="none"/>
        </w:rPr>
      </w:pPr>
      <w:r>
        <w:rPr>
          <w:rFonts w:hint="eastAsia" w:ascii="宋体" w:hAnsi="宋体" w:eastAsia="宋体"/>
          <w:color w:val="auto"/>
          <w:highlight w:val="none"/>
        </w:rPr>
        <w:t>一般固体废弃物的贮存、处置场的建设、运行和污染监管应符合GB 18599的相关规定。危险废物的贮存与污染控制及监管应按照GB 18597的相关规定执行，后续应交给持有危险废物经营许可证的单位处理。</w:t>
      </w:r>
    </w:p>
    <w:p>
      <w:pPr>
        <w:pStyle w:val="50"/>
        <w:numPr>
          <w:ilvl w:val="2"/>
          <w:numId w:val="3"/>
        </w:numPr>
        <w:spacing w:before="156" w:after="156"/>
        <w:rPr>
          <w:rFonts w:ascii="宋体" w:hAnsi="宋体" w:eastAsia="宋体"/>
          <w:color w:val="auto"/>
          <w:highlight w:val="none"/>
        </w:rPr>
      </w:pPr>
      <w:r>
        <w:rPr>
          <w:rFonts w:hint="eastAsia" w:ascii="宋体" w:hAnsi="宋体" w:eastAsia="宋体"/>
          <w:color w:val="auto"/>
          <w:highlight w:val="none"/>
        </w:rPr>
        <w:t>产品质量、安全以及节能降耗和综合利用水平，应达到国家标准、行业标准的相关要求。</w:t>
      </w:r>
    </w:p>
    <w:p>
      <w:pPr>
        <w:pStyle w:val="50"/>
        <w:numPr>
          <w:ilvl w:val="2"/>
          <w:numId w:val="3"/>
        </w:numPr>
        <w:spacing w:before="156" w:after="156"/>
        <w:rPr>
          <w:rFonts w:ascii="宋体" w:hAnsi="宋体" w:eastAsia="宋体"/>
          <w:color w:val="auto"/>
          <w:highlight w:val="none"/>
        </w:rPr>
      </w:pPr>
      <w:r>
        <w:rPr>
          <w:rFonts w:hint="eastAsia" w:ascii="宋体" w:hAnsi="宋体" w:eastAsia="宋体"/>
          <w:color w:val="auto"/>
          <w:highlight w:val="none"/>
        </w:rPr>
        <w:t>生产企业应按照GB/T 19001、 GB/T 24001 和 GB/T 28001 分别建立并运行质量管理体系、环境管理体系和职业健康安全管理体系；开展能耗、物耗考核并建立考核制度，或按照 GB/T 23331 建立并运行能源管理体系。</w:t>
      </w:r>
    </w:p>
    <w:p>
      <w:pPr>
        <w:pStyle w:val="50"/>
        <w:numPr>
          <w:ilvl w:val="2"/>
          <w:numId w:val="3"/>
        </w:numPr>
        <w:spacing w:before="156" w:after="156"/>
        <w:rPr>
          <w:rFonts w:ascii="宋体" w:hAnsi="宋体" w:eastAsia="宋体"/>
          <w:color w:val="auto"/>
          <w:highlight w:val="none"/>
        </w:rPr>
      </w:pPr>
      <w:r>
        <w:rPr>
          <w:rFonts w:hint="eastAsia" w:ascii="宋体" w:hAnsi="宋体" w:eastAsia="宋体"/>
          <w:color w:val="auto"/>
          <w:highlight w:val="none"/>
        </w:rPr>
        <w:t>生产企业应按照 GB 17167 配备能源计量器具，并根据环保法律法规和标准要求配备污染物检测和在线监控设备</w:t>
      </w:r>
      <w:r>
        <w:rPr>
          <w:rFonts w:ascii="宋体" w:hAnsi="宋体" w:eastAsia="宋体"/>
          <w:color w:val="auto"/>
          <w:highlight w:val="none"/>
        </w:rPr>
        <w:t>(</w:t>
      </w:r>
      <w:r>
        <w:rPr>
          <w:rFonts w:hint="eastAsia" w:ascii="宋体" w:hAnsi="宋体" w:eastAsia="宋体"/>
          <w:color w:val="auto"/>
          <w:highlight w:val="none"/>
        </w:rPr>
        <w:t>如</w:t>
      </w:r>
      <w:r>
        <w:rPr>
          <w:rFonts w:ascii="宋体" w:hAnsi="宋体" w:eastAsia="宋体"/>
          <w:color w:val="auto"/>
          <w:highlight w:val="none"/>
        </w:rPr>
        <w:t>HJ/T353</w:t>
      </w:r>
      <w:r>
        <w:rPr>
          <w:rFonts w:hint="eastAsia" w:ascii="宋体" w:hAnsi="宋体" w:eastAsia="宋体"/>
          <w:color w:val="auto"/>
          <w:highlight w:val="none"/>
        </w:rPr>
        <w:t xml:space="preserve"> 水污染源在线监测系统安装技术规范</w:t>
      </w:r>
      <w:r>
        <w:rPr>
          <w:rFonts w:ascii="宋体" w:hAnsi="宋体" w:eastAsia="宋体"/>
          <w:color w:val="auto"/>
          <w:highlight w:val="none"/>
        </w:rPr>
        <w:t>)</w:t>
      </w:r>
      <w:r>
        <w:rPr>
          <w:rFonts w:hint="eastAsia" w:ascii="宋体" w:hAnsi="宋体" w:eastAsia="宋体"/>
          <w:color w:val="auto"/>
          <w:highlight w:val="none"/>
        </w:rPr>
        <w:t>。</w:t>
      </w:r>
    </w:p>
    <w:p>
      <w:pPr>
        <w:pStyle w:val="50"/>
        <w:spacing w:before="156" w:after="156"/>
        <w:ind w:left="0"/>
        <w:rPr>
          <w:rFonts w:hAnsi="宋体"/>
          <w:color w:val="auto"/>
          <w:highlight w:val="none"/>
        </w:rPr>
      </w:pPr>
      <w:r>
        <w:rPr>
          <w:rFonts w:hint="eastAsia" w:hAnsi="宋体"/>
          <w:color w:val="auto"/>
          <w:highlight w:val="none"/>
        </w:rPr>
        <w:t>评价指标要求</w:t>
      </w:r>
    </w:p>
    <w:p>
      <w:pPr>
        <w:pStyle w:val="26"/>
        <w:rPr>
          <w:color w:val="auto"/>
          <w:szCs w:val="21"/>
          <w:highlight w:val="none"/>
        </w:rPr>
      </w:pPr>
      <w:r>
        <w:rPr>
          <w:rFonts w:hint="eastAsia"/>
          <w:color w:val="auto"/>
          <w:szCs w:val="21"/>
          <w:highlight w:val="none"/>
        </w:rPr>
        <w:t>指标体系由一级指标和二级指标组成。一级指标包括资源属性指标、能源属性指标、环境属性指标、品质属性指标。</w:t>
      </w:r>
    </w:p>
    <w:p>
      <w:pPr>
        <w:pStyle w:val="26"/>
        <w:rPr>
          <w:color w:val="auto"/>
          <w:szCs w:val="21"/>
          <w:highlight w:val="none"/>
        </w:rPr>
      </w:pPr>
      <w:r>
        <w:rPr>
          <w:rFonts w:hint="eastAsia"/>
          <w:color w:val="auto"/>
          <w:szCs w:val="21"/>
          <w:highlight w:val="none"/>
        </w:rPr>
        <w:t>辣椒酱产品评价指标要求见表1</w:t>
      </w:r>
    </w:p>
    <w:p>
      <w:pPr>
        <w:pStyle w:val="26"/>
        <w:jc w:val="center"/>
        <w:rPr>
          <w:color w:val="auto"/>
          <w:highlight w:val="none"/>
        </w:rPr>
      </w:pPr>
      <w:r>
        <w:rPr>
          <w:rFonts w:hint="eastAsia"/>
          <w:color w:val="auto"/>
          <w:highlight w:val="none"/>
        </w:rPr>
        <w:t>表1 辣椒酱产品评价指标</w:t>
      </w:r>
    </w:p>
    <w:tbl>
      <w:tblPr>
        <w:tblStyle w:val="36"/>
        <w:tblW w:w="915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2289"/>
        <w:gridCol w:w="670"/>
        <w:gridCol w:w="1230"/>
        <w:gridCol w:w="294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一级指标</w:t>
            </w:r>
          </w:p>
        </w:tc>
        <w:tc>
          <w:tcPr>
            <w:tcW w:w="2289" w:type="dxa"/>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二级指标</w:t>
            </w:r>
          </w:p>
        </w:tc>
        <w:tc>
          <w:tcPr>
            <w:tcW w:w="670" w:type="dxa"/>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单位</w:t>
            </w:r>
          </w:p>
        </w:tc>
        <w:tc>
          <w:tcPr>
            <w:tcW w:w="1230" w:type="dxa"/>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基准值</w:t>
            </w:r>
          </w:p>
        </w:tc>
        <w:tc>
          <w:tcPr>
            <w:tcW w:w="2940" w:type="dxa"/>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判定依据</w:t>
            </w:r>
          </w:p>
        </w:tc>
        <w:tc>
          <w:tcPr>
            <w:tcW w:w="1070" w:type="dxa"/>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restart"/>
            <w:vAlign w:val="center"/>
          </w:tcPr>
          <w:p>
            <w:pPr>
              <w:jc w:val="center"/>
              <w:rPr>
                <w:rFonts w:ascii="宋体" w:hAnsi="宋体" w:cs="宋体"/>
                <w:b/>
                <w:color w:val="auto"/>
                <w:kern w:val="0"/>
                <w:sz w:val="18"/>
                <w:szCs w:val="18"/>
                <w:highlight w:val="none"/>
              </w:rPr>
            </w:pPr>
            <w:r>
              <w:rPr>
                <w:rFonts w:ascii="宋体" w:hAnsi="宋体" w:cs="宋体"/>
                <w:color w:val="auto"/>
                <w:kern w:val="0"/>
                <w:sz w:val="18"/>
                <w:szCs w:val="18"/>
                <w:highlight w:val="none"/>
              </w:rPr>
              <w:t>资源属性</w:t>
            </w:r>
          </w:p>
        </w:tc>
        <w:tc>
          <w:tcPr>
            <w:tcW w:w="2289" w:type="dxa"/>
            <w:vMerge w:val="restart"/>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辣椒</w:t>
            </w:r>
          </w:p>
        </w:tc>
        <w:tc>
          <w:tcPr>
            <w:tcW w:w="67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30" w:type="dxa"/>
          </w:tcPr>
          <w:p>
            <w:pPr>
              <w:rPr>
                <w:color w:val="auto"/>
                <w:sz w:val="18"/>
                <w:szCs w:val="18"/>
                <w:highlight w:val="none"/>
              </w:rPr>
            </w:pPr>
            <w:r>
              <w:rPr>
                <w:rFonts w:hint="eastAsia"/>
                <w:color w:val="auto"/>
                <w:sz w:val="18"/>
                <w:szCs w:val="18"/>
                <w:highlight w:val="none"/>
              </w:rPr>
              <w:t>新鲜辣椒经自然发酵</w:t>
            </w:r>
          </w:p>
        </w:tc>
        <w:tc>
          <w:tcPr>
            <w:tcW w:w="2940" w:type="dxa"/>
            <w:vAlign w:val="center"/>
          </w:tcPr>
          <w:p>
            <w:pPr>
              <w:widowControl/>
              <w:ind w:left="180" w:hanging="180" w:hangingChars="100"/>
              <w:rPr>
                <w:rFonts w:ascii="宋体" w:hAnsi="宋体" w:cs="宋体"/>
                <w:color w:val="auto"/>
                <w:kern w:val="0"/>
                <w:sz w:val="18"/>
                <w:szCs w:val="18"/>
                <w:highlight w:val="none"/>
              </w:rPr>
            </w:pPr>
            <w:r>
              <w:rPr>
                <w:rFonts w:ascii="宋体" w:hAnsi="宋体" w:eastAsia="宋体" w:cs="宋体"/>
                <w:color w:val="auto"/>
                <w:kern w:val="0"/>
                <w:sz w:val="18"/>
                <w:szCs w:val="18"/>
                <w:highlight w:val="none"/>
              </w:rPr>
              <w:t>依据GB 2762、 GB 2763、</w:t>
            </w:r>
            <w:r>
              <w:rPr>
                <w:rFonts w:hint="eastAsia" w:ascii="宋体" w:hAnsi="宋体" w:eastAsia="宋体" w:cs="宋体"/>
                <w:color w:val="auto"/>
                <w:kern w:val="0"/>
                <w:sz w:val="18"/>
                <w:szCs w:val="18"/>
                <w:highlight w:val="none"/>
              </w:rPr>
              <w:t>G</w:t>
            </w:r>
            <w:r>
              <w:rPr>
                <w:rFonts w:ascii="宋体" w:hAnsi="宋体" w:eastAsia="宋体" w:cs="宋体"/>
                <w:color w:val="auto"/>
                <w:kern w:val="0"/>
                <w:sz w:val="18"/>
                <w:szCs w:val="18"/>
                <w:highlight w:val="none"/>
              </w:rPr>
              <w:t>B 2714进行判定，并提供相关检测报告。</w:t>
            </w:r>
          </w:p>
        </w:tc>
        <w:tc>
          <w:tcPr>
            <w:tcW w:w="1070" w:type="dxa"/>
          </w:tcPr>
          <w:p>
            <w:pPr>
              <w:widowControl/>
              <w:ind w:left="180" w:hanging="180" w:hangingChars="100"/>
              <w:rPr>
                <w:rFonts w:ascii="宋体" w:hAnsi="宋体" w:eastAsia="宋体" w:cs="宋体"/>
                <w:color w:val="auto"/>
                <w:kern w:val="0"/>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jc w:val="center"/>
              <w:rPr>
                <w:rFonts w:ascii="宋体" w:hAnsi="宋体" w:cs="宋体"/>
                <w:b/>
                <w:color w:val="auto"/>
                <w:kern w:val="0"/>
                <w:sz w:val="18"/>
                <w:szCs w:val="18"/>
                <w:highlight w:val="none"/>
              </w:rPr>
            </w:pPr>
          </w:p>
        </w:tc>
        <w:tc>
          <w:tcPr>
            <w:tcW w:w="2289" w:type="dxa"/>
            <w:vMerge w:val="continue"/>
            <w:vAlign w:val="center"/>
          </w:tcPr>
          <w:p>
            <w:pPr>
              <w:widowControl/>
              <w:jc w:val="center"/>
              <w:rPr>
                <w:rFonts w:ascii="宋体" w:hAnsi="宋体" w:cs="宋体"/>
                <w:b/>
                <w:color w:val="auto"/>
                <w:kern w:val="0"/>
                <w:sz w:val="18"/>
                <w:szCs w:val="18"/>
                <w:highlight w:val="none"/>
              </w:rPr>
            </w:pPr>
          </w:p>
        </w:tc>
        <w:tc>
          <w:tcPr>
            <w:tcW w:w="67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30" w:type="dxa"/>
          </w:tcPr>
          <w:p>
            <w:pPr>
              <w:rPr>
                <w:color w:val="auto"/>
                <w:sz w:val="18"/>
                <w:szCs w:val="18"/>
                <w:highlight w:val="none"/>
              </w:rPr>
            </w:pPr>
            <w:r>
              <w:rPr>
                <w:rFonts w:hint="eastAsia"/>
                <w:color w:val="auto"/>
                <w:sz w:val="18"/>
                <w:szCs w:val="18"/>
                <w:highlight w:val="none"/>
              </w:rPr>
              <w:t>农残要求</w:t>
            </w:r>
          </w:p>
        </w:tc>
        <w:tc>
          <w:tcPr>
            <w:tcW w:w="2940" w:type="dxa"/>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没</w:t>
            </w:r>
            <w:r>
              <w:rPr>
                <w:rFonts w:ascii="宋体" w:hAnsi="宋体" w:cs="宋体"/>
                <w:color w:val="auto"/>
                <w:kern w:val="0"/>
                <w:sz w:val="18"/>
                <w:szCs w:val="18"/>
                <w:highlight w:val="none"/>
              </w:rPr>
              <w:t>有国标</w:t>
            </w:r>
            <w:r>
              <w:rPr>
                <w:rFonts w:hint="eastAsia" w:ascii="宋体" w:hAnsi="宋体" w:cs="宋体"/>
                <w:color w:val="auto"/>
                <w:kern w:val="0"/>
                <w:sz w:val="18"/>
                <w:szCs w:val="18"/>
                <w:highlight w:val="none"/>
              </w:rPr>
              <w:t>限</w:t>
            </w:r>
            <w:r>
              <w:rPr>
                <w:rFonts w:ascii="宋体" w:hAnsi="宋体" w:cs="宋体"/>
                <w:color w:val="auto"/>
                <w:kern w:val="0"/>
                <w:sz w:val="18"/>
                <w:szCs w:val="18"/>
                <w:highlight w:val="none"/>
              </w:rPr>
              <w:t>量要求的</w:t>
            </w:r>
            <w:r>
              <w:rPr>
                <w:rFonts w:hint="eastAsia" w:ascii="宋体" w:hAnsi="宋体" w:cs="宋体"/>
                <w:color w:val="auto"/>
                <w:kern w:val="0"/>
                <w:sz w:val="18"/>
                <w:szCs w:val="18"/>
                <w:highlight w:val="none"/>
              </w:rPr>
              <w:t>农药，农药残留一</w:t>
            </w:r>
            <w:r>
              <w:rPr>
                <w:rFonts w:ascii="宋体" w:hAnsi="宋体" w:cs="宋体"/>
                <w:color w:val="auto"/>
                <w:kern w:val="0"/>
                <w:sz w:val="18"/>
                <w:szCs w:val="18"/>
                <w:highlight w:val="none"/>
              </w:rPr>
              <w:t>律按</w:t>
            </w:r>
            <w:r>
              <w:rPr>
                <w:rFonts w:hint="eastAsia" w:ascii="宋体" w:hAnsi="宋体" w:cs="宋体"/>
                <w:color w:val="auto"/>
                <w:kern w:val="0"/>
                <w:sz w:val="18"/>
                <w:szCs w:val="18"/>
                <w:highlight w:val="none"/>
              </w:rPr>
              <w:t>≤0</w:t>
            </w:r>
            <w:r>
              <w:rPr>
                <w:rFonts w:ascii="宋体" w:hAnsi="宋体" w:cs="宋体"/>
                <w:color w:val="auto"/>
                <w:kern w:val="0"/>
                <w:sz w:val="18"/>
                <w:szCs w:val="18"/>
                <w:highlight w:val="none"/>
              </w:rPr>
              <w:t>.01mg/kg</w:t>
            </w:r>
            <w:r>
              <w:rPr>
                <w:rFonts w:hint="eastAsia" w:ascii="宋体" w:hAnsi="宋体" w:cs="宋体"/>
                <w:color w:val="auto"/>
                <w:kern w:val="0"/>
                <w:sz w:val="18"/>
                <w:szCs w:val="18"/>
                <w:highlight w:val="none"/>
              </w:rPr>
              <w:t xml:space="preserve"> 要</w:t>
            </w:r>
            <w:r>
              <w:rPr>
                <w:rFonts w:ascii="宋体" w:hAnsi="宋体" w:cs="宋体"/>
                <w:color w:val="auto"/>
                <w:kern w:val="0"/>
                <w:sz w:val="18"/>
                <w:szCs w:val="18"/>
                <w:highlight w:val="none"/>
              </w:rPr>
              <w:t>求，并提供相关检测报告。</w:t>
            </w:r>
          </w:p>
        </w:tc>
        <w:tc>
          <w:tcPr>
            <w:tcW w:w="1070" w:type="dxa"/>
          </w:tcPr>
          <w:p>
            <w:pPr>
              <w:widowControl/>
              <w:rPr>
                <w:rFonts w:ascii="宋体" w:hAnsi="宋体" w:cs="宋体"/>
                <w:color w:val="auto"/>
                <w:kern w:val="0"/>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jc w:val="center"/>
              <w:rPr>
                <w:rFonts w:ascii="宋体" w:hAnsi="宋体" w:cs="宋体"/>
                <w:b/>
                <w:color w:val="auto"/>
                <w:kern w:val="0"/>
                <w:sz w:val="18"/>
                <w:szCs w:val="18"/>
                <w:highlight w:val="none"/>
              </w:rPr>
            </w:pPr>
          </w:p>
        </w:tc>
        <w:tc>
          <w:tcPr>
            <w:tcW w:w="2289" w:type="dxa"/>
            <w:vMerge w:val="continue"/>
            <w:vAlign w:val="center"/>
          </w:tcPr>
          <w:p>
            <w:pPr>
              <w:widowControl/>
              <w:jc w:val="center"/>
              <w:rPr>
                <w:rFonts w:ascii="宋体" w:hAnsi="宋体" w:cs="宋体"/>
                <w:b/>
                <w:color w:val="auto"/>
                <w:kern w:val="0"/>
                <w:sz w:val="18"/>
                <w:szCs w:val="18"/>
                <w:highlight w:val="none"/>
              </w:rPr>
            </w:pPr>
          </w:p>
        </w:tc>
        <w:tc>
          <w:tcPr>
            <w:tcW w:w="67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30" w:type="dxa"/>
          </w:tcPr>
          <w:p>
            <w:pPr>
              <w:rPr>
                <w:color w:val="auto"/>
                <w:sz w:val="18"/>
                <w:szCs w:val="18"/>
                <w:highlight w:val="none"/>
              </w:rPr>
            </w:pPr>
            <w:r>
              <w:rPr>
                <w:rFonts w:hint="eastAsia"/>
                <w:color w:val="auto"/>
                <w:sz w:val="18"/>
                <w:szCs w:val="18"/>
                <w:highlight w:val="none"/>
              </w:rPr>
              <w:t>辣椒在GAP基地种植</w:t>
            </w:r>
          </w:p>
        </w:tc>
        <w:tc>
          <w:tcPr>
            <w:tcW w:w="2940" w:type="dxa"/>
            <w:vAlign w:val="center"/>
          </w:tcPr>
          <w:p>
            <w:pPr>
              <w:widowControl/>
              <w:rPr>
                <w:rFonts w:ascii="宋体" w:hAnsi="宋体" w:cs="宋体"/>
                <w:color w:val="auto"/>
                <w:kern w:val="0"/>
                <w:sz w:val="18"/>
                <w:szCs w:val="18"/>
                <w:highlight w:val="none"/>
              </w:rPr>
            </w:pPr>
            <w:r>
              <w:rPr>
                <w:rFonts w:hint="eastAsia" w:ascii="宋体" w:hAnsi="宋体" w:eastAsia="宋体"/>
                <w:color w:val="auto"/>
                <w:sz w:val="18"/>
                <w:szCs w:val="18"/>
                <w:highlight w:val="none"/>
              </w:rPr>
              <w:t>提供相关证明材料（</w:t>
            </w:r>
            <w:r>
              <w:rPr>
                <w:rFonts w:ascii="宋体" w:hAnsi="宋体" w:eastAsia="宋体"/>
                <w:color w:val="auto"/>
                <w:sz w:val="18"/>
                <w:szCs w:val="18"/>
                <w:highlight w:val="none"/>
              </w:rPr>
              <w:t>提供</w:t>
            </w:r>
            <w:r>
              <w:rPr>
                <w:rFonts w:hint="eastAsia" w:ascii="宋体" w:hAnsi="宋体" w:eastAsia="宋体"/>
                <w:color w:val="auto"/>
                <w:sz w:val="18"/>
                <w:szCs w:val="18"/>
                <w:highlight w:val="none"/>
              </w:rPr>
              <w:t>G</w:t>
            </w:r>
            <w:r>
              <w:rPr>
                <w:rFonts w:ascii="宋体" w:hAnsi="宋体" w:eastAsia="宋体"/>
                <w:color w:val="auto"/>
                <w:sz w:val="18"/>
                <w:szCs w:val="18"/>
                <w:highlight w:val="none"/>
              </w:rPr>
              <w:t>AP证书）。</w:t>
            </w:r>
          </w:p>
        </w:tc>
        <w:tc>
          <w:tcPr>
            <w:tcW w:w="1070" w:type="dxa"/>
          </w:tcPr>
          <w:p>
            <w:pPr>
              <w:widowControl/>
              <w:rPr>
                <w:rFonts w:ascii="宋体" w:hAnsi="宋体" w:eastAsia="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widowControl/>
              <w:jc w:val="center"/>
              <w:rPr>
                <w:rFonts w:ascii="宋体" w:hAnsi="宋体" w:cs="宋体"/>
                <w:color w:val="auto"/>
                <w:kern w:val="0"/>
                <w:sz w:val="18"/>
                <w:szCs w:val="18"/>
                <w:highlight w:val="none"/>
              </w:rPr>
            </w:pPr>
          </w:p>
        </w:tc>
        <w:tc>
          <w:tcPr>
            <w:tcW w:w="2289" w:type="dxa"/>
            <w:vAlign w:val="center"/>
          </w:tcPr>
          <w:p>
            <w:pPr>
              <w:widowControl/>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取水量   </w:t>
            </w:r>
            <w:r>
              <w:rPr>
                <w:rFonts w:hint="eastAsia" w:ascii="宋体" w:hAnsi="宋体" w:eastAsia="宋体" w:cs="宋体"/>
                <w:color w:val="auto"/>
                <w:sz w:val="18"/>
                <w:szCs w:val="18"/>
                <w:highlight w:val="none"/>
              </w:rPr>
              <w:t>≤</w:t>
            </w:r>
          </w:p>
        </w:tc>
        <w:tc>
          <w:tcPr>
            <w:tcW w:w="670" w:type="dxa"/>
            <w:vAlign w:val="center"/>
          </w:tcPr>
          <w:p>
            <w:pPr>
              <w:widowControl/>
              <w:jc w:val="center"/>
              <w:rPr>
                <w:rFonts w:ascii="宋体" w:hAnsi="宋体" w:cs="宋体"/>
                <w:color w:val="auto"/>
                <w:kern w:val="0"/>
                <w:sz w:val="18"/>
                <w:szCs w:val="18"/>
                <w:highlight w:val="none"/>
              </w:rPr>
            </w:pPr>
            <w:r>
              <w:rPr>
                <w:color w:val="auto"/>
                <w:sz w:val="18"/>
                <w:szCs w:val="18"/>
                <w:highlight w:val="none"/>
              </w:rPr>
              <w:t>m</w:t>
            </w:r>
            <w:r>
              <w:rPr>
                <w:color w:val="auto"/>
                <w:sz w:val="18"/>
                <w:szCs w:val="18"/>
                <w:highlight w:val="none"/>
                <w:vertAlign w:val="superscript"/>
              </w:rPr>
              <w:t>3</w:t>
            </w:r>
            <w:r>
              <w:rPr>
                <w:color w:val="auto"/>
                <w:sz w:val="18"/>
                <w:szCs w:val="18"/>
                <w:highlight w:val="none"/>
              </w:rPr>
              <w:t>/t</w:t>
            </w:r>
          </w:p>
        </w:tc>
        <w:tc>
          <w:tcPr>
            <w:tcW w:w="1230" w:type="dxa"/>
            <w:vAlign w:val="center"/>
          </w:tcPr>
          <w:p>
            <w:pPr>
              <w:widowControl/>
              <w:jc w:val="left"/>
              <w:rPr>
                <w:rFonts w:ascii="宋体" w:hAnsi="宋体" w:cs="宋体"/>
                <w:color w:val="auto"/>
                <w:kern w:val="0"/>
                <w:sz w:val="18"/>
                <w:szCs w:val="18"/>
                <w:highlight w:val="none"/>
              </w:rPr>
            </w:pPr>
            <w:r>
              <w:rPr>
                <w:rFonts w:hint="eastAsia"/>
                <w:color w:val="auto"/>
                <w:sz w:val="18"/>
                <w:szCs w:val="18"/>
                <w:highlight w:val="none"/>
              </w:rPr>
              <w:t>5.50</w:t>
            </w:r>
          </w:p>
        </w:tc>
        <w:tc>
          <w:tcPr>
            <w:tcW w:w="2940" w:type="dxa"/>
            <w:vAlign w:val="center"/>
          </w:tcPr>
          <w:p>
            <w:pPr>
              <w:widowControl/>
              <w:rPr>
                <w:rFonts w:ascii="宋体" w:hAnsi="宋体" w:cs="宋体"/>
                <w:color w:val="auto"/>
                <w:kern w:val="0"/>
                <w:sz w:val="18"/>
                <w:szCs w:val="18"/>
                <w:highlight w:val="none"/>
              </w:rPr>
            </w:pPr>
            <w:r>
              <w:rPr>
                <w:rFonts w:hint="eastAsia" w:ascii="宋体" w:hAnsi="宋体" w:eastAsia="宋体"/>
                <w:color w:val="auto"/>
                <w:sz w:val="18"/>
                <w:szCs w:val="18"/>
                <w:highlight w:val="none"/>
              </w:rPr>
              <w:t>依据本标准附录A.1计算，并提供相关证明材料。</w:t>
            </w:r>
          </w:p>
        </w:tc>
        <w:tc>
          <w:tcPr>
            <w:tcW w:w="1070" w:type="dxa"/>
          </w:tcPr>
          <w:p>
            <w:pPr>
              <w:widowControl/>
              <w:rPr>
                <w:rFonts w:ascii="宋体" w:hAnsi="宋体" w:eastAsia="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widowControl/>
              <w:jc w:val="center"/>
              <w:rPr>
                <w:rFonts w:ascii="宋体" w:hAnsi="宋体" w:cs="宋体"/>
                <w:color w:val="auto"/>
                <w:kern w:val="0"/>
                <w:sz w:val="18"/>
                <w:szCs w:val="18"/>
                <w:highlight w:val="none"/>
              </w:rPr>
            </w:pPr>
          </w:p>
        </w:tc>
        <w:tc>
          <w:tcPr>
            <w:tcW w:w="2289" w:type="dxa"/>
            <w:vAlign w:val="center"/>
          </w:tcPr>
          <w:p>
            <w:pPr>
              <w:widowControl/>
              <w:jc w:val="distribute"/>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w:t>
            </w:r>
            <w:r>
              <w:rPr>
                <w:rFonts w:ascii="宋体" w:hAnsi="宋体" w:cs="宋体"/>
                <w:color w:val="auto"/>
                <w:kern w:val="0"/>
                <w:sz w:val="18"/>
                <w:szCs w:val="18"/>
                <w:highlight w:val="none"/>
              </w:rPr>
              <w:t>水回用率</w:t>
            </w:r>
            <w:r>
              <w:rPr>
                <w:rFonts w:hint="eastAsia" w:ascii="宋体" w:hAnsi="宋体" w:cs="宋体"/>
                <w:color w:val="auto"/>
                <w:kern w:val="0"/>
                <w:sz w:val="18"/>
                <w:szCs w:val="18"/>
                <w:highlight w:val="none"/>
              </w:rPr>
              <w:t xml:space="preserve">     </w:t>
            </w:r>
            <w:r>
              <w:rPr>
                <w:rFonts w:hint="eastAsia" w:ascii="宋体" w:hAnsi="宋体" w:eastAsia="宋体" w:cs="宋体"/>
                <w:color w:val="auto"/>
                <w:sz w:val="18"/>
                <w:szCs w:val="18"/>
                <w:highlight w:val="none"/>
              </w:rPr>
              <w:t>≥</w:t>
            </w:r>
          </w:p>
        </w:tc>
        <w:tc>
          <w:tcPr>
            <w:tcW w:w="670" w:type="dxa"/>
            <w:vAlign w:val="center"/>
          </w:tcPr>
          <w:p>
            <w:pPr>
              <w:widowControl/>
              <w:jc w:val="center"/>
              <w:rPr>
                <w:rFonts w:ascii="宋体" w:hAnsi="宋体" w:cs="宋体"/>
                <w:color w:val="auto"/>
                <w:kern w:val="0"/>
                <w:sz w:val="18"/>
                <w:szCs w:val="18"/>
                <w:highlight w:val="none"/>
              </w:rPr>
            </w:pPr>
            <w:r>
              <w:rPr>
                <w:color w:val="auto"/>
                <w:sz w:val="18"/>
                <w:szCs w:val="18"/>
                <w:highlight w:val="none"/>
              </w:rPr>
              <w:t>%</w:t>
            </w:r>
          </w:p>
        </w:tc>
        <w:tc>
          <w:tcPr>
            <w:tcW w:w="1230" w:type="dxa"/>
            <w:tcBorders>
              <w:top w:val="single" w:color="auto" w:sz="4" w:space="0"/>
            </w:tcBorders>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color w:val="auto"/>
                <w:sz w:val="18"/>
                <w:szCs w:val="18"/>
                <w:highlight w:val="none"/>
              </w:rPr>
              <w:t>15.0</w:t>
            </w:r>
          </w:p>
        </w:tc>
        <w:tc>
          <w:tcPr>
            <w:tcW w:w="2940" w:type="dxa"/>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hint="eastAsia" w:ascii="宋体" w:hAnsi="宋体" w:eastAsia="宋体"/>
                <w:color w:val="auto"/>
                <w:sz w:val="18"/>
                <w:szCs w:val="18"/>
                <w:highlight w:val="none"/>
              </w:rPr>
              <w:t>依据本标准附录A.</w:t>
            </w:r>
            <w:r>
              <w:rPr>
                <w:rFonts w:ascii="宋体" w:hAnsi="宋体" w:eastAsia="宋体"/>
                <w:color w:val="auto"/>
                <w:sz w:val="18"/>
                <w:szCs w:val="18"/>
                <w:highlight w:val="none"/>
              </w:rPr>
              <w:t>2</w:t>
            </w:r>
            <w:r>
              <w:rPr>
                <w:rFonts w:hint="eastAsia" w:ascii="宋体" w:hAnsi="宋体" w:eastAsia="宋体"/>
                <w:color w:val="auto"/>
                <w:sz w:val="18"/>
                <w:szCs w:val="18"/>
                <w:highlight w:val="none"/>
              </w:rPr>
              <w:t>计算，并提供相关证明材料。</w:t>
            </w:r>
          </w:p>
        </w:tc>
        <w:tc>
          <w:tcPr>
            <w:tcW w:w="1070" w:type="dxa"/>
          </w:tcPr>
          <w:p>
            <w:pPr>
              <w:widowControl/>
              <w:spacing w:before="100" w:beforeAutospacing="1" w:after="100" w:afterAutospacing="1" w:line="90" w:lineRule="atLeast"/>
              <w:jc w:val="left"/>
              <w:rPr>
                <w:rFonts w:ascii="宋体" w:hAnsi="宋体" w:eastAsia="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widowControl/>
              <w:jc w:val="center"/>
              <w:rPr>
                <w:rFonts w:ascii="宋体" w:hAnsi="宋体" w:cs="宋体"/>
                <w:color w:val="auto"/>
                <w:kern w:val="0"/>
                <w:sz w:val="18"/>
                <w:szCs w:val="18"/>
                <w:highlight w:val="none"/>
              </w:rPr>
            </w:pPr>
          </w:p>
        </w:tc>
        <w:tc>
          <w:tcPr>
            <w:tcW w:w="2289" w:type="dxa"/>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冷却水重复利用率</w:t>
            </w:r>
            <w:r>
              <w:rPr>
                <w:rFonts w:hint="eastAsia" w:ascii="宋体" w:hAnsi="宋体" w:eastAsia="宋体" w:cs="宋体"/>
                <w:color w:val="auto"/>
                <w:kern w:val="0"/>
                <w:sz w:val="18"/>
                <w:szCs w:val="18"/>
                <w:highlight w:val="none"/>
              </w:rPr>
              <w:t xml:space="preserve">     </w:t>
            </w:r>
            <w:r>
              <w:rPr>
                <w:rFonts w:hint="eastAsia" w:ascii="宋体" w:hAnsi="宋体" w:eastAsia="宋体" w:cs="宋体"/>
                <w:color w:val="auto"/>
                <w:sz w:val="18"/>
                <w:szCs w:val="18"/>
                <w:highlight w:val="none"/>
              </w:rPr>
              <w:t>≥</w:t>
            </w:r>
          </w:p>
        </w:tc>
        <w:tc>
          <w:tcPr>
            <w:tcW w:w="670" w:type="dxa"/>
            <w:vAlign w:val="center"/>
          </w:tcPr>
          <w:p>
            <w:pPr>
              <w:widowControl/>
              <w:spacing w:before="100" w:beforeAutospacing="1" w:after="100" w:afterAutospacing="1" w:line="90" w:lineRule="atLeast"/>
              <w:jc w:val="center"/>
              <w:rPr>
                <w:rFonts w:ascii="宋体" w:hAnsi="宋体" w:eastAsia="宋体" w:cs="宋体"/>
                <w:color w:val="auto"/>
                <w:kern w:val="0"/>
                <w:sz w:val="18"/>
                <w:szCs w:val="18"/>
                <w:highlight w:val="none"/>
              </w:rPr>
            </w:pPr>
            <w:r>
              <w:rPr>
                <w:color w:val="auto"/>
                <w:sz w:val="18"/>
                <w:szCs w:val="18"/>
                <w:highlight w:val="none"/>
              </w:rPr>
              <w:t>%</w:t>
            </w:r>
          </w:p>
        </w:tc>
        <w:tc>
          <w:tcPr>
            <w:tcW w:w="1230" w:type="dxa"/>
            <w:tcBorders>
              <w:top w:val="single" w:color="auto" w:sz="4" w:space="0"/>
            </w:tcBorders>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color w:val="auto"/>
                <w:sz w:val="18"/>
                <w:szCs w:val="18"/>
                <w:highlight w:val="none"/>
              </w:rPr>
              <w:t>85</w:t>
            </w:r>
            <w:r>
              <w:rPr>
                <w:rFonts w:hint="eastAsia"/>
                <w:color w:val="auto"/>
                <w:sz w:val="18"/>
                <w:szCs w:val="18"/>
                <w:highlight w:val="none"/>
              </w:rPr>
              <w:t>.00</w:t>
            </w:r>
          </w:p>
        </w:tc>
        <w:tc>
          <w:tcPr>
            <w:tcW w:w="2940" w:type="dxa"/>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hint="eastAsia" w:ascii="宋体" w:hAnsi="宋体" w:eastAsia="宋体"/>
                <w:color w:val="auto"/>
                <w:sz w:val="18"/>
                <w:szCs w:val="18"/>
                <w:highlight w:val="none"/>
              </w:rPr>
              <w:t>依据本标准附录A.</w:t>
            </w:r>
            <w:r>
              <w:rPr>
                <w:rFonts w:ascii="宋体" w:hAnsi="宋体" w:eastAsia="宋体"/>
                <w:color w:val="auto"/>
                <w:sz w:val="18"/>
                <w:szCs w:val="18"/>
                <w:highlight w:val="none"/>
              </w:rPr>
              <w:t>3</w:t>
            </w:r>
            <w:r>
              <w:rPr>
                <w:rFonts w:hint="eastAsia" w:ascii="宋体" w:hAnsi="宋体" w:eastAsia="宋体"/>
                <w:color w:val="auto"/>
                <w:sz w:val="18"/>
                <w:szCs w:val="18"/>
                <w:highlight w:val="none"/>
              </w:rPr>
              <w:t>计算，并提供相关证明材料。</w:t>
            </w:r>
          </w:p>
        </w:tc>
        <w:tc>
          <w:tcPr>
            <w:tcW w:w="1070" w:type="dxa"/>
          </w:tcPr>
          <w:p>
            <w:pPr>
              <w:widowControl/>
              <w:spacing w:before="100" w:beforeAutospacing="1" w:after="100" w:afterAutospacing="1" w:line="90" w:lineRule="atLeast"/>
              <w:jc w:val="left"/>
              <w:rPr>
                <w:rFonts w:ascii="宋体" w:hAnsi="宋体" w:eastAsia="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widowControl/>
              <w:jc w:val="center"/>
              <w:rPr>
                <w:rFonts w:ascii="宋体" w:hAnsi="宋体" w:cs="宋体"/>
                <w:color w:val="auto"/>
                <w:kern w:val="0"/>
                <w:sz w:val="18"/>
                <w:szCs w:val="18"/>
                <w:highlight w:val="none"/>
              </w:rPr>
            </w:pPr>
          </w:p>
        </w:tc>
        <w:tc>
          <w:tcPr>
            <w:tcW w:w="2289" w:type="dxa"/>
          </w:tcPr>
          <w:p>
            <w:pPr>
              <w:rPr>
                <w:color w:val="auto"/>
                <w:sz w:val="18"/>
                <w:szCs w:val="18"/>
                <w:highlight w:val="none"/>
              </w:rPr>
            </w:pPr>
            <w:r>
              <w:rPr>
                <w:rFonts w:hint="eastAsia"/>
                <w:color w:val="auto"/>
                <w:sz w:val="18"/>
                <w:szCs w:val="18"/>
                <w:highlight w:val="none"/>
              </w:rPr>
              <w:t xml:space="preserve">产品包装综合损耗率   </w:t>
            </w:r>
            <w:r>
              <w:rPr>
                <w:rFonts w:hint="eastAsia" w:ascii="宋体" w:hAnsi="宋体" w:eastAsia="宋体" w:cs="宋体"/>
                <w:color w:val="auto"/>
                <w:sz w:val="18"/>
                <w:szCs w:val="18"/>
                <w:highlight w:val="none"/>
              </w:rPr>
              <w:t>≤</w:t>
            </w:r>
          </w:p>
        </w:tc>
        <w:tc>
          <w:tcPr>
            <w:tcW w:w="670" w:type="dxa"/>
            <w:vAlign w:val="center"/>
          </w:tcPr>
          <w:p>
            <w:pPr>
              <w:widowControl/>
              <w:spacing w:before="100" w:beforeAutospacing="1" w:after="100" w:afterAutospacing="1" w:line="90" w:lineRule="atLeas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230" w:type="dxa"/>
            <w:vAlign w:val="center"/>
          </w:tcPr>
          <w:p>
            <w:pPr>
              <w:spacing w:before="100" w:beforeAutospacing="1" w:after="100" w:afterAutospacing="1" w:line="90" w:lineRule="atLeast"/>
              <w:jc w:val="left"/>
              <w:rPr>
                <w:rFonts w:ascii="宋体" w:hAnsi="宋体" w:eastAsia="宋体" w:cs="宋体"/>
                <w:color w:val="auto"/>
                <w:kern w:val="0"/>
                <w:sz w:val="18"/>
                <w:szCs w:val="18"/>
                <w:highlight w:val="none"/>
              </w:rPr>
            </w:pPr>
            <w:r>
              <w:rPr>
                <w:color w:val="auto"/>
                <w:sz w:val="18"/>
                <w:szCs w:val="18"/>
                <w:highlight w:val="none"/>
              </w:rPr>
              <w:t>0.3</w:t>
            </w:r>
          </w:p>
        </w:tc>
        <w:tc>
          <w:tcPr>
            <w:tcW w:w="2940" w:type="dxa"/>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hint="eastAsia" w:ascii="宋体" w:hAnsi="宋体" w:eastAsia="宋体"/>
                <w:color w:val="auto"/>
                <w:sz w:val="18"/>
                <w:szCs w:val="18"/>
                <w:highlight w:val="none"/>
              </w:rPr>
              <w:t>依据本标准附录A.</w:t>
            </w:r>
            <w:r>
              <w:rPr>
                <w:rFonts w:ascii="宋体" w:hAnsi="宋体" w:eastAsia="宋体"/>
                <w:color w:val="auto"/>
                <w:sz w:val="18"/>
                <w:szCs w:val="18"/>
                <w:highlight w:val="none"/>
              </w:rPr>
              <w:t>4</w:t>
            </w:r>
            <w:r>
              <w:rPr>
                <w:rFonts w:hint="eastAsia" w:ascii="宋体" w:hAnsi="宋体" w:eastAsia="宋体"/>
                <w:color w:val="auto"/>
                <w:sz w:val="18"/>
                <w:szCs w:val="18"/>
                <w:highlight w:val="none"/>
              </w:rPr>
              <w:t>计算，并提供相关证明材料。</w:t>
            </w:r>
          </w:p>
        </w:tc>
        <w:tc>
          <w:tcPr>
            <w:tcW w:w="1070" w:type="dxa"/>
          </w:tcPr>
          <w:p>
            <w:pPr>
              <w:widowControl/>
              <w:spacing w:before="100" w:beforeAutospacing="1" w:after="100" w:afterAutospacing="1" w:line="90" w:lineRule="atLeast"/>
              <w:jc w:val="left"/>
              <w:rPr>
                <w:rFonts w:ascii="宋体" w:hAnsi="宋体" w:eastAsia="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widowControl/>
              <w:jc w:val="center"/>
              <w:rPr>
                <w:rFonts w:ascii="宋体" w:hAnsi="宋体" w:cs="宋体"/>
                <w:color w:val="auto"/>
                <w:kern w:val="0"/>
                <w:sz w:val="18"/>
                <w:szCs w:val="18"/>
                <w:highlight w:val="none"/>
              </w:rPr>
            </w:pPr>
          </w:p>
        </w:tc>
        <w:tc>
          <w:tcPr>
            <w:tcW w:w="2289" w:type="dxa"/>
            <w:vMerge w:val="restart"/>
          </w:tcPr>
          <w:p>
            <w:pPr>
              <w:rPr>
                <w:color w:val="auto"/>
                <w:sz w:val="18"/>
                <w:szCs w:val="18"/>
                <w:highlight w:val="none"/>
              </w:rPr>
            </w:pPr>
            <w:r>
              <w:rPr>
                <w:rFonts w:hint="eastAsia"/>
                <w:color w:val="auto"/>
                <w:sz w:val="18"/>
                <w:szCs w:val="18"/>
                <w:highlight w:val="none"/>
              </w:rPr>
              <w:t>产品包装的可循环材料占比</w:t>
            </w:r>
          </w:p>
        </w:tc>
        <w:tc>
          <w:tcPr>
            <w:tcW w:w="670" w:type="dxa"/>
            <w:vMerge w:val="restart"/>
            <w:vAlign w:val="center"/>
          </w:tcPr>
          <w:p>
            <w:pPr>
              <w:widowControl/>
              <w:spacing w:before="100" w:beforeAutospacing="1" w:after="100" w:afterAutospacing="1" w:line="90" w:lineRule="atLeas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230" w:type="dxa"/>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玻璃瓶装产品</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99</w:t>
            </w:r>
          </w:p>
        </w:tc>
        <w:tc>
          <w:tcPr>
            <w:tcW w:w="2940" w:type="dxa"/>
            <w:vMerge w:val="restart"/>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hint="eastAsia" w:ascii="宋体" w:hAnsi="宋体" w:eastAsia="宋体"/>
                <w:color w:val="auto"/>
                <w:sz w:val="18"/>
                <w:szCs w:val="18"/>
                <w:highlight w:val="none"/>
              </w:rPr>
              <w:t>依据本标准附录A.</w:t>
            </w:r>
            <w:r>
              <w:rPr>
                <w:rFonts w:ascii="宋体" w:hAnsi="宋体" w:eastAsia="宋体"/>
                <w:color w:val="auto"/>
                <w:sz w:val="18"/>
                <w:szCs w:val="18"/>
                <w:highlight w:val="none"/>
              </w:rPr>
              <w:t>5</w:t>
            </w:r>
            <w:r>
              <w:rPr>
                <w:rFonts w:hint="eastAsia" w:ascii="宋体" w:hAnsi="宋体" w:eastAsia="宋体"/>
                <w:color w:val="auto"/>
                <w:sz w:val="18"/>
                <w:szCs w:val="18"/>
                <w:highlight w:val="none"/>
              </w:rPr>
              <w:t>计算，并提供相关证明材料。</w:t>
            </w:r>
          </w:p>
        </w:tc>
        <w:tc>
          <w:tcPr>
            <w:tcW w:w="1070" w:type="dxa"/>
          </w:tcPr>
          <w:p>
            <w:pPr>
              <w:widowControl/>
              <w:spacing w:before="100" w:beforeAutospacing="1" w:after="100" w:afterAutospacing="1" w:line="90" w:lineRule="atLeast"/>
              <w:jc w:val="left"/>
              <w:rPr>
                <w:rFonts w:ascii="宋体" w:hAnsi="宋体" w:eastAsia="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widowControl/>
              <w:jc w:val="center"/>
              <w:rPr>
                <w:rFonts w:ascii="宋体" w:hAnsi="宋体" w:cs="宋体"/>
                <w:color w:val="auto"/>
                <w:kern w:val="0"/>
                <w:sz w:val="18"/>
                <w:szCs w:val="18"/>
                <w:highlight w:val="none"/>
              </w:rPr>
            </w:pPr>
          </w:p>
        </w:tc>
        <w:tc>
          <w:tcPr>
            <w:tcW w:w="2289" w:type="dxa"/>
            <w:vMerge w:val="continue"/>
            <w:vAlign w:val="center"/>
          </w:tcPr>
          <w:p>
            <w:pPr>
              <w:widowControl/>
              <w:jc w:val="center"/>
              <w:rPr>
                <w:rFonts w:ascii="宋体" w:hAnsi="宋体" w:cs="宋体"/>
                <w:color w:val="auto"/>
                <w:kern w:val="0"/>
                <w:sz w:val="18"/>
                <w:szCs w:val="18"/>
                <w:highlight w:val="none"/>
              </w:rPr>
            </w:pPr>
          </w:p>
        </w:tc>
        <w:tc>
          <w:tcPr>
            <w:tcW w:w="670" w:type="dxa"/>
            <w:vMerge w:val="continue"/>
            <w:vAlign w:val="center"/>
          </w:tcPr>
          <w:p>
            <w:pPr>
              <w:widowControl/>
              <w:jc w:val="center"/>
              <w:rPr>
                <w:rFonts w:ascii="宋体" w:hAnsi="宋体" w:cs="宋体"/>
                <w:color w:val="auto"/>
                <w:kern w:val="0"/>
                <w:sz w:val="18"/>
                <w:szCs w:val="18"/>
                <w:highlight w:val="none"/>
              </w:rPr>
            </w:pPr>
          </w:p>
        </w:tc>
        <w:tc>
          <w:tcPr>
            <w:tcW w:w="1230" w:type="dxa"/>
            <w:vAlign w:val="center"/>
          </w:tcPr>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塑料包装容器类（PET、PE）产品：</w:t>
            </w:r>
            <w:r>
              <w:rPr>
                <w:color w:val="auto"/>
                <w:sz w:val="18"/>
                <w:szCs w:val="18"/>
                <w:highlight w:val="none"/>
              </w:rPr>
              <w:t>≥99</w:t>
            </w:r>
          </w:p>
        </w:tc>
        <w:tc>
          <w:tcPr>
            <w:tcW w:w="2940" w:type="dxa"/>
            <w:vMerge w:val="continue"/>
            <w:vAlign w:val="center"/>
          </w:tcPr>
          <w:p>
            <w:pPr>
              <w:widowControl/>
              <w:rPr>
                <w:rFonts w:ascii="宋体" w:hAnsi="宋体" w:cs="宋体"/>
                <w:color w:val="auto"/>
                <w:kern w:val="0"/>
                <w:sz w:val="18"/>
                <w:szCs w:val="18"/>
                <w:highlight w:val="none"/>
              </w:rPr>
            </w:pPr>
          </w:p>
        </w:tc>
        <w:tc>
          <w:tcPr>
            <w:tcW w:w="1070" w:type="dxa"/>
          </w:tcPr>
          <w:p>
            <w:pPr>
              <w:widowControl/>
              <w:rPr>
                <w:rFonts w:ascii="宋体" w:hAnsi="宋体" w:cs="宋体"/>
                <w:color w:val="auto"/>
                <w:kern w:val="0"/>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restart"/>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能源属性</w:t>
            </w:r>
          </w:p>
        </w:tc>
        <w:tc>
          <w:tcPr>
            <w:tcW w:w="2289" w:type="dxa"/>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综合能耗     </w:t>
            </w:r>
            <w:r>
              <w:rPr>
                <w:rFonts w:hint="eastAsia" w:ascii="宋体" w:hAnsi="宋体" w:eastAsia="宋体" w:cs="宋体"/>
                <w:color w:val="auto"/>
                <w:sz w:val="18"/>
                <w:szCs w:val="18"/>
                <w:highlight w:val="none"/>
              </w:rPr>
              <w:t>≤</w:t>
            </w:r>
          </w:p>
        </w:tc>
        <w:tc>
          <w:tcPr>
            <w:tcW w:w="670" w:type="dxa"/>
            <w:vAlign w:val="center"/>
          </w:tcPr>
          <w:p>
            <w:pPr>
              <w:widowControl/>
              <w:jc w:val="center"/>
              <w:rPr>
                <w:rFonts w:ascii="宋体" w:hAnsi="宋体" w:cs="宋体"/>
                <w:color w:val="auto"/>
                <w:kern w:val="0"/>
                <w:sz w:val="18"/>
                <w:szCs w:val="18"/>
                <w:highlight w:val="none"/>
              </w:rPr>
            </w:pPr>
            <w:r>
              <w:rPr>
                <w:rFonts w:hint="eastAsia"/>
                <w:color w:val="auto"/>
                <w:sz w:val="18"/>
                <w:szCs w:val="18"/>
                <w:highlight w:val="none"/>
              </w:rPr>
              <w:t>tce/t</w:t>
            </w:r>
          </w:p>
        </w:tc>
        <w:tc>
          <w:tcPr>
            <w:tcW w:w="1230" w:type="dxa"/>
            <w:vAlign w:val="center"/>
          </w:tcPr>
          <w:p>
            <w:pPr>
              <w:widowControl/>
              <w:rPr>
                <w:rFonts w:ascii="宋体" w:hAnsi="宋体" w:cs="宋体"/>
                <w:color w:val="auto"/>
                <w:kern w:val="0"/>
                <w:sz w:val="18"/>
                <w:szCs w:val="18"/>
                <w:highlight w:val="none"/>
              </w:rPr>
            </w:pPr>
            <w:r>
              <w:rPr>
                <w:rFonts w:hint="eastAsia"/>
                <w:color w:val="auto"/>
                <w:sz w:val="18"/>
                <w:szCs w:val="18"/>
                <w:highlight w:val="none"/>
              </w:rPr>
              <w:t>0.055</w:t>
            </w:r>
          </w:p>
        </w:tc>
        <w:tc>
          <w:tcPr>
            <w:tcW w:w="2940" w:type="dxa"/>
            <w:tcBorders>
              <w:top w:val="nil"/>
              <w:left w:val="nil"/>
              <w:bottom w:val="single" w:color="000000" w:sz="8" w:space="0"/>
              <w:right w:val="single" w:color="000000" w:sz="8" w:space="0"/>
            </w:tcBorders>
            <w:vAlign w:val="center"/>
          </w:tcPr>
          <w:p>
            <w:pPr>
              <w:jc w:val="center"/>
              <w:rPr>
                <w:rFonts w:ascii="宋体" w:hAnsi="宋体"/>
                <w:color w:val="auto"/>
                <w:kern w:val="0"/>
                <w:sz w:val="18"/>
                <w:szCs w:val="18"/>
                <w:highlight w:val="none"/>
              </w:rPr>
            </w:pPr>
            <w:r>
              <w:rPr>
                <w:rFonts w:hint="eastAsia" w:ascii="宋体" w:hAnsi="宋体"/>
                <w:color w:val="auto"/>
                <w:sz w:val="18"/>
                <w:szCs w:val="18"/>
                <w:highlight w:val="none"/>
              </w:rPr>
              <w:t>依据GB/T 2589及本标准附录A.6计算，并提供相关证明材料。</w:t>
            </w:r>
          </w:p>
        </w:tc>
        <w:tc>
          <w:tcPr>
            <w:tcW w:w="1070" w:type="dxa"/>
            <w:tcBorders>
              <w:top w:val="nil"/>
              <w:left w:val="nil"/>
              <w:bottom w:val="single" w:color="000000" w:sz="8" w:space="0"/>
              <w:right w:val="single" w:color="000000" w:sz="8" w:space="0"/>
            </w:tcBorders>
          </w:tcPr>
          <w:p>
            <w:pPr>
              <w:jc w:val="center"/>
              <w:rPr>
                <w:rFonts w:ascii="宋体" w:hAnsi="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widowControl/>
              <w:jc w:val="center"/>
              <w:rPr>
                <w:rFonts w:ascii="宋体" w:hAnsi="宋体" w:cs="宋体"/>
                <w:color w:val="auto"/>
                <w:kern w:val="0"/>
                <w:sz w:val="18"/>
                <w:szCs w:val="18"/>
                <w:highlight w:val="none"/>
              </w:rPr>
            </w:pPr>
          </w:p>
        </w:tc>
        <w:tc>
          <w:tcPr>
            <w:tcW w:w="2289" w:type="dxa"/>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可再生能源利用率</w:t>
            </w:r>
            <w:r>
              <w:rPr>
                <w:rFonts w:hint="eastAsia" w:ascii="宋体" w:hAnsi="宋体" w:eastAsia="宋体" w:cs="宋体"/>
                <w:color w:val="auto"/>
                <w:sz w:val="18"/>
                <w:szCs w:val="18"/>
                <w:highlight w:val="none"/>
              </w:rPr>
              <w:t xml:space="preserve">     ≥</w:t>
            </w:r>
          </w:p>
        </w:tc>
        <w:tc>
          <w:tcPr>
            <w:tcW w:w="670" w:type="dxa"/>
            <w:vAlign w:val="center"/>
          </w:tcPr>
          <w:p>
            <w:pPr>
              <w:widowControl/>
              <w:spacing w:before="100" w:beforeAutospacing="1" w:after="100" w:afterAutospacing="1" w:line="90" w:lineRule="atLeast"/>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w:t>
            </w:r>
          </w:p>
        </w:tc>
        <w:tc>
          <w:tcPr>
            <w:tcW w:w="1230" w:type="dxa"/>
          </w:tcPr>
          <w:p>
            <w:pPr>
              <w:widowControl/>
              <w:spacing w:before="100" w:beforeAutospacing="1" w:after="100" w:afterAutospacing="1" w:line="90" w:lineRule="atLeast"/>
              <w:rPr>
                <w:rFonts w:ascii="宋体" w:hAnsi="宋体" w:eastAsia="宋体" w:cs="宋体"/>
                <w:color w:val="auto"/>
                <w:kern w:val="0"/>
                <w:sz w:val="18"/>
                <w:szCs w:val="18"/>
                <w:highlight w:val="none"/>
              </w:rPr>
            </w:pPr>
            <w:r>
              <w:rPr>
                <w:color w:val="auto"/>
                <w:sz w:val="18"/>
                <w:szCs w:val="18"/>
                <w:highlight w:val="none"/>
              </w:rPr>
              <w:t>5.00</w:t>
            </w:r>
          </w:p>
        </w:tc>
        <w:tc>
          <w:tcPr>
            <w:tcW w:w="2940" w:type="dxa"/>
            <w:tcBorders>
              <w:top w:val="nil"/>
              <w:left w:val="nil"/>
              <w:bottom w:val="single" w:color="000000" w:sz="8" w:space="0"/>
              <w:right w:val="single" w:color="000000" w:sz="8" w:space="0"/>
            </w:tcBorders>
            <w:vAlign w:val="center"/>
          </w:tcPr>
          <w:p>
            <w:pPr>
              <w:spacing w:before="100" w:beforeAutospacing="1" w:after="100" w:afterAutospacing="1" w:line="90" w:lineRule="atLeast"/>
              <w:jc w:val="left"/>
              <w:rPr>
                <w:rFonts w:ascii="宋体" w:hAnsi="宋体"/>
                <w:color w:val="auto"/>
                <w:sz w:val="18"/>
                <w:szCs w:val="18"/>
                <w:highlight w:val="none"/>
              </w:rPr>
            </w:pPr>
            <w:r>
              <w:rPr>
                <w:rFonts w:hint="eastAsia" w:ascii="宋体" w:hAnsi="宋体"/>
                <w:color w:val="auto"/>
                <w:sz w:val="18"/>
                <w:szCs w:val="18"/>
                <w:highlight w:val="none"/>
              </w:rPr>
              <w:t>依据本标准附录A.7计算，并提供相关证明材料。</w:t>
            </w:r>
          </w:p>
        </w:tc>
        <w:tc>
          <w:tcPr>
            <w:tcW w:w="107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宋体" w:hAnsi="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restart"/>
            <w:vAlign w:val="center"/>
          </w:tcPr>
          <w:p>
            <w:pPr>
              <w:pStyle w:val="26"/>
              <w:ind w:firstLine="0" w:firstLineChars="0"/>
              <w:jc w:val="center"/>
              <w:rPr>
                <w:rFonts w:hAnsi="宋体"/>
                <w:color w:val="auto"/>
                <w:sz w:val="18"/>
                <w:szCs w:val="18"/>
                <w:highlight w:val="none"/>
              </w:rPr>
            </w:pPr>
            <w:r>
              <w:rPr>
                <w:rFonts w:hint="eastAsia" w:hAnsi="宋体" w:cs="宋体"/>
                <w:color w:val="auto"/>
                <w:sz w:val="18"/>
                <w:szCs w:val="18"/>
                <w:highlight w:val="none"/>
              </w:rPr>
              <w:t>环境属性</w:t>
            </w:r>
          </w:p>
        </w:tc>
        <w:tc>
          <w:tcPr>
            <w:tcW w:w="2289" w:type="dxa"/>
            <w:vAlign w:val="center"/>
          </w:tcPr>
          <w:p>
            <w:pPr>
              <w:widowControl/>
              <w:spacing w:before="100" w:beforeAutospacing="1" w:after="100" w:afterAutospacing="1"/>
              <w:ind w:left="180" w:hanging="180" w:hangingChars="10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废气烟尘排放 </w:t>
            </w:r>
            <w:r>
              <w:rPr>
                <w:rFonts w:hint="eastAsia" w:ascii="宋体" w:hAnsi="宋体" w:eastAsia="宋体" w:cs="宋体"/>
                <w:color w:val="auto"/>
                <w:sz w:val="18"/>
                <w:szCs w:val="18"/>
                <w:highlight w:val="none"/>
              </w:rPr>
              <w:t>≤</w:t>
            </w:r>
          </w:p>
        </w:tc>
        <w:tc>
          <w:tcPr>
            <w:tcW w:w="670" w:type="dxa"/>
            <w:vAlign w:val="center"/>
          </w:tcPr>
          <w:p>
            <w:pPr>
              <w:widowControl/>
              <w:spacing w:before="100" w:beforeAutospacing="1" w:after="100" w:afterAutospacing="1"/>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g/t</w:t>
            </w:r>
          </w:p>
        </w:tc>
        <w:tc>
          <w:tcPr>
            <w:tcW w:w="1230" w:type="dxa"/>
            <w:tcBorders>
              <w:top w:val="single" w:color="auto" w:sz="4" w:space="0"/>
            </w:tcBorders>
            <w:vAlign w:val="center"/>
          </w:tcPr>
          <w:p>
            <w:pPr>
              <w:widowControl/>
              <w:spacing w:before="100" w:beforeAutospacing="1" w:after="100" w:afterAutospacing="1"/>
              <w:jc w:val="left"/>
              <w:rPr>
                <w:rFonts w:ascii="宋体" w:hAnsi="宋体" w:eastAsia="宋体" w:cs="宋体"/>
                <w:color w:val="auto"/>
                <w:kern w:val="0"/>
                <w:sz w:val="18"/>
                <w:szCs w:val="18"/>
                <w:highlight w:val="none"/>
              </w:rPr>
            </w:pPr>
            <w:r>
              <w:rPr>
                <w:rFonts w:hint="eastAsia"/>
                <w:color w:val="auto"/>
                <w:sz w:val="18"/>
                <w:szCs w:val="18"/>
                <w:highlight w:val="none"/>
              </w:rPr>
              <w:t>1</w:t>
            </w:r>
            <w:r>
              <w:rPr>
                <w:color w:val="auto"/>
                <w:sz w:val="18"/>
                <w:szCs w:val="18"/>
                <w:highlight w:val="none"/>
              </w:rPr>
              <w:t>5.0</w:t>
            </w:r>
          </w:p>
        </w:tc>
        <w:tc>
          <w:tcPr>
            <w:tcW w:w="294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Calibri" w:hAnsi="Calibri"/>
                <w:color w:val="auto"/>
                <w:sz w:val="18"/>
                <w:szCs w:val="18"/>
                <w:highlight w:val="none"/>
              </w:rPr>
            </w:pPr>
            <w:r>
              <w:rPr>
                <w:rFonts w:hint="eastAsia" w:ascii="宋体" w:hAnsi="宋体"/>
                <w:color w:val="auto"/>
                <w:sz w:val="18"/>
                <w:szCs w:val="18"/>
                <w:highlight w:val="none"/>
              </w:rPr>
              <w:t>依据</w:t>
            </w:r>
            <w:r>
              <w:rPr>
                <w:color w:val="auto"/>
                <w:sz w:val="18"/>
                <w:szCs w:val="18"/>
                <w:highlight w:val="none"/>
              </w:rPr>
              <w:t>GB/T 16157</w:t>
            </w:r>
            <w:r>
              <w:rPr>
                <w:rFonts w:hint="eastAsia" w:ascii="宋体" w:hAnsi="宋体"/>
                <w:color w:val="auto"/>
                <w:sz w:val="18"/>
                <w:szCs w:val="18"/>
                <w:highlight w:val="none"/>
              </w:rPr>
              <w:t>及本标准附录A.8计算，并提供相关证明材料。。</w:t>
            </w:r>
          </w:p>
        </w:tc>
        <w:tc>
          <w:tcPr>
            <w:tcW w:w="107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宋体" w:hAnsi="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pStyle w:val="26"/>
              <w:ind w:firstLine="0" w:firstLineChars="0"/>
              <w:jc w:val="center"/>
              <w:rPr>
                <w:rFonts w:hAnsi="宋体"/>
                <w:color w:val="auto"/>
                <w:sz w:val="18"/>
                <w:szCs w:val="18"/>
                <w:highlight w:val="none"/>
              </w:rPr>
            </w:pPr>
          </w:p>
        </w:tc>
        <w:tc>
          <w:tcPr>
            <w:tcW w:w="2289" w:type="dxa"/>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二氧化硫排放量                 </w:t>
            </w:r>
            <w:r>
              <w:rPr>
                <w:rFonts w:hint="eastAsia" w:ascii="宋体" w:hAnsi="宋体" w:eastAsia="宋体" w:cs="宋体"/>
                <w:color w:val="auto"/>
                <w:sz w:val="18"/>
                <w:szCs w:val="18"/>
                <w:highlight w:val="none"/>
              </w:rPr>
              <w:t>≤</w:t>
            </w:r>
          </w:p>
        </w:tc>
        <w:tc>
          <w:tcPr>
            <w:tcW w:w="670" w:type="dxa"/>
            <w:vAlign w:val="center"/>
          </w:tcPr>
          <w:p>
            <w:pPr>
              <w:widowControl/>
              <w:spacing w:before="100" w:beforeAutospacing="1" w:after="100" w:afterAutospacing="1" w:line="90" w:lineRule="atLeast"/>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g/t</w:t>
            </w:r>
          </w:p>
        </w:tc>
        <w:tc>
          <w:tcPr>
            <w:tcW w:w="1230" w:type="dxa"/>
            <w:tcBorders>
              <w:top w:val="single" w:color="auto" w:sz="4" w:space="0"/>
            </w:tcBorders>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color w:val="auto"/>
                <w:sz w:val="18"/>
                <w:szCs w:val="18"/>
                <w:highlight w:val="none"/>
              </w:rPr>
              <w:t>10</w:t>
            </w:r>
            <w:r>
              <w:rPr>
                <w:rFonts w:hint="eastAsia"/>
                <w:color w:val="auto"/>
                <w:sz w:val="18"/>
                <w:szCs w:val="18"/>
                <w:highlight w:val="none"/>
              </w:rPr>
              <w:t>.00</w:t>
            </w:r>
          </w:p>
        </w:tc>
        <w:tc>
          <w:tcPr>
            <w:tcW w:w="2940" w:type="dxa"/>
            <w:tcBorders>
              <w:top w:val="nil"/>
              <w:left w:val="nil"/>
              <w:bottom w:val="single" w:color="000000" w:sz="8" w:space="0"/>
              <w:right w:val="single" w:color="000000" w:sz="8" w:space="0"/>
            </w:tcBorders>
          </w:tcPr>
          <w:p>
            <w:pPr>
              <w:spacing w:before="100" w:beforeAutospacing="1" w:after="100" w:afterAutospacing="1" w:line="90" w:lineRule="atLeast"/>
              <w:jc w:val="left"/>
              <w:rPr>
                <w:color w:val="auto"/>
                <w:sz w:val="18"/>
                <w:szCs w:val="18"/>
                <w:highlight w:val="none"/>
              </w:rPr>
            </w:pPr>
            <w:r>
              <w:rPr>
                <w:rFonts w:hint="eastAsia" w:ascii="宋体" w:hAnsi="宋体"/>
                <w:color w:val="auto"/>
                <w:sz w:val="18"/>
                <w:szCs w:val="18"/>
                <w:highlight w:val="none"/>
              </w:rPr>
              <w:t>依据</w:t>
            </w:r>
            <w:r>
              <w:rPr>
                <w:color w:val="auto"/>
                <w:sz w:val="18"/>
                <w:szCs w:val="18"/>
                <w:highlight w:val="none"/>
              </w:rPr>
              <w:t>HJ 57</w:t>
            </w:r>
            <w:r>
              <w:rPr>
                <w:rFonts w:hint="eastAsia" w:ascii="宋体" w:hAnsi="宋体"/>
                <w:color w:val="auto"/>
                <w:sz w:val="18"/>
                <w:szCs w:val="18"/>
                <w:highlight w:val="none"/>
              </w:rPr>
              <w:t>及本标准附录A.9计算，并提供相关证明材料。。</w:t>
            </w:r>
          </w:p>
        </w:tc>
        <w:tc>
          <w:tcPr>
            <w:tcW w:w="107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宋体" w:hAnsi="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pStyle w:val="26"/>
              <w:ind w:firstLine="0" w:firstLineChars="0"/>
              <w:jc w:val="center"/>
              <w:rPr>
                <w:rFonts w:hAnsi="宋体"/>
                <w:color w:val="auto"/>
                <w:sz w:val="18"/>
                <w:szCs w:val="18"/>
                <w:highlight w:val="none"/>
              </w:rPr>
            </w:pPr>
          </w:p>
        </w:tc>
        <w:tc>
          <w:tcPr>
            <w:tcW w:w="2289" w:type="dxa"/>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固体废弃物</w:t>
            </w:r>
            <w:r>
              <w:rPr>
                <w:rFonts w:hint="eastAsia"/>
                <w:color w:val="auto"/>
                <w:sz w:val="18"/>
                <w:szCs w:val="18"/>
                <w:highlight w:val="none"/>
              </w:rPr>
              <w:t>（压榨污泥）</w:t>
            </w:r>
            <w:r>
              <w:rPr>
                <w:rFonts w:hint="eastAsia" w:ascii="宋体" w:hAnsi="宋体" w:eastAsia="宋体" w:cs="宋体"/>
                <w:color w:val="auto"/>
                <w:kern w:val="0"/>
                <w:sz w:val="18"/>
                <w:szCs w:val="18"/>
                <w:highlight w:val="none"/>
              </w:rPr>
              <w:t xml:space="preserve">排放量         </w:t>
            </w:r>
            <w:r>
              <w:rPr>
                <w:rFonts w:hint="eastAsia" w:ascii="宋体" w:hAnsi="宋体" w:eastAsia="宋体" w:cs="宋体"/>
                <w:color w:val="auto"/>
                <w:sz w:val="18"/>
                <w:szCs w:val="18"/>
                <w:highlight w:val="none"/>
              </w:rPr>
              <w:t>≤</w:t>
            </w:r>
          </w:p>
        </w:tc>
        <w:tc>
          <w:tcPr>
            <w:tcW w:w="670" w:type="dxa"/>
            <w:vAlign w:val="center"/>
          </w:tcPr>
          <w:p>
            <w:pPr>
              <w:widowControl/>
              <w:spacing w:before="100" w:beforeAutospacing="1" w:after="100" w:afterAutospacing="1" w:line="90" w:lineRule="atLeast"/>
              <w:jc w:val="center"/>
              <w:rPr>
                <w:rFonts w:ascii="宋体" w:hAnsi="宋体" w:eastAsia="宋体" w:cs="宋体"/>
                <w:color w:val="auto"/>
                <w:kern w:val="0"/>
                <w:sz w:val="18"/>
                <w:szCs w:val="18"/>
                <w:highlight w:val="none"/>
              </w:rPr>
            </w:pPr>
            <w:r>
              <w:rPr>
                <w:color w:val="auto"/>
                <w:sz w:val="18"/>
                <w:szCs w:val="18"/>
                <w:highlight w:val="none"/>
              </w:rPr>
              <w:t>kg/t</w:t>
            </w:r>
          </w:p>
        </w:tc>
        <w:tc>
          <w:tcPr>
            <w:tcW w:w="1230" w:type="dxa"/>
            <w:tcBorders>
              <w:top w:val="single" w:color="auto" w:sz="4" w:space="0"/>
            </w:tcBorders>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hint="eastAsia"/>
                <w:color w:val="auto"/>
                <w:sz w:val="18"/>
                <w:szCs w:val="18"/>
                <w:highlight w:val="none"/>
              </w:rPr>
              <w:t>1</w:t>
            </w:r>
            <w:r>
              <w:rPr>
                <w:color w:val="auto"/>
                <w:sz w:val="18"/>
                <w:szCs w:val="18"/>
                <w:highlight w:val="none"/>
              </w:rPr>
              <w:t>0</w:t>
            </w:r>
            <w:r>
              <w:rPr>
                <w:rFonts w:hint="eastAsia"/>
                <w:color w:val="auto"/>
                <w:sz w:val="18"/>
                <w:szCs w:val="18"/>
                <w:highlight w:val="none"/>
              </w:rPr>
              <w:t>.0</w:t>
            </w:r>
          </w:p>
        </w:tc>
        <w:tc>
          <w:tcPr>
            <w:tcW w:w="294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宋体" w:hAnsi="宋体"/>
                <w:color w:val="auto"/>
                <w:kern w:val="0"/>
                <w:sz w:val="18"/>
                <w:szCs w:val="18"/>
                <w:highlight w:val="none"/>
              </w:rPr>
            </w:pPr>
            <w:r>
              <w:rPr>
                <w:rFonts w:hint="eastAsia" w:ascii="宋体" w:hAnsi="宋体"/>
                <w:color w:val="auto"/>
                <w:sz w:val="18"/>
                <w:szCs w:val="18"/>
                <w:highlight w:val="none"/>
              </w:rPr>
              <w:t>依据本标准附录A.10计算，并提供相关证明材料。</w:t>
            </w:r>
          </w:p>
        </w:tc>
        <w:tc>
          <w:tcPr>
            <w:tcW w:w="107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宋体" w:hAnsi="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pStyle w:val="26"/>
              <w:ind w:firstLine="0" w:firstLineChars="0"/>
              <w:jc w:val="center"/>
              <w:rPr>
                <w:rFonts w:hAnsi="宋体"/>
                <w:color w:val="auto"/>
                <w:sz w:val="18"/>
                <w:szCs w:val="18"/>
                <w:highlight w:val="none"/>
              </w:rPr>
            </w:pPr>
          </w:p>
        </w:tc>
        <w:tc>
          <w:tcPr>
            <w:tcW w:w="2289" w:type="dxa"/>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氨氮（NH</w:t>
            </w:r>
            <w:r>
              <w:rPr>
                <w:rFonts w:hint="eastAsia" w:ascii="宋体" w:hAnsi="宋体" w:eastAsia="宋体" w:cs="宋体"/>
                <w:color w:val="auto"/>
                <w:kern w:val="0"/>
                <w:sz w:val="18"/>
                <w:szCs w:val="18"/>
                <w:highlight w:val="none"/>
                <w:vertAlign w:val="subscript"/>
              </w:rPr>
              <w:t>3</w:t>
            </w:r>
            <w:r>
              <w:rPr>
                <w:rFonts w:hint="eastAsia" w:ascii="宋体" w:hAnsi="宋体" w:eastAsia="宋体" w:cs="宋体"/>
                <w:color w:val="auto"/>
                <w:kern w:val="0"/>
                <w:sz w:val="18"/>
                <w:szCs w:val="18"/>
                <w:highlight w:val="none"/>
              </w:rPr>
              <w:t xml:space="preserve">-N）排放量                 </w:t>
            </w:r>
            <w:r>
              <w:rPr>
                <w:rFonts w:hint="eastAsia" w:ascii="宋体" w:hAnsi="宋体" w:eastAsia="宋体" w:cs="宋体"/>
                <w:color w:val="auto"/>
                <w:sz w:val="18"/>
                <w:szCs w:val="18"/>
                <w:highlight w:val="none"/>
              </w:rPr>
              <w:t>≤</w:t>
            </w:r>
          </w:p>
        </w:tc>
        <w:tc>
          <w:tcPr>
            <w:tcW w:w="670" w:type="dxa"/>
            <w:vAlign w:val="center"/>
          </w:tcPr>
          <w:p>
            <w:pPr>
              <w:widowControl/>
              <w:spacing w:before="100" w:beforeAutospacing="1" w:after="100" w:afterAutospacing="1" w:line="90" w:lineRule="atLeast"/>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kg/t</w:t>
            </w:r>
          </w:p>
        </w:tc>
        <w:tc>
          <w:tcPr>
            <w:tcW w:w="1230" w:type="dxa"/>
            <w:tcBorders>
              <w:top w:val="single" w:color="auto" w:sz="4" w:space="0"/>
              <w:bottom w:val="single" w:color="auto" w:sz="4" w:space="0"/>
            </w:tcBorders>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hint="eastAsia"/>
                <w:color w:val="auto"/>
                <w:sz w:val="18"/>
                <w:szCs w:val="18"/>
                <w:highlight w:val="none"/>
              </w:rPr>
              <w:t>0.</w:t>
            </w:r>
            <w:r>
              <w:rPr>
                <w:color w:val="auto"/>
                <w:sz w:val="18"/>
                <w:szCs w:val="18"/>
                <w:highlight w:val="none"/>
              </w:rPr>
              <w:t>0160</w:t>
            </w:r>
          </w:p>
        </w:tc>
        <w:tc>
          <w:tcPr>
            <w:tcW w:w="294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Calibri" w:hAnsi="Calibri"/>
                <w:color w:val="auto"/>
                <w:sz w:val="18"/>
                <w:szCs w:val="18"/>
                <w:highlight w:val="none"/>
              </w:rPr>
            </w:pPr>
            <w:r>
              <w:rPr>
                <w:rFonts w:hint="eastAsia" w:ascii="宋体" w:hAnsi="宋体"/>
                <w:color w:val="auto"/>
                <w:sz w:val="18"/>
                <w:szCs w:val="18"/>
                <w:highlight w:val="none"/>
              </w:rPr>
              <w:t>依据</w:t>
            </w:r>
            <w:r>
              <w:rPr>
                <w:color w:val="auto"/>
                <w:sz w:val="18"/>
                <w:szCs w:val="18"/>
                <w:highlight w:val="none"/>
              </w:rPr>
              <w:t>HJ 535</w:t>
            </w:r>
            <w:r>
              <w:rPr>
                <w:rFonts w:hint="eastAsia" w:ascii="宋体" w:hAnsi="宋体"/>
                <w:color w:val="auto"/>
                <w:sz w:val="18"/>
                <w:szCs w:val="18"/>
                <w:highlight w:val="none"/>
              </w:rPr>
              <w:t>及本标准附录A.11计算，并提供相关证明材料。。</w:t>
            </w:r>
          </w:p>
        </w:tc>
        <w:tc>
          <w:tcPr>
            <w:tcW w:w="107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宋体" w:hAnsi="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pStyle w:val="26"/>
              <w:ind w:firstLine="0" w:firstLineChars="0"/>
              <w:jc w:val="center"/>
              <w:rPr>
                <w:rFonts w:hAnsi="宋体"/>
                <w:color w:val="auto"/>
                <w:sz w:val="18"/>
                <w:szCs w:val="18"/>
                <w:highlight w:val="none"/>
              </w:rPr>
            </w:pPr>
          </w:p>
        </w:tc>
        <w:tc>
          <w:tcPr>
            <w:tcW w:w="2289" w:type="dxa"/>
            <w:vAlign w:val="center"/>
          </w:tcPr>
          <w:p>
            <w:pPr>
              <w:widowControl/>
              <w:spacing w:before="100" w:beforeAutospacing="1" w:after="100" w:afterAutospacing="1"/>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废水排放量   </w:t>
            </w:r>
            <w:r>
              <w:rPr>
                <w:rFonts w:hint="eastAsia" w:ascii="宋体" w:hAnsi="宋体" w:eastAsia="宋体" w:cs="宋体"/>
                <w:color w:val="auto"/>
                <w:sz w:val="18"/>
                <w:szCs w:val="18"/>
                <w:highlight w:val="none"/>
              </w:rPr>
              <w:t>≤</w:t>
            </w:r>
          </w:p>
        </w:tc>
        <w:tc>
          <w:tcPr>
            <w:tcW w:w="670" w:type="dxa"/>
            <w:tcBorders>
              <w:bottom w:val="single" w:color="auto" w:sz="4" w:space="0"/>
            </w:tcBorders>
            <w:vAlign w:val="center"/>
          </w:tcPr>
          <w:p>
            <w:pPr>
              <w:widowControl/>
              <w:spacing w:before="100" w:beforeAutospacing="1" w:after="100" w:afterAutospacing="1"/>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m</w:t>
            </w:r>
            <w:r>
              <w:rPr>
                <w:rFonts w:ascii="宋体" w:hAnsi="宋体" w:eastAsia="宋体" w:cs="宋体"/>
                <w:color w:val="auto"/>
                <w:kern w:val="0"/>
                <w:sz w:val="18"/>
                <w:szCs w:val="18"/>
                <w:highlight w:val="none"/>
                <w:vertAlign w:val="superscript"/>
              </w:rPr>
              <w:t>3</w:t>
            </w:r>
            <w:r>
              <w:rPr>
                <w:rFonts w:ascii="宋体" w:hAnsi="宋体" w:eastAsia="宋体" w:cs="宋体"/>
                <w:color w:val="auto"/>
                <w:kern w:val="0"/>
                <w:sz w:val="18"/>
                <w:szCs w:val="18"/>
                <w:highlight w:val="none"/>
              </w:rPr>
              <w:t>/t</w:t>
            </w:r>
          </w:p>
        </w:tc>
        <w:tc>
          <w:tcPr>
            <w:tcW w:w="1230" w:type="dxa"/>
            <w:tcBorders>
              <w:bottom w:val="single" w:color="auto" w:sz="4" w:space="0"/>
            </w:tcBorders>
            <w:vAlign w:val="center"/>
          </w:tcPr>
          <w:p>
            <w:pPr>
              <w:widowControl/>
              <w:spacing w:before="100" w:beforeAutospacing="1" w:after="100" w:afterAutospacing="1"/>
              <w:jc w:val="left"/>
              <w:rPr>
                <w:rFonts w:ascii="宋体" w:hAnsi="宋体" w:eastAsia="宋体" w:cs="宋体"/>
                <w:color w:val="auto"/>
                <w:kern w:val="0"/>
                <w:sz w:val="18"/>
                <w:szCs w:val="18"/>
                <w:highlight w:val="none"/>
              </w:rPr>
            </w:pPr>
            <w:r>
              <w:rPr>
                <w:rFonts w:hint="eastAsia"/>
                <w:color w:val="auto"/>
                <w:sz w:val="18"/>
                <w:szCs w:val="18"/>
                <w:highlight w:val="none"/>
              </w:rPr>
              <w:t>5.</w:t>
            </w:r>
            <w:r>
              <w:rPr>
                <w:color w:val="auto"/>
                <w:sz w:val="18"/>
                <w:szCs w:val="18"/>
                <w:highlight w:val="none"/>
              </w:rPr>
              <w:t>0</w:t>
            </w:r>
            <w:r>
              <w:rPr>
                <w:rFonts w:hint="eastAsia"/>
                <w:color w:val="auto"/>
                <w:sz w:val="18"/>
                <w:szCs w:val="18"/>
                <w:highlight w:val="none"/>
              </w:rPr>
              <w:t>0</w:t>
            </w:r>
          </w:p>
        </w:tc>
        <w:tc>
          <w:tcPr>
            <w:tcW w:w="2940" w:type="dxa"/>
            <w:tcBorders>
              <w:top w:val="nil"/>
              <w:left w:val="nil"/>
              <w:bottom w:val="single" w:color="000000" w:sz="8" w:space="0"/>
              <w:right w:val="single" w:color="000000" w:sz="8" w:space="0"/>
            </w:tcBorders>
          </w:tcPr>
          <w:p>
            <w:pPr>
              <w:spacing w:before="100" w:beforeAutospacing="1" w:after="100" w:afterAutospacing="1"/>
              <w:jc w:val="left"/>
              <w:rPr>
                <w:rFonts w:ascii="宋体" w:hAnsi="宋体"/>
                <w:color w:val="auto"/>
                <w:sz w:val="18"/>
                <w:szCs w:val="18"/>
                <w:highlight w:val="none"/>
              </w:rPr>
            </w:pPr>
            <w:r>
              <w:rPr>
                <w:rFonts w:hint="eastAsia" w:ascii="宋体" w:hAnsi="宋体"/>
                <w:color w:val="auto"/>
                <w:sz w:val="18"/>
                <w:szCs w:val="18"/>
                <w:highlight w:val="none"/>
              </w:rPr>
              <w:t>依据本标准附录A.12计算，并提供相关证明材料。</w:t>
            </w:r>
          </w:p>
        </w:tc>
        <w:tc>
          <w:tcPr>
            <w:tcW w:w="1070" w:type="dxa"/>
            <w:tcBorders>
              <w:top w:val="nil"/>
              <w:left w:val="nil"/>
              <w:bottom w:val="single" w:color="000000" w:sz="8" w:space="0"/>
              <w:right w:val="single" w:color="000000" w:sz="8" w:space="0"/>
            </w:tcBorders>
          </w:tcPr>
          <w:p>
            <w:pPr>
              <w:spacing w:before="100" w:beforeAutospacing="1" w:after="100" w:afterAutospacing="1"/>
              <w:jc w:val="left"/>
              <w:rPr>
                <w:rFonts w:ascii="宋体" w:hAnsi="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pStyle w:val="26"/>
              <w:ind w:firstLine="0" w:firstLineChars="0"/>
              <w:jc w:val="center"/>
              <w:rPr>
                <w:rFonts w:hAnsi="宋体"/>
                <w:color w:val="auto"/>
                <w:sz w:val="18"/>
                <w:szCs w:val="18"/>
                <w:highlight w:val="none"/>
              </w:rPr>
            </w:pPr>
          </w:p>
        </w:tc>
        <w:tc>
          <w:tcPr>
            <w:tcW w:w="2289" w:type="dxa"/>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COD</w:t>
            </w:r>
            <w:r>
              <w:rPr>
                <w:rFonts w:hint="eastAsia" w:ascii="宋体" w:hAnsi="宋体" w:eastAsia="宋体" w:cs="宋体"/>
                <w:color w:val="auto"/>
                <w:kern w:val="0"/>
                <w:sz w:val="18"/>
                <w:szCs w:val="18"/>
                <w:highlight w:val="none"/>
                <w:vertAlign w:val="subscript"/>
              </w:rPr>
              <w:t>Cr</w:t>
            </w:r>
            <w:r>
              <w:rPr>
                <w:rFonts w:hint="eastAsia" w:ascii="宋体" w:hAnsi="宋体" w:eastAsia="宋体" w:cs="宋体"/>
                <w:color w:val="auto"/>
                <w:kern w:val="0"/>
                <w:sz w:val="18"/>
                <w:szCs w:val="18"/>
                <w:highlight w:val="none"/>
              </w:rPr>
              <w:t xml:space="preserve">排放量  </w:t>
            </w:r>
            <w:r>
              <w:rPr>
                <w:rFonts w:hint="eastAsia" w:ascii="宋体" w:hAnsi="宋体" w:eastAsia="宋体" w:cs="宋体"/>
                <w:color w:val="auto"/>
                <w:sz w:val="18"/>
                <w:szCs w:val="18"/>
                <w:highlight w:val="none"/>
              </w:rPr>
              <w:t>≤</w:t>
            </w:r>
          </w:p>
        </w:tc>
        <w:tc>
          <w:tcPr>
            <w:tcW w:w="670" w:type="dxa"/>
            <w:tcBorders>
              <w:bottom w:val="single" w:color="auto" w:sz="4" w:space="0"/>
            </w:tcBorders>
            <w:vAlign w:val="center"/>
          </w:tcPr>
          <w:p>
            <w:pPr>
              <w:widowControl/>
              <w:spacing w:before="100" w:beforeAutospacing="1" w:after="100" w:afterAutospacing="1" w:line="90" w:lineRule="atLeast"/>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kg/t</w:t>
            </w:r>
          </w:p>
        </w:tc>
        <w:tc>
          <w:tcPr>
            <w:tcW w:w="1230" w:type="dxa"/>
            <w:tcBorders>
              <w:top w:val="single" w:color="auto" w:sz="4" w:space="0"/>
              <w:bottom w:val="single" w:color="auto" w:sz="4" w:space="0"/>
            </w:tcBorders>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hint="eastAsia"/>
                <w:color w:val="auto"/>
                <w:sz w:val="18"/>
                <w:szCs w:val="18"/>
                <w:highlight w:val="none"/>
              </w:rPr>
              <w:t>0.25</w:t>
            </w:r>
          </w:p>
        </w:tc>
        <w:tc>
          <w:tcPr>
            <w:tcW w:w="294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宋体" w:hAnsi="宋体"/>
                <w:color w:val="auto"/>
                <w:sz w:val="18"/>
                <w:szCs w:val="18"/>
                <w:highlight w:val="none"/>
              </w:rPr>
            </w:pPr>
            <w:r>
              <w:rPr>
                <w:rFonts w:hint="eastAsia" w:ascii="宋体" w:hAnsi="宋体"/>
                <w:color w:val="auto"/>
                <w:sz w:val="18"/>
                <w:szCs w:val="18"/>
                <w:highlight w:val="none"/>
              </w:rPr>
              <w:t>依据</w:t>
            </w:r>
            <w:r>
              <w:rPr>
                <w:color w:val="auto"/>
                <w:sz w:val="18"/>
                <w:szCs w:val="18"/>
                <w:highlight w:val="none"/>
              </w:rPr>
              <w:t>HJ 828</w:t>
            </w:r>
            <w:r>
              <w:rPr>
                <w:rFonts w:hint="eastAsia" w:ascii="宋体" w:hAnsi="宋体"/>
                <w:color w:val="auto"/>
                <w:sz w:val="18"/>
                <w:szCs w:val="18"/>
                <w:highlight w:val="none"/>
              </w:rPr>
              <w:t>及本标准附录A.13计算，并提供相关证明材料。。</w:t>
            </w:r>
          </w:p>
        </w:tc>
        <w:tc>
          <w:tcPr>
            <w:tcW w:w="107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宋体" w:hAnsi="宋体"/>
                <w:color w:val="auto"/>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restart"/>
            <w:vAlign w:val="center"/>
          </w:tcPr>
          <w:p>
            <w:pPr>
              <w:pStyle w:val="26"/>
              <w:ind w:firstLine="0" w:firstLineChars="0"/>
              <w:jc w:val="center"/>
              <w:rPr>
                <w:rFonts w:hAnsi="宋体"/>
                <w:color w:val="auto"/>
                <w:sz w:val="18"/>
                <w:szCs w:val="18"/>
                <w:highlight w:val="none"/>
              </w:rPr>
            </w:pPr>
            <w:r>
              <w:rPr>
                <w:rFonts w:hint="eastAsia" w:hAnsi="宋体"/>
                <w:color w:val="auto"/>
                <w:sz w:val="18"/>
                <w:szCs w:val="18"/>
                <w:highlight w:val="none"/>
              </w:rPr>
              <w:t>品质属性</w:t>
            </w:r>
          </w:p>
        </w:tc>
        <w:tc>
          <w:tcPr>
            <w:tcW w:w="2289" w:type="dxa"/>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color w:val="auto"/>
                <w:sz w:val="18"/>
                <w:szCs w:val="18"/>
                <w:highlight w:val="none"/>
              </w:rPr>
              <w:t>安全</w:t>
            </w:r>
            <w:r>
              <w:rPr>
                <w:rFonts w:hint="eastAsia"/>
                <w:color w:val="auto"/>
                <w:sz w:val="18"/>
                <w:szCs w:val="18"/>
                <w:highlight w:val="none"/>
              </w:rPr>
              <w:t>及</w:t>
            </w:r>
            <w:r>
              <w:rPr>
                <w:color w:val="auto"/>
                <w:sz w:val="18"/>
                <w:szCs w:val="18"/>
                <w:highlight w:val="none"/>
              </w:rPr>
              <w:t>品质</w:t>
            </w:r>
            <w:r>
              <w:rPr>
                <w:rFonts w:hint="eastAsia"/>
                <w:color w:val="auto"/>
                <w:sz w:val="18"/>
                <w:szCs w:val="18"/>
                <w:highlight w:val="none"/>
              </w:rPr>
              <w:t>指</w:t>
            </w:r>
            <w:r>
              <w:rPr>
                <w:color w:val="auto"/>
                <w:sz w:val="18"/>
                <w:szCs w:val="18"/>
                <w:highlight w:val="none"/>
              </w:rPr>
              <w:t>标</w:t>
            </w:r>
          </w:p>
        </w:tc>
        <w:tc>
          <w:tcPr>
            <w:tcW w:w="67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30" w:type="dxa"/>
            <w:tcBorders>
              <w:top w:val="single" w:color="auto" w:sz="4" w:space="0"/>
            </w:tcBorders>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全项符合G</w:t>
            </w:r>
            <w:r>
              <w:rPr>
                <w:rFonts w:ascii="宋体" w:hAnsi="宋体" w:eastAsia="宋体" w:cs="宋体"/>
                <w:color w:val="auto"/>
                <w:kern w:val="0"/>
                <w:sz w:val="18"/>
                <w:szCs w:val="18"/>
                <w:highlight w:val="none"/>
              </w:rPr>
              <w:t>B 31644-2018</w:t>
            </w:r>
          </w:p>
        </w:tc>
        <w:tc>
          <w:tcPr>
            <w:tcW w:w="2940" w:type="dxa"/>
            <w:vAlign w:val="center"/>
          </w:tcPr>
          <w:p>
            <w:pPr>
              <w:widowControl/>
              <w:rPr>
                <w:rFonts w:ascii="宋体" w:hAnsi="宋体" w:cs="宋体"/>
                <w:color w:val="auto"/>
                <w:kern w:val="0"/>
                <w:sz w:val="18"/>
                <w:szCs w:val="18"/>
                <w:highlight w:val="none"/>
              </w:rPr>
            </w:pPr>
            <w:r>
              <w:rPr>
                <w:rFonts w:ascii="宋体" w:hAnsi="宋体" w:eastAsia="宋体" w:cs="宋体"/>
                <w:color w:val="auto"/>
                <w:kern w:val="0"/>
                <w:sz w:val="18"/>
                <w:szCs w:val="18"/>
                <w:highlight w:val="none"/>
              </w:rPr>
              <w:t>依据</w:t>
            </w:r>
            <w:r>
              <w:rPr>
                <w:rFonts w:hint="eastAsia" w:ascii="宋体" w:hAnsi="宋体" w:eastAsia="宋体" w:cs="宋体"/>
                <w:color w:val="auto"/>
                <w:kern w:val="0"/>
                <w:sz w:val="18"/>
                <w:szCs w:val="18"/>
                <w:highlight w:val="none"/>
              </w:rPr>
              <w:t>G</w:t>
            </w:r>
            <w:r>
              <w:rPr>
                <w:rFonts w:ascii="宋体" w:hAnsi="宋体" w:eastAsia="宋体" w:cs="宋体"/>
                <w:color w:val="auto"/>
                <w:kern w:val="0"/>
                <w:sz w:val="18"/>
                <w:szCs w:val="18"/>
                <w:highlight w:val="none"/>
              </w:rPr>
              <w:t>B 31644进行判定，并提供相关检测报告。</w:t>
            </w:r>
          </w:p>
        </w:tc>
        <w:tc>
          <w:tcPr>
            <w:tcW w:w="1070" w:type="dxa"/>
          </w:tcPr>
          <w:p>
            <w:pPr>
              <w:widowControl/>
              <w:rPr>
                <w:rFonts w:ascii="宋体" w:hAnsi="宋体" w:eastAsia="宋体" w:cs="宋体"/>
                <w:color w:val="auto"/>
                <w:kern w:val="0"/>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pStyle w:val="26"/>
              <w:ind w:firstLine="0" w:firstLineChars="0"/>
              <w:jc w:val="center"/>
              <w:rPr>
                <w:rFonts w:hAnsi="宋体"/>
                <w:color w:val="auto"/>
                <w:sz w:val="18"/>
                <w:szCs w:val="18"/>
                <w:highlight w:val="none"/>
              </w:rPr>
            </w:pPr>
          </w:p>
        </w:tc>
        <w:tc>
          <w:tcPr>
            <w:tcW w:w="2289" w:type="dxa"/>
            <w:vAlign w:val="center"/>
          </w:tcPr>
          <w:p>
            <w:pPr>
              <w:widowControl/>
              <w:spacing w:before="100" w:beforeAutospacing="1" w:after="100" w:afterAutospacing="1" w:line="90" w:lineRule="atLeast"/>
              <w:jc w:val="left"/>
              <w:rPr>
                <w:color w:val="auto"/>
                <w:sz w:val="18"/>
                <w:szCs w:val="18"/>
                <w:highlight w:val="none"/>
              </w:rPr>
            </w:pPr>
            <w:r>
              <w:rPr>
                <w:rFonts w:hint="eastAsia"/>
                <w:color w:val="auto"/>
                <w:sz w:val="18"/>
                <w:szCs w:val="18"/>
                <w:highlight w:val="none"/>
              </w:rPr>
              <w:t xml:space="preserve">菌落总数             </w:t>
            </w:r>
            <w:r>
              <w:rPr>
                <w:rFonts w:hint="eastAsia" w:ascii="宋体" w:hAnsi="宋体" w:eastAsia="宋体" w:cs="宋体"/>
                <w:color w:val="auto"/>
                <w:sz w:val="18"/>
                <w:szCs w:val="18"/>
                <w:highlight w:val="none"/>
              </w:rPr>
              <w:t>≤</w:t>
            </w:r>
          </w:p>
        </w:tc>
        <w:tc>
          <w:tcPr>
            <w:tcW w:w="670" w:type="dxa"/>
            <w:vAlign w:val="center"/>
          </w:tcPr>
          <w:p>
            <w:pPr>
              <w:widowControl/>
              <w:spacing w:before="100" w:beforeAutospacing="1" w:after="100" w:afterAutospacing="1" w:line="90" w:lineRule="atLeast"/>
              <w:jc w:val="center"/>
              <w:rPr>
                <w:color w:val="auto"/>
                <w:sz w:val="18"/>
                <w:szCs w:val="18"/>
                <w:highlight w:val="none"/>
              </w:rPr>
            </w:pPr>
            <w:r>
              <w:rPr>
                <w:rFonts w:hint="eastAsia"/>
                <w:color w:val="auto"/>
                <w:sz w:val="18"/>
                <w:szCs w:val="18"/>
                <w:highlight w:val="none"/>
              </w:rPr>
              <w:t>C</w:t>
            </w:r>
            <w:r>
              <w:rPr>
                <w:color w:val="auto"/>
                <w:sz w:val="18"/>
                <w:szCs w:val="18"/>
                <w:highlight w:val="none"/>
              </w:rPr>
              <w:t>FU/g</w:t>
            </w:r>
          </w:p>
        </w:tc>
        <w:tc>
          <w:tcPr>
            <w:tcW w:w="1230" w:type="dxa"/>
            <w:tcBorders>
              <w:top w:val="single" w:color="auto" w:sz="4" w:space="0"/>
            </w:tcBorders>
            <w:vAlign w:val="center"/>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color w:val="auto"/>
                <w:sz w:val="18"/>
                <w:szCs w:val="18"/>
                <w:highlight w:val="none"/>
              </w:rPr>
              <w:t>5000</w:t>
            </w:r>
          </w:p>
        </w:tc>
        <w:tc>
          <w:tcPr>
            <w:tcW w:w="2940" w:type="dxa"/>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依据</w:t>
            </w:r>
            <w:r>
              <w:rPr>
                <w:color w:val="auto"/>
                <w:sz w:val="18"/>
                <w:szCs w:val="18"/>
                <w:highlight w:val="none"/>
              </w:rPr>
              <w:t>GB 4789.2进行</w:t>
            </w:r>
            <w:r>
              <w:rPr>
                <w:rFonts w:hint="eastAsia"/>
                <w:color w:val="auto"/>
                <w:sz w:val="18"/>
                <w:szCs w:val="18"/>
                <w:highlight w:val="none"/>
              </w:rPr>
              <w:t>检测</w:t>
            </w:r>
            <w:r>
              <w:rPr>
                <w:color w:val="auto"/>
                <w:sz w:val="18"/>
                <w:szCs w:val="18"/>
                <w:highlight w:val="none"/>
              </w:rPr>
              <w:t>，并</w:t>
            </w:r>
            <w:r>
              <w:rPr>
                <w:rFonts w:ascii="宋体" w:hAnsi="宋体" w:eastAsia="宋体" w:cs="宋体"/>
                <w:color w:val="auto"/>
                <w:kern w:val="0"/>
                <w:sz w:val="18"/>
                <w:szCs w:val="18"/>
                <w:highlight w:val="none"/>
              </w:rPr>
              <w:t>提供相关检测报告。</w:t>
            </w:r>
          </w:p>
        </w:tc>
        <w:tc>
          <w:tcPr>
            <w:tcW w:w="1070" w:type="dxa"/>
          </w:tcPr>
          <w:p>
            <w:pPr>
              <w:widowControl/>
              <w:spacing w:before="100" w:beforeAutospacing="1" w:after="100" w:afterAutospacing="1" w:line="90" w:lineRule="atLeast"/>
              <w:jc w:val="left"/>
              <w:rPr>
                <w:rFonts w:ascii="宋体" w:hAnsi="宋体" w:eastAsia="宋体" w:cs="宋体"/>
                <w:color w:val="auto"/>
                <w:kern w:val="0"/>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Merge w:val="continue"/>
            <w:vAlign w:val="center"/>
          </w:tcPr>
          <w:p>
            <w:pPr>
              <w:pStyle w:val="26"/>
              <w:ind w:firstLine="0" w:firstLineChars="0"/>
              <w:jc w:val="center"/>
              <w:rPr>
                <w:rFonts w:hAnsi="宋体"/>
                <w:color w:val="auto"/>
                <w:sz w:val="18"/>
                <w:szCs w:val="18"/>
                <w:highlight w:val="none"/>
              </w:rPr>
            </w:pPr>
          </w:p>
        </w:tc>
        <w:tc>
          <w:tcPr>
            <w:tcW w:w="2289" w:type="dxa"/>
          </w:tcPr>
          <w:p>
            <w:pPr>
              <w:spacing w:line="400" w:lineRule="exact"/>
              <w:rPr>
                <w:color w:val="auto"/>
                <w:sz w:val="18"/>
                <w:szCs w:val="18"/>
                <w:highlight w:val="none"/>
              </w:rPr>
            </w:pPr>
            <w:r>
              <w:rPr>
                <w:rFonts w:hint="eastAsia"/>
                <w:color w:val="auto"/>
                <w:sz w:val="18"/>
                <w:szCs w:val="18"/>
                <w:highlight w:val="none"/>
              </w:rPr>
              <w:t>产</w:t>
            </w:r>
            <w:r>
              <w:rPr>
                <w:color w:val="auto"/>
                <w:sz w:val="18"/>
                <w:szCs w:val="18"/>
                <w:highlight w:val="none"/>
              </w:rPr>
              <w:t>品</w:t>
            </w:r>
            <w:r>
              <w:rPr>
                <w:rFonts w:hint="eastAsia"/>
                <w:color w:val="auto"/>
                <w:sz w:val="18"/>
                <w:szCs w:val="18"/>
                <w:highlight w:val="none"/>
              </w:rPr>
              <w:t>食用</w:t>
            </w:r>
            <w:r>
              <w:rPr>
                <w:color w:val="auto"/>
                <w:sz w:val="18"/>
                <w:szCs w:val="18"/>
                <w:highlight w:val="none"/>
              </w:rPr>
              <w:t>盐含量</w:t>
            </w:r>
            <w:r>
              <w:rPr>
                <w:rFonts w:hint="eastAsia"/>
                <w:color w:val="auto"/>
                <w:sz w:val="18"/>
                <w:szCs w:val="18"/>
                <w:highlight w:val="none"/>
              </w:rPr>
              <w:t xml:space="preserve">       </w:t>
            </w:r>
            <w:r>
              <w:rPr>
                <w:rFonts w:hint="eastAsia" w:cs="宋体" w:asciiTheme="minorEastAsia" w:hAnsiTheme="minorEastAsia"/>
                <w:color w:val="auto"/>
                <w:kern w:val="0"/>
                <w:sz w:val="18"/>
                <w:szCs w:val="18"/>
                <w:highlight w:val="none"/>
              </w:rPr>
              <w:t>≤</w:t>
            </w:r>
          </w:p>
        </w:tc>
        <w:tc>
          <w:tcPr>
            <w:tcW w:w="670" w:type="dxa"/>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w:t>
            </w:r>
          </w:p>
        </w:tc>
        <w:tc>
          <w:tcPr>
            <w:tcW w:w="1230" w:type="dxa"/>
            <w:vAlign w:val="center"/>
          </w:tcPr>
          <w:p>
            <w:pPr>
              <w:widowControl/>
              <w:jc w:val="center"/>
              <w:rPr>
                <w:rFonts w:ascii="宋体" w:hAnsi="宋体" w:cs="宋体"/>
                <w:color w:val="auto"/>
                <w:kern w:val="0"/>
                <w:sz w:val="18"/>
                <w:szCs w:val="18"/>
                <w:highlight w:val="none"/>
              </w:rPr>
            </w:pPr>
            <w:r>
              <w:rPr>
                <w:rFonts w:hint="eastAsia" w:cs="宋体" w:asciiTheme="minorEastAsia" w:hAnsiTheme="minorEastAsia"/>
                <w:color w:val="auto"/>
                <w:kern w:val="0"/>
                <w:sz w:val="18"/>
                <w:szCs w:val="18"/>
                <w:highlight w:val="none"/>
              </w:rPr>
              <w:t>1</w:t>
            </w:r>
            <w:r>
              <w:rPr>
                <w:rFonts w:cs="宋体" w:asciiTheme="minorEastAsia" w:hAnsiTheme="minorEastAsia"/>
                <w:color w:val="auto"/>
                <w:kern w:val="0"/>
                <w:sz w:val="18"/>
                <w:szCs w:val="18"/>
                <w:highlight w:val="none"/>
              </w:rPr>
              <w:t>5</w:t>
            </w:r>
          </w:p>
        </w:tc>
        <w:tc>
          <w:tcPr>
            <w:tcW w:w="2940" w:type="dxa"/>
            <w:vAlign w:val="center"/>
          </w:tcPr>
          <w:p>
            <w:pPr>
              <w:widowControl/>
              <w:jc w:val="left"/>
              <w:rPr>
                <w:rFonts w:ascii="宋体" w:hAnsi="宋体" w:cs="宋体"/>
                <w:color w:val="auto"/>
                <w:kern w:val="0"/>
                <w:sz w:val="18"/>
                <w:szCs w:val="18"/>
                <w:highlight w:val="none"/>
              </w:rPr>
            </w:pPr>
            <w:r>
              <w:rPr>
                <w:rFonts w:ascii="宋体" w:hAnsi="宋体" w:eastAsia="宋体" w:cs="宋体"/>
                <w:color w:val="auto"/>
                <w:kern w:val="0"/>
                <w:sz w:val="18"/>
                <w:szCs w:val="18"/>
                <w:highlight w:val="none"/>
              </w:rPr>
              <w:t>依据</w:t>
            </w:r>
            <w:r>
              <w:rPr>
                <w:color w:val="auto"/>
                <w:sz w:val="18"/>
                <w:szCs w:val="18"/>
                <w:highlight w:val="none"/>
              </w:rPr>
              <w:t>GB/T 5009.40进行</w:t>
            </w:r>
            <w:r>
              <w:rPr>
                <w:rFonts w:hint="eastAsia"/>
                <w:color w:val="auto"/>
                <w:sz w:val="18"/>
                <w:szCs w:val="18"/>
                <w:highlight w:val="none"/>
              </w:rPr>
              <w:t>检测</w:t>
            </w:r>
            <w:r>
              <w:rPr>
                <w:color w:val="auto"/>
                <w:sz w:val="18"/>
                <w:szCs w:val="18"/>
                <w:highlight w:val="none"/>
              </w:rPr>
              <w:t>，并</w:t>
            </w:r>
            <w:r>
              <w:rPr>
                <w:rFonts w:ascii="宋体" w:hAnsi="宋体" w:eastAsia="宋体" w:cs="宋体"/>
                <w:color w:val="auto"/>
                <w:kern w:val="0"/>
                <w:sz w:val="18"/>
                <w:szCs w:val="18"/>
                <w:highlight w:val="none"/>
              </w:rPr>
              <w:t>提供相关检测报告。</w:t>
            </w:r>
          </w:p>
        </w:tc>
        <w:tc>
          <w:tcPr>
            <w:tcW w:w="1070" w:type="dxa"/>
          </w:tcPr>
          <w:p>
            <w:pPr>
              <w:widowControl/>
              <w:jc w:val="left"/>
              <w:rPr>
                <w:rFonts w:ascii="宋体" w:hAnsi="宋体" w:eastAsia="宋体" w:cs="宋体"/>
                <w:color w:val="auto"/>
                <w:kern w:val="0"/>
                <w:sz w:val="18"/>
                <w:szCs w:val="18"/>
                <w:highlight w:val="none"/>
              </w:rPr>
            </w:pPr>
            <w:r>
              <w:rPr>
                <w:color w:val="auto"/>
                <w:sz w:val="18"/>
                <w:szCs w:val="18"/>
                <w:highlight w:val="none"/>
              </w:rPr>
              <w:t>产品</w:t>
            </w:r>
            <w:r>
              <w:rPr>
                <w:rFonts w:hint="eastAsia"/>
                <w:color w:val="auto"/>
                <w:sz w:val="18"/>
                <w:szCs w:val="18"/>
                <w:highlight w:val="none"/>
              </w:rPr>
              <w:t>生</w:t>
            </w:r>
            <w:r>
              <w:rPr>
                <w:color w:val="auto"/>
                <w:sz w:val="18"/>
                <w:szCs w:val="18"/>
                <w:highlight w:val="none"/>
              </w:rPr>
              <w:t>产</w:t>
            </w:r>
          </w:p>
        </w:tc>
      </w:tr>
    </w:tbl>
    <w:p>
      <w:pPr>
        <w:pStyle w:val="51"/>
        <w:spacing w:before="312" w:after="312"/>
        <w:rPr>
          <w:rFonts w:hAnsi="宋体"/>
          <w:color w:val="auto"/>
          <w:szCs w:val="21"/>
          <w:highlight w:val="none"/>
        </w:rPr>
      </w:pPr>
      <w:r>
        <w:rPr>
          <w:rFonts w:hint="eastAsia" w:hAnsi="宋体"/>
          <w:color w:val="auto"/>
          <w:szCs w:val="21"/>
          <w:highlight w:val="none"/>
        </w:rPr>
        <w:t>指标计算方法</w:t>
      </w:r>
    </w:p>
    <w:p>
      <w:pPr>
        <w:pStyle w:val="26"/>
        <w:rPr>
          <w:color w:val="auto"/>
          <w:szCs w:val="21"/>
          <w:highlight w:val="none"/>
        </w:rPr>
      </w:pPr>
      <w:r>
        <w:rPr>
          <w:rFonts w:hint="eastAsia"/>
          <w:color w:val="auto"/>
          <w:highlight w:val="none"/>
        </w:rPr>
        <w:t>应按本标准附录</w:t>
      </w:r>
      <w:r>
        <w:rPr>
          <w:color w:val="auto"/>
          <w:highlight w:val="none"/>
        </w:rPr>
        <w:t>A</w:t>
      </w:r>
      <w:r>
        <w:rPr>
          <w:rFonts w:hint="eastAsia"/>
          <w:color w:val="auto"/>
          <w:highlight w:val="none"/>
        </w:rPr>
        <w:t>进行指标计算</w:t>
      </w:r>
      <w:r>
        <w:rPr>
          <w:rFonts w:hint="eastAsia"/>
          <w:color w:val="auto"/>
          <w:szCs w:val="21"/>
          <w:highlight w:val="none"/>
        </w:rPr>
        <w:t>。</w:t>
      </w:r>
    </w:p>
    <w:p>
      <w:pPr>
        <w:pStyle w:val="51"/>
        <w:spacing w:before="312" w:after="312"/>
        <w:rPr>
          <w:rFonts w:hAnsi="宋体"/>
          <w:color w:val="auto"/>
          <w:szCs w:val="21"/>
          <w:highlight w:val="none"/>
        </w:rPr>
      </w:pPr>
      <w:r>
        <w:rPr>
          <w:rFonts w:hint="eastAsia" w:hAnsi="宋体"/>
          <w:color w:val="auto"/>
          <w:szCs w:val="21"/>
          <w:highlight w:val="none"/>
        </w:rPr>
        <w:t>产品生命周期评价报告编制方法</w:t>
      </w:r>
    </w:p>
    <w:p>
      <w:pPr>
        <w:pStyle w:val="50"/>
        <w:spacing w:before="156" w:after="156"/>
        <w:ind w:left="0"/>
        <w:rPr>
          <w:rFonts w:hAnsi="黑体"/>
          <w:color w:val="auto"/>
          <w:highlight w:val="none"/>
        </w:rPr>
      </w:pPr>
      <w:r>
        <w:rPr>
          <w:rFonts w:hint="eastAsia" w:hAnsi="黑体"/>
          <w:color w:val="auto"/>
          <w:highlight w:val="none"/>
        </w:rPr>
        <w:t>方法</w:t>
      </w:r>
    </w:p>
    <w:p>
      <w:pPr>
        <w:pStyle w:val="26"/>
        <w:rPr>
          <w:color w:val="auto"/>
          <w:szCs w:val="21"/>
          <w:highlight w:val="none"/>
        </w:rPr>
      </w:pPr>
      <w:r>
        <w:rPr>
          <w:rFonts w:hint="eastAsia"/>
          <w:color w:val="auto"/>
          <w:szCs w:val="21"/>
          <w:highlight w:val="none"/>
        </w:rPr>
        <w:t>依据GB/T24040、GB/T24044、GB/T32161给出的生命周期评价方法学框架、总体要求及附录B编制</w:t>
      </w:r>
      <w:r>
        <w:rPr>
          <w:rFonts w:hint="eastAsia"/>
          <w:color w:val="auto"/>
          <w:highlight w:val="none"/>
        </w:rPr>
        <w:t>辣椒酱</w:t>
      </w:r>
      <w:r>
        <w:rPr>
          <w:rFonts w:hint="eastAsia"/>
          <w:color w:val="auto"/>
          <w:szCs w:val="21"/>
          <w:highlight w:val="none"/>
        </w:rPr>
        <w:t>产品的生命周期评价报告。</w:t>
      </w:r>
    </w:p>
    <w:p>
      <w:pPr>
        <w:pStyle w:val="50"/>
        <w:spacing w:before="156" w:after="156"/>
        <w:ind w:left="0"/>
        <w:rPr>
          <w:color w:val="auto"/>
          <w:highlight w:val="none"/>
        </w:rPr>
      </w:pPr>
      <w:r>
        <w:rPr>
          <w:rFonts w:hint="eastAsia" w:hAnsi="黑体"/>
          <w:color w:val="auto"/>
          <w:highlight w:val="none"/>
        </w:rPr>
        <w:t>报告内容</w:t>
      </w:r>
    </w:p>
    <w:p>
      <w:pPr>
        <w:pStyle w:val="50"/>
        <w:numPr>
          <w:ilvl w:val="2"/>
          <w:numId w:val="3"/>
        </w:numPr>
        <w:spacing w:before="156" w:after="156"/>
        <w:rPr>
          <w:rFonts w:hAnsi="黑体"/>
          <w:color w:val="auto"/>
          <w:highlight w:val="none"/>
        </w:rPr>
      </w:pPr>
      <w:r>
        <w:rPr>
          <w:rFonts w:hint="eastAsia" w:hAnsi="黑体"/>
          <w:color w:val="auto"/>
          <w:highlight w:val="none"/>
        </w:rPr>
        <w:t>基本信息</w:t>
      </w:r>
    </w:p>
    <w:p>
      <w:pPr>
        <w:pStyle w:val="26"/>
        <w:rPr>
          <w:color w:val="auto"/>
          <w:szCs w:val="21"/>
          <w:highlight w:val="none"/>
        </w:rPr>
      </w:pPr>
      <w:r>
        <w:rPr>
          <w:rFonts w:hint="eastAsia"/>
          <w:color w:val="auto"/>
          <w:szCs w:val="21"/>
          <w:highlight w:val="none"/>
        </w:rPr>
        <w:t xml:space="preserve">报告应提供报告信息、申请者信息、评估对象信息、采用的标准信息等基本信息，其中报告信息包括报告编号、编制人员、审核人员、发布日期等，申请者信息包括公司全称、组织机构代码（三证合一）、地址、联系人、联系方式等。 </w:t>
      </w:r>
    </w:p>
    <w:p>
      <w:pPr>
        <w:pStyle w:val="26"/>
        <w:rPr>
          <w:color w:val="auto"/>
          <w:szCs w:val="21"/>
          <w:highlight w:val="none"/>
        </w:rPr>
      </w:pPr>
      <w:r>
        <w:rPr>
          <w:rFonts w:hint="eastAsia"/>
          <w:color w:val="auto"/>
          <w:szCs w:val="21"/>
          <w:highlight w:val="none"/>
        </w:rPr>
        <w:t>在报告中应提供产品的主要技术参数和应用范围，包括：名称、产品规格、产品标准代号、生产许可证编号、生产厂家等。产品重量、包装规格及包装物材质也应在生态报告中阐明。</w:t>
      </w:r>
    </w:p>
    <w:p>
      <w:pPr>
        <w:pStyle w:val="50"/>
        <w:numPr>
          <w:ilvl w:val="2"/>
          <w:numId w:val="3"/>
        </w:numPr>
        <w:spacing w:before="156" w:after="156"/>
        <w:rPr>
          <w:rFonts w:hAnsi="黑体"/>
          <w:color w:val="auto"/>
          <w:highlight w:val="none"/>
        </w:rPr>
      </w:pPr>
      <w:r>
        <w:rPr>
          <w:rFonts w:hint="eastAsia" w:hAnsi="黑体"/>
          <w:color w:val="auto"/>
          <w:highlight w:val="none"/>
        </w:rPr>
        <w:t>符合性评价</w:t>
      </w:r>
    </w:p>
    <w:p>
      <w:pPr>
        <w:pStyle w:val="26"/>
        <w:rPr>
          <w:color w:val="auto"/>
          <w:szCs w:val="21"/>
          <w:highlight w:val="none"/>
        </w:rPr>
      </w:pPr>
      <w:r>
        <w:rPr>
          <w:rFonts w:hint="eastAsia"/>
          <w:color w:val="auto"/>
          <w:szCs w:val="21"/>
          <w:highlight w:val="none"/>
        </w:rPr>
        <w:t>报告中应提供对基本要求和评价指标要求的符合性情况，并提供所有评价指标报告期比基期改进情况的说明。 其中报告期为当前评价的年份， 一般是指产品参与评价年份的上一年；基期为一个对照年份，一般比报告期提前1年。</w:t>
      </w:r>
    </w:p>
    <w:p>
      <w:pPr>
        <w:pStyle w:val="50"/>
        <w:numPr>
          <w:ilvl w:val="2"/>
          <w:numId w:val="3"/>
        </w:numPr>
        <w:spacing w:before="156" w:after="156"/>
        <w:rPr>
          <w:rFonts w:hAnsi="黑体"/>
          <w:color w:val="auto"/>
          <w:highlight w:val="none"/>
        </w:rPr>
      </w:pPr>
      <w:r>
        <w:rPr>
          <w:rFonts w:hint="eastAsia" w:hAnsi="黑体"/>
          <w:color w:val="auto"/>
          <w:highlight w:val="none"/>
        </w:rPr>
        <w:t>生命周期评价</w:t>
      </w:r>
    </w:p>
    <w:p>
      <w:pPr>
        <w:pStyle w:val="54"/>
        <w:spacing w:before="156" w:after="156"/>
        <w:ind w:left="0"/>
        <w:rPr>
          <w:color w:val="auto"/>
          <w:highlight w:val="none"/>
        </w:rPr>
      </w:pPr>
      <w:r>
        <w:rPr>
          <w:rFonts w:hint="eastAsia"/>
          <w:color w:val="auto"/>
          <w:highlight w:val="none"/>
        </w:rPr>
        <w:t>评价对象及工具</w:t>
      </w:r>
    </w:p>
    <w:p>
      <w:pPr>
        <w:pStyle w:val="26"/>
        <w:rPr>
          <w:color w:val="auto"/>
          <w:szCs w:val="21"/>
          <w:highlight w:val="none"/>
        </w:rPr>
      </w:pPr>
      <w:r>
        <w:rPr>
          <w:rFonts w:hint="eastAsia"/>
          <w:color w:val="auto"/>
          <w:szCs w:val="21"/>
          <w:highlight w:val="none"/>
        </w:rPr>
        <w:t>报告中应详细描述评估的对象、功能单位和产品主要功能，提供产品的材料构成及主要技术参数表，绘制并说明产品的系统边界，披露所使用的软件工具。</w:t>
      </w:r>
    </w:p>
    <w:p>
      <w:pPr>
        <w:pStyle w:val="26"/>
        <w:rPr>
          <w:color w:val="auto"/>
          <w:szCs w:val="21"/>
          <w:highlight w:val="none"/>
        </w:rPr>
      </w:pPr>
      <w:r>
        <w:rPr>
          <w:rFonts w:hint="eastAsia"/>
          <w:color w:val="auto"/>
          <w:szCs w:val="21"/>
          <w:highlight w:val="none"/>
        </w:rPr>
        <w:t>本部分以生产“1t产品”为功能单元来表示。</w:t>
      </w:r>
    </w:p>
    <w:p>
      <w:pPr>
        <w:pStyle w:val="54"/>
        <w:spacing w:before="156" w:after="156"/>
        <w:ind w:left="0"/>
        <w:rPr>
          <w:color w:val="auto"/>
          <w:highlight w:val="none"/>
        </w:rPr>
      </w:pPr>
      <w:r>
        <w:rPr>
          <w:rFonts w:hint="eastAsia"/>
          <w:color w:val="auto"/>
          <w:highlight w:val="none"/>
        </w:rPr>
        <w:t>生命周期清单分析</w:t>
      </w:r>
    </w:p>
    <w:p>
      <w:pPr>
        <w:pStyle w:val="26"/>
        <w:rPr>
          <w:color w:val="auto"/>
          <w:szCs w:val="21"/>
          <w:highlight w:val="none"/>
        </w:rPr>
      </w:pPr>
      <w:r>
        <w:rPr>
          <w:rFonts w:hint="eastAsia"/>
          <w:color w:val="auto"/>
          <w:szCs w:val="21"/>
          <w:highlight w:val="none"/>
        </w:rPr>
        <w:t>报告中应提供考虑的生命周期阶段， 说明每个阶段所考虑的清单因子及收集到的现场数据或背景数据，涉及到数据分配的情况应说明分配方法和结果。</w:t>
      </w:r>
    </w:p>
    <w:p>
      <w:pPr>
        <w:pStyle w:val="54"/>
        <w:spacing w:before="156" w:after="156"/>
        <w:ind w:left="0"/>
        <w:rPr>
          <w:color w:val="auto"/>
          <w:highlight w:val="none"/>
        </w:rPr>
      </w:pPr>
      <w:r>
        <w:rPr>
          <w:rFonts w:hint="eastAsia"/>
          <w:color w:val="auto"/>
          <w:highlight w:val="none"/>
        </w:rPr>
        <w:t>生命周期影响评价</w:t>
      </w:r>
    </w:p>
    <w:p>
      <w:pPr>
        <w:pStyle w:val="26"/>
        <w:rPr>
          <w:color w:val="auto"/>
          <w:szCs w:val="21"/>
          <w:highlight w:val="none"/>
        </w:rPr>
      </w:pPr>
      <w:r>
        <w:rPr>
          <w:rFonts w:hint="eastAsia"/>
          <w:color w:val="auto"/>
          <w:szCs w:val="21"/>
          <w:highlight w:val="none"/>
        </w:rPr>
        <w:t>报告中应提供产品生命周期各阶段的不同影响类型的特征化值，并对不同影响类型在生命周期阶段的分布情况进行比较分析。</w:t>
      </w:r>
    </w:p>
    <w:p>
      <w:pPr>
        <w:pStyle w:val="54"/>
        <w:spacing w:before="156" w:after="156"/>
        <w:ind w:left="0"/>
        <w:rPr>
          <w:color w:val="auto"/>
          <w:highlight w:val="none"/>
        </w:rPr>
      </w:pPr>
      <w:r>
        <w:rPr>
          <w:rFonts w:hint="eastAsia"/>
          <w:color w:val="auto"/>
          <w:highlight w:val="none"/>
        </w:rPr>
        <w:t>绿色设计改进方案</w:t>
      </w:r>
    </w:p>
    <w:p>
      <w:pPr>
        <w:pStyle w:val="26"/>
        <w:rPr>
          <w:color w:val="auto"/>
          <w:szCs w:val="21"/>
          <w:highlight w:val="none"/>
        </w:rPr>
      </w:pPr>
      <w:r>
        <w:rPr>
          <w:rFonts w:hint="eastAsia"/>
          <w:color w:val="auto"/>
          <w:szCs w:val="21"/>
          <w:highlight w:val="none"/>
        </w:rPr>
        <w:t>在分析指标的符合性评价结果以及生命周期评价结果的基础上，提出产品绿色设计改进的具体方案。</w:t>
      </w:r>
    </w:p>
    <w:p>
      <w:pPr>
        <w:pStyle w:val="50"/>
        <w:numPr>
          <w:ilvl w:val="2"/>
          <w:numId w:val="3"/>
        </w:numPr>
        <w:spacing w:before="156" w:after="156"/>
        <w:rPr>
          <w:rFonts w:hAnsi="黑体"/>
          <w:color w:val="auto"/>
          <w:highlight w:val="none"/>
        </w:rPr>
      </w:pPr>
      <w:r>
        <w:rPr>
          <w:rFonts w:hint="eastAsia" w:hAnsi="黑体"/>
          <w:color w:val="auto"/>
          <w:highlight w:val="none"/>
        </w:rPr>
        <w:t>评价报告主要结论</w:t>
      </w:r>
    </w:p>
    <w:p>
      <w:pPr>
        <w:pStyle w:val="26"/>
        <w:rPr>
          <w:color w:val="auto"/>
          <w:szCs w:val="21"/>
          <w:highlight w:val="none"/>
        </w:rPr>
      </w:pPr>
      <w:r>
        <w:rPr>
          <w:rFonts w:hint="eastAsia"/>
          <w:color w:val="auto"/>
          <w:szCs w:val="21"/>
          <w:highlight w:val="none"/>
        </w:rPr>
        <w:t>应说明该产品对评价指标的符合性结论、生命周期评价结果、提出的改进方案，并根据评价结论初步判断该产品是否为绿色设计产品。</w:t>
      </w:r>
    </w:p>
    <w:p>
      <w:pPr>
        <w:pStyle w:val="50"/>
        <w:numPr>
          <w:ilvl w:val="2"/>
          <w:numId w:val="3"/>
        </w:numPr>
        <w:spacing w:before="156" w:after="156"/>
        <w:rPr>
          <w:rFonts w:hAnsi="黑体"/>
          <w:color w:val="auto"/>
          <w:highlight w:val="none"/>
        </w:rPr>
      </w:pPr>
      <w:r>
        <w:rPr>
          <w:rFonts w:hint="eastAsia" w:hAnsi="黑体"/>
          <w:color w:val="auto"/>
          <w:highlight w:val="none"/>
        </w:rPr>
        <w:t>附件</w:t>
      </w:r>
    </w:p>
    <w:p>
      <w:pPr>
        <w:pStyle w:val="26"/>
        <w:rPr>
          <w:color w:val="auto"/>
          <w:szCs w:val="21"/>
          <w:highlight w:val="none"/>
        </w:rPr>
      </w:pPr>
      <w:r>
        <w:rPr>
          <w:rFonts w:hint="eastAsia"/>
          <w:color w:val="auto"/>
          <w:szCs w:val="21"/>
          <w:highlight w:val="none"/>
        </w:rPr>
        <w:t>报告中应在附件中提供：</w:t>
      </w:r>
    </w:p>
    <w:p>
      <w:pPr>
        <w:pStyle w:val="26"/>
        <w:rPr>
          <w:color w:val="auto"/>
          <w:szCs w:val="21"/>
          <w:highlight w:val="none"/>
        </w:rPr>
      </w:pPr>
      <w:r>
        <w:rPr>
          <w:rFonts w:hint="eastAsia"/>
          <w:color w:val="auto"/>
          <w:szCs w:val="21"/>
          <w:highlight w:val="none"/>
        </w:rPr>
        <w:t>a) 产品原始包装图；</w:t>
      </w:r>
    </w:p>
    <w:p>
      <w:pPr>
        <w:pStyle w:val="26"/>
        <w:rPr>
          <w:color w:val="auto"/>
          <w:szCs w:val="21"/>
          <w:highlight w:val="none"/>
        </w:rPr>
      </w:pPr>
      <w:r>
        <w:rPr>
          <w:rFonts w:hint="eastAsia"/>
          <w:color w:val="auto"/>
          <w:szCs w:val="21"/>
          <w:highlight w:val="none"/>
        </w:rPr>
        <w:t>b) 产品生产材料清单；</w:t>
      </w:r>
    </w:p>
    <w:p>
      <w:pPr>
        <w:pStyle w:val="26"/>
        <w:rPr>
          <w:color w:val="auto"/>
          <w:szCs w:val="21"/>
          <w:highlight w:val="none"/>
        </w:rPr>
      </w:pPr>
      <w:r>
        <w:rPr>
          <w:rFonts w:hint="eastAsia"/>
          <w:color w:val="auto"/>
          <w:szCs w:val="21"/>
          <w:highlight w:val="none"/>
        </w:rPr>
        <w:t>c) 产品工艺表（产品生产工艺过程示意图等）；</w:t>
      </w:r>
    </w:p>
    <w:p>
      <w:pPr>
        <w:pStyle w:val="26"/>
        <w:rPr>
          <w:color w:val="auto"/>
          <w:szCs w:val="21"/>
          <w:highlight w:val="none"/>
        </w:rPr>
      </w:pPr>
      <w:r>
        <w:rPr>
          <w:rFonts w:hint="eastAsia"/>
          <w:color w:val="auto"/>
          <w:szCs w:val="21"/>
          <w:highlight w:val="none"/>
        </w:rPr>
        <w:t>d) 各单元过程的数据收集表；</w:t>
      </w:r>
    </w:p>
    <w:p>
      <w:pPr>
        <w:pStyle w:val="26"/>
        <w:rPr>
          <w:color w:val="auto"/>
          <w:szCs w:val="21"/>
          <w:highlight w:val="none"/>
        </w:rPr>
      </w:pPr>
      <w:r>
        <w:rPr>
          <w:rFonts w:hint="eastAsia"/>
          <w:color w:val="auto"/>
          <w:szCs w:val="21"/>
          <w:highlight w:val="none"/>
        </w:rPr>
        <w:t>e) 其他。</w:t>
      </w:r>
    </w:p>
    <w:p>
      <w:pPr>
        <w:pStyle w:val="51"/>
        <w:spacing w:before="312" w:after="312"/>
        <w:rPr>
          <w:rFonts w:hAnsi="宋体"/>
          <w:color w:val="auto"/>
          <w:szCs w:val="21"/>
          <w:highlight w:val="none"/>
        </w:rPr>
      </w:pPr>
      <w:r>
        <w:rPr>
          <w:rFonts w:hint="eastAsia" w:hAnsi="宋体"/>
          <w:color w:val="auto"/>
          <w:szCs w:val="21"/>
          <w:highlight w:val="none"/>
        </w:rPr>
        <w:t>评价方法</w:t>
      </w:r>
    </w:p>
    <w:p>
      <w:pPr>
        <w:widowControl/>
        <w:jc w:val="left"/>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同时满足以下条件的蚝油产品可称为绿色设计产品：</w:t>
      </w:r>
    </w:p>
    <w:p>
      <w:pPr>
        <w:widowControl/>
        <w:jc w:val="left"/>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 xml:space="preserve"> a）满足本标准基本要求（见4.1）和评价指标要求（见4.2），并提供相关符合性证明文件；</w:t>
      </w:r>
    </w:p>
    <w:p>
      <w:pPr>
        <w:widowControl/>
        <w:jc w:val="left"/>
        <w:rPr>
          <w:rFonts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b）开展产品生命周期评价，并按第6章及附录B的方法提供蚝油产品生命周期评价报告。</w:t>
      </w:r>
      <w:r>
        <w:rPr>
          <w:color w:val="auto"/>
          <w:szCs w:val="21"/>
          <w:highlight w:val="none"/>
        </w:rPr>
        <w:br w:type="page"/>
      </w:r>
    </w:p>
    <w:p>
      <w:pPr>
        <w:pStyle w:val="26"/>
        <w:rPr>
          <w:color w:val="auto"/>
          <w:szCs w:val="21"/>
          <w:highlight w:val="none"/>
        </w:rPr>
        <w:sectPr>
          <w:footerReference r:id="rId9" w:type="default"/>
          <w:pgSz w:w="11906" w:h="16838"/>
          <w:pgMar w:top="1440" w:right="1800" w:bottom="1440" w:left="1800" w:header="1418" w:footer="1134" w:gutter="0"/>
          <w:pgNumType w:start="1"/>
          <w:cols w:space="425" w:num="1"/>
          <w:formProt w:val="0"/>
          <w:docGrid w:type="lines" w:linePitch="312" w:charSpace="0"/>
        </w:sectPr>
      </w:pPr>
    </w:p>
    <w:p>
      <w:pPr>
        <w:pStyle w:val="92"/>
        <w:spacing w:before="0" w:after="0"/>
        <w:ind w:left="0"/>
        <w:rPr>
          <w:rFonts w:ascii="Times New Roman"/>
          <w:color w:val="auto"/>
          <w:kern w:val="2"/>
          <w:szCs w:val="21"/>
          <w:highlight w:val="none"/>
        </w:rPr>
      </w:pPr>
    </w:p>
    <w:p>
      <w:pPr>
        <w:pStyle w:val="92"/>
        <w:numPr>
          <w:ilvl w:val="0"/>
          <w:numId w:val="0"/>
        </w:numPr>
        <w:spacing w:before="0" w:after="0"/>
        <w:rPr>
          <w:rFonts w:ascii="Times New Roman"/>
          <w:color w:val="auto"/>
          <w:kern w:val="2"/>
          <w:szCs w:val="21"/>
          <w:highlight w:val="none"/>
        </w:rPr>
      </w:pPr>
      <w:r>
        <w:rPr>
          <w:rFonts w:hint="eastAsia" w:ascii="Times New Roman"/>
          <w:color w:val="auto"/>
          <w:kern w:val="2"/>
          <w:szCs w:val="21"/>
          <w:highlight w:val="none"/>
        </w:rPr>
        <w:t>（规范性附录）</w:t>
      </w:r>
    </w:p>
    <w:p>
      <w:pPr>
        <w:pStyle w:val="92"/>
        <w:numPr>
          <w:ilvl w:val="0"/>
          <w:numId w:val="0"/>
        </w:numPr>
        <w:spacing w:before="0" w:after="0"/>
        <w:rPr>
          <w:rFonts w:ascii="Times New Roman"/>
          <w:color w:val="auto"/>
          <w:kern w:val="2"/>
          <w:szCs w:val="21"/>
          <w:highlight w:val="none"/>
        </w:rPr>
      </w:pPr>
      <w:r>
        <w:rPr>
          <w:rFonts w:hint="eastAsia"/>
          <w:color w:val="auto"/>
          <w:szCs w:val="21"/>
          <w:highlight w:val="none"/>
        </w:rPr>
        <w:t>检验方法和指标计算方法</w:t>
      </w:r>
    </w:p>
    <w:p>
      <w:pPr>
        <w:autoSpaceDE w:val="0"/>
        <w:autoSpaceDN w:val="0"/>
        <w:adjustRightInd w:val="0"/>
        <w:rPr>
          <w:rFonts w:ascii="Times New Roman" w:hAnsi="Times New Roman" w:eastAsia="黑体e眠副浡渀." w:cs="Times New Roman"/>
          <w:color w:val="auto"/>
          <w:kern w:val="0"/>
          <w:szCs w:val="21"/>
          <w:highlight w:val="none"/>
        </w:rPr>
      </w:pPr>
      <w:r>
        <w:rPr>
          <w:rFonts w:ascii="Times New Roman" w:hAnsi="Times New Roman" w:eastAsia="黑体" w:cs="Times New Roman"/>
          <w:color w:val="auto"/>
          <w:kern w:val="21"/>
          <w:szCs w:val="20"/>
          <w:highlight w:val="none"/>
        </w:rPr>
        <w:t>A.1 单位</w:t>
      </w:r>
      <w:r>
        <w:rPr>
          <w:rFonts w:ascii="Times New Roman" w:hAnsi="Times New Roman" w:eastAsia="黑体e眠副浡渀." w:cs="Times New Roman"/>
          <w:color w:val="auto"/>
          <w:kern w:val="0"/>
          <w:szCs w:val="21"/>
          <w:highlight w:val="none"/>
        </w:rPr>
        <w:t>产品取水量</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单位产品取水量按式（</w:t>
      </w:r>
      <w:r>
        <w:rPr>
          <w:rFonts w:hint="eastAsia" w:ascii="Times New Roman" w:hAnsi="Times New Roman" w:eastAsia="宋体e眠副浡渀." w:cs="Times New Roman"/>
          <w:color w:val="auto"/>
          <w:kern w:val="0"/>
          <w:szCs w:val="21"/>
          <w:highlight w:val="none"/>
        </w:rPr>
        <w:t>A</w:t>
      </w:r>
      <w:r>
        <w:rPr>
          <w:rFonts w:ascii="Times New Roman" w:hAnsi="Times New Roman" w:eastAsia="宋体e眠副浡渀." w:cs="Times New Roman"/>
          <w:color w:val="auto"/>
          <w:kern w:val="0"/>
          <w:szCs w:val="21"/>
          <w:highlight w:val="none"/>
        </w:rPr>
        <w:t>.1）计算。</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V</w:t>
      </w:r>
      <w:r>
        <w:rPr>
          <w:rFonts w:ascii="Times New Roman" w:hAnsi="Times New Roman" w:eastAsia="宋体e眠副浡渀." w:cs="Times New Roman"/>
          <w:color w:val="auto"/>
          <w:kern w:val="0"/>
          <w:szCs w:val="21"/>
          <w:highlight w:val="none"/>
          <w:vertAlign w:val="subscript"/>
        </w:rPr>
        <w:t>ui</w:t>
      </w:r>
      <w:r>
        <w:rPr>
          <w:rFonts w:ascii="Times New Roman" w:hAnsi="Times New Roman" w:eastAsia="宋体e眠副浡渀." w:cs="Times New Roman"/>
          <w:color w:val="auto"/>
          <w:kern w:val="0"/>
          <w:szCs w:val="21"/>
          <w:highlight w:val="none"/>
        </w:rPr>
        <w:t>=V</w:t>
      </w:r>
      <w:r>
        <w:rPr>
          <w:rFonts w:ascii="Times New Roman" w:hAnsi="Times New Roman" w:eastAsia="宋体e眠副浡渀." w:cs="Times New Roman"/>
          <w:color w:val="auto"/>
          <w:kern w:val="0"/>
          <w:szCs w:val="21"/>
          <w:highlight w:val="none"/>
          <w:vertAlign w:val="subscript"/>
        </w:rPr>
        <w:t>i</w:t>
      </w:r>
      <w:r>
        <w:rPr>
          <w:rFonts w:ascii="Times New Roman" w:hAnsi="Times New Roman" w:eastAsia="宋体e眠副浡渀." w:cs="Times New Roman"/>
          <w:color w:val="auto"/>
          <w:kern w:val="0"/>
          <w:szCs w:val="21"/>
          <w:highlight w:val="none"/>
        </w:rPr>
        <w:t>/Q</w:t>
      </w:r>
      <w:r>
        <w:rPr>
          <w:rFonts w:hint="eastAsia" w:ascii="宋体e眠副浡渀." w:hAnsi="Arial" w:eastAsia="宋体e眠副浡渀." w:cs="宋体e眠副浡渀."/>
          <w:color w:val="auto"/>
          <w:kern w:val="0"/>
          <w:szCs w:val="21"/>
          <w:highlight w:val="none"/>
        </w:rPr>
        <w:t>…………………………………………………………………………………</w:t>
      </w:r>
      <w:r>
        <w:rPr>
          <w:rFonts w:ascii="Times New Roman" w:hAnsi="Times New Roman" w:eastAsia="宋体e眠副浡渀." w:cs="Times New Roman"/>
          <w:color w:val="auto"/>
          <w:kern w:val="0"/>
          <w:szCs w:val="21"/>
          <w:highlight w:val="none"/>
        </w:rPr>
        <w:t>（</w:t>
      </w:r>
      <w:r>
        <w:rPr>
          <w:rFonts w:hint="eastAsia" w:ascii="Times New Roman" w:hAnsi="Times New Roman" w:eastAsia="宋体e眠副浡渀." w:cs="Times New Roman"/>
          <w:color w:val="auto"/>
          <w:kern w:val="0"/>
          <w:szCs w:val="21"/>
          <w:highlight w:val="none"/>
        </w:rPr>
        <w:t>A</w:t>
      </w:r>
      <w:r>
        <w:rPr>
          <w:rFonts w:ascii="Times New Roman" w:hAnsi="Times New Roman" w:eastAsia="宋体e眠副浡渀." w:cs="Times New Roman"/>
          <w:color w:val="auto"/>
          <w:kern w:val="0"/>
          <w:szCs w:val="21"/>
          <w:highlight w:val="none"/>
        </w:rPr>
        <w:t>.1）</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V</w:t>
      </w:r>
      <w:r>
        <w:rPr>
          <w:rFonts w:ascii="Times New Roman" w:hAnsi="Times New Roman" w:eastAsia="宋体e眠副浡渀." w:cs="Times New Roman"/>
          <w:color w:val="auto"/>
          <w:kern w:val="0"/>
          <w:szCs w:val="21"/>
          <w:highlight w:val="none"/>
          <w:vertAlign w:val="subscript"/>
        </w:rPr>
        <w:t>ui</w:t>
      </w:r>
      <w:r>
        <w:rPr>
          <w:rFonts w:ascii="Times New Roman" w:hAnsi="Times New Roman" w:eastAsia="宋体e眠副浡渀." w:cs="Times New Roman"/>
          <w:color w:val="auto"/>
          <w:kern w:val="0"/>
          <w:szCs w:val="21"/>
          <w:highlight w:val="none"/>
        </w:rPr>
        <w:t>——单位产品取水量，单位为立方米每吨（ m</w:t>
      </w:r>
      <w:r>
        <w:rPr>
          <w:rFonts w:ascii="Times New Roman" w:hAnsi="Times New Roman" w:eastAsia="宋体e眠副浡渀." w:cs="Times New Roman"/>
          <w:color w:val="auto"/>
          <w:kern w:val="0"/>
          <w:szCs w:val="21"/>
          <w:highlight w:val="none"/>
          <w:vertAlign w:val="superscript"/>
        </w:rPr>
        <w:t>3</w:t>
      </w:r>
      <w:r>
        <w:rPr>
          <w:rFonts w:ascii="Times New Roman" w:hAnsi="Times New Roman" w:eastAsia="宋体e眠副浡渀." w:cs="Times New Roman"/>
          <w:color w:val="auto"/>
          <w:kern w:val="0"/>
          <w:szCs w:val="21"/>
          <w:highlight w:val="none"/>
        </w:rPr>
        <w:t>/t）；</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V</w:t>
      </w:r>
      <w:r>
        <w:rPr>
          <w:rFonts w:ascii="Times New Roman" w:hAnsi="Times New Roman" w:eastAsia="宋体e眠副浡渀." w:cs="Times New Roman"/>
          <w:color w:val="auto"/>
          <w:kern w:val="0"/>
          <w:szCs w:val="21"/>
          <w:highlight w:val="none"/>
          <w:vertAlign w:val="subscript"/>
        </w:rPr>
        <w:t>i</w:t>
      </w:r>
      <w:r>
        <w:rPr>
          <w:rFonts w:ascii="Times New Roman" w:hAnsi="Times New Roman" w:eastAsia="宋体e眠副浡渀." w:cs="Times New Roman"/>
          <w:color w:val="auto"/>
          <w:kern w:val="0"/>
          <w:szCs w:val="21"/>
          <w:highlight w:val="none"/>
        </w:rPr>
        <w:t>——统计期内，生产某种产品的取水总量，单位为立方米（ m</w:t>
      </w:r>
      <w:r>
        <w:rPr>
          <w:rFonts w:ascii="Times New Roman" w:hAnsi="Times New Roman" w:eastAsia="宋体e眠副浡渀." w:cs="Times New Roman"/>
          <w:color w:val="auto"/>
          <w:kern w:val="0"/>
          <w:szCs w:val="21"/>
          <w:highlight w:val="none"/>
          <w:vertAlign w:val="superscript"/>
        </w:rPr>
        <w:t>3</w:t>
      </w:r>
      <w:r>
        <w:rPr>
          <w:rFonts w:ascii="Times New Roman" w:hAnsi="Times New Roman" w:eastAsia="宋体e眠副浡渀." w:cs="Times New Roman"/>
          <w:color w:val="auto"/>
          <w:kern w:val="0"/>
          <w:szCs w:val="21"/>
          <w:highlight w:val="none"/>
        </w:rPr>
        <w:t>）；</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Q——统计期内合格产品产量，单位为吨（t）。</w:t>
      </w:r>
    </w:p>
    <w:p>
      <w:pPr>
        <w:widowControl/>
        <w:tabs>
          <w:tab w:val="left" w:pos="760"/>
          <w:tab w:val="left" w:pos="840"/>
        </w:tabs>
        <w:rPr>
          <w:rFonts w:ascii="Times New Roman" w:hAnsi="Times New Roman" w:eastAsia="宋体e眠副浡渀." w:cs="Times New Roman"/>
          <w:color w:val="auto"/>
          <w:kern w:val="0"/>
          <w:szCs w:val="21"/>
          <w:highlight w:val="none"/>
        </w:rPr>
      </w:pPr>
    </w:p>
    <w:p>
      <w:pPr>
        <w:widowControl/>
        <w:tabs>
          <w:tab w:val="left" w:pos="760"/>
          <w:tab w:val="left" w:pos="840"/>
        </w:tabs>
        <w:rPr>
          <w:rFonts w:ascii="Times New Roman" w:hAnsi="Times New Roman" w:eastAsia="宋体e眠副浡渀." w:cs="Times New Roman"/>
          <w:color w:val="auto"/>
          <w:kern w:val="0"/>
          <w:szCs w:val="21"/>
          <w:highlight w:val="none"/>
        </w:rPr>
      </w:pPr>
      <w:r>
        <w:rPr>
          <w:rFonts w:ascii="Times New Roman" w:hAnsi="Times New Roman" w:eastAsia="黑体" w:cs="Times New Roman"/>
          <w:color w:val="auto"/>
          <w:kern w:val="21"/>
          <w:szCs w:val="20"/>
          <w:highlight w:val="none"/>
        </w:rPr>
        <w:t>A.2 中水回用率</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中水回用率按式（</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.2）计算。</w:t>
      </w:r>
    </w:p>
    <w:p>
      <w:pPr>
        <w:ind w:firstLine="420" w:firstLineChars="200"/>
        <w:jc w:val="left"/>
        <w:rPr>
          <w:rFonts w:ascii="Times New Roman" w:hAnsi="Times New Roman" w:eastAsia="宋体e眠副浡渀."/>
          <w:color w:val="auto"/>
          <w:szCs w:val="21"/>
          <w:highlight w:val="none"/>
        </w:rPr>
      </w:pPr>
      <w:r>
        <w:rPr>
          <w:rFonts w:ascii="Times New Roman" w:hAnsi="Times New Roman"/>
          <w:color w:val="auto"/>
          <w:highlight w:val="none"/>
        </w:rPr>
        <w:drawing>
          <wp:inline distT="0" distB="0" distL="0" distR="0">
            <wp:extent cx="1270000" cy="463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1302800" cy="476024"/>
                    </a:xfrm>
                    <a:prstGeom prst="rect">
                      <a:avLst/>
                    </a:prstGeom>
                  </pic:spPr>
                </pic:pic>
              </a:graphicData>
            </a:graphic>
          </wp:inline>
        </w:drawing>
      </w:r>
      <w:r>
        <w:rPr>
          <w:rFonts w:hint="eastAsia" w:ascii="宋体e眠副浡渀." w:hAnsi="Arial" w:eastAsia="宋体e眠副浡渀." w:cs="宋体e眠副浡渀."/>
          <w:color w:val="auto"/>
          <w:kern w:val="0"/>
          <w:szCs w:val="21"/>
          <w:highlight w:val="none"/>
        </w:rPr>
        <w:t>……………………………………………………………………</w:t>
      </w:r>
      <w:r>
        <w:rPr>
          <w:rFonts w:ascii="Times New Roman" w:hAnsi="Times New Roman"/>
          <w:color w:val="auto"/>
          <w:highlight w:val="none"/>
        </w:rPr>
        <w:t>（</w:t>
      </w:r>
      <w:r>
        <w:rPr>
          <w:rFonts w:hint="eastAsia" w:ascii="Times New Roman" w:hAnsi="Times New Roman"/>
          <w:color w:val="auto"/>
          <w:highlight w:val="none"/>
        </w:rPr>
        <w:t>A</w:t>
      </w:r>
      <w:r>
        <w:rPr>
          <w:rFonts w:ascii="Times New Roman" w:hAnsi="Times New Roman"/>
          <w:color w:val="auto"/>
          <w:highlight w:val="none"/>
        </w:rPr>
        <w:t>.2）</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式中：</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R</w:t>
      </w:r>
      <w:r>
        <w:rPr>
          <w:rFonts w:ascii="Times New Roman" w:hAnsi="Times New Roman" w:eastAsia="宋体e眠副浡渀." w:cs="Times New Roman"/>
          <w:color w:val="auto"/>
          <w:kern w:val="0"/>
          <w:szCs w:val="21"/>
          <w:highlight w:val="none"/>
          <w:vertAlign w:val="subscript"/>
        </w:rPr>
        <w:t>污</w:t>
      </w:r>
      <w:r>
        <w:rPr>
          <w:rFonts w:ascii="Times New Roman" w:hAnsi="Times New Roman" w:eastAsia="宋体e眠副浡渀." w:cs="Times New Roman"/>
          <w:color w:val="auto"/>
          <w:kern w:val="0"/>
          <w:szCs w:val="21"/>
          <w:highlight w:val="none"/>
        </w:rPr>
        <w:t>——企业中水回用率（%）；</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C</w:t>
      </w:r>
      <w:r>
        <w:rPr>
          <w:rFonts w:ascii="Times New Roman" w:hAnsi="Times New Roman" w:eastAsia="宋体e眠副浡渀." w:cs="Times New Roman"/>
          <w:color w:val="auto"/>
          <w:kern w:val="0"/>
          <w:szCs w:val="21"/>
          <w:highlight w:val="none"/>
          <w:vertAlign w:val="subscript"/>
        </w:rPr>
        <w:t>污</w:t>
      </w:r>
      <w:r>
        <w:rPr>
          <w:rFonts w:ascii="Times New Roman" w:hAnsi="Times New Roman" w:eastAsia="宋体e眠副浡渀." w:cs="Times New Roman"/>
          <w:color w:val="auto"/>
          <w:kern w:val="0"/>
          <w:szCs w:val="21"/>
          <w:highlight w:val="none"/>
        </w:rPr>
        <w:t>――在一定计量时间内，企业回用的中水量，单位为立方米（m</w:t>
      </w:r>
      <w:r>
        <w:rPr>
          <w:rFonts w:ascii="Times New Roman" w:hAnsi="Times New Roman" w:eastAsia="宋体e眠副浡渀." w:cs="Times New Roman"/>
          <w:color w:val="auto"/>
          <w:kern w:val="0"/>
          <w:szCs w:val="21"/>
          <w:highlight w:val="none"/>
          <w:vertAlign w:val="superscript"/>
        </w:rPr>
        <w:t>3</w:t>
      </w:r>
      <w:r>
        <w:rPr>
          <w:rFonts w:ascii="Times New Roman" w:hAnsi="Times New Roman" w:eastAsia="宋体e眠副浡渀." w:cs="Times New Roman"/>
          <w:color w:val="auto"/>
          <w:kern w:val="0"/>
          <w:szCs w:val="21"/>
          <w:highlight w:val="none"/>
        </w:rPr>
        <w:t xml:space="preserve">）；       </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Q</w:t>
      </w:r>
      <w:r>
        <w:rPr>
          <w:rFonts w:ascii="Times New Roman" w:hAnsi="Times New Roman" w:eastAsia="宋体e眠副浡渀." w:cs="Times New Roman"/>
          <w:color w:val="auto"/>
          <w:kern w:val="0"/>
          <w:szCs w:val="21"/>
          <w:highlight w:val="none"/>
          <w:vertAlign w:val="subscript"/>
        </w:rPr>
        <w:t>直污</w:t>
      </w:r>
      <w:r>
        <w:rPr>
          <w:rFonts w:ascii="Times New Roman" w:hAnsi="Times New Roman" w:eastAsia="宋体e眠副浡渀." w:cs="Times New Roman"/>
          <w:color w:val="auto"/>
          <w:kern w:val="0"/>
          <w:szCs w:val="21"/>
          <w:highlight w:val="none"/>
        </w:rPr>
        <w:t>――在一定计量时间内，企业处理达标后排入外环境的污水总量，单位为立方米（m</w:t>
      </w:r>
      <w:r>
        <w:rPr>
          <w:rFonts w:ascii="Times New Roman" w:hAnsi="Times New Roman" w:eastAsia="宋体e眠副浡渀." w:cs="Times New Roman"/>
          <w:color w:val="auto"/>
          <w:kern w:val="0"/>
          <w:szCs w:val="21"/>
          <w:highlight w:val="none"/>
          <w:vertAlign w:val="superscript"/>
        </w:rPr>
        <w:t>3</w:t>
      </w:r>
      <w:r>
        <w:rPr>
          <w:rFonts w:ascii="Times New Roman" w:hAnsi="Times New Roman" w:eastAsia="宋体e眠副浡渀." w:cs="Times New Roman"/>
          <w:color w:val="auto"/>
          <w:kern w:val="0"/>
          <w:szCs w:val="21"/>
          <w:highlight w:val="none"/>
        </w:rPr>
        <w:t>）。</w:t>
      </w:r>
    </w:p>
    <w:p>
      <w:pPr>
        <w:widowControl/>
        <w:tabs>
          <w:tab w:val="center" w:pos="4201"/>
          <w:tab w:val="right" w:leader="dot" w:pos="9298"/>
        </w:tabs>
        <w:autoSpaceDE w:val="0"/>
        <w:autoSpaceDN w:val="0"/>
        <w:rPr>
          <w:rFonts w:ascii="Times New Roman" w:hAnsi="Times New Roman" w:eastAsia="宋体e眠副浡渀." w:cs="Times New Roman"/>
          <w:color w:val="auto"/>
          <w:kern w:val="0"/>
          <w:szCs w:val="21"/>
          <w:highlight w:val="none"/>
        </w:rPr>
      </w:pPr>
    </w:p>
    <w:p>
      <w:pPr>
        <w:widowControl/>
        <w:tabs>
          <w:tab w:val="center" w:pos="4201"/>
          <w:tab w:val="right" w:leader="dot" w:pos="9298"/>
        </w:tabs>
        <w:autoSpaceDE w:val="0"/>
        <w:autoSpaceDN w:val="0"/>
        <w:rPr>
          <w:rFonts w:ascii="Times New Roman" w:hAnsi="Times New Roman" w:eastAsia="黑体" w:cs="Times New Roman"/>
          <w:color w:val="auto"/>
          <w:kern w:val="21"/>
          <w:szCs w:val="20"/>
          <w:highlight w:val="none"/>
        </w:rPr>
      </w:pPr>
      <w:r>
        <w:rPr>
          <w:rFonts w:ascii="Times New Roman" w:hAnsi="Times New Roman" w:eastAsia="黑体" w:cs="Times New Roman"/>
          <w:color w:val="auto"/>
          <w:kern w:val="21"/>
          <w:szCs w:val="20"/>
          <w:highlight w:val="none"/>
        </w:rPr>
        <w:t>A.3 冷却水重复利用率</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冷却水重复利用率按式（</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 xml:space="preserve">.3）计算。 </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r</w:t>
      </w:r>
      <w:r>
        <w:rPr>
          <w:rFonts w:ascii="Times New Roman" w:hAnsi="Times New Roman" w:eastAsia="宋体" w:cs="Times New Roman"/>
          <w:color w:val="auto"/>
          <w:kern w:val="0"/>
          <w:szCs w:val="20"/>
          <w:highlight w:val="none"/>
          <w:vertAlign w:val="subscript"/>
        </w:rPr>
        <w:t>c</w:t>
      </w:r>
      <w:r>
        <w:rPr>
          <w:rFonts w:ascii="Times New Roman" w:hAnsi="Times New Roman" w:eastAsia="宋体" w:cs="Times New Roman"/>
          <w:color w:val="auto"/>
          <w:kern w:val="0"/>
          <w:szCs w:val="20"/>
          <w:highlight w:val="none"/>
        </w:rPr>
        <w:t>＝V</w:t>
      </w:r>
      <w:r>
        <w:rPr>
          <w:rFonts w:ascii="Times New Roman" w:hAnsi="Times New Roman" w:eastAsia="宋体" w:cs="Times New Roman"/>
          <w:color w:val="auto"/>
          <w:kern w:val="0"/>
          <w:szCs w:val="20"/>
          <w:highlight w:val="none"/>
          <w:vertAlign w:val="subscript"/>
        </w:rPr>
        <w:t>cr</w:t>
      </w:r>
      <w:r>
        <w:rPr>
          <w:rFonts w:ascii="Times New Roman" w:hAnsi="Times New Roman" w:eastAsia="宋体" w:cs="Times New Roman"/>
          <w:color w:val="auto"/>
          <w:kern w:val="0"/>
          <w:szCs w:val="20"/>
          <w:highlight w:val="none"/>
        </w:rPr>
        <w:t>／V</w:t>
      </w:r>
      <w:r>
        <w:rPr>
          <w:rFonts w:ascii="Times New Roman" w:hAnsi="Times New Roman" w:eastAsia="宋体" w:cs="Times New Roman"/>
          <w:color w:val="auto"/>
          <w:kern w:val="0"/>
          <w:szCs w:val="20"/>
          <w:highlight w:val="none"/>
          <w:vertAlign w:val="subscript"/>
        </w:rPr>
        <w:t>ct</w:t>
      </w:r>
      <w:r>
        <w:rPr>
          <w:rFonts w:ascii="Times New Roman" w:hAnsi="Times New Roman" w:eastAsia="宋体" w:cs="Times New Roman"/>
          <w:color w:val="auto"/>
          <w:kern w:val="0"/>
          <w:szCs w:val="20"/>
          <w:highlight w:val="none"/>
        </w:rPr>
        <w:t xml:space="preserve"> ×100%</w:t>
      </w:r>
      <w:r>
        <w:rPr>
          <w:rFonts w:hint="eastAsia" w:ascii="宋体e眠副浡渀." w:hAnsi="Arial" w:eastAsia="宋体e眠副浡渀." w:cs="宋体e眠副浡渀."/>
          <w:color w:val="auto"/>
          <w:kern w:val="0"/>
          <w:szCs w:val="21"/>
          <w:highlight w:val="none"/>
        </w:rPr>
        <w:t>………………………………………………………………………</w:t>
      </w:r>
      <w:r>
        <w:rPr>
          <w:rFonts w:ascii="Times New Roman" w:hAnsi="Times New Roman" w:eastAsia="宋体" w:cs="Times New Roman"/>
          <w:color w:val="auto"/>
          <w:kern w:val="0"/>
          <w:szCs w:val="20"/>
          <w:highlight w:val="none"/>
        </w:rPr>
        <w:t>（</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.3）</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 w:cs="Times New Roman"/>
          <w:color w:val="auto"/>
          <w:kern w:val="0"/>
          <w:szCs w:val="20"/>
          <w:highlight w:val="none"/>
        </w:rPr>
        <w:t>式中：</w:t>
      </w:r>
    </w:p>
    <w:p>
      <w:pPr>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r</w:t>
      </w:r>
      <w:r>
        <w:rPr>
          <w:rFonts w:ascii="Times New Roman" w:hAnsi="Times New Roman" w:cs="Times New Roman"/>
          <w:color w:val="auto"/>
          <w:highlight w:val="none"/>
          <w:vertAlign w:val="subscript"/>
        </w:rPr>
        <w:t>c</w:t>
      </w:r>
      <w:r>
        <w:rPr>
          <w:rFonts w:ascii="Times New Roman" w:hAnsi="Times New Roman" w:cs="Times New Roman"/>
          <w:color w:val="auto"/>
          <w:highlight w:val="none"/>
        </w:rPr>
        <w:t>——企业冷却水重复利用率（%）；</w:t>
      </w:r>
    </w:p>
    <w:p>
      <w:pPr>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V</w:t>
      </w:r>
      <w:r>
        <w:rPr>
          <w:rFonts w:ascii="Times New Roman" w:hAnsi="Times New Roman" w:cs="Times New Roman"/>
          <w:color w:val="auto"/>
          <w:highlight w:val="none"/>
          <w:vertAlign w:val="subscript"/>
        </w:rPr>
        <w:t>cr</w:t>
      </w:r>
      <w:r>
        <w:rPr>
          <w:rFonts w:ascii="Times New Roman" w:hAnsi="Times New Roman" w:cs="Times New Roman"/>
          <w:color w:val="auto"/>
          <w:highlight w:val="none"/>
        </w:rPr>
        <w:t>――年冷却水循环量，</w:t>
      </w:r>
      <w:r>
        <w:rPr>
          <w:rFonts w:ascii="Times New Roman" w:hAnsi="Times New Roman" w:eastAsia="宋体e眠副浡渀." w:cs="Times New Roman"/>
          <w:color w:val="auto"/>
          <w:szCs w:val="21"/>
          <w:highlight w:val="none"/>
        </w:rPr>
        <w:t>单位为立方米（m</w:t>
      </w:r>
      <w:r>
        <w:rPr>
          <w:rFonts w:ascii="Times New Roman" w:hAnsi="Times New Roman" w:eastAsia="宋体e眠副浡渀." w:cs="Times New Roman"/>
          <w:color w:val="auto"/>
          <w:szCs w:val="21"/>
          <w:highlight w:val="none"/>
          <w:vertAlign w:val="superscript"/>
        </w:rPr>
        <w:t>3</w:t>
      </w:r>
      <w:r>
        <w:rPr>
          <w:rFonts w:ascii="Times New Roman" w:hAnsi="Times New Roman" w:eastAsia="宋体e眠副浡渀." w:cs="Times New Roman"/>
          <w:color w:val="auto"/>
          <w:szCs w:val="21"/>
          <w:highlight w:val="none"/>
        </w:rPr>
        <w:t>）；</w:t>
      </w:r>
    </w:p>
    <w:p>
      <w:pPr>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V</w:t>
      </w:r>
      <w:r>
        <w:rPr>
          <w:rFonts w:ascii="Times New Roman" w:hAnsi="Times New Roman" w:cs="Times New Roman"/>
          <w:color w:val="auto"/>
          <w:highlight w:val="none"/>
          <w:vertAlign w:val="subscript"/>
        </w:rPr>
        <w:t>ct</w:t>
      </w:r>
      <w:r>
        <w:rPr>
          <w:rFonts w:ascii="Times New Roman" w:hAnsi="Times New Roman" w:cs="Times New Roman"/>
          <w:color w:val="auto"/>
          <w:highlight w:val="none"/>
        </w:rPr>
        <w:t>――年冷却水总用水量，</w:t>
      </w:r>
      <w:r>
        <w:rPr>
          <w:rFonts w:ascii="Times New Roman" w:hAnsi="Times New Roman" w:eastAsia="宋体e眠副浡渀." w:cs="Times New Roman"/>
          <w:color w:val="auto"/>
          <w:szCs w:val="21"/>
          <w:highlight w:val="none"/>
        </w:rPr>
        <w:t>单位为立方米（m</w:t>
      </w:r>
      <w:r>
        <w:rPr>
          <w:rFonts w:ascii="Times New Roman" w:hAnsi="Times New Roman" w:eastAsia="宋体e眠副浡渀." w:cs="Times New Roman"/>
          <w:color w:val="auto"/>
          <w:szCs w:val="21"/>
          <w:highlight w:val="none"/>
          <w:vertAlign w:val="superscript"/>
        </w:rPr>
        <w:t>3</w:t>
      </w:r>
      <w:r>
        <w:rPr>
          <w:rFonts w:ascii="Times New Roman" w:hAnsi="Times New Roman" w:eastAsia="宋体e眠副浡渀." w:cs="Times New Roman"/>
          <w:color w:val="auto"/>
          <w:szCs w:val="21"/>
          <w:highlight w:val="none"/>
        </w:rPr>
        <w:t>）；</w:t>
      </w:r>
    </w:p>
    <w:p>
      <w:pPr>
        <w:widowControl/>
        <w:tabs>
          <w:tab w:val="left" w:pos="760"/>
          <w:tab w:val="left" w:pos="840"/>
        </w:tabs>
        <w:rPr>
          <w:rFonts w:ascii="Times New Roman" w:hAnsi="Times New Roman" w:eastAsia="宋体" w:cs="Times New Roman"/>
          <w:color w:val="auto"/>
          <w:kern w:val="0"/>
          <w:szCs w:val="20"/>
          <w:highlight w:val="none"/>
        </w:rPr>
      </w:pPr>
    </w:p>
    <w:p>
      <w:pPr>
        <w:widowControl/>
        <w:tabs>
          <w:tab w:val="left" w:pos="760"/>
          <w:tab w:val="left" w:pos="840"/>
        </w:tabs>
        <w:rPr>
          <w:rFonts w:ascii="Times New Roman" w:hAnsi="Times New Roman" w:eastAsia="黑体" w:cs="Times New Roman"/>
          <w:color w:val="auto"/>
          <w:kern w:val="21"/>
          <w:szCs w:val="20"/>
          <w:highlight w:val="none"/>
        </w:rPr>
      </w:pPr>
      <w:r>
        <w:rPr>
          <w:rFonts w:ascii="Times New Roman" w:hAnsi="Times New Roman" w:eastAsia="黑体" w:cs="Times New Roman"/>
          <w:color w:val="auto"/>
          <w:kern w:val="21"/>
          <w:szCs w:val="20"/>
          <w:highlight w:val="none"/>
        </w:rPr>
        <w:t>A.4 包装材料综合损耗率</w:t>
      </w:r>
    </w:p>
    <w:p>
      <w:pPr>
        <w:ind w:firstLine="420" w:firstLineChars="200"/>
        <w:rPr>
          <w:color w:val="auto"/>
          <w:highlight w:val="none"/>
        </w:rPr>
      </w:pPr>
      <w:r>
        <w:rPr>
          <w:rFonts w:hint="eastAsia"/>
          <w:color w:val="auto"/>
          <w:highlight w:val="none"/>
        </w:rPr>
        <w:t>包装材料综合损耗率按式（A</w:t>
      </w:r>
      <w:r>
        <w:rPr>
          <w:color w:val="auto"/>
          <w:highlight w:val="none"/>
        </w:rPr>
        <w:t>.4</w:t>
      </w:r>
      <w:r>
        <w:rPr>
          <w:rFonts w:hint="eastAsia"/>
          <w:color w:val="auto"/>
          <w:highlight w:val="none"/>
        </w:rPr>
        <w:t>）计算。</w:t>
      </w:r>
    </w:p>
    <w:p>
      <w:pPr>
        <w:ind w:firstLine="420" w:firstLineChars="200"/>
        <w:rPr>
          <w:color w:val="auto"/>
          <w:highlight w:val="none"/>
        </w:rPr>
      </w:pPr>
      <w:r>
        <w:rPr>
          <w:rFonts w:ascii="Times New Roman" w:hAnsi="Times New Roman" w:eastAsia="宋体" w:cs="Times New Roman"/>
          <w:color w:val="auto"/>
          <w:kern w:val="0"/>
          <w:szCs w:val="20"/>
          <w:highlight w:val="none"/>
        </w:rPr>
        <w:t>X</w:t>
      </w:r>
      <w:r>
        <w:rPr>
          <w:rFonts w:hint="eastAsia" w:ascii="Times New Roman" w:hAnsi="Times New Roman" w:eastAsia="宋体" w:cs="Times New Roman"/>
          <w:color w:val="auto"/>
          <w:kern w:val="0"/>
          <w:szCs w:val="20"/>
          <w:highlight w:val="none"/>
        </w:rPr>
        <w:t>=Σ</w:t>
      </w:r>
      <w:r>
        <w:rPr>
          <w:rFonts w:ascii="Times New Roman" w:hAnsi="Times New Roman" w:eastAsia="宋体" w:cs="Times New Roman"/>
          <w:color w:val="auto"/>
          <w:kern w:val="0"/>
          <w:szCs w:val="20"/>
          <w:highlight w:val="none"/>
        </w:rPr>
        <w:t>W</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w:t>
      </w:r>
      <w:r>
        <w:rPr>
          <w:rFonts w:ascii="Times New Roman" w:hAnsi="Times New Roman" w:eastAsia="宋体" w:cs="Times New Roman"/>
          <w:color w:val="auto"/>
          <w:kern w:val="0"/>
          <w:szCs w:val="20"/>
          <w:highlight w:val="none"/>
        </w:rPr>
        <w:tab/>
      </w:r>
      <w:r>
        <w:rPr>
          <w:rFonts w:hint="eastAsia" w:ascii="宋体e眠副浡渀." w:hAnsi="Arial" w:eastAsia="宋体e眠副浡渀." w:cs="宋体e眠副浡渀."/>
          <w:color w:val="auto"/>
          <w:kern w:val="0"/>
          <w:szCs w:val="21"/>
          <w:highlight w:val="none"/>
        </w:rPr>
        <w:t>……………………………………………………………………………</w:t>
      </w:r>
      <w:r>
        <w:rPr>
          <w:rFonts w:hint="eastAsia"/>
          <w:color w:val="auto"/>
          <w:highlight w:val="none"/>
        </w:rPr>
        <w:t>（A</w:t>
      </w:r>
      <w:r>
        <w:rPr>
          <w:color w:val="auto"/>
          <w:highlight w:val="none"/>
        </w:rPr>
        <w:t>.4</w:t>
      </w:r>
      <w:r>
        <w:rPr>
          <w:rFonts w:hint="eastAsia"/>
          <w:color w:val="auto"/>
          <w:highlight w:val="none"/>
        </w:rPr>
        <w:t>）</w:t>
      </w:r>
    </w:p>
    <w:p>
      <w:pPr>
        <w:ind w:firstLine="420" w:firstLineChars="200"/>
        <w:rPr>
          <w:rFonts w:ascii="Times New Roman" w:hAnsi="Times New Roman" w:eastAsia="宋体" w:cs="Times New Roman"/>
          <w:color w:val="auto"/>
          <w:kern w:val="0"/>
          <w:szCs w:val="20"/>
          <w:highlight w:val="none"/>
        </w:rPr>
      </w:pPr>
      <w:r>
        <w:rPr>
          <w:rFonts w:hint="eastAsia" w:ascii="Times New Roman" w:hAnsi="Times New Roman" w:eastAsia="宋体" w:cs="Times New Roman"/>
          <w:color w:val="auto"/>
          <w:kern w:val="0"/>
          <w:szCs w:val="20"/>
          <w:highlight w:val="none"/>
        </w:rPr>
        <w:t>（</w:t>
      </w:r>
      <w:r>
        <w:rPr>
          <w:rFonts w:ascii="Times New Roman" w:hAnsi="Times New Roman" w:eastAsia="宋体" w:cs="Times New Roman"/>
          <w:color w:val="auto"/>
          <w:kern w:val="0"/>
          <w:szCs w:val="20"/>
          <w:highlight w:val="none"/>
        </w:rPr>
        <w:t>X</w:t>
      </w:r>
      <w:r>
        <w:rPr>
          <w:rFonts w:hint="eastAsia" w:ascii="Times New Roman" w:hAnsi="Times New Roman" w:eastAsia="宋体" w:cs="Times New Roman"/>
          <w:color w:val="auto"/>
          <w:kern w:val="0"/>
          <w:szCs w:val="20"/>
          <w:highlight w:val="none"/>
        </w:rPr>
        <w:t>=</w:t>
      </w:r>
      <w:r>
        <w:rPr>
          <w:rFonts w:ascii="Times New Roman" w:hAnsi="Times New Roman" w:eastAsia="宋体" w:cs="Times New Roman"/>
          <w:color w:val="auto"/>
          <w:kern w:val="0"/>
          <w:szCs w:val="20"/>
          <w:highlight w:val="none"/>
        </w:rPr>
        <w:t>W</w:t>
      </w:r>
      <w:r>
        <w:rPr>
          <w:rFonts w:ascii="Times New Roman" w:hAnsi="Times New Roman" w:eastAsia="宋体" w:cs="Times New Roman"/>
          <w:color w:val="auto"/>
          <w:kern w:val="0"/>
          <w:szCs w:val="20"/>
          <w:highlight w:val="none"/>
          <w:vertAlign w:val="subscript"/>
        </w:rPr>
        <w:t>1</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vertAlign w:val="subscript"/>
        </w:rPr>
        <w:t>1</w:t>
      </w:r>
      <w:r>
        <w:rPr>
          <w:rFonts w:ascii="Times New Roman" w:hAnsi="Times New Roman" w:eastAsia="宋体" w:cs="Times New Roman"/>
          <w:color w:val="auto"/>
          <w:kern w:val="0"/>
          <w:szCs w:val="20"/>
          <w:highlight w:val="none"/>
        </w:rPr>
        <w:t>%</w:t>
      </w:r>
      <w:r>
        <w:rPr>
          <w:rFonts w:hint="eastAsia" w:ascii="Times New Roman" w:hAnsi="Times New Roman" w:eastAsia="宋体" w:cs="Times New Roman"/>
          <w:color w:val="auto"/>
          <w:kern w:val="0"/>
          <w:szCs w:val="20"/>
          <w:highlight w:val="none"/>
        </w:rPr>
        <w:t>＋</w:t>
      </w:r>
      <w:r>
        <w:rPr>
          <w:rFonts w:ascii="Times New Roman" w:hAnsi="Times New Roman" w:eastAsia="宋体" w:cs="Times New Roman"/>
          <w:color w:val="auto"/>
          <w:kern w:val="0"/>
          <w:szCs w:val="20"/>
          <w:highlight w:val="none"/>
        </w:rPr>
        <w:t>W</w:t>
      </w:r>
      <w:r>
        <w:rPr>
          <w:rFonts w:ascii="Times New Roman" w:hAnsi="Times New Roman" w:eastAsia="宋体" w:cs="Times New Roman"/>
          <w:color w:val="auto"/>
          <w:kern w:val="0"/>
          <w:szCs w:val="20"/>
          <w:highlight w:val="none"/>
          <w:vertAlign w:val="subscript"/>
        </w:rPr>
        <w:t>2</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vertAlign w:val="subscript"/>
        </w:rPr>
        <w:t>2</w:t>
      </w:r>
      <w:r>
        <w:rPr>
          <w:rFonts w:ascii="Times New Roman" w:hAnsi="Times New Roman" w:eastAsia="宋体" w:cs="Times New Roman"/>
          <w:color w:val="auto"/>
          <w:kern w:val="0"/>
          <w:szCs w:val="20"/>
          <w:highlight w:val="none"/>
        </w:rPr>
        <w:t>%</w:t>
      </w:r>
      <w:r>
        <w:rPr>
          <w:rFonts w:hint="eastAsia" w:ascii="Times New Roman" w:hAnsi="Times New Roman" w:eastAsia="宋体" w:cs="Times New Roman"/>
          <w:color w:val="auto"/>
          <w:kern w:val="0"/>
          <w:szCs w:val="20"/>
          <w:highlight w:val="none"/>
        </w:rPr>
        <w:t>＋……</w:t>
      </w:r>
      <w:r>
        <w:rPr>
          <w:rFonts w:ascii="Times New Roman" w:hAnsi="Times New Roman" w:eastAsia="宋体" w:cs="Times New Roman"/>
          <w:color w:val="auto"/>
          <w:kern w:val="0"/>
          <w:szCs w:val="20"/>
          <w:highlight w:val="none"/>
        </w:rPr>
        <w:t>W</w:t>
      </w:r>
      <w:r>
        <w:rPr>
          <w:rFonts w:ascii="Times New Roman" w:hAnsi="Times New Roman" w:eastAsia="宋体" w:cs="Times New Roman"/>
          <w:color w:val="auto"/>
          <w:kern w:val="0"/>
          <w:szCs w:val="20"/>
          <w:highlight w:val="none"/>
          <w:vertAlign w:val="subscript"/>
        </w:rPr>
        <w:t>n</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vertAlign w:val="subscript"/>
        </w:rPr>
        <w:t>n</w:t>
      </w:r>
      <w:r>
        <w:rPr>
          <w:rFonts w:ascii="Times New Roman" w:hAnsi="Times New Roman" w:eastAsia="宋体" w:cs="Times New Roman"/>
          <w:color w:val="auto"/>
          <w:kern w:val="0"/>
          <w:szCs w:val="20"/>
          <w:highlight w:val="none"/>
        </w:rPr>
        <w:t>%</w:t>
      </w:r>
      <w:r>
        <w:rPr>
          <w:rFonts w:hint="eastAsia" w:ascii="Times New Roman" w:hAnsi="Times New Roman" w:eastAsia="宋体" w:cs="Times New Roman"/>
          <w:color w:val="auto"/>
          <w:kern w:val="0"/>
          <w:szCs w:val="20"/>
          <w:highlight w:val="none"/>
        </w:rPr>
        <w:t>）</w:t>
      </w:r>
    </w:p>
    <w:p>
      <w:pPr>
        <w:ind w:firstLine="420" w:firstLineChars="200"/>
        <w:rPr>
          <w:color w:val="auto"/>
          <w:highlight w:val="none"/>
        </w:rPr>
      </w:pPr>
      <w:r>
        <w:rPr>
          <w:rFonts w:hint="eastAsia"/>
          <w:color w:val="auto"/>
          <w:highlight w:val="none"/>
        </w:rPr>
        <w:t>式中：</w:t>
      </w:r>
    </w:p>
    <w:p>
      <w:pPr>
        <w:ind w:firstLine="420" w:firstLineChars="200"/>
        <w:rPr>
          <w:color w:val="auto"/>
          <w:highlight w:val="none"/>
        </w:rPr>
      </w:pPr>
      <w:r>
        <w:rPr>
          <w:rFonts w:hint="eastAsia" w:ascii="Times New Roman" w:hAnsi="Times New Roman" w:eastAsia="宋体" w:cs="Times New Roman"/>
          <w:color w:val="auto"/>
          <w:kern w:val="0"/>
          <w:szCs w:val="20"/>
          <w:highlight w:val="none"/>
        </w:rPr>
        <w:t>X</w:t>
      </w:r>
      <w:r>
        <w:rPr>
          <w:rFonts w:hint="eastAsia"/>
          <w:color w:val="auto"/>
          <w:highlight w:val="none"/>
        </w:rPr>
        <w:t>——</w:t>
      </w:r>
      <w:r>
        <w:rPr>
          <w:color w:val="auto"/>
          <w:highlight w:val="none"/>
        </w:rPr>
        <w:t>包装材料综合损耗率</w:t>
      </w:r>
      <w:r>
        <w:rPr>
          <w:rFonts w:ascii="Times New Roman" w:hAnsi="Times New Roman" w:eastAsia="宋体e眠副浡渀." w:cs="Times New Roman"/>
          <w:color w:val="auto"/>
          <w:kern w:val="0"/>
          <w:szCs w:val="21"/>
          <w:highlight w:val="none"/>
        </w:rPr>
        <w:t>（%）</w:t>
      </w:r>
      <w:r>
        <w:rPr>
          <w:rFonts w:hint="eastAsia"/>
          <w:color w:val="auto"/>
          <w:highlight w:val="none"/>
        </w:rPr>
        <w:t>；</w:t>
      </w:r>
    </w:p>
    <w:p>
      <w:pPr>
        <w:ind w:firstLine="420" w:firstLineChars="200"/>
        <w:rPr>
          <w:color w:val="auto"/>
          <w:highlight w:val="none"/>
        </w:rPr>
      </w:pPr>
      <w:r>
        <w:rPr>
          <w:rFonts w:ascii="Times New Roman" w:hAnsi="Times New Roman" w:eastAsia="宋体" w:cs="Times New Roman"/>
          <w:color w:val="auto"/>
          <w:kern w:val="0"/>
          <w:szCs w:val="20"/>
          <w:highlight w:val="none"/>
        </w:rPr>
        <w:t>W</w:t>
      </w:r>
      <w:r>
        <w:rPr>
          <w:rFonts w:hint="eastAsia"/>
          <w:color w:val="auto"/>
          <w:highlight w:val="none"/>
        </w:rPr>
        <w:t>——各种包装材料在整体包装中所占的质量百分比，以一箱为单位计算</w:t>
      </w:r>
      <w:r>
        <w:rPr>
          <w:rFonts w:ascii="Times New Roman" w:hAnsi="Times New Roman" w:eastAsia="宋体e眠副浡渀." w:cs="Times New Roman"/>
          <w:color w:val="auto"/>
          <w:kern w:val="0"/>
          <w:szCs w:val="21"/>
          <w:highlight w:val="none"/>
        </w:rPr>
        <w:t>（%）</w:t>
      </w:r>
      <w:r>
        <w:rPr>
          <w:rFonts w:hint="eastAsia"/>
          <w:color w:val="auto"/>
          <w:highlight w:val="none"/>
        </w:rPr>
        <w:t>；</w:t>
      </w:r>
    </w:p>
    <w:p>
      <w:pPr>
        <w:ind w:firstLine="420" w:firstLineChars="200"/>
        <w:rPr>
          <w:color w:val="auto"/>
          <w:highlight w:val="none"/>
        </w:rPr>
      </w:pPr>
      <w:r>
        <w:rPr>
          <w:rFonts w:ascii="Times New Roman" w:hAnsi="Times New Roman" w:eastAsia="宋体" w:cs="Times New Roman"/>
          <w:color w:val="auto"/>
          <w:kern w:val="0"/>
          <w:szCs w:val="20"/>
          <w:highlight w:val="none"/>
        </w:rPr>
        <w:t>A</w:t>
      </w:r>
      <w:r>
        <w:rPr>
          <w:rFonts w:hint="eastAsia"/>
          <w:color w:val="auto"/>
          <w:highlight w:val="none"/>
        </w:rPr>
        <w:t>——各种包装部分的生产损耗率</w:t>
      </w:r>
      <w:r>
        <w:rPr>
          <w:rFonts w:ascii="Times New Roman" w:hAnsi="Times New Roman" w:eastAsia="宋体e眠副浡渀." w:cs="Times New Roman"/>
          <w:color w:val="auto"/>
          <w:kern w:val="0"/>
          <w:szCs w:val="21"/>
          <w:highlight w:val="none"/>
        </w:rPr>
        <w:t>（%）</w:t>
      </w:r>
      <w:r>
        <w:rPr>
          <w:rFonts w:hint="eastAsia"/>
          <w:color w:val="auto"/>
          <w:highlight w:val="none"/>
        </w:rPr>
        <w:t>。</w:t>
      </w:r>
    </w:p>
    <w:p>
      <w:pPr>
        <w:widowControl/>
        <w:tabs>
          <w:tab w:val="left" w:pos="760"/>
          <w:tab w:val="left" w:pos="840"/>
        </w:tabs>
        <w:rPr>
          <w:rFonts w:ascii="Times New Roman" w:hAnsi="Times New Roman" w:eastAsia="黑体" w:cs="Times New Roman"/>
          <w:color w:val="auto"/>
          <w:kern w:val="21"/>
          <w:szCs w:val="20"/>
          <w:highlight w:val="none"/>
        </w:rPr>
      </w:pPr>
    </w:p>
    <w:p>
      <w:pPr>
        <w:widowControl/>
        <w:tabs>
          <w:tab w:val="left" w:pos="760"/>
          <w:tab w:val="left" w:pos="840"/>
        </w:tabs>
        <w:rPr>
          <w:rFonts w:ascii="Times New Roman" w:hAnsi="Times New Roman" w:eastAsia="黑体" w:cs="Times New Roman"/>
          <w:color w:val="auto"/>
          <w:kern w:val="21"/>
          <w:szCs w:val="20"/>
          <w:highlight w:val="none"/>
        </w:rPr>
      </w:pPr>
      <w:r>
        <w:rPr>
          <w:rFonts w:ascii="Times New Roman" w:hAnsi="Times New Roman" w:eastAsia="黑体" w:cs="Times New Roman"/>
          <w:color w:val="auto"/>
          <w:kern w:val="21"/>
          <w:szCs w:val="20"/>
          <w:highlight w:val="none"/>
        </w:rPr>
        <w:t>A.5 包装材料的可循环材料占比</w:t>
      </w:r>
    </w:p>
    <w:p>
      <w:pPr>
        <w:ind w:firstLine="420" w:firstLineChars="200"/>
        <w:rPr>
          <w:color w:val="auto"/>
          <w:highlight w:val="none"/>
        </w:rPr>
      </w:pPr>
      <w:r>
        <w:rPr>
          <w:rFonts w:hint="eastAsia"/>
          <w:color w:val="auto"/>
          <w:highlight w:val="none"/>
        </w:rPr>
        <w:t>包装材料的可循环材料占比按式（A</w:t>
      </w:r>
      <w:r>
        <w:rPr>
          <w:color w:val="auto"/>
          <w:highlight w:val="none"/>
        </w:rPr>
        <w:t>.5</w:t>
      </w:r>
      <w:r>
        <w:rPr>
          <w:rFonts w:hint="eastAsia"/>
          <w:color w:val="auto"/>
          <w:highlight w:val="none"/>
        </w:rPr>
        <w:t>）计算。</w:t>
      </w:r>
    </w:p>
    <w:p>
      <w:pPr>
        <w:ind w:firstLine="420" w:firstLineChars="200"/>
        <w:rPr>
          <w:color w:val="auto"/>
          <w:highlight w:val="none"/>
        </w:rPr>
      </w:pPr>
      <w:r>
        <w:rPr>
          <w:rFonts w:ascii="Times New Roman" w:hAnsi="Times New Roman" w:eastAsia="宋体" w:cs="Times New Roman"/>
          <w:color w:val="auto"/>
          <w:kern w:val="0"/>
          <w:szCs w:val="20"/>
          <w:highlight w:val="none"/>
        </w:rPr>
        <w:t>X</w:t>
      </w:r>
      <w:r>
        <w:rPr>
          <w:rFonts w:hint="eastAsia" w:ascii="Times New Roman" w:hAnsi="Times New Roman" w:eastAsia="宋体" w:cs="Times New Roman"/>
          <w:color w:val="auto"/>
          <w:kern w:val="0"/>
          <w:szCs w:val="20"/>
          <w:highlight w:val="none"/>
        </w:rPr>
        <w:t>=Σ</w:t>
      </w:r>
      <w:r>
        <w:rPr>
          <w:rFonts w:ascii="Times New Roman" w:hAnsi="Times New Roman" w:eastAsia="宋体" w:cs="Times New Roman"/>
          <w:color w:val="auto"/>
          <w:kern w:val="0"/>
          <w:szCs w:val="20"/>
          <w:highlight w:val="none"/>
        </w:rPr>
        <w:t>W</w:t>
      </w:r>
      <w:r>
        <w:rPr>
          <w:rFonts w:hint="eastAsia" w:ascii="Times New Roman" w:hAnsi="Times New Roman" w:eastAsia="宋体" w:cs="Times New Roman"/>
          <w:color w:val="auto"/>
          <w:kern w:val="0"/>
          <w:szCs w:val="20"/>
          <w:highlight w:val="none"/>
        </w:rPr>
        <w:t>×</w:t>
      </w:r>
      <w:r>
        <w:rPr>
          <w:rFonts w:ascii="Times New Roman" w:hAnsi="Times New Roman" w:eastAsia="宋体" w:cs="Times New Roman"/>
          <w:color w:val="auto"/>
          <w:kern w:val="0"/>
          <w:szCs w:val="20"/>
          <w:highlight w:val="none"/>
        </w:rPr>
        <w:t>B</w:t>
      </w:r>
      <w:r>
        <w:rPr>
          <w:rFonts w:hint="eastAsia" w:ascii="宋体e眠副浡渀." w:hAnsi="Arial" w:eastAsia="宋体e眠副浡渀." w:cs="宋体e眠副浡渀."/>
          <w:color w:val="auto"/>
          <w:kern w:val="0"/>
          <w:szCs w:val="21"/>
          <w:highlight w:val="none"/>
        </w:rPr>
        <w:t>………………………………………………………………………………</w:t>
      </w:r>
      <w:r>
        <w:rPr>
          <w:rFonts w:hint="eastAsia"/>
          <w:color w:val="auto"/>
          <w:highlight w:val="none"/>
        </w:rPr>
        <w:t>（A</w:t>
      </w:r>
      <w:r>
        <w:rPr>
          <w:color w:val="auto"/>
          <w:highlight w:val="none"/>
        </w:rPr>
        <w:t>.5</w:t>
      </w:r>
      <w:r>
        <w:rPr>
          <w:rFonts w:hint="eastAsia"/>
          <w:color w:val="auto"/>
          <w:highlight w:val="none"/>
        </w:rPr>
        <w:t>）</w:t>
      </w:r>
    </w:p>
    <w:p>
      <w:pPr>
        <w:ind w:firstLine="420" w:firstLineChars="200"/>
        <w:rPr>
          <w:color w:val="auto"/>
          <w:highlight w:val="none"/>
        </w:rPr>
      </w:pPr>
      <w:r>
        <w:rPr>
          <w:rFonts w:hint="eastAsia"/>
          <w:color w:val="auto"/>
          <w:highlight w:val="none"/>
        </w:rPr>
        <w:t>（</w:t>
      </w:r>
      <w:r>
        <w:rPr>
          <w:rFonts w:ascii="Times New Roman" w:hAnsi="Times New Roman" w:eastAsia="宋体" w:cs="Times New Roman"/>
          <w:color w:val="auto"/>
          <w:kern w:val="0"/>
          <w:szCs w:val="20"/>
          <w:highlight w:val="none"/>
        </w:rPr>
        <w:t>X</w:t>
      </w:r>
      <w:r>
        <w:rPr>
          <w:rFonts w:hint="eastAsia" w:ascii="Times New Roman" w:hAnsi="Times New Roman" w:eastAsia="宋体" w:cs="Times New Roman"/>
          <w:color w:val="auto"/>
          <w:kern w:val="0"/>
          <w:szCs w:val="20"/>
          <w:highlight w:val="none"/>
        </w:rPr>
        <w:t>=</w:t>
      </w:r>
      <w:r>
        <w:rPr>
          <w:rFonts w:ascii="Times New Roman" w:hAnsi="Times New Roman" w:eastAsia="宋体" w:cs="Times New Roman"/>
          <w:color w:val="auto"/>
          <w:kern w:val="0"/>
          <w:szCs w:val="20"/>
          <w:highlight w:val="none"/>
        </w:rPr>
        <w:t>W</w:t>
      </w:r>
      <w:r>
        <w:rPr>
          <w:rFonts w:ascii="Times New Roman" w:hAnsi="Times New Roman" w:eastAsia="宋体" w:cs="Times New Roman"/>
          <w:color w:val="auto"/>
          <w:kern w:val="0"/>
          <w:szCs w:val="20"/>
          <w:highlight w:val="none"/>
          <w:vertAlign w:val="subscript"/>
        </w:rPr>
        <w:t>1</w:t>
      </w:r>
      <w:r>
        <w:rPr>
          <w:rFonts w:hint="eastAsia" w:ascii="Times New Roman" w:hAnsi="Times New Roman" w:eastAsia="宋体" w:cs="Times New Roman"/>
          <w:color w:val="auto"/>
          <w:kern w:val="0"/>
          <w:szCs w:val="20"/>
          <w:highlight w:val="none"/>
        </w:rPr>
        <w:t>×</w:t>
      </w:r>
      <w:r>
        <w:rPr>
          <w:rFonts w:ascii="Times New Roman" w:hAnsi="Times New Roman" w:eastAsia="宋体" w:cs="Times New Roman"/>
          <w:color w:val="auto"/>
          <w:kern w:val="0"/>
          <w:szCs w:val="20"/>
          <w:highlight w:val="none"/>
        </w:rPr>
        <w:t>B</w:t>
      </w:r>
      <w:r>
        <w:rPr>
          <w:rFonts w:hint="eastAsia" w:ascii="Times New Roman" w:hAnsi="Times New Roman" w:eastAsia="宋体" w:cs="Times New Roman"/>
          <w:color w:val="auto"/>
          <w:kern w:val="0"/>
          <w:szCs w:val="20"/>
          <w:highlight w:val="none"/>
        </w:rPr>
        <w:t>＋</w:t>
      </w:r>
      <w:r>
        <w:rPr>
          <w:rFonts w:ascii="Times New Roman" w:hAnsi="Times New Roman" w:eastAsia="宋体" w:cs="Times New Roman"/>
          <w:color w:val="auto"/>
          <w:kern w:val="0"/>
          <w:szCs w:val="20"/>
          <w:highlight w:val="none"/>
        </w:rPr>
        <w:t>W</w:t>
      </w:r>
      <w:r>
        <w:rPr>
          <w:rFonts w:ascii="Times New Roman" w:hAnsi="Times New Roman" w:eastAsia="宋体" w:cs="Times New Roman"/>
          <w:color w:val="auto"/>
          <w:kern w:val="0"/>
          <w:szCs w:val="20"/>
          <w:highlight w:val="none"/>
          <w:vertAlign w:val="subscript"/>
        </w:rPr>
        <w:t>2</w:t>
      </w:r>
      <w:r>
        <w:rPr>
          <w:rFonts w:hint="eastAsia" w:ascii="Times New Roman" w:hAnsi="Times New Roman" w:eastAsia="宋体" w:cs="Times New Roman"/>
          <w:color w:val="auto"/>
          <w:kern w:val="0"/>
          <w:szCs w:val="20"/>
          <w:highlight w:val="none"/>
        </w:rPr>
        <w:t>×</w:t>
      </w:r>
      <w:r>
        <w:rPr>
          <w:rFonts w:ascii="Times New Roman" w:hAnsi="Times New Roman" w:eastAsia="宋体" w:cs="Times New Roman"/>
          <w:color w:val="auto"/>
          <w:kern w:val="0"/>
          <w:szCs w:val="20"/>
          <w:highlight w:val="none"/>
        </w:rPr>
        <w:t>B</w:t>
      </w:r>
      <w:r>
        <w:rPr>
          <w:rFonts w:hint="eastAsia" w:ascii="Times New Roman" w:hAnsi="Times New Roman" w:eastAsia="宋体" w:cs="Times New Roman"/>
          <w:color w:val="auto"/>
          <w:kern w:val="0"/>
          <w:szCs w:val="20"/>
          <w:highlight w:val="none"/>
        </w:rPr>
        <w:t>＋……</w:t>
      </w:r>
      <w:r>
        <w:rPr>
          <w:rFonts w:ascii="Times New Roman" w:hAnsi="Times New Roman" w:eastAsia="宋体" w:cs="Times New Roman"/>
          <w:color w:val="auto"/>
          <w:kern w:val="0"/>
          <w:szCs w:val="20"/>
          <w:highlight w:val="none"/>
        </w:rPr>
        <w:t>W</w:t>
      </w:r>
      <w:r>
        <w:rPr>
          <w:rFonts w:ascii="Times New Roman" w:hAnsi="Times New Roman" w:eastAsia="宋体" w:cs="Times New Roman"/>
          <w:color w:val="auto"/>
          <w:kern w:val="0"/>
          <w:szCs w:val="20"/>
          <w:highlight w:val="none"/>
          <w:vertAlign w:val="subscript"/>
        </w:rPr>
        <w:t>n</w:t>
      </w:r>
      <w:r>
        <w:rPr>
          <w:rFonts w:hint="eastAsia" w:ascii="Times New Roman" w:hAnsi="Times New Roman" w:eastAsia="宋体" w:cs="Times New Roman"/>
          <w:color w:val="auto"/>
          <w:kern w:val="0"/>
          <w:szCs w:val="20"/>
          <w:highlight w:val="none"/>
        </w:rPr>
        <w:t>×B</w:t>
      </w:r>
      <w:r>
        <w:rPr>
          <w:rFonts w:hint="eastAsia"/>
          <w:color w:val="auto"/>
          <w:highlight w:val="none"/>
        </w:rPr>
        <w:t>）</w:t>
      </w:r>
    </w:p>
    <w:p>
      <w:pPr>
        <w:ind w:firstLine="420" w:firstLineChars="200"/>
        <w:rPr>
          <w:color w:val="auto"/>
          <w:highlight w:val="none"/>
        </w:rPr>
      </w:pPr>
      <w:r>
        <w:rPr>
          <w:rFonts w:hint="eastAsia"/>
          <w:color w:val="auto"/>
          <w:highlight w:val="none"/>
        </w:rPr>
        <w:t>式中：</w:t>
      </w:r>
    </w:p>
    <w:p>
      <w:pPr>
        <w:ind w:firstLine="420" w:firstLineChars="200"/>
        <w:rPr>
          <w:color w:val="auto"/>
          <w:highlight w:val="none"/>
        </w:rPr>
      </w:pPr>
      <w:r>
        <w:rPr>
          <w:rFonts w:hint="eastAsia" w:ascii="Times New Roman" w:hAnsi="Times New Roman" w:eastAsia="宋体" w:cs="Times New Roman"/>
          <w:color w:val="auto"/>
          <w:kern w:val="0"/>
          <w:szCs w:val="20"/>
          <w:highlight w:val="none"/>
        </w:rPr>
        <w:t>X</w:t>
      </w:r>
      <w:r>
        <w:rPr>
          <w:rFonts w:hint="eastAsia"/>
          <w:color w:val="auto"/>
          <w:highlight w:val="none"/>
        </w:rPr>
        <w:t>——包装材料的可循环材料占比</w:t>
      </w:r>
      <w:r>
        <w:rPr>
          <w:rFonts w:ascii="Times New Roman" w:hAnsi="Times New Roman" w:eastAsia="宋体e眠副浡渀." w:cs="Times New Roman"/>
          <w:color w:val="auto"/>
          <w:kern w:val="0"/>
          <w:szCs w:val="21"/>
          <w:highlight w:val="none"/>
        </w:rPr>
        <w:t>（%）</w:t>
      </w:r>
      <w:r>
        <w:rPr>
          <w:rFonts w:hint="eastAsia"/>
          <w:color w:val="auto"/>
          <w:highlight w:val="none"/>
        </w:rPr>
        <w:t>；</w:t>
      </w:r>
    </w:p>
    <w:p>
      <w:pPr>
        <w:ind w:firstLine="420" w:firstLineChars="200"/>
        <w:rPr>
          <w:color w:val="auto"/>
          <w:highlight w:val="none"/>
        </w:rPr>
      </w:pPr>
      <w:r>
        <w:rPr>
          <w:rFonts w:ascii="Times New Roman" w:hAnsi="Times New Roman" w:eastAsia="宋体" w:cs="Times New Roman"/>
          <w:color w:val="auto"/>
          <w:kern w:val="0"/>
          <w:szCs w:val="20"/>
          <w:highlight w:val="none"/>
        </w:rPr>
        <w:t>W</w:t>
      </w:r>
      <w:r>
        <w:rPr>
          <w:rFonts w:hint="eastAsia"/>
          <w:color w:val="auto"/>
          <w:highlight w:val="none"/>
        </w:rPr>
        <w:t>——各部分包装材料在整体包装中所占的质量百分比，以一箱为单位计算</w:t>
      </w:r>
      <w:r>
        <w:rPr>
          <w:rFonts w:ascii="Times New Roman" w:hAnsi="Times New Roman" w:eastAsia="宋体e眠副浡渀." w:cs="Times New Roman"/>
          <w:color w:val="auto"/>
          <w:kern w:val="0"/>
          <w:szCs w:val="21"/>
          <w:highlight w:val="none"/>
        </w:rPr>
        <w:t>（%）</w:t>
      </w:r>
      <w:r>
        <w:rPr>
          <w:rFonts w:hint="eastAsia"/>
          <w:color w:val="auto"/>
          <w:highlight w:val="none"/>
        </w:rPr>
        <w:t>；</w:t>
      </w:r>
    </w:p>
    <w:p>
      <w:pPr>
        <w:ind w:firstLine="420" w:firstLineChars="200"/>
        <w:rPr>
          <w:color w:val="auto"/>
          <w:highlight w:val="none"/>
        </w:rPr>
      </w:pPr>
      <w:r>
        <w:rPr>
          <w:rFonts w:ascii="Times New Roman" w:hAnsi="Times New Roman" w:eastAsia="宋体" w:cs="Times New Roman"/>
          <w:color w:val="auto"/>
          <w:kern w:val="0"/>
          <w:szCs w:val="20"/>
          <w:highlight w:val="none"/>
        </w:rPr>
        <w:t>B</w:t>
      </w:r>
      <w:r>
        <w:rPr>
          <w:rFonts w:hint="eastAsia"/>
          <w:color w:val="auto"/>
          <w:highlight w:val="none"/>
        </w:rPr>
        <w:t>——各包装部分材料的可循环属性评价值</w:t>
      </w:r>
      <w:r>
        <w:rPr>
          <w:rFonts w:ascii="Times New Roman" w:hAnsi="Times New Roman" w:eastAsia="宋体e眠副浡渀." w:cs="Times New Roman"/>
          <w:color w:val="auto"/>
          <w:kern w:val="0"/>
          <w:szCs w:val="21"/>
          <w:highlight w:val="none"/>
        </w:rPr>
        <w:t>（可循环取值</w:t>
      </w:r>
      <w:r>
        <w:rPr>
          <w:rFonts w:hint="eastAsia" w:ascii="Times New Roman" w:hAnsi="Times New Roman" w:eastAsia="宋体e眠副浡渀." w:cs="Times New Roman"/>
          <w:color w:val="auto"/>
          <w:kern w:val="0"/>
          <w:szCs w:val="21"/>
          <w:highlight w:val="none"/>
        </w:rPr>
        <w:t>1，</w:t>
      </w:r>
      <w:r>
        <w:rPr>
          <w:rFonts w:ascii="Times New Roman" w:hAnsi="Times New Roman" w:eastAsia="宋体e眠副浡渀." w:cs="Times New Roman"/>
          <w:color w:val="auto"/>
          <w:kern w:val="0"/>
          <w:szCs w:val="21"/>
          <w:highlight w:val="none"/>
        </w:rPr>
        <w:t>不可循环取值</w:t>
      </w:r>
      <w:r>
        <w:rPr>
          <w:rFonts w:hint="eastAsia" w:ascii="Times New Roman" w:hAnsi="Times New Roman" w:eastAsia="宋体e眠副浡渀." w:cs="Times New Roman"/>
          <w:color w:val="auto"/>
          <w:kern w:val="0"/>
          <w:szCs w:val="21"/>
          <w:highlight w:val="none"/>
        </w:rPr>
        <w:t>0</w:t>
      </w:r>
      <w:r>
        <w:rPr>
          <w:rFonts w:ascii="Times New Roman" w:hAnsi="Times New Roman" w:eastAsia="宋体e眠副浡渀." w:cs="Times New Roman"/>
          <w:color w:val="auto"/>
          <w:kern w:val="0"/>
          <w:szCs w:val="21"/>
          <w:highlight w:val="none"/>
        </w:rPr>
        <w:t>）</w:t>
      </w:r>
      <w:r>
        <w:rPr>
          <w:rFonts w:hint="eastAsia"/>
          <w:color w:val="auto"/>
          <w:highlight w:val="none"/>
        </w:rPr>
        <w:t>。</w:t>
      </w:r>
    </w:p>
    <w:p>
      <w:pPr>
        <w:widowControl/>
        <w:tabs>
          <w:tab w:val="left" w:pos="760"/>
          <w:tab w:val="left" w:pos="840"/>
        </w:tabs>
        <w:rPr>
          <w:rFonts w:ascii="Times New Roman" w:hAnsi="Times New Roman" w:eastAsia="黑体" w:cs="Times New Roman"/>
          <w:color w:val="auto"/>
          <w:kern w:val="21"/>
          <w:szCs w:val="20"/>
          <w:highlight w:val="none"/>
        </w:rPr>
      </w:pPr>
    </w:p>
    <w:p>
      <w:pPr>
        <w:autoSpaceDE w:val="0"/>
        <w:autoSpaceDN w:val="0"/>
        <w:adjustRightInd w:val="0"/>
        <w:jc w:val="left"/>
        <w:rPr>
          <w:rFonts w:ascii="Times New Roman" w:hAnsi="Times New Roman" w:eastAsia="黑体e眠副浡渀." w:cs="Times New Roman"/>
          <w:color w:val="auto"/>
          <w:kern w:val="0"/>
          <w:szCs w:val="21"/>
          <w:highlight w:val="none"/>
        </w:rPr>
      </w:pPr>
      <w:r>
        <w:rPr>
          <w:rFonts w:ascii="Times New Roman" w:hAnsi="Times New Roman" w:eastAsia="宋体" w:cs="Times New Roman"/>
          <w:color w:val="auto"/>
          <w:kern w:val="0"/>
          <w:szCs w:val="21"/>
          <w:highlight w:val="none"/>
        </w:rPr>
        <w:t xml:space="preserve">A.6 </w:t>
      </w:r>
      <w:r>
        <w:rPr>
          <w:rFonts w:ascii="Times New Roman" w:hAnsi="Times New Roman" w:eastAsia="黑体e眠副浡渀." w:cs="Times New Roman"/>
          <w:color w:val="auto"/>
          <w:kern w:val="0"/>
          <w:szCs w:val="21"/>
          <w:highlight w:val="none"/>
        </w:rPr>
        <w:t>单位产品综合能耗</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单位产品综合能耗按式（</w:t>
      </w:r>
      <w:r>
        <w:rPr>
          <w:rFonts w:hint="eastAsia" w:ascii="Times New Roman" w:hAnsi="Times New Roman" w:eastAsia="宋体e眠副浡渀." w:cs="Times New Roman"/>
          <w:color w:val="auto"/>
          <w:kern w:val="0"/>
          <w:szCs w:val="21"/>
          <w:highlight w:val="none"/>
        </w:rPr>
        <w:t>A</w:t>
      </w:r>
      <w:r>
        <w:rPr>
          <w:rFonts w:ascii="Times New Roman" w:hAnsi="Times New Roman" w:eastAsia="宋体e眠副浡渀." w:cs="Times New Roman"/>
          <w:color w:val="auto"/>
          <w:kern w:val="0"/>
          <w:szCs w:val="21"/>
          <w:highlight w:val="none"/>
        </w:rPr>
        <w:t>.6）计算。</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宋体e眠副浡渀." w:hAnsi="Arial" w:eastAsia="宋体e眠副浡渀." w:cs="宋体e眠副浡渀."/>
          <w:color w:val="auto"/>
          <w:kern w:val="0"/>
          <w:szCs w:val="21"/>
          <w:highlight w:val="none"/>
        </w:rPr>
        <w:drawing>
          <wp:inline distT="0" distB="0" distL="0" distR="0">
            <wp:extent cx="581025" cy="371475"/>
            <wp:effectExtent l="19050" t="0" r="9525"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noChangeArrowheads="1"/>
                    </pic:cNvPicPr>
                  </pic:nvPicPr>
                  <pic:blipFill>
                    <a:blip r:embed="rId12" cstate="print"/>
                    <a:srcRect/>
                    <a:stretch>
                      <a:fillRect/>
                    </a:stretch>
                  </pic:blipFill>
                  <pic:spPr>
                    <a:xfrm>
                      <a:off x="0" y="0"/>
                      <a:ext cx="581025" cy="371475"/>
                    </a:xfrm>
                    <a:prstGeom prst="rect">
                      <a:avLst/>
                    </a:prstGeom>
                    <a:noFill/>
                    <a:ln w="9525">
                      <a:noFill/>
                      <a:miter lim="800000"/>
                      <a:headEnd/>
                      <a:tailEnd/>
                    </a:ln>
                  </pic:spPr>
                </pic:pic>
              </a:graphicData>
            </a:graphic>
          </wp:inline>
        </w:drawing>
      </w:r>
      <w:r>
        <w:rPr>
          <w:rFonts w:hint="eastAsia" w:ascii="宋体e眠副浡渀." w:hAnsi="Arial" w:eastAsia="宋体e眠副浡渀." w:cs="宋体e眠副浡渀."/>
          <w:color w:val="auto"/>
          <w:kern w:val="0"/>
          <w:szCs w:val="21"/>
          <w:highlight w:val="none"/>
        </w:rPr>
        <w:t>…………………………………………………………………………………</w:t>
      </w:r>
      <w:r>
        <w:rPr>
          <w:rFonts w:ascii="Times New Roman" w:hAnsi="Times New Roman" w:eastAsia="宋体" w:cs="Times New Roman"/>
          <w:color w:val="auto"/>
          <w:kern w:val="0"/>
          <w:szCs w:val="20"/>
          <w:highlight w:val="none"/>
        </w:rPr>
        <w:t>（</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.6）</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E</w:t>
      </w:r>
      <w:r>
        <w:rPr>
          <w:rFonts w:ascii="Times New Roman" w:hAnsi="Times New Roman" w:eastAsia="宋体e眠副浡渀." w:cs="Times New Roman"/>
          <w:color w:val="auto"/>
          <w:kern w:val="0"/>
          <w:sz w:val="11"/>
          <w:szCs w:val="11"/>
          <w:highlight w:val="none"/>
        </w:rPr>
        <w:t>ui</w:t>
      </w:r>
      <w:r>
        <w:rPr>
          <w:rFonts w:ascii="Times New Roman" w:hAnsi="Times New Roman" w:eastAsia="宋体e眠副浡渀." w:cs="Times New Roman"/>
          <w:color w:val="auto"/>
          <w:kern w:val="0"/>
          <w:szCs w:val="21"/>
          <w:highlight w:val="none"/>
        </w:rPr>
        <w:t>——单位产品综合能耗，单位为吨标准煤每吨（tce/t）；</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E</w:t>
      </w:r>
      <w:r>
        <w:rPr>
          <w:rFonts w:ascii="Times New Roman" w:hAnsi="Times New Roman" w:eastAsia="宋体e眠副浡渀." w:cs="Times New Roman"/>
          <w:color w:val="auto"/>
          <w:kern w:val="0"/>
          <w:sz w:val="11"/>
          <w:szCs w:val="11"/>
          <w:highlight w:val="none"/>
        </w:rPr>
        <w:t>i</w:t>
      </w:r>
      <w:r>
        <w:rPr>
          <w:rFonts w:ascii="Times New Roman" w:hAnsi="Times New Roman" w:eastAsia="宋体e眠副浡渀." w:cs="Times New Roman"/>
          <w:color w:val="auto"/>
          <w:kern w:val="0"/>
          <w:szCs w:val="21"/>
          <w:highlight w:val="none"/>
        </w:rPr>
        <w:t>——统计期内，工厂消耗全部能源数量，单位为吨标准煤（tce）；</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Q——统计期内的合格产品产量，单位为吨（t）。</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
      </w:pPr>
    </w:p>
    <w:p>
      <w:pPr>
        <w:widowControl/>
        <w:tabs>
          <w:tab w:val="left" w:pos="760"/>
          <w:tab w:val="left" w:pos="840"/>
        </w:tabs>
        <w:ind w:left="412" w:hanging="411" w:hangingChars="196"/>
        <w:rPr>
          <w:rFonts w:ascii="Times New Roman" w:hAnsi="Times New Roman" w:eastAsia="黑体e眠副浡渀." w:cs="Times New Roman"/>
          <w:color w:val="auto"/>
          <w:kern w:val="0"/>
          <w:szCs w:val="21"/>
          <w:highlight w:val="none"/>
        </w:rPr>
      </w:pPr>
      <w:r>
        <w:rPr>
          <w:rFonts w:ascii="Times New Roman" w:hAnsi="Times New Roman" w:eastAsia="黑体e眠副浡渀." w:cs="Times New Roman"/>
          <w:color w:val="auto"/>
          <w:kern w:val="0"/>
          <w:szCs w:val="21"/>
          <w:highlight w:val="none"/>
        </w:rPr>
        <w:t>A.7 可再生能源利用率</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可再生能源利用率按式（</w:t>
      </w:r>
      <w:r>
        <w:rPr>
          <w:rFonts w:hint="eastAsia" w:ascii="Times New Roman" w:hAnsi="Times New Roman" w:eastAsia="宋体e眠副浡渀." w:cs="Times New Roman"/>
          <w:color w:val="auto"/>
          <w:kern w:val="0"/>
          <w:szCs w:val="21"/>
          <w:highlight w:val="none"/>
        </w:rPr>
        <w:t>A</w:t>
      </w:r>
      <w:r>
        <w:rPr>
          <w:rFonts w:ascii="Times New Roman" w:hAnsi="Times New Roman" w:eastAsia="宋体e眠副浡渀." w:cs="Times New Roman"/>
          <w:color w:val="auto"/>
          <w:kern w:val="0"/>
          <w:szCs w:val="21"/>
          <w:highlight w:val="none"/>
        </w:rPr>
        <w:t>.7）计算。</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 xml:space="preserve">F </w:t>
      </w:r>
      <w:r>
        <w:rPr>
          <w:rFonts w:ascii="Times New Roman" w:hAnsi="Times New Roman" w:eastAsia="宋体e眠副浡渀." w:cs="Times New Roman"/>
          <w:color w:val="auto"/>
          <w:kern w:val="0"/>
          <w:sz w:val="28"/>
          <w:szCs w:val="21"/>
          <w:highlight w:val="none"/>
        </w:rPr>
        <w:t xml:space="preserve">= </w:t>
      </w:r>
      <w:r>
        <w:rPr>
          <w:rFonts w:ascii="Times New Roman" w:hAnsi="Times New Roman" w:eastAsia="宋体e眠副浡渀." w:cs="Times New Roman"/>
          <w:color w:val="auto"/>
          <w:kern w:val="0"/>
          <w:szCs w:val="21"/>
          <w:highlight w:val="none"/>
        </w:rPr>
        <w:t>E</w:t>
      </w:r>
      <w:r>
        <w:rPr>
          <w:rFonts w:ascii="Times New Roman" w:hAnsi="Times New Roman" w:eastAsia="宋体e眠副浡渀." w:cs="Times New Roman"/>
          <w:color w:val="auto"/>
          <w:kern w:val="0"/>
          <w:szCs w:val="21"/>
          <w:highlight w:val="none"/>
          <w:vertAlign w:val="subscript"/>
        </w:rPr>
        <w:t>j</w:t>
      </w:r>
      <w:r>
        <w:rPr>
          <w:rFonts w:ascii="Times New Roman" w:hAnsi="Times New Roman" w:eastAsia="宋体e眠副浡渀." w:cs="Times New Roman"/>
          <w:color w:val="auto"/>
          <w:kern w:val="0"/>
          <w:sz w:val="22"/>
          <w:szCs w:val="21"/>
          <w:highlight w:val="none"/>
        </w:rPr>
        <w:t>/E</w:t>
      </w:r>
      <w:r>
        <w:rPr>
          <w:rFonts w:ascii="Times New Roman" w:hAnsi="Times New Roman" w:eastAsia="宋体e眠副浡渀." w:cs="Times New Roman"/>
          <w:color w:val="auto"/>
          <w:kern w:val="0"/>
          <w:sz w:val="8"/>
          <w:szCs w:val="11"/>
          <w:highlight w:val="none"/>
        </w:rPr>
        <w:t>i</w:t>
      </w:r>
      <w:r>
        <w:rPr>
          <w:rFonts w:hint="eastAsia" w:ascii="宋体e眠副浡渀." w:hAnsi="Arial" w:eastAsia="宋体e眠副浡渀." w:cs="宋体e眠副浡渀."/>
          <w:color w:val="auto"/>
          <w:kern w:val="0"/>
          <w:szCs w:val="21"/>
          <w:highlight w:val="none"/>
        </w:rPr>
        <w:t>…………………………………………………………………………………</w:t>
      </w:r>
      <w:r>
        <w:rPr>
          <w:rFonts w:ascii="Times New Roman" w:hAnsi="Times New Roman" w:eastAsia="宋体" w:cs="Times New Roman"/>
          <w:color w:val="auto"/>
          <w:kern w:val="0"/>
          <w:szCs w:val="20"/>
          <w:highlight w:val="none"/>
        </w:rPr>
        <w:t>（</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.7）</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F——可再生能源利用率（%）；</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E</w:t>
      </w:r>
      <w:r>
        <w:rPr>
          <w:rFonts w:ascii="Times New Roman" w:hAnsi="Times New Roman" w:eastAsia="宋体e眠副浡渀." w:cs="Times New Roman"/>
          <w:color w:val="auto"/>
          <w:kern w:val="0"/>
          <w:szCs w:val="21"/>
          <w:highlight w:val="none"/>
          <w:vertAlign w:val="subscript"/>
        </w:rPr>
        <w:t>j</w:t>
      </w:r>
      <w:r>
        <w:rPr>
          <w:rFonts w:ascii="Times New Roman" w:hAnsi="Times New Roman" w:eastAsia="宋体e眠副浡渀." w:cs="Times New Roman"/>
          <w:color w:val="auto"/>
          <w:kern w:val="0"/>
          <w:szCs w:val="21"/>
          <w:highlight w:val="none"/>
        </w:rPr>
        <w:t>——统计期内，工厂消耗全部可再生能源数量，单位为吨标准煤（tce）；</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E</w:t>
      </w:r>
      <w:r>
        <w:rPr>
          <w:rFonts w:ascii="Times New Roman" w:hAnsi="Times New Roman" w:eastAsia="宋体e眠副浡渀." w:cs="Times New Roman"/>
          <w:color w:val="auto"/>
          <w:kern w:val="0"/>
          <w:sz w:val="11"/>
          <w:szCs w:val="11"/>
          <w:highlight w:val="none"/>
        </w:rPr>
        <w:t>i</w:t>
      </w:r>
      <w:r>
        <w:rPr>
          <w:rFonts w:ascii="Times New Roman" w:hAnsi="Times New Roman" w:eastAsia="宋体e眠副浡渀." w:cs="Times New Roman"/>
          <w:color w:val="auto"/>
          <w:kern w:val="0"/>
          <w:szCs w:val="21"/>
          <w:highlight w:val="none"/>
        </w:rPr>
        <w:t>——统计期内，工厂消耗全部能源数量，单位为吨标准煤（tce）。</w:t>
      </w:r>
    </w:p>
    <w:p>
      <w:pPr>
        <w:widowControl/>
        <w:tabs>
          <w:tab w:val="left" w:pos="760"/>
          <w:tab w:val="left" w:pos="840"/>
        </w:tabs>
        <w:rPr>
          <w:rFonts w:ascii="Times New Roman" w:hAnsi="Times New Roman" w:eastAsia="宋体e眠副浡渀." w:cs="Times New Roman"/>
          <w:color w:val="auto"/>
          <w:kern w:val="0"/>
          <w:szCs w:val="21"/>
          <w:highlight w:val="none"/>
        </w:rPr>
      </w:pPr>
    </w:p>
    <w:p>
      <w:pPr>
        <w:widowControl/>
        <w:tabs>
          <w:tab w:val="left" w:pos="760"/>
          <w:tab w:val="left" w:pos="840"/>
        </w:tabs>
        <w:rPr>
          <w:rFonts w:ascii="Times New Roman" w:hAnsi="Times New Roman" w:eastAsia="黑体" w:cs="Times New Roman"/>
          <w:color w:val="auto"/>
          <w:kern w:val="21"/>
          <w:szCs w:val="20"/>
          <w:highlight w:val="none"/>
        </w:rPr>
      </w:pPr>
      <w:r>
        <w:rPr>
          <w:rFonts w:ascii="Times New Roman" w:hAnsi="Times New Roman" w:cs="Times New Roman"/>
          <w:color w:val="auto"/>
          <w:highlight w:val="none"/>
        </w:rPr>
        <w:t xml:space="preserve">A.8 </w:t>
      </w:r>
      <w:r>
        <w:rPr>
          <w:rFonts w:ascii="Times New Roman" w:hAnsi="Times New Roman" w:eastAsia="黑体" w:cs="Times New Roman"/>
          <w:color w:val="auto"/>
          <w:kern w:val="21"/>
          <w:szCs w:val="20"/>
          <w:highlight w:val="none"/>
        </w:rPr>
        <w:t>单位产品废气烟尘排放量</w:t>
      </w:r>
    </w:p>
    <w:p>
      <w:pPr>
        <w:widowControl/>
        <w:tabs>
          <w:tab w:val="left" w:pos="760"/>
          <w:tab w:val="left" w:pos="840"/>
        </w:tabs>
        <w:ind w:firstLine="420" w:firstLineChars="200"/>
        <w:rPr>
          <w:rFonts w:ascii="Times New Roman" w:hAnsi="Times New Roman" w:eastAsia="黑体" w:cs="Times New Roman"/>
          <w:color w:val="auto"/>
          <w:kern w:val="21"/>
          <w:szCs w:val="20"/>
          <w:highlight w:val="none"/>
        </w:rPr>
      </w:pPr>
      <w:r>
        <w:rPr>
          <w:rFonts w:ascii="Times New Roman" w:hAnsi="Times New Roman" w:cs="Times New Roman"/>
          <w:color w:val="auto"/>
          <w:highlight w:val="none"/>
        </w:rPr>
        <w:t>单位产品废气烟尘排放量按式（</w:t>
      </w:r>
      <w:r>
        <w:rPr>
          <w:rFonts w:hint="eastAsia" w:ascii="Times New Roman" w:hAnsi="Times New Roman" w:cs="Times New Roman"/>
          <w:color w:val="auto"/>
          <w:highlight w:val="none"/>
        </w:rPr>
        <w:t>A</w:t>
      </w:r>
      <w:r>
        <w:rPr>
          <w:rFonts w:ascii="Times New Roman" w:hAnsi="Times New Roman" w:cs="Times New Roman"/>
          <w:color w:val="auto"/>
          <w:highlight w:val="none"/>
        </w:rPr>
        <w:t>.8）计算。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e眠副浡渀." w:cs="Times New Roman"/>
          <w:color w:val="auto"/>
          <w:kern w:val="0"/>
          <w:szCs w:val="21"/>
          <w:highlight w:val="none"/>
        </w:rPr>
        <w:t>G</w:t>
      </w:r>
      <w:r>
        <w:rPr>
          <w:rFonts w:ascii="Times New Roman" w:hAnsi="Times New Roman" w:eastAsia="宋体e眠副浡渀." w:cs="Times New Roman"/>
          <w:color w:val="auto"/>
          <w:kern w:val="0"/>
          <w:szCs w:val="21"/>
          <w:highlight w:val="none"/>
          <w:vertAlign w:val="subscript"/>
        </w:rPr>
        <w:t>烟尘uj</w:t>
      </w:r>
      <w:r>
        <w:rPr>
          <w:rFonts w:ascii="Times New Roman" w:hAnsi="Times New Roman" w:eastAsia="宋体e眠副浡渀." w:cs="Times New Roman"/>
          <w:color w:val="auto"/>
          <w:kern w:val="0"/>
          <w:szCs w:val="21"/>
          <w:highlight w:val="none"/>
        </w:rPr>
        <w:t>= G</w:t>
      </w:r>
      <w:r>
        <w:rPr>
          <w:rFonts w:ascii="Times New Roman" w:hAnsi="Times New Roman" w:eastAsia="宋体e眠副浡渀." w:cs="Times New Roman"/>
          <w:color w:val="auto"/>
          <w:kern w:val="0"/>
          <w:szCs w:val="21"/>
          <w:highlight w:val="none"/>
          <w:vertAlign w:val="subscript"/>
        </w:rPr>
        <w:t>烟尘</w:t>
      </w:r>
      <w:r>
        <w:rPr>
          <w:rFonts w:ascii="Times New Roman" w:hAnsi="Times New Roman" w:eastAsia="宋体e眠副浡渀." w:cs="Times New Roman"/>
          <w:color w:val="auto"/>
          <w:kern w:val="0"/>
          <w:szCs w:val="21"/>
          <w:highlight w:val="none"/>
        </w:rPr>
        <w:t>/ Q</w:t>
      </w:r>
      <w:r>
        <w:rPr>
          <w:rFonts w:hint="eastAsia" w:ascii="宋体e眠副浡渀." w:hAnsi="Arial" w:eastAsia="宋体e眠副浡渀." w:cs="宋体e眠副浡渀."/>
          <w:color w:val="auto"/>
          <w:kern w:val="0"/>
          <w:szCs w:val="21"/>
          <w:highlight w:val="none"/>
        </w:rPr>
        <w:t>……………………………………………………………………………</w:t>
      </w:r>
      <w:r>
        <w:rPr>
          <w:rFonts w:ascii="Times New Roman" w:hAnsi="Times New Roman" w:eastAsia="宋体" w:cs="Times New Roman"/>
          <w:color w:val="auto"/>
          <w:kern w:val="0"/>
          <w:szCs w:val="20"/>
          <w:highlight w:val="none"/>
        </w:rPr>
        <w:t>（</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.8）</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G</w:t>
      </w:r>
      <w:r>
        <w:rPr>
          <w:rFonts w:ascii="Times New Roman" w:hAnsi="Times New Roman" w:eastAsia="宋体e眠副浡渀." w:cs="Times New Roman"/>
          <w:color w:val="auto"/>
          <w:kern w:val="0"/>
          <w:szCs w:val="21"/>
          <w:highlight w:val="none"/>
          <w:vertAlign w:val="subscript"/>
        </w:rPr>
        <w:t>烟尘uj</w:t>
      </w:r>
      <w:r>
        <w:rPr>
          <w:rFonts w:ascii="Times New Roman" w:hAnsi="Times New Roman" w:eastAsia="宋体e眠副浡渀." w:cs="Times New Roman"/>
          <w:color w:val="auto"/>
          <w:kern w:val="0"/>
          <w:szCs w:val="21"/>
          <w:highlight w:val="none"/>
        </w:rPr>
        <w:t>——每生产1t产品的废气烟尘排放量，单位为克每吨（g/t）；</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G</w:t>
      </w:r>
      <w:r>
        <w:rPr>
          <w:rFonts w:ascii="Times New Roman" w:hAnsi="Times New Roman" w:eastAsia="宋体e眠副浡渀." w:cs="Times New Roman"/>
          <w:color w:val="auto"/>
          <w:kern w:val="0"/>
          <w:szCs w:val="21"/>
          <w:highlight w:val="none"/>
          <w:vertAlign w:val="subscript"/>
        </w:rPr>
        <w:t>烟尘</w:t>
      </w:r>
      <w:r>
        <w:rPr>
          <w:rFonts w:ascii="Times New Roman" w:hAnsi="Times New Roman" w:eastAsia="宋体e眠副浡渀." w:cs="Times New Roman"/>
          <w:color w:val="auto"/>
          <w:kern w:val="0"/>
          <w:szCs w:val="21"/>
          <w:highlight w:val="none"/>
        </w:rPr>
        <w:t>——在一定的计量时间内企业生产产品所产生的废气烟尘排放量，单位为克（g）；</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Q——在一定的计量时间内合格产品产量，单位为吨（t）。</w:t>
      </w:r>
    </w:p>
    <w:p>
      <w:pPr>
        <w:widowControl/>
        <w:tabs>
          <w:tab w:val="left" w:pos="760"/>
          <w:tab w:val="left" w:pos="840"/>
        </w:tabs>
        <w:rPr>
          <w:rFonts w:ascii="Times New Roman" w:hAnsi="Times New Roman" w:eastAsia="宋体e眠副浡渀." w:cs="Times New Roman"/>
          <w:color w:val="auto"/>
          <w:kern w:val="0"/>
          <w:szCs w:val="21"/>
          <w:highlight w:val="none"/>
        </w:rPr>
      </w:pPr>
    </w:p>
    <w:p>
      <w:pPr>
        <w:widowControl/>
        <w:tabs>
          <w:tab w:val="left" w:pos="760"/>
          <w:tab w:val="left" w:pos="840"/>
        </w:tabs>
        <w:rPr>
          <w:rFonts w:ascii="Times New Roman" w:hAnsi="Times New Roman" w:eastAsia="黑体" w:cs="Times New Roman"/>
          <w:color w:val="auto"/>
          <w:kern w:val="21"/>
          <w:szCs w:val="20"/>
          <w:highlight w:val="none"/>
        </w:rPr>
      </w:pPr>
      <w:r>
        <w:rPr>
          <w:rFonts w:ascii="Times New Roman" w:hAnsi="Times New Roman" w:eastAsia="黑体" w:cs="Times New Roman"/>
          <w:color w:val="auto"/>
          <w:kern w:val="21"/>
          <w:szCs w:val="20"/>
          <w:highlight w:val="none"/>
        </w:rPr>
        <w:t>A.9 单位产品废气二氧化硫排放量</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单位产品废气二氧化硫排放量按式（</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.9）计算。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e眠副浡渀." w:cs="Times New Roman"/>
          <w:color w:val="auto"/>
          <w:kern w:val="0"/>
          <w:szCs w:val="21"/>
          <w:highlight w:val="none"/>
        </w:rPr>
        <w:t>G</w:t>
      </w:r>
      <w:r>
        <w:rPr>
          <w:rFonts w:ascii="Times New Roman" w:hAnsi="Times New Roman" w:eastAsia="宋体e眠副浡渀." w:cs="Times New Roman"/>
          <w:color w:val="auto"/>
          <w:kern w:val="0"/>
          <w:szCs w:val="21"/>
          <w:highlight w:val="none"/>
          <w:vertAlign w:val="subscript"/>
        </w:rPr>
        <w:t>uj</w:t>
      </w:r>
      <w:r>
        <w:rPr>
          <w:rFonts w:ascii="Times New Roman" w:hAnsi="Times New Roman" w:eastAsia="宋体e眠副浡渀." w:cs="Times New Roman"/>
          <w:color w:val="auto"/>
          <w:kern w:val="0"/>
          <w:szCs w:val="21"/>
          <w:highlight w:val="none"/>
        </w:rPr>
        <w:t>= G/ Q</w:t>
      </w:r>
      <w:r>
        <w:rPr>
          <w:rFonts w:hint="eastAsia" w:ascii="宋体e眠副浡渀." w:hAnsi="Arial" w:eastAsia="宋体e眠副浡渀." w:cs="宋体e眠副浡渀."/>
          <w:color w:val="auto"/>
          <w:kern w:val="0"/>
          <w:szCs w:val="21"/>
          <w:highlight w:val="none"/>
        </w:rPr>
        <w:t>…………………………………………………………………………………</w:t>
      </w:r>
      <w:r>
        <w:rPr>
          <w:rFonts w:ascii="Times New Roman" w:hAnsi="Times New Roman" w:eastAsia="宋体" w:cs="Times New Roman"/>
          <w:color w:val="auto"/>
          <w:kern w:val="0"/>
          <w:szCs w:val="20"/>
          <w:highlight w:val="none"/>
        </w:rPr>
        <w:t>（</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.9）</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G</w:t>
      </w:r>
      <w:r>
        <w:rPr>
          <w:rFonts w:ascii="Times New Roman" w:hAnsi="Times New Roman" w:eastAsia="宋体e眠副浡渀." w:cs="Times New Roman"/>
          <w:color w:val="auto"/>
          <w:kern w:val="0"/>
          <w:szCs w:val="21"/>
          <w:highlight w:val="none"/>
          <w:vertAlign w:val="subscript"/>
        </w:rPr>
        <w:t>uj</w:t>
      </w:r>
      <w:r>
        <w:rPr>
          <w:rFonts w:ascii="Times New Roman" w:hAnsi="Times New Roman" w:eastAsia="宋体e眠副浡渀." w:cs="Times New Roman"/>
          <w:color w:val="auto"/>
          <w:kern w:val="0"/>
          <w:szCs w:val="21"/>
          <w:highlight w:val="none"/>
        </w:rPr>
        <w:t>——每生产1t产品的废气二氧化硫排放量，单位为克每吨（g/t）；</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G——在一定的计量时间内企业生产产品所产生的废气二氧化硫排放量，单位为克（g）；</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Q——在一定的计量时间内合格产品产量，单位为吨（t）。</w:t>
      </w:r>
    </w:p>
    <w:p>
      <w:pPr>
        <w:widowControl/>
        <w:tabs>
          <w:tab w:val="left" w:pos="760"/>
          <w:tab w:val="left" w:pos="840"/>
        </w:tabs>
        <w:rPr>
          <w:rFonts w:ascii="Times New Roman" w:hAnsi="Times New Roman" w:eastAsia="宋体e眠副浡渀." w:cs="Times New Roman"/>
          <w:color w:val="auto"/>
          <w:kern w:val="0"/>
          <w:szCs w:val="21"/>
          <w:highlight w:val="none"/>
        </w:rPr>
      </w:pPr>
    </w:p>
    <w:p>
      <w:pPr>
        <w:widowControl/>
        <w:tabs>
          <w:tab w:val="left" w:pos="760"/>
          <w:tab w:val="left" w:pos="840"/>
        </w:tabs>
        <w:rPr>
          <w:rFonts w:ascii="Times New Roman" w:hAnsi="Times New Roman" w:eastAsia="黑体" w:cs="Times New Roman"/>
          <w:color w:val="auto"/>
          <w:kern w:val="21"/>
          <w:szCs w:val="20"/>
          <w:highlight w:val="none"/>
        </w:rPr>
      </w:pPr>
      <w:r>
        <w:rPr>
          <w:rFonts w:ascii="Times New Roman" w:hAnsi="Times New Roman" w:eastAsia="黑体" w:cs="Times New Roman"/>
          <w:color w:val="auto"/>
          <w:kern w:val="21"/>
          <w:szCs w:val="20"/>
          <w:highlight w:val="none"/>
        </w:rPr>
        <w:t>A.10 单位产品固体废弃物（压榨污泥）排放量</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单位产品固体废弃物（压榨污泥）排放量按式（</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.10）计算。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e眠副浡渀." w:cs="Times New Roman"/>
          <w:color w:val="auto"/>
          <w:kern w:val="0"/>
          <w:szCs w:val="21"/>
          <w:highlight w:val="none"/>
        </w:rPr>
        <w:t>K</w:t>
      </w:r>
      <w:r>
        <w:rPr>
          <w:rFonts w:ascii="Times New Roman" w:hAnsi="Times New Roman" w:eastAsia="宋体e眠副浡渀." w:cs="Times New Roman"/>
          <w:color w:val="auto"/>
          <w:kern w:val="0"/>
          <w:szCs w:val="21"/>
          <w:highlight w:val="none"/>
          <w:vertAlign w:val="subscript"/>
        </w:rPr>
        <w:t>uj</w:t>
      </w:r>
      <w:r>
        <w:rPr>
          <w:rFonts w:ascii="Times New Roman" w:hAnsi="Times New Roman" w:eastAsia="宋体e眠副浡渀." w:cs="Times New Roman"/>
          <w:color w:val="auto"/>
          <w:kern w:val="0"/>
          <w:szCs w:val="21"/>
          <w:highlight w:val="none"/>
        </w:rPr>
        <w:t>= K/ Q</w:t>
      </w:r>
      <w:r>
        <w:rPr>
          <w:rFonts w:hint="eastAsia" w:ascii="宋体e眠副浡渀." w:hAnsi="Arial" w:eastAsia="宋体e眠副浡渀." w:cs="宋体e眠副浡渀."/>
          <w:color w:val="auto"/>
          <w:kern w:val="0"/>
          <w:szCs w:val="21"/>
          <w:highlight w:val="none"/>
        </w:rPr>
        <w:t>…………………………………………………………………………………</w:t>
      </w:r>
      <w:r>
        <w:rPr>
          <w:rFonts w:ascii="Times New Roman" w:hAnsi="Times New Roman" w:eastAsia="宋体" w:cs="Times New Roman"/>
          <w:color w:val="auto"/>
          <w:kern w:val="0"/>
          <w:szCs w:val="20"/>
          <w:highlight w:val="none"/>
        </w:rPr>
        <w:t>（</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.10）</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K</w:t>
      </w:r>
      <w:r>
        <w:rPr>
          <w:rFonts w:ascii="Times New Roman" w:hAnsi="Times New Roman" w:eastAsia="宋体e眠副浡渀." w:cs="Times New Roman"/>
          <w:color w:val="auto"/>
          <w:kern w:val="0"/>
          <w:szCs w:val="21"/>
          <w:highlight w:val="none"/>
          <w:vertAlign w:val="subscript"/>
        </w:rPr>
        <w:t>uj</w:t>
      </w:r>
      <w:r>
        <w:rPr>
          <w:rFonts w:ascii="Times New Roman" w:hAnsi="Times New Roman" w:eastAsia="宋体e眠副浡渀." w:cs="Times New Roman"/>
          <w:color w:val="auto"/>
          <w:kern w:val="0"/>
          <w:szCs w:val="21"/>
          <w:highlight w:val="none"/>
        </w:rPr>
        <w:t>——每生产1t产品产生的固体废弃物（压榨污泥）排放量，单位为千克每吨（kg/t）；</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K——在一定的计量时间内企业生产产品所产生的固体废弃物排放量，单位为千克（kg）；</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Q——在一定的计量时间内合格产品产量，单位为吨（t）。</w:t>
      </w:r>
      <w:bookmarkStart w:id="11" w:name="_Toc528928867"/>
      <w:bookmarkStart w:id="12" w:name="_Toc528929172"/>
    </w:p>
    <w:p>
      <w:pPr>
        <w:widowControl/>
        <w:tabs>
          <w:tab w:val="left" w:pos="760"/>
          <w:tab w:val="left" w:pos="840"/>
        </w:tabs>
        <w:rPr>
          <w:rFonts w:ascii="Times New Roman" w:hAnsi="Times New Roman" w:eastAsia="宋体e眠副浡渀." w:cs="Times New Roman"/>
          <w:color w:val="auto"/>
          <w:kern w:val="0"/>
          <w:szCs w:val="21"/>
          <w:highlight w:val="none"/>
        </w:rPr>
      </w:pPr>
    </w:p>
    <w:p>
      <w:pPr>
        <w:widowControl/>
        <w:tabs>
          <w:tab w:val="left" w:pos="760"/>
          <w:tab w:val="left" w:pos="840"/>
        </w:tabs>
        <w:rPr>
          <w:rFonts w:ascii="Times New Roman" w:hAnsi="Times New Roman" w:eastAsia="黑体" w:cs="Times New Roman"/>
          <w:color w:val="auto"/>
          <w:kern w:val="21"/>
          <w:szCs w:val="20"/>
          <w:highlight w:val="none"/>
        </w:rPr>
      </w:pPr>
      <w:r>
        <w:rPr>
          <w:rFonts w:ascii="Times New Roman" w:hAnsi="Times New Roman" w:eastAsia="黑体" w:cs="Times New Roman"/>
          <w:color w:val="auto"/>
          <w:kern w:val="21"/>
          <w:szCs w:val="20"/>
          <w:highlight w:val="none"/>
        </w:rPr>
        <w:t>A.11 单位产品氨氮排放量</w:t>
      </w:r>
      <w:bookmarkEnd w:id="11"/>
      <w:bookmarkEnd w:id="12"/>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单位产品氨氮排放量按式（</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.11）计算。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position w:val="-28"/>
          <w:szCs w:val="20"/>
          <w:highlight w:val="none"/>
        </w:rPr>
        <w:object>
          <v:shape id="_x0000_i1025" o:spt="75" type="#_x0000_t75" style="height:31.8pt;width:59.4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ascii="宋体e眠副浡渀." w:hAnsi="Arial" w:eastAsia="宋体e眠副浡渀." w:cs="宋体e眠副浡渀."/>
          <w:color w:val="auto"/>
          <w:kern w:val="0"/>
          <w:szCs w:val="21"/>
          <w:highlight w:val="none"/>
        </w:rPr>
        <w:t>……………………………………………………………………………</w:t>
      </w:r>
      <w:r>
        <w:rPr>
          <w:rFonts w:ascii="Times New Roman" w:hAnsi="Times New Roman" w:eastAsia="宋体" w:cs="Times New Roman"/>
          <w:color w:val="auto"/>
          <w:kern w:val="0"/>
          <w:szCs w:val="20"/>
          <w:highlight w:val="none"/>
        </w:rPr>
        <w:t>（</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.11）</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式中：</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Q</w:t>
      </w:r>
      <w:r>
        <w:rPr>
          <w:rFonts w:ascii="Times New Roman" w:hAnsi="Times New Roman" w:eastAsia="宋体" w:cs="Times New Roman"/>
          <w:color w:val="auto"/>
          <w:kern w:val="0"/>
          <w:szCs w:val="20"/>
          <w:highlight w:val="none"/>
          <w:vertAlign w:val="subscript"/>
        </w:rPr>
        <w:t>c</w:t>
      </w:r>
      <w:r>
        <w:rPr>
          <w:rFonts w:ascii="Times New Roman" w:hAnsi="Times New Roman" w:eastAsia="宋体e眠副浡渀." w:cs="Times New Roman"/>
          <w:color w:val="auto"/>
          <w:kern w:val="0"/>
          <w:szCs w:val="21"/>
          <w:highlight w:val="none"/>
        </w:rPr>
        <w:t>——</w:t>
      </w:r>
      <w:r>
        <w:rPr>
          <w:rFonts w:ascii="Times New Roman" w:hAnsi="Times New Roman" w:eastAsia="宋体" w:cs="Times New Roman"/>
          <w:color w:val="auto"/>
          <w:kern w:val="0"/>
          <w:szCs w:val="20"/>
          <w:highlight w:val="none"/>
        </w:rPr>
        <w:t>每生产1t产品的氨氮排放量，单位为千克每吨（kg/t）；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 w:cs="Times New Roman"/>
          <w:color w:val="auto"/>
          <w:kern w:val="0"/>
          <w:szCs w:val="20"/>
          <w:highlight w:val="none"/>
        </w:rPr>
        <w:t>C</w:t>
      </w:r>
      <w:r>
        <w:rPr>
          <w:rFonts w:ascii="Times New Roman" w:hAnsi="Times New Roman" w:eastAsia="宋体" w:cs="Times New Roman"/>
          <w:color w:val="auto"/>
          <w:kern w:val="0"/>
          <w:szCs w:val="20"/>
          <w:highlight w:val="none"/>
          <w:vertAlign w:val="subscript"/>
        </w:rPr>
        <w:t>i</w:t>
      </w:r>
      <w:r>
        <w:rPr>
          <w:rFonts w:ascii="Times New Roman" w:hAnsi="Times New Roman" w:eastAsia="宋体e眠副浡渀." w:cs="Times New Roman"/>
          <w:color w:val="auto"/>
          <w:kern w:val="0"/>
          <w:szCs w:val="21"/>
          <w:highlight w:val="none"/>
        </w:rPr>
        <w:t>——在一定计量时间内，排放废水的氨氮平均浓度，单位为千克每立方米（kg/m</w:t>
      </w:r>
      <w:r>
        <w:rPr>
          <w:rFonts w:ascii="Times New Roman" w:hAnsi="Times New Roman" w:eastAsia="宋体e眠副浡渀." w:cs="Times New Roman"/>
          <w:color w:val="auto"/>
          <w:kern w:val="0"/>
          <w:szCs w:val="21"/>
          <w:highlight w:val="none"/>
          <w:vertAlign w:val="superscript"/>
        </w:rPr>
        <w:t>3</w:t>
      </w:r>
      <w:r>
        <w:rPr>
          <w:rFonts w:ascii="Times New Roman" w:hAnsi="Times New Roman" w:eastAsia="宋体e眠副浡渀." w:cs="Times New Roman"/>
          <w:color w:val="auto"/>
          <w:kern w:val="0"/>
          <w:szCs w:val="21"/>
          <w:highlight w:val="none"/>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V</w:t>
      </w:r>
      <w:r>
        <w:rPr>
          <w:rFonts w:ascii="Times New Roman" w:hAnsi="Times New Roman" w:eastAsia="宋体e眠副浡渀." w:cs="Times New Roman"/>
          <w:color w:val="auto"/>
          <w:kern w:val="0"/>
          <w:szCs w:val="21"/>
          <w:highlight w:val="none"/>
          <w:vertAlign w:val="subscript"/>
        </w:rPr>
        <w:t>w</w:t>
      </w:r>
      <w:r>
        <w:rPr>
          <w:rFonts w:ascii="Times New Roman" w:hAnsi="Times New Roman" w:eastAsia="宋体e眠副浡渀." w:cs="Times New Roman"/>
          <w:color w:val="auto"/>
          <w:kern w:val="0"/>
          <w:szCs w:val="21"/>
          <w:highlight w:val="none"/>
        </w:rPr>
        <w:t>——在一定计量时间内，企业生产产品排放的废水量，单位为立方米（m</w:t>
      </w:r>
      <w:r>
        <w:rPr>
          <w:rFonts w:ascii="Times New Roman" w:hAnsi="Times New Roman" w:eastAsia="宋体e眠副浡渀." w:cs="Times New Roman"/>
          <w:color w:val="auto"/>
          <w:kern w:val="0"/>
          <w:szCs w:val="21"/>
          <w:highlight w:val="none"/>
          <w:vertAlign w:val="superscript"/>
        </w:rPr>
        <w:t>3</w:t>
      </w:r>
      <w:r>
        <w:rPr>
          <w:rFonts w:ascii="Times New Roman" w:hAnsi="Times New Roman" w:eastAsia="宋体e眠副浡渀." w:cs="Times New Roman"/>
          <w:color w:val="auto"/>
          <w:kern w:val="0"/>
          <w:szCs w:val="21"/>
          <w:highlight w:val="none"/>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Q——在一定计量时间内合格产品产量，单位为吨(t)。</w:t>
      </w:r>
      <w:bookmarkStart w:id="13" w:name="_Toc528928865"/>
      <w:bookmarkStart w:id="14" w:name="_Toc528929170"/>
    </w:p>
    <w:p>
      <w:pPr>
        <w:widowControl/>
        <w:tabs>
          <w:tab w:val="center" w:pos="4201"/>
          <w:tab w:val="right" w:leader="dot" w:pos="9298"/>
        </w:tabs>
        <w:autoSpaceDE w:val="0"/>
        <w:autoSpaceDN w:val="0"/>
        <w:rPr>
          <w:rFonts w:ascii="Times New Roman" w:hAnsi="Times New Roman" w:eastAsia="宋体e眠副浡渀." w:cs="Times New Roman"/>
          <w:color w:val="auto"/>
          <w:kern w:val="0"/>
          <w:szCs w:val="21"/>
          <w:highlight w:val="none"/>
        </w:rPr>
      </w:pPr>
    </w:p>
    <w:p>
      <w:pPr>
        <w:widowControl/>
        <w:tabs>
          <w:tab w:val="center" w:pos="4201"/>
          <w:tab w:val="right" w:leader="dot" w:pos="9298"/>
        </w:tabs>
        <w:autoSpaceDE w:val="0"/>
        <w:autoSpaceDN w:val="0"/>
        <w:rPr>
          <w:rFonts w:ascii="Times New Roman" w:hAnsi="Times New Roman" w:eastAsia="黑体" w:cs="Times New Roman"/>
          <w:color w:val="auto"/>
          <w:kern w:val="21"/>
          <w:szCs w:val="20"/>
          <w:highlight w:val="none"/>
        </w:rPr>
      </w:pPr>
      <w:r>
        <w:rPr>
          <w:rFonts w:ascii="Times New Roman" w:hAnsi="Times New Roman" w:eastAsia="黑体e眠副浡渀." w:cs="Times New Roman"/>
          <w:color w:val="auto"/>
          <w:kern w:val="21"/>
          <w:szCs w:val="21"/>
          <w:highlight w:val="none"/>
        </w:rPr>
        <w:t xml:space="preserve">A.12 </w:t>
      </w:r>
      <w:r>
        <w:rPr>
          <w:rFonts w:ascii="Times New Roman" w:hAnsi="Times New Roman" w:eastAsia="黑体" w:cs="Times New Roman"/>
          <w:color w:val="auto"/>
          <w:kern w:val="21"/>
          <w:szCs w:val="20"/>
          <w:highlight w:val="none"/>
        </w:rPr>
        <w:t>单位产品废水排放量</w:t>
      </w:r>
      <w:bookmarkEnd w:id="13"/>
      <w:bookmarkEnd w:id="14"/>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单位产品废水排放量按式（</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.12）计算。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position w:val="-28"/>
          <w:szCs w:val="20"/>
          <w:highlight w:val="none"/>
        </w:rPr>
        <w:object>
          <v:shape id="_x0000_i1026" o:spt="75" type="#_x0000_t75" style="height:36pt;width:36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宋体e眠副浡渀." w:hAnsi="Arial" w:eastAsia="宋体e眠副浡渀." w:cs="宋体e眠副浡渀."/>
          <w:color w:val="auto"/>
          <w:kern w:val="0"/>
          <w:szCs w:val="21"/>
          <w:highlight w:val="none"/>
        </w:rPr>
        <w:t>…………………………………………………………………………………</w:t>
      </w:r>
      <w:r>
        <w:rPr>
          <w:rFonts w:ascii="Times New Roman" w:hAnsi="Times New Roman" w:eastAsia="宋体" w:cs="Times New Roman"/>
          <w:color w:val="auto"/>
          <w:kern w:val="0"/>
          <w:szCs w:val="20"/>
          <w:highlight w:val="none"/>
        </w:rPr>
        <w:t>（</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.12）</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V</w:t>
      </w:r>
      <w:r>
        <w:rPr>
          <w:rFonts w:ascii="Times New Roman" w:hAnsi="Times New Roman" w:eastAsia="宋体e眠副浡渀." w:cs="Times New Roman"/>
          <w:color w:val="auto"/>
          <w:kern w:val="0"/>
          <w:szCs w:val="21"/>
          <w:highlight w:val="none"/>
          <w:vertAlign w:val="subscript"/>
        </w:rPr>
        <w:t>uj</w:t>
      </w:r>
      <w:r>
        <w:rPr>
          <w:rFonts w:ascii="Times New Roman" w:hAnsi="Times New Roman" w:eastAsia="宋体e眠副浡渀." w:cs="Times New Roman"/>
          <w:color w:val="auto"/>
          <w:kern w:val="0"/>
          <w:szCs w:val="21"/>
          <w:highlight w:val="none"/>
        </w:rPr>
        <w:t>——每生产1t产品排放的废水量，单位为立方米每吨（m</w:t>
      </w:r>
      <w:r>
        <w:rPr>
          <w:rFonts w:ascii="Times New Roman" w:hAnsi="Times New Roman" w:eastAsia="宋体e眠副浡渀." w:cs="Times New Roman"/>
          <w:color w:val="auto"/>
          <w:kern w:val="0"/>
          <w:szCs w:val="21"/>
          <w:highlight w:val="none"/>
          <w:vertAlign w:val="superscript"/>
        </w:rPr>
        <w:t>3</w:t>
      </w:r>
      <w:r>
        <w:rPr>
          <w:rFonts w:ascii="Times New Roman" w:hAnsi="Times New Roman" w:eastAsia="宋体e眠副浡渀." w:cs="Times New Roman"/>
          <w:color w:val="auto"/>
          <w:kern w:val="0"/>
          <w:szCs w:val="21"/>
          <w:highlight w:val="none"/>
        </w:rPr>
        <w:t>/t）；</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V</w:t>
      </w:r>
      <w:r>
        <w:rPr>
          <w:rFonts w:ascii="Times New Roman" w:hAnsi="Times New Roman" w:eastAsia="宋体e眠副浡渀." w:cs="Times New Roman"/>
          <w:color w:val="auto"/>
          <w:kern w:val="0"/>
          <w:szCs w:val="21"/>
          <w:highlight w:val="none"/>
          <w:vertAlign w:val="subscript"/>
        </w:rPr>
        <w:t>j</w:t>
      </w:r>
      <w:r>
        <w:rPr>
          <w:rFonts w:ascii="Times New Roman" w:hAnsi="Times New Roman" w:eastAsia="宋体e眠副浡渀." w:cs="Times New Roman"/>
          <w:color w:val="auto"/>
          <w:kern w:val="0"/>
          <w:szCs w:val="21"/>
          <w:highlight w:val="none"/>
        </w:rPr>
        <w:t>——在一定的计量时间内企业排放的废水总量，单位为立方米（m</w:t>
      </w:r>
      <w:r>
        <w:rPr>
          <w:rFonts w:ascii="Times New Roman" w:hAnsi="Times New Roman" w:eastAsia="宋体e眠副浡渀." w:cs="Times New Roman"/>
          <w:color w:val="auto"/>
          <w:kern w:val="0"/>
          <w:szCs w:val="21"/>
          <w:highlight w:val="none"/>
          <w:vertAlign w:val="superscript"/>
        </w:rPr>
        <w:t>3</w:t>
      </w:r>
      <w:r>
        <w:rPr>
          <w:rFonts w:ascii="Times New Roman" w:hAnsi="Times New Roman" w:eastAsia="宋体e眠副浡渀." w:cs="Times New Roman"/>
          <w:color w:val="auto"/>
          <w:kern w:val="0"/>
          <w:szCs w:val="21"/>
          <w:highlight w:val="none"/>
        </w:rPr>
        <w:t>）；</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Q——在一定的计量时间内合格产品产量，单位为吨（t）。</w:t>
      </w:r>
      <w:bookmarkStart w:id="15" w:name="_Toc528928866"/>
      <w:bookmarkStart w:id="16" w:name="_Toc528929171"/>
    </w:p>
    <w:p>
      <w:pPr>
        <w:widowControl/>
        <w:tabs>
          <w:tab w:val="left" w:pos="760"/>
          <w:tab w:val="left" w:pos="840"/>
        </w:tabs>
        <w:rPr>
          <w:rFonts w:ascii="Times New Roman" w:hAnsi="Times New Roman" w:eastAsia="宋体e眠副浡渀." w:cs="Times New Roman"/>
          <w:color w:val="auto"/>
          <w:kern w:val="0"/>
          <w:szCs w:val="21"/>
          <w:highlight w:val="none"/>
        </w:rPr>
      </w:pPr>
    </w:p>
    <w:p>
      <w:pPr>
        <w:widowControl/>
        <w:tabs>
          <w:tab w:val="left" w:pos="760"/>
          <w:tab w:val="left" w:pos="840"/>
        </w:tabs>
        <w:rPr>
          <w:rFonts w:ascii="Times New Roman" w:hAnsi="Times New Roman" w:eastAsia="黑体" w:cs="Times New Roman"/>
          <w:color w:val="auto"/>
          <w:kern w:val="21"/>
          <w:szCs w:val="20"/>
          <w:highlight w:val="none"/>
        </w:rPr>
      </w:pPr>
      <w:r>
        <w:rPr>
          <w:rFonts w:ascii="Times New Roman" w:hAnsi="Times New Roman" w:eastAsia="黑体" w:cs="Times New Roman"/>
          <w:color w:val="auto"/>
          <w:kern w:val="21"/>
          <w:szCs w:val="20"/>
          <w:highlight w:val="none"/>
        </w:rPr>
        <w:t>A.13 单位产品COD</w:t>
      </w:r>
      <w:r>
        <w:rPr>
          <w:rFonts w:ascii="Times New Roman" w:hAnsi="Times New Roman" w:eastAsia="黑体" w:cs="Times New Roman"/>
          <w:color w:val="auto"/>
          <w:kern w:val="21"/>
          <w:szCs w:val="20"/>
          <w:highlight w:val="none"/>
          <w:vertAlign w:val="subscript"/>
        </w:rPr>
        <w:t>Cr</w:t>
      </w:r>
      <w:r>
        <w:rPr>
          <w:rFonts w:ascii="Times New Roman" w:hAnsi="Times New Roman" w:eastAsia="黑体" w:cs="Times New Roman"/>
          <w:color w:val="auto"/>
          <w:kern w:val="21"/>
          <w:szCs w:val="20"/>
          <w:highlight w:val="none"/>
        </w:rPr>
        <w:t>排放量</w:t>
      </w:r>
      <w:bookmarkEnd w:id="15"/>
      <w:bookmarkEnd w:id="16"/>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单位产品COD</w:t>
      </w:r>
      <w:r>
        <w:rPr>
          <w:rFonts w:ascii="Times New Roman" w:hAnsi="Times New Roman" w:eastAsia="宋体" w:cs="Times New Roman"/>
          <w:color w:val="auto"/>
          <w:kern w:val="0"/>
          <w:szCs w:val="20"/>
          <w:highlight w:val="none"/>
          <w:vertAlign w:val="subscript"/>
        </w:rPr>
        <w:t>Cr</w:t>
      </w:r>
      <w:r>
        <w:rPr>
          <w:rFonts w:ascii="Times New Roman" w:hAnsi="Times New Roman" w:eastAsia="宋体" w:cs="Times New Roman"/>
          <w:color w:val="auto"/>
          <w:kern w:val="0"/>
          <w:szCs w:val="20"/>
          <w:highlight w:val="none"/>
        </w:rPr>
        <w:t>排放量按式（</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.13）计算。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position w:val="-4"/>
          <w:szCs w:val="20"/>
          <w:highlight w:val="none"/>
        </w:rPr>
        <w:object>
          <v:shape id="_x0000_i1027" o:spt="75" type="#_x0000_t75" style="height:14.25pt;width:10.0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ascii="Times New Roman" w:hAnsi="Times New Roman" w:eastAsia="宋体" w:cs="Times New Roman"/>
          <w:color w:val="auto"/>
          <w:kern w:val="0"/>
          <w:szCs w:val="20"/>
          <w:highlight w:val="none"/>
        </w:rPr>
        <w:t xml:space="preserve"> </w:t>
      </w:r>
      <w:r>
        <w:rPr>
          <w:rFonts w:ascii="Times New Roman" w:hAnsi="Times New Roman" w:eastAsia="宋体" w:cs="Times New Roman"/>
          <w:color w:val="auto"/>
          <w:kern w:val="0"/>
          <w:position w:val="-28"/>
          <w:szCs w:val="20"/>
          <w:highlight w:val="none"/>
        </w:rPr>
        <w:object>
          <v:shape id="_x0000_i1028" o:spt="75" type="#_x0000_t75" style="height:31.8pt;width:59.4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9">
            <o:LockedField>false</o:LockedField>
          </o:OLEObject>
        </w:object>
      </w:r>
      <w:r>
        <w:rPr>
          <w:rFonts w:hint="eastAsia" w:ascii="宋体e眠副浡渀." w:hAnsi="Arial" w:eastAsia="宋体e眠副浡渀." w:cs="宋体e眠副浡渀."/>
          <w:color w:val="auto"/>
          <w:kern w:val="0"/>
          <w:szCs w:val="21"/>
          <w:highlight w:val="none"/>
        </w:rPr>
        <w:t>…………………………………………………………………………………</w:t>
      </w:r>
      <w:r>
        <w:rPr>
          <w:rFonts w:ascii="Times New Roman" w:hAnsi="Times New Roman" w:eastAsia="宋体" w:cs="Times New Roman"/>
          <w:color w:val="auto"/>
          <w:kern w:val="0"/>
          <w:szCs w:val="20"/>
          <w:highlight w:val="none"/>
        </w:rPr>
        <w:t>（</w:t>
      </w:r>
      <w:r>
        <w:rPr>
          <w:rFonts w:hint="eastAsia" w:ascii="Times New Roman" w:hAnsi="Times New Roman" w:eastAsia="宋体" w:cs="Times New Roman"/>
          <w:color w:val="auto"/>
          <w:kern w:val="0"/>
          <w:szCs w:val="20"/>
          <w:highlight w:val="none"/>
        </w:rPr>
        <w:t>A</w:t>
      </w:r>
      <w:r>
        <w:rPr>
          <w:rFonts w:ascii="Times New Roman" w:hAnsi="Times New Roman" w:eastAsia="宋体" w:cs="Times New Roman"/>
          <w:color w:val="auto"/>
          <w:kern w:val="0"/>
          <w:szCs w:val="20"/>
          <w:highlight w:val="none"/>
        </w:rPr>
        <w:t>.13）</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式中：</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0"/>
          <w:highlight w:val="none"/>
        </w:rPr>
        <w:t>Q</w:t>
      </w:r>
      <w:r>
        <w:rPr>
          <w:rFonts w:ascii="Times New Roman" w:hAnsi="Times New Roman" w:eastAsia="宋体" w:cs="Times New Roman"/>
          <w:color w:val="auto"/>
          <w:kern w:val="0"/>
          <w:szCs w:val="20"/>
          <w:highlight w:val="none"/>
          <w:vertAlign w:val="subscript"/>
        </w:rPr>
        <w:t>c</w:t>
      </w:r>
      <w:r>
        <w:rPr>
          <w:rFonts w:ascii="Times New Roman" w:hAnsi="Times New Roman" w:eastAsia="宋体e眠副浡渀." w:cs="Times New Roman"/>
          <w:color w:val="auto"/>
          <w:kern w:val="0"/>
          <w:szCs w:val="21"/>
          <w:highlight w:val="none"/>
        </w:rPr>
        <w:t>——</w:t>
      </w:r>
      <w:r>
        <w:rPr>
          <w:rFonts w:ascii="Times New Roman" w:hAnsi="Times New Roman" w:eastAsia="宋体" w:cs="Times New Roman"/>
          <w:color w:val="auto"/>
          <w:kern w:val="0"/>
          <w:szCs w:val="20"/>
          <w:highlight w:val="none"/>
        </w:rPr>
        <w:t>每生产1t产品的COD</w:t>
      </w:r>
      <w:r>
        <w:rPr>
          <w:rFonts w:ascii="Times New Roman" w:hAnsi="Times New Roman" w:eastAsia="宋体" w:cs="Times New Roman"/>
          <w:color w:val="auto"/>
          <w:kern w:val="0"/>
          <w:szCs w:val="20"/>
          <w:highlight w:val="none"/>
          <w:vertAlign w:val="subscript"/>
        </w:rPr>
        <w:t>Cr</w:t>
      </w:r>
      <w:r>
        <w:rPr>
          <w:rFonts w:ascii="Times New Roman" w:hAnsi="Times New Roman" w:eastAsia="宋体" w:cs="Times New Roman"/>
          <w:color w:val="auto"/>
          <w:kern w:val="0"/>
          <w:szCs w:val="20"/>
          <w:highlight w:val="none"/>
        </w:rPr>
        <w:t>排放量，单位为千克每吨（kg/t）；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 w:cs="Times New Roman"/>
          <w:color w:val="auto"/>
          <w:kern w:val="0"/>
          <w:szCs w:val="20"/>
          <w:highlight w:val="none"/>
        </w:rPr>
        <w:t>C</w:t>
      </w:r>
      <w:r>
        <w:rPr>
          <w:rFonts w:ascii="Times New Roman" w:hAnsi="Times New Roman" w:eastAsia="宋体" w:cs="Times New Roman"/>
          <w:color w:val="auto"/>
          <w:kern w:val="0"/>
          <w:szCs w:val="20"/>
          <w:highlight w:val="none"/>
          <w:vertAlign w:val="subscript"/>
        </w:rPr>
        <w:t>i</w:t>
      </w:r>
      <w:r>
        <w:rPr>
          <w:rFonts w:ascii="Times New Roman" w:hAnsi="Times New Roman" w:eastAsia="宋体e眠副浡渀." w:cs="Times New Roman"/>
          <w:color w:val="auto"/>
          <w:kern w:val="0"/>
          <w:szCs w:val="21"/>
          <w:highlight w:val="none"/>
        </w:rPr>
        <w:t>——在一定计量时间内，排放废水的COD</w:t>
      </w:r>
      <w:r>
        <w:rPr>
          <w:rFonts w:ascii="Times New Roman" w:hAnsi="Times New Roman" w:eastAsia="宋体e眠副浡渀." w:cs="Times New Roman"/>
          <w:color w:val="auto"/>
          <w:kern w:val="0"/>
          <w:szCs w:val="21"/>
          <w:highlight w:val="none"/>
          <w:vertAlign w:val="subscript"/>
        </w:rPr>
        <w:t>Cr</w:t>
      </w:r>
      <w:r>
        <w:rPr>
          <w:rFonts w:ascii="Times New Roman" w:hAnsi="Times New Roman" w:eastAsia="宋体e眠副浡渀." w:cs="Times New Roman"/>
          <w:color w:val="auto"/>
          <w:kern w:val="0"/>
          <w:szCs w:val="21"/>
          <w:highlight w:val="none"/>
        </w:rPr>
        <w:t>平均浓度，单位为千克每立方米（kg/m</w:t>
      </w:r>
      <w:r>
        <w:rPr>
          <w:rFonts w:ascii="Times New Roman" w:hAnsi="Times New Roman" w:eastAsia="宋体e眠副浡渀." w:cs="Times New Roman"/>
          <w:color w:val="auto"/>
          <w:kern w:val="0"/>
          <w:szCs w:val="21"/>
          <w:highlight w:val="none"/>
          <w:vertAlign w:val="superscript"/>
        </w:rPr>
        <w:t>3</w:t>
      </w:r>
      <w:r>
        <w:rPr>
          <w:rFonts w:ascii="Times New Roman" w:hAnsi="Times New Roman" w:eastAsia="宋体e眠副浡渀." w:cs="Times New Roman"/>
          <w:color w:val="auto"/>
          <w:kern w:val="0"/>
          <w:szCs w:val="21"/>
          <w:highlight w:val="none"/>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V</w:t>
      </w:r>
      <w:r>
        <w:rPr>
          <w:rFonts w:ascii="Times New Roman" w:hAnsi="Times New Roman" w:eastAsia="宋体e眠副浡渀." w:cs="Times New Roman"/>
          <w:color w:val="auto"/>
          <w:kern w:val="0"/>
          <w:szCs w:val="21"/>
          <w:highlight w:val="none"/>
          <w:vertAlign w:val="subscript"/>
        </w:rPr>
        <w:t>w</w:t>
      </w:r>
      <w:r>
        <w:rPr>
          <w:rFonts w:ascii="Times New Roman" w:hAnsi="Times New Roman" w:eastAsia="宋体e眠副浡渀." w:cs="Times New Roman"/>
          <w:color w:val="auto"/>
          <w:kern w:val="0"/>
          <w:szCs w:val="21"/>
          <w:highlight w:val="none"/>
        </w:rPr>
        <w:t>——在一定计量时间内，企业生产产品排放的废水量，单位为立方米（m</w:t>
      </w:r>
      <w:r>
        <w:rPr>
          <w:rFonts w:ascii="Times New Roman" w:hAnsi="Times New Roman" w:eastAsia="宋体e眠副浡渀." w:cs="Times New Roman"/>
          <w:color w:val="auto"/>
          <w:kern w:val="0"/>
          <w:szCs w:val="21"/>
          <w:highlight w:val="none"/>
          <w:vertAlign w:val="superscript"/>
        </w:rPr>
        <w:t>3</w:t>
      </w:r>
      <w:r>
        <w:rPr>
          <w:rFonts w:ascii="Times New Roman" w:hAnsi="Times New Roman" w:eastAsia="宋体e眠副浡渀." w:cs="Times New Roman"/>
          <w:color w:val="auto"/>
          <w:kern w:val="0"/>
          <w:szCs w:val="21"/>
          <w:highlight w:val="none"/>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r>
        <w:rPr>
          <w:rFonts w:ascii="Times New Roman" w:hAnsi="Times New Roman" w:eastAsia="宋体e眠副浡渀." w:cs="Times New Roman"/>
          <w:color w:val="auto"/>
          <w:kern w:val="0"/>
          <w:szCs w:val="21"/>
          <w:highlight w:val="none"/>
        </w:rPr>
        <w:t>Q——在一定计量时间内合格产品产量，单位为吨(t)。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
      </w:pPr>
    </w:p>
    <w:p>
      <w:pPr>
        <w:pStyle w:val="26"/>
        <w:ind w:firstLine="0" w:firstLineChars="0"/>
        <w:rPr>
          <w:color w:val="auto"/>
          <w:szCs w:val="21"/>
          <w:highlight w:val="none"/>
        </w:rPr>
      </w:pPr>
    </w:p>
    <w:p>
      <w:pPr>
        <w:pStyle w:val="92"/>
        <w:spacing w:before="0" w:after="0"/>
        <w:ind w:left="0"/>
        <w:rPr>
          <w:rFonts w:ascii="Times New Roman"/>
          <w:color w:val="auto"/>
          <w:kern w:val="2"/>
          <w:szCs w:val="21"/>
          <w:highlight w:val="none"/>
        </w:rPr>
      </w:pPr>
    </w:p>
    <w:p>
      <w:pPr>
        <w:pStyle w:val="92"/>
        <w:numPr>
          <w:ilvl w:val="0"/>
          <w:numId w:val="0"/>
        </w:numPr>
        <w:spacing w:before="0" w:after="0"/>
        <w:rPr>
          <w:rFonts w:ascii="Times New Roman"/>
          <w:color w:val="auto"/>
          <w:kern w:val="2"/>
          <w:szCs w:val="21"/>
          <w:highlight w:val="none"/>
        </w:rPr>
      </w:pPr>
      <w:r>
        <w:rPr>
          <w:rFonts w:hint="eastAsia" w:ascii="Times New Roman"/>
          <w:color w:val="auto"/>
          <w:kern w:val="2"/>
          <w:szCs w:val="21"/>
          <w:highlight w:val="none"/>
        </w:rPr>
        <w:t>（资料性附录）</w:t>
      </w:r>
    </w:p>
    <w:p>
      <w:pPr>
        <w:pStyle w:val="92"/>
        <w:numPr>
          <w:ilvl w:val="0"/>
          <w:numId w:val="0"/>
        </w:numPr>
        <w:spacing w:before="0" w:after="0"/>
        <w:rPr>
          <w:rFonts w:ascii="Times New Roman"/>
          <w:color w:val="auto"/>
          <w:kern w:val="2"/>
          <w:szCs w:val="21"/>
          <w:highlight w:val="none"/>
        </w:rPr>
      </w:pPr>
      <w:r>
        <w:rPr>
          <w:rFonts w:hint="eastAsia"/>
          <w:color w:val="auto"/>
          <w:szCs w:val="21"/>
          <w:highlight w:val="none"/>
        </w:rPr>
        <w:t>辣椒酱产品生命周期评价方法</w:t>
      </w:r>
    </w:p>
    <w:p>
      <w:pPr>
        <w:pStyle w:val="110"/>
        <w:numPr>
          <w:ilvl w:val="0"/>
          <w:numId w:val="15"/>
        </w:numPr>
        <w:tabs>
          <w:tab w:val="clear" w:pos="360"/>
        </w:tabs>
        <w:spacing w:before="312" w:after="312"/>
        <w:rPr>
          <w:color w:val="auto"/>
          <w:szCs w:val="21"/>
          <w:highlight w:val="none"/>
        </w:rPr>
      </w:pPr>
      <w:r>
        <w:rPr>
          <w:rFonts w:hint="eastAsia"/>
          <w:color w:val="auto"/>
          <w:szCs w:val="21"/>
          <w:highlight w:val="none"/>
        </w:rPr>
        <w:t xml:space="preserve"> 目的</w:t>
      </w:r>
    </w:p>
    <w:p>
      <w:pPr>
        <w:pStyle w:val="26"/>
        <w:rPr>
          <w:color w:val="auto"/>
          <w:highlight w:val="none"/>
        </w:rPr>
      </w:pPr>
      <w:r>
        <w:rPr>
          <w:rFonts w:hint="eastAsia"/>
          <w:color w:val="auto"/>
          <w:highlight w:val="none"/>
        </w:rPr>
        <w:t>辣椒酱产品的原料保存、生产、产品贮存、运输到使用的过程中对环境造成的影响，通过评价辣椒酱产品全生命周期的环境影响大小，提出辣椒酱产品绿色设计改进方案，从而大幅提升辣椒酱产品的环境友好程度。</w:t>
      </w:r>
    </w:p>
    <w:p>
      <w:pPr>
        <w:pStyle w:val="154"/>
        <w:numPr>
          <w:ilvl w:val="0"/>
          <w:numId w:val="15"/>
        </w:numPr>
        <w:rPr>
          <w:rFonts w:ascii="黑体e眠副浡渀." w:hAnsi="Arial" w:eastAsia="黑体e眠副浡渀." w:cs="黑体e眠副浡渀."/>
          <w:color w:val="auto"/>
          <w:sz w:val="21"/>
          <w:szCs w:val="21"/>
          <w:highlight w:val="none"/>
        </w:rPr>
      </w:pPr>
      <w:r>
        <w:rPr>
          <w:rFonts w:hint="eastAsia" w:ascii="黑体e眠副浡渀." w:hAnsi="Arial" w:eastAsia="黑体e眠副浡渀." w:cs="黑体e眠副浡渀."/>
          <w:color w:val="auto"/>
          <w:sz w:val="21"/>
          <w:szCs w:val="21"/>
          <w:highlight w:val="none"/>
        </w:rPr>
        <w:t>范围</w:t>
      </w:r>
    </w:p>
    <w:p>
      <w:pPr>
        <w:pStyle w:val="26"/>
        <w:rPr>
          <w:color w:val="auto"/>
          <w:highlight w:val="none"/>
        </w:rPr>
      </w:pPr>
      <w:r>
        <w:rPr>
          <w:rFonts w:hint="eastAsia"/>
          <w:color w:val="auto"/>
          <w:highlight w:val="none"/>
        </w:rPr>
        <w:t>根据评价目的确定评价范围，确保两者相适应。定义生命周期评价范围时，应考虑以下内容并作出清晰描述。在某些情况下，可对评价范围进行调整，但需要对调整的内容和理由进行书面说明。</w:t>
      </w:r>
    </w:p>
    <w:p>
      <w:pPr>
        <w:pStyle w:val="110"/>
        <w:numPr>
          <w:ilvl w:val="0"/>
          <w:numId w:val="0"/>
        </w:numPr>
        <w:spacing w:before="312" w:after="312"/>
        <w:rPr>
          <w:color w:val="auto"/>
          <w:szCs w:val="21"/>
          <w:highlight w:val="none"/>
        </w:rPr>
      </w:pPr>
      <w:r>
        <w:rPr>
          <w:rFonts w:hint="eastAsia"/>
          <w:color w:val="auto"/>
          <w:szCs w:val="21"/>
          <w:highlight w:val="none"/>
        </w:rPr>
        <w:t>B.2.1 功能单位</w:t>
      </w:r>
    </w:p>
    <w:p>
      <w:pPr>
        <w:pStyle w:val="26"/>
        <w:rPr>
          <w:color w:val="auto"/>
          <w:highlight w:val="none"/>
        </w:rPr>
      </w:pPr>
      <w:r>
        <w:rPr>
          <w:rFonts w:hint="eastAsia"/>
          <w:color w:val="auto"/>
          <w:highlight w:val="none"/>
        </w:rPr>
        <w:t>功能单位应是明确规定并且可测量的。本标准以生产“1t产品”为功能单位来表示。</w:t>
      </w:r>
    </w:p>
    <w:p>
      <w:pPr>
        <w:pStyle w:val="110"/>
        <w:numPr>
          <w:ilvl w:val="0"/>
          <w:numId w:val="0"/>
        </w:numPr>
        <w:spacing w:before="312" w:after="312"/>
        <w:rPr>
          <w:color w:val="auto"/>
          <w:szCs w:val="21"/>
          <w:highlight w:val="none"/>
        </w:rPr>
      </w:pPr>
      <w:r>
        <w:rPr>
          <w:rFonts w:hint="eastAsia"/>
          <w:color w:val="auto"/>
          <w:szCs w:val="21"/>
          <w:highlight w:val="none"/>
        </w:rPr>
        <w:t>B.2.2 系统边界</w:t>
      </w:r>
    </w:p>
    <w:p>
      <w:pPr>
        <w:pStyle w:val="26"/>
        <w:spacing w:line="276" w:lineRule="auto"/>
        <w:ind w:firstLine="430" w:firstLineChars="0"/>
        <w:rPr>
          <w:rFonts w:ascii="Times New Roman"/>
          <w:color w:val="auto"/>
          <w:highlight w:val="none"/>
        </w:rPr>
      </w:pPr>
      <w:r>
        <w:rPr>
          <w:rFonts w:ascii="Times New Roman"/>
          <w:color w:val="auto"/>
          <w:highlight w:val="none"/>
        </w:rPr>
        <w:t>本标准界定的</w:t>
      </w:r>
      <w:r>
        <w:rPr>
          <w:rFonts w:hint="eastAsia" w:ascii="Times New Roman"/>
          <w:color w:val="auto"/>
          <w:highlight w:val="none"/>
        </w:rPr>
        <w:t>辣椒酱</w:t>
      </w:r>
      <w:r>
        <w:rPr>
          <w:rFonts w:ascii="Times New Roman"/>
          <w:color w:val="auto"/>
          <w:highlight w:val="none"/>
        </w:rPr>
        <w:t>产品生命周期系统边界参见图</w:t>
      </w:r>
      <w:r>
        <w:rPr>
          <w:rFonts w:hint="eastAsia" w:ascii="Times New Roman"/>
          <w:color w:val="auto"/>
          <w:highlight w:val="none"/>
        </w:rPr>
        <w:t>B</w:t>
      </w:r>
      <w:r>
        <w:rPr>
          <w:rFonts w:ascii="Times New Roman"/>
          <w:color w:val="auto"/>
          <w:highlight w:val="none"/>
        </w:rPr>
        <w:t>.1，主要包括</w:t>
      </w:r>
      <w:r>
        <w:rPr>
          <w:rFonts w:hint="eastAsia" w:ascii="Times New Roman"/>
          <w:color w:val="auto"/>
          <w:highlight w:val="none"/>
        </w:rPr>
        <w:t>辣椒酱备料</w:t>
      </w:r>
      <w:r>
        <w:rPr>
          <w:rFonts w:ascii="Times New Roman"/>
          <w:color w:val="auto"/>
          <w:highlight w:val="none"/>
        </w:rPr>
        <w:t>阶段、</w:t>
      </w:r>
      <w:r>
        <w:rPr>
          <w:rFonts w:hint="eastAsia" w:ascii="Times New Roman"/>
          <w:color w:val="auto"/>
          <w:highlight w:val="none"/>
        </w:rPr>
        <w:t>辣椒</w:t>
      </w:r>
      <w:r>
        <w:rPr>
          <w:rFonts w:ascii="Times New Roman"/>
          <w:color w:val="auto"/>
          <w:highlight w:val="none"/>
        </w:rPr>
        <w:t>酱煮料阶段、</w:t>
      </w:r>
      <w:r>
        <w:rPr>
          <w:rFonts w:hint="eastAsia" w:ascii="Times New Roman"/>
          <w:color w:val="auto"/>
          <w:highlight w:val="none"/>
        </w:rPr>
        <w:t>辣椒</w:t>
      </w:r>
      <w:r>
        <w:rPr>
          <w:rFonts w:ascii="Times New Roman"/>
          <w:color w:val="auto"/>
          <w:highlight w:val="none"/>
        </w:rPr>
        <w:t>酱</w:t>
      </w:r>
      <w:r>
        <w:rPr>
          <w:rFonts w:hint="eastAsia" w:ascii="Times New Roman"/>
          <w:color w:val="auto"/>
          <w:highlight w:val="none"/>
        </w:rPr>
        <w:t>产</w:t>
      </w:r>
      <w:r>
        <w:rPr>
          <w:rFonts w:ascii="Times New Roman"/>
          <w:color w:val="auto"/>
          <w:highlight w:val="none"/>
        </w:rPr>
        <w:t>品生产包装阶段。</w:t>
      </w:r>
    </w:p>
    <w:p>
      <w:pPr>
        <w:pStyle w:val="26"/>
        <w:spacing w:line="276" w:lineRule="auto"/>
        <w:ind w:firstLine="430" w:firstLineChars="0"/>
        <w:rPr>
          <w:rFonts w:ascii="Times New Roman"/>
          <w:color w:val="auto"/>
          <w:highlight w:val="none"/>
        </w:rPr>
      </w:pPr>
      <w:r>
        <w:rPr>
          <w:rFonts w:ascii="Times New Roman"/>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1306830</wp:posOffset>
                </wp:positionH>
                <wp:positionV relativeFrom="paragraph">
                  <wp:posOffset>102235</wp:posOffset>
                </wp:positionV>
                <wp:extent cx="2648585" cy="294005"/>
                <wp:effectExtent l="11430" t="13335" r="6985" b="6985"/>
                <wp:wrapNone/>
                <wp:docPr id="14" name="Rectangle 49"/>
                <wp:cNvGraphicFramePr/>
                <a:graphic xmlns:a="http://schemas.openxmlformats.org/drawingml/2006/main">
                  <a:graphicData uri="http://schemas.microsoft.com/office/word/2010/wordprocessingShape">
                    <wps:wsp>
                      <wps:cNvSpPr>
                        <a:spLocks noChangeArrowheads="1"/>
                      </wps:cNvSpPr>
                      <wps:spPr bwMode="auto">
                        <a:xfrm>
                          <a:off x="0" y="0"/>
                          <a:ext cx="2648585" cy="294005"/>
                        </a:xfrm>
                        <a:prstGeom prst="rect">
                          <a:avLst/>
                        </a:prstGeom>
                        <a:noFill/>
                        <a:ln w="9525">
                          <a:solidFill>
                            <a:srgbClr val="000000"/>
                          </a:solidFill>
                          <a:miter lim="800000"/>
                        </a:ln>
                      </wps:spPr>
                      <wps:txbx>
                        <w:txbxContent>
                          <w:p>
                            <w:pPr>
                              <w:jc w:val="center"/>
                            </w:pPr>
                            <w:r>
                              <w:t>原材料采购和预加工</w:t>
                            </w:r>
                          </w:p>
                        </w:txbxContent>
                      </wps:txbx>
                      <wps:bodyPr rot="0" vert="horz" wrap="square" lIns="91440" tIns="45720" rIns="91440" bIns="45720" anchor="t" anchorCtr="0" upright="1">
                        <a:noAutofit/>
                      </wps:bodyPr>
                    </wps:wsp>
                  </a:graphicData>
                </a:graphic>
              </wp:anchor>
            </w:drawing>
          </mc:Choice>
          <mc:Fallback>
            <w:pict>
              <v:rect id="Rectangle 49" o:spid="_x0000_s1026" o:spt="1" style="position:absolute;left:0pt;margin-left:102.9pt;margin-top:8.05pt;height:23.15pt;width:208.55pt;z-index:251668480;mso-width-relative:page;mso-height-relative:page;" filled="f" stroked="t" coordsize="21600,21600" o:gfxdata="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ndYYPXAAAACQEAAA8AAAAAAAAAAQAgAAAAIgAAAGRycy9kb3ducmV2LnhtbFBLAQIUABQA&#10;AAAIAIdO4kBiGAmtKgIAAFYEAAAOAAAAAAAAAAEAIAAAACYBAABkcnMvZTJvRG9jLnhtbFBLBQYA&#10;AAAABgAGAFkBAADCBQAAAAA=&#10;">
                <v:fill on="f" focussize="0,0"/>
                <v:stroke color="#000000" miterlimit="8" joinstyle="miter"/>
                <v:imagedata o:title=""/>
                <o:lock v:ext="edit" aspectratio="f"/>
                <v:textbox>
                  <w:txbxContent>
                    <w:p>
                      <w:pPr>
                        <w:jc w:val="center"/>
                      </w:pPr>
                      <w:r>
                        <w:t>原材料采购和预加工</w:t>
                      </w:r>
                    </w:p>
                  </w:txbxContent>
                </v:textbox>
              </v:rect>
            </w:pict>
          </mc:Fallback>
        </mc:AlternateContent>
      </w:r>
    </w:p>
    <w:p>
      <w:pPr>
        <w:pStyle w:val="26"/>
        <w:spacing w:line="276" w:lineRule="auto"/>
        <w:ind w:firstLine="430" w:firstLineChars="0"/>
        <w:rPr>
          <w:rFonts w:ascii="Times New Roman"/>
          <w:color w:val="auto"/>
          <w:highlight w:val="none"/>
        </w:rPr>
      </w:pPr>
      <w:r>
        <w:rPr>
          <w:rFonts w:ascii="Times New Roman"/>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2635250</wp:posOffset>
                </wp:positionH>
                <wp:positionV relativeFrom="paragraph">
                  <wp:posOffset>168910</wp:posOffset>
                </wp:positionV>
                <wp:extent cx="0" cy="189230"/>
                <wp:effectExtent l="53975" t="12065" r="60325" b="17780"/>
                <wp:wrapNone/>
                <wp:docPr id="13" name="AutoShape 53"/>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tailEnd type="triangle" w="med" len="med"/>
                        </a:ln>
                      </wps:spPr>
                      <wps:bodyPr/>
                    </wps:wsp>
                  </a:graphicData>
                </a:graphic>
              </wp:anchor>
            </w:drawing>
          </mc:Choice>
          <mc:Fallback>
            <w:pict>
              <v:shape id="AutoShape 53" o:spid="_x0000_s1026" o:spt="32" type="#_x0000_t32" style="position:absolute;left:0pt;margin-left:207.5pt;margin-top:13.3pt;height:14.9pt;width:0pt;z-index:251672576;mso-width-relative:page;mso-height-relative:page;" filled="f" stroked="t" coordsize="21600,21600" o:gfxdata="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ROKnfYAAAACQEAAA8AAAAAAAAAAQAgAAAAIgAAAGRycy9kb3ducmV2LnhtbFBLAQIUABQA&#10;AAAIAIdO4kBnVYOd8AEAAOEDAAAOAAAAAAAAAAEAIAAAACcBAABkcnMvZTJvRG9jLnhtbFBLBQYA&#10;AAAABgAGAFkBAACJBQAAAAA=&#10;">
                <v:fill on="f" focussize="0,0"/>
                <v:stroke color="#000000" joinstyle="round" endarrow="block"/>
                <v:imagedata o:title=""/>
                <o:lock v:ext="edit" aspectratio="f"/>
              </v:shape>
            </w:pict>
          </mc:Fallback>
        </mc:AlternateContent>
      </w:r>
    </w:p>
    <w:p>
      <w:pPr>
        <w:pStyle w:val="26"/>
        <w:spacing w:line="276" w:lineRule="auto"/>
        <w:ind w:firstLine="430" w:firstLineChars="0"/>
        <w:rPr>
          <w:rFonts w:ascii="Times New Roman"/>
          <w:color w:val="auto"/>
          <w:highlight w:val="none"/>
        </w:rPr>
      </w:pPr>
      <w:r>
        <w:rPr>
          <w:rFonts w:ascii="Times New Roman"/>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1306830</wp:posOffset>
                </wp:positionH>
                <wp:positionV relativeFrom="paragraph">
                  <wp:posOffset>130175</wp:posOffset>
                </wp:positionV>
                <wp:extent cx="2648585" cy="1638935"/>
                <wp:effectExtent l="11430" t="10795" r="6985" b="7620"/>
                <wp:wrapNone/>
                <wp:docPr id="12" name="Rectangle 47"/>
                <wp:cNvGraphicFramePr/>
                <a:graphic xmlns:a="http://schemas.openxmlformats.org/drawingml/2006/main">
                  <a:graphicData uri="http://schemas.microsoft.com/office/word/2010/wordprocessingShape">
                    <wps:wsp>
                      <wps:cNvSpPr>
                        <a:spLocks noChangeArrowheads="1"/>
                      </wps:cNvSpPr>
                      <wps:spPr bwMode="auto">
                        <a:xfrm>
                          <a:off x="0" y="0"/>
                          <a:ext cx="2648585" cy="1638935"/>
                        </a:xfrm>
                        <a:prstGeom prst="rect">
                          <a:avLst/>
                        </a:prstGeom>
                        <a:no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47" o:spid="_x0000_s1026" o:spt="1" style="position:absolute;left:0pt;margin-left:102.9pt;margin-top:10.25pt;height:129.05pt;width:208.55pt;z-index:251666432;mso-width-relative:page;mso-height-relative:page;" filled="f" stroked="t" coordsize="21600,21600" o:gfxdata="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IU8fF1wAAAAoBAAAPAAAAAAAAAAEAIAAAACIAAABkcnMvZG93bnJldi54bWxQSwECFAAU&#10;AAAACACHTuJAxzfaoSsCAABXBAAADgAAAAAAAAABACAAAAAmAQAAZHJzL2Uyb0RvYy54bWxQSwUG&#10;AAAAAAYABgBZAQAAwwUAAAAA&#10;">
                <v:fill on="f" focussize="0,0"/>
                <v:stroke color="#000000" miterlimit="8" joinstyle="miter"/>
                <v:imagedata o:title=""/>
                <o:lock v:ext="edit" aspectratio="f"/>
                <v:textbox>
                  <w:txbxContent>
                    <w:p/>
                  </w:txbxContent>
                </v:textbox>
              </v:rect>
            </w:pict>
          </mc:Fallback>
        </mc:AlternateContent>
      </w:r>
      <w:r>
        <w:rPr>
          <w:rFonts w:ascii="Times New Roman"/>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2238375</wp:posOffset>
                </wp:positionH>
                <wp:positionV relativeFrom="paragraph">
                  <wp:posOffset>217170</wp:posOffset>
                </wp:positionV>
                <wp:extent cx="1094740" cy="370840"/>
                <wp:effectExtent l="9525" t="12065" r="10160" b="7620"/>
                <wp:wrapNone/>
                <wp:docPr id="11" name="Rectangle 35"/>
                <wp:cNvGraphicFramePr/>
                <a:graphic xmlns:a="http://schemas.openxmlformats.org/drawingml/2006/main">
                  <a:graphicData uri="http://schemas.microsoft.com/office/word/2010/wordprocessingShape">
                    <wps:wsp>
                      <wps:cNvSpPr>
                        <a:spLocks noChangeArrowheads="1"/>
                      </wps:cNvSpPr>
                      <wps:spPr bwMode="auto">
                        <a:xfrm>
                          <a:off x="0" y="0"/>
                          <a:ext cx="1094740" cy="370840"/>
                        </a:xfrm>
                        <a:prstGeom prst="rect">
                          <a:avLst/>
                        </a:prstGeom>
                        <a:solidFill>
                          <a:srgbClr val="FFFFFF"/>
                        </a:solidFill>
                        <a:ln w="9525">
                          <a:solidFill>
                            <a:srgbClr val="000000"/>
                          </a:solidFill>
                          <a:miter lim="800000"/>
                        </a:ln>
                      </wps:spPr>
                      <wps:txbx>
                        <w:txbxContent>
                          <w:p>
                            <w:pPr>
                              <w:spacing w:line="360" w:lineRule="auto"/>
                              <w:jc w:val="center"/>
                            </w:pPr>
                            <w:r>
                              <w:t>备料阶段</w:t>
                            </w:r>
                          </w:p>
                        </w:txbxContent>
                      </wps:txbx>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176.25pt;margin-top:17.1pt;height:29.2pt;width:86.2pt;z-index:251663360;mso-width-relative:page;mso-height-relative:page;" fillcolor="#FFFFFF" filled="t" stroked="t" coordsize="21600,21600" o:gfxdata="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8sAe2AAAAAkBAAAPAAAAAAAAAAEAIAAAACIAAABkcnMvZG93bnJldi54bWxQSwEC&#10;FAAUAAAACACHTuJAwAoNIy0CAAB/BAAADgAAAAAAAAABACAAAAAnAQAAZHJzL2Uyb0RvYy54bWxQ&#10;SwUGAAAAAAYABgBZAQAAxgUAAAAA&#10;">
                <v:fill on="t" focussize="0,0"/>
                <v:stroke color="#000000" miterlimit="8" joinstyle="miter"/>
                <v:imagedata o:title=""/>
                <o:lock v:ext="edit" aspectratio="f"/>
                <v:textbox>
                  <w:txbxContent>
                    <w:p>
                      <w:pPr>
                        <w:spacing w:line="360" w:lineRule="auto"/>
                        <w:jc w:val="center"/>
                      </w:pPr>
                      <w:r>
                        <w:t>备料阶段</w:t>
                      </w:r>
                    </w:p>
                  </w:txbxContent>
                </v:textbox>
              </v:rect>
            </w:pict>
          </mc:Fallback>
        </mc:AlternateContent>
      </w:r>
    </w:p>
    <w:p>
      <w:pPr>
        <w:pStyle w:val="26"/>
        <w:spacing w:line="276" w:lineRule="auto"/>
        <w:ind w:firstLine="430" w:firstLineChars="0"/>
        <w:rPr>
          <w:color w:val="auto"/>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1634490</wp:posOffset>
                </wp:positionH>
                <wp:positionV relativeFrom="paragraph">
                  <wp:posOffset>195580</wp:posOffset>
                </wp:positionV>
                <wp:extent cx="370840" cy="957580"/>
                <wp:effectExtent l="5715" t="8890" r="13970" b="5080"/>
                <wp:wrapNone/>
                <wp:docPr id="10" name="Text Box 48"/>
                <wp:cNvGraphicFramePr/>
                <a:graphic xmlns:a="http://schemas.openxmlformats.org/drawingml/2006/main">
                  <a:graphicData uri="http://schemas.microsoft.com/office/word/2010/wordprocessingShape">
                    <wps:wsp>
                      <wps:cNvSpPr txBox="1">
                        <a:spLocks noChangeArrowheads="1"/>
                      </wps:cNvSpPr>
                      <wps:spPr bwMode="auto">
                        <a:xfrm>
                          <a:off x="0" y="0"/>
                          <a:ext cx="370840" cy="957580"/>
                        </a:xfrm>
                        <a:prstGeom prst="rect">
                          <a:avLst/>
                        </a:prstGeom>
                        <a:solidFill>
                          <a:srgbClr val="FFFFFF"/>
                        </a:solidFill>
                        <a:ln w="9525">
                          <a:solidFill>
                            <a:srgbClr val="FFFFFF"/>
                          </a:solidFill>
                          <a:miter lim="800000"/>
                        </a:ln>
                      </wps:spPr>
                      <wps:txbx>
                        <w:txbxContent>
                          <w:p>
                            <w:pPr>
                              <w:jc w:val="center"/>
                            </w:pPr>
                            <w:r>
                              <w:t>生产阶段</w:t>
                            </w:r>
                          </w:p>
                        </w:txbxContent>
                      </wps:txbx>
                      <wps:bodyPr rot="0" vert="eaVert" wrap="square" lIns="91440" tIns="45720" rIns="91440" bIns="45720" anchor="t" anchorCtr="0" upright="1">
                        <a:noAutofit/>
                      </wps:bodyPr>
                    </wps:wsp>
                  </a:graphicData>
                </a:graphic>
              </wp:anchor>
            </w:drawing>
          </mc:Choice>
          <mc:Fallback>
            <w:pict>
              <v:shape id="Text Box 48" o:spid="_x0000_s1026" o:spt="202" type="#_x0000_t202" style="position:absolute;left:0pt;margin-left:128.7pt;margin-top:15.4pt;height:75.4pt;width:29.2pt;z-index:251667456;mso-width-relative:page;mso-height-relative:page;" fillcolor="#FFFFFF" filled="t" stroked="t" coordsize="21600,21600" o:gfxdata="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0Ib91gAAAAoBAAAPAAAAAAAAAAEAIAAAACIAAABkcnMvZG93bnJldi54bWxQSwECFAAU&#10;AAAACACHTuJAVjo3JiwCAACJBAAADgAAAAAAAAABACAAAAAlAQAAZHJzL2Uyb0RvYy54bWxQSwUG&#10;AAAAAAYABgBZAQAAwwUAAAAA&#10;">
                <v:fill on="t" focussize="0,0"/>
                <v:stroke color="#FFFFFF" miterlimit="8" joinstyle="miter"/>
                <v:imagedata o:title=""/>
                <o:lock v:ext="edit" aspectratio="f"/>
                <v:textbox style="layout-flow:vertical-ideographic;">
                  <w:txbxContent>
                    <w:p>
                      <w:pPr>
                        <w:jc w:val="center"/>
                      </w:pPr>
                      <w:r>
                        <w:t>生产阶段</w:t>
                      </w:r>
                    </w:p>
                  </w:txbxContent>
                </v:textbox>
              </v:shape>
            </w:pict>
          </mc:Fallback>
        </mc:AlternateContent>
      </w:r>
    </w:p>
    <w:p>
      <w:pPr>
        <w:pStyle w:val="26"/>
        <w:spacing w:line="276" w:lineRule="auto"/>
        <w:ind w:firstLine="430" w:firstLineChars="0"/>
        <w:rPr>
          <w:color w:val="auto"/>
          <w:highlight w:val="none"/>
        </w:rPr>
      </w:pPr>
    </w:p>
    <w:p>
      <w:pPr>
        <w:pStyle w:val="26"/>
        <w:spacing w:line="276" w:lineRule="auto"/>
        <w:ind w:firstLine="430" w:firstLineChars="0"/>
        <w:rPr>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2238375</wp:posOffset>
                </wp:positionH>
                <wp:positionV relativeFrom="paragraph">
                  <wp:posOffset>74295</wp:posOffset>
                </wp:positionV>
                <wp:extent cx="1094740" cy="370840"/>
                <wp:effectExtent l="9525" t="10160" r="10160" b="9525"/>
                <wp:wrapNone/>
                <wp:docPr id="9" name="Rectangle 45"/>
                <wp:cNvGraphicFramePr/>
                <a:graphic xmlns:a="http://schemas.openxmlformats.org/drawingml/2006/main">
                  <a:graphicData uri="http://schemas.microsoft.com/office/word/2010/wordprocessingShape">
                    <wps:wsp>
                      <wps:cNvSpPr>
                        <a:spLocks noChangeArrowheads="1"/>
                      </wps:cNvSpPr>
                      <wps:spPr bwMode="auto">
                        <a:xfrm>
                          <a:off x="0" y="0"/>
                          <a:ext cx="1094740" cy="370840"/>
                        </a:xfrm>
                        <a:prstGeom prst="rect">
                          <a:avLst/>
                        </a:prstGeom>
                        <a:solidFill>
                          <a:srgbClr val="FFFFFF"/>
                        </a:solidFill>
                        <a:ln w="9525">
                          <a:solidFill>
                            <a:srgbClr val="000000"/>
                          </a:solidFill>
                          <a:miter lim="800000"/>
                        </a:ln>
                      </wps:spPr>
                      <wps:txbx>
                        <w:txbxContent>
                          <w:p>
                            <w:pPr>
                              <w:spacing w:line="360" w:lineRule="auto"/>
                              <w:jc w:val="center"/>
                            </w:pPr>
                            <w:r>
                              <w:rPr>
                                <w:rFonts w:hint="eastAsia"/>
                              </w:rPr>
                              <w:t>煮</w:t>
                            </w:r>
                            <w:r>
                              <w:t>料阶段</w:t>
                            </w:r>
                          </w:p>
                        </w:txbxContent>
                      </wps:txbx>
                      <wps:bodyPr rot="0" vert="horz" wrap="square" lIns="91440" tIns="45720" rIns="91440" bIns="45720" anchor="t" anchorCtr="0" upright="1">
                        <a:noAutofit/>
                      </wps:bodyPr>
                    </wps:wsp>
                  </a:graphicData>
                </a:graphic>
              </wp:anchor>
            </w:drawing>
          </mc:Choice>
          <mc:Fallback>
            <w:pict>
              <v:rect id="Rectangle 45" o:spid="_x0000_s1026" o:spt="1" style="position:absolute;left:0pt;margin-left:176.25pt;margin-top:5.85pt;height:29.2pt;width:86.2pt;z-index:251664384;mso-width-relative:page;mso-height-relative:page;" fillcolor="#FFFFFF" filled="t" stroked="t" coordsize="21600,21600" o:gfxdata="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szHM7YAAAACQEAAA8AAAAAAAAAAQAgAAAAIgAAAGRycy9kb3ducmV2LnhtbFBLAQIU&#10;ABQAAAAIAIdO4kAe+CFRLAIAAH4EAAAOAAAAAAAAAAEAIAAAACcBAABkcnMvZTJvRG9jLnhtbFBL&#10;BQYAAAAABgAGAFkBAADFBQAAAAA=&#10;">
                <v:fill on="t" focussize="0,0"/>
                <v:stroke color="#000000" miterlimit="8" joinstyle="miter"/>
                <v:imagedata o:title=""/>
                <o:lock v:ext="edit" aspectratio="f"/>
                <v:textbox>
                  <w:txbxContent>
                    <w:p>
                      <w:pPr>
                        <w:spacing w:line="360" w:lineRule="auto"/>
                        <w:jc w:val="center"/>
                      </w:pPr>
                      <w:r>
                        <w:rPr>
                          <w:rFonts w:hint="eastAsia"/>
                        </w:rPr>
                        <w:t>煮</w:t>
                      </w:r>
                      <w:r>
                        <w:t>料阶段</w:t>
                      </w:r>
                    </w:p>
                  </w:txbxContent>
                </v:textbox>
              </v:rect>
            </w:pict>
          </mc:Fallback>
        </mc:AlternateContent>
      </w:r>
    </w:p>
    <w:p>
      <w:pPr>
        <w:pStyle w:val="26"/>
        <w:spacing w:line="276" w:lineRule="auto"/>
        <w:ind w:firstLine="430" w:firstLineChars="0"/>
        <w:rPr>
          <w:color w:val="auto"/>
          <w:highlight w:val="none"/>
        </w:rPr>
      </w:pPr>
    </w:p>
    <w:p>
      <w:pPr>
        <w:pStyle w:val="26"/>
        <w:spacing w:line="276" w:lineRule="auto"/>
        <w:ind w:firstLine="430" w:firstLineChars="0"/>
        <w:rPr>
          <w:color w:val="auto"/>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2238375</wp:posOffset>
                </wp:positionH>
                <wp:positionV relativeFrom="paragraph">
                  <wp:posOffset>156845</wp:posOffset>
                </wp:positionV>
                <wp:extent cx="1094740" cy="370840"/>
                <wp:effectExtent l="9525" t="5080" r="10160" b="5080"/>
                <wp:wrapNone/>
                <wp:docPr id="8" name="Rectangle 46"/>
                <wp:cNvGraphicFramePr/>
                <a:graphic xmlns:a="http://schemas.openxmlformats.org/drawingml/2006/main">
                  <a:graphicData uri="http://schemas.microsoft.com/office/word/2010/wordprocessingShape">
                    <wps:wsp>
                      <wps:cNvSpPr>
                        <a:spLocks noChangeArrowheads="1"/>
                      </wps:cNvSpPr>
                      <wps:spPr bwMode="auto">
                        <a:xfrm>
                          <a:off x="0" y="0"/>
                          <a:ext cx="1094740" cy="370840"/>
                        </a:xfrm>
                        <a:prstGeom prst="rect">
                          <a:avLst/>
                        </a:prstGeom>
                        <a:solidFill>
                          <a:srgbClr val="FFFFFF"/>
                        </a:solidFill>
                        <a:ln w="9525">
                          <a:solidFill>
                            <a:srgbClr val="000000"/>
                          </a:solidFill>
                          <a:miter lim="800000"/>
                        </a:ln>
                      </wps:spPr>
                      <wps:txbx>
                        <w:txbxContent>
                          <w:p>
                            <w:pPr>
                              <w:spacing w:line="360" w:lineRule="auto"/>
                              <w:jc w:val="center"/>
                            </w:pPr>
                            <w:r>
                              <w:rPr>
                                <w:rFonts w:hint="eastAsia"/>
                              </w:rPr>
                              <w:t>包装</w:t>
                            </w:r>
                            <w:r>
                              <w:t>阶段</w:t>
                            </w:r>
                          </w:p>
                        </w:txbxContent>
                      </wps:txbx>
                      <wps:bodyPr rot="0" vert="horz" wrap="square" lIns="91440" tIns="45720" rIns="91440" bIns="45720" anchor="t" anchorCtr="0" upright="1">
                        <a:noAutofit/>
                      </wps:bodyPr>
                    </wps:wsp>
                  </a:graphicData>
                </a:graphic>
              </wp:anchor>
            </w:drawing>
          </mc:Choice>
          <mc:Fallback>
            <w:pict>
              <v:rect id="Rectangle 46" o:spid="_x0000_s1026" o:spt="1" style="position:absolute;left:0pt;margin-left:176.25pt;margin-top:12.35pt;height:29.2pt;width:86.2pt;z-index:251665408;mso-width-relative:page;mso-height-relative:page;" fillcolor="#FFFFFF" filled="t" stroked="t" coordsize="21600,21600" o:gfxdata="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iw647YAAAACQEAAA8AAAAAAAAAAQAgAAAAIgAAAGRycy9kb3ducmV2LnhtbFBLAQIU&#10;ABQAAAAIAIdO4kD6043JLAIAAH4EAAAOAAAAAAAAAAEAIAAAACcBAABkcnMvZTJvRG9jLnhtbFBL&#10;BQYAAAAABgAGAFkBAADFBQAAAAA=&#10;">
                <v:fill on="t" focussize="0,0"/>
                <v:stroke color="#000000" miterlimit="8" joinstyle="miter"/>
                <v:imagedata o:title=""/>
                <o:lock v:ext="edit" aspectratio="f"/>
                <v:textbox>
                  <w:txbxContent>
                    <w:p>
                      <w:pPr>
                        <w:spacing w:line="360" w:lineRule="auto"/>
                        <w:jc w:val="center"/>
                      </w:pPr>
                      <w:r>
                        <w:rPr>
                          <w:rFonts w:hint="eastAsia"/>
                        </w:rPr>
                        <w:t>包装</w:t>
                      </w:r>
                      <w:r>
                        <w:t>阶段</w:t>
                      </w:r>
                    </w:p>
                  </w:txbxContent>
                </v:textbox>
              </v:rect>
            </w:pict>
          </mc:Fallback>
        </mc:AlternateContent>
      </w:r>
    </w:p>
    <w:p>
      <w:pPr>
        <w:pStyle w:val="26"/>
        <w:spacing w:line="276" w:lineRule="auto"/>
        <w:ind w:firstLine="430" w:firstLineChars="0"/>
        <w:rPr>
          <w:color w:val="auto"/>
          <w:highlight w:val="none"/>
        </w:rPr>
      </w:pPr>
    </w:p>
    <w:p>
      <w:pPr>
        <w:pStyle w:val="26"/>
        <w:spacing w:line="276" w:lineRule="auto"/>
        <w:ind w:firstLine="430" w:firstLineChars="0"/>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2645410</wp:posOffset>
                </wp:positionH>
                <wp:positionV relativeFrom="paragraph">
                  <wp:posOffset>178435</wp:posOffset>
                </wp:positionV>
                <wp:extent cx="0" cy="189230"/>
                <wp:effectExtent l="54610" t="6350" r="59690" b="23495"/>
                <wp:wrapNone/>
                <wp:docPr id="7" name="AutoShape 54"/>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tailEnd type="triangle" w="med" len="med"/>
                        </a:ln>
                      </wps:spPr>
                      <wps:bodyPr/>
                    </wps:wsp>
                  </a:graphicData>
                </a:graphic>
              </wp:anchor>
            </w:drawing>
          </mc:Choice>
          <mc:Fallback>
            <w:pict>
              <v:shape id="AutoShape 54" o:spid="_x0000_s1026" o:spt="32" type="#_x0000_t32" style="position:absolute;left:0pt;margin-left:208.3pt;margin-top:14.05pt;height:14.9pt;width:0pt;z-index:251673600;mso-width-relative:page;mso-height-relative:page;" filled="f" stroked="t" coordsize="21600,21600" o:gfxdata="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OgDmzYAAAACQEAAA8AAAAAAAAAAQAgAAAAIgAAAGRycy9kb3ducmV2LnhtbFBLAQIUABQA&#10;AAAIAIdO4kAs3aRu8AEAAOADAAAOAAAAAAAAAAEAIAAAACcBAABkcnMvZTJvRG9jLnhtbFBLBQYA&#10;AAAABgAGAFkBAACJBQAAAAA=&#10;">
                <v:fill on="f" focussize="0,0"/>
                <v:stroke color="#000000" joinstyle="round" endarrow="block"/>
                <v:imagedata o:title=""/>
                <o:lock v:ext="edit" aspectratio="f"/>
              </v:shape>
            </w:pict>
          </mc:Fallback>
        </mc:AlternateContent>
      </w:r>
    </w:p>
    <w:p>
      <w:pPr>
        <w:pStyle w:val="26"/>
        <w:spacing w:line="276" w:lineRule="auto"/>
        <w:ind w:firstLine="430" w:firstLineChars="0"/>
        <w:rPr>
          <w:rFonts w:hint="eastAsia"/>
          <w:color w:val="auto"/>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1316355</wp:posOffset>
                </wp:positionH>
                <wp:positionV relativeFrom="paragraph">
                  <wp:posOffset>144780</wp:posOffset>
                </wp:positionV>
                <wp:extent cx="2648585" cy="342265"/>
                <wp:effectExtent l="4445" t="4445" r="13970" b="15240"/>
                <wp:wrapNone/>
                <wp:docPr id="6" name="Rectangle 50"/>
                <wp:cNvGraphicFramePr/>
                <a:graphic xmlns:a="http://schemas.openxmlformats.org/drawingml/2006/main">
                  <a:graphicData uri="http://schemas.microsoft.com/office/word/2010/wordprocessingShape">
                    <wps:wsp>
                      <wps:cNvSpPr>
                        <a:spLocks noChangeArrowheads="1"/>
                      </wps:cNvSpPr>
                      <wps:spPr bwMode="auto">
                        <a:xfrm>
                          <a:off x="0" y="0"/>
                          <a:ext cx="2648585" cy="342265"/>
                        </a:xfrm>
                        <a:prstGeom prst="rect">
                          <a:avLst/>
                        </a:prstGeom>
                        <a:noFill/>
                        <a:ln w="9525">
                          <a:solidFill>
                            <a:srgbClr val="000000"/>
                          </a:solidFill>
                          <a:miter lim="800000"/>
                        </a:ln>
                      </wps:spPr>
                      <wps:txbx>
                        <w:txbxContent>
                          <w:p>
                            <w:pPr>
                              <w:jc w:val="center"/>
                            </w:pPr>
                            <w:r>
                              <w:rPr>
                                <w:rFonts w:hint="eastAsia"/>
                              </w:rPr>
                              <w:t>产品</w:t>
                            </w:r>
                            <w:r>
                              <w:t>分配和储存</w:t>
                            </w:r>
                          </w:p>
                        </w:txbxContent>
                      </wps:txbx>
                      <wps:bodyPr rot="0" vert="horz" wrap="square" lIns="91440" tIns="45720" rIns="91440" bIns="45720" anchor="t" anchorCtr="0" upright="1">
                        <a:noAutofit/>
                      </wps:bodyPr>
                    </wps:wsp>
                  </a:graphicData>
                </a:graphic>
              </wp:anchor>
            </w:drawing>
          </mc:Choice>
          <mc:Fallback>
            <w:pict>
              <v:rect id="Rectangle 50" o:spid="_x0000_s1026" o:spt="1" style="position:absolute;left:0pt;margin-left:103.65pt;margin-top:11.4pt;height:26.95pt;width:208.55pt;z-index:251669504;mso-width-relative:page;mso-height-relative:page;" filled="f" stroked="t" coordsize="21600,21600" o:gfxdata="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ONl9cAAAAJAQAADwAAAAAAAAABACAAAAAiAAAAZHJzL2Rvd25yZXYueG1sUEsBAhQAFAAA&#10;AAgAh07iQDMAIYMpAgAAVQQAAA4AAAAAAAAAAQAgAAAAJgEAAGRycy9lMm9Eb2MueG1sUEsFBgAA&#10;AAAGAAYAWQEAAMEFAAAAAA==&#10;">
                <v:fill on="f" focussize="0,0"/>
                <v:stroke color="#000000" miterlimit="8" joinstyle="miter"/>
                <v:imagedata o:title=""/>
                <o:lock v:ext="edit" aspectratio="f"/>
                <v:textbox>
                  <w:txbxContent>
                    <w:p>
                      <w:pPr>
                        <w:jc w:val="center"/>
                      </w:pPr>
                      <w:r>
                        <w:rPr>
                          <w:rFonts w:hint="eastAsia"/>
                        </w:rPr>
                        <w:t>产品</w:t>
                      </w:r>
                      <w:r>
                        <w:t>分配和储存</w:t>
                      </w:r>
                    </w:p>
                  </w:txbxContent>
                </v:textbox>
              </v:rect>
            </w:pict>
          </mc:Fallback>
        </mc:AlternateContent>
      </w:r>
    </w:p>
    <w:p>
      <w:pPr>
        <w:pStyle w:val="26"/>
        <w:ind w:firstLine="422"/>
        <w:jc w:val="center"/>
        <w:rPr>
          <w:rFonts w:hint="eastAsia"/>
          <w:b/>
          <w:color w:val="auto"/>
          <w:highlight w:val="none"/>
        </w:rPr>
      </w:pPr>
    </w:p>
    <w:p>
      <w:pPr>
        <w:pStyle w:val="26"/>
        <w:ind w:firstLine="422"/>
        <w:jc w:val="center"/>
        <w:rPr>
          <w:rFonts w:hint="eastAsia"/>
          <w:b/>
          <w:color w:val="auto"/>
          <w:highlight w:val="none"/>
        </w:rPr>
      </w:pPr>
    </w:p>
    <w:p>
      <w:pPr>
        <w:pStyle w:val="26"/>
        <w:ind w:firstLine="422"/>
        <w:jc w:val="center"/>
        <w:rPr>
          <w:rFonts w:hint="eastAsia"/>
          <w:b/>
          <w:color w:val="auto"/>
          <w:highlight w:val="none"/>
        </w:rPr>
      </w:pPr>
    </w:p>
    <w:p>
      <w:pPr>
        <w:pStyle w:val="26"/>
        <w:ind w:firstLine="422"/>
        <w:jc w:val="center"/>
        <w:rPr>
          <w:b/>
          <w:color w:val="auto"/>
          <w:highlight w:val="none"/>
        </w:rPr>
      </w:pPr>
      <w:r>
        <w:rPr>
          <w:rFonts w:hint="eastAsia"/>
          <w:b/>
          <w:color w:val="auto"/>
          <w:highlight w:val="none"/>
        </w:rPr>
        <w:t>图1 辣椒酱产品生命周期系统边界图</w:t>
      </w:r>
    </w:p>
    <w:p>
      <w:pPr>
        <w:pStyle w:val="26"/>
        <w:rPr>
          <w:rFonts w:hint="eastAsia"/>
          <w:color w:val="auto"/>
          <w:highlight w:val="none"/>
        </w:rPr>
      </w:pPr>
    </w:p>
    <w:p>
      <w:pPr>
        <w:pStyle w:val="26"/>
        <w:rPr>
          <w:rFonts w:hint="eastAsia"/>
          <w:color w:val="auto"/>
          <w:highlight w:val="none"/>
        </w:rPr>
      </w:pPr>
    </w:p>
    <w:p>
      <w:pPr>
        <w:pStyle w:val="26"/>
        <w:rPr>
          <w:color w:val="auto"/>
          <w:highlight w:val="none"/>
        </w:rPr>
      </w:pPr>
      <w:r>
        <w:rPr>
          <w:rFonts w:hint="eastAsia"/>
          <w:color w:val="auto"/>
          <w:highlight w:val="none"/>
        </w:rPr>
        <w:t>生命周期评价的覆盖时间应在规定的期限内。数据应反映具有代表性的时期（取最近3年内有效值）。如果未能取得3年内有效值，应做具体说明。</w:t>
      </w:r>
    </w:p>
    <w:p>
      <w:pPr>
        <w:pStyle w:val="26"/>
        <w:rPr>
          <w:color w:val="auto"/>
          <w:highlight w:val="none"/>
        </w:rPr>
      </w:pPr>
      <w:r>
        <w:rPr>
          <w:rFonts w:hint="eastAsia"/>
          <w:color w:val="auto"/>
          <w:highlight w:val="none"/>
        </w:rPr>
        <w:t>原材料数据应是在参与产品的生产和使用的地点/地区。</w:t>
      </w:r>
    </w:p>
    <w:p>
      <w:pPr>
        <w:pStyle w:val="26"/>
        <w:rPr>
          <w:color w:val="auto"/>
          <w:highlight w:val="none"/>
        </w:rPr>
      </w:pPr>
      <w:r>
        <w:rPr>
          <w:rFonts w:hint="eastAsia"/>
          <w:color w:val="auto"/>
          <w:highlight w:val="none"/>
        </w:rPr>
        <w:t>生产过程数据应是在最终产品的生产中所涉及的地点/地区。</w:t>
      </w:r>
    </w:p>
    <w:p>
      <w:pPr>
        <w:pStyle w:val="26"/>
        <w:ind w:firstLine="0" w:firstLineChars="0"/>
        <w:rPr>
          <w:color w:val="auto"/>
          <w:szCs w:val="21"/>
          <w:highlight w:val="none"/>
        </w:rPr>
      </w:pPr>
      <w:r>
        <w:rPr>
          <w:rFonts w:hint="eastAsia" w:ascii="黑体" w:hAnsi="黑体" w:eastAsia="黑体"/>
          <w:color w:val="auto"/>
          <w:szCs w:val="21"/>
          <w:highlight w:val="none"/>
        </w:rPr>
        <w:t>B.2.3 数据取舍原则</w:t>
      </w:r>
    </w:p>
    <w:p>
      <w:pPr>
        <w:pStyle w:val="26"/>
        <w:rPr>
          <w:color w:val="auto"/>
          <w:highlight w:val="none"/>
        </w:rPr>
      </w:pPr>
      <w:r>
        <w:rPr>
          <w:rFonts w:hint="eastAsia"/>
          <w:color w:val="auto"/>
          <w:highlight w:val="none"/>
        </w:rPr>
        <w:t>单元过程数据种类很多，应对数据进行适当的取舍，原则如下：</w:t>
      </w:r>
    </w:p>
    <w:p>
      <w:pPr>
        <w:pStyle w:val="26"/>
        <w:rPr>
          <w:color w:val="auto"/>
          <w:highlight w:val="none"/>
        </w:rPr>
      </w:pPr>
      <w:r>
        <w:rPr>
          <w:rFonts w:hint="eastAsia"/>
          <w:color w:val="auto"/>
          <w:highlight w:val="none"/>
        </w:rPr>
        <w:t>a） 能源的所有输入均列出；</w:t>
      </w:r>
    </w:p>
    <w:p>
      <w:pPr>
        <w:pStyle w:val="26"/>
        <w:rPr>
          <w:color w:val="auto"/>
          <w:highlight w:val="none"/>
        </w:rPr>
      </w:pPr>
      <w:r>
        <w:rPr>
          <w:rFonts w:hint="eastAsia"/>
          <w:color w:val="auto"/>
          <w:highlight w:val="none"/>
        </w:rPr>
        <w:t>b） 原料的所有输入均列出；</w:t>
      </w:r>
    </w:p>
    <w:p>
      <w:pPr>
        <w:pStyle w:val="26"/>
        <w:rPr>
          <w:color w:val="auto"/>
          <w:highlight w:val="none"/>
        </w:rPr>
      </w:pPr>
      <w:r>
        <w:rPr>
          <w:rFonts w:hint="eastAsia"/>
          <w:color w:val="auto"/>
          <w:highlight w:val="none"/>
        </w:rPr>
        <w:t>c） 辅助材料质量小于原料总消耗 0.3%的项目输入可忽略；</w:t>
      </w:r>
    </w:p>
    <w:p>
      <w:pPr>
        <w:pStyle w:val="26"/>
        <w:rPr>
          <w:color w:val="auto"/>
          <w:highlight w:val="none"/>
        </w:rPr>
      </w:pPr>
      <w:r>
        <w:rPr>
          <w:rFonts w:hint="eastAsia"/>
          <w:color w:val="auto"/>
          <w:highlight w:val="none"/>
        </w:rPr>
        <w:t>d） 大气、水体的各种排放均列出；</w:t>
      </w:r>
    </w:p>
    <w:p>
      <w:pPr>
        <w:pStyle w:val="26"/>
        <w:rPr>
          <w:color w:val="auto"/>
          <w:highlight w:val="none"/>
        </w:rPr>
      </w:pPr>
      <w:r>
        <w:rPr>
          <w:rFonts w:hint="eastAsia"/>
          <w:color w:val="auto"/>
          <w:highlight w:val="none"/>
        </w:rPr>
        <w:t>e） 小于固体废弃物排放总量 1%的一般性固体废弃物可忽略；</w:t>
      </w:r>
    </w:p>
    <w:p>
      <w:pPr>
        <w:pStyle w:val="26"/>
        <w:rPr>
          <w:color w:val="auto"/>
          <w:highlight w:val="none"/>
        </w:rPr>
      </w:pPr>
      <w:r>
        <w:rPr>
          <w:rFonts w:hint="eastAsia"/>
          <w:color w:val="auto"/>
          <w:highlight w:val="none"/>
        </w:rPr>
        <w:t>f） 道路与厂房的基础设施、各工序的设备、厂区内人员及生活设施的消耗和排放，均忽略；</w:t>
      </w:r>
    </w:p>
    <w:p>
      <w:pPr>
        <w:pStyle w:val="26"/>
        <w:rPr>
          <w:color w:val="auto"/>
          <w:highlight w:val="none"/>
        </w:rPr>
      </w:pPr>
      <w:r>
        <w:rPr>
          <w:rFonts w:hint="eastAsia"/>
          <w:color w:val="auto"/>
          <w:highlight w:val="none"/>
        </w:rPr>
        <w:t>g） 任何有毒有害材料和物质均应包含于清单中，不可忽略。</w:t>
      </w:r>
    </w:p>
    <w:p>
      <w:pPr>
        <w:pStyle w:val="154"/>
        <w:rPr>
          <w:rFonts w:ascii="黑体e眠副浡渀." w:hAnsi="Arial" w:eastAsia="黑体e眠副浡渀." w:cs="黑体e眠副浡渀."/>
          <w:color w:val="auto"/>
          <w:sz w:val="21"/>
          <w:szCs w:val="21"/>
          <w:highlight w:val="none"/>
        </w:rPr>
      </w:pPr>
      <w:r>
        <w:rPr>
          <w:rFonts w:hint="eastAsia" w:ascii="黑体e眠副浡渀." w:hAnsi="Arial" w:eastAsia="黑体e眠副浡渀." w:cs="黑体e眠副浡渀."/>
          <w:color w:val="auto"/>
          <w:sz w:val="21"/>
          <w:szCs w:val="21"/>
          <w:highlight w:val="none"/>
        </w:rPr>
        <w:t>B.3 生命周期清单分析</w:t>
      </w:r>
    </w:p>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B.3.1 总则</w:t>
      </w:r>
    </w:p>
    <w:p>
      <w:pPr>
        <w:pStyle w:val="26"/>
        <w:rPr>
          <w:color w:val="auto"/>
          <w:highlight w:val="none"/>
        </w:rPr>
      </w:pPr>
      <w:r>
        <w:rPr>
          <w:rFonts w:hint="eastAsia"/>
          <w:color w:val="auto"/>
          <w:highlight w:val="none"/>
        </w:rPr>
        <w:t>应编制辣椒酱产品系统边界内的所有材料/能源输入、输出清单，作为产品生命周期评价的依据。如果数据清单有特殊情况、异常点或其他问题，应在报告中进行明确说明。</w:t>
      </w:r>
    </w:p>
    <w:p>
      <w:pPr>
        <w:pStyle w:val="26"/>
        <w:rPr>
          <w:color w:val="auto"/>
          <w:highlight w:val="none"/>
        </w:rPr>
      </w:pPr>
      <w:r>
        <w:rPr>
          <w:rFonts w:hint="eastAsia"/>
          <w:color w:val="auto"/>
          <w:highlight w:val="none"/>
        </w:rPr>
        <w:t>当数据收集完成后，应对收集的数据进行审定。然后，确定每个单元过程的基本流，并据此计算出单元过程的定量输入和输出。此后，将每个单元过程的输入输出数据除以产品的产量，得到功能单位的资源消耗和环境排放。最后，将产品各单元过程中相同的影响因素的数据求和，以获取该影响因素的总量，为产品级的影响评价提供必要的数据。</w:t>
      </w:r>
    </w:p>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B.3.2 数据收集</w:t>
      </w:r>
    </w:p>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B.3.2.1 概况</w:t>
      </w:r>
    </w:p>
    <w:p>
      <w:pPr>
        <w:pStyle w:val="26"/>
        <w:rPr>
          <w:color w:val="auto"/>
          <w:highlight w:val="none"/>
        </w:rPr>
      </w:pPr>
      <w:r>
        <w:rPr>
          <w:rFonts w:hint="eastAsia"/>
          <w:color w:val="auto"/>
          <w:highlight w:val="none"/>
        </w:rPr>
        <w:t>应将以下要素纳入数据清单：</w:t>
      </w:r>
    </w:p>
    <w:p>
      <w:pPr>
        <w:pStyle w:val="26"/>
        <w:rPr>
          <w:color w:val="auto"/>
          <w:highlight w:val="none"/>
        </w:rPr>
      </w:pPr>
      <w:r>
        <w:rPr>
          <w:rFonts w:hint="eastAsia"/>
          <w:color w:val="auto"/>
          <w:highlight w:val="none"/>
        </w:rPr>
        <w:t>a) 原材料采购和预加工；</w:t>
      </w:r>
    </w:p>
    <w:p>
      <w:pPr>
        <w:pStyle w:val="26"/>
        <w:rPr>
          <w:color w:val="auto"/>
          <w:highlight w:val="none"/>
        </w:rPr>
      </w:pPr>
      <w:r>
        <w:rPr>
          <w:rFonts w:hint="eastAsia"/>
          <w:color w:val="auto"/>
          <w:highlight w:val="none"/>
        </w:rPr>
        <w:t>b) 生产；</w:t>
      </w:r>
    </w:p>
    <w:p>
      <w:pPr>
        <w:pStyle w:val="26"/>
        <w:rPr>
          <w:color w:val="auto"/>
          <w:highlight w:val="none"/>
        </w:rPr>
      </w:pPr>
      <w:r>
        <w:rPr>
          <w:rFonts w:hint="eastAsia"/>
          <w:color w:val="auto"/>
          <w:highlight w:val="none"/>
        </w:rPr>
        <w:t>c) 产品分配和储存；</w:t>
      </w:r>
    </w:p>
    <w:p>
      <w:pPr>
        <w:pStyle w:val="26"/>
        <w:rPr>
          <w:color w:val="auto"/>
          <w:highlight w:val="none"/>
        </w:rPr>
      </w:pPr>
      <w:r>
        <w:rPr>
          <w:rFonts w:hint="eastAsia"/>
          <w:color w:val="auto"/>
          <w:highlight w:val="none"/>
        </w:rPr>
        <w:t>d) 使用阶段；</w:t>
      </w:r>
    </w:p>
    <w:p>
      <w:pPr>
        <w:pStyle w:val="26"/>
        <w:rPr>
          <w:color w:val="auto"/>
          <w:highlight w:val="none"/>
        </w:rPr>
      </w:pPr>
      <w:r>
        <w:rPr>
          <w:rFonts w:hint="eastAsia"/>
          <w:color w:val="auto"/>
          <w:highlight w:val="none"/>
        </w:rPr>
        <w:t>e) 运输；</w:t>
      </w:r>
    </w:p>
    <w:p>
      <w:pPr>
        <w:pStyle w:val="26"/>
        <w:rPr>
          <w:color w:val="auto"/>
          <w:highlight w:val="none"/>
        </w:rPr>
      </w:pPr>
      <w:r>
        <w:rPr>
          <w:rFonts w:hint="eastAsia"/>
          <w:color w:val="auto"/>
          <w:highlight w:val="none"/>
        </w:rPr>
        <w:t>f) 寿命终止。</w:t>
      </w:r>
    </w:p>
    <w:p>
      <w:pPr>
        <w:pStyle w:val="26"/>
        <w:rPr>
          <w:color w:val="auto"/>
          <w:highlight w:val="none"/>
        </w:rPr>
      </w:pPr>
      <w:r>
        <w:rPr>
          <w:rFonts w:hint="eastAsia"/>
          <w:color w:val="auto"/>
          <w:highlight w:val="none"/>
        </w:rPr>
        <w:t>基于生命周期评价的信息中要使用的数据分为两类：现场数据和背景数据。主要数据尽量使用现场数据，如果“现场数据”收集缺乏，可以选择“背景数据”。</w:t>
      </w:r>
    </w:p>
    <w:p>
      <w:pPr>
        <w:pStyle w:val="26"/>
        <w:rPr>
          <w:color w:val="auto"/>
          <w:highlight w:val="none"/>
        </w:rPr>
      </w:pPr>
      <w:r>
        <w:rPr>
          <w:rFonts w:hint="eastAsia"/>
          <w:color w:val="auto"/>
          <w:highlight w:val="none"/>
        </w:rPr>
        <w:t>现场数据是在现场具体操作过程中收集来的。主要包括生产过程的能源与水消耗、产品原材料的使用量、产品主要包装材料的使用量和废弃物产生量等。现场数据还应包括运输数据，即产品原料、主要背景数据应当包括主要原料的生产数据、权威的电力的组合的数据（如火力、水、风力发电等）、不同运输类型造成的环境影响以及产品在本企业污水处理设施内处理过程的排放数据。</w:t>
      </w:r>
    </w:p>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B.3.2.2 现场数据采集</w:t>
      </w:r>
    </w:p>
    <w:p>
      <w:pPr>
        <w:pStyle w:val="26"/>
        <w:rPr>
          <w:color w:val="auto"/>
          <w:highlight w:val="none"/>
        </w:rPr>
      </w:pPr>
      <w:r>
        <w:rPr>
          <w:rFonts w:hint="eastAsia"/>
          <w:color w:val="auto"/>
          <w:highlight w:val="none"/>
        </w:rPr>
        <w:t>应描述代表某一特定设施或设施的活动而直接测量或收集的数据相关采集规程。可直接对过程进行的测量或者通过采访或问卷调查从经营者处获得的测量值为特定过程最具代表性的数据来源。</w:t>
      </w:r>
    </w:p>
    <w:p>
      <w:pPr>
        <w:pStyle w:val="26"/>
        <w:rPr>
          <w:color w:val="auto"/>
          <w:highlight w:val="none"/>
        </w:rPr>
      </w:pPr>
      <w:r>
        <w:rPr>
          <w:rFonts w:hint="eastAsia"/>
          <w:color w:val="auto"/>
          <w:highlight w:val="none"/>
        </w:rPr>
        <w:t>现场数据的质量要求包括：</w:t>
      </w:r>
    </w:p>
    <w:p>
      <w:pPr>
        <w:pStyle w:val="26"/>
        <w:rPr>
          <w:color w:val="auto"/>
          <w:highlight w:val="none"/>
        </w:rPr>
      </w:pPr>
      <w:r>
        <w:rPr>
          <w:rFonts w:hint="eastAsia"/>
          <w:color w:val="auto"/>
          <w:highlight w:val="none"/>
        </w:rPr>
        <w:t>a) 代表性：现场数据应按照企业生产单元收集所确定范围内的生产统计数据。</w:t>
      </w:r>
    </w:p>
    <w:p>
      <w:pPr>
        <w:pStyle w:val="26"/>
        <w:rPr>
          <w:color w:val="auto"/>
          <w:highlight w:val="none"/>
        </w:rPr>
      </w:pPr>
      <w:r>
        <w:rPr>
          <w:rFonts w:hint="eastAsia"/>
          <w:color w:val="auto"/>
          <w:highlight w:val="none"/>
        </w:rPr>
        <w:t>b) 完整性：现场数据应采集完整的生命周期要求数据。</w:t>
      </w:r>
    </w:p>
    <w:p>
      <w:pPr>
        <w:pStyle w:val="26"/>
        <w:rPr>
          <w:color w:val="auto"/>
          <w:highlight w:val="none"/>
        </w:rPr>
      </w:pPr>
      <w:r>
        <w:rPr>
          <w:rFonts w:hint="eastAsia"/>
          <w:color w:val="auto"/>
          <w:highlight w:val="none"/>
        </w:rPr>
        <w:t>c) 准确性：现场数据中的资源、能源、原材料消耗数据应该来自于生产单元的实际生产统计记录；环境排放数据优先选择相关的环境监测报告，或由排污因子或物料平衡公式计算获得。所有现场数据均须转换为单位产品为基准计算，且需要详细记录相关的原始数据、数据来源、计算过程等。</w:t>
      </w:r>
    </w:p>
    <w:p>
      <w:pPr>
        <w:pStyle w:val="26"/>
        <w:rPr>
          <w:color w:val="auto"/>
          <w:highlight w:val="none"/>
        </w:rPr>
      </w:pPr>
      <w:r>
        <w:rPr>
          <w:rFonts w:hint="eastAsia"/>
          <w:color w:val="auto"/>
          <w:highlight w:val="none"/>
        </w:rPr>
        <w:t>d) 一致性：企业现场数据收集时应保持相同的数据来源、统计口径、处理规格等。典型现场数据来源包括：</w:t>
      </w:r>
    </w:p>
    <w:p>
      <w:pPr>
        <w:pStyle w:val="26"/>
        <w:rPr>
          <w:color w:val="auto"/>
          <w:highlight w:val="none"/>
        </w:rPr>
      </w:pPr>
      <w:r>
        <w:rPr>
          <w:rFonts w:hint="eastAsia"/>
          <w:color w:val="auto"/>
          <w:highlight w:val="none"/>
        </w:rPr>
        <w:t>——辣椒酱产品的原材料采购和预加工；</w:t>
      </w:r>
    </w:p>
    <w:p>
      <w:pPr>
        <w:pStyle w:val="26"/>
        <w:rPr>
          <w:color w:val="auto"/>
          <w:highlight w:val="none"/>
        </w:rPr>
      </w:pPr>
      <w:r>
        <w:rPr>
          <w:rFonts w:hint="eastAsia"/>
          <w:color w:val="auto"/>
          <w:highlight w:val="none"/>
        </w:rPr>
        <w:t>——辣椒酱产品的原材料由原材料供应商运输至辣椒酱生产商处的运输数据；</w:t>
      </w:r>
    </w:p>
    <w:p>
      <w:pPr>
        <w:pStyle w:val="26"/>
        <w:rPr>
          <w:color w:val="auto"/>
          <w:highlight w:val="none"/>
        </w:rPr>
      </w:pPr>
      <w:r>
        <w:rPr>
          <w:rFonts w:hint="eastAsia"/>
          <w:color w:val="auto"/>
          <w:highlight w:val="none"/>
        </w:rPr>
        <w:t>——辣椒酱产品生产过程的碳能源和水资源消耗数据；</w:t>
      </w:r>
    </w:p>
    <w:p>
      <w:pPr>
        <w:pStyle w:val="26"/>
        <w:rPr>
          <w:color w:val="auto"/>
          <w:highlight w:val="none"/>
        </w:rPr>
      </w:pPr>
      <w:r>
        <w:rPr>
          <w:rFonts w:hint="eastAsia"/>
          <w:color w:val="auto"/>
          <w:highlight w:val="none"/>
        </w:rPr>
        <w:t>——辣椒酱产品原材料分配及用量数据；</w:t>
      </w:r>
    </w:p>
    <w:p>
      <w:pPr>
        <w:pStyle w:val="26"/>
        <w:rPr>
          <w:color w:val="auto"/>
          <w:highlight w:val="none"/>
        </w:rPr>
      </w:pPr>
      <w:r>
        <w:rPr>
          <w:rFonts w:hint="eastAsia"/>
          <w:color w:val="auto"/>
          <w:highlight w:val="none"/>
        </w:rPr>
        <w:t>——辣椒酱产品包装材料数据，包括原材料包装数据；</w:t>
      </w:r>
    </w:p>
    <w:p>
      <w:pPr>
        <w:pStyle w:val="26"/>
        <w:rPr>
          <w:color w:val="auto"/>
          <w:highlight w:val="none"/>
        </w:rPr>
      </w:pPr>
      <w:r>
        <w:rPr>
          <w:rFonts w:hint="eastAsia"/>
          <w:color w:val="auto"/>
          <w:highlight w:val="none"/>
        </w:rPr>
        <w:t>——辣椒酱产品由生产商处运输至经销商的运输数据；</w:t>
      </w:r>
    </w:p>
    <w:p>
      <w:pPr>
        <w:pStyle w:val="26"/>
        <w:rPr>
          <w:color w:val="auto"/>
          <w:highlight w:val="none"/>
        </w:rPr>
      </w:pPr>
      <w:r>
        <w:rPr>
          <w:rFonts w:hint="eastAsia"/>
          <w:color w:val="auto"/>
          <w:highlight w:val="none"/>
        </w:rPr>
        <w:t>——辣椒酱产品生产废水经污水处理厂所消耗的数据。</w:t>
      </w:r>
    </w:p>
    <w:p>
      <w:pPr>
        <w:pStyle w:val="26"/>
        <w:rPr>
          <w:color w:val="auto"/>
          <w:highlight w:val="none"/>
        </w:rPr>
      </w:pPr>
      <w:r>
        <w:rPr>
          <w:rFonts w:hint="eastAsia"/>
          <w:color w:val="auto"/>
          <w:highlight w:val="none"/>
        </w:rPr>
        <w:t>B.3.2.3 背景数据采集</w:t>
      </w:r>
    </w:p>
    <w:p>
      <w:pPr>
        <w:pStyle w:val="26"/>
        <w:rPr>
          <w:color w:val="auto"/>
          <w:highlight w:val="none"/>
        </w:rPr>
      </w:pPr>
      <w:r>
        <w:rPr>
          <w:rFonts w:hint="eastAsia"/>
          <w:color w:val="auto"/>
          <w:highlight w:val="none"/>
        </w:rPr>
        <w:t>背景数据不是直接测量或计算而得到的数据。所使用数据的来源应有清楚的文件记载并载入产品生命周期评价报告。</w:t>
      </w:r>
    </w:p>
    <w:p>
      <w:pPr>
        <w:pStyle w:val="26"/>
        <w:rPr>
          <w:color w:val="auto"/>
          <w:highlight w:val="none"/>
        </w:rPr>
      </w:pPr>
      <w:r>
        <w:rPr>
          <w:rFonts w:hint="eastAsia"/>
          <w:color w:val="auto"/>
          <w:highlight w:val="none"/>
        </w:rPr>
        <w:t>背景数据的质量要求包括：</w:t>
      </w:r>
    </w:p>
    <w:p>
      <w:pPr>
        <w:pStyle w:val="26"/>
        <w:rPr>
          <w:color w:val="auto"/>
          <w:highlight w:val="none"/>
        </w:rPr>
      </w:pPr>
      <w:r>
        <w:rPr>
          <w:rFonts w:hint="eastAsia"/>
          <w:color w:val="auto"/>
          <w:highlight w:val="none"/>
        </w:rPr>
        <w:t>a) 代表性：背景数据应优先选择企业的原材料供应商提供的符合相关生命周期评价标准要求的、经第三方独立验证的上游产品生命周期评价报告中的数据。若无，须优先选择代表中国国内平均生产水平的公开生命周期评价数据，数据的参考年限应优先选择近年数据。在没有符合要求的中国国内数据的情况下，可以选择国外同类技术数据作为背景数据。</w:t>
      </w:r>
    </w:p>
    <w:p>
      <w:pPr>
        <w:pStyle w:val="26"/>
        <w:rPr>
          <w:color w:val="auto"/>
          <w:highlight w:val="none"/>
        </w:rPr>
      </w:pPr>
      <w:r>
        <w:rPr>
          <w:rFonts w:hint="eastAsia"/>
          <w:color w:val="auto"/>
          <w:highlight w:val="none"/>
        </w:rPr>
        <w:t>b) 完整性：背景数据的系统边界应该从资源开采到这些原辅材料或能源产品出厂为止。</w:t>
      </w:r>
    </w:p>
    <w:p>
      <w:pPr>
        <w:pStyle w:val="26"/>
        <w:rPr>
          <w:color w:val="auto"/>
          <w:highlight w:val="none"/>
        </w:rPr>
      </w:pPr>
      <w:r>
        <w:rPr>
          <w:rFonts w:hint="eastAsia"/>
          <w:color w:val="auto"/>
          <w:highlight w:val="none"/>
        </w:rPr>
        <w:t>c) 一致性：所有被选择的背景数据应完整覆盖本部分确定的生命周期清单因子，并且应将背景数据转换为一致的物质名录后再进行计算。</w:t>
      </w:r>
    </w:p>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B.3.2.4 原材料采购和预加工（从摇篮到大门）</w:t>
      </w:r>
    </w:p>
    <w:p>
      <w:pPr>
        <w:pStyle w:val="26"/>
        <w:rPr>
          <w:color w:val="auto"/>
          <w:highlight w:val="none"/>
        </w:rPr>
      </w:pPr>
      <w:r>
        <w:rPr>
          <w:rFonts w:hint="eastAsia"/>
          <w:color w:val="auto"/>
          <w:highlight w:val="none"/>
        </w:rPr>
        <w:t>该阶段始于从大自然提取资源，结束于辣椒酱产品进入产品生产设施，包括：</w:t>
      </w:r>
    </w:p>
    <w:p>
      <w:pPr>
        <w:pStyle w:val="26"/>
        <w:rPr>
          <w:color w:val="auto"/>
          <w:highlight w:val="none"/>
        </w:rPr>
      </w:pPr>
      <w:r>
        <w:rPr>
          <w:rFonts w:hint="eastAsia"/>
          <w:color w:val="auto"/>
          <w:highlight w:val="none"/>
        </w:rPr>
        <w:t>a) 开采和提取；</w:t>
      </w:r>
    </w:p>
    <w:p>
      <w:pPr>
        <w:pStyle w:val="26"/>
        <w:rPr>
          <w:color w:val="auto"/>
          <w:highlight w:val="none"/>
        </w:rPr>
      </w:pPr>
      <w:r>
        <w:rPr>
          <w:rFonts w:hint="eastAsia"/>
          <w:color w:val="auto"/>
          <w:highlight w:val="none"/>
        </w:rPr>
        <w:t>b) 所有材料的预加工；</w:t>
      </w:r>
    </w:p>
    <w:p>
      <w:pPr>
        <w:pStyle w:val="26"/>
        <w:rPr>
          <w:color w:val="auto"/>
          <w:highlight w:val="none"/>
        </w:rPr>
      </w:pPr>
      <w:r>
        <w:rPr>
          <w:rFonts w:hint="eastAsia"/>
          <w:color w:val="auto"/>
          <w:highlight w:val="none"/>
        </w:rPr>
        <w:t>c) 转换回收的材料；</w:t>
      </w:r>
    </w:p>
    <w:p>
      <w:pPr>
        <w:pStyle w:val="26"/>
        <w:rPr>
          <w:color w:val="auto"/>
          <w:highlight w:val="none"/>
        </w:rPr>
      </w:pPr>
      <w:r>
        <w:rPr>
          <w:rFonts w:hint="eastAsia"/>
          <w:color w:val="auto"/>
          <w:highlight w:val="none"/>
        </w:rPr>
        <w:t>d) 提取或与加工设施内部或与加工设施之间的运输。</w:t>
      </w:r>
    </w:p>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B.3.2.5 生产</w:t>
      </w:r>
    </w:p>
    <w:p>
      <w:pPr>
        <w:pStyle w:val="26"/>
        <w:rPr>
          <w:color w:val="auto"/>
          <w:highlight w:val="none"/>
        </w:rPr>
      </w:pPr>
      <w:r>
        <w:rPr>
          <w:rFonts w:hint="eastAsia"/>
          <w:color w:val="auto"/>
          <w:highlight w:val="none"/>
        </w:rPr>
        <w:t>该阶段始于辣椒酱产品进入生产设施，结束于产品离开生产设施。生产活动包括化学、生物处理、制造过程中半成品的运输、材料组成包装等。</w:t>
      </w:r>
    </w:p>
    <w:p>
      <w:pPr>
        <w:pStyle w:val="26"/>
        <w:ind w:firstLine="0" w:firstLineChars="0"/>
        <w:rPr>
          <w:color w:val="auto"/>
          <w:szCs w:val="21"/>
          <w:highlight w:val="none"/>
        </w:rPr>
      </w:pPr>
      <w:r>
        <w:rPr>
          <w:rFonts w:hint="eastAsia" w:ascii="黑体" w:hAnsi="黑体" w:eastAsia="黑体"/>
          <w:color w:val="auto"/>
          <w:szCs w:val="21"/>
          <w:highlight w:val="none"/>
        </w:rPr>
        <w:t>B.3.2.6 产品分配</w:t>
      </w:r>
    </w:p>
    <w:p>
      <w:pPr>
        <w:pStyle w:val="26"/>
        <w:rPr>
          <w:color w:val="auto"/>
          <w:highlight w:val="none"/>
        </w:rPr>
      </w:pPr>
      <w:r>
        <w:rPr>
          <w:rFonts w:hint="eastAsia"/>
          <w:color w:val="auto"/>
          <w:highlight w:val="none"/>
        </w:rPr>
        <w:t>该阶段将辣椒酱产品分配给各地经销商，可沿着供应链将其储存在各点，包括运输车辆的燃料使用等。</w:t>
      </w:r>
    </w:p>
    <w:p>
      <w:pPr>
        <w:pStyle w:val="26"/>
        <w:ind w:firstLine="0" w:firstLineChars="0"/>
        <w:rPr>
          <w:color w:val="auto"/>
          <w:szCs w:val="21"/>
          <w:highlight w:val="none"/>
        </w:rPr>
      </w:pPr>
      <w:r>
        <w:rPr>
          <w:rFonts w:hint="eastAsia" w:ascii="黑体" w:hAnsi="黑体" w:eastAsia="黑体"/>
          <w:color w:val="auto"/>
          <w:szCs w:val="21"/>
          <w:highlight w:val="none"/>
        </w:rPr>
        <w:t>B.3.2.7 使用阶段</w:t>
      </w:r>
    </w:p>
    <w:p>
      <w:pPr>
        <w:pStyle w:val="26"/>
        <w:rPr>
          <w:color w:val="auto"/>
          <w:highlight w:val="none"/>
        </w:rPr>
      </w:pPr>
      <w:r>
        <w:rPr>
          <w:rFonts w:hint="eastAsia"/>
          <w:color w:val="auto"/>
          <w:highlight w:val="none"/>
        </w:rPr>
        <w:t>该阶段始于客户、消费者拥有产品，结束于辣椒酱产品被作为配料再加工或被消费者消耗。包括使用模式、使用期间的资源消耗等。</w:t>
      </w:r>
    </w:p>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B.3.2.8 物流</w:t>
      </w:r>
    </w:p>
    <w:p>
      <w:pPr>
        <w:pStyle w:val="26"/>
        <w:rPr>
          <w:color w:val="auto"/>
          <w:highlight w:val="none"/>
        </w:rPr>
      </w:pPr>
      <w:r>
        <w:rPr>
          <w:rFonts w:hint="eastAsia"/>
          <w:color w:val="auto"/>
          <w:highlight w:val="none"/>
        </w:rPr>
        <w:t>应考虑的运输参数包括燃料消耗量的商品运输分配以及燃料用量。</w:t>
      </w:r>
    </w:p>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B.3.2.9 用电量计算</w:t>
      </w:r>
    </w:p>
    <w:p>
      <w:pPr>
        <w:pStyle w:val="26"/>
        <w:rPr>
          <w:color w:val="auto"/>
          <w:highlight w:val="none"/>
        </w:rPr>
      </w:pPr>
      <w:r>
        <w:rPr>
          <w:rFonts w:hint="eastAsia"/>
          <w:color w:val="auto"/>
          <w:highlight w:val="none"/>
        </w:rPr>
        <w:t>对于产品系统边界上游或内部消耗的电力，应使用区域供应商现场数据。</w:t>
      </w:r>
    </w:p>
    <w:p>
      <w:pPr>
        <w:pStyle w:val="26"/>
        <w:ind w:firstLine="0" w:firstLineChars="0"/>
        <w:rPr>
          <w:color w:val="auto"/>
          <w:szCs w:val="21"/>
          <w:highlight w:val="none"/>
        </w:rPr>
      </w:pPr>
      <w:r>
        <w:rPr>
          <w:rFonts w:hint="eastAsia" w:ascii="黑体" w:hAnsi="黑体" w:eastAsia="黑体"/>
          <w:color w:val="auto"/>
          <w:szCs w:val="21"/>
          <w:highlight w:val="none"/>
        </w:rPr>
        <w:t>B.3.3 数据分配</w:t>
      </w:r>
    </w:p>
    <w:p>
      <w:pPr>
        <w:pStyle w:val="26"/>
        <w:rPr>
          <w:color w:val="auto"/>
          <w:highlight w:val="none"/>
        </w:rPr>
      </w:pPr>
      <w:r>
        <w:rPr>
          <w:rFonts w:hint="eastAsia"/>
          <w:color w:val="auto"/>
          <w:highlight w:val="none"/>
        </w:rPr>
        <w:t>在进行辣椒酱产品生命周期评价的过程中涉及到数据分配问题，特别是辣椒酱产品的生产环节。对于辣椒酱产品生产而言，由于厂家往往同时生产多种类型的产品，一条工艺线上或一个车间里会同时生产多种类型辣椒酱产品。很难就某单个的产品生产来收集清单数据，可以就某个车间、某条工艺线来收集数据，然后再分配到具体的产品上。</w:t>
      </w:r>
    </w:p>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B.3.4 生命周期影响评价</w:t>
      </w:r>
    </w:p>
    <w:p>
      <w:pPr>
        <w:pStyle w:val="26"/>
        <w:ind w:firstLine="0" w:firstLineChars="0"/>
        <w:rPr>
          <w:color w:val="auto"/>
          <w:szCs w:val="21"/>
          <w:highlight w:val="none"/>
        </w:rPr>
      </w:pPr>
      <w:r>
        <w:rPr>
          <w:rFonts w:hint="eastAsia" w:ascii="黑体" w:hAnsi="黑体" w:eastAsia="黑体"/>
          <w:color w:val="auto"/>
          <w:szCs w:val="21"/>
          <w:highlight w:val="none"/>
        </w:rPr>
        <w:t>B.3.4.1 数据分析</w:t>
      </w:r>
    </w:p>
    <w:p>
      <w:pPr>
        <w:pStyle w:val="26"/>
        <w:rPr>
          <w:color w:val="auto"/>
          <w:highlight w:val="none"/>
        </w:rPr>
      </w:pPr>
      <w:r>
        <w:rPr>
          <w:rFonts w:hint="eastAsia"/>
          <w:color w:val="auto"/>
          <w:highlight w:val="none"/>
        </w:rPr>
        <w:t>根据表B.1～表B.</w:t>
      </w:r>
      <w:r>
        <w:rPr>
          <w:color w:val="auto"/>
          <w:highlight w:val="none"/>
        </w:rPr>
        <w:t>4</w:t>
      </w:r>
      <w:r>
        <w:rPr>
          <w:rFonts w:hint="eastAsia"/>
          <w:color w:val="auto"/>
          <w:highlight w:val="none"/>
        </w:rPr>
        <w:t>对应需要的数据进行填报：</w:t>
      </w:r>
    </w:p>
    <w:p>
      <w:pPr>
        <w:pStyle w:val="26"/>
        <w:rPr>
          <w:color w:val="auto"/>
          <w:highlight w:val="none"/>
        </w:rPr>
      </w:pPr>
      <w:r>
        <w:rPr>
          <w:rFonts w:hint="eastAsia"/>
          <w:color w:val="auto"/>
          <w:highlight w:val="none"/>
        </w:rPr>
        <w:t>a) 现场数据可通过企业调研、上游厂家提供、采样监测等途径进行收集，所收集的数据要求为企业3年内平均统计数据，并能够反映企业的实际生产水平。</w:t>
      </w:r>
    </w:p>
    <w:p>
      <w:pPr>
        <w:pStyle w:val="26"/>
        <w:rPr>
          <w:color w:val="auto"/>
          <w:highlight w:val="none"/>
        </w:rPr>
      </w:pPr>
      <w:r>
        <w:rPr>
          <w:rFonts w:hint="eastAsia"/>
          <w:color w:val="auto"/>
          <w:highlight w:val="none"/>
        </w:rPr>
        <w:t>b) 从实际调研过程中无法获得的数据，即背景数据，采用相关数据库进行替代，在这一步骤中所涉及到的单元过程包括辣椒酱行业相关原材料生产、包装材料、能源消耗以及产品的运输。</w:t>
      </w:r>
    </w:p>
    <w:p>
      <w:pPr>
        <w:pStyle w:val="26"/>
        <w:rPr>
          <w:color w:val="auto"/>
          <w:highlight w:val="none"/>
        </w:rPr>
      </w:pPr>
      <w:r>
        <w:rPr>
          <w:color w:val="auto"/>
          <w:highlight w:val="none"/>
        </w:rPr>
        <w:t>企业可按实际</w:t>
      </w:r>
      <w:r>
        <w:rPr>
          <w:rFonts w:hint="eastAsia"/>
          <w:color w:val="auto"/>
          <w:highlight w:val="none"/>
        </w:rPr>
        <w:t>的生产流程及数据统计的</w:t>
      </w:r>
      <w:r>
        <w:rPr>
          <w:rFonts w:hint="eastAsia" w:hAnsi="宋体"/>
          <w:color w:val="auto"/>
          <w:highlight w:val="none"/>
        </w:rPr>
        <w:t>工序计量情况</w:t>
      </w:r>
      <w:r>
        <w:rPr>
          <w:rFonts w:hint="eastAsia"/>
          <w:color w:val="auto"/>
          <w:highlight w:val="none"/>
        </w:rPr>
        <w:t>的对表B.1～表B.</w:t>
      </w:r>
      <w:r>
        <w:rPr>
          <w:color w:val="auto"/>
          <w:highlight w:val="none"/>
        </w:rPr>
        <w:t>4进行分开或合并填报。</w:t>
      </w:r>
    </w:p>
    <w:p>
      <w:pPr>
        <w:pStyle w:val="26"/>
        <w:ind w:firstLine="0" w:firstLineChars="0"/>
        <w:jc w:val="center"/>
        <w:rPr>
          <w:color w:val="auto"/>
          <w:highlight w:val="none"/>
        </w:rPr>
      </w:pPr>
      <w:r>
        <w:rPr>
          <w:rFonts w:hint="eastAsia" w:ascii="黑体" w:hAnsi="黑体" w:eastAsia="黑体"/>
          <w:color w:val="auto"/>
          <w:szCs w:val="21"/>
          <w:highlight w:val="none"/>
        </w:rPr>
        <w:t>表B.1 辣椒酱备料阶段数据收集表</w:t>
      </w:r>
    </w:p>
    <w:tbl>
      <w:tblPr>
        <w:tblStyle w:val="36"/>
        <w:tblW w:w="96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935"/>
        <w:gridCol w:w="1935"/>
        <w:gridCol w:w="1935"/>
        <w:gridCol w:w="19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05" w:type="dxa"/>
            <w:gridSpan w:val="3"/>
            <w:tcBorders>
              <w:top w:val="single" w:color="auto" w:sz="8" w:space="0"/>
              <w:bottom w:val="single" w:color="auto" w:sz="8" w:space="0"/>
            </w:tcBorders>
            <w:shd w:val="clear" w:color="auto" w:fill="auto"/>
            <w:vAlign w:val="center"/>
          </w:tcPr>
          <w:p>
            <w:pPr>
              <w:rPr>
                <w:rFonts w:ascii="宋体"/>
                <w:color w:val="auto"/>
                <w:sz w:val="18"/>
                <w:highlight w:val="none"/>
              </w:rPr>
            </w:pPr>
            <w:r>
              <w:rPr>
                <w:rFonts w:hint="eastAsia" w:ascii="宋体"/>
                <w:color w:val="auto"/>
                <w:sz w:val="18"/>
                <w:highlight w:val="none"/>
              </w:rPr>
              <w:t>制表日期：</w:t>
            </w:r>
          </w:p>
        </w:tc>
        <w:tc>
          <w:tcPr>
            <w:tcW w:w="3870" w:type="dxa"/>
            <w:gridSpan w:val="2"/>
            <w:tcBorders>
              <w:top w:val="single" w:color="auto" w:sz="8" w:space="0"/>
              <w:bottom w:val="single" w:color="auto" w:sz="8" w:space="0"/>
            </w:tcBorders>
            <w:shd w:val="clear" w:color="auto" w:fill="auto"/>
            <w:vAlign w:val="center"/>
          </w:tcPr>
          <w:p>
            <w:pPr>
              <w:rPr>
                <w:rFonts w:ascii="宋体"/>
                <w:color w:val="auto"/>
                <w:sz w:val="18"/>
                <w:highlight w:val="none"/>
              </w:rPr>
            </w:pPr>
            <w:r>
              <w:rPr>
                <w:rFonts w:hint="eastAsia" w:ascii="宋体"/>
                <w:color w:val="auto"/>
                <w:sz w:val="18"/>
                <w:highlight w:val="none"/>
              </w:rPr>
              <w:t>制表人：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tcBorders>
              <w:top w:val="single" w:color="auto" w:sz="8" w:space="0"/>
            </w:tcBorders>
            <w:shd w:val="clear" w:color="auto" w:fill="auto"/>
            <w:vAlign w:val="center"/>
          </w:tcPr>
          <w:p>
            <w:pPr>
              <w:rPr>
                <w:rFonts w:ascii="宋体"/>
                <w:color w:val="auto"/>
                <w:sz w:val="18"/>
                <w:highlight w:val="none"/>
              </w:rPr>
            </w:pPr>
            <w:r>
              <w:rPr>
                <w:rFonts w:hint="eastAsia" w:ascii="宋体"/>
                <w:color w:val="auto"/>
                <w:sz w:val="18"/>
                <w:highlight w:val="none"/>
              </w:rPr>
              <w:t>单元过程名称：</w:t>
            </w:r>
            <w:r>
              <w:rPr>
                <w:rFonts w:hint="eastAsia" w:ascii="Times New Roman"/>
                <w:color w:val="auto"/>
                <w:kern w:val="0"/>
                <w:highlight w:val="none"/>
              </w:rPr>
              <w:t>辣椒酱备料阶段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70" w:type="dxa"/>
            <w:gridSpan w:val="2"/>
            <w:shd w:val="clear" w:color="auto" w:fill="auto"/>
            <w:vAlign w:val="center"/>
          </w:tcPr>
          <w:p>
            <w:pPr>
              <w:rPr>
                <w:rFonts w:ascii="宋体"/>
                <w:color w:val="auto"/>
                <w:sz w:val="18"/>
                <w:highlight w:val="none"/>
              </w:rPr>
            </w:pPr>
            <w:r>
              <w:rPr>
                <w:rFonts w:hint="eastAsia" w:ascii="宋体"/>
                <w:color w:val="auto"/>
                <w:sz w:val="18"/>
                <w:highlight w:val="none"/>
              </w:rPr>
              <w:t>时段：        年</w:t>
            </w:r>
          </w:p>
        </w:tc>
        <w:tc>
          <w:tcPr>
            <w:tcW w:w="1935" w:type="dxa"/>
            <w:shd w:val="clear" w:color="auto" w:fill="auto"/>
            <w:vAlign w:val="center"/>
          </w:tcPr>
          <w:p>
            <w:pPr>
              <w:rPr>
                <w:rFonts w:ascii="宋体"/>
                <w:color w:val="auto"/>
                <w:sz w:val="18"/>
                <w:highlight w:val="none"/>
              </w:rPr>
            </w:pPr>
            <w:r>
              <w:rPr>
                <w:rFonts w:hint="eastAsia" w:ascii="宋体"/>
                <w:color w:val="auto"/>
                <w:sz w:val="18"/>
                <w:highlight w:val="none"/>
              </w:rPr>
              <w:t>起始月：</w:t>
            </w:r>
          </w:p>
        </w:tc>
        <w:tc>
          <w:tcPr>
            <w:tcW w:w="3870" w:type="dxa"/>
            <w:gridSpan w:val="2"/>
            <w:shd w:val="clear" w:color="auto" w:fill="auto"/>
            <w:vAlign w:val="center"/>
          </w:tcPr>
          <w:p>
            <w:pPr>
              <w:rPr>
                <w:rFonts w:ascii="宋体"/>
                <w:color w:val="auto"/>
                <w:sz w:val="18"/>
                <w:highlight w:val="none"/>
              </w:rPr>
            </w:pPr>
            <w:r>
              <w:rPr>
                <w:rFonts w:hint="eastAsia" w:ascii="宋体"/>
                <w:color w:val="auto"/>
                <w:sz w:val="18"/>
                <w:highlight w:val="none"/>
              </w:rPr>
              <w:t>终止月：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
            </w:pPr>
            <w:r>
              <w:rPr>
                <w:rFonts w:hint="eastAsia" w:ascii="宋体"/>
                <w:color w:val="auto"/>
                <w:sz w:val="18"/>
                <w:highlight w:val="none"/>
              </w:rPr>
              <w:t>1、产品产出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产品类型</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
            </w:pPr>
            <w:r>
              <w:rPr>
                <w:rFonts w:hint="eastAsia" w:ascii="宋体"/>
                <w:color w:val="auto"/>
                <w:sz w:val="18"/>
                <w:highlight w:val="none"/>
              </w:rPr>
              <w:t>2、原材料消耗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原料类型</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原料一</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原料二</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shd w:val="clear" w:color="auto" w:fill="auto"/>
            <w:vAlign w:val="center"/>
          </w:tcPr>
          <w:p>
            <w:pPr>
              <w:rPr>
                <w:rFonts w:ascii="宋体"/>
                <w:color w:val="auto"/>
                <w:sz w:val="18"/>
                <w:highlight w:val="none"/>
              </w:rPr>
            </w:pPr>
            <w:r>
              <w:rPr>
                <w:rFonts w:hint="eastAsia" w:ascii="宋体"/>
                <w:color w:val="auto"/>
                <w:sz w:val="18"/>
                <w:highlight w:val="none"/>
              </w:rPr>
              <w:t>3、水资源消耗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水资源类型</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工业用水</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
            </w:pPr>
            <w:r>
              <w:rPr>
                <w:rFonts w:hint="eastAsia" w:ascii="宋体"/>
                <w:color w:val="auto"/>
                <w:sz w:val="18"/>
                <w:highlight w:val="none"/>
              </w:rPr>
              <w:t>4、能源消耗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能源类型</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电</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蒸汽</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75" w:type="dxa"/>
            <w:gridSpan w:val="5"/>
            <w:tcBorders>
              <w:top w:val="single" w:color="auto" w:sz="8" w:space="0"/>
            </w:tcBorders>
            <w:shd w:val="clear" w:color="auto" w:fill="auto"/>
          </w:tcPr>
          <w:p>
            <w:pPr>
              <w:pStyle w:val="68"/>
              <w:numPr>
                <w:ilvl w:val="0"/>
                <w:numId w:val="16"/>
              </w:numPr>
              <w:rPr>
                <w:color w:val="auto"/>
                <w:highlight w:val="none"/>
              </w:rPr>
            </w:pPr>
            <w:r>
              <w:rPr>
                <w:rFonts w:hint="eastAsia"/>
                <w:color w:val="auto"/>
                <w:highlight w:val="none"/>
              </w:rPr>
              <w:t>填表时可根据实际情况增减表格和项目。</w:t>
            </w:r>
          </w:p>
        </w:tc>
      </w:tr>
    </w:tbl>
    <w:p>
      <w:pPr>
        <w:pStyle w:val="26"/>
        <w:rPr>
          <w:color w:val="auto"/>
          <w:highlight w:val="none"/>
        </w:rPr>
      </w:pPr>
    </w:p>
    <w:p>
      <w:pPr>
        <w:pStyle w:val="26"/>
        <w:ind w:left="420" w:firstLine="0" w:firstLineChars="0"/>
        <w:jc w:val="center"/>
        <w:rPr>
          <w:color w:val="auto"/>
          <w:szCs w:val="21"/>
          <w:highlight w:val="none"/>
        </w:rPr>
      </w:pPr>
      <w:r>
        <w:rPr>
          <w:rFonts w:hint="eastAsia" w:ascii="黑体" w:hAnsi="黑体" w:eastAsia="黑体"/>
          <w:color w:val="auto"/>
          <w:szCs w:val="21"/>
          <w:highlight w:val="none"/>
        </w:rPr>
        <w:t>表B.2辣椒酱煮料阶段数据收集表</w:t>
      </w:r>
    </w:p>
    <w:tbl>
      <w:tblPr>
        <w:tblStyle w:val="36"/>
        <w:tblW w:w="96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935"/>
        <w:gridCol w:w="1935"/>
        <w:gridCol w:w="1935"/>
        <w:gridCol w:w="19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05" w:type="dxa"/>
            <w:gridSpan w:val="3"/>
            <w:tcBorders>
              <w:top w:val="single" w:color="auto" w:sz="8" w:space="0"/>
              <w:bottom w:val="single" w:color="auto" w:sz="8" w:space="0"/>
            </w:tcBorders>
            <w:shd w:val="clear" w:color="auto" w:fill="auto"/>
            <w:vAlign w:val="center"/>
          </w:tcPr>
          <w:p>
            <w:pPr>
              <w:rPr>
                <w:rFonts w:ascii="宋体"/>
                <w:color w:val="auto"/>
                <w:sz w:val="18"/>
                <w:highlight w:val="none"/>
              </w:rPr>
            </w:pPr>
            <w:r>
              <w:rPr>
                <w:rFonts w:hint="eastAsia" w:ascii="宋体"/>
                <w:color w:val="auto"/>
                <w:sz w:val="18"/>
                <w:highlight w:val="none"/>
              </w:rPr>
              <w:t>制表日期：</w:t>
            </w:r>
          </w:p>
        </w:tc>
        <w:tc>
          <w:tcPr>
            <w:tcW w:w="3870" w:type="dxa"/>
            <w:gridSpan w:val="2"/>
            <w:tcBorders>
              <w:top w:val="single" w:color="auto" w:sz="8" w:space="0"/>
              <w:bottom w:val="single" w:color="auto" w:sz="8" w:space="0"/>
            </w:tcBorders>
            <w:shd w:val="clear" w:color="auto" w:fill="auto"/>
            <w:vAlign w:val="center"/>
          </w:tcPr>
          <w:p>
            <w:pPr>
              <w:rPr>
                <w:rFonts w:ascii="宋体"/>
                <w:color w:val="auto"/>
                <w:sz w:val="18"/>
                <w:highlight w:val="none"/>
              </w:rPr>
            </w:pPr>
            <w:r>
              <w:rPr>
                <w:rFonts w:hint="eastAsia" w:ascii="宋体"/>
                <w:color w:val="auto"/>
                <w:sz w:val="18"/>
                <w:highlight w:val="none"/>
              </w:rPr>
              <w:t>制表人：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tcBorders>
              <w:top w:val="single" w:color="auto" w:sz="8" w:space="0"/>
            </w:tcBorders>
            <w:shd w:val="clear" w:color="auto" w:fill="auto"/>
            <w:vAlign w:val="center"/>
          </w:tcPr>
          <w:p>
            <w:pPr>
              <w:rPr>
                <w:rFonts w:ascii="宋体"/>
                <w:color w:val="auto"/>
                <w:sz w:val="18"/>
                <w:highlight w:val="none"/>
              </w:rPr>
            </w:pPr>
            <w:r>
              <w:rPr>
                <w:rFonts w:hint="eastAsia" w:ascii="宋体"/>
                <w:color w:val="auto"/>
                <w:sz w:val="18"/>
                <w:highlight w:val="none"/>
              </w:rPr>
              <w:t>单元过程名称：</w:t>
            </w:r>
            <w:r>
              <w:rPr>
                <w:rFonts w:hint="eastAsia" w:ascii="Times New Roman"/>
                <w:color w:val="auto"/>
                <w:kern w:val="0"/>
                <w:highlight w:val="none"/>
              </w:rPr>
              <w:t>辣椒酱煮料阶段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70" w:type="dxa"/>
            <w:gridSpan w:val="2"/>
            <w:shd w:val="clear" w:color="auto" w:fill="auto"/>
            <w:vAlign w:val="center"/>
          </w:tcPr>
          <w:p>
            <w:pPr>
              <w:rPr>
                <w:rFonts w:ascii="宋体"/>
                <w:color w:val="auto"/>
                <w:sz w:val="18"/>
                <w:highlight w:val="none"/>
              </w:rPr>
            </w:pPr>
            <w:r>
              <w:rPr>
                <w:rFonts w:hint="eastAsia" w:ascii="宋体"/>
                <w:color w:val="auto"/>
                <w:sz w:val="18"/>
                <w:highlight w:val="none"/>
              </w:rPr>
              <w:t>时段：        年</w:t>
            </w:r>
          </w:p>
        </w:tc>
        <w:tc>
          <w:tcPr>
            <w:tcW w:w="1935" w:type="dxa"/>
            <w:shd w:val="clear" w:color="auto" w:fill="auto"/>
            <w:vAlign w:val="center"/>
          </w:tcPr>
          <w:p>
            <w:pPr>
              <w:rPr>
                <w:rFonts w:ascii="宋体"/>
                <w:color w:val="auto"/>
                <w:sz w:val="18"/>
                <w:highlight w:val="none"/>
              </w:rPr>
            </w:pPr>
            <w:r>
              <w:rPr>
                <w:rFonts w:hint="eastAsia" w:ascii="宋体"/>
                <w:color w:val="auto"/>
                <w:sz w:val="18"/>
                <w:highlight w:val="none"/>
              </w:rPr>
              <w:t>起始月：</w:t>
            </w:r>
          </w:p>
        </w:tc>
        <w:tc>
          <w:tcPr>
            <w:tcW w:w="3870" w:type="dxa"/>
            <w:gridSpan w:val="2"/>
            <w:shd w:val="clear" w:color="auto" w:fill="auto"/>
            <w:vAlign w:val="center"/>
          </w:tcPr>
          <w:p>
            <w:pPr>
              <w:rPr>
                <w:rFonts w:ascii="宋体"/>
                <w:color w:val="auto"/>
                <w:sz w:val="18"/>
                <w:highlight w:val="none"/>
              </w:rPr>
            </w:pPr>
            <w:r>
              <w:rPr>
                <w:rFonts w:hint="eastAsia" w:ascii="宋体"/>
                <w:color w:val="auto"/>
                <w:sz w:val="18"/>
                <w:highlight w:val="none"/>
              </w:rPr>
              <w:t>终止月：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
            </w:pPr>
            <w:r>
              <w:rPr>
                <w:rFonts w:hint="eastAsia" w:ascii="宋体"/>
                <w:color w:val="auto"/>
                <w:sz w:val="18"/>
                <w:highlight w:val="none"/>
              </w:rPr>
              <w:t>1、产品产出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产品类型</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
            </w:pPr>
            <w:r>
              <w:rPr>
                <w:rFonts w:hint="eastAsia" w:ascii="宋体"/>
                <w:color w:val="auto"/>
                <w:sz w:val="18"/>
                <w:highlight w:val="none"/>
              </w:rPr>
              <w:t>2、原材料消耗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原料类型</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原料一</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原料二</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shd w:val="clear" w:color="auto" w:fill="auto"/>
            <w:vAlign w:val="center"/>
          </w:tcPr>
          <w:p>
            <w:pPr>
              <w:rPr>
                <w:rFonts w:ascii="宋体"/>
                <w:color w:val="auto"/>
                <w:sz w:val="18"/>
                <w:highlight w:val="none"/>
              </w:rPr>
            </w:pPr>
            <w:r>
              <w:rPr>
                <w:rFonts w:hint="eastAsia" w:ascii="宋体"/>
                <w:color w:val="auto"/>
                <w:sz w:val="18"/>
                <w:highlight w:val="none"/>
              </w:rPr>
              <w:t>3、水资源消耗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水资源类型</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工业用水</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
            </w:pPr>
            <w:r>
              <w:rPr>
                <w:rFonts w:hint="eastAsia" w:ascii="宋体"/>
                <w:color w:val="auto"/>
                <w:sz w:val="18"/>
                <w:highlight w:val="none"/>
              </w:rPr>
              <w:t>4、能源消耗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能源类型</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电</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蒸汽</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75" w:type="dxa"/>
            <w:gridSpan w:val="5"/>
            <w:tcBorders>
              <w:top w:val="single" w:color="auto" w:sz="8" w:space="0"/>
            </w:tcBorders>
            <w:shd w:val="clear" w:color="auto" w:fill="auto"/>
          </w:tcPr>
          <w:p>
            <w:pPr>
              <w:pStyle w:val="68"/>
              <w:numPr>
                <w:ilvl w:val="0"/>
                <w:numId w:val="16"/>
              </w:numPr>
              <w:rPr>
                <w:color w:val="auto"/>
                <w:highlight w:val="none"/>
              </w:rPr>
            </w:pPr>
            <w:r>
              <w:rPr>
                <w:rFonts w:hint="eastAsia"/>
                <w:color w:val="auto"/>
                <w:highlight w:val="none"/>
              </w:rPr>
              <w:t>填表时可根据实际情况增减表格和项目。</w:t>
            </w:r>
          </w:p>
        </w:tc>
      </w:tr>
    </w:tbl>
    <w:p>
      <w:pPr>
        <w:pStyle w:val="26"/>
        <w:ind w:left="420" w:firstLine="0" w:firstLineChars="0"/>
        <w:rPr>
          <w:color w:val="auto"/>
          <w:sz w:val="22"/>
          <w:szCs w:val="22"/>
          <w:highlight w:val="none"/>
        </w:rPr>
      </w:pPr>
    </w:p>
    <w:p>
      <w:pPr>
        <w:pStyle w:val="26"/>
        <w:ind w:left="420" w:firstLine="0" w:firstLineChars="0"/>
        <w:jc w:val="center"/>
        <w:rPr>
          <w:color w:val="auto"/>
          <w:szCs w:val="21"/>
          <w:highlight w:val="none"/>
        </w:rPr>
      </w:pPr>
      <w:r>
        <w:rPr>
          <w:rFonts w:hint="eastAsia" w:ascii="黑体" w:hAnsi="黑体" w:eastAsia="黑体"/>
          <w:color w:val="auto"/>
          <w:szCs w:val="21"/>
          <w:highlight w:val="none"/>
        </w:rPr>
        <w:t>表B.</w:t>
      </w:r>
      <w:r>
        <w:rPr>
          <w:rFonts w:ascii="黑体" w:hAnsi="黑体" w:eastAsia="黑体"/>
          <w:color w:val="auto"/>
          <w:szCs w:val="21"/>
          <w:highlight w:val="none"/>
        </w:rPr>
        <w:t>3</w:t>
      </w:r>
      <w:r>
        <w:rPr>
          <w:rFonts w:hint="eastAsia" w:ascii="黑体" w:hAnsi="黑体" w:eastAsia="黑体"/>
          <w:color w:val="auto"/>
          <w:szCs w:val="21"/>
          <w:highlight w:val="none"/>
        </w:rPr>
        <w:t xml:space="preserve"> </w:t>
      </w:r>
      <w:r>
        <w:rPr>
          <w:rFonts w:hint="eastAsia" w:ascii="Times New Roman"/>
          <w:color w:val="auto"/>
          <w:highlight w:val="none"/>
        </w:rPr>
        <w:t>辣椒酱</w:t>
      </w:r>
      <w:r>
        <w:rPr>
          <w:rFonts w:hint="eastAsia" w:ascii="黑体" w:hAnsi="黑体" w:eastAsia="黑体"/>
          <w:color w:val="auto"/>
          <w:szCs w:val="21"/>
          <w:highlight w:val="none"/>
        </w:rPr>
        <w:t>包装阶段数据收集表</w:t>
      </w:r>
    </w:p>
    <w:tbl>
      <w:tblPr>
        <w:tblStyle w:val="36"/>
        <w:tblW w:w="96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935"/>
        <w:gridCol w:w="1935"/>
        <w:gridCol w:w="1935"/>
        <w:gridCol w:w="19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05" w:type="dxa"/>
            <w:gridSpan w:val="3"/>
            <w:tcBorders>
              <w:top w:val="single" w:color="auto" w:sz="8" w:space="0"/>
              <w:bottom w:val="single" w:color="auto" w:sz="8" w:space="0"/>
            </w:tcBorders>
            <w:shd w:val="clear" w:color="auto" w:fill="auto"/>
            <w:vAlign w:val="center"/>
          </w:tcPr>
          <w:p>
            <w:pPr>
              <w:rPr>
                <w:rFonts w:ascii="宋体"/>
                <w:color w:val="auto"/>
                <w:sz w:val="18"/>
                <w:highlight w:val="none"/>
              </w:rPr>
            </w:pPr>
            <w:r>
              <w:rPr>
                <w:rFonts w:hint="eastAsia" w:ascii="宋体"/>
                <w:color w:val="auto"/>
                <w:sz w:val="18"/>
                <w:highlight w:val="none"/>
              </w:rPr>
              <w:t>制表日期：</w:t>
            </w:r>
          </w:p>
        </w:tc>
        <w:tc>
          <w:tcPr>
            <w:tcW w:w="3870" w:type="dxa"/>
            <w:gridSpan w:val="2"/>
            <w:tcBorders>
              <w:top w:val="single" w:color="auto" w:sz="8" w:space="0"/>
              <w:bottom w:val="single" w:color="auto" w:sz="8" w:space="0"/>
            </w:tcBorders>
            <w:shd w:val="clear" w:color="auto" w:fill="auto"/>
            <w:vAlign w:val="center"/>
          </w:tcPr>
          <w:p>
            <w:pPr>
              <w:rPr>
                <w:rFonts w:ascii="宋体"/>
                <w:color w:val="auto"/>
                <w:sz w:val="18"/>
                <w:highlight w:val="none"/>
              </w:rPr>
            </w:pPr>
            <w:r>
              <w:rPr>
                <w:rFonts w:hint="eastAsia" w:ascii="宋体"/>
                <w:color w:val="auto"/>
                <w:sz w:val="18"/>
                <w:highlight w:val="none"/>
              </w:rPr>
              <w:t>制表人：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tcBorders>
              <w:top w:val="single" w:color="auto" w:sz="8" w:space="0"/>
            </w:tcBorders>
            <w:shd w:val="clear" w:color="auto" w:fill="auto"/>
            <w:vAlign w:val="center"/>
          </w:tcPr>
          <w:p>
            <w:pPr>
              <w:rPr>
                <w:rFonts w:ascii="宋体"/>
                <w:color w:val="auto"/>
                <w:sz w:val="18"/>
                <w:highlight w:val="none"/>
              </w:rPr>
            </w:pPr>
            <w:r>
              <w:rPr>
                <w:rFonts w:hint="eastAsia" w:ascii="宋体"/>
                <w:color w:val="auto"/>
                <w:sz w:val="18"/>
                <w:highlight w:val="none"/>
              </w:rPr>
              <w:t>单元过程名称：</w:t>
            </w:r>
            <w:r>
              <w:rPr>
                <w:rFonts w:hint="eastAsia" w:ascii="Times New Roman"/>
                <w:color w:val="auto"/>
                <w:kern w:val="0"/>
                <w:highlight w:val="none"/>
              </w:rPr>
              <w:t>辣椒酱包装阶段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70" w:type="dxa"/>
            <w:gridSpan w:val="2"/>
            <w:shd w:val="clear" w:color="auto" w:fill="auto"/>
            <w:vAlign w:val="center"/>
          </w:tcPr>
          <w:p>
            <w:pPr>
              <w:rPr>
                <w:rFonts w:ascii="宋体"/>
                <w:color w:val="auto"/>
                <w:sz w:val="18"/>
                <w:highlight w:val="none"/>
              </w:rPr>
            </w:pPr>
            <w:r>
              <w:rPr>
                <w:rFonts w:hint="eastAsia" w:ascii="宋体"/>
                <w:color w:val="auto"/>
                <w:sz w:val="18"/>
                <w:highlight w:val="none"/>
              </w:rPr>
              <w:t>时段：        年</w:t>
            </w:r>
          </w:p>
        </w:tc>
        <w:tc>
          <w:tcPr>
            <w:tcW w:w="1935" w:type="dxa"/>
            <w:shd w:val="clear" w:color="auto" w:fill="auto"/>
            <w:vAlign w:val="center"/>
          </w:tcPr>
          <w:p>
            <w:pPr>
              <w:rPr>
                <w:rFonts w:ascii="宋体"/>
                <w:color w:val="auto"/>
                <w:sz w:val="18"/>
                <w:highlight w:val="none"/>
              </w:rPr>
            </w:pPr>
            <w:r>
              <w:rPr>
                <w:rFonts w:hint="eastAsia" w:ascii="宋体"/>
                <w:color w:val="auto"/>
                <w:sz w:val="18"/>
                <w:highlight w:val="none"/>
              </w:rPr>
              <w:t>起始月：</w:t>
            </w:r>
          </w:p>
        </w:tc>
        <w:tc>
          <w:tcPr>
            <w:tcW w:w="3870" w:type="dxa"/>
            <w:gridSpan w:val="2"/>
            <w:shd w:val="clear" w:color="auto" w:fill="auto"/>
            <w:vAlign w:val="center"/>
          </w:tcPr>
          <w:p>
            <w:pPr>
              <w:rPr>
                <w:rFonts w:ascii="宋体"/>
                <w:color w:val="auto"/>
                <w:sz w:val="18"/>
                <w:highlight w:val="none"/>
              </w:rPr>
            </w:pPr>
            <w:r>
              <w:rPr>
                <w:rFonts w:hint="eastAsia" w:ascii="宋体"/>
                <w:color w:val="auto"/>
                <w:sz w:val="18"/>
                <w:highlight w:val="none"/>
              </w:rPr>
              <w:t>终止月：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
            </w:pPr>
            <w:r>
              <w:rPr>
                <w:rFonts w:hint="eastAsia" w:ascii="宋体"/>
                <w:color w:val="auto"/>
                <w:sz w:val="18"/>
                <w:highlight w:val="none"/>
              </w:rPr>
              <w:t>1、产品产出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产品类型</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
            </w:pPr>
            <w:r>
              <w:rPr>
                <w:rFonts w:hint="eastAsia" w:ascii="宋体"/>
                <w:color w:val="auto"/>
                <w:sz w:val="18"/>
                <w:highlight w:val="none"/>
              </w:rPr>
              <w:t>2、原材料消耗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原料类型</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原料一</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原料二</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shd w:val="clear" w:color="auto" w:fill="auto"/>
            <w:vAlign w:val="center"/>
          </w:tcPr>
          <w:p>
            <w:pPr>
              <w:rPr>
                <w:rFonts w:ascii="宋体"/>
                <w:color w:val="auto"/>
                <w:sz w:val="18"/>
                <w:highlight w:val="none"/>
              </w:rPr>
            </w:pPr>
            <w:r>
              <w:rPr>
                <w:rFonts w:hint="eastAsia" w:ascii="宋体"/>
                <w:color w:val="auto"/>
                <w:sz w:val="18"/>
                <w:highlight w:val="none"/>
              </w:rPr>
              <w:t>3、水资源消耗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水资源类型</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工业用水</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
            </w:pPr>
            <w:r>
              <w:rPr>
                <w:rFonts w:hint="eastAsia" w:ascii="宋体"/>
                <w:color w:val="auto"/>
                <w:sz w:val="18"/>
                <w:highlight w:val="none"/>
              </w:rPr>
              <w:t>4、能源消耗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能源类型</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电</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蒸汽</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c>
          <w:tcPr>
            <w:tcW w:w="1935"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75" w:type="dxa"/>
            <w:gridSpan w:val="5"/>
            <w:tcBorders>
              <w:top w:val="single" w:color="auto" w:sz="8" w:space="0"/>
            </w:tcBorders>
            <w:shd w:val="clear" w:color="auto" w:fill="auto"/>
          </w:tcPr>
          <w:p>
            <w:pPr>
              <w:pStyle w:val="68"/>
              <w:numPr>
                <w:ilvl w:val="0"/>
                <w:numId w:val="16"/>
              </w:numPr>
              <w:rPr>
                <w:color w:val="auto"/>
                <w:highlight w:val="none"/>
              </w:rPr>
            </w:pPr>
            <w:r>
              <w:rPr>
                <w:rFonts w:hint="eastAsia"/>
                <w:color w:val="auto"/>
                <w:highlight w:val="none"/>
              </w:rPr>
              <w:t>填表时可根据实际情况增减表格和项目。</w:t>
            </w:r>
          </w:p>
        </w:tc>
      </w:tr>
    </w:tbl>
    <w:p>
      <w:pPr>
        <w:pStyle w:val="26"/>
        <w:ind w:left="420" w:firstLine="0" w:firstLineChars="0"/>
        <w:rPr>
          <w:color w:val="auto"/>
          <w:sz w:val="22"/>
          <w:szCs w:val="22"/>
          <w:highlight w:val="none"/>
        </w:rPr>
      </w:pPr>
    </w:p>
    <w:p>
      <w:pPr>
        <w:pStyle w:val="26"/>
        <w:ind w:left="420" w:firstLine="0" w:firstLineChars="0"/>
        <w:jc w:val="center"/>
        <w:rPr>
          <w:color w:val="auto"/>
          <w:szCs w:val="21"/>
          <w:highlight w:val="none"/>
        </w:rPr>
      </w:pPr>
      <w:r>
        <w:rPr>
          <w:rFonts w:hint="eastAsia" w:ascii="黑体" w:hAnsi="黑体" w:eastAsia="黑体"/>
          <w:color w:val="auto"/>
          <w:szCs w:val="21"/>
          <w:highlight w:val="none"/>
        </w:rPr>
        <w:t>表B.4 排放过程数据收集表</w:t>
      </w:r>
    </w:p>
    <w:tbl>
      <w:tblPr>
        <w:tblStyle w:val="36"/>
        <w:tblW w:w="970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1941"/>
        <w:gridCol w:w="1941"/>
        <w:gridCol w:w="1941"/>
        <w:gridCol w:w="19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23" w:type="dxa"/>
            <w:gridSpan w:val="3"/>
            <w:tcBorders>
              <w:top w:val="single" w:color="auto" w:sz="8" w:space="0"/>
              <w:bottom w:val="single" w:color="auto" w:sz="8" w:space="0"/>
            </w:tcBorders>
            <w:shd w:val="clear" w:color="auto" w:fill="auto"/>
            <w:vAlign w:val="center"/>
          </w:tcPr>
          <w:p>
            <w:pPr>
              <w:rPr>
                <w:rFonts w:ascii="宋体"/>
                <w:color w:val="auto"/>
                <w:sz w:val="18"/>
                <w:highlight w:val="none"/>
              </w:rPr>
            </w:pPr>
            <w:r>
              <w:rPr>
                <w:rFonts w:hint="eastAsia" w:ascii="宋体"/>
                <w:color w:val="auto"/>
                <w:sz w:val="18"/>
                <w:highlight w:val="none"/>
              </w:rPr>
              <w:t>制表日期：</w:t>
            </w:r>
          </w:p>
        </w:tc>
        <w:tc>
          <w:tcPr>
            <w:tcW w:w="3882" w:type="dxa"/>
            <w:gridSpan w:val="2"/>
            <w:tcBorders>
              <w:top w:val="single" w:color="auto" w:sz="8" w:space="0"/>
              <w:bottom w:val="single" w:color="auto" w:sz="8" w:space="0"/>
            </w:tcBorders>
            <w:shd w:val="clear" w:color="auto" w:fill="auto"/>
            <w:vAlign w:val="center"/>
          </w:tcPr>
          <w:p>
            <w:pPr>
              <w:rPr>
                <w:rFonts w:ascii="宋体"/>
                <w:color w:val="auto"/>
                <w:sz w:val="18"/>
                <w:highlight w:val="none"/>
              </w:rPr>
            </w:pPr>
            <w:r>
              <w:rPr>
                <w:rFonts w:hint="eastAsia" w:ascii="宋体"/>
                <w:color w:val="auto"/>
                <w:sz w:val="18"/>
                <w:highlight w:val="none"/>
              </w:rPr>
              <w:t>制表人：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705" w:type="dxa"/>
            <w:gridSpan w:val="5"/>
            <w:tcBorders>
              <w:top w:val="single" w:color="auto" w:sz="8" w:space="0"/>
            </w:tcBorders>
            <w:shd w:val="clear" w:color="auto" w:fill="auto"/>
            <w:vAlign w:val="center"/>
          </w:tcPr>
          <w:p>
            <w:pPr>
              <w:rPr>
                <w:rFonts w:ascii="宋体"/>
                <w:color w:val="auto"/>
                <w:sz w:val="18"/>
                <w:highlight w:val="none"/>
              </w:rPr>
            </w:pPr>
            <w:r>
              <w:rPr>
                <w:rFonts w:hint="eastAsia" w:ascii="宋体"/>
                <w:color w:val="auto"/>
                <w:sz w:val="18"/>
                <w:highlight w:val="none"/>
              </w:rPr>
              <w:t>单元过程名称：准备工段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882" w:type="dxa"/>
            <w:gridSpan w:val="2"/>
            <w:shd w:val="clear" w:color="auto" w:fill="auto"/>
            <w:vAlign w:val="center"/>
          </w:tcPr>
          <w:p>
            <w:pPr>
              <w:rPr>
                <w:rFonts w:ascii="宋体"/>
                <w:color w:val="auto"/>
                <w:sz w:val="18"/>
                <w:highlight w:val="none"/>
              </w:rPr>
            </w:pPr>
            <w:r>
              <w:rPr>
                <w:rFonts w:hint="eastAsia" w:ascii="宋体"/>
                <w:color w:val="auto"/>
                <w:sz w:val="18"/>
                <w:highlight w:val="none"/>
              </w:rPr>
              <w:t>时段：        年</w:t>
            </w:r>
          </w:p>
        </w:tc>
        <w:tc>
          <w:tcPr>
            <w:tcW w:w="1941" w:type="dxa"/>
            <w:shd w:val="clear" w:color="auto" w:fill="auto"/>
            <w:vAlign w:val="center"/>
          </w:tcPr>
          <w:p>
            <w:pPr>
              <w:rPr>
                <w:rFonts w:ascii="宋体"/>
                <w:color w:val="auto"/>
                <w:sz w:val="18"/>
                <w:highlight w:val="none"/>
              </w:rPr>
            </w:pPr>
            <w:r>
              <w:rPr>
                <w:rFonts w:hint="eastAsia" w:ascii="宋体"/>
                <w:color w:val="auto"/>
                <w:sz w:val="18"/>
                <w:highlight w:val="none"/>
              </w:rPr>
              <w:t>起始月：</w:t>
            </w:r>
          </w:p>
        </w:tc>
        <w:tc>
          <w:tcPr>
            <w:tcW w:w="3882" w:type="dxa"/>
            <w:gridSpan w:val="2"/>
            <w:shd w:val="clear" w:color="auto" w:fill="auto"/>
            <w:vAlign w:val="center"/>
          </w:tcPr>
          <w:p>
            <w:pPr>
              <w:rPr>
                <w:rFonts w:ascii="宋体"/>
                <w:color w:val="auto"/>
                <w:sz w:val="18"/>
                <w:highlight w:val="none"/>
              </w:rPr>
            </w:pPr>
            <w:r>
              <w:rPr>
                <w:rFonts w:hint="eastAsia" w:ascii="宋体"/>
                <w:color w:val="auto"/>
                <w:sz w:val="18"/>
                <w:highlight w:val="none"/>
              </w:rPr>
              <w:t>终止月：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705" w:type="dxa"/>
            <w:gridSpan w:val="5"/>
            <w:shd w:val="clear" w:color="auto" w:fill="auto"/>
            <w:vAlign w:val="center"/>
          </w:tcPr>
          <w:p>
            <w:pPr>
              <w:rPr>
                <w:rFonts w:ascii="宋体"/>
                <w:color w:val="auto"/>
                <w:sz w:val="18"/>
                <w:highlight w:val="none"/>
              </w:rPr>
            </w:pPr>
            <w:r>
              <w:rPr>
                <w:rFonts w:ascii="宋体"/>
                <w:color w:val="auto"/>
                <w:sz w:val="18"/>
                <w:highlight w:val="none"/>
              </w:rPr>
              <w:t>1</w:t>
            </w:r>
            <w:r>
              <w:rPr>
                <w:rFonts w:hint="eastAsia" w:ascii="宋体"/>
                <w:color w:val="auto"/>
                <w:sz w:val="18"/>
                <w:highlight w:val="none"/>
              </w:rPr>
              <w:t>、废气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排放种类</w:t>
            </w:r>
          </w:p>
        </w:tc>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排放物一</w:t>
            </w: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705" w:type="dxa"/>
            <w:gridSpan w:val="5"/>
            <w:shd w:val="clear" w:color="auto" w:fill="auto"/>
            <w:vAlign w:val="center"/>
          </w:tcPr>
          <w:p>
            <w:pPr>
              <w:rPr>
                <w:rFonts w:ascii="宋体"/>
                <w:color w:val="auto"/>
                <w:sz w:val="18"/>
                <w:highlight w:val="none"/>
              </w:rPr>
            </w:pPr>
            <w:r>
              <w:rPr>
                <w:rFonts w:ascii="宋体"/>
                <w:color w:val="auto"/>
                <w:sz w:val="18"/>
                <w:highlight w:val="none"/>
              </w:rPr>
              <w:t>2</w:t>
            </w:r>
            <w:r>
              <w:rPr>
                <w:rFonts w:hint="eastAsia" w:ascii="宋体"/>
                <w:color w:val="auto"/>
                <w:sz w:val="18"/>
                <w:highlight w:val="none"/>
              </w:rPr>
              <w:t>、废水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排放种类</w:t>
            </w:r>
          </w:p>
        </w:tc>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排放物一</w:t>
            </w: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w:t>
            </w: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705" w:type="dxa"/>
            <w:gridSpan w:val="5"/>
            <w:shd w:val="clear" w:color="auto" w:fill="auto"/>
            <w:vAlign w:val="center"/>
          </w:tcPr>
          <w:p>
            <w:pPr>
              <w:jc w:val="left"/>
              <w:rPr>
                <w:rFonts w:ascii="宋体"/>
                <w:color w:val="auto"/>
                <w:sz w:val="18"/>
                <w:highlight w:val="none"/>
              </w:rPr>
            </w:pPr>
            <w:r>
              <w:rPr>
                <w:rFonts w:hint="eastAsia" w:ascii="宋体"/>
                <w:color w:val="auto"/>
                <w:sz w:val="18"/>
                <w:highlight w:val="none"/>
              </w:rPr>
              <w:t>3、废渣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排放种类</w:t>
            </w:r>
          </w:p>
        </w:tc>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单位</w:t>
            </w:r>
          </w:p>
        </w:tc>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数量</w:t>
            </w:r>
          </w:p>
        </w:tc>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数据来源</w:t>
            </w:r>
          </w:p>
        </w:tc>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
            </w:pPr>
            <w:r>
              <w:rPr>
                <w:rFonts w:hint="eastAsia" w:ascii="宋体"/>
                <w:color w:val="auto"/>
                <w:sz w:val="18"/>
                <w:highlight w:val="none"/>
              </w:rPr>
              <w:t>排放物一</w:t>
            </w: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c>
          <w:tcPr>
            <w:tcW w:w="1941" w:type="dxa"/>
            <w:shd w:val="clear" w:color="auto" w:fill="auto"/>
            <w:vAlign w:val="center"/>
          </w:tcPr>
          <w:p>
            <w:pPr>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705" w:type="dxa"/>
            <w:gridSpan w:val="5"/>
            <w:tcBorders>
              <w:top w:val="single" w:color="auto" w:sz="8" w:space="0"/>
            </w:tcBorders>
            <w:shd w:val="clear" w:color="auto" w:fill="auto"/>
          </w:tcPr>
          <w:p>
            <w:pPr>
              <w:pStyle w:val="68"/>
              <w:numPr>
                <w:ilvl w:val="0"/>
                <w:numId w:val="16"/>
              </w:numPr>
              <w:rPr>
                <w:color w:val="auto"/>
                <w:highlight w:val="none"/>
              </w:rPr>
            </w:pPr>
            <w:r>
              <w:rPr>
                <w:rFonts w:hint="eastAsia"/>
                <w:color w:val="auto"/>
                <w:highlight w:val="none"/>
              </w:rPr>
              <w:t>填表时可根据实际情况增减表格和项目。</w:t>
            </w:r>
          </w:p>
        </w:tc>
      </w:tr>
    </w:tbl>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B.3.4.2 清单分析</w:t>
      </w:r>
    </w:p>
    <w:p>
      <w:pPr>
        <w:pStyle w:val="26"/>
        <w:rPr>
          <w:color w:val="auto"/>
          <w:highlight w:val="none"/>
        </w:rPr>
      </w:pPr>
      <w:r>
        <w:rPr>
          <w:rFonts w:hint="eastAsia"/>
          <w:color w:val="auto"/>
          <w:highlight w:val="none"/>
        </w:rPr>
        <w:t>所收集的数据进行核实后，利用生命周期评估软件进行数据的分析处理，用以建立生命周期评价科学完整的计算程序。目前生命周期评价软件有GaBi、SimaPro、eBalance等，企业可根据实际情况选择软件。通过建立各个过程单元模块，输入各过程单元的数据，可得到全部输入与输出物质和排放清单，选择表B.</w:t>
      </w:r>
      <w:r>
        <w:rPr>
          <w:color w:val="auto"/>
          <w:highlight w:val="none"/>
        </w:rPr>
        <w:t>5</w:t>
      </w:r>
      <w:r>
        <w:rPr>
          <w:rFonts w:hint="eastAsia"/>
          <w:color w:val="auto"/>
          <w:highlight w:val="none"/>
        </w:rPr>
        <w:t>各个清单因子的量（以kg为单位），为分类评价做准备。</w:t>
      </w:r>
    </w:p>
    <w:p>
      <w:pPr>
        <w:pStyle w:val="154"/>
        <w:rPr>
          <w:rFonts w:ascii="黑体e眠副浡渀." w:hAnsi="Arial" w:eastAsia="黑体e眠副浡渀." w:cs="黑体e眠副浡渀."/>
          <w:color w:val="auto"/>
          <w:sz w:val="21"/>
          <w:szCs w:val="21"/>
          <w:highlight w:val="none"/>
        </w:rPr>
      </w:pPr>
      <w:r>
        <w:rPr>
          <w:rFonts w:hint="eastAsia" w:ascii="黑体e眠副浡渀." w:hAnsi="Arial" w:eastAsia="黑体e眠副浡渀." w:cs="黑体e眠副浡渀."/>
          <w:color w:val="auto"/>
          <w:sz w:val="21"/>
          <w:szCs w:val="21"/>
          <w:highlight w:val="none"/>
        </w:rPr>
        <w:t>B.4 影响评价</w:t>
      </w:r>
    </w:p>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B.4.1 影响类型</w:t>
      </w:r>
    </w:p>
    <w:p>
      <w:pPr>
        <w:pStyle w:val="26"/>
        <w:ind w:left="420" w:firstLine="0" w:firstLineChars="0"/>
        <w:rPr>
          <w:color w:val="auto"/>
          <w:szCs w:val="21"/>
          <w:highlight w:val="none"/>
        </w:rPr>
      </w:pPr>
      <w:r>
        <w:rPr>
          <w:rFonts w:hint="eastAsia"/>
          <w:color w:val="auto"/>
          <w:szCs w:val="21"/>
          <w:highlight w:val="none"/>
        </w:rPr>
        <w:t>影响类型分为资源能源消耗、生态环境影响两类。辣椒酱产品的影响类型采用化石能源消耗、气候变化2个指标。</w:t>
      </w:r>
    </w:p>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B.4.2 清单因子归类</w:t>
      </w:r>
    </w:p>
    <w:p>
      <w:pPr>
        <w:pStyle w:val="26"/>
        <w:ind w:left="420" w:firstLine="0" w:firstLineChars="0"/>
        <w:rPr>
          <w:color w:val="auto"/>
          <w:szCs w:val="21"/>
          <w:highlight w:val="none"/>
        </w:rPr>
      </w:pPr>
      <w:r>
        <w:rPr>
          <w:rFonts w:hint="eastAsia"/>
          <w:color w:val="auto"/>
          <w:szCs w:val="21"/>
          <w:highlight w:val="none"/>
        </w:rPr>
        <w:t>根据清单因子的物理化学性质，将对某影响类型有贡献的因子归到一起，见表B.</w:t>
      </w:r>
      <w:r>
        <w:rPr>
          <w:color w:val="auto"/>
          <w:szCs w:val="21"/>
          <w:highlight w:val="none"/>
        </w:rPr>
        <w:t>5</w:t>
      </w:r>
      <w:r>
        <w:rPr>
          <w:rFonts w:hint="eastAsia"/>
          <w:color w:val="auto"/>
          <w:szCs w:val="21"/>
          <w:highlight w:val="none"/>
        </w:rPr>
        <w:t>。</w:t>
      </w:r>
    </w:p>
    <w:p>
      <w:pPr>
        <w:pStyle w:val="26"/>
        <w:ind w:firstLine="0" w:firstLineChars="0"/>
        <w:jc w:val="center"/>
        <w:rPr>
          <w:color w:val="auto"/>
          <w:sz w:val="18"/>
          <w:szCs w:val="18"/>
          <w:highlight w:val="none"/>
        </w:rPr>
      </w:pPr>
      <w:r>
        <w:rPr>
          <w:rFonts w:hint="eastAsia" w:ascii="黑体" w:hAnsi="黑体" w:eastAsia="黑体"/>
          <w:color w:val="auto"/>
          <w:szCs w:val="21"/>
          <w:highlight w:val="none"/>
        </w:rPr>
        <w:t>表B.</w:t>
      </w:r>
      <w:r>
        <w:rPr>
          <w:rFonts w:ascii="黑体" w:hAnsi="黑体" w:eastAsia="黑体"/>
          <w:color w:val="auto"/>
          <w:szCs w:val="21"/>
          <w:highlight w:val="none"/>
        </w:rPr>
        <w:t>5</w:t>
      </w:r>
      <w:r>
        <w:rPr>
          <w:rFonts w:hint="eastAsia" w:ascii="黑体" w:hAnsi="黑体" w:eastAsia="黑体"/>
          <w:color w:val="auto"/>
          <w:szCs w:val="21"/>
          <w:highlight w:val="none"/>
        </w:rPr>
        <w:t xml:space="preserve"> 辣椒酱产品产品生命周期清单因子归类</w:t>
      </w:r>
    </w:p>
    <w:tbl>
      <w:tblPr>
        <w:tblStyle w:val="3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pStyle w:val="26"/>
              <w:ind w:firstLine="0" w:firstLineChars="0"/>
              <w:jc w:val="center"/>
              <w:rPr>
                <w:b/>
                <w:color w:val="auto"/>
                <w:szCs w:val="21"/>
                <w:highlight w:val="none"/>
              </w:rPr>
            </w:pPr>
            <w:r>
              <w:rPr>
                <w:rFonts w:hint="eastAsia"/>
                <w:b/>
                <w:color w:val="auto"/>
                <w:sz w:val="18"/>
                <w:szCs w:val="18"/>
                <w:highlight w:val="none"/>
              </w:rPr>
              <w:t>影响类型</w:t>
            </w:r>
          </w:p>
        </w:tc>
        <w:tc>
          <w:tcPr>
            <w:tcW w:w="6713" w:type="dxa"/>
          </w:tcPr>
          <w:p>
            <w:pPr>
              <w:pStyle w:val="26"/>
              <w:ind w:firstLine="0" w:firstLineChars="0"/>
              <w:jc w:val="center"/>
              <w:rPr>
                <w:b/>
                <w:color w:val="auto"/>
                <w:szCs w:val="21"/>
                <w:highlight w:val="none"/>
              </w:rPr>
            </w:pPr>
            <w:r>
              <w:rPr>
                <w:rFonts w:hint="eastAsia"/>
                <w:b/>
                <w:color w:val="auto"/>
                <w:sz w:val="18"/>
                <w:szCs w:val="18"/>
                <w:highlight w:val="none"/>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pStyle w:val="26"/>
              <w:ind w:firstLine="0" w:firstLineChars="0"/>
              <w:jc w:val="center"/>
              <w:rPr>
                <w:color w:val="auto"/>
                <w:szCs w:val="21"/>
                <w:highlight w:val="none"/>
              </w:rPr>
            </w:pPr>
            <w:r>
              <w:rPr>
                <w:rFonts w:hint="eastAsia"/>
                <w:color w:val="auto"/>
                <w:sz w:val="18"/>
                <w:szCs w:val="18"/>
                <w:highlight w:val="none"/>
              </w:rPr>
              <w:t>化石能源消耗</w:t>
            </w:r>
          </w:p>
        </w:tc>
        <w:tc>
          <w:tcPr>
            <w:tcW w:w="6713" w:type="dxa"/>
          </w:tcPr>
          <w:p>
            <w:pPr>
              <w:pStyle w:val="26"/>
              <w:ind w:firstLine="0" w:firstLineChars="0"/>
              <w:jc w:val="center"/>
              <w:rPr>
                <w:color w:val="auto"/>
                <w:szCs w:val="21"/>
                <w:highlight w:val="none"/>
              </w:rPr>
            </w:pPr>
            <w:r>
              <w:rPr>
                <w:rFonts w:hint="eastAsia"/>
                <w:color w:val="auto"/>
                <w:sz w:val="18"/>
                <w:szCs w:val="18"/>
                <w:highlight w:val="none"/>
              </w:rPr>
              <w:t>煤、石油、天然气、材料本身的有机碳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pStyle w:val="26"/>
              <w:ind w:firstLine="0" w:firstLineChars="0"/>
              <w:jc w:val="center"/>
              <w:rPr>
                <w:color w:val="auto"/>
                <w:sz w:val="18"/>
                <w:szCs w:val="18"/>
                <w:highlight w:val="none"/>
              </w:rPr>
            </w:pPr>
            <w:r>
              <w:rPr>
                <w:rFonts w:hint="eastAsia"/>
                <w:color w:val="auto"/>
                <w:sz w:val="18"/>
                <w:szCs w:val="18"/>
                <w:highlight w:val="none"/>
              </w:rPr>
              <w:t>气候变化/碳足迹</w:t>
            </w:r>
          </w:p>
        </w:tc>
        <w:tc>
          <w:tcPr>
            <w:tcW w:w="6713" w:type="dxa"/>
          </w:tcPr>
          <w:p>
            <w:pPr>
              <w:pStyle w:val="26"/>
              <w:ind w:firstLine="0" w:firstLineChars="0"/>
              <w:jc w:val="center"/>
              <w:rPr>
                <w:color w:val="auto"/>
                <w:sz w:val="18"/>
                <w:szCs w:val="18"/>
                <w:highlight w:val="none"/>
              </w:rPr>
            </w:pPr>
            <w:r>
              <w:rPr>
                <w:rFonts w:hint="eastAsia"/>
                <w:color w:val="auto"/>
                <w:sz w:val="18"/>
                <w:szCs w:val="18"/>
                <w:highlight w:val="none"/>
              </w:rPr>
              <w:t>二氧化碳(CO</w:t>
            </w:r>
            <w:r>
              <w:rPr>
                <w:rFonts w:hint="eastAsia"/>
                <w:color w:val="auto"/>
                <w:sz w:val="18"/>
                <w:szCs w:val="18"/>
                <w:highlight w:val="none"/>
                <w:vertAlign w:val="subscript"/>
              </w:rPr>
              <w:t>2</w:t>
            </w:r>
            <w:r>
              <w:rPr>
                <w:rFonts w:hint="eastAsia"/>
                <w:color w:val="auto"/>
                <w:sz w:val="18"/>
                <w:szCs w:val="18"/>
                <w:highlight w:val="none"/>
              </w:rPr>
              <w:t>)、甲烷(CH</w:t>
            </w:r>
            <w:r>
              <w:rPr>
                <w:rFonts w:hint="eastAsia"/>
                <w:color w:val="auto"/>
                <w:sz w:val="18"/>
                <w:szCs w:val="18"/>
                <w:highlight w:val="none"/>
                <w:vertAlign w:val="subscript"/>
              </w:rPr>
              <w:t>4</w:t>
            </w:r>
            <w:r>
              <w:rPr>
                <w:rFonts w:hint="eastAsia"/>
                <w:color w:val="auto"/>
                <w:sz w:val="18"/>
                <w:szCs w:val="18"/>
                <w:highlight w:val="none"/>
              </w:rPr>
              <w:t>)</w:t>
            </w:r>
          </w:p>
        </w:tc>
      </w:tr>
    </w:tbl>
    <w:p>
      <w:pPr>
        <w:pStyle w:val="26"/>
        <w:ind w:left="420" w:firstLine="0" w:firstLineChars="0"/>
        <w:rPr>
          <w:color w:val="auto"/>
          <w:szCs w:val="21"/>
          <w:highlight w:val="none"/>
        </w:rPr>
      </w:pPr>
    </w:p>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B.4.3 分类评价</w:t>
      </w:r>
    </w:p>
    <w:p>
      <w:pPr>
        <w:pStyle w:val="26"/>
        <w:ind w:firstLineChars="0"/>
        <w:rPr>
          <w:color w:val="auto"/>
          <w:szCs w:val="21"/>
          <w:highlight w:val="none"/>
        </w:rPr>
      </w:pPr>
      <w:r>
        <w:rPr>
          <w:rFonts w:hint="eastAsia"/>
          <w:color w:val="auto"/>
          <w:szCs w:val="21"/>
          <w:highlight w:val="none"/>
        </w:rPr>
        <w:t>计算出不同影响类型的特征化模型。分类评价的结果采用表B.</w:t>
      </w:r>
      <w:r>
        <w:rPr>
          <w:color w:val="auto"/>
          <w:szCs w:val="21"/>
          <w:highlight w:val="none"/>
        </w:rPr>
        <w:t>6</w:t>
      </w:r>
      <w:r>
        <w:rPr>
          <w:rFonts w:hint="eastAsia"/>
          <w:color w:val="auto"/>
          <w:szCs w:val="21"/>
          <w:highlight w:val="none"/>
        </w:rPr>
        <w:t>中的当量物质表示。</w:t>
      </w:r>
    </w:p>
    <w:p>
      <w:pPr>
        <w:pStyle w:val="26"/>
        <w:ind w:left="420" w:firstLine="0" w:firstLineChars="0"/>
        <w:jc w:val="center"/>
        <w:rPr>
          <w:color w:val="auto"/>
          <w:szCs w:val="21"/>
          <w:highlight w:val="none"/>
        </w:rPr>
      </w:pPr>
      <w:r>
        <w:rPr>
          <w:rFonts w:hint="eastAsia" w:ascii="黑体" w:hAnsi="黑体" w:eastAsia="黑体"/>
          <w:color w:val="auto"/>
          <w:szCs w:val="21"/>
          <w:highlight w:val="none"/>
        </w:rPr>
        <w:t>表B.</w:t>
      </w:r>
      <w:r>
        <w:rPr>
          <w:rFonts w:ascii="黑体" w:hAnsi="黑体" w:eastAsia="黑体"/>
          <w:color w:val="auto"/>
          <w:szCs w:val="21"/>
          <w:highlight w:val="none"/>
        </w:rPr>
        <w:t>6</w:t>
      </w:r>
      <w:r>
        <w:rPr>
          <w:rFonts w:hint="eastAsia" w:ascii="黑体" w:hAnsi="黑体" w:eastAsia="黑体"/>
          <w:color w:val="auto"/>
          <w:szCs w:val="21"/>
          <w:highlight w:val="none"/>
        </w:rPr>
        <w:t xml:space="preserve"> 辣椒酱产品产品生命周期影响评价</w:t>
      </w:r>
    </w:p>
    <w:tbl>
      <w:tblPr>
        <w:tblStyle w:val="3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pStyle w:val="26"/>
              <w:ind w:firstLine="0" w:firstLineChars="0"/>
              <w:jc w:val="center"/>
              <w:rPr>
                <w:b/>
                <w:color w:val="auto"/>
                <w:szCs w:val="21"/>
                <w:highlight w:val="none"/>
              </w:rPr>
            </w:pPr>
            <w:r>
              <w:rPr>
                <w:rFonts w:hint="eastAsia"/>
                <w:b/>
                <w:color w:val="auto"/>
                <w:sz w:val="18"/>
                <w:szCs w:val="18"/>
                <w:highlight w:val="none"/>
              </w:rPr>
              <w:t>环境类别</w:t>
            </w:r>
          </w:p>
        </w:tc>
        <w:tc>
          <w:tcPr>
            <w:tcW w:w="2130" w:type="dxa"/>
          </w:tcPr>
          <w:p>
            <w:pPr>
              <w:pStyle w:val="26"/>
              <w:ind w:firstLine="0" w:firstLineChars="0"/>
              <w:jc w:val="center"/>
              <w:rPr>
                <w:b/>
                <w:color w:val="auto"/>
                <w:szCs w:val="21"/>
                <w:highlight w:val="none"/>
              </w:rPr>
            </w:pPr>
            <w:r>
              <w:rPr>
                <w:rFonts w:hint="eastAsia"/>
                <w:b/>
                <w:color w:val="auto"/>
                <w:sz w:val="18"/>
                <w:szCs w:val="18"/>
                <w:highlight w:val="none"/>
              </w:rPr>
              <w:t>单位</w:t>
            </w:r>
          </w:p>
        </w:tc>
        <w:tc>
          <w:tcPr>
            <w:tcW w:w="2131" w:type="dxa"/>
          </w:tcPr>
          <w:p>
            <w:pPr>
              <w:pStyle w:val="26"/>
              <w:ind w:firstLine="0" w:firstLineChars="0"/>
              <w:jc w:val="center"/>
              <w:rPr>
                <w:b/>
                <w:color w:val="auto"/>
                <w:szCs w:val="21"/>
                <w:highlight w:val="none"/>
              </w:rPr>
            </w:pPr>
            <w:r>
              <w:rPr>
                <w:rFonts w:hint="eastAsia"/>
                <w:b/>
                <w:color w:val="auto"/>
                <w:sz w:val="18"/>
                <w:szCs w:val="18"/>
                <w:highlight w:val="none"/>
              </w:rPr>
              <w:t>指标参数</w:t>
            </w:r>
          </w:p>
        </w:tc>
        <w:tc>
          <w:tcPr>
            <w:tcW w:w="2131" w:type="dxa"/>
          </w:tcPr>
          <w:p>
            <w:pPr>
              <w:pStyle w:val="26"/>
              <w:ind w:firstLine="0" w:firstLineChars="0"/>
              <w:jc w:val="center"/>
              <w:rPr>
                <w:b/>
                <w:color w:val="auto"/>
                <w:szCs w:val="21"/>
                <w:highlight w:val="none"/>
              </w:rPr>
            </w:pPr>
            <w:r>
              <w:rPr>
                <w:rFonts w:hint="eastAsia"/>
                <w:b/>
                <w:color w:val="auto"/>
                <w:sz w:val="18"/>
                <w:szCs w:val="18"/>
                <w:highlight w:val="none"/>
              </w:rPr>
              <w:t>特征化因子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vAlign w:val="center"/>
          </w:tcPr>
          <w:p>
            <w:pPr>
              <w:pStyle w:val="26"/>
              <w:ind w:firstLine="0" w:firstLineChars="0"/>
              <w:jc w:val="center"/>
              <w:rPr>
                <w:color w:val="auto"/>
                <w:szCs w:val="21"/>
                <w:highlight w:val="none"/>
              </w:rPr>
            </w:pPr>
            <w:r>
              <w:rPr>
                <w:rFonts w:hint="eastAsia"/>
                <w:color w:val="auto"/>
                <w:sz w:val="18"/>
                <w:szCs w:val="18"/>
                <w:highlight w:val="none"/>
              </w:rPr>
              <w:t>能源消耗</w:t>
            </w:r>
          </w:p>
        </w:tc>
        <w:tc>
          <w:tcPr>
            <w:tcW w:w="2130" w:type="dxa"/>
            <w:vMerge w:val="restart"/>
            <w:vAlign w:val="center"/>
          </w:tcPr>
          <w:p>
            <w:pPr>
              <w:pStyle w:val="26"/>
              <w:ind w:firstLine="0" w:firstLineChars="0"/>
              <w:jc w:val="center"/>
              <w:rPr>
                <w:color w:val="auto"/>
                <w:szCs w:val="21"/>
                <w:highlight w:val="none"/>
              </w:rPr>
            </w:pPr>
            <w:r>
              <w:rPr>
                <w:rFonts w:hint="eastAsia"/>
                <w:color w:val="auto"/>
                <w:sz w:val="18"/>
                <w:szCs w:val="18"/>
                <w:highlight w:val="none"/>
              </w:rPr>
              <w:t>锑当量·kg</w:t>
            </w:r>
            <w:r>
              <w:rPr>
                <w:rFonts w:hint="eastAsia"/>
                <w:color w:val="auto"/>
                <w:sz w:val="18"/>
                <w:szCs w:val="18"/>
                <w:highlight w:val="none"/>
                <w:vertAlign w:val="superscript"/>
              </w:rPr>
              <w:t>-1</w:t>
            </w:r>
          </w:p>
        </w:tc>
        <w:tc>
          <w:tcPr>
            <w:tcW w:w="2131" w:type="dxa"/>
          </w:tcPr>
          <w:p>
            <w:pPr>
              <w:pStyle w:val="26"/>
              <w:ind w:firstLine="0" w:firstLineChars="0"/>
              <w:jc w:val="center"/>
              <w:rPr>
                <w:color w:val="auto"/>
                <w:szCs w:val="21"/>
                <w:highlight w:val="none"/>
              </w:rPr>
            </w:pPr>
            <w:r>
              <w:rPr>
                <w:rFonts w:hint="eastAsia"/>
                <w:color w:val="auto"/>
                <w:sz w:val="18"/>
                <w:szCs w:val="18"/>
                <w:highlight w:val="none"/>
              </w:rPr>
              <w:t>煤</w:t>
            </w:r>
          </w:p>
        </w:tc>
        <w:tc>
          <w:tcPr>
            <w:tcW w:w="2131" w:type="dxa"/>
          </w:tcPr>
          <w:p>
            <w:pPr>
              <w:pStyle w:val="26"/>
              <w:ind w:firstLine="0" w:firstLineChars="0"/>
              <w:jc w:val="center"/>
              <w:rPr>
                <w:color w:val="auto"/>
                <w:szCs w:val="21"/>
                <w:highlight w:val="none"/>
              </w:rPr>
            </w:pPr>
            <w:r>
              <w:rPr>
                <w:rFonts w:hint="eastAsia"/>
                <w:color w:val="auto"/>
                <w:sz w:val="18"/>
                <w:szCs w:val="18"/>
                <w:highlight w:val="none"/>
              </w:rPr>
              <w:t>5.69</w:t>
            </w:r>
            <w:r>
              <w:rPr>
                <w:rFonts w:ascii="幼圆" w:hAnsi="幼圆"/>
                <w:color w:val="auto"/>
                <w:sz w:val="18"/>
                <w:szCs w:val="18"/>
                <w:highlight w:val="none"/>
              </w:rPr>
              <w:t xml:space="preserve">× </w:t>
            </w:r>
            <w:r>
              <w:rPr>
                <w:rFonts w:hint="eastAsia"/>
                <w:color w:val="auto"/>
                <w:sz w:val="18"/>
                <w:szCs w:val="18"/>
                <w:highlight w:val="none"/>
              </w:rPr>
              <w:t>10</w:t>
            </w:r>
            <w:r>
              <w:rPr>
                <w:rFonts w:hint="eastAsia"/>
                <w:color w:val="auto"/>
                <w:sz w:val="18"/>
                <w:szCs w:val="18"/>
                <w:highlight w:val="none"/>
                <w:vertAlign w:val="superscript"/>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vAlign w:val="center"/>
          </w:tcPr>
          <w:p>
            <w:pPr>
              <w:pStyle w:val="26"/>
              <w:ind w:firstLine="0" w:firstLineChars="0"/>
              <w:jc w:val="center"/>
              <w:rPr>
                <w:color w:val="auto"/>
                <w:szCs w:val="21"/>
                <w:highlight w:val="none"/>
              </w:rPr>
            </w:pPr>
          </w:p>
        </w:tc>
        <w:tc>
          <w:tcPr>
            <w:tcW w:w="2130" w:type="dxa"/>
            <w:vMerge w:val="continue"/>
            <w:vAlign w:val="center"/>
          </w:tcPr>
          <w:p>
            <w:pPr>
              <w:pStyle w:val="26"/>
              <w:ind w:firstLine="0" w:firstLineChars="0"/>
              <w:jc w:val="center"/>
              <w:rPr>
                <w:color w:val="auto"/>
                <w:szCs w:val="21"/>
                <w:highlight w:val="none"/>
              </w:rPr>
            </w:pPr>
          </w:p>
        </w:tc>
        <w:tc>
          <w:tcPr>
            <w:tcW w:w="2131" w:type="dxa"/>
          </w:tcPr>
          <w:p>
            <w:pPr>
              <w:pStyle w:val="26"/>
              <w:ind w:firstLine="0" w:firstLineChars="0"/>
              <w:jc w:val="center"/>
              <w:rPr>
                <w:color w:val="auto"/>
                <w:szCs w:val="21"/>
                <w:highlight w:val="none"/>
              </w:rPr>
            </w:pPr>
            <w:r>
              <w:rPr>
                <w:rFonts w:hint="eastAsia"/>
                <w:color w:val="auto"/>
                <w:sz w:val="18"/>
                <w:szCs w:val="18"/>
                <w:highlight w:val="none"/>
              </w:rPr>
              <w:t>石油</w:t>
            </w:r>
          </w:p>
        </w:tc>
        <w:tc>
          <w:tcPr>
            <w:tcW w:w="2131" w:type="dxa"/>
          </w:tcPr>
          <w:p>
            <w:pPr>
              <w:pStyle w:val="26"/>
              <w:ind w:firstLine="0" w:firstLineChars="0"/>
              <w:jc w:val="center"/>
              <w:rPr>
                <w:color w:val="auto"/>
                <w:szCs w:val="21"/>
                <w:highlight w:val="none"/>
              </w:rPr>
            </w:pPr>
            <w:r>
              <w:rPr>
                <w:rFonts w:hint="eastAsia"/>
                <w:color w:val="auto"/>
                <w:sz w:val="18"/>
                <w:szCs w:val="18"/>
                <w:highlight w:val="none"/>
              </w:rPr>
              <w:t>1.42</w:t>
            </w:r>
            <w:r>
              <w:rPr>
                <w:rFonts w:ascii="TimesNewRomanPSMT" w:hAnsi="TimesNewRomanPSMT"/>
                <w:color w:val="auto"/>
                <w:sz w:val="18"/>
                <w:szCs w:val="18"/>
                <w:highlight w:val="none"/>
              </w:rPr>
              <w:t>×</w:t>
            </w:r>
            <w:r>
              <w:rPr>
                <w:rFonts w:hint="eastAsia"/>
                <w:color w:val="auto"/>
                <w:sz w:val="18"/>
                <w:szCs w:val="18"/>
                <w:highlight w:val="none"/>
              </w:rPr>
              <w:t>10</w:t>
            </w:r>
            <w:r>
              <w:rPr>
                <w:rFonts w:hint="eastAsia"/>
                <w:color w:val="auto"/>
                <w:sz w:val="18"/>
                <w:szCs w:val="18"/>
                <w:highlight w:val="none"/>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vAlign w:val="center"/>
          </w:tcPr>
          <w:p>
            <w:pPr>
              <w:pStyle w:val="26"/>
              <w:ind w:firstLine="0" w:firstLineChars="0"/>
              <w:jc w:val="center"/>
              <w:rPr>
                <w:color w:val="auto"/>
                <w:szCs w:val="21"/>
                <w:highlight w:val="none"/>
              </w:rPr>
            </w:pPr>
          </w:p>
        </w:tc>
        <w:tc>
          <w:tcPr>
            <w:tcW w:w="2130" w:type="dxa"/>
            <w:vMerge w:val="continue"/>
            <w:vAlign w:val="center"/>
          </w:tcPr>
          <w:p>
            <w:pPr>
              <w:pStyle w:val="26"/>
              <w:ind w:firstLine="0" w:firstLineChars="0"/>
              <w:jc w:val="center"/>
              <w:rPr>
                <w:color w:val="auto"/>
                <w:szCs w:val="21"/>
                <w:highlight w:val="none"/>
              </w:rPr>
            </w:pPr>
          </w:p>
        </w:tc>
        <w:tc>
          <w:tcPr>
            <w:tcW w:w="2131" w:type="dxa"/>
          </w:tcPr>
          <w:p>
            <w:pPr>
              <w:pStyle w:val="26"/>
              <w:ind w:firstLine="0" w:firstLineChars="0"/>
              <w:jc w:val="center"/>
              <w:rPr>
                <w:color w:val="auto"/>
                <w:szCs w:val="21"/>
                <w:highlight w:val="none"/>
              </w:rPr>
            </w:pPr>
            <w:r>
              <w:rPr>
                <w:rFonts w:hint="eastAsia"/>
                <w:color w:val="auto"/>
                <w:szCs w:val="21"/>
                <w:highlight w:val="none"/>
              </w:rPr>
              <w:t>天然气</w:t>
            </w:r>
          </w:p>
        </w:tc>
        <w:tc>
          <w:tcPr>
            <w:tcW w:w="2131" w:type="dxa"/>
          </w:tcPr>
          <w:p>
            <w:pPr>
              <w:pStyle w:val="26"/>
              <w:ind w:firstLine="0" w:firstLineChars="0"/>
              <w:jc w:val="center"/>
              <w:rPr>
                <w:color w:val="auto"/>
                <w:szCs w:val="21"/>
                <w:highlight w:val="none"/>
              </w:rPr>
            </w:pPr>
            <w:r>
              <w:rPr>
                <w:rFonts w:hint="eastAsia"/>
                <w:color w:val="auto"/>
                <w:sz w:val="18"/>
                <w:szCs w:val="18"/>
                <w:highlight w:val="none"/>
              </w:rPr>
              <w:t>1.42</w:t>
            </w:r>
            <w:r>
              <w:rPr>
                <w:rFonts w:ascii="TimesNewRomanPSMT" w:hAnsi="TimesNewRomanPSMT"/>
                <w:color w:val="auto"/>
                <w:sz w:val="18"/>
                <w:szCs w:val="18"/>
                <w:highlight w:val="none"/>
              </w:rPr>
              <w:t>×</w:t>
            </w:r>
            <w:r>
              <w:rPr>
                <w:rFonts w:hint="eastAsia"/>
                <w:color w:val="auto"/>
                <w:sz w:val="18"/>
                <w:szCs w:val="18"/>
                <w:highlight w:val="none"/>
              </w:rPr>
              <w:t>10</w:t>
            </w:r>
            <w:r>
              <w:rPr>
                <w:rFonts w:hint="eastAsia"/>
                <w:color w:val="auto"/>
                <w:sz w:val="18"/>
                <w:szCs w:val="18"/>
                <w:highlight w:val="none"/>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vAlign w:val="center"/>
          </w:tcPr>
          <w:p>
            <w:pPr>
              <w:pStyle w:val="26"/>
              <w:ind w:firstLine="0" w:firstLineChars="0"/>
              <w:jc w:val="center"/>
              <w:rPr>
                <w:color w:val="auto"/>
                <w:szCs w:val="21"/>
                <w:highlight w:val="none"/>
              </w:rPr>
            </w:pPr>
            <w:r>
              <w:rPr>
                <w:rFonts w:hint="eastAsia"/>
                <w:color w:val="auto"/>
                <w:sz w:val="18"/>
                <w:szCs w:val="18"/>
                <w:highlight w:val="none"/>
              </w:rPr>
              <w:t>全球变暖</w:t>
            </w:r>
          </w:p>
        </w:tc>
        <w:tc>
          <w:tcPr>
            <w:tcW w:w="2130" w:type="dxa"/>
            <w:vMerge w:val="restart"/>
            <w:vAlign w:val="center"/>
          </w:tcPr>
          <w:p>
            <w:pPr>
              <w:pStyle w:val="26"/>
              <w:ind w:firstLine="0" w:firstLineChars="0"/>
              <w:jc w:val="center"/>
              <w:rPr>
                <w:color w:val="auto"/>
                <w:szCs w:val="21"/>
                <w:highlight w:val="none"/>
              </w:rPr>
            </w:pPr>
            <w:r>
              <w:rPr>
                <w:rFonts w:hint="eastAsia"/>
                <w:color w:val="auto"/>
                <w:sz w:val="18"/>
                <w:szCs w:val="18"/>
                <w:highlight w:val="none"/>
              </w:rPr>
              <w:t>CO</w:t>
            </w:r>
            <w:r>
              <w:rPr>
                <w:rFonts w:hint="eastAsia"/>
                <w:color w:val="auto"/>
                <w:sz w:val="18"/>
                <w:szCs w:val="18"/>
                <w:highlight w:val="none"/>
                <w:vertAlign w:val="subscript"/>
              </w:rPr>
              <w:t>2</w:t>
            </w:r>
            <w:r>
              <w:rPr>
                <w:rFonts w:hint="eastAsia"/>
                <w:color w:val="auto"/>
                <w:sz w:val="18"/>
                <w:szCs w:val="18"/>
                <w:highlight w:val="none"/>
              </w:rPr>
              <w:t>当量·kg</w:t>
            </w:r>
            <w:r>
              <w:rPr>
                <w:rFonts w:hint="eastAsia"/>
                <w:color w:val="auto"/>
                <w:sz w:val="18"/>
                <w:szCs w:val="18"/>
                <w:highlight w:val="none"/>
                <w:vertAlign w:val="superscript"/>
              </w:rPr>
              <w:t>-1</w:t>
            </w:r>
          </w:p>
        </w:tc>
        <w:tc>
          <w:tcPr>
            <w:tcW w:w="2131" w:type="dxa"/>
          </w:tcPr>
          <w:p>
            <w:pPr>
              <w:pStyle w:val="26"/>
              <w:ind w:firstLine="0" w:firstLineChars="0"/>
              <w:jc w:val="center"/>
              <w:rPr>
                <w:color w:val="auto"/>
                <w:szCs w:val="21"/>
                <w:highlight w:val="none"/>
              </w:rPr>
            </w:pPr>
            <w:r>
              <w:rPr>
                <w:rFonts w:hint="eastAsia"/>
                <w:color w:val="auto"/>
                <w:sz w:val="18"/>
                <w:szCs w:val="18"/>
                <w:highlight w:val="none"/>
              </w:rPr>
              <w:t>CO</w:t>
            </w:r>
            <w:r>
              <w:rPr>
                <w:rFonts w:hint="eastAsia"/>
                <w:color w:val="auto"/>
                <w:sz w:val="18"/>
                <w:szCs w:val="18"/>
                <w:highlight w:val="none"/>
                <w:vertAlign w:val="subscript"/>
              </w:rPr>
              <w:t>2</w:t>
            </w:r>
          </w:p>
        </w:tc>
        <w:tc>
          <w:tcPr>
            <w:tcW w:w="2131" w:type="dxa"/>
          </w:tcPr>
          <w:p>
            <w:pPr>
              <w:pStyle w:val="26"/>
              <w:ind w:firstLine="0" w:firstLineChars="0"/>
              <w:jc w:val="center"/>
              <w:rPr>
                <w:color w:val="auto"/>
                <w:szCs w:val="21"/>
                <w:highlight w:val="none"/>
              </w:rPr>
            </w:pPr>
            <w:r>
              <w:rPr>
                <w:rFonts w:hint="eastAsia"/>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tcPr>
          <w:p>
            <w:pPr>
              <w:pStyle w:val="26"/>
              <w:ind w:firstLine="0" w:firstLineChars="0"/>
              <w:jc w:val="center"/>
              <w:rPr>
                <w:color w:val="auto"/>
                <w:sz w:val="18"/>
                <w:szCs w:val="18"/>
                <w:highlight w:val="none"/>
              </w:rPr>
            </w:pPr>
          </w:p>
        </w:tc>
        <w:tc>
          <w:tcPr>
            <w:tcW w:w="2130" w:type="dxa"/>
            <w:vMerge w:val="continue"/>
          </w:tcPr>
          <w:p>
            <w:pPr>
              <w:pStyle w:val="26"/>
              <w:ind w:firstLine="0" w:firstLineChars="0"/>
              <w:jc w:val="center"/>
              <w:rPr>
                <w:color w:val="auto"/>
                <w:sz w:val="18"/>
                <w:szCs w:val="18"/>
                <w:highlight w:val="none"/>
              </w:rPr>
            </w:pPr>
          </w:p>
        </w:tc>
        <w:tc>
          <w:tcPr>
            <w:tcW w:w="2131" w:type="dxa"/>
          </w:tcPr>
          <w:p>
            <w:pPr>
              <w:pStyle w:val="26"/>
              <w:ind w:firstLine="0" w:firstLineChars="0"/>
              <w:jc w:val="center"/>
              <w:rPr>
                <w:color w:val="auto"/>
                <w:szCs w:val="21"/>
                <w:highlight w:val="none"/>
              </w:rPr>
            </w:pPr>
            <w:r>
              <w:rPr>
                <w:rFonts w:hint="eastAsia"/>
                <w:color w:val="auto"/>
                <w:sz w:val="18"/>
                <w:szCs w:val="18"/>
                <w:highlight w:val="none"/>
              </w:rPr>
              <w:t>CH</w:t>
            </w:r>
            <w:r>
              <w:rPr>
                <w:rFonts w:hint="eastAsia"/>
                <w:color w:val="auto"/>
                <w:sz w:val="18"/>
                <w:szCs w:val="18"/>
                <w:highlight w:val="none"/>
                <w:vertAlign w:val="subscript"/>
              </w:rPr>
              <w:t>4</w:t>
            </w:r>
          </w:p>
        </w:tc>
        <w:tc>
          <w:tcPr>
            <w:tcW w:w="2131" w:type="dxa"/>
          </w:tcPr>
          <w:p>
            <w:pPr>
              <w:pStyle w:val="26"/>
              <w:ind w:firstLine="0" w:firstLineChars="0"/>
              <w:jc w:val="center"/>
              <w:rPr>
                <w:color w:val="auto"/>
                <w:szCs w:val="21"/>
                <w:highlight w:val="none"/>
              </w:rPr>
            </w:pPr>
            <w:r>
              <w:rPr>
                <w:rFonts w:hint="eastAsia"/>
                <w:color w:val="auto"/>
                <w:szCs w:val="21"/>
                <w:highlight w:val="none"/>
              </w:rPr>
              <w:t>25</w:t>
            </w:r>
          </w:p>
        </w:tc>
      </w:tr>
    </w:tbl>
    <w:p>
      <w:pPr>
        <w:pStyle w:val="26"/>
        <w:ind w:left="420" w:firstLine="0" w:firstLineChars="0"/>
        <w:rPr>
          <w:color w:val="auto"/>
          <w:szCs w:val="21"/>
          <w:highlight w:val="none"/>
        </w:rPr>
      </w:pPr>
    </w:p>
    <w:p>
      <w:pPr>
        <w:pStyle w:val="26"/>
        <w:ind w:firstLine="0" w:firstLineChars="0"/>
        <w:rPr>
          <w:rFonts w:ascii="黑体" w:hAnsi="黑体" w:eastAsia="黑体"/>
          <w:color w:val="auto"/>
          <w:szCs w:val="21"/>
          <w:highlight w:val="none"/>
        </w:rPr>
      </w:pPr>
      <w:r>
        <w:rPr>
          <w:rFonts w:hint="eastAsia" w:ascii="黑体" w:hAnsi="黑体" w:eastAsia="黑体"/>
          <w:color w:val="auto"/>
          <w:szCs w:val="21"/>
          <w:highlight w:val="none"/>
        </w:rPr>
        <w:t>B.4.4 计算方法</w:t>
      </w:r>
    </w:p>
    <w:p>
      <w:pPr>
        <w:pStyle w:val="26"/>
        <w:ind w:left="420" w:firstLine="0" w:firstLineChars="0"/>
        <w:rPr>
          <w:color w:val="auto"/>
          <w:szCs w:val="21"/>
          <w:highlight w:val="none"/>
        </w:rPr>
      </w:pPr>
      <w:r>
        <w:rPr>
          <w:rFonts w:hint="eastAsia"/>
          <w:color w:val="auto"/>
          <w:szCs w:val="21"/>
          <w:highlight w:val="none"/>
        </w:rPr>
        <w:t>影响评价结果计算方法见式（B.1）</w:t>
      </w:r>
    </w:p>
    <w:p>
      <w:pPr>
        <w:pStyle w:val="26"/>
        <w:ind w:left="420" w:firstLine="0" w:firstLineChars="0"/>
        <w:rPr>
          <w:color w:val="auto"/>
          <w:szCs w:val="21"/>
          <w:highlight w:val="none"/>
        </w:rPr>
      </w:pPr>
      <w:r>
        <w:rPr>
          <w:rFonts w:hint="eastAsia"/>
          <w:i/>
          <w:iCs/>
          <w:color w:val="auto"/>
          <w:szCs w:val="21"/>
          <w:highlight w:val="none"/>
        </w:rPr>
        <w:t xml:space="preserve">EPi </w:t>
      </w:r>
      <w:r>
        <w:rPr>
          <w:rFonts w:ascii="SymbolMT" w:hAnsi="SymbolMT"/>
          <w:color w:val="auto"/>
          <w:szCs w:val="21"/>
          <w:highlight w:val="none"/>
        </w:rPr>
        <w:t xml:space="preserve">=∑ </w:t>
      </w:r>
      <w:r>
        <w:rPr>
          <w:rFonts w:ascii="SymbolMT" w:hAnsi="SymbolMT"/>
          <w:i/>
          <w:iCs/>
          <w:color w:val="auto"/>
          <w:szCs w:val="21"/>
          <w:highlight w:val="none"/>
        </w:rPr>
        <w:t xml:space="preserve">EPij </w:t>
      </w:r>
      <w:r>
        <w:rPr>
          <w:rFonts w:ascii="SymbolMT" w:hAnsi="SymbolMT"/>
          <w:color w:val="auto"/>
          <w:szCs w:val="21"/>
          <w:highlight w:val="none"/>
        </w:rPr>
        <w:t>=∑</w:t>
      </w:r>
      <w:r>
        <w:rPr>
          <w:rFonts w:ascii="SymbolMT" w:hAnsi="SymbolMT"/>
          <w:i/>
          <w:iCs/>
          <w:color w:val="auto"/>
          <w:szCs w:val="21"/>
          <w:highlight w:val="none"/>
        </w:rPr>
        <w:t xml:space="preserve">Q j </w:t>
      </w:r>
      <w:r>
        <w:rPr>
          <w:rFonts w:ascii="SymbolMT" w:hAnsi="SymbolMT"/>
          <w:color w:val="auto"/>
          <w:szCs w:val="21"/>
          <w:highlight w:val="none"/>
        </w:rPr>
        <w:t xml:space="preserve">× </w:t>
      </w:r>
      <w:r>
        <w:rPr>
          <w:rFonts w:ascii="SymbolMT" w:hAnsi="SymbolMT"/>
          <w:i/>
          <w:iCs/>
          <w:color w:val="auto"/>
          <w:szCs w:val="21"/>
          <w:highlight w:val="none"/>
        </w:rPr>
        <w:t xml:space="preserve">EFij </w:t>
      </w:r>
      <w:r>
        <w:rPr>
          <w:rFonts w:hint="eastAsia"/>
          <w:color w:val="auto"/>
          <w:szCs w:val="21"/>
          <w:highlight w:val="none"/>
        </w:rPr>
        <w:t>………………………………（B.1）</w:t>
      </w:r>
    </w:p>
    <w:p>
      <w:pPr>
        <w:pStyle w:val="26"/>
        <w:ind w:left="420" w:firstLine="0" w:firstLineChars="0"/>
        <w:rPr>
          <w:color w:val="auto"/>
          <w:szCs w:val="21"/>
          <w:highlight w:val="none"/>
        </w:rPr>
      </w:pPr>
      <w:r>
        <w:rPr>
          <w:rFonts w:hint="eastAsia"/>
          <w:color w:val="auto"/>
          <w:szCs w:val="21"/>
          <w:highlight w:val="none"/>
        </w:rPr>
        <w:t>式中：</w:t>
      </w:r>
    </w:p>
    <w:p>
      <w:pPr>
        <w:pStyle w:val="26"/>
        <w:ind w:left="420" w:firstLine="0" w:firstLineChars="0"/>
        <w:rPr>
          <w:color w:val="auto"/>
          <w:szCs w:val="21"/>
          <w:highlight w:val="none"/>
        </w:rPr>
      </w:pPr>
      <w:r>
        <w:rPr>
          <w:rFonts w:hint="eastAsia"/>
          <w:i/>
          <w:iCs/>
          <w:color w:val="auto"/>
          <w:szCs w:val="21"/>
          <w:highlight w:val="none"/>
        </w:rPr>
        <w:t>EP</w:t>
      </w:r>
      <w:r>
        <w:rPr>
          <w:rFonts w:ascii="TimesNewRomanPSMT" w:hAnsi="TimesNewRomanPSMT"/>
          <w:color w:val="auto"/>
          <w:szCs w:val="21"/>
          <w:highlight w:val="none"/>
        </w:rPr>
        <w:t xml:space="preserve">i </w:t>
      </w:r>
      <w:r>
        <w:rPr>
          <w:rFonts w:hint="eastAsia"/>
          <w:color w:val="auto"/>
          <w:szCs w:val="21"/>
          <w:highlight w:val="none"/>
        </w:rPr>
        <w:t>——第i中影响类型特征化值；</w:t>
      </w:r>
    </w:p>
    <w:p>
      <w:pPr>
        <w:pStyle w:val="26"/>
        <w:ind w:left="420" w:firstLine="0" w:firstLineChars="0"/>
        <w:rPr>
          <w:color w:val="auto"/>
          <w:szCs w:val="21"/>
          <w:highlight w:val="none"/>
        </w:rPr>
      </w:pPr>
      <w:r>
        <w:rPr>
          <w:rFonts w:hint="eastAsia"/>
          <w:i/>
          <w:iCs/>
          <w:color w:val="auto"/>
          <w:szCs w:val="21"/>
          <w:highlight w:val="none"/>
        </w:rPr>
        <w:t xml:space="preserve">EPij </w:t>
      </w:r>
      <w:r>
        <w:rPr>
          <w:rFonts w:hint="eastAsia"/>
          <w:color w:val="auto"/>
          <w:szCs w:val="21"/>
          <w:highlight w:val="none"/>
        </w:rPr>
        <w:t>——第i种影响类别中第j种清单因子的贡献；</w:t>
      </w:r>
    </w:p>
    <w:p>
      <w:pPr>
        <w:pStyle w:val="26"/>
        <w:ind w:left="420" w:firstLine="0" w:firstLineChars="0"/>
        <w:rPr>
          <w:color w:val="auto"/>
          <w:szCs w:val="21"/>
          <w:highlight w:val="none"/>
        </w:rPr>
      </w:pPr>
      <w:r>
        <w:rPr>
          <w:rFonts w:hint="eastAsia"/>
          <w:i/>
          <w:iCs/>
          <w:color w:val="auto"/>
          <w:szCs w:val="21"/>
          <w:highlight w:val="none"/>
        </w:rPr>
        <w:t xml:space="preserve">Q j </w:t>
      </w:r>
      <w:r>
        <w:rPr>
          <w:rFonts w:hint="eastAsia"/>
          <w:color w:val="auto"/>
          <w:szCs w:val="21"/>
          <w:highlight w:val="none"/>
        </w:rPr>
        <w:t>——第j中清单因子的排放量；</w:t>
      </w:r>
    </w:p>
    <w:p>
      <w:pPr>
        <w:pStyle w:val="26"/>
        <w:ind w:left="420" w:firstLine="0" w:firstLineChars="0"/>
        <w:rPr>
          <w:color w:val="auto"/>
          <w:szCs w:val="21"/>
          <w:highlight w:val="none"/>
        </w:rPr>
      </w:pPr>
      <w:r>
        <w:rPr>
          <w:rFonts w:hint="eastAsia"/>
          <w:i/>
          <w:iCs/>
          <w:color w:val="auto"/>
          <w:szCs w:val="21"/>
          <w:highlight w:val="none"/>
        </w:rPr>
        <w:t xml:space="preserve">EFij </w:t>
      </w:r>
      <w:r>
        <w:rPr>
          <w:rFonts w:hint="eastAsia"/>
          <w:color w:val="auto"/>
          <w:szCs w:val="21"/>
          <w:highlight w:val="none"/>
        </w:rPr>
        <w:t>——第i中影响类型中第j种清单因子的特征化因子。</w:t>
      </w:r>
    </w:p>
    <w:p>
      <w:pPr>
        <w:pStyle w:val="26"/>
        <w:rPr>
          <w:color w:val="auto"/>
          <w:szCs w:val="21"/>
          <w:highlight w:val="none"/>
        </w:rPr>
      </w:pPr>
    </w:p>
    <w:p>
      <w:pPr>
        <w:pStyle w:val="26"/>
        <w:jc w:val="center"/>
        <w:rPr>
          <w:color w:val="auto"/>
          <w:highlight w:val="none"/>
        </w:rPr>
      </w:pPr>
    </w:p>
    <w:p>
      <w:pPr>
        <w:pStyle w:val="26"/>
        <w:jc w:val="center"/>
        <w:rPr>
          <w:color w:val="auto"/>
          <w:highlight w:val="none"/>
        </w:rPr>
      </w:pPr>
    </w:p>
    <w:p>
      <w:pPr>
        <w:pStyle w:val="26"/>
        <w:spacing w:before="156" w:beforeLines="50" w:after="156" w:afterLines="50"/>
        <w:ind w:right="840" w:firstLine="0" w:firstLineChars="0"/>
        <w:outlineLvl w:val="3"/>
        <w:rPr>
          <w:rFonts w:ascii="Times New Roman"/>
          <w:color w:val="auto"/>
          <w:highlight w:val="none"/>
        </w:rPr>
      </w:pPr>
      <w:r>
        <w:rPr>
          <w:rFonts w:ascii="Times New Roman"/>
          <w:bCs/>
          <w:color w:val="auto"/>
          <w:szCs w:val="21"/>
          <w:highlight w:val="none"/>
        </w:rPr>
        <w:t xml:space="preserve">                                 </w:t>
      </w:r>
      <w:r>
        <w:rPr>
          <w:rFonts w:ascii="Times New Roman"/>
          <w:bCs/>
          <w:color w:val="auto"/>
          <w:szCs w:val="21"/>
          <w:highlight w:val="none"/>
          <w:u w:val="single"/>
        </w:rPr>
        <w:t xml:space="preserve">                     </w:t>
      </w:r>
      <w:r>
        <w:rPr>
          <w:rFonts w:ascii="Times New Roman"/>
          <w:bCs/>
          <w:color w:val="auto"/>
          <w:szCs w:val="21"/>
          <w:highlight w:val="none"/>
        </w:rPr>
        <w:t xml:space="preserve">   </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MicrosoftJhengHeiUIRegular">
    <w:altName w:val="Times New Roman"/>
    <w:panose1 w:val="00000000000000000000"/>
    <w:charset w:val="00"/>
    <w:family w:val="roman"/>
    <w:pitch w:val="default"/>
    <w:sig w:usb0="00000000" w:usb1="00000000" w:usb2="00000000" w:usb3="00000000" w:csb0="00000000" w:csb1="00000000"/>
  </w:font>
  <w:font w:name="黑体e眠副浡渀.">
    <w:altName w:val="黑体"/>
    <w:panose1 w:val="00000000000000000000"/>
    <w:charset w:val="86"/>
    <w:family w:val="swiss"/>
    <w:pitch w:val="default"/>
    <w:sig w:usb0="00000000" w:usb1="00000000" w:usb2="0000001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1820369"/>
    </w:sdtPr>
    <w:sdtContent>
      <w:p>
        <w:pPr>
          <w:pStyle w:val="20"/>
          <w:ind w:right="180"/>
          <w:jc w:val="right"/>
        </w:pPr>
        <w: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0771348"/>
    </w:sdtPr>
    <w:sdtContent>
      <w:p>
        <w:pPr>
          <w:pStyle w:val="20"/>
          <w:ind w:right="180"/>
          <w:jc w:val="right"/>
        </w:pPr>
        <w:r>
          <w:rPr>
            <w:lang w:val="zh-CN"/>
          </w:rPr>
          <w:fldChar w:fldCharType="begin"/>
        </w:r>
        <w:r>
          <w:rPr>
            <w:lang w:val="zh-CN"/>
          </w:rPr>
          <w:instrText xml:space="preserve">PAGE   \* MERGEFORMAT</w:instrText>
        </w:r>
        <w:r>
          <w:rPr>
            <w:lang w:val="zh-CN"/>
          </w:rPr>
          <w:fldChar w:fldCharType="separate"/>
        </w:r>
        <w:r>
          <w:rPr>
            <w:lang w:val="zh-CN"/>
          </w:rPr>
          <w:t>I</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 PAGE  \* MERGEFORMAT </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6510" w:firstLineChars="3100"/>
    </w:pPr>
    <w:r>
      <w:rPr>
        <w:rFonts w:hint="eastAsia"/>
      </w:rPr>
      <w:t>T/CNLIC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7350" w:firstLineChars="3500"/>
    </w:pPr>
    <w:r>
      <w:rPr>
        <w:rFonts w:hint="eastAsia"/>
      </w:rPr>
      <w:t>T/CNLIC  XXXX-XXXX</w:t>
    </w:r>
  </w:p>
  <w:p>
    <w:pPr>
      <w:pStyle w:val="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6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5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0"/>
      <w:suff w:val="nothing"/>
      <w:lvlText w:val="%1.%2　"/>
      <w:lvlJc w:val="left"/>
      <w:pPr>
        <w:ind w:left="115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5813"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A8F7113"/>
    <w:multiLevelType w:val="multilevel"/>
    <w:tmpl w:val="2A8F7113"/>
    <w:lvl w:ilvl="0" w:tentative="0">
      <w:start w:val="1"/>
      <w:numFmt w:val="upperLetter"/>
      <w:pStyle w:val="106"/>
      <w:suff w:val="space"/>
      <w:lvlText w:val="%1"/>
      <w:lvlJc w:val="left"/>
      <w:pPr>
        <w:ind w:left="623" w:hanging="425"/>
      </w:pPr>
      <w:rPr>
        <w:rFonts w:hint="eastAsia"/>
      </w:rPr>
    </w:lvl>
    <w:lvl w:ilvl="1" w:tentative="0">
      <w:start w:val="1"/>
      <w:numFmt w:val="decimal"/>
      <w:pStyle w:val="10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5">
    <w:nsid w:val="2C5917C3"/>
    <w:multiLevelType w:val="multilevel"/>
    <w:tmpl w:val="2C5917C3"/>
    <w:lvl w:ilvl="0" w:tentative="0">
      <w:start w:val="1"/>
      <w:numFmt w:val="none"/>
      <w:pStyle w:val="63"/>
      <w:suff w:val="nothing"/>
      <w:lvlText w:val="%1——"/>
      <w:lvlJc w:val="left"/>
      <w:pPr>
        <w:ind w:left="833" w:hanging="408"/>
      </w:pPr>
      <w:rPr>
        <w:rFonts w:hint="eastAsia"/>
      </w:rPr>
    </w:lvl>
    <w:lvl w:ilvl="1" w:tentative="0">
      <w:start w:val="1"/>
      <w:numFmt w:val="bullet"/>
      <w:pStyle w:val="64"/>
      <w:lvlText w:val=""/>
      <w:lvlJc w:val="left"/>
      <w:pPr>
        <w:tabs>
          <w:tab w:val="left" w:pos="760"/>
        </w:tabs>
        <w:ind w:left="1264" w:hanging="413"/>
      </w:pPr>
      <w:rPr>
        <w:rFonts w:hint="default" w:ascii="Symbol" w:hAnsi="Symbol"/>
        <w:color w:val="auto"/>
      </w:rPr>
    </w:lvl>
    <w:lvl w:ilvl="2" w:tentative="0">
      <w:start w:val="1"/>
      <w:numFmt w:val="bullet"/>
      <w:pStyle w:val="7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7">
    <w:nsid w:val="44C50F90"/>
    <w:multiLevelType w:val="multilevel"/>
    <w:tmpl w:val="44C50F90"/>
    <w:lvl w:ilvl="0" w:tentative="0">
      <w:start w:val="1"/>
      <w:numFmt w:val="lowerLetter"/>
      <w:pStyle w:val="7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
    <w:nsid w:val="557C2AF5"/>
    <w:multiLevelType w:val="multilevel"/>
    <w:tmpl w:val="557C2AF5"/>
    <w:lvl w:ilvl="0" w:tentative="0">
      <w:start w:val="1"/>
      <w:numFmt w:val="decimal"/>
      <w:pStyle w:val="14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5EAC36D4"/>
    <w:multiLevelType w:val="multilevel"/>
    <w:tmpl w:val="5EAC36D4"/>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lvlText w:val="%2."/>
      <w:lvlJc w:val="left"/>
      <w:pPr>
        <w:ind w:left="1155" w:firstLine="0"/>
      </w:pPr>
      <w:rPr>
        <w:rFonts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5813"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0B55DC2"/>
    <w:multiLevelType w:val="multilevel"/>
    <w:tmpl w:val="60B55DC2"/>
    <w:lvl w:ilvl="0" w:tentative="0">
      <w:start w:val="1"/>
      <w:numFmt w:val="upperLetter"/>
      <w:pStyle w:val="94"/>
      <w:lvlText w:val="%1"/>
      <w:lvlJc w:val="left"/>
      <w:pPr>
        <w:tabs>
          <w:tab w:val="left" w:pos="0"/>
        </w:tabs>
        <w:ind w:left="0" w:hanging="425"/>
      </w:pPr>
      <w:rPr>
        <w:rFonts w:hint="eastAsia"/>
      </w:rPr>
    </w:lvl>
    <w:lvl w:ilvl="1" w:tentative="0">
      <w:start w:val="1"/>
      <w:numFmt w:val="decimal"/>
      <w:pStyle w:val="9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1">
    <w:nsid w:val="646260FA"/>
    <w:multiLevelType w:val="multilevel"/>
    <w:tmpl w:val="646260FA"/>
    <w:lvl w:ilvl="0" w:tentative="0">
      <w:start w:val="1"/>
      <w:numFmt w:val="decimal"/>
      <w:pStyle w:val="14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57D3FBC"/>
    <w:multiLevelType w:val="multilevel"/>
    <w:tmpl w:val="657D3FBC"/>
    <w:lvl w:ilvl="0" w:tentative="0">
      <w:start w:val="1"/>
      <w:numFmt w:val="upperLetter"/>
      <w:pStyle w:val="92"/>
      <w:suff w:val="nothing"/>
      <w:lvlText w:val="附　录　%1"/>
      <w:lvlJc w:val="left"/>
      <w:pPr>
        <w:ind w:left="3545" w:firstLine="0"/>
      </w:pPr>
      <w:rPr>
        <w:rFonts w:hint="eastAsia" w:ascii="黑体" w:hAnsi="Times New Roman" w:eastAsia="黑体"/>
        <w:b w:val="0"/>
        <w:i w:val="0"/>
        <w:spacing w:val="0"/>
        <w:w w:val="100"/>
        <w:sz w:val="21"/>
      </w:rPr>
    </w:lvl>
    <w:lvl w:ilvl="1" w:tentative="0">
      <w:start w:val="1"/>
      <w:numFmt w:val="decimal"/>
      <w:pStyle w:val="110"/>
      <w:suff w:val="nothing"/>
      <w:lvlText w:val="%1.%2　"/>
      <w:lvlJc w:val="left"/>
      <w:pPr>
        <w:ind w:left="-283" w:firstLine="0"/>
      </w:pPr>
      <w:rPr>
        <w:rFonts w:hint="eastAsia" w:ascii="黑体" w:hAnsi="Times New Roman" w:eastAsia="黑体"/>
        <w:b w:val="0"/>
        <w:i w:val="0"/>
        <w:snapToGrid/>
        <w:spacing w:val="0"/>
        <w:w w:val="100"/>
        <w:kern w:val="21"/>
        <w:sz w:val="21"/>
      </w:rPr>
    </w:lvl>
    <w:lvl w:ilvl="2" w:tentative="0">
      <w:start w:val="1"/>
      <w:numFmt w:val="decimal"/>
      <w:pStyle w:val="111"/>
      <w:suff w:val="nothing"/>
      <w:lvlText w:val="%1.%2.%3　"/>
      <w:lvlJc w:val="left"/>
      <w:pPr>
        <w:ind w:left="-283" w:firstLine="0"/>
      </w:pPr>
      <w:rPr>
        <w:rFonts w:hint="eastAsia" w:ascii="黑体" w:hAnsi="Times New Roman" w:eastAsia="黑体"/>
        <w:b w:val="0"/>
        <w:i w:val="0"/>
        <w:sz w:val="21"/>
      </w:rPr>
    </w:lvl>
    <w:lvl w:ilvl="3" w:tentative="0">
      <w:start w:val="1"/>
      <w:numFmt w:val="decimal"/>
      <w:pStyle w:val="96"/>
      <w:suff w:val="nothing"/>
      <w:lvlText w:val="%1.%2.%3.%4　"/>
      <w:lvlJc w:val="left"/>
      <w:pPr>
        <w:ind w:left="-283" w:firstLine="0"/>
      </w:pPr>
      <w:rPr>
        <w:rFonts w:hint="eastAsia" w:ascii="黑体" w:hAnsi="Times New Roman" w:eastAsia="黑体"/>
        <w:b w:val="0"/>
        <w:i w:val="0"/>
        <w:sz w:val="21"/>
      </w:rPr>
    </w:lvl>
    <w:lvl w:ilvl="4" w:tentative="0">
      <w:start w:val="1"/>
      <w:numFmt w:val="decimal"/>
      <w:pStyle w:val="101"/>
      <w:suff w:val="nothing"/>
      <w:lvlText w:val="%1.%2.%3.%4.%5　"/>
      <w:lvlJc w:val="left"/>
      <w:pPr>
        <w:ind w:left="-283" w:firstLine="0"/>
      </w:pPr>
      <w:rPr>
        <w:rFonts w:hint="eastAsia" w:ascii="黑体" w:hAnsi="Times New Roman" w:eastAsia="黑体"/>
        <w:b w:val="0"/>
        <w:i w:val="0"/>
        <w:sz w:val="21"/>
      </w:rPr>
    </w:lvl>
    <w:lvl w:ilvl="5" w:tentative="0">
      <w:start w:val="1"/>
      <w:numFmt w:val="decimal"/>
      <w:pStyle w:val="104"/>
      <w:suff w:val="nothing"/>
      <w:lvlText w:val="%1.%2.%3.%4.%5.%6　"/>
      <w:lvlJc w:val="left"/>
      <w:pPr>
        <w:ind w:left="-283" w:firstLine="0"/>
      </w:pPr>
      <w:rPr>
        <w:rFonts w:hint="eastAsia" w:ascii="黑体" w:hAnsi="Times New Roman" w:eastAsia="黑体"/>
        <w:b w:val="0"/>
        <w:i w:val="0"/>
        <w:sz w:val="21"/>
      </w:rPr>
    </w:lvl>
    <w:lvl w:ilvl="6" w:tentative="0">
      <w:start w:val="1"/>
      <w:numFmt w:val="decimal"/>
      <w:pStyle w:val="108"/>
      <w:suff w:val="nothing"/>
      <w:lvlText w:val="%1.%2.%3.%4.%5.%6.%7　"/>
      <w:lvlJc w:val="left"/>
      <w:pPr>
        <w:ind w:left="-283" w:firstLine="0"/>
      </w:pPr>
      <w:rPr>
        <w:rFonts w:hint="eastAsia" w:ascii="黑体" w:hAnsi="Times New Roman" w:eastAsia="黑体"/>
        <w:b w:val="0"/>
        <w:i w:val="0"/>
        <w:sz w:val="21"/>
      </w:rPr>
    </w:lvl>
    <w:lvl w:ilvl="7" w:tentative="0">
      <w:start w:val="1"/>
      <w:numFmt w:val="decimal"/>
      <w:lvlText w:val="%1.%2.%3.%4.%5.%6.%7.%8"/>
      <w:lvlJc w:val="left"/>
      <w:pPr>
        <w:tabs>
          <w:tab w:val="left" w:pos="4111"/>
        </w:tabs>
        <w:ind w:left="4111" w:hanging="1418"/>
      </w:pPr>
      <w:rPr>
        <w:rFonts w:hint="eastAsia"/>
      </w:rPr>
    </w:lvl>
    <w:lvl w:ilvl="8" w:tentative="0">
      <w:start w:val="1"/>
      <w:numFmt w:val="decimal"/>
      <w:lvlText w:val="%1.%2.%3.%4.%5.%6.%7.%8.%9"/>
      <w:lvlJc w:val="left"/>
      <w:pPr>
        <w:tabs>
          <w:tab w:val="left" w:pos="4819"/>
        </w:tabs>
        <w:ind w:left="4819" w:hanging="1700"/>
      </w:pPr>
      <w:rPr>
        <w:rFonts w:hint="eastAsia"/>
      </w:rPr>
    </w:lvl>
  </w:abstractNum>
  <w:abstractNum w:abstractNumId="13">
    <w:nsid w:val="6D6C07CD"/>
    <w:multiLevelType w:val="multilevel"/>
    <w:tmpl w:val="6D6C07CD"/>
    <w:lvl w:ilvl="0" w:tentative="0">
      <w:start w:val="1"/>
      <w:numFmt w:val="lowerLetter"/>
      <w:pStyle w:val="113"/>
      <w:lvlText w:val="%1)"/>
      <w:lvlJc w:val="left"/>
      <w:pPr>
        <w:tabs>
          <w:tab w:val="left" w:pos="839"/>
        </w:tabs>
        <w:ind w:left="839" w:hanging="419"/>
      </w:pPr>
      <w:rPr>
        <w:rFonts w:hint="eastAsia" w:ascii="宋体" w:eastAsia="宋体"/>
        <w:b w:val="0"/>
        <w:i w:val="0"/>
        <w:sz w:val="21"/>
      </w:rPr>
    </w:lvl>
    <w:lvl w:ilvl="1" w:tentative="0">
      <w:start w:val="1"/>
      <w:numFmt w:val="decimal"/>
      <w:pStyle w:val="10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4">
    <w:nsid w:val="6DBF04F4"/>
    <w:multiLevelType w:val="multilevel"/>
    <w:tmpl w:val="6DBF04F4"/>
    <w:lvl w:ilvl="0" w:tentative="0">
      <w:start w:val="1"/>
      <w:numFmt w:val="none"/>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5">
    <w:nsid w:val="7D7E2C74"/>
    <w:multiLevelType w:val="multilevel"/>
    <w:tmpl w:val="7D7E2C74"/>
    <w:lvl w:ilvl="0" w:tentative="0">
      <w:start w:val="1"/>
      <w:numFmt w:val="decimal"/>
      <w:lvlText w:val="B.%1"/>
      <w:lvlJc w:val="left"/>
      <w:pPr>
        <w:ind w:left="420" w:hanging="420"/>
      </w:pPr>
      <w:rPr>
        <w:rFonts w:hint="default" w:ascii="Times New Roman" w:hAnsi="Times New Roman"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3"/>
  </w:num>
  <w:num w:numId="4">
    <w:abstractNumId w:val="5"/>
  </w:num>
  <w:num w:numId="5">
    <w:abstractNumId w:val="7"/>
  </w:num>
  <w:num w:numId="6">
    <w:abstractNumId w:val="0"/>
  </w:num>
  <w:num w:numId="7">
    <w:abstractNumId w:val="2"/>
  </w:num>
  <w:num w:numId="8">
    <w:abstractNumId w:val="12"/>
  </w:num>
  <w:num w:numId="9">
    <w:abstractNumId w:val="10"/>
  </w:num>
  <w:num w:numId="10">
    <w:abstractNumId w:val="13"/>
  </w:num>
  <w:num w:numId="11">
    <w:abstractNumId w:val="4"/>
  </w:num>
  <w:num w:numId="12">
    <w:abstractNumId w:val="1"/>
  </w:num>
  <w:num w:numId="13">
    <w:abstractNumId w:val="11"/>
  </w:num>
  <w:num w:numId="14">
    <w:abstractNumId w:val="8"/>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AA"/>
    <w:rsid w:val="0000248D"/>
    <w:rsid w:val="000203AD"/>
    <w:rsid w:val="00041C8E"/>
    <w:rsid w:val="000441A5"/>
    <w:rsid w:val="00063C81"/>
    <w:rsid w:val="00065A96"/>
    <w:rsid w:val="000756CB"/>
    <w:rsid w:val="00085C7D"/>
    <w:rsid w:val="00092FDE"/>
    <w:rsid w:val="000A149F"/>
    <w:rsid w:val="000A1AC3"/>
    <w:rsid w:val="000A5477"/>
    <w:rsid w:val="000A63D3"/>
    <w:rsid w:val="000A7BBB"/>
    <w:rsid w:val="000B4DC0"/>
    <w:rsid w:val="000B7240"/>
    <w:rsid w:val="000C081A"/>
    <w:rsid w:val="000C390A"/>
    <w:rsid w:val="000C6671"/>
    <w:rsid w:val="000D096A"/>
    <w:rsid w:val="000E249D"/>
    <w:rsid w:val="000E594B"/>
    <w:rsid w:val="000F3310"/>
    <w:rsid w:val="000F5D3D"/>
    <w:rsid w:val="000F6583"/>
    <w:rsid w:val="00105918"/>
    <w:rsid w:val="00106E7A"/>
    <w:rsid w:val="001119E0"/>
    <w:rsid w:val="00114E8A"/>
    <w:rsid w:val="00122086"/>
    <w:rsid w:val="001378CB"/>
    <w:rsid w:val="00147A74"/>
    <w:rsid w:val="00152E2E"/>
    <w:rsid w:val="0016418C"/>
    <w:rsid w:val="00170ED4"/>
    <w:rsid w:val="00172F0B"/>
    <w:rsid w:val="00175C67"/>
    <w:rsid w:val="00182283"/>
    <w:rsid w:val="001A252F"/>
    <w:rsid w:val="001C4A1B"/>
    <w:rsid w:val="001E1C12"/>
    <w:rsid w:val="001E1D6A"/>
    <w:rsid w:val="001E2A3B"/>
    <w:rsid w:val="001E3920"/>
    <w:rsid w:val="001F2753"/>
    <w:rsid w:val="00210B9A"/>
    <w:rsid w:val="002212BC"/>
    <w:rsid w:val="00223810"/>
    <w:rsid w:val="00226BFB"/>
    <w:rsid w:val="00236560"/>
    <w:rsid w:val="00244A4D"/>
    <w:rsid w:val="002512E7"/>
    <w:rsid w:val="002713B4"/>
    <w:rsid w:val="00284092"/>
    <w:rsid w:val="00286BEF"/>
    <w:rsid w:val="00287F85"/>
    <w:rsid w:val="002A7FAA"/>
    <w:rsid w:val="002B7801"/>
    <w:rsid w:val="002C4EA1"/>
    <w:rsid w:val="002E3CC7"/>
    <w:rsid w:val="00304B84"/>
    <w:rsid w:val="00304C3A"/>
    <w:rsid w:val="00310A2F"/>
    <w:rsid w:val="00327DD3"/>
    <w:rsid w:val="00343AE9"/>
    <w:rsid w:val="003549A8"/>
    <w:rsid w:val="003569EB"/>
    <w:rsid w:val="003656BB"/>
    <w:rsid w:val="0037317C"/>
    <w:rsid w:val="00375359"/>
    <w:rsid w:val="00382687"/>
    <w:rsid w:val="003951BF"/>
    <w:rsid w:val="003C27A9"/>
    <w:rsid w:val="003C56D5"/>
    <w:rsid w:val="003E46BD"/>
    <w:rsid w:val="003F65FB"/>
    <w:rsid w:val="004127F7"/>
    <w:rsid w:val="00415EAB"/>
    <w:rsid w:val="00427B4C"/>
    <w:rsid w:val="00442E59"/>
    <w:rsid w:val="00452ADD"/>
    <w:rsid w:val="004562F9"/>
    <w:rsid w:val="004638F4"/>
    <w:rsid w:val="004840E9"/>
    <w:rsid w:val="004869D3"/>
    <w:rsid w:val="00490FE4"/>
    <w:rsid w:val="00494247"/>
    <w:rsid w:val="00497ECF"/>
    <w:rsid w:val="004A570E"/>
    <w:rsid w:val="004B1739"/>
    <w:rsid w:val="004C0363"/>
    <w:rsid w:val="004C3995"/>
    <w:rsid w:val="004C611F"/>
    <w:rsid w:val="004D3B40"/>
    <w:rsid w:val="004D54E9"/>
    <w:rsid w:val="004D621D"/>
    <w:rsid w:val="004E0909"/>
    <w:rsid w:val="004F654A"/>
    <w:rsid w:val="00515C11"/>
    <w:rsid w:val="0053008A"/>
    <w:rsid w:val="005309B0"/>
    <w:rsid w:val="00554418"/>
    <w:rsid w:val="00563C69"/>
    <w:rsid w:val="0056774A"/>
    <w:rsid w:val="00585413"/>
    <w:rsid w:val="0059165D"/>
    <w:rsid w:val="005A1C15"/>
    <w:rsid w:val="005C5B07"/>
    <w:rsid w:val="005C743F"/>
    <w:rsid w:val="006045AB"/>
    <w:rsid w:val="00632D73"/>
    <w:rsid w:val="0064044C"/>
    <w:rsid w:val="0065482F"/>
    <w:rsid w:val="00661349"/>
    <w:rsid w:val="00664D26"/>
    <w:rsid w:val="00671EA2"/>
    <w:rsid w:val="006A605C"/>
    <w:rsid w:val="006B4775"/>
    <w:rsid w:val="006B5CCD"/>
    <w:rsid w:val="006B5D91"/>
    <w:rsid w:val="006C1C13"/>
    <w:rsid w:val="006C2D74"/>
    <w:rsid w:val="006E07C0"/>
    <w:rsid w:val="006E5C80"/>
    <w:rsid w:val="006F30A1"/>
    <w:rsid w:val="006F50DD"/>
    <w:rsid w:val="00702504"/>
    <w:rsid w:val="0071396E"/>
    <w:rsid w:val="0072561E"/>
    <w:rsid w:val="00725AF2"/>
    <w:rsid w:val="00737BEE"/>
    <w:rsid w:val="00760676"/>
    <w:rsid w:val="00762F6D"/>
    <w:rsid w:val="007726F0"/>
    <w:rsid w:val="00774789"/>
    <w:rsid w:val="00790A1C"/>
    <w:rsid w:val="00790B36"/>
    <w:rsid w:val="0079463E"/>
    <w:rsid w:val="00795EBF"/>
    <w:rsid w:val="007B3028"/>
    <w:rsid w:val="007B3258"/>
    <w:rsid w:val="007D11C9"/>
    <w:rsid w:val="007E0F59"/>
    <w:rsid w:val="007F203E"/>
    <w:rsid w:val="007F490A"/>
    <w:rsid w:val="007F757B"/>
    <w:rsid w:val="00815AA0"/>
    <w:rsid w:val="0081646A"/>
    <w:rsid w:val="00817B8A"/>
    <w:rsid w:val="00843513"/>
    <w:rsid w:val="00846265"/>
    <w:rsid w:val="0084665D"/>
    <w:rsid w:val="008560F1"/>
    <w:rsid w:val="00867F0E"/>
    <w:rsid w:val="00872A5F"/>
    <w:rsid w:val="008771C9"/>
    <w:rsid w:val="00896B4A"/>
    <w:rsid w:val="008A32FF"/>
    <w:rsid w:val="008B1F10"/>
    <w:rsid w:val="008C3255"/>
    <w:rsid w:val="008C4729"/>
    <w:rsid w:val="008C537A"/>
    <w:rsid w:val="008F192C"/>
    <w:rsid w:val="008F1C0B"/>
    <w:rsid w:val="00902520"/>
    <w:rsid w:val="00905434"/>
    <w:rsid w:val="009065E9"/>
    <w:rsid w:val="00907635"/>
    <w:rsid w:val="009114BA"/>
    <w:rsid w:val="00927305"/>
    <w:rsid w:val="00933401"/>
    <w:rsid w:val="00933DE6"/>
    <w:rsid w:val="00937EBD"/>
    <w:rsid w:val="0094412D"/>
    <w:rsid w:val="00944BB7"/>
    <w:rsid w:val="00955340"/>
    <w:rsid w:val="009675EC"/>
    <w:rsid w:val="00967A43"/>
    <w:rsid w:val="009767B4"/>
    <w:rsid w:val="00980178"/>
    <w:rsid w:val="00993D5C"/>
    <w:rsid w:val="009A5C4D"/>
    <w:rsid w:val="009C30EC"/>
    <w:rsid w:val="009D7ABF"/>
    <w:rsid w:val="009E6CF3"/>
    <w:rsid w:val="00A11764"/>
    <w:rsid w:val="00A164FC"/>
    <w:rsid w:val="00A254C2"/>
    <w:rsid w:val="00A26A59"/>
    <w:rsid w:val="00A37A54"/>
    <w:rsid w:val="00A431F1"/>
    <w:rsid w:val="00A51A8F"/>
    <w:rsid w:val="00A667B7"/>
    <w:rsid w:val="00A7208B"/>
    <w:rsid w:val="00A746DC"/>
    <w:rsid w:val="00AA683F"/>
    <w:rsid w:val="00AB57A0"/>
    <w:rsid w:val="00AC0CA2"/>
    <w:rsid w:val="00AC207C"/>
    <w:rsid w:val="00AC3D87"/>
    <w:rsid w:val="00AE027E"/>
    <w:rsid w:val="00AE6E40"/>
    <w:rsid w:val="00B02082"/>
    <w:rsid w:val="00B106AA"/>
    <w:rsid w:val="00B32B99"/>
    <w:rsid w:val="00B34E62"/>
    <w:rsid w:val="00B424DD"/>
    <w:rsid w:val="00B51797"/>
    <w:rsid w:val="00B60642"/>
    <w:rsid w:val="00B716D2"/>
    <w:rsid w:val="00B77482"/>
    <w:rsid w:val="00B81EAA"/>
    <w:rsid w:val="00B823DC"/>
    <w:rsid w:val="00BD7CDF"/>
    <w:rsid w:val="00BF353A"/>
    <w:rsid w:val="00C12831"/>
    <w:rsid w:val="00C179AD"/>
    <w:rsid w:val="00C23DF0"/>
    <w:rsid w:val="00C25F87"/>
    <w:rsid w:val="00C312F9"/>
    <w:rsid w:val="00C5182E"/>
    <w:rsid w:val="00C5505A"/>
    <w:rsid w:val="00C66420"/>
    <w:rsid w:val="00C74E4F"/>
    <w:rsid w:val="00C9790E"/>
    <w:rsid w:val="00CA3F35"/>
    <w:rsid w:val="00CB5BF5"/>
    <w:rsid w:val="00CC2178"/>
    <w:rsid w:val="00CC6AE5"/>
    <w:rsid w:val="00CF2E1B"/>
    <w:rsid w:val="00D15842"/>
    <w:rsid w:val="00D441B7"/>
    <w:rsid w:val="00D45510"/>
    <w:rsid w:val="00D46148"/>
    <w:rsid w:val="00D56F62"/>
    <w:rsid w:val="00D62256"/>
    <w:rsid w:val="00D67280"/>
    <w:rsid w:val="00D841DD"/>
    <w:rsid w:val="00D854B2"/>
    <w:rsid w:val="00D85E51"/>
    <w:rsid w:val="00DA6C25"/>
    <w:rsid w:val="00DB6138"/>
    <w:rsid w:val="00DD1AE7"/>
    <w:rsid w:val="00DD24B2"/>
    <w:rsid w:val="00DD65F8"/>
    <w:rsid w:val="00DD6C61"/>
    <w:rsid w:val="00DE2B6B"/>
    <w:rsid w:val="00DE3DE1"/>
    <w:rsid w:val="00DE60E2"/>
    <w:rsid w:val="00E123EA"/>
    <w:rsid w:val="00E12FEC"/>
    <w:rsid w:val="00E26B88"/>
    <w:rsid w:val="00E31F90"/>
    <w:rsid w:val="00E37BB4"/>
    <w:rsid w:val="00E56939"/>
    <w:rsid w:val="00E76651"/>
    <w:rsid w:val="00E92CAB"/>
    <w:rsid w:val="00E97926"/>
    <w:rsid w:val="00EB2E1C"/>
    <w:rsid w:val="00EB5652"/>
    <w:rsid w:val="00ED5A81"/>
    <w:rsid w:val="00ED6653"/>
    <w:rsid w:val="00EE6B15"/>
    <w:rsid w:val="00F14ED2"/>
    <w:rsid w:val="00F16EA0"/>
    <w:rsid w:val="00F16F78"/>
    <w:rsid w:val="00F22268"/>
    <w:rsid w:val="00F51F72"/>
    <w:rsid w:val="00F53A11"/>
    <w:rsid w:val="00F53D76"/>
    <w:rsid w:val="00F56DE9"/>
    <w:rsid w:val="00F61F57"/>
    <w:rsid w:val="00F7040C"/>
    <w:rsid w:val="00F72367"/>
    <w:rsid w:val="00F732EA"/>
    <w:rsid w:val="00F97BD4"/>
    <w:rsid w:val="00FB4474"/>
    <w:rsid w:val="00FB6971"/>
    <w:rsid w:val="00FC2907"/>
    <w:rsid w:val="00FF07C9"/>
    <w:rsid w:val="00FF4AA2"/>
    <w:rsid w:val="01AF7E6B"/>
    <w:rsid w:val="1CFE7B2C"/>
    <w:rsid w:val="1DB85A62"/>
    <w:rsid w:val="20796A1D"/>
    <w:rsid w:val="22684C37"/>
    <w:rsid w:val="226A7D61"/>
    <w:rsid w:val="233E095B"/>
    <w:rsid w:val="2412358B"/>
    <w:rsid w:val="35903E2C"/>
    <w:rsid w:val="4540632B"/>
    <w:rsid w:val="4BB07FDC"/>
    <w:rsid w:val="57811BE8"/>
    <w:rsid w:val="6A316B78"/>
    <w:rsid w:val="6C77284E"/>
    <w:rsid w:val="7CFB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9"/>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59"/>
    <w:semiHidden/>
    <w:unhideWhenUsed/>
    <w:qFormat/>
    <w:uiPriority w:val="9"/>
    <w:pPr>
      <w:keepNext/>
      <w:keepLines/>
      <w:spacing w:before="260" w:after="260" w:line="416" w:lineRule="auto"/>
      <w:outlineLvl w:val="2"/>
    </w:pPr>
    <w:rPr>
      <w:b/>
      <w:bCs/>
      <w:sz w:val="32"/>
      <w:szCs w:val="32"/>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index 8"/>
    <w:basedOn w:val="1"/>
    <w:next w:val="1"/>
    <w:qFormat/>
    <w:uiPriority w:val="0"/>
    <w:pPr>
      <w:ind w:left="1680" w:hanging="210"/>
      <w:jc w:val="left"/>
    </w:pPr>
    <w:rPr>
      <w:rFonts w:ascii="Calibri" w:hAnsi="Calibri" w:eastAsia="宋体" w:cs="Times New Roman"/>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eastAsia="宋体" w:cs="Times New Roman"/>
      <w:sz w:val="20"/>
      <w:szCs w:val="20"/>
    </w:rPr>
  </w:style>
  <w:style w:type="paragraph" w:styleId="9">
    <w:name w:val="Document Map"/>
    <w:basedOn w:val="1"/>
    <w:link w:val="133"/>
    <w:semiHidden/>
    <w:qFormat/>
    <w:uiPriority w:val="0"/>
    <w:pPr>
      <w:shd w:val="clear" w:color="auto" w:fill="000080"/>
    </w:pPr>
    <w:rPr>
      <w:rFonts w:ascii="Times New Roman" w:hAnsi="Times New Roman" w:eastAsia="宋体" w:cs="Times New Roman"/>
      <w:szCs w:val="24"/>
    </w:rPr>
  </w:style>
  <w:style w:type="paragraph" w:styleId="10">
    <w:name w:val="annotation text"/>
    <w:basedOn w:val="1"/>
    <w:link w:val="162"/>
    <w:semiHidden/>
    <w:unhideWhenUsed/>
    <w:qFormat/>
    <w:uiPriority w:val="99"/>
    <w:pPr>
      <w:jc w:val="left"/>
    </w:pPr>
  </w:style>
  <w:style w:type="paragraph" w:styleId="11">
    <w:name w:val="index 6"/>
    <w:basedOn w:val="1"/>
    <w:next w:val="1"/>
    <w:qFormat/>
    <w:uiPriority w:val="0"/>
    <w:pPr>
      <w:ind w:left="1260" w:hanging="210"/>
      <w:jc w:val="left"/>
    </w:pPr>
    <w:rPr>
      <w:rFonts w:ascii="Calibri" w:hAnsi="Calibri" w:eastAsia="宋体" w:cs="Times New Roman"/>
      <w:sz w:val="20"/>
      <w:szCs w:val="20"/>
    </w:rPr>
  </w:style>
  <w:style w:type="paragraph" w:styleId="12">
    <w:name w:val="index 4"/>
    <w:basedOn w:val="1"/>
    <w:next w:val="1"/>
    <w:qFormat/>
    <w:uiPriority w:val="0"/>
    <w:pPr>
      <w:ind w:left="840" w:hanging="210"/>
      <w:jc w:val="left"/>
    </w:pPr>
    <w:rPr>
      <w:rFonts w:ascii="Calibri" w:hAnsi="Calibri" w:eastAsia="宋体" w:cs="Times New Roman"/>
      <w:sz w:val="20"/>
      <w:szCs w:val="20"/>
    </w:rPr>
  </w:style>
  <w:style w:type="paragraph" w:styleId="13">
    <w:name w:val="toc 5"/>
    <w:basedOn w:val="1"/>
    <w:next w:val="1"/>
    <w:semiHidden/>
    <w:qFormat/>
    <w:uiPriority w:val="0"/>
    <w:pPr>
      <w:ind w:left="840"/>
      <w:jc w:val="left"/>
    </w:pPr>
    <w:rPr>
      <w:sz w:val="18"/>
      <w:szCs w:val="18"/>
    </w:rPr>
  </w:style>
  <w:style w:type="paragraph" w:styleId="14">
    <w:name w:val="toc 3"/>
    <w:basedOn w:val="1"/>
    <w:next w:val="1"/>
    <w:qFormat/>
    <w:uiPriority w:val="39"/>
    <w:pPr>
      <w:ind w:left="420"/>
      <w:jc w:val="left"/>
    </w:pPr>
    <w:rPr>
      <w:i/>
      <w:iCs/>
      <w:sz w:val="20"/>
      <w:szCs w:val="20"/>
    </w:rPr>
  </w:style>
  <w:style w:type="paragraph" w:styleId="15">
    <w:name w:val="toc 8"/>
    <w:basedOn w:val="1"/>
    <w:next w:val="1"/>
    <w:semiHidden/>
    <w:qFormat/>
    <w:uiPriority w:val="0"/>
    <w:pPr>
      <w:ind w:left="1470"/>
      <w:jc w:val="left"/>
    </w:pPr>
    <w:rPr>
      <w:sz w:val="18"/>
      <w:szCs w:val="18"/>
    </w:rPr>
  </w:style>
  <w:style w:type="paragraph" w:styleId="16">
    <w:name w:val="index 3"/>
    <w:basedOn w:val="1"/>
    <w:next w:val="1"/>
    <w:qFormat/>
    <w:uiPriority w:val="0"/>
    <w:pPr>
      <w:ind w:left="630" w:hanging="210"/>
      <w:jc w:val="left"/>
    </w:pPr>
    <w:rPr>
      <w:rFonts w:ascii="Calibri" w:hAnsi="Calibri" w:eastAsia="宋体" w:cs="Times New Roman"/>
      <w:sz w:val="20"/>
      <w:szCs w:val="20"/>
    </w:rPr>
  </w:style>
  <w:style w:type="paragraph" w:styleId="17">
    <w:name w:val="Body Text Indent 2"/>
    <w:basedOn w:val="1"/>
    <w:link w:val="157"/>
    <w:qFormat/>
    <w:uiPriority w:val="0"/>
    <w:pPr>
      <w:spacing w:after="120" w:line="480" w:lineRule="auto"/>
      <w:ind w:left="420" w:leftChars="200"/>
    </w:pPr>
    <w:rPr>
      <w:rFonts w:ascii="Times New Roman" w:hAnsi="Times New Roman" w:eastAsia="宋体" w:cs="Times New Roman"/>
      <w:szCs w:val="20"/>
    </w:rPr>
  </w:style>
  <w:style w:type="paragraph" w:styleId="18">
    <w:name w:val="endnote text"/>
    <w:basedOn w:val="1"/>
    <w:link w:val="132"/>
    <w:semiHidden/>
    <w:qFormat/>
    <w:uiPriority w:val="0"/>
    <w:pPr>
      <w:snapToGrid w:val="0"/>
      <w:jc w:val="left"/>
    </w:pPr>
    <w:rPr>
      <w:rFonts w:ascii="Times New Roman" w:hAnsi="Times New Roman" w:eastAsia="宋体" w:cs="Times New Roman"/>
      <w:szCs w:val="24"/>
    </w:rPr>
  </w:style>
  <w:style w:type="paragraph" w:styleId="19">
    <w:name w:val="Balloon Text"/>
    <w:basedOn w:val="1"/>
    <w:link w:val="149"/>
    <w:qFormat/>
    <w:uiPriority w:val="0"/>
    <w:rPr>
      <w:rFonts w:ascii="Times New Roman" w:hAnsi="Times New Roman" w:eastAsia="宋体" w:cs="Times New Roman"/>
      <w:sz w:val="18"/>
      <w:szCs w:val="18"/>
      <w:lang w:val="zh-CN"/>
    </w:rPr>
  </w:style>
  <w:style w:type="paragraph" w:styleId="20">
    <w:name w:val="footer"/>
    <w:basedOn w:val="1"/>
    <w:link w:val="46"/>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296"/>
      </w:tabs>
      <w:spacing w:line="360" w:lineRule="auto"/>
      <w:jc w:val="left"/>
    </w:pPr>
    <w:rPr>
      <w:rFonts w:asciiTheme="majorEastAsia" w:hAnsiTheme="majorEastAsia" w:eastAsiaTheme="majorEastAsia"/>
      <w:bCs/>
      <w:caps/>
      <w:sz w:val="20"/>
      <w:szCs w:val="20"/>
    </w:rPr>
  </w:style>
  <w:style w:type="paragraph" w:styleId="23">
    <w:name w:val="toc 4"/>
    <w:basedOn w:val="1"/>
    <w:next w:val="1"/>
    <w:semiHidden/>
    <w:qFormat/>
    <w:uiPriority w:val="0"/>
    <w:pPr>
      <w:ind w:left="630"/>
      <w:jc w:val="left"/>
    </w:pPr>
    <w:rPr>
      <w:sz w:val="18"/>
      <w:szCs w:val="18"/>
    </w:rPr>
  </w:style>
  <w:style w:type="paragraph" w:styleId="24">
    <w:name w:val="index heading"/>
    <w:basedOn w:val="1"/>
    <w:next w:val="25"/>
    <w:qFormat/>
    <w:uiPriority w:val="0"/>
    <w:pPr>
      <w:spacing w:before="120" w:after="120"/>
      <w:jc w:val="center"/>
    </w:pPr>
    <w:rPr>
      <w:rFonts w:ascii="Calibri" w:hAnsi="Calibri" w:eastAsia="宋体" w:cs="Times New Roman"/>
      <w:b/>
      <w:bCs/>
      <w:iCs/>
      <w:szCs w:val="20"/>
    </w:rPr>
  </w:style>
  <w:style w:type="paragraph" w:styleId="25">
    <w:name w:val="index 1"/>
    <w:basedOn w:val="1"/>
    <w:next w:val="26"/>
    <w:qFormat/>
    <w:uiPriority w:val="0"/>
    <w:pPr>
      <w:tabs>
        <w:tab w:val="right" w:leader="dot" w:pos="9299"/>
      </w:tabs>
      <w:jc w:val="left"/>
    </w:pPr>
    <w:rPr>
      <w:rFonts w:ascii="宋体" w:hAnsi="Times New Roman" w:eastAsia="宋体" w:cs="Times New Roman"/>
      <w:szCs w:val="21"/>
    </w:rPr>
  </w:style>
  <w:style w:type="paragraph" w:customStyle="1" w:styleId="26">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link w:val="114"/>
    <w:uiPriority w:val="0"/>
    <w:pPr>
      <w:numPr>
        <w:ilvl w:val="0"/>
        <w:numId w:val="1"/>
      </w:numPr>
      <w:snapToGrid w:val="0"/>
      <w:jc w:val="left"/>
    </w:pPr>
    <w:rPr>
      <w:rFonts w:ascii="宋体" w:hAnsi="Times New Roman" w:eastAsia="宋体" w:cs="Times New Roman"/>
      <w:sz w:val="18"/>
      <w:szCs w:val="18"/>
    </w:rPr>
  </w:style>
  <w:style w:type="paragraph" w:styleId="28">
    <w:name w:val="toc 6"/>
    <w:basedOn w:val="1"/>
    <w:next w:val="1"/>
    <w:semiHidden/>
    <w:qFormat/>
    <w:uiPriority w:val="0"/>
    <w:pPr>
      <w:ind w:left="1050"/>
      <w:jc w:val="left"/>
    </w:pPr>
    <w:rPr>
      <w:sz w:val="18"/>
      <w:szCs w:val="18"/>
    </w:rPr>
  </w:style>
  <w:style w:type="paragraph" w:styleId="29">
    <w:name w:val="index 7"/>
    <w:basedOn w:val="1"/>
    <w:next w:val="1"/>
    <w:qFormat/>
    <w:uiPriority w:val="0"/>
    <w:pPr>
      <w:ind w:left="1470" w:hanging="210"/>
      <w:jc w:val="left"/>
    </w:pPr>
    <w:rPr>
      <w:rFonts w:ascii="Calibri" w:hAnsi="Calibri" w:eastAsia="宋体" w:cs="Times New Roman"/>
      <w:sz w:val="20"/>
      <w:szCs w:val="20"/>
    </w:rPr>
  </w:style>
  <w:style w:type="paragraph" w:styleId="30">
    <w:name w:val="index 9"/>
    <w:basedOn w:val="1"/>
    <w:next w:val="1"/>
    <w:uiPriority w:val="0"/>
    <w:pPr>
      <w:ind w:left="1890" w:hanging="210"/>
      <w:jc w:val="left"/>
    </w:pPr>
    <w:rPr>
      <w:rFonts w:ascii="Calibri" w:hAnsi="Calibri" w:eastAsia="宋体" w:cs="Times New Roman"/>
      <w:sz w:val="20"/>
      <w:szCs w:val="20"/>
    </w:rPr>
  </w:style>
  <w:style w:type="paragraph" w:styleId="31">
    <w:name w:val="toc 2"/>
    <w:basedOn w:val="1"/>
    <w:next w:val="1"/>
    <w:qFormat/>
    <w:uiPriority w:val="39"/>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Normal (Web)"/>
    <w:basedOn w:val="1"/>
    <w:unhideWhenUsed/>
    <w:qFormat/>
    <w:uiPriority w:val="99"/>
    <w:rPr>
      <w:rFonts w:ascii="Times New Roman" w:hAnsi="Times New Roman" w:eastAsia="宋体" w:cs="Times New Roman"/>
      <w:sz w:val="24"/>
      <w:szCs w:val="24"/>
    </w:rPr>
  </w:style>
  <w:style w:type="paragraph" w:styleId="34">
    <w:name w:val="index 2"/>
    <w:basedOn w:val="1"/>
    <w:next w:val="1"/>
    <w:uiPriority w:val="0"/>
    <w:pPr>
      <w:ind w:left="420" w:hanging="210"/>
      <w:jc w:val="left"/>
    </w:pPr>
    <w:rPr>
      <w:rFonts w:ascii="Calibri" w:hAnsi="Calibri" w:eastAsia="宋体" w:cs="Times New Roman"/>
      <w:sz w:val="20"/>
      <w:szCs w:val="20"/>
    </w:rPr>
  </w:style>
  <w:style w:type="paragraph" w:styleId="35">
    <w:name w:val="annotation subject"/>
    <w:basedOn w:val="10"/>
    <w:next w:val="10"/>
    <w:link w:val="163"/>
    <w:semiHidden/>
    <w:unhideWhenUsed/>
    <w:uiPriority w:val="99"/>
    <w:rPr>
      <w:b/>
      <w:bCs/>
    </w:rPr>
  </w:style>
  <w:style w:type="table" w:styleId="37">
    <w:name w:val="Table Grid"/>
    <w:basedOn w:val="36"/>
    <w:qFormat/>
    <w:uiPriority w:val="39"/>
    <w:pPr>
      <w:numPr>
        <w:numId w:val="2"/>
      </w:numPr>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semiHidden/>
    <w:uiPriority w:val="0"/>
    <w:rPr>
      <w:vertAlign w:val="superscript"/>
    </w:rPr>
  </w:style>
  <w:style w:type="character" w:styleId="40">
    <w:name w:val="page number"/>
    <w:uiPriority w:val="0"/>
    <w:rPr>
      <w:rFonts w:ascii="Times New Roman" w:hAnsi="Times New Roman" w:eastAsia="宋体"/>
      <w:sz w:val="18"/>
    </w:rPr>
  </w:style>
  <w:style w:type="character" w:styleId="41">
    <w:name w:val="FollowedHyperlink"/>
    <w:basedOn w:val="38"/>
    <w:semiHidden/>
    <w:unhideWhenUsed/>
    <w:qFormat/>
    <w:uiPriority w:val="99"/>
    <w:rPr>
      <w:color w:val="800080" w:themeColor="followedHyperlink"/>
      <w:u w:val="single"/>
      <w14:textFill>
        <w14:solidFill>
          <w14:schemeClr w14:val="folHlink"/>
        </w14:solidFill>
      </w14:textFill>
    </w:rPr>
  </w:style>
  <w:style w:type="character" w:styleId="42">
    <w:name w:val="Hyperlink"/>
    <w:qFormat/>
    <w:uiPriority w:val="99"/>
    <w:rPr>
      <w:color w:val="0000FF"/>
      <w:spacing w:val="0"/>
      <w:w w:val="100"/>
      <w:szCs w:val="21"/>
      <w:u w:val="single"/>
    </w:rPr>
  </w:style>
  <w:style w:type="character" w:styleId="43">
    <w:name w:val="annotation reference"/>
    <w:basedOn w:val="38"/>
    <w:semiHidden/>
    <w:unhideWhenUsed/>
    <w:uiPriority w:val="99"/>
    <w:rPr>
      <w:sz w:val="21"/>
      <w:szCs w:val="21"/>
    </w:rPr>
  </w:style>
  <w:style w:type="character" w:styleId="44">
    <w:name w:val="footnote reference"/>
    <w:semiHidden/>
    <w:uiPriority w:val="0"/>
    <w:rPr>
      <w:vertAlign w:val="superscript"/>
    </w:rPr>
  </w:style>
  <w:style w:type="character" w:customStyle="1" w:styleId="45">
    <w:name w:val="页眉 Char"/>
    <w:basedOn w:val="38"/>
    <w:link w:val="21"/>
    <w:qFormat/>
    <w:uiPriority w:val="99"/>
    <w:rPr>
      <w:sz w:val="18"/>
      <w:szCs w:val="18"/>
    </w:rPr>
  </w:style>
  <w:style w:type="character" w:customStyle="1" w:styleId="46">
    <w:name w:val="页脚 Char"/>
    <w:basedOn w:val="38"/>
    <w:link w:val="20"/>
    <w:qFormat/>
    <w:uiPriority w:val="99"/>
    <w:rPr>
      <w:sz w:val="18"/>
      <w:szCs w:val="18"/>
    </w:rPr>
  </w:style>
  <w:style w:type="character" w:customStyle="1" w:styleId="47">
    <w:name w:val="段 Char"/>
    <w:link w:val="26"/>
    <w:qFormat/>
    <w:uiPriority w:val="0"/>
    <w:rPr>
      <w:rFonts w:ascii="宋体" w:hAnsi="Times New Roman" w:eastAsia="宋体" w:cs="Times New Roman"/>
      <w:kern w:val="0"/>
      <w:szCs w:val="20"/>
    </w:rPr>
  </w:style>
  <w:style w:type="paragraph" w:customStyle="1" w:styleId="4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9">
    <w:name w:val="标准书眉_偶数页"/>
    <w:basedOn w:val="1"/>
    <w:next w:val="1"/>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50">
    <w:name w:val="一级条标题"/>
    <w:next w:val="26"/>
    <w:link w:val="161"/>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1">
    <w:name w:val="章标题"/>
    <w:next w:val="26"/>
    <w:link w:val="160"/>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2">
    <w:name w:val="二级条标题"/>
    <w:basedOn w:val="50"/>
    <w:next w:val="26"/>
    <w:uiPriority w:val="0"/>
    <w:pPr>
      <w:numPr>
        <w:ilvl w:val="2"/>
      </w:numPr>
      <w:spacing w:before="50" w:after="50"/>
      <w:ind w:left="525"/>
      <w:outlineLvl w:val="3"/>
    </w:pPr>
  </w:style>
  <w:style w:type="paragraph" w:customStyle="1" w:styleId="53">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54">
    <w:name w:val="三级条标题"/>
    <w:basedOn w:val="52"/>
    <w:next w:val="26"/>
    <w:uiPriority w:val="0"/>
    <w:pPr>
      <w:numPr>
        <w:ilvl w:val="3"/>
      </w:numPr>
      <w:outlineLvl w:val="4"/>
    </w:pPr>
  </w:style>
  <w:style w:type="paragraph" w:customStyle="1" w:styleId="55">
    <w:name w:val="四级条标题"/>
    <w:basedOn w:val="54"/>
    <w:next w:val="26"/>
    <w:uiPriority w:val="0"/>
    <w:pPr>
      <w:numPr>
        <w:ilvl w:val="4"/>
      </w:numPr>
      <w:outlineLvl w:val="5"/>
    </w:pPr>
  </w:style>
  <w:style w:type="paragraph" w:customStyle="1" w:styleId="56">
    <w:name w:val="五级条标题"/>
    <w:basedOn w:val="55"/>
    <w:next w:val="26"/>
    <w:qFormat/>
    <w:uiPriority w:val="0"/>
    <w:pPr>
      <w:numPr>
        <w:ilvl w:val="5"/>
      </w:numPr>
      <w:outlineLvl w:val="6"/>
    </w:pPr>
  </w:style>
  <w:style w:type="paragraph" w:customStyle="1" w:styleId="57">
    <w:name w:val="二级无"/>
    <w:basedOn w:val="52"/>
    <w:uiPriority w:val="0"/>
    <w:pPr>
      <w:spacing w:beforeLines="0" w:afterLines="0"/>
    </w:pPr>
    <w:rPr>
      <w:rFonts w:ascii="宋体" w:eastAsia="宋体"/>
    </w:rPr>
  </w:style>
  <w:style w:type="character" w:customStyle="1" w:styleId="58">
    <w:name w:val="标题 1 Char"/>
    <w:basedOn w:val="38"/>
    <w:link w:val="2"/>
    <w:uiPriority w:val="0"/>
    <w:rPr>
      <w:rFonts w:ascii="Times New Roman" w:hAnsi="Times New Roman" w:eastAsia="宋体" w:cs="Times New Roman"/>
      <w:b/>
      <w:bCs/>
      <w:kern w:val="44"/>
      <w:sz w:val="44"/>
      <w:szCs w:val="44"/>
    </w:rPr>
  </w:style>
  <w:style w:type="character" w:customStyle="1" w:styleId="59">
    <w:name w:val="标题 2 Char"/>
    <w:basedOn w:val="38"/>
    <w:link w:val="3"/>
    <w:uiPriority w:val="0"/>
    <w:rPr>
      <w:rFonts w:ascii="宋体" w:hAnsi="宋体" w:eastAsia="宋体" w:cs="宋体"/>
      <w:b/>
      <w:bCs/>
      <w:kern w:val="0"/>
      <w:sz w:val="36"/>
      <w:szCs w:val="36"/>
    </w:rPr>
  </w:style>
  <w:style w:type="paragraph" w:customStyle="1" w:styleId="6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3">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64">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65">
    <w:name w:val="示例"/>
    <w:next w:val="66"/>
    <w:uiPriority w:val="0"/>
    <w:pPr>
      <w:widowControl w:val="0"/>
      <w:jc w:val="both"/>
    </w:pPr>
    <w:rPr>
      <w:rFonts w:ascii="宋体" w:hAnsi="Times New Roman" w:eastAsia="宋体" w:cs="Times New Roman"/>
      <w:sz w:val="18"/>
      <w:szCs w:val="18"/>
      <w:lang w:val="en-US" w:eastAsia="zh-CN" w:bidi="ar-SA"/>
    </w:rPr>
  </w:style>
  <w:style w:type="paragraph" w:customStyle="1" w:styleId="66">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67">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68">
    <w:name w:val="注："/>
    <w:next w:val="26"/>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9">
    <w:name w:val="注×："/>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1">
    <w:name w:val="列项◆（三级）"/>
    <w:basedOn w:val="1"/>
    <w:qFormat/>
    <w:uiPriority w:val="0"/>
    <w:pPr>
      <w:numPr>
        <w:ilvl w:val="2"/>
        <w:numId w:val="4"/>
      </w:numPr>
    </w:pPr>
    <w:rPr>
      <w:rFonts w:ascii="宋体" w:hAnsi="Times New Roman" w:eastAsia="宋体" w:cs="Times New Roman"/>
      <w:szCs w:val="21"/>
    </w:rPr>
  </w:style>
  <w:style w:type="paragraph" w:customStyle="1" w:styleId="7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3">
    <w:name w:val="示例×："/>
    <w:basedOn w:val="51"/>
    <w:qFormat/>
    <w:uiPriority w:val="0"/>
    <w:pPr>
      <w:numPr>
        <w:numId w:val="0"/>
      </w:numPr>
      <w:spacing w:beforeLines="0" w:afterLines="0"/>
      <w:ind w:left="811" w:hanging="448"/>
      <w:outlineLvl w:val="9"/>
    </w:pPr>
    <w:rPr>
      <w:rFonts w:ascii="宋体" w:eastAsia="宋体"/>
      <w:sz w:val="18"/>
      <w:szCs w:val="18"/>
    </w:rPr>
  </w:style>
  <w:style w:type="paragraph" w:customStyle="1" w:styleId="74">
    <w:name w:val="注：（正文）"/>
    <w:basedOn w:val="68"/>
    <w:next w:val="26"/>
    <w:qFormat/>
    <w:uiPriority w:val="0"/>
  </w:style>
  <w:style w:type="paragraph" w:customStyle="1" w:styleId="75">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8">
    <w:name w:val="标准书眉一"/>
    <w:qFormat/>
    <w:uiPriority w:val="0"/>
    <w:pPr>
      <w:jc w:val="both"/>
    </w:pPr>
    <w:rPr>
      <w:rFonts w:ascii="Times New Roman" w:hAnsi="Times New Roman" w:eastAsia="宋体" w:cs="Times New Roman"/>
      <w:lang w:val="en-US" w:eastAsia="zh-CN" w:bidi="ar-SA"/>
    </w:rPr>
  </w:style>
  <w:style w:type="paragraph" w:customStyle="1" w:styleId="79">
    <w:name w:val="参考文献"/>
    <w:basedOn w:val="1"/>
    <w:next w:val="2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80">
    <w:name w:val="参考文献、索引标题"/>
    <w:basedOn w:val="1"/>
    <w:next w:val="2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character" w:customStyle="1" w:styleId="81">
    <w:name w:val="发布"/>
    <w:qFormat/>
    <w:uiPriority w:val="0"/>
    <w:rPr>
      <w:rFonts w:ascii="黑体" w:eastAsia="黑体"/>
      <w:spacing w:val="85"/>
      <w:w w:val="100"/>
      <w:position w:val="3"/>
      <w:sz w:val="28"/>
      <w:szCs w:val="28"/>
    </w:rPr>
  </w:style>
  <w:style w:type="paragraph" w:customStyle="1" w:styleId="82">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
    <w:basedOn w:val="86"/>
    <w:qFormat/>
    <w:uiPriority w:val="0"/>
    <w:pPr>
      <w:spacing w:before="370" w:line="400" w:lineRule="exact"/>
    </w:pPr>
    <w:rPr>
      <w:rFonts w:ascii="Times New Roman"/>
      <w:sz w:val="28"/>
      <w:szCs w:val="28"/>
    </w:rPr>
  </w:style>
  <w:style w:type="paragraph" w:customStyle="1" w:styleId="88">
    <w:name w:val="封面一致性程度标识"/>
    <w:basedOn w:val="87"/>
    <w:qFormat/>
    <w:uiPriority w:val="0"/>
    <w:pPr>
      <w:spacing w:before="440"/>
    </w:pPr>
    <w:rPr>
      <w:rFonts w:ascii="宋体" w:eastAsia="宋体"/>
    </w:rPr>
  </w:style>
  <w:style w:type="paragraph" w:customStyle="1" w:styleId="89">
    <w:name w:val="封面标准文稿类别"/>
    <w:basedOn w:val="88"/>
    <w:qFormat/>
    <w:uiPriority w:val="0"/>
    <w:pPr>
      <w:spacing w:after="160" w:line="240" w:lineRule="auto"/>
    </w:pPr>
    <w:rPr>
      <w:sz w:val="24"/>
    </w:rPr>
  </w:style>
  <w:style w:type="paragraph" w:customStyle="1" w:styleId="90">
    <w:name w:val="封面标准文稿编辑信息"/>
    <w:basedOn w:val="89"/>
    <w:qFormat/>
    <w:uiPriority w:val="0"/>
    <w:pPr>
      <w:spacing w:before="180" w:line="180" w:lineRule="exact"/>
    </w:pPr>
    <w:rPr>
      <w:sz w:val="21"/>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附录标识"/>
    <w:basedOn w:val="1"/>
    <w:next w:val="26"/>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93">
    <w:name w:val="附录标题"/>
    <w:basedOn w:val="26"/>
    <w:next w:val="26"/>
    <w:qFormat/>
    <w:uiPriority w:val="0"/>
    <w:pPr>
      <w:ind w:firstLine="0" w:firstLineChars="0"/>
      <w:jc w:val="center"/>
    </w:pPr>
    <w:rPr>
      <w:rFonts w:ascii="黑体" w:eastAsia="黑体"/>
    </w:rPr>
  </w:style>
  <w:style w:type="paragraph" w:customStyle="1" w:styleId="94">
    <w:name w:val="附录表标号"/>
    <w:basedOn w:val="1"/>
    <w:next w:val="26"/>
    <w:qFormat/>
    <w:uiPriority w:val="0"/>
    <w:pPr>
      <w:numPr>
        <w:ilvl w:val="0"/>
        <w:numId w:val="9"/>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95">
    <w:name w:val="附录表标题"/>
    <w:basedOn w:val="1"/>
    <w:next w:val="26"/>
    <w:qFormat/>
    <w:uiPriority w:val="0"/>
    <w:pPr>
      <w:numPr>
        <w:ilvl w:val="1"/>
        <w:numId w:val="9"/>
      </w:numPr>
      <w:tabs>
        <w:tab w:val="left" w:pos="180"/>
      </w:tabs>
      <w:spacing w:beforeLines="50" w:afterLines="50"/>
      <w:ind w:left="0" w:firstLine="0"/>
      <w:jc w:val="center"/>
    </w:pPr>
    <w:rPr>
      <w:rFonts w:ascii="黑体" w:hAnsi="Times New Roman" w:eastAsia="黑体" w:cs="Times New Roman"/>
      <w:szCs w:val="21"/>
    </w:rPr>
  </w:style>
  <w:style w:type="paragraph" w:customStyle="1" w:styleId="96">
    <w:name w:val="附录二级条标题"/>
    <w:basedOn w:val="1"/>
    <w:next w:val="26"/>
    <w:qFormat/>
    <w:uiPriority w:val="0"/>
    <w:pPr>
      <w:widowControl/>
      <w:numPr>
        <w:ilvl w:val="3"/>
        <w:numId w:val="8"/>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97">
    <w:name w:val="附录二级无"/>
    <w:basedOn w:val="96"/>
    <w:qFormat/>
    <w:uiPriority w:val="0"/>
    <w:pPr>
      <w:tabs>
        <w:tab w:val="clear" w:pos="360"/>
      </w:tabs>
      <w:spacing w:beforeLines="0" w:afterLines="0"/>
    </w:pPr>
    <w:rPr>
      <w:rFonts w:ascii="宋体" w:eastAsia="宋体"/>
      <w:szCs w:val="21"/>
    </w:rPr>
  </w:style>
  <w:style w:type="paragraph" w:customStyle="1" w:styleId="98">
    <w:name w:val="附录公式"/>
    <w:basedOn w:val="26"/>
    <w:next w:val="26"/>
    <w:link w:val="99"/>
    <w:qFormat/>
    <w:uiPriority w:val="0"/>
  </w:style>
  <w:style w:type="character" w:customStyle="1" w:styleId="99">
    <w:name w:val="附录公式 Char"/>
    <w:basedOn w:val="47"/>
    <w:link w:val="98"/>
    <w:qFormat/>
    <w:uiPriority w:val="0"/>
    <w:rPr>
      <w:rFonts w:ascii="宋体" w:hAnsi="Times New Roman" w:eastAsia="宋体" w:cs="Times New Roman"/>
      <w:kern w:val="0"/>
      <w:szCs w:val="20"/>
    </w:rPr>
  </w:style>
  <w:style w:type="paragraph" w:customStyle="1" w:styleId="100">
    <w:name w:val="附录公式编号制表符"/>
    <w:basedOn w:val="1"/>
    <w:next w:val="26"/>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01">
    <w:name w:val="附录三级条标题"/>
    <w:basedOn w:val="96"/>
    <w:next w:val="26"/>
    <w:uiPriority w:val="0"/>
    <w:pPr>
      <w:numPr>
        <w:ilvl w:val="4"/>
      </w:numPr>
      <w:outlineLvl w:val="4"/>
    </w:pPr>
  </w:style>
  <w:style w:type="paragraph" w:customStyle="1" w:styleId="102">
    <w:name w:val="附录三级无"/>
    <w:basedOn w:val="101"/>
    <w:qFormat/>
    <w:uiPriority w:val="0"/>
    <w:pPr>
      <w:tabs>
        <w:tab w:val="clear" w:pos="360"/>
      </w:tabs>
      <w:spacing w:beforeLines="0" w:afterLines="0"/>
    </w:pPr>
    <w:rPr>
      <w:rFonts w:ascii="宋体" w:eastAsia="宋体"/>
      <w:szCs w:val="21"/>
    </w:rPr>
  </w:style>
  <w:style w:type="paragraph" w:customStyle="1" w:styleId="103">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104">
    <w:name w:val="附录四级条标题"/>
    <w:basedOn w:val="101"/>
    <w:next w:val="26"/>
    <w:qFormat/>
    <w:uiPriority w:val="0"/>
    <w:pPr>
      <w:numPr>
        <w:ilvl w:val="5"/>
      </w:numPr>
      <w:outlineLvl w:val="5"/>
    </w:pPr>
  </w:style>
  <w:style w:type="paragraph" w:customStyle="1" w:styleId="105">
    <w:name w:val="附录四级无"/>
    <w:basedOn w:val="104"/>
    <w:qFormat/>
    <w:uiPriority w:val="0"/>
    <w:pPr>
      <w:tabs>
        <w:tab w:val="clear" w:pos="360"/>
      </w:tabs>
      <w:spacing w:beforeLines="0" w:afterLines="0"/>
    </w:pPr>
    <w:rPr>
      <w:rFonts w:ascii="宋体" w:eastAsia="宋体"/>
      <w:szCs w:val="21"/>
    </w:rPr>
  </w:style>
  <w:style w:type="paragraph" w:customStyle="1" w:styleId="106">
    <w:name w:val="附录图标号"/>
    <w:basedOn w:val="1"/>
    <w:qFormat/>
    <w:uiPriority w:val="0"/>
    <w:pPr>
      <w:keepNext/>
      <w:pageBreakBefore/>
      <w:widowControl/>
      <w:numPr>
        <w:ilvl w:val="0"/>
        <w:numId w:val="11"/>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07">
    <w:name w:val="附录图标题"/>
    <w:basedOn w:val="1"/>
    <w:next w:val="26"/>
    <w:qFormat/>
    <w:uiPriority w:val="0"/>
    <w:pPr>
      <w:numPr>
        <w:ilvl w:val="1"/>
        <w:numId w:val="11"/>
      </w:numPr>
      <w:tabs>
        <w:tab w:val="left" w:pos="363"/>
      </w:tabs>
      <w:spacing w:beforeLines="50" w:afterLines="50"/>
      <w:ind w:left="0" w:firstLine="0"/>
      <w:jc w:val="center"/>
    </w:pPr>
    <w:rPr>
      <w:rFonts w:ascii="黑体" w:hAnsi="Times New Roman" w:eastAsia="黑体" w:cs="Times New Roman"/>
      <w:szCs w:val="21"/>
    </w:rPr>
  </w:style>
  <w:style w:type="paragraph" w:customStyle="1" w:styleId="108">
    <w:name w:val="附录五级条标题"/>
    <w:basedOn w:val="104"/>
    <w:next w:val="26"/>
    <w:qFormat/>
    <w:uiPriority w:val="0"/>
    <w:pPr>
      <w:numPr>
        <w:ilvl w:val="6"/>
      </w:numPr>
      <w:outlineLvl w:val="6"/>
    </w:pPr>
  </w:style>
  <w:style w:type="paragraph" w:customStyle="1" w:styleId="109">
    <w:name w:val="附录五级无"/>
    <w:basedOn w:val="108"/>
    <w:qFormat/>
    <w:uiPriority w:val="0"/>
    <w:pPr>
      <w:tabs>
        <w:tab w:val="clear" w:pos="360"/>
      </w:tabs>
      <w:spacing w:beforeLines="0" w:afterLines="0"/>
    </w:pPr>
    <w:rPr>
      <w:rFonts w:ascii="宋体" w:eastAsia="宋体"/>
      <w:szCs w:val="21"/>
    </w:rPr>
  </w:style>
  <w:style w:type="paragraph" w:customStyle="1" w:styleId="110">
    <w:name w:val="附录章标题"/>
    <w:next w:val="26"/>
    <w:qFormat/>
    <w:uiPriority w:val="0"/>
    <w:pPr>
      <w:numPr>
        <w:ilvl w:val="1"/>
        <w:numId w:val="8"/>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1">
    <w:name w:val="附录一级条标题"/>
    <w:basedOn w:val="110"/>
    <w:next w:val="26"/>
    <w:qFormat/>
    <w:uiPriority w:val="0"/>
    <w:pPr>
      <w:numPr>
        <w:ilvl w:val="2"/>
      </w:numPr>
      <w:autoSpaceDN w:val="0"/>
      <w:spacing w:beforeLines="50" w:afterLines="50"/>
      <w:outlineLvl w:val="2"/>
    </w:pPr>
  </w:style>
  <w:style w:type="paragraph" w:customStyle="1" w:styleId="112">
    <w:name w:val="附录一级无"/>
    <w:basedOn w:val="111"/>
    <w:qFormat/>
    <w:uiPriority w:val="0"/>
    <w:pPr>
      <w:tabs>
        <w:tab w:val="clear" w:pos="360"/>
      </w:tabs>
      <w:spacing w:beforeLines="0" w:afterLines="0"/>
    </w:pPr>
    <w:rPr>
      <w:rFonts w:ascii="宋体" w:eastAsia="宋体"/>
      <w:szCs w:val="21"/>
    </w:rPr>
  </w:style>
  <w:style w:type="paragraph" w:customStyle="1" w:styleId="113">
    <w:name w:val="附录字母编号列项（一级）"/>
    <w:qFormat/>
    <w:uiPriority w:val="0"/>
    <w:pPr>
      <w:numPr>
        <w:ilvl w:val="0"/>
        <w:numId w:val="10"/>
      </w:numPr>
    </w:pPr>
    <w:rPr>
      <w:rFonts w:ascii="宋体" w:hAnsi="Times New Roman" w:eastAsia="宋体" w:cs="Times New Roman"/>
      <w:sz w:val="21"/>
      <w:lang w:val="en-US" w:eastAsia="zh-CN" w:bidi="ar-SA"/>
    </w:rPr>
  </w:style>
  <w:style w:type="character" w:customStyle="1" w:styleId="114">
    <w:name w:val="脚注文本 Char"/>
    <w:basedOn w:val="38"/>
    <w:link w:val="27"/>
    <w:qFormat/>
    <w:uiPriority w:val="0"/>
    <w:rPr>
      <w:rFonts w:ascii="宋体" w:hAnsi="Times New Roman" w:eastAsia="宋体" w:cs="Times New Roman"/>
      <w:sz w:val="18"/>
      <w:szCs w:val="18"/>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1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其他标准标志"/>
    <w:basedOn w:val="76"/>
    <w:uiPriority w:val="0"/>
    <w:pPr>
      <w:framePr w:w="6101"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其他发布部门"/>
    <w:basedOn w:val="82"/>
    <w:qFormat/>
    <w:uiPriority w:val="0"/>
    <w:pPr>
      <w:framePr w:y="15310"/>
      <w:spacing w:line="0" w:lineRule="atLeast"/>
    </w:pPr>
    <w:rPr>
      <w:rFonts w:ascii="黑体" w:eastAsia="黑体"/>
      <w:b w:val="0"/>
    </w:rPr>
  </w:style>
  <w:style w:type="paragraph" w:customStyle="1" w:styleId="121">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三级无"/>
    <w:basedOn w:val="54"/>
    <w:qFormat/>
    <w:uiPriority w:val="0"/>
    <w:pPr>
      <w:numPr>
        <w:ilvl w:val="0"/>
        <w:numId w:val="0"/>
      </w:numPr>
      <w:tabs>
        <w:tab w:val="left" w:pos="2098"/>
      </w:tabs>
      <w:spacing w:beforeLines="0" w:afterLines="0"/>
      <w:ind w:left="2098" w:hanging="420"/>
    </w:pPr>
    <w:rPr>
      <w:rFonts w:ascii="宋体" w:eastAsia="宋体"/>
    </w:rPr>
  </w:style>
  <w:style w:type="paragraph" w:customStyle="1" w:styleId="123">
    <w:name w:val="实施日期"/>
    <w:basedOn w:val="83"/>
    <w:qFormat/>
    <w:uiPriority w:val="0"/>
    <w:pPr>
      <w:framePr w:vAnchor="page" w:hAnchor="text"/>
      <w:jc w:val="right"/>
    </w:pPr>
  </w:style>
  <w:style w:type="paragraph" w:customStyle="1" w:styleId="124">
    <w:name w:val="示例后文字"/>
    <w:basedOn w:val="26"/>
    <w:next w:val="26"/>
    <w:qFormat/>
    <w:uiPriority w:val="0"/>
    <w:pPr>
      <w:ind w:firstLine="360"/>
    </w:pPr>
    <w:rPr>
      <w:sz w:val="18"/>
    </w:rPr>
  </w:style>
  <w:style w:type="paragraph" w:customStyle="1" w:styleId="125">
    <w:name w:val="首示例"/>
    <w:next w:val="26"/>
    <w:link w:val="126"/>
    <w:qFormat/>
    <w:uiPriority w:val="0"/>
    <w:pPr>
      <w:tabs>
        <w:tab w:val="left" w:pos="360"/>
        <w:tab w:val="left" w:pos="839"/>
      </w:tabs>
      <w:ind w:left="839"/>
    </w:pPr>
    <w:rPr>
      <w:rFonts w:ascii="宋体" w:hAnsi="宋体" w:eastAsia="宋体" w:cs="Times New Roman"/>
      <w:kern w:val="2"/>
      <w:sz w:val="18"/>
      <w:szCs w:val="18"/>
      <w:lang w:val="en-US" w:eastAsia="zh-CN" w:bidi="ar-SA"/>
    </w:rPr>
  </w:style>
  <w:style w:type="character" w:customStyle="1" w:styleId="126">
    <w:name w:val="首示例 Char"/>
    <w:link w:val="125"/>
    <w:qFormat/>
    <w:uiPriority w:val="0"/>
    <w:rPr>
      <w:rFonts w:ascii="宋体" w:hAnsi="宋体" w:eastAsia="宋体" w:cs="Times New Roman"/>
      <w:sz w:val="18"/>
      <w:szCs w:val="18"/>
    </w:rPr>
  </w:style>
  <w:style w:type="paragraph" w:customStyle="1" w:styleId="127">
    <w:name w:val="四级无"/>
    <w:basedOn w:val="55"/>
    <w:qFormat/>
    <w:uiPriority w:val="0"/>
    <w:pPr>
      <w:numPr>
        <w:ilvl w:val="0"/>
        <w:numId w:val="12"/>
      </w:numPr>
      <w:spacing w:beforeLines="0" w:afterLines="0"/>
      <w:ind w:firstLine="0"/>
    </w:pPr>
    <w:rPr>
      <w:rFonts w:ascii="宋体" w:eastAsia="宋体"/>
    </w:rPr>
  </w:style>
  <w:style w:type="paragraph" w:customStyle="1" w:styleId="128">
    <w:name w:val="条文脚注"/>
    <w:basedOn w:val="27"/>
    <w:qFormat/>
    <w:uiPriority w:val="0"/>
    <w:pPr>
      <w:numPr>
        <w:numId w:val="0"/>
      </w:numPr>
      <w:jc w:val="both"/>
    </w:pPr>
  </w:style>
  <w:style w:type="paragraph" w:customStyle="1" w:styleId="129">
    <w:name w:val="图标脚注说明"/>
    <w:basedOn w:val="26"/>
    <w:qFormat/>
    <w:uiPriority w:val="0"/>
    <w:pPr>
      <w:ind w:left="840" w:hanging="420" w:firstLineChars="0"/>
    </w:pPr>
    <w:rPr>
      <w:sz w:val="18"/>
      <w:szCs w:val="18"/>
    </w:rPr>
  </w:style>
  <w:style w:type="paragraph" w:customStyle="1" w:styleId="130">
    <w:name w:val="图表脚注说明"/>
    <w:basedOn w:val="1"/>
    <w:qFormat/>
    <w:uiPriority w:val="0"/>
    <w:pPr>
      <w:tabs>
        <w:tab w:val="left" w:pos="0"/>
      </w:tabs>
      <w:ind w:left="720" w:hanging="357"/>
    </w:pPr>
    <w:rPr>
      <w:rFonts w:ascii="宋体" w:hAnsi="Times New Roman" w:eastAsia="宋体" w:cs="Times New Roman"/>
      <w:sz w:val="18"/>
      <w:szCs w:val="18"/>
    </w:rPr>
  </w:style>
  <w:style w:type="paragraph" w:customStyle="1" w:styleId="131">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32">
    <w:name w:val="尾注文本 Char"/>
    <w:basedOn w:val="38"/>
    <w:link w:val="18"/>
    <w:semiHidden/>
    <w:qFormat/>
    <w:uiPriority w:val="0"/>
    <w:rPr>
      <w:rFonts w:ascii="Times New Roman" w:hAnsi="Times New Roman" w:eastAsia="宋体" w:cs="Times New Roman"/>
      <w:szCs w:val="24"/>
    </w:rPr>
  </w:style>
  <w:style w:type="character" w:customStyle="1" w:styleId="133">
    <w:name w:val="文档结构图 Char"/>
    <w:basedOn w:val="38"/>
    <w:link w:val="9"/>
    <w:semiHidden/>
    <w:qFormat/>
    <w:uiPriority w:val="0"/>
    <w:rPr>
      <w:rFonts w:ascii="Times New Roman" w:hAnsi="Times New Roman" w:eastAsia="宋体" w:cs="Times New Roman"/>
      <w:szCs w:val="24"/>
      <w:shd w:val="clear" w:color="auto" w:fill="000080"/>
    </w:rPr>
  </w:style>
  <w:style w:type="paragraph" w:customStyle="1" w:styleId="13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5">
    <w:name w:val="五级无"/>
    <w:basedOn w:val="56"/>
    <w:qFormat/>
    <w:uiPriority w:val="0"/>
    <w:pPr>
      <w:numPr>
        <w:ilvl w:val="0"/>
        <w:numId w:val="0"/>
      </w:numPr>
      <w:tabs>
        <w:tab w:val="left" w:pos="2942"/>
      </w:tabs>
      <w:spacing w:beforeLines="0" w:afterLines="0"/>
      <w:ind w:left="2937" w:hanging="420"/>
    </w:pPr>
    <w:rPr>
      <w:rFonts w:ascii="宋体" w:eastAsia="宋体"/>
    </w:rPr>
  </w:style>
  <w:style w:type="paragraph" w:customStyle="1" w:styleId="136">
    <w:name w:val="一级无"/>
    <w:basedOn w:val="50"/>
    <w:qFormat/>
    <w:uiPriority w:val="0"/>
    <w:pPr>
      <w:numPr>
        <w:ilvl w:val="0"/>
        <w:numId w:val="0"/>
      </w:numPr>
      <w:tabs>
        <w:tab w:val="left" w:pos="1259"/>
      </w:tabs>
      <w:spacing w:beforeLines="0" w:afterLines="0"/>
      <w:ind w:left="1259" w:hanging="420"/>
    </w:pPr>
    <w:rPr>
      <w:rFonts w:ascii="宋体" w:eastAsia="宋体"/>
    </w:rPr>
  </w:style>
  <w:style w:type="paragraph" w:customStyle="1" w:styleId="137">
    <w:name w:val="_Style 1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正文表标题"/>
    <w:next w:val="26"/>
    <w:qFormat/>
    <w:uiPriority w:val="0"/>
    <w:pPr>
      <w:tabs>
        <w:tab w:val="left" w:pos="360"/>
      </w:tabs>
      <w:spacing w:beforeLines="50" w:afterLines="50"/>
      <w:ind w:left="544" w:hanging="181"/>
      <w:jc w:val="center"/>
    </w:pPr>
    <w:rPr>
      <w:rFonts w:ascii="黑体" w:hAnsi="Times New Roman" w:eastAsia="黑体" w:cs="Times New Roman"/>
      <w:sz w:val="21"/>
      <w:lang w:val="en-US" w:eastAsia="zh-CN" w:bidi="ar-SA"/>
    </w:rPr>
  </w:style>
  <w:style w:type="paragraph" w:customStyle="1" w:styleId="139">
    <w:name w:val="正文公式编号制表符"/>
    <w:basedOn w:val="26"/>
    <w:next w:val="26"/>
    <w:qFormat/>
    <w:uiPriority w:val="0"/>
    <w:pPr>
      <w:ind w:firstLine="0" w:firstLineChars="0"/>
    </w:pPr>
  </w:style>
  <w:style w:type="paragraph" w:customStyle="1" w:styleId="140">
    <w:name w:val="正文图标题"/>
    <w:next w:val="26"/>
    <w:qFormat/>
    <w:uiPriority w:val="0"/>
    <w:pPr>
      <w:numPr>
        <w:ilvl w:val="0"/>
        <w:numId w:val="1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1">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142">
    <w:name w:val="其他发布日期"/>
    <w:basedOn w:val="83"/>
    <w:qFormat/>
    <w:uiPriority w:val="0"/>
    <w:pPr>
      <w:framePr w:vAnchor="page" w:hAnchor="text" w:x="1419"/>
      <w:numPr>
        <w:ilvl w:val="0"/>
        <w:numId w:val="14"/>
      </w:numPr>
    </w:pPr>
  </w:style>
  <w:style w:type="paragraph" w:customStyle="1" w:styleId="143">
    <w:name w:val="其他实施日期"/>
    <w:basedOn w:val="123"/>
    <w:qFormat/>
    <w:uiPriority w:val="0"/>
  </w:style>
  <w:style w:type="paragraph" w:customStyle="1" w:styleId="144">
    <w:name w:val="封面标准名称2"/>
    <w:basedOn w:val="86"/>
    <w:qFormat/>
    <w:uiPriority w:val="0"/>
    <w:pPr>
      <w:framePr w:y="4469"/>
      <w:spacing w:beforeLines="630"/>
    </w:pPr>
  </w:style>
  <w:style w:type="paragraph" w:customStyle="1" w:styleId="145">
    <w:name w:val="封面标准英文名称2"/>
    <w:basedOn w:val="87"/>
    <w:qFormat/>
    <w:uiPriority w:val="0"/>
    <w:pPr>
      <w:framePr w:y="4469"/>
    </w:pPr>
  </w:style>
  <w:style w:type="paragraph" w:customStyle="1" w:styleId="146">
    <w:name w:val="封面一致性程度标识2"/>
    <w:basedOn w:val="88"/>
    <w:qFormat/>
    <w:uiPriority w:val="0"/>
    <w:pPr>
      <w:framePr w:y="4469"/>
    </w:pPr>
  </w:style>
  <w:style w:type="paragraph" w:customStyle="1" w:styleId="147">
    <w:name w:val="封面标准文稿类别2"/>
    <w:basedOn w:val="89"/>
    <w:qFormat/>
    <w:uiPriority w:val="0"/>
    <w:pPr>
      <w:framePr w:y="4469"/>
    </w:pPr>
  </w:style>
  <w:style w:type="paragraph" w:customStyle="1" w:styleId="148">
    <w:name w:val="封面标准文稿编辑信息2"/>
    <w:basedOn w:val="90"/>
    <w:qFormat/>
    <w:uiPriority w:val="0"/>
    <w:pPr>
      <w:framePr w:y="4469"/>
    </w:pPr>
  </w:style>
  <w:style w:type="character" w:customStyle="1" w:styleId="149">
    <w:name w:val="批注框文本 Char"/>
    <w:basedOn w:val="38"/>
    <w:link w:val="19"/>
    <w:qFormat/>
    <w:uiPriority w:val="0"/>
    <w:rPr>
      <w:rFonts w:ascii="Times New Roman" w:hAnsi="Times New Roman" w:eastAsia="宋体" w:cs="Times New Roman"/>
      <w:sz w:val="18"/>
      <w:szCs w:val="18"/>
      <w:lang w:val="zh-CN" w:eastAsia="zh-CN"/>
    </w:rPr>
  </w:style>
  <w:style w:type="paragraph" w:customStyle="1" w:styleId="150">
    <w:name w:val="Char"/>
    <w:basedOn w:val="1"/>
    <w:next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styleId="151">
    <w:name w:val="List Paragraph"/>
    <w:basedOn w:val="1"/>
    <w:qFormat/>
    <w:uiPriority w:val="34"/>
    <w:pPr>
      <w:ind w:firstLine="420" w:firstLineChars="200"/>
    </w:pPr>
    <w:rPr>
      <w:rFonts w:ascii="Times New Roman" w:hAnsi="Times New Roman" w:eastAsia="宋体" w:cs="Times New Roman"/>
      <w:szCs w:val="24"/>
    </w:rPr>
  </w:style>
  <w:style w:type="paragraph" w:customStyle="1" w:styleId="152">
    <w:name w:val="ordinary-output target-outpu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3">
    <w:name w:val="Char Char1 Char Char Char Char"/>
    <w:basedOn w:val="1"/>
    <w:qFormat/>
    <w:uiPriority w:val="0"/>
    <w:rPr>
      <w:rFonts w:ascii="Times New Roman" w:hAnsi="Times New Roman" w:eastAsia="宋体" w:cs="Times New Roman"/>
      <w:szCs w:val="24"/>
    </w:rPr>
  </w:style>
  <w:style w:type="paragraph" w:customStyle="1" w:styleId="1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55">
    <w:name w:val="high-light-bg4"/>
    <w:basedOn w:val="38"/>
    <w:uiPriority w:val="0"/>
  </w:style>
  <w:style w:type="paragraph" w:customStyle="1" w:styleId="156">
    <w:name w:val="Char Char1"/>
    <w:basedOn w:val="1"/>
    <w:qFormat/>
    <w:uiPriority w:val="0"/>
    <w:rPr>
      <w:rFonts w:ascii="Times New Roman" w:hAnsi="Times New Roman" w:eastAsia="宋体" w:cs="Times New Roman"/>
      <w:sz w:val="30"/>
      <w:szCs w:val="30"/>
    </w:rPr>
  </w:style>
  <w:style w:type="character" w:customStyle="1" w:styleId="157">
    <w:name w:val="正文文本缩进 2 Char"/>
    <w:basedOn w:val="38"/>
    <w:link w:val="17"/>
    <w:qFormat/>
    <w:uiPriority w:val="0"/>
    <w:rPr>
      <w:rFonts w:ascii="Times New Roman" w:hAnsi="Times New Roman" w:eastAsia="宋体" w:cs="Times New Roman"/>
      <w:szCs w:val="20"/>
    </w:rPr>
  </w:style>
  <w:style w:type="paragraph" w:customStyle="1" w:styleId="15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59">
    <w:name w:val="标题 3 Char"/>
    <w:basedOn w:val="38"/>
    <w:link w:val="4"/>
    <w:semiHidden/>
    <w:uiPriority w:val="9"/>
    <w:rPr>
      <w:b/>
      <w:bCs/>
      <w:sz w:val="32"/>
      <w:szCs w:val="32"/>
    </w:rPr>
  </w:style>
  <w:style w:type="character" w:customStyle="1" w:styleId="160">
    <w:name w:val="章标题 Char"/>
    <w:link w:val="51"/>
    <w:qFormat/>
    <w:uiPriority w:val="0"/>
    <w:rPr>
      <w:rFonts w:ascii="黑体" w:hAnsi="Times New Roman" w:eastAsia="黑体" w:cs="Times New Roman"/>
      <w:sz w:val="21"/>
    </w:rPr>
  </w:style>
  <w:style w:type="character" w:customStyle="1" w:styleId="161">
    <w:name w:val="一级条标题 Char Char"/>
    <w:link w:val="50"/>
    <w:qFormat/>
    <w:uiPriority w:val="0"/>
    <w:rPr>
      <w:rFonts w:ascii="黑体" w:hAnsi="Times New Roman" w:eastAsia="黑体" w:cs="Times New Roman"/>
      <w:sz w:val="21"/>
      <w:szCs w:val="21"/>
    </w:rPr>
  </w:style>
  <w:style w:type="character" w:customStyle="1" w:styleId="162">
    <w:name w:val="批注文字 Char"/>
    <w:basedOn w:val="38"/>
    <w:link w:val="10"/>
    <w:semiHidden/>
    <w:uiPriority w:val="99"/>
    <w:rPr>
      <w:kern w:val="2"/>
      <w:sz w:val="21"/>
      <w:szCs w:val="22"/>
    </w:rPr>
  </w:style>
  <w:style w:type="character" w:customStyle="1" w:styleId="163">
    <w:name w:val="批注主题 Char"/>
    <w:basedOn w:val="162"/>
    <w:link w:val="35"/>
    <w:semiHidden/>
    <w:uiPriority w:val="99"/>
    <w:rPr>
      <w:b/>
      <w:bCs/>
      <w:kern w:val="2"/>
      <w:sz w:val="21"/>
      <w:szCs w:val="22"/>
    </w:rPr>
  </w:style>
  <w:style w:type="paragraph" w:customStyle="1" w:styleId="164">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5.wmf"/><Relationship Id="rId17" Type="http://schemas.openxmlformats.org/officeDocument/2006/relationships/oleObject" Target="embeddings/oleObject3.bin"/><Relationship Id="rId16" Type="http://schemas.openxmlformats.org/officeDocument/2006/relationships/image" Target="media/image4.wmf"/><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1C411-4988-4092-9717-70DE1CF26E6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1888</Words>
  <Characters>10768</Characters>
  <Lines>89</Lines>
  <Paragraphs>25</Paragraphs>
  <TotalTime>17</TotalTime>
  <ScaleCrop>false</ScaleCrop>
  <LinksUpToDate>false</LinksUpToDate>
  <CharactersWithSpaces>12631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2020-11-23T08:39:00Z</dcterms:created>
  <dc:creator>NIEBO</dc:creator>
  <cp:lastModifiedBy>NIEBO</cp:lastModifiedBy>
  <cp:lastPrinted>2018-05-23T02:11:00Z</cp:lastPrinted>
  <dcterms:modified xsi:type="dcterms:W3CDTF">2020-12-28T02:52:40Z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