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仿宋"/>
          <w:b/>
          <w:bCs/>
          <w:sz w:val="30"/>
          <w:szCs w:val="30"/>
        </w:rPr>
      </w:pPr>
    </w:p>
    <w:p>
      <w:pPr>
        <w:spacing w:line="360" w:lineRule="auto"/>
        <w:jc w:val="center"/>
        <w:rPr>
          <w:rFonts w:eastAsia="仿宋"/>
          <w:b/>
          <w:bCs/>
          <w:sz w:val="30"/>
          <w:szCs w:val="30"/>
        </w:rPr>
      </w:pPr>
      <w:r>
        <w:rPr>
          <w:rFonts w:hint="eastAsia" w:eastAsia="仿宋"/>
          <w:b/>
          <w:bCs/>
          <w:sz w:val="30"/>
          <w:szCs w:val="30"/>
        </w:rPr>
        <w:t>《宇航级食品 固体饮料》</w:t>
      </w:r>
    </w:p>
    <w:p>
      <w:pPr>
        <w:spacing w:line="360" w:lineRule="auto"/>
        <w:jc w:val="center"/>
        <w:rPr>
          <w:sz w:val="30"/>
          <w:szCs w:val="30"/>
        </w:rPr>
      </w:pPr>
    </w:p>
    <w:p>
      <w:pPr>
        <w:spacing w:line="360" w:lineRule="auto"/>
        <w:jc w:val="center"/>
        <w:rPr>
          <w:sz w:val="30"/>
          <w:szCs w:val="30"/>
        </w:rPr>
      </w:pPr>
    </w:p>
    <w:p>
      <w:pPr>
        <w:spacing w:line="360" w:lineRule="auto"/>
        <w:jc w:val="center"/>
        <w:rPr>
          <w:rFonts w:eastAsia="方正姚体"/>
          <w:sz w:val="30"/>
          <w:szCs w:val="30"/>
        </w:rPr>
      </w:pPr>
      <w:r>
        <w:rPr>
          <w:rFonts w:hint="eastAsia" w:eastAsia="方正姚体"/>
          <w:sz w:val="30"/>
          <w:szCs w:val="30"/>
        </w:rPr>
        <w:t xml:space="preserve">编 制 说 明 </w:t>
      </w:r>
    </w:p>
    <w:p>
      <w:pPr>
        <w:spacing w:line="360" w:lineRule="auto"/>
        <w:jc w:val="center"/>
        <w:rPr>
          <w:rFonts w:eastAsia="方正姚体"/>
          <w:sz w:val="30"/>
          <w:szCs w:val="30"/>
        </w:rPr>
      </w:pPr>
      <w:r>
        <w:rPr>
          <w:rFonts w:hint="eastAsia" w:eastAsia="方正姚体"/>
          <w:sz w:val="30"/>
          <w:szCs w:val="30"/>
        </w:rPr>
        <w:t>（征求意见稿）</w:t>
      </w: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rFonts w:eastAsia="仿宋"/>
          <w:b/>
          <w:bCs/>
          <w:sz w:val="28"/>
          <w:szCs w:val="28"/>
        </w:rPr>
      </w:pPr>
      <w:r>
        <w:rPr>
          <w:rFonts w:hint="eastAsia" w:eastAsia="仿宋"/>
          <w:b/>
          <w:bCs/>
          <w:sz w:val="28"/>
          <w:szCs w:val="28"/>
        </w:rPr>
        <w:t>北京神飞航天应用技术研究院</w:t>
      </w:r>
    </w:p>
    <w:p>
      <w:pPr>
        <w:spacing w:line="360" w:lineRule="auto"/>
        <w:jc w:val="center"/>
        <w:rPr>
          <w:rFonts w:eastAsia="仿宋"/>
          <w:b/>
          <w:bCs/>
          <w:sz w:val="28"/>
          <w:szCs w:val="28"/>
        </w:rPr>
      </w:pPr>
      <w:r>
        <w:rPr>
          <w:rFonts w:hint="eastAsia" w:eastAsia="仿宋"/>
          <w:b/>
          <w:bCs/>
          <w:sz w:val="28"/>
          <w:szCs w:val="28"/>
        </w:rPr>
        <w:t xml:space="preserve"> 二 0 二 0 年</w:t>
      </w:r>
      <w:r>
        <w:rPr>
          <w:rFonts w:eastAsia="仿宋"/>
          <w:b/>
          <w:bCs/>
          <w:sz w:val="28"/>
          <w:szCs w:val="28"/>
        </w:rPr>
        <w:t xml:space="preserve">10 </w:t>
      </w:r>
      <w:r>
        <w:rPr>
          <w:rFonts w:hint="eastAsia" w:eastAsia="仿宋"/>
          <w:b/>
          <w:bCs/>
          <w:sz w:val="28"/>
          <w:szCs w:val="28"/>
        </w:rPr>
        <w:t xml:space="preserve">月 </w:t>
      </w:r>
      <w:r>
        <w:rPr>
          <w:rFonts w:eastAsia="仿宋"/>
          <w:b/>
          <w:bCs/>
          <w:sz w:val="28"/>
          <w:szCs w:val="28"/>
        </w:rPr>
        <w:t xml:space="preserve">20 </w:t>
      </w:r>
      <w:r>
        <w:rPr>
          <w:rFonts w:hint="eastAsia" w:eastAsia="仿宋"/>
          <w:b/>
          <w:bCs/>
          <w:sz w:val="28"/>
          <w:szCs w:val="28"/>
        </w:rPr>
        <w:t>日</w:t>
      </w:r>
    </w:p>
    <w:p>
      <w:pPr>
        <w:spacing w:line="360" w:lineRule="auto"/>
        <w:jc w:val="center"/>
        <w:rPr>
          <w:szCs w:val="21"/>
        </w:rPr>
      </w:pPr>
    </w:p>
    <w:p>
      <w:pPr>
        <w:numPr>
          <w:ilvl w:val="0"/>
          <w:numId w:val="1"/>
        </w:numPr>
        <w:spacing w:line="360" w:lineRule="auto"/>
        <w:rPr>
          <w:b/>
          <w:bCs/>
          <w:sz w:val="24"/>
          <w:szCs w:val="24"/>
        </w:rPr>
      </w:pPr>
      <w:r>
        <w:rPr>
          <w:b/>
          <w:bCs/>
          <w:sz w:val="24"/>
          <w:szCs w:val="24"/>
        </w:rPr>
        <w:t>工作简况</w:t>
      </w:r>
    </w:p>
    <w:p>
      <w:pPr>
        <w:spacing w:line="360" w:lineRule="auto"/>
        <w:ind w:firstLine="0"/>
        <w:rPr>
          <w:b/>
          <w:bCs/>
          <w:szCs w:val="21"/>
        </w:rPr>
      </w:pPr>
      <w:r>
        <w:rPr>
          <w:rFonts w:hint="eastAsia"/>
          <w:b/>
          <w:bCs/>
          <w:szCs w:val="21"/>
        </w:rPr>
        <w:t>（一）任务的目的意义</w:t>
      </w:r>
    </w:p>
    <w:p>
      <w:pPr>
        <w:spacing w:line="360" w:lineRule="auto"/>
        <w:ind w:firstLine="420" w:firstLineChars="200"/>
        <w:rPr>
          <w:szCs w:val="21"/>
        </w:rPr>
      </w:pPr>
      <w:r>
        <w:rPr>
          <w:szCs w:val="21"/>
        </w:rPr>
        <w:t>“民以食为天，食以安为先”。食品安全问题关乎人民大众的健康，一直受到党和政府的高度关注。目前，国家正在推行大健康战略，让老百姓吃上安全放心的食品是重要一环。航天产品素来以高品质著称，在人们心中享有崇高的信誉。</w:t>
      </w:r>
      <w:r>
        <w:rPr>
          <w:rFonts w:hint="eastAsia"/>
          <w:szCs w:val="21"/>
        </w:rPr>
        <w:t>将宇航食品生产企业质量管理的方法和生产加工的技术，在我国的食品行业进行推广，对改善我国食品安全的现状</w:t>
      </w:r>
      <w:r>
        <w:rPr>
          <w:szCs w:val="21"/>
        </w:rPr>
        <w:t>和提升我</w:t>
      </w:r>
      <w:bookmarkStart w:id="2" w:name="_GoBack"/>
      <w:bookmarkEnd w:id="2"/>
      <w:r>
        <w:rPr>
          <w:szCs w:val="21"/>
        </w:rPr>
        <w:t>国食品的质量水平</w:t>
      </w:r>
      <w:r>
        <w:rPr>
          <w:rFonts w:hint="eastAsia"/>
          <w:szCs w:val="21"/>
        </w:rPr>
        <w:t>意义重大。开展这项工作的一个重要方面就是标准的制定和推广。由于国内目前还没有颁布相关标准，当务之急就是制定</w:t>
      </w:r>
      <w:r>
        <w:rPr>
          <w:szCs w:val="21"/>
        </w:rPr>
        <w:t>宇航级食品的标准</w:t>
      </w:r>
      <w:r>
        <w:rPr>
          <w:rFonts w:hint="eastAsia"/>
          <w:szCs w:val="21"/>
        </w:rPr>
        <w:t>。</w:t>
      </w:r>
      <w:r>
        <w:rPr>
          <w:szCs w:val="21"/>
        </w:rPr>
        <w:t>以宇航级食品标准为引导，拉动我国食品行业的技术进步，提升我国加工食品的质量水平。</w:t>
      </w:r>
      <w:r>
        <w:rPr>
          <w:rFonts w:hint="eastAsia"/>
          <w:szCs w:val="21"/>
        </w:rPr>
        <w:t>中轻联是我国食品行业的业务指导机构，对北京神飞航天应用技术研究院拟编制宇航级食品系列标准的</w:t>
      </w:r>
      <w:r>
        <w:rPr>
          <w:szCs w:val="21"/>
        </w:rPr>
        <w:t>计划</w:t>
      </w:r>
      <w:r>
        <w:rPr>
          <w:rFonts w:hint="eastAsia"/>
          <w:szCs w:val="21"/>
        </w:rPr>
        <w:t>十分赞同，</w:t>
      </w:r>
      <w:r>
        <w:rPr>
          <w:szCs w:val="21"/>
        </w:rPr>
        <w:t>认为此举对促进我国食品行业的转型升级具有积极的意义</w:t>
      </w:r>
      <w:r>
        <w:rPr>
          <w:szCs w:val="21"/>
          <w:highlight w:val="none"/>
        </w:rPr>
        <w:t>，</w:t>
      </w:r>
      <w:r>
        <w:rPr>
          <w:rFonts w:hint="eastAsia"/>
          <w:szCs w:val="21"/>
          <w:highlight w:val="none"/>
          <w:lang w:val="en-US" w:eastAsia="zh-CN"/>
        </w:rPr>
        <w:t>并得到全国</w:t>
      </w:r>
      <w:r>
        <w:rPr>
          <w:rFonts w:hint="eastAsia"/>
          <w:szCs w:val="21"/>
          <w:highlight w:val="none"/>
        </w:rPr>
        <w:t>食品</w:t>
      </w:r>
      <w:r>
        <w:rPr>
          <w:rFonts w:hint="eastAsia"/>
          <w:szCs w:val="21"/>
          <w:highlight w:val="none"/>
          <w:lang w:val="en-US" w:eastAsia="zh-CN"/>
        </w:rPr>
        <w:t>工业</w:t>
      </w:r>
      <w:r>
        <w:rPr>
          <w:rFonts w:hint="eastAsia"/>
          <w:szCs w:val="21"/>
          <w:highlight w:val="none"/>
        </w:rPr>
        <w:t>标准化</w:t>
      </w:r>
      <w:r>
        <w:rPr>
          <w:rFonts w:hint="eastAsia"/>
          <w:szCs w:val="21"/>
          <w:highlight w:val="none"/>
          <w:lang w:val="en-US" w:eastAsia="zh-CN"/>
        </w:rPr>
        <w:t>技术</w:t>
      </w:r>
      <w:r>
        <w:rPr>
          <w:rFonts w:hint="eastAsia"/>
          <w:szCs w:val="21"/>
          <w:highlight w:val="none"/>
        </w:rPr>
        <w:t>委员会和中国质量认证中心</w:t>
      </w:r>
      <w:r>
        <w:rPr>
          <w:rFonts w:hint="eastAsia"/>
          <w:szCs w:val="21"/>
          <w:highlight w:val="none"/>
          <w:lang w:val="en-US" w:eastAsia="zh-CN"/>
        </w:rPr>
        <w:t>等</w:t>
      </w:r>
      <w:r>
        <w:rPr>
          <w:rFonts w:hint="eastAsia"/>
          <w:szCs w:val="21"/>
          <w:highlight w:val="none"/>
        </w:rPr>
        <w:t>相关专家</w:t>
      </w:r>
      <w:r>
        <w:rPr>
          <w:rFonts w:hint="eastAsia"/>
          <w:szCs w:val="21"/>
          <w:highlight w:val="none"/>
          <w:lang w:val="en-US" w:eastAsia="zh-CN"/>
        </w:rPr>
        <w:t>的</w:t>
      </w:r>
      <w:r>
        <w:rPr>
          <w:rFonts w:hint="eastAsia"/>
          <w:szCs w:val="21"/>
          <w:highlight w:val="none"/>
        </w:rPr>
        <w:t>大力支持。经多方交流磋商，决定将该系列标准定位为中</w:t>
      </w:r>
      <w:r>
        <w:rPr>
          <w:rFonts w:hint="eastAsia"/>
          <w:szCs w:val="21"/>
          <w:highlight w:val="none"/>
          <w:lang w:val="en-US" w:eastAsia="zh-CN"/>
        </w:rPr>
        <w:t>国</w:t>
      </w:r>
      <w:r>
        <w:rPr>
          <w:rFonts w:hint="eastAsia"/>
          <w:szCs w:val="21"/>
        </w:rPr>
        <w:t>轻</w:t>
      </w:r>
      <w:r>
        <w:rPr>
          <w:rFonts w:hint="eastAsia"/>
          <w:szCs w:val="21"/>
          <w:lang w:val="en-US" w:eastAsia="zh-CN"/>
        </w:rPr>
        <w:t>工</w:t>
      </w:r>
      <w:r>
        <w:rPr>
          <w:rFonts w:hint="eastAsia"/>
          <w:szCs w:val="21"/>
        </w:rPr>
        <w:t>联的团体标准。</w:t>
      </w:r>
    </w:p>
    <w:p>
      <w:pPr>
        <w:spacing w:line="360" w:lineRule="auto"/>
        <w:ind w:firstLine="420" w:firstLineChars="200"/>
        <w:rPr>
          <w:b/>
          <w:bCs/>
          <w:szCs w:val="21"/>
        </w:rPr>
      </w:pPr>
      <w:r>
        <w:rPr>
          <w:b/>
          <w:bCs/>
          <w:szCs w:val="21"/>
        </w:rPr>
        <w:t>（二）</w:t>
      </w:r>
      <w:r>
        <w:rPr>
          <w:rFonts w:hint="eastAsia"/>
          <w:b/>
          <w:bCs/>
          <w:szCs w:val="21"/>
        </w:rPr>
        <w:t xml:space="preserve">任务来源 </w:t>
      </w:r>
    </w:p>
    <w:p>
      <w:pPr>
        <w:spacing w:line="360" w:lineRule="auto"/>
        <w:ind w:firstLine="420" w:firstLineChars="200"/>
        <w:rPr>
          <w:szCs w:val="21"/>
        </w:rPr>
      </w:pPr>
      <w:r>
        <w:rPr>
          <w:rFonts w:hint="eastAsia"/>
          <w:szCs w:val="21"/>
        </w:rPr>
        <w:t>本任务由中国轻工业联合会下达，任务书编号</w:t>
      </w:r>
      <w:r>
        <w:rPr>
          <w:szCs w:val="21"/>
        </w:rPr>
        <w:t>：</w:t>
      </w:r>
      <w:r>
        <w:rPr>
          <w:rFonts w:hint="eastAsia"/>
          <w:szCs w:val="21"/>
        </w:rPr>
        <w:t>中轻联综合【2019】340号。</w:t>
      </w:r>
    </w:p>
    <w:p>
      <w:pPr>
        <w:spacing w:line="360" w:lineRule="auto"/>
        <w:ind w:firstLine="420" w:firstLineChars="200"/>
        <w:rPr>
          <w:b/>
          <w:bCs/>
          <w:szCs w:val="21"/>
        </w:rPr>
      </w:pPr>
      <w:r>
        <w:rPr>
          <w:rFonts w:hint="eastAsia"/>
          <w:b/>
          <w:bCs/>
          <w:szCs w:val="21"/>
        </w:rPr>
        <w:t>（三）主要工作过程</w:t>
      </w:r>
    </w:p>
    <w:p>
      <w:pPr>
        <w:spacing w:line="360" w:lineRule="auto"/>
        <w:ind w:firstLine="420" w:firstLineChars="200"/>
        <w:rPr>
          <w:szCs w:val="21"/>
        </w:rPr>
      </w:pPr>
      <w:r>
        <w:rPr>
          <w:rFonts w:hint="eastAsia"/>
          <w:szCs w:val="21"/>
        </w:rPr>
        <w:t>北京神飞航天应用技术研究院多年来一直致力于航天高新技术的民用推广工作。北京神飞航天应用技术研究院</w:t>
      </w:r>
      <w:r>
        <w:rPr>
          <w:szCs w:val="21"/>
        </w:rPr>
        <w:t>聚集</w:t>
      </w:r>
      <w:r>
        <w:rPr>
          <w:rFonts w:hint="eastAsia"/>
          <w:szCs w:val="21"/>
        </w:rPr>
        <w:t>了国内航天、航空、航海、陆军、国家体委和地方</w:t>
      </w:r>
      <w:r>
        <w:rPr>
          <w:szCs w:val="21"/>
        </w:rPr>
        <w:t>院校</w:t>
      </w:r>
      <w:r>
        <w:rPr>
          <w:rFonts w:hint="eastAsia"/>
          <w:szCs w:val="21"/>
        </w:rPr>
        <w:t>众多营养和食品</w:t>
      </w:r>
      <w:r>
        <w:rPr>
          <w:szCs w:val="21"/>
        </w:rPr>
        <w:t>领域</w:t>
      </w:r>
      <w:r>
        <w:rPr>
          <w:rFonts w:hint="eastAsia"/>
          <w:szCs w:val="21"/>
        </w:rPr>
        <w:t>的专家，他们专业知识渊博、实践经验丰富，有的还具有参与国家大型型号任务管理的经历。此外，研究院与国内</w:t>
      </w:r>
      <w:r>
        <w:rPr>
          <w:szCs w:val="21"/>
        </w:rPr>
        <w:t>多所</w:t>
      </w:r>
      <w:r>
        <w:rPr>
          <w:rFonts w:hint="eastAsia"/>
          <w:szCs w:val="21"/>
        </w:rPr>
        <w:t>知名大专院校和研究院所、食品生产企业建立了广泛的联系，各方对编制宇航级食品系列标准</w:t>
      </w:r>
      <w:r>
        <w:rPr>
          <w:szCs w:val="21"/>
        </w:rPr>
        <w:t>一致赞成</w:t>
      </w:r>
      <w:r>
        <w:rPr>
          <w:rFonts w:hint="eastAsia"/>
          <w:szCs w:val="21"/>
        </w:rPr>
        <w:t>达成共识。研究院作为发起单位，担负起系列标准的申报和组织工作，标准的申报立项于2019年10月11日获中轻工联批准。</w:t>
      </w:r>
    </w:p>
    <w:p>
      <w:pPr>
        <w:spacing w:line="360" w:lineRule="auto"/>
        <w:ind w:firstLine="420" w:firstLineChars="200"/>
        <w:rPr>
          <w:szCs w:val="21"/>
        </w:rPr>
      </w:pPr>
      <w:r>
        <w:rPr>
          <w:szCs w:val="21"/>
        </w:rPr>
        <w:t>标准制订计划获批后，中</w:t>
      </w:r>
      <w:r>
        <w:rPr>
          <w:rFonts w:hint="eastAsia"/>
          <w:szCs w:val="21"/>
          <w:lang w:val="en-US" w:eastAsia="zh-CN"/>
        </w:rPr>
        <w:t>国</w:t>
      </w:r>
      <w:r>
        <w:rPr>
          <w:szCs w:val="21"/>
        </w:rPr>
        <w:t>轻工联于2019年10月下旬召开了标准编制启动工作会议，有关起草单位针对制定《宇航级食品系列标准》的具体工作进行了认真研究，确定了总体工作方案，并组建了标准起草工作小组，</w:t>
      </w:r>
      <w:r>
        <w:rPr>
          <w:rFonts w:hint="eastAsia"/>
          <w:szCs w:val="21"/>
        </w:rPr>
        <w:t>本标准由北京神飞航天应用技术研究院牵头组织编写</w:t>
      </w:r>
      <w:r>
        <w:rPr>
          <w:szCs w:val="21"/>
        </w:rPr>
        <w:t>，《宇航级食品标准</w:t>
      </w:r>
      <w:r>
        <w:rPr>
          <w:rFonts w:hint="eastAsia"/>
          <w:szCs w:val="21"/>
        </w:rPr>
        <w:t>—</w:t>
      </w:r>
      <w:r>
        <w:rPr>
          <w:szCs w:val="21"/>
        </w:rPr>
        <w:t>固体饮料》</w:t>
      </w:r>
      <w:r>
        <w:rPr>
          <w:rFonts w:hint="eastAsia"/>
          <w:szCs w:val="21"/>
          <w:lang w:val="en-US" w:eastAsia="zh-CN"/>
        </w:rPr>
        <w:t>标准</w:t>
      </w:r>
      <w:r>
        <w:rPr>
          <w:szCs w:val="21"/>
        </w:rPr>
        <w:t>起草成员单位吸纳了科研及国内主要生产企业共11个单位，包括</w:t>
      </w:r>
      <w:r>
        <w:rPr>
          <w:rFonts w:hint="eastAsia"/>
          <w:szCs w:val="21"/>
        </w:rPr>
        <w:t>北京市营养源研究所、</w:t>
      </w:r>
      <w:r>
        <w:rPr>
          <w:szCs w:val="21"/>
        </w:rPr>
        <w:t>北京工商大学、</w:t>
      </w:r>
      <w:r>
        <w:rPr>
          <w:rFonts w:hint="eastAsia"/>
          <w:szCs w:val="21"/>
        </w:rPr>
        <w:t>西北大学、河南许昌神飞航天科技有限公司、</w:t>
      </w:r>
      <w:r>
        <w:rPr>
          <w:szCs w:val="21"/>
        </w:rPr>
        <w:t>河南省食品工业研究所有限公司、</w:t>
      </w:r>
      <w:r>
        <w:rPr>
          <w:rFonts w:hint="eastAsia"/>
          <w:szCs w:val="21"/>
        </w:rPr>
        <w:t>湖北武汉一元堂</w:t>
      </w:r>
      <w:r>
        <w:rPr>
          <w:szCs w:val="21"/>
        </w:rPr>
        <w:t>生物</w:t>
      </w:r>
      <w:r>
        <w:rPr>
          <w:rFonts w:hint="eastAsia"/>
          <w:szCs w:val="21"/>
        </w:rPr>
        <w:t>科技</w:t>
      </w:r>
      <w:r>
        <w:rPr>
          <w:szCs w:val="21"/>
        </w:rPr>
        <w:t>股份</w:t>
      </w:r>
      <w:r>
        <w:rPr>
          <w:rFonts w:hint="eastAsia"/>
          <w:szCs w:val="21"/>
        </w:rPr>
        <w:t>有限公司、山东凤凰生物科技有限公司</w:t>
      </w:r>
      <w:r>
        <w:rPr>
          <w:szCs w:val="21"/>
        </w:rPr>
        <w:t>、吉林敦化天鼎宇航食品有限公司、广东广州盛世福康健康科技有限公司、</w:t>
      </w:r>
      <w:r>
        <w:rPr>
          <w:rFonts w:hint="eastAsia"/>
          <w:szCs w:val="21"/>
        </w:rPr>
        <w:t>广东惠州劲家庄健康食品有限公司</w:t>
      </w:r>
      <w:r>
        <w:rPr>
          <w:szCs w:val="21"/>
        </w:rPr>
        <w:t>、海南省凤凰荟功能性食品研究院和北京康比特体育科技股份有限公司</w:t>
      </w:r>
      <w:r>
        <w:rPr>
          <w:rFonts w:hint="eastAsia"/>
          <w:szCs w:val="21"/>
        </w:rPr>
        <w:t>等单位</w:t>
      </w:r>
      <w:r>
        <w:rPr>
          <w:szCs w:val="21"/>
        </w:rPr>
        <w:t>，具有较好的代表性。起草工作</w:t>
      </w:r>
      <w:r>
        <w:rPr>
          <w:rFonts w:hint="eastAsia"/>
          <w:szCs w:val="21"/>
        </w:rPr>
        <w:t>组的主要成员有白树民、杨昌林、龚树立、何锦风、李东、王成涛</w:t>
      </w:r>
      <w:r>
        <w:rPr>
          <w:szCs w:val="21"/>
        </w:rPr>
        <w:t>、</w:t>
      </w:r>
      <w:r>
        <w:rPr>
          <w:rFonts w:hint="eastAsia"/>
          <w:szCs w:val="21"/>
        </w:rPr>
        <w:t>李中华、曲建伟、周亮忠、</w:t>
      </w:r>
      <w:r>
        <w:rPr>
          <w:szCs w:val="21"/>
        </w:rPr>
        <w:t>周剑良、</w:t>
      </w:r>
      <w:r>
        <w:rPr>
          <w:rFonts w:hint="eastAsia"/>
          <w:szCs w:val="21"/>
        </w:rPr>
        <w:t>尤春英、</w:t>
      </w:r>
      <w:r>
        <w:rPr>
          <w:szCs w:val="21"/>
        </w:rPr>
        <w:t>毛宏伟、</w:t>
      </w:r>
      <w:r>
        <w:rPr>
          <w:rFonts w:hint="eastAsia"/>
          <w:szCs w:val="21"/>
        </w:rPr>
        <w:t>岳田利、惠丽娜、毛宏涛、</w:t>
      </w:r>
      <w:r>
        <w:rPr>
          <w:szCs w:val="21"/>
        </w:rPr>
        <w:t>王静、魏冰、张进、王振杰</w:t>
      </w:r>
      <w:r>
        <w:rPr>
          <w:rFonts w:hint="eastAsia"/>
          <w:szCs w:val="21"/>
        </w:rPr>
        <w:t>等。</w:t>
      </w:r>
    </w:p>
    <w:p>
      <w:pPr>
        <w:spacing w:line="360" w:lineRule="auto"/>
        <w:ind w:firstLine="420" w:firstLineChars="200"/>
        <w:rPr>
          <w:szCs w:val="21"/>
        </w:rPr>
      </w:pPr>
      <w:r>
        <w:rPr>
          <w:rFonts w:hint="eastAsia"/>
          <w:szCs w:val="21"/>
        </w:rPr>
        <w:t>标准编制工作的基本程序是确定标准名称，确定标准内容，了解国内外相关标准的现状，确定标准的各项技术指标和要求，编写标准初稿；广泛征求标准各参与方的意见，形成标准征求意见稿；征求主管方指定专家的意见，</w:t>
      </w:r>
      <w:r>
        <w:rPr>
          <w:szCs w:val="21"/>
        </w:rPr>
        <w:t>并在线上广泛征求意见，根据收集到的</w:t>
      </w:r>
      <w:r>
        <w:rPr>
          <w:rFonts w:hint="eastAsia"/>
          <w:szCs w:val="21"/>
        </w:rPr>
        <w:t>意见修改后形成评审稿，经评审会通过并按评审意见修改后，形成报批稿。</w:t>
      </w:r>
    </w:p>
    <w:p>
      <w:pPr>
        <w:spacing w:line="360" w:lineRule="auto"/>
        <w:ind w:firstLine="420" w:firstLineChars="200"/>
        <w:rPr>
          <w:szCs w:val="21"/>
        </w:rPr>
      </w:pPr>
      <w:r>
        <w:rPr>
          <w:szCs w:val="21"/>
        </w:rPr>
        <w:t>2019年11月-2020年9月，《宇航级食品标准</w:t>
      </w:r>
      <w:r>
        <w:rPr>
          <w:rFonts w:hint="eastAsia"/>
          <w:szCs w:val="21"/>
        </w:rPr>
        <w:t>—</w:t>
      </w:r>
      <w:r>
        <w:rPr>
          <w:szCs w:val="21"/>
        </w:rPr>
        <w:t>固体饮料》</w:t>
      </w:r>
      <w:r>
        <w:rPr>
          <w:rFonts w:hint="eastAsia"/>
          <w:szCs w:val="21"/>
          <w:lang w:val="en-US" w:eastAsia="zh-CN"/>
        </w:rPr>
        <w:t>标准</w:t>
      </w:r>
      <w:r>
        <w:rPr>
          <w:szCs w:val="21"/>
        </w:rPr>
        <w:t>起草工作组对国内外标准及有关技术资料进行检索整理，并向生产、使用单位广泛征求制定标准的意见，结合国内和国外同类标准情况，对产品质量和用户要求等进行综合分析后，初步确定了标准的基本框架和产品的技术指标及相应的试验方法，由起草工作组编写《固体饮料》标准初稿。</w:t>
      </w:r>
      <w:r>
        <w:rPr>
          <w:rFonts w:hint="eastAsia"/>
          <w:szCs w:val="21"/>
        </w:rPr>
        <w:t>由于受到新冠疫情影响，标准初稿以电子版</w:t>
      </w:r>
      <w:r>
        <w:rPr>
          <w:szCs w:val="21"/>
        </w:rPr>
        <w:t>的</w:t>
      </w:r>
      <w:r>
        <w:rPr>
          <w:rFonts w:hint="eastAsia"/>
          <w:szCs w:val="21"/>
        </w:rPr>
        <w:t>形式在专家群里广泛征求各参与方的意见，在充分合理采纳</w:t>
      </w:r>
      <w:r>
        <w:rPr>
          <w:szCs w:val="21"/>
        </w:rPr>
        <w:t>各参与方的</w:t>
      </w:r>
      <w:r>
        <w:rPr>
          <w:rFonts w:hint="eastAsia"/>
          <w:szCs w:val="21"/>
        </w:rPr>
        <w:t>意见基础上</w:t>
      </w:r>
      <w:r>
        <w:rPr>
          <w:szCs w:val="21"/>
        </w:rPr>
        <w:t>，对标准初稿进行了认证修改，</w:t>
      </w:r>
      <w:r>
        <w:rPr>
          <w:rFonts w:hint="eastAsia"/>
          <w:szCs w:val="21"/>
        </w:rPr>
        <w:t>形成了征求意见稿</w:t>
      </w:r>
    </w:p>
    <w:p>
      <w:pPr>
        <w:spacing w:line="360" w:lineRule="auto"/>
        <w:ind w:left="0"/>
        <w:rPr>
          <w:b/>
          <w:bCs/>
          <w:sz w:val="24"/>
          <w:szCs w:val="24"/>
        </w:rPr>
      </w:pPr>
      <w:r>
        <w:rPr>
          <w:rFonts w:hint="eastAsia"/>
          <w:b/>
          <w:bCs/>
          <w:sz w:val="24"/>
          <w:szCs w:val="24"/>
        </w:rPr>
        <w:t>二、编制原则和主要内容</w:t>
      </w:r>
    </w:p>
    <w:p>
      <w:pPr>
        <w:spacing w:line="360" w:lineRule="auto"/>
        <w:ind w:firstLine="420" w:firstLineChars="200"/>
        <w:rPr>
          <w:b/>
          <w:bCs/>
          <w:szCs w:val="21"/>
        </w:rPr>
      </w:pPr>
      <w:r>
        <w:rPr>
          <w:rFonts w:hint="eastAsia"/>
          <w:b/>
          <w:bCs/>
          <w:szCs w:val="21"/>
        </w:rPr>
        <w:t>（一）编制原则</w:t>
      </w:r>
    </w:p>
    <w:p>
      <w:pPr>
        <w:spacing w:line="360" w:lineRule="auto"/>
        <w:ind w:firstLine="420" w:firstLineChars="200"/>
        <w:rPr>
          <w:szCs w:val="21"/>
        </w:rPr>
      </w:pPr>
      <w:r>
        <w:rPr>
          <w:rFonts w:hint="eastAsia"/>
          <w:szCs w:val="21"/>
        </w:rPr>
        <w:t>1. 领先性原则</w:t>
      </w:r>
    </w:p>
    <w:p>
      <w:pPr>
        <w:spacing w:line="360" w:lineRule="auto"/>
        <w:ind w:firstLine="420" w:firstLineChars="200"/>
        <w:rPr>
          <w:szCs w:val="21"/>
        </w:rPr>
      </w:pPr>
      <w:r>
        <w:rPr>
          <w:rFonts w:hint="eastAsia"/>
          <w:szCs w:val="21"/>
        </w:rPr>
        <w:t>本标准在</w:t>
      </w:r>
      <w:r>
        <w:rPr>
          <w:szCs w:val="21"/>
        </w:rPr>
        <w:t>满足国家</w:t>
      </w:r>
      <w:r>
        <w:rPr>
          <w:rFonts w:hint="eastAsia"/>
          <w:szCs w:val="21"/>
        </w:rPr>
        <w:t>标准</w:t>
      </w:r>
      <w:r>
        <w:rPr>
          <w:szCs w:val="21"/>
        </w:rPr>
        <w:t>《固体饮料》</w:t>
      </w:r>
      <w:r>
        <w:rPr>
          <w:rFonts w:hint="eastAsia"/>
          <w:szCs w:val="21"/>
          <w:lang w:eastAsia="zh-CN"/>
        </w:rPr>
        <w:t>（</w:t>
      </w:r>
      <w:r>
        <w:rPr>
          <w:rFonts w:hint="eastAsia"/>
          <w:szCs w:val="21"/>
        </w:rPr>
        <w:t>GB</w:t>
      </w:r>
      <w:r>
        <w:rPr>
          <w:szCs w:val="21"/>
        </w:rPr>
        <w:t>/T 29602</w:t>
      </w:r>
      <w:r>
        <w:rPr>
          <w:rFonts w:hint="eastAsia"/>
          <w:szCs w:val="21"/>
          <w:lang w:eastAsia="zh-CN"/>
        </w:rPr>
        <w:t>）</w:t>
      </w:r>
      <w:r>
        <w:rPr>
          <w:rFonts w:hint="eastAsia"/>
          <w:szCs w:val="21"/>
        </w:rPr>
        <w:t>的基础上，借鉴</w:t>
      </w:r>
      <w:r>
        <w:rPr>
          <w:szCs w:val="21"/>
        </w:rPr>
        <w:t>《航天食品卫生标准》</w:t>
      </w:r>
      <w:r>
        <w:rPr>
          <w:rFonts w:hint="eastAsia"/>
          <w:szCs w:val="21"/>
          <w:lang w:eastAsia="zh-CN"/>
        </w:rPr>
        <w:t>（</w:t>
      </w:r>
      <w:r>
        <w:rPr>
          <w:szCs w:val="21"/>
        </w:rPr>
        <w:t xml:space="preserve">GJB 4992-2003 </w:t>
      </w:r>
      <w:r>
        <w:rPr>
          <w:rFonts w:hint="eastAsia"/>
          <w:szCs w:val="21"/>
          <w:lang w:eastAsia="zh-CN"/>
        </w:rPr>
        <w:t>）</w:t>
      </w:r>
      <w:r>
        <w:rPr>
          <w:szCs w:val="21"/>
        </w:rPr>
        <w:t>和《航天食品卫生要求》</w:t>
      </w:r>
      <w:r>
        <w:rPr>
          <w:rFonts w:hint="eastAsia"/>
          <w:szCs w:val="21"/>
          <w:lang w:eastAsia="zh-CN"/>
        </w:rPr>
        <w:t>（</w:t>
      </w:r>
      <w:r>
        <w:rPr>
          <w:szCs w:val="21"/>
        </w:rPr>
        <w:t>GJB 4992A-2012</w:t>
      </w:r>
      <w:r>
        <w:rPr>
          <w:rFonts w:hint="eastAsia"/>
          <w:szCs w:val="21"/>
          <w:lang w:eastAsia="zh-CN"/>
        </w:rPr>
        <w:t>）</w:t>
      </w:r>
      <w:r>
        <w:rPr>
          <w:szCs w:val="21"/>
        </w:rPr>
        <w:t>，参考美国航空航天局（NASA）航天食品标准和国际空间站（ISS）食品标准，欧洲联盟食品标准，确定了本标准的框架和内容，制定了相关技术要求和技术指标。在标准的技术水平上等同或优于上述国内外标准。</w:t>
      </w:r>
    </w:p>
    <w:p>
      <w:pPr>
        <w:spacing w:line="360" w:lineRule="auto"/>
        <w:ind w:firstLine="420" w:firstLineChars="200"/>
        <w:rPr>
          <w:szCs w:val="21"/>
        </w:rPr>
      </w:pPr>
      <w:r>
        <w:rPr>
          <w:rFonts w:hint="eastAsia"/>
          <w:szCs w:val="21"/>
        </w:rPr>
        <w:t>2. 国际性原则</w:t>
      </w:r>
    </w:p>
    <w:p>
      <w:pPr>
        <w:spacing w:line="360" w:lineRule="auto"/>
        <w:ind w:firstLine="420" w:firstLineChars="200"/>
        <w:rPr>
          <w:szCs w:val="21"/>
        </w:rPr>
      </w:pPr>
      <w:r>
        <w:rPr>
          <w:rFonts w:hint="eastAsia"/>
          <w:szCs w:val="21"/>
        </w:rPr>
        <w:t>本标准</w:t>
      </w:r>
      <w:r>
        <w:rPr>
          <w:szCs w:val="21"/>
        </w:rPr>
        <w:t>对</w:t>
      </w:r>
      <w:r>
        <w:rPr>
          <w:rFonts w:hint="eastAsia"/>
          <w:szCs w:val="21"/>
        </w:rPr>
        <w:t>宇航级食品—</w:t>
      </w:r>
      <w:r>
        <w:rPr>
          <w:szCs w:val="21"/>
        </w:rPr>
        <w:t>固体饮料的</w:t>
      </w:r>
      <w:r>
        <w:rPr>
          <w:rFonts w:hint="eastAsia"/>
          <w:szCs w:val="21"/>
        </w:rPr>
        <w:t>生产</w:t>
      </w:r>
      <w:r>
        <w:rPr>
          <w:szCs w:val="21"/>
        </w:rPr>
        <w:t>从原辅料直至成品提出了系统全面的要求。标准突出了绿色安全健康的特点，各技术指标的量级等同或高于国内和国际同类标准。</w:t>
      </w:r>
      <w:r>
        <w:rPr>
          <w:rFonts w:hint="eastAsia"/>
          <w:szCs w:val="21"/>
        </w:rPr>
        <w:t>使本标准在符合</w:t>
      </w:r>
      <w:r>
        <w:rPr>
          <w:szCs w:val="21"/>
        </w:rPr>
        <w:t>中国市场</w:t>
      </w:r>
      <w:r>
        <w:rPr>
          <w:rFonts w:hint="eastAsia"/>
          <w:szCs w:val="21"/>
        </w:rPr>
        <w:t>要求的前提下，</w:t>
      </w:r>
      <w:r>
        <w:rPr>
          <w:szCs w:val="21"/>
        </w:rPr>
        <w:t>也符合</w:t>
      </w:r>
      <w:r>
        <w:rPr>
          <w:rFonts w:hint="eastAsia"/>
          <w:szCs w:val="21"/>
        </w:rPr>
        <w:t>国际上</w:t>
      </w:r>
      <w:r>
        <w:rPr>
          <w:szCs w:val="21"/>
        </w:rPr>
        <w:t>现行同类产品的质量标准</w:t>
      </w:r>
      <w:r>
        <w:rPr>
          <w:rFonts w:hint="eastAsia"/>
          <w:szCs w:val="21"/>
        </w:rPr>
        <w:t>。</w:t>
      </w:r>
    </w:p>
    <w:p>
      <w:pPr>
        <w:spacing w:line="360" w:lineRule="auto"/>
        <w:ind w:firstLine="420" w:firstLineChars="200"/>
        <w:rPr>
          <w:szCs w:val="21"/>
        </w:rPr>
      </w:pPr>
      <w:r>
        <w:rPr>
          <w:rFonts w:hint="eastAsia"/>
          <w:szCs w:val="21"/>
        </w:rPr>
        <w:t>3. 贸易性原则</w:t>
      </w:r>
    </w:p>
    <w:p>
      <w:pPr>
        <w:spacing w:line="360" w:lineRule="auto"/>
        <w:ind w:firstLine="420" w:firstLineChars="200"/>
        <w:rPr>
          <w:szCs w:val="21"/>
        </w:rPr>
      </w:pPr>
      <w:r>
        <w:rPr>
          <w:rFonts w:hint="eastAsia"/>
          <w:szCs w:val="21"/>
        </w:rPr>
        <w:t>本标准作为宇航级</w:t>
      </w:r>
      <w:r>
        <w:rPr>
          <w:szCs w:val="21"/>
        </w:rPr>
        <w:t>系列</w:t>
      </w:r>
      <w:r>
        <w:rPr>
          <w:rFonts w:hint="eastAsia"/>
          <w:szCs w:val="21"/>
        </w:rPr>
        <w:t>食品</w:t>
      </w:r>
      <w:r>
        <w:rPr>
          <w:szCs w:val="21"/>
        </w:rPr>
        <w:t>标准的一个类别，覆盖的产品种类众多，市场容量巨大。按照本标准生产加工的食品符合高品质食品的要求，具有良好的市场前景。</w:t>
      </w:r>
      <w:r>
        <w:rPr>
          <w:rFonts w:hint="eastAsia"/>
          <w:szCs w:val="21"/>
        </w:rPr>
        <w:t>并且与国际贸易中</w:t>
      </w:r>
      <w:r>
        <w:rPr>
          <w:szCs w:val="21"/>
        </w:rPr>
        <w:t>同类产品的</w:t>
      </w:r>
      <w:r>
        <w:rPr>
          <w:rFonts w:hint="eastAsia"/>
          <w:szCs w:val="21"/>
        </w:rPr>
        <w:t>标准对标，</w:t>
      </w:r>
      <w:r>
        <w:rPr>
          <w:szCs w:val="21"/>
        </w:rPr>
        <w:t>符合</w:t>
      </w:r>
      <w:r>
        <w:rPr>
          <w:rFonts w:hint="eastAsia"/>
          <w:szCs w:val="21"/>
        </w:rPr>
        <w:t>宇航级食品生产企业在贸易过程中的自由</w:t>
      </w:r>
      <w:r>
        <w:rPr>
          <w:szCs w:val="21"/>
        </w:rPr>
        <w:t>和</w:t>
      </w:r>
      <w:r>
        <w:rPr>
          <w:rFonts w:hint="eastAsia"/>
          <w:szCs w:val="21"/>
        </w:rPr>
        <w:t>公平，符合贸易性的原则。</w:t>
      </w:r>
    </w:p>
    <w:p>
      <w:pPr>
        <w:spacing w:line="360" w:lineRule="auto"/>
        <w:ind w:firstLine="420" w:firstLineChars="200"/>
        <w:rPr>
          <w:szCs w:val="21"/>
        </w:rPr>
      </w:pPr>
      <w:r>
        <w:rPr>
          <w:rFonts w:hint="eastAsia"/>
          <w:szCs w:val="21"/>
        </w:rPr>
        <w:t>4</w:t>
      </w:r>
      <w:r>
        <w:rPr>
          <w:szCs w:val="21"/>
        </w:rPr>
        <w:t xml:space="preserve">. </w:t>
      </w:r>
      <w:r>
        <w:rPr>
          <w:rFonts w:hint="eastAsia"/>
          <w:szCs w:val="21"/>
        </w:rPr>
        <w:t>推广性原则</w:t>
      </w:r>
    </w:p>
    <w:p>
      <w:pPr>
        <w:spacing w:line="360" w:lineRule="auto"/>
        <w:ind w:firstLine="420" w:firstLineChars="200"/>
        <w:rPr>
          <w:szCs w:val="21"/>
        </w:rPr>
      </w:pPr>
      <w:r>
        <w:rPr>
          <w:szCs w:val="21"/>
        </w:rPr>
        <w:t>本标准对</w:t>
      </w:r>
      <w:r>
        <w:rPr>
          <w:rFonts w:hint="eastAsia"/>
          <w:szCs w:val="21"/>
        </w:rPr>
        <w:t>宇航</w:t>
      </w:r>
      <w:r>
        <w:rPr>
          <w:szCs w:val="21"/>
        </w:rPr>
        <w:t>级</w:t>
      </w:r>
      <w:r>
        <w:rPr>
          <w:rFonts w:hint="eastAsia"/>
          <w:szCs w:val="21"/>
        </w:rPr>
        <w:t>食品—</w:t>
      </w:r>
      <w:r>
        <w:rPr>
          <w:szCs w:val="21"/>
        </w:rPr>
        <w:t>固体饮料从原辅料采购到成品的质量标准，都提出了加严的要求，这是宇航级食品的本质使然。虽然执行本标准会使生产成本有所提高，产品市场价格也会高于同类产品，但执行本标准的企业可以本标准为依据，申请自愿性产品认证。通过认证后，即可在产品的标签上印上宇航级食品的标识。这样就可以大大提高产品的声誉和市场认可度，为广大消费者所接受，市场推广前景光明。</w:t>
      </w:r>
    </w:p>
    <w:p>
      <w:pPr>
        <w:spacing w:line="360" w:lineRule="auto"/>
        <w:ind w:firstLine="420" w:firstLineChars="200"/>
        <w:rPr>
          <w:b/>
          <w:bCs/>
          <w:szCs w:val="21"/>
        </w:rPr>
      </w:pPr>
      <w:r>
        <w:rPr>
          <w:rFonts w:hint="eastAsia"/>
          <w:b/>
          <w:bCs/>
          <w:szCs w:val="21"/>
        </w:rPr>
        <w:t>（二）主要内容论据</w:t>
      </w:r>
    </w:p>
    <w:p>
      <w:pPr>
        <w:spacing w:line="360" w:lineRule="auto"/>
        <w:ind w:firstLine="420" w:firstLineChars="200"/>
        <w:rPr>
          <w:szCs w:val="21"/>
        </w:rPr>
      </w:pPr>
      <w:r>
        <w:rPr>
          <w:rFonts w:hint="eastAsia"/>
          <w:szCs w:val="21"/>
        </w:rPr>
        <w:t>本标准共分为前言、</w:t>
      </w:r>
      <w:r>
        <w:rPr>
          <w:szCs w:val="21"/>
        </w:rPr>
        <w:t>引言、8</w:t>
      </w:r>
      <w:r>
        <w:rPr>
          <w:rFonts w:hint="eastAsia"/>
          <w:szCs w:val="21"/>
        </w:rPr>
        <w:t>个章节和附录。本标准名称为《宇航级食品—</w:t>
      </w:r>
      <w:r>
        <w:rPr>
          <w:szCs w:val="21"/>
        </w:rPr>
        <w:t>固体饮料</w:t>
      </w:r>
      <w:r>
        <w:rPr>
          <w:rFonts w:hint="eastAsia"/>
          <w:szCs w:val="21"/>
        </w:rPr>
        <w:t>》。针对宇航级食品—</w:t>
      </w:r>
      <w:r>
        <w:rPr>
          <w:szCs w:val="21"/>
        </w:rPr>
        <w:t>固体饮料的</w:t>
      </w:r>
      <w:r>
        <w:rPr>
          <w:rFonts w:hint="eastAsia"/>
          <w:szCs w:val="21"/>
        </w:rPr>
        <w:t>生产提出了</w:t>
      </w:r>
      <w:r>
        <w:rPr>
          <w:szCs w:val="21"/>
        </w:rPr>
        <w:t>系统</w:t>
      </w:r>
      <w:r>
        <w:rPr>
          <w:rFonts w:hint="eastAsia"/>
          <w:szCs w:val="21"/>
        </w:rPr>
        <w:t>要求。在满足GB</w:t>
      </w:r>
      <w:r>
        <w:rPr>
          <w:szCs w:val="21"/>
        </w:rPr>
        <w:t>/T 29602</w:t>
      </w:r>
      <w:r>
        <w:rPr>
          <w:rFonts w:hint="eastAsia"/>
          <w:szCs w:val="21"/>
        </w:rPr>
        <w:t>的基础上，从</w:t>
      </w:r>
      <w:r>
        <w:rPr>
          <w:szCs w:val="21"/>
        </w:rPr>
        <w:t>产品分类</w:t>
      </w:r>
      <w:r>
        <w:rPr>
          <w:rFonts w:hint="eastAsia"/>
          <w:szCs w:val="21"/>
        </w:rPr>
        <w:t>、</w:t>
      </w:r>
      <w:r>
        <w:rPr>
          <w:szCs w:val="21"/>
        </w:rPr>
        <w:t>技术要求（包括感官、微生物、理化、农残、真菌毒素、益生菌等）、检验、标志标识、运输和贮存等方面提出了具体要求。</w:t>
      </w:r>
    </w:p>
    <w:p>
      <w:pPr>
        <w:spacing w:line="360" w:lineRule="auto"/>
        <w:ind w:left="0"/>
        <w:rPr>
          <w:b/>
          <w:bCs/>
          <w:sz w:val="24"/>
          <w:szCs w:val="24"/>
        </w:rPr>
      </w:pPr>
      <w:r>
        <w:rPr>
          <w:rFonts w:hint="eastAsia"/>
          <w:b/>
          <w:bCs/>
          <w:sz w:val="24"/>
          <w:szCs w:val="24"/>
        </w:rPr>
        <w:t>三、主要试验（或验证）情况</w:t>
      </w:r>
    </w:p>
    <w:p>
      <w:pPr>
        <w:widowControl w:val="0"/>
        <w:spacing w:line="360" w:lineRule="auto"/>
        <w:ind w:firstLine="420" w:firstLineChars="200"/>
        <w:rPr>
          <w:szCs w:val="21"/>
        </w:rPr>
      </w:pPr>
      <w:r>
        <w:rPr>
          <w:rFonts w:hint="eastAsia"/>
          <w:szCs w:val="21"/>
        </w:rPr>
        <w:t>本标准属于</w:t>
      </w:r>
      <w:r>
        <w:rPr>
          <w:szCs w:val="21"/>
        </w:rPr>
        <w:t>产品</w:t>
      </w:r>
      <w:r>
        <w:rPr>
          <w:rFonts w:hint="eastAsia"/>
          <w:szCs w:val="21"/>
        </w:rPr>
        <w:t>标准，</w:t>
      </w:r>
      <w:r>
        <w:rPr>
          <w:szCs w:val="21"/>
        </w:rPr>
        <w:t>对标准中提出的</w:t>
      </w:r>
      <w:r>
        <w:rPr>
          <w:rFonts w:hint="eastAsia"/>
          <w:szCs w:val="21"/>
        </w:rPr>
        <w:t>具体</w:t>
      </w:r>
      <w:r>
        <w:rPr>
          <w:szCs w:val="21"/>
        </w:rPr>
        <w:t>技术指标，我们采取与国内外同类标准进行比对和用国内生产企业同类产品的企标和检测结果进行印证的方式，对标准的合理性、可行性和先进性加以验证</w:t>
      </w:r>
      <w:r>
        <w:rPr>
          <w:rFonts w:hint="eastAsia"/>
          <w:szCs w:val="21"/>
        </w:rPr>
        <w:t>。</w:t>
      </w:r>
      <w:r>
        <w:rPr>
          <w:szCs w:val="21"/>
        </w:rPr>
        <w:t>验证结果如下：</w:t>
      </w:r>
    </w:p>
    <w:p>
      <w:pPr>
        <w:spacing w:line="360" w:lineRule="auto"/>
        <w:ind w:firstLine="420" w:firstLineChars="200"/>
        <w:rPr>
          <w:b/>
          <w:bCs/>
          <w:szCs w:val="21"/>
        </w:rPr>
      </w:pPr>
      <w:r>
        <w:rPr>
          <w:b/>
          <w:bCs/>
          <w:szCs w:val="21"/>
        </w:rPr>
        <w:t>（一）与国内外同类</w:t>
      </w:r>
      <w:r>
        <w:rPr>
          <w:rFonts w:hint="eastAsia"/>
          <w:b/>
          <w:bCs/>
          <w:szCs w:val="21"/>
        </w:rPr>
        <w:t>标准</w:t>
      </w:r>
      <w:r>
        <w:rPr>
          <w:b/>
          <w:bCs/>
          <w:szCs w:val="21"/>
        </w:rPr>
        <w:t>比对的情况</w:t>
      </w:r>
    </w:p>
    <w:p>
      <w:pPr>
        <w:autoSpaceDE w:val="0"/>
        <w:autoSpaceDN w:val="0"/>
        <w:adjustRightInd w:val="0"/>
        <w:spacing w:line="360" w:lineRule="auto"/>
        <w:ind w:firstLine="557"/>
        <w:jc w:val="left"/>
        <w:rPr>
          <w:szCs w:val="21"/>
        </w:rPr>
      </w:pPr>
      <w:r>
        <w:rPr>
          <w:rFonts w:hint="eastAsia"/>
          <w:szCs w:val="21"/>
        </w:rPr>
        <w:t>本标准制定的微生物标准与</w:t>
      </w:r>
      <w:r>
        <w:rPr>
          <w:szCs w:val="21"/>
        </w:rPr>
        <w:t>NASA【1】、</w:t>
      </w:r>
      <w:r>
        <w:rPr>
          <w:rFonts w:hint="eastAsia"/>
          <w:szCs w:val="21"/>
        </w:rPr>
        <w:t>国际空间站（I</w:t>
      </w:r>
      <w:r>
        <w:rPr>
          <w:szCs w:val="21"/>
        </w:rPr>
        <w:t>SS</w:t>
      </w:r>
      <w:r>
        <w:rPr>
          <w:rFonts w:hint="eastAsia"/>
          <w:szCs w:val="21"/>
        </w:rPr>
        <w:t>）航天食品标准（2012年）相比，在大肠菌群、葡萄球菌和酵母霉菌三个指标上，均更为严格，高至少一个数量级。细菌总数指标与GSO（海湾国家标准共同体）同类产品相同（m:1000）</w:t>
      </w:r>
      <w:r>
        <w:rPr>
          <w:szCs w:val="21"/>
        </w:rPr>
        <w:t>【2】</w:t>
      </w:r>
      <w:r>
        <w:rPr>
          <w:rFonts w:hint="eastAsia"/>
          <w:szCs w:val="21"/>
        </w:rPr>
        <w:t>，但允超数c</w:t>
      </w:r>
      <w:r>
        <w:rPr>
          <w:szCs w:val="21"/>
        </w:rPr>
        <w:t>值</w:t>
      </w:r>
      <w:r>
        <w:rPr>
          <w:rFonts w:hint="eastAsia"/>
          <w:szCs w:val="21"/>
        </w:rPr>
        <w:t>本标准为1，GSO为2。</w:t>
      </w:r>
    </w:p>
    <w:p>
      <w:pPr>
        <w:autoSpaceDE w:val="0"/>
        <w:autoSpaceDN w:val="0"/>
        <w:adjustRightInd w:val="0"/>
        <w:spacing w:line="360" w:lineRule="auto"/>
        <w:ind w:firstLine="557"/>
        <w:jc w:val="left"/>
        <w:rPr>
          <w:szCs w:val="21"/>
        </w:rPr>
      </w:pPr>
      <w:r>
        <w:rPr>
          <w:rFonts w:hint="eastAsia"/>
          <w:szCs w:val="21"/>
        </w:rPr>
        <w:t>本标准与</w:t>
      </w:r>
      <w:r>
        <w:rPr>
          <w:szCs w:val="21"/>
        </w:rPr>
        <w:t>国内外</w:t>
      </w:r>
      <w:r>
        <w:rPr>
          <w:rFonts w:hint="eastAsia"/>
          <w:szCs w:val="21"/>
        </w:rPr>
        <w:t>航天食品微生物限量的比较见表1。</w:t>
      </w:r>
    </w:p>
    <w:p>
      <w:pPr>
        <w:autoSpaceDE w:val="0"/>
        <w:autoSpaceDN w:val="0"/>
        <w:adjustRightInd w:val="0"/>
        <w:spacing w:line="360" w:lineRule="auto"/>
        <w:ind w:firstLine="557"/>
        <w:jc w:val="center"/>
        <w:rPr>
          <w:rFonts w:ascii="Times New Roman" w:hAnsi="Times New Roman" w:cs="Times New Roman"/>
          <w:b/>
          <w:szCs w:val="21"/>
        </w:rPr>
      </w:pPr>
      <w:r>
        <w:rPr>
          <w:rFonts w:ascii="Times New Roman" w:hAnsi="Times New Roman" w:cs="Times New Roman"/>
          <w:b/>
          <w:szCs w:val="21"/>
        </w:rPr>
        <w:t xml:space="preserve">表1. </w:t>
      </w:r>
      <w:r>
        <w:rPr>
          <w:rFonts w:hint="eastAsia" w:ascii="Times New Roman" w:hAnsi="Times New Roman" w:cs="Times New Roman"/>
          <w:b/>
          <w:szCs w:val="21"/>
        </w:rPr>
        <w:t>国内外标准对比汇总表</w:t>
      </w:r>
    </w:p>
    <w:tbl>
      <w:tblPr>
        <w:tblStyle w:val="10"/>
        <w:tblpPr w:leftFromText="90" w:rightFromText="90" w:vertAnchor="text" w:tblpX="1" w:tblpY="1"/>
        <w:tblOverlap w:val="never"/>
        <w:tblW w:w="8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2541"/>
        <w:gridCol w:w="1213"/>
        <w:gridCol w:w="709"/>
        <w:gridCol w:w="1058"/>
        <w:gridCol w:w="118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936" w:type="dxa"/>
            <w:gridSpan w:val="2"/>
            <w:vAlign w:val="center"/>
          </w:tcPr>
          <w:p>
            <w:pPr>
              <w:autoSpaceDE w:val="0"/>
              <w:autoSpaceDN w:val="0"/>
              <w:adjustRightInd w:val="0"/>
              <w:spacing w:line="360" w:lineRule="auto"/>
              <w:jc w:val="center"/>
              <w:rPr>
                <w:rFonts w:ascii="Times New Roman" w:hAnsi="Times New Roman" w:cs="Times New Roman"/>
                <w:b/>
                <w:bCs/>
                <w:szCs w:val="21"/>
              </w:rPr>
            </w:pPr>
            <w:r>
              <w:rPr>
                <w:rFonts w:ascii="Times New Roman" w:hAnsi="Times New Roman" w:cs="Times New Roman"/>
                <w:b/>
                <w:bCs/>
                <w:szCs w:val="21"/>
              </w:rPr>
              <w:t>项目</w:t>
            </w:r>
          </w:p>
        </w:tc>
        <w:tc>
          <w:tcPr>
            <w:tcW w:w="1213" w:type="dxa"/>
            <w:tcBorders>
              <w:bottom w:val="single" w:color="auto" w:sz="8" w:space="0"/>
              <w:right w:val="single" w:color="auto" w:sz="8" w:space="0"/>
            </w:tcBorders>
            <w:vAlign w:val="center"/>
          </w:tcPr>
          <w:p>
            <w:pPr>
              <w:autoSpaceDE w:val="0"/>
              <w:autoSpaceDN w:val="0"/>
              <w:adjustRightInd w:val="0"/>
              <w:spacing w:line="360" w:lineRule="auto"/>
              <w:jc w:val="center"/>
              <w:rPr>
                <w:rFonts w:ascii="Times New Roman" w:hAnsi="Times New Roman" w:cs="Times New Roman"/>
                <w:b/>
                <w:bCs/>
                <w:szCs w:val="21"/>
              </w:rPr>
            </w:pPr>
            <w:r>
              <w:rPr>
                <w:rFonts w:ascii="Times New Roman" w:hAnsi="Times New Roman" w:cs="Times New Roman"/>
                <w:b/>
                <w:bCs/>
                <w:szCs w:val="21"/>
              </w:rPr>
              <w:t>本标准</w:t>
            </w:r>
          </w:p>
          <w:p>
            <w:pPr>
              <w:autoSpaceDE w:val="0"/>
              <w:autoSpaceDN w:val="0"/>
              <w:adjustRightInd w:val="0"/>
              <w:spacing w:line="360" w:lineRule="auto"/>
              <w:jc w:val="center"/>
              <w:rPr>
                <w:rFonts w:ascii="Times New Roman" w:hAnsi="Times New Roman" w:cs="Times New Roman"/>
                <w:b/>
                <w:bCs/>
                <w:szCs w:val="21"/>
              </w:rPr>
            </w:pPr>
            <w:r>
              <w:rPr>
                <w:rFonts w:ascii="Times New Roman" w:hAnsi="Times New Roman" w:cs="Times New Roman"/>
                <w:b/>
                <w:bCs/>
                <w:szCs w:val="21"/>
              </w:rPr>
              <w:t>要求</w:t>
            </w:r>
          </w:p>
        </w:tc>
        <w:tc>
          <w:tcPr>
            <w:tcW w:w="709" w:type="dxa"/>
            <w:tcBorders>
              <w:left w:val="single" w:color="auto" w:sz="8" w:space="0"/>
              <w:bottom w:val="single" w:color="auto" w:sz="8" w:space="0"/>
            </w:tcBorders>
            <w:vAlign w:val="center"/>
          </w:tcPr>
          <w:p>
            <w:pPr>
              <w:autoSpaceDE w:val="0"/>
              <w:autoSpaceDN w:val="0"/>
              <w:adjustRightInd w:val="0"/>
              <w:spacing w:line="360" w:lineRule="auto"/>
              <w:jc w:val="center"/>
              <w:rPr>
                <w:rFonts w:ascii="Times New Roman" w:hAnsi="Times New Roman" w:cs="Times New Roman"/>
                <w:b/>
                <w:bCs/>
                <w:szCs w:val="21"/>
              </w:rPr>
            </w:pPr>
            <w:r>
              <w:rPr>
                <w:rFonts w:ascii="Times New Roman" w:hAnsi="Times New Roman" w:cs="Times New Roman"/>
                <w:b/>
                <w:bCs/>
                <w:szCs w:val="21"/>
              </w:rPr>
              <w:t>GB</w:t>
            </w:r>
          </w:p>
        </w:tc>
        <w:tc>
          <w:tcPr>
            <w:tcW w:w="1058" w:type="dxa"/>
            <w:tcBorders>
              <w:left w:val="single" w:color="auto" w:sz="8" w:space="0"/>
              <w:bottom w:val="single" w:color="auto" w:sz="8" w:space="0"/>
            </w:tcBorders>
            <w:vAlign w:val="center"/>
          </w:tcPr>
          <w:p>
            <w:pPr>
              <w:autoSpaceDE w:val="0"/>
              <w:autoSpaceDN w:val="0"/>
              <w:adjustRightInd w:val="0"/>
              <w:spacing w:line="360" w:lineRule="auto"/>
              <w:jc w:val="center"/>
              <w:rPr>
                <w:rFonts w:ascii="Times New Roman" w:hAnsi="Times New Roman" w:cs="Times New Roman"/>
                <w:b/>
                <w:bCs/>
                <w:szCs w:val="21"/>
              </w:rPr>
            </w:pPr>
            <w:r>
              <w:rPr>
                <w:rFonts w:ascii="Times New Roman" w:hAnsi="Times New Roman" w:cs="Times New Roman"/>
                <w:b/>
                <w:bCs/>
                <w:szCs w:val="21"/>
              </w:rPr>
              <w:t>GSO</w:t>
            </w:r>
          </w:p>
        </w:tc>
        <w:tc>
          <w:tcPr>
            <w:tcW w:w="1187" w:type="dxa"/>
            <w:vAlign w:val="center"/>
          </w:tcPr>
          <w:p>
            <w:pPr>
              <w:autoSpaceDE w:val="0"/>
              <w:autoSpaceDN w:val="0"/>
              <w:adjustRightInd w:val="0"/>
              <w:spacing w:line="360" w:lineRule="auto"/>
              <w:jc w:val="center"/>
              <w:rPr>
                <w:rFonts w:ascii="Times New Roman" w:hAnsi="Times New Roman" w:cs="Times New Roman"/>
                <w:b/>
                <w:bCs/>
                <w:szCs w:val="21"/>
              </w:rPr>
            </w:pPr>
            <w:r>
              <w:rPr>
                <w:rFonts w:ascii="Times New Roman" w:hAnsi="Times New Roman" w:cs="Times New Roman"/>
                <w:b/>
                <w:bCs/>
                <w:szCs w:val="21"/>
              </w:rPr>
              <w:t>NASA</w:t>
            </w:r>
            <w:r>
              <w:rPr>
                <w:rFonts w:ascii="Times New Roman" w:hAnsi="Times New Roman" w:cs="Times New Roman"/>
                <w:b/>
                <w:bCs/>
                <w:szCs w:val="21"/>
                <w:vertAlign w:val="superscript"/>
              </w:rPr>
              <w:t>#</w:t>
            </w:r>
          </w:p>
        </w:tc>
        <w:tc>
          <w:tcPr>
            <w:tcW w:w="1327" w:type="dxa"/>
            <w:vAlign w:val="center"/>
          </w:tcPr>
          <w:p>
            <w:pPr>
              <w:autoSpaceDE w:val="0"/>
              <w:autoSpaceDN w:val="0"/>
              <w:adjustRightInd w:val="0"/>
              <w:spacing w:line="360" w:lineRule="auto"/>
              <w:jc w:val="center"/>
              <w:rPr>
                <w:rFonts w:ascii="Times New Roman" w:hAnsi="Times New Roman" w:cs="Times New Roman"/>
                <w:b/>
                <w:bCs/>
                <w:szCs w:val="21"/>
              </w:rPr>
            </w:pPr>
            <w:r>
              <w:rPr>
                <w:rFonts w:ascii="Times New Roman" w:hAnsi="Times New Roman" w:cs="Times New Roman"/>
                <w:b/>
                <w:bCs/>
                <w:szCs w:val="21"/>
              </w:rPr>
              <w:t>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gridSpan w:val="2"/>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细菌总数</w:t>
            </w:r>
            <w:r>
              <w:rPr>
                <w:rFonts w:hint="eastAsia" w:ascii="宋体" w:hAnsi="宋体" w:eastAsia="宋体" w:cs="宋体"/>
                <w:color w:val="000000"/>
                <w:kern w:val="0"/>
                <w:sz w:val="21"/>
                <w:szCs w:val="21"/>
                <w:lang w:val="zh-CN" w:bidi="zh-CN"/>
              </w:rPr>
              <w:t>（CFU/g）</w:t>
            </w:r>
          </w:p>
        </w:tc>
        <w:tc>
          <w:tcPr>
            <w:tcW w:w="1213" w:type="dxa"/>
            <w:tcBorders>
              <w:top w:val="single" w:color="auto" w:sz="8"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1000</w:t>
            </w:r>
          </w:p>
        </w:tc>
        <w:tc>
          <w:tcPr>
            <w:tcW w:w="709" w:type="dxa"/>
            <w:tcBorders>
              <w:top w:val="single" w:color="auto" w:sz="8"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1000</w:t>
            </w:r>
          </w:p>
        </w:tc>
        <w:tc>
          <w:tcPr>
            <w:tcW w:w="1058" w:type="dxa"/>
            <w:tcBorders>
              <w:top w:val="single" w:color="auto" w:sz="8"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10000</w:t>
            </w:r>
          </w:p>
        </w:tc>
        <w:tc>
          <w:tcPr>
            <w:tcW w:w="118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20000</w:t>
            </w:r>
          </w:p>
        </w:tc>
        <w:tc>
          <w:tcPr>
            <w:tcW w:w="132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dxa"/>
            <w:vMerge w:val="restart"/>
          </w:tcPr>
          <w:p>
            <w:pPr>
              <w:spacing w:line="360" w:lineRule="auto"/>
              <w:rPr>
                <w:rFonts w:hint="eastAsia" w:ascii="宋体" w:hAnsi="宋体" w:eastAsia="宋体" w:cs="宋体"/>
                <w:sz w:val="21"/>
                <w:szCs w:val="21"/>
              </w:rPr>
            </w:pPr>
          </w:p>
        </w:tc>
        <w:tc>
          <w:tcPr>
            <w:tcW w:w="2541" w:type="dxa"/>
          </w:tcPr>
          <w:p>
            <w:pPr>
              <w:autoSpaceDN w:val="0"/>
              <w:spacing w:before="40" w:line="360" w:lineRule="auto"/>
              <w:ind w:left="110"/>
              <w:jc w:val="left"/>
              <w:rPr>
                <w:rFonts w:hint="eastAsia" w:ascii="宋体" w:hAnsi="宋体" w:eastAsia="宋体" w:cs="宋体"/>
                <w:kern w:val="0"/>
                <w:sz w:val="21"/>
                <w:szCs w:val="21"/>
                <w:lang w:val="zh-CN" w:bidi="zh-CN"/>
              </w:rPr>
            </w:pPr>
            <w:r>
              <w:rPr>
                <w:rFonts w:hint="eastAsia" w:ascii="宋体" w:hAnsi="宋体" w:eastAsia="宋体" w:cs="宋体"/>
                <w:color w:val="000000"/>
                <w:kern w:val="0"/>
                <w:sz w:val="21"/>
                <w:szCs w:val="21"/>
                <w:lang w:val="zh-CN" w:bidi="zh-CN"/>
              </w:rPr>
              <w:t>菌落总数</w:t>
            </w:r>
            <w:r>
              <w:rPr>
                <w:rFonts w:hint="eastAsia" w:ascii="宋体" w:hAnsi="宋体" w:eastAsia="宋体" w:cs="宋体"/>
                <w:color w:val="000000"/>
                <w:kern w:val="0"/>
                <w:position w:val="6"/>
                <w:sz w:val="21"/>
                <w:szCs w:val="21"/>
                <w:lang w:val="zh-CN" w:bidi="zh-CN"/>
              </w:rPr>
              <w:t>b</w:t>
            </w:r>
            <w:r>
              <w:rPr>
                <w:rFonts w:hint="eastAsia" w:ascii="宋体" w:hAnsi="宋体" w:eastAsia="宋体" w:cs="宋体"/>
                <w:color w:val="000000"/>
                <w:kern w:val="0"/>
                <w:sz w:val="21"/>
                <w:szCs w:val="21"/>
                <w:lang w:val="zh-CN" w:bidi="zh-CN"/>
              </w:rPr>
              <w:t>/（CFU/g）</w:t>
            </w:r>
          </w:p>
        </w:tc>
        <w:tc>
          <w:tcPr>
            <w:tcW w:w="1213"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1000</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1000</w:t>
            </w:r>
          </w:p>
        </w:tc>
        <w:tc>
          <w:tcPr>
            <w:tcW w:w="1058"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18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20000</w:t>
            </w:r>
          </w:p>
        </w:tc>
        <w:tc>
          <w:tcPr>
            <w:tcW w:w="132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Merge w:val="continue"/>
          </w:tcPr>
          <w:p>
            <w:pPr>
              <w:rPr>
                <w:rFonts w:hint="eastAsia" w:ascii="宋体" w:hAnsi="宋体" w:eastAsia="宋体" w:cs="宋体"/>
                <w:sz w:val="21"/>
                <w:szCs w:val="21"/>
              </w:rPr>
            </w:pPr>
          </w:p>
        </w:tc>
        <w:tc>
          <w:tcPr>
            <w:tcW w:w="2541" w:type="dxa"/>
          </w:tcPr>
          <w:p>
            <w:pPr>
              <w:autoSpaceDN w:val="0"/>
              <w:spacing w:before="40" w:line="360" w:lineRule="auto"/>
              <w:ind w:left="110"/>
              <w:jc w:val="left"/>
              <w:rPr>
                <w:rFonts w:hint="eastAsia" w:ascii="宋体" w:hAnsi="宋体" w:eastAsia="宋体" w:cs="宋体"/>
                <w:kern w:val="0"/>
                <w:sz w:val="21"/>
                <w:szCs w:val="21"/>
                <w:lang w:val="zh-CN" w:bidi="zh-CN"/>
              </w:rPr>
            </w:pPr>
            <w:r>
              <w:rPr>
                <w:rFonts w:hint="eastAsia" w:ascii="宋体" w:hAnsi="宋体" w:eastAsia="宋体" w:cs="宋体"/>
                <w:color w:val="000000"/>
                <w:kern w:val="0"/>
                <w:sz w:val="21"/>
                <w:szCs w:val="21"/>
                <w:lang w:val="zh-CN" w:bidi="zh-CN"/>
              </w:rPr>
              <w:t>大肠菌群/（CFU/g）</w:t>
            </w:r>
          </w:p>
        </w:tc>
        <w:tc>
          <w:tcPr>
            <w:tcW w:w="1213"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058"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18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w:t>
            </w:r>
          </w:p>
        </w:tc>
        <w:tc>
          <w:tcPr>
            <w:tcW w:w="132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Merge w:val="continue"/>
          </w:tcPr>
          <w:p>
            <w:pPr>
              <w:rPr>
                <w:rFonts w:hint="eastAsia" w:ascii="宋体" w:hAnsi="宋体" w:eastAsia="宋体" w:cs="宋体"/>
                <w:sz w:val="21"/>
                <w:szCs w:val="21"/>
              </w:rPr>
            </w:pPr>
          </w:p>
        </w:tc>
        <w:tc>
          <w:tcPr>
            <w:tcW w:w="2541" w:type="dxa"/>
          </w:tcPr>
          <w:p>
            <w:pPr>
              <w:autoSpaceDN w:val="0"/>
              <w:spacing w:before="40" w:line="360" w:lineRule="auto"/>
              <w:ind w:left="110"/>
              <w:jc w:val="left"/>
              <w:rPr>
                <w:rFonts w:hint="eastAsia" w:ascii="宋体" w:hAnsi="宋体" w:eastAsia="宋体" w:cs="宋体"/>
                <w:color w:val="FF0000"/>
                <w:kern w:val="0"/>
                <w:sz w:val="21"/>
                <w:szCs w:val="21"/>
                <w:lang w:val="zh-CN" w:bidi="zh-CN"/>
              </w:rPr>
            </w:pPr>
            <w:r>
              <w:rPr>
                <w:rFonts w:hint="eastAsia" w:ascii="宋体" w:hAnsi="宋体" w:eastAsia="宋体" w:cs="宋体"/>
                <w:color w:val="000000"/>
                <w:kern w:val="0"/>
                <w:sz w:val="21"/>
                <w:szCs w:val="21"/>
                <w:lang w:val="zh-CN" w:bidi="zh-CN"/>
              </w:rPr>
              <w:t>沙门氏菌/(/25g)</w:t>
            </w:r>
          </w:p>
        </w:tc>
        <w:tc>
          <w:tcPr>
            <w:tcW w:w="1213"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058"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18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32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Merge w:val="continue"/>
          </w:tcPr>
          <w:p>
            <w:pPr>
              <w:rPr>
                <w:rFonts w:hint="eastAsia" w:ascii="宋体" w:hAnsi="宋体" w:eastAsia="宋体" w:cs="宋体"/>
                <w:sz w:val="21"/>
                <w:szCs w:val="21"/>
              </w:rPr>
            </w:pPr>
          </w:p>
        </w:tc>
        <w:tc>
          <w:tcPr>
            <w:tcW w:w="2541" w:type="dxa"/>
          </w:tcPr>
          <w:p>
            <w:pPr>
              <w:autoSpaceDN w:val="0"/>
              <w:spacing w:before="40" w:line="360" w:lineRule="auto"/>
              <w:ind w:left="110"/>
              <w:jc w:val="left"/>
              <w:rPr>
                <w:rFonts w:hint="eastAsia" w:ascii="宋体" w:hAnsi="宋体" w:eastAsia="宋体" w:cs="宋体"/>
                <w:color w:val="FF0000"/>
                <w:kern w:val="0"/>
                <w:sz w:val="21"/>
                <w:szCs w:val="21"/>
                <w:lang w:val="zh-CN" w:bidi="zh-CN"/>
              </w:rPr>
            </w:pPr>
            <w:r>
              <w:rPr>
                <w:rFonts w:hint="eastAsia" w:ascii="宋体" w:hAnsi="宋体" w:eastAsia="宋体" w:cs="宋体"/>
                <w:color w:val="000000"/>
                <w:kern w:val="0"/>
                <w:sz w:val="21"/>
                <w:szCs w:val="21"/>
                <w:lang w:val="zh-CN" w:bidi="zh-CN"/>
              </w:rPr>
              <w:t>金黄色葡萄球菌/（CFU/g）</w:t>
            </w:r>
          </w:p>
        </w:tc>
        <w:tc>
          <w:tcPr>
            <w:tcW w:w="1213"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058"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18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w:t>
            </w:r>
          </w:p>
        </w:tc>
        <w:tc>
          <w:tcPr>
            <w:tcW w:w="1327" w:type="dxa"/>
            <w:vAlign w:val="center"/>
          </w:tcPr>
          <w:p>
            <w:pPr>
              <w:autoSpaceDE w:val="0"/>
              <w:autoSpaceDN w:val="0"/>
              <w:adjustRightIn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Merge w:val="continue"/>
          </w:tcPr>
          <w:p>
            <w:pPr>
              <w:rPr>
                <w:rFonts w:hint="eastAsia" w:ascii="宋体" w:hAnsi="宋体" w:eastAsia="宋体" w:cs="宋体"/>
                <w:sz w:val="21"/>
                <w:szCs w:val="21"/>
              </w:rPr>
            </w:pPr>
          </w:p>
        </w:tc>
        <w:tc>
          <w:tcPr>
            <w:tcW w:w="2541" w:type="dxa"/>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霉菌</w:t>
            </w:r>
            <w:r>
              <w:rPr>
                <w:rFonts w:hint="eastAsia" w:ascii="宋体" w:hAnsi="宋体" w:eastAsia="宋体" w:cs="宋体"/>
                <w:color w:val="000000"/>
                <w:kern w:val="0"/>
                <w:sz w:val="21"/>
                <w:szCs w:val="21"/>
                <w:lang w:val="zh-CN" w:bidi="zh-CN"/>
              </w:rPr>
              <w:t>（CFU/g）</w:t>
            </w:r>
          </w:p>
        </w:tc>
        <w:tc>
          <w:tcPr>
            <w:tcW w:w="1213"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70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≤50</w:t>
            </w:r>
          </w:p>
        </w:tc>
        <w:tc>
          <w:tcPr>
            <w:tcW w:w="1058"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w:t>
            </w:r>
          </w:p>
        </w:tc>
        <w:tc>
          <w:tcPr>
            <w:tcW w:w="118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＜50</w:t>
            </w:r>
          </w:p>
        </w:tc>
        <w:tc>
          <w:tcPr>
            <w:tcW w:w="132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Merge w:val="continue"/>
          </w:tcPr>
          <w:p>
            <w:pPr>
              <w:rPr>
                <w:rFonts w:hint="eastAsia" w:ascii="宋体" w:hAnsi="宋体" w:eastAsia="宋体" w:cs="宋体"/>
                <w:sz w:val="21"/>
                <w:szCs w:val="21"/>
              </w:rPr>
            </w:pPr>
          </w:p>
        </w:tc>
        <w:tc>
          <w:tcPr>
            <w:tcW w:w="2541" w:type="dxa"/>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酵母</w:t>
            </w:r>
            <w:r>
              <w:rPr>
                <w:rFonts w:hint="eastAsia" w:ascii="宋体" w:hAnsi="宋体" w:eastAsia="宋体" w:cs="宋体"/>
                <w:color w:val="000000"/>
                <w:kern w:val="0"/>
                <w:sz w:val="21"/>
                <w:szCs w:val="21"/>
                <w:lang w:val="zh-CN" w:bidi="zh-CN"/>
              </w:rPr>
              <w:t>（CFU/g）</w:t>
            </w:r>
          </w:p>
        </w:tc>
        <w:tc>
          <w:tcPr>
            <w:tcW w:w="1213" w:type="dxa"/>
            <w:tcBorders>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709" w:type="dxa"/>
            <w:tcBorders>
              <w:left w:val="single" w:color="auto" w:sz="4"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058"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18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＜50</w:t>
            </w:r>
          </w:p>
        </w:tc>
        <w:tc>
          <w:tcPr>
            <w:tcW w:w="132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gridSpan w:val="2"/>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水分/(%)</w:t>
            </w:r>
          </w:p>
        </w:tc>
        <w:tc>
          <w:tcPr>
            <w:tcW w:w="1213" w:type="dxa"/>
            <w:tcBorders>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≤5.0</w:t>
            </w:r>
          </w:p>
        </w:tc>
        <w:tc>
          <w:tcPr>
            <w:tcW w:w="709" w:type="dxa"/>
            <w:tcBorders>
              <w:left w:val="single" w:color="auto" w:sz="4"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≤7.0</w:t>
            </w:r>
          </w:p>
        </w:tc>
        <w:tc>
          <w:tcPr>
            <w:tcW w:w="1058"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18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无</w:t>
            </w:r>
          </w:p>
        </w:tc>
        <w:tc>
          <w:tcPr>
            <w:tcW w:w="132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无</w:t>
            </w:r>
          </w:p>
        </w:tc>
      </w:tr>
    </w:tbl>
    <w:p>
      <w:pPr>
        <w:spacing w:line="360" w:lineRule="auto"/>
        <w:ind w:firstLine="560"/>
        <w:rPr>
          <w:rFonts w:hint="eastAsia" w:ascii="宋体" w:hAnsi="宋体" w:eastAsia="宋体" w:cs="宋体"/>
          <w:sz w:val="21"/>
          <w:szCs w:val="21"/>
        </w:rPr>
      </w:pPr>
    </w:p>
    <w:p>
      <w:pPr>
        <w:spacing w:line="360" w:lineRule="auto"/>
        <w:ind w:left="0"/>
        <w:rPr>
          <w:szCs w:val="21"/>
        </w:rPr>
      </w:pPr>
    </w:p>
    <w:p>
      <w:pPr>
        <w:spacing w:line="360" w:lineRule="auto"/>
        <w:ind w:left="0"/>
        <w:rPr>
          <w:szCs w:val="21"/>
        </w:rPr>
      </w:pPr>
    </w:p>
    <w:p>
      <w:pPr>
        <w:spacing w:line="360" w:lineRule="auto"/>
        <w:ind w:left="0"/>
        <w:rPr>
          <w:szCs w:val="21"/>
        </w:rPr>
      </w:pPr>
    </w:p>
    <w:p>
      <w:pPr>
        <w:spacing w:line="360" w:lineRule="auto"/>
        <w:ind w:left="0"/>
        <w:rPr>
          <w:szCs w:val="21"/>
        </w:rPr>
      </w:pPr>
    </w:p>
    <w:p>
      <w:pPr>
        <w:spacing w:line="360" w:lineRule="auto"/>
        <w:ind w:left="0"/>
        <w:rPr>
          <w:szCs w:val="21"/>
        </w:rPr>
      </w:pPr>
    </w:p>
    <w:p>
      <w:pPr>
        <w:spacing w:line="360" w:lineRule="auto"/>
        <w:ind w:left="0"/>
        <w:rPr>
          <w:szCs w:val="21"/>
        </w:rPr>
      </w:pPr>
    </w:p>
    <w:p>
      <w:pPr>
        <w:spacing w:line="360" w:lineRule="auto"/>
        <w:ind w:left="0"/>
        <w:rPr>
          <w:szCs w:val="21"/>
        </w:rPr>
      </w:pPr>
    </w:p>
    <w:p>
      <w:pPr>
        <w:spacing w:line="360" w:lineRule="auto"/>
        <w:ind w:left="0"/>
        <w:rPr>
          <w:szCs w:val="21"/>
        </w:rPr>
      </w:pPr>
    </w:p>
    <w:p>
      <w:pPr>
        <w:spacing w:line="360" w:lineRule="auto"/>
        <w:ind w:left="0"/>
        <w:rPr>
          <w:szCs w:val="21"/>
        </w:rPr>
      </w:pPr>
      <w:r>
        <w:rPr>
          <w:szCs w:val="21"/>
        </w:rPr>
        <w:t>注：#系指航天食品中非热稳定食品的标准。</w:t>
      </w:r>
    </w:p>
    <w:p>
      <w:pPr>
        <w:spacing w:line="360" w:lineRule="auto"/>
        <w:ind w:left="0"/>
        <w:rPr>
          <w:szCs w:val="21"/>
        </w:rPr>
      </w:pPr>
      <w:r>
        <w:rPr>
          <w:szCs w:val="21"/>
        </w:rPr>
        <w:t>参考文献</w:t>
      </w:r>
    </w:p>
    <w:p>
      <w:pPr>
        <w:spacing w:line="360" w:lineRule="auto"/>
        <w:ind w:left="0"/>
        <w:rPr>
          <w:szCs w:val="21"/>
        </w:rPr>
      </w:pPr>
      <w:r>
        <w:rPr>
          <w:szCs w:val="21"/>
        </w:rPr>
        <w:t>[1]  Evidence Report: Risk of Performance Decrement and Crew Illness Due to an Inadequate Food System，Human Research Program Space Human Factors and Habitability Element. NASA,2012.6</w:t>
      </w:r>
    </w:p>
    <w:p>
      <w:pPr>
        <w:spacing w:line="360" w:lineRule="auto"/>
        <w:ind w:left="0"/>
        <w:rPr>
          <w:szCs w:val="21"/>
        </w:rPr>
      </w:pPr>
      <w:r>
        <w:rPr>
          <w:szCs w:val="21"/>
        </w:rPr>
        <w:t>[2] MICROBIOLOGICAL CRITERIA FOR FOODSTUFFS .STANDARDIZATION ORGANIZATION FOR G.C.C (GSO).2014</w:t>
      </w:r>
    </w:p>
    <w:p>
      <w:pPr>
        <w:spacing w:line="360" w:lineRule="auto"/>
        <w:ind w:left="560" w:firstLine="0"/>
        <w:rPr>
          <w:b/>
          <w:bCs/>
          <w:szCs w:val="21"/>
        </w:rPr>
      </w:pPr>
      <w:r>
        <w:rPr>
          <w:b/>
          <w:bCs/>
          <w:szCs w:val="21"/>
        </w:rPr>
        <w:t>（二）国内同类产品检测结果印证的情况，见表2。</w:t>
      </w:r>
    </w:p>
    <w:p>
      <w:pPr>
        <w:spacing w:line="360" w:lineRule="auto"/>
        <w:ind w:left="560" w:firstLine="0"/>
        <w:jc w:val="center"/>
        <w:rPr>
          <w:rFonts w:hint="eastAsia" w:ascii="黑体" w:eastAsia="黑体"/>
          <w:szCs w:val="21"/>
        </w:rPr>
      </w:pPr>
      <w:r>
        <w:rPr>
          <w:rFonts w:hint="eastAsia" w:ascii="黑体" w:eastAsia="黑体"/>
          <w:szCs w:val="21"/>
        </w:rPr>
        <w:t>表2. 技术指标验证表</w:t>
      </w:r>
    </w:p>
    <w:tbl>
      <w:tblPr>
        <w:tblStyle w:val="10"/>
        <w:tblpPr w:leftFromText="90" w:rightFromText="90" w:vertAnchor="text" w:tblpX="169" w:tblpY="1"/>
        <w:tblOverlap w:val="never"/>
        <w:tblW w:w="10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
        <w:gridCol w:w="1536"/>
        <w:gridCol w:w="1200"/>
        <w:gridCol w:w="1327"/>
        <w:gridCol w:w="1299"/>
        <w:gridCol w:w="1164"/>
        <w:gridCol w:w="1191"/>
        <w:gridCol w:w="1309"/>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1762" w:type="dxa"/>
            <w:gridSpan w:val="2"/>
            <w:vAlign w:val="center"/>
          </w:tcPr>
          <w:p>
            <w:pPr>
              <w:autoSpaceDE w:val="0"/>
              <w:autoSpaceDN w:val="0"/>
              <w:adjustRightInd w:val="0"/>
              <w:spacing w:line="360" w:lineRule="auto"/>
              <w:ind w:left="0"/>
              <w:jc w:val="center"/>
              <w:rPr>
                <w:rFonts w:ascii="Times New Roman" w:hAnsi="Times New Roman" w:cs="Times New Roman"/>
                <w:szCs w:val="21"/>
              </w:rPr>
            </w:pPr>
            <w:r>
              <w:rPr>
                <w:rFonts w:ascii="Times New Roman" w:hAnsi="Times New Roman" w:cs="Times New Roman"/>
                <w:szCs w:val="21"/>
              </w:rPr>
              <w:t>项目</w:t>
            </w:r>
          </w:p>
        </w:tc>
        <w:tc>
          <w:tcPr>
            <w:tcW w:w="1200" w:type="dxa"/>
            <w:tcBorders>
              <w:bottom w:val="single" w:color="auto" w:sz="8" w:space="0"/>
              <w:right w:val="single" w:color="auto" w:sz="8" w:space="0"/>
            </w:tcBorders>
            <w:vAlign w:val="center"/>
          </w:tcPr>
          <w:p>
            <w:pPr>
              <w:autoSpaceDE w:val="0"/>
              <w:autoSpaceDN w:val="0"/>
              <w:adjustRightInd w:val="0"/>
              <w:spacing w:line="360" w:lineRule="auto"/>
              <w:jc w:val="center"/>
              <w:rPr>
                <w:rFonts w:ascii="Times New Roman" w:hAnsi="Times New Roman" w:cs="Times New Roman"/>
                <w:szCs w:val="21"/>
              </w:rPr>
            </w:pPr>
            <w:r>
              <w:rPr>
                <w:rFonts w:ascii="Times New Roman" w:hAnsi="Times New Roman" w:cs="Times New Roman"/>
                <w:szCs w:val="21"/>
              </w:rPr>
              <w:t>本标准</w:t>
            </w:r>
          </w:p>
          <w:p>
            <w:pPr>
              <w:autoSpaceDE w:val="0"/>
              <w:autoSpaceDN w:val="0"/>
              <w:adjustRightInd w:val="0"/>
              <w:spacing w:line="360" w:lineRule="auto"/>
              <w:jc w:val="center"/>
              <w:rPr>
                <w:rFonts w:ascii="Times New Roman" w:hAnsi="Times New Roman" w:cs="Times New Roman"/>
                <w:szCs w:val="21"/>
              </w:rPr>
            </w:pPr>
            <w:r>
              <w:rPr>
                <w:rFonts w:ascii="Times New Roman" w:hAnsi="Times New Roman" w:cs="Times New Roman"/>
                <w:szCs w:val="21"/>
              </w:rPr>
              <w:t>要求</w:t>
            </w:r>
          </w:p>
        </w:tc>
        <w:tc>
          <w:tcPr>
            <w:tcW w:w="1327" w:type="dxa"/>
            <w:tcBorders>
              <w:left w:val="single" w:color="auto" w:sz="8" w:space="0"/>
              <w:bottom w:val="single" w:color="auto" w:sz="8" w:space="0"/>
            </w:tcBorders>
            <w:vAlign w:val="center"/>
          </w:tcPr>
          <w:p>
            <w:pPr>
              <w:autoSpaceDE w:val="0"/>
              <w:autoSpaceDN w:val="0"/>
              <w:adjustRightInd w:val="0"/>
              <w:spacing w:line="360" w:lineRule="auto"/>
              <w:jc w:val="center"/>
              <w:rPr>
                <w:rFonts w:ascii="Times New Roman" w:hAnsi="Times New Roman" w:cs="Times New Roman"/>
                <w:szCs w:val="21"/>
              </w:rPr>
            </w:pPr>
            <w:r>
              <w:rPr>
                <w:rFonts w:ascii="Times New Roman" w:hAnsi="Times New Roman" w:cs="Times New Roman"/>
                <w:szCs w:val="21"/>
              </w:rPr>
              <w:t>宝健（北京）</w:t>
            </w:r>
          </w:p>
          <w:p>
            <w:pPr>
              <w:autoSpaceDE w:val="0"/>
              <w:autoSpaceDN w:val="0"/>
              <w:adjustRightInd w:val="0"/>
              <w:spacing w:line="360" w:lineRule="auto"/>
              <w:jc w:val="center"/>
              <w:rPr>
                <w:rFonts w:ascii="Times New Roman" w:hAnsi="Times New Roman" w:cs="Times New Roman"/>
                <w:szCs w:val="21"/>
              </w:rPr>
            </w:pPr>
            <w:r>
              <w:rPr>
                <w:rFonts w:ascii="Times New Roman" w:hAnsi="Times New Roman" w:cs="Times New Roman"/>
                <w:szCs w:val="21"/>
              </w:rPr>
              <w:t>复合蛋白粉</w:t>
            </w:r>
          </w:p>
        </w:tc>
        <w:tc>
          <w:tcPr>
            <w:tcW w:w="1299" w:type="dxa"/>
            <w:tcBorders>
              <w:left w:val="single" w:color="auto" w:sz="8" w:space="0"/>
              <w:bottom w:val="single" w:color="auto" w:sz="8" w:space="0"/>
            </w:tcBorders>
            <w:vAlign w:val="center"/>
          </w:tcPr>
          <w:p>
            <w:pPr>
              <w:autoSpaceDE w:val="0"/>
              <w:autoSpaceDN w:val="0"/>
              <w:adjustRightInd w:val="0"/>
              <w:spacing w:line="360" w:lineRule="auto"/>
              <w:jc w:val="center"/>
              <w:rPr>
                <w:rFonts w:ascii="Times New Roman" w:hAnsi="Times New Roman" w:cs="Times New Roman"/>
                <w:szCs w:val="21"/>
              </w:rPr>
            </w:pPr>
            <w:r>
              <w:rPr>
                <w:rFonts w:ascii="Times New Roman" w:hAnsi="Times New Roman" w:cs="Times New Roman"/>
                <w:szCs w:val="21"/>
              </w:rPr>
              <w:t>北京东方协和</w:t>
            </w:r>
          </w:p>
          <w:p>
            <w:pPr>
              <w:autoSpaceDE w:val="0"/>
              <w:autoSpaceDN w:val="0"/>
              <w:adjustRightInd w:val="0"/>
              <w:spacing w:line="360" w:lineRule="auto"/>
              <w:jc w:val="center"/>
              <w:rPr>
                <w:rFonts w:ascii="Times New Roman" w:hAnsi="Times New Roman" w:cs="Times New Roman"/>
                <w:szCs w:val="21"/>
              </w:rPr>
            </w:pPr>
            <w:r>
              <w:rPr>
                <w:rFonts w:ascii="Times New Roman" w:hAnsi="Times New Roman" w:cs="Times New Roman"/>
                <w:szCs w:val="21"/>
              </w:rPr>
              <w:t>菊粉</w:t>
            </w:r>
          </w:p>
        </w:tc>
        <w:tc>
          <w:tcPr>
            <w:tcW w:w="1164" w:type="dxa"/>
            <w:tcBorders>
              <w:left w:val="single" w:color="auto" w:sz="8" w:space="0"/>
              <w:bottom w:val="single" w:color="auto" w:sz="8" w:space="0"/>
            </w:tcBorders>
            <w:vAlign w:val="center"/>
          </w:tcPr>
          <w:p>
            <w:pPr>
              <w:autoSpaceDE w:val="0"/>
              <w:autoSpaceDN w:val="0"/>
              <w:adjustRightInd w:val="0"/>
              <w:spacing w:line="360" w:lineRule="auto"/>
              <w:jc w:val="center"/>
              <w:rPr>
                <w:rFonts w:ascii="Times New Roman" w:hAnsi="Times New Roman" w:cs="Times New Roman"/>
                <w:szCs w:val="21"/>
              </w:rPr>
            </w:pPr>
            <w:r>
              <w:rPr>
                <w:rFonts w:ascii="Times New Roman" w:hAnsi="Times New Roman" w:cs="Times New Roman"/>
                <w:szCs w:val="21"/>
              </w:rPr>
              <w:t>许昌神飞</w:t>
            </w:r>
          </w:p>
          <w:p>
            <w:pPr>
              <w:autoSpaceDE w:val="0"/>
              <w:autoSpaceDN w:val="0"/>
              <w:adjustRightInd w:val="0"/>
              <w:spacing w:line="360" w:lineRule="auto"/>
              <w:jc w:val="center"/>
              <w:rPr>
                <w:rFonts w:ascii="Times New Roman" w:hAnsi="Times New Roman" w:cs="Times New Roman"/>
                <w:szCs w:val="21"/>
              </w:rPr>
            </w:pPr>
            <w:r>
              <w:rPr>
                <w:rFonts w:ascii="Times New Roman" w:hAnsi="Times New Roman" w:cs="Times New Roman"/>
                <w:szCs w:val="21"/>
              </w:rPr>
              <w:t>果蔬代餐粉</w:t>
            </w:r>
            <w:r>
              <w:rPr>
                <w:rFonts w:ascii="Times New Roman" w:hAnsi="Times New Roman" w:cs="Times New Roman"/>
                <w:szCs w:val="21"/>
                <w:vertAlign w:val="superscript"/>
              </w:rPr>
              <w:t>#</w:t>
            </w:r>
          </w:p>
        </w:tc>
        <w:tc>
          <w:tcPr>
            <w:tcW w:w="1191" w:type="dxa"/>
            <w:vAlign w:val="center"/>
          </w:tcPr>
          <w:p>
            <w:pPr>
              <w:autoSpaceDE w:val="0"/>
              <w:autoSpaceDN w:val="0"/>
              <w:adjustRightInd w:val="0"/>
              <w:spacing w:line="360" w:lineRule="auto"/>
              <w:jc w:val="center"/>
              <w:rPr>
                <w:rFonts w:ascii="Times New Roman" w:hAnsi="Times New Roman" w:cs="Times New Roman"/>
                <w:szCs w:val="21"/>
              </w:rPr>
            </w:pPr>
            <w:r>
              <w:rPr>
                <w:rFonts w:ascii="Times New Roman" w:hAnsi="Times New Roman" w:cs="Times New Roman"/>
                <w:szCs w:val="21"/>
              </w:rPr>
              <w:t>广州盛世福康</w:t>
            </w:r>
          </w:p>
          <w:p>
            <w:pPr>
              <w:autoSpaceDE w:val="0"/>
              <w:autoSpaceDN w:val="0"/>
              <w:adjustRightInd w:val="0"/>
              <w:spacing w:line="360" w:lineRule="auto"/>
              <w:jc w:val="center"/>
              <w:rPr>
                <w:rFonts w:ascii="Times New Roman" w:hAnsi="Times New Roman" w:cs="Times New Roman"/>
                <w:szCs w:val="21"/>
              </w:rPr>
            </w:pPr>
            <w:r>
              <w:rPr>
                <w:rFonts w:ascii="Times New Roman" w:hAnsi="Times New Roman" w:cs="Times New Roman"/>
                <w:szCs w:val="21"/>
              </w:rPr>
              <w:t>益生菌粉</w:t>
            </w:r>
          </w:p>
        </w:tc>
        <w:tc>
          <w:tcPr>
            <w:tcW w:w="1309" w:type="dxa"/>
            <w:vAlign w:val="center"/>
          </w:tcPr>
          <w:p>
            <w:pPr>
              <w:autoSpaceDE w:val="0"/>
              <w:autoSpaceDN w:val="0"/>
              <w:adjustRightInd w:val="0"/>
              <w:spacing w:line="360" w:lineRule="auto"/>
              <w:jc w:val="center"/>
              <w:rPr>
                <w:rFonts w:ascii="Times New Roman" w:hAnsi="Times New Roman" w:cs="Times New Roman"/>
                <w:szCs w:val="21"/>
              </w:rPr>
            </w:pPr>
            <w:r>
              <w:rPr>
                <w:rFonts w:ascii="Times New Roman" w:hAnsi="Times New Roman" w:cs="Times New Roman"/>
                <w:szCs w:val="21"/>
              </w:rPr>
              <w:t>山东凤凰生物</w:t>
            </w:r>
          </w:p>
          <w:p>
            <w:pPr>
              <w:autoSpaceDE w:val="0"/>
              <w:autoSpaceDN w:val="0"/>
              <w:adjustRightInd w:val="0"/>
              <w:spacing w:line="360" w:lineRule="auto"/>
              <w:jc w:val="center"/>
              <w:rPr>
                <w:rFonts w:ascii="Times New Roman" w:hAnsi="Times New Roman" w:cs="Times New Roman"/>
                <w:szCs w:val="21"/>
              </w:rPr>
            </w:pPr>
            <w:r>
              <w:rPr>
                <w:rFonts w:ascii="Times New Roman" w:hAnsi="Times New Roman" w:cs="Times New Roman"/>
                <w:szCs w:val="21"/>
              </w:rPr>
              <w:t>益生菌粉</w:t>
            </w:r>
            <w:r>
              <w:rPr>
                <w:rFonts w:ascii="Times New Roman" w:hAnsi="Times New Roman" w:cs="Times New Roman"/>
                <w:szCs w:val="21"/>
                <w:vertAlign w:val="superscript"/>
              </w:rPr>
              <w:t>#</w:t>
            </w:r>
          </w:p>
        </w:tc>
        <w:tc>
          <w:tcPr>
            <w:tcW w:w="1294" w:type="dxa"/>
            <w:vAlign w:val="center"/>
          </w:tcPr>
          <w:p>
            <w:pPr>
              <w:autoSpaceDE w:val="0"/>
              <w:autoSpaceDN w:val="0"/>
              <w:adjustRightInd w:val="0"/>
              <w:spacing w:line="360" w:lineRule="auto"/>
              <w:jc w:val="center"/>
              <w:rPr>
                <w:rFonts w:ascii="Times New Roman" w:hAnsi="Times New Roman" w:cs="Times New Roman"/>
                <w:szCs w:val="21"/>
              </w:rPr>
            </w:pPr>
            <w:r>
              <w:rPr>
                <w:rFonts w:ascii="Times New Roman" w:hAnsi="Times New Roman" w:cs="Times New Roman"/>
                <w:szCs w:val="21"/>
              </w:rPr>
              <w:t>济南正一生物，</w:t>
            </w:r>
          </w:p>
          <w:p>
            <w:pPr>
              <w:autoSpaceDE w:val="0"/>
              <w:autoSpaceDN w:val="0"/>
              <w:adjustRightInd w:val="0"/>
              <w:spacing w:line="360" w:lineRule="auto"/>
              <w:jc w:val="center"/>
              <w:rPr>
                <w:rFonts w:ascii="Times New Roman" w:hAnsi="Times New Roman" w:cs="Times New Roman"/>
                <w:szCs w:val="21"/>
              </w:rPr>
            </w:pPr>
            <w:r>
              <w:rPr>
                <w:rFonts w:ascii="Times New Roman" w:hAnsi="Times New Roman" w:cs="Times New Roman"/>
                <w:szCs w:val="21"/>
              </w:rPr>
              <w:t>复合谷物粉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dxa"/>
            <w:tcBorders>
              <w:bottom w:val="single" w:color="auto" w:sz="4" w:space="0"/>
              <w:right w:val="nil"/>
            </w:tcBorders>
          </w:tcPr>
          <w:p>
            <w:pPr>
              <w:spacing w:line="360" w:lineRule="auto"/>
              <w:jc w:val="left"/>
              <w:rPr>
                <w:rFonts w:hint="eastAsia" w:ascii="宋体" w:hAnsi="宋体" w:eastAsia="宋体" w:cs="宋体"/>
                <w:sz w:val="21"/>
                <w:szCs w:val="21"/>
              </w:rPr>
            </w:pPr>
          </w:p>
        </w:tc>
        <w:tc>
          <w:tcPr>
            <w:tcW w:w="1536" w:type="dxa"/>
            <w:tcBorders>
              <w:left w:val="nil"/>
              <w:bottom w:val="single" w:color="auto" w:sz="4" w:space="0"/>
            </w:tcBorders>
          </w:tcPr>
          <w:p>
            <w:pPr>
              <w:autoSpaceDN w:val="0"/>
              <w:spacing w:before="40" w:line="360" w:lineRule="auto"/>
              <w:ind w:left="110"/>
              <w:jc w:val="left"/>
              <w:rPr>
                <w:rFonts w:hint="eastAsia" w:ascii="宋体" w:hAnsi="宋体" w:eastAsia="宋体" w:cs="宋体"/>
                <w:kern w:val="0"/>
                <w:sz w:val="21"/>
                <w:szCs w:val="21"/>
                <w:lang w:val="zh-CN" w:bidi="zh-CN"/>
              </w:rPr>
            </w:pPr>
            <w:r>
              <w:rPr>
                <w:rFonts w:hint="eastAsia" w:ascii="宋体" w:hAnsi="宋体" w:eastAsia="宋体" w:cs="宋体"/>
                <w:color w:val="000000"/>
                <w:kern w:val="0"/>
                <w:sz w:val="21"/>
                <w:szCs w:val="21"/>
                <w:lang w:val="zh-CN" w:bidi="zh-CN"/>
              </w:rPr>
              <w:t>菌落总数</w:t>
            </w:r>
            <w:r>
              <w:rPr>
                <w:rFonts w:hint="eastAsia" w:ascii="宋体" w:hAnsi="宋体" w:eastAsia="宋体" w:cs="宋体"/>
                <w:color w:val="000000"/>
                <w:kern w:val="0"/>
                <w:position w:val="6"/>
                <w:sz w:val="21"/>
                <w:szCs w:val="21"/>
                <w:lang w:val="zh-CN" w:bidi="zh-CN"/>
              </w:rPr>
              <w:t>b</w:t>
            </w:r>
            <w:r>
              <w:rPr>
                <w:rFonts w:hint="eastAsia" w:ascii="宋体" w:hAnsi="宋体" w:eastAsia="宋体" w:cs="宋体"/>
                <w:color w:val="000000"/>
                <w:kern w:val="0"/>
                <w:sz w:val="21"/>
                <w:szCs w:val="21"/>
                <w:lang w:val="zh-CN" w:bidi="zh-CN"/>
              </w:rPr>
              <w:t>/（CFU/g）</w:t>
            </w:r>
          </w:p>
        </w:tc>
        <w:tc>
          <w:tcPr>
            <w:tcW w:w="1200"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≤1000</w:t>
            </w:r>
          </w:p>
        </w:tc>
        <w:tc>
          <w:tcPr>
            <w:tcW w:w="132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≤30000</w:t>
            </w:r>
          </w:p>
        </w:tc>
        <w:tc>
          <w:tcPr>
            <w:tcW w:w="129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≤1000</w:t>
            </w:r>
          </w:p>
        </w:tc>
        <w:tc>
          <w:tcPr>
            <w:tcW w:w="1164"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≤500</w:t>
            </w:r>
          </w:p>
        </w:tc>
        <w:tc>
          <w:tcPr>
            <w:tcW w:w="1191"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≤20000</w:t>
            </w:r>
          </w:p>
        </w:tc>
        <w:tc>
          <w:tcPr>
            <w:tcW w:w="130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≤10000</w:t>
            </w:r>
          </w:p>
        </w:tc>
        <w:tc>
          <w:tcPr>
            <w:tcW w:w="1294"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dxa"/>
            <w:tcBorders>
              <w:top w:val="single" w:color="auto" w:sz="4" w:space="0"/>
              <w:bottom w:val="single" w:color="auto" w:sz="4" w:space="0"/>
              <w:right w:val="nil"/>
            </w:tcBorders>
          </w:tcPr>
          <w:p>
            <w:pPr>
              <w:spacing w:line="360" w:lineRule="auto"/>
              <w:rPr>
                <w:rFonts w:hint="eastAsia" w:ascii="宋体" w:hAnsi="宋体" w:eastAsia="宋体" w:cs="宋体"/>
                <w:sz w:val="21"/>
                <w:szCs w:val="21"/>
              </w:rPr>
            </w:pPr>
          </w:p>
        </w:tc>
        <w:tc>
          <w:tcPr>
            <w:tcW w:w="1536" w:type="dxa"/>
            <w:tcBorders>
              <w:top w:val="single" w:color="auto" w:sz="4" w:space="0"/>
              <w:left w:val="nil"/>
              <w:bottom w:val="single" w:color="auto" w:sz="4" w:space="0"/>
            </w:tcBorders>
          </w:tcPr>
          <w:p>
            <w:pPr>
              <w:autoSpaceDN w:val="0"/>
              <w:spacing w:before="40" w:line="360" w:lineRule="auto"/>
              <w:ind w:left="110"/>
              <w:jc w:val="left"/>
              <w:rPr>
                <w:rFonts w:hint="eastAsia" w:ascii="宋体" w:hAnsi="宋体" w:eastAsia="宋体" w:cs="宋体"/>
                <w:kern w:val="0"/>
                <w:sz w:val="21"/>
                <w:szCs w:val="21"/>
                <w:lang w:val="zh-CN" w:bidi="zh-CN"/>
              </w:rPr>
            </w:pPr>
            <w:r>
              <w:rPr>
                <w:rFonts w:hint="eastAsia" w:ascii="宋体" w:hAnsi="宋体" w:eastAsia="宋体" w:cs="宋体"/>
                <w:color w:val="000000"/>
                <w:kern w:val="0"/>
                <w:sz w:val="21"/>
                <w:szCs w:val="21"/>
                <w:lang w:val="zh-CN" w:bidi="zh-CN"/>
              </w:rPr>
              <w:t>大肠菌群/（CFU/g）</w:t>
            </w:r>
          </w:p>
        </w:tc>
        <w:tc>
          <w:tcPr>
            <w:tcW w:w="1200"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32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≤90</w:t>
            </w:r>
          </w:p>
        </w:tc>
        <w:tc>
          <w:tcPr>
            <w:tcW w:w="129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≤40</w:t>
            </w:r>
          </w:p>
        </w:tc>
        <w:tc>
          <w:tcPr>
            <w:tcW w:w="1164"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191"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w:t>
            </w:r>
          </w:p>
        </w:tc>
        <w:tc>
          <w:tcPr>
            <w:tcW w:w="130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294"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dxa"/>
            <w:tcBorders>
              <w:top w:val="single" w:color="auto" w:sz="4" w:space="0"/>
              <w:bottom w:val="single" w:color="auto" w:sz="4" w:space="0"/>
              <w:right w:val="nil"/>
            </w:tcBorders>
          </w:tcPr>
          <w:p>
            <w:pPr>
              <w:spacing w:line="360" w:lineRule="auto"/>
              <w:rPr>
                <w:rFonts w:hint="eastAsia" w:ascii="宋体" w:hAnsi="宋体" w:eastAsia="宋体" w:cs="宋体"/>
                <w:sz w:val="21"/>
                <w:szCs w:val="21"/>
              </w:rPr>
            </w:pPr>
          </w:p>
        </w:tc>
        <w:tc>
          <w:tcPr>
            <w:tcW w:w="1536" w:type="dxa"/>
            <w:tcBorders>
              <w:top w:val="single" w:color="auto" w:sz="4" w:space="0"/>
              <w:left w:val="nil"/>
              <w:bottom w:val="single" w:color="auto" w:sz="4" w:space="0"/>
            </w:tcBorders>
          </w:tcPr>
          <w:p>
            <w:pPr>
              <w:autoSpaceDN w:val="0"/>
              <w:spacing w:before="40" w:line="360" w:lineRule="auto"/>
              <w:ind w:left="110"/>
              <w:jc w:val="left"/>
              <w:rPr>
                <w:rFonts w:hint="eastAsia" w:ascii="宋体" w:hAnsi="宋体" w:eastAsia="宋体" w:cs="宋体"/>
                <w:color w:val="FF0000"/>
                <w:kern w:val="0"/>
                <w:sz w:val="21"/>
                <w:szCs w:val="21"/>
                <w:lang w:val="zh-CN" w:bidi="zh-CN"/>
              </w:rPr>
            </w:pPr>
            <w:r>
              <w:rPr>
                <w:rFonts w:hint="eastAsia" w:ascii="宋体" w:hAnsi="宋体" w:eastAsia="宋体" w:cs="宋体"/>
                <w:color w:val="000000"/>
                <w:kern w:val="0"/>
                <w:sz w:val="21"/>
                <w:szCs w:val="21"/>
                <w:lang w:val="zh-CN" w:bidi="zh-CN"/>
              </w:rPr>
              <w:t>沙门氏菌/(/25g)</w:t>
            </w:r>
          </w:p>
        </w:tc>
        <w:tc>
          <w:tcPr>
            <w:tcW w:w="1200"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32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29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164"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191"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30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294"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dxa"/>
            <w:tcBorders>
              <w:top w:val="single" w:color="auto" w:sz="4" w:space="0"/>
              <w:bottom w:val="single" w:color="auto" w:sz="4" w:space="0"/>
              <w:right w:val="nil"/>
            </w:tcBorders>
          </w:tcPr>
          <w:p>
            <w:pPr>
              <w:spacing w:line="360" w:lineRule="auto"/>
              <w:rPr>
                <w:rFonts w:hint="eastAsia" w:ascii="宋体" w:hAnsi="宋体" w:eastAsia="宋体" w:cs="宋体"/>
                <w:sz w:val="21"/>
                <w:szCs w:val="21"/>
              </w:rPr>
            </w:pPr>
          </w:p>
        </w:tc>
        <w:tc>
          <w:tcPr>
            <w:tcW w:w="1536" w:type="dxa"/>
            <w:tcBorders>
              <w:top w:val="single" w:color="auto" w:sz="4" w:space="0"/>
              <w:left w:val="nil"/>
              <w:bottom w:val="single" w:color="auto" w:sz="4" w:space="0"/>
            </w:tcBorders>
          </w:tcPr>
          <w:p>
            <w:pPr>
              <w:autoSpaceDN w:val="0"/>
              <w:spacing w:before="40" w:line="360" w:lineRule="auto"/>
              <w:ind w:left="110"/>
              <w:jc w:val="left"/>
              <w:rPr>
                <w:rFonts w:hint="eastAsia" w:ascii="宋体" w:hAnsi="宋体" w:eastAsia="宋体" w:cs="宋体"/>
                <w:color w:val="FF0000"/>
                <w:kern w:val="0"/>
                <w:sz w:val="21"/>
                <w:szCs w:val="21"/>
                <w:lang w:val="zh-CN" w:bidi="zh-CN"/>
              </w:rPr>
            </w:pPr>
            <w:r>
              <w:rPr>
                <w:rFonts w:hint="eastAsia" w:ascii="宋体" w:hAnsi="宋体" w:eastAsia="宋体" w:cs="宋体"/>
                <w:color w:val="000000"/>
                <w:kern w:val="0"/>
                <w:sz w:val="21"/>
                <w:szCs w:val="21"/>
                <w:lang w:val="zh-CN" w:bidi="zh-CN"/>
              </w:rPr>
              <w:t>金黄色葡萄球菌/（CFU/g）</w:t>
            </w:r>
          </w:p>
        </w:tc>
        <w:tc>
          <w:tcPr>
            <w:tcW w:w="1200"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32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w:t>
            </w:r>
          </w:p>
        </w:tc>
        <w:tc>
          <w:tcPr>
            <w:tcW w:w="129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w:t>
            </w:r>
          </w:p>
        </w:tc>
        <w:tc>
          <w:tcPr>
            <w:tcW w:w="1164"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191"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w:t>
            </w:r>
          </w:p>
        </w:tc>
        <w:tc>
          <w:tcPr>
            <w:tcW w:w="130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w:t>
            </w:r>
          </w:p>
        </w:tc>
        <w:tc>
          <w:tcPr>
            <w:tcW w:w="1294"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dxa"/>
            <w:tcBorders>
              <w:top w:val="single" w:color="auto" w:sz="4" w:space="0"/>
              <w:bottom w:val="single" w:color="auto" w:sz="4" w:space="0"/>
              <w:right w:val="nil"/>
            </w:tcBorders>
          </w:tcPr>
          <w:p>
            <w:pPr>
              <w:spacing w:line="360" w:lineRule="auto"/>
              <w:rPr>
                <w:rFonts w:hint="eastAsia" w:ascii="宋体" w:hAnsi="宋体" w:eastAsia="宋体" w:cs="宋体"/>
                <w:sz w:val="21"/>
                <w:szCs w:val="21"/>
              </w:rPr>
            </w:pPr>
          </w:p>
        </w:tc>
        <w:tc>
          <w:tcPr>
            <w:tcW w:w="1536" w:type="dxa"/>
            <w:tcBorders>
              <w:top w:val="single" w:color="auto" w:sz="4" w:space="0"/>
              <w:left w:val="nil"/>
              <w:bottom w:val="single" w:color="auto" w:sz="4" w:space="0"/>
            </w:tcBorders>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霉菌</w:t>
            </w:r>
            <w:r>
              <w:rPr>
                <w:rFonts w:hint="eastAsia" w:ascii="宋体" w:hAnsi="宋体" w:eastAsia="宋体" w:cs="宋体"/>
                <w:color w:val="000000"/>
                <w:kern w:val="0"/>
                <w:sz w:val="21"/>
                <w:szCs w:val="21"/>
                <w:lang w:val="zh-CN" w:bidi="zh-CN"/>
              </w:rPr>
              <w:t>（CFU/g）</w:t>
            </w:r>
          </w:p>
        </w:tc>
        <w:tc>
          <w:tcPr>
            <w:tcW w:w="1200"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32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≤50</w:t>
            </w:r>
          </w:p>
        </w:tc>
        <w:tc>
          <w:tcPr>
            <w:tcW w:w="129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≤50</w:t>
            </w:r>
          </w:p>
        </w:tc>
        <w:tc>
          <w:tcPr>
            <w:tcW w:w="1164"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191"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≤50</w:t>
            </w:r>
          </w:p>
        </w:tc>
        <w:tc>
          <w:tcPr>
            <w:tcW w:w="130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294"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dxa"/>
            <w:tcBorders>
              <w:top w:val="single" w:color="auto" w:sz="4" w:space="0"/>
              <w:bottom w:val="single" w:color="auto" w:sz="4" w:space="0"/>
              <w:right w:val="nil"/>
            </w:tcBorders>
          </w:tcPr>
          <w:p>
            <w:pPr>
              <w:spacing w:line="360" w:lineRule="auto"/>
              <w:rPr>
                <w:rFonts w:hint="eastAsia" w:ascii="宋体" w:hAnsi="宋体" w:eastAsia="宋体" w:cs="宋体"/>
                <w:sz w:val="21"/>
                <w:szCs w:val="21"/>
              </w:rPr>
            </w:pPr>
          </w:p>
        </w:tc>
        <w:tc>
          <w:tcPr>
            <w:tcW w:w="1536" w:type="dxa"/>
            <w:tcBorders>
              <w:top w:val="single" w:color="auto" w:sz="4" w:space="0"/>
              <w:left w:val="nil"/>
              <w:bottom w:val="single" w:color="auto" w:sz="4" w:space="0"/>
            </w:tcBorders>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酵母</w:t>
            </w:r>
            <w:r>
              <w:rPr>
                <w:rFonts w:hint="eastAsia" w:ascii="宋体" w:hAnsi="宋体" w:eastAsia="宋体" w:cs="宋体"/>
                <w:color w:val="000000"/>
                <w:kern w:val="0"/>
                <w:sz w:val="21"/>
                <w:szCs w:val="21"/>
                <w:lang w:val="zh-CN" w:bidi="zh-CN"/>
              </w:rPr>
              <w:t>（CFU/g）</w:t>
            </w:r>
          </w:p>
        </w:tc>
        <w:tc>
          <w:tcPr>
            <w:tcW w:w="1200"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327"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299"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164"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191"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309"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294" w:type="dxa"/>
            <w:vAlign w:val="center"/>
          </w:tcPr>
          <w:p>
            <w:pPr>
              <w:autoSpaceDE w:val="0"/>
              <w:autoSpaceDN w:val="0"/>
              <w:adjustRightIn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dxa"/>
            <w:tcBorders>
              <w:top w:val="single" w:color="auto" w:sz="4" w:space="0"/>
              <w:bottom w:val="single" w:color="auto" w:sz="4" w:space="0"/>
              <w:right w:val="nil"/>
            </w:tcBorders>
          </w:tcPr>
          <w:p>
            <w:pPr>
              <w:spacing w:line="360" w:lineRule="auto"/>
              <w:rPr>
                <w:rFonts w:hint="eastAsia" w:ascii="宋体" w:hAnsi="宋体" w:eastAsia="宋体" w:cs="宋体"/>
                <w:sz w:val="21"/>
                <w:szCs w:val="21"/>
              </w:rPr>
            </w:pPr>
          </w:p>
        </w:tc>
        <w:tc>
          <w:tcPr>
            <w:tcW w:w="1536" w:type="dxa"/>
            <w:tcBorders>
              <w:top w:val="single" w:color="auto" w:sz="4" w:space="0"/>
              <w:left w:val="nil"/>
              <w:bottom w:val="single" w:color="auto" w:sz="4" w:space="0"/>
            </w:tcBorders>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铅（以Pb计）/（mg/kg）</w:t>
            </w:r>
          </w:p>
        </w:tc>
        <w:tc>
          <w:tcPr>
            <w:tcW w:w="1200"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≤0.2</w:t>
            </w:r>
          </w:p>
        </w:tc>
        <w:tc>
          <w:tcPr>
            <w:tcW w:w="1327"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29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164"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191"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30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≤0.1</w:t>
            </w:r>
          </w:p>
        </w:tc>
        <w:tc>
          <w:tcPr>
            <w:tcW w:w="1294" w:type="dxa"/>
            <w:vAlign w:val="center"/>
          </w:tcPr>
          <w:p>
            <w:pPr>
              <w:autoSpaceDE w:val="0"/>
              <w:autoSpaceDN w:val="0"/>
              <w:adjustRightIn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dxa"/>
            <w:tcBorders>
              <w:top w:val="single" w:color="auto" w:sz="4" w:space="0"/>
              <w:right w:val="nil"/>
            </w:tcBorders>
          </w:tcPr>
          <w:p>
            <w:pPr>
              <w:spacing w:line="360" w:lineRule="auto"/>
              <w:rPr>
                <w:rFonts w:hint="eastAsia" w:ascii="宋体" w:hAnsi="宋体" w:eastAsia="宋体" w:cs="宋体"/>
                <w:sz w:val="21"/>
                <w:szCs w:val="21"/>
              </w:rPr>
            </w:pPr>
          </w:p>
        </w:tc>
        <w:tc>
          <w:tcPr>
            <w:tcW w:w="1536" w:type="dxa"/>
            <w:tcBorders>
              <w:top w:val="single" w:color="auto" w:sz="4" w:space="0"/>
              <w:left w:val="nil"/>
            </w:tcBorders>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总砷（以As计）/（mg/kg）</w:t>
            </w:r>
          </w:p>
        </w:tc>
        <w:tc>
          <w:tcPr>
            <w:tcW w:w="1200" w:type="dxa"/>
            <w:tcBorders>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≤0.1</w:t>
            </w:r>
          </w:p>
        </w:tc>
        <w:tc>
          <w:tcPr>
            <w:tcW w:w="1327" w:type="dxa"/>
            <w:tcBorders>
              <w:left w:val="single" w:color="auto" w:sz="4"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≤0.5</w:t>
            </w:r>
          </w:p>
        </w:tc>
        <w:tc>
          <w:tcPr>
            <w:tcW w:w="1299"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164"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191"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≤0.5</w:t>
            </w:r>
          </w:p>
        </w:tc>
        <w:tc>
          <w:tcPr>
            <w:tcW w:w="1309"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294" w:type="dxa"/>
            <w:vAlign w:val="center"/>
          </w:tcPr>
          <w:p>
            <w:pPr>
              <w:autoSpaceDE w:val="0"/>
              <w:autoSpaceDN w:val="0"/>
              <w:adjustRightIn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gridSpan w:val="2"/>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乳酸菌</w:t>
            </w:r>
            <w:r>
              <w:rPr>
                <w:rFonts w:hint="eastAsia" w:ascii="宋体" w:hAnsi="宋体" w:eastAsia="宋体" w:cs="宋体"/>
                <w:color w:val="000000"/>
                <w:kern w:val="0"/>
                <w:sz w:val="21"/>
                <w:szCs w:val="21"/>
                <w:lang w:val="zh-CN" w:bidi="zh-CN"/>
              </w:rPr>
              <w:t>（CFU/g）</w:t>
            </w:r>
          </w:p>
        </w:tc>
        <w:tc>
          <w:tcPr>
            <w:tcW w:w="1200" w:type="dxa"/>
            <w:tcBorders>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≥1×10</w:t>
            </w:r>
            <w:r>
              <w:rPr>
                <w:rFonts w:hint="eastAsia" w:ascii="宋体" w:hAnsi="宋体" w:eastAsia="宋体" w:cs="宋体"/>
                <w:sz w:val="21"/>
                <w:szCs w:val="21"/>
                <w:vertAlign w:val="superscript"/>
              </w:rPr>
              <w:t>8</w:t>
            </w:r>
          </w:p>
        </w:tc>
        <w:tc>
          <w:tcPr>
            <w:tcW w:w="1327" w:type="dxa"/>
            <w:tcBorders>
              <w:left w:val="single" w:color="auto" w:sz="4" w:space="0"/>
            </w:tcBorders>
            <w:vAlign w:val="center"/>
          </w:tcPr>
          <w:p>
            <w:pPr>
              <w:autoSpaceDE w:val="0"/>
              <w:autoSpaceDN w:val="0"/>
              <w:adjustRightInd w:val="0"/>
              <w:spacing w:line="360" w:lineRule="auto"/>
              <w:jc w:val="center"/>
              <w:rPr>
                <w:rFonts w:hint="eastAsia" w:ascii="宋体" w:hAnsi="宋体" w:eastAsia="宋体" w:cs="宋体"/>
                <w:sz w:val="21"/>
                <w:szCs w:val="21"/>
              </w:rPr>
            </w:pPr>
          </w:p>
        </w:tc>
        <w:tc>
          <w:tcPr>
            <w:tcW w:w="1299"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164" w:type="dxa"/>
            <w:vAlign w:val="center"/>
          </w:tcPr>
          <w:p>
            <w:pPr>
              <w:autoSpaceDE w:val="0"/>
              <w:autoSpaceDN w:val="0"/>
              <w:adjustRightInd w:val="0"/>
              <w:spacing w:line="360" w:lineRule="auto"/>
              <w:jc w:val="center"/>
              <w:rPr>
                <w:rFonts w:hint="eastAsia" w:ascii="宋体" w:hAnsi="宋体" w:eastAsia="宋体" w:cs="宋体"/>
                <w:sz w:val="21"/>
                <w:szCs w:val="21"/>
              </w:rPr>
            </w:pPr>
          </w:p>
        </w:tc>
        <w:tc>
          <w:tcPr>
            <w:tcW w:w="1191"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≥1×10</w:t>
            </w:r>
            <w:r>
              <w:rPr>
                <w:rFonts w:hint="eastAsia" w:ascii="宋体" w:hAnsi="宋体" w:eastAsia="宋体" w:cs="宋体"/>
                <w:sz w:val="21"/>
                <w:szCs w:val="21"/>
                <w:vertAlign w:val="superscript"/>
              </w:rPr>
              <w:t>10</w:t>
            </w:r>
          </w:p>
        </w:tc>
        <w:tc>
          <w:tcPr>
            <w:tcW w:w="130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2.4×10</w:t>
            </w:r>
            <w:r>
              <w:rPr>
                <w:rFonts w:hint="eastAsia" w:ascii="宋体" w:hAnsi="宋体" w:eastAsia="宋体" w:cs="宋体"/>
                <w:sz w:val="21"/>
                <w:szCs w:val="21"/>
                <w:vertAlign w:val="superscript"/>
              </w:rPr>
              <w:t>9</w:t>
            </w:r>
          </w:p>
        </w:tc>
        <w:tc>
          <w:tcPr>
            <w:tcW w:w="1294" w:type="dxa"/>
            <w:vAlign w:val="center"/>
          </w:tcPr>
          <w:p>
            <w:pPr>
              <w:autoSpaceDE w:val="0"/>
              <w:autoSpaceDN w:val="0"/>
              <w:adjustRightIn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gridSpan w:val="2"/>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水分/(%)</w:t>
            </w:r>
          </w:p>
        </w:tc>
        <w:tc>
          <w:tcPr>
            <w:tcW w:w="1200" w:type="dxa"/>
            <w:tcBorders>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≤5.0</w:t>
            </w:r>
          </w:p>
        </w:tc>
        <w:tc>
          <w:tcPr>
            <w:tcW w:w="1327" w:type="dxa"/>
            <w:tcBorders>
              <w:left w:val="single" w:color="auto" w:sz="4" w:space="0"/>
            </w:tcBorders>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≤5.0</w:t>
            </w:r>
          </w:p>
        </w:tc>
        <w:tc>
          <w:tcPr>
            <w:tcW w:w="129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≤4.5</w:t>
            </w:r>
          </w:p>
        </w:tc>
        <w:tc>
          <w:tcPr>
            <w:tcW w:w="1164"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≤2.57</w:t>
            </w:r>
          </w:p>
        </w:tc>
        <w:tc>
          <w:tcPr>
            <w:tcW w:w="1191"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≤5.0</w:t>
            </w:r>
          </w:p>
        </w:tc>
        <w:tc>
          <w:tcPr>
            <w:tcW w:w="1309"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≤3.5</w:t>
            </w:r>
          </w:p>
        </w:tc>
        <w:tc>
          <w:tcPr>
            <w:tcW w:w="1294" w:type="dxa"/>
            <w:vAlign w:val="center"/>
          </w:tcPr>
          <w:p>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≤7.0</w:t>
            </w:r>
          </w:p>
        </w:tc>
      </w:tr>
    </w:tbl>
    <w:p>
      <w:pPr>
        <w:spacing w:line="360" w:lineRule="auto"/>
        <w:rPr>
          <w:szCs w:val="21"/>
        </w:rPr>
      </w:pPr>
      <w:r>
        <w:rPr>
          <w:szCs w:val="21"/>
        </w:rPr>
        <w:t xml:space="preserve">    注：#为产品实测数据。</w:t>
      </w:r>
    </w:p>
    <w:p>
      <w:pPr>
        <w:spacing w:line="360" w:lineRule="auto"/>
        <w:ind w:firstLine="420" w:firstLineChars="200"/>
        <w:rPr>
          <w:szCs w:val="21"/>
        </w:rPr>
      </w:pPr>
      <w:r>
        <w:rPr>
          <w:szCs w:val="21"/>
        </w:rPr>
        <w:t>从表2的数据可以看出，本标准所设定的技术指标中食品安全指标要高于表中所列的企业标准，体现出本标准的先进性。一般理化指标（如水分含量）和功能成分指标（如乳酸菌数）与多数企业标准等同，体现出本标准的合理性和可行性。</w:t>
      </w:r>
    </w:p>
    <w:p>
      <w:pPr>
        <w:spacing w:line="360" w:lineRule="auto"/>
        <w:rPr>
          <w:b/>
          <w:bCs/>
          <w:sz w:val="24"/>
          <w:szCs w:val="24"/>
        </w:rPr>
      </w:pPr>
      <w:r>
        <w:rPr>
          <w:rFonts w:hint="eastAsia"/>
          <w:b/>
          <w:bCs/>
          <w:sz w:val="24"/>
          <w:szCs w:val="24"/>
        </w:rPr>
        <w:t>四、确定标准重要内容的依据</w:t>
      </w:r>
    </w:p>
    <w:p>
      <w:pPr>
        <w:numPr>
          <w:ilvl w:val="0"/>
          <w:numId w:val="2"/>
        </w:numPr>
        <w:spacing w:line="360" w:lineRule="auto"/>
        <w:rPr>
          <w:b/>
          <w:bCs/>
          <w:szCs w:val="21"/>
        </w:rPr>
      </w:pPr>
      <w:r>
        <w:rPr>
          <w:rFonts w:hint="eastAsia"/>
          <w:b/>
          <w:bCs/>
          <w:szCs w:val="21"/>
        </w:rPr>
        <w:t>确定标准内容的主要路径</w:t>
      </w:r>
      <w:r>
        <w:rPr>
          <w:b/>
          <w:bCs/>
          <w:szCs w:val="21"/>
        </w:rPr>
        <w:t xml:space="preserve">   </w:t>
      </w:r>
    </w:p>
    <w:p>
      <w:pPr>
        <w:spacing w:line="360" w:lineRule="auto"/>
        <w:ind w:firstLine="420" w:firstLineChars="200"/>
        <w:rPr>
          <w:szCs w:val="21"/>
        </w:rPr>
      </w:pPr>
      <w:r>
        <w:rPr>
          <w:rFonts w:hint="eastAsia"/>
          <w:szCs w:val="21"/>
        </w:rPr>
        <w:t>在我国同类产品国家标准的基础上，以我国神舟号载人飞船航天食品的质量标准为蓝本，参阅美国N</w:t>
      </w:r>
      <w:r>
        <w:rPr>
          <w:szCs w:val="21"/>
        </w:rPr>
        <w:t>ASA</w:t>
      </w:r>
      <w:r>
        <w:rPr>
          <w:rFonts w:hint="eastAsia"/>
          <w:szCs w:val="21"/>
        </w:rPr>
        <w:t>航天食品和I</w:t>
      </w:r>
      <w:r>
        <w:rPr>
          <w:szCs w:val="21"/>
        </w:rPr>
        <w:t>SS</w:t>
      </w:r>
      <w:r>
        <w:rPr>
          <w:rFonts w:hint="eastAsia"/>
          <w:szCs w:val="21"/>
        </w:rPr>
        <w:t>航天食品的质量标准，同时对比国内相关企业同类产品的企标，确定本标准的</w:t>
      </w:r>
      <w:r>
        <w:rPr>
          <w:szCs w:val="21"/>
        </w:rPr>
        <w:t>技术指标</w:t>
      </w:r>
      <w:r>
        <w:rPr>
          <w:rFonts w:hint="eastAsia"/>
          <w:szCs w:val="21"/>
        </w:rPr>
        <w:t>。</w:t>
      </w:r>
    </w:p>
    <w:p>
      <w:pPr>
        <w:spacing w:line="360" w:lineRule="auto"/>
        <w:rPr>
          <w:b/>
          <w:bCs/>
          <w:szCs w:val="21"/>
        </w:rPr>
      </w:pPr>
      <w:r>
        <w:rPr>
          <w:rFonts w:hint="eastAsia"/>
          <w:b/>
          <w:bCs/>
          <w:szCs w:val="21"/>
        </w:rPr>
        <w:t xml:space="preserve">（二） 制定要点及说明 </w:t>
      </w:r>
    </w:p>
    <w:p>
      <w:pPr>
        <w:spacing w:line="360" w:lineRule="auto"/>
        <w:ind w:firstLine="420" w:firstLineChars="200"/>
        <w:rPr>
          <w:szCs w:val="21"/>
        </w:rPr>
      </w:pPr>
      <w:r>
        <w:rPr>
          <w:rFonts w:hint="eastAsia"/>
          <w:szCs w:val="21"/>
        </w:rPr>
        <w:t>1、本标准的产品分类基本采用的是 固体饮料》</w:t>
      </w:r>
      <w:r>
        <w:rPr>
          <w:rFonts w:hint="eastAsia"/>
          <w:szCs w:val="21"/>
          <w:lang w:eastAsia="zh-CN"/>
        </w:rPr>
        <w:t>（</w:t>
      </w:r>
      <w:r>
        <w:rPr>
          <w:rFonts w:hint="eastAsia"/>
          <w:szCs w:val="21"/>
        </w:rPr>
        <w:t>GB/T 29602</w:t>
      </w:r>
      <w:r>
        <w:rPr>
          <w:rFonts w:hint="eastAsia"/>
          <w:szCs w:val="21"/>
          <w:lang w:eastAsia="zh-CN"/>
        </w:rPr>
        <w:t>）</w:t>
      </w:r>
      <w:r>
        <w:rPr>
          <w:rFonts w:hint="eastAsia"/>
          <w:szCs w:val="21"/>
        </w:rPr>
        <w:t>中的产品分类，但做了取舍和修改。产品的分类中舍去了果味饮料这一类别，因为这一类产品就是俗称的“三精水”，没有任何营养价值，长期饮用还可能危害身体健康。</w:t>
      </w:r>
    </w:p>
    <w:p>
      <w:pPr>
        <w:spacing w:line="360" w:lineRule="auto"/>
        <w:ind w:firstLine="420" w:firstLineChars="200"/>
        <w:rPr>
          <w:szCs w:val="21"/>
        </w:rPr>
      </w:pPr>
      <w:r>
        <w:rPr>
          <w:szCs w:val="21"/>
        </w:rPr>
        <w:t xml:space="preserve">2. </w:t>
      </w:r>
      <w:r>
        <w:rPr>
          <w:rFonts w:hint="eastAsia"/>
          <w:szCs w:val="21"/>
        </w:rPr>
        <w:t>在每一类产品的表述中，删去了</w:t>
      </w:r>
      <w:bookmarkStart w:id="0" w:name="_Hlk41991204"/>
      <w:r>
        <w:rPr>
          <w:rFonts w:hint="eastAsia"/>
          <w:szCs w:val="21"/>
        </w:rPr>
        <w:t>《固体饮料》</w:t>
      </w:r>
      <w:bookmarkEnd w:id="0"/>
      <w:r>
        <w:rPr>
          <w:rFonts w:hint="eastAsia"/>
          <w:szCs w:val="21"/>
          <w:lang w:eastAsia="zh-CN"/>
        </w:rPr>
        <w:t>（</w:t>
      </w:r>
      <w:r>
        <w:rPr>
          <w:rFonts w:hint="eastAsia"/>
          <w:szCs w:val="21"/>
        </w:rPr>
        <w:t>GB/T 29602</w:t>
      </w:r>
      <w:r>
        <w:rPr>
          <w:rFonts w:hint="eastAsia"/>
          <w:szCs w:val="21"/>
          <w:lang w:eastAsia="zh-CN"/>
        </w:rPr>
        <w:t>）</w:t>
      </w:r>
      <w:r>
        <w:rPr>
          <w:rFonts w:hint="eastAsia"/>
          <w:szCs w:val="21"/>
        </w:rPr>
        <w:t>中白糖、植脂末等字眼。因为学界认为这类食品原料长期</w:t>
      </w:r>
      <w:r>
        <w:rPr>
          <w:szCs w:val="21"/>
        </w:rPr>
        <w:t>食用</w:t>
      </w:r>
      <w:r>
        <w:rPr>
          <w:rFonts w:hint="eastAsia"/>
          <w:szCs w:val="21"/>
        </w:rPr>
        <w:t>不利健康。</w:t>
      </w:r>
    </w:p>
    <w:p>
      <w:pPr>
        <w:spacing w:line="360" w:lineRule="auto"/>
        <w:ind w:firstLine="420" w:firstLineChars="200"/>
        <w:rPr>
          <w:szCs w:val="21"/>
        </w:rPr>
      </w:pPr>
      <w:r>
        <w:rPr>
          <w:szCs w:val="21"/>
        </w:rPr>
        <w:t xml:space="preserve">3. </w:t>
      </w:r>
      <w:r>
        <w:rPr>
          <w:rFonts w:hint="eastAsia"/>
          <w:szCs w:val="21"/>
        </w:rPr>
        <w:t>在原材料的要求中，（1）提出了不得采用转基因农产品的要求，因为对转基因食品的安全性，目前学界存在较大争议，大众对转基因产品安全也心存顾虑。（2）提出了不</w:t>
      </w:r>
      <w:r>
        <w:rPr>
          <w:szCs w:val="21"/>
        </w:rPr>
        <w:t>应</w:t>
      </w:r>
      <w:r>
        <w:rPr>
          <w:rFonts w:hint="eastAsia"/>
          <w:szCs w:val="21"/>
        </w:rPr>
        <w:t>使用化学合成的食品</w:t>
      </w:r>
      <w:r>
        <w:rPr>
          <w:szCs w:val="21"/>
        </w:rPr>
        <w:t>甜味</w:t>
      </w:r>
      <w:r>
        <w:rPr>
          <w:rFonts w:hint="eastAsia"/>
          <w:szCs w:val="21"/>
        </w:rPr>
        <w:t>剂</w:t>
      </w:r>
      <w:r>
        <w:rPr>
          <w:szCs w:val="21"/>
        </w:rPr>
        <w:t>的要求</w:t>
      </w:r>
      <w:r>
        <w:rPr>
          <w:rFonts w:hint="eastAsia"/>
          <w:szCs w:val="21"/>
        </w:rPr>
        <w:t>，理由是</w:t>
      </w:r>
      <w:r>
        <w:rPr>
          <w:szCs w:val="21"/>
        </w:rPr>
        <w:t>像三氯蔗糖、阿斯巴甜等化学合成的食品甜味剂，研究发现具有潜在的健康隐患。</w:t>
      </w:r>
      <w:r>
        <w:rPr>
          <w:rFonts w:hint="eastAsia"/>
          <w:szCs w:val="21"/>
        </w:rPr>
        <w:t>在大众的心目中宇航食品是高品质、安全和健康的代名词，对</w:t>
      </w:r>
      <w:r>
        <w:rPr>
          <w:szCs w:val="21"/>
        </w:rPr>
        <w:t>这类原料</w:t>
      </w:r>
      <w:r>
        <w:rPr>
          <w:rFonts w:hint="eastAsia"/>
          <w:szCs w:val="21"/>
        </w:rPr>
        <w:t>能够不用最好不用</w:t>
      </w:r>
      <w:r>
        <w:rPr>
          <w:szCs w:val="21"/>
        </w:rPr>
        <w:t>。</w:t>
      </w:r>
    </w:p>
    <w:p>
      <w:pPr>
        <w:spacing w:line="360" w:lineRule="auto"/>
        <w:ind w:firstLine="420" w:firstLineChars="200"/>
        <w:rPr>
          <w:szCs w:val="21"/>
        </w:rPr>
      </w:pPr>
      <w:r>
        <w:rPr>
          <w:szCs w:val="21"/>
        </w:rPr>
        <w:t xml:space="preserve">4. </w:t>
      </w:r>
      <w:r>
        <w:rPr>
          <w:rFonts w:hint="eastAsia"/>
          <w:szCs w:val="21"/>
        </w:rPr>
        <w:t>产品的基本要求中，果蔬固体饮料的果蔬汁含量和蛋白固体饮料的蛋白质含量提高</w:t>
      </w:r>
      <w:r>
        <w:rPr>
          <w:szCs w:val="21"/>
        </w:rPr>
        <w:t>了</w:t>
      </w:r>
      <w:r>
        <w:rPr>
          <w:rFonts w:hint="eastAsia"/>
          <w:szCs w:val="21"/>
        </w:rPr>
        <w:t>20%</w:t>
      </w:r>
      <w:r>
        <w:rPr>
          <w:szCs w:val="21"/>
        </w:rPr>
        <w:t>，</w:t>
      </w:r>
      <w:r>
        <w:rPr>
          <w:rFonts w:hint="eastAsia"/>
          <w:szCs w:val="21"/>
        </w:rPr>
        <w:t>以提高产品的品质。</w:t>
      </w:r>
    </w:p>
    <w:p>
      <w:pPr>
        <w:spacing w:line="360" w:lineRule="auto"/>
        <w:ind w:firstLine="420" w:firstLineChars="200"/>
        <w:rPr>
          <w:szCs w:val="21"/>
        </w:rPr>
      </w:pPr>
      <w:r>
        <w:rPr>
          <w:szCs w:val="21"/>
        </w:rPr>
        <w:t xml:space="preserve">5. </w:t>
      </w:r>
      <w:r>
        <w:rPr>
          <w:rFonts w:hint="eastAsia"/>
          <w:szCs w:val="21"/>
        </w:rPr>
        <w:t>微生物指标：对有些指标提出了更高的要求，见前述，使产品的微生物安全性更高。</w:t>
      </w:r>
    </w:p>
    <w:p>
      <w:pPr>
        <w:spacing w:line="360" w:lineRule="auto"/>
        <w:ind w:firstLine="420" w:firstLineChars="200"/>
        <w:rPr>
          <w:szCs w:val="21"/>
        </w:rPr>
      </w:pPr>
      <w:r>
        <w:rPr>
          <w:szCs w:val="21"/>
        </w:rPr>
        <w:t xml:space="preserve">6. </w:t>
      </w:r>
      <w:r>
        <w:rPr>
          <w:rFonts w:hint="eastAsia"/>
          <w:szCs w:val="21"/>
        </w:rPr>
        <w:t>益生菌指标：按照当前国际上对优质益生菌产品的要求，将产品的活菌数（C</w:t>
      </w:r>
      <w:r>
        <w:rPr>
          <w:szCs w:val="21"/>
        </w:rPr>
        <w:t>FU/g</w:t>
      </w:r>
      <w:r>
        <w:rPr>
          <w:rFonts w:hint="eastAsia"/>
          <w:szCs w:val="21"/>
        </w:rPr>
        <w:t>）定为原材料不低于10</w:t>
      </w:r>
      <w:r>
        <w:rPr>
          <w:rFonts w:hint="eastAsia"/>
          <w:szCs w:val="21"/>
          <w:vertAlign w:val="superscript"/>
        </w:rPr>
        <w:t>10</w:t>
      </w:r>
      <w:r>
        <w:rPr>
          <w:rFonts w:hint="eastAsia"/>
          <w:szCs w:val="21"/>
        </w:rPr>
        <w:t>，终产品不低于10</w:t>
      </w:r>
      <w:r>
        <w:rPr>
          <w:rFonts w:hint="eastAsia"/>
          <w:szCs w:val="21"/>
          <w:vertAlign w:val="superscript"/>
        </w:rPr>
        <w:t>8</w:t>
      </w:r>
      <w:r>
        <w:rPr>
          <w:rFonts w:hint="eastAsia"/>
          <w:szCs w:val="21"/>
        </w:rPr>
        <w:t>，比国家对益生菌类保健食品不低于10</w:t>
      </w:r>
      <w:r>
        <w:rPr>
          <w:rFonts w:hint="eastAsia"/>
          <w:szCs w:val="21"/>
          <w:vertAlign w:val="superscript"/>
        </w:rPr>
        <w:t>6</w:t>
      </w:r>
      <w:r>
        <w:rPr>
          <w:rFonts w:hint="eastAsia"/>
          <w:szCs w:val="21"/>
        </w:rPr>
        <w:t>的要求高出两个数量级。</w:t>
      </w:r>
    </w:p>
    <w:p>
      <w:pPr>
        <w:spacing w:line="360" w:lineRule="auto"/>
        <w:ind w:firstLine="420" w:firstLineChars="200"/>
        <w:rPr>
          <w:szCs w:val="21"/>
        </w:rPr>
      </w:pPr>
      <w:r>
        <w:rPr>
          <w:szCs w:val="21"/>
        </w:rPr>
        <w:t xml:space="preserve">7. </w:t>
      </w:r>
      <w:r>
        <w:rPr>
          <w:rFonts w:hint="eastAsia"/>
          <w:szCs w:val="21"/>
        </w:rPr>
        <w:t>理化指标：产品的水分含量由7%降至5%，可提高产品品质，有利于产品的保质期。</w:t>
      </w:r>
      <w:r>
        <w:rPr>
          <w:szCs w:val="21"/>
        </w:rPr>
        <w:t>重金属污染物铅、砷、汞几项的限量均是以《 航天食品卫生要求》</w:t>
      </w:r>
      <w:r>
        <w:rPr>
          <w:rFonts w:hint="eastAsia"/>
          <w:szCs w:val="21"/>
          <w:lang w:eastAsia="zh-CN"/>
        </w:rPr>
        <w:t>（</w:t>
      </w:r>
      <w:r>
        <w:rPr>
          <w:szCs w:val="21"/>
        </w:rPr>
        <w:t>GJB</w:t>
      </w:r>
      <w:r>
        <w:rPr>
          <w:rFonts w:hint="eastAsia"/>
          <w:szCs w:val="21"/>
          <w:lang w:eastAsia="zh-CN"/>
        </w:rPr>
        <w:t>）</w:t>
      </w:r>
      <w:r>
        <w:rPr>
          <w:szCs w:val="21"/>
        </w:rPr>
        <w:t>的要求制定，指标值远低于《食品安全国家标准 保健食品 》</w:t>
      </w:r>
      <w:r>
        <w:rPr>
          <w:rFonts w:hint="eastAsia"/>
          <w:szCs w:val="21"/>
          <w:lang w:eastAsia="zh-CN"/>
        </w:rPr>
        <w:t>（</w:t>
      </w:r>
      <w:r>
        <w:rPr>
          <w:szCs w:val="21"/>
        </w:rPr>
        <w:t xml:space="preserve">GB 16740 </w:t>
      </w:r>
      <w:r>
        <w:rPr>
          <w:rFonts w:hint="eastAsia"/>
          <w:szCs w:val="21"/>
          <w:lang w:eastAsia="zh-CN"/>
        </w:rPr>
        <w:t>）</w:t>
      </w:r>
      <w:r>
        <w:rPr>
          <w:szCs w:val="21"/>
        </w:rPr>
        <w:t>的限定值，凸显了宇航食品安全第一的原则。</w:t>
      </w:r>
    </w:p>
    <w:p>
      <w:pPr>
        <w:spacing w:line="360" w:lineRule="auto"/>
        <w:ind w:firstLine="420" w:firstLineChars="200"/>
        <w:rPr>
          <w:szCs w:val="21"/>
        </w:rPr>
      </w:pPr>
      <w:r>
        <w:rPr>
          <w:szCs w:val="21"/>
        </w:rPr>
        <w:t>8. 谷物固体饮料中的全谷物固体饮料，要求全谷物的含量必须</w:t>
      </w:r>
      <w:r>
        <w:rPr>
          <w:rFonts w:hint="eastAsia" w:eastAsia="宋体"/>
          <w:szCs w:val="21"/>
        </w:rPr>
        <w:t>≥</w:t>
      </w:r>
      <w:r>
        <w:rPr>
          <w:rFonts w:eastAsia="宋体"/>
          <w:szCs w:val="21"/>
        </w:rPr>
        <w:t>51%，这与国际上对全谷物食品的要求一致。</w:t>
      </w:r>
    </w:p>
    <w:p>
      <w:pPr>
        <w:spacing w:line="360" w:lineRule="auto"/>
        <w:rPr>
          <w:b/>
          <w:bCs/>
          <w:sz w:val="24"/>
          <w:szCs w:val="24"/>
        </w:rPr>
      </w:pPr>
      <w:r>
        <w:rPr>
          <w:rFonts w:hint="eastAsia"/>
          <w:b/>
          <w:bCs/>
          <w:sz w:val="24"/>
          <w:szCs w:val="24"/>
        </w:rPr>
        <w:t>五、主要试验或验证分析报告的说明</w:t>
      </w:r>
    </w:p>
    <w:p>
      <w:pPr>
        <w:spacing w:line="360" w:lineRule="auto"/>
        <w:ind w:firstLine="560"/>
        <w:rPr>
          <w:szCs w:val="21"/>
        </w:rPr>
      </w:pPr>
      <w:r>
        <w:rPr>
          <w:rFonts w:hint="eastAsia"/>
          <w:szCs w:val="21"/>
        </w:rPr>
        <w:t>广泛征求了国内几家有代表性的固体饮料生产企业对标准技术内容的意见，包括对标准技术指标限值的尺度，执行标准的难易程度等。从企业反馈的信息来看，本标准具有先进性和可操作性。</w:t>
      </w:r>
    </w:p>
    <w:p>
      <w:pPr>
        <w:spacing w:line="360" w:lineRule="auto"/>
        <w:ind w:firstLine="560"/>
        <w:rPr>
          <w:szCs w:val="21"/>
        </w:rPr>
      </w:pPr>
      <w:r>
        <w:rPr>
          <w:rFonts w:hint="eastAsia"/>
          <w:szCs w:val="21"/>
        </w:rPr>
        <w:t>1、</w:t>
      </w:r>
      <w:bookmarkStart w:id="1" w:name="_Hlk42248494"/>
      <w:r>
        <w:rPr>
          <w:rFonts w:hint="eastAsia"/>
          <w:szCs w:val="21"/>
        </w:rPr>
        <w:t>由河南许昌神飞生物科技有限公司提供的系列固体饮料产品检测报告可以看出，对执行G</w:t>
      </w:r>
      <w:r>
        <w:rPr>
          <w:szCs w:val="21"/>
        </w:rPr>
        <w:t>PM</w:t>
      </w:r>
      <w:r>
        <w:rPr>
          <w:rFonts w:hint="eastAsia"/>
          <w:szCs w:val="21"/>
        </w:rPr>
        <w:t>和H</w:t>
      </w:r>
      <w:r>
        <w:rPr>
          <w:szCs w:val="21"/>
        </w:rPr>
        <w:t>ACCP</w:t>
      </w:r>
      <w:r>
        <w:rPr>
          <w:rFonts w:hint="eastAsia"/>
          <w:szCs w:val="21"/>
        </w:rPr>
        <w:t>的企业，产品的质量指标完全可以满足本标准的规定。</w:t>
      </w:r>
      <w:bookmarkEnd w:id="1"/>
    </w:p>
    <w:p>
      <w:pPr>
        <w:spacing w:line="360" w:lineRule="auto"/>
        <w:ind w:firstLine="560"/>
        <w:rPr>
          <w:szCs w:val="21"/>
        </w:rPr>
      </w:pPr>
      <w:r>
        <w:rPr>
          <w:rFonts w:hint="eastAsia"/>
          <w:szCs w:val="21"/>
        </w:rPr>
        <w:t>2、由山东凤凰生物有限公司</w:t>
      </w:r>
      <w:r>
        <w:rPr>
          <w:szCs w:val="21"/>
        </w:rPr>
        <w:t>和广州盛世福康健康科技有限公司</w:t>
      </w:r>
      <w:r>
        <w:rPr>
          <w:rFonts w:hint="eastAsia"/>
          <w:szCs w:val="21"/>
        </w:rPr>
        <w:t>提供的系列益生菌固体饮料产品检测报告可以看出，对执行GPM和HACCP的企业，产品的质量指标完全可以满足本标准的规定。该公司系列益生菌固体饮料乳酸菌的检测结果均</w:t>
      </w:r>
      <w:r>
        <w:rPr>
          <w:rFonts w:hint="eastAsia" w:ascii="等线"/>
          <w:szCs w:val="21"/>
        </w:rPr>
        <w:t>≧1ⅹ</w:t>
      </w:r>
      <w:r>
        <w:rPr>
          <w:rFonts w:hint="eastAsia"/>
          <w:szCs w:val="21"/>
        </w:rPr>
        <w:t>10</w:t>
      </w:r>
      <w:r>
        <w:rPr>
          <w:rFonts w:hint="eastAsia"/>
          <w:szCs w:val="21"/>
          <w:vertAlign w:val="superscript"/>
        </w:rPr>
        <w:t>9</w:t>
      </w:r>
      <w:r>
        <w:rPr>
          <w:rFonts w:hint="eastAsia"/>
          <w:szCs w:val="21"/>
        </w:rPr>
        <w:t xml:space="preserve"> C</w:t>
      </w:r>
      <w:r>
        <w:rPr>
          <w:szCs w:val="21"/>
        </w:rPr>
        <w:t>FU/g</w:t>
      </w:r>
      <w:r>
        <w:rPr>
          <w:rFonts w:hint="eastAsia"/>
          <w:szCs w:val="21"/>
        </w:rPr>
        <w:t>，说明本标准的益生菌指标适度可行。</w:t>
      </w:r>
    </w:p>
    <w:p>
      <w:pPr>
        <w:spacing w:line="360" w:lineRule="auto"/>
        <w:rPr>
          <w:b/>
          <w:bCs/>
          <w:sz w:val="24"/>
          <w:szCs w:val="24"/>
        </w:rPr>
      </w:pPr>
      <w:r>
        <w:rPr>
          <w:rFonts w:hint="eastAsia"/>
          <w:b/>
          <w:bCs/>
          <w:sz w:val="24"/>
          <w:szCs w:val="24"/>
        </w:rPr>
        <w:t>六、重大分歧意见的处理情况</w:t>
      </w:r>
    </w:p>
    <w:p>
      <w:pPr>
        <w:spacing w:line="360" w:lineRule="auto"/>
        <w:ind w:firstLine="420" w:firstLineChars="200"/>
        <w:rPr>
          <w:szCs w:val="21"/>
        </w:rPr>
      </w:pPr>
      <w:r>
        <w:rPr>
          <w:rFonts w:hint="eastAsia"/>
          <w:szCs w:val="21"/>
        </w:rPr>
        <w:t>无。</w:t>
      </w:r>
    </w:p>
    <w:p>
      <w:pPr>
        <w:spacing w:line="360" w:lineRule="auto"/>
        <w:rPr>
          <w:b/>
          <w:bCs/>
          <w:sz w:val="24"/>
          <w:szCs w:val="24"/>
        </w:rPr>
      </w:pPr>
      <w:r>
        <w:rPr>
          <w:rFonts w:hint="eastAsia"/>
          <w:b/>
          <w:bCs/>
          <w:sz w:val="24"/>
          <w:szCs w:val="24"/>
        </w:rPr>
        <w:t>七、与现行的法律、规章及国家标准、国家军用标准、行业标准的关系</w:t>
      </w:r>
    </w:p>
    <w:p>
      <w:pPr>
        <w:spacing w:line="360" w:lineRule="auto"/>
        <w:ind w:firstLine="420" w:firstLineChars="200"/>
        <w:rPr>
          <w:szCs w:val="21"/>
        </w:rPr>
      </w:pPr>
      <w:r>
        <w:rPr>
          <w:rFonts w:hint="eastAsia"/>
          <w:szCs w:val="21"/>
        </w:rPr>
        <w:t>本标准在形式和内容上均与上述标准无抵触之处，因国家目前尚无同类标准，本标准是对上述标准的有益补充（填补空白）。</w:t>
      </w:r>
    </w:p>
    <w:p>
      <w:pPr>
        <w:spacing w:line="360" w:lineRule="auto"/>
        <w:rPr>
          <w:b/>
          <w:bCs/>
          <w:sz w:val="24"/>
          <w:szCs w:val="24"/>
        </w:rPr>
      </w:pPr>
      <w:r>
        <w:rPr>
          <w:rFonts w:hint="eastAsia"/>
          <w:b/>
          <w:bCs/>
          <w:sz w:val="24"/>
          <w:szCs w:val="24"/>
        </w:rPr>
        <w:t>八、实施标准的要求和措施建议</w:t>
      </w:r>
    </w:p>
    <w:p>
      <w:pPr>
        <w:spacing w:line="360" w:lineRule="auto"/>
        <w:ind w:firstLine="420" w:firstLineChars="200"/>
        <w:rPr>
          <w:szCs w:val="21"/>
        </w:rPr>
      </w:pPr>
      <w:r>
        <w:rPr>
          <w:rFonts w:hint="eastAsia"/>
          <w:szCs w:val="21"/>
        </w:rPr>
        <w:t>建议在</w:t>
      </w:r>
      <w:r>
        <w:rPr>
          <w:rFonts w:hint="eastAsia"/>
          <w:szCs w:val="21"/>
          <w:lang w:val="en-US" w:eastAsia="zh-CN"/>
        </w:rPr>
        <w:t>中国</w:t>
      </w:r>
      <w:r>
        <w:rPr>
          <w:rFonts w:hint="eastAsia"/>
          <w:szCs w:val="21"/>
        </w:rPr>
        <w:t>轻工联的官网上公布宣传，号召国内食品企业参考借鉴。对有意愿按照本标准组织相关产品生产的企业，可引导企业按此标准申请自愿性产品认证，获得通过后，可在产品标签上印宇航级食品的标识。同时，广泛征求食品企业对本标准的意见，为今后标准的修订提供依据。</w:t>
      </w:r>
    </w:p>
    <w:p>
      <w:pPr>
        <w:spacing w:line="360" w:lineRule="auto"/>
        <w:rPr>
          <w:b/>
          <w:bCs/>
          <w:sz w:val="24"/>
          <w:szCs w:val="24"/>
        </w:rPr>
      </w:pPr>
      <w:r>
        <w:rPr>
          <w:rFonts w:hint="eastAsia"/>
          <w:b/>
          <w:bCs/>
          <w:sz w:val="24"/>
          <w:szCs w:val="24"/>
        </w:rPr>
        <w:t xml:space="preserve">九、标准范围和数量的建议 </w:t>
      </w:r>
    </w:p>
    <w:p>
      <w:pPr>
        <w:spacing w:line="360" w:lineRule="auto"/>
        <w:ind w:firstLine="560"/>
        <w:rPr>
          <w:szCs w:val="21"/>
        </w:rPr>
      </w:pPr>
      <w:r>
        <w:rPr>
          <w:rFonts w:hint="eastAsia"/>
          <w:szCs w:val="21"/>
        </w:rPr>
        <w:t>本标准批准后，建议在</w:t>
      </w:r>
      <w:r>
        <w:rPr>
          <w:rFonts w:hint="eastAsia"/>
          <w:szCs w:val="21"/>
          <w:lang w:val="en-US" w:eastAsia="zh-CN"/>
        </w:rPr>
        <w:t>中国</w:t>
      </w:r>
      <w:r>
        <w:rPr>
          <w:rFonts w:hint="eastAsia"/>
          <w:szCs w:val="21"/>
        </w:rPr>
        <w:t>轻工联的官网上公布，由企业自愿采用。</w:t>
      </w:r>
    </w:p>
    <w:p>
      <w:pPr>
        <w:spacing w:line="360" w:lineRule="auto"/>
        <w:rPr>
          <w:b/>
          <w:bCs/>
          <w:sz w:val="24"/>
          <w:szCs w:val="24"/>
        </w:rPr>
      </w:pPr>
      <w:r>
        <w:rPr>
          <w:rFonts w:hint="eastAsia"/>
          <w:b/>
          <w:bCs/>
          <w:sz w:val="24"/>
          <w:szCs w:val="24"/>
        </w:rPr>
        <w:t xml:space="preserve">十、其他需要说明的事项 </w:t>
      </w:r>
    </w:p>
    <w:p>
      <w:pPr>
        <w:spacing w:line="360" w:lineRule="auto"/>
        <w:ind w:firstLine="420" w:firstLineChars="200"/>
        <w:rPr>
          <w:szCs w:val="21"/>
        </w:rPr>
      </w:pPr>
      <w:r>
        <w:rPr>
          <w:rFonts w:hint="eastAsia"/>
          <w:szCs w:val="21"/>
        </w:rPr>
        <w:t>无。</w:t>
      </w:r>
    </w:p>
    <w:sectPr>
      <w:pgSz w:w="12240" w:h="15840"/>
      <w:pgMar w:top="1440" w:right="1440" w:bottom="1440" w:left="1440" w:header="708" w:footer="708"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336AB"/>
    <w:multiLevelType w:val="multilevel"/>
    <w:tmpl w:val="30C336AB"/>
    <w:lvl w:ilvl="0" w:tentative="0">
      <w:start w:val="1"/>
      <w:numFmt w:val="chineseCountingThousand"/>
      <w:lvlText w:val="%1、"/>
      <w:legacy w:legacy="1" w:legacySpace="0" w:legacyIndent="560"/>
      <w:lvlJc w:val="left"/>
      <w:pPr>
        <w:ind w:left="560" w:hanging="5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6110BA4F"/>
    <w:multiLevelType w:val="multilevel"/>
    <w:tmpl w:val="6110BA4F"/>
    <w:lvl w:ilvl="0" w:tentative="0">
      <w:start w:val="1"/>
      <w:numFmt w:val="chineseCountingThousand"/>
      <w:lvlText w:val="（%1）"/>
      <w:legacy w:legacy="1" w:legacySpace="0" w:legacyIndent="630"/>
      <w:lvlJc w:val="left"/>
      <w:pPr>
        <w:ind w:left="630" w:hanging="63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03C57933"/>
    <w:rsid w:val="064102CE"/>
    <w:rsid w:val="098A1ED5"/>
    <w:rsid w:val="0E7E4324"/>
    <w:rsid w:val="18ED685F"/>
    <w:rsid w:val="1C67548E"/>
    <w:rsid w:val="1C7972FD"/>
    <w:rsid w:val="1DDF2E00"/>
    <w:rsid w:val="1E43226D"/>
    <w:rsid w:val="22864243"/>
    <w:rsid w:val="237174EF"/>
    <w:rsid w:val="29E14D9C"/>
    <w:rsid w:val="2D427481"/>
    <w:rsid w:val="406E4C6D"/>
    <w:rsid w:val="545737AA"/>
    <w:rsid w:val="5DA541E4"/>
    <w:rsid w:val="5FFE1C96"/>
    <w:rsid w:val="60D71476"/>
    <w:rsid w:val="62FF0353"/>
    <w:rsid w:val="66462EF7"/>
    <w:rsid w:val="6DBB7A92"/>
    <w:rsid w:val="740251CB"/>
    <w:rsid w:val="7F6B3D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Body Text"/>
    <w:basedOn w:val="1"/>
    <w:qFormat/>
    <w:uiPriority w:val="0"/>
    <w:pPr>
      <w:spacing w:before="43"/>
      <w:ind w:left="640"/>
      <w:jc w:val="left"/>
    </w:pPr>
    <w:rPr>
      <w:rFonts w:ascii="宋体" w:hAnsi="宋体" w:cs="宋体"/>
      <w:kern w:val="0"/>
      <w:szCs w:val="21"/>
      <w:lang w:val="zh-CN" w:bidi="zh-CN"/>
    </w:rPr>
  </w:style>
  <w:style w:type="paragraph" w:styleId="7">
    <w:name w:val="Balloon Text"/>
    <w:basedOn w:val="1"/>
    <w:qFormat/>
    <w:uiPriority w:val="0"/>
    <w:rPr>
      <w:sz w:val="18"/>
      <w:szCs w:val="18"/>
    </w:rPr>
  </w:style>
  <w:style w:type="paragraph" w:styleId="8">
    <w:name w:val="footer"/>
    <w:basedOn w:val="1"/>
    <w:uiPriority w:val="0"/>
    <w:pPr>
      <w:tabs>
        <w:tab w:val="center" w:pos="4513"/>
        <w:tab w:val="right" w:pos="9026"/>
      </w:tabs>
      <w:snapToGrid w:val="0"/>
      <w:jc w:val="left"/>
    </w:pPr>
    <w:rPr>
      <w:sz w:val="18"/>
      <w:szCs w:val="18"/>
    </w:rPr>
  </w:style>
  <w:style w:type="paragraph" w:styleId="9">
    <w:name w:val="header"/>
    <w:basedOn w:val="1"/>
    <w:uiPriority w:val="0"/>
    <w:pPr>
      <w:pBdr>
        <w:bottom w:val="single" w:color="auto" w:sz="6" w:space="1"/>
      </w:pBdr>
      <w:tabs>
        <w:tab w:val="center" w:pos="4513"/>
        <w:tab w:val="right" w:pos="9026"/>
      </w:tabs>
      <w:snapToGrid w:val="0"/>
      <w:jc w:val="center"/>
    </w:pPr>
    <w:rPr>
      <w:sz w:val="18"/>
      <w:szCs w:val="18"/>
    </w:rPr>
  </w:style>
  <w:style w:type="paragraph" w:customStyle="1" w:styleId="12">
    <w:name w:val="Table Paragraph"/>
    <w:basedOn w:val="1"/>
    <w:qFormat/>
    <w:uiPriority w:val="0"/>
    <w:pPr>
      <w:spacing w:before="40"/>
      <w:ind w:left="110"/>
      <w:jc w:val="left"/>
    </w:pPr>
    <w:rPr>
      <w:rFonts w:ascii="宋体" w:hAnsi="宋体" w:cs="宋体"/>
      <w:kern w:val="0"/>
      <w:sz w:val="22"/>
      <w:lang w:val="zh-CN" w:bidi="zh-CN"/>
    </w:rPr>
  </w:style>
  <w:style w:type="paragraph" w:styleId="13">
    <w:name w:val="List Paragraph"/>
    <w:basedOn w:val="1"/>
    <w:uiPriority w:val="0"/>
    <w:pPr>
      <w:ind w:firstLine="200" w:firstLineChars="200"/>
    </w:pPr>
  </w:style>
  <w:style w:type="paragraph" w:customStyle="1" w:styleId="14">
    <w:name w:val="段"/>
    <w:next w:val="5"/>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4840</Words>
  <Characters>5465</Characters>
  <Lines>349</Lines>
  <Paragraphs>195</Paragraphs>
  <TotalTime>3</TotalTime>
  <ScaleCrop>false</ScaleCrop>
  <LinksUpToDate>false</LinksUpToDate>
  <CharactersWithSpaces>5563</CharactersWithSpaces>
  <Application>WPS Office_11.1.0.10228_F1E327BC-269C-435d-A152-05C5408002CA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2020-05-15T18:05:00Z</dcterms:created>
  <dc:creator>sunyu</dc:creator>
  <cp:lastModifiedBy>NIEBO</cp:lastModifiedBy>
  <dcterms:modified xsi:type="dcterms:W3CDTF">2020-12-28T06:28:48Z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