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80" w:lineRule="auto"/>
        <w:jc w:val="center"/>
        <w:rPr>
          <w:rFonts w:asciiTheme="minorEastAsia" w:hAnsiTheme="minorEastAsia" w:eastAsiaTheme="minorEastAsia"/>
          <w:color w:val="auto"/>
          <w:sz w:val="24"/>
          <w:szCs w:val="24"/>
          <w:highlight w:val="none"/>
        </w:rPr>
      </w:pPr>
      <w:bookmarkStart w:id="0" w:name="_Toc384593522"/>
      <w:bookmarkStart w:id="1" w:name="_Toc421543628"/>
      <w:r>
        <w:rPr>
          <w:rFonts w:hint="eastAsia" w:asciiTheme="minorEastAsia" w:hAnsiTheme="minorEastAsia" w:eastAsiaTheme="minorEastAsia"/>
          <w:color w:val="auto"/>
          <w:sz w:val="24"/>
          <w:szCs w:val="24"/>
          <w:highlight w:val="none"/>
        </w:rPr>
        <w:t>《绿色设计产品评价技术规范 酱油》编制说明</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（征求意见稿）</w:t>
      </w:r>
      <w:bookmarkEnd w:id="0"/>
      <w:bookmarkEnd w:id="1"/>
    </w:p>
    <w:p>
      <w:pPr>
        <w:spacing w:line="480" w:lineRule="auto"/>
        <w:rPr>
          <w:rFonts w:asciiTheme="minorEastAsia" w:hAnsiTheme="minorEastAsia" w:eastAsiaTheme="minorEastAsia"/>
          <w:b/>
          <w:bCs/>
          <w:color w:val="auto"/>
          <w:sz w:val="24"/>
          <w:szCs w:val="24"/>
          <w:highlight w:val="none"/>
        </w:rPr>
      </w:pPr>
      <w:bookmarkStart w:id="2" w:name="_Toc497309492"/>
      <w:bookmarkStart w:id="3" w:name="_Toc22310858"/>
      <w:r>
        <w:rPr>
          <w:rFonts w:hint="eastAsia" w:asciiTheme="minorEastAsia" w:hAnsiTheme="minorEastAsia" w:eastAsiaTheme="minorEastAsia"/>
          <w:b/>
          <w:bCs/>
          <w:color w:val="auto"/>
          <w:sz w:val="24"/>
          <w:szCs w:val="24"/>
          <w:highlight w:val="none"/>
        </w:rPr>
        <w:t>一、</w:t>
      </w:r>
      <w:r>
        <w:rPr>
          <w:rFonts w:asciiTheme="minorEastAsia" w:hAnsiTheme="minorEastAsia" w:eastAsiaTheme="minorEastAsia"/>
          <w:b/>
          <w:bCs/>
          <w:color w:val="auto"/>
          <w:sz w:val="24"/>
          <w:szCs w:val="24"/>
          <w:highlight w:val="none"/>
        </w:rPr>
        <w:t>工作简况</w:t>
      </w:r>
      <w:bookmarkEnd w:id="2"/>
      <w:bookmarkEnd w:id="3"/>
      <w:bookmarkStart w:id="4" w:name="_Toc508985095"/>
      <w:bookmarkStart w:id="5" w:name="_Toc513735996"/>
      <w:bookmarkStart w:id="6" w:name="_Toc22310859"/>
      <w:bookmarkStart w:id="7" w:name="_Toc497309493"/>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1.1 立项目的</w:t>
      </w:r>
      <w:bookmarkEnd w:id="4"/>
      <w:bookmarkEnd w:id="5"/>
      <w:bookmarkEnd w:id="6"/>
      <w:bookmarkEnd w:id="7"/>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2015年国务院印发《中国制造2025》进一步提出全面推行绿色制造，加快构建科技含量高、资源消耗低、环境污染小的产业结构和生产方式，积极打造绿色制造体系。2016年国务院办公厅发布了《国务院办公厅关于建立统一的绿色产品标准、认证、标识体系的意见》（国办发〔2016〕86号）明确提出：建立统一的绿色产品标准、认证、标识体系，</w:t>
      </w:r>
      <w:r>
        <w:rPr>
          <w:rFonts w:hint="eastAsia"/>
          <w:b w:val="0"/>
          <w:bCs w:val="0"/>
          <w:color w:val="auto"/>
          <w:sz w:val="24"/>
          <w:highlight w:val="none"/>
          <w:lang w:val="en-US" w:eastAsia="zh-CN"/>
        </w:rPr>
        <w:t>该体系</w:t>
      </w:r>
      <w:r>
        <w:rPr>
          <w:rFonts w:hint="eastAsia"/>
          <w:b w:val="0"/>
          <w:bCs w:val="0"/>
          <w:color w:val="auto"/>
          <w:sz w:val="24"/>
          <w:highlight w:val="none"/>
        </w:rPr>
        <w:t>是推动绿色低碳循环发展、培育绿色市场的必然要求，是引导产业转型升级、提升中国制造竞争力的紧迫任务，是履行国际减排承诺、提升我国参与全球治理话语权的现实需要。</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当前，世界上已掀起一股“绿色浪潮”，环境问题成为世界各国关注的焦点，并列入世界议事日程。制造业将进一步改变传统制造模式，推行绿色制造技术，发展相关绿色材料、绿色能源和绿色设计数据库、知识库等基础技术，生产出保护环境、提高资源效率的绿色产品，并用法律、法规规范企业行为。随着人们环保意识的增强，推行绿色制造技术和生产绿色产品的企业，在市场竞争中的优势将逐渐显现，编制绿色设计产品评价技术规范</w:t>
      </w:r>
      <w:r>
        <w:rPr>
          <w:rFonts w:hint="eastAsia"/>
          <w:b w:val="0"/>
          <w:bCs w:val="0"/>
          <w:color w:val="auto"/>
          <w:sz w:val="24"/>
          <w:highlight w:val="none"/>
          <w:lang w:val="en-US" w:eastAsia="zh-CN"/>
        </w:rPr>
        <w:t>标准</w:t>
      </w:r>
      <w:r>
        <w:rPr>
          <w:rFonts w:hint="eastAsia"/>
          <w:b w:val="0"/>
          <w:bCs w:val="0"/>
          <w:color w:val="auto"/>
          <w:sz w:val="24"/>
          <w:highlight w:val="none"/>
        </w:rPr>
        <w:t>的工作势在必行。</w:t>
      </w:r>
    </w:p>
    <w:p>
      <w:pPr>
        <w:spacing w:line="360" w:lineRule="auto"/>
        <w:ind w:firstLine="480" w:firstLineChars="200"/>
        <w:rPr>
          <w:rFonts w:asciiTheme="minorEastAsia" w:hAnsiTheme="minorEastAsia" w:eastAsiaTheme="minorEastAsia"/>
          <w:b w:val="0"/>
          <w:bCs w:val="0"/>
          <w:color w:val="auto"/>
          <w:sz w:val="24"/>
          <w:szCs w:val="24"/>
          <w:highlight w:val="none"/>
        </w:rPr>
      </w:pPr>
      <w:r>
        <w:rPr>
          <w:rFonts w:hint="eastAsia"/>
          <w:b w:val="0"/>
          <w:bCs w:val="0"/>
          <w:color w:val="auto"/>
          <w:sz w:val="24"/>
          <w:highlight w:val="none"/>
        </w:rPr>
        <w:t>为此，</w:t>
      </w:r>
      <w:r>
        <w:rPr>
          <w:rFonts w:hint="eastAsia"/>
          <w:b w:val="0"/>
          <w:bCs w:val="0"/>
          <w:color w:val="auto"/>
          <w:sz w:val="24"/>
          <w:highlight w:val="none"/>
          <w:lang w:eastAsia="zh-CN"/>
        </w:rPr>
        <w:t>《</w:t>
      </w:r>
      <w:r>
        <w:rPr>
          <w:rFonts w:hint="eastAsia"/>
          <w:b w:val="0"/>
          <w:bCs w:val="0"/>
          <w:color w:val="auto"/>
          <w:sz w:val="24"/>
          <w:highlight w:val="none"/>
        </w:rPr>
        <w:t>绿色设计产品评价技术规范</w:t>
      </w:r>
      <w:r>
        <w:rPr>
          <w:rFonts w:hint="eastAsia"/>
          <w:b w:val="0"/>
          <w:bCs w:val="0"/>
          <w:color w:val="auto"/>
          <w:sz w:val="24"/>
          <w:highlight w:val="none"/>
          <w:lang w:val="en-US" w:eastAsia="zh-CN"/>
        </w:rPr>
        <w:t xml:space="preserve"> 酱油》标准项目的提出，</w:t>
      </w:r>
      <w:r>
        <w:rPr>
          <w:rFonts w:hint="eastAsia"/>
          <w:b w:val="0"/>
          <w:bCs w:val="0"/>
          <w:color w:val="auto"/>
          <w:sz w:val="24"/>
          <w:highlight w:val="none"/>
        </w:rPr>
        <w:t>将有力地推动</w:t>
      </w:r>
      <w:r>
        <w:rPr>
          <w:rFonts w:hint="eastAsia"/>
          <w:b w:val="0"/>
          <w:bCs w:val="0"/>
          <w:color w:val="auto"/>
          <w:sz w:val="24"/>
          <w:highlight w:val="none"/>
          <w:lang w:val="en-US" w:eastAsia="zh-CN"/>
        </w:rPr>
        <w:t>酱油</w:t>
      </w:r>
      <w:r>
        <w:rPr>
          <w:rFonts w:hint="eastAsia"/>
          <w:b w:val="0"/>
          <w:bCs w:val="0"/>
          <w:color w:val="auto"/>
          <w:sz w:val="24"/>
          <w:highlight w:val="none"/>
        </w:rPr>
        <w:t>上下游企业的加工技术进步，提高全产业链绿色化</w:t>
      </w:r>
      <w:r>
        <w:rPr>
          <w:rFonts w:hint="eastAsia"/>
          <w:b w:val="0"/>
          <w:bCs w:val="0"/>
          <w:color w:val="auto"/>
          <w:sz w:val="24"/>
          <w:highlight w:val="none"/>
          <w:lang w:eastAsia="zh-CN"/>
        </w:rPr>
        <w:t>，</w:t>
      </w:r>
      <w:r>
        <w:rPr>
          <w:rFonts w:hint="eastAsia"/>
          <w:b w:val="0"/>
          <w:bCs w:val="0"/>
          <w:color w:val="auto"/>
          <w:sz w:val="24"/>
          <w:highlight w:val="none"/>
        </w:rPr>
        <w:t>为行业的转型升级、绿色设计提供</w:t>
      </w:r>
      <w:r>
        <w:rPr>
          <w:rFonts w:hint="eastAsia"/>
          <w:b w:val="0"/>
          <w:bCs w:val="0"/>
          <w:color w:val="auto"/>
          <w:sz w:val="24"/>
          <w:highlight w:val="none"/>
          <w:lang w:val="en-US" w:eastAsia="zh-CN"/>
        </w:rPr>
        <w:t>技术</w:t>
      </w:r>
      <w:r>
        <w:rPr>
          <w:rFonts w:hint="eastAsia"/>
          <w:b w:val="0"/>
          <w:bCs w:val="0"/>
          <w:color w:val="auto"/>
          <w:sz w:val="24"/>
          <w:highlight w:val="none"/>
        </w:rPr>
        <w:t>支撑。</w:t>
      </w:r>
      <w:bookmarkStart w:id="8" w:name="_Toc513735997"/>
      <w:bookmarkStart w:id="9" w:name="_Toc508985096"/>
      <w:bookmarkStart w:id="10" w:name="_Toc497309494"/>
      <w:bookmarkStart w:id="11" w:name="_Toc22310860"/>
    </w:p>
    <w:p>
      <w:pPr>
        <w:spacing w:line="480" w:lineRule="auto"/>
        <w:ind w:firstLine="420"/>
        <w:rPr>
          <w:rFonts w:asciiTheme="minorEastAsia" w:hAnsiTheme="minorEastAsia" w:eastAsiaTheme="minorEastAsia"/>
          <w:b w:val="0"/>
          <w:bCs w:val="0"/>
          <w:color w:val="auto"/>
          <w:sz w:val="24"/>
          <w:szCs w:val="24"/>
          <w:highlight w:val="none"/>
        </w:rPr>
      </w:pPr>
      <w:r>
        <w:rPr>
          <w:rFonts w:asciiTheme="minorEastAsia" w:hAnsiTheme="minorEastAsia" w:eastAsiaTheme="minorEastAsia"/>
          <w:b w:val="0"/>
          <w:bCs w:val="0"/>
          <w:color w:val="auto"/>
          <w:sz w:val="24"/>
          <w:szCs w:val="24"/>
          <w:highlight w:val="none"/>
        </w:rPr>
        <w:t>1.2 任务来源</w:t>
      </w:r>
      <w:bookmarkEnd w:id="8"/>
      <w:bookmarkEnd w:id="9"/>
      <w:bookmarkEnd w:id="10"/>
      <w:bookmarkEnd w:id="11"/>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中共中央、国务院发布的《生态文明体制改革总体方案》提出建立统一的绿色产品体系，建立统一的绿色产品标准、认证、标识等体系。国务院发布的《国务院关于积极发挥新消费引领作用、加快培育形成新供给新动力的指导意见》，将绿色消费作为推进供给侧改革和消费升级重点领域和方向之一，并提出全面提高标准化水平，加快制定和完善重点领域及新兴业态的相关标准。2015年，习近平总书记提出了“供给侧结构性改革”重大目标，要求用改革的办法推进结构调整，矫正资源配置扭曲，扩大有效供给，提高全要素生产率，促进经济社会持续、健康发展。而大力发展绿色产品，促进消费模式转变，正是供给侧改革的关键。2016年4月6日，李克强总理在国务院常务会议上提到，坚持标准引领，建设制造强国，是结构性改革尤其是供给侧结构性改革的重要内容，有利于改善供给、扩大需求，促进产品产业迈向中高端，同时提出要打一场制造业的“攻坚战”，用先进表彰倒逼“中国制造”升级。如何利用标准化手段，提高绿色供给，引领绿色消费，推进供给侧结构性改革，成为现阶段标准化体系建设的重要任务。</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 xml:space="preserve">《绿色设计产品评价技术规范 </w:t>
      </w:r>
      <w:r>
        <w:rPr>
          <w:rFonts w:hint="eastAsia"/>
          <w:b w:val="0"/>
          <w:bCs w:val="0"/>
          <w:color w:val="auto"/>
          <w:sz w:val="24"/>
          <w:highlight w:val="none"/>
          <w:lang w:val="en-US" w:eastAsia="zh-CN"/>
        </w:rPr>
        <w:t>酱油</w:t>
      </w:r>
      <w:r>
        <w:rPr>
          <w:rFonts w:hint="eastAsia"/>
          <w:b w:val="0"/>
          <w:bCs w:val="0"/>
          <w:color w:val="auto"/>
          <w:sz w:val="24"/>
          <w:highlight w:val="none"/>
        </w:rPr>
        <w:t>》</w:t>
      </w:r>
      <w:r>
        <w:rPr>
          <w:rFonts w:hint="eastAsia"/>
          <w:b w:val="0"/>
          <w:bCs w:val="0"/>
          <w:color w:val="auto"/>
          <w:sz w:val="24"/>
          <w:highlight w:val="none"/>
          <w:lang w:val="en-US" w:eastAsia="zh-CN"/>
        </w:rPr>
        <w:t>团体</w:t>
      </w:r>
      <w:r>
        <w:rPr>
          <w:rFonts w:hint="eastAsia"/>
          <w:b w:val="0"/>
          <w:bCs w:val="0"/>
          <w:color w:val="auto"/>
          <w:sz w:val="24"/>
          <w:highlight w:val="none"/>
        </w:rPr>
        <w:t>标准</w:t>
      </w:r>
      <w:r>
        <w:rPr>
          <w:rFonts w:hint="eastAsia"/>
          <w:b w:val="0"/>
          <w:bCs w:val="0"/>
          <w:color w:val="auto"/>
          <w:sz w:val="24"/>
          <w:highlight w:val="none"/>
          <w:lang w:val="en-US" w:eastAsia="zh-CN"/>
        </w:rPr>
        <w:t>的</w:t>
      </w:r>
      <w:r>
        <w:rPr>
          <w:rFonts w:hint="eastAsia"/>
          <w:b w:val="0"/>
          <w:bCs w:val="0"/>
          <w:color w:val="auto"/>
          <w:sz w:val="24"/>
          <w:highlight w:val="none"/>
        </w:rPr>
        <w:t>制定是</w:t>
      </w:r>
      <w:r>
        <w:rPr>
          <w:rFonts w:hint="eastAsia"/>
          <w:b w:val="0"/>
          <w:bCs w:val="0"/>
          <w:color w:val="auto"/>
          <w:sz w:val="24"/>
          <w:highlight w:val="none"/>
          <w:lang w:val="en-US" w:eastAsia="zh-CN"/>
        </w:rPr>
        <w:t>依据</w:t>
      </w:r>
      <w:r>
        <w:rPr>
          <w:rFonts w:hint="eastAsia"/>
          <w:b w:val="0"/>
          <w:bCs w:val="0"/>
          <w:color w:val="auto"/>
          <w:sz w:val="24"/>
          <w:highlight w:val="none"/>
        </w:rPr>
        <w:t xml:space="preserve">中国轻工联合会【关于下达《绿色设计产品评价技术规范 </w:t>
      </w:r>
      <w:r>
        <w:rPr>
          <w:rFonts w:hint="eastAsia"/>
          <w:b w:val="0"/>
          <w:bCs w:val="0"/>
          <w:color w:val="auto"/>
          <w:sz w:val="24"/>
          <w:highlight w:val="none"/>
          <w:lang w:val="en-US" w:eastAsia="zh-CN"/>
        </w:rPr>
        <w:t>蚝油</w:t>
      </w:r>
      <w:r>
        <w:rPr>
          <w:rFonts w:hint="eastAsia"/>
          <w:b w:val="0"/>
          <w:bCs w:val="0"/>
          <w:color w:val="auto"/>
          <w:sz w:val="24"/>
          <w:highlight w:val="none"/>
        </w:rPr>
        <w:t>》等3项中国轻工业联合会团体标准计划的通知】（中轻联综合[2018]325号），李锦记(新会)食品有限公司主要负责制定，项目计划号：201803</w:t>
      </w:r>
      <w:r>
        <w:rPr>
          <w:rFonts w:hint="eastAsia"/>
          <w:b w:val="0"/>
          <w:bCs w:val="0"/>
          <w:color w:val="auto"/>
          <w:sz w:val="24"/>
          <w:highlight w:val="none"/>
          <w:lang w:val="en-US" w:eastAsia="zh-CN"/>
        </w:rPr>
        <w:t>4</w:t>
      </w:r>
      <w:bookmarkStart w:id="14" w:name="_GoBack"/>
      <w:bookmarkEnd w:id="14"/>
      <w:r>
        <w:rPr>
          <w:rFonts w:hint="eastAsia"/>
          <w:b w:val="0"/>
          <w:bCs w:val="0"/>
          <w:color w:val="auto"/>
          <w:sz w:val="24"/>
          <w:highlight w:val="none"/>
        </w:rPr>
        <w:t>。</w:t>
      </w:r>
      <w:bookmarkStart w:id="12" w:name="_Toc22310861"/>
      <w:bookmarkStart w:id="13" w:name="_Toc513736002"/>
    </w:p>
    <w:p>
      <w:pPr>
        <w:pStyle w:val="8"/>
        <w:shd w:val="clear" w:color="auto" w:fill="FFFFFF"/>
        <w:spacing w:before="0" w:beforeAutospacing="0" w:after="0" w:afterAutospacing="0" w:line="480" w:lineRule="auto"/>
        <w:ind w:firstLine="480"/>
        <w:jc w:val="both"/>
        <w:rPr>
          <w:rFonts w:asciiTheme="minorEastAsia" w:hAnsiTheme="minorEastAsia" w:eastAsiaTheme="minorEastAsia"/>
          <w:b w:val="0"/>
          <w:bCs w:val="0"/>
          <w:color w:val="auto"/>
          <w:highlight w:val="none"/>
        </w:rPr>
      </w:pPr>
      <w:r>
        <w:rPr>
          <w:rFonts w:hint="eastAsia" w:asciiTheme="minorEastAsia" w:hAnsiTheme="minorEastAsia" w:eastAsiaTheme="minorEastAsia"/>
          <w:b w:val="0"/>
          <w:bCs w:val="0"/>
          <w:color w:val="auto"/>
          <w:highlight w:val="none"/>
        </w:rPr>
        <w:t>1</w:t>
      </w:r>
      <w:r>
        <w:rPr>
          <w:rFonts w:asciiTheme="minorEastAsia" w:hAnsiTheme="minorEastAsia" w:eastAsiaTheme="minorEastAsia"/>
          <w:b w:val="0"/>
          <w:bCs w:val="0"/>
          <w:color w:val="auto"/>
          <w:highlight w:val="none"/>
        </w:rPr>
        <w:t xml:space="preserve">.3 </w:t>
      </w:r>
      <w:r>
        <w:rPr>
          <w:rFonts w:hint="eastAsia" w:asciiTheme="minorEastAsia" w:hAnsiTheme="minorEastAsia" w:eastAsiaTheme="minorEastAsia"/>
          <w:b w:val="0"/>
          <w:bCs w:val="0"/>
          <w:color w:val="auto"/>
          <w:highlight w:val="none"/>
        </w:rPr>
        <w:t>工作过程</w:t>
      </w:r>
      <w:bookmarkEnd w:id="12"/>
      <w:bookmarkEnd w:id="13"/>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 xml:space="preserve">标准起草单位和参与单位，成立了专门的《绿色设计产品评价技术规范 </w:t>
      </w:r>
      <w:r>
        <w:rPr>
          <w:rFonts w:hint="eastAsia"/>
          <w:b w:val="0"/>
          <w:bCs w:val="0"/>
          <w:color w:val="auto"/>
          <w:sz w:val="24"/>
          <w:highlight w:val="none"/>
          <w:lang w:val="en-US" w:eastAsia="zh-CN"/>
        </w:rPr>
        <w:t>酱油</w:t>
      </w:r>
      <w:r>
        <w:rPr>
          <w:rFonts w:hint="eastAsia"/>
          <w:b w:val="0"/>
          <w:bCs w:val="0"/>
          <w:color w:val="auto"/>
          <w:sz w:val="24"/>
          <w:highlight w:val="none"/>
        </w:rPr>
        <w:t>》编制组，其中包括领导组、技术组和专家组，并制定了工作计划。根据工作计划进度安排，标准编制组收集查阅了国内外相关政策、标准、文献，认真学习《</w:t>
      </w:r>
      <w:r>
        <w:rPr>
          <w:rFonts w:hint="eastAsia"/>
          <w:b w:val="0"/>
          <w:bCs w:val="0"/>
          <w:color w:val="auto"/>
          <w:sz w:val="24"/>
          <w:highlight w:val="none"/>
          <w:lang w:val="en-US" w:eastAsia="zh-CN"/>
        </w:rPr>
        <w:t>生态设计产品评价通则</w:t>
      </w:r>
      <w:r>
        <w:rPr>
          <w:rFonts w:hint="eastAsia"/>
          <w:b w:val="0"/>
          <w:bCs w:val="0"/>
          <w:color w:val="auto"/>
          <w:sz w:val="24"/>
          <w:highlight w:val="none"/>
        </w:rPr>
        <w:t xml:space="preserve">》。编制组对以李锦记酱油生产企业及其上下游企业的生产现状进行调研，调研方式主要有：资料调研、发放调研表、现场调研等。项目开展以来，编制组成员实地调研李锦记(新会)食品有限公司及其上下游的原料基地、物流运输公司、包材生产厂和检验检测中心等。在上述工作的基础上，经计算和修改逐步完善，形成《绿色设计产品评价技术规范 </w:t>
      </w:r>
      <w:r>
        <w:rPr>
          <w:rFonts w:hint="eastAsia"/>
          <w:b w:val="0"/>
          <w:bCs w:val="0"/>
          <w:color w:val="auto"/>
          <w:sz w:val="24"/>
          <w:highlight w:val="none"/>
          <w:lang w:val="en-US" w:eastAsia="zh-CN"/>
        </w:rPr>
        <w:t>酱油</w:t>
      </w:r>
      <w:r>
        <w:rPr>
          <w:rFonts w:hint="eastAsia"/>
          <w:b w:val="0"/>
          <w:bCs w:val="0"/>
          <w:color w:val="auto"/>
          <w:sz w:val="24"/>
          <w:highlight w:val="none"/>
        </w:rPr>
        <w:t>》</w:t>
      </w:r>
      <w:r>
        <w:rPr>
          <w:rFonts w:hint="eastAsia"/>
          <w:b w:val="0"/>
          <w:bCs w:val="0"/>
          <w:color w:val="auto"/>
          <w:sz w:val="24"/>
          <w:highlight w:val="none"/>
          <w:lang w:val="en-US" w:eastAsia="zh-CN"/>
        </w:rPr>
        <w:t>团体标准</w:t>
      </w:r>
      <w:r>
        <w:rPr>
          <w:rFonts w:hint="eastAsia"/>
          <w:b w:val="0"/>
          <w:bCs w:val="0"/>
          <w:color w:val="auto"/>
          <w:sz w:val="24"/>
          <w:highlight w:val="none"/>
        </w:rPr>
        <w:t>初稿。</w:t>
      </w:r>
    </w:p>
    <w:p>
      <w:pPr>
        <w:spacing w:line="480" w:lineRule="auto"/>
        <w:ind w:firstLine="42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1</w:t>
      </w:r>
      <w:r>
        <w:rPr>
          <w:rFonts w:asciiTheme="minorEastAsia" w:hAnsiTheme="minorEastAsia" w:eastAsiaTheme="minorEastAsia"/>
          <w:b w:val="0"/>
          <w:bCs w:val="0"/>
          <w:color w:val="auto"/>
          <w:sz w:val="24"/>
          <w:szCs w:val="24"/>
          <w:highlight w:val="none"/>
        </w:rPr>
        <w:t>.4 产业化情况、推广应用论证和预期达到的经济效果</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绿色产品标准是基于全生命周期理念所形成，不但针对产品质量、生态环境、健康安全等多方面提出了综合性指标要求，也为企业的生产过程与生产技术设定了标杆。</w:t>
      </w:r>
      <w:r>
        <w:rPr>
          <w:rFonts w:hint="eastAsia"/>
          <w:b w:val="0"/>
          <w:bCs w:val="0"/>
          <w:color w:val="auto"/>
          <w:sz w:val="24"/>
          <w:highlight w:val="none"/>
          <w:lang w:eastAsia="zh-CN"/>
        </w:rPr>
        <w:t>《</w:t>
      </w:r>
      <w:r>
        <w:rPr>
          <w:rFonts w:hint="eastAsia"/>
          <w:b w:val="0"/>
          <w:bCs w:val="0"/>
          <w:color w:val="auto"/>
          <w:sz w:val="24"/>
          <w:highlight w:val="none"/>
        </w:rPr>
        <w:t xml:space="preserve">绿色设计产品评价技术规范 </w:t>
      </w:r>
      <w:r>
        <w:rPr>
          <w:rFonts w:hint="eastAsia"/>
          <w:b w:val="0"/>
          <w:bCs w:val="0"/>
          <w:color w:val="auto"/>
          <w:sz w:val="24"/>
          <w:highlight w:val="none"/>
          <w:lang w:val="en-US" w:eastAsia="zh-CN"/>
        </w:rPr>
        <w:t>酱油</w:t>
      </w:r>
      <w:r>
        <w:rPr>
          <w:rFonts w:hint="eastAsia"/>
          <w:b w:val="0"/>
          <w:bCs w:val="0"/>
          <w:color w:val="auto"/>
          <w:sz w:val="24"/>
          <w:highlight w:val="none"/>
          <w:lang w:eastAsia="zh-CN"/>
        </w:rPr>
        <w:t>》</w:t>
      </w:r>
      <w:r>
        <w:rPr>
          <w:rFonts w:hint="eastAsia"/>
          <w:b w:val="0"/>
          <w:bCs w:val="0"/>
          <w:color w:val="auto"/>
          <w:sz w:val="24"/>
          <w:highlight w:val="none"/>
          <w:lang w:val="en-US" w:eastAsia="zh-CN"/>
        </w:rPr>
        <w:t>团体标准的制定</w:t>
      </w:r>
      <w:r>
        <w:rPr>
          <w:rFonts w:hint="eastAsia"/>
          <w:b w:val="0"/>
          <w:bCs w:val="0"/>
          <w:color w:val="auto"/>
          <w:sz w:val="24"/>
          <w:highlight w:val="none"/>
        </w:rPr>
        <w:t>有利于改善</w:t>
      </w:r>
      <w:r>
        <w:rPr>
          <w:rFonts w:hint="eastAsia"/>
          <w:b w:val="0"/>
          <w:bCs w:val="0"/>
          <w:color w:val="auto"/>
          <w:sz w:val="24"/>
          <w:highlight w:val="none"/>
          <w:lang w:val="en-US" w:eastAsia="zh-CN"/>
        </w:rPr>
        <w:t>酱油领域</w:t>
      </w:r>
      <w:r>
        <w:rPr>
          <w:rFonts w:hint="eastAsia"/>
          <w:b w:val="0"/>
          <w:bCs w:val="0"/>
          <w:color w:val="auto"/>
          <w:sz w:val="24"/>
          <w:highlight w:val="none"/>
        </w:rPr>
        <w:t>现代化和标准化程度不高，加工工艺和设备相对滞后等问题，促进传统产业的转型升级。标准的实施将有力的推动我国</w:t>
      </w:r>
      <w:r>
        <w:rPr>
          <w:rFonts w:hint="eastAsia"/>
          <w:b w:val="0"/>
          <w:bCs w:val="0"/>
          <w:color w:val="auto"/>
          <w:sz w:val="24"/>
          <w:highlight w:val="none"/>
          <w:lang w:val="en-US" w:eastAsia="zh-CN"/>
        </w:rPr>
        <w:t>酱油</w:t>
      </w:r>
      <w:r>
        <w:rPr>
          <w:rFonts w:hint="eastAsia"/>
          <w:b w:val="0"/>
          <w:bCs w:val="0"/>
          <w:color w:val="auto"/>
          <w:sz w:val="24"/>
          <w:highlight w:val="none"/>
        </w:rPr>
        <w:t>生产加工行业绿色制造技术的快速推广应用，对促进我国</w:t>
      </w:r>
      <w:r>
        <w:rPr>
          <w:rFonts w:hint="eastAsia"/>
          <w:b w:val="0"/>
          <w:bCs w:val="0"/>
          <w:color w:val="auto"/>
          <w:sz w:val="24"/>
          <w:highlight w:val="none"/>
          <w:lang w:val="en-US" w:eastAsia="zh-CN"/>
        </w:rPr>
        <w:t>酱油</w:t>
      </w:r>
      <w:r>
        <w:rPr>
          <w:rFonts w:hint="eastAsia"/>
          <w:b w:val="0"/>
          <w:bCs w:val="0"/>
          <w:color w:val="auto"/>
          <w:sz w:val="24"/>
          <w:highlight w:val="none"/>
        </w:rPr>
        <w:t>加工产业的健康可持续发展具有重要作用。与此同时，借助绿色设计和绿色制造等先进理念和技术，可以有效促进我国产品质量的提升，塑造绿色品牌，推动高端</w:t>
      </w:r>
      <w:r>
        <w:rPr>
          <w:rFonts w:hint="eastAsia"/>
          <w:b w:val="0"/>
          <w:bCs w:val="0"/>
          <w:color w:val="auto"/>
          <w:sz w:val="24"/>
          <w:highlight w:val="none"/>
          <w:lang w:val="en-US" w:eastAsia="zh-CN"/>
        </w:rPr>
        <w:t>酱油</w:t>
      </w:r>
      <w:r>
        <w:rPr>
          <w:rFonts w:hint="eastAsia"/>
          <w:b w:val="0"/>
          <w:bCs w:val="0"/>
          <w:color w:val="auto"/>
          <w:sz w:val="24"/>
          <w:highlight w:val="none"/>
        </w:rPr>
        <w:t>产品的供给，适应和满足日渐兴起的绿色消费趋势，提升经济效益。</w:t>
      </w:r>
    </w:p>
    <w:p>
      <w:pPr>
        <w:spacing w:line="360" w:lineRule="auto"/>
        <w:rPr>
          <w:rFonts w:ascii="宋体" w:hAnsi="宋体"/>
          <w:b w:val="0"/>
          <w:bCs w:val="0"/>
          <w:color w:val="auto"/>
          <w:sz w:val="24"/>
          <w:highlight w:val="none"/>
        </w:rPr>
      </w:pPr>
    </w:p>
    <w:p>
      <w:pPr>
        <w:spacing w:line="360" w:lineRule="auto"/>
        <w:rPr>
          <w:rFonts w:hAnsi="宋体"/>
          <w:b/>
          <w:bCs/>
          <w:color w:val="auto"/>
          <w:kern w:val="0"/>
          <w:sz w:val="24"/>
          <w:highlight w:val="none"/>
        </w:rPr>
      </w:pPr>
      <w:r>
        <w:rPr>
          <w:rFonts w:hint="eastAsia" w:ascii="宋体" w:hAnsi="宋体"/>
          <w:b/>
          <w:bCs/>
          <w:color w:val="auto"/>
          <w:sz w:val="24"/>
          <w:highlight w:val="none"/>
        </w:rPr>
        <w:t>二、</w:t>
      </w:r>
      <w:r>
        <w:rPr>
          <w:rFonts w:hint="eastAsia" w:hAnsi="宋体"/>
          <w:b/>
          <w:bCs/>
          <w:color w:val="auto"/>
          <w:kern w:val="0"/>
          <w:sz w:val="24"/>
          <w:highlight w:val="none"/>
        </w:rPr>
        <w:t>标准编制原则</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本标准的编制遵循“科学性、代表性、技术先进性、经济合理性”的原则，能源属性、环境属性与国际接轨，重点突出在品质属性上的基准值和评价依据/方法，并注重标准的可操作性。</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w:t>
      </w:r>
      <w:r>
        <w:rPr>
          <w:rFonts w:hint="eastAsia"/>
          <w:b w:val="0"/>
          <w:bCs w:val="0"/>
          <w:color w:val="auto"/>
          <w:sz w:val="24"/>
          <w:highlight w:val="none"/>
          <w:lang w:eastAsia="zh-CN"/>
        </w:rPr>
        <w:t>、</w:t>
      </w:r>
      <w:r>
        <w:rPr>
          <w:rFonts w:hint="eastAsia"/>
          <w:b w:val="0"/>
          <w:bCs w:val="0"/>
          <w:color w:val="auto"/>
          <w:sz w:val="24"/>
          <w:highlight w:val="none"/>
        </w:rPr>
        <w:t>科学性原则</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以国家或行业有关环境、安全、卫生、健康的相关法律法规、技术政策为依据，立足绿色设计产品宗旨，借鉴市场的产品状况，对现行国家法规和标准进行分析、总结和提升，通过系统性与标准化整理、撰写、修改和反复验证，使标准更科学、准确、合理、完整地规范产品，指导企业组织生产、指导消费者理性购买、促进行业有序发展和整体质量水平的提高。</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2</w:t>
      </w:r>
      <w:r>
        <w:rPr>
          <w:rFonts w:hint="eastAsia"/>
          <w:b w:val="0"/>
          <w:bCs w:val="0"/>
          <w:color w:val="auto"/>
          <w:sz w:val="24"/>
          <w:highlight w:val="none"/>
          <w:lang w:eastAsia="zh-CN"/>
        </w:rPr>
        <w:t>、</w:t>
      </w:r>
      <w:r>
        <w:rPr>
          <w:rFonts w:hint="eastAsia"/>
          <w:b w:val="0"/>
          <w:bCs w:val="0"/>
          <w:color w:val="auto"/>
          <w:sz w:val="24"/>
          <w:highlight w:val="none"/>
        </w:rPr>
        <w:t>代表性原则</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本标准以“绿色”为核心，从资源属性、能源属性、环境属性、</w:t>
      </w:r>
      <w:r>
        <w:rPr>
          <w:rFonts w:hint="eastAsia"/>
          <w:b w:val="0"/>
          <w:bCs w:val="0"/>
          <w:color w:val="auto"/>
          <w:sz w:val="24"/>
          <w:highlight w:val="none"/>
          <w:lang w:val="en-US" w:eastAsia="zh-CN"/>
        </w:rPr>
        <w:t>产品</w:t>
      </w:r>
      <w:r>
        <w:rPr>
          <w:rFonts w:hint="eastAsia"/>
          <w:b w:val="0"/>
          <w:bCs w:val="0"/>
          <w:color w:val="auto"/>
          <w:sz w:val="24"/>
          <w:highlight w:val="none"/>
        </w:rPr>
        <w:t>属性四个方面，选取具有代表性、针对性的指标对产品进行评价，其中包括单位产品取水量、单位产品综合能耗、单位产品废水产生量、单位产品COD产生量等产品生产过程中的主要特征指标以及涉及到食品接触产品、涉及出口欧盟产品、涉及出口美国产品的产品属性指标进行评价，既代表了消费者的购买需求，又代表了产品乃至行业的发展提升方向，对消费者、企业、市场、社会都具有积极的意义。</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3</w:t>
      </w:r>
      <w:r>
        <w:rPr>
          <w:rFonts w:hint="eastAsia"/>
          <w:b w:val="0"/>
          <w:bCs w:val="0"/>
          <w:color w:val="auto"/>
          <w:sz w:val="24"/>
          <w:highlight w:val="none"/>
          <w:lang w:eastAsia="zh-CN"/>
        </w:rPr>
        <w:t>、</w:t>
      </w:r>
      <w:r>
        <w:rPr>
          <w:rFonts w:hint="eastAsia"/>
          <w:b w:val="0"/>
          <w:bCs w:val="0"/>
          <w:color w:val="auto"/>
          <w:sz w:val="24"/>
          <w:highlight w:val="none"/>
        </w:rPr>
        <w:t>技术先进性原则</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在试验验证上，保证了样品的普适性和代表性。工作组在大量实测数据的基础上完成本标准中的验证工作。</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4</w:t>
      </w:r>
      <w:r>
        <w:rPr>
          <w:rFonts w:hint="eastAsia"/>
          <w:b w:val="0"/>
          <w:bCs w:val="0"/>
          <w:color w:val="auto"/>
          <w:sz w:val="24"/>
          <w:highlight w:val="none"/>
          <w:lang w:eastAsia="zh-CN"/>
        </w:rPr>
        <w:t>、</w:t>
      </w:r>
      <w:r>
        <w:rPr>
          <w:rFonts w:hint="eastAsia"/>
          <w:b w:val="0"/>
          <w:bCs w:val="0"/>
          <w:color w:val="auto"/>
          <w:sz w:val="24"/>
          <w:highlight w:val="none"/>
        </w:rPr>
        <w:t>经济合理性原则</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在确定本标准主要技术性能指标时，综合考虑生产企业的能力和用户的利益，寻求最大的经济效益和社会效益，同时充分体现了标准的经济合理性，使本标准的</w:t>
      </w:r>
      <w:r>
        <w:rPr>
          <w:rFonts w:hint="eastAsia"/>
          <w:b w:val="0"/>
          <w:bCs w:val="0"/>
          <w:color w:val="auto"/>
          <w:sz w:val="24"/>
          <w:highlight w:val="none"/>
          <w:lang w:val="en-US" w:eastAsia="zh-CN"/>
        </w:rPr>
        <w:t>制定</w:t>
      </w:r>
      <w:r>
        <w:rPr>
          <w:rFonts w:hint="eastAsia"/>
          <w:b w:val="0"/>
          <w:bCs w:val="0"/>
          <w:color w:val="auto"/>
          <w:sz w:val="24"/>
          <w:highlight w:val="none"/>
        </w:rPr>
        <w:t>有利于促进企业经济效益和社会效益、环境效益的统一，有利于产业的发展和产品技术应用的推广。</w:t>
      </w:r>
    </w:p>
    <w:p>
      <w:pPr>
        <w:spacing w:line="360" w:lineRule="auto"/>
        <w:rPr>
          <w:rFonts w:ascii="宋体" w:hAnsi="宋体"/>
          <w:b/>
          <w:bCs/>
          <w:color w:val="auto"/>
          <w:sz w:val="24"/>
          <w:highlight w:val="none"/>
        </w:rPr>
      </w:pPr>
      <w:r>
        <w:rPr>
          <w:rFonts w:hint="eastAsia" w:ascii="宋体" w:hAnsi="宋体"/>
          <w:b/>
          <w:bCs/>
          <w:color w:val="auto"/>
          <w:sz w:val="24"/>
          <w:highlight w:val="none"/>
        </w:rPr>
        <w:t>三、标准主要内容的确定</w:t>
      </w:r>
    </w:p>
    <w:p>
      <w:pPr>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（一）标准主要内容和适用范围</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标准编制参考</w:t>
      </w:r>
      <w:r>
        <w:rPr>
          <w:rFonts w:hint="eastAsia"/>
          <w:b w:val="0"/>
          <w:bCs w:val="0"/>
          <w:color w:val="auto"/>
          <w:sz w:val="24"/>
          <w:highlight w:val="none"/>
          <w:lang w:eastAsia="zh-CN"/>
        </w:rPr>
        <w:t>《</w:t>
      </w:r>
      <w:r>
        <w:rPr>
          <w:rFonts w:hint="eastAsia"/>
          <w:b w:val="0"/>
          <w:bCs w:val="0"/>
          <w:color w:val="auto"/>
          <w:sz w:val="24"/>
          <w:highlight w:val="none"/>
          <w:lang w:val="en-US" w:eastAsia="zh-CN"/>
        </w:rPr>
        <w:t>生态设计产品</w:t>
      </w:r>
      <w:r>
        <w:rPr>
          <w:rFonts w:hint="eastAsia"/>
          <w:b w:val="0"/>
          <w:bCs w:val="0"/>
          <w:color w:val="auto"/>
          <w:sz w:val="24"/>
          <w:highlight w:val="none"/>
        </w:rPr>
        <w:t>评价通则</w:t>
      </w:r>
      <w:r>
        <w:rPr>
          <w:rFonts w:hint="eastAsia"/>
          <w:b w:val="0"/>
          <w:bCs w:val="0"/>
          <w:color w:val="auto"/>
          <w:sz w:val="24"/>
          <w:highlight w:val="none"/>
          <w:lang w:eastAsia="zh-CN"/>
        </w:rPr>
        <w:t>》</w:t>
      </w:r>
      <w:r>
        <w:rPr>
          <w:rFonts w:hint="eastAsia"/>
          <w:b w:val="0"/>
          <w:bCs w:val="0"/>
          <w:color w:val="auto"/>
          <w:sz w:val="24"/>
          <w:highlight w:val="none"/>
        </w:rPr>
        <w:t>，以促进</w:t>
      </w:r>
      <w:r>
        <w:rPr>
          <w:rFonts w:hint="eastAsia"/>
          <w:b w:val="0"/>
          <w:bCs w:val="0"/>
          <w:color w:val="auto"/>
          <w:sz w:val="24"/>
          <w:highlight w:val="none"/>
          <w:lang w:eastAsia="zh-CN"/>
        </w:rPr>
        <w:t>酱油</w:t>
      </w:r>
      <w:r>
        <w:rPr>
          <w:rFonts w:hint="eastAsia"/>
          <w:b w:val="0"/>
          <w:bCs w:val="0"/>
          <w:color w:val="auto"/>
          <w:sz w:val="24"/>
          <w:highlight w:val="none"/>
        </w:rPr>
        <w:t>行业绿色产品升级，促进清洁生产，引导</w:t>
      </w:r>
      <w:r>
        <w:rPr>
          <w:rFonts w:hint="eastAsia"/>
          <w:b w:val="0"/>
          <w:bCs w:val="0"/>
          <w:color w:val="auto"/>
          <w:sz w:val="24"/>
          <w:highlight w:val="none"/>
          <w:lang w:eastAsia="zh-CN"/>
        </w:rPr>
        <w:t>酱油</w:t>
      </w:r>
      <w:r>
        <w:rPr>
          <w:rFonts w:hint="eastAsia"/>
          <w:b w:val="0"/>
          <w:bCs w:val="0"/>
          <w:color w:val="auto"/>
          <w:sz w:val="24"/>
          <w:highlight w:val="none"/>
        </w:rPr>
        <w:t>企业积极采用绿色装备和绿色生产工艺技术，减少污染物排放，提高产品性能，最终减小产品全生命周期对环境的影响，实现绿色发展。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本标准适用于绿色设计产品评价规范中规定的</w:t>
      </w:r>
      <w:r>
        <w:rPr>
          <w:rFonts w:hint="eastAsia"/>
          <w:b w:val="0"/>
          <w:bCs w:val="0"/>
          <w:color w:val="auto"/>
          <w:sz w:val="24"/>
          <w:highlight w:val="none"/>
          <w:lang w:eastAsia="zh-CN"/>
        </w:rPr>
        <w:t>酱油</w:t>
      </w:r>
      <w:r>
        <w:rPr>
          <w:rFonts w:hint="eastAsia"/>
          <w:b w:val="0"/>
          <w:bCs w:val="0"/>
          <w:color w:val="auto"/>
          <w:sz w:val="24"/>
          <w:highlight w:val="none"/>
        </w:rPr>
        <w:t>。标准包括范围、规范性引用文件、术语和定义、基本要求、评价指标要求、检验方法和指标计算方法、产品生命周期评价报告编制方法、评价方法以及相关附录。评价指标从产品属性、能源属性、环境属性、资源属性四个方面细化产品的技术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（二）基本要求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1、生产企业近三年无重大安全和环境污染事故。企业在生产过程中应实施清洁生产，通过清洁生产审核。</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2、</w:t>
      </w:r>
      <w:r>
        <w:rPr>
          <w:rFonts w:hint="eastAsia"/>
          <w:b w:val="0"/>
          <w:bCs w:val="0"/>
          <w:color w:val="auto"/>
          <w:sz w:val="24"/>
          <w:highlight w:val="none"/>
        </w:rPr>
        <w:t>企业不应采用国家或有关部门明确淘汰或禁止的生产工艺与装备。宜采用国家鼓励的、符合国家产业和技术政策发展方向的先进技术工艺。</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3、</w:t>
      </w:r>
      <w:r>
        <w:rPr>
          <w:rFonts w:hint="eastAsia"/>
          <w:b w:val="0"/>
          <w:bCs w:val="0"/>
          <w:color w:val="auto"/>
          <w:sz w:val="24"/>
          <w:highlight w:val="none"/>
        </w:rPr>
        <w:t>生产企业的污染物排放应达到国家和地方污染物排放标准的要求，严格执行节能环保相关国家标准并提供污染物排放清单。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4、</w:t>
      </w:r>
      <w:r>
        <w:rPr>
          <w:rFonts w:hint="eastAsia"/>
          <w:b w:val="0"/>
          <w:bCs w:val="0"/>
          <w:color w:val="auto"/>
          <w:sz w:val="24"/>
          <w:highlight w:val="none"/>
        </w:rPr>
        <w:t>生产企业污染物总量控制应达到国家和地方污染物排放总量控制指标。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5、</w:t>
      </w:r>
      <w:r>
        <w:rPr>
          <w:rFonts w:hint="eastAsia"/>
          <w:b w:val="0"/>
          <w:bCs w:val="0"/>
          <w:color w:val="auto"/>
          <w:sz w:val="24"/>
          <w:highlight w:val="none"/>
        </w:rPr>
        <w:t>一般固体废弃物的贮存、处置场的建设、运行和污染监管应符合GB 18599的相关规定。危险废物的贮存与污染控制及监管应按照GB 18597的相关规定执行，后续应交给持有危险废物经营许可证的单位处理。</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6、</w:t>
      </w:r>
      <w:r>
        <w:rPr>
          <w:rFonts w:hint="eastAsia"/>
          <w:b w:val="0"/>
          <w:bCs w:val="0"/>
          <w:color w:val="auto"/>
          <w:sz w:val="24"/>
          <w:highlight w:val="none"/>
        </w:rPr>
        <w:t>产品质量、安全以及节能降耗和综合利用水平，应达到国家标准、行业标准的相关要求。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7、</w:t>
      </w:r>
      <w:r>
        <w:rPr>
          <w:rFonts w:hint="eastAsia"/>
          <w:b w:val="0"/>
          <w:bCs w:val="0"/>
          <w:color w:val="auto"/>
          <w:sz w:val="24"/>
          <w:highlight w:val="none"/>
        </w:rPr>
        <w:t>生产企业应按照GB/T 19001、 GB/T 24001 和 GB/T 28001 分别建立并运行质量管理体系、环境管理体系和职业健康安全管理体系；开展能耗、物耗考核并建立考核制度，或按照 GB/T 23331 建立并运行能源管理体系。</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8、</w:t>
      </w:r>
      <w:r>
        <w:rPr>
          <w:rFonts w:hint="eastAsia"/>
          <w:b w:val="0"/>
          <w:bCs w:val="0"/>
          <w:color w:val="auto"/>
          <w:sz w:val="24"/>
          <w:highlight w:val="none"/>
        </w:rPr>
        <w:t>生产企业应按照 GB 17167 配备能源计量器具，并根据环保法律法规和标准要求配备污染物检测和在线监控设备(如HJ/T353 水污染源在线监测系统安装技术规范)。</w:t>
      </w:r>
    </w:p>
    <w:p>
      <w:pPr>
        <w:snapToGrid w:val="0"/>
        <w:spacing w:line="480" w:lineRule="auto"/>
        <w:jc w:val="center"/>
        <w:rPr>
          <w:rFonts w:asciiTheme="minorEastAsia" w:hAnsiTheme="minorEastAsia" w:eastAsiaTheme="minorEastAsia"/>
          <w:color w:val="auto"/>
          <w:sz w:val="24"/>
          <w:szCs w:val="24"/>
          <w:highlight w:val="none"/>
        </w:rPr>
      </w:pPr>
    </w:p>
    <w:p>
      <w:pPr>
        <w:spacing w:line="360" w:lineRule="auto"/>
        <w:ind w:firstLine="482" w:firstLineChars="200"/>
        <w:rPr>
          <w:rFonts w:hint="eastAsia"/>
          <w:b w:val="0"/>
          <w:bCs w:val="0"/>
          <w:color w:val="auto"/>
          <w:sz w:val="24"/>
          <w:highlight w:val="none"/>
        </w:rPr>
      </w:pPr>
      <w:r>
        <w:rPr>
          <w:rFonts w:hint="eastAsia" w:asciiTheme="minorEastAsia" w:hAnsiTheme="minorEastAsia" w:eastAsiaTheme="minorEastAsia"/>
          <w:b/>
          <w:color w:val="auto"/>
          <w:sz w:val="24"/>
          <w:szCs w:val="24"/>
          <w:highlight w:val="none"/>
        </w:rPr>
        <w:t>三</w:t>
      </w:r>
      <w:r>
        <w:rPr>
          <w:rFonts w:hint="eastAsia"/>
          <w:b w:val="0"/>
          <w:bCs w:val="0"/>
          <w:color w:val="auto"/>
          <w:sz w:val="24"/>
          <w:highlight w:val="none"/>
        </w:rPr>
        <w:t>、标准主要内容的确定</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（一）标准主要内容和适用范围</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标准编制参考绿色产品评价通则，以促进酱油行业绿色制造产品升级，促进清洁生产，引导酱油企业积极采用绿色装备和绿色生产工艺技术，减少污染物排放，提高产品性能，最终减小产品全生命周期对环境的影响，实现绿色发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主要本标准适用于绿色设计产品评价规范中规定的酱油。标准包括范围、规范性引用文件、术语和定义、基本要求、评价指标要求、检验方法和指标计算方法、产品生命周期评价报告编制方法、评价方法以及相关附录。评价指标从产品属性、能源属性、环境属性、资源属性四个方面细化产品的技术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（二）基本要求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1、生产企业近三年无重大安全和环境污染事故。企业在生产过程中应实施清洁生产，通过清洁生产审核。</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企业不应采用国家或有关部门明确淘汰或禁止的生产工艺与装备。宜采用国家鼓励的、符合国家产业和技术政策发展方向的先进技术工艺。</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生产企业的污染物排放应达到国家和地方污染物排放标准的要求，严格执行节能环保相关国家标准并提供污染物排放清单。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生产企业污染物总量控制应达到国家和地方污染物排放总量控制指标。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一般固体废弃物的贮存、处置场的建设、运行和污染监管应符合GB 18599的相关规定。危险废物的贮存与污染控制及监管应按照GB 18597的相关规定执行，后续应交给持有危险废物经营许可证的单位处理。</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产品质量、安全以及节能降耗和综合利用水平，应达到国家标准、行业标准的相关要求。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生产企业应按照GB/T 19001、 GB/T 24001 和 GB/T 28001 分别建立并运行质量管理体系、环境管理体系和职业健康安全管理体系；开展能耗、物耗考核并建立考核制度，或按照 GB/T 23331 建立并运行能源管理体系。</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生产企业应按照 GB 17167 配备能源计量器具，并根据环保法律法规和标准要求配备污染物检测和在线监控设备(如HJ/T353 水污染源在线监测系统安装技术规范)。</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（三）评价指标要求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根据GB/T 32161《生态设计产品评价通则》及有关要求，酱油产品的评价指标应从产品全生命周期中对资源和能源的消耗、对生态环境和人体健康影响的角度进行选取，包括资源属性、能源属性、环境属性、产品属性指标，按照全生命周期的理念，在产品设计开发阶段系统考虑原材料选用、生产、销售、使用、回收、处理等各个环节对资源环境造成的影响，力求产品在全生命周期中最大限度降低资源消耗、尽可能少用或不用含有害物质的原材料，减少污染物产生和排放，从而达到环保的目的。评价指标设计以现执行的国家标准、行业标准为基础，结合产品和行业特点，以评价筛选生态设计产品为目的，在经过验证和征询行业专家、生产厂商意见的基础上，科学、合理地确定指标基准值。标准工作组多次召开讨论会，对指标设计形成如下意见：</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1、根据GB/T 32161《生态设计产品评价通则》要求，设置资源属性、能源属性、环境属性和产品属性指标；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2、在满足国家标准及综合考虑行业情况的条件下，选取二级指标和确定基准值，评价指标具有一定的先进性，体现该标准制定的意义；</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3、在广泛调研同行业该类指标值的基础上，确定指标基准值，以选取当前国内20%该类产品达到该基准值要求为取值原则。</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根据上述指标制定原则和依据，制定酱油产品评价指标要求，见表1。</w:t>
      </w:r>
    </w:p>
    <w:p>
      <w:pPr>
        <w:spacing w:line="48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表1</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酱油产品评价指标要求</w:t>
      </w:r>
    </w:p>
    <w:tbl>
      <w:tblPr>
        <w:tblStyle w:val="9"/>
        <w:tblW w:w="863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1532"/>
        <w:gridCol w:w="1151"/>
        <w:gridCol w:w="1378"/>
        <w:gridCol w:w="3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widowControl/>
              <w:spacing w:line="480" w:lineRule="auto"/>
              <w:jc w:val="center"/>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一级指标</w:t>
            </w:r>
          </w:p>
        </w:tc>
        <w:tc>
          <w:tcPr>
            <w:tcW w:w="1532" w:type="dxa"/>
            <w:vAlign w:val="center"/>
          </w:tcPr>
          <w:p>
            <w:pPr>
              <w:widowControl/>
              <w:spacing w:line="480" w:lineRule="auto"/>
              <w:jc w:val="center"/>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二级指标</w:t>
            </w:r>
          </w:p>
        </w:tc>
        <w:tc>
          <w:tcPr>
            <w:tcW w:w="1151" w:type="dxa"/>
            <w:vAlign w:val="center"/>
          </w:tcPr>
          <w:p>
            <w:pPr>
              <w:widowControl/>
              <w:spacing w:line="480" w:lineRule="auto"/>
              <w:jc w:val="center"/>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单位</w:t>
            </w:r>
          </w:p>
        </w:tc>
        <w:tc>
          <w:tcPr>
            <w:tcW w:w="1378" w:type="dxa"/>
            <w:vAlign w:val="center"/>
          </w:tcPr>
          <w:p>
            <w:pPr>
              <w:widowControl/>
              <w:spacing w:line="480" w:lineRule="auto"/>
              <w:jc w:val="center"/>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基准值</w:t>
            </w:r>
          </w:p>
        </w:tc>
        <w:tc>
          <w:tcPr>
            <w:tcW w:w="3302" w:type="dxa"/>
            <w:vAlign w:val="center"/>
          </w:tcPr>
          <w:p>
            <w:pPr>
              <w:widowControl/>
              <w:spacing w:line="480" w:lineRule="auto"/>
              <w:jc w:val="center"/>
              <w:rPr>
                <w:rFonts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资源属性</w:t>
            </w: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原粒黄豆使用</w:t>
            </w:r>
          </w:p>
        </w:tc>
        <w:tc>
          <w:tcPr>
            <w:tcW w:w="1151"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t/t</w:t>
            </w:r>
          </w:p>
        </w:tc>
        <w:tc>
          <w:tcPr>
            <w:tcW w:w="1378"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m:oMath>
              <m:r>
                <m:rPr>
                  <m:sty m:val="p"/>
                </m:rPr>
                <w:rPr>
                  <w:rFonts w:hint="eastAsia" w:ascii="Cambria Math" w:hAnsi="Cambria Math" w:eastAsia="宋体" w:cs="宋体"/>
                  <w:color w:val="auto"/>
                  <w:kern w:val="0"/>
                  <w:sz w:val="21"/>
                  <w:szCs w:val="21"/>
                  <w:highlight w:val="none"/>
                </w:rPr>
                <m:t>≤</m:t>
              </m:r>
            </m:oMath>
            <w:r>
              <w:rPr>
                <w:rFonts w:hint="eastAsia" w:ascii="宋体" w:hAnsi="宋体" w:eastAsia="宋体" w:cs="宋体"/>
                <w:color w:val="auto"/>
                <w:kern w:val="0"/>
                <w:sz w:val="21"/>
                <w:szCs w:val="21"/>
                <w:highlight w:val="none"/>
              </w:rPr>
              <w:t>0.25</w:t>
            </w:r>
          </w:p>
        </w:tc>
        <w:tc>
          <w:tcPr>
            <w:tcW w:w="3302" w:type="dxa"/>
            <w:vAlign w:val="center"/>
          </w:tcPr>
          <w:p>
            <w:pPr>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大豆符合GB 1352要求,依据A.1计算。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原粒黄豆</w:t>
            </w:r>
          </w:p>
        </w:tc>
        <w:tc>
          <w:tcPr>
            <w:tcW w:w="1151"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378"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非转基因大豆</w:t>
            </w:r>
          </w:p>
        </w:tc>
        <w:tc>
          <w:tcPr>
            <w:tcW w:w="3302" w:type="dxa"/>
            <w:vAlign w:val="center"/>
          </w:tcPr>
          <w:p>
            <w:pPr>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提供相关证明材料（</w:t>
            </w:r>
            <w:r>
              <w:rPr>
                <w:rFonts w:hint="eastAsia" w:ascii="宋体" w:hAnsi="宋体" w:eastAsia="宋体" w:cs="宋体"/>
                <w:color w:val="auto"/>
                <w:kern w:val="0"/>
                <w:sz w:val="21"/>
                <w:szCs w:val="21"/>
                <w:highlight w:val="none"/>
              </w:rPr>
              <w:t>提供IP认证证书）</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取水量</w:t>
            </w:r>
          </w:p>
        </w:tc>
        <w:tc>
          <w:tcPr>
            <w:tcW w:w="1151"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/t</w:t>
            </w:r>
          </w:p>
        </w:tc>
        <w:tc>
          <w:tcPr>
            <w:tcW w:w="1378"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≤6.50</w:t>
            </w:r>
          </w:p>
        </w:tc>
        <w:tc>
          <w:tcPr>
            <w:tcW w:w="3302" w:type="dxa"/>
            <w:vAlign w:val="center"/>
          </w:tcPr>
          <w:p>
            <w:pPr>
              <w:widowControl/>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依据本标准附录A.2计算，并提供相关证明材料。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中水回用率</w:t>
            </w:r>
          </w:p>
        </w:tc>
        <w:tc>
          <w:tcPr>
            <w:tcW w:w="1151"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tc>
        <w:tc>
          <w:tcPr>
            <w:tcW w:w="1378" w:type="dxa"/>
            <w:vAlign w:val="center"/>
          </w:tcPr>
          <w:p>
            <w:pPr>
              <w:widowControl/>
              <w:spacing w:before="100" w:beforeAutospacing="1" w:after="100" w:afterAutospacing="1"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≥15.0</w:t>
            </w:r>
          </w:p>
        </w:tc>
        <w:tc>
          <w:tcPr>
            <w:tcW w:w="3302" w:type="dxa"/>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依据本标准附录A.3计算，并提供相关证明材料。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冷却水重复利用率</w:t>
            </w:r>
          </w:p>
        </w:tc>
        <w:tc>
          <w:tcPr>
            <w:tcW w:w="1151"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rPr>
              <w:t>%</w:t>
            </w:r>
          </w:p>
        </w:tc>
        <w:tc>
          <w:tcPr>
            <w:tcW w:w="1378" w:type="dxa"/>
            <w:tcBorders>
              <w:top w:val="single" w:color="auto" w:sz="4" w:space="0"/>
            </w:tcBorders>
            <w:vAlign w:val="center"/>
          </w:tcPr>
          <w:p>
            <w:pPr>
              <w:widowControl/>
              <w:spacing w:before="100" w:beforeAutospacing="1" w:after="100" w:afterAutospacing="1"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≥85.00</w:t>
            </w:r>
          </w:p>
        </w:tc>
        <w:tc>
          <w:tcPr>
            <w:tcW w:w="3302" w:type="dxa"/>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依据本标准附录A.4计算，并提供相关证明材料。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产品包装综合损耗率</w:t>
            </w:r>
          </w:p>
        </w:tc>
        <w:tc>
          <w:tcPr>
            <w:tcW w:w="1151" w:type="dxa"/>
            <w:vAlign w:val="center"/>
          </w:tcPr>
          <w:p>
            <w:pPr>
              <w:widowControl/>
              <w:spacing w:before="100" w:beforeAutospacing="1" w:after="100" w:afterAutospacing="1"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378" w:type="dxa"/>
            <w:vAlign w:val="center"/>
          </w:tcPr>
          <w:p>
            <w:pPr>
              <w:spacing w:before="100" w:beforeAutospacing="1" w:after="100" w:afterAutospacing="1"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≤0.3</w:t>
            </w:r>
          </w:p>
        </w:tc>
        <w:tc>
          <w:tcPr>
            <w:tcW w:w="3302" w:type="dxa"/>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依据本标准附录A.5计算，并提供相关证明材料。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Merge w:val="restart"/>
            <w:vAlign w:val="center"/>
          </w:tcPr>
          <w:p>
            <w:pPr>
              <w:widowControl/>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产品包装的可循环材料占比</w:t>
            </w:r>
          </w:p>
        </w:tc>
        <w:tc>
          <w:tcPr>
            <w:tcW w:w="1151" w:type="dxa"/>
            <w:vMerge w:val="restart"/>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378"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玻璃瓶装产品：99</w:t>
            </w:r>
          </w:p>
        </w:tc>
        <w:tc>
          <w:tcPr>
            <w:tcW w:w="3302" w:type="dxa"/>
            <w:vMerge w:val="restart"/>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依据本标准附录A.6计算，并提供相关证明材料。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151"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378"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塑料包装容器类（PET、PE）产品：≥99</w:t>
            </w:r>
          </w:p>
        </w:tc>
        <w:tc>
          <w:tcPr>
            <w:tcW w:w="3302" w:type="dxa"/>
            <w:vMerge w:val="continue"/>
            <w:vAlign w:val="center"/>
          </w:tcPr>
          <w:p>
            <w:pPr>
              <w:widowControl/>
              <w:spacing w:line="480" w:lineRule="auto"/>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能源属性</w:t>
            </w: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综合能耗</w:t>
            </w:r>
          </w:p>
        </w:tc>
        <w:tc>
          <w:tcPr>
            <w:tcW w:w="1151" w:type="dxa"/>
            <w:vAlign w:val="center"/>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tce/t</w:t>
            </w:r>
          </w:p>
        </w:tc>
        <w:tc>
          <w:tcPr>
            <w:tcW w:w="1378" w:type="dxa"/>
            <w:vAlign w:val="center"/>
          </w:tcPr>
          <w:p>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≤0.08</w:t>
            </w:r>
          </w:p>
        </w:tc>
        <w:tc>
          <w:tcPr>
            <w:tcW w:w="3302" w:type="dxa"/>
            <w:tcBorders>
              <w:top w:val="nil"/>
              <w:left w:val="nil"/>
              <w:bottom w:val="single" w:color="000000" w:sz="8" w:space="0"/>
              <w:right w:val="single" w:color="000000" w:sz="8" w:space="0"/>
            </w:tcBorders>
            <w:vAlign w:val="center"/>
          </w:tcPr>
          <w:p>
            <w:pPr>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依据GB/T 2589及本标准附录A.7计算，并提供相关证明材料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widowControl/>
              <w:spacing w:line="480" w:lineRule="auto"/>
              <w:jc w:val="center"/>
              <w:rPr>
                <w:rFonts w:hint="eastAsia" w:ascii="宋体" w:hAnsi="宋体" w:eastAsia="宋体" w:cs="宋体"/>
                <w:color w:val="auto"/>
                <w:kern w:val="0"/>
                <w:sz w:val="21"/>
                <w:szCs w:val="21"/>
                <w:highlight w:val="none"/>
              </w:rPr>
            </w:pP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可再生能源利用率</w:t>
            </w:r>
          </w:p>
        </w:tc>
        <w:tc>
          <w:tcPr>
            <w:tcW w:w="1151" w:type="dxa"/>
            <w:vAlign w:val="center"/>
          </w:tcPr>
          <w:p>
            <w:pPr>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78" w:type="dxa"/>
            <w:vAlign w:val="center"/>
          </w:tcPr>
          <w:p>
            <w:pPr>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3302" w:type="dxa"/>
            <w:tcBorders>
              <w:top w:val="nil"/>
              <w:left w:val="nil"/>
              <w:bottom w:val="single" w:color="000000" w:sz="8" w:space="0"/>
              <w:right w:val="single" w:color="000000" w:sz="8" w:space="0"/>
            </w:tcBorders>
            <w:vAlign w:val="center"/>
          </w:tcPr>
          <w:p>
            <w:pPr>
              <w:spacing w:before="100" w:beforeAutospacing="1" w:after="100" w:afterAutospacing="1"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依据本标准附录A.8计算，并提供相关证明材料。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restart"/>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环境属性</w:t>
            </w:r>
          </w:p>
        </w:tc>
        <w:tc>
          <w:tcPr>
            <w:tcW w:w="1532"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废气烟尘排放量</w:t>
            </w:r>
          </w:p>
        </w:tc>
        <w:tc>
          <w:tcPr>
            <w:tcW w:w="1151"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w:t>
            </w:r>
          </w:p>
        </w:tc>
        <w:tc>
          <w:tcPr>
            <w:tcW w:w="1378"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≤15.0</w:t>
            </w:r>
          </w:p>
        </w:tc>
        <w:tc>
          <w:tcPr>
            <w:tcW w:w="3302" w:type="dxa"/>
            <w:tcBorders>
              <w:top w:val="nil"/>
              <w:left w:val="nil"/>
              <w:bottom w:val="single" w:color="000000" w:sz="8" w:space="0"/>
              <w:right w:val="single" w:color="000000" w:sz="8" w:space="0"/>
            </w:tcBorders>
          </w:tcPr>
          <w:p>
            <w:pPr>
              <w:spacing w:before="100" w:beforeAutospacing="1" w:after="100" w:afterAutospacing="1"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依据GB/T 16157及本标准附录A.9计算，并提供相关证明材料。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p>
        </w:tc>
        <w:tc>
          <w:tcPr>
            <w:tcW w:w="1532"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废气二氧化硫排放量</w:t>
            </w:r>
          </w:p>
        </w:tc>
        <w:tc>
          <w:tcPr>
            <w:tcW w:w="1151"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g/t</w:t>
            </w:r>
          </w:p>
        </w:tc>
        <w:tc>
          <w:tcPr>
            <w:tcW w:w="1378"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≤10.00</w:t>
            </w:r>
          </w:p>
        </w:tc>
        <w:tc>
          <w:tcPr>
            <w:tcW w:w="3302" w:type="dxa"/>
            <w:tcBorders>
              <w:top w:val="nil"/>
              <w:left w:val="nil"/>
              <w:bottom w:val="single" w:color="000000" w:sz="8" w:space="0"/>
              <w:right w:val="single" w:color="000000" w:sz="8" w:space="0"/>
            </w:tcBorders>
          </w:tcPr>
          <w:p>
            <w:pPr>
              <w:spacing w:before="100" w:beforeAutospacing="1" w:after="100" w:afterAutospacing="1"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依据HJ 57及本标准附录A.10计算，并提供相关证明材料。。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p>
        </w:tc>
        <w:tc>
          <w:tcPr>
            <w:tcW w:w="1532"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固体废弃物</w:t>
            </w:r>
            <w:r>
              <w:rPr>
                <w:rFonts w:hint="eastAsia" w:ascii="宋体" w:hAnsi="宋体" w:eastAsia="宋体" w:cs="宋体"/>
                <w:color w:val="auto"/>
                <w:sz w:val="21"/>
                <w:szCs w:val="21"/>
                <w:highlight w:val="none"/>
              </w:rPr>
              <w:t>（压榨污泥）</w:t>
            </w:r>
            <w:r>
              <w:rPr>
                <w:rFonts w:hint="eastAsia" w:ascii="宋体" w:hAnsi="宋体" w:eastAsia="宋体" w:cs="宋体"/>
                <w:color w:val="auto"/>
                <w:kern w:val="0"/>
                <w:sz w:val="21"/>
                <w:szCs w:val="21"/>
                <w:highlight w:val="none"/>
              </w:rPr>
              <w:t>排放量</w:t>
            </w:r>
          </w:p>
        </w:tc>
        <w:tc>
          <w:tcPr>
            <w:tcW w:w="1151"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kg/t</w:t>
            </w:r>
          </w:p>
        </w:tc>
        <w:tc>
          <w:tcPr>
            <w:tcW w:w="1378"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≤10.0</w:t>
            </w:r>
          </w:p>
        </w:tc>
        <w:tc>
          <w:tcPr>
            <w:tcW w:w="3302" w:type="dxa"/>
            <w:tcBorders>
              <w:top w:val="nil"/>
              <w:left w:val="nil"/>
              <w:bottom w:val="single" w:color="000000" w:sz="8" w:space="0"/>
              <w:right w:val="single" w:color="000000" w:sz="8" w:space="0"/>
            </w:tcBorders>
          </w:tcPr>
          <w:p>
            <w:pPr>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依据本标准附录A.11计算，并提供相关证明材料。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p>
        </w:tc>
        <w:tc>
          <w:tcPr>
            <w:tcW w:w="1532"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氨氮（NH3-N）排放量</w:t>
            </w:r>
          </w:p>
        </w:tc>
        <w:tc>
          <w:tcPr>
            <w:tcW w:w="1151" w:type="dxa"/>
            <w:tcBorders>
              <w:bottom w:val="single" w:color="000000" w:sz="4" w:space="0"/>
            </w:tcBorders>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kg/t</w:t>
            </w:r>
          </w:p>
        </w:tc>
        <w:tc>
          <w:tcPr>
            <w:tcW w:w="1378" w:type="dxa"/>
            <w:tcBorders>
              <w:bottom w:val="single" w:color="000000" w:sz="4" w:space="0"/>
            </w:tcBorders>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≤0.0160</w:t>
            </w:r>
          </w:p>
        </w:tc>
        <w:tc>
          <w:tcPr>
            <w:tcW w:w="3302" w:type="dxa"/>
            <w:tcBorders>
              <w:top w:val="nil"/>
              <w:left w:val="nil"/>
              <w:bottom w:val="single" w:color="000000" w:sz="4" w:space="0"/>
              <w:right w:val="single" w:color="000000" w:sz="8" w:space="0"/>
            </w:tcBorders>
          </w:tcPr>
          <w:p>
            <w:pPr>
              <w:spacing w:before="100" w:beforeAutospacing="1" w:after="100" w:afterAutospacing="1"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依据HJ 535及本标准附录A.12计算，并提供相关证明材料。。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p>
        </w:tc>
        <w:tc>
          <w:tcPr>
            <w:tcW w:w="1532"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废水排放量</w:t>
            </w:r>
          </w:p>
        </w:tc>
        <w:tc>
          <w:tcPr>
            <w:tcW w:w="1151"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/t</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≤5.00</w:t>
            </w:r>
          </w:p>
        </w:tc>
        <w:tc>
          <w:tcPr>
            <w:tcW w:w="3302"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依据本标准附录A.13计算，并提供相关证明材料。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p>
        </w:tc>
        <w:tc>
          <w:tcPr>
            <w:tcW w:w="1532" w:type="dxa"/>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CODCr排放量</w:t>
            </w:r>
          </w:p>
        </w:tc>
        <w:tc>
          <w:tcPr>
            <w:tcW w:w="1151" w:type="dxa"/>
            <w:tcBorders>
              <w:top w:val="single" w:color="000000" w:sz="4" w:space="0"/>
              <w:bottom w:val="single" w:color="000000" w:sz="4" w:space="0"/>
              <w:right w:val="single" w:color="000000" w:sz="4" w:space="0"/>
            </w:tcBorders>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kg/t</w:t>
            </w:r>
          </w:p>
        </w:tc>
        <w:tc>
          <w:tcPr>
            <w:tcW w:w="1378"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≤0.25</w:t>
            </w:r>
          </w:p>
        </w:tc>
        <w:tc>
          <w:tcPr>
            <w:tcW w:w="3302"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48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依据HJ 828及本标准附录A.14计算，并提供相关证明材料。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270" w:type="dxa"/>
            <w:vMerge w:val="restart"/>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品质属性</w:t>
            </w:r>
          </w:p>
        </w:tc>
        <w:tc>
          <w:tcPr>
            <w:tcW w:w="1532" w:type="dxa"/>
            <w:vAlign w:val="center"/>
          </w:tcPr>
          <w:p>
            <w:pPr>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发酵工艺</w:t>
            </w:r>
          </w:p>
        </w:tc>
        <w:tc>
          <w:tcPr>
            <w:tcW w:w="1151" w:type="dxa"/>
            <w:tcBorders>
              <w:top w:val="single" w:color="000000" w:sz="4" w:space="0"/>
            </w:tcBorders>
            <w:vAlign w:val="center"/>
          </w:tcPr>
          <w:p>
            <w:pPr>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378" w:type="dxa"/>
            <w:tcBorders>
              <w:top w:val="single" w:color="000000" w:sz="4" w:space="0"/>
            </w:tcBorders>
            <w:vAlign w:val="center"/>
          </w:tcPr>
          <w:p>
            <w:pPr>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高盐稀态</w:t>
            </w:r>
          </w:p>
        </w:tc>
        <w:tc>
          <w:tcPr>
            <w:tcW w:w="3302" w:type="dxa"/>
            <w:tcBorders>
              <w:top w:val="single" w:color="000000" w:sz="4" w:space="0"/>
            </w:tcBorders>
            <w:vAlign w:val="center"/>
          </w:tcPr>
          <w:p>
            <w:pPr>
              <w:spacing w:line="480" w:lineRule="auto"/>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p>
        </w:tc>
        <w:tc>
          <w:tcPr>
            <w:tcW w:w="1532" w:type="dxa"/>
          </w:tcPr>
          <w:p>
            <w:pPr>
              <w:widowControl/>
              <w:spacing w:line="48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氨基酸生成率</w:t>
            </w:r>
            <w:r>
              <w:rPr>
                <w:rFonts w:hint="eastAsia" w:ascii="宋体" w:hAnsi="宋体" w:eastAsia="宋体" w:cs="宋体"/>
                <w:color w:val="auto"/>
                <w:kern w:val="0"/>
                <w:sz w:val="21"/>
                <w:szCs w:val="21"/>
                <w:highlight w:val="none"/>
              </w:rPr>
              <w:t>（发酵产出第一道酱油）</w:t>
            </w:r>
          </w:p>
        </w:tc>
        <w:tc>
          <w:tcPr>
            <w:tcW w:w="1151"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378"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3302" w:type="dxa"/>
            <w:vAlign w:val="center"/>
          </w:tcPr>
          <w:p>
            <w:pPr>
              <w:widowControl/>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依据本标准附录A.15计算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0" w:type="dxa"/>
            <w:vMerge w:val="continue"/>
            <w:vAlign w:val="center"/>
          </w:tcPr>
          <w:p>
            <w:pPr>
              <w:pStyle w:val="13"/>
              <w:spacing w:before="156" w:after="156" w:line="480" w:lineRule="auto"/>
              <w:ind w:firstLine="0" w:firstLineChars="0"/>
              <w:jc w:val="center"/>
              <w:rPr>
                <w:rFonts w:hint="eastAsia" w:ascii="宋体" w:hAnsi="宋体" w:eastAsia="宋体" w:cs="宋体"/>
                <w:color w:val="auto"/>
                <w:sz w:val="21"/>
                <w:szCs w:val="21"/>
                <w:highlight w:val="none"/>
              </w:rPr>
            </w:pPr>
          </w:p>
        </w:tc>
        <w:tc>
          <w:tcPr>
            <w:tcW w:w="1532"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安全及品质指标</w:t>
            </w:r>
          </w:p>
        </w:tc>
        <w:tc>
          <w:tcPr>
            <w:tcW w:w="1151"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378" w:type="dxa"/>
            <w:vAlign w:val="center"/>
          </w:tcPr>
          <w:p>
            <w:pPr>
              <w:widowControl/>
              <w:spacing w:line="48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全项符合GB 2717、GB/T 18186-2000 质量等级：二级或以上 </w:t>
            </w:r>
          </w:p>
        </w:tc>
        <w:tc>
          <w:tcPr>
            <w:tcW w:w="3302" w:type="dxa"/>
            <w:vAlign w:val="center"/>
          </w:tcPr>
          <w:p>
            <w:pPr>
              <w:widowControl/>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依据GB 2717、GB/T 18186进行判定，并提供相关检测报告。</w:t>
            </w:r>
          </w:p>
        </w:tc>
      </w:tr>
    </w:tbl>
    <w:p>
      <w:pPr>
        <w:spacing w:line="480" w:lineRule="auto"/>
        <w:ind w:firstLine="420" w:firstLineChars="200"/>
        <w:rPr>
          <w:rFonts w:hint="eastAsia" w:ascii="宋体" w:hAnsi="宋体" w:eastAsia="宋体" w:cs="宋体"/>
          <w:color w:val="auto"/>
          <w:sz w:val="21"/>
          <w:szCs w:val="21"/>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（四）评价指标制定说明</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调味品企业生产工艺复杂，产品种类多，企业生产过程，各类产品的用水用能有不单独核算的情况，及废水、废气、废渣的排放量等无法分开准确核算。因此，根据调味品行业特点，各指标基准值据具体情况进行设置。</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1、</w:t>
      </w:r>
      <w:r>
        <w:rPr>
          <w:rFonts w:hint="eastAsia"/>
          <w:b w:val="0"/>
          <w:bCs w:val="0"/>
          <w:color w:val="auto"/>
          <w:sz w:val="24"/>
          <w:highlight w:val="none"/>
        </w:rPr>
        <w:t>大豆使用量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该指标是指单位原发酵标准酱油（氨基酸态氮为0.70g/100ml）所消耗的黄豆量。在酱油发酵企业的生产过程，通过严格控制原料大豆和过程物料质量、提升大豆蒸煮工艺、制曲工艺和发酵工艺等先进技术、提升生产过程的清洁卫生程度，可降低每吨酱油所消耗的黄豆量，以达到节约原料资源耗用的目标。本指标大豆使用是结合行业目前总体实际情况制定出来的。</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2、单位产品取水量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调味品企业生产工艺复杂，产品种类多，用水量比较大，故将取水量作为本标准资源属性的指标，该指标的设置是为了鼓励企业合理控制用水量，尽量循环使用工业用水，减少工业废水排放对环境造成的影响。指标体系确定各定量评价指标的评价基准值的依据是：凡国家或行业在有关政策、规划等文件中对该项指标已有明确要求的就执行国家要求的数值；凡国家或行业对该项指标尚无明确要求的，则选用国内重点大中型调味品企业近年来清洁生产所实际达到的中上等以上水平的指标值。因此，指标体系的评价基准值代表了行业主要先进水平。</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3、中水回用率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中水回用率指在一定计量时间（一般为1年）内经水处理后可回用的总水量占进入水处理系统处理后的废水排放量和中水回用水量之和的百分比，中水虽不可饮用,但水质比较清洁，主要可用于厕所冲洗、园林灌溉、道路保洁、景观、卫生清洁、污水站内加药用水、堆场降温喷洒用水等。</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污水处理过程中，可采用砂滤、炭滤、超滤、反渗透等技术对达标排放的废水处理后进行回用，减少水资源的消耗。指标的设置是为了鼓励企业推行清洁生产技术，提高中水回用率。一方面为供水开辟了第二水源，可大幅度降低自来水的消耗量；另一方面在一定程度上解决了污水对水源的污染问题，从而起到保护水源、减少新鲜水量的作用。</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本标准中水回用率根据调研数据情况，结合行业目前总体情况,设置具体的中水用回率基准值指标。</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4、冷却水重复利用率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冷却水重复利用率指在一定计量时间（一般为9天）内经冷却系统重复水量占进入冷却水系统处理的新增自来水量和重复水量和的百分比。生产过程中往往会产生大量热量，使生产设备或产品温度升高，必须及时进行冷却，否则影响生产的正常运行、产品的质量和产量，为了节约水资源，普遍实行冷却水重复利用。</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采用冷却水重复利用减少水资源的消耗。指标的设置是为了鼓励企业推行清洁生产技术，提高冷却水重复利用率，大幅度降低新鲜水的消耗量。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本标准循环水重复利用率根据调研数据情况，结合行业目前总体情况,设置具体基准值指标。</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5、产品包装综合损耗率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 xml:space="preserve">产品包装综合损耗率是指企业在生产产品的过程中，使用包装物料产生残次和损耗的情况在包装单元内总消耗的比例。该指标反映包装材料的可利用效率以及损耗的水平。本标准产品包装综合损耗率，根据企业提供的各包装材料损耗率和包装物料重量占比，并按包装材料所占权重计算。由于产品包装的损耗受包装材料性质、设备能力和操作水平的影响，其数值来源主要来自生产实际的数据分析。产品包装综合损耗率达到≦0.3%，在行业内属于优良水平。 </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6、产品包装的可循环材料占比</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产品包装的可循环材料占比是指企业在生产产品的过程中，根据国家、行业、地方、国际的标准，符合可循环要求的包装材料占包装单元内总包装材料的比例。此指标反映和评价的是包装材料可以被再循环使用的性能，以促进包装材料的可持续性利用。本标准产品包装的可循环材料占比，根据企业提供的各包装材料重量占比，参照GB∕T 16716.4-2018 《包装与环境 第4部分：材料循环再生 标准》确定计算。可循环材料占比的数值越高，材料可再循环的机会越大。</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7、单位产品综合能耗</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单位产品综合能耗是指报告期内生产某种产品所消耗的各种能源总量与该产品产量之比。在产品的全生命周期中，能源消耗主要产生在酱油原料处理阶段、调味品生产阶段，所消耗的能源为电能、蒸汽。单位产品综合能耗按GB 2589 综合能耗计算通则计算。</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本标准单位产品综合能耗是根据调研数据，结合行业目前总体情况,设置具体的单位产品综合能耗基准值。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8、可再生能源利用率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可再生能源主要包括</w:t>
      </w:r>
      <w:r>
        <w:rPr>
          <w:rFonts w:hint="eastAsia"/>
          <w:b w:val="0"/>
          <w:bCs w:val="0"/>
          <w:color w:val="auto"/>
          <w:sz w:val="24"/>
          <w:highlight w:val="none"/>
        </w:rPr>
        <w:fldChar w:fldCharType="begin"/>
      </w:r>
      <w:r>
        <w:rPr>
          <w:rFonts w:hint="eastAsia"/>
          <w:b w:val="0"/>
          <w:bCs w:val="0"/>
          <w:color w:val="auto"/>
          <w:sz w:val="24"/>
          <w:highlight w:val="none"/>
        </w:rPr>
        <w:instrText xml:space="preserve"> HYPERLINK "https://baike.baidu.com/item/%E5%A4%AA%E9%98%B3%E8%83%BD/410865" \t "_blank" </w:instrText>
      </w:r>
      <w:r>
        <w:rPr>
          <w:rFonts w:hint="eastAsia"/>
          <w:b w:val="0"/>
          <w:bCs w:val="0"/>
          <w:color w:val="auto"/>
          <w:sz w:val="24"/>
          <w:highlight w:val="none"/>
        </w:rPr>
        <w:fldChar w:fldCharType="separate"/>
      </w:r>
      <w:r>
        <w:rPr>
          <w:rFonts w:hint="eastAsia"/>
          <w:b w:val="0"/>
          <w:bCs w:val="0"/>
          <w:color w:val="auto"/>
          <w:sz w:val="24"/>
          <w:highlight w:val="none"/>
        </w:rPr>
        <w:t>太阳能</w:t>
      </w:r>
      <w:r>
        <w:rPr>
          <w:rFonts w:hint="eastAsia"/>
          <w:b w:val="0"/>
          <w:bCs w:val="0"/>
          <w:color w:val="auto"/>
          <w:sz w:val="24"/>
          <w:highlight w:val="none"/>
        </w:rPr>
        <w:fldChar w:fldCharType="end"/>
      </w:r>
      <w:r>
        <w:rPr>
          <w:rFonts w:hint="eastAsia"/>
          <w:b w:val="0"/>
          <w:bCs w:val="0"/>
          <w:color w:val="auto"/>
          <w:sz w:val="24"/>
          <w:highlight w:val="none"/>
        </w:rPr>
        <w:t>、</w:t>
      </w:r>
      <w:r>
        <w:rPr>
          <w:rFonts w:hint="eastAsia"/>
          <w:b w:val="0"/>
          <w:bCs w:val="0"/>
          <w:color w:val="auto"/>
          <w:sz w:val="24"/>
          <w:highlight w:val="none"/>
        </w:rPr>
        <w:fldChar w:fldCharType="begin"/>
      </w:r>
      <w:r>
        <w:rPr>
          <w:rFonts w:hint="eastAsia"/>
          <w:b w:val="0"/>
          <w:bCs w:val="0"/>
          <w:color w:val="auto"/>
          <w:sz w:val="24"/>
          <w:highlight w:val="none"/>
        </w:rPr>
        <w:instrText xml:space="preserve"> HYPERLINK "https://baike.baidu.com/item/%E9%A3%8E%E8%83%BD/1200124" \t "_blank" </w:instrText>
      </w:r>
      <w:r>
        <w:rPr>
          <w:rFonts w:hint="eastAsia"/>
          <w:b w:val="0"/>
          <w:bCs w:val="0"/>
          <w:color w:val="auto"/>
          <w:sz w:val="24"/>
          <w:highlight w:val="none"/>
        </w:rPr>
        <w:fldChar w:fldCharType="separate"/>
      </w:r>
      <w:r>
        <w:rPr>
          <w:rFonts w:hint="eastAsia"/>
          <w:b w:val="0"/>
          <w:bCs w:val="0"/>
          <w:color w:val="auto"/>
          <w:sz w:val="24"/>
          <w:highlight w:val="none"/>
        </w:rPr>
        <w:t>风能</w:t>
      </w:r>
      <w:r>
        <w:rPr>
          <w:rFonts w:hint="eastAsia"/>
          <w:b w:val="0"/>
          <w:bCs w:val="0"/>
          <w:color w:val="auto"/>
          <w:sz w:val="24"/>
          <w:highlight w:val="none"/>
        </w:rPr>
        <w:fldChar w:fldCharType="end"/>
      </w:r>
      <w:r>
        <w:rPr>
          <w:rFonts w:hint="eastAsia"/>
          <w:b w:val="0"/>
          <w:bCs w:val="0"/>
          <w:color w:val="auto"/>
          <w:sz w:val="24"/>
          <w:highlight w:val="none"/>
        </w:rPr>
        <w:t>、</w:t>
      </w:r>
      <w:r>
        <w:rPr>
          <w:rFonts w:hint="eastAsia"/>
          <w:b w:val="0"/>
          <w:bCs w:val="0"/>
          <w:color w:val="auto"/>
          <w:sz w:val="24"/>
          <w:highlight w:val="none"/>
        </w:rPr>
        <w:fldChar w:fldCharType="begin"/>
      </w:r>
      <w:r>
        <w:rPr>
          <w:rFonts w:hint="eastAsia"/>
          <w:b w:val="0"/>
          <w:bCs w:val="0"/>
          <w:color w:val="auto"/>
          <w:sz w:val="24"/>
          <w:highlight w:val="none"/>
        </w:rPr>
        <w:instrText xml:space="preserve"> HYPERLINK "https://baike.baidu.com/item/%E7%94%9F%E7%89%A9%E8%B4%A8%E8%83%BD/745167" \t "_blank" </w:instrText>
      </w:r>
      <w:r>
        <w:rPr>
          <w:rFonts w:hint="eastAsia"/>
          <w:b w:val="0"/>
          <w:bCs w:val="0"/>
          <w:color w:val="auto"/>
          <w:sz w:val="24"/>
          <w:highlight w:val="none"/>
        </w:rPr>
        <w:fldChar w:fldCharType="separate"/>
      </w:r>
      <w:r>
        <w:rPr>
          <w:rFonts w:hint="eastAsia"/>
          <w:b w:val="0"/>
          <w:bCs w:val="0"/>
          <w:color w:val="auto"/>
          <w:sz w:val="24"/>
          <w:highlight w:val="none"/>
        </w:rPr>
        <w:t>生物质能</w:t>
      </w:r>
      <w:r>
        <w:rPr>
          <w:rFonts w:hint="eastAsia"/>
          <w:b w:val="0"/>
          <w:bCs w:val="0"/>
          <w:color w:val="auto"/>
          <w:sz w:val="24"/>
          <w:highlight w:val="none"/>
        </w:rPr>
        <w:fldChar w:fldCharType="end"/>
      </w:r>
      <w:r>
        <w:rPr>
          <w:rFonts w:hint="eastAsia"/>
          <w:b w:val="0"/>
          <w:bCs w:val="0"/>
          <w:color w:val="auto"/>
          <w:sz w:val="24"/>
          <w:highlight w:val="none"/>
        </w:rPr>
        <w:t>、</w:t>
      </w:r>
      <w:r>
        <w:rPr>
          <w:rFonts w:hint="eastAsia"/>
          <w:b w:val="0"/>
          <w:bCs w:val="0"/>
          <w:color w:val="auto"/>
          <w:sz w:val="24"/>
          <w:highlight w:val="none"/>
        </w:rPr>
        <w:fldChar w:fldCharType="begin"/>
      </w:r>
      <w:r>
        <w:rPr>
          <w:rFonts w:hint="eastAsia"/>
          <w:b w:val="0"/>
          <w:bCs w:val="0"/>
          <w:color w:val="auto"/>
          <w:sz w:val="24"/>
          <w:highlight w:val="none"/>
        </w:rPr>
        <w:instrText xml:space="preserve"> HYPERLINK "https://baike.baidu.com/item/%E5%9C%B0%E7%83%AD%E8%83%BD/1200223" \t "_blank" </w:instrText>
      </w:r>
      <w:r>
        <w:rPr>
          <w:rFonts w:hint="eastAsia"/>
          <w:b w:val="0"/>
          <w:bCs w:val="0"/>
          <w:color w:val="auto"/>
          <w:sz w:val="24"/>
          <w:highlight w:val="none"/>
        </w:rPr>
        <w:fldChar w:fldCharType="separate"/>
      </w:r>
      <w:r>
        <w:rPr>
          <w:rFonts w:hint="eastAsia"/>
          <w:b w:val="0"/>
          <w:bCs w:val="0"/>
          <w:color w:val="auto"/>
          <w:sz w:val="24"/>
          <w:highlight w:val="none"/>
        </w:rPr>
        <w:t>地热能</w:t>
      </w:r>
      <w:r>
        <w:rPr>
          <w:rFonts w:hint="eastAsia"/>
          <w:b w:val="0"/>
          <w:bCs w:val="0"/>
          <w:color w:val="auto"/>
          <w:sz w:val="24"/>
          <w:highlight w:val="none"/>
        </w:rPr>
        <w:fldChar w:fldCharType="end"/>
      </w:r>
      <w:r>
        <w:rPr>
          <w:rFonts w:hint="eastAsia"/>
          <w:b w:val="0"/>
          <w:bCs w:val="0"/>
          <w:color w:val="auto"/>
          <w:sz w:val="24"/>
          <w:highlight w:val="none"/>
        </w:rPr>
        <w:t>等。可再生能源利用率指在一定计量时间（一般为1年）内可再生能源用量占总体能源用量的百分比。</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本标准可再生能源利用率是根据调研数据，结合行业目前总体情况,设置具体的可再生能源利用率基准值。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9、单位产品废气烟尘排放量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调味品行业废气主要由天然气锅炉燃烧所产生，天然气本身不含烟尘但燃烧过程中作为助燃物的空气含有烟尘，会随着天然气燃烧变成废气中烟尘。锅炉燃烧状况及大气烟尘含量等因素造成烟尘排放量变化。</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本标准单位产品废气烟尘排放量是根据调研数据，结合行业目前总体情况,设置具体的单位产品废气烟尘排放量基准值。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10、单位产品废气二氧化硫排放量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调味品行业废气主要由天然气锅炉燃烧所产生，天然气本身有少量硫化氢及天然气加工过程中添加四氢噻吩作为臭味添加剂。天然气燃烧过程中产生二氧化硫。天然气成分及锅炉燃烧状况等因素造成二氧化硫排放量变化。</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本标准单位产品废气二氧化硫排放量是根据调研数据，结合行业目前总体情况,设置具体的单位产品废气二氧化硫排放量基准值。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11、单位产品固体废弃物（压榨污泥）排放量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污泥是在污水处理过程中产生的半固态或固态物质，是污水处理后的产物，污泥的主要特性是含水率高，有机物含量高，容易腐化发臭，并且颗粒较细，比重较小，呈胶状液态。它是介于液体和固体之间的浓稠物。</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调味品行业主要生产的产品有酱油、</w:t>
      </w:r>
      <w:r>
        <w:rPr>
          <w:rFonts w:hint="eastAsia"/>
          <w:b w:val="0"/>
          <w:bCs w:val="0"/>
          <w:color w:val="auto"/>
          <w:sz w:val="24"/>
          <w:highlight w:val="none"/>
          <w:lang w:eastAsia="zh-CN"/>
        </w:rPr>
        <w:t>酱油</w:t>
      </w:r>
      <w:r>
        <w:rPr>
          <w:rFonts w:hint="eastAsia"/>
          <w:b w:val="0"/>
          <w:bCs w:val="0"/>
          <w:color w:val="auto"/>
          <w:sz w:val="24"/>
          <w:highlight w:val="none"/>
        </w:rPr>
        <w:t>、虾酱、酱料用原料、其它调味品及以上产品之副产品。生产过程中使用的主要原料、辅料有：毛虾、大豆、蒜头、辣椒、红薯、糖、盐、面粉、调味液、油脂、淀粉、酱色等。废水中混有原料所夹带的泥沙、半成品和成品等不溶性物质，造成废水的悬浮物浓度比较高，随着酱油产量的不断增加，酱油废水处理量和处理率的提高，污泥产生量也将急速增加。</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本标准单位产品固体废弃物（压榨污泥）排放量是根据调研数据，结合行业目前总体情况,设置具体的单位产品固体废弃物（压榨污泥）排放量基准值。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12、单位产品氨氮（NH3-N）排放量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氨氮（NH3-N），主要以游离氨或按盐的形式存在于水中。酱油行业污水中氨氮的来源主要为污水中含氮有机物受微生物作用的分解产物，大量氨氮废水排入水体不仅引起水体富营养化、造成水体黑臭，给水处理的难度和成本加大。</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本标准单位产品氨氮（NH3-N）排放量是根据调研数据，结合行业目前总体情况,设置具体的单位产品固体废弃物（压榨污泥）排放量基准值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13、单位产品废水排放量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调味品行业产品种类复杂，包括生抽酱油、老抽酱油及红醋、辣椒酱、蒜蓉酱、耗油、腐乳等副产品，水质成分复杂，排放量大。酱油企业废水主要来源于清洗水，如洗豆水、浸豆水、洗曲池水、洗罐水、洗滤布水及地面清洗水、设备清洗水等。</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本标准单位产品废水排放量是根据调研数据，结合行业目前总体情况,设置具体的单位产品废水排放量基准值。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14、单位产品CODCr排放量</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酱油废水是难处理的生产废水之一，具有污染物浓度高、组分复杂及盐度、色度、固体悬浮物浓度高等特点。组成废水的污染物一般由原料残留物、发酵过程产物、微量洗涤剂、消毒剂、大量的盐分、各种微生物和微生物的分泌物、代谢产物及原料夹带的泥沙、半成品和成品等物质组成，导致废水产生的COD浓度比较高。</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本标准单位产品CODCr排放量是根据调研数据，结合行业目前总体情况,设置具体的单位产品CODCr排放量基准值。</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15、</w:t>
      </w:r>
      <w:r>
        <w:rPr>
          <w:rFonts w:hint="eastAsia"/>
          <w:b w:val="0"/>
          <w:bCs w:val="0"/>
          <w:color w:val="auto"/>
          <w:sz w:val="24"/>
          <w:highlight w:val="none"/>
        </w:rPr>
        <w:t>品质属性指标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1）氨基酸生成率（发酵产出第一道酱油）</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该指标是指发酵产出第一道酱油中全氮与氨基酸态氮的生成比例，此指标可体现原料在发酵过程的分解程度，判断酱油发酵质量的高低。本指标参照国标GB/T 18186-2000《酿造酱油》的一级酱油的指标，氨基酸态氮≥0.7g/100ml，全氮≥1.3g/100ml，折算后的氨基酸生成率是53.85%，此水平是2000年制定的指标，属于目前发酵行业内高盐稀态工艺酱油比较低的水平，一般高盐稀态工艺酱油行业都已经超过此水平，因此本指标是结合行业目前总体实际情况制定出来的，比国标水平稍高。</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2）其他品质属性指标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绿色设计酱油产品应符合GB 2717、GB/T 18186的要求，其中质量等级要求二级或以上。</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 xml:space="preserve">产品感观风味是酱油品质的重要考量因素，能激发食材本味和带出食材的鲜味，为食材赋予令人回味的美味享受，此为风味高端。酱油品质不可单凭氨基酸态氮含量的高低，宜同时从产品的色泽、滋味、气味和状态，以及菜肴出品等方面比较鉴别。市场上有部分二级酱油具备以上品质，深受消费者喜爱，销量好。     </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本标准结合酱油的总体情况，要求质量等级达到国标GB/T18186二级或以上，比国标水平稍高。</w:t>
      </w:r>
    </w:p>
    <w:p>
      <w:pPr>
        <w:spacing w:line="360" w:lineRule="auto"/>
        <w:ind w:firstLine="480" w:firstLineChars="200"/>
        <w:rPr>
          <w:rFonts w:hint="eastAsia"/>
          <w:b w:val="0"/>
          <w:bCs w:val="0"/>
          <w:color w:val="auto"/>
          <w:sz w:val="24"/>
          <w:highlight w:val="none"/>
        </w:rPr>
      </w:pP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（五）主要试验（或验证）情况分析</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本标准制定过程中，通过对目前正在生产的产品进行初步的调查研究，选取</w:t>
      </w:r>
      <w:r>
        <w:rPr>
          <w:rFonts w:hint="eastAsia"/>
          <w:b w:val="0"/>
          <w:bCs w:val="0"/>
          <w:color w:val="auto"/>
          <w:sz w:val="24"/>
          <w:highlight w:val="none"/>
          <w:lang w:val="en-US" w:eastAsia="zh-CN"/>
        </w:rPr>
        <w:t>1</w:t>
      </w:r>
      <w:r>
        <w:rPr>
          <w:rFonts w:hint="eastAsia"/>
          <w:b w:val="0"/>
          <w:bCs w:val="0"/>
          <w:color w:val="auto"/>
          <w:sz w:val="24"/>
          <w:highlight w:val="none"/>
        </w:rPr>
        <w:t>家企业的酱油产品作为基础检测样本，对单位产品取水量、单位产品综合能耗、单位产品废水排放量、单位产品CODCr排放量等数据进行了测试和评估，验证产品水平是否达到设定的指标。</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其主要试验验证情况如下：</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1、单位产品取水量数据测试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单位产品取水量数据测试结果如下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产品</w:t>
            </w:r>
          </w:p>
        </w:tc>
        <w:tc>
          <w:tcPr>
            <w:tcW w:w="1701"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厂家</w:t>
            </w:r>
          </w:p>
        </w:tc>
        <w:tc>
          <w:tcPr>
            <w:tcW w:w="2694"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数据统计范围</w:t>
            </w:r>
          </w:p>
        </w:tc>
        <w:tc>
          <w:tcPr>
            <w:tcW w:w="2885"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单位产品取水量</w:t>
            </w:r>
            <w:r>
              <w:rPr>
                <w:rFonts w:asciiTheme="minorEastAsia" w:hAnsiTheme="minorEastAsia" w:eastAsiaTheme="minorEastAsia"/>
                <w:color w:val="auto"/>
                <w:kern w:val="0"/>
                <w:sz w:val="24"/>
                <w:szCs w:val="24"/>
                <w:highlight w:val="none"/>
              </w:rPr>
              <w:t>m</w:t>
            </w:r>
            <w:r>
              <w:rPr>
                <w:rFonts w:asciiTheme="minorEastAsia" w:hAnsiTheme="minorEastAsia" w:eastAsiaTheme="minorEastAsia"/>
                <w:color w:val="auto"/>
                <w:kern w:val="0"/>
                <w:sz w:val="24"/>
                <w:szCs w:val="24"/>
                <w:highlight w:val="none"/>
                <w:vertAlign w:val="superscript"/>
              </w:rPr>
              <w:t>3</w:t>
            </w:r>
            <w:r>
              <w:rPr>
                <w:rFonts w:asciiTheme="minorEastAsia" w:hAnsiTheme="minorEastAsia" w:eastAsiaTheme="minorEastAsia"/>
                <w:color w:val="auto"/>
                <w:kern w:val="0"/>
                <w:sz w:val="24"/>
                <w:szCs w:val="24"/>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spacing w:line="480" w:lineRule="auto"/>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酱油</w:t>
            </w:r>
          </w:p>
        </w:tc>
        <w:tc>
          <w:tcPr>
            <w:tcW w:w="1701"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A</w:t>
            </w:r>
          </w:p>
        </w:tc>
        <w:tc>
          <w:tcPr>
            <w:tcW w:w="2694"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酱</w:t>
            </w:r>
            <w:r>
              <w:rPr>
                <w:rFonts w:asciiTheme="minorEastAsia" w:hAnsiTheme="minorEastAsia" w:eastAsiaTheme="minorEastAsia"/>
                <w:color w:val="auto"/>
                <w:kern w:val="0"/>
                <w:sz w:val="24"/>
                <w:szCs w:val="24"/>
                <w:highlight w:val="none"/>
              </w:rPr>
              <w:t>油生产包装厂</w:t>
            </w:r>
          </w:p>
        </w:tc>
        <w:tc>
          <w:tcPr>
            <w:tcW w:w="2885"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asciiTheme="minorEastAsia" w:hAnsiTheme="minorEastAsia" w:eastAsiaTheme="minorEastAsia"/>
                <w:color w:val="auto"/>
                <w:kern w:val="0"/>
                <w:sz w:val="24"/>
                <w:szCs w:val="24"/>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B</w:t>
            </w:r>
          </w:p>
        </w:tc>
        <w:tc>
          <w:tcPr>
            <w:tcW w:w="2694"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C</w:t>
            </w:r>
          </w:p>
        </w:tc>
        <w:tc>
          <w:tcPr>
            <w:tcW w:w="2694"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c>
          <w:tcPr>
            <w:tcW w:w="2885" w:type="dxa"/>
          </w:tcPr>
          <w:p>
            <w:pPr>
              <w:spacing w:line="480" w:lineRule="auto"/>
              <w:jc w:val="center"/>
              <w:rPr>
                <w:rFonts w:asciiTheme="minorEastAsia" w:hAnsiTheme="minorEastAsia" w:eastAsiaTheme="minor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D</w:t>
            </w:r>
          </w:p>
        </w:tc>
        <w:tc>
          <w:tcPr>
            <w:tcW w:w="2694"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0"/>
                <w:sz w:val="24"/>
                <w:szCs w:val="24"/>
                <w:highlight w:val="none"/>
              </w:rPr>
            </w:pPr>
          </w:p>
        </w:tc>
      </w:tr>
    </w:tbl>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通过验证试验，只有较好的产品或者进行生产过程控制较好的生产线或生产包装厂的单位产品取水量能够满足基准限值要求。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2、单位产品综合能耗数据测试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单位产品综合能耗数据测试结果如下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产品</w:t>
            </w: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厂家</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数据统计范围</w:t>
            </w: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0"/>
                <w:sz w:val="24"/>
                <w:szCs w:val="24"/>
                <w:highlight w:val="none"/>
              </w:rPr>
              <w:t>单位产品综合能耗tce/t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spacing w:line="480" w:lineRule="auto"/>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酱油</w:t>
            </w: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A</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0"/>
                <w:sz w:val="24"/>
                <w:szCs w:val="24"/>
                <w:highlight w:val="none"/>
              </w:rPr>
              <w:t>酱油生产包装厂</w:t>
            </w: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2"/>
                <w:sz w:val="24"/>
                <w:szCs w:val="24"/>
                <w:highlight w:val="none"/>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B</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C</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tcPr>
          <w:p>
            <w:pPr>
              <w:spacing w:line="480" w:lineRule="auto"/>
              <w:jc w:val="center"/>
              <w:rPr>
                <w:rFonts w:asciiTheme="minorEastAsia" w:hAnsiTheme="minorEastAsia" w:eastAsia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D</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r>
    </w:tbl>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通过验证试验，只有较好的产品或者进行生产过程控制较好的生产线或生产包装厂的单位产品综合能耗能够满足基准限值要求。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3、单位产品废水排放量数据测试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单位产品废水排放量数据测试结果如下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产品</w:t>
            </w: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厂家</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数据统计范围</w:t>
            </w: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0"/>
                <w:sz w:val="24"/>
                <w:szCs w:val="24"/>
                <w:highlight w:val="none"/>
              </w:rPr>
              <w:t>单位产品废水排放量</w:t>
            </w:r>
            <w:r>
              <w:rPr>
                <w:rFonts w:asciiTheme="minorEastAsia" w:hAnsiTheme="minorEastAsia" w:eastAsiaTheme="minorEastAsia"/>
                <w:color w:val="auto"/>
                <w:kern w:val="0"/>
                <w:sz w:val="24"/>
                <w:szCs w:val="24"/>
                <w:highlight w:val="none"/>
              </w:rPr>
              <w:t>m</w:t>
            </w:r>
            <w:r>
              <w:rPr>
                <w:rFonts w:asciiTheme="minorEastAsia" w:hAnsiTheme="minorEastAsia" w:eastAsiaTheme="minorEastAsia"/>
                <w:color w:val="auto"/>
                <w:kern w:val="0"/>
                <w:sz w:val="24"/>
                <w:szCs w:val="24"/>
                <w:highlight w:val="none"/>
                <w:vertAlign w:val="superscript"/>
              </w:rPr>
              <w:t>3</w:t>
            </w:r>
            <w:r>
              <w:rPr>
                <w:rFonts w:asciiTheme="minorEastAsia" w:hAnsiTheme="minorEastAsia" w:eastAsiaTheme="minorEastAsia"/>
                <w:color w:val="auto"/>
                <w:kern w:val="0"/>
                <w:sz w:val="24"/>
                <w:szCs w:val="24"/>
                <w:highlight w:val="non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spacing w:line="480" w:lineRule="auto"/>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酱油</w:t>
            </w: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A</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0"/>
                <w:sz w:val="24"/>
                <w:szCs w:val="24"/>
                <w:highlight w:val="none"/>
              </w:rPr>
              <w:t>酱油生产包装厂</w:t>
            </w: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2"/>
                <w:sz w:val="24"/>
                <w:szCs w:val="24"/>
                <w:highlight w:val="none"/>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B</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C</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tcPr>
          <w:p>
            <w:pPr>
              <w:spacing w:line="480" w:lineRule="auto"/>
              <w:jc w:val="center"/>
              <w:rPr>
                <w:rFonts w:asciiTheme="minorEastAsia" w:hAnsiTheme="minorEastAsia" w:eastAsia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D</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r>
    </w:tbl>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通过验证试验，只有较好的产品或者进行生产过程控制较好的生产线或生产包装厂的单位产品废水排放量能够满足基准限值要求。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4、单位产品CODCr排放量数据测试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单位产品CODCr排放量数据测试结果如下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694"/>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产品</w:t>
            </w: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厂家</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数据统计范围</w:t>
            </w: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0"/>
                <w:sz w:val="24"/>
                <w:szCs w:val="24"/>
                <w:highlight w:val="none"/>
              </w:rPr>
              <w:t>单位产品COD</w:t>
            </w:r>
            <w:r>
              <w:rPr>
                <w:rFonts w:asciiTheme="minorEastAsia" w:hAnsiTheme="minorEastAsia" w:eastAsiaTheme="minorEastAsia"/>
                <w:color w:val="auto"/>
                <w:kern w:val="0"/>
                <w:sz w:val="24"/>
                <w:szCs w:val="24"/>
                <w:highlight w:val="none"/>
                <w:vertAlign w:val="subscript"/>
              </w:rPr>
              <w:t>C</w:t>
            </w:r>
            <w:r>
              <w:rPr>
                <w:rFonts w:hint="eastAsia" w:asciiTheme="minorEastAsia" w:hAnsiTheme="minorEastAsia" w:eastAsiaTheme="minorEastAsia"/>
                <w:color w:val="auto"/>
                <w:kern w:val="0"/>
                <w:sz w:val="24"/>
                <w:szCs w:val="24"/>
                <w:highlight w:val="none"/>
                <w:vertAlign w:val="subscript"/>
              </w:rPr>
              <w:t>r</w:t>
            </w:r>
            <w:r>
              <w:rPr>
                <w:rFonts w:hint="eastAsia" w:asciiTheme="minorEastAsia" w:hAnsiTheme="minorEastAsia" w:eastAsiaTheme="minorEastAsia"/>
                <w:color w:val="auto"/>
                <w:kern w:val="0"/>
                <w:sz w:val="24"/>
                <w:szCs w:val="24"/>
                <w:highlight w:val="none"/>
              </w:rPr>
              <w:t>排放量</w:t>
            </w:r>
            <w:r>
              <w:rPr>
                <w:rFonts w:asciiTheme="minorEastAsia" w:hAnsiTheme="minorEastAsia" w:eastAsiaTheme="minorEastAsia"/>
                <w:color w:val="auto"/>
                <w:kern w:val="0"/>
                <w:sz w:val="24"/>
                <w:szCs w:val="24"/>
                <w:highlight w:val="none"/>
              </w:rPr>
              <w:t>kg/t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2" w:type="dxa"/>
            <w:vMerge w:val="restart"/>
            <w:vAlign w:val="center"/>
          </w:tcPr>
          <w:p>
            <w:pPr>
              <w:spacing w:line="480" w:lineRule="auto"/>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酱油</w:t>
            </w: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A</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0"/>
                <w:sz w:val="24"/>
                <w:szCs w:val="24"/>
                <w:highlight w:val="none"/>
              </w:rPr>
              <w:t>酱油生产包装厂</w:t>
            </w: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2"/>
                <w:sz w:val="24"/>
                <w:szCs w:val="24"/>
                <w:highlight w:val="none"/>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B</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C</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tcPr>
          <w:p>
            <w:pPr>
              <w:spacing w:line="480" w:lineRule="auto"/>
              <w:jc w:val="center"/>
              <w:rPr>
                <w:rFonts w:asciiTheme="minorEastAsia" w:hAnsiTheme="minorEastAsia" w:eastAsia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Merge w:val="continue"/>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1701"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rPr>
              <w:t>D</w:t>
            </w:r>
          </w:p>
        </w:tc>
        <w:tc>
          <w:tcPr>
            <w:tcW w:w="2694"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c>
          <w:tcPr>
            <w:tcW w:w="2885" w:type="dxa"/>
            <w:vAlign w:val="center"/>
          </w:tcPr>
          <w:p>
            <w:pPr>
              <w:spacing w:line="480" w:lineRule="auto"/>
              <w:ind w:firstLine="480"/>
              <w:jc w:val="center"/>
              <w:rPr>
                <w:rFonts w:asciiTheme="minorEastAsia" w:hAnsiTheme="minorEastAsia" w:eastAsiaTheme="minorEastAsia"/>
                <w:color w:val="auto"/>
                <w:kern w:val="2"/>
                <w:sz w:val="24"/>
                <w:szCs w:val="24"/>
                <w:highlight w:val="none"/>
              </w:rPr>
            </w:pPr>
          </w:p>
        </w:tc>
      </w:tr>
    </w:tbl>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通过验证试验，只有较好的产品或者进行生产过程控制较好的生产线或生产包装厂的单位产品CODCr排放量能够满足基准限值要求。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（六）酱油生命周期评价报告编要求</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本标准规定酱油应依据GB/T 24040、GB/T 24044和GB/T 32161进行生命周期评价，并编制生命周期评价报告，并对报告内容框架进行明确规定。</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（七）评价方法和流程</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1、评价方法</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生产企业可按照第5章开展自我评价或第三方评价，产品满足以下条件为绿色设计产品：满足4.1基本要求和4.2评价指标要求，并提供相关符合性证明文件；开展产品生命周期评价，并按第6章的要求提供产品生命周期评价报告。</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2、评价流程</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生态设计产品评价流程见图1。</w:t>
      </w:r>
    </w:p>
    <w:p>
      <w:pPr>
        <w:spacing w:line="48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pict>
          <v:group id="画布 67" o:spid="_x0000_s1026" o:spt="203" style="height:302.8pt;width:400.25pt;" coordsize="50831,38455" editas="canvas">
            <o:lock v:ext="edit"/>
            <v:shape id="画布 67" o:spid="_x0000_s1027" o:spt="75" type="#_x0000_t75" style="position:absolute;left:0;top:0;height:38455;width:50831;" filled="f" o:preferrelative="t" stroked="f" coordsize="21600,21600">
              <v:path/>
              <v:fill on="f" focussize="0,0"/>
              <v:stroke on="f" joinstyle="miter"/>
              <v:imagedata o:title=""/>
              <o:lock v:ext="edit" aspectratio="t"/>
            </v:shape>
            <v:group id="Group 38" o:spid="_x0000_s1028" o:spt="203" style="position:absolute;left:1149;top:590;height:36900;width:47834;" coordorigin="2461,8556" coordsize="7533,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v:shape id="Text Box 39" o:spid="_x0000_s1029" o:spt="202" type="#_x0000_t202" style="position:absolute;left:2674;top:8556;height:471;width:11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path/>
                <v:fill focussize="0,0"/>
                <v:stroke joinstyle="miter"/>
                <v:imagedata o:title=""/>
                <o:lock v:ext="edit"/>
                <v:textbox>
                  <w:txbxContent>
                    <w:p>
                      <w:pPr>
                        <w:jc w:val="center"/>
                      </w:pPr>
                      <w:r>
                        <w:rPr>
                          <w:rFonts w:hint="eastAsia"/>
                        </w:rPr>
                        <w:t>范围确定</w:t>
                      </w:r>
                    </w:p>
                  </w:txbxContent>
                </v:textbox>
              </v:shape>
              <v:shape id="Text Box 40" o:spid="_x0000_s1030" o:spt="202" type="#_x0000_t202" style="position:absolute;left:7972;top:8556;height:471;width:2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path/>
                <v:fill focussize="0,0"/>
                <v:stroke joinstyle="miter"/>
                <v:imagedata o:title=""/>
                <o:lock v:ext="edit"/>
                <v:textbox>
                  <w:txbxContent>
                    <w:p>
                      <w:pPr>
                        <w:jc w:val="center"/>
                      </w:pPr>
                      <w:r>
                        <w:rPr>
                          <w:rFonts w:hint="eastAsia"/>
                        </w:rPr>
                        <w:t>生命周期清单分析</w:t>
                      </w:r>
                    </w:p>
                  </w:txbxContent>
                </v:textbox>
              </v:shape>
              <v:shape id="AutoShape 41" o:spid="_x0000_s1031" o:spt="32" type="#_x0000_t32" style="position:absolute;left:3864;top:8792;height:1;width:410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path arrowok="t"/>
                <v:fill on="f" focussize="0,0"/>
                <v:stroke endarrow="block"/>
                <v:imagedata o:title=""/>
                <o:lock v:ext="edit"/>
              </v:shape>
              <v:shape id="Text Box 42" o:spid="_x0000_s1032" o:spt="202" type="#_x0000_t202" style="position:absolute;left:2674;top:9640;height:470;width:119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path/>
                <v:fill focussize="0,0"/>
                <v:stroke joinstyle="miter"/>
                <v:imagedata o:title=""/>
                <o:lock v:ext="edit"/>
                <v:textbox>
                  <w:txbxContent>
                    <w:p>
                      <w:pPr>
                        <w:jc w:val="center"/>
                      </w:pPr>
                      <w:r>
                        <w:rPr>
                          <w:rFonts w:hint="eastAsia"/>
                        </w:rPr>
                        <w:t>基本要求</w:t>
                      </w:r>
                    </w:p>
                  </w:txbxContent>
                </v:textbox>
              </v:shape>
              <v:shape id="Text Box 43" o:spid="_x0000_s1033" o:spt="202" type="#_x0000_t202" style="position:absolute;left:2461;top:11553;height:470;width:162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path/>
                <v:fill focussize="0,0"/>
                <v:stroke joinstyle="miter"/>
                <v:imagedata o:title=""/>
                <o:lock v:ext="edit"/>
                <v:textbox>
                  <w:txbxContent>
                    <w:p>
                      <w:pPr>
                        <w:jc w:val="center"/>
                      </w:pPr>
                      <w:r>
                        <w:rPr>
                          <w:rFonts w:hint="eastAsia"/>
                        </w:rPr>
                        <w:t>评价指标要求</w:t>
                      </w:r>
                    </w:p>
                  </w:txbxContent>
                </v:textbox>
              </v:shape>
              <v:shape id="AutoShape 44" o:spid="_x0000_s1034" o:spt="32" type="#_x0000_t32" style="position:absolute;left:3269;top:9027;height:613;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path arrowok="t"/>
                <v:fill on="f" focussize="0,0"/>
                <v:stroke endarrow="block"/>
                <v:imagedata o:title=""/>
                <o:lock v:ext="edit"/>
              </v:shape>
              <v:shape id="AutoShape 45" o:spid="_x0000_s1035" o:spt="32" type="#_x0000_t32" style="position:absolute;left:3269;top:10110;height:1443;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path arrowok="t"/>
                <v:fill on="f" focussize="0,0"/>
                <v:stroke endarrow="block"/>
                <v:imagedata o:title=""/>
                <o:lock v:ext="edit"/>
              </v:shape>
              <v:group id="Group 46" o:spid="_x0000_s1036" o:spt="203" style="position:absolute;left:5097;top:10349;height:667;width:2114;" coordorigin="4737,1012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v:shape id="Oval 47" o:spid="_x0000_s1037" o:spt="3" type="#_x0000_t3" style="position:absolute;left:4737;top:10125;height:667;width:21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path/>
                  <v:fill focussize="0,0"/>
                  <v:stroke/>
                  <v:imagedata o:title=""/>
                  <o:lock v:ext="edit"/>
                </v:shape>
                <v:shape id="Text Box 48" o:spid="_x0000_s1038" o:spt="202" type="#_x0000_t202" style="position:absolute;left:4858;top:10230;height:471;width:19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v:path/>
                  <v:fill on="f" focussize="0,0"/>
                  <v:stroke on="f" joinstyle="miter"/>
                  <v:imagedata o:title=""/>
                  <o:lock v:ext="edit"/>
                  <v:textbox>
                    <w:txbxContent>
                      <w:p>
                        <w:pPr>
                          <w:jc w:val="center"/>
                        </w:pPr>
                        <w:r>
                          <w:rPr>
                            <w:rFonts w:hint="eastAsia"/>
                          </w:rPr>
                          <w:t>非绿色设计产品</w:t>
                        </w:r>
                      </w:p>
                    </w:txbxContent>
                  </v:textbox>
                </v:shape>
              </v:group>
              <v:group id="Group 49" o:spid="_x0000_s1039" o:spt="203" style="position:absolute;left:5154;top:13700;height:667;width:2114;" coordorigin="4977,1036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v:shape id="Oval 50" o:spid="_x0000_s1040" o:spt="3" type="#_x0000_t3" style="position:absolute;left:4977;top:10365;height:667;width:21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path/>
                  <v:fill focussize="0,0"/>
                  <v:stroke/>
                  <v:imagedata o:title=""/>
                  <o:lock v:ext="edit"/>
                </v:shape>
                <v:shape id="Text Box 51" o:spid="_x0000_s1041" o:spt="202" type="#_x0000_t202" style="position:absolute;left:5098;top:10470;height:471;width:19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v:path/>
                  <v:fill on="f" focussize="0,0"/>
                  <v:stroke on="f" joinstyle="miter"/>
                  <v:imagedata o:title=""/>
                  <o:lock v:ext="edit"/>
                  <v:textbox>
                    <w:txbxContent>
                      <w:p>
                        <w:pPr>
                          <w:jc w:val="center"/>
                        </w:pPr>
                        <w:r>
                          <w:rPr>
                            <w:rFonts w:hint="eastAsia"/>
                          </w:rPr>
                          <w:t>绿色设计产品</w:t>
                        </w:r>
                      </w:p>
                    </w:txbxContent>
                  </v:textbox>
                </v:shape>
              </v:group>
              <v:shape id="Text Box 52" o:spid="_x0000_s1042" o:spt="202" type="#_x0000_t202" style="position:absolute;left:7977;top:9645;height:470;width:2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path/>
                <v:fill focussize="0,0"/>
                <v:stroke joinstyle="miter"/>
                <v:imagedata o:title=""/>
                <o:lock v:ext="edit"/>
                <v:textbox>
                  <w:txbxContent>
                    <w:p>
                      <w:pPr>
                        <w:jc w:val="center"/>
                      </w:pPr>
                      <w:r>
                        <w:rPr>
                          <w:rFonts w:hint="eastAsia"/>
                        </w:rPr>
                        <w:t>生命周期清单评价</w:t>
                      </w:r>
                    </w:p>
                    <w:p>
                      <w:pPr>
                        <w:jc w:val="center"/>
                      </w:pPr>
                    </w:p>
                  </w:txbxContent>
                </v:textbox>
              </v:shape>
              <v:shape id="Text Box 53" o:spid="_x0000_s1043" o:spt="202" type="#_x0000_t202" style="position:absolute;left:7981;top:11553;height:470;width:201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path/>
                <v:fill focussize="0,0"/>
                <v:stroke joinstyle="miter"/>
                <v:imagedata o:title=""/>
                <o:lock v:ext="edit"/>
                <v:textbox>
                  <w:txbxContent>
                    <w:p>
                      <w:pPr>
                        <w:jc w:val="center"/>
                      </w:pPr>
                      <w:r>
                        <w:rPr>
                          <w:rFonts w:hint="eastAsia"/>
                        </w:rPr>
                        <w:t>生命周期评价报告</w:t>
                      </w:r>
                    </w:p>
                    <w:p>
                      <w:pPr>
                        <w:jc w:val="center"/>
                      </w:pPr>
                    </w:p>
                  </w:txbxContent>
                </v:textbox>
              </v:shape>
              <v:shape id="AutoShape 54" o:spid="_x0000_s1044" o:spt="32" type="#_x0000_t32" style="position:absolute;left:8973;top:9027;height:618;width: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path arrowok="t"/>
                <v:fill on="f" focussize="0,0"/>
                <v:stroke endarrow="block"/>
                <v:imagedata o:title=""/>
                <o:lock v:ext="edit"/>
              </v:shape>
              <v:shape id="AutoShape 55" o:spid="_x0000_s1045" o:spt="32" type="#_x0000_t32" style="position:absolute;left:8978;top:10115;height:1438;width: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path arrowok="t"/>
                <v:fill on="f" focussize="0,0"/>
                <v:stroke endarrow="block"/>
                <v:imagedata o:title=""/>
                <o:lock v:ext="edit"/>
              </v:shape>
              <v:shape id="AutoShape 56" o:spid="_x0000_s1046" o:spt="33" type="#_x0000_t33" style="position:absolute;left:3864;top:9875;height:572;width:1543;"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path arrowok="t"/>
                <v:fill on="f" focussize="0,0"/>
                <v:stroke endarrow="block"/>
                <v:imagedata o:title=""/>
                <o:lock v:ext="edit"/>
              </v:shape>
              <v:shape id="AutoShape 57" o:spid="_x0000_s1047" o:spt="33" type="#_x0000_t33" style="position:absolute;left:4090;top:10918;flip:y;height:870;width:1317;"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TnrrwAAADbAAAADwAAAGRycy9kb3ducmV2LnhtbERPy6rCMBDdC/5DGMGdplZQqUYRuaJL&#10;Xx8wNGNTbCYlidr792YhuDyc92rT2Ua8yIfasYLJOANBXDpdc6Xgdt2PFiBCRNbYOCYF/xRgs+73&#10;Vlho9+YzvS6xEimEQ4EKTIxtIWUoDVkMY9cSJ+7uvMWYoK+k9vhO4baReZbNpMWaU4PBlnaGysfl&#10;aRVsp/P9ufSHaTC70yzv8kd7r/+UGg667RJEpC7+xF/3USvI0/r0Jf0Auf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QTnrrwAAADbAAAADwAAAAAAAAAAAAAAAAChAgAA&#10;ZHJzL2Rvd25yZXYueG1sUEsFBgAAAAAEAAQA+QAAAIoDAAAAAA==&#10;">
                <v:path arrowok="t"/>
                <v:fill on="f" focussize="0,0"/>
                <v:stroke endarrow="block"/>
                <v:imagedata o:title=""/>
                <o:lock v:ext="edit"/>
              </v:shape>
              <v:shape id="AutoShape 58" o:spid="_x0000_s1048" o:spt="35" type="#_x0000_t35" style="position:absolute;left:6901;top:10447;height:1341;width:1080;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OicYAAADbAAAADwAAAGRycy9kb3ducmV2LnhtbESPQWvCQBSE7wX/w/KE3urGHKxEVwkB&#10;QSqUJhbq8Zl9JtHs25DdxrS/vlso9DjMzDfMejuaVgzUu8aygvksAkFcWt1wpeD9uHtagnAeWWNr&#10;mRR8kYPtZvKwxkTbO+c0FL4SAcIuQQW1910ipStrMuhmtiMO3sX2Bn2QfSV1j/cAN62Mo2ghDTYc&#10;FmrsKKupvBWfRsFzmp/Oh3hoXl7frn6ZDbz4Pnwo9Tgd0xUIT6P/D/+191pBPIffL+EH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9jonGAAAA2wAAAA8AAAAAAAAA&#10;AAAAAAAAoQIAAGRycy9kb3ducmV2LnhtbFBLBQYAAAAABAAEAPkAAACUAwAAAAA=&#10;" adj="7700,28977">
                <v:path arrowok="t"/>
                <v:fill on="f" focussize="0,0"/>
                <v:stroke endarrow="block"/>
                <v:imagedata o:title=""/>
                <o:lock v:ext="edit"/>
              </v:shape>
              <v:group id="Group 59" o:spid="_x0000_s1049" o:spt="203" style="position:absolute;left:5270;top:12301;height:756;width:1873;" coordorigin="5142,11821" coordsize="1873,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v:shape id="AutoShape 60" o:spid="_x0000_s1050" o:spt="110" type="#_x0000_t110" style="position:absolute;left:5142;top:11821;height:756;width:187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TcMUA&#10;AADbAAAADwAAAGRycy9kb3ducmV2LnhtbESPX2vCQBDE3wW/w7GFvtVLVWpJPUUKpT6I+A+ft7k1&#10;Cc3uhdxpop/eKxR8HGbmN8x03nGlLtT40omB10ECiiRztpTcwGH/9fIOygcUi5UTMnAlD/NZvzfF&#10;1LpWtnTZhVxFiPgUDRQh1KnWPiuI0Q9cTRK9k2sYQ5RNrm2DbYRzpYdJ8qYZS4kLBdb0WVD2uzuz&#10;gc3PeMPt6nbi1W185Or8PTmuR8Y8P3WLD1CBuvAI/7eX1sBwBH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tNwxQAAANsAAAAPAAAAAAAAAAAAAAAAAJgCAABkcnMv&#10;ZG93bnJldi54bWxQSwUGAAAAAAQABAD1AAAAigMAAAAA&#10;">
                  <v:path/>
                  <v:fill focussize="0,0"/>
                  <v:stroke joinstyle="miter"/>
                  <v:imagedata o:title=""/>
                  <o:lock v:ext="edit"/>
                </v:shape>
                <v:shape id="Text Box 61" o:spid="_x0000_s1051" o:spt="202" type="#_x0000_t202" style="position:absolute;left:5476;top:11951;height:470;width:119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v:path/>
                  <v:fill on="f" focussize="0,0"/>
                  <v:stroke on="f" joinstyle="miter"/>
                  <v:imagedata o:title=""/>
                  <o:lock v:ext="edit"/>
                  <v:textbox>
                    <w:txbxContent>
                      <w:p>
                        <w:pPr>
                          <w:jc w:val="center"/>
                        </w:pPr>
                        <w:r>
                          <w:rPr>
                            <w:rFonts w:hint="eastAsia"/>
                          </w:rPr>
                          <w:t>同时满足</w:t>
                        </w:r>
                      </w:p>
                    </w:txbxContent>
                  </v:textbox>
                </v:shape>
              </v:group>
              <v:shape id="AutoShape 62" o:spid="_x0000_s1052" o:spt="33" type="#_x0000_t33" style="position:absolute;left:3945;top:11354;flip:x;height:1994;width:656;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WkMMAAADbAAAADwAAAGRycy9kb3ducmV2LnhtbESPQWvCQBSE74L/YXlCb7ppoEVSVylp&#10;CwXxYCro8ZF9yQazb0N2NfHfuwXB4zAz3zCrzWhbcaXeN44VvC4SEMSl0w3XCg5/P/MlCB+QNbaO&#10;ScGNPGzW08kKM+0G3tO1CLWIEPYZKjAhdJmUvjRk0S9cRxy9yvUWQ5R9LXWPQ4TbVqZJ8i4tNhwX&#10;DHaUGyrPxcUq2LqTrNzJ5NWXOfqzv3zr4+6g1Mts/PwAEWgMz/Cj/asVpG/w/y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hlpDDAAAA2wAAAA8AAAAAAAAAAAAA&#10;AAAAoQIAAGRycy9kb3ducmV2LnhtbFBLBQYAAAAABAAEAPkAAACRAwAAAAA=&#10;">
                <v:path arrowok="t"/>
                <v:fill on="f" focussize="0,0"/>
                <v:stroke endarrow="block"/>
                <v:imagedata o:title=""/>
                <o:lock v:ext="edit"/>
              </v:shape>
              <v:shape id="AutoShape 63" o:spid="_x0000_s1053" o:spt="33" type="#_x0000_t33" style="position:absolute;left:7738;top:11428;height:1845;width:656;rotation:589824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fKb8MAAADbAAAADwAAAGRycy9kb3ducmV2LnhtbESPUWvCMBSF3wf+h3AF32aqgyKdUUQ3&#10;VnwYrtsPuDR3TVlzU5JY6783grDHwznnO5z1drSdGMiH1rGCxTwDQVw73XKj4Of7/XkFIkRkjZ1j&#10;UnClANvN5GmNhXYX/qKhio1IEA4FKjAx9oWUoTZkMcxdT5y8X+ctxiR9I7XHS4LbTi6zLJcWW04L&#10;BnvaG6r/qrNVkL/sso/z58GWpjySrYa9fzu1Ss2m4+4VRKQx/ocf7VIrWOZw/5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Hym/DAAAA2wAAAA8AAAAAAAAAAAAA&#10;AAAAoQIAAGRycy9kb3ducmV2LnhtbFBLBQYAAAAABAAEAPkAAACRAwAAAAA=&#10;">
                <v:path arrowok="t"/>
                <v:fill on="f" focussize="0,0"/>
                <v:stroke endarrow="block"/>
                <v:imagedata o:title=""/>
                <o:lock v:ext="edit"/>
              </v:shape>
              <v:shape id="AutoShape 64" o:spid="_x0000_s1054" o:spt="32" type="#_x0000_t32" style="position:absolute;left:6207;top:13057;height:643;width: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path arrowok="t"/>
                <v:fill on="f" focussize="0,0"/>
                <v:stroke endarrow="block"/>
                <v:imagedata o:title=""/>
                <o:lock v:ext="edit"/>
              </v:shape>
              <v:shape id="Text Box 65" o:spid="_x0000_s1055" o:spt="202" type="#_x0000_t202" style="position:absolute;left:6092;top:13057;height:470;width:55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v:path/>
                <v:fill on="f" focussize="0,0"/>
                <v:stroke on="f" joinstyle="miter"/>
                <v:imagedata o:title=""/>
                <o:lock v:ext="edit"/>
                <v:textbox>
                  <w:txbxContent>
                    <w:p>
                      <w:pPr>
                        <w:jc w:val="center"/>
                      </w:pPr>
                      <w:r>
                        <w:rPr>
                          <w:rFonts w:hint="eastAsia"/>
                        </w:rPr>
                        <w:t>是</w:t>
                      </w:r>
                    </w:p>
                  </w:txbxContent>
                </v:textbox>
              </v:shape>
              <v:shape id="Text Box 66" o:spid="_x0000_s1056" o:spt="202" type="#_x0000_t202" style="position:absolute;left:3776;top:9493;height:414;width:14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v:path/>
                <v:fill on="f" focussize="0,0"/>
                <v:stroke on="f" joinstyle="miter"/>
                <v:imagedata o:title=""/>
                <o:lock v:ext="edit"/>
                <v:textbox>
                  <w:txbxContent>
                    <w:p>
                      <w:pPr>
                        <w:spacing w:line="240" w:lineRule="atLeast"/>
                        <w:jc w:val="center"/>
                      </w:pPr>
                      <w:r>
                        <w:rPr>
                          <w:rFonts w:hint="eastAsia"/>
                        </w:rPr>
                        <w:t>未符合要求</w:t>
                      </w:r>
                    </w:p>
                  </w:txbxContent>
                </v:textbox>
              </v:shape>
              <v:shape id="Text Box 67" o:spid="_x0000_s1057" o:spt="202" type="#_x0000_t202" style="position:absolute;left:3169;top:10282;height:1069;width:59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fcMA&#10;AADbAAAADwAAAGRycy9kb3ducmV2LnhtbERPz2vCMBS+D/wfwhO8zdQp4jqjdIOB7FDQefD42ry1&#10;Zc1LTVLt/OvNQdjx4/u93g6mFRdyvrGsYDZNQBCXVjdcKTh+fz6vQPiArLG1TAr+yMN2M3paY6rt&#10;lfd0OYRKxBD2KSqoQ+hSKX1Zk0E/tR1x5H6sMxgidJXUDq8x3LTyJUmW0mDDsaHGjj5qKn8PvVGw&#10;y079uXf54vV2umV5UXzl78VSqcl4yN5ABBrCv/jh3mkF87g+fo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fcMAAADbAAAADwAAAAAAAAAAAAAAAACYAgAAZHJzL2Rv&#10;d25yZXYueG1sUEsFBgAAAAAEAAQA9QAAAIgDAAAAAA==&#10;">
                <v:path/>
                <v:fill on="f" focussize="0,0"/>
                <v:stroke on="f" joinstyle="miter"/>
                <v:imagedata o:title=""/>
                <o:lock v:ext="edit"/>
                <v:textbox style="layout-flow:vertical-ideographic;">
                  <w:txbxContent>
                    <w:p>
                      <w:r>
                        <w:rPr>
                          <w:rFonts w:hint="eastAsia"/>
                        </w:rPr>
                        <w:t>符合要求</w:t>
                      </w:r>
                    </w:p>
                  </w:txbxContent>
                </v:textbox>
              </v:shape>
              <v:shape id="Text Box 68" o:spid="_x0000_s1058" o:spt="202" type="#_x0000_t202" style="position:absolute;left:7062;top:10194;height:1283;width:59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H5sYA&#10;AADbAAAADwAAAGRycy9kb3ducmV2LnhtbESPQWvCQBSE74X+h+UVeqsbbRGNrpIKBekhoPXg8SX7&#10;TILZt+nuRlN/fbcg9DjMzDfMcj2YVlzI+caygvEoAUFcWt1wpeDw9fEyA+EDssbWMin4IQ/r1ePD&#10;ElNtr7yjyz5UIkLYp6igDqFLpfRlTQb9yHbE0TtZZzBE6SqpHV4j3LRykiRTabDhuFBjR5uayvO+&#10;Nwq22bH/7l3+Nr8db1leFJ/5ezFV6vlpyBYgAg3hP3xvb7WC1zH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MH5sYAAADbAAAADwAAAAAAAAAAAAAAAACYAgAAZHJz&#10;L2Rvd25yZXYueG1sUEsFBgAAAAAEAAQA9QAAAIsDAAAAAA==&#10;">
                <v:path/>
                <v:fill on="f" focussize="0,0"/>
                <v:stroke on="f" joinstyle="miter"/>
                <v:imagedata o:title=""/>
                <o:lock v:ext="edit"/>
                <v:textbox style="layout-flow:vertical-ideographic;">
                  <w:txbxContent>
                    <w:p>
                      <w:r>
                        <w:rPr>
                          <w:rFonts w:hint="eastAsia"/>
                        </w:rPr>
                        <w:t>未通过审核</w:t>
                      </w:r>
                    </w:p>
                  </w:txbxContent>
                </v:textbox>
              </v:shape>
            </v:group>
            <w10:wrap type="none"/>
            <w10:anchorlock/>
          </v:group>
        </w:pict>
      </w:r>
    </w:p>
    <w:p>
      <w:pPr>
        <w:spacing w:line="48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图1  酱油绿色设计产品评价流程</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四、预期达到的社会效益、对产业发展的作用等情况</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健全绿色市场体系，增加绿色产品供给，是生态文明体制改革的重要组成部分。《绿色设计产品评价技术规范 酱油》是一部绿色产品评价标准，标准的研制过程坚持着眼生态文明建设总体目标，统筹考虑资源环境、产业基础等因素，兼顾资源节约、环境友好等特性，基于产品全生命周期评价，标准实施后将起到推动行业绿色低碳循环发展、培育绿色市场、提升绿色产品供给质量和效率的作用，标准的使用和采信能够使全社会共享绿色发展的成果。</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五、与国际、国外同类标准水平的对比情况</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目前国际、国外尚没有专门针对酱油的绿色评价的相关标准。本标准水平为国际先进水平。</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六、与国内相关标准的关系</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目前国内尚没有专门针对酱油的绿色评价的相关标准。</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七、标准性质的建议说明</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本标准为指标技术水平先进的团体标准，由团体成员约定采用或者按照本团体的有关规定供社会自愿采用，作为绿色设计产品评价技术规范系列标准，可作为绿色产品评价依据。</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八、重大分歧意见的处理经过和依据</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本标准未产生重大分歧意见。</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九、其他</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rPr>
        <w:t>目前尚未查到国内外有相关联的知识产权。</w:t>
      </w:r>
    </w:p>
    <w:p>
      <w:pPr>
        <w:spacing w:line="360" w:lineRule="auto"/>
        <w:ind w:firstLine="4080" w:firstLineChars="1700"/>
        <w:rPr>
          <w:rFonts w:hint="eastAsia"/>
          <w:b w:val="0"/>
          <w:bCs w:val="0"/>
          <w:color w:val="auto"/>
          <w:sz w:val="24"/>
          <w:highlight w:val="none"/>
        </w:rPr>
      </w:pPr>
    </w:p>
    <w:p>
      <w:pPr>
        <w:spacing w:line="360" w:lineRule="auto"/>
        <w:ind w:firstLine="4320" w:firstLineChars="1800"/>
        <w:rPr>
          <w:rFonts w:hint="eastAsia"/>
          <w:b w:val="0"/>
          <w:bCs w:val="0"/>
          <w:color w:val="auto"/>
          <w:sz w:val="24"/>
          <w:highlight w:val="none"/>
        </w:rPr>
      </w:pPr>
      <w:r>
        <w:rPr>
          <w:rFonts w:hint="eastAsia"/>
          <w:b w:val="0"/>
          <w:bCs w:val="0"/>
          <w:color w:val="auto"/>
          <w:sz w:val="24"/>
          <w:highlight w:val="none"/>
        </w:rPr>
        <w:t>《绿色设计产品评价技术规范 酱油》</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 xml:space="preserve">                                        </w:t>
      </w:r>
      <w:r>
        <w:rPr>
          <w:rFonts w:hint="eastAsia"/>
          <w:b w:val="0"/>
          <w:bCs w:val="0"/>
          <w:color w:val="auto"/>
          <w:sz w:val="24"/>
          <w:highlight w:val="none"/>
        </w:rPr>
        <w:t>团体标准编制工作组</w:t>
      </w:r>
    </w:p>
    <w:p>
      <w:pPr>
        <w:spacing w:line="360" w:lineRule="auto"/>
        <w:ind w:firstLine="480" w:firstLineChars="200"/>
        <w:rPr>
          <w:rFonts w:hint="eastAsia"/>
          <w:b w:val="0"/>
          <w:bCs w:val="0"/>
          <w:color w:val="auto"/>
          <w:sz w:val="24"/>
          <w:highlight w:val="none"/>
        </w:rPr>
      </w:pPr>
      <w:r>
        <w:rPr>
          <w:rFonts w:hint="eastAsia"/>
          <w:b w:val="0"/>
          <w:bCs w:val="0"/>
          <w:color w:val="auto"/>
          <w:sz w:val="24"/>
          <w:highlight w:val="none"/>
          <w:lang w:val="en-US" w:eastAsia="zh-CN"/>
        </w:rPr>
        <w:t xml:space="preserve">                                          </w:t>
      </w:r>
      <w:r>
        <w:rPr>
          <w:rFonts w:hint="eastAsia"/>
          <w:b w:val="0"/>
          <w:bCs w:val="0"/>
          <w:color w:val="auto"/>
          <w:sz w:val="24"/>
          <w:highlight w:val="none"/>
        </w:rPr>
        <w:t>2020年</w:t>
      </w:r>
      <w:r>
        <w:rPr>
          <w:rFonts w:hint="eastAsia"/>
          <w:b w:val="0"/>
          <w:bCs w:val="0"/>
          <w:color w:val="auto"/>
          <w:sz w:val="24"/>
          <w:highlight w:val="none"/>
          <w:lang w:val="en-US" w:eastAsia="zh-CN"/>
        </w:rPr>
        <w:t>12</w:t>
      </w:r>
      <w:r>
        <w:rPr>
          <w:rFonts w:hint="eastAsia"/>
          <w:b w:val="0"/>
          <w:bCs w:val="0"/>
          <w:color w:val="auto"/>
          <w:sz w:val="24"/>
          <w:highlight w:val="none"/>
        </w:rPr>
        <w:t>月</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8"/>
      <w:suff w:val="nothing"/>
      <w:lvlText w:val="%1　"/>
      <w:lvlJc w:val="left"/>
      <w:pPr>
        <w:ind w:left="1277"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9"/>
      <w:suff w:val="nothing"/>
      <w:lvlText w:val="%1.%2.%3　"/>
      <w:lvlJc w:val="left"/>
      <w:pPr>
        <w:ind w:left="156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426" w:firstLine="0"/>
      </w:pPr>
      <w:rPr>
        <w:rFonts w:hint="eastAsia" w:ascii="黑体" w:hAnsi="Times New Roman" w:eastAsia="黑体"/>
        <w:b w:val="0"/>
        <w:i w:val="0"/>
        <w:sz w:val="21"/>
      </w:rPr>
    </w:lvl>
    <w:lvl w:ilvl="5" w:tentative="0">
      <w:start w:val="1"/>
      <w:numFmt w:val="decimal"/>
      <w:pStyle w:val="22"/>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06BC"/>
    <w:rsid w:val="0003151D"/>
    <w:rsid w:val="0005447E"/>
    <w:rsid w:val="000D35E1"/>
    <w:rsid w:val="00177292"/>
    <w:rsid w:val="00185038"/>
    <w:rsid w:val="001B2C8D"/>
    <w:rsid w:val="001D11F3"/>
    <w:rsid w:val="001E5806"/>
    <w:rsid w:val="00217069"/>
    <w:rsid w:val="00267544"/>
    <w:rsid w:val="002B0BA1"/>
    <w:rsid w:val="002C4FDE"/>
    <w:rsid w:val="00440DE4"/>
    <w:rsid w:val="004568B7"/>
    <w:rsid w:val="00463DBE"/>
    <w:rsid w:val="00535BAA"/>
    <w:rsid w:val="00554309"/>
    <w:rsid w:val="00631062"/>
    <w:rsid w:val="0067722A"/>
    <w:rsid w:val="006A364B"/>
    <w:rsid w:val="006F5088"/>
    <w:rsid w:val="006F6C7D"/>
    <w:rsid w:val="006F70D1"/>
    <w:rsid w:val="007072A3"/>
    <w:rsid w:val="007204D4"/>
    <w:rsid w:val="00755E70"/>
    <w:rsid w:val="0076240A"/>
    <w:rsid w:val="007747C2"/>
    <w:rsid w:val="00783BCD"/>
    <w:rsid w:val="007B30B6"/>
    <w:rsid w:val="007B7416"/>
    <w:rsid w:val="007E5E54"/>
    <w:rsid w:val="007F217B"/>
    <w:rsid w:val="00826A38"/>
    <w:rsid w:val="00830DE5"/>
    <w:rsid w:val="00843178"/>
    <w:rsid w:val="00881D0D"/>
    <w:rsid w:val="008C12B2"/>
    <w:rsid w:val="0090035F"/>
    <w:rsid w:val="00905177"/>
    <w:rsid w:val="00922922"/>
    <w:rsid w:val="00994FD9"/>
    <w:rsid w:val="009F3EBA"/>
    <w:rsid w:val="00A03689"/>
    <w:rsid w:val="00A202F3"/>
    <w:rsid w:val="00A24340"/>
    <w:rsid w:val="00A7175B"/>
    <w:rsid w:val="00AE26AA"/>
    <w:rsid w:val="00B33A9B"/>
    <w:rsid w:val="00B41F11"/>
    <w:rsid w:val="00B554BB"/>
    <w:rsid w:val="00B93CB2"/>
    <w:rsid w:val="00BD5327"/>
    <w:rsid w:val="00BE4943"/>
    <w:rsid w:val="00C12354"/>
    <w:rsid w:val="00C72C4A"/>
    <w:rsid w:val="00D206BC"/>
    <w:rsid w:val="00D226DE"/>
    <w:rsid w:val="00D421F1"/>
    <w:rsid w:val="00DB739D"/>
    <w:rsid w:val="00DC2167"/>
    <w:rsid w:val="00DF6988"/>
    <w:rsid w:val="00E16F84"/>
    <w:rsid w:val="00E41AF3"/>
    <w:rsid w:val="00E80455"/>
    <w:rsid w:val="00EC7707"/>
    <w:rsid w:val="00F12545"/>
    <w:rsid w:val="00F43AFF"/>
    <w:rsid w:val="00FD2101"/>
    <w:rsid w:val="00FF07D7"/>
    <w:rsid w:val="0CCA1D98"/>
    <w:rsid w:val="11B14F83"/>
    <w:rsid w:val="12200B81"/>
    <w:rsid w:val="1B4D4333"/>
    <w:rsid w:val="1CC8743F"/>
    <w:rsid w:val="243C533E"/>
    <w:rsid w:val="25754D30"/>
    <w:rsid w:val="29EB0C55"/>
    <w:rsid w:val="3BCA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41"/>
        <o:r id="V:Rule2" type="connector" idref="#AutoShape 44"/>
        <o:r id="V:Rule3" type="connector" idref="#AutoShape 45"/>
        <o:r id="V:Rule4" type="connector" idref="#AutoShape 54"/>
        <o:r id="V:Rule5" type="connector" idref="#AutoShape 55"/>
        <o:r id="V:Rule6" type="connector" idref="#AutoShape 56"/>
        <o:r id="V:Rule7" type="connector" idref="#AutoShape 57"/>
        <o:r id="V:Rule8" type="connector" idref="#AutoShape 58"/>
        <o:r id="V:Rule9" type="connector" idref="#AutoShape 62"/>
        <o:r id="V:Rule10" type="connector" idref="#AutoShape 63"/>
        <o:r id="V:Rule11" type="connector" idref="#AutoShape 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semiHidden/>
    <w:unhideWhenUsed/>
    <w:qFormat/>
    <w:uiPriority w:val="9"/>
    <w:pPr>
      <w:keepNext/>
      <w:keepLines/>
      <w:spacing w:before="260" w:after="260" w:line="415" w:lineRule="auto"/>
      <w:outlineLvl w:val="2"/>
    </w:pPr>
    <w:rPr>
      <w:rFonts w:ascii="Calibri" w:hAnsi="Calibri" w:cs="宋体"/>
      <w:b/>
      <w:bCs/>
      <w:kern w:val="0"/>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9"/>
    <w:semiHidden/>
    <w:unhideWhenUsed/>
    <w:uiPriority w:val="99"/>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adjustRightInd w:val="0"/>
      <w:snapToGrid w:val="0"/>
      <w:spacing w:before="100" w:beforeAutospacing="1" w:after="100" w:afterAutospacing="1" w:line="312" w:lineRule="auto"/>
      <w:ind w:firstLine="200" w:firstLineChars="200"/>
      <w:jc w:val="left"/>
    </w:pPr>
    <w:rPr>
      <w:rFonts w:ascii="宋体" w:hAnsi="宋体" w:cs="宋体"/>
      <w:kern w:val="0"/>
      <w:szCs w:val="24"/>
    </w:rPr>
  </w:style>
  <w:style w:type="table" w:styleId="10">
    <w:name w:val="Table Grid"/>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3 Char"/>
    <w:basedOn w:val="11"/>
    <w:link w:val="4"/>
    <w:semiHidden/>
    <w:uiPriority w:val="9"/>
    <w:rPr>
      <w:rFonts w:ascii="Calibri" w:hAnsi="Calibri" w:eastAsia="宋体" w:cs="宋体"/>
      <w:b/>
      <w:bCs/>
      <w:kern w:val="0"/>
      <w:sz w:val="32"/>
      <w:szCs w:val="32"/>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0"/>
      <w:szCs w:val="21"/>
      <w:lang w:val="en-US" w:eastAsia="zh-CN" w:bidi="ar-SA"/>
    </w:rPr>
  </w:style>
  <w:style w:type="character" w:customStyle="1" w:styleId="14">
    <w:name w:val="段 Char"/>
    <w:link w:val="13"/>
    <w:qFormat/>
    <w:locked/>
    <w:uiPriority w:val="0"/>
    <w:rPr>
      <w:rFonts w:ascii="宋体" w:hAnsi="Times New Roman" w:eastAsia="宋体" w:cs="Times New Roman"/>
      <w:kern w:val="0"/>
      <w:sz w:val="20"/>
      <w:szCs w:val="21"/>
    </w:rPr>
  </w:style>
  <w:style w:type="paragraph" w:styleId="15">
    <w:name w:val="List Paragraph"/>
    <w:basedOn w:val="1"/>
    <w:link w:val="16"/>
    <w:qFormat/>
    <w:uiPriority w:val="34"/>
    <w:pPr>
      <w:ind w:firstLine="420" w:firstLineChars="200"/>
    </w:pPr>
  </w:style>
  <w:style w:type="character" w:customStyle="1" w:styleId="16">
    <w:name w:val="列出段落 Char"/>
    <w:basedOn w:val="11"/>
    <w:link w:val="15"/>
    <w:qFormat/>
    <w:locked/>
    <w:uiPriority w:val="99"/>
    <w:rPr>
      <w:rFonts w:ascii="Times New Roman" w:hAnsi="Times New Roman" w:eastAsia="宋体" w:cs="Times New Roman"/>
      <w:szCs w:val="21"/>
    </w:rPr>
  </w:style>
  <w:style w:type="paragraph" w:customStyle="1" w:styleId="17">
    <w:name w:val="一级条标题"/>
    <w:next w:val="13"/>
    <w:link w:val="23"/>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8">
    <w:name w:val="章标题"/>
    <w:next w:val="13"/>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9">
    <w:name w:val="二级条标题"/>
    <w:basedOn w:val="17"/>
    <w:next w:val="13"/>
    <w:qFormat/>
    <w:uiPriority w:val="0"/>
    <w:pPr>
      <w:numPr>
        <w:ilvl w:val="2"/>
      </w:numPr>
      <w:spacing w:before="50" w:after="50"/>
      <w:outlineLvl w:val="3"/>
    </w:pPr>
  </w:style>
  <w:style w:type="paragraph" w:customStyle="1" w:styleId="20">
    <w:name w:val="三级条标题"/>
    <w:basedOn w:val="19"/>
    <w:next w:val="13"/>
    <w:qFormat/>
    <w:uiPriority w:val="0"/>
    <w:pPr>
      <w:numPr>
        <w:ilvl w:val="3"/>
      </w:numPr>
      <w:outlineLvl w:val="4"/>
    </w:pPr>
  </w:style>
  <w:style w:type="paragraph" w:customStyle="1" w:styleId="21">
    <w:name w:val="四级条标题"/>
    <w:basedOn w:val="20"/>
    <w:next w:val="13"/>
    <w:qFormat/>
    <w:uiPriority w:val="0"/>
    <w:pPr>
      <w:numPr>
        <w:ilvl w:val="4"/>
      </w:numPr>
      <w:outlineLvl w:val="5"/>
    </w:pPr>
  </w:style>
  <w:style w:type="paragraph" w:customStyle="1" w:styleId="22">
    <w:name w:val="五级条标题"/>
    <w:basedOn w:val="21"/>
    <w:next w:val="13"/>
    <w:qFormat/>
    <w:uiPriority w:val="0"/>
    <w:pPr>
      <w:numPr>
        <w:ilvl w:val="5"/>
      </w:numPr>
      <w:outlineLvl w:val="6"/>
    </w:pPr>
  </w:style>
  <w:style w:type="character" w:customStyle="1" w:styleId="23">
    <w:name w:val="一级条标题 Char Char"/>
    <w:link w:val="17"/>
    <w:uiPriority w:val="0"/>
    <w:rPr>
      <w:rFonts w:ascii="黑体" w:hAnsi="Times New Roman" w:eastAsia="黑体" w:cs="Times New Roman"/>
      <w:kern w:val="0"/>
      <w:szCs w:val="21"/>
    </w:rPr>
  </w:style>
  <w:style w:type="character" w:customStyle="1" w:styleId="24">
    <w:name w:val="页眉 Char"/>
    <w:basedOn w:val="11"/>
    <w:link w:val="7"/>
    <w:uiPriority w:val="99"/>
    <w:rPr>
      <w:rFonts w:ascii="Times New Roman" w:hAnsi="Times New Roman" w:eastAsia="宋体" w:cs="Times New Roman"/>
      <w:sz w:val="18"/>
      <w:szCs w:val="18"/>
    </w:rPr>
  </w:style>
  <w:style w:type="character" w:customStyle="1" w:styleId="25">
    <w:name w:val="页脚 Char"/>
    <w:basedOn w:val="11"/>
    <w:link w:val="6"/>
    <w:uiPriority w:val="99"/>
    <w:rPr>
      <w:rFonts w:ascii="Times New Roman" w:hAnsi="Times New Roman" w:eastAsia="宋体" w:cs="Times New Roman"/>
      <w:sz w:val="18"/>
      <w:szCs w:val="18"/>
    </w:rPr>
  </w:style>
  <w:style w:type="table" w:customStyle="1" w:styleId="26">
    <w:name w:val="网格型1"/>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标题 1 Char"/>
    <w:basedOn w:val="11"/>
    <w:link w:val="2"/>
    <w:uiPriority w:val="9"/>
    <w:rPr>
      <w:rFonts w:ascii="Times New Roman" w:hAnsi="Times New Roman" w:eastAsia="宋体" w:cs="Times New Roman"/>
      <w:b/>
      <w:bCs/>
      <w:kern w:val="44"/>
      <w:sz w:val="44"/>
      <w:szCs w:val="44"/>
    </w:rPr>
  </w:style>
  <w:style w:type="character" w:customStyle="1" w:styleId="28">
    <w:name w:val="标题 2 Char"/>
    <w:basedOn w:val="11"/>
    <w:link w:val="3"/>
    <w:semiHidden/>
    <w:uiPriority w:val="9"/>
    <w:rPr>
      <w:rFonts w:asciiTheme="majorHAnsi" w:hAnsiTheme="majorHAnsi" w:eastAsiaTheme="majorEastAsia" w:cstheme="majorBidi"/>
      <w:b/>
      <w:bCs/>
      <w:sz w:val="32"/>
      <w:szCs w:val="32"/>
    </w:rPr>
  </w:style>
  <w:style w:type="character" w:customStyle="1" w:styleId="29">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7"/>
    <customShpInfo spid="_x0000_s1038"/>
    <customShpInfo spid="_x0000_s1036"/>
    <customShpInfo spid="_x0000_s1040"/>
    <customShpInfo spid="_x0000_s1041"/>
    <customShpInfo spid="_x0000_s1039"/>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2"/>
    <customShpInfo spid="_x0000_s1053"/>
    <customShpInfo spid="_x0000_s1054"/>
    <customShpInfo spid="_x0000_s1055"/>
    <customShpInfo spid="_x0000_s1056"/>
    <customShpInfo spid="_x0000_s1057"/>
    <customShpInfo spid="_x0000_s1058"/>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1678</Words>
  <Characters>9569</Characters>
  <Lines>79</Lines>
  <Paragraphs>22</Paragraphs>
  <TotalTime>25</TotalTime>
  <ScaleCrop>false</ScaleCrop>
  <LinksUpToDate>false</LinksUpToDate>
  <CharactersWithSpaces>11225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2020-12-08T03:17:00Z</dcterms:created>
  <dc:creator>Lu, Jian Yu</dc:creator>
  <cp:lastModifiedBy>NIEBO</cp:lastModifiedBy>
  <dcterms:modified xsi:type="dcterms:W3CDTF">2020-12-29T07:21:44Z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