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bCs/>
          <w:sz w:val="24"/>
          <w:szCs w:val="24"/>
        </w:rPr>
      </w:pPr>
    </w:p>
    <w:p>
      <w:pPr>
        <w:adjustRightInd w:val="0"/>
        <w:snapToGrid w:val="0"/>
        <w:spacing w:line="360" w:lineRule="auto"/>
        <w:rPr>
          <w:rFonts w:ascii="宋体" w:hAnsi="宋体"/>
          <w:bCs/>
          <w:sz w:val="24"/>
          <w:szCs w:val="24"/>
        </w:rPr>
      </w:pPr>
    </w:p>
    <w:p>
      <w:pPr>
        <w:adjustRightInd w:val="0"/>
        <w:snapToGrid w:val="0"/>
        <w:spacing w:line="360" w:lineRule="auto"/>
        <w:rPr>
          <w:rFonts w:ascii="宋体" w:hAnsi="宋体"/>
          <w:bCs/>
          <w:sz w:val="24"/>
          <w:szCs w:val="24"/>
        </w:rPr>
      </w:pPr>
    </w:p>
    <w:p>
      <w:pPr>
        <w:adjustRightInd w:val="0"/>
        <w:snapToGrid w:val="0"/>
        <w:spacing w:line="360" w:lineRule="auto"/>
        <w:rPr>
          <w:rFonts w:ascii="宋体" w:hAnsi="宋体"/>
          <w:bCs/>
          <w:sz w:val="24"/>
          <w:szCs w:val="24"/>
        </w:rPr>
      </w:pPr>
    </w:p>
    <w:p>
      <w:pPr>
        <w:adjustRightInd w:val="0"/>
        <w:snapToGrid w:val="0"/>
        <w:spacing w:line="360" w:lineRule="auto"/>
        <w:rPr>
          <w:rFonts w:ascii="宋体" w:hAnsi="宋体"/>
          <w:bCs/>
          <w:sz w:val="24"/>
          <w:szCs w:val="24"/>
        </w:rPr>
      </w:pPr>
    </w:p>
    <w:p>
      <w:pPr>
        <w:pStyle w:val="42"/>
      </w:pPr>
      <w:r>
        <w:rPr>
          <w:rFonts w:hint="eastAsia" w:ascii="宋体"/>
          <w:szCs w:val="21"/>
        </w:rPr>
        <w:t>绿色设计产品评价</w:t>
      </w:r>
      <w:r>
        <w:rPr>
          <w:rFonts w:hint="eastAsia" w:ascii="宋体"/>
          <w:szCs w:val="21"/>
          <w:lang w:eastAsia="zh-CN"/>
        </w:rPr>
        <w:t>技术</w:t>
      </w:r>
      <w:bookmarkStart w:id="15" w:name="_GoBack"/>
      <w:bookmarkEnd w:id="15"/>
      <w:r>
        <w:rPr>
          <w:rFonts w:hint="eastAsia" w:ascii="宋体"/>
          <w:szCs w:val="21"/>
        </w:rPr>
        <w:t>规范 门窗用塑料型材</w:t>
      </w:r>
    </w:p>
    <w:p>
      <w:pPr>
        <w:pStyle w:val="43"/>
        <w:rPr>
          <w:rStyle w:val="55"/>
          <w:rFonts w:ascii="Arial" w:hAnsi="Arial" w:cs="Arial"/>
        </w:rPr>
      </w:pPr>
      <w:r>
        <w:rPr>
          <w:rStyle w:val="55"/>
          <w:rFonts w:hint="eastAsia" w:ascii="Arial" w:hAnsi="Arial" w:cs="Arial"/>
        </w:rPr>
        <w:t>Technical specification for green</w:t>
      </w:r>
      <w:r>
        <w:rPr>
          <w:rStyle w:val="55"/>
          <w:rFonts w:ascii="Arial" w:hAnsi="Arial" w:cs="Arial"/>
        </w:rPr>
        <w:t>‒</w:t>
      </w:r>
      <w:r>
        <w:rPr>
          <w:rStyle w:val="55"/>
          <w:rFonts w:hint="eastAsia" w:ascii="Arial" w:hAnsi="Arial" w:cs="Arial"/>
        </w:rPr>
        <w:t xml:space="preserve">design product assessment   Shaped plastic </w:t>
      </w:r>
      <w:r>
        <w:rPr>
          <w:rStyle w:val="55"/>
          <w:rFonts w:ascii="Arial" w:hAnsi="Arial" w:cs="Arial"/>
        </w:rPr>
        <w:t xml:space="preserve">for </w:t>
      </w:r>
      <w:r>
        <w:rPr>
          <w:rStyle w:val="55"/>
          <w:rFonts w:hint="eastAsia" w:ascii="Arial" w:hAnsi="Arial" w:cs="Arial"/>
        </w:rPr>
        <w:t>door and window</w:t>
      </w:r>
    </w:p>
    <w:p>
      <w:pPr>
        <w:pStyle w:val="44"/>
      </w:pPr>
      <w:bookmarkStart w:id="0"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0"/>
    </w:p>
    <w:tbl>
      <w:tblPr>
        <w:tblStyle w:val="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855" w:type="dxa"/>
            <w:tcBorders>
              <w:top w:val="nil"/>
              <w:left w:val="nil"/>
              <w:bottom w:val="nil"/>
              <w:right w:val="nil"/>
            </w:tcBorders>
            <w:shd w:val="clear" w:color="auto" w:fill="auto"/>
          </w:tcPr>
          <w:p>
            <w:pPr>
              <w:pStyle w:val="45"/>
            </w:pPr>
            <w:r>
              <w:pict>
                <v:rect id="矩形 4" o:spid="_x0000_s1026" o:spt="1" style="position:absolute;left:0pt;margin-left:173.3pt;margin-top:45.15pt;height:20pt;width:150pt;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">
                  <v:path/>
                  <v:fill focussize="0,0"/>
                  <v:stroke on="f"/>
                  <v:imagedata o:title=""/>
                  <o:lock v:ext="edit"/>
                  <w10:anchorlock/>
                </v:rect>
              </w:pict>
            </w:r>
            <w:r>
              <w:pict>
                <v:rect id="矩形 3" o:spid="_x0000_s1031" o:spt="1" style="position:absolute;left:0pt;margin-left:193.3pt;margin-top:20.15pt;height:24pt;width:100pt;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">
                  <v:path/>
                  <v:fill focussize="0,0"/>
                  <v:stroke on="f"/>
                  <v:imagedata o:title=""/>
                  <o:lock v:ext="edit"/>
                </v:rect>
              </w:pict>
            </w:r>
            <w:r>
              <w:rPr>
                <w:rFonts w:hint="eastAsia"/>
                <w:lang w:eastAsia="zh-CN"/>
              </w:rPr>
              <w:t>征求意见</w:t>
            </w:r>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855" w:type="dxa"/>
            <w:tcBorders>
              <w:top w:val="nil"/>
              <w:left w:val="nil"/>
              <w:bottom w:val="nil"/>
              <w:right w:val="nil"/>
            </w:tcBorders>
            <w:shd w:val="clear" w:color="auto" w:fill="auto"/>
          </w:tcPr>
          <w:p>
            <w:pPr>
              <w:pStyle w:val="46"/>
            </w:pPr>
            <w:bookmarkStart w:id="1" w:name="WCRQ"/>
            <w:r>
              <w:fldChar w:fldCharType="begin">
                <w:ffData>
                  <w:name w:val="WCRQ"/>
                  <w:enabled/>
                  <w:calcOnExit w:val="0"/>
                  <w:textInput/>
                </w:ffData>
              </w:fldChar>
            </w:r>
            <w:r>
              <w:instrText xml:space="preserve"> FORMTEXT </w:instrText>
            </w:r>
            <w:r>
              <w:fldChar w:fldCharType="separate"/>
            </w:r>
            <w:r>
              <w:t>     </w:t>
            </w:r>
            <w:r>
              <w:fldChar w:fldCharType="end"/>
            </w:r>
            <w:bookmarkEnd w:id="1"/>
          </w:p>
        </w:tc>
      </w:tr>
    </w:tbl>
    <w:p>
      <w:pPr>
        <w:pStyle w:val="52"/>
        <w:framePr w:hAnchor="page" w:x="1171" w:y="14116"/>
      </w:pPr>
      <w:bookmarkStart w:id="2"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r>
        <w:pict>
          <v:line id="直接连接符 2" o:spid="_x0000_s1030" o:spt="20" style="position:absolute;left:0pt;margin-left:-0.05pt;margin-top:728.5pt;height:0pt;width:481.9pt;mso-position-vertic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3H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AUaKNNCih4/ffnz4/PP7J1gfvn5Bg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dludxy0CAAAzBAAADgAAAAAAAAAAAAAAAAAuAgAAZHJz&#10;L2Uyb0RvYy54bWxQSwECLQAUAAYACAAAACEAEUSd9t0AAAALAQAADwAAAAAAAAAAAAAAAACHBAAA&#10;ZHJzL2Rvd25yZXYueG1sUEsFBgAAAAAEAAQA8wAAAJEFAAAAAA==&#10;">
            <v:path arrowok="t"/>
            <v:fill focussize="0,0"/>
            <v:stroke/>
            <v:imagedata o:title=""/>
            <o:lock v:ext="edit"/>
            <w10:anchorlock/>
          </v:line>
        </w:pict>
      </w:r>
    </w:p>
    <w:p>
      <w:pPr>
        <w:pStyle w:val="53"/>
        <w:framePr w:hAnchor="page" w:x="6796"/>
      </w:pPr>
      <w:bookmarkStart w:id="4"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pPr>
        <w:pStyle w:val="48"/>
      </w:pPr>
      <w:r>
        <w:rPr>
          <w:rStyle w:val="40"/>
          <w:rFonts w:hint="eastAsia"/>
        </w:rPr>
        <w:t>中国轻工业联合会发布</w:t>
      </w:r>
    </w:p>
    <w:p>
      <w:pPr>
        <w:pStyle w:val="50"/>
      </w:pPr>
      <w:r>
        <w:rPr>
          <w:rFonts w:ascii="Times New Roman"/>
        </w:rPr>
        <w:t>ICS</w:t>
      </w:r>
      <w:r>
        <w:t> </w:t>
      </w:r>
      <w:bookmarkStart w:id="7"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83.140.01</w:t>
      </w:r>
      <w:r>
        <w:fldChar w:fldCharType="end"/>
      </w:r>
      <w:bookmarkEnd w:id="7"/>
    </w:p>
    <w:p>
      <w:pPr>
        <w:pStyle w:val="50"/>
      </w:pPr>
      <w:bookmarkStart w:id="8"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Y28</w:t>
      </w:r>
      <w:r>
        <w:fldChar w:fldCharType="end"/>
      </w:r>
      <w:bookmarkEnd w:id="8"/>
    </w:p>
    <w:tbl>
      <w:tblPr>
        <w:tblStyle w:val="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50"/>
            </w:pPr>
            <w:r>
              <w:pict>
                <v:rect id="矩形 6" o:spid="_x0000_s1029" o:spt="1" style="position:absolute;left:0pt;margin-left:-5.25pt;margin-top:0pt;height:15.6pt;width:68.25pt;z-index:-25165004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">
                  <v:path/>
                  <v:fill focussize="0,0"/>
                  <v:stroke on="f"/>
                  <v:imagedata o:title=""/>
                  <o:lock v:ext="edit"/>
                </v:rect>
              </w:pict>
            </w:r>
            <w:r>
              <w:fldChar w:fldCharType="begin">
                <w:ffData>
                  <w:name w:val="BAH"/>
                  <w:enabled/>
                  <w:calcOnExit w:val="0"/>
                  <w:textInput/>
                </w:ffData>
              </w:fldChar>
            </w:r>
            <w:bookmarkStart w:id="9" w:name="BAH"/>
            <w:r>
              <w:instrText xml:space="preserve"> FORMTEXT </w:instrText>
            </w:r>
            <w:r>
              <w:fldChar w:fldCharType="separate"/>
            </w:r>
            <w:r>
              <w:rPr>
                <w:rFonts w:hint="eastAsia"/>
              </w:rPr>
              <w:t>备案号</w:t>
            </w:r>
            <w:r>
              <w:fldChar w:fldCharType="end"/>
            </w:r>
            <w:bookmarkEnd w:id="9"/>
          </w:p>
        </w:tc>
      </w:tr>
    </w:tbl>
    <w:p>
      <w:pPr>
        <w:pStyle w:val="47"/>
      </w:pPr>
      <w:r>
        <w:rPr>
          <w:rFonts w:hint="eastAsia"/>
        </w:rPr>
        <w:t>中国轻工业联合会团体标准</w:t>
      </w:r>
    </w:p>
    <w:p>
      <w:pPr>
        <w:pStyle w:val="30"/>
        <w:wordWrap w:val="0"/>
        <w:rPr>
          <w:lang w:val="de-DE"/>
        </w:rPr>
      </w:pPr>
      <w:bookmarkStart w:id="10" w:name="StdNo0"/>
      <w:r>
        <w:pict>
          <v:line id="直接连接符 1" o:spid="_x0000_s1028" o:spt="20" style="position:absolute;left:0pt;margin-left:-6.5pt;margin-top:7.95pt;height:0pt;width:481.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lLQIAADMEAAAOAAAAZHJzL2Uyb0RvYy54bWysU02O0zAY3SNxB8v7TpJOW9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">
            <v:path arrowok="t"/>
            <v:fill focussize="0,0"/>
            <v:stroke/>
            <v:imagedata o:title=""/>
            <o:lock v:ext="edit"/>
          </v:line>
        </w:pict>
      </w:r>
      <w:bookmarkEnd w:id="10"/>
      <w:r>
        <w:rPr>
          <w:rFonts w:ascii="Times New Roman"/>
          <w:lang w:val="de-DE"/>
        </w:rPr>
        <w:t>T</w:t>
      </w:r>
      <w:r>
        <w:rPr>
          <w:rFonts w:hint="eastAsia" w:ascii="Times New Roman"/>
          <w:lang w:val="de-DE"/>
        </w:rPr>
        <w:t xml:space="preserve">/XX </w:t>
      </w:r>
      <w:r>
        <w:rPr>
          <w:rFonts w:ascii="Times New Roman"/>
          <w:lang w:val="de-DE"/>
        </w:rPr>
        <w:t xml:space="preserve"> </w:t>
      </w:r>
      <w:bookmarkStart w:id="11" w:name="StdNo1"/>
      <w:r>
        <w:fldChar w:fldCharType="begin">
          <w:ffData>
            <w:name w:val="StdNo1"/>
            <w:enabled/>
            <w:calcOnExit w:val="0"/>
            <w:textInput>
              <w:default w:val="XXXXX"/>
            </w:textInput>
          </w:ffData>
        </w:fldChar>
      </w:r>
      <w:r>
        <w:rPr>
          <w:lang w:val="de-DE"/>
        </w:rPr>
        <w:instrText xml:space="preserve"> FORMTEXT </w:instrText>
      </w:r>
      <w:r>
        <w:fldChar w:fldCharType="separate"/>
      </w:r>
      <w:r>
        <w:rPr>
          <w:lang w:val="de-DE"/>
        </w:rPr>
        <w:t>XXXXX</w:t>
      </w:r>
      <w:r>
        <w:fldChar w:fldCharType="end"/>
      </w:r>
      <w:bookmarkEnd w:id="11"/>
      <w:r>
        <w:rPr>
          <w:lang w:val="de-DE"/>
        </w:rPr>
        <w:t>—</w:t>
      </w:r>
      <w:bookmarkStart w:id="12" w:name="StdNo2"/>
      <w:r>
        <w:fldChar w:fldCharType="begin">
          <w:ffData>
            <w:name w:val="StdNo2"/>
            <w:enabled/>
            <w:calcOnExit w:val="0"/>
            <w:textInput>
              <w:default w:val="XXXX"/>
              <w:maxLength w:val="4"/>
            </w:textInput>
          </w:ffData>
        </w:fldChar>
      </w:r>
      <w:r>
        <w:rPr>
          <w:lang w:val="de-DE"/>
        </w:rPr>
        <w:instrText xml:space="preserve"> FORMTEXT </w:instrText>
      </w:r>
      <w:r>
        <w:fldChar w:fldCharType="separate"/>
      </w:r>
      <w:r>
        <w:rPr>
          <w:lang w:val="de-DE"/>
        </w:rPr>
        <w:t>XXXX</w:t>
      </w:r>
      <w:r>
        <w:fldChar w:fldCharType="end"/>
      </w:r>
      <w:bookmarkEnd w:id="12"/>
    </w:p>
    <w:tbl>
      <w:tblPr>
        <w:tblStyle w:val="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1"/>
            </w:pPr>
            <w:bookmarkStart w:id="13" w:name="DT"/>
            <w:r>
              <w:pict>
                <v:rect id="矩形 5" o:spid="_x0000_s1027" o:spt="1" style="position:absolute;left:0pt;margin-left:372.8pt;margin-top:2.7pt;height:18pt;width:90pt;z-index:-25165107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">
                  <v:path/>
                  <v:fill focussize="0,0"/>
                  <v:stroke on="f"/>
                  <v:imagedata o:title=""/>
                  <o:lock v:ext="edit"/>
                </v:rect>
              </w:pic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13"/>
          </w:p>
        </w:tc>
      </w:tr>
    </w:tbl>
    <w:p>
      <w:pPr>
        <w:pStyle w:val="23"/>
        <w:sectPr>
          <w:footerReference r:id="rId4" w:type="first"/>
          <w:footerReference r:id="rId3" w:type="default"/>
          <w:pgSz w:w="11906" w:h="16838"/>
          <w:pgMar w:top="567" w:right="850" w:bottom="1134" w:left="1418" w:header="0" w:footer="0" w:gutter="0"/>
          <w:pgNumType w:start="1"/>
          <w:cols w:space="425" w:num="1"/>
          <w:docGrid w:type="lines" w:linePitch="312" w:charSpace="0"/>
        </w:sectPr>
      </w:pPr>
    </w:p>
    <w:p>
      <w:pPr>
        <w:pStyle w:val="49"/>
      </w:pPr>
      <w:r>
        <w:rPr>
          <w:rFonts w:hint="eastAsia"/>
        </w:rPr>
        <w:t>前</w:t>
      </w:r>
      <w:bookmarkStart w:id="14" w:name="BKQY"/>
      <w:r>
        <w:t>  </w:t>
      </w:r>
      <w:r>
        <w:rPr>
          <w:rFonts w:hint="eastAsia"/>
        </w:rPr>
        <w:t>言</w:t>
      </w:r>
      <w:bookmarkEnd w:id="14"/>
    </w:p>
    <w:p>
      <w:pPr>
        <w:pStyle w:val="54"/>
        <w:spacing w:line="360" w:lineRule="auto"/>
      </w:pPr>
      <w:r>
        <w:rPr>
          <w:rFonts w:hint="eastAsia"/>
        </w:rPr>
        <w:t>本标准按照GB/T 1.1-2009给出的规则起草。</w:t>
      </w:r>
    </w:p>
    <w:p>
      <w:pPr>
        <w:pStyle w:val="54"/>
        <w:spacing w:line="360" w:lineRule="auto"/>
        <w:rPr>
          <w:rFonts w:ascii="宋体" w:hAnsi="宋体"/>
          <w:szCs w:val="21"/>
        </w:rPr>
      </w:pPr>
      <w:r>
        <w:rPr>
          <w:rFonts w:hint="eastAsia"/>
        </w:rPr>
        <w:t>请注意本文件的某些内容可能涉及专利。本文件的发布机构不承担识别这些专利的责任。</w:t>
      </w:r>
    </w:p>
    <w:p>
      <w:pPr>
        <w:pStyle w:val="54"/>
        <w:spacing w:line="360" w:lineRule="auto"/>
        <w:rPr>
          <w:rFonts w:ascii="宋体" w:hAnsi="宋体"/>
          <w:szCs w:val="21"/>
        </w:rPr>
      </w:pPr>
      <w:r>
        <w:rPr>
          <w:rFonts w:hint="eastAsia" w:ascii="宋体" w:hAnsi="宋体"/>
          <w:szCs w:val="21"/>
        </w:rPr>
        <w:t>本标准由</w:t>
      </w:r>
      <w:r>
        <w:rPr>
          <w:rFonts w:hint="eastAsia"/>
        </w:rPr>
        <w:t>中国轻工业联合会</w:t>
      </w:r>
      <w:r>
        <w:rPr>
          <w:rFonts w:hint="eastAsia" w:ascii="宋体" w:hAnsi="宋体"/>
          <w:szCs w:val="21"/>
        </w:rPr>
        <w:t>提出。</w:t>
      </w:r>
    </w:p>
    <w:p>
      <w:pPr>
        <w:pStyle w:val="54"/>
        <w:spacing w:line="360" w:lineRule="auto"/>
        <w:rPr>
          <w:rFonts w:ascii="宋体" w:hAnsi="宋体"/>
          <w:szCs w:val="21"/>
        </w:rPr>
      </w:pPr>
      <w:r>
        <w:rPr>
          <w:rFonts w:hint="eastAsia" w:ascii="宋体" w:hAnsi="宋体"/>
          <w:szCs w:val="21"/>
        </w:rPr>
        <w:t>本标准由</w:t>
      </w:r>
      <w:r>
        <w:rPr>
          <w:rFonts w:hint="eastAsia"/>
        </w:rPr>
        <w:t>中国轻工业联合会归口</w:t>
      </w:r>
      <w:r>
        <w:rPr>
          <w:rFonts w:hint="eastAsia" w:ascii="宋体" w:hAnsi="宋体"/>
          <w:szCs w:val="21"/>
        </w:rPr>
        <w:t>。</w:t>
      </w:r>
    </w:p>
    <w:p>
      <w:pPr>
        <w:pStyle w:val="54"/>
        <w:spacing w:line="360" w:lineRule="auto"/>
      </w:pPr>
      <w:r>
        <w:rPr>
          <w:rFonts w:hint="eastAsia"/>
        </w:rPr>
        <w:t>本标准起草单位：浙江中财型材有限责任公司、华之杰塑料建材有限公司、山西中德塑钢型材有限责任公司、西安高科建材科技有限公司、河南省天鹅型材有限公司、安徽雄峰实业有限公司、包头稀土研究院、华塑建材有限公司、北京工商大学、中国塑料加工工业协会异型材及门窗制品专业委员会、国家化学建筑材料测试中心（材料测试部）。</w:t>
      </w:r>
    </w:p>
    <w:p>
      <w:pPr>
        <w:pStyle w:val="54"/>
        <w:spacing w:line="360" w:lineRule="auto"/>
      </w:pPr>
      <w:r>
        <w:rPr>
          <w:rFonts w:hint="eastAsia"/>
        </w:rPr>
        <w:t>本标准主要起草人：潘晓华、</w:t>
      </w:r>
      <w:r>
        <w:rPr>
          <w:rFonts w:hint="eastAsia"/>
          <w:lang w:eastAsia="zh-CN"/>
        </w:rPr>
        <w:t>黄生友、</w:t>
      </w:r>
      <w:r>
        <w:rPr>
          <w:rFonts w:hint="eastAsia"/>
        </w:rPr>
        <w:t>李荣顺、</w:t>
      </w:r>
      <w:r>
        <w:rPr>
          <w:rFonts w:hint="eastAsia"/>
          <w:lang w:eastAsia="zh-CN"/>
        </w:rPr>
        <w:t>蒋华庭、</w:t>
      </w:r>
      <w:r>
        <w:rPr>
          <w:rFonts w:hint="eastAsia"/>
        </w:rPr>
        <w:t>张军、</w:t>
      </w:r>
      <w:r>
        <w:rPr>
          <w:rFonts w:hint="eastAsia"/>
          <w:lang w:eastAsia="zh-CN"/>
        </w:rPr>
        <w:t>杨明球、苗小冬、</w:t>
      </w:r>
      <w:r>
        <w:rPr>
          <w:rFonts w:hint="eastAsia"/>
        </w:rPr>
        <w:t>李本立、程淑军、储险峰、曹鸿</w:t>
      </w:r>
      <w:r>
        <w:rPr>
          <w:rFonts w:hint="eastAsia"/>
          <w:lang w:eastAsia="zh-CN"/>
        </w:rPr>
        <w:t>璋</w:t>
      </w:r>
      <w:r>
        <w:rPr>
          <w:rFonts w:hint="eastAsia"/>
        </w:rPr>
        <w:t>、何德强、靳玉娟、李静霞、胡孝义。</w:t>
      </w:r>
    </w:p>
    <w:p>
      <w:pPr>
        <w:pStyle w:val="54"/>
        <w:spacing w:line="360" w:lineRule="auto"/>
        <w:rPr>
          <w:rFonts w:hint="eastAsia" w:eastAsia="宋体"/>
          <w:lang w:eastAsia="zh-CN"/>
        </w:rPr>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r>
        <w:rPr>
          <w:rFonts w:hint="eastAsia"/>
          <w:lang w:eastAsia="zh-CN"/>
        </w:rPr>
        <w:t>本标准为首次发布。</w:t>
      </w:r>
    </w:p>
    <w:p>
      <w:pPr>
        <w:pStyle w:val="31"/>
      </w:pPr>
      <w:r>
        <w:rPr>
          <w:rFonts w:hint="eastAsia"/>
        </w:rPr>
        <w:t>绿色设计产品评价规范 门窗用塑料型材</w:t>
      </w:r>
    </w:p>
    <w:p>
      <w:pPr>
        <w:pStyle w:val="28"/>
        <w:spacing w:before="312" w:after="312"/>
      </w:pPr>
      <w:r>
        <w:rPr>
          <w:rFonts w:hint="eastAsia"/>
        </w:rPr>
        <w:t>范围</w:t>
      </w:r>
    </w:p>
    <w:p>
      <w:pPr>
        <w:pStyle w:val="23"/>
      </w:pPr>
      <w:r>
        <w:rPr>
          <w:rFonts w:hint="eastAsia"/>
        </w:rPr>
        <w:t>本标准规定了</w:t>
      </w:r>
      <w:r>
        <w:rPr>
          <w:rFonts w:hint="eastAsia"/>
          <w:szCs w:val="21"/>
        </w:rPr>
        <w:t>门窗用塑料型材</w:t>
      </w:r>
      <w:r>
        <w:rPr>
          <w:rFonts w:hint="eastAsia"/>
        </w:rPr>
        <w:t>绿色设计评价要求和评价方法。</w:t>
      </w:r>
    </w:p>
    <w:p>
      <w:pPr>
        <w:pStyle w:val="23"/>
      </w:pPr>
      <w:r>
        <w:rPr>
          <w:rFonts w:hint="eastAsia"/>
        </w:rPr>
        <w:t>本标准适用于所有门窗</w:t>
      </w:r>
      <w:r>
        <w:rPr>
          <w:rFonts w:hint="eastAsia"/>
          <w:szCs w:val="21"/>
        </w:rPr>
        <w:t>用塑料型材</w:t>
      </w:r>
      <w:r>
        <w:rPr>
          <w:rFonts w:hint="eastAsia"/>
        </w:rPr>
        <w:t>。</w:t>
      </w:r>
    </w:p>
    <w:p>
      <w:pPr>
        <w:pStyle w:val="28"/>
        <w:spacing w:before="312" w:after="312"/>
      </w:pPr>
      <w:r>
        <w:rPr>
          <w:rFonts w:hint="eastAsia"/>
        </w:rPr>
        <w:t>规范性引用文件</w:t>
      </w:r>
    </w:p>
    <w:p>
      <w:pPr>
        <w:pStyle w:val="23"/>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3"/>
        <w:rPr>
          <w:rFonts w:hint="default" w:eastAsia="宋体"/>
          <w:lang w:val="en-US" w:eastAsia="zh-CN"/>
        </w:rPr>
      </w:pPr>
      <w:r>
        <w:rPr>
          <w:rFonts w:hint="eastAsia"/>
          <w:lang w:val="en-US" w:eastAsia="zh-CN"/>
        </w:rPr>
        <w:t>GB/T 2406.2 塑料 用氧指数法测定燃烧行为 第2部分 室温试验</w:t>
      </w:r>
    </w:p>
    <w:p>
      <w:pPr>
        <w:pStyle w:val="23"/>
        <w:rPr>
          <w:rFonts w:hint="default" w:eastAsia="宋体"/>
          <w:lang w:val="en-US" w:eastAsia="zh-CN"/>
        </w:rPr>
      </w:pPr>
      <w:r>
        <w:rPr>
          <w:rFonts w:hint="eastAsia"/>
          <w:lang w:val="en-US" w:eastAsia="zh-CN"/>
        </w:rPr>
        <w:t>GB/T 4615 聚氯乙烯 残留氯乙烯单体的测定 气相色谱法</w:t>
      </w:r>
    </w:p>
    <w:p>
      <w:pPr>
        <w:pStyle w:val="23"/>
      </w:pPr>
      <w:r>
        <w:rPr>
          <w:rFonts w:hint="eastAsia"/>
        </w:rPr>
        <w:t>GB/T 8484 建筑外门窗保温性能分级及检测方法</w:t>
      </w:r>
    </w:p>
    <w:p>
      <w:pPr>
        <w:pStyle w:val="23"/>
      </w:pPr>
      <w:r>
        <w:rPr>
          <w:rFonts w:hint="eastAsia"/>
        </w:rPr>
        <w:t>GB/T</w:t>
      </w:r>
      <w:r>
        <w:t xml:space="preserve"> </w:t>
      </w:r>
      <w:r>
        <w:rPr>
          <w:rFonts w:hint="eastAsia"/>
        </w:rPr>
        <w:t>8814 门、窗用未增塑聚氯乙烯（PVC—U）型材</w:t>
      </w:r>
    </w:p>
    <w:p>
      <w:pPr>
        <w:pStyle w:val="23"/>
        <w:rPr>
          <w:rFonts w:hint="eastAsia"/>
        </w:rPr>
      </w:pPr>
      <w:r>
        <w:rPr>
          <w:rFonts w:hint="eastAsia"/>
        </w:rPr>
        <w:t>GB 8978 污水综合排放标准</w:t>
      </w:r>
    </w:p>
    <w:p>
      <w:pPr>
        <w:pStyle w:val="23"/>
        <w:rPr>
          <w:rFonts w:hint="eastAsia"/>
          <w:lang w:val="en-US" w:eastAsia="zh-CN"/>
        </w:rPr>
      </w:pPr>
      <w:r>
        <w:rPr>
          <w:rFonts w:hint="eastAsia"/>
          <w:lang w:val="en-US" w:eastAsia="zh-CN"/>
        </w:rPr>
        <w:t>GB/T 9345.5 塑料 灰分的测定 第五部分：聚氯乙烯</w:t>
      </w:r>
    </w:p>
    <w:p>
      <w:pPr>
        <w:pStyle w:val="23"/>
        <w:rPr>
          <w:rFonts w:hint="default"/>
          <w:lang w:val="en-US" w:eastAsia="zh-CN"/>
        </w:rPr>
      </w:pPr>
      <w:r>
        <w:rPr>
          <w:rFonts w:hint="eastAsia"/>
        </w:rPr>
        <w:t>GB/T 16288 塑料制品的标志</w:t>
      </w:r>
    </w:p>
    <w:p>
      <w:pPr>
        <w:pStyle w:val="23"/>
        <w:rPr>
          <w:rFonts w:hint="eastAsia"/>
        </w:rPr>
      </w:pPr>
      <w:r>
        <w:rPr>
          <w:rFonts w:hint="eastAsia"/>
        </w:rPr>
        <w:t>GB 16297 大气污染物综合排放标准</w:t>
      </w:r>
    </w:p>
    <w:p>
      <w:pPr>
        <w:pStyle w:val="23"/>
        <w:rPr>
          <w:rFonts w:hint="eastAsia"/>
        </w:rPr>
      </w:pPr>
      <w:r>
        <w:rPr>
          <w:rFonts w:hint="eastAsia"/>
        </w:rPr>
        <w:t>GB/T 19001 质量管理体系 要求</w:t>
      </w:r>
    </w:p>
    <w:p>
      <w:pPr>
        <w:pStyle w:val="23"/>
        <w:rPr>
          <w:rFonts w:hint="eastAsia"/>
        </w:rPr>
      </w:pPr>
      <w:r>
        <w:rPr>
          <w:rFonts w:hint="eastAsia"/>
        </w:rPr>
        <w:t>GB/T 23331 能源管理体系 要求</w:t>
      </w:r>
    </w:p>
    <w:p>
      <w:pPr>
        <w:pStyle w:val="23"/>
        <w:rPr>
          <w:rFonts w:hint="eastAsia"/>
        </w:rPr>
      </w:pPr>
      <w:r>
        <w:rPr>
          <w:rFonts w:hint="eastAsia"/>
        </w:rPr>
        <w:t>GB/T 24001 环境管理体系 要求及使用指南</w:t>
      </w:r>
    </w:p>
    <w:p>
      <w:pPr>
        <w:pStyle w:val="23"/>
        <w:rPr>
          <w:rFonts w:hint="eastAsia" w:eastAsia="宋体"/>
          <w:lang w:val="en-US" w:eastAsia="zh-CN"/>
        </w:rPr>
      </w:pPr>
      <w:r>
        <w:rPr>
          <w:rFonts w:hint="eastAsia"/>
        </w:rPr>
        <w:t>GB/T 24040</w:t>
      </w:r>
      <w:r>
        <w:rPr>
          <w:rFonts w:hint="eastAsia"/>
          <w:lang w:val="en-US" w:eastAsia="zh-CN"/>
        </w:rPr>
        <w:t xml:space="preserve"> </w:t>
      </w:r>
      <w:r>
        <w:rPr>
          <w:rFonts w:hint="default"/>
          <w:szCs w:val="22"/>
        </w:rPr>
        <w:fldChar w:fldCharType="begin"/>
      </w:r>
      <w:r>
        <w:rPr>
          <w:rFonts w:hint="default"/>
          <w:szCs w:val="22"/>
        </w:rPr>
        <w:instrText xml:space="preserve"> HYPERLINK "http://www.gb688.cn/bzgk/gb/std_list?p.p1=0&amp;p.p90=circulation_date&amp;p.p91=desc&amp;p.p2=GB/javascript:void(0)" </w:instrText>
      </w:r>
      <w:r>
        <w:rPr>
          <w:rFonts w:hint="default"/>
          <w:szCs w:val="22"/>
        </w:rPr>
        <w:fldChar w:fldCharType="separate"/>
      </w:r>
      <w:r>
        <w:rPr>
          <w:rFonts w:hint="default"/>
          <w:szCs w:val="22"/>
        </w:rPr>
        <w:t>环境管理 生命周期评价 原则与框架</w:t>
      </w:r>
      <w:r>
        <w:rPr>
          <w:rFonts w:hint="default"/>
          <w:szCs w:val="22"/>
        </w:rPr>
        <w:fldChar w:fldCharType="end"/>
      </w:r>
    </w:p>
    <w:p>
      <w:pPr>
        <w:pStyle w:val="23"/>
        <w:rPr>
          <w:rFonts w:hint="eastAsia" w:eastAsia="宋体"/>
          <w:lang w:val="en-US" w:eastAsia="zh-CN"/>
        </w:rPr>
      </w:pPr>
      <w:r>
        <w:rPr>
          <w:rFonts w:hint="eastAsia"/>
        </w:rPr>
        <w:t>GB/T 24044</w:t>
      </w:r>
      <w:r>
        <w:rPr>
          <w:rFonts w:hint="eastAsia"/>
          <w:lang w:val="en-US" w:eastAsia="zh-CN"/>
        </w:rPr>
        <w:t xml:space="preserve"> </w:t>
      </w:r>
      <w:r>
        <w:rPr>
          <w:rFonts w:hint="eastAsia"/>
          <w:szCs w:val="22"/>
        </w:rPr>
        <w:fldChar w:fldCharType="begin"/>
      </w:r>
      <w:r>
        <w:rPr>
          <w:rFonts w:hint="eastAsia"/>
          <w:szCs w:val="22"/>
        </w:rPr>
        <w:instrText xml:space="preserve"> HYPERLINK "http://www.gb688.cn/bzgk/gb/std_list?p.p1=0&amp;p.p90=circulation_date&amp;p.p91=desc&amp;p.p2=GB/javascript:void(0)" </w:instrText>
      </w:r>
      <w:r>
        <w:rPr>
          <w:rFonts w:hint="eastAsia"/>
          <w:szCs w:val="22"/>
        </w:rPr>
        <w:fldChar w:fldCharType="separate"/>
      </w:r>
      <w:r>
        <w:rPr>
          <w:rFonts w:hint="default"/>
          <w:szCs w:val="22"/>
        </w:rPr>
        <w:t>环境管理 生命周期评价 要求与指南</w:t>
      </w:r>
      <w:r>
        <w:rPr>
          <w:rFonts w:hint="default"/>
          <w:szCs w:val="22"/>
        </w:rPr>
        <w:fldChar w:fldCharType="end"/>
      </w:r>
    </w:p>
    <w:p>
      <w:pPr>
        <w:keepNext w:val="0"/>
        <w:keepLines w:val="0"/>
        <w:widowControl/>
        <w:suppressLineNumbers w:val="0"/>
        <w:pBdr>
          <w:top w:val="none" w:color="auto" w:sz="0" w:space="0"/>
          <w:left w:val="none" w:color="auto" w:sz="0" w:space="0"/>
          <w:bottom w:val="none" w:color="auto" w:sz="0" w:space="0"/>
        </w:pBdr>
        <w:wordWrap w:val="0"/>
        <w:ind w:firstLine="420" w:firstLineChars="200"/>
        <w:jc w:val="left"/>
        <w:rPr>
          <w:rFonts w:hint="default" w:ascii="宋体" w:hAnsi="Times New Roman" w:eastAsia="宋体"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GB/T 26125 电子电气产品 六种限用物质</w:t>
      </w:r>
      <w:r>
        <w:rPr>
          <w:rFonts w:hint="default" w:ascii="宋体" w:hAnsi="Times New Roman" w:eastAsia="宋体" w:cs="Times New Roman"/>
          <w:color w:val="000000"/>
          <w:kern w:val="0"/>
          <w:sz w:val="21"/>
          <w:szCs w:val="21"/>
          <w:lang w:val="en-US" w:eastAsia="zh-CN" w:bidi="ar-SA"/>
        </w:rPr>
        <w:t>(铅、汞、镉、六 价铬、多溴联苯和多溴二苯醚)的测定</w:t>
      </w:r>
    </w:p>
    <w:p>
      <w:pPr>
        <w:pStyle w:val="23"/>
        <w:rPr>
          <w:rFonts w:hint="default" w:ascii="宋体" w:hAnsi="Times New Roman" w:eastAsia="宋体" w:cs="Times New Roman"/>
          <w:color w:val="000000"/>
          <w:kern w:val="0"/>
          <w:sz w:val="21"/>
          <w:szCs w:val="21"/>
          <w:lang w:val="en-US" w:eastAsia="zh-CN" w:bidi="ar-SA"/>
        </w:rPr>
      </w:pPr>
      <w:r>
        <w:rPr>
          <w:rFonts w:hint="eastAsia"/>
        </w:rPr>
        <w:t>GB/T 28001 职业健康安全管理体系 要求</w:t>
      </w:r>
    </w:p>
    <w:p>
      <w:pPr>
        <w:keepNext w:val="0"/>
        <w:keepLines w:val="0"/>
        <w:widowControl/>
        <w:suppressLineNumbers w:val="0"/>
        <w:pBdr>
          <w:top w:val="none" w:color="auto" w:sz="0" w:space="0"/>
          <w:left w:val="none" w:color="auto" w:sz="0" w:space="0"/>
          <w:bottom w:val="none" w:color="auto" w:sz="0" w:space="0"/>
        </w:pBdr>
        <w:wordWrap w:val="0"/>
        <w:ind w:firstLine="420" w:firstLineChars="200"/>
        <w:jc w:val="left"/>
        <w:rPr>
          <w:rFonts w:hint="eastAsia" w:ascii="宋体" w:cs="Times New Roman"/>
          <w:color w:val="000000"/>
          <w:kern w:val="0"/>
          <w:sz w:val="21"/>
          <w:szCs w:val="21"/>
          <w:lang w:val="en-US" w:eastAsia="zh-CN" w:bidi="ar-SA"/>
        </w:rPr>
      </w:pPr>
      <w:r>
        <w:rPr>
          <w:rFonts w:hint="eastAsia" w:ascii="宋体" w:cs="Times New Roman"/>
          <w:color w:val="000000"/>
          <w:kern w:val="0"/>
          <w:sz w:val="21"/>
          <w:szCs w:val="21"/>
          <w:lang w:val="en-US" w:eastAsia="zh-CN" w:bidi="ar-SA"/>
        </w:rPr>
        <w:t xml:space="preserve">GB/T 29786 </w:t>
      </w:r>
      <w:r>
        <w:rPr>
          <w:rFonts w:hint="eastAsia" w:ascii="宋体" w:hAnsi="Times New Roman" w:eastAsia="宋体" w:cs="Times New Roman"/>
          <w:color w:val="000000"/>
          <w:kern w:val="0"/>
          <w:sz w:val="21"/>
          <w:szCs w:val="21"/>
          <w:lang w:val="en-US" w:eastAsia="zh-CN" w:bidi="ar-SA"/>
        </w:rPr>
        <w:t>电子电气产品</w:t>
      </w:r>
      <w:r>
        <w:rPr>
          <w:rFonts w:hint="eastAsia" w:ascii="宋体" w:cs="Times New Roman"/>
          <w:color w:val="000000"/>
          <w:kern w:val="0"/>
          <w:sz w:val="21"/>
          <w:szCs w:val="21"/>
          <w:lang w:val="en-US" w:eastAsia="zh-CN" w:bidi="ar-SA"/>
        </w:rPr>
        <w:t>中邻苯二甲酸酯的测定 气相色谱-质谱联用法</w:t>
      </w:r>
    </w:p>
    <w:p>
      <w:pPr>
        <w:keepNext w:val="0"/>
        <w:keepLines w:val="0"/>
        <w:widowControl/>
        <w:suppressLineNumbers w:val="0"/>
        <w:pBdr>
          <w:top w:val="none" w:color="auto" w:sz="0" w:space="0"/>
          <w:left w:val="none" w:color="auto" w:sz="0" w:space="0"/>
          <w:bottom w:val="none" w:color="auto" w:sz="0" w:space="0"/>
        </w:pBdr>
        <w:wordWrap w:val="0"/>
        <w:ind w:firstLine="420" w:firstLineChars="200"/>
        <w:jc w:val="left"/>
        <w:rPr>
          <w:rFonts w:hint="eastAsia" w:ascii="宋体" w:cs="Times New Roman"/>
          <w:color w:val="000000"/>
          <w:kern w:val="0"/>
          <w:sz w:val="21"/>
          <w:szCs w:val="21"/>
          <w:lang w:val="en-US" w:eastAsia="zh-CN" w:bidi="ar-SA"/>
        </w:rPr>
      </w:pPr>
      <w:r>
        <w:rPr>
          <w:rFonts w:hint="eastAsia" w:ascii="宋体" w:cs="Times New Roman"/>
          <w:color w:val="000000"/>
          <w:kern w:val="0"/>
          <w:sz w:val="21"/>
          <w:szCs w:val="21"/>
          <w:lang w:val="en-US" w:eastAsia="zh-CN" w:bidi="ar-SA"/>
        </w:rPr>
        <w:t>GB/T 32161 生态设计产品评价通则</w:t>
      </w:r>
    </w:p>
    <w:p>
      <w:pPr>
        <w:keepNext w:val="0"/>
        <w:keepLines w:val="0"/>
        <w:widowControl/>
        <w:suppressLineNumbers w:val="0"/>
        <w:pBdr>
          <w:top w:val="none" w:color="auto" w:sz="0" w:space="0"/>
          <w:left w:val="none" w:color="auto" w:sz="0" w:space="0"/>
          <w:bottom w:val="none" w:color="auto" w:sz="0" w:space="0"/>
        </w:pBdr>
        <w:wordWrap w:val="0"/>
        <w:ind w:firstLine="420" w:firstLineChars="200"/>
        <w:jc w:val="left"/>
        <w:rPr>
          <w:rFonts w:hint="default" w:ascii="宋体" w:cs="Times New Roman"/>
          <w:color w:val="000000"/>
          <w:kern w:val="0"/>
          <w:sz w:val="21"/>
          <w:szCs w:val="21"/>
          <w:lang w:val="en-US" w:eastAsia="zh-CN" w:bidi="ar-SA"/>
        </w:rPr>
      </w:pPr>
      <w:r>
        <w:rPr>
          <w:rFonts w:hint="eastAsia" w:ascii="宋体" w:cs="Times New Roman"/>
          <w:color w:val="000000"/>
          <w:kern w:val="0"/>
          <w:sz w:val="21"/>
          <w:szCs w:val="21"/>
          <w:lang w:val="en-US" w:eastAsia="zh-CN" w:bidi="ar-SA"/>
        </w:rPr>
        <w:t>GB/T 32162 生态设计产品标识</w:t>
      </w:r>
    </w:p>
    <w:p>
      <w:pPr>
        <w:pStyle w:val="23"/>
        <w:rPr>
          <w:rFonts w:hint="default"/>
          <w:sz w:val="21"/>
          <w:szCs w:val="21"/>
          <w:lang w:val="en-US"/>
        </w:rPr>
      </w:pPr>
      <w:r>
        <w:rPr>
          <w:rFonts w:hint="eastAsia"/>
          <w:color w:val="000000"/>
          <w:kern w:val="0"/>
          <w:sz w:val="21"/>
          <w:szCs w:val="21"/>
          <w:lang w:val="en-US" w:eastAsia="zh-CN"/>
        </w:rPr>
        <w:t>GB/T 32163.2 生态设计产品评价规范 第2部分：可降解塑料</w:t>
      </w:r>
    </w:p>
    <w:p>
      <w:pPr>
        <w:pStyle w:val="23"/>
      </w:pPr>
      <w:r>
        <w:rPr>
          <w:rFonts w:hint="eastAsia"/>
        </w:rPr>
        <w:t>GB/T 33284 室内装饰装修材料 门、窗用未增塑聚氯乙烯（PVC-U）型材有害物质限量</w:t>
      </w:r>
    </w:p>
    <w:p>
      <w:pPr>
        <w:pStyle w:val="28"/>
        <w:spacing w:before="312" w:after="312"/>
      </w:pPr>
      <w:r>
        <w:rPr>
          <w:rFonts w:hint="eastAsia"/>
          <w:lang w:eastAsia="zh-CN"/>
        </w:rPr>
        <w:t>术语和定义</w:t>
      </w:r>
    </w:p>
    <w:p>
      <w:pPr>
        <w:pStyle w:val="23"/>
        <w:rPr>
          <w:rFonts w:hint="eastAsia"/>
          <w:lang w:val="en-US" w:eastAsia="zh-CN"/>
        </w:rPr>
      </w:pPr>
      <w:r>
        <w:rPr>
          <w:rFonts w:hint="eastAsia"/>
          <w:lang w:val="en-US" w:eastAsia="zh-CN"/>
        </w:rPr>
        <w:t>GB/T 32161-2015、GB/T 33761-2017 等标准中界定的以及下列术语和定义适用于本文件。</w:t>
      </w:r>
    </w:p>
    <w:p>
      <w:pPr>
        <w:pStyle w:val="25"/>
        <w:spacing w:before="156" w:after="156"/>
      </w:pPr>
    </w:p>
    <w:p>
      <w:pPr>
        <w:pStyle w:val="23"/>
        <w:rPr>
          <w:rFonts w:hint="eastAsia" w:ascii="黑体" w:hAnsi="Times New Roman" w:eastAsia="黑体" w:cs="Times New Roman"/>
          <w:sz w:val="21"/>
          <w:szCs w:val="22"/>
          <w:lang w:val="en-US" w:eastAsia="zh-CN" w:bidi="ar-SA"/>
        </w:rPr>
      </w:pPr>
      <w:r>
        <w:rPr>
          <w:rFonts w:hint="eastAsia" w:ascii="黑体" w:hAnsi="Times New Roman" w:eastAsia="黑体" w:cs="Times New Roman"/>
          <w:sz w:val="21"/>
          <w:szCs w:val="22"/>
          <w:lang w:val="en-US" w:eastAsia="zh-CN" w:bidi="ar-SA"/>
        </w:rPr>
        <w:t>绿色设计 green-design</w:t>
      </w:r>
    </w:p>
    <w:p>
      <w:pPr>
        <w:pStyle w:val="23"/>
        <w:rPr>
          <w:rFonts w:hint="eastAsia"/>
          <w:lang w:val="en-US" w:eastAsia="zh-CN"/>
        </w:rPr>
      </w:pPr>
      <w:r>
        <w:rPr>
          <w:rFonts w:hint="eastAsia"/>
          <w:lang w:val="en-US" w:eastAsia="zh-CN"/>
        </w:rPr>
        <w:t>按照全生命周期的理念，在产品设计开发阶段系统考虑原材料选用、生产、销售、使用、回收、处理等各个环节对资源环境造成的影响，力求产品在全生命周期中最大限度降低资源消耗、尽可能少用或不用含有有害的原材料，减少污染物生产和排放，从而实现环境保护的活动，也叫生态设计。</w:t>
      </w:r>
    </w:p>
    <w:p>
      <w:pPr>
        <w:pStyle w:val="25"/>
        <w:spacing w:before="156" w:after="156"/>
      </w:pPr>
    </w:p>
    <w:p>
      <w:pPr>
        <w:pStyle w:val="23"/>
        <w:rPr>
          <w:rFonts w:hint="default" w:ascii="黑体" w:hAnsi="Times New Roman" w:eastAsia="黑体" w:cs="Times New Roman"/>
          <w:sz w:val="21"/>
          <w:szCs w:val="22"/>
          <w:lang w:val="en-US" w:eastAsia="zh-CN" w:bidi="ar-SA"/>
        </w:rPr>
      </w:pPr>
      <w:r>
        <w:rPr>
          <w:rFonts w:hint="eastAsia" w:ascii="黑体" w:hAnsi="Times New Roman" w:eastAsia="黑体" w:cs="Times New Roman"/>
          <w:sz w:val="21"/>
          <w:szCs w:val="22"/>
          <w:lang w:val="en-US" w:eastAsia="zh-CN" w:bidi="ar-SA"/>
        </w:rPr>
        <w:t>绿色设计</w:t>
      </w:r>
      <w:r>
        <w:rPr>
          <w:rFonts w:hint="eastAsia" w:ascii="黑体" w:eastAsia="黑体" w:cs="Times New Roman"/>
          <w:sz w:val="21"/>
          <w:szCs w:val="22"/>
          <w:lang w:val="en-US" w:eastAsia="zh-CN" w:bidi="ar-SA"/>
        </w:rPr>
        <w:t>产品</w:t>
      </w:r>
      <w:r>
        <w:rPr>
          <w:rFonts w:hint="eastAsia" w:ascii="黑体" w:hAnsi="Times New Roman" w:eastAsia="黑体" w:cs="Times New Roman"/>
          <w:sz w:val="21"/>
          <w:szCs w:val="22"/>
          <w:lang w:val="en-US" w:eastAsia="zh-CN" w:bidi="ar-SA"/>
        </w:rPr>
        <w:t xml:space="preserve"> green-design</w:t>
      </w:r>
      <w:r>
        <w:rPr>
          <w:rFonts w:hint="eastAsia" w:ascii="黑体" w:eastAsia="黑体" w:cs="Times New Roman"/>
          <w:sz w:val="21"/>
          <w:szCs w:val="22"/>
          <w:lang w:val="en-US" w:eastAsia="zh-CN" w:bidi="ar-SA"/>
        </w:rPr>
        <w:t xml:space="preserve"> product</w:t>
      </w:r>
    </w:p>
    <w:p>
      <w:pPr>
        <w:pStyle w:val="23"/>
        <w:rPr>
          <w:rFonts w:hint="default"/>
          <w:lang w:val="en-US" w:eastAsia="zh-CN"/>
        </w:rPr>
      </w:pPr>
      <w:r>
        <w:rPr>
          <w:rFonts w:hint="eastAsia"/>
          <w:lang w:val="en-US" w:eastAsia="zh-CN"/>
        </w:rPr>
        <w:t>符合绿色设计理念和评价要求的产品，也叫生态设计产品。</w:t>
      </w:r>
    </w:p>
    <w:p>
      <w:pPr>
        <w:pStyle w:val="28"/>
        <w:spacing w:before="312" w:after="312"/>
      </w:pPr>
      <w:r>
        <w:rPr>
          <w:rFonts w:hint="eastAsia"/>
        </w:rPr>
        <w:t>产品评价要求</w:t>
      </w:r>
    </w:p>
    <w:p>
      <w:pPr>
        <w:pStyle w:val="25"/>
        <w:spacing w:before="156" w:after="156"/>
      </w:pPr>
      <w:r>
        <w:rPr>
          <w:rFonts w:hint="eastAsia"/>
        </w:rPr>
        <w:t>基本要求</w:t>
      </w:r>
    </w:p>
    <w:p>
      <w:pPr>
        <w:pStyle w:val="23"/>
      </w:pPr>
      <w:r>
        <w:rPr>
          <w:rFonts w:hint="eastAsia"/>
        </w:rPr>
        <w:t>生产企业应满足的绿色要求包括但不限于：</w:t>
      </w:r>
    </w:p>
    <w:p>
      <w:pPr>
        <w:pStyle w:val="23"/>
      </w:pPr>
      <w:r>
        <w:rPr>
          <w:rFonts w:hint="eastAsia"/>
        </w:rPr>
        <w:t>——产品生产企业的污染物排放状况，应要求符合相关环境保护法律法规，达到国家或地方污染物排放标准</w:t>
      </w:r>
      <w:r>
        <w:rPr>
          <w:rFonts w:hint="eastAsia" w:ascii="Times New Roman"/>
          <w:szCs w:val="22"/>
          <w:lang w:eastAsia="zh-CN"/>
        </w:rPr>
        <w:t>（</w:t>
      </w:r>
      <w:r>
        <w:rPr>
          <w:rFonts w:hint="eastAsia" w:ascii="Times New Roman"/>
          <w:szCs w:val="22"/>
          <w:lang w:val="en-US" w:eastAsia="zh-CN"/>
        </w:rPr>
        <w:t>GB8978、GB16297</w:t>
      </w:r>
      <w:r>
        <w:rPr>
          <w:rFonts w:hint="eastAsia" w:ascii="Times New Roman"/>
          <w:szCs w:val="22"/>
          <w:lang w:eastAsia="zh-CN"/>
        </w:rPr>
        <w:t>）</w:t>
      </w:r>
      <w:r>
        <w:rPr>
          <w:rFonts w:hint="eastAsia"/>
        </w:rPr>
        <w:t>的要求，近三年无重大安全事故和重大环境污染事件；</w:t>
      </w:r>
    </w:p>
    <w:p>
      <w:pPr>
        <w:pStyle w:val="23"/>
        <w:rPr>
          <w:rFonts w:ascii="Times New Roman"/>
        </w:rPr>
      </w:pPr>
      <w:r>
        <w:rPr>
          <w:rFonts w:hint="eastAsia"/>
        </w:rPr>
        <w:t>——生产企业的污染物总量</w:t>
      </w:r>
      <w:r>
        <w:rPr>
          <w:rFonts w:ascii="Times New Roman"/>
        </w:rPr>
        <w:t>控制，应要求达到国家和地方污染物排放总量控制指标；</w:t>
      </w:r>
    </w:p>
    <w:p>
      <w:pPr>
        <w:pStyle w:val="23"/>
      </w:pPr>
      <w:r>
        <w:rPr>
          <w:rFonts w:ascii="Times New Roman"/>
        </w:rPr>
        <w:t>——生产企业的管理，应要求按照GB/T</w:t>
      </w:r>
      <w:r>
        <w:rPr>
          <w:rFonts w:hint="eastAsia" w:ascii="Times New Roman"/>
        </w:rPr>
        <w:t xml:space="preserve"> </w:t>
      </w:r>
      <w:r>
        <w:rPr>
          <w:rFonts w:ascii="Times New Roman"/>
        </w:rPr>
        <w:t>24001</w:t>
      </w:r>
      <w:r>
        <w:rPr>
          <w:rFonts w:hint="eastAsia" w:ascii="Times New Roman"/>
        </w:rPr>
        <w:t>、</w:t>
      </w:r>
      <w:r>
        <w:rPr>
          <w:rFonts w:hint="eastAsia" w:ascii="Times New Roman"/>
          <w:lang w:val="en-US" w:eastAsia="zh-CN"/>
        </w:rPr>
        <w:t>GB/T 23331、</w:t>
      </w:r>
      <w:r>
        <w:rPr>
          <w:rFonts w:ascii="Times New Roman"/>
        </w:rPr>
        <w:t>GB/T</w:t>
      </w:r>
      <w:r>
        <w:rPr>
          <w:rFonts w:hint="eastAsia" w:ascii="Times New Roman"/>
        </w:rPr>
        <w:t xml:space="preserve"> </w:t>
      </w:r>
      <w:r>
        <w:rPr>
          <w:rFonts w:ascii="Times New Roman"/>
        </w:rPr>
        <w:t>19001</w:t>
      </w:r>
      <w:r>
        <w:rPr>
          <w:rFonts w:hint="eastAsia" w:ascii="Times New Roman"/>
        </w:rPr>
        <w:t>、</w:t>
      </w:r>
      <w:r>
        <w:rPr>
          <w:rFonts w:ascii="Times New Roman"/>
        </w:rPr>
        <w:t>GB/T</w:t>
      </w:r>
      <w:r>
        <w:rPr>
          <w:rFonts w:hint="eastAsia" w:ascii="Times New Roman"/>
        </w:rPr>
        <w:t xml:space="preserve"> 28</w:t>
      </w:r>
      <w:r>
        <w:rPr>
          <w:rFonts w:ascii="Times New Roman"/>
        </w:rPr>
        <w:t>001分别建立并运行环境管理体系</w:t>
      </w:r>
      <w:r>
        <w:rPr>
          <w:rFonts w:hint="eastAsia" w:ascii="Times New Roman"/>
        </w:rPr>
        <w:t>、</w:t>
      </w:r>
      <w:r>
        <w:rPr>
          <w:rFonts w:hint="eastAsia" w:ascii="Times New Roman"/>
          <w:lang w:eastAsia="zh-CN"/>
        </w:rPr>
        <w:t>能源管理体系、</w:t>
      </w:r>
      <w:r>
        <w:rPr>
          <w:rFonts w:ascii="Times New Roman"/>
        </w:rPr>
        <w:t>质量管理</w:t>
      </w:r>
      <w:r>
        <w:rPr>
          <w:rFonts w:hint="eastAsia"/>
        </w:rPr>
        <w:t>体系、职业健康安全管理体系；</w:t>
      </w:r>
    </w:p>
    <w:p>
      <w:pPr>
        <w:pStyle w:val="23"/>
      </w:pPr>
      <w:r>
        <w:rPr>
          <w:rFonts w:hint="eastAsia"/>
        </w:rPr>
        <w:t>——环境信息披露，应要求企业定期披露企业的环境信息；</w:t>
      </w:r>
    </w:p>
    <w:p>
      <w:pPr>
        <w:pStyle w:val="23"/>
      </w:pPr>
      <w:r>
        <w:rPr>
          <w:rFonts w:hint="eastAsia"/>
        </w:rPr>
        <w:t>——产品质量水平，应要求满足相关产品标准要求；</w:t>
      </w:r>
    </w:p>
    <w:p>
      <w:pPr>
        <w:pStyle w:val="23"/>
      </w:pPr>
      <w:r>
        <w:rPr>
          <w:rFonts w:hint="eastAsia"/>
        </w:rPr>
        <w:t>——资源属性中的单位产品取水量、</w:t>
      </w:r>
      <w:r>
        <w:t>能源属性中的</w:t>
      </w:r>
      <w:r>
        <w:rPr>
          <w:rFonts w:hint="eastAsia"/>
        </w:rPr>
        <w:t>单位</w:t>
      </w:r>
      <w:r>
        <w:t>产品能耗，应符合该产品行业的有关法规</w:t>
      </w:r>
      <w:r>
        <w:rPr>
          <w:rFonts w:hint="eastAsia"/>
        </w:rPr>
        <w:t>规定，并达到行业先进水平。</w:t>
      </w:r>
    </w:p>
    <w:p>
      <w:pPr>
        <w:pStyle w:val="25"/>
        <w:spacing w:before="156" w:after="156"/>
        <w:ind w:left="284"/>
      </w:pPr>
      <w:r>
        <w:rPr>
          <w:rFonts w:hint="eastAsia"/>
        </w:rPr>
        <w:t>评价指标要求</w:t>
      </w:r>
    </w:p>
    <w:p>
      <w:pPr>
        <w:pStyle w:val="23"/>
      </w:pPr>
      <w:r>
        <w:rPr>
          <w:rFonts w:hint="eastAsia"/>
        </w:rPr>
        <w:t>门窗用塑料型材的评价指标可从资源能源的消耗，以及对环境和人体健康造成影响的角度进行选取，包括资源属性指标、能源属性指标、环境属性指标和品质属性指标。门窗用塑料异型材有门窗用未增塑聚氯乙烯（PVC-U）型材等。其评价指标名称、基准值、判定依据等要求见表1。</w:t>
      </w:r>
    </w:p>
    <w:p>
      <w:pPr>
        <w:pStyle w:val="23"/>
        <w:spacing w:before="156" w:beforeLines="50" w:after="156" w:afterLines="50"/>
        <w:jc w:val="center"/>
        <w:rPr>
          <w:rFonts w:ascii="黑体" w:eastAsia="黑体"/>
        </w:rPr>
      </w:pPr>
      <w:r>
        <w:rPr>
          <w:rFonts w:hint="eastAsia" w:ascii="黑体" w:eastAsia="黑体"/>
        </w:rPr>
        <w:t>表1 门窗用未增塑</w:t>
      </w:r>
      <w:r>
        <w:rPr>
          <w:rFonts w:ascii="黑体" w:eastAsia="黑体"/>
        </w:rPr>
        <w:t>聚氯乙烯（PVC-U）型材评价指标</w:t>
      </w:r>
      <w:r>
        <w:rPr>
          <w:rFonts w:hint="eastAsia" w:ascii="黑体" w:eastAsia="黑体"/>
        </w:rPr>
        <w:t>要求</w:t>
      </w:r>
    </w:p>
    <w:tbl>
      <w:tblPr>
        <w:tblStyle w:val="5"/>
        <w:tblW w:w="9880" w:type="dxa"/>
        <w:jc w:val="center"/>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494"/>
        <w:gridCol w:w="690"/>
        <w:gridCol w:w="19"/>
        <w:gridCol w:w="1279"/>
        <w:gridCol w:w="1295"/>
        <w:gridCol w:w="198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000000"/>
                <w:kern w:val="0"/>
                <w:sz w:val="20"/>
              </w:rPr>
            </w:pPr>
            <w:r>
              <w:rPr>
                <w:rFonts w:ascii="宋体" w:hAnsi="宋体" w:cs="宋体"/>
                <w:color w:val="000000"/>
                <w:kern w:val="0"/>
                <w:sz w:val="20"/>
              </w:rPr>
              <w:t>一级指标</w:t>
            </w: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000000"/>
                <w:kern w:val="0"/>
                <w:sz w:val="20"/>
              </w:rPr>
            </w:pPr>
            <w:r>
              <w:rPr>
                <w:rFonts w:ascii="宋体" w:hAnsi="宋体" w:cs="宋体"/>
                <w:color w:val="000000"/>
                <w:kern w:val="0"/>
                <w:sz w:val="20"/>
              </w:rPr>
              <w:t>二级指标</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000000"/>
                <w:kern w:val="0"/>
                <w:sz w:val="20"/>
              </w:rPr>
            </w:pPr>
            <w:r>
              <w:rPr>
                <w:rFonts w:ascii="宋体" w:hAnsi="宋体" w:cs="宋体"/>
                <w:color w:val="000000"/>
                <w:kern w:val="0"/>
                <w:sz w:val="20"/>
              </w:rPr>
              <w:t>单位</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000000"/>
                <w:kern w:val="0"/>
                <w:sz w:val="20"/>
              </w:rPr>
            </w:pPr>
            <w:r>
              <w:rPr>
                <w:rFonts w:ascii="宋体" w:hAnsi="宋体" w:cs="宋体"/>
                <w:color w:val="000000"/>
                <w:kern w:val="0"/>
                <w:sz w:val="20"/>
              </w:rPr>
              <w:t>基准值</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000000"/>
                <w:kern w:val="0"/>
                <w:sz w:val="20"/>
              </w:rPr>
            </w:pPr>
            <w:r>
              <w:rPr>
                <w:rFonts w:ascii="宋体" w:hAnsi="宋体" w:cs="宋体"/>
                <w:color w:val="000000"/>
                <w:kern w:val="0"/>
                <w:sz w:val="20"/>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13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rPr>
                <w:color w:val="000000"/>
                <w:kern w:val="0"/>
                <w:sz w:val="20"/>
              </w:rPr>
            </w:pPr>
            <w:r>
              <w:rPr>
                <w:color w:val="000000"/>
                <w:kern w:val="0"/>
                <w:sz w:val="20"/>
              </w:rPr>
              <w:t>资源属性</w:t>
            </w: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氯乙烯单体</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mg/kg</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eastAsia" w:eastAsia="宋体"/>
                <w:color w:val="000000"/>
                <w:kern w:val="0"/>
                <w:sz w:val="20"/>
                <w:lang w:eastAsia="zh-CN"/>
              </w:rPr>
            </w:pPr>
            <w:r>
              <w:rPr>
                <w:rFonts w:hint="eastAsia"/>
                <w:color w:val="000000"/>
                <w:kern w:val="0"/>
                <w:sz w:val="20"/>
                <w:lang w:eastAsia="zh-CN"/>
              </w:rPr>
              <w:t>依据</w:t>
            </w:r>
            <w:r>
              <w:rPr>
                <w:color w:val="000000"/>
                <w:kern w:val="0"/>
                <w:sz w:val="20"/>
              </w:rPr>
              <w:t>GB/T 4615</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color w:val="000000"/>
                <w:kern w:val="0"/>
                <w:sz w:val="20"/>
              </w:rPr>
            </w:pP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稳定剂</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不得使用铅盐、镉盐</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rFonts w:hint="eastAsia"/>
                <w:kern w:val="0"/>
                <w:sz w:val="20"/>
                <w:szCs w:val="22"/>
                <w:lang w:eastAsia="zh-CN"/>
              </w:rPr>
              <w:t>1)企业自我声明；2）现场检查，按工序流程查验报告文件、统计报表、原始记录及原材料使用清单等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13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塑料制品标志</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可回收再生利用</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rFonts w:hint="eastAsia"/>
                <w:kern w:val="0"/>
                <w:sz w:val="20"/>
                <w:szCs w:val="22"/>
                <w:lang w:eastAsia="zh-CN"/>
              </w:rPr>
              <w:t>依据GB/T 16288检测产品标签或说明书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3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rPr>
                <w:color w:val="000000"/>
                <w:kern w:val="0"/>
                <w:sz w:val="20"/>
              </w:rPr>
            </w:pPr>
            <w:r>
              <w:rPr>
                <w:color w:val="000000"/>
                <w:kern w:val="0"/>
                <w:sz w:val="20"/>
              </w:rPr>
              <w:t>能源属性</w:t>
            </w: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单位产品综合能耗</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tce/t</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≤0.047</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default" w:eastAsia="宋体"/>
                <w:color w:val="000000"/>
                <w:kern w:val="0"/>
                <w:sz w:val="20"/>
                <w:lang w:val="en-US" w:eastAsia="zh-CN"/>
              </w:rPr>
            </w:pPr>
            <w:r>
              <w:rPr>
                <w:rFonts w:hint="eastAsia"/>
                <w:color w:val="000000"/>
                <w:kern w:val="0"/>
                <w:sz w:val="20"/>
                <w:lang w:val="en-US" w:eastAsia="zh-CN"/>
              </w:rPr>
              <w:t>依据GB/T 32163.2计算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color w:val="000000"/>
                <w:kern w:val="0"/>
                <w:sz w:val="20"/>
              </w:rPr>
            </w:pP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单位产品</w:t>
            </w:r>
            <w:r>
              <w:rPr>
                <w:rFonts w:hint="eastAsia"/>
                <w:color w:val="000000"/>
                <w:kern w:val="0"/>
                <w:sz w:val="20"/>
                <w:lang w:eastAsia="zh-CN"/>
              </w:rPr>
              <w:t>取</w:t>
            </w:r>
            <w:r>
              <w:rPr>
                <w:color w:val="000000"/>
                <w:kern w:val="0"/>
                <w:sz w:val="20"/>
              </w:rPr>
              <w:t>水量</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kg/kg</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≤0.9</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传热系数K</w:t>
            </w:r>
            <w:r>
              <w:rPr>
                <w:kern w:val="0"/>
                <w:sz w:val="20"/>
                <w:vertAlign w:val="subscript"/>
              </w:rPr>
              <w:t>f</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平开</w:t>
            </w:r>
          </w:p>
        </w:tc>
        <w:tc>
          <w:tcPr>
            <w:tcW w:w="129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sz w:val="20"/>
              </w:rPr>
              <w:t>W/ (m</w:t>
            </w:r>
            <w:r>
              <w:rPr>
                <w:sz w:val="20"/>
                <w:vertAlign w:val="superscript"/>
              </w:rPr>
              <w:t>2</w:t>
            </w:r>
            <w:r>
              <w:rPr>
                <w:sz w:val="20"/>
              </w:rPr>
              <w:t>·K)</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sz w:val="20"/>
              </w:rPr>
              <w:t>1.5</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lang w:eastAsia="zh-CN"/>
              </w:rPr>
              <w:t>依据</w:t>
            </w:r>
            <w:r>
              <w:rPr>
                <w:kern w:val="0"/>
                <w:sz w:val="20"/>
              </w:rPr>
              <w:t>GB/T 8484</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3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推拉</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sz w:val="20"/>
              </w:rPr>
              <w:t>2.2</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kern w:val="0"/>
                <w:sz w:val="20"/>
              </w:rPr>
            </w:pPr>
            <w:r>
              <w:rPr>
                <w:kern w:val="0"/>
                <w:sz w:val="20"/>
              </w:rPr>
              <w:t>环境属性</w:t>
            </w:r>
          </w:p>
        </w:tc>
        <w:tc>
          <w:tcPr>
            <w:tcW w:w="14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有害物质限量</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铅（Pb）</w:t>
            </w:r>
          </w:p>
        </w:tc>
        <w:tc>
          <w:tcPr>
            <w:tcW w:w="129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mg/kg</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≤100</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adjustRightInd w:val="0"/>
              <w:snapToGrid w:val="0"/>
              <w:jc w:val="center"/>
              <w:outlineLvl w:val="0"/>
              <w:rPr>
                <w:kern w:val="0"/>
                <w:sz w:val="20"/>
              </w:rPr>
            </w:pPr>
            <w:r>
              <w:rPr>
                <w:rFonts w:hint="eastAsia"/>
                <w:kern w:val="0"/>
                <w:sz w:val="20"/>
                <w:lang w:eastAsia="zh-CN"/>
              </w:rPr>
              <w:t>依据</w:t>
            </w:r>
            <w:r>
              <w:rPr>
                <w:kern w:val="0"/>
                <w:sz w:val="20"/>
              </w:rPr>
              <w:t>GB/T 26125</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镉（Cd）</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≤50</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六价铬（Cr）</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≤50</w:t>
            </w:r>
            <w:r>
              <w:rPr>
                <w:rFonts w:hint="eastAsia"/>
                <w:kern w:val="0"/>
                <w:sz w:val="20"/>
              </w:rPr>
              <w:t>0</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汞（Hg）</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≤50</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20"/>
              </w:rPr>
            </w:pPr>
            <w:r>
              <w:rPr>
                <w:kern w:val="0"/>
                <w:sz w:val="18"/>
                <w:szCs w:val="18"/>
              </w:rPr>
              <w:t>增塑剂</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eastAsia="宋体"/>
                <w:kern w:val="0"/>
                <w:sz w:val="20"/>
                <w:lang w:val="en-US" w:eastAsia="zh-CN"/>
              </w:rPr>
            </w:pPr>
            <w:r>
              <w:rPr>
                <w:kern w:val="0"/>
                <w:sz w:val="20"/>
              </w:rPr>
              <w:t>不得检出</w:t>
            </w:r>
            <w:r>
              <w:rPr>
                <w:rFonts w:hint="eastAsia"/>
                <w:kern w:val="0"/>
                <w:sz w:val="20"/>
                <w:lang w:eastAsia="zh-CN"/>
              </w:rPr>
              <w:t>邻苯二甲酸二（</w:t>
            </w:r>
            <w:r>
              <w:rPr>
                <w:rFonts w:hint="eastAsia"/>
                <w:kern w:val="0"/>
                <w:sz w:val="20"/>
                <w:lang w:val="en-US" w:eastAsia="zh-CN"/>
              </w:rPr>
              <w:t>2-乙基</w:t>
            </w:r>
            <w:r>
              <w:rPr>
                <w:rFonts w:hint="eastAsia"/>
                <w:kern w:val="0"/>
                <w:sz w:val="20"/>
                <w:lang w:eastAsia="zh-CN"/>
              </w:rPr>
              <w:t>）己酯增塑剂</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rFonts w:hint="eastAsia"/>
                <w:kern w:val="0"/>
                <w:sz w:val="20"/>
                <w:lang w:eastAsia="zh-CN"/>
              </w:rPr>
              <w:t>依据</w:t>
            </w:r>
            <w:r>
              <w:rPr>
                <w:kern w:val="0"/>
                <w:sz w:val="20"/>
              </w:rPr>
              <w:t>GB/T 29786</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13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rPr>
                <w:kern w:val="0"/>
                <w:sz w:val="20"/>
              </w:rPr>
            </w:pPr>
            <w:r>
              <w:rPr>
                <w:kern w:val="0"/>
                <w:sz w:val="20"/>
              </w:rPr>
              <w:t>品质属性</w:t>
            </w: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型材灰分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≤12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rFonts w:hint="eastAsia"/>
                <w:kern w:val="0"/>
                <w:sz w:val="20"/>
                <w:lang w:eastAsia="zh-CN"/>
              </w:rPr>
              <w:t>依据</w:t>
            </w:r>
            <w:r>
              <w:rPr>
                <w:kern w:val="0"/>
                <w:sz w:val="20"/>
              </w:rPr>
              <w:t>GB/T 9345.5</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36" w:type="dxa"/>
            <w:vMerge w:val="continue"/>
            <w:tcBorders>
              <w:top w:val="single" w:color="auto" w:sz="4" w:space="0"/>
              <w:left w:val="single" w:color="auto" w:sz="4" w:space="0"/>
              <w:right w:val="single" w:color="auto" w:sz="4" w:space="0"/>
            </w:tcBorders>
            <w:shd w:val="clear" w:color="auto" w:fill="auto"/>
            <w:vAlign w:val="center"/>
          </w:tcPr>
          <w:p>
            <w:pPr>
              <w:adjustRightInd w:val="0"/>
              <w:snapToGrid w:val="0"/>
              <w:rPr>
                <w:kern w:val="0"/>
                <w:sz w:val="20"/>
              </w:rPr>
            </w:pP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氧指数</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kern w:val="0"/>
                <w:sz w:val="20"/>
              </w:rPr>
              <w:t>38</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rFonts w:hint="eastAsia"/>
                <w:sz w:val="20"/>
                <w:lang w:eastAsia="zh-CN"/>
              </w:rPr>
              <w:t>依据</w:t>
            </w:r>
            <w:r>
              <w:rPr>
                <w:sz w:val="20"/>
              </w:rPr>
              <w:t>GB</w:t>
            </w:r>
            <w:r>
              <w:rPr>
                <w:rFonts w:hint="eastAsia"/>
                <w:sz w:val="20"/>
              </w:rPr>
              <w:t>/T 240</w:t>
            </w:r>
            <w:r>
              <w:rPr>
                <w:rFonts w:hint="eastAsia"/>
                <w:sz w:val="20"/>
                <w:lang w:val="en-US" w:eastAsia="zh-CN"/>
              </w:rPr>
              <w:t>6.2</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老化时间</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室内用</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h</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6000</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rFonts w:hint="eastAsia"/>
                <w:kern w:val="0"/>
                <w:sz w:val="20"/>
                <w:lang w:eastAsia="zh-CN"/>
              </w:rPr>
              <w:t>依据</w:t>
            </w:r>
            <w:r>
              <w:rPr>
                <w:kern w:val="0"/>
                <w:sz w:val="20"/>
              </w:rPr>
              <w:t>GB/T 8814</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室外用</w:t>
            </w:r>
          </w:p>
        </w:tc>
        <w:tc>
          <w:tcPr>
            <w:tcW w:w="1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8000</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产品厚度</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平开</w:t>
            </w:r>
          </w:p>
        </w:tc>
        <w:tc>
          <w:tcPr>
            <w:tcW w:w="129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mm</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≥65</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jc w:val="center"/>
              <w:rPr>
                <w:rFonts w:hint="default" w:eastAsia="宋体"/>
                <w:kern w:val="0"/>
                <w:sz w:val="20"/>
                <w:lang w:val="en-US" w:eastAsia="zh-CN"/>
              </w:rPr>
            </w:pPr>
            <w:r>
              <w:rPr>
                <w:rFonts w:hint="eastAsia"/>
                <w:kern w:val="0"/>
                <w:sz w:val="20"/>
                <w:lang w:val="en-US" w:eastAsia="zh-CN"/>
              </w:rPr>
              <w:t>依据GB/T 8814</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690"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推拉</w:t>
            </w: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框</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kern w:val="0"/>
                <w:sz w:val="20"/>
              </w:rPr>
              <w:t>105</w:t>
            </w:r>
          </w:p>
        </w:tc>
        <w:tc>
          <w:tcPr>
            <w:tcW w:w="1984"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690"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扇</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kern w:val="0"/>
                <w:sz w:val="20"/>
              </w:rPr>
              <w:t>50</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腔体结构数量</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平开</w:t>
            </w:r>
          </w:p>
        </w:tc>
        <w:tc>
          <w:tcPr>
            <w:tcW w:w="129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个</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≥5</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eastAsia="宋体"/>
                <w:kern w:val="0"/>
                <w:sz w:val="20"/>
                <w:lang w:eastAsia="zh-CN"/>
              </w:rPr>
            </w:pPr>
            <w:r>
              <w:rPr>
                <w:rFonts w:hint="eastAsia"/>
                <w:kern w:val="0"/>
                <w:sz w:val="20"/>
                <w:lang w:eastAsia="zh-CN"/>
              </w:rPr>
              <w:t>提供设计数据说明文件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709" w:type="dxa"/>
            <w:gridSpan w:val="2"/>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推拉</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框</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kern w:val="0"/>
                <w:sz w:val="20"/>
              </w:rPr>
              <w:t>4</w:t>
            </w:r>
          </w:p>
        </w:tc>
        <w:tc>
          <w:tcPr>
            <w:tcW w:w="1984"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709" w:type="dxa"/>
            <w:gridSpan w:val="2"/>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扇</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kern w:val="0"/>
                <w:sz w:val="20"/>
              </w:rPr>
              <w:t>3</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kern w:val="0"/>
                <w:sz w:val="20"/>
              </w:rPr>
              <w:t>主型材壁厚</w:t>
            </w:r>
          </w:p>
        </w:tc>
        <w:tc>
          <w:tcPr>
            <w:tcW w:w="709" w:type="dxa"/>
            <w:gridSpan w:val="2"/>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平开</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可视面</w:t>
            </w:r>
          </w:p>
        </w:tc>
        <w:tc>
          <w:tcPr>
            <w:tcW w:w="129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mm</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≥2.8</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rFonts w:hint="eastAsia"/>
                <w:kern w:val="0"/>
                <w:sz w:val="20"/>
                <w:lang w:eastAsia="zh-CN"/>
              </w:rPr>
              <w:t>依据</w:t>
            </w:r>
            <w:r>
              <w:rPr>
                <w:kern w:val="0"/>
                <w:sz w:val="20"/>
              </w:rPr>
              <w:t>GB/T 8814</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sz w:val="24"/>
              </w:rPr>
            </w:pPr>
          </w:p>
        </w:tc>
        <w:tc>
          <w:tcPr>
            <w:tcW w:w="1494" w:type="dxa"/>
            <w:vMerge w:val="continue"/>
            <w:tcBorders>
              <w:left w:val="single" w:color="auto" w:sz="4" w:space="0"/>
              <w:right w:val="single" w:color="auto" w:sz="4" w:space="0"/>
            </w:tcBorders>
            <w:shd w:val="clear" w:color="auto" w:fill="auto"/>
            <w:vAlign w:val="center"/>
          </w:tcPr>
          <w:p>
            <w:pPr>
              <w:autoSpaceDE w:val="0"/>
              <w:autoSpaceDN w:val="0"/>
              <w:adjustRightInd w:val="0"/>
              <w:snapToGrid w:val="0"/>
              <w:jc w:val="center"/>
              <w:rPr>
                <w:sz w:val="24"/>
              </w:rPr>
            </w:pPr>
          </w:p>
        </w:tc>
        <w:tc>
          <w:tcPr>
            <w:tcW w:w="709" w:type="dxa"/>
            <w:gridSpan w:val="2"/>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sz w:val="24"/>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sz w:val="24"/>
              </w:rPr>
            </w:pPr>
            <w:r>
              <w:rPr>
                <w:rFonts w:ascii="宋体" w:hAnsi="宋体" w:cs="宋体"/>
                <w:kern w:val="0"/>
                <w:sz w:val="20"/>
              </w:rPr>
              <w:t>非可视面</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≥2.5</w:t>
            </w:r>
          </w:p>
        </w:tc>
        <w:tc>
          <w:tcPr>
            <w:tcW w:w="1984" w:type="dxa"/>
            <w:vMerge w:val="continue"/>
            <w:tcBorders>
              <w:left w:val="single" w:color="auto" w:sz="4" w:space="0"/>
              <w:right w:val="single" w:color="auto" w:sz="4" w:space="0"/>
            </w:tcBorders>
            <w:shd w:val="clear" w:color="auto" w:fill="auto"/>
            <w:vAlign w:val="center"/>
          </w:tcPr>
          <w:p>
            <w:pPr>
              <w:autoSpaceDE w:val="0"/>
              <w:autoSpaceDN w:val="0"/>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sz w:val="24"/>
              </w:rPr>
            </w:pPr>
          </w:p>
        </w:tc>
        <w:tc>
          <w:tcPr>
            <w:tcW w:w="1494"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p>
        </w:tc>
        <w:tc>
          <w:tcPr>
            <w:tcW w:w="709" w:type="dxa"/>
            <w:gridSpan w:val="2"/>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r>
              <w:rPr>
                <w:rFonts w:hint="eastAsia" w:ascii="宋体" w:hAnsi="宋体" w:cs="宋体"/>
                <w:kern w:val="0"/>
                <w:sz w:val="20"/>
              </w:rPr>
              <w:t>推拉</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r>
              <w:rPr>
                <w:rFonts w:ascii="宋体" w:hAnsi="宋体" w:cs="宋体"/>
                <w:kern w:val="0"/>
                <w:sz w:val="20"/>
              </w:rPr>
              <w:t>可视面</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≥2.</w:t>
            </w:r>
            <w:r>
              <w:rPr>
                <w:rFonts w:hint="eastAsia"/>
                <w:kern w:val="0"/>
                <w:sz w:val="20"/>
              </w:rPr>
              <w:t>5</w:t>
            </w:r>
          </w:p>
        </w:tc>
        <w:tc>
          <w:tcPr>
            <w:tcW w:w="1984"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3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sz w:val="24"/>
              </w:rPr>
            </w:pPr>
          </w:p>
        </w:tc>
        <w:tc>
          <w:tcPr>
            <w:tcW w:w="149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p>
        </w:tc>
        <w:tc>
          <w:tcPr>
            <w:tcW w:w="709" w:type="dxa"/>
            <w:gridSpan w:val="2"/>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r>
              <w:rPr>
                <w:rFonts w:ascii="宋体" w:hAnsi="宋体" w:cs="宋体"/>
                <w:kern w:val="0"/>
                <w:sz w:val="20"/>
              </w:rPr>
              <w:t>非可视面</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≥2.</w:t>
            </w:r>
            <w:r>
              <w:rPr>
                <w:rFonts w:hint="eastAsia"/>
                <w:kern w:val="0"/>
                <w:sz w:val="20"/>
              </w:rPr>
              <w:t>2</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p>
        </w:tc>
      </w:tr>
    </w:tbl>
    <w:p>
      <w:pPr>
        <w:pStyle w:val="23"/>
      </w:pPr>
    </w:p>
    <w:p>
      <w:pPr>
        <w:pStyle w:val="28"/>
        <w:spacing w:before="312" w:after="312"/>
        <w:rPr>
          <w:color w:val="000000"/>
        </w:rPr>
      </w:pPr>
      <w:r>
        <w:rPr>
          <w:rFonts w:hint="eastAsia"/>
          <w:color w:val="000000"/>
        </w:rPr>
        <w:t>产品</w:t>
      </w:r>
      <w:r>
        <w:rPr>
          <w:color w:val="000000"/>
        </w:rPr>
        <w:t>生命周期评价方法及评价报告编制方法</w:t>
      </w:r>
    </w:p>
    <w:p>
      <w:pPr>
        <w:pStyle w:val="25"/>
        <w:spacing w:before="156" w:after="156"/>
      </w:pPr>
      <w:r>
        <w:rPr>
          <w:rFonts w:hint="eastAsia"/>
        </w:rPr>
        <w:t>评价方法</w:t>
      </w:r>
    </w:p>
    <w:p>
      <w:pPr>
        <w:pStyle w:val="23"/>
      </w:pPr>
      <w:r>
        <w:rPr>
          <w:rFonts w:hint="eastAsia"/>
        </w:rPr>
        <w:t>依据 GB/T 24040、GB/T 24044、GB/T 32161-2015给出的生命周期评价方法学框架、总体要求及其附录编制</w:t>
      </w:r>
      <w:r>
        <w:rPr>
          <w:rFonts w:hint="eastAsia"/>
          <w:lang w:eastAsia="zh-CN"/>
        </w:rPr>
        <w:t>门窗用塑料型材</w:t>
      </w:r>
      <w:r>
        <w:rPr>
          <w:rFonts w:hint="eastAsia"/>
        </w:rPr>
        <w:t>产品生命周期评价报告，符合附录</w:t>
      </w:r>
      <w:r>
        <w:rPr>
          <w:rFonts w:hint="eastAsia"/>
          <w:lang w:val="en-US" w:eastAsia="zh-CN"/>
        </w:rPr>
        <w:t>A</w:t>
      </w:r>
      <w:r>
        <w:rPr>
          <w:rFonts w:hint="eastAsia"/>
        </w:rPr>
        <w:t>的规定。</w:t>
      </w:r>
    </w:p>
    <w:p>
      <w:pPr>
        <w:pStyle w:val="25"/>
        <w:spacing w:before="156" w:after="156"/>
      </w:pPr>
      <w:r>
        <w:rPr>
          <w:rFonts w:hint="eastAsia"/>
        </w:rPr>
        <w:t>评价报告编制方法</w:t>
      </w:r>
    </w:p>
    <w:p>
      <w:pPr>
        <w:pStyle w:val="29"/>
        <w:spacing w:before="156" w:after="156"/>
      </w:pPr>
      <w:r>
        <w:rPr>
          <w:rFonts w:hint="eastAsia"/>
        </w:rPr>
        <w:t>基本信息</w:t>
      </w:r>
    </w:p>
    <w:p>
      <w:pPr>
        <w:pStyle w:val="23"/>
      </w:pPr>
      <w:r>
        <w:rPr>
          <w:rFonts w:hint="eastAsia"/>
        </w:rPr>
        <w:t>报告应提供报告信息、申请者信息、评估对象信息、采用的标准信息、产品种类等基本信息。</w:t>
      </w:r>
    </w:p>
    <w:p>
      <w:pPr>
        <w:pStyle w:val="23"/>
      </w:pPr>
      <w:r>
        <w:rPr>
          <w:rFonts w:hint="eastAsia"/>
        </w:rPr>
        <w:t xml:space="preserve">其中 </w:t>
      </w:r>
      <w:r>
        <w:t>:</w:t>
      </w:r>
    </w:p>
    <w:p>
      <w:pPr>
        <w:pStyle w:val="65"/>
      </w:pPr>
      <w:r>
        <w:rPr>
          <w:rFonts w:hint="eastAsia"/>
        </w:rPr>
        <w:t>报告信息：包括报告编号、编制人员、审核人员、发布日期等；</w:t>
      </w:r>
    </w:p>
    <w:p>
      <w:pPr>
        <w:pStyle w:val="65"/>
      </w:pPr>
      <w:r>
        <w:rPr>
          <w:rFonts w:hint="eastAsia"/>
        </w:rPr>
        <w:t>申请者信息：包括公司全称、组织机构代码、地址、联系人、联系方式等；</w:t>
      </w:r>
    </w:p>
    <w:p>
      <w:pPr>
        <w:pStyle w:val="65"/>
      </w:pPr>
      <w:r>
        <w:rPr>
          <w:rFonts w:hint="eastAsia"/>
        </w:rPr>
        <w:t>评估对象信息 ：包括产品型号/类型、主要技术参数、制造商及厂址等；</w:t>
      </w:r>
    </w:p>
    <w:p>
      <w:pPr>
        <w:pStyle w:val="65"/>
      </w:pPr>
      <w:r>
        <w:rPr>
          <w:rFonts w:hint="eastAsia"/>
        </w:rPr>
        <w:t>采用的标准信息：包括标准名称、标准号等；</w:t>
      </w:r>
    </w:p>
    <w:p>
      <w:pPr>
        <w:pStyle w:val="65"/>
      </w:pPr>
      <w:r>
        <w:rPr>
          <w:rFonts w:hint="eastAsia"/>
        </w:rPr>
        <w:t>产品种类：包括所有规格的原始包装大小、材质、封闭口型以及可重复使用或回收的容器。</w:t>
      </w:r>
    </w:p>
    <w:p>
      <w:pPr>
        <w:pStyle w:val="29"/>
        <w:spacing w:before="156" w:after="156"/>
      </w:pPr>
      <w:r>
        <w:rPr>
          <w:rFonts w:hint="eastAsia"/>
        </w:rPr>
        <w:t>符合性评价</w:t>
      </w:r>
    </w:p>
    <w:p>
      <w:pPr>
        <w:pStyle w:val="23"/>
      </w:pPr>
      <w:r>
        <w:rPr>
          <w:rFonts w:hint="eastAsia"/>
        </w:rPr>
        <w:t>报告中应提供对基本要求和评价指标要求的符合性情况，并提供所有评价指标报告期比基期改进情况的说明。其中报告期为当前评价的年份，一般是指产品参与评价年份的上一年；基期为一个对照年份，一般比报告期提前一年。</w:t>
      </w:r>
    </w:p>
    <w:p>
      <w:pPr>
        <w:pStyle w:val="29"/>
        <w:spacing w:before="156" w:after="156"/>
      </w:pPr>
      <w:r>
        <w:rPr>
          <w:rFonts w:hint="eastAsia"/>
        </w:rPr>
        <w:t>生命周期评价</w:t>
      </w:r>
    </w:p>
    <w:p>
      <w:pPr>
        <w:pStyle w:val="32"/>
        <w:spacing w:before="156" w:after="156"/>
      </w:pPr>
      <w:r>
        <w:rPr>
          <w:rFonts w:hint="eastAsia"/>
        </w:rPr>
        <w:t>评价对象及工具</w:t>
      </w:r>
    </w:p>
    <w:p>
      <w:pPr>
        <w:pStyle w:val="23"/>
      </w:pPr>
      <w:r>
        <w:rPr>
          <w:rFonts w:hint="eastAsia"/>
        </w:rPr>
        <w:t>报告中应详细描述评估的对象、功能单位和产品主要功能，提供产品的材料构成及主要技术参数表，绘制并说明产品的系统边界，披露所使用的软件工具。</w:t>
      </w:r>
    </w:p>
    <w:p>
      <w:pPr>
        <w:pStyle w:val="32"/>
        <w:spacing w:before="156" w:after="156"/>
      </w:pPr>
      <w:r>
        <w:rPr>
          <w:rFonts w:hint="eastAsia"/>
        </w:rPr>
        <w:t>生命周期清单分析</w:t>
      </w:r>
    </w:p>
    <w:p>
      <w:pPr>
        <w:pStyle w:val="23"/>
      </w:pPr>
      <w:r>
        <w:rPr>
          <w:rFonts w:hint="eastAsia"/>
        </w:rPr>
        <w:t>报告中应提供考虑的生命周期阶段，说明每个阶段所考虑的清单因子及收集到的现场数据或背景数据，涉及到数据分配的情况应说明分配方法和结果。</w:t>
      </w:r>
    </w:p>
    <w:p>
      <w:pPr>
        <w:pStyle w:val="32"/>
        <w:spacing w:before="156" w:after="156"/>
      </w:pPr>
      <w:r>
        <w:rPr>
          <w:rFonts w:hint="eastAsia"/>
        </w:rPr>
        <w:t>生命周期影响评价</w:t>
      </w:r>
    </w:p>
    <w:p>
      <w:pPr>
        <w:pStyle w:val="23"/>
      </w:pPr>
      <w:r>
        <w:rPr>
          <w:rFonts w:hint="eastAsia"/>
        </w:rPr>
        <w:t>报告中应提供产品生命周期各阶段的不同影响类型的特征化值，并对不同影响类型在生命周期阶段的分布情况进行比较分析。</w:t>
      </w:r>
    </w:p>
    <w:p>
      <w:pPr>
        <w:pStyle w:val="32"/>
        <w:spacing w:before="156" w:after="156"/>
      </w:pPr>
      <w:r>
        <w:rPr>
          <w:rFonts w:hint="eastAsia"/>
        </w:rPr>
        <w:t>生态设计改进方案</w:t>
      </w:r>
    </w:p>
    <w:p>
      <w:pPr>
        <w:pStyle w:val="23"/>
      </w:pPr>
      <w:r>
        <w:rPr>
          <w:rFonts w:hint="eastAsia"/>
        </w:rPr>
        <w:t>在分析指标的符合性评价结果以及生命周期评价结果的基础上，提出产品绿色设计改进的具体方案。</w:t>
      </w:r>
    </w:p>
    <w:p>
      <w:pPr>
        <w:pStyle w:val="29"/>
        <w:spacing w:before="156" w:after="156"/>
      </w:pPr>
      <w:r>
        <w:rPr>
          <w:rFonts w:hint="eastAsia"/>
        </w:rPr>
        <w:t>评价报告主要结论</w:t>
      </w:r>
    </w:p>
    <w:p>
      <w:pPr>
        <w:pStyle w:val="23"/>
      </w:pPr>
      <w:r>
        <w:rPr>
          <w:rFonts w:hint="eastAsia"/>
        </w:rPr>
        <w:t>应说明该产品对评价指标的符合性结论、生命周期评价结果、提出的改进方案，并根据评价结论初步判断该产品是否为绿色设计产品。</w:t>
      </w:r>
    </w:p>
    <w:p>
      <w:pPr>
        <w:pStyle w:val="29"/>
        <w:spacing w:before="156" w:after="156"/>
      </w:pPr>
      <w:r>
        <w:rPr>
          <w:rFonts w:hint="eastAsia"/>
        </w:rPr>
        <w:t>附件</w:t>
      </w:r>
    </w:p>
    <w:p>
      <w:pPr>
        <w:pStyle w:val="23"/>
      </w:pPr>
      <w:r>
        <w:rPr>
          <w:rFonts w:hint="eastAsia"/>
        </w:rPr>
        <w:t>报告中应在附件中提供：</w:t>
      </w:r>
    </w:p>
    <w:p>
      <w:pPr>
        <w:pStyle w:val="37"/>
      </w:pPr>
      <w:r>
        <w:rPr>
          <w:rFonts w:hint="eastAsia"/>
        </w:rPr>
        <w:t>产品原始包装图；</w:t>
      </w:r>
    </w:p>
    <w:p>
      <w:pPr>
        <w:pStyle w:val="37"/>
      </w:pPr>
      <w:r>
        <w:rPr>
          <w:rFonts w:hint="eastAsia"/>
        </w:rPr>
        <w:t>产品生产材料清单；</w:t>
      </w:r>
    </w:p>
    <w:p>
      <w:pPr>
        <w:pStyle w:val="37"/>
      </w:pPr>
      <w:r>
        <w:rPr>
          <w:rFonts w:hint="eastAsia"/>
        </w:rPr>
        <w:t>产品工艺表 (产品生产工艺过程等</w:t>
      </w:r>
      <w:r>
        <w:t>)</w:t>
      </w:r>
      <w:r>
        <w:rPr>
          <w:rFonts w:hint="eastAsia"/>
        </w:rPr>
        <w:t>；</w:t>
      </w:r>
    </w:p>
    <w:p>
      <w:pPr>
        <w:pStyle w:val="37"/>
      </w:pPr>
      <w:r>
        <w:rPr>
          <w:rFonts w:hint="eastAsia"/>
        </w:rPr>
        <w:t>各单元过程的数据收集表；</w:t>
      </w:r>
    </w:p>
    <w:p>
      <w:pPr>
        <w:pStyle w:val="37"/>
      </w:pPr>
      <w:r>
        <w:rPr>
          <w:rFonts w:hint="eastAsia"/>
        </w:rPr>
        <w:t>其他。</w:t>
      </w:r>
    </w:p>
    <w:p>
      <w:pPr>
        <w:pStyle w:val="28"/>
        <w:spacing w:before="312" w:after="312"/>
      </w:pPr>
      <w:r>
        <w:rPr>
          <w:rFonts w:hint="eastAsia"/>
        </w:rPr>
        <w:t>评价结论</w:t>
      </w:r>
    </w:p>
    <w:p>
      <w:pPr>
        <w:pStyle w:val="23"/>
      </w:pPr>
      <w:r>
        <w:rPr>
          <w:rFonts w:hint="eastAsia"/>
        </w:rPr>
        <w:t xml:space="preserve">满足以下要求的产品可判定为绿色设计产品 </w:t>
      </w:r>
      <w:r>
        <w:t>:</w:t>
      </w:r>
    </w:p>
    <w:p>
      <w:pPr>
        <w:pStyle w:val="65"/>
      </w:pPr>
      <w:r>
        <w:rPr>
          <w:rFonts w:hint="eastAsia"/>
        </w:rPr>
        <w:t>满足本标准4.1的要求；</w:t>
      </w:r>
    </w:p>
    <w:p>
      <w:pPr>
        <w:pStyle w:val="65"/>
      </w:pPr>
      <w:r>
        <w:rPr>
          <w:rFonts w:hint="eastAsia"/>
        </w:rPr>
        <w:t>满足本标准4.2的要求；</w:t>
      </w:r>
    </w:p>
    <w:p>
      <w:pPr>
        <w:pStyle w:val="65"/>
      </w:pPr>
      <w:r>
        <w:rPr>
          <w:rFonts w:hint="eastAsia"/>
        </w:rPr>
        <w:t>按照本</w:t>
      </w:r>
      <w:r>
        <w:t>标准</w:t>
      </w:r>
      <w:r>
        <w:rPr>
          <w:rFonts w:hint="eastAsia"/>
        </w:rPr>
        <w:t>5的</w:t>
      </w:r>
      <w:r>
        <w:t>要求</w:t>
      </w:r>
      <w:r>
        <w:rPr>
          <w:rFonts w:hint="eastAsia"/>
        </w:rPr>
        <w:t>提供</w:t>
      </w:r>
      <w:r>
        <w:rPr>
          <w:rFonts w:hint="eastAsia"/>
          <w:lang w:eastAsia="zh-CN"/>
        </w:rPr>
        <w:t>门窗用塑料型材</w:t>
      </w:r>
      <w:r>
        <w:rPr>
          <w:rFonts w:hint="eastAsia"/>
        </w:rPr>
        <w:t>生命周期评价报告。</w:t>
      </w:r>
    </w:p>
    <w:p>
      <w:pPr>
        <w:pStyle w:val="23"/>
      </w:pPr>
      <w:r>
        <w:rPr>
          <w:rFonts w:hint="eastAsia"/>
        </w:rPr>
        <w:t>判定为绿色设计产品的可按照 GB/T 32162的要求粘贴标识，可以各种形式进行相关信息自我声明，声明内容应包括但不限于本标准 4.1和4.2的要求，但需要提供相关的符合有关要求的验证说明材料。</w:t>
      </w:r>
    </w:p>
    <w:p>
      <w:pPr>
        <w:pStyle w:val="57"/>
        <w:tabs>
          <w:tab w:val="left" w:pos="360"/>
        </w:tabs>
      </w:pPr>
      <w:r>
        <w:br w:type="textWrapping"/>
      </w:r>
      <w:r>
        <w:rPr>
          <w:rFonts w:hint="eastAsia"/>
        </w:rPr>
        <w:t>（规范性附录）</w:t>
      </w:r>
      <w:r>
        <w:br w:type="textWrapping"/>
      </w:r>
      <w:r>
        <w:rPr>
          <w:rFonts w:hint="eastAsia"/>
          <w:lang w:eastAsia="zh-CN"/>
        </w:rPr>
        <w:t>门窗用塑料型材</w:t>
      </w:r>
      <w:r>
        <w:rPr>
          <w:rFonts w:hint="eastAsia"/>
        </w:rPr>
        <w:t>生命周期评价方法</w:t>
      </w:r>
    </w:p>
    <w:p>
      <w:pPr>
        <w:pStyle w:val="62"/>
        <w:tabs>
          <w:tab w:val="left" w:pos="360"/>
        </w:tabs>
        <w:spacing w:before="312" w:after="312"/>
      </w:pPr>
      <w:r>
        <w:rPr>
          <w:rFonts w:hint="eastAsia"/>
        </w:rPr>
        <w:t>目的</w:t>
      </w:r>
    </w:p>
    <w:p>
      <w:pPr>
        <w:pStyle w:val="23"/>
      </w:pPr>
      <w:r>
        <w:rPr>
          <w:rFonts w:hint="eastAsia"/>
          <w:lang w:eastAsia="zh-CN"/>
        </w:rPr>
        <w:t>门窗用塑料型材</w:t>
      </w:r>
      <w:r>
        <w:rPr>
          <w:rFonts w:hint="eastAsia"/>
        </w:rPr>
        <w:t>的原料运输保存、产品生产、包装运输、使用到最终废弃处理的过程中对环境造成的影响，通过</w:t>
      </w:r>
      <w:r>
        <w:rPr>
          <w:rFonts w:hint="eastAsia"/>
          <w:lang w:eastAsia="zh-CN"/>
        </w:rPr>
        <w:t>门窗用塑料型材</w:t>
      </w:r>
      <w:r>
        <w:rPr>
          <w:rFonts w:hint="eastAsia"/>
        </w:rPr>
        <w:t>产品全生命周期(life cycle assessment，LCA)的环境影响大小，提出</w:t>
      </w:r>
      <w:r>
        <w:rPr>
          <w:rFonts w:hint="eastAsia"/>
          <w:lang w:eastAsia="zh-CN"/>
        </w:rPr>
        <w:t>门窗用塑料型材</w:t>
      </w:r>
      <w:r>
        <w:rPr>
          <w:rFonts w:hint="eastAsia"/>
        </w:rPr>
        <w:t>绿色设计改进方案，从而大幅提升</w:t>
      </w:r>
      <w:r>
        <w:rPr>
          <w:rFonts w:hint="eastAsia"/>
          <w:lang w:eastAsia="zh-CN"/>
        </w:rPr>
        <w:t>门窗用塑料型材</w:t>
      </w:r>
      <w:r>
        <w:rPr>
          <w:rFonts w:hint="eastAsia"/>
        </w:rPr>
        <w:t>的环境友好性。</w:t>
      </w:r>
    </w:p>
    <w:p>
      <w:pPr>
        <w:pStyle w:val="62"/>
        <w:tabs>
          <w:tab w:val="left" w:pos="360"/>
        </w:tabs>
        <w:spacing w:before="312" w:after="312"/>
      </w:pPr>
      <w:r>
        <w:rPr>
          <w:rFonts w:hint="eastAsia"/>
        </w:rPr>
        <w:t>范围</w:t>
      </w:r>
    </w:p>
    <w:p>
      <w:pPr>
        <w:pStyle w:val="23"/>
      </w:pPr>
      <w:r>
        <w:rPr>
          <w:rFonts w:hint="eastAsia"/>
        </w:rPr>
        <w:t>根据评价目的确定评价范围，确保两者相适应。定义生命周期评价范围时，应考虑以下内容并做出清晰描述：</w:t>
      </w:r>
    </w:p>
    <w:p>
      <w:pPr>
        <w:pStyle w:val="37"/>
        <w:numPr>
          <w:ilvl w:val="0"/>
          <w:numId w:val="0"/>
        </w:numPr>
        <w:ind w:left="420"/>
      </w:pPr>
      <w:r>
        <w:rPr>
          <w:rFonts w:hint="eastAsia"/>
        </w:rPr>
        <w:t>a)  系统边界</w:t>
      </w:r>
    </w:p>
    <w:p>
      <w:pPr>
        <w:pStyle w:val="23"/>
      </w:pPr>
      <w:r>
        <w:rPr>
          <w:rFonts w:hint="eastAsia"/>
        </w:rPr>
        <w:t>本附录界定的</w:t>
      </w:r>
      <w:r>
        <w:rPr>
          <w:rFonts w:hint="eastAsia"/>
          <w:lang w:eastAsia="zh-CN"/>
        </w:rPr>
        <w:t>门窗用塑料型材</w:t>
      </w:r>
      <w:r>
        <w:rPr>
          <w:rFonts w:hint="eastAsia"/>
        </w:rPr>
        <w:t>生命周期(LCA)系统边界分3个阶段：原辅料与能源的开采、生产阶段；</w:t>
      </w:r>
      <w:r>
        <w:rPr>
          <w:rFonts w:hint="eastAsia"/>
          <w:lang w:eastAsia="zh-CN"/>
        </w:rPr>
        <w:t>门窗用塑料型材</w:t>
      </w:r>
      <w:r>
        <w:rPr>
          <w:rFonts w:hint="eastAsia"/>
        </w:rPr>
        <w:t>的生产、使用阶段。如图</w:t>
      </w:r>
      <w:r>
        <w:rPr>
          <w:rFonts w:hint="eastAsia"/>
          <w:lang w:val="en-US" w:eastAsia="zh-CN"/>
        </w:rPr>
        <w:t>A</w:t>
      </w:r>
      <w:r>
        <w:rPr>
          <w:rFonts w:hint="eastAsia"/>
        </w:rPr>
        <w:t>.1所示。</w:t>
      </w:r>
    </w:p>
    <w:p>
      <w:pPr>
        <w:pStyle w:val="66"/>
        <w:numPr>
          <w:ilvl w:val="0"/>
          <w:numId w:val="0"/>
        </w:numPr>
        <w:spacing w:before="156" w:after="156"/>
        <w:jc w:val="left"/>
      </w:pPr>
      <w:r>
        <w:drawing>
          <wp:inline distT="0" distB="0" distL="114300" distR="114300">
            <wp:extent cx="5269865" cy="750570"/>
            <wp:effectExtent l="0" t="0" r="6985" b="1143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8"/>
                    <a:stretch>
                      <a:fillRect/>
                    </a:stretch>
                  </pic:blipFill>
                  <pic:spPr>
                    <a:xfrm>
                      <a:off x="0" y="0"/>
                      <a:ext cx="5269865" cy="750570"/>
                    </a:xfrm>
                    <a:prstGeom prst="rect">
                      <a:avLst/>
                    </a:prstGeom>
                    <a:noFill/>
                    <a:ln>
                      <a:noFill/>
                    </a:ln>
                  </pic:spPr>
                </pic:pic>
              </a:graphicData>
            </a:graphic>
          </wp:inline>
        </w:drawing>
      </w:r>
    </w:p>
    <w:p>
      <w:pPr>
        <w:pStyle w:val="66"/>
        <w:spacing w:before="156" w:after="156"/>
      </w:pPr>
      <w:r>
        <w:rPr>
          <w:rFonts w:hint="eastAsia"/>
          <w:lang w:eastAsia="zh-CN"/>
        </w:rPr>
        <w:t>门窗用塑料型材</w:t>
      </w:r>
      <w:r>
        <w:rPr>
          <w:rFonts w:hint="eastAsia"/>
        </w:rPr>
        <w:t>生命周期(LCA)系统边界图</w:t>
      </w:r>
    </w:p>
    <w:p>
      <w:pPr>
        <w:pStyle w:val="23"/>
      </w:pPr>
      <w:r>
        <w:rPr>
          <w:rFonts w:hint="eastAsia"/>
        </w:rPr>
        <w:t>LCA评价的覆盖时间应在规定的期限内。数据应反映具有代表性的时期(取最近三年内有效值)。如果未能取得三年内有效值，应做具体说明。</w:t>
      </w:r>
    </w:p>
    <w:p>
      <w:pPr>
        <w:pStyle w:val="23"/>
        <w:spacing w:before="156" w:after="156"/>
      </w:pPr>
      <w:r>
        <w:rPr>
          <w:rFonts w:hint="eastAsia"/>
        </w:rPr>
        <w:t>原材料数据应是在参与产品的生产和使用的地点/地区。</w:t>
      </w:r>
    </w:p>
    <w:p>
      <w:pPr>
        <w:pStyle w:val="23"/>
      </w:pPr>
      <w:r>
        <w:rPr>
          <w:rFonts w:hint="eastAsia"/>
        </w:rPr>
        <w:t>生产过程数据应是在最终产品的生产中所涉及的地点/地区。</w:t>
      </w:r>
    </w:p>
    <w:p>
      <w:pPr>
        <w:pStyle w:val="23"/>
      </w:pPr>
      <w:r>
        <w:rPr>
          <w:rFonts w:hint="eastAsia"/>
        </w:rPr>
        <w:t>b)  数据取舍原则</w:t>
      </w:r>
    </w:p>
    <w:p>
      <w:pPr>
        <w:pStyle w:val="23"/>
      </w:pPr>
      <w:r>
        <w:rPr>
          <w:rFonts w:hint="eastAsia"/>
        </w:rPr>
        <w:t>单元过程数据种类很多，应对数据进行适当的取舍，原则如下:</w:t>
      </w:r>
    </w:p>
    <w:p>
      <w:pPr>
        <w:pStyle w:val="33"/>
      </w:pPr>
      <w:r>
        <w:rPr>
          <w:rFonts w:hint="eastAsia"/>
        </w:rPr>
        <w:t>能源的所有输入均列出；</w:t>
      </w:r>
    </w:p>
    <w:p>
      <w:pPr>
        <w:pStyle w:val="33"/>
      </w:pPr>
      <w:r>
        <w:rPr>
          <w:rFonts w:hint="eastAsia"/>
        </w:rPr>
        <w:t>原料的所有输入均列出；</w:t>
      </w:r>
    </w:p>
    <w:p>
      <w:pPr>
        <w:pStyle w:val="33"/>
      </w:pPr>
      <w:r>
        <w:rPr>
          <w:rFonts w:hint="eastAsia"/>
        </w:rPr>
        <w:t>辅助材料质量小于原料总消耗0.3%的项目输入可忽略；</w:t>
      </w:r>
    </w:p>
    <w:p>
      <w:pPr>
        <w:pStyle w:val="33"/>
      </w:pPr>
      <w:r>
        <w:rPr>
          <w:rFonts w:hint="eastAsia"/>
        </w:rPr>
        <w:t>大气、水体的各种排放均列出；</w:t>
      </w:r>
    </w:p>
    <w:p>
      <w:pPr>
        <w:pStyle w:val="33"/>
      </w:pPr>
      <w:r>
        <w:rPr>
          <w:rFonts w:hint="eastAsia"/>
        </w:rPr>
        <w:t>小于固体废弃物排放总量 1%的一般性固体废弃物可忽略；</w:t>
      </w:r>
    </w:p>
    <w:p>
      <w:pPr>
        <w:pStyle w:val="33"/>
      </w:pPr>
      <w:r>
        <w:rPr>
          <w:rFonts w:hint="eastAsia"/>
        </w:rPr>
        <w:t>道路与厂房的基础设施、各工序的设备、厂区内人员及生活设施的消耗和排放均忽略；</w:t>
      </w:r>
    </w:p>
    <w:p>
      <w:pPr>
        <w:pStyle w:val="33"/>
      </w:pPr>
      <w:r>
        <w:rPr>
          <w:rFonts w:hint="eastAsia"/>
        </w:rPr>
        <w:t>任何有毒有害材料和物质均应包含于清单中，不可忽略。</w:t>
      </w:r>
    </w:p>
    <w:p>
      <w:pPr>
        <w:pStyle w:val="62"/>
        <w:tabs>
          <w:tab w:val="left" w:pos="360"/>
        </w:tabs>
        <w:spacing w:before="312" w:after="312"/>
      </w:pPr>
      <w:r>
        <w:rPr>
          <w:rFonts w:hint="eastAsia"/>
        </w:rPr>
        <w:t>生命周期清单分析</w:t>
      </w:r>
    </w:p>
    <w:p>
      <w:pPr>
        <w:pStyle w:val="63"/>
        <w:tabs>
          <w:tab w:val="left" w:pos="360"/>
        </w:tabs>
        <w:spacing w:before="156" w:after="156"/>
      </w:pPr>
      <w:r>
        <w:rPr>
          <w:rFonts w:hint="eastAsia"/>
        </w:rPr>
        <w:t>总则</w:t>
      </w:r>
    </w:p>
    <w:p>
      <w:pPr>
        <w:pStyle w:val="23"/>
      </w:pPr>
      <w:r>
        <w:rPr>
          <w:rFonts w:hint="eastAsia"/>
        </w:rPr>
        <w:t>应编制</w:t>
      </w:r>
      <w:r>
        <w:rPr>
          <w:rFonts w:hint="eastAsia"/>
          <w:lang w:eastAsia="zh-CN"/>
        </w:rPr>
        <w:t>门窗用塑料型材</w:t>
      </w:r>
      <w:r>
        <w:rPr>
          <w:rFonts w:hint="eastAsia"/>
        </w:rPr>
        <w:t>系统边界内的所有材料/能源输入、输出清单，作为产品生命周期评价的依据。如果数据清单有特殊情况、异常点或其他问题，应在报告中进行明确说明。</w:t>
      </w:r>
    </w:p>
    <w:p>
      <w:pPr>
        <w:pStyle w:val="23"/>
      </w:pPr>
      <w:r>
        <w:rPr>
          <w:rFonts w:hint="eastAsia"/>
        </w:rPr>
        <w:t>当数据收集完成后，应对收集的数据进行审定。然后，确定每个单元过程的基本流，并据此计算出单元过程的定量输入和输出。此后，将每个单元过程的输入输出数据除以产品的产量，得到单位资源消耗和环境排放。最后，将产品各单元过程中相同的影响因素的数据求和，以获取该影响因素的总量，为产品级的影响评价提供必要的数据。</w:t>
      </w:r>
    </w:p>
    <w:p>
      <w:pPr>
        <w:pStyle w:val="63"/>
        <w:tabs>
          <w:tab w:val="left" w:pos="360"/>
        </w:tabs>
        <w:spacing w:before="156" w:after="156"/>
      </w:pPr>
      <w:r>
        <w:rPr>
          <w:rFonts w:hint="eastAsia"/>
        </w:rPr>
        <w:t>数据收集</w:t>
      </w:r>
    </w:p>
    <w:p>
      <w:pPr>
        <w:pStyle w:val="58"/>
        <w:tabs>
          <w:tab w:val="left" w:pos="360"/>
        </w:tabs>
        <w:spacing w:before="156" w:after="156"/>
      </w:pPr>
      <w:r>
        <w:rPr>
          <w:rFonts w:hint="eastAsia"/>
        </w:rPr>
        <w:t>概况</w:t>
      </w:r>
    </w:p>
    <w:p>
      <w:pPr>
        <w:pStyle w:val="23"/>
      </w:pPr>
      <w:r>
        <w:rPr>
          <w:rFonts w:hint="eastAsia"/>
        </w:rPr>
        <w:t xml:space="preserve">应将以下要素纳入数据清单 </w:t>
      </w:r>
      <w:r>
        <w:t>:</w:t>
      </w:r>
    </w:p>
    <w:p>
      <w:pPr>
        <w:pStyle w:val="37"/>
        <w:numPr>
          <w:ilvl w:val="0"/>
          <w:numId w:val="0"/>
        </w:numPr>
        <w:ind w:left="420"/>
      </w:pPr>
      <w:r>
        <w:rPr>
          <w:rFonts w:hint="eastAsia"/>
        </w:rPr>
        <w:t>a)  原材料采购和预加工 ；</w:t>
      </w:r>
    </w:p>
    <w:p>
      <w:pPr>
        <w:pStyle w:val="37"/>
        <w:numPr>
          <w:ilvl w:val="0"/>
          <w:numId w:val="0"/>
        </w:numPr>
        <w:ind w:left="420"/>
      </w:pPr>
      <w:r>
        <w:rPr>
          <w:rFonts w:hint="eastAsia"/>
        </w:rPr>
        <w:t>b)  生产 ；</w:t>
      </w:r>
    </w:p>
    <w:p>
      <w:pPr>
        <w:pStyle w:val="37"/>
        <w:numPr>
          <w:ilvl w:val="0"/>
          <w:numId w:val="0"/>
        </w:numPr>
        <w:ind w:left="420"/>
      </w:pPr>
      <w:r>
        <w:rPr>
          <w:rFonts w:hint="eastAsia"/>
        </w:rPr>
        <w:t>c)  产品分配和储存；</w:t>
      </w:r>
    </w:p>
    <w:p>
      <w:pPr>
        <w:pStyle w:val="37"/>
        <w:numPr>
          <w:ilvl w:val="0"/>
          <w:numId w:val="0"/>
        </w:numPr>
        <w:ind w:left="420"/>
      </w:pPr>
      <w:r>
        <w:rPr>
          <w:rFonts w:hint="eastAsia"/>
        </w:rPr>
        <w:t>d)  使用阶段；</w:t>
      </w:r>
    </w:p>
    <w:p>
      <w:pPr>
        <w:pStyle w:val="37"/>
        <w:numPr>
          <w:ilvl w:val="0"/>
          <w:numId w:val="0"/>
        </w:numPr>
        <w:ind w:left="420"/>
      </w:pPr>
      <w:r>
        <w:rPr>
          <w:rFonts w:hint="eastAsia"/>
        </w:rPr>
        <w:t>e)  运输；</w:t>
      </w:r>
    </w:p>
    <w:p>
      <w:pPr>
        <w:pStyle w:val="37"/>
        <w:numPr>
          <w:ilvl w:val="0"/>
          <w:numId w:val="0"/>
        </w:numPr>
        <w:ind w:left="420"/>
      </w:pPr>
      <w:r>
        <w:rPr>
          <w:rFonts w:hint="eastAsia"/>
        </w:rPr>
        <w:t>f)  寿命终止。</w:t>
      </w:r>
    </w:p>
    <w:p>
      <w:pPr>
        <w:pStyle w:val="23"/>
      </w:pPr>
      <w:r>
        <w:rPr>
          <w:rFonts w:hint="eastAsia"/>
        </w:rPr>
        <w:t>基于LCA的信息中要使用的数据分为两类：现场数据和背景数据。主要数据尽量使用现场数据，如果现场数据收集缺乏，可以选择背景数据。</w:t>
      </w:r>
    </w:p>
    <w:p>
      <w:pPr>
        <w:pStyle w:val="23"/>
      </w:pPr>
      <w:r>
        <w:rPr>
          <w:rFonts w:hint="eastAsia"/>
        </w:rPr>
        <w:t>现场数据是在现场具体操作过程中收集来的。主要包括生产过程的能源与水消耗、产品原材料的使用量、产品主要包装材料的使用量和废弃物产生量等。现场数据还应包括运输数据，即产品原料、主要包装等从制造地点到最终交货点的运输距离。</w:t>
      </w:r>
    </w:p>
    <w:p>
      <w:pPr>
        <w:pStyle w:val="23"/>
      </w:pPr>
      <w:r>
        <w:rPr>
          <w:rFonts w:hint="eastAsia"/>
        </w:rPr>
        <w:t>背景数据应当包括主要原料的生产数据、权威的电力的组合的数据(如火力、水、风力发电等)、不同运输类型造成的环境影响以及产品成分在环境中降解或在本企业污水处理设施内处理过程的排放数据。</w:t>
      </w:r>
    </w:p>
    <w:p>
      <w:pPr>
        <w:pStyle w:val="58"/>
        <w:tabs>
          <w:tab w:val="left" w:pos="360"/>
        </w:tabs>
        <w:spacing w:before="156" w:after="156"/>
      </w:pPr>
      <w:r>
        <w:rPr>
          <w:rFonts w:hint="eastAsia"/>
        </w:rPr>
        <w:t>现场数据采集</w:t>
      </w:r>
    </w:p>
    <w:p>
      <w:pPr>
        <w:pStyle w:val="23"/>
      </w:pPr>
      <w:r>
        <w:rPr>
          <w:rFonts w:hint="eastAsia"/>
        </w:rPr>
        <w:t xml:space="preserve">应描述代表某一特定设施或设施的活动而直接测量或收集的数据相关采集规程。可直接对过程进行的测量或者通过采访或问卷调查从经营者处获得的测量值为特定过程最具代表性的数据来源。现场数据的质量要求包括 </w:t>
      </w:r>
      <w:r>
        <w:t>:</w:t>
      </w:r>
    </w:p>
    <w:p>
      <w:pPr>
        <w:pStyle w:val="23"/>
      </w:pPr>
      <w:r>
        <w:rPr>
          <w:rFonts w:hint="eastAsia"/>
        </w:rPr>
        <w:t>a)  代表性：现场数据应按照企业生产单元收集所确定范围内的生产统计数据；</w:t>
      </w:r>
    </w:p>
    <w:p>
      <w:pPr>
        <w:pStyle w:val="23"/>
      </w:pPr>
      <w:r>
        <w:rPr>
          <w:rFonts w:hint="eastAsia"/>
        </w:rPr>
        <w:t>b)  完整性：现场数据应采集完整的生命周期要求数据；</w:t>
      </w:r>
    </w:p>
    <w:p>
      <w:pPr>
        <w:pStyle w:val="23"/>
      </w:pPr>
      <w:r>
        <w:rPr>
          <w:rFonts w:hint="eastAsia"/>
        </w:rPr>
        <w:t>c)  准确性：现场数据中的资源、能源、原材料消耗数据应该来自生产单元的实际生产统计记录；环境排放数据优先选择相关的环境监测报告，或者由排污因子或物料平衡公式计算获得。所有现场数据均须转换为单位产品，并且需要详细记录相关的原始数据、数据来源、计算过程等；</w:t>
      </w:r>
    </w:p>
    <w:p>
      <w:pPr>
        <w:pStyle w:val="23"/>
        <w:ind w:left="840" w:leftChars="200" w:hanging="420" w:hangingChars="200"/>
      </w:pPr>
      <w:r>
        <w:rPr>
          <w:rFonts w:hint="eastAsia"/>
        </w:rPr>
        <w:t>d)  一致性：企业现场数据收集时应保持相同的数据来源、统计口径、处理规格等。典型现场数据来源包括</w:t>
      </w:r>
      <w:r>
        <w:t>:</w:t>
      </w:r>
    </w:p>
    <w:p>
      <w:pPr>
        <w:pStyle w:val="33"/>
        <w:numPr>
          <w:ilvl w:val="0"/>
          <w:numId w:val="0"/>
        </w:numPr>
        <w:ind w:left="840"/>
      </w:pPr>
      <w:r>
        <w:rPr>
          <w:rFonts w:hint="eastAsia"/>
        </w:rPr>
        <w:t xml:space="preserve">1)  </w:t>
      </w:r>
      <w:r>
        <w:rPr>
          <w:rFonts w:hint="eastAsia"/>
          <w:lang w:eastAsia="zh-CN"/>
        </w:rPr>
        <w:t>门窗用塑料型材</w:t>
      </w:r>
      <w:r>
        <w:rPr>
          <w:rFonts w:hint="eastAsia"/>
        </w:rPr>
        <w:t>的原材料采购和预加工；</w:t>
      </w:r>
    </w:p>
    <w:p>
      <w:pPr>
        <w:pStyle w:val="33"/>
        <w:numPr>
          <w:ilvl w:val="0"/>
          <w:numId w:val="0"/>
        </w:numPr>
        <w:ind w:left="840"/>
      </w:pPr>
      <w:r>
        <w:rPr>
          <w:rFonts w:hint="eastAsia"/>
        </w:rPr>
        <w:t xml:space="preserve">2) </w:t>
      </w:r>
      <w:r>
        <w:rPr>
          <w:rFonts w:hint="eastAsia"/>
          <w:lang w:val="en-US" w:eastAsia="zh-CN"/>
        </w:rPr>
        <w:t xml:space="preserve"> </w:t>
      </w:r>
      <w:r>
        <w:rPr>
          <w:rFonts w:hint="eastAsia"/>
          <w:lang w:eastAsia="zh-CN"/>
        </w:rPr>
        <w:t>门窗用塑料型材</w:t>
      </w:r>
      <w:r>
        <w:rPr>
          <w:rFonts w:hint="eastAsia"/>
        </w:rPr>
        <w:t>的原材料由原材料供应商运输至</w:t>
      </w:r>
      <w:r>
        <w:rPr>
          <w:rFonts w:hint="eastAsia"/>
          <w:lang w:eastAsia="zh-CN"/>
        </w:rPr>
        <w:t>门窗用塑料型材</w:t>
      </w:r>
      <w:r>
        <w:rPr>
          <w:rFonts w:hint="eastAsia"/>
        </w:rPr>
        <w:t>生产商处的运输数据；</w:t>
      </w:r>
    </w:p>
    <w:p>
      <w:pPr>
        <w:pStyle w:val="33"/>
        <w:numPr>
          <w:ilvl w:val="0"/>
          <w:numId w:val="0"/>
        </w:numPr>
        <w:ind w:left="840"/>
      </w:pPr>
      <w:r>
        <w:rPr>
          <w:rFonts w:hint="eastAsia"/>
        </w:rPr>
        <w:t xml:space="preserve">3)  </w:t>
      </w:r>
      <w:r>
        <w:rPr>
          <w:rFonts w:hint="eastAsia"/>
          <w:lang w:eastAsia="zh-CN"/>
        </w:rPr>
        <w:t>门窗用塑料型材</w:t>
      </w:r>
      <w:r>
        <w:rPr>
          <w:rFonts w:hint="eastAsia"/>
        </w:rPr>
        <w:t>生产过程的碳能源和水资源消耗数据；</w:t>
      </w:r>
    </w:p>
    <w:p>
      <w:pPr>
        <w:pStyle w:val="33"/>
        <w:numPr>
          <w:ilvl w:val="0"/>
          <w:numId w:val="0"/>
        </w:numPr>
        <w:ind w:left="840"/>
      </w:pPr>
      <w:r>
        <w:rPr>
          <w:rFonts w:hint="eastAsia"/>
        </w:rPr>
        <w:t xml:space="preserve">4)  </w:t>
      </w:r>
      <w:r>
        <w:rPr>
          <w:rFonts w:hint="eastAsia"/>
          <w:lang w:eastAsia="zh-CN"/>
        </w:rPr>
        <w:t>门窗用塑料型材</w:t>
      </w:r>
      <w:r>
        <w:rPr>
          <w:rFonts w:hint="eastAsia"/>
        </w:rPr>
        <w:t>原材料分配及用量数据；</w:t>
      </w:r>
    </w:p>
    <w:p>
      <w:pPr>
        <w:pStyle w:val="33"/>
        <w:numPr>
          <w:ilvl w:val="0"/>
          <w:numId w:val="0"/>
        </w:numPr>
        <w:ind w:left="840"/>
      </w:pPr>
      <w:r>
        <w:rPr>
          <w:rFonts w:hint="eastAsia"/>
        </w:rPr>
        <w:t xml:space="preserve">5)  </w:t>
      </w:r>
      <w:r>
        <w:rPr>
          <w:rFonts w:hint="eastAsia"/>
          <w:lang w:eastAsia="zh-CN"/>
        </w:rPr>
        <w:t>门窗用塑料型材</w:t>
      </w:r>
      <w:r>
        <w:rPr>
          <w:rFonts w:hint="eastAsia"/>
        </w:rPr>
        <w:t>包装材料数据，包括原材料包装数据；</w:t>
      </w:r>
    </w:p>
    <w:p>
      <w:pPr>
        <w:pStyle w:val="33"/>
        <w:numPr>
          <w:ilvl w:val="0"/>
          <w:numId w:val="0"/>
        </w:numPr>
        <w:ind w:left="840"/>
      </w:pPr>
      <w:r>
        <w:rPr>
          <w:rFonts w:hint="eastAsia"/>
        </w:rPr>
        <w:t xml:space="preserve">6)  </w:t>
      </w:r>
      <w:r>
        <w:rPr>
          <w:rFonts w:hint="eastAsia"/>
          <w:lang w:eastAsia="zh-CN"/>
        </w:rPr>
        <w:t>门窗用塑料型材</w:t>
      </w:r>
      <w:r>
        <w:rPr>
          <w:rFonts w:hint="eastAsia"/>
        </w:rPr>
        <w:t>由生产商处运输至经销商处的运输数据；</w:t>
      </w:r>
    </w:p>
    <w:p>
      <w:pPr>
        <w:pStyle w:val="33"/>
        <w:numPr>
          <w:ilvl w:val="0"/>
          <w:numId w:val="0"/>
        </w:numPr>
        <w:ind w:left="840"/>
      </w:pPr>
      <w:r>
        <w:rPr>
          <w:rFonts w:hint="eastAsia"/>
        </w:rPr>
        <w:t xml:space="preserve">7)  </w:t>
      </w:r>
      <w:r>
        <w:rPr>
          <w:rFonts w:hint="eastAsia"/>
          <w:lang w:eastAsia="zh-CN"/>
        </w:rPr>
        <w:t>门窗用塑料型材</w:t>
      </w:r>
      <w:r>
        <w:rPr>
          <w:rFonts w:hint="eastAsia"/>
        </w:rPr>
        <w:t>生产废水经污水处理厂所消耗的数据。</w:t>
      </w:r>
    </w:p>
    <w:p>
      <w:pPr>
        <w:pStyle w:val="58"/>
        <w:tabs>
          <w:tab w:val="left" w:pos="360"/>
        </w:tabs>
        <w:spacing w:before="156" w:after="156"/>
      </w:pPr>
      <w:r>
        <w:rPr>
          <w:rFonts w:hint="eastAsia"/>
        </w:rPr>
        <w:t>背景数据采集</w:t>
      </w:r>
    </w:p>
    <w:p>
      <w:pPr>
        <w:pStyle w:val="23"/>
      </w:pPr>
      <w:r>
        <w:rPr>
          <w:rFonts w:hint="eastAsia"/>
        </w:rPr>
        <w:t>背景数据不是直接测量或计算得到的数据。所使用数据的来源应有清楚的文件记载并载入产品生命周期评价报告。</w:t>
      </w:r>
    </w:p>
    <w:p>
      <w:pPr>
        <w:pStyle w:val="23"/>
      </w:pPr>
      <w:r>
        <w:rPr>
          <w:rFonts w:hint="eastAsia"/>
        </w:rPr>
        <w:t>背景数据的质量要求包括</w:t>
      </w:r>
      <w:r>
        <w:t>:</w:t>
      </w:r>
    </w:p>
    <w:p>
      <w:pPr>
        <w:pStyle w:val="23"/>
      </w:pPr>
      <w:r>
        <w:rPr>
          <w:rFonts w:hint="eastAsia"/>
        </w:rPr>
        <w:t>a)  代表性：背景数据应优先选择企业的原材料供应商提供的符合相关 LCA标准要求的、经第三方独立验证的上游产品 LCA报告中的数据。若无，须优先选择代表中国国内平均生产水平的公开 LCA数据，数据的参考年限应优先选择近年数据。在没有符合要求的中国国内数据的情况下，可以选择国外同类技术数据作为背景数据；</w:t>
      </w:r>
    </w:p>
    <w:p>
      <w:pPr>
        <w:pStyle w:val="23"/>
      </w:pPr>
      <w:r>
        <w:rPr>
          <w:rFonts w:hint="eastAsia"/>
        </w:rPr>
        <w:t>b)  完整性：背景数据的系统边界应该从资源开采到这些原辅材料或能源产品出厂为止；</w:t>
      </w:r>
    </w:p>
    <w:p>
      <w:pPr>
        <w:pStyle w:val="23"/>
      </w:pPr>
      <w:r>
        <w:rPr>
          <w:rFonts w:hint="eastAsia"/>
        </w:rPr>
        <w:t>c)  一致性：所有被选择的背景数据应完整覆盖本部分确定的生命周期清单因子，并且应将背景数据转换为一致的物质名录后再进行计算。</w:t>
      </w:r>
    </w:p>
    <w:p>
      <w:pPr>
        <w:pStyle w:val="58"/>
        <w:tabs>
          <w:tab w:val="left" w:pos="360"/>
        </w:tabs>
        <w:spacing w:before="156" w:after="156"/>
      </w:pPr>
      <w:r>
        <w:rPr>
          <w:rFonts w:hint="eastAsia"/>
        </w:rPr>
        <w:t>原材料采购和预加工</w:t>
      </w:r>
    </w:p>
    <w:p>
      <w:pPr>
        <w:pStyle w:val="23"/>
      </w:pPr>
      <w:r>
        <w:rPr>
          <w:rFonts w:hint="eastAsia"/>
        </w:rPr>
        <w:t>该阶段始于从大自然提取资源，结束于</w:t>
      </w:r>
      <w:r>
        <w:rPr>
          <w:rFonts w:hint="eastAsia"/>
          <w:lang w:eastAsia="zh-CN"/>
        </w:rPr>
        <w:t>门窗用塑料型材</w:t>
      </w:r>
      <w:r>
        <w:rPr>
          <w:rFonts w:hint="eastAsia"/>
        </w:rPr>
        <w:t xml:space="preserve">进入产品生产设施，包括 </w:t>
      </w:r>
      <w:r>
        <w:t>:</w:t>
      </w:r>
    </w:p>
    <w:p>
      <w:pPr>
        <w:pStyle w:val="23"/>
      </w:pPr>
      <w:r>
        <w:rPr>
          <w:rFonts w:hint="eastAsia"/>
        </w:rPr>
        <w:t>a)  开采和提取；</w:t>
      </w:r>
    </w:p>
    <w:p>
      <w:pPr>
        <w:pStyle w:val="23"/>
      </w:pPr>
      <w:r>
        <w:rPr>
          <w:rFonts w:hint="eastAsia"/>
        </w:rPr>
        <w:t>b)  所有材料的预加工；</w:t>
      </w:r>
    </w:p>
    <w:p>
      <w:pPr>
        <w:pStyle w:val="23"/>
      </w:pPr>
      <w:r>
        <w:rPr>
          <w:rFonts w:hint="eastAsia"/>
        </w:rPr>
        <w:t>c)  转换回收的材料；</w:t>
      </w:r>
    </w:p>
    <w:p>
      <w:pPr>
        <w:pStyle w:val="23"/>
      </w:pPr>
      <w:r>
        <w:rPr>
          <w:rFonts w:hint="eastAsia"/>
        </w:rPr>
        <w:t>d)  提取或与加工设施内部或与加工设施之间的运输。</w:t>
      </w:r>
    </w:p>
    <w:p>
      <w:pPr>
        <w:pStyle w:val="58"/>
        <w:tabs>
          <w:tab w:val="left" w:pos="360"/>
        </w:tabs>
        <w:spacing w:before="156" w:after="156"/>
      </w:pPr>
      <w:r>
        <w:rPr>
          <w:rFonts w:hint="eastAsia"/>
        </w:rPr>
        <w:t>生产</w:t>
      </w:r>
    </w:p>
    <w:p>
      <w:pPr>
        <w:pStyle w:val="23"/>
      </w:pPr>
      <w:r>
        <w:rPr>
          <w:rFonts w:hint="eastAsia"/>
        </w:rPr>
        <w:t>该阶段始于</w:t>
      </w:r>
      <w:r>
        <w:rPr>
          <w:rFonts w:hint="eastAsia"/>
          <w:lang w:eastAsia="zh-CN"/>
        </w:rPr>
        <w:t>门窗用塑料型材</w:t>
      </w:r>
      <w:r>
        <w:rPr>
          <w:rFonts w:hint="eastAsia"/>
        </w:rPr>
        <w:t>进入生产设施，结束于产品离开生产设施。生产活动包括化学处理、制造、制造过程中半成品的运输、材料组成包装等。</w:t>
      </w:r>
    </w:p>
    <w:p>
      <w:pPr>
        <w:pStyle w:val="58"/>
        <w:tabs>
          <w:tab w:val="left" w:pos="360"/>
        </w:tabs>
        <w:spacing w:before="156" w:after="156"/>
      </w:pPr>
      <w:r>
        <w:rPr>
          <w:rFonts w:hint="eastAsia"/>
        </w:rPr>
        <w:t>产品分配</w:t>
      </w:r>
    </w:p>
    <w:p>
      <w:pPr>
        <w:pStyle w:val="23"/>
      </w:pPr>
      <w:r>
        <w:rPr>
          <w:rFonts w:hint="eastAsia"/>
        </w:rPr>
        <w:t>该阶段将</w:t>
      </w:r>
      <w:r>
        <w:rPr>
          <w:rFonts w:hint="eastAsia"/>
          <w:lang w:eastAsia="zh-CN"/>
        </w:rPr>
        <w:t>门窗用塑料型材</w:t>
      </w:r>
      <w:r>
        <w:rPr>
          <w:rFonts w:hint="eastAsia"/>
        </w:rPr>
        <w:t>分配给各地经销商，可沿着供应链将其储存在各点，包括运输车辆的燃料使用等。</w:t>
      </w:r>
    </w:p>
    <w:p>
      <w:pPr>
        <w:pStyle w:val="58"/>
        <w:tabs>
          <w:tab w:val="left" w:pos="360"/>
        </w:tabs>
        <w:spacing w:before="156" w:after="156"/>
      </w:pPr>
      <w:r>
        <w:rPr>
          <w:rFonts w:hint="eastAsia"/>
        </w:rPr>
        <w:t>使用阶段</w:t>
      </w:r>
    </w:p>
    <w:p>
      <w:pPr>
        <w:pStyle w:val="23"/>
      </w:pPr>
      <w:r>
        <w:rPr>
          <w:rFonts w:hint="eastAsia"/>
        </w:rPr>
        <w:t>该阶段始于消费者拥有产品，结束于</w:t>
      </w:r>
      <w:r>
        <w:rPr>
          <w:rFonts w:hint="eastAsia"/>
          <w:lang w:eastAsia="zh-CN"/>
        </w:rPr>
        <w:t>门窗用塑料型材</w:t>
      </w:r>
      <w:r>
        <w:rPr>
          <w:rFonts w:hint="eastAsia"/>
        </w:rPr>
        <w:t>使用过程。包括使用模式、使用期间的资源消耗等。</w:t>
      </w:r>
    </w:p>
    <w:p>
      <w:pPr>
        <w:pStyle w:val="58"/>
        <w:tabs>
          <w:tab w:val="left" w:pos="360"/>
        </w:tabs>
        <w:spacing w:before="156" w:after="156"/>
      </w:pPr>
      <w:r>
        <w:rPr>
          <w:rFonts w:hint="eastAsia"/>
        </w:rPr>
        <w:t>物流</w:t>
      </w:r>
    </w:p>
    <w:p>
      <w:pPr>
        <w:pStyle w:val="23"/>
      </w:pPr>
      <w:r>
        <w:rPr>
          <w:rFonts w:hint="eastAsia"/>
        </w:rPr>
        <w:t>应考虑的运输参数包括运输方式、车辆类型、燃料消耗量、装货速率、回空数量、运输距离、根据负载限制因素(即高密度产品质量和低密度产品体积)的商品运输分配以及燃料用量。</w:t>
      </w:r>
    </w:p>
    <w:p>
      <w:pPr>
        <w:pStyle w:val="58"/>
        <w:tabs>
          <w:tab w:val="left" w:pos="360"/>
        </w:tabs>
        <w:spacing w:before="156" w:after="156"/>
      </w:pPr>
      <w:r>
        <w:rPr>
          <w:rFonts w:hint="eastAsia"/>
        </w:rPr>
        <w:t>寿命终止</w:t>
      </w:r>
    </w:p>
    <w:p>
      <w:pPr>
        <w:pStyle w:val="23"/>
      </w:pPr>
      <w:r>
        <w:rPr>
          <w:rFonts w:hint="eastAsia"/>
        </w:rPr>
        <w:t>该阶段始于消费者使用</w:t>
      </w:r>
      <w:r>
        <w:rPr>
          <w:rFonts w:hint="eastAsia"/>
          <w:lang w:eastAsia="zh-CN"/>
        </w:rPr>
        <w:t>门窗用塑料型材</w:t>
      </w:r>
      <w:r>
        <w:rPr>
          <w:rFonts w:hint="eastAsia"/>
        </w:rPr>
        <w:t>，结束于产品作为固体废弃物处理后进入大自然的生命周期。</w:t>
      </w:r>
    </w:p>
    <w:p>
      <w:pPr>
        <w:pStyle w:val="58"/>
        <w:tabs>
          <w:tab w:val="left" w:pos="360"/>
        </w:tabs>
        <w:spacing w:before="156" w:after="156"/>
      </w:pPr>
      <w:r>
        <w:rPr>
          <w:rFonts w:hint="eastAsia"/>
        </w:rPr>
        <w:t>用电量计算</w:t>
      </w:r>
    </w:p>
    <w:p>
      <w:pPr>
        <w:pStyle w:val="23"/>
      </w:pPr>
      <w:r>
        <w:rPr>
          <w:rFonts w:hint="eastAsia"/>
        </w:rPr>
        <w:t>对于产品系统边界上游或内部消耗的电力，应使用区域供应商现场数据。</w:t>
      </w:r>
    </w:p>
    <w:p>
      <w:pPr>
        <w:pStyle w:val="63"/>
        <w:tabs>
          <w:tab w:val="left" w:pos="360"/>
        </w:tabs>
        <w:spacing w:before="156" w:after="156"/>
      </w:pPr>
      <w:r>
        <w:rPr>
          <w:rFonts w:hint="eastAsia"/>
        </w:rPr>
        <w:t>数据分配</w:t>
      </w:r>
    </w:p>
    <w:p>
      <w:pPr>
        <w:pStyle w:val="23"/>
      </w:pPr>
      <w:r>
        <w:rPr>
          <w:rFonts w:hint="eastAsia"/>
        </w:rPr>
        <w:t>在进行</w:t>
      </w:r>
      <w:r>
        <w:rPr>
          <w:rFonts w:hint="eastAsia"/>
          <w:lang w:eastAsia="zh-CN"/>
        </w:rPr>
        <w:t>门窗用塑料型材</w:t>
      </w:r>
      <w:r>
        <w:rPr>
          <w:rFonts w:hint="eastAsia"/>
        </w:rPr>
        <w:t>生命周期评价的过程中涉及到数据分配问题，特别是</w:t>
      </w:r>
      <w:r>
        <w:rPr>
          <w:rFonts w:hint="eastAsia"/>
          <w:lang w:eastAsia="zh-CN"/>
        </w:rPr>
        <w:t>门窗用塑料型材</w:t>
      </w:r>
      <w:r>
        <w:rPr>
          <w:rFonts w:hint="eastAsia"/>
        </w:rPr>
        <w:t>的生产环节。对于</w:t>
      </w:r>
      <w:r>
        <w:rPr>
          <w:rFonts w:hint="eastAsia"/>
          <w:lang w:eastAsia="zh-CN"/>
        </w:rPr>
        <w:t>门窗用塑料型材</w:t>
      </w:r>
      <w:r>
        <w:rPr>
          <w:rFonts w:hint="eastAsia"/>
        </w:rPr>
        <w:t>生产而言，由于厂家往往同时生产多种类型的产品，一条工艺线上或一个车间里会同时生产多种型号</w:t>
      </w:r>
      <w:r>
        <w:rPr>
          <w:rFonts w:hint="eastAsia"/>
          <w:lang w:eastAsia="zh-CN"/>
        </w:rPr>
        <w:t>门窗用塑料型材</w:t>
      </w:r>
      <w:r>
        <w:rPr>
          <w:rFonts w:hint="eastAsia"/>
        </w:rPr>
        <w:t>。很难就某单个型号的产品生产收集清单数据，往往会就某个车间、某条工艺线收集数据，然后再分配到具体的产品上。针对</w:t>
      </w:r>
      <w:r>
        <w:rPr>
          <w:rFonts w:hint="eastAsia"/>
          <w:lang w:eastAsia="zh-CN"/>
        </w:rPr>
        <w:t>门窗用塑料型材</w:t>
      </w:r>
      <w:r>
        <w:rPr>
          <w:rFonts w:hint="eastAsia"/>
        </w:rPr>
        <w:t>生产阶段，因为生产的产品主要成分比较一致，所以本研究选取 “重量分配”作为分摊的比例，即重量越大的产品其分摊额度就越大。</w:t>
      </w:r>
    </w:p>
    <w:p>
      <w:pPr>
        <w:pStyle w:val="63"/>
        <w:tabs>
          <w:tab w:val="left" w:pos="360"/>
        </w:tabs>
        <w:spacing w:before="156" w:after="156"/>
      </w:pPr>
      <w:r>
        <w:rPr>
          <w:rFonts w:hint="eastAsia"/>
        </w:rPr>
        <w:t>生命周期影响评价</w:t>
      </w:r>
    </w:p>
    <w:p>
      <w:pPr>
        <w:pStyle w:val="58"/>
        <w:tabs>
          <w:tab w:val="left" w:pos="360"/>
        </w:tabs>
        <w:spacing w:before="156" w:after="156"/>
      </w:pPr>
      <w:r>
        <w:rPr>
          <w:rFonts w:hint="eastAsia"/>
        </w:rPr>
        <w:t>数据分析</w:t>
      </w:r>
    </w:p>
    <w:p>
      <w:pPr>
        <w:pStyle w:val="23"/>
      </w:pPr>
      <w:r>
        <w:rPr>
          <w:rFonts w:hint="eastAsia"/>
        </w:rPr>
        <w:t>根据表</w:t>
      </w:r>
      <w:r>
        <w:rPr>
          <w:rFonts w:hint="eastAsia"/>
          <w:lang w:val="en-US" w:eastAsia="zh-CN"/>
        </w:rPr>
        <w:t>A</w:t>
      </w:r>
      <w:r>
        <w:t>.1</w:t>
      </w:r>
      <w:r>
        <w:rPr>
          <w:rFonts w:hint="eastAsia"/>
        </w:rPr>
        <w:t>～表</w:t>
      </w:r>
      <w:r>
        <w:rPr>
          <w:rFonts w:hint="eastAsia"/>
          <w:lang w:val="en-US" w:eastAsia="zh-CN"/>
        </w:rPr>
        <w:t>A</w:t>
      </w:r>
      <w:r>
        <w:t>.</w:t>
      </w:r>
      <w:r>
        <w:rPr>
          <w:rFonts w:hint="eastAsia"/>
        </w:rPr>
        <w:t xml:space="preserve">4对应需要的数据进行填报 </w:t>
      </w:r>
      <w:r>
        <w:t>:</w:t>
      </w:r>
    </w:p>
    <w:p>
      <w:pPr>
        <w:pStyle w:val="23"/>
      </w:pPr>
      <w:r>
        <w:rPr>
          <w:rFonts w:hint="eastAsia"/>
        </w:rPr>
        <w:t>a)  据可企业调研、上游厂家提供、采样监测等途径进行收集，所收集的数据要求为企业3年内平均统计数据，并能够反映企业的实际生产水平；</w:t>
      </w:r>
    </w:p>
    <w:p>
      <w:pPr>
        <w:pStyle w:val="23"/>
      </w:pPr>
      <w:r>
        <w:rPr>
          <w:rFonts w:hint="eastAsia"/>
        </w:rPr>
        <w:t>b)  从实际调研过程中无法获得的数据，即背景数据，采用相关数据库进行替代，在这一步骤中所涉及到的单元过程包括</w:t>
      </w:r>
      <w:r>
        <w:rPr>
          <w:rFonts w:hint="eastAsia"/>
          <w:lang w:eastAsia="zh-CN"/>
        </w:rPr>
        <w:t>门窗用塑料型材</w:t>
      </w:r>
      <w:r>
        <w:rPr>
          <w:rFonts w:hint="eastAsia"/>
        </w:rPr>
        <w:t>行业相关原材料生产、包装材料、能源消耗以及产品的运输。</w:t>
      </w:r>
    </w:p>
    <w:p>
      <w:pPr>
        <w:pStyle w:val="67"/>
        <w:spacing w:before="156" w:after="156"/>
      </w:pPr>
      <w:r>
        <w:rPr>
          <w:rFonts w:hint="eastAsia"/>
        </w:rPr>
        <w:t>原材料成分、用量及运输清单</w:t>
      </w:r>
    </w:p>
    <w:tbl>
      <w:tblPr>
        <w:tblStyle w:val="5"/>
        <w:tblpPr w:leftFromText="180" w:rightFromText="180" w:vertAnchor="text" w:horzAnchor="page" w:tblpX="1322" w:tblpY="52"/>
        <w:tblOverlap w:val="never"/>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843"/>
        <w:gridCol w:w="1134"/>
        <w:gridCol w:w="992"/>
        <w:gridCol w:w="1418"/>
        <w:gridCol w:w="23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59" w:type="dxa"/>
            <w:tcBorders>
              <w:top w:val="single" w:color="auto" w:sz="12" w:space="0"/>
              <w:left w:val="single" w:color="auto" w:sz="12" w:space="0"/>
              <w:bottom w:val="single" w:color="auto" w:sz="12" w:space="0"/>
            </w:tcBorders>
            <w:shd w:val="clear" w:color="auto" w:fill="auto"/>
          </w:tcPr>
          <w:p>
            <w:pPr>
              <w:spacing w:line="360" w:lineRule="auto"/>
              <w:jc w:val="center"/>
              <w:rPr>
                <w:sz w:val="18"/>
                <w:szCs w:val="18"/>
              </w:rPr>
            </w:pPr>
            <w:r>
              <w:rPr>
                <w:rFonts w:hint="eastAsia"/>
                <w:sz w:val="18"/>
                <w:szCs w:val="18"/>
              </w:rPr>
              <w:t>原材料</w:t>
            </w:r>
          </w:p>
        </w:tc>
        <w:tc>
          <w:tcPr>
            <w:tcW w:w="850" w:type="dxa"/>
            <w:tcBorders>
              <w:top w:val="single" w:color="auto" w:sz="12" w:space="0"/>
              <w:bottom w:val="single" w:color="auto" w:sz="12" w:space="0"/>
            </w:tcBorders>
            <w:shd w:val="clear" w:color="auto" w:fill="auto"/>
          </w:tcPr>
          <w:p>
            <w:pPr>
              <w:spacing w:line="360" w:lineRule="auto"/>
              <w:jc w:val="center"/>
              <w:rPr>
                <w:sz w:val="18"/>
                <w:szCs w:val="18"/>
              </w:rPr>
            </w:pPr>
            <w:r>
              <w:rPr>
                <w:rFonts w:hint="eastAsia"/>
                <w:sz w:val="18"/>
                <w:szCs w:val="18"/>
              </w:rPr>
              <w:t>含量/%</w:t>
            </w:r>
          </w:p>
        </w:tc>
        <w:tc>
          <w:tcPr>
            <w:tcW w:w="1843" w:type="dxa"/>
            <w:tcBorders>
              <w:top w:val="single" w:color="auto" w:sz="12" w:space="0"/>
              <w:bottom w:val="single" w:color="auto" w:sz="12" w:space="0"/>
            </w:tcBorders>
            <w:shd w:val="clear" w:color="auto" w:fill="auto"/>
          </w:tcPr>
          <w:p>
            <w:pPr>
              <w:spacing w:line="360" w:lineRule="auto"/>
              <w:jc w:val="center"/>
              <w:rPr>
                <w:sz w:val="18"/>
                <w:szCs w:val="18"/>
              </w:rPr>
            </w:pPr>
            <w:r>
              <w:rPr>
                <w:rFonts w:hint="eastAsia"/>
                <w:sz w:val="18"/>
                <w:szCs w:val="18"/>
              </w:rPr>
              <w:t>单次使用消耗量/kg</w:t>
            </w:r>
          </w:p>
        </w:tc>
        <w:tc>
          <w:tcPr>
            <w:tcW w:w="1134" w:type="dxa"/>
            <w:tcBorders>
              <w:top w:val="single" w:color="auto" w:sz="12" w:space="0"/>
              <w:bottom w:val="single" w:color="auto" w:sz="12" w:space="0"/>
            </w:tcBorders>
            <w:shd w:val="clear" w:color="auto" w:fill="auto"/>
          </w:tcPr>
          <w:p>
            <w:pPr>
              <w:spacing w:line="360" w:lineRule="auto"/>
              <w:jc w:val="center"/>
              <w:rPr>
                <w:sz w:val="18"/>
                <w:szCs w:val="18"/>
              </w:rPr>
            </w:pPr>
            <w:r>
              <w:rPr>
                <w:rFonts w:hint="eastAsia"/>
                <w:sz w:val="18"/>
                <w:szCs w:val="18"/>
              </w:rPr>
              <w:t>原材料产地</w:t>
            </w:r>
          </w:p>
        </w:tc>
        <w:tc>
          <w:tcPr>
            <w:tcW w:w="992" w:type="dxa"/>
            <w:tcBorders>
              <w:top w:val="single" w:color="auto" w:sz="12" w:space="0"/>
              <w:bottom w:val="single" w:color="auto" w:sz="12" w:space="0"/>
            </w:tcBorders>
            <w:shd w:val="clear" w:color="auto" w:fill="auto"/>
          </w:tcPr>
          <w:p>
            <w:pPr>
              <w:spacing w:line="360" w:lineRule="auto"/>
              <w:jc w:val="center"/>
              <w:rPr>
                <w:sz w:val="18"/>
                <w:szCs w:val="18"/>
              </w:rPr>
            </w:pPr>
            <w:r>
              <w:rPr>
                <w:rFonts w:hint="eastAsia"/>
                <w:sz w:val="18"/>
                <w:szCs w:val="18"/>
              </w:rPr>
              <w:t>运输方式</w:t>
            </w:r>
          </w:p>
        </w:tc>
        <w:tc>
          <w:tcPr>
            <w:tcW w:w="1418" w:type="dxa"/>
            <w:tcBorders>
              <w:top w:val="single" w:color="auto" w:sz="12" w:space="0"/>
              <w:bottom w:val="single" w:color="auto" w:sz="12" w:space="0"/>
            </w:tcBorders>
            <w:shd w:val="clear" w:color="auto" w:fill="auto"/>
          </w:tcPr>
          <w:p>
            <w:pPr>
              <w:spacing w:line="360" w:lineRule="auto"/>
              <w:jc w:val="center"/>
              <w:rPr>
                <w:sz w:val="18"/>
                <w:szCs w:val="18"/>
              </w:rPr>
            </w:pPr>
            <w:r>
              <w:rPr>
                <w:rFonts w:hint="eastAsia"/>
                <w:sz w:val="18"/>
                <w:szCs w:val="18"/>
              </w:rPr>
              <w:t>运输距离/km</w:t>
            </w:r>
          </w:p>
        </w:tc>
        <w:tc>
          <w:tcPr>
            <w:tcW w:w="2374" w:type="dxa"/>
            <w:tcBorders>
              <w:top w:val="single" w:color="auto" w:sz="12" w:space="0"/>
              <w:bottom w:val="single" w:color="auto" w:sz="12" w:space="0"/>
              <w:right w:val="single" w:color="auto" w:sz="12" w:space="0"/>
            </w:tcBorders>
            <w:shd w:val="clear" w:color="auto" w:fill="auto"/>
            <w:vAlign w:val="center"/>
          </w:tcPr>
          <w:p>
            <w:pPr>
              <w:pStyle w:val="23"/>
              <w:spacing w:line="360" w:lineRule="auto"/>
              <w:ind w:firstLine="0" w:firstLineChars="0"/>
              <w:jc w:val="center"/>
              <w:rPr>
                <w:sz w:val="18"/>
                <w:szCs w:val="18"/>
              </w:rPr>
            </w:pPr>
            <w:r>
              <w:rPr>
                <w:rFonts w:hint="eastAsia"/>
                <w:sz w:val="18"/>
                <w:szCs w:val="18"/>
              </w:rPr>
              <w:t>单位产品运输距</w:t>
            </w:r>
            <w:r>
              <w:rPr>
                <w:sz w:val="18"/>
                <w:szCs w:val="18"/>
              </w:rPr>
              <w:t>/(km/kg)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12" w:space="0"/>
              <w:left w:val="single" w:color="auto" w:sz="12" w:space="0"/>
            </w:tcBorders>
            <w:shd w:val="clear" w:color="auto" w:fill="auto"/>
          </w:tcPr>
          <w:p>
            <w:pPr>
              <w:spacing w:line="360" w:lineRule="auto"/>
              <w:ind w:firstLine="463"/>
              <w:rPr>
                <w:sz w:val="18"/>
                <w:szCs w:val="18"/>
              </w:rPr>
            </w:pPr>
          </w:p>
        </w:tc>
        <w:tc>
          <w:tcPr>
            <w:tcW w:w="850" w:type="dxa"/>
            <w:tcBorders>
              <w:top w:val="single" w:color="auto" w:sz="12" w:space="0"/>
            </w:tcBorders>
            <w:shd w:val="clear" w:color="auto" w:fill="auto"/>
          </w:tcPr>
          <w:p>
            <w:pPr>
              <w:spacing w:line="360" w:lineRule="auto"/>
              <w:ind w:firstLine="463"/>
              <w:rPr>
                <w:sz w:val="18"/>
                <w:szCs w:val="18"/>
              </w:rPr>
            </w:pPr>
          </w:p>
        </w:tc>
        <w:tc>
          <w:tcPr>
            <w:tcW w:w="1843" w:type="dxa"/>
            <w:tcBorders>
              <w:top w:val="single" w:color="auto" w:sz="12" w:space="0"/>
            </w:tcBorders>
            <w:shd w:val="clear" w:color="auto" w:fill="auto"/>
          </w:tcPr>
          <w:p>
            <w:pPr>
              <w:spacing w:line="360" w:lineRule="auto"/>
              <w:ind w:firstLine="463"/>
              <w:rPr>
                <w:sz w:val="18"/>
                <w:szCs w:val="18"/>
              </w:rPr>
            </w:pPr>
          </w:p>
        </w:tc>
        <w:tc>
          <w:tcPr>
            <w:tcW w:w="1134" w:type="dxa"/>
            <w:tcBorders>
              <w:top w:val="single" w:color="auto" w:sz="12" w:space="0"/>
            </w:tcBorders>
            <w:shd w:val="clear" w:color="auto" w:fill="auto"/>
          </w:tcPr>
          <w:p>
            <w:pPr>
              <w:spacing w:line="360" w:lineRule="auto"/>
              <w:ind w:firstLine="463"/>
              <w:rPr>
                <w:sz w:val="18"/>
                <w:szCs w:val="18"/>
              </w:rPr>
            </w:pPr>
          </w:p>
        </w:tc>
        <w:tc>
          <w:tcPr>
            <w:tcW w:w="992" w:type="dxa"/>
            <w:tcBorders>
              <w:top w:val="single" w:color="auto" w:sz="12" w:space="0"/>
            </w:tcBorders>
            <w:shd w:val="clear" w:color="auto" w:fill="auto"/>
          </w:tcPr>
          <w:p>
            <w:pPr>
              <w:spacing w:line="360" w:lineRule="auto"/>
              <w:ind w:firstLine="463"/>
              <w:rPr>
                <w:sz w:val="18"/>
                <w:szCs w:val="18"/>
              </w:rPr>
            </w:pPr>
          </w:p>
        </w:tc>
        <w:tc>
          <w:tcPr>
            <w:tcW w:w="1418" w:type="dxa"/>
            <w:tcBorders>
              <w:top w:val="single" w:color="auto" w:sz="12" w:space="0"/>
            </w:tcBorders>
            <w:shd w:val="clear" w:color="auto" w:fill="auto"/>
          </w:tcPr>
          <w:p>
            <w:pPr>
              <w:spacing w:line="360" w:lineRule="auto"/>
              <w:ind w:firstLine="463"/>
              <w:rPr>
                <w:sz w:val="18"/>
                <w:szCs w:val="18"/>
              </w:rPr>
            </w:pPr>
          </w:p>
        </w:tc>
        <w:tc>
          <w:tcPr>
            <w:tcW w:w="2374" w:type="dxa"/>
            <w:tcBorders>
              <w:top w:val="single" w:color="auto" w:sz="12" w:space="0"/>
              <w:right w:val="single" w:color="auto" w:sz="12" w:space="0"/>
            </w:tcBorders>
            <w:shd w:val="clear" w:color="auto" w:fill="auto"/>
          </w:tcPr>
          <w:p>
            <w:pPr>
              <w:spacing w:line="360" w:lineRule="auto"/>
              <w:ind w:firstLine="463"/>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left w:val="single" w:color="auto" w:sz="12" w:space="0"/>
              <w:bottom w:val="single" w:color="auto" w:sz="4" w:space="0"/>
            </w:tcBorders>
            <w:shd w:val="clear" w:color="auto" w:fill="auto"/>
          </w:tcPr>
          <w:p>
            <w:pPr>
              <w:spacing w:line="360" w:lineRule="auto"/>
              <w:ind w:firstLine="463"/>
              <w:rPr>
                <w:sz w:val="18"/>
                <w:szCs w:val="18"/>
              </w:rPr>
            </w:pPr>
          </w:p>
        </w:tc>
        <w:tc>
          <w:tcPr>
            <w:tcW w:w="850" w:type="dxa"/>
            <w:tcBorders>
              <w:bottom w:val="single" w:color="auto" w:sz="4" w:space="0"/>
            </w:tcBorders>
            <w:shd w:val="clear" w:color="auto" w:fill="auto"/>
          </w:tcPr>
          <w:p>
            <w:pPr>
              <w:spacing w:line="360" w:lineRule="auto"/>
              <w:ind w:firstLine="463"/>
              <w:rPr>
                <w:sz w:val="18"/>
                <w:szCs w:val="18"/>
              </w:rPr>
            </w:pPr>
          </w:p>
        </w:tc>
        <w:tc>
          <w:tcPr>
            <w:tcW w:w="1843" w:type="dxa"/>
            <w:tcBorders>
              <w:bottom w:val="single" w:color="auto" w:sz="4" w:space="0"/>
            </w:tcBorders>
            <w:shd w:val="clear" w:color="auto" w:fill="auto"/>
          </w:tcPr>
          <w:p>
            <w:pPr>
              <w:spacing w:line="360" w:lineRule="auto"/>
              <w:ind w:firstLine="463"/>
              <w:rPr>
                <w:sz w:val="18"/>
                <w:szCs w:val="18"/>
              </w:rPr>
            </w:pPr>
          </w:p>
        </w:tc>
        <w:tc>
          <w:tcPr>
            <w:tcW w:w="1134" w:type="dxa"/>
            <w:tcBorders>
              <w:bottom w:val="single" w:color="auto" w:sz="4" w:space="0"/>
            </w:tcBorders>
            <w:shd w:val="clear" w:color="auto" w:fill="auto"/>
          </w:tcPr>
          <w:p>
            <w:pPr>
              <w:spacing w:line="360" w:lineRule="auto"/>
              <w:ind w:firstLine="463"/>
              <w:rPr>
                <w:sz w:val="18"/>
                <w:szCs w:val="18"/>
              </w:rPr>
            </w:pPr>
          </w:p>
        </w:tc>
        <w:tc>
          <w:tcPr>
            <w:tcW w:w="992" w:type="dxa"/>
            <w:tcBorders>
              <w:bottom w:val="single" w:color="auto" w:sz="4" w:space="0"/>
            </w:tcBorders>
            <w:shd w:val="clear" w:color="auto" w:fill="auto"/>
          </w:tcPr>
          <w:p>
            <w:pPr>
              <w:spacing w:line="360" w:lineRule="auto"/>
              <w:ind w:firstLine="463"/>
              <w:rPr>
                <w:sz w:val="18"/>
                <w:szCs w:val="18"/>
              </w:rPr>
            </w:pPr>
          </w:p>
        </w:tc>
        <w:tc>
          <w:tcPr>
            <w:tcW w:w="1418" w:type="dxa"/>
            <w:tcBorders>
              <w:bottom w:val="single" w:color="auto" w:sz="4" w:space="0"/>
            </w:tcBorders>
            <w:shd w:val="clear" w:color="auto" w:fill="auto"/>
          </w:tcPr>
          <w:p>
            <w:pPr>
              <w:spacing w:line="360" w:lineRule="auto"/>
              <w:ind w:firstLine="463"/>
              <w:rPr>
                <w:sz w:val="18"/>
                <w:szCs w:val="18"/>
              </w:rPr>
            </w:pPr>
          </w:p>
        </w:tc>
        <w:tc>
          <w:tcPr>
            <w:tcW w:w="2374" w:type="dxa"/>
            <w:tcBorders>
              <w:bottom w:val="single" w:color="auto" w:sz="4" w:space="0"/>
              <w:right w:val="single" w:color="auto" w:sz="12" w:space="0"/>
            </w:tcBorders>
            <w:shd w:val="clear" w:color="auto" w:fill="auto"/>
          </w:tcPr>
          <w:p>
            <w:pPr>
              <w:spacing w:line="360" w:lineRule="auto"/>
              <w:ind w:firstLine="463"/>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12" w:space="0"/>
              <w:bottom w:val="single" w:color="auto" w:sz="12" w:space="0"/>
            </w:tcBorders>
            <w:shd w:val="clear" w:color="auto" w:fill="auto"/>
          </w:tcPr>
          <w:p>
            <w:pPr>
              <w:spacing w:line="360" w:lineRule="auto"/>
              <w:ind w:firstLine="463"/>
              <w:rPr>
                <w:sz w:val="18"/>
                <w:szCs w:val="18"/>
              </w:rPr>
            </w:pPr>
          </w:p>
        </w:tc>
        <w:tc>
          <w:tcPr>
            <w:tcW w:w="850" w:type="dxa"/>
            <w:tcBorders>
              <w:top w:val="single" w:color="auto" w:sz="4" w:space="0"/>
              <w:bottom w:val="single" w:color="auto" w:sz="12" w:space="0"/>
            </w:tcBorders>
            <w:shd w:val="clear" w:color="auto" w:fill="auto"/>
          </w:tcPr>
          <w:p>
            <w:pPr>
              <w:spacing w:line="360" w:lineRule="auto"/>
              <w:ind w:firstLine="463"/>
              <w:rPr>
                <w:sz w:val="18"/>
                <w:szCs w:val="18"/>
              </w:rPr>
            </w:pPr>
          </w:p>
        </w:tc>
        <w:tc>
          <w:tcPr>
            <w:tcW w:w="1843" w:type="dxa"/>
            <w:tcBorders>
              <w:top w:val="single" w:color="auto" w:sz="4" w:space="0"/>
              <w:bottom w:val="single" w:color="auto" w:sz="12" w:space="0"/>
            </w:tcBorders>
            <w:shd w:val="clear" w:color="auto" w:fill="auto"/>
          </w:tcPr>
          <w:p>
            <w:pPr>
              <w:spacing w:line="360" w:lineRule="auto"/>
              <w:ind w:firstLine="463"/>
              <w:rPr>
                <w:sz w:val="18"/>
                <w:szCs w:val="18"/>
              </w:rPr>
            </w:pPr>
          </w:p>
        </w:tc>
        <w:tc>
          <w:tcPr>
            <w:tcW w:w="1134" w:type="dxa"/>
            <w:tcBorders>
              <w:top w:val="single" w:color="auto" w:sz="4" w:space="0"/>
              <w:bottom w:val="single" w:color="auto" w:sz="12" w:space="0"/>
            </w:tcBorders>
            <w:shd w:val="clear" w:color="auto" w:fill="auto"/>
          </w:tcPr>
          <w:p>
            <w:pPr>
              <w:spacing w:line="360" w:lineRule="auto"/>
              <w:ind w:firstLine="463"/>
              <w:rPr>
                <w:sz w:val="18"/>
                <w:szCs w:val="18"/>
              </w:rPr>
            </w:pPr>
          </w:p>
        </w:tc>
        <w:tc>
          <w:tcPr>
            <w:tcW w:w="992" w:type="dxa"/>
            <w:tcBorders>
              <w:top w:val="single" w:color="auto" w:sz="4" w:space="0"/>
              <w:bottom w:val="single" w:color="auto" w:sz="12" w:space="0"/>
            </w:tcBorders>
            <w:shd w:val="clear" w:color="auto" w:fill="auto"/>
          </w:tcPr>
          <w:p>
            <w:pPr>
              <w:spacing w:line="360" w:lineRule="auto"/>
              <w:ind w:firstLine="463"/>
              <w:rPr>
                <w:sz w:val="18"/>
                <w:szCs w:val="18"/>
              </w:rPr>
            </w:pPr>
          </w:p>
        </w:tc>
        <w:tc>
          <w:tcPr>
            <w:tcW w:w="1418" w:type="dxa"/>
            <w:tcBorders>
              <w:top w:val="single" w:color="auto" w:sz="4" w:space="0"/>
              <w:bottom w:val="single" w:color="auto" w:sz="12" w:space="0"/>
            </w:tcBorders>
            <w:shd w:val="clear" w:color="auto" w:fill="auto"/>
          </w:tcPr>
          <w:p>
            <w:pPr>
              <w:spacing w:line="360" w:lineRule="auto"/>
              <w:ind w:firstLine="463"/>
              <w:rPr>
                <w:sz w:val="18"/>
                <w:szCs w:val="18"/>
              </w:rPr>
            </w:pPr>
          </w:p>
        </w:tc>
        <w:tc>
          <w:tcPr>
            <w:tcW w:w="2374" w:type="dxa"/>
            <w:tcBorders>
              <w:top w:val="single" w:color="auto" w:sz="4" w:space="0"/>
              <w:bottom w:val="single" w:color="auto" w:sz="12" w:space="0"/>
              <w:right w:val="single" w:color="auto" w:sz="12" w:space="0"/>
            </w:tcBorders>
            <w:shd w:val="clear" w:color="auto" w:fill="auto"/>
          </w:tcPr>
          <w:p>
            <w:pPr>
              <w:spacing w:line="360" w:lineRule="auto"/>
              <w:ind w:firstLine="463"/>
              <w:rPr>
                <w:sz w:val="18"/>
                <w:szCs w:val="18"/>
              </w:rPr>
            </w:pPr>
          </w:p>
        </w:tc>
      </w:tr>
    </w:tbl>
    <w:p>
      <w:pPr>
        <w:pStyle w:val="67"/>
        <w:spacing w:before="156" w:after="156"/>
      </w:pPr>
      <w:r>
        <w:rPr>
          <w:rFonts w:hint="eastAsia"/>
        </w:rPr>
        <w:t>生产过程所需清单</w:t>
      </w:r>
    </w:p>
    <w:tbl>
      <w:tblPr>
        <w:tblStyle w:val="5"/>
        <w:tblW w:w="95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2" w:type="dxa"/>
            <w:tcBorders>
              <w:top w:val="single" w:color="auto" w:sz="12" w:space="0"/>
              <w:left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能耗种类</w:t>
            </w:r>
          </w:p>
        </w:tc>
        <w:tc>
          <w:tcPr>
            <w:tcW w:w="2392" w:type="dxa"/>
            <w:tcBorders>
              <w:top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单位</w:t>
            </w:r>
          </w:p>
        </w:tc>
        <w:tc>
          <w:tcPr>
            <w:tcW w:w="2393" w:type="dxa"/>
            <w:tcBorders>
              <w:top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车间生产总消耗量</w:t>
            </w:r>
          </w:p>
        </w:tc>
        <w:tc>
          <w:tcPr>
            <w:tcW w:w="2393" w:type="dxa"/>
            <w:tcBorders>
              <w:top w:val="single" w:color="auto" w:sz="12" w:space="0"/>
              <w:bottom w:val="single" w:color="auto" w:sz="12" w:space="0"/>
              <w:right w:val="single" w:color="auto" w:sz="12" w:space="0"/>
            </w:tcBorders>
            <w:shd w:val="clear" w:color="auto" w:fill="auto"/>
            <w:vAlign w:val="center"/>
          </w:tcPr>
          <w:p>
            <w:pPr>
              <w:spacing w:line="360" w:lineRule="auto"/>
              <w:jc w:val="center"/>
              <w:rPr>
                <w:sz w:val="18"/>
                <w:szCs w:val="18"/>
              </w:rPr>
            </w:pPr>
            <w:r>
              <w:rPr>
                <w:rFonts w:hint="eastAsia"/>
                <w:sz w:val="18"/>
                <w:szCs w:val="18"/>
              </w:rPr>
              <w:t>单次使用产品消耗量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2" w:type="dxa"/>
            <w:tcBorders>
              <w:top w:val="single" w:color="auto" w:sz="12" w:space="0"/>
              <w:left w:val="single" w:color="auto" w:sz="12" w:space="0"/>
            </w:tcBorders>
            <w:shd w:val="clear" w:color="auto" w:fill="auto"/>
            <w:vAlign w:val="center"/>
          </w:tcPr>
          <w:p>
            <w:pPr>
              <w:spacing w:line="360" w:lineRule="auto"/>
              <w:jc w:val="center"/>
              <w:rPr>
                <w:sz w:val="18"/>
                <w:szCs w:val="18"/>
              </w:rPr>
            </w:pPr>
            <w:r>
              <w:rPr>
                <w:rFonts w:hint="eastAsia"/>
                <w:sz w:val="18"/>
                <w:szCs w:val="18"/>
              </w:rPr>
              <w:t>电耗</w:t>
            </w:r>
          </w:p>
        </w:tc>
        <w:tc>
          <w:tcPr>
            <w:tcW w:w="2392" w:type="dxa"/>
            <w:tcBorders>
              <w:top w:val="single" w:color="auto" w:sz="12" w:space="0"/>
            </w:tcBorders>
            <w:shd w:val="clear" w:color="auto" w:fill="auto"/>
            <w:vAlign w:val="center"/>
          </w:tcPr>
          <w:p>
            <w:pPr>
              <w:spacing w:line="360" w:lineRule="auto"/>
              <w:jc w:val="center"/>
              <w:rPr>
                <w:sz w:val="18"/>
                <w:szCs w:val="18"/>
              </w:rPr>
            </w:pPr>
            <w:r>
              <w:rPr>
                <w:rFonts w:hint="eastAsia"/>
                <w:sz w:val="18"/>
                <w:szCs w:val="18"/>
              </w:rPr>
              <w:t xml:space="preserve">千瓦时 </w:t>
            </w:r>
            <w:r>
              <w:rPr>
                <w:sz w:val="18"/>
                <w:szCs w:val="18"/>
              </w:rPr>
              <w:t>(kW·h</w:t>
            </w:r>
            <w:r>
              <w:rPr>
                <w:rFonts w:hint="eastAsia"/>
                <w:sz w:val="18"/>
                <w:szCs w:val="18"/>
              </w:rPr>
              <w:t>)</w:t>
            </w:r>
          </w:p>
        </w:tc>
        <w:tc>
          <w:tcPr>
            <w:tcW w:w="2393" w:type="dxa"/>
            <w:tcBorders>
              <w:top w:val="single" w:color="auto" w:sz="12" w:space="0"/>
            </w:tcBorders>
            <w:shd w:val="clear" w:color="auto" w:fill="auto"/>
            <w:vAlign w:val="center"/>
          </w:tcPr>
          <w:p>
            <w:pPr>
              <w:spacing w:line="360" w:lineRule="auto"/>
              <w:ind w:firstLine="463"/>
              <w:jc w:val="center"/>
              <w:rPr>
                <w:sz w:val="18"/>
                <w:szCs w:val="18"/>
              </w:rPr>
            </w:pPr>
          </w:p>
        </w:tc>
        <w:tc>
          <w:tcPr>
            <w:tcW w:w="2393" w:type="dxa"/>
            <w:tcBorders>
              <w:top w:val="single" w:color="auto" w:sz="12" w:space="0"/>
              <w:right w:val="single" w:color="auto" w:sz="12" w:space="0"/>
            </w:tcBorders>
            <w:shd w:val="clear" w:color="auto" w:fill="auto"/>
            <w:vAlign w:val="center"/>
          </w:tcPr>
          <w:p>
            <w:pPr>
              <w:spacing w:line="360" w:lineRule="auto"/>
              <w:ind w:firstLine="463"/>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2" w:type="dxa"/>
            <w:tcBorders>
              <w:left w:val="single" w:color="auto" w:sz="12" w:space="0"/>
            </w:tcBorders>
            <w:shd w:val="clear" w:color="auto" w:fill="auto"/>
            <w:vAlign w:val="center"/>
          </w:tcPr>
          <w:p>
            <w:pPr>
              <w:spacing w:line="360" w:lineRule="auto"/>
              <w:jc w:val="center"/>
              <w:rPr>
                <w:sz w:val="18"/>
                <w:szCs w:val="18"/>
              </w:rPr>
            </w:pPr>
            <w:r>
              <w:rPr>
                <w:rFonts w:hint="eastAsia"/>
                <w:sz w:val="18"/>
                <w:szCs w:val="18"/>
              </w:rPr>
              <w:t>水</w:t>
            </w:r>
          </w:p>
        </w:tc>
        <w:tc>
          <w:tcPr>
            <w:tcW w:w="2392" w:type="dxa"/>
            <w:shd w:val="clear" w:color="auto" w:fill="auto"/>
            <w:vAlign w:val="center"/>
          </w:tcPr>
          <w:p>
            <w:pPr>
              <w:pStyle w:val="23"/>
              <w:spacing w:line="360" w:lineRule="auto"/>
              <w:ind w:firstLine="0" w:firstLineChars="0"/>
              <w:jc w:val="center"/>
              <w:rPr>
                <w:rFonts w:hAnsi="宋体"/>
                <w:sz w:val="18"/>
                <w:szCs w:val="18"/>
              </w:rPr>
            </w:pPr>
            <w:r>
              <w:rPr>
                <w:rFonts w:hint="eastAsia" w:hAnsi="宋体"/>
                <w:sz w:val="18"/>
                <w:szCs w:val="18"/>
              </w:rPr>
              <w:t xml:space="preserve">吨 </w:t>
            </w:r>
            <w:r>
              <w:rPr>
                <w:rFonts w:hAnsi="宋体"/>
                <w:sz w:val="18"/>
                <w:szCs w:val="18"/>
              </w:rPr>
              <w:t>(t)</w:t>
            </w:r>
          </w:p>
        </w:tc>
        <w:tc>
          <w:tcPr>
            <w:tcW w:w="2393" w:type="dxa"/>
            <w:shd w:val="clear" w:color="auto" w:fill="auto"/>
            <w:vAlign w:val="center"/>
          </w:tcPr>
          <w:p>
            <w:pPr>
              <w:spacing w:line="360" w:lineRule="auto"/>
              <w:ind w:firstLine="463"/>
              <w:jc w:val="center"/>
              <w:rPr>
                <w:sz w:val="18"/>
                <w:szCs w:val="18"/>
              </w:rPr>
            </w:pPr>
          </w:p>
        </w:tc>
        <w:tc>
          <w:tcPr>
            <w:tcW w:w="2393" w:type="dxa"/>
            <w:tcBorders>
              <w:right w:val="single" w:color="auto" w:sz="12" w:space="0"/>
            </w:tcBorders>
            <w:shd w:val="clear" w:color="auto" w:fill="auto"/>
            <w:vAlign w:val="center"/>
          </w:tcPr>
          <w:p>
            <w:pPr>
              <w:spacing w:line="360" w:lineRule="auto"/>
              <w:ind w:firstLine="463"/>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2" w:type="dxa"/>
            <w:tcBorders>
              <w:left w:val="single" w:color="auto" w:sz="12" w:space="0"/>
            </w:tcBorders>
            <w:shd w:val="clear" w:color="auto" w:fill="auto"/>
            <w:vAlign w:val="center"/>
          </w:tcPr>
          <w:p>
            <w:pPr>
              <w:spacing w:line="360" w:lineRule="auto"/>
              <w:jc w:val="center"/>
              <w:rPr>
                <w:sz w:val="18"/>
                <w:szCs w:val="18"/>
              </w:rPr>
            </w:pPr>
            <w:r>
              <w:rPr>
                <w:rFonts w:hint="eastAsia"/>
                <w:sz w:val="18"/>
                <w:szCs w:val="18"/>
              </w:rPr>
              <w:t>天然气</w:t>
            </w:r>
          </w:p>
        </w:tc>
        <w:tc>
          <w:tcPr>
            <w:tcW w:w="2392" w:type="dxa"/>
            <w:shd w:val="clear" w:color="auto" w:fill="auto"/>
            <w:vAlign w:val="center"/>
          </w:tcPr>
          <w:p>
            <w:pPr>
              <w:spacing w:line="360" w:lineRule="auto"/>
              <w:jc w:val="center"/>
              <w:rPr>
                <w:sz w:val="18"/>
                <w:szCs w:val="18"/>
              </w:rPr>
            </w:pPr>
            <w:r>
              <w:rPr>
                <w:rFonts w:hint="eastAsia"/>
                <w:sz w:val="18"/>
                <w:szCs w:val="18"/>
              </w:rPr>
              <w:t xml:space="preserve">立方米 </w:t>
            </w:r>
            <w:r>
              <w:rPr>
                <w:sz w:val="18"/>
                <w:szCs w:val="18"/>
              </w:rPr>
              <w:t>(m</w:t>
            </w:r>
            <w:r>
              <w:rPr>
                <w:sz w:val="18"/>
                <w:szCs w:val="18"/>
                <w:vertAlign w:val="superscript"/>
              </w:rPr>
              <w:t>3</w:t>
            </w:r>
            <w:r>
              <w:rPr>
                <w:sz w:val="18"/>
                <w:szCs w:val="18"/>
              </w:rPr>
              <w:t>)</w:t>
            </w:r>
          </w:p>
        </w:tc>
        <w:tc>
          <w:tcPr>
            <w:tcW w:w="2393" w:type="dxa"/>
            <w:shd w:val="clear" w:color="auto" w:fill="auto"/>
            <w:vAlign w:val="center"/>
          </w:tcPr>
          <w:p>
            <w:pPr>
              <w:spacing w:line="360" w:lineRule="auto"/>
              <w:ind w:firstLine="463"/>
              <w:jc w:val="center"/>
              <w:rPr>
                <w:sz w:val="18"/>
                <w:szCs w:val="18"/>
              </w:rPr>
            </w:pPr>
          </w:p>
        </w:tc>
        <w:tc>
          <w:tcPr>
            <w:tcW w:w="2393" w:type="dxa"/>
            <w:tcBorders>
              <w:right w:val="single" w:color="auto" w:sz="12" w:space="0"/>
            </w:tcBorders>
            <w:shd w:val="clear" w:color="auto" w:fill="auto"/>
            <w:vAlign w:val="center"/>
          </w:tcPr>
          <w:p>
            <w:pPr>
              <w:spacing w:line="360" w:lineRule="auto"/>
              <w:ind w:firstLine="463"/>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2" w:type="dxa"/>
            <w:tcBorders>
              <w:left w:val="single" w:color="auto" w:sz="12" w:space="0"/>
              <w:bottom w:val="single" w:color="auto" w:sz="4" w:space="0"/>
            </w:tcBorders>
            <w:shd w:val="clear" w:color="auto" w:fill="auto"/>
            <w:vAlign w:val="center"/>
          </w:tcPr>
          <w:p>
            <w:pPr>
              <w:spacing w:line="360" w:lineRule="auto"/>
              <w:jc w:val="center"/>
              <w:rPr>
                <w:sz w:val="18"/>
                <w:szCs w:val="18"/>
              </w:rPr>
            </w:pPr>
            <w:r>
              <w:rPr>
                <w:rFonts w:hint="eastAsia"/>
                <w:sz w:val="18"/>
                <w:szCs w:val="18"/>
              </w:rPr>
              <w:t>蒸汽</w:t>
            </w:r>
          </w:p>
        </w:tc>
        <w:tc>
          <w:tcPr>
            <w:tcW w:w="2392" w:type="dxa"/>
            <w:tcBorders>
              <w:bottom w:val="single" w:color="auto" w:sz="4" w:space="0"/>
            </w:tcBorders>
            <w:shd w:val="clear" w:color="auto" w:fill="auto"/>
            <w:vAlign w:val="center"/>
          </w:tcPr>
          <w:p>
            <w:pPr>
              <w:spacing w:line="360" w:lineRule="auto"/>
              <w:jc w:val="center"/>
              <w:rPr>
                <w:sz w:val="18"/>
                <w:szCs w:val="18"/>
              </w:rPr>
            </w:pPr>
            <w:r>
              <w:rPr>
                <w:rFonts w:hint="eastAsia"/>
                <w:sz w:val="18"/>
                <w:szCs w:val="18"/>
              </w:rPr>
              <w:t xml:space="preserve">立方米 </w:t>
            </w:r>
            <w:r>
              <w:rPr>
                <w:sz w:val="18"/>
                <w:szCs w:val="18"/>
              </w:rPr>
              <w:t>(m</w:t>
            </w:r>
            <w:r>
              <w:rPr>
                <w:sz w:val="18"/>
                <w:szCs w:val="18"/>
                <w:vertAlign w:val="superscript"/>
              </w:rPr>
              <w:t>3</w:t>
            </w:r>
            <w:r>
              <w:rPr>
                <w:sz w:val="18"/>
                <w:szCs w:val="18"/>
              </w:rPr>
              <w:t>)</w:t>
            </w:r>
          </w:p>
        </w:tc>
        <w:tc>
          <w:tcPr>
            <w:tcW w:w="2393" w:type="dxa"/>
            <w:tcBorders>
              <w:bottom w:val="single" w:color="auto" w:sz="4" w:space="0"/>
            </w:tcBorders>
            <w:shd w:val="clear" w:color="auto" w:fill="auto"/>
            <w:vAlign w:val="center"/>
          </w:tcPr>
          <w:p>
            <w:pPr>
              <w:spacing w:line="360" w:lineRule="auto"/>
              <w:ind w:firstLine="463"/>
              <w:jc w:val="center"/>
              <w:rPr>
                <w:sz w:val="18"/>
                <w:szCs w:val="18"/>
              </w:rPr>
            </w:pPr>
          </w:p>
        </w:tc>
        <w:tc>
          <w:tcPr>
            <w:tcW w:w="2393" w:type="dxa"/>
            <w:tcBorders>
              <w:bottom w:val="single" w:color="auto" w:sz="4" w:space="0"/>
              <w:right w:val="single" w:color="auto" w:sz="12" w:space="0"/>
            </w:tcBorders>
            <w:shd w:val="clear" w:color="auto" w:fill="auto"/>
            <w:vAlign w:val="center"/>
          </w:tcPr>
          <w:p>
            <w:pPr>
              <w:spacing w:line="360" w:lineRule="auto"/>
              <w:ind w:firstLine="463"/>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2" w:type="dxa"/>
            <w:tcBorders>
              <w:left w:val="single" w:color="auto" w:sz="12" w:space="0"/>
              <w:bottom w:val="single" w:color="auto" w:sz="4" w:space="0"/>
            </w:tcBorders>
            <w:shd w:val="clear" w:color="auto" w:fill="auto"/>
            <w:vAlign w:val="center"/>
          </w:tcPr>
          <w:p>
            <w:pPr>
              <w:spacing w:line="360" w:lineRule="auto"/>
              <w:jc w:val="center"/>
              <w:rPr>
                <w:sz w:val="18"/>
                <w:szCs w:val="18"/>
              </w:rPr>
            </w:pPr>
            <w:r>
              <w:rPr>
                <w:rFonts w:hint="eastAsia"/>
                <w:sz w:val="18"/>
                <w:szCs w:val="18"/>
              </w:rPr>
              <w:t>柴油</w:t>
            </w:r>
          </w:p>
        </w:tc>
        <w:tc>
          <w:tcPr>
            <w:tcW w:w="2392" w:type="dxa"/>
            <w:tcBorders>
              <w:bottom w:val="single" w:color="auto" w:sz="4" w:space="0"/>
            </w:tcBorders>
            <w:shd w:val="clear" w:color="auto" w:fill="auto"/>
            <w:vAlign w:val="center"/>
          </w:tcPr>
          <w:p>
            <w:pPr>
              <w:spacing w:line="360" w:lineRule="auto"/>
              <w:jc w:val="center"/>
              <w:rPr>
                <w:sz w:val="18"/>
                <w:szCs w:val="18"/>
              </w:rPr>
            </w:pPr>
            <w:r>
              <w:rPr>
                <w:rFonts w:hint="eastAsia"/>
                <w:sz w:val="18"/>
                <w:szCs w:val="18"/>
              </w:rPr>
              <w:t xml:space="preserve">吨 </w:t>
            </w:r>
            <w:r>
              <w:rPr>
                <w:sz w:val="18"/>
                <w:szCs w:val="18"/>
              </w:rPr>
              <w:t>(t)</w:t>
            </w:r>
          </w:p>
        </w:tc>
        <w:tc>
          <w:tcPr>
            <w:tcW w:w="2393" w:type="dxa"/>
            <w:tcBorders>
              <w:bottom w:val="single" w:color="auto" w:sz="4" w:space="0"/>
            </w:tcBorders>
            <w:shd w:val="clear" w:color="auto" w:fill="auto"/>
            <w:vAlign w:val="center"/>
          </w:tcPr>
          <w:p>
            <w:pPr>
              <w:spacing w:line="360" w:lineRule="auto"/>
              <w:ind w:firstLine="463"/>
              <w:jc w:val="center"/>
              <w:rPr>
                <w:sz w:val="18"/>
                <w:szCs w:val="18"/>
              </w:rPr>
            </w:pPr>
          </w:p>
        </w:tc>
        <w:tc>
          <w:tcPr>
            <w:tcW w:w="2393" w:type="dxa"/>
            <w:tcBorders>
              <w:bottom w:val="single" w:color="auto" w:sz="4" w:space="0"/>
              <w:right w:val="single" w:color="auto" w:sz="12" w:space="0"/>
            </w:tcBorders>
            <w:shd w:val="clear" w:color="auto" w:fill="auto"/>
            <w:vAlign w:val="center"/>
          </w:tcPr>
          <w:p>
            <w:pPr>
              <w:spacing w:line="360" w:lineRule="auto"/>
              <w:ind w:firstLine="463"/>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2" w:type="dxa"/>
            <w:tcBorders>
              <w:top w:val="single" w:color="auto" w:sz="4" w:space="0"/>
              <w:left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煤耗</w:t>
            </w:r>
          </w:p>
        </w:tc>
        <w:tc>
          <w:tcPr>
            <w:tcW w:w="2392" w:type="dxa"/>
            <w:tcBorders>
              <w:top w:val="single" w:color="auto" w:sz="4" w:space="0"/>
              <w:bottom w:val="single" w:color="auto" w:sz="12" w:space="0"/>
            </w:tcBorders>
            <w:shd w:val="clear" w:color="auto" w:fill="auto"/>
            <w:vAlign w:val="center"/>
          </w:tcPr>
          <w:p>
            <w:pPr>
              <w:pStyle w:val="23"/>
              <w:spacing w:line="360" w:lineRule="auto"/>
              <w:ind w:firstLine="0" w:firstLineChars="0"/>
              <w:jc w:val="center"/>
              <w:rPr>
                <w:rFonts w:hAnsi="宋体"/>
                <w:sz w:val="18"/>
                <w:szCs w:val="18"/>
              </w:rPr>
            </w:pPr>
            <w:r>
              <w:rPr>
                <w:rFonts w:hint="eastAsia" w:hAnsi="宋体"/>
                <w:sz w:val="18"/>
                <w:szCs w:val="18"/>
              </w:rPr>
              <w:t xml:space="preserve">兆焦 </w:t>
            </w:r>
            <w:r>
              <w:rPr>
                <w:rFonts w:hAnsi="宋体"/>
                <w:sz w:val="18"/>
                <w:szCs w:val="18"/>
              </w:rPr>
              <w:t>(MJ)</w:t>
            </w:r>
          </w:p>
        </w:tc>
        <w:tc>
          <w:tcPr>
            <w:tcW w:w="2393" w:type="dxa"/>
            <w:tcBorders>
              <w:top w:val="single" w:color="auto" w:sz="4" w:space="0"/>
              <w:bottom w:val="single" w:color="auto" w:sz="12" w:space="0"/>
            </w:tcBorders>
            <w:shd w:val="clear" w:color="auto" w:fill="auto"/>
            <w:vAlign w:val="center"/>
          </w:tcPr>
          <w:p>
            <w:pPr>
              <w:spacing w:line="360" w:lineRule="auto"/>
              <w:ind w:firstLine="463"/>
              <w:jc w:val="center"/>
              <w:rPr>
                <w:sz w:val="18"/>
                <w:szCs w:val="18"/>
              </w:rPr>
            </w:pPr>
          </w:p>
        </w:tc>
        <w:tc>
          <w:tcPr>
            <w:tcW w:w="2393" w:type="dxa"/>
            <w:tcBorders>
              <w:top w:val="single" w:color="auto" w:sz="4" w:space="0"/>
              <w:bottom w:val="single" w:color="auto" w:sz="12" w:space="0"/>
              <w:right w:val="single" w:color="auto" w:sz="12" w:space="0"/>
            </w:tcBorders>
            <w:shd w:val="clear" w:color="auto" w:fill="auto"/>
            <w:vAlign w:val="center"/>
          </w:tcPr>
          <w:p>
            <w:pPr>
              <w:spacing w:line="360" w:lineRule="auto"/>
              <w:ind w:firstLine="463"/>
              <w:jc w:val="center"/>
              <w:rPr>
                <w:sz w:val="18"/>
                <w:szCs w:val="18"/>
              </w:rPr>
            </w:pPr>
          </w:p>
        </w:tc>
      </w:tr>
    </w:tbl>
    <w:p>
      <w:pPr>
        <w:pStyle w:val="67"/>
        <w:spacing w:before="156" w:after="156"/>
      </w:pPr>
      <w:r>
        <w:rPr>
          <w:rFonts w:hint="eastAsia"/>
        </w:rPr>
        <w:t>包装过程所需清单</w:t>
      </w:r>
    </w:p>
    <w:tbl>
      <w:tblPr>
        <w:tblStyle w:val="5"/>
        <w:tblW w:w="95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3190" w:type="dxa"/>
            <w:tcBorders>
              <w:top w:val="single" w:color="auto" w:sz="12" w:space="0"/>
              <w:left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材  料</w:t>
            </w:r>
          </w:p>
        </w:tc>
        <w:tc>
          <w:tcPr>
            <w:tcW w:w="3190" w:type="dxa"/>
            <w:tcBorders>
              <w:top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单位产品用量/kg</w:t>
            </w:r>
          </w:p>
        </w:tc>
        <w:tc>
          <w:tcPr>
            <w:tcW w:w="3190" w:type="dxa"/>
            <w:tcBorders>
              <w:top w:val="single" w:color="auto" w:sz="12" w:space="0"/>
              <w:bottom w:val="single" w:color="auto" w:sz="12" w:space="0"/>
              <w:right w:val="single" w:color="auto" w:sz="12" w:space="0"/>
            </w:tcBorders>
            <w:shd w:val="clear" w:color="auto" w:fill="auto"/>
            <w:vAlign w:val="center"/>
          </w:tcPr>
          <w:p>
            <w:pPr>
              <w:pStyle w:val="23"/>
              <w:spacing w:line="360" w:lineRule="auto"/>
              <w:ind w:firstLine="0" w:firstLineChars="0"/>
              <w:jc w:val="center"/>
              <w:rPr>
                <w:rFonts w:hAnsi="宋体"/>
                <w:sz w:val="18"/>
                <w:szCs w:val="18"/>
              </w:rPr>
            </w:pPr>
            <w:r>
              <w:rPr>
                <w:rFonts w:hint="eastAsia" w:hAnsi="宋体"/>
                <w:sz w:val="18"/>
                <w:szCs w:val="18"/>
              </w:rPr>
              <w:t>单次使用产品消耗量</w:t>
            </w:r>
            <w:r>
              <w:rPr>
                <w:rFonts w:hAnsi="宋体"/>
                <w:sz w:val="18"/>
                <w:szCs w:val="18"/>
              </w:rPr>
              <w:t>/kg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3190" w:type="dxa"/>
            <w:tcBorders>
              <w:top w:val="single" w:color="auto" w:sz="12" w:space="0"/>
              <w:left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瓦楞纸</w:t>
            </w:r>
          </w:p>
        </w:tc>
        <w:tc>
          <w:tcPr>
            <w:tcW w:w="3190" w:type="dxa"/>
            <w:tcBorders>
              <w:top w:val="single" w:color="auto" w:sz="12" w:space="0"/>
              <w:bottom w:val="single" w:color="auto" w:sz="12" w:space="0"/>
            </w:tcBorders>
            <w:shd w:val="clear" w:color="auto" w:fill="auto"/>
            <w:vAlign w:val="center"/>
          </w:tcPr>
          <w:p>
            <w:pPr>
              <w:spacing w:line="360" w:lineRule="auto"/>
              <w:ind w:firstLine="463"/>
              <w:jc w:val="center"/>
              <w:rPr>
                <w:sz w:val="18"/>
                <w:szCs w:val="18"/>
              </w:rPr>
            </w:pPr>
          </w:p>
        </w:tc>
        <w:tc>
          <w:tcPr>
            <w:tcW w:w="3190" w:type="dxa"/>
            <w:tcBorders>
              <w:top w:val="single" w:color="auto" w:sz="12" w:space="0"/>
              <w:bottom w:val="single" w:color="auto" w:sz="12" w:space="0"/>
              <w:right w:val="single" w:color="auto" w:sz="12" w:space="0"/>
            </w:tcBorders>
            <w:shd w:val="clear" w:color="auto" w:fill="auto"/>
            <w:vAlign w:val="center"/>
          </w:tcPr>
          <w:p>
            <w:pPr>
              <w:spacing w:line="360" w:lineRule="auto"/>
              <w:ind w:firstLine="463"/>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3190" w:type="dxa"/>
            <w:tcBorders>
              <w:top w:val="single" w:color="auto" w:sz="12" w:space="0"/>
              <w:left w:val="single" w:color="auto" w:sz="12" w:space="0"/>
              <w:bottom w:val="single" w:color="auto" w:sz="12" w:space="0"/>
            </w:tcBorders>
            <w:shd w:val="clear" w:color="auto" w:fill="auto"/>
            <w:vAlign w:val="center"/>
          </w:tcPr>
          <w:p>
            <w:pPr>
              <w:spacing w:line="360" w:lineRule="auto"/>
              <w:jc w:val="center"/>
              <w:rPr>
                <w:rFonts w:hint="eastAsia"/>
                <w:sz w:val="18"/>
                <w:szCs w:val="18"/>
              </w:rPr>
            </w:pPr>
            <w:r>
              <w:rPr>
                <w:rFonts w:hint="eastAsia"/>
                <w:sz w:val="18"/>
                <w:szCs w:val="18"/>
              </w:rPr>
              <w:t>PE</w:t>
            </w:r>
          </w:p>
        </w:tc>
        <w:tc>
          <w:tcPr>
            <w:tcW w:w="3190" w:type="dxa"/>
            <w:tcBorders>
              <w:top w:val="single" w:color="auto" w:sz="12" w:space="0"/>
              <w:bottom w:val="single" w:color="auto" w:sz="12" w:space="0"/>
            </w:tcBorders>
            <w:shd w:val="clear" w:color="auto" w:fill="auto"/>
            <w:vAlign w:val="center"/>
          </w:tcPr>
          <w:p>
            <w:pPr>
              <w:spacing w:line="360" w:lineRule="auto"/>
              <w:ind w:firstLine="463"/>
              <w:jc w:val="center"/>
              <w:rPr>
                <w:sz w:val="18"/>
                <w:szCs w:val="18"/>
              </w:rPr>
            </w:pPr>
          </w:p>
        </w:tc>
        <w:tc>
          <w:tcPr>
            <w:tcW w:w="3190" w:type="dxa"/>
            <w:tcBorders>
              <w:top w:val="single" w:color="auto" w:sz="12" w:space="0"/>
              <w:bottom w:val="single" w:color="auto" w:sz="12" w:space="0"/>
              <w:right w:val="single" w:color="auto" w:sz="12" w:space="0"/>
            </w:tcBorders>
            <w:shd w:val="clear" w:color="auto" w:fill="auto"/>
            <w:vAlign w:val="center"/>
          </w:tcPr>
          <w:p>
            <w:pPr>
              <w:spacing w:line="360" w:lineRule="auto"/>
              <w:ind w:firstLine="463"/>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3190" w:type="dxa"/>
            <w:tcBorders>
              <w:top w:val="single" w:color="auto" w:sz="12" w:space="0"/>
              <w:left w:val="single" w:color="auto" w:sz="12" w:space="0"/>
              <w:bottom w:val="single" w:color="auto" w:sz="12" w:space="0"/>
            </w:tcBorders>
            <w:shd w:val="clear" w:color="auto" w:fill="auto"/>
            <w:vAlign w:val="center"/>
          </w:tcPr>
          <w:p>
            <w:pPr>
              <w:spacing w:line="360" w:lineRule="auto"/>
              <w:jc w:val="center"/>
              <w:rPr>
                <w:rFonts w:hint="eastAsia"/>
                <w:sz w:val="18"/>
                <w:szCs w:val="18"/>
              </w:rPr>
            </w:pPr>
            <w:r>
              <w:rPr>
                <w:rFonts w:hint="eastAsia"/>
                <w:sz w:val="18"/>
                <w:szCs w:val="18"/>
              </w:rPr>
              <w:t>纸</w:t>
            </w:r>
          </w:p>
        </w:tc>
        <w:tc>
          <w:tcPr>
            <w:tcW w:w="3190" w:type="dxa"/>
            <w:tcBorders>
              <w:top w:val="single" w:color="auto" w:sz="12" w:space="0"/>
              <w:bottom w:val="single" w:color="auto" w:sz="12" w:space="0"/>
            </w:tcBorders>
            <w:shd w:val="clear" w:color="auto" w:fill="auto"/>
            <w:vAlign w:val="center"/>
          </w:tcPr>
          <w:p>
            <w:pPr>
              <w:spacing w:line="360" w:lineRule="auto"/>
              <w:ind w:firstLine="463"/>
              <w:jc w:val="center"/>
              <w:rPr>
                <w:sz w:val="18"/>
                <w:szCs w:val="18"/>
              </w:rPr>
            </w:pPr>
          </w:p>
        </w:tc>
        <w:tc>
          <w:tcPr>
            <w:tcW w:w="3190" w:type="dxa"/>
            <w:tcBorders>
              <w:top w:val="single" w:color="auto" w:sz="12" w:space="0"/>
              <w:bottom w:val="single" w:color="auto" w:sz="12" w:space="0"/>
              <w:right w:val="single" w:color="auto" w:sz="12" w:space="0"/>
            </w:tcBorders>
            <w:shd w:val="clear" w:color="auto" w:fill="auto"/>
            <w:vAlign w:val="center"/>
          </w:tcPr>
          <w:p>
            <w:pPr>
              <w:spacing w:line="360" w:lineRule="auto"/>
              <w:ind w:firstLine="463"/>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3190" w:type="dxa"/>
            <w:tcBorders>
              <w:top w:val="single" w:color="auto" w:sz="12" w:space="0"/>
              <w:left w:val="single" w:color="auto" w:sz="12" w:space="0"/>
              <w:bottom w:val="single" w:color="auto" w:sz="12" w:space="0"/>
            </w:tcBorders>
            <w:shd w:val="clear" w:color="auto" w:fill="auto"/>
            <w:vAlign w:val="center"/>
          </w:tcPr>
          <w:p>
            <w:pPr>
              <w:spacing w:line="360" w:lineRule="auto"/>
              <w:jc w:val="center"/>
              <w:rPr>
                <w:rFonts w:hint="eastAsia"/>
                <w:sz w:val="18"/>
                <w:szCs w:val="18"/>
              </w:rPr>
            </w:pPr>
            <w:r>
              <w:rPr>
                <w:rFonts w:hint="eastAsia"/>
                <w:sz w:val="18"/>
                <w:szCs w:val="18"/>
              </w:rPr>
              <w:t>其他</w:t>
            </w:r>
          </w:p>
        </w:tc>
        <w:tc>
          <w:tcPr>
            <w:tcW w:w="3190" w:type="dxa"/>
            <w:tcBorders>
              <w:top w:val="single" w:color="auto" w:sz="12" w:space="0"/>
              <w:bottom w:val="single" w:color="auto" w:sz="12" w:space="0"/>
            </w:tcBorders>
            <w:shd w:val="clear" w:color="auto" w:fill="auto"/>
            <w:vAlign w:val="center"/>
          </w:tcPr>
          <w:p>
            <w:pPr>
              <w:spacing w:line="360" w:lineRule="auto"/>
              <w:ind w:firstLine="463"/>
              <w:jc w:val="center"/>
              <w:rPr>
                <w:sz w:val="18"/>
                <w:szCs w:val="18"/>
              </w:rPr>
            </w:pPr>
          </w:p>
        </w:tc>
        <w:tc>
          <w:tcPr>
            <w:tcW w:w="3190" w:type="dxa"/>
            <w:tcBorders>
              <w:top w:val="single" w:color="auto" w:sz="12" w:space="0"/>
              <w:bottom w:val="single" w:color="auto" w:sz="12" w:space="0"/>
              <w:right w:val="single" w:color="auto" w:sz="12" w:space="0"/>
            </w:tcBorders>
            <w:shd w:val="clear" w:color="auto" w:fill="auto"/>
            <w:vAlign w:val="center"/>
          </w:tcPr>
          <w:p>
            <w:pPr>
              <w:spacing w:line="360" w:lineRule="auto"/>
              <w:ind w:firstLine="463"/>
              <w:jc w:val="center"/>
              <w:rPr>
                <w:sz w:val="18"/>
                <w:szCs w:val="18"/>
              </w:rPr>
            </w:pPr>
          </w:p>
        </w:tc>
      </w:tr>
    </w:tbl>
    <w:p>
      <w:pPr>
        <w:pStyle w:val="23"/>
        <w:jc w:val="center"/>
        <w:rPr>
          <w:rFonts w:ascii="黑体" w:hAnsi="黑体" w:eastAsia="黑体"/>
        </w:rPr>
      </w:pPr>
    </w:p>
    <w:p>
      <w:pPr>
        <w:pStyle w:val="67"/>
        <w:spacing w:before="156" w:after="156"/>
      </w:pPr>
      <w:r>
        <w:rPr>
          <w:rFonts w:hint="eastAsia"/>
        </w:rPr>
        <w:t>运输过程所需清单</w:t>
      </w:r>
    </w:p>
    <w:tbl>
      <w:tblPr>
        <w:tblStyle w:val="5"/>
        <w:tblW w:w="95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841"/>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tcBorders>
              <w:top w:val="single" w:color="auto" w:sz="12" w:space="0"/>
              <w:left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过  程</w:t>
            </w:r>
          </w:p>
        </w:tc>
        <w:tc>
          <w:tcPr>
            <w:tcW w:w="1841" w:type="dxa"/>
            <w:tcBorders>
              <w:top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运输方式</w:t>
            </w:r>
          </w:p>
        </w:tc>
        <w:tc>
          <w:tcPr>
            <w:tcW w:w="2393" w:type="dxa"/>
            <w:tcBorders>
              <w:top w:val="single" w:color="auto" w:sz="12" w:space="0"/>
              <w:bottom w:val="single" w:color="auto" w:sz="12" w:space="0"/>
            </w:tcBorders>
            <w:shd w:val="clear" w:color="auto" w:fill="auto"/>
            <w:vAlign w:val="center"/>
          </w:tcPr>
          <w:p>
            <w:pPr>
              <w:spacing w:line="360" w:lineRule="auto"/>
              <w:jc w:val="center"/>
              <w:rPr>
                <w:rFonts w:ascii="宋体" w:hAnsi="宋体"/>
                <w:sz w:val="18"/>
                <w:szCs w:val="18"/>
              </w:rPr>
            </w:pPr>
            <w:r>
              <w:rPr>
                <w:rFonts w:hint="eastAsia" w:ascii="宋体" w:hAnsi="宋体"/>
                <w:sz w:val="18"/>
                <w:szCs w:val="18"/>
              </w:rPr>
              <w:t>运输距离/km</w:t>
            </w:r>
          </w:p>
        </w:tc>
        <w:tc>
          <w:tcPr>
            <w:tcW w:w="2393" w:type="dxa"/>
            <w:tcBorders>
              <w:top w:val="single" w:color="auto" w:sz="12" w:space="0"/>
              <w:bottom w:val="single" w:color="auto" w:sz="12" w:space="0"/>
              <w:right w:val="single" w:color="auto" w:sz="12" w:space="0"/>
            </w:tcBorders>
            <w:shd w:val="clear" w:color="auto" w:fill="auto"/>
            <w:vAlign w:val="center"/>
          </w:tcPr>
          <w:p>
            <w:pPr>
              <w:spacing w:line="360" w:lineRule="auto"/>
              <w:jc w:val="center"/>
              <w:rPr>
                <w:rFonts w:ascii="宋体" w:hAnsi="宋体"/>
                <w:sz w:val="18"/>
                <w:szCs w:val="18"/>
              </w:rPr>
            </w:pPr>
            <w:r>
              <w:rPr>
                <w:rFonts w:hint="eastAsia" w:ascii="宋体" w:hAnsi="宋体"/>
                <w:sz w:val="18"/>
                <w:szCs w:val="18"/>
              </w:rPr>
              <w:t>单位产品运距</w:t>
            </w:r>
            <w:r>
              <w:rPr>
                <w:rFonts w:ascii="宋体" w:hAnsi="宋体"/>
                <w:sz w:val="18"/>
                <w:szCs w:val="18"/>
              </w:rPr>
              <w:t>/(km/kg)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tcBorders>
              <w:top w:val="single" w:color="auto" w:sz="12" w:space="0"/>
              <w:left w:val="single" w:color="auto" w:sz="12" w:space="0"/>
            </w:tcBorders>
            <w:shd w:val="clear" w:color="auto" w:fill="auto"/>
            <w:vAlign w:val="center"/>
          </w:tcPr>
          <w:p>
            <w:pPr>
              <w:spacing w:line="360" w:lineRule="auto"/>
              <w:jc w:val="center"/>
              <w:rPr>
                <w:sz w:val="18"/>
                <w:szCs w:val="18"/>
              </w:rPr>
            </w:pPr>
            <w:r>
              <w:rPr>
                <w:rFonts w:hint="eastAsia"/>
                <w:sz w:val="18"/>
                <w:szCs w:val="18"/>
              </w:rPr>
              <w:t>从生产地到总经销商</w:t>
            </w:r>
          </w:p>
        </w:tc>
        <w:tc>
          <w:tcPr>
            <w:tcW w:w="1841" w:type="dxa"/>
            <w:tcBorders>
              <w:top w:val="single" w:color="auto" w:sz="12" w:space="0"/>
            </w:tcBorders>
            <w:shd w:val="clear" w:color="auto" w:fill="auto"/>
            <w:vAlign w:val="center"/>
          </w:tcPr>
          <w:p>
            <w:pPr>
              <w:spacing w:line="360" w:lineRule="auto"/>
              <w:ind w:firstLine="463"/>
              <w:jc w:val="center"/>
              <w:rPr>
                <w:sz w:val="18"/>
                <w:szCs w:val="18"/>
              </w:rPr>
            </w:pPr>
          </w:p>
        </w:tc>
        <w:tc>
          <w:tcPr>
            <w:tcW w:w="2393" w:type="dxa"/>
            <w:tcBorders>
              <w:top w:val="single" w:color="auto" w:sz="12" w:space="0"/>
            </w:tcBorders>
            <w:shd w:val="clear" w:color="auto" w:fill="auto"/>
            <w:vAlign w:val="center"/>
          </w:tcPr>
          <w:p>
            <w:pPr>
              <w:spacing w:line="360" w:lineRule="auto"/>
              <w:ind w:firstLine="463"/>
              <w:jc w:val="center"/>
              <w:rPr>
                <w:sz w:val="18"/>
                <w:szCs w:val="18"/>
              </w:rPr>
            </w:pPr>
          </w:p>
        </w:tc>
        <w:tc>
          <w:tcPr>
            <w:tcW w:w="2393" w:type="dxa"/>
            <w:tcBorders>
              <w:top w:val="single" w:color="auto" w:sz="12" w:space="0"/>
              <w:right w:val="single" w:color="auto" w:sz="12" w:space="0"/>
            </w:tcBorders>
            <w:shd w:val="clear" w:color="auto" w:fill="auto"/>
            <w:vAlign w:val="center"/>
          </w:tcPr>
          <w:p>
            <w:pPr>
              <w:spacing w:line="360" w:lineRule="auto"/>
              <w:ind w:firstLine="463"/>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tcBorders>
              <w:left w:val="single" w:color="auto" w:sz="12" w:space="0"/>
              <w:bottom w:val="single" w:color="auto" w:sz="4" w:space="0"/>
            </w:tcBorders>
            <w:shd w:val="clear" w:color="auto" w:fill="auto"/>
            <w:vAlign w:val="center"/>
          </w:tcPr>
          <w:p>
            <w:pPr>
              <w:spacing w:line="360" w:lineRule="auto"/>
              <w:jc w:val="center"/>
              <w:rPr>
                <w:sz w:val="18"/>
                <w:szCs w:val="18"/>
              </w:rPr>
            </w:pPr>
            <w:r>
              <w:rPr>
                <w:rFonts w:hint="eastAsia"/>
                <w:sz w:val="18"/>
                <w:szCs w:val="18"/>
              </w:rPr>
              <w:t>从总经销商到分经销商</w:t>
            </w:r>
          </w:p>
        </w:tc>
        <w:tc>
          <w:tcPr>
            <w:tcW w:w="1841" w:type="dxa"/>
            <w:tcBorders>
              <w:bottom w:val="single" w:color="auto" w:sz="4" w:space="0"/>
            </w:tcBorders>
            <w:shd w:val="clear" w:color="auto" w:fill="auto"/>
            <w:vAlign w:val="center"/>
          </w:tcPr>
          <w:p>
            <w:pPr>
              <w:spacing w:line="360" w:lineRule="auto"/>
              <w:ind w:firstLine="463"/>
              <w:jc w:val="center"/>
              <w:rPr>
                <w:sz w:val="18"/>
                <w:szCs w:val="18"/>
              </w:rPr>
            </w:pPr>
          </w:p>
        </w:tc>
        <w:tc>
          <w:tcPr>
            <w:tcW w:w="2393" w:type="dxa"/>
            <w:tcBorders>
              <w:bottom w:val="single" w:color="auto" w:sz="4" w:space="0"/>
            </w:tcBorders>
            <w:shd w:val="clear" w:color="auto" w:fill="auto"/>
            <w:vAlign w:val="center"/>
          </w:tcPr>
          <w:p>
            <w:pPr>
              <w:spacing w:line="360" w:lineRule="auto"/>
              <w:ind w:firstLine="463"/>
              <w:jc w:val="center"/>
              <w:rPr>
                <w:sz w:val="18"/>
                <w:szCs w:val="18"/>
              </w:rPr>
            </w:pPr>
          </w:p>
        </w:tc>
        <w:tc>
          <w:tcPr>
            <w:tcW w:w="2393" w:type="dxa"/>
            <w:tcBorders>
              <w:bottom w:val="single" w:color="auto" w:sz="4" w:space="0"/>
              <w:right w:val="single" w:color="auto" w:sz="12" w:space="0"/>
            </w:tcBorders>
            <w:shd w:val="clear" w:color="auto" w:fill="auto"/>
            <w:vAlign w:val="center"/>
          </w:tcPr>
          <w:p>
            <w:pPr>
              <w:spacing w:line="360" w:lineRule="auto"/>
              <w:ind w:firstLine="463"/>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tcBorders>
              <w:top w:val="single" w:color="auto" w:sz="4" w:space="0"/>
              <w:left w:val="single" w:color="auto" w:sz="12" w:space="0"/>
              <w:bottom w:val="single" w:color="auto" w:sz="12" w:space="0"/>
            </w:tcBorders>
            <w:shd w:val="clear" w:color="auto" w:fill="auto"/>
            <w:vAlign w:val="center"/>
          </w:tcPr>
          <w:p>
            <w:pPr>
              <w:pStyle w:val="23"/>
              <w:spacing w:line="360" w:lineRule="auto"/>
              <w:ind w:firstLine="0" w:firstLineChars="0"/>
              <w:jc w:val="center"/>
              <w:rPr>
                <w:sz w:val="18"/>
                <w:szCs w:val="18"/>
              </w:rPr>
            </w:pPr>
            <w:r>
              <w:rPr>
                <w:rFonts w:hint="eastAsia"/>
                <w:sz w:val="18"/>
                <w:szCs w:val="18"/>
              </w:rPr>
              <w:t>从生产地到分经销商的总运输距离</w:t>
            </w:r>
          </w:p>
        </w:tc>
        <w:tc>
          <w:tcPr>
            <w:tcW w:w="1841" w:type="dxa"/>
            <w:tcBorders>
              <w:top w:val="single" w:color="auto" w:sz="4" w:space="0"/>
              <w:bottom w:val="single" w:color="auto" w:sz="12" w:space="0"/>
            </w:tcBorders>
            <w:shd w:val="clear" w:color="auto" w:fill="auto"/>
            <w:vAlign w:val="center"/>
          </w:tcPr>
          <w:p>
            <w:pPr>
              <w:spacing w:line="360" w:lineRule="auto"/>
              <w:ind w:firstLine="463"/>
              <w:jc w:val="center"/>
              <w:rPr>
                <w:sz w:val="18"/>
                <w:szCs w:val="18"/>
              </w:rPr>
            </w:pPr>
          </w:p>
        </w:tc>
        <w:tc>
          <w:tcPr>
            <w:tcW w:w="2393" w:type="dxa"/>
            <w:tcBorders>
              <w:top w:val="single" w:color="auto" w:sz="4" w:space="0"/>
              <w:bottom w:val="single" w:color="auto" w:sz="12" w:space="0"/>
            </w:tcBorders>
            <w:shd w:val="clear" w:color="auto" w:fill="auto"/>
            <w:vAlign w:val="center"/>
          </w:tcPr>
          <w:p>
            <w:pPr>
              <w:spacing w:line="360" w:lineRule="auto"/>
              <w:ind w:firstLine="463"/>
              <w:jc w:val="center"/>
              <w:rPr>
                <w:sz w:val="18"/>
                <w:szCs w:val="18"/>
              </w:rPr>
            </w:pPr>
          </w:p>
        </w:tc>
        <w:tc>
          <w:tcPr>
            <w:tcW w:w="2393" w:type="dxa"/>
            <w:tcBorders>
              <w:top w:val="single" w:color="auto" w:sz="4" w:space="0"/>
              <w:bottom w:val="single" w:color="auto" w:sz="12" w:space="0"/>
              <w:right w:val="single" w:color="auto" w:sz="12" w:space="0"/>
            </w:tcBorders>
            <w:shd w:val="clear" w:color="auto" w:fill="auto"/>
            <w:vAlign w:val="center"/>
          </w:tcPr>
          <w:p>
            <w:pPr>
              <w:spacing w:line="360" w:lineRule="auto"/>
              <w:ind w:firstLine="463"/>
              <w:jc w:val="center"/>
              <w:rPr>
                <w:sz w:val="18"/>
                <w:szCs w:val="18"/>
              </w:rPr>
            </w:pPr>
          </w:p>
        </w:tc>
      </w:tr>
    </w:tbl>
    <w:p>
      <w:pPr>
        <w:pStyle w:val="23"/>
      </w:pPr>
      <w:r>
        <w:rPr>
          <w:rFonts w:hint="eastAsia"/>
          <w:lang w:eastAsia="zh-CN"/>
        </w:rPr>
        <w:t>门窗用塑料型材</w:t>
      </w:r>
      <w:r>
        <w:rPr>
          <w:rFonts w:hint="eastAsia"/>
        </w:rPr>
        <w:t>在环境中降解或在废弃物处理厂处理过程的排放相关的排放因子如表</w:t>
      </w:r>
      <w:r>
        <w:rPr>
          <w:rFonts w:hint="eastAsia"/>
          <w:lang w:val="en-US" w:eastAsia="zh-CN"/>
        </w:rPr>
        <w:t>A</w:t>
      </w:r>
      <w:r>
        <w:t>.5</w:t>
      </w:r>
      <w:r>
        <w:rPr>
          <w:rFonts w:hint="eastAsia"/>
        </w:rPr>
        <w:t>所示。</w:t>
      </w:r>
    </w:p>
    <w:p>
      <w:pPr>
        <w:pStyle w:val="67"/>
        <w:spacing w:before="156" w:after="156"/>
      </w:pPr>
      <w:r>
        <w:rPr>
          <w:rFonts w:hint="eastAsia"/>
        </w:rPr>
        <w:t>废弃物处理背景数据</w:t>
      </w:r>
    </w:p>
    <w:tbl>
      <w:tblPr>
        <w:tblStyle w:val="5"/>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12" w:space="0"/>
              <w:left w:val="single" w:color="auto" w:sz="12" w:space="0"/>
              <w:bottom w:val="single" w:color="auto" w:sz="12" w:space="0"/>
            </w:tcBorders>
            <w:shd w:val="clear" w:color="auto" w:fill="auto"/>
            <w:vAlign w:val="center"/>
          </w:tcPr>
          <w:p>
            <w:pPr>
              <w:spacing w:line="360" w:lineRule="auto"/>
              <w:jc w:val="center"/>
              <w:rPr>
                <w:sz w:val="18"/>
              </w:rPr>
            </w:pPr>
            <w:r>
              <w:rPr>
                <w:rFonts w:hint="eastAsia"/>
                <w:sz w:val="18"/>
              </w:rPr>
              <w:t>项   目</w:t>
            </w:r>
          </w:p>
        </w:tc>
        <w:tc>
          <w:tcPr>
            <w:tcW w:w="3190" w:type="dxa"/>
            <w:tcBorders>
              <w:top w:val="single" w:color="auto" w:sz="12" w:space="0"/>
              <w:bottom w:val="single" w:color="auto" w:sz="12" w:space="0"/>
            </w:tcBorders>
            <w:shd w:val="clear" w:color="auto" w:fill="auto"/>
          </w:tcPr>
          <w:p>
            <w:pPr>
              <w:spacing w:line="360" w:lineRule="auto"/>
              <w:ind w:firstLine="463"/>
              <w:rPr>
                <w:sz w:val="18"/>
              </w:rPr>
            </w:pPr>
          </w:p>
        </w:tc>
        <w:tc>
          <w:tcPr>
            <w:tcW w:w="3190" w:type="dxa"/>
            <w:tcBorders>
              <w:top w:val="single" w:color="auto" w:sz="12" w:space="0"/>
              <w:bottom w:val="single" w:color="auto" w:sz="12" w:space="0"/>
              <w:right w:val="single" w:color="auto" w:sz="12" w:space="0"/>
            </w:tcBorders>
            <w:shd w:val="clear" w:color="auto" w:fill="auto"/>
          </w:tcPr>
          <w:p>
            <w:pPr>
              <w:spacing w:line="360" w:lineRule="auto"/>
              <w:ind w:firstLine="463"/>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12" w:space="0"/>
              <w:left w:val="single" w:color="auto" w:sz="12" w:space="0"/>
            </w:tcBorders>
            <w:shd w:val="clear" w:color="auto" w:fill="auto"/>
          </w:tcPr>
          <w:p>
            <w:pPr>
              <w:spacing w:line="360" w:lineRule="auto"/>
              <w:ind w:firstLine="463"/>
              <w:rPr>
                <w:sz w:val="18"/>
              </w:rPr>
            </w:pPr>
          </w:p>
        </w:tc>
        <w:tc>
          <w:tcPr>
            <w:tcW w:w="3190" w:type="dxa"/>
            <w:tcBorders>
              <w:top w:val="single" w:color="auto" w:sz="12" w:space="0"/>
            </w:tcBorders>
            <w:shd w:val="clear" w:color="auto" w:fill="auto"/>
          </w:tcPr>
          <w:p>
            <w:pPr>
              <w:spacing w:line="360" w:lineRule="auto"/>
              <w:ind w:firstLine="463"/>
              <w:rPr>
                <w:sz w:val="18"/>
              </w:rPr>
            </w:pPr>
          </w:p>
        </w:tc>
        <w:tc>
          <w:tcPr>
            <w:tcW w:w="3190" w:type="dxa"/>
            <w:tcBorders>
              <w:top w:val="single" w:color="auto" w:sz="12" w:space="0"/>
              <w:right w:val="single" w:color="auto" w:sz="12" w:space="0"/>
            </w:tcBorders>
            <w:shd w:val="clear" w:color="auto" w:fill="auto"/>
          </w:tcPr>
          <w:p>
            <w:pPr>
              <w:spacing w:line="360" w:lineRule="auto"/>
              <w:ind w:firstLine="463"/>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left w:val="single" w:color="auto" w:sz="12" w:space="0"/>
              <w:bottom w:val="single" w:color="auto" w:sz="4" w:space="0"/>
            </w:tcBorders>
            <w:shd w:val="clear" w:color="auto" w:fill="auto"/>
          </w:tcPr>
          <w:p>
            <w:pPr>
              <w:spacing w:line="360" w:lineRule="auto"/>
              <w:ind w:firstLine="463"/>
              <w:rPr>
                <w:sz w:val="18"/>
              </w:rPr>
            </w:pPr>
          </w:p>
        </w:tc>
        <w:tc>
          <w:tcPr>
            <w:tcW w:w="3190" w:type="dxa"/>
            <w:tcBorders>
              <w:bottom w:val="single" w:color="auto" w:sz="4" w:space="0"/>
            </w:tcBorders>
            <w:shd w:val="clear" w:color="auto" w:fill="auto"/>
          </w:tcPr>
          <w:p>
            <w:pPr>
              <w:spacing w:line="360" w:lineRule="auto"/>
              <w:ind w:firstLine="463"/>
              <w:rPr>
                <w:sz w:val="18"/>
              </w:rPr>
            </w:pPr>
          </w:p>
        </w:tc>
        <w:tc>
          <w:tcPr>
            <w:tcW w:w="3190" w:type="dxa"/>
            <w:tcBorders>
              <w:bottom w:val="single" w:color="auto" w:sz="4" w:space="0"/>
              <w:right w:val="single" w:color="auto" w:sz="12" w:space="0"/>
            </w:tcBorders>
            <w:shd w:val="clear" w:color="auto" w:fill="auto"/>
          </w:tcPr>
          <w:p>
            <w:pPr>
              <w:spacing w:line="360" w:lineRule="auto"/>
              <w:ind w:firstLine="463"/>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single" w:color="auto" w:sz="4" w:space="0"/>
              <w:left w:val="single" w:color="auto" w:sz="12" w:space="0"/>
              <w:bottom w:val="single" w:color="auto" w:sz="12" w:space="0"/>
            </w:tcBorders>
            <w:shd w:val="clear" w:color="auto" w:fill="auto"/>
          </w:tcPr>
          <w:p>
            <w:pPr>
              <w:spacing w:line="360" w:lineRule="auto"/>
              <w:ind w:firstLine="463"/>
              <w:rPr>
                <w:sz w:val="18"/>
              </w:rPr>
            </w:pPr>
          </w:p>
        </w:tc>
        <w:tc>
          <w:tcPr>
            <w:tcW w:w="3190" w:type="dxa"/>
            <w:tcBorders>
              <w:top w:val="single" w:color="auto" w:sz="4" w:space="0"/>
              <w:bottom w:val="single" w:color="auto" w:sz="12" w:space="0"/>
            </w:tcBorders>
            <w:shd w:val="clear" w:color="auto" w:fill="auto"/>
          </w:tcPr>
          <w:p>
            <w:pPr>
              <w:spacing w:line="360" w:lineRule="auto"/>
              <w:ind w:firstLine="463"/>
              <w:rPr>
                <w:sz w:val="18"/>
              </w:rPr>
            </w:pPr>
          </w:p>
        </w:tc>
        <w:tc>
          <w:tcPr>
            <w:tcW w:w="3190" w:type="dxa"/>
            <w:tcBorders>
              <w:top w:val="single" w:color="auto" w:sz="4" w:space="0"/>
              <w:bottom w:val="single" w:color="auto" w:sz="12" w:space="0"/>
              <w:right w:val="single" w:color="auto" w:sz="12" w:space="0"/>
            </w:tcBorders>
            <w:shd w:val="clear" w:color="auto" w:fill="auto"/>
          </w:tcPr>
          <w:p>
            <w:pPr>
              <w:spacing w:line="360" w:lineRule="auto"/>
              <w:ind w:firstLine="463"/>
              <w:rPr>
                <w:sz w:val="18"/>
              </w:rPr>
            </w:pPr>
          </w:p>
        </w:tc>
      </w:tr>
    </w:tbl>
    <w:p>
      <w:pPr>
        <w:pStyle w:val="58"/>
        <w:tabs>
          <w:tab w:val="left" w:pos="360"/>
        </w:tabs>
        <w:spacing w:before="156" w:after="156"/>
      </w:pPr>
      <w:r>
        <w:rPr>
          <w:rFonts w:hint="eastAsia"/>
        </w:rPr>
        <w:t>清单分析</w:t>
      </w:r>
    </w:p>
    <w:p>
      <w:pPr>
        <w:pStyle w:val="23"/>
      </w:pPr>
      <w:r>
        <w:rPr>
          <w:rFonts w:hint="eastAsia"/>
        </w:rPr>
        <w:t xml:space="preserve">所收集的数据进行核实后，利用生命周期评估软件进行数据的分析处理，用以建立生命周期评价，科学完整的计算程序。目前生命周期评价软件有GaBi、SimaPro、eBalance等，企业可根据实际情况选择软件。通过建立各个过程单元模块，输入各过程单元的数据，可得到全部输入与输出物质和排放清单，选择表 </w:t>
      </w:r>
      <w:r>
        <w:rPr>
          <w:rFonts w:hint="eastAsia"/>
          <w:lang w:val="en-US" w:eastAsia="zh-CN"/>
        </w:rPr>
        <w:t>A</w:t>
      </w:r>
      <w:r>
        <w:rPr>
          <w:rFonts w:hint="eastAsia"/>
        </w:rPr>
        <w:t>.6各个清单因子的量[以千克(kg)为单位]，为分类评价做准备。</w:t>
      </w:r>
    </w:p>
    <w:p>
      <w:pPr>
        <w:pStyle w:val="62"/>
        <w:tabs>
          <w:tab w:val="left" w:pos="360"/>
        </w:tabs>
        <w:spacing w:before="312" w:after="312"/>
      </w:pPr>
      <w:r>
        <w:rPr>
          <w:rFonts w:hint="eastAsia"/>
        </w:rPr>
        <w:t>影响评价</w:t>
      </w:r>
    </w:p>
    <w:p>
      <w:pPr>
        <w:pStyle w:val="63"/>
        <w:tabs>
          <w:tab w:val="left" w:pos="360"/>
        </w:tabs>
        <w:spacing w:before="156" w:after="156"/>
      </w:pPr>
      <w:r>
        <w:rPr>
          <w:rFonts w:hint="eastAsia"/>
        </w:rPr>
        <w:t>影响类型</w:t>
      </w:r>
    </w:p>
    <w:p>
      <w:pPr>
        <w:pStyle w:val="23"/>
      </w:pPr>
      <w:r>
        <w:rPr>
          <w:rFonts w:hint="eastAsia"/>
        </w:rPr>
        <w:t>影响类型分为资源能源消耗、生态环境影响和人体健康危害3类。</w:t>
      </w:r>
      <w:r>
        <w:rPr>
          <w:rFonts w:hint="eastAsia"/>
          <w:lang w:eastAsia="zh-CN"/>
        </w:rPr>
        <w:t>门窗用塑料型材</w:t>
      </w:r>
      <w:r>
        <w:rPr>
          <w:rFonts w:hint="eastAsia"/>
        </w:rPr>
        <w:t>的影响类型采用化石能源消耗、气候变化、富营养化和人体健康危害4个指标。</w:t>
      </w:r>
    </w:p>
    <w:p>
      <w:pPr>
        <w:pStyle w:val="63"/>
        <w:tabs>
          <w:tab w:val="left" w:pos="360"/>
        </w:tabs>
        <w:spacing w:before="156" w:after="156"/>
      </w:pPr>
      <w:r>
        <w:rPr>
          <w:rFonts w:hint="eastAsia"/>
        </w:rPr>
        <w:t>清单因子归类</w:t>
      </w:r>
    </w:p>
    <w:p>
      <w:pPr>
        <w:pStyle w:val="23"/>
      </w:pPr>
      <w:r>
        <w:rPr>
          <w:rFonts w:hint="eastAsia"/>
        </w:rPr>
        <w:t>根据清单因子的物理化学性质将对某影响类型有贡献的因子归到一起，见表</w:t>
      </w:r>
      <w:r>
        <w:rPr>
          <w:rFonts w:hint="eastAsia"/>
          <w:lang w:val="en-US" w:eastAsia="zh-CN"/>
        </w:rPr>
        <w:t>A</w:t>
      </w:r>
      <w:r>
        <w:rPr>
          <w:rFonts w:hint="eastAsia"/>
        </w:rPr>
        <w:t>.6。例如，将对气候变化有贡献的二氧化碳、一氧化氮等清单因子归到气候变化影响类型里面。</w:t>
      </w:r>
    </w:p>
    <w:p>
      <w:pPr>
        <w:pStyle w:val="67"/>
        <w:spacing w:before="156" w:after="156"/>
      </w:pPr>
      <w:r>
        <w:rPr>
          <w:rFonts w:hint="eastAsia"/>
        </w:rPr>
        <w:t>油墨产品生命周期清单因子归类</w:t>
      </w:r>
    </w:p>
    <w:tbl>
      <w:tblPr>
        <w:tblStyle w:val="5"/>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top w:val="single" w:color="auto" w:sz="12" w:space="0"/>
              <w:left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影响类型</w:t>
            </w:r>
          </w:p>
        </w:tc>
        <w:tc>
          <w:tcPr>
            <w:tcW w:w="7477" w:type="dxa"/>
            <w:tcBorders>
              <w:top w:val="single" w:color="auto" w:sz="12" w:space="0"/>
              <w:bottom w:val="single" w:color="auto" w:sz="12" w:space="0"/>
              <w:right w:val="single" w:color="auto" w:sz="12" w:space="0"/>
            </w:tcBorders>
            <w:shd w:val="clear" w:color="auto" w:fill="auto"/>
            <w:vAlign w:val="center"/>
          </w:tcPr>
          <w:p>
            <w:pPr>
              <w:pStyle w:val="23"/>
              <w:spacing w:line="360" w:lineRule="auto"/>
              <w:ind w:firstLine="0" w:firstLineChars="0"/>
              <w:jc w:val="center"/>
              <w:rPr>
                <w:sz w:val="18"/>
                <w:szCs w:val="18"/>
              </w:rPr>
            </w:pPr>
            <w:r>
              <w:rPr>
                <w:rFonts w:hint="eastAsia"/>
                <w:sz w:val="18"/>
                <w:szCs w:val="18"/>
              </w:rPr>
              <w:t>清单因子归类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top w:val="single" w:color="auto" w:sz="12" w:space="0"/>
              <w:left w:val="single" w:color="auto" w:sz="12" w:space="0"/>
            </w:tcBorders>
            <w:shd w:val="clear" w:color="auto" w:fill="auto"/>
            <w:vAlign w:val="center"/>
          </w:tcPr>
          <w:p>
            <w:pPr>
              <w:spacing w:line="360" w:lineRule="auto"/>
              <w:jc w:val="center"/>
              <w:rPr>
                <w:sz w:val="18"/>
                <w:szCs w:val="18"/>
              </w:rPr>
            </w:pPr>
            <w:r>
              <w:rPr>
                <w:rFonts w:hint="eastAsia"/>
                <w:sz w:val="18"/>
                <w:szCs w:val="18"/>
              </w:rPr>
              <w:t>化石能源消</w:t>
            </w:r>
          </w:p>
        </w:tc>
        <w:tc>
          <w:tcPr>
            <w:tcW w:w="7477" w:type="dxa"/>
            <w:tcBorders>
              <w:top w:val="single" w:color="auto" w:sz="12" w:space="0"/>
              <w:right w:val="single" w:color="auto" w:sz="12" w:space="0"/>
            </w:tcBorders>
            <w:shd w:val="clear" w:color="auto" w:fill="auto"/>
            <w:vAlign w:val="center"/>
          </w:tcPr>
          <w:p>
            <w:pPr>
              <w:pStyle w:val="23"/>
              <w:spacing w:line="360" w:lineRule="auto"/>
              <w:ind w:firstLine="0" w:firstLineChars="0"/>
              <w:jc w:val="center"/>
              <w:rPr>
                <w:sz w:val="18"/>
                <w:szCs w:val="18"/>
              </w:rPr>
            </w:pPr>
            <w:r>
              <w:rPr>
                <w:rFonts w:hint="eastAsia"/>
                <w:sz w:val="18"/>
                <w:szCs w:val="18"/>
              </w:rPr>
              <w:t>耗煤、石油、天然气、材料本身的有机碳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left w:val="single" w:color="auto" w:sz="12" w:space="0"/>
              <w:bottom w:val="single" w:color="auto" w:sz="4" w:space="0"/>
            </w:tcBorders>
            <w:shd w:val="clear" w:color="auto" w:fill="auto"/>
            <w:vAlign w:val="center"/>
          </w:tcPr>
          <w:p>
            <w:pPr>
              <w:spacing w:line="360" w:lineRule="auto"/>
              <w:jc w:val="center"/>
              <w:rPr>
                <w:sz w:val="18"/>
                <w:szCs w:val="18"/>
              </w:rPr>
            </w:pPr>
            <w:r>
              <w:rPr>
                <w:rFonts w:hint="eastAsia"/>
                <w:sz w:val="18"/>
                <w:szCs w:val="18"/>
              </w:rPr>
              <w:t>气候变化/碳足迹</w:t>
            </w:r>
          </w:p>
        </w:tc>
        <w:tc>
          <w:tcPr>
            <w:tcW w:w="7477" w:type="dxa"/>
            <w:tcBorders>
              <w:bottom w:val="single" w:color="auto" w:sz="4" w:space="0"/>
              <w:right w:val="single" w:color="auto" w:sz="12" w:space="0"/>
            </w:tcBorders>
            <w:shd w:val="clear" w:color="auto" w:fill="auto"/>
            <w:vAlign w:val="center"/>
          </w:tcPr>
          <w:p>
            <w:pPr>
              <w:pStyle w:val="23"/>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二氧化碳(CO</w:t>
            </w:r>
            <w:r>
              <w:rPr>
                <w:rFonts w:hint="default" w:ascii="Times New Roman" w:hAnsi="Times New Roman" w:cs="Times New Roman"/>
                <w:sz w:val="18"/>
                <w:szCs w:val="18"/>
                <w:vertAlign w:val="subscript"/>
              </w:rPr>
              <w:t>2</w:t>
            </w:r>
            <w:r>
              <w:rPr>
                <w:rFonts w:hint="default" w:ascii="Times New Roman" w:hAnsi="Times New Roman" w:cs="Times New Roman"/>
                <w:sz w:val="18"/>
                <w:szCs w:val="18"/>
              </w:rPr>
              <w:t>)、甲烷 (CH</w:t>
            </w:r>
            <w:r>
              <w:rPr>
                <w:rFonts w:hint="default" w:ascii="Times New Roman" w:hAnsi="Times New Roman" w:cs="Times New Roman"/>
                <w:sz w:val="18"/>
                <w:szCs w:val="18"/>
                <w:vertAlign w:val="subscript"/>
              </w:rPr>
              <w:t>4</w:t>
            </w:r>
            <w:r>
              <w:rPr>
                <w:rFonts w:hint="default" w:ascii="Times New Roman" w:hAnsi="Times New Roman"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top w:val="single" w:color="auto" w:sz="4" w:space="0"/>
              <w:left w:val="single" w:color="auto" w:sz="12" w:space="0"/>
              <w:bottom w:val="single" w:color="auto" w:sz="4" w:space="0"/>
            </w:tcBorders>
            <w:shd w:val="clear" w:color="auto" w:fill="auto"/>
            <w:vAlign w:val="center"/>
          </w:tcPr>
          <w:p>
            <w:pPr>
              <w:spacing w:line="360" w:lineRule="auto"/>
              <w:jc w:val="center"/>
              <w:rPr>
                <w:rFonts w:hint="eastAsia" w:eastAsia="宋体"/>
                <w:sz w:val="18"/>
                <w:szCs w:val="18"/>
                <w:lang w:eastAsia="zh-CN"/>
              </w:rPr>
            </w:pPr>
            <w:r>
              <w:rPr>
                <w:rFonts w:hint="eastAsia"/>
                <w:sz w:val="18"/>
                <w:szCs w:val="18"/>
                <w:lang w:eastAsia="zh-CN"/>
              </w:rPr>
              <w:t>光化学效应</w:t>
            </w:r>
          </w:p>
        </w:tc>
        <w:tc>
          <w:tcPr>
            <w:tcW w:w="7477" w:type="dxa"/>
            <w:tcBorders>
              <w:top w:val="single" w:color="auto" w:sz="4" w:space="0"/>
              <w:bottom w:val="single" w:color="auto" w:sz="4" w:space="0"/>
              <w:right w:val="single" w:color="auto" w:sz="12" w:space="0"/>
            </w:tcBorders>
            <w:shd w:val="clear" w:color="auto" w:fill="auto"/>
            <w:vAlign w:val="center"/>
          </w:tcPr>
          <w:p>
            <w:pPr>
              <w:pStyle w:val="23"/>
              <w:spacing w:line="360" w:lineRule="auto"/>
              <w:ind w:firstLine="0" w:firstLineChars="0"/>
              <w:jc w:val="center"/>
              <w:rPr>
                <w:rFonts w:hint="default" w:ascii="Times New Roman" w:hAnsi="Times New Roman" w:eastAsia="宋体" w:cs="Times New Roman"/>
                <w:sz w:val="18"/>
                <w:szCs w:val="18"/>
                <w:lang w:val="en-US" w:eastAsia="zh-CN"/>
              </w:rPr>
            </w:pPr>
            <w:r>
              <w:rPr>
                <w:rFonts w:hint="eastAsia" w:ascii="Times New Roman" w:cs="Times New Roman"/>
                <w:sz w:val="18"/>
                <w:szCs w:val="18"/>
                <w:lang w:eastAsia="zh-CN"/>
              </w:rPr>
              <w:t>乙烯、氮氧化物</w:t>
            </w:r>
            <w:r>
              <w:rPr>
                <w:rFonts w:hint="eastAsia" w:ascii="Times New Roman" w:cs="Times New Roman"/>
                <w:sz w:val="18"/>
                <w:szCs w:val="18"/>
                <w:lang w:val="en-US" w:eastAsia="zh-CN"/>
              </w:rPr>
              <w:t>(</w:t>
            </w:r>
            <w:r>
              <w:rPr>
                <w:rFonts w:hint="default" w:ascii="Times New Roman" w:hAnsi="Times New Roman" w:cs="Times New Roman"/>
                <w:sz w:val="18"/>
                <w:szCs w:val="18"/>
              </w:rPr>
              <w:t>NO</w:t>
            </w:r>
            <w:r>
              <w:rPr>
                <w:rFonts w:hint="default" w:ascii="Times New Roman" w:hAnsi="Times New Roman" w:cs="Times New Roman"/>
                <w:sz w:val="18"/>
                <w:szCs w:val="18"/>
                <w:vertAlign w:val="subscript"/>
              </w:rPr>
              <w:t>x</w:t>
            </w:r>
            <w:r>
              <w:rPr>
                <w:rFonts w:hint="eastAsia" w:ascii="Times New Roman" w:cs="Times New Roman"/>
                <w:sz w:val="18"/>
                <w:szCs w:val="18"/>
                <w:vertAlign w:val="baseline"/>
                <w:lang w:val="en-US" w:eastAsia="zh-CN"/>
              </w:rPr>
              <w:t>)</w:t>
            </w:r>
            <w:r>
              <w:rPr>
                <w:rFonts w:hint="eastAsia" w:ascii="Times New Roman" w:cs="Times New Roman"/>
                <w:sz w:val="18"/>
                <w:szCs w:val="18"/>
                <w:lang w:eastAsia="zh-CN"/>
              </w:rPr>
              <w:t>、一氧化碳</w:t>
            </w:r>
            <w:r>
              <w:rPr>
                <w:rFonts w:hint="eastAsia" w:ascii="Times New Roman" w:cs="Times New Roman"/>
                <w:sz w:val="18"/>
                <w:szCs w:val="18"/>
                <w:lang w:val="en-US" w:eastAsia="zh-CN"/>
              </w:rPr>
              <w:t>(CO)、非甲烷挥发性有机物（NMVOC）</w:t>
            </w:r>
          </w:p>
        </w:tc>
      </w:tr>
    </w:tbl>
    <w:p>
      <w:pPr>
        <w:pStyle w:val="63"/>
        <w:tabs>
          <w:tab w:val="left" w:pos="360"/>
        </w:tabs>
        <w:spacing w:before="156" w:after="156"/>
      </w:pPr>
      <w:r>
        <w:rPr>
          <w:rFonts w:hint="eastAsia"/>
        </w:rPr>
        <w:t>分类评价</w:t>
      </w:r>
    </w:p>
    <w:p>
      <w:pPr>
        <w:pStyle w:val="23"/>
      </w:pPr>
      <w:r>
        <w:rPr>
          <w:rFonts w:hint="eastAsia"/>
        </w:rPr>
        <w:t>计算出不同影响类型的特征化模型。分类评价的结果采用表</w:t>
      </w:r>
      <w:r>
        <w:rPr>
          <w:rFonts w:hint="eastAsia"/>
          <w:lang w:val="en-US" w:eastAsia="zh-CN"/>
        </w:rPr>
        <w:t>A</w:t>
      </w:r>
      <w:r>
        <w:rPr>
          <w:rFonts w:hint="eastAsia"/>
        </w:rPr>
        <w:t>.7中的当量物质表示。</w:t>
      </w:r>
    </w:p>
    <w:p>
      <w:pPr>
        <w:pStyle w:val="67"/>
        <w:spacing w:before="156" w:after="156"/>
      </w:pPr>
      <w:r>
        <w:rPr>
          <w:rFonts w:hint="eastAsia"/>
          <w:lang w:eastAsia="zh-CN"/>
        </w:rPr>
        <w:t>门窗用塑料型材</w:t>
      </w:r>
      <w:r>
        <w:rPr>
          <w:rFonts w:hint="eastAsia"/>
        </w:rPr>
        <w:t>生命周期影响评价</w:t>
      </w:r>
    </w:p>
    <w:tbl>
      <w:tblPr>
        <w:tblStyle w:val="5"/>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Borders>
              <w:top w:val="single" w:color="auto" w:sz="12" w:space="0"/>
              <w:left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环境类别</w:t>
            </w:r>
          </w:p>
        </w:tc>
        <w:tc>
          <w:tcPr>
            <w:tcW w:w="2392" w:type="dxa"/>
            <w:tcBorders>
              <w:top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单位</w:t>
            </w:r>
          </w:p>
        </w:tc>
        <w:tc>
          <w:tcPr>
            <w:tcW w:w="2393" w:type="dxa"/>
            <w:tcBorders>
              <w:top w:val="single" w:color="auto" w:sz="12" w:space="0"/>
              <w:bottom w:val="single" w:color="auto" w:sz="12" w:space="0"/>
            </w:tcBorders>
            <w:shd w:val="clear" w:color="auto" w:fill="auto"/>
            <w:vAlign w:val="center"/>
          </w:tcPr>
          <w:p>
            <w:pPr>
              <w:spacing w:line="360" w:lineRule="auto"/>
              <w:jc w:val="center"/>
              <w:rPr>
                <w:sz w:val="18"/>
                <w:szCs w:val="18"/>
              </w:rPr>
            </w:pPr>
            <w:r>
              <w:rPr>
                <w:rFonts w:hint="eastAsia"/>
                <w:sz w:val="18"/>
                <w:szCs w:val="18"/>
              </w:rPr>
              <w:t>指标参数</w:t>
            </w:r>
          </w:p>
        </w:tc>
        <w:tc>
          <w:tcPr>
            <w:tcW w:w="2393" w:type="dxa"/>
            <w:tcBorders>
              <w:top w:val="single" w:color="auto" w:sz="12" w:space="0"/>
              <w:bottom w:val="single" w:color="auto" w:sz="12" w:space="0"/>
              <w:right w:val="single" w:color="auto" w:sz="12" w:space="0"/>
            </w:tcBorders>
            <w:shd w:val="clear" w:color="auto" w:fill="auto"/>
            <w:vAlign w:val="center"/>
          </w:tcPr>
          <w:p>
            <w:pPr>
              <w:pStyle w:val="23"/>
              <w:spacing w:line="360" w:lineRule="auto"/>
              <w:ind w:firstLine="0" w:firstLineChars="0"/>
              <w:jc w:val="center"/>
              <w:rPr>
                <w:rFonts w:hAnsi="宋体"/>
                <w:sz w:val="18"/>
                <w:szCs w:val="18"/>
              </w:rPr>
            </w:pPr>
            <w:r>
              <w:rPr>
                <w:rFonts w:hint="eastAsia" w:hAnsi="宋体"/>
                <w:sz w:val="18"/>
                <w:szCs w:val="18"/>
              </w:rPr>
              <w:t>特征化因子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392" w:type="dxa"/>
            <w:vMerge w:val="restart"/>
            <w:tcBorders>
              <w:top w:val="single" w:color="auto" w:sz="12" w:space="0"/>
              <w:left w:val="single" w:color="auto" w:sz="12" w:space="0"/>
            </w:tcBorders>
            <w:shd w:val="clear" w:color="auto" w:fill="auto"/>
            <w:vAlign w:val="center"/>
          </w:tcPr>
          <w:p>
            <w:pPr>
              <w:spacing w:line="360" w:lineRule="auto"/>
              <w:jc w:val="center"/>
              <w:rPr>
                <w:sz w:val="18"/>
                <w:szCs w:val="18"/>
              </w:rPr>
            </w:pPr>
            <w:r>
              <w:rPr>
                <w:rFonts w:hint="eastAsia"/>
                <w:sz w:val="18"/>
                <w:szCs w:val="18"/>
              </w:rPr>
              <w:t>能源消耗</w:t>
            </w:r>
          </w:p>
        </w:tc>
        <w:tc>
          <w:tcPr>
            <w:tcW w:w="2392" w:type="dxa"/>
            <w:vMerge w:val="restart"/>
            <w:tcBorders>
              <w:top w:val="single" w:color="auto" w:sz="12" w:space="0"/>
            </w:tcBorders>
            <w:shd w:val="clear" w:color="auto" w:fill="auto"/>
            <w:vAlign w:val="center"/>
          </w:tcPr>
          <w:p>
            <w:pPr>
              <w:pStyle w:val="23"/>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锑当量/kg</w:t>
            </w:r>
          </w:p>
        </w:tc>
        <w:tc>
          <w:tcPr>
            <w:tcW w:w="2393" w:type="dxa"/>
            <w:tcBorders>
              <w:top w:val="single" w:color="auto" w:sz="12" w:space="0"/>
            </w:tcBorders>
            <w:shd w:val="clear" w:color="auto" w:fill="auto"/>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煤</w:t>
            </w:r>
          </w:p>
        </w:tc>
        <w:tc>
          <w:tcPr>
            <w:tcW w:w="2393" w:type="dxa"/>
            <w:tcBorders>
              <w:top w:val="single" w:color="auto" w:sz="12" w:space="0"/>
              <w:right w:val="single" w:color="auto" w:sz="12" w:space="0"/>
            </w:tcBorders>
            <w:shd w:val="clear" w:color="auto" w:fill="auto"/>
            <w:vAlign w:val="center"/>
          </w:tcPr>
          <w:p>
            <w:pPr>
              <w:pStyle w:val="23"/>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5.69×10</w:t>
            </w:r>
            <w:r>
              <w:rPr>
                <w:rFonts w:hint="default" w:ascii="Times New Roman" w:hAnsi="Times New Roman" w:cs="Times New Roman"/>
                <w:sz w:val="18"/>
                <w:szCs w:val="18"/>
                <w:vertAlign w:val="superscript"/>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392" w:type="dxa"/>
            <w:vMerge w:val="continue"/>
            <w:tcBorders>
              <w:left w:val="single" w:color="auto" w:sz="12" w:space="0"/>
            </w:tcBorders>
            <w:shd w:val="clear" w:color="auto" w:fill="auto"/>
            <w:vAlign w:val="center"/>
          </w:tcPr>
          <w:p>
            <w:pPr>
              <w:spacing w:line="360" w:lineRule="auto"/>
              <w:ind w:firstLine="463"/>
              <w:jc w:val="center"/>
              <w:rPr>
                <w:sz w:val="18"/>
                <w:szCs w:val="18"/>
              </w:rPr>
            </w:pPr>
          </w:p>
        </w:tc>
        <w:tc>
          <w:tcPr>
            <w:tcW w:w="2392" w:type="dxa"/>
            <w:vMerge w:val="continue"/>
            <w:shd w:val="clear" w:color="auto" w:fill="auto"/>
            <w:vAlign w:val="center"/>
          </w:tcPr>
          <w:p>
            <w:pPr>
              <w:spacing w:line="360" w:lineRule="auto"/>
              <w:ind w:firstLine="463"/>
              <w:jc w:val="center"/>
              <w:rPr>
                <w:rFonts w:hint="default" w:ascii="Times New Roman" w:hAnsi="Times New Roman" w:cs="Times New Roman"/>
                <w:sz w:val="18"/>
                <w:szCs w:val="18"/>
              </w:rPr>
            </w:pPr>
          </w:p>
        </w:tc>
        <w:tc>
          <w:tcPr>
            <w:tcW w:w="2393" w:type="dxa"/>
            <w:shd w:val="clear" w:color="auto" w:fill="auto"/>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石油</w:t>
            </w:r>
          </w:p>
        </w:tc>
        <w:tc>
          <w:tcPr>
            <w:tcW w:w="2393" w:type="dxa"/>
            <w:tcBorders>
              <w:right w:val="single" w:color="auto" w:sz="12" w:space="0"/>
            </w:tcBorders>
            <w:shd w:val="clear" w:color="auto" w:fill="auto"/>
            <w:vAlign w:val="center"/>
          </w:tcPr>
          <w:p>
            <w:pPr>
              <w:pStyle w:val="23"/>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1.42×10</w:t>
            </w:r>
            <w:r>
              <w:rPr>
                <w:rFonts w:hint="default" w:ascii="Times New Roman" w:hAnsi="Times New Roman" w:cs="Times New Roman"/>
                <w:sz w:val="18"/>
                <w:szCs w:val="18"/>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392" w:type="dxa"/>
            <w:vMerge w:val="continue"/>
            <w:tcBorders>
              <w:left w:val="single" w:color="auto" w:sz="12" w:space="0"/>
            </w:tcBorders>
            <w:shd w:val="clear" w:color="auto" w:fill="auto"/>
            <w:vAlign w:val="center"/>
          </w:tcPr>
          <w:p>
            <w:pPr>
              <w:spacing w:line="360" w:lineRule="auto"/>
              <w:ind w:firstLine="463"/>
              <w:jc w:val="center"/>
              <w:rPr>
                <w:sz w:val="18"/>
                <w:szCs w:val="18"/>
              </w:rPr>
            </w:pPr>
          </w:p>
        </w:tc>
        <w:tc>
          <w:tcPr>
            <w:tcW w:w="2392" w:type="dxa"/>
            <w:vMerge w:val="continue"/>
            <w:shd w:val="clear" w:color="auto" w:fill="auto"/>
            <w:vAlign w:val="center"/>
          </w:tcPr>
          <w:p>
            <w:pPr>
              <w:spacing w:line="360" w:lineRule="auto"/>
              <w:ind w:firstLine="463"/>
              <w:jc w:val="center"/>
              <w:rPr>
                <w:rFonts w:hint="default" w:ascii="Times New Roman" w:hAnsi="Times New Roman" w:cs="Times New Roman"/>
                <w:sz w:val="18"/>
                <w:szCs w:val="18"/>
              </w:rPr>
            </w:pPr>
          </w:p>
        </w:tc>
        <w:tc>
          <w:tcPr>
            <w:tcW w:w="2393" w:type="dxa"/>
            <w:shd w:val="clear" w:color="auto" w:fill="auto"/>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天然气</w:t>
            </w:r>
          </w:p>
        </w:tc>
        <w:tc>
          <w:tcPr>
            <w:tcW w:w="2393" w:type="dxa"/>
            <w:tcBorders>
              <w:right w:val="single" w:color="auto" w:sz="12" w:space="0"/>
            </w:tcBorders>
            <w:shd w:val="clear" w:color="auto" w:fill="auto"/>
            <w:vAlign w:val="center"/>
          </w:tcPr>
          <w:p>
            <w:pPr>
              <w:pStyle w:val="23"/>
              <w:spacing w:line="360" w:lineRule="auto"/>
              <w:ind w:firstLine="0" w:firstLineChars="0"/>
              <w:jc w:val="center"/>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1.</w:t>
            </w:r>
            <w:r>
              <w:rPr>
                <w:rFonts w:hint="eastAsia" w:ascii="Times New Roman" w:cs="Times New Roman"/>
                <w:sz w:val="18"/>
                <w:szCs w:val="18"/>
                <w:lang w:val="en-US" w:eastAsia="zh-CN"/>
              </w:rPr>
              <w:t>18</w:t>
            </w:r>
            <w:r>
              <w:rPr>
                <w:rFonts w:hint="default" w:ascii="Times New Roman" w:hAnsi="Times New Roman" w:cs="Times New Roman"/>
                <w:sz w:val="18"/>
                <w:szCs w:val="18"/>
              </w:rPr>
              <w:t>×10</w:t>
            </w:r>
            <w:r>
              <w:rPr>
                <w:rFonts w:hint="default" w:ascii="Times New Roman" w:hAnsi="Times New Roman" w:cs="Times New Roman"/>
                <w:sz w:val="18"/>
                <w:szCs w:val="18"/>
                <w:vertAlign w:val="superscript"/>
              </w:rPr>
              <w:t>-</w:t>
            </w:r>
            <w:r>
              <w:rPr>
                <w:rFonts w:hint="eastAsia" w:ascii="Times New Roman" w:cs="Times New Roman"/>
                <w:sz w:val="18"/>
                <w:szCs w:val="18"/>
                <w:vertAlign w:val="superscript"/>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392" w:type="dxa"/>
            <w:vMerge w:val="restart"/>
            <w:tcBorders>
              <w:left w:val="single" w:color="auto" w:sz="12" w:space="0"/>
            </w:tcBorders>
            <w:shd w:val="clear" w:color="auto" w:fill="auto"/>
            <w:vAlign w:val="center"/>
          </w:tcPr>
          <w:p>
            <w:pPr>
              <w:spacing w:line="360" w:lineRule="auto"/>
              <w:jc w:val="center"/>
              <w:rPr>
                <w:sz w:val="18"/>
                <w:szCs w:val="18"/>
              </w:rPr>
            </w:pPr>
            <w:r>
              <w:rPr>
                <w:rFonts w:hint="eastAsia"/>
                <w:sz w:val="18"/>
                <w:szCs w:val="18"/>
              </w:rPr>
              <w:t>全球变暖</w:t>
            </w:r>
          </w:p>
        </w:tc>
        <w:tc>
          <w:tcPr>
            <w:tcW w:w="2392" w:type="dxa"/>
            <w:vMerge w:val="restart"/>
            <w:shd w:val="clear" w:color="auto" w:fill="auto"/>
            <w:vAlign w:val="center"/>
          </w:tcPr>
          <w:p>
            <w:pPr>
              <w:pStyle w:val="23"/>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CO</w:t>
            </w:r>
            <w:r>
              <w:rPr>
                <w:rFonts w:hint="default" w:ascii="Times New Roman" w:hAnsi="Times New Roman" w:cs="Times New Roman"/>
                <w:sz w:val="18"/>
                <w:szCs w:val="18"/>
                <w:vertAlign w:val="subscript"/>
              </w:rPr>
              <w:t>2</w:t>
            </w:r>
            <w:r>
              <w:rPr>
                <w:rFonts w:hint="default" w:ascii="Times New Roman" w:hAnsi="Times New Roman" w:cs="Times New Roman"/>
                <w:sz w:val="18"/>
                <w:szCs w:val="18"/>
              </w:rPr>
              <w:t>当量/kg</w:t>
            </w:r>
          </w:p>
        </w:tc>
        <w:tc>
          <w:tcPr>
            <w:tcW w:w="2393" w:type="dxa"/>
            <w:shd w:val="clear" w:color="auto" w:fill="auto"/>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CO</w:t>
            </w:r>
            <w:r>
              <w:rPr>
                <w:rFonts w:hint="default" w:ascii="Times New Roman" w:hAnsi="Times New Roman" w:cs="Times New Roman"/>
                <w:sz w:val="18"/>
                <w:szCs w:val="18"/>
                <w:vertAlign w:val="subscript"/>
              </w:rPr>
              <w:t>2</w:t>
            </w:r>
          </w:p>
        </w:tc>
        <w:tc>
          <w:tcPr>
            <w:tcW w:w="2393" w:type="dxa"/>
            <w:tcBorders>
              <w:right w:val="single" w:color="auto" w:sz="12" w:space="0"/>
            </w:tcBorders>
            <w:shd w:val="clear" w:color="auto" w:fill="auto"/>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392" w:type="dxa"/>
            <w:vMerge w:val="continue"/>
            <w:tcBorders>
              <w:left w:val="single" w:color="auto" w:sz="12" w:space="0"/>
            </w:tcBorders>
            <w:shd w:val="clear" w:color="auto" w:fill="auto"/>
            <w:vAlign w:val="center"/>
          </w:tcPr>
          <w:p>
            <w:pPr>
              <w:spacing w:line="360" w:lineRule="auto"/>
              <w:ind w:firstLine="463"/>
              <w:jc w:val="center"/>
              <w:rPr>
                <w:sz w:val="18"/>
                <w:szCs w:val="18"/>
              </w:rPr>
            </w:pPr>
          </w:p>
        </w:tc>
        <w:tc>
          <w:tcPr>
            <w:tcW w:w="2392" w:type="dxa"/>
            <w:vMerge w:val="continue"/>
            <w:shd w:val="clear" w:color="auto" w:fill="auto"/>
            <w:vAlign w:val="center"/>
          </w:tcPr>
          <w:p>
            <w:pPr>
              <w:spacing w:line="360" w:lineRule="auto"/>
              <w:ind w:firstLine="463"/>
              <w:jc w:val="center"/>
              <w:rPr>
                <w:rFonts w:hint="default" w:ascii="Times New Roman" w:hAnsi="Times New Roman" w:cs="Times New Roman"/>
                <w:sz w:val="18"/>
                <w:szCs w:val="18"/>
              </w:rPr>
            </w:pPr>
          </w:p>
        </w:tc>
        <w:tc>
          <w:tcPr>
            <w:tcW w:w="2393" w:type="dxa"/>
            <w:shd w:val="clear" w:color="auto" w:fill="auto"/>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CH</w:t>
            </w:r>
            <w:r>
              <w:rPr>
                <w:rFonts w:hint="default" w:ascii="Times New Roman" w:hAnsi="Times New Roman" w:cs="Times New Roman"/>
                <w:sz w:val="18"/>
                <w:szCs w:val="18"/>
                <w:vertAlign w:val="subscript"/>
              </w:rPr>
              <w:t>4</w:t>
            </w:r>
          </w:p>
        </w:tc>
        <w:tc>
          <w:tcPr>
            <w:tcW w:w="2393" w:type="dxa"/>
            <w:tcBorders>
              <w:right w:val="single" w:color="auto" w:sz="12" w:space="0"/>
            </w:tcBorders>
            <w:shd w:val="clear" w:color="auto" w:fill="auto"/>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392" w:type="dxa"/>
            <w:vMerge w:val="restart"/>
            <w:tcBorders>
              <w:left w:val="single" w:color="auto" w:sz="12" w:space="0"/>
            </w:tcBorders>
            <w:shd w:val="clear" w:color="auto" w:fill="auto"/>
            <w:vAlign w:val="center"/>
          </w:tcPr>
          <w:p>
            <w:pPr>
              <w:pStyle w:val="23"/>
              <w:spacing w:line="360" w:lineRule="auto"/>
              <w:ind w:firstLine="0" w:firstLineChars="0"/>
              <w:jc w:val="center"/>
              <w:rPr>
                <w:rFonts w:hint="eastAsia" w:hAnsi="宋体" w:eastAsia="宋体"/>
                <w:sz w:val="18"/>
                <w:szCs w:val="18"/>
                <w:lang w:eastAsia="zh-CN"/>
              </w:rPr>
            </w:pPr>
            <w:r>
              <w:rPr>
                <w:rFonts w:hint="eastAsia" w:hAnsi="宋体"/>
                <w:sz w:val="18"/>
                <w:szCs w:val="18"/>
                <w:lang w:eastAsia="zh-CN"/>
              </w:rPr>
              <w:t>光化学效应</w:t>
            </w:r>
          </w:p>
        </w:tc>
        <w:tc>
          <w:tcPr>
            <w:tcW w:w="2392" w:type="dxa"/>
            <w:vMerge w:val="restart"/>
            <w:shd w:val="clear" w:color="auto" w:fill="auto"/>
            <w:vAlign w:val="center"/>
          </w:tcPr>
          <w:p>
            <w:pPr>
              <w:pStyle w:val="23"/>
              <w:spacing w:line="360" w:lineRule="auto"/>
              <w:ind w:firstLine="0" w:firstLineChars="0"/>
              <w:jc w:val="center"/>
              <w:rPr>
                <w:rFonts w:hint="default" w:ascii="Times New Roman" w:hAnsi="Times New Roman" w:cs="Times New Roman"/>
                <w:sz w:val="18"/>
                <w:szCs w:val="18"/>
              </w:rPr>
            </w:pPr>
            <w:r>
              <w:rPr>
                <w:rFonts w:hint="eastAsia" w:ascii="Times New Roman" w:cs="Times New Roman"/>
                <w:sz w:val="18"/>
                <w:szCs w:val="18"/>
                <w:lang w:eastAsia="zh-CN"/>
              </w:rPr>
              <w:t>乙烯</w:t>
            </w:r>
            <w:r>
              <w:rPr>
                <w:rFonts w:hint="default" w:ascii="Times New Roman" w:hAnsi="Times New Roman" w:cs="Times New Roman"/>
                <w:sz w:val="18"/>
                <w:szCs w:val="18"/>
              </w:rPr>
              <w:t>当量/kg</w:t>
            </w:r>
          </w:p>
        </w:tc>
        <w:tc>
          <w:tcPr>
            <w:tcW w:w="2393" w:type="dxa"/>
            <w:shd w:val="clear" w:color="auto" w:fill="auto"/>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C</w:t>
            </w:r>
            <w:r>
              <w:rPr>
                <w:rFonts w:hint="eastAsia" w:cs="Times New Roman"/>
                <w:sz w:val="18"/>
                <w:szCs w:val="18"/>
                <w:vertAlign w:val="subscript"/>
                <w:lang w:val="en-US" w:eastAsia="zh-CN"/>
              </w:rPr>
              <w:t>2</w:t>
            </w:r>
            <w:r>
              <w:rPr>
                <w:rFonts w:hint="default" w:ascii="Times New Roman" w:hAnsi="Times New Roman" w:cs="Times New Roman"/>
                <w:sz w:val="18"/>
                <w:szCs w:val="18"/>
              </w:rPr>
              <w:t>H</w:t>
            </w:r>
            <w:r>
              <w:rPr>
                <w:rFonts w:hint="default" w:ascii="Times New Roman" w:hAnsi="Times New Roman" w:cs="Times New Roman"/>
                <w:sz w:val="18"/>
                <w:szCs w:val="18"/>
                <w:vertAlign w:val="subscript"/>
              </w:rPr>
              <w:t>4</w:t>
            </w:r>
          </w:p>
        </w:tc>
        <w:tc>
          <w:tcPr>
            <w:tcW w:w="2393" w:type="dxa"/>
            <w:tcBorders>
              <w:right w:val="single" w:color="auto" w:sz="12" w:space="0"/>
            </w:tcBorders>
            <w:shd w:val="clear" w:color="auto" w:fill="auto"/>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392" w:type="dxa"/>
            <w:vMerge w:val="continue"/>
            <w:tcBorders>
              <w:left w:val="single" w:color="auto" w:sz="12" w:space="0"/>
            </w:tcBorders>
            <w:shd w:val="clear" w:color="auto" w:fill="auto"/>
            <w:vAlign w:val="center"/>
          </w:tcPr>
          <w:p>
            <w:pPr>
              <w:pStyle w:val="23"/>
              <w:spacing w:line="360" w:lineRule="auto"/>
              <w:ind w:firstLine="0" w:firstLineChars="0"/>
              <w:jc w:val="center"/>
              <w:rPr>
                <w:rFonts w:hint="eastAsia" w:hAnsi="宋体"/>
                <w:sz w:val="18"/>
                <w:szCs w:val="18"/>
                <w:lang w:eastAsia="zh-CN"/>
              </w:rPr>
            </w:pPr>
          </w:p>
        </w:tc>
        <w:tc>
          <w:tcPr>
            <w:tcW w:w="2392" w:type="dxa"/>
            <w:vMerge w:val="continue"/>
            <w:shd w:val="clear" w:color="auto" w:fill="auto"/>
            <w:vAlign w:val="center"/>
          </w:tcPr>
          <w:p>
            <w:pPr>
              <w:pStyle w:val="23"/>
              <w:spacing w:line="360" w:lineRule="auto"/>
              <w:ind w:firstLine="0" w:firstLineChars="0"/>
              <w:jc w:val="center"/>
              <w:rPr>
                <w:rFonts w:hint="eastAsia" w:ascii="Times New Roman" w:cs="Times New Roman"/>
                <w:sz w:val="18"/>
                <w:szCs w:val="18"/>
                <w:lang w:eastAsia="zh-CN"/>
              </w:rPr>
            </w:pPr>
          </w:p>
        </w:tc>
        <w:tc>
          <w:tcPr>
            <w:tcW w:w="2393" w:type="dxa"/>
            <w:shd w:val="clear" w:color="auto" w:fill="auto"/>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NO</w:t>
            </w:r>
            <w:r>
              <w:rPr>
                <w:rFonts w:hint="default" w:ascii="Times New Roman" w:hAnsi="Times New Roman" w:cs="Times New Roman"/>
                <w:sz w:val="18"/>
                <w:szCs w:val="18"/>
                <w:vertAlign w:val="subscript"/>
              </w:rPr>
              <w:t>x</w:t>
            </w:r>
          </w:p>
        </w:tc>
        <w:tc>
          <w:tcPr>
            <w:tcW w:w="2393" w:type="dxa"/>
            <w:tcBorders>
              <w:right w:val="single" w:color="auto" w:sz="12" w:space="0"/>
            </w:tcBorders>
            <w:shd w:val="clear" w:color="auto" w:fill="auto"/>
            <w:vAlign w:val="center"/>
          </w:tcPr>
          <w:p>
            <w:pPr>
              <w:spacing w:line="36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0.028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392" w:type="dxa"/>
            <w:vMerge w:val="continue"/>
            <w:tcBorders>
              <w:left w:val="single" w:color="auto" w:sz="12" w:space="0"/>
            </w:tcBorders>
            <w:shd w:val="clear" w:color="auto" w:fill="auto"/>
            <w:vAlign w:val="center"/>
          </w:tcPr>
          <w:p>
            <w:pPr>
              <w:pStyle w:val="23"/>
              <w:spacing w:line="360" w:lineRule="auto"/>
              <w:ind w:firstLine="0" w:firstLineChars="0"/>
              <w:jc w:val="center"/>
              <w:rPr>
                <w:rFonts w:hint="eastAsia" w:hAnsi="宋体"/>
                <w:sz w:val="18"/>
                <w:szCs w:val="18"/>
                <w:lang w:eastAsia="zh-CN"/>
              </w:rPr>
            </w:pPr>
          </w:p>
        </w:tc>
        <w:tc>
          <w:tcPr>
            <w:tcW w:w="2392" w:type="dxa"/>
            <w:vMerge w:val="continue"/>
            <w:shd w:val="clear" w:color="auto" w:fill="auto"/>
            <w:vAlign w:val="center"/>
          </w:tcPr>
          <w:p>
            <w:pPr>
              <w:pStyle w:val="23"/>
              <w:spacing w:line="360" w:lineRule="auto"/>
              <w:ind w:firstLine="0" w:firstLineChars="0"/>
              <w:jc w:val="center"/>
              <w:rPr>
                <w:rFonts w:hint="eastAsia" w:ascii="Times New Roman" w:cs="Times New Roman"/>
                <w:sz w:val="18"/>
                <w:szCs w:val="18"/>
                <w:lang w:eastAsia="zh-CN"/>
              </w:rPr>
            </w:pPr>
          </w:p>
        </w:tc>
        <w:tc>
          <w:tcPr>
            <w:tcW w:w="2393" w:type="dxa"/>
            <w:shd w:val="clear" w:color="auto" w:fill="auto"/>
            <w:vAlign w:val="center"/>
          </w:tcPr>
          <w:p>
            <w:pPr>
              <w:spacing w:line="36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CO</w:t>
            </w:r>
          </w:p>
        </w:tc>
        <w:tc>
          <w:tcPr>
            <w:tcW w:w="2393" w:type="dxa"/>
            <w:tcBorders>
              <w:right w:val="single" w:color="auto" w:sz="12" w:space="0"/>
            </w:tcBorders>
            <w:shd w:val="clear" w:color="auto" w:fill="auto"/>
            <w:vAlign w:val="center"/>
          </w:tcPr>
          <w:p>
            <w:pPr>
              <w:spacing w:line="36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0.027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392" w:type="dxa"/>
            <w:vMerge w:val="continue"/>
            <w:tcBorders>
              <w:left w:val="single" w:color="auto" w:sz="12" w:space="0"/>
            </w:tcBorders>
            <w:shd w:val="clear" w:color="auto" w:fill="auto"/>
            <w:vAlign w:val="center"/>
          </w:tcPr>
          <w:p>
            <w:pPr>
              <w:pStyle w:val="23"/>
              <w:spacing w:line="360" w:lineRule="auto"/>
              <w:ind w:firstLine="0" w:firstLineChars="0"/>
              <w:jc w:val="center"/>
              <w:rPr>
                <w:rFonts w:hint="eastAsia" w:hAnsi="宋体"/>
                <w:sz w:val="18"/>
                <w:szCs w:val="18"/>
                <w:lang w:eastAsia="zh-CN"/>
              </w:rPr>
            </w:pPr>
          </w:p>
        </w:tc>
        <w:tc>
          <w:tcPr>
            <w:tcW w:w="2392" w:type="dxa"/>
            <w:vMerge w:val="continue"/>
            <w:shd w:val="clear" w:color="auto" w:fill="auto"/>
            <w:vAlign w:val="center"/>
          </w:tcPr>
          <w:p>
            <w:pPr>
              <w:pStyle w:val="23"/>
              <w:spacing w:line="360" w:lineRule="auto"/>
              <w:ind w:firstLine="0" w:firstLineChars="0"/>
              <w:jc w:val="center"/>
              <w:rPr>
                <w:rFonts w:hint="eastAsia" w:ascii="Times New Roman" w:cs="Times New Roman"/>
                <w:sz w:val="18"/>
                <w:szCs w:val="18"/>
                <w:lang w:eastAsia="zh-CN"/>
              </w:rPr>
            </w:pPr>
          </w:p>
        </w:tc>
        <w:tc>
          <w:tcPr>
            <w:tcW w:w="2393" w:type="dxa"/>
            <w:shd w:val="clear" w:color="auto" w:fill="auto"/>
            <w:vAlign w:val="center"/>
          </w:tcPr>
          <w:p>
            <w:pPr>
              <w:spacing w:line="36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NMVOC</w:t>
            </w:r>
          </w:p>
        </w:tc>
        <w:tc>
          <w:tcPr>
            <w:tcW w:w="2393" w:type="dxa"/>
            <w:tcBorders>
              <w:right w:val="single" w:color="auto" w:sz="12" w:space="0"/>
            </w:tcBorders>
            <w:shd w:val="clear" w:color="auto" w:fill="auto"/>
            <w:vAlign w:val="center"/>
          </w:tcPr>
          <w:p>
            <w:pPr>
              <w:spacing w:line="36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0.416</w:t>
            </w:r>
          </w:p>
        </w:tc>
      </w:tr>
    </w:tbl>
    <w:p>
      <w:pPr>
        <w:pStyle w:val="63"/>
        <w:tabs>
          <w:tab w:val="left" w:pos="360"/>
        </w:tabs>
        <w:spacing w:before="156" w:after="156"/>
      </w:pPr>
      <w:r>
        <w:rPr>
          <w:rFonts w:hint="eastAsia"/>
        </w:rPr>
        <w:t>计算方法</w:t>
      </w:r>
    </w:p>
    <w:p>
      <w:pPr>
        <w:pStyle w:val="23"/>
      </w:pPr>
      <w:r>
        <w:rPr>
          <w:rFonts w:hint="eastAsia"/>
        </w:rPr>
        <w:t>影响评价结果计算方法见公式（</w:t>
      </w:r>
      <w:r>
        <w:rPr>
          <w:rFonts w:hint="eastAsia"/>
          <w:lang w:val="en-US" w:eastAsia="zh-CN"/>
        </w:rPr>
        <w:t>A</w:t>
      </w:r>
      <w:r>
        <w:t>.1):</w:t>
      </w:r>
    </w:p>
    <w:p>
      <w:pPr>
        <w:pStyle w:val="23"/>
      </w:pPr>
      <w:r>
        <w:rPr>
          <w:rFonts w:hint="eastAsia"/>
          <w:color w:val="FF0000"/>
          <w:position w:val="-30"/>
        </w:rPr>
        <w:t xml:space="preserve">           </w:t>
      </w:r>
      <w:r>
        <w:rPr>
          <w:color w:val="FF0000"/>
          <w:position w:val="-14"/>
        </w:rPr>
        <w:object>
          <v:shape id="_x0000_i1025" o:spt="75" type="#_x0000_t75" style="height:20.25pt;width:13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fldChar w:fldCharType="begin"/>
      </w:r>
      <w:r>
        <w:instrText xml:space="preserve"> HYPERLINK \l "_Toc433714792" </w:instrText>
      </w:r>
      <w:r>
        <w:fldChar w:fldCharType="separate"/>
      </w:r>
      <w:r>
        <w:tab/>
      </w:r>
      <w:r>
        <w:fldChar w:fldCharType="end"/>
      </w:r>
      <w:r>
        <w:rPr>
          <w:rFonts w:hint="eastAsia"/>
        </w:rPr>
        <w:t>(</w:t>
      </w:r>
      <w:r>
        <w:rPr>
          <w:rFonts w:hint="eastAsia"/>
          <w:lang w:val="en-US" w:eastAsia="zh-CN"/>
        </w:rPr>
        <w:t>A</w:t>
      </w:r>
      <w:r>
        <w:rPr>
          <w:rFonts w:hint="eastAsia"/>
        </w:rPr>
        <w:t>.1)</w:t>
      </w:r>
    </w:p>
    <w:p>
      <w:pPr>
        <w:pStyle w:val="23"/>
      </w:pPr>
      <w:r>
        <w:rPr>
          <w:rFonts w:hint="eastAsia"/>
        </w:rPr>
        <w:t xml:space="preserve">式中 </w:t>
      </w:r>
      <w:r>
        <w:t>:</w:t>
      </w:r>
    </w:p>
    <w:p>
      <w:pPr>
        <w:pStyle w:val="23"/>
      </w:pPr>
      <w:r>
        <w:rPr>
          <w:i/>
          <w:szCs w:val="21"/>
        </w:rPr>
        <w:t>EP</w:t>
      </w:r>
      <w:r>
        <w:rPr>
          <w:rFonts w:hint="eastAsia"/>
          <w:i/>
          <w:szCs w:val="21"/>
          <w:vertAlign w:val="subscript"/>
        </w:rPr>
        <w:t>i</w:t>
      </w:r>
      <w:r>
        <w:t>——</w:t>
      </w:r>
      <w:r>
        <w:rPr>
          <w:rFonts w:hint="eastAsia"/>
        </w:rPr>
        <w:t>第i种影响类型特征化值；</w:t>
      </w:r>
    </w:p>
    <w:p>
      <w:pPr>
        <w:pStyle w:val="23"/>
      </w:pPr>
      <w:r>
        <w:rPr>
          <w:i/>
          <w:szCs w:val="21"/>
        </w:rPr>
        <w:t>EP</w:t>
      </w:r>
      <w:r>
        <w:rPr>
          <w:i/>
          <w:szCs w:val="21"/>
          <w:vertAlign w:val="subscript"/>
        </w:rPr>
        <w:t>ij</w:t>
      </w:r>
      <w:r>
        <w:rPr>
          <w:i/>
          <w:sz w:val="22"/>
          <w:vertAlign w:val="subscript"/>
        </w:rPr>
        <w:t xml:space="preserve"> </w:t>
      </w:r>
      <w:r>
        <w:t>——</w:t>
      </w:r>
      <w:r>
        <w:rPr>
          <w:rFonts w:hint="eastAsia"/>
        </w:rPr>
        <w:t>第i种影响类型中第j种清单因子的贡献；</w:t>
      </w:r>
    </w:p>
    <w:p>
      <w:pPr>
        <w:pStyle w:val="23"/>
      </w:pPr>
      <w:r>
        <w:rPr>
          <w:i/>
          <w:szCs w:val="21"/>
        </w:rPr>
        <w:t>Q</w:t>
      </w:r>
      <w:r>
        <w:rPr>
          <w:i/>
          <w:szCs w:val="21"/>
          <w:vertAlign w:val="subscript"/>
        </w:rPr>
        <w:t>j</w:t>
      </w:r>
      <w:r>
        <w:rPr>
          <w:i/>
          <w:sz w:val="22"/>
        </w:rPr>
        <w:t xml:space="preserve"> </w:t>
      </w:r>
      <w:r>
        <w:rPr>
          <w:rFonts w:hint="eastAsia"/>
        </w:rPr>
        <w:t xml:space="preserve"> </w:t>
      </w:r>
      <w:r>
        <w:t>——</w:t>
      </w:r>
      <w:r>
        <w:rPr>
          <w:rFonts w:hint="eastAsia"/>
        </w:rPr>
        <w:t>第j种清单因子的排放量；</w:t>
      </w:r>
    </w:p>
    <w:p>
      <w:pPr>
        <w:pStyle w:val="23"/>
      </w:pPr>
      <w:r>
        <w:rPr>
          <w:i/>
          <w:szCs w:val="21"/>
        </w:rPr>
        <w:t>EF</w:t>
      </w:r>
      <w:r>
        <w:rPr>
          <w:i/>
          <w:szCs w:val="21"/>
          <w:vertAlign w:val="subscript"/>
        </w:rPr>
        <w:t>ij</w:t>
      </w:r>
      <w:r>
        <w:rPr>
          <w:rFonts w:hint="eastAsia"/>
          <w:szCs w:val="21"/>
          <w:vertAlign w:val="subscript"/>
        </w:rPr>
        <w:t xml:space="preserve"> </w:t>
      </w:r>
      <w:r>
        <w:t>——</w:t>
      </w:r>
      <w:r>
        <w:rPr>
          <w:rFonts w:hint="eastAsia"/>
        </w:rPr>
        <w:t>第i种影响类型中第 j种清单因子的特征化因子。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TB</w:t>
    </w:r>
    <w:r>
      <w: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3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1FC91163"/>
    <w:multiLevelType w:val="multilevel"/>
    <w:tmpl w:val="1FC91163"/>
    <w:lvl w:ilvl="0" w:tentative="0">
      <w:start w:val="1"/>
      <w:numFmt w:val="decimal"/>
      <w:pStyle w:val="2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32"/>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6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65"/>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4C50F90"/>
    <w:multiLevelType w:val="multilevel"/>
    <w:tmpl w:val="44C50F90"/>
    <w:lvl w:ilvl="0" w:tentative="0">
      <w:start w:val="1"/>
      <w:numFmt w:val="lowerLetter"/>
      <w:pStyle w:val="3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3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3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6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46260FA"/>
    <w:multiLevelType w:val="multilevel"/>
    <w:tmpl w:val="646260FA"/>
    <w:lvl w:ilvl="0" w:tentative="0">
      <w:start w:val="1"/>
      <w:numFmt w:val="decimal"/>
      <w:pStyle w:val="51"/>
      <w:suff w:val="nothing"/>
      <w:lvlText w:val="表%1　"/>
      <w:lvlJc w:val="left"/>
      <w:pPr>
        <w:ind w:left="3544"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57"/>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62"/>
      <w:suff w:val="nothing"/>
      <w:lvlText w:val="%1.%2　"/>
      <w:lvlJc w:val="left"/>
      <w:rPr>
        <w:rFonts w:hint="eastAsia" w:ascii="黑体" w:hAnsi="Times New Roman" w:eastAsia="黑体" w:cs="Times New Roman"/>
        <w:b w:val="0"/>
        <w:bCs w:val="0"/>
        <w:i w:val="0"/>
        <w:iCs w:val="0"/>
        <w:snapToGrid/>
        <w:spacing w:val="0"/>
        <w:w w:val="100"/>
        <w:kern w:val="21"/>
        <w:sz w:val="21"/>
        <w:szCs w:val="21"/>
      </w:rPr>
    </w:lvl>
    <w:lvl w:ilvl="2" w:tentative="0">
      <w:start w:val="1"/>
      <w:numFmt w:val="decimal"/>
      <w:pStyle w:val="63"/>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58"/>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59"/>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60"/>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61"/>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1"/>
  </w:num>
  <w:num w:numId="2">
    <w:abstractNumId w:val="4"/>
  </w:num>
  <w:num w:numId="3">
    <w:abstractNumId w:val="0"/>
  </w:num>
  <w:num w:numId="4">
    <w:abstractNumId w:val="6"/>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7412"/>
    <w:rsid w:val="00010411"/>
    <w:rsid w:val="0001500A"/>
    <w:rsid w:val="000316EA"/>
    <w:rsid w:val="00064357"/>
    <w:rsid w:val="000653FF"/>
    <w:rsid w:val="00083579"/>
    <w:rsid w:val="00094E2F"/>
    <w:rsid w:val="000A0FFC"/>
    <w:rsid w:val="000B642D"/>
    <w:rsid w:val="000C08EA"/>
    <w:rsid w:val="000E00C9"/>
    <w:rsid w:val="000E158B"/>
    <w:rsid w:val="0010685E"/>
    <w:rsid w:val="0012402E"/>
    <w:rsid w:val="0013057C"/>
    <w:rsid w:val="001572D0"/>
    <w:rsid w:val="001B66C7"/>
    <w:rsid w:val="001C1091"/>
    <w:rsid w:val="001F500F"/>
    <w:rsid w:val="00204DCE"/>
    <w:rsid w:val="00205027"/>
    <w:rsid w:val="0024497A"/>
    <w:rsid w:val="002D62B1"/>
    <w:rsid w:val="002D6480"/>
    <w:rsid w:val="002F3FBB"/>
    <w:rsid w:val="00304B12"/>
    <w:rsid w:val="00331D01"/>
    <w:rsid w:val="0037290C"/>
    <w:rsid w:val="0039152A"/>
    <w:rsid w:val="003A1A42"/>
    <w:rsid w:val="003A6195"/>
    <w:rsid w:val="003D4E33"/>
    <w:rsid w:val="003E2DAD"/>
    <w:rsid w:val="003E4005"/>
    <w:rsid w:val="003E41BE"/>
    <w:rsid w:val="00413D7F"/>
    <w:rsid w:val="004731E2"/>
    <w:rsid w:val="004829F9"/>
    <w:rsid w:val="00483ED4"/>
    <w:rsid w:val="0048448E"/>
    <w:rsid w:val="00486923"/>
    <w:rsid w:val="00487B38"/>
    <w:rsid w:val="004A2187"/>
    <w:rsid w:val="00502721"/>
    <w:rsid w:val="00515D03"/>
    <w:rsid w:val="00516F7E"/>
    <w:rsid w:val="005206FA"/>
    <w:rsid w:val="005322C1"/>
    <w:rsid w:val="00552F55"/>
    <w:rsid w:val="005545FF"/>
    <w:rsid w:val="00557CCD"/>
    <w:rsid w:val="00557E0D"/>
    <w:rsid w:val="00567400"/>
    <w:rsid w:val="005770A1"/>
    <w:rsid w:val="005912F6"/>
    <w:rsid w:val="005C5FD8"/>
    <w:rsid w:val="005E7628"/>
    <w:rsid w:val="005E799C"/>
    <w:rsid w:val="005F0A4D"/>
    <w:rsid w:val="00616362"/>
    <w:rsid w:val="00622029"/>
    <w:rsid w:val="00624E55"/>
    <w:rsid w:val="0063469C"/>
    <w:rsid w:val="00652CF3"/>
    <w:rsid w:val="00661752"/>
    <w:rsid w:val="00662907"/>
    <w:rsid w:val="006728AC"/>
    <w:rsid w:val="006B367B"/>
    <w:rsid w:val="007348F2"/>
    <w:rsid w:val="00744667"/>
    <w:rsid w:val="007466D4"/>
    <w:rsid w:val="00776E01"/>
    <w:rsid w:val="007915AA"/>
    <w:rsid w:val="007C2098"/>
    <w:rsid w:val="007E5922"/>
    <w:rsid w:val="007E700A"/>
    <w:rsid w:val="007F01EF"/>
    <w:rsid w:val="007F3711"/>
    <w:rsid w:val="00810168"/>
    <w:rsid w:val="00813F10"/>
    <w:rsid w:val="00832910"/>
    <w:rsid w:val="00845DC3"/>
    <w:rsid w:val="00855223"/>
    <w:rsid w:val="00866AD4"/>
    <w:rsid w:val="008C6200"/>
    <w:rsid w:val="008C6838"/>
    <w:rsid w:val="00932CA4"/>
    <w:rsid w:val="00946999"/>
    <w:rsid w:val="00947B42"/>
    <w:rsid w:val="00950050"/>
    <w:rsid w:val="00961806"/>
    <w:rsid w:val="009636B0"/>
    <w:rsid w:val="0098102D"/>
    <w:rsid w:val="009A3D19"/>
    <w:rsid w:val="009B0A39"/>
    <w:rsid w:val="009C1B49"/>
    <w:rsid w:val="009C7412"/>
    <w:rsid w:val="00A37437"/>
    <w:rsid w:val="00A63309"/>
    <w:rsid w:val="00A65C77"/>
    <w:rsid w:val="00A7103F"/>
    <w:rsid w:val="00AA7668"/>
    <w:rsid w:val="00AD09FF"/>
    <w:rsid w:val="00B22F8B"/>
    <w:rsid w:val="00B3229C"/>
    <w:rsid w:val="00B4181B"/>
    <w:rsid w:val="00B42A99"/>
    <w:rsid w:val="00B63488"/>
    <w:rsid w:val="00B635EE"/>
    <w:rsid w:val="00B8637F"/>
    <w:rsid w:val="00B91E97"/>
    <w:rsid w:val="00BA4950"/>
    <w:rsid w:val="00BB47B7"/>
    <w:rsid w:val="00BB51E9"/>
    <w:rsid w:val="00BB5DF3"/>
    <w:rsid w:val="00BF18F0"/>
    <w:rsid w:val="00BF3767"/>
    <w:rsid w:val="00C168B1"/>
    <w:rsid w:val="00C17FB6"/>
    <w:rsid w:val="00C240B6"/>
    <w:rsid w:val="00C53A7B"/>
    <w:rsid w:val="00C61458"/>
    <w:rsid w:val="00C84B2D"/>
    <w:rsid w:val="00C868B5"/>
    <w:rsid w:val="00CA620A"/>
    <w:rsid w:val="00CB0121"/>
    <w:rsid w:val="00CB0717"/>
    <w:rsid w:val="00CD56E0"/>
    <w:rsid w:val="00CE2BF1"/>
    <w:rsid w:val="00CE5B0C"/>
    <w:rsid w:val="00D00C2D"/>
    <w:rsid w:val="00D13EEF"/>
    <w:rsid w:val="00D342EB"/>
    <w:rsid w:val="00D534B8"/>
    <w:rsid w:val="00D63704"/>
    <w:rsid w:val="00D860BE"/>
    <w:rsid w:val="00DE18D5"/>
    <w:rsid w:val="00E04FCD"/>
    <w:rsid w:val="00E1590F"/>
    <w:rsid w:val="00E245B7"/>
    <w:rsid w:val="00E5433F"/>
    <w:rsid w:val="00E55BBF"/>
    <w:rsid w:val="00E749AE"/>
    <w:rsid w:val="00E83DD9"/>
    <w:rsid w:val="00E95767"/>
    <w:rsid w:val="00EB4D35"/>
    <w:rsid w:val="00EE72ED"/>
    <w:rsid w:val="00EF265E"/>
    <w:rsid w:val="00EF5003"/>
    <w:rsid w:val="00F25725"/>
    <w:rsid w:val="00F25DE9"/>
    <w:rsid w:val="00F43BEF"/>
    <w:rsid w:val="00F76C8B"/>
    <w:rsid w:val="00F82BE6"/>
    <w:rsid w:val="00F96E8C"/>
    <w:rsid w:val="00FA50C0"/>
    <w:rsid w:val="013A5E0F"/>
    <w:rsid w:val="01B85474"/>
    <w:rsid w:val="01BD7FEC"/>
    <w:rsid w:val="027B24CC"/>
    <w:rsid w:val="02D071D1"/>
    <w:rsid w:val="02FA2EA7"/>
    <w:rsid w:val="03163FA3"/>
    <w:rsid w:val="036328EB"/>
    <w:rsid w:val="03672F7E"/>
    <w:rsid w:val="03C17F7E"/>
    <w:rsid w:val="03F21272"/>
    <w:rsid w:val="04A4154F"/>
    <w:rsid w:val="04E51B5D"/>
    <w:rsid w:val="04E87FBE"/>
    <w:rsid w:val="0509388C"/>
    <w:rsid w:val="052B3913"/>
    <w:rsid w:val="05EE43F0"/>
    <w:rsid w:val="06F82BE5"/>
    <w:rsid w:val="07373D9F"/>
    <w:rsid w:val="07B06155"/>
    <w:rsid w:val="07D810EB"/>
    <w:rsid w:val="081D18F7"/>
    <w:rsid w:val="086F4DAC"/>
    <w:rsid w:val="08736A4F"/>
    <w:rsid w:val="08F51FF7"/>
    <w:rsid w:val="095566BB"/>
    <w:rsid w:val="0A5C6A13"/>
    <w:rsid w:val="0A7B7148"/>
    <w:rsid w:val="0A881BDA"/>
    <w:rsid w:val="0AC67CE2"/>
    <w:rsid w:val="0AC878E9"/>
    <w:rsid w:val="0BB10ED5"/>
    <w:rsid w:val="0BC52B3D"/>
    <w:rsid w:val="0C205FE1"/>
    <w:rsid w:val="0C4D2EDF"/>
    <w:rsid w:val="0C4E264D"/>
    <w:rsid w:val="0C6A0C4F"/>
    <w:rsid w:val="0C8A256C"/>
    <w:rsid w:val="0D1A381D"/>
    <w:rsid w:val="0D8D33F6"/>
    <w:rsid w:val="0E7D158B"/>
    <w:rsid w:val="0E8C7CF3"/>
    <w:rsid w:val="0EAA362C"/>
    <w:rsid w:val="0ECD3728"/>
    <w:rsid w:val="0ED81CF8"/>
    <w:rsid w:val="0F1F14F5"/>
    <w:rsid w:val="0F7E4DE6"/>
    <w:rsid w:val="1038523B"/>
    <w:rsid w:val="103E7FF0"/>
    <w:rsid w:val="104B1E4E"/>
    <w:rsid w:val="1075450D"/>
    <w:rsid w:val="11115A0A"/>
    <w:rsid w:val="114065A8"/>
    <w:rsid w:val="12021A90"/>
    <w:rsid w:val="12691D0D"/>
    <w:rsid w:val="12756494"/>
    <w:rsid w:val="128D0922"/>
    <w:rsid w:val="128E7FB4"/>
    <w:rsid w:val="13337B90"/>
    <w:rsid w:val="13A667AE"/>
    <w:rsid w:val="142F3A68"/>
    <w:rsid w:val="14370495"/>
    <w:rsid w:val="1444263A"/>
    <w:rsid w:val="14CF2C77"/>
    <w:rsid w:val="15341B98"/>
    <w:rsid w:val="15E65888"/>
    <w:rsid w:val="15FF5B6A"/>
    <w:rsid w:val="1632318B"/>
    <w:rsid w:val="168A1BD1"/>
    <w:rsid w:val="17244748"/>
    <w:rsid w:val="174166C2"/>
    <w:rsid w:val="175501F1"/>
    <w:rsid w:val="178D7F67"/>
    <w:rsid w:val="17CB651D"/>
    <w:rsid w:val="182D47C2"/>
    <w:rsid w:val="18437351"/>
    <w:rsid w:val="18B07A1D"/>
    <w:rsid w:val="18D873FF"/>
    <w:rsid w:val="195B2A5C"/>
    <w:rsid w:val="19840970"/>
    <w:rsid w:val="19E16216"/>
    <w:rsid w:val="19E87261"/>
    <w:rsid w:val="1A260B45"/>
    <w:rsid w:val="1A347091"/>
    <w:rsid w:val="1A3C2B24"/>
    <w:rsid w:val="1AB76749"/>
    <w:rsid w:val="1B3C2E9B"/>
    <w:rsid w:val="1B4C7568"/>
    <w:rsid w:val="1B6D33B5"/>
    <w:rsid w:val="1BB674E7"/>
    <w:rsid w:val="1BC21AA4"/>
    <w:rsid w:val="1C261A72"/>
    <w:rsid w:val="1C46022D"/>
    <w:rsid w:val="1C466D84"/>
    <w:rsid w:val="1C8A3887"/>
    <w:rsid w:val="1D1E1751"/>
    <w:rsid w:val="1D673638"/>
    <w:rsid w:val="1DD2382F"/>
    <w:rsid w:val="1E366473"/>
    <w:rsid w:val="1EDD7D85"/>
    <w:rsid w:val="1EF444D1"/>
    <w:rsid w:val="1F1F784C"/>
    <w:rsid w:val="1F655EAA"/>
    <w:rsid w:val="1FA226A3"/>
    <w:rsid w:val="1FC10860"/>
    <w:rsid w:val="20581879"/>
    <w:rsid w:val="20646BB2"/>
    <w:rsid w:val="20C20E9D"/>
    <w:rsid w:val="20E772E0"/>
    <w:rsid w:val="20F90EE2"/>
    <w:rsid w:val="213A79D1"/>
    <w:rsid w:val="215C4E20"/>
    <w:rsid w:val="21FB05E9"/>
    <w:rsid w:val="221C6417"/>
    <w:rsid w:val="22287787"/>
    <w:rsid w:val="222D4968"/>
    <w:rsid w:val="222D4AD8"/>
    <w:rsid w:val="226C1CE2"/>
    <w:rsid w:val="22A179CD"/>
    <w:rsid w:val="22FE7FEF"/>
    <w:rsid w:val="231D28A0"/>
    <w:rsid w:val="23571A51"/>
    <w:rsid w:val="23800F2D"/>
    <w:rsid w:val="23810931"/>
    <w:rsid w:val="2434581A"/>
    <w:rsid w:val="24656EB8"/>
    <w:rsid w:val="24965A1A"/>
    <w:rsid w:val="24E52756"/>
    <w:rsid w:val="25700522"/>
    <w:rsid w:val="25CF4E62"/>
    <w:rsid w:val="27515EDE"/>
    <w:rsid w:val="27600F7C"/>
    <w:rsid w:val="27667E28"/>
    <w:rsid w:val="278D3039"/>
    <w:rsid w:val="27943B32"/>
    <w:rsid w:val="27C306B7"/>
    <w:rsid w:val="27F14CF6"/>
    <w:rsid w:val="280A4F41"/>
    <w:rsid w:val="28361B5F"/>
    <w:rsid w:val="283A7B9C"/>
    <w:rsid w:val="286B74C7"/>
    <w:rsid w:val="28B6420C"/>
    <w:rsid w:val="28C6075F"/>
    <w:rsid w:val="28FA47D8"/>
    <w:rsid w:val="29367271"/>
    <w:rsid w:val="2A333FEF"/>
    <w:rsid w:val="2B245A36"/>
    <w:rsid w:val="2B2E6669"/>
    <w:rsid w:val="2BE042B4"/>
    <w:rsid w:val="2C4516AF"/>
    <w:rsid w:val="2C594009"/>
    <w:rsid w:val="2C8D7698"/>
    <w:rsid w:val="2D002FEB"/>
    <w:rsid w:val="2D504643"/>
    <w:rsid w:val="2DB96291"/>
    <w:rsid w:val="2DCF3A83"/>
    <w:rsid w:val="2ED77A63"/>
    <w:rsid w:val="2EDA47F3"/>
    <w:rsid w:val="2EEA7C64"/>
    <w:rsid w:val="2EF70821"/>
    <w:rsid w:val="2EFC2535"/>
    <w:rsid w:val="2F5825A1"/>
    <w:rsid w:val="301A662D"/>
    <w:rsid w:val="305A3E23"/>
    <w:rsid w:val="310C52A0"/>
    <w:rsid w:val="311E5803"/>
    <w:rsid w:val="31DF76AC"/>
    <w:rsid w:val="321201D0"/>
    <w:rsid w:val="32201A37"/>
    <w:rsid w:val="32403C31"/>
    <w:rsid w:val="32703988"/>
    <w:rsid w:val="3321108C"/>
    <w:rsid w:val="3329398E"/>
    <w:rsid w:val="341045C5"/>
    <w:rsid w:val="34236E60"/>
    <w:rsid w:val="34724D51"/>
    <w:rsid w:val="34A057A5"/>
    <w:rsid w:val="34DE24E1"/>
    <w:rsid w:val="35084204"/>
    <w:rsid w:val="35173AA7"/>
    <w:rsid w:val="357420E1"/>
    <w:rsid w:val="35A73B3C"/>
    <w:rsid w:val="35AE03C1"/>
    <w:rsid w:val="3660622E"/>
    <w:rsid w:val="369733DF"/>
    <w:rsid w:val="36A83E4E"/>
    <w:rsid w:val="36C35836"/>
    <w:rsid w:val="36DD5648"/>
    <w:rsid w:val="370B3857"/>
    <w:rsid w:val="371E692F"/>
    <w:rsid w:val="37410AD4"/>
    <w:rsid w:val="376D45C9"/>
    <w:rsid w:val="37850038"/>
    <w:rsid w:val="379B2AD5"/>
    <w:rsid w:val="37B251CF"/>
    <w:rsid w:val="39306FA6"/>
    <w:rsid w:val="39314547"/>
    <w:rsid w:val="39C3527F"/>
    <w:rsid w:val="3AAD1359"/>
    <w:rsid w:val="3AB81E6C"/>
    <w:rsid w:val="3AEE170F"/>
    <w:rsid w:val="3AFA4BB8"/>
    <w:rsid w:val="3B866D07"/>
    <w:rsid w:val="3BF47972"/>
    <w:rsid w:val="3C090834"/>
    <w:rsid w:val="3C0B45BB"/>
    <w:rsid w:val="3C2C47E2"/>
    <w:rsid w:val="3C746533"/>
    <w:rsid w:val="3C8B4DDC"/>
    <w:rsid w:val="3C8C39D0"/>
    <w:rsid w:val="3D5F692C"/>
    <w:rsid w:val="3DA739A8"/>
    <w:rsid w:val="3EB40547"/>
    <w:rsid w:val="3EF85803"/>
    <w:rsid w:val="3F0C45A4"/>
    <w:rsid w:val="3F94740D"/>
    <w:rsid w:val="3F96731E"/>
    <w:rsid w:val="3FD729DE"/>
    <w:rsid w:val="401A0142"/>
    <w:rsid w:val="40350916"/>
    <w:rsid w:val="407D2592"/>
    <w:rsid w:val="408F6B79"/>
    <w:rsid w:val="4096678F"/>
    <w:rsid w:val="40A87BB7"/>
    <w:rsid w:val="40C804F0"/>
    <w:rsid w:val="417C360D"/>
    <w:rsid w:val="41A15727"/>
    <w:rsid w:val="420B6203"/>
    <w:rsid w:val="42245D26"/>
    <w:rsid w:val="428931AE"/>
    <w:rsid w:val="42DB6365"/>
    <w:rsid w:val="42EE5790"/>
    <w:rsid w:val="43076E69"/>
    <w:rsid w:val="43D44584"/>
    <w:rsid w:val="445235D0"/>
    <w:rsid w:val="454042C2"/>
    <w:rsid w:val="45410773"/>
    <w:rsid w:val="454C1A28"/>
    <w:rsid w:val="45713274"/>
    <w:rsid w:val="460C37C7"/>
    <w:rsid w:val="46831DC4"/>
    <w:rsid w:val="46CD02BF"/>
    <w:rsid w:val="46E514F5"/>
    <w:rsid w:val="493F7772"/>
    <w:rsid w:val="49AA0C33"/>
    <w:rsid w:val="49AB06A4"/>
    <w:rsid w:val="49B2084A"/>
    <w:rsid w:val="49E771C7"/>
    <w:rsid w:val="49FB1CED"/>
    <w:rsid w:val="4A095BF3"/>
    <w:rsid w:val="4A186A5D"/>
    <w:rsid w:val="4B20781B"/>
    <w:rsid w:val="4B61722A"/>
    <w:rsid w:val="4BDB4B3B"/>
    <w:rsid w:val="4C04042F"/>
    <w:rsid w:val="4C697312"/>
    <w:rsid w:val="4C820C06"/>
    <w:rsid w:val="4C8665C9"/>
    <w:rsid w:val="4CA2455E"/>
    <w:rsid w:val="4CB833B5"/>
    <w:rsid w:val="4D7738D3"/>
    <w:rsid w:val="4E3F353A"/>
    <w:rsid w:val="4E517915"/>
    <w:rsid w:val="4E907A37"/>
    <w:rsid w:val="4E914D75"/>
    <w:rsid w:val="4EBD3F65"/>
    <w:rsid w:val="4F4406D8"/>
    <w:rsid w:val="4F540435"/>
    <w:rsid w:val="4FA05686"/>
    <w:rsid w:val="4FE646AD"/>
    <w:rsid w:val="504E73F9"/>
    <w:rsid w:val="50D1477B"/>
    <w:rsid w:val="50D16846"/>
    <w:rsid w:val="50DB50CE"/>
    <w:rsid w:val="50F40628"/>
    <w:rsid w:val="51843AED"/>
    <w:rsid w:val="52292407"/>
    <w:rsid w:val="524C2727"/>
    <w:rsid w:val="524F53E6"/>
    <w:rsid w:val="528C5A97"/>
    <w:rsid w:val="52C548A5"/>
    <w:rsid w:val="52E532FE"/>
    <w:rsid w:val="52E61255"/>
    <w:rsid w:val="52F517E8"/>
    <w:rsid w:val="52F64853"/>
    <w:rsid w:val="53C50ADE"/>
    <w:rsid w:val="53D228C2"/>
    <w:rsid w:val="53DE403F"/>
    <w:rsid w:val="54685D7D"/>
    <w:rsid w:val="549A36D6"/>
    <w:rsid w:val="55BE6D35"/>
    <w:rsid w:val="55F71FBD"/>
    <w:rsid w:val="561172E6"/>
    <w:rsid w:val="56825EAE"/>
    <w:rsid w:val="56856A00"/>
    <w:rsid w:val="56875830"/>
    <w:rsid w:val="56A75EAB"/>
    <w:rsid w:val="56B02545"/>
    <w:rsid w:val="56B03338"/>
    <w:rsid w:val="56D63210"/>
    <w:rsid w:val="570573D2"/>
    <w:rsid w:val="57A3647B"/>
    <w:rsid w:val="57BB50D7"/>
    <w:rsid w:val="57D2572A"/>
    <w:rsid w:val="57E7412F"/>
    <w:rsid w:val="5802574E"/>
    <w:rsid w:val="586654F0"/>
    <w:rsid w:val="58DE4B6D"/>
    <w:rsid w:val="59E31629"/>
    <w:rsid w:val="59F02341"/>
    <w:rsid w:val="5A583B45"/>
    <w:rsid w:val="5A62174E"/>
    <w:rsid w:val="5B232E53"/>
    <w:rsid w:val="5B3A1A4E"/>
    <w:rsid w:val="5C114FAC"/>
    <w:rsid w:val="5C494D2F"/>
    <w:rsid w:val="5C4D0668"/>
    <w:rsid w:val="5C8501D7"/>
    <w:rsid w:val="5C9C0253"/>
    <w:rsid w:val="5CE2605F"/>
    <w:rsid w:val="5D7723B1"/>
    <w:rsid w:val="5D9B5B65"/>
    <w:rsid w:val="5DFB6C79"/>
    <w:rsid w:val="5EBC538B"/>
    <w:rsid w:val="5EC86D79"/>
    <w:rsid w:val="5EF23EF2"/>
    <w:rsid w:val="5F0B5A23"/>
    <w:rsid w:val="5F130DAE"/>
    <w:rsid w:val="5F4B6760"/>
    <w:rsid w:val="5FCC1414"/>
    <w:rsid w:val="5FD96E6C"/>
    <w:rsid w:val="60437865"/>
    <w:rsid w:val="606917A6"/>
    <w:rsid w:val="608B40DC"/>
    <w:rsid w:val="60A10078"/>
    <w:rsid w:val="60A36E5D"/>
    <w:rsid w:val="60A3767C"/>
    <w:rsid w:val="60CB7BCF"/>
    <w:rsid w:val="614568CA"/>
    <w:rsid w:val="619B0F1E"/>
    <w:rsid w:val="62291E6A"/>
    <w:rsid w:val="62354141"/>
    <w:rsid w:val="62683FF8"/>
    <w:rsid w:val="627124F3"/>
    <w:rsid w:val="62E156E8"/>
    <w:rsid w:val="638123FE"/>
    <w:rsid w:val="63824681"/>
    <w:rsid w:val="63874465"/>
    <w:rsid w:val="63BC1C5B"/>
    <w:rsid w:val="64544664"/>
    <w:rsid w:val="647F4961"/>
    <w:rsid w:val="64E6563D"/>
    <w:rsid w:val="657F249E"/>
    <w:rsid w:val="6606763E"/>
    <w:rsid w:val="66A93946"/>
    <w:rsid w:val="679B139E"/>
    <w:rsid w:val="67BB4565"/>
    <w:rsid w:val="67CE5285"/>
    <w:rsid w:val="68D26C46"/>
    <w:rsid w:val="68D57CF5"/>
    <w:rsid w:val="69290546"/>
    <w:rsid w:val="69332BF2"/>
    <w:rsid w:val="6A127852"/>
    <w:rsid w:val="6A235148"/>
    <w:rsid w:val="6A6B755A"/>
    <w:rsid w:val="6A973505"/>
    <w:rsid w:val="6ABF2E50"/>
    <w:rsid w:val="6B3C397E"/>
    <w:rsid w:val="6B506C1A"/>
    <w:rsid w:val="6BA75083"/>
    <w:rsid w:val="6BFE2388"/>
    <w:rsid w:val="6CA42E81"/>
    <w:rsid w:val="6D29476E"/>
    <w:rsid w:val="6D571C4D"/>
    <w:rsid w:val="6DC158CE"/>
    <w:rsid w:val="6DE000D6"/>
    <w:rsid w:val="6E80370E"/>
    <w:rsid w:val="6EA667E1"/>
    <w:rsid w:val="6F9A495E"/>
    <w:rsid w:val="6FAD22A4"/>
    <w:rsid w:val="6FCC4A11"/>
    <w:rsid w:val="702F79DA"/>
    <w:rsid w:val="70AE68C5"/>
    <w:rsid w:val="70D83F8C"/>
    <w:rsid w:val="71240B33"/>
    <w:rsid w:val="713C0002"/>
    <w:rsid w:val="715B1D2C"/>
    <w:rsid w:val="7170132B"/>
    <w:rsid w:val="718A71C4"/>
    <w:rsid w:val="71ED165B"/>
    <w:rsid w:val="720C2BCC"/>
    <w:rsid w:val="726E5E71"/>
    <w:rsid w:val="72B839F2"/>
    <w:rsid w:val="731170D8"/>
    <w:rsid w:val="733448C7"/>
    <w:rsid w:val="73610C60"/>
    <w:rsid w:val="739F2443"/>
    <w:rsid w:val="73FC114D"/>
    <w:rsid w:val="744A668A"/>
    <w:rsid w:val="745A5583"/>
    <w:rsid w:val="74624891"/>
    <w:rsid w:val="74DC48D9"/>
    <w:rsid w:val="74E4600B"/>
    <w:rsid w:val="75356AE1"/>
    <w:rsid w:val="753D43C4"/>
    <w:rsid w:val="758F6E18"/>
    <w:rsid w:val="769E6793"/>
    <w:rsid w:val="76BF3FB8"/>
    <w:rsid w:val="771A44CF"/>
    <w:rsid w:val="774358CD"/>
    <w:rsid w:val="77756F90"/>
    <w:rsid w:val="77975AC7"/>
    <w:rsid w:val="77DC7FAD"/>
    <w:rsid w:val="77FF5AB8"/>
    <w:rsid w:val="78BE014A"/>
    <w:rsid w:val="79360D87"/>
    <w:rsid w:val="795B7C38"/>
    <w:rsid w:val="79633D4F"/>
    <w:rsid w:val="7AD75411"/>
    <w:rsid w:val="7AE825F5"/>
    <w:rsid w:val="7AFE3C3A"/>
    <w:rsid w:val="7B053ECF"/>
    <w:rsid w:val="7B7B6ECD"/>
    <w:rsid w:val="7BA75729"/>
    <w:rsid w:val="7BA9578A"/>
    <w:rsid w:val="7C751542"/>
    <w:rsid w:val="7D003BF6"/>
    <w:rsid w:val="7D326BE9"/>
    <w:rsid w:val="7D6D4487"/>
    <w:rsid w:val="7D762302"/>
    <w:rsid w:val="7DA9447E"/>
    <w:rsid w:val="7E24189C"/>
    <w:rsid w:val="7E287CD7"/>
    <w:rsid w:val="7E431AF1"/>
    <w:rsid w:val="7E56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FollowedHyperlink"/>
    <w:basedOn w:val="6"/>
    <w:semiHidden/>
    <w:unhideWhenUsed/>
    <w:qFormat/>
    <w:uiPriority w:val="99"/>
    <w:rPr>
      <w:color w:val="337AB7"/>
      <w:u w:val="none"/>
    </w:rPr>
  </w:style>
  <w:style w:type="character" w:styleId="9">
    <w:name w:val="Emphasis"/>
    <w:basedOn w:val="6"/>
    <w:qFormat/>
    <w:uiPriority w:val="20"/>
    <w:rPr>
      <w:color w:val="CC0000"/>
    </w:rPr>
  </w:style>
  <w:style w:type="character" w:styleId="10">
    <w:name w:val="HTML Definition"/>
    <w:basedOn w:val="6"/>
    <w:semiHidden/>
    <w:unhideWhenUsed/>
    <w:qFormat/>
    <w:uiPriority w:val="99"/>
    <w:rPr>
      <w:i/>
    </w:rPr>
  </w:style>
  <w:style w:type="character" w:styleId="11">
    <w:name w:val="Hyperlink"/>
    <w:basedOn w:val="6"/>
    <w:semiHidden/>
    <w:unhideWhenUsed/>
    <w:qFormat/>
    <w:uiPriority w:val="99"/>
    <w:rPr>
      <w:color w:val="337AB7"/>
      <w:u w:val="none"/>
    </w:rPr>
  </w:style>
  <w:style w:type="character" w:styleId="12">
    <w:name w:val="HTML Code"/>
    <w:basedOn w:val="6"/>
    <w:semiHidden/>
    <w:unhideWhenUsed/>
    <w:qFormat/>
    <w:uiPriority w:val="99"/>
    <w:rPr>
      <w:rFonts w:hint="default" w:ascii="Consolas" w:hAnsi="Consolas" w:eastAsia="Consolas" w:cs="Consolas"/>
      <w:color w:val="C7254E"/>
      <w:sz w:val="21"/>
      <w:szCs w:val="21"/>
      <w:shd w:val="clear" w:fill="F9F2F4"/>
    </w:rPr>
  </w:style>
  <w:style w:type="character" w:styleId="13">
    <w:name w:val="HTML Cite"/>
    <w:basedOn w:val="6"/>
    <w:semiHidden/>
    <w:unhideWhenUsed/>
    <w:qFormat/>
    <w:uiPriority w:val="99"/>
    <w:rPr>
      <w:color w:val="008000"/>
    </w:rPr>
  </w:style>
  <w:style w:type="character" w:styleId="14">
    <w:name w:val="HTML Keyboard"/>
    <w:basedOn w:val="6"/>
    <w:semiHidden/>
    <w:unhideWhenUsed/>
    <w:qFormat/>
    <w:uiPriority w:val="99"/>
    <w:rPr>
      <w:rFonts w:ascii="Consolas" w:hAnsi="Consolas" w:eastAsia="Consolas" w:cs="Consolas"/>
      <w:color w:val="FFFFFF"/>
      <w:sz w:val="21"/>
      <w:szCs w:val="21"/>
      <w:shd w:val="clear" w:fill="333333"/>
    </w:rPr>
  </w:style>
  <w:style w:type="character" w:styleId="15">
    <w:name w:val="HTML Sample"/>
    <w:basedOn w:val="6"/>
    <w:semiHidden/>
    <w:unhideWhenUsed/>
    <w:qFormat/>
    <w:uiPriority w:val="99"/>
    <w:rPr>
      <w:rFonts w:hint="default" w:ascii="Consolas" w:hAnsi="Consolas" w:eastAsia="Consolas" w:cs="Consolas"/>
      <w:sz w:val="21"/>
      <w:szCs w:val="21"/>
    </w:rPr>
  </w:style>
  <w:style w:type="paragraph" w:customStyle="1" w:styleId="16">
    <w:name w:val="Char"/>
    <w:basedOn w:val="1"/>
    <w:qFormat/>
    <w:uiPriority w:val="0"/>
    <w:rPr>
      <w:rFonts w:ascii="Tahoma" w:hAnsi="Tahoma"/>
      <w:sz w:val="24"/>
    </w:rPr>
  </w:style>
  <w:style w:type="character" w:customStyle="1" w:styleId="17">
    <w:name w:val="页眉 Char"/>
    <w:basedOn w:val="6"/>
    <w:link w:val="4"/>
    <w:qFormat/>
    <w:uiPriority w:val="99"/>
    <w:rPr>
      <w:rFonts w:ascii="Times New Roman" w:hAnsi="Times New Roman" w:eastAsia="宋体" w:cs="Times New Roman"/>
      <w:sz w:val="18"/>
      <w:szCs w:val="18"/>
    </w:rPr>
  </w:style>
  <w:style w:type="character" w:customStyle="1" w:styleId="18">
    <w:name w:val="页脚 Char"/>
    <w:basedOn w:val="6"/>
    <w:link w:val="3"/>
    <w:qFormat/>
    <w:uiPriority w:val="99"/>
    <w:rPr>
      <w:rFonts w:ascii="Times New Roman" w:hAnsi="Times New Roman" w:eastAsia="宋体" w:cs="Times New Roman"/>
      <w:sz w:val="18"/>
      <w:szCs w:val="18"/>
    </w:rPr>
  </w:style>
  <w:style w:type="character" w:customStyle="1" w:styleId="19">
    <w:name w:val="批注框文本 Char"/>
    <w:basedOn w:val="6"/>
    <w:link w:val="2"/>
    <w:semiHidden/>
    <w:qFormat/>
    <w:uiPriority w:val="99"/>
    <w:rPr>
      <w:rFonts w:ascii="Times New Roman" w:hAnsi="Times New Roman" w:eastAsia="宋体" w:cs="Times New Roman"/>
      <w:sz w:val="18"/>
      <w:szCs w:val="18"/>
    </w:rPr>
  </w:style>
  <w:style w:type="paragraph" w:styleId="20">
    <w:name w:val="No Spacing"/>
    <w:link w:val="21"/>
    <w:qFormat/>
    <w:uiPriority w:val="1"/>
    <w:rPr>
      <w:rFonts w:asciiTheme="minorHAnsi" w:hAnsiTheme="minorHAnsi" w:eastAsiaTheme="minorEastAsia" w:cstheme="minorBidi"/>
      <w:sz w:val="22"/>
      <w:szCs w:val="22"/>
      <w:lang w:val="en-US" w:eastAsia="zh-CN" w:bidi="ar-SA"/>
    </w:rPr>
  </w:style>
  <w:style w:type="character" w:customStyle="1" w:styleId="21">
    <w:name w:val="无间隔 Char"/>
    <w:basedOn w:val="6"/>
    <w:link w:val="20"/>
    <w:qFormat/>
    <w:uiPriority w:val="1"/>
    <w:rPr>
      <w:kern w:val="0"/>
      <w:sz w:val="22"/>
    </w:rPr>
  </w:style>
  <w:style w:type="paragraph" w:customStyle="1" w:styleId="22">
    <w:name w:val="Char1"/>
    <w:basedOn w:val="1"/>
    <w:qFormat/>
    <w:uiPriority w:val="0"/>
    <w:rPr>
      <w:rFonts w:ascii="Tahoma" w:hAnsi="Tahoma"/>
      <w:sz w:val="24"/>
    </w:rPr>
  </w:style>
  <w:style w:type="paragraph" w:customStyle="1" w:styleId="23">
    <w:name w:val="段"/>
    <w:link w:val="2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段 Char"/>
    <w:basedOn w:val="6"/>
    <w:link w:val="23"/>
    <w:qFormat/>
    <w:uiPriority w:val="0"/>
    <w:rPr>
      <w:rFonts w:ascii="宋体" w:hAnsi="Times New Roman" w:eastAsia="宋体" w:cs="Times New Roman"/>
      <w:kern w:val="0"/>
      <w:szCs w:val="20"/>
    </w:rPr>
  </w:style>
  <w:style w:type="paragraph" w:customStyle="1" w:styleId="25">
    <w:name w:val="一级条标题"/>
    <w:next w:val="23"/>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
    <w:name w:val="章标题"/>
    <w:next w:val="23"/>
    <w:link w:val="56"/>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9">
    <w:name w:val="二级条标题"/>
    <w:basedOn w:val="25"/>
    <w:next w:val="23"/>
    <w:qFormat/>
    <w:uiPriority w:val="0"/>
    <w:pPr>
      <w:numPr>
        <w:ilvl w:val="2"/>
      </w:numPr>
      <w:spacing w:before="50" w:after="50"/>
      <w:outlineLvl w:val="3"/>
    </w:pPr>
  </w:style>
  <w:style w:type="paragraph" w:customStyle="1" w:styleId="3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1">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2">
    <w:name w:val="三级条标题"/>
    <w:basedOn w:val="29"/>
    <w:next w:val="23"/>
    <w:qFormat/>
    <w:uiPriority w:val="0"/>
    <w:pPr>
      <w:numPr>
        <w:ilvl w:val="3"/>
      </w:numPr>
      <w:outlineLvl w:val="4"/>
    </w:pPr>
  </w:style>
  <w:style w:type="paragraph" w:customStyle="1" w:styleId="33">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34">
    <w:name w:val="四级条标题"/>
    <w:basedOn w:val="32"/>
    <w:next w:val="23"/>
    <w:qFormat/>
    <w:uiPriority w:val="0"/>
    <w:pPr>
      <w:numPr>
        <w:ilvl w:val="4"/>
      </w:numPr>
      <w:outlineLvl w:val="5"/>
    </w:pPr>
  </w:style>
  <w:style w:type="paragraph" w:customStyle="1" w:styleId="35">
    <w:name w:val="五级条标题"/>
    <w:basedOn w:val="34"/>
    <w:next w:val="23"/>
    <w:qFormat/>
    <w:uiPriority w:val="0"/>
    <w:pPr>
      <w:numPr>
        <w:ilvl w:val="5"/>
      </w:numPr>
      <w:outlineLvl w:val="6"/>
    </w:pPr>
  </w:style>
  <w:style w:type="paragraph" w:customStyle="1" w:styleId="36">
    <w:name w:val="注×："/>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3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38">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3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40">
    <w:name w:val="发布"/>
    <w:basedOn w:val="6"/>
    <w:qFormat/>
    <w:uiPriority w:val="0"/>
    <w:rPr>
      <w:rFonts w:ascii="黑体" w:eastAsia="黑体"/>
      <w:spacing w:val="85"/>
      <w:w w:val="100"/>
      <w:position w:val="3"/>
      <w:sz w:val="28"/>
      <w:szCs w:val="28"/>
    </w:rPr>
  </w:style>
  <w:style w:type="paragraph" w:customStyle="1" w:styleId="4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3">
    <w:name w:val="封面标准英文名称"/>
    <w:basedOn w:val="42"/>
    <w:qFormat/>
    <w:uiPriority w:val="0"/>
    <w:pPr>
      <w:spacing w:before="370" w:line="400" w:lineRule="exact"/>
    </w:pPr>
    <w:rPr>
      <w:rFonts w:ascii="Times New Roman"/>
      <w:sz w:val="28"/>
      <w:szCs w:val="28"/>
    </w:rPr>
  </w:style>
  <w:style w:type="paragraph" w:customStyle="1" w:styleId="44">
    <w:name w:val="封面一致性程度标识"/>
    <w:basedOn w:val="43"/>
    <w:qFormat/>
    <w:uiPriority w:val="0"/>
    <w:pPr>
      <w:spacing w:before="440"/>
    </w:pPr>
    <w:rPr>
      <w:rFonts w:ascii="宋体" w:eastAsia="宋体"/>
    </w:rPr>
  </w:style>
  <w:style w:type="paragraph" w:customStyle="1" w:styleId="45">
    <w:name w:val="封面标准文稿类别"/>
    <w:basedOn w:val="44"/>
    <w:qFormat/>
    <w:uiPriority w:val="0"/>
    <w:pPr>
      <w:spacing w:after="160" w:line="240" w:lineRule="auto"/>
    </w:pPr>
    <w:rPr>
      <w:sz w:val="24"/>
    </w:rPr>
  </w:style>
  <w:style w:type="paragraph" w:customStyle="1" w:styleId="46">
    <w:name w:val="封面标准文稿编辑信息"/>
    <w:basedOn w:val="45"/>
    <w:qFormat/>
    <w:uiPriority w:val="0"/>
    <w:pPr>
      <w:spacing w:before="180" w:line="180" w:lineRule="exact"/>
    </w:pPr>
    <w:rPr>
      <w:sz w:val="21"/>
    </w:rPr>
  </w:style>
  <w:style w:type="paragraph" w:customStyle="1" w:styleId="4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8">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49">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1">
    <w:name w:val="正文表标题"/>
    <w:next w:val="23"/>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2">
    <w:name w:val="其他发布日期"/>
    <w:basedOn w:val="1"/>
    <w:qFormat/>
    <w:uiPriority w:val="0"/>
    <w:pPr>
      <w:framePr w:w="3997" w:h="471" w:hRule="exact" w:vSpace="181" w:wrap="around" w:vAnchor="page" w:hAnchor="text" w:x="1419" w:y="14097" w:anchorLock="1"/>
      <w:widowControl/>
      <w:jc w:val="left"/>
    </w:pPr>
    <w:rPr>
      <w:rFonts w:eastAsia="黑体"/>
      <w:kern w:val="0"/>
      <w:sz w:val="28"/>
    </w:rPr>
  </w:style>
  <w:style w:type="paragraph" w:customStyle="1" w:styleId="53">
    <w:name w:val="其他实施日期"/>
    <w:basedOn w:val="1"/>
    <w:qFormat/>
    <w:uiPriority w:val="0"/>
    <w:pPr>
      <w:framePr w:w="3997" w:h="471" w:hRule="exact" w:vSpace="181" w:wrap="around" w:vAnchor="page" w:hAnchor="text" w:x="7089" w:y="14097" w:anchorLock="1"/>
      <w:widowControl/>
      <w:jc w:val="right"/>
    </w:pPr>
    <w:rPr>
      <w:rFonts w:eastAsia="黑体"/>
      <w:kern w:val="0"/>
      <w:sz w:val="28"/>
    </w:rPr>
  </w:style>
  <w:style w:type="paragraph" w:styleId="54">
    <w:name w:val="List Paragraph"/>
    <w:basedOn w:val="1"/>
    <w:qFormat/>
    <w:uiPriority w:val="34"/>
    <w:pPr>
      <w:ind w:firstLine="420" w:firstLineChars="200"/>
    </w:pPr>
    <w:rPr>
      <w:rFonts w:ascii="Calibri" w:hAnsi="Calibri"/>
      <w:szCs w:val="22"/>
    </w:rPr>
  </w:style>
  <w:style w:type="character" w:customStyle="1" w:styleId="55">
    <w:name w:val="high-light-bg4"/>
    <w:basedOn w:val="6"/>
    <w:qFormat/>
    <w:uiPriority w:val="0"/>
  </w:style>
  <w:style w:type="character" w:customStyle="1" w:styleId="56">
    <w:name w:val="章标题 Char"/>
    <w:link w:val="28"/>
    <w:qFormat/>
    <w:uiPriority w:val="0"/>
    <w:rPr>
      <w:rFonts w:ascii="黑体" w:hAnsi="Times New Roman" w:eastAsia="黑体" w:cs="Times New Roman"/>
      <w:kern w:val="0"/>
      <w:szCs w:val="20"/>
    </w:rPr>
  </w:style>
  <w:style w:type="paragraph" w:customStyle="1" w:styleId="57">
    <w:name w:val="附录标识"/>
    <w:basedOn w:val="1"/>
    <w:next w:val="23"/>
    <w:qFormat/>
    <w:uiPriority w:val="0"/>
    <w:pPr>
      <w:keepNext/>
      <w:widowControl/>
      <w:numPr>
        <w:ilvl w:val="0"/>
        <w:numId w:val="5"/>
      </w:numPr>
      <w:shd w:val="clear" w:color="FFFFFF" w:fill="FFFFFF"/>
      <w:tabs>
        <w:tab w:val="left" w:pos="6405"/>
      </w:tabs>
      <w:spacing w:before="640" w:after="280"/>
      <w:jc w:val="center"/>
      <w:outlineLvl w:val="0"/>
    </w:pPr>
    <w:rPr>
      <w:rFonts w:ascii="黑体" w:eastAsia="黑体" w:cs="黑体"/>
      <w:kern w:val="0"/>
      <w:szCs w:val="21"/>
    </w:rPr>
  </w:style>
  <w:style w:type="paragraph" w:customStyle="1" w:styleId="58">
    <w:name w:val="附录二级条标题"/>
    <w:basedOn w:val="1"/>
    <w:next w:val="23"/>
    <w:qFormat/>
    <w:uiPriority w:val="0"/>
    <w:pPr>
      <w:widowControl/>
      <w:numPr>
        <w:ilvl w:val="3"/>
        <w:numId w:val="5"/>
      </w:numPr>
      <w:wordWrap w:val="0"/>
      <w:overflowPunct w:val="0"/>
      <w:autoSpaceDE w:val="0"/>
      <w:autoSpaceDN w:val="0"/>
      <w:spacing w:beforeLines="50" w:afterLines="50"/>
      <w:textAlignment w:val="baseline"/>
      <w:outlineLvl w:val="3"/>
    </w:pPr>
    <w:rPr>
      <w:rFonts w:ascii="黑体" w:eastAsia="黑体" w:cs="黑体"/>
      <w:kern w:val="21"/>
      <w:szCs w:val="21"/>
    </w:rPr>
  </w:style>
  <w:style w:type="paragraph" w:customStyle="1" w:styleId="59">
    <w:name w:val="附录三级条标题"/>
    <w:basedOn w:val="58"/>
    <w:next w:val="23"/>
    <w:qFormat/>
    <w:uiPriority w:val="0"/>
    <w:pPr>
      <w:numPr>
        <w:ilvl w:val="4"/>
      </w:numPr>
      <w:outlineLvl w:val="4"/>
    </w:pPr>
  </w:style>
  <w:style w:type="paragraph" w:customStyle="1" w:styleId="60">
    <w:name w:val="附录四级条标题"/>
    <w:basedOn w:val="59"/>
    <w:next w:val="23"/>
    <w:qFormat/>
    <w:uiPriority w:val="0"/>
    <w:pPr>
      <w:numPr>
        <w:ilvl w:val="5"/>
      </w:numPr>
      <w:outlineLvl w:val="5"/>
    </w:pPr>
  </w:style>
  <w:style w:type="paragraph" w:customStyle="1" w:styleId="61">
    <w:name w:val="附录五级条标题"/>
    <w:basedOn w:val="60"/>
    <w:next w:val="23"/>
    <w:qFormat/>
    <w:uiPriority w:val="0"/>
    <w:pPr>
      <w:numPr>
        <w:ilvl w:val="6"/>
      </w:numPr>
      <w:outlineLvl w:val="6"/>
    </w:pPr>
  </w:style>
  <w:style w:type="paragraph" w:customStyle="1" w:styleId="62">
    <w:name w:val="附录章标题"/>
    <w:next w:val="23"/>
    <w:qFormat/>
    <w:uiPriority w:val="0"/>
    <w:pPr>
      <w:numPr>
        <w:ilvl w:val="1"/>
        <w:numId w:val="5"/>
      </w:numPr>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63">
    <w:name w:val="附录一级条标题"/>
    <w:basedOn w:val="62"/>
    <w:next w:val="23"/>
    <w:qFormat/>
    <w:uiPriority w:val="0"/>
    <w:pPr>
      <w:numPr>
        <w:ilvl w:val="2"/>
      </w:numPr>
      <w:autoSpaceDN w:val="0"/>
      <w:spacing w:beforeLines="50" w:afterLines="50"/>
      <w:outlineLvl w:val="2"/>
    </w:pPr>
  </w:style>
  <w:style w:type="paragraph" w:customStyle="1" w:styleId="64">
    <w:name w:val="附录公式编号制表符"/>
    <w:basedOn w:val="1"/>
    <w:next w:val="23"/>
    <w:qFormat/>
    <w:uiPriority w:val="0"/>
    <w:pPr>
      <w:widowControl/>
      <w:tabs>
        <w:tab w:val="center" w:pos="4201"/>
        <w:tab w:val="right" w:leader="dot" w:pos="9298"/>
      </w:tabs>
      <w:autoSpaceDE w:val="0"/>
      <w:autoSpaceDN w:val="0"/>
    </w:pPr>
    <w:rPr>
      <w:rFonts w:ascii="宋体"/>
      <w:kern w:val="0"/>
    </w:rPr>
  </w:style>
  <w:style w:type="paragraph" w:customStyle="1" w:styleId="65">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66">
    <w:name w:val="附录图标题"/>
    <w:basedOn w:val="1"/>
    <w:next w:val="23"/>
    <w:qFormat/>
    <w:uiPriority w:val="0"/>
    <w:pPr>
      <w:numPr>
        <w:ilvl w:val="1"/>
        <w:numId w:val="7"/>
      </w:numPr>
      <w:tabs>
        <w:tab w:val="left" w:pos="363"/>
      </w:tabs>
      <w:spacing w:beforeLines="50" w:afterLines="50"/>
      <w:ind w:left="0" w:firstLine="0"/>
      <w:jc w:val="center"/>
    </w:pPr>
    <w:rPr>
      <w:rFonts w:ascii="黑体" w:eastAsia="黑体"/>
      <w:szCs w:val="21"/>
    </w:rPr>
  </w:style>
  <w:style w:type="paragraph" w:customStyle="1" w:styleId="67">
    <w:name w:val="附录表标题"/>
    <w:basedOn w:val="1"/>
    <w:next w:val="23"/>
    <w:qFormat/>
    <w:uiPriority w:val="0"/>
    <w:pPr>
      <w:numPr>
        <w:ilvl w:val="1"/>
        <w:numId w:val="8"/>
      </w:numPr>
      <w:tabs>
        <w:tab w:val="left" w:pos="180"/>
      </w:tabs>
      <w:spacing w:beforeLines="50" w:afterLines="50"/>
      <w:ind w:left="0" w:firstLine="0"/>
      <w:jc w:val="center"/>
    </w:pPr>
    <w:rPr>
      <w:rFonts w:ascii="黑体" w:eastAsia="黑体"/>
      <w:szCs w:val="21"/>
    </w:rPr>
  </w:style>
  <w:style w:type="paragraph" w:customStyle="1" w:styleId="68">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516</Words>
  <Characters>2943</Characters>
  <Lines>24</Lines>
  <Paragraphs>6</Paragraphs>
  <TotalTime>9</TotalTime>
  <ScaleCrop>false</ScaleCrop>
  <LinksUpToDate>false</LinksUpToDate>
  <CharactersWithSpaces>3453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2018-01-11T03:04:00Z</dcterms:created>
  <dc:creator>jyj</dc:creator>
  <cp:lastModifiedBy>jyj</cp:lastModifiedBy>
  <cp:lastPrinted>2018-01-25T14:20:00Z</cp:lastPrinted>
  <dcterms:modified xsi:type="dcterms:W3CDTF">2019-03-29T05:23:28Z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