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24B0D">
      <w:pPr>
        <w:pStyle w:val="70"/>
        <w:framePr w:w="0" w:hRule="auto" w:wrap="auto" w:vAnchor="margin" w:hAnchor="text" w:xAlign="left" w:yAlign="inline"/>
        <w:spacing w:line="700" w:lineRule="exact"/>
        <w:rPr>
          <w:rFonts w:hint="eastAsia" w:hAnsi="Times New Roman" w:cs="Times New Roman"/>
          <w:b/>
          <w:color w:val="000000"/>
          <w:sz w:val="32"/>
          <w:lang w:val="en-US" w:eastAsia="zh-CN"/>
        </w:rPr>
      </w:pPr>
      <w:r>
        <w:rPr>
          <w:rFonts w:hint="eastAsia"/>
          <w:b/>
          <w:color w:val="000000"/>
          <w:sz w:val="32"/>
          <w:lang w:val="en-US" w:eastAsia="zh-CN"/>
        </w:rPr>
        <w:t>中国轻工业联合会</w:t>
      </w:r>
      <w:r>
        <w:rPr>
          <w:rFonts w:hint="eastAsia" w:hAnsi="Times New Roman" w:cs="Times New Roman"/>
          <w:b/>
          <w:color w:val="000000"/>
          <w:sz w:val="32"/>
          <w:lang w:val="en-US" w:eastAsia="zh-CN"/>
        </w:rPr>
        <w:t>团体标准</w:t>
      </w:r>
    </w:p>
    <w:p w14:paraId="180EF576">
      <w:pPr>
        <w:pStyle w:val="70"/>
        <w:framePr w:w="0" w:hRule="auto" w:wrap="auto" w:vAnchor="margin" w:hAnchor="text" w:xAlign="left" w:yAlign="inline"/>
        <w:spacing w:line="700" w:lineRule="exact"/>
        <w:rPr>
          <w:rFonts w:hint="eastAsia" w:hAnsi="Times New Roman" w:cs="Times New Roman"/>
          <w:b/>
          <w:color w:val="000000"/>
          <w:sz w:val="32"/>
          <w:lang w:val="en-US" w:eastAsia="zh-CN"/>
        </w:rPr>
      </w:pPr>
      <w:r>
        <w:rPr>
          <w:rFonts w:hint="eastAsia" w:hAnsi="Times New Roman" w:cs="Times New Roman"/>
          <w:b/>
          <w:color w:val="000000"/>
          <w:sz w:val="32"/>
          <w:lang w:val="en-US" w:eastAsia="zh-CN"/>
        </w:rPr>
        <w:t>《五粮浓香型白酒核心产区产品质量评价规范》</w:t>
      </w:r>
    </w:p>
    <w:p w14:paraId="7E09FE4F">
      <w:pPr>
        <w:pStyle w:val="70"/>
        <w:framePr w:w="0" w:hRule="auto" w:wrap="auto" w:vAnchor="margin" w:hAnchor="text" w:xAlign="left" w:yAlign="inline"/>
        <w:spacing w:line="700" w:lineRule="exact"/>
        <w:rPr>
          <w:rFonts w:hint="eastAsia" w:hAnsi="Times New Roman" w:cs="Times New Roman"/>
          <w:b/>
          <w:color w:val="000000"/>
          <w:sz w:val="32"/>
          <w:lang w:val="en-US" w:eastAsia="zh-CN"/>
        </w:rPr>
      </w:pPr>
      <w:r>
        <w:rPr>
          <w:rFonts w:hint="eastAsia" w:hAnsi="Times New Roman" w:cs="Times New Roman"/>
          <w:b/>
          <w:color w:val="000000"/>
          <w:sz w:val="32"/>
          <w:lang w:val="en-US" w:eastAsia="zh-CN"/>
        </w:rPr>
        <w:t>编制</w:t>
      </w:r>
      <w:r>
        <w:rPr>
          <w:rFonts w:hint="eastAsia" w:cs="Times New Roman"/>
          <w:b/>
          <w:color w:val="000000"/>
          <w:sz w:val="32"/>
          <w:lang w:val="en-US" w:eastAsia="zh-CN"/>
        </w:rPr>
        <w:t>情况</w:t>
      </w:r>
      <w:r>
        <w:rPr>
          <w:rFonts w:hint="eastAsia" w:hAnsi="Times New Roman" w:cs="Times New Roman"/>
          <w:b/>
          <w:color w:val="000000"/>
          <w:sz w:val="32"/>
          <w:lang w:val="en-US" w:eastAsia="zh-CN"/>
        </w:rPr>
        <w:t>说明</w:t>
      </w:r>
    </w:p>
    <w:p w14:paraId="26864C67"/>
    <w:p w14:paraId="33AB7680">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textAlignment w:val="auto"/>
        <w:outlineLvl w:val="0"/>
        <w:rPr>
          <w:rFonts w:hint="eastAsia" w:ascii="宋体" w:hAnsi="宋体" w:eastAsia="宋体" w:cs="宋体"/>
          <w:b/>
          <w:kern w:val="0"/>
          <w:sz w:val="24"/>
          <w:szCs w:val="24"/>
          <w:lang w:eastAsia="zh-CN"/>
        </w:rPr>
      </w:pPr>
      <w:bookmarkStart w:id="0" w:name="_Toc132710489"/>
      <w:r>
        <w:rPr>
          <w:rFonts w:hint="eastAsia" w:ascii="宋体" w:hAnsi="宋体" w:eastAsia="宋体" w:cs="宋体"/>
          <w:b/>
          <w:kern w:val="0"/>
          <w:sz w:val="24"/>
          <w:szCs w:val="24"/>
        </w:rPr>
        <w:t>1</w:t>
      </w:r>
      <w:bookmarkEnd w:id="0"/>
      <w:r>
        <w:rPr>
          <w:rFonts w:hint="eastAsia" w:ascii="宋体" w:hAnsi="宋体" w:eastAsia="宋体" w:cs="宋体"/>
          <w:b/>
          <w:kern w:val="0"/>
          <w:sz w:val="24"/>
          <w:szCs w:val="24"/>
          <w:lang w:eastAsia="zh-CN"/>
        </w:rPr>
        <w:t>.</w:t>
      </w:r>
      <w:r>
        <w:rPr>
          <w:rFonts w:hint="eastAsia" w:ascii="宋体" w:hAnsi="宋体" w:eastAsia="宋体" w:cs="宋体"/>
          <w:b/>
          <w:kern w:val="0"/>
          <w:sz w:val="24"/>
          <w:szCs w:val="24"/>
        </w:rPr>
        <w:t>标准主要制定</w:t>
      </w:r>
      <w:r>
        <w:rPr>
          <w:rFonts w:hint="eastAsia" w:ascii="宋体" w:hAnsi="宋体" w:eastAsia="宋体" w:cs="宋体"/>
          <w:b/>
          <w:kern w:val="0"/>
          <w:sz w:val="24"/>
          <w:szCs w:val="24"/>
          <w:lang w:val="en-US" w:eastAsia="zh-CN"/>
        </w:rPr>
        <w:t>原则</w:t>
      </w:r>
    </w:p>
    <w:p w14:paraId="7F7D6A9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五粮浓香型白酒作为中国白酒的重要品类，其产品质量评价规范的编制至关重要。编制本标准时，需遵循以下原则： </w:t>
      </w:r>
    </w:p>
    <w:p w14:paraId="164C85F1">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首先，要确保标准的科学性与适用性。本标准应基于五粮浓香型白酒独特的生产工艺和品质特点，结合最新的科研成果和行业需求，科学合理地设定各项技术指标。同时，本标准需具有广泛的适用性，能够指导实际生产，确保产品质量。 </w:t>
      </w:r>
    </w:p>
    <w:p w14:paraId="30ED8B0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其次，要体现地方特色与地理标志保护。五粮浓香型白酒的核心产区具有独特的气候、土壤和水资源条件，这些自然因素对产品品质有着重要影响。本标准应充分体现这些地方特色，并加强对地理标志产品的保护，维护产区品牌形象。 </w:t>
      </w:r>
    </w:p>
    <w:p w14:paraId="10E6A68E">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此外，本标准编制还需注重全面性与准确性。应涵盖从原料采购、酿造工艺到成品检验的各个环节，确保产品质量评价的全面性和准确性。同时，随着行业发展和技术进步，本标准需不断修订和完善，以适应市场需求和产业发展趋势。</w:t>
      </w:r>
    </w:p>
    <w:p w14:paraId="6AD4FC71">
      <w:pPr>
        <w:pStyle w:val="11"/>
        <w:spacing w:line="440" w:lineRule="exact"/>
        <w:ind w:firstLine="480" w:firstLineChars="200"/>
        <w:outlineLvl w:val="0"/>
        <w:rPr>
          <w:rFonts w:hint="eastAsia" w:ascii="Times New Roman" w:eastAsia="宋体"/>
          <w:b/>
          <w:kern w:val="0"/>
          <w:sz w:val="24"/>
          <w:szCs w:val="24"/>
        </w:rPr>
      </w:pPr>
      <w:r>
        <w:rPr>
          <w:rFonts w:hint="eastAsia" w:ascii="宋体" w:hAnsi="宋体" w:eastAsia="宋体" w:cs="宋体"/>
          <w:kern w:val="0"/>
          <w:sz w:val="24"/>
          <w:szCs w:val="24"/>
          <w:lang w:val="en-US" w:eastAsia="zh-CN"/>
        </w:rPr>
        <w:t>综上所述，本标准的编制应坚持科学性、适用性、地方特色、地理标志保护、全面性和准确性等原则，以推动五粮浓香型白酒产业的持续健康发展。</w:t>
      </w:r>
    </w:p>
    <w:p w14:paraId="6F0B920B">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textAlignment w:val="auto"/>
        <w:outlineLvl w:val="0"/>
        <w:rPr>
          <w:rFonts w:hint="eastAsia" w:ascii="宋体" w:hAnsi="宋体" w:eastAsia="宋体" w:cs="宋体"/>
          <w:b/>
          <w:bCs w:val="0"/>
          <w:kern w:val="0"/>
          <w:sz w:val="24"/>
          <w:szCs w:val="24"/>
        </w:rPr>
      </w:pPr>
      <w:bookmarkStart w:id="1" w:name="_Toc132710490"/>
      <w:r>
        <w:rPr>
          <w:rFonts w:hint="eastAsia" w:ascii="宋体" w:hAnsi="宋体" w:eastAsia="宋体" w:cs="宋体"/>
          <w:b/>
          <w:bCs w:val="0"/>
          <w:kern w:val="0"/>
          <w:sz w:val="24"/>
          <w:szCs w:val="24"/>
          <w:lang w:val="en-US" w:eastAsia="zh-CN"/>
        </w:rPr>
        <w:t>2</w:t>
      </w:r>
      <w:bookmarkEnd w:id="1"/>
      <w:r>
        <w:rPr>
          <w:rFonts w:hint="eastAsia" w:ascii="宋体" w:hAnsi="宋体" w:eastAsia="宋体" w:cs="宋体"/>
          <w:b/>
          <w:bCs w:val="0"/>
          <w:kern w:val="0"/>
          <w:sz w:val="24"/>
          <w:szCs w:val="24"/>
          <w:lang w:val="en-US" w:eastAsia="zh-CN"/>
        </w:rPr>
        <w:t>.</w:t>
      </w:r>
      <w:r>
        <w:rPr>
          <w:rFonts w:hint="eastAsia" w:ascii="宋体" w:hAnsi="宋体" w:eastAsia="宋体" w:cs="宋体"/>
          <w:b/>
          <w:bCs w:val="0"/>
          <w:kern w:val="0"/>
          <w:sz w:val="24"/>
          <w:szCs w:val="24"/>
        </w:rPr>
        <w:t>参考的文件</w:t>
      </w:r>
    </w:p>
    <w:p w14:paraId="3D243CD5">
      <w:pPr>
        <w:pStyle w:val="11"/>
        <w:spacing w:line="440" w:lineRule="exact"/>
        <w:ind w:firstLine="480" w:firstLineChars="200"/>
        <w:outlineLvl w:val="0"/>
        <w:rPr>
          <w:rFonts w:hint="eastAsia" w:ascii="宋体" w:hAnsi="宋体" w:cs="宋体"/>
          <w:kern w:val="0"/>
          <w:sz w:val="24"/>
          <w:lang w:val="en-US" w:eastAsia="zh-CN"/>
        </w:rPr>
      </w:pPr>
      <w:r>
        <w:rPr>
          <w:rFonts w:hint="eastAsia" w:ascii="宋体" w:hAnsi="宋体" w:cs="宋体"/>
          <w:kern w:val="0"/>
          <w:sz w:val="24"/>
          <w:lang w:val="en-US" w:eastAsia="zh-CN"/>
        </w:rPr>
        <w:t>本标准规范性引用了下列文件（31个）：</w:t>
      </w:r>
    </w:p>
    <w:p w14:paraId="2BC0141A">
      <w:pPr>
        <w:numPr>
          <w:ilvl w:val="0"/>
          <w:numId w:val="3"/>
        </w:numPr>
        <w:spacing w:line="440" w:lineRule="exact"/>
        <w:ind w:left="425" w:leftChars="0" w:hanging="425" w:firstLineChars="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GB 1351  小麦</w:t>
      </w:r>
    </w:p>
    <w:p w14:paraId="72E35E8B">
      <w:pPr>
        <w:numPr>
          <w:ilvl w:val="0"/>
          <w:numId w:val="3"/>
        </w:numPr>
        <w:spacing w:line="440" w:lineRule="exact"/>
        <w:ind w:left="425" w:leftChars="0" w:hanging="425" w:firstLineChars="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GB/T 1354  大米</w:t>
      </w:r>
    </w:p>
    <w:p w14:paraId="51491F7F">
      <w:pPr>
        <w:numPr>
          <w:ilvl w:val="0"/>
          <w:numId w:val="3"/>
        </w:numPr>
        <w:spacing w:line="440" w:lineRule="exact"/>
        <w:ind w:left="425" w:leftChars="0" w:hanging="425" w:firstLineChars="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GB 1353  玉米</w:t>
      </w:r>
    </w:p>
    <w:p w14:paraId="4B633F98">
      <w:pPr>
        <w:numPr>
          <w:ilvl w:val="0"/>
          <w:numId w:val="3"/>
        </w:numPr>
        <w:spacing w:line="440" w:lineRule="exact"/>
        <w:ind w:left="425" w:leftChars="0" w:hanging="425"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GB 1886.190  食品安全国家标准  食品添加剂  乙酸乙酯</w:t>
      </w:r>
    </w:p>
    <w:p w14:paraId="337E1D15">
      <w:pPr>
        <w:numPr>
          <w:ilvl w:val="0"/>
          <w:numId w:val="3"/>
        </w:numPr>
        <w:spacing w:line="440" w:lineRule="exact"/>
        <w:ind w:left="425" w:leftChars="0" w:hanging="425" w:firstLineChars="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GB 2589</w:t>
      </w:r>
      <w:r>
        <w:rPr>
          <w:rFonts w:hint="eastAsia" w:ascii="宋体" w:hAnsi="宋体" w:eastAsia="宋体" w:cs="宋体"/>
          <w:kern w:val="0"/>
          <w:sz w:val="24"/>
          <w:lang w:val="en-US" w:eastAsia="zh-CN"/>
        </w:rPr>
        <w:t xml:space="preserve">  综合能耗计算通则</w:t>
      </w:r>
    </w:p>
    <w:p w14:paraId="6192D7B0">
      <w:pPr>
        <w:numPr>
          <w:ilvl w:val="0"/>
          <w:numId w:val="3"/>
        </w:numPr>
        <w:spacing w:line="440" w:lineRule="exact"/>
        <w:ind w:left="425" w:leftChars="0" w:hanging="425" w:firstLineChars="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GB 2757</w:t>
      </w:r>
      <w:r>
        <w:rPr>
          <w:rFonts w:hint="eastAsia" w:ascii="宋体" w:hAnsi="宋体" w:eastAsia="宋体" w:cs="宋体"/>
          <w:kern w:val="0"/>
          <w:sz w:val="24"/>
          <w:lang w:val="en-US" w:eastAsia="zh-CN"/>
        </w:rPr>
        <w:t xml:space="preserve">  食品安全国家标准  蒸馏酒及其配制酒</w:t>
      </w:r>
    </w:p>
    <w:p w14:paraId="5D5CDD9C">
      <w:pPr>
        <w:numPr>
          <w:ilvl w:val="0"/>
          <w:numId w:val="3"/>
        </w:numPr>
        <w:spacing w:line="440" w:lineRule="exact"/>
        <w:ind w:left="425" w:leftChars="0" w:hanging="425"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GB 4806.1  食品安全国家标准  食品接触材料及制品通用安全要求</w:t>
      </w:r>
    </w:p>
    <w:p w14:paraId="629AC7B3">
      <w:pPr>
        <w:numPr>
          <w:ilvl w:val="0"/>
          <w:numId w:val="3"/>
        </w:numPr>
        <w:spacing w:line="440" w:lineRule="exact"/>
        <w:ind w:left="425" w:leftChars="0" w:hanging="425"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GB 4806.4  食品安全国家标准  陶瓷制品</w:t>
      </w:r>
    </w:p>
    <w:p w14:paraId="596473BA">
      <w:pPr>
        <w:numPr>
          <w:ilvl w:val="0"/>
          <w:numId w:val="3"/>
        </w:numPr>
        <w:spacing w:line="440" w:lineRule="exact"/>
        <w:ind w:left="425" w:leftChars="0" w:hanging="425"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GB 4806.5  食品安全国家标准  玻瓶制品</w:t>
      </w:r>
    </w:p>
    <w:p w14:paraId="79DF980A">
      <w:pPr>
        <w:numPr>
          <w:ilvl w:val="0"/>
          <w:numId w:val="3"/>
        </w:numPr>
        <w:spacing w:line="440" w:lineRule="exact"/>
        <w:ind w:left="425" w:leftChars="0" w:hanging="425"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GB 4806.6  食品安全国家标准  食品接触用塑料树脂</w:t>
      </w:r>
    </w:p>
    <w:p w14:paraId="3801D58B">
      <w:pPr>
        <w:numPr>
          <w:ilvl w:val="0"/>
          <w:numId w:val="3"/>
        </w:numPr>
        <w:spacing w:line="440" w:lineRule="exact"/>
        <w:ind w:left="425" w:leftChars="0" w:hanging="425"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GB 4806.7  食品安全国家标准  食品接触用塑料材料及制品</w:t>
      </w:r>
    </w:p>
    <w:p w14:paraId="36C6062C">
      <w:pPr>
        <w:numPr>
          <w:ilvl w:val="0"/>
          <w:numId w:val="3"/>
        </w:numPr>
        <w:spacing w:line="440" w:lineRule="exact"/>
        <w:ind w:left="425" w:leftChars="0" w:hanging="425" w:firstLineChars="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GB 4806.9  食品安全国家标准  食品接触用金属材料及其制品</w:t>
      </w:r>
    </w:p>
    <w:p w14:paraId="2190ECCC">
      <w:pPr>
        <w:numPr>
          <w:ilvl w:val="0"/>
          <w:numId w:val="3"/>
        </w:numPr>
        <w:spacing w:line="440" w:lineRule="exact"/>
        <w:ind w:left="425" w:leftChars="0" w:hanging="425" w:firstLineChars="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GB 5009.225  食品安全国家标准  酒和食用酒精中乙醇浓度的测定</w:t>
      </w:r>
    </w:p>
    <w:p w14:paraId="3AA84A99">
      <w:pPr>
        <w:numPr>
          <w:ilvl w:val="0"/>
          <w:numId w:val="3"/>
        </w:numPr>
        <w:spacing w:line="440" w:lineRule="exact"/>
        <w:ind w:left="425" w:leftChars="0" w:hanging="425"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GB 5749  生活饮用水卫生标准</w:t>
      </w:r>
    </w:p>
    <w:p w14:paraId="7A971104">
      <w:pPr>
        <w:numPr>
          <w:ilvl w:val="0"/>
          <w:numId w:val="3"/>
        </w:numPr>
        <w:spacing w:line="440" w:lineRule="exact"/>
        <w:ind w:left="425" w:leftChars="0" w:hanging="425" w:firstLineChars="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GB/T 6682</w:t>
      </w:r>
      <w:r>
        <w:rPr>
          <w:rFonts w:hint="eastAsia" w:ascii="宋体" w:hAnsi="宋体" w:eastAsia="宋体" w:cs="宋体"/>
          <w:kern w:val="0"/>
          <w:sz w:val="24"/>
          <w:lang w:val="en-US" w:eastAsia="zh-CN"/>
        </w:rPr>
        <w:t xml:space="preserve">  分析实验室用水规格和试验方法</w:t>
      </w:r>
    </w:p>
    <w:p w14:paraId="3A12B80B">
      <w:pPr>
        <w:numPr>
          <w:ilvl w:val="0"/>
          <w:numId w:val="3"/>
        </w:numPr>
        <w:spacing w:line="440" w:lineRule="exact"/>
        <w:ind w:left="425" w:leftChars="0" w:hanging="425"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GB/T 7488  水质  五日生化需氧量（BOD5）的测定  稀释与接种法</w:t>
      </w:r>
    </w:p>
    <w:p w14:paraId="49926FA8">
      <w:pPr>
        <w:numPr>
          <w:ilvl w:val="0"/>
          <w:numId w:val="3"/>
        </w:numPr>
        <w:spacing w:line="440" w:lineRule="exact"/>
        <w:ind w:left="425" w:leftChars="0" w:hanging="425"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GB/T 8231  高粱</w:t>
      </w:r>
    </w:p>
    <w:p w14:paraId="112F8912">
      <w:pPr>
        <w:numPr>
          <w:ilvl w:val="0"/>
          <w:numId w:val="3"/>
        </w:numPr>
        <w:spacing w:line="440" w:lineRule="exact"/>
        <w:ind w:left="425" w:leftChars="0" w:hanging="425"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GB 8951  食品安全国家标准  蒸馏酒及其配制酒生产卫生规范</w:t>
      </w:r>
    </w:p>
    <w:p w14:paraId="64274CB1">
      <w:pPr>
        <w:numPr>
          <w:ilvl w:val="0"/>
          <w:numId w:val="3"/>
        </w:numPr>
        <w:spacing w:line="440" w:lineRule="exact"/>
        <w:ind w:left="425" w:leftChars="0" w:hanging="425" w:firstLineChars="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GB/T 10346</w:t>
      </w:r>
      <w:r>
        <w:rPr>
          <w:rFonts w:hint="eastAsia" w:ascii="宋体" w:hAnsi="宋体" w:eastAsia="宋体" w:cs="宋体"/>
          <w:kern w:val="0"/>
          <w:sz w:val="24"/>
          <w:lang w:val="en-US" w:eastAsia="zh-CN"/>
        </w:rPr>
        <w:t xml:space="preserve">  白酒检验规则和标志、包装、运输、贮存</w:t>
      </w:r>
    </w:p>
    <w:p w14:paraId="3C944960">
      <w:pPr>
        <w:numPr>
          <w:ilvl w:val="0"/>
          <w:numId w:val="3"/>
        </w:numPr>
        <w:spacing w:line="440" w:lineRule="exact"/>
        <w:ind w:left="425" w:leftChars="0" w:hanging="425"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GB/T 11914  水质  化学需氧量的测定  重铬酸盐法</w:t>
      </w:r>
    </w:p>
    <w:p w14:paraId="304B700E">
      <w:pPr>
        <w:numPr>
          <w:ilvl w:val="0"/>
          <w:numId w:val="3"/>
        </w:numPr>
        <w:spacing w:line="440" w:lineRule="exact"/>
        <w:ind w:left="425" w:leftChars="0" w:hanging="425"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GB 14881  食品安全国家标准  食品生产通用卫生规范</w:t>
      </w:r>
    </w:p>
    <w:p w14:paraId="49228E72">
      <w:pPr>
        <w:numPr>
          <w:ilvl w:val="0"/>
          <w:numId w:val="3"/>
        </w:numPr>
        <w:spacing w:line="440" w:lineRule="exact"/>
        <w:ind w:left="425" w:leftChars="0" w:hanging="425" w:firstLineChars="0"/>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GB/T 15109</w:t>
      </w:r>
      <w:r>
        <w:rPr>
          <w:rFonts w:hint="eastAsia" w:ascii="宋体" w:hAnsi="宋体" w:eastAsia="宋体" w:cs="宋体"/>
          <w:kern w:val="0"/>
          <w:sz w:val="24"/>
          <w:lang w:val="en-US" w:eastAsia="zh-CN"/>
        </w:rPr>
        <w:t xml:space="preserve">  白酒工业术语</w:t>
      </w:r>
    </w:p>
    <w:p w14:paraId="2A5632E1">
      <w:pPr>
        <w:numPr>
          <w:ilvl w:val="0"/>
          <w:numId w:val="3"/>
        </w:numPr>
        <w:spacing w:line="440" w:lineRule="exact"/>
        <w:ind w:left="425" w:leftChars="0" w:hanging="425" w:firstLineChars="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GB/T 17167</w:t>
      </w:r>
      <w:r>
        <w:rPr>
          <w:rFonts w:hint="eastAsia" w:ascii="宋体" w:hAnsi="宋体" w:eastAsia="宋体" w:cs="宋体"/>
          <w:kern w:val="0"/>
          <w:sz w:val="24"/>
          <w:lang w:val="en-US" w:eastAsia="zh-CN"/>
        </w:rPr>
        <w:t xml:space="preserve">  </w:t>
      </w:r>
      <w:r>
        <w:rPr>
          <w:rFonts w:hint="default" w:ascii="宋体" w:hAnsi="宋体" w:eastAsia="宋体" w:cs="宋体"/>
          <w:kern w:val="0"/>
          <w:sz w:val="24"/>
          <w:lang w:val="en-US" w:eastAsia="zh-CN"/>
        </w:rPr>
        <w:t>用能单位能源计量器具配备和管理通则</w:t>
      </w:r>
    </w:p>
    <w:p w14:paraId="3D63618A">
      <w:pPr>
        <w:numPr>
          <w:ilvl w:val="0"/>
          <w:numId w:val="3"/>
        </w:numPr>
        <w:spacing w:line="440" w:lineRule="exact"/>
        <w:ind w:left="425" w:leftChars="0" w:hanging="425" w:firstLineChars="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GB/T 18916.15</w:t>
      </w:r>
      <w:r>
        <w:rPr>
          <w:rFonts w:hint="eastAsia" w:ascii="宋体" w:hAnsi="宋体" w:eastAsia="宋体" w:cs="宋体"/>
          <w:kern w:val="0"/>
          <w:sz w:val="24"/>
          <w:lang w:val="en-US" w:eastAsia="zh-CN"/>
        </w:rPr>
        <w:t xml:space="preserve">  工业用水定额  第15部分：白酒</w:t>
      </w:r>
    </w:p>
    <w:p w14:paraId="5AC6B7C7">
      <w:pPr>
        <w:numPr>
          <w:ilvl w:val="0"/>
          <w:numId w:val="3"/>
        </w:numPr>
        <w:spacing w:line="440" w:lineRule="exact"/>
        <w:ind w:left="425" w:leftChars="0" w:hanging="425" w:firstLineChars="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GB/T 19001</w:t>
      </w:r>
      <w:r>
        <w:rPr>
          <w:rFonts w:hint="eastAsia" w:ascii="宋体" w:hAnsi="宋体" w:eastAsia="宋体" w:cs="宋体"/>
          <w:kern w:val="0"/>
          <w:sz w:val="24"/>
          <w:lang w:val="en-US" w:eastAsia="zh-CN"/>
        </w:rPr>
        <w:t xml:space="preserve">  质量管理体系  要求</w:t>
      </w:r>
    </w:p>
    <w:p w14:paraId="692C053B">
      <w:pPr>
        <w:numPr>
          <w:ilvl w:val="0"/>
          <w:numId w:val="3"/>
        </w:numPr>
        <w:spacing w:line="440" w:lineRule="exact"/>
        <w:ind w:left="425" w:leftChars="0" w:hanging="425" w:firstLineChars="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GB/T 23331</w:t>
      </w:r>
      <w:r>
        <w:rPr>
          <w:rFonts w:hint="eastAsia" w:ascii="宋体" w:hAnsi="宋体" w:eastAsia="宋体" w:cs="宋体"/>
          <w:kern w:val="0"/>
          <w:sz w:val="24"/>
          <w:lang w:val="en-US" w:eastAsia="zh-CN"/>
        </w:rPr>
        <w:t xml:space="preserve">  </w:t>
      </w:r>
      <w:r>
        <w:rPr>
          <w:rFonts w:hint="default" w:ascii="宋体" w:hAnsi="宋体" w:eastAsia="宋体" w:cs="宋体"/>
          <w:kern w:val="0"/>
          <w:sz w:val="24"/>
          <w:lang w:val="en-US" w:eastAsia="zh-CN"/>
        </w:rPr>
        <w:t>能源管理体系</w:t>
      </w:r>
      <w:r>
        <w:rPr>
          <w:rFonts w:hint="eastAsia" w:ascii="宋体" w:hAnsi="宋体" w:eastAsia="宋体" w:cs="宋体"/>
          <w:kern w:val="0"/>
          <w:sz w:val="24"/>
          <w:lang w:val="en-US" w:eastAsia="zh-CN"/>
        </w:rPr>
        <w:t xml:space="preserve">  </w:t>
      </w:r>
      <w:r>
        <w:rPr>
          <w:rFonts w:hint="default" w:ascii="宋体" w:hAnsi="宋体" w:eastAsia="宋体" w:cs="宋体"/>
          <w:kern w:val="0"/>
          <w:sz w:val="24"/>
          <w:lang w:val="en-US" w:eastAsia="zh-CN"/>
        </w:rPr>
        <w:t>要求及使用指南</w:t>
      </w:r>
    </w:p>
    <w:p w14:paraId="5B59343C">
      <w:pPr>
        <w:numPr>
          <w:ilvl w:val="0"/>
          <w:numId w:val="3"/>
        </w:numPr>
        <w:spacing w:line="440" w:lineRule="exact"/>
        <w:ind w:left="425" w:leftChars="0" w:hanging="425" w:firstLineChars="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 xml:space="preserve">GB/T 23544 </w:t>
      </w:r>
      <w:r>
        <w:rPr>
          <w:rFonts w:hint="eastAsia" w:ascii="宋体" w:hAnsi="宋体" w:eastAsia="宋体" w:cs="宋体"/>
          <w:kern w:val="0"/>
          <w:sz w:val="24"/>
          <w:lang w:val="en-US" w:eastAsia="zh-CN"/>
        </w:rPr>
        <w:t xml:space="preserve"> </w:t>
      </w:r>
      <w:r>
        <w:rPr>
          <w:rFonts w:hint="default" w:ascii="宋体" w:hAnsi="宋体" w:eastAsia="宋体" w:cs="宋体"/>
          <w:kern w:val="0"/>
          <w:sz w:val="24"/>
          <w:lang w:val="en-US" w:eastAsia="zh-CN"/>
        </w:rPr>
        <w:t>白酒企业良好生产规范</w:t>
      </w:r>
    </w:p>
    <w:p w14:paraId="5F4B3D41">
      <w:pPr>
        <w:numPr>
          <w:ilvl w:val="0"/>
          <w:numId w:val="3"/>
        </w:numPr>
        <w:spacing w:line="440" w:lineRule="exact"/>
        <w:ind w:left="425" w:leftChars="0" w:hanging="425" w:firstLineChars="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GB/T 24001</w:t>
      </w:r>
      <w:r>
        <w:rPr>
          <w:rFonts w:hint="eastAsia" w:ascii="宋体" w:hAnsi="宋体" w:eastAsia="宋体" w:cs="宋体"/>
          <w:kern w:val="0"/>
          <w:sz w:val="24"/>
          <w:lang w:val="en-US" w:eastAsia="zh-CN"/>
        </w:rPr>
        <w:t xml:space="preserve">  </w:t>
      </w:r>
      <w:r>
        <w:rPr>
          <w:rFonts w:hint="default" w:ascii="宋体" w:hAnsi="宋体" w:eastAsia="宋体" w:cs="宋体"/>
          <w:kern w:val="0"/>
          <w:sz w:val="24"/>
          <w:lang w:val="en-US" w:eastAsia="zh-CN"/>
        </w:rPr>
        <w:t>环境管理体系</w:t>
      </w:r>
      <w:r>
        <w:rPr>
          <w:rFonts w:hint="eastAsia" w:ascii="宋体" w:hAnsi="宋体" w:eastAsia="宋体" w:cs="宋体"/>
          <w:kern w:val="0"/>
          <w:sz w:val="24"/>
          <w:lang w:val="en-US" w:eastAsia="zh-CN"/>
        </w:rPr>
        <w:t xml:space="preserve">  </w:t>
      </w:r>
      <w:r>
        <w:rPr>
          <w:rFonts w:hint="default" w:ascii="宋体" w:hAnsi="宋体" w:eastAsia="宋体" w:cs="宋体"/>
          <w:kern w:val="0"/>
          <w:sz w:val="24"/>
          <w:lang w:val="en-US" w:eastAsia="zh-CN"/>
        </w:rPr>
        <w:t>要求及使用指南</w:t>
      </w:r>
    </w:p>
    <w:p w14:paraId="1FD733C6">
      <w:pPr>
        <w:numPr>
          <w:ilvl w:val="0"/>
          <w:numId w:val="3"/>
        </w:numPr>
        <w:spacing w:line="440" w:lineRule="exact"/>
        <w:ind w:left="425" w:leftChars="0" w:hanging="425" w:firstLineChars="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GB/T</w:t>
      </w:r>
      <w:r>
        <w:rPr>
          <w:rFonts w:hint="eastAsia" w:ascii="宋体" w:hAnsi="宋体" w:eastAsia="宋体" w:cs="宋体"/>
          <w:kern w:val="0"/>
          <w:sz w:val="24"/>
          <w:lang w:val="en-US" w:eastAsia="zh-CN"/>
        </w:rPr>
        <w:t xml:space="preserve"> </w:t>
      </w:r>
      <w:r>
        <w:rPr>
          <w:rFonts w:hint="default" w:ascii="宋体" w:hAnsi="宋体" w:eastAsia="宋体" w:cs="宋体"/>
          <w:kern w:val="0"/>
          <w:sz w:val="24"/>
          <w:lang w:val="en-US" w:eastAsia="zh-CN"/>
        </w:rPr>
        <w:t>33000</w:t>
      </w:r>
      <w:r>
        <w:rPr>
          <w:rFonts w:hint="eastAsia" w:ascii="宋体" w:hAnsi="宋体" w:eastAsia="宋体" w:cs="宋体"/>
          <w:kern w:val="0"/>
          <w:sz w:val="24"/>
          <w:lang w:val="en-US" w:eastAsia="zh-CN"/>
        </w:rPr>
        <w:t xml:space="preserve">  </w:t>
      </w:r>
      <w:r>
        <w:rPr>
          <w:rFonts w:hint="default" w:ascii="宋体" w:hAnsi="宋体" w:eastAsia="宋体" w:cs="宋体"/>
          <w:kern w:val="0"/>
          <w:sz w:val="24"/>
          <w:lang w:val="en-US" w:eastAsia="zh-CN"/>
        </w:rPr>
        <w:t>企业安全生产标准化基本规范</w:t>
      </w:r>
    </w:p>
    <w:p w14:paraId="557AEEB0">
      <w:pPr>
        <w:numPr>
          <w:ilvl w:val="0"/>
          <w:numId w:val="3"/>
        </w:numPr>
        <w:spacing w:line="440" w:lineRule="exact"/>
        <w:ind w:left="425" w:leftChars="0" w:hanging="425" w:firstLineChars="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GB/T 45001</w:t>
      </w:r>
      <w:r>
        <w:rPr>
          <w:rFonts w:hint="eastAsia" w:ascii="宋体" w:hAnsi="宋体" w:eastAsia="宋体" w:cs="宋体"/>
          <w:kern w:val="0"/>
          <w:sz w:val="24"/>
          <w:lang w:val="en-US" w:eastAsia="zh-CN"/>
        </w:rPr>
        <w:t xml:space="preserve">  </w:t>
      </w:r>
      <w:r>
        <w:rPr>
          <w:rFonts w:hint="default" w:ascii="宋体" w:hAnsi="宋体" w:eastAsia="宋体" w:cs="宋体"/>
          <w:kern w:val="0"/>
          <w:sz w:val="24"/>
          <w:lang w:val="en-US" w:eastAsia="zh-CN"/>
        </w:rPr>
        <w:t>职业健康安全管理体系</w:t>
      </w:r>
      <w:r>
        <w:rPr>
          <w:rFonts w:hint="eastAsia" w:ascii="宋体" w:hAnsi="宋体" w:eastAsia="宋体" w:cs="宋体"/>
          <w:kern w:val="0"/>
          <w:sz w:val="24"/>
          <w:lang w:val="en-US" w:eastAsia="zh-CN"/>
        </w:rPr>
        <w:t xml:space="preserve">  </w:t>
      </w:r>
      <w:r>
        <w:rPr>
          <w:rFonts w:hint="default" w:ascii="宋体" w:hAnsi="宋体" w:eastAsia="宋体" w:cs="宋体"/>
          <w:kern w:val="0"/>
          <w:sz w:val="24"/>
          <w:lang w:val="en-US" w:eastAsia="zh-CN"/>
        </w:rPr>
        <w:t>要求及使用指南</w:t>
      </w:r>
    </w:p>
    <w:p w14:paraId="33282A3E">
      <w:pPr>
        <w:numPr>
          <w:ilvl w:val="0"/>
          <w:numId w:val="3"/>
        </w:numPr>
        <w:spacing w:line="440" w:lineRule="exact"/>
        <w:ind w:left="425" w:leftChars="0" w:hanging="425" w:firstLineChars="0"/>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QB/T 4259</w:t>
      </w:r>
      <w:r>
        <w:rPr>
          <w:rFonts w:hint="eastAsia" w:ascii="宋体" w:hAnsi="宋体" w:eastAsia="宋体" w:cs="宋体"/>
          <w:kern w:val="0"/>
          <w:sz w:val="24"/>
          <w:lang w:val="en-US" w:eastAsia="zh-CN"/>
        </w:rPr>
        <w:t xml:space="preserve">  </w:t>
      </w:r>
      <w:r>
        <w:rPr>
          <w:rFonts w:hint="default" w:ascii="宋体" w:hAnsi="宋体" w:eastAsia="宋体" w:cs="宋体"/>
          <w:kern w:val="0"/>
          <w:sz w:val="24"/>
          <w:lang w:val="en-US" w:eastAsia="zh-CN"/>
        </w:rPr>
        <w:t>浓香大曲</w:t>
      </w:r>
    </w:p>
    <w:p w14:paraId="72594164">
      <w:pPr>
        <w:spacing w:line="44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起草过程及文本中参考了如下文件（6个）：</w:t>
      </w:r>
    </w:p>
    <w:p w14:paraId="20818947">
      <w:pPr>
        <w:numPr>
          <w:ilvl w:val="0"/>
          <w:numId w:val="4"/>
        </w:numPr>
        <w:spacing w:line="440" w:lineRule="exact"/>
        <w:ind w:left="425" w:leftChars="0" w:hanging="425" w:firstLineChars="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GB/T 18916.15-2024 工业用水定额 第15部分：白酒</w:t>
      </w:r>
    </w:p>
    <w:p w14:paraId="319063E4">
      <w:pPr>
        <w:numPr>
          <w:ilvl w:val="0"/>
          <w:numId w:val="4"/>
        </w:numPr>
        <w:spacing w:line="440" w:lineRule="exact"/>
        <w:ind w:left="425" w:leftChars="0" w:hanging="425" w:firstLineChars="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GB/T 22211-2008地理标志产品 五粮液酒</w:t>
      </w:r>
    </w:p>
    <w:p w14:paraId="64BABD68">
      <w:pPr>
        <w:numPr>
          <w:ilvl w:val="0"/>
          <w:numId w:val="4"/>
        </w:numPr>
        <w:spacing w:line="440" w:lineRule="exact"/>
        <w:ind w:left="425" w:leftChars="0" w:hanging="425" w:firstLineChars="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HJ/T 402</w:t>
      </w:r>
      <w:r>
        <w:rPr>
          <w:rFonts w:hint="eastAsia" w:ascii="宋体" w:hAnsi="宋体" w:eastAsia="宋体" w:cs="宋体"/>
          <w:kern w:val="0"/>
          <w:sz w:val="24"/>
          <w:lang w:val="en-US" w:eastAsia="zh-CN"/>
        </w:rPr>
        <w:t>－</w:t>
      </w:r>
      <w:r>
        <w:rPr>
          <w:rFonts w:hint="default" w:ascii="宋体" w:hAnsi="宋体" w:eastAsia="宋体" w:cs="宋体"/>
          <w:kern w:val="0"/>
          <w:sz w:val="24"/>
          <w:lang w:val="en-US" w:eastAsia="zh-CN"/>
        </w:rPr>
        <w:t>2007</w:t>
      </w:r>
      <w:r>
        <w:rPr>
          <w:rFonts w:hint="eastAsia" w:ascii="宋体" w:hAnsi="宋体" w:eastAsia="宋体" w:cs="宋体"/>
          <w:kern w:val="0"/>
          <w:sz w:val="24"/>
          <w:lang w:val="en-US" w:eastAsia="zh-CN"/>
        </w:rPr>
        <w:t xml:space="preserve">  </w:t>
      </w:r>
      <w:r>
        <w:rPr>
          <w:rFonts w:hint="default" w:ascii="宋体" w:hAnsi="宋体" w:eastAsia="宋体" w:cs="宋体"/>
          <w:kern w:val="0"/>
          <w:sz w:val="24"/>
          <w:lang w:val="en-US" w:eastAsia="zh-CN"/>
        </w:rPr>
        <w:t>清洁生产标准 </w:t>
      </w:r>
      <w:r>
        <w:rPr>
          <w:rFonts w:hint="eastAsia" w:ascii="宋体" w:hAnsi="宋体" w:eastAsia="宋体" w:cs="宋体"/>
          <w:kern w:val="0"/>
          <w:sz w:val="24"/>
          <w:lang w:val="en-US" w:eastAsia="zh-CN"/>
        </w:rPr>
        <w:t xml:space="preserve">  </w:t>
      </w:r>
      <w:r>
        <w:rPr>
          <w:rFonts w:hint="default" w:ascii="宋体" w:hAnsi="宋体" w:eastAsia="宋体" w:cs="宋体"/>
          <w:kern w:val="0"/>
          <w:sz w:val="24"/>
          <w:lang w:val="en-US" w:eastAsia="zh-CN"/>
        </w:rPr>
        <w:t>白酒制造业</w:t>
      </w:r>
    </w:p>
    <w:p w14:paraId="30BBA90C">
      <w:pPr>
        <w:numPr>
          <w:ilvl w:val="0"/>
          <w:numId w:val="4"/>
        </w:numPr>
        <w:spacing w:line="440" w:lineRule="exact"/>
        <w:ind w:left="425" w:leftChars="0" w:hanging="425" w:firstLineChars="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T/5115YBAPS 026</w:t>
      </w:r>
      <w:r>
        <w:rPr>
          <w:rFonts w:hint="eastAsia" w:ascii="宋体" w:hAnsi="宋体" w:eastAsia="宋体" w:cs="宋体"/>
          <w:kern w:val="0"/>
          <w:sz w:val="24"/>
          <w:lang w:val="en-US" w:eastAsia="zh-CN"/>
        </w:rPr>
        <w:t>－</w:t>
      </w:r>
      <w:r>
        <w:rPr>
          <w:rFonts w:hint="default" w:ascii="宋体" w:hAnsi="宋体" w:eastAsia="宋体" w:cs="宋体"/>
          <w:kern w:val="0"/>
          <w:sz w:val="24"/>
          <w:lang w:val="en-US" w:eastAsia="zh-CN"/>
        </w:rPr>
        <w:t>2021</w:t>
      </w:r>
      <w:r>
        <w:rPr>
          <w:rFonts w:hint="eastAsia" w:ascii="宋体" w:hAnsi="宋体" w:eastAsia="宋体" w:cs="宋体"/>
          <w:kern w:val="0"/>
          <w:sz w:val="24"/>
          <w:lang w:val="en-US" w:eastAsia="zh-CN"/>
        </w:rPr>
        <w:t xml:space="preserve">  </w:t>
      </w:r>
      <w:r>
        <w:rPr>
          <w:rFonts w:hint="default" w:ascii="宋体" w:hAnsi="宋体" w:eastAsia="宋体" w:cs="宋体"/>
          <w:kern w:val="0"/>
          <w:sz w:val="24"/>
          <w:lang w:val="en-US" w:eastAsia="zh-CN"/>
        </w:rPr>
        <w:t>宜宾浓香型白酒  原酒</w:t>
      </w:r>
    </w:p>
    <w:p w14:paraId="6FACA9F6">
      <w:pPr>
        <w:numPr>
          <w:ilvl w:val="0"/>
          <w:numId w:val="4"/>
        </w:numPr>
        <w:spacing w:line="440" w:lineRule="exact"/>
        <w:ind w:left="425" w:leftChars="0" w:hanging="425" w:firstLineChars="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《危险化学品安全管理条例》</w:t>
      </w:r>
      <w:r>
        <w:rPr>
          <w:rFonts w:hint="eastAsia" w:ascii="宋体" w:hAnsi="宋体" w:eastAsia="宋体" w:cs="宋体"/>
          <w:kern w:val="0"/>
          <w:sz w:val="24"/>
          <w:lang w:val="en-US" w:eastAsia="zh-CN"/>
        </w:rPr>
        <w:t>（国务院）</w:t>
      </w:r>
    </w:p>
    <w:p w14:paraId="72B68292">
      <w:pPr>
        <w:numPr>
          <w:ilvl w:val="0"/>
          <w:numId w:val="4"/>
        </w:numPr>
        <w:spacing w:line="440" w:lineRule="exact"/>
        <w:ind w:left="425" w:leftChars="0" w:hanging="425" w:firstLineChars="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《企业环境信息依法披露管理办法》</w:t>
      </w:r>
      <w:r>
        <w:rPr>
          <w:rFonts w:hint="eastAsia" w:ascii="宋体" w:hAnsi="宋体" w:eastAsia="宋体" w:cs="宋体"/>
          <w:kern w:val="0"/>
          <w:sz w:val="24"/>
          <w:lang w:val="en-US" w:eastAsia="zh-CN"/>
        </w:rPr>
        <w:t>（</w:t>
      </w:r>
      <w:r>
        <w:rPr>
          <w:rFonts w:hint="default" w:ascii="宋体" w:hAnsi="宋体" w:eastAsia="宋体" w:cs="宋体"/>
          <w:kern w:val="0"/>
          <w:sz w:val="24"/>
          <w:lang w:val="en-US" w:eastAsia="zh-CN"/>
        </w:rPr>
        <w:t>生态环境部</w:t>
      </w:r>
      <w:r>
        <w:rPr>
          <w:rFonts w:hint="eastAsia" w:ascii="宋体" w:hAnsi="宋体" w:eastAsia="宋体" w:cs="宋体"/>
          <w:kern w:val="0"/>
          <w:sz w:val="24"/>
          <w:lang w:val="en-US" w:eastAsia="zh-CN"/>
        </w:rPr>
        <w:t>）</w:t>
      </w:r>
    </w:p>
    <w:p w14:paraId="11ED4587">
      <w:pPr>
        <w:numPr>
          <w:numId w:val="0"/>
        </w:numPr>
        <w:spacing w:line="440" w:lineRule="exact"/>
        <w:ind w:leftChars="0"/>
        <w:rPr>
          <w:rFonts w:hint="eastAsia" w:ascii="宋体" w:hAnsi="宋体" w:eastAsia="宋体" w:cs="宋体"/>
          <w:kern w:val="0"/>
          <w:sz w:val="24"/>
          <w:lang w:val="en-US" w:eastAsia="zh-CN"/>
        </w:rPr>
      </w:pPr>
    </w:p>
    <w:p w14:paraId="17802634">
      <w:pPr>
        <w:numPr>
          <w:numId w:val="0"/>
        </w:numPr>
        <w:spacing w:line="440" w:lineRule="exact"/>
        <w:ind w:leftChars="0"/>
        <w:rPr>
          <w:rFonts w:hint="eastAsia" w:ascii="宋体" w:hAnsi="宋体" w:eastAsia="宋体" w:cs="宋体"/>
          <w:kern w:val="0"/>
          <w:sz w:val="24"/>
          <w:lang w:val="en-US" w:eastAsia="zh-CN"/>
        </w:rPr>
      </w:pPr>
    </w:p>
    <w:p w14:paraId="223A3EEC">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textAlignment w:val="auto"/>
        <w:outlineLvl w:val="0"/>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lang w:val="en-US" w:eastAsia="zh-CN"/>
        </w:rPr>
        <w:t>3.主要内容的说明</w:t>
      </w:r>
    </w:p>
    <w:p w14:paraId="4E02712B">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textAlignment w:val="auto"/>
        <w:outlineLvl w:val="0"/>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lang w:val="en-US" w:eastAsia="zh-CN"/>
        </w:rPr>
        <w:t>3.1  术语和定义</w:t>
      </w:r>
    </w:p>
    <w:p w14:paraId="16B4BF67">
      <w:pPr>
        <w:keepNext w:val="0"/>
        <w:keepLines w:val="0"/>
        <w:pageBreakBefore w:val="0"/>
        <w:widowControl/>
        <w:numPr>
          <w:ilvl w:val="0"/>
          <w:numId w:val="5"/>
        </w:numPr>
        <w:tabs>
          <w:tab w:val="center" w:pos="420"/>
          <w:tab w:val="right" w:leader="dot" w:pos="9298"/>
        </w:tabs>
        <w:kinsoku/>
        <w:wordWrap/>
        <w:overflowPunct/>
        <w:topLinePunct w:val="0"/>
        <w:autoSpaceDE w:val="0"/>
        <w:autoSpaceDN w:val="0"/>
        <w:bidi w:val="0"/>
        <w:adjustRightInd/>
        <w:snapToGrid/>
        <w:spacing w:line="420" w:lineRule="exact"/>
        <w:ind w:left="425" w:leftChars="0" w:hanging="425" w:firstLineChars="0"/>
        <w:textAlignment w:val="auto"/>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GB/T 15109</w:t>
      </w:r>
      <w:r>
        <w:rPr>
          <w:rFonts w:hint="eastAsia" w:ascii="宋体" w:hAnsi="宋体" w:eastAsia="宋体" w:cs="宋体"/>
          <w:kern w:val="0"/>
          <w:sz w:val="24"/>
          <w:szCs w:val="24"/>
          <w:lang w:val="en-US" w:eastAsia="zh-CN"/>
        </w:rPr>
        <w:t>《白酒工业术语》是白酒工业的基础标准，适用于本标准。</w:t>
      </w:r>
    </w:p>
    <w:p w14:paraId="371E7CA5">
      <w:pPr>
        <w:keepNext w:val="0"/>
        <w:keepLines w:val="0"/>
        <w:pageBreakBefore w:val="0"/>
        <w:widowControl/>
        <w:numPr>
          <w:ilvl w:val="0"/>
          <w:numId w:val="5"/>
        </w:numPr>
        <w:tabs>
          <w:tab w:val="center" w:pos="420"/>
          <w:tab w:val="right" w:leader="dot" w:pos="9298"/>
        </w:tabs>
        <w:kinsoku/>
        <w:wordWrap/>
        <w:overflowPunct/>
        <w:topLinePunct w:val="0"/>
        <w:autoSpaceDE w:val="0"/>
        <w:autoSpaceDN w:val="0"/>
        <w:bidi w:val="0"/>
        <w:adjustRightInd/>
        <w:snapToGrid/>
        <w:spacing w:line="420" w:lineRule="exact"/>
        <w:ind w:left="425" w:leftChars="0" w:hanging="425"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“五粮浓香型白酒核心产区”定义，根据“关于授予四川省宜宾市‘中国（宜宾）白酒之都’暨‘中国五粮浓香白酒核心产区·宜宾’”称号的通知（中轻联综合〔2023〕311号）”界定。</w:t>
      </w:r>
    </w:p>
    <w:p w14:paraId="01581972">
      <w:pPr>
        <w:keepNext w:val="0"/>
        <w:keepLines w:val="0"/>
        <w:pageBreakBefore w:val="0"/>
        <w:widowControl/>
        <w:numPr>
          <w:ilvl w:val="0"/>
          <w:numId w:val="5"/>
        </w:numPr>
        <w:tabs>
          <w:tab w:val="center" w:pos="420"/>
          <w:tab w:val="right" w:leader="dot" w:pos="9298"/>
        </w:tabs>
        <w:kinsoku/>
        <w:wordWrap/>
        <w:overflowPunct/>
        <w:topLinePunct w:val="0"/>
        <w:autoSpaceDE w:val="0"/>
        <w:autoSpaceDN w:val="0"/>
        <w:bidi w:val="0"/>
        <w:adjustRightInd/>
        <w:snapToGrid/>
        <w:spacing w:line="420" w:lineRule="exact"/>
        <w:ind w:left="425" w:leftChars="0" w:hanging="425"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附录A给出的五粮浓香型白酒核心产区（四川省宜宾市行政区域）地域范围，参考了宜宾市自然资源和规划局官网公开文件——宜宾市行政区划图（审图号：川S（2021）12001号）。</w:t>
      </w:r>
      <w:bookmarkStart w:id="2" w:name="_Toc102024238"/>
      <w:bookmarkEnd w:id="2"/>
      <w:bookmarkStart w:id="3" w:name="_Toc54403347"/>
      <w:bookmarkStart w:id="4" w:name="_Toc102024239"/>
      <w:bookmarkStart w:id="5" w:name="_Toc53493853"/>
      <w:bookmarkStart w:id="6" w:name="_Toc54178674"/>
      <w:bookmarkStart w:id="7" w:name="_Toc53644702"/>
      <w:bookmarkStart w:id="8" w:name="_Toc53972042"/>
      <w:bookmarkStart w:id="9" w:name="_Toc53644535"/>
      <w:bookmarkStart w:id="10" w:name="_Toc457840708"/>
      <w:bookmarkStart w:id="11" w:name="_Toc54424276"/>
    </w:p>
    <w:bookmarkEnd w:id="3"/>
    <w:bookmarkEnd w:id="4"/>
    <w:bookmarkEnd w:id="5"/>
    <w:bookmarkEnd w:id="6"/>
    <w:bookmarkEnd w:id="7"/>
    <w:bookmarkEnd w:id="8"/>
    <w:bookmarkEnd w:id="9"/>
    <w:bookmarkEnd w:id="10"/>
    <w:bookmarkEnd w:id="11"/>
    <w:p w14:paraId="6046D570">
      <w:pPr>
        <w:keepNext w:val="0"/>
        <w:keepLines w:val="0"/>
        <w:pageBreakBefore w:val="0"/>
        <w:widowControl/>
        <w:numPr>
          <w:ilvl w:val="0"/>
          <w:numId w:val="5"/>
        </w:numPr>
        <w:tabs>
          <w:tab w:val="center" w:pos="420"/>
          <w:tab w:val="right" w:leader="dot" w:pos="9298"/>
        </w:tabs>
        <w:kinsoku/>
        <w:wordWrap/>
        <w:overflowPunct/>
        <w:topLinePunct w:val="0"/>
        <w:autoSpaceDE w:val="0"/>
        <w:autoSpaceDN w:val="0"/>
        <w:bidi w:val="0"/>
        <w:adjustRightInd/>
        <w:snapToGrid/>
        <w:spacing w:line="420" w:lineRule="exact"/>
        <w:ind w:left="425" w:leftChars="0" w:hanging="425"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“五粮浓香型白酒”的定义，结合</w:t>
      </w:r>
      <w:r>
        <w:rPr>
          <w:rFonts w:hint="default" w:ascii="宋体" w:hAnsi="宋体" w:eastAsia="宋体" w:cs="宋体"/>
          <w:kern w:val="0"/>
          <w:sz w:val="24"/>
          <w:szCs w:val="24"/>
          <w:lang w:val="en-US" w:eastAsia="zh-CN"/>
        </w:rPr>
        <w:t>GB/T 22211-2008</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地理标志产品 五粮液酒</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五粮液酒</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T/5115YBAPS 026</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2021</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宜宾浓香型白酒  原酒</w:t>
      </w:r>
      <w:r>
        <w:rPr>
          <w:rFonts w:hint="eastAsia" w:ascii="宋体" w:hAnsi="宋体" w:eastAsia="宋体" w:cs="宋体"/>
          <w:kern w:val="0"/>
          <w:sz w:val="24"/>
          <w:szCs w:val="24"/>
          <w:lang w:val="en-US" w:eastAsia="zh-CN"/>
        </w:rPr>
        <w:t>》“宜宾浓香型白酒原酒”的定义，即：在核心产区内，以高粱、大米、糯米、小麦、玉米五种粮食和水为原料，稻壳为辅料，按照浓香型白酒传统固态发酵法酿造工艺生产、运用组合筛选而成的具有本品独有风格特征的浓香型白酒。</w:t>
      </w:r>
    </w:p>
    <w:p w14:paraId="6728E16D">
      <w:pPr>
        <w:keepNext w:val="0"/>
        <w:keepLines w:val="0"/>
        <w:pageBreakBefore w:val="0"/>
        <w:widowControl/>
        <w:numPr>
          <w:ilvl w:val="0"/>
          <w:numId w:val="5"/>
        </w:numPr>
        <w:tabs>
          <w:tab w:val="center" w:pos="420"/>
          <w:tab w:val="right" w:leader="dot" w:pos="9298"/>
        </w:tabs>
        <w:kinsoku/>
        <w:wordWrap/>
        <w:overflowPunct/>
        <w:topLinePunct w:val="0"/>
        <w:autoSpaceDE w:val="0"/>
        <w:autoSpaceDN w:val="0"/>
        <w:bidi w:val="0"/>
        <w:adjustRightInd/>
        <w:snapToGrid/>
        <w:spacing w:line="420" w:lineRule="exact"/>
        <w:ind w:left="425" w:leftChars="0" w:hanging="425"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“原酒”定义来源</w:t>
      </w:r>
      <w:r>
        <w:rPr>
          <w:rFonts w:hint="default" w:ascii="宋体" w:hAnsi="宋体" w:eastAsia="宋体" w:cs="宋体"/>
          <w:kern w:val="0"/>
          <w:sz w:val="24"/>
          <w:szCs w:val="24"/>
          <w:lang w:val="en-US" w:eastAsia="zh-CN"/>
        </w:rPr>
        <w:t>GB/T 15109</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2021</w:t>
      </w:r>
      <w:r>
        <w:rPr>
          <w:rFonts w:hint="eastAsia" w:ascii="宋体" w:hAnsi="宋体" w:eastAsia="宋体" w:cs="宋体"/>
          <w:kern w:val="0"/>
          <w:sz w:val="24"/>
          <w:szCs w:val="24"/>
          <w:lang w:val="en-US" w:eastAsia="zh-CN"/>
        </w:rPr>
        <w:t>《白酒工业术语》“基酒”的定义，有修改，即：经发酵蒸馏而得到的未经勾调的五粮浓香型白酒。</w:t>
      </w:r>
    </w:p>
    <w:p w14:paraId="0B1D415F">
      <w:pPr>
        <w:keepNext w:val="0"/>
        <w:keepLines w:val="0"/>
        <w:pageBreakBefore w:val="0"/>
        <w:widowControl/>
        <w:numPr>
          <w:ilvl w:val="0"/>
          <w:numId w:val="5"/>
        </w:numPr>
        <w:tabs>
          <w:tab w:val="center" w:pos="420"/>
          <w:tab w:val="right" w:leader="dot" w:pos="9298"/>
        </w:tabs>
        <w:kinsoku/>
        <w:wordWrap/>
        <w:overflowPunct/>
        <w:topLinePunct w:val="0"/>
        <w:autoSpaceDE w:val="0"/>
        <w:autoSpaceDN w:val="0"/>
        <w:bidi w:val="0"/>
        <w:adjustRightInd/>
        <w:snapToGrid/>
        <w:spacing w:line="420" w:lineRule="exact"/>
        <w:ind w:left="425" w:leftChars="0" w:hanging="425" w:firstLineChars="0"/>
        <w:textAlignment w:val="auto"/>
        <w:rPr>
          <w:rFonts w:hint="eastAsia"/>
          <w:lang w:val="en-US" w:eastAsia="zh-CN"/>
        </w:rPr>
      </w:pPr>
      <w:r>
        <w:rPr>
          <w:rFonts w:hint="eastAsia" w:ascii="宋体" w:hAnsi="宋体" w:eastAsia="宋体" w:cs="宋体"/>
          <w:kern w:val="0"/>
          <w:sz w:val="24"/>
          <w:szCs w:val="24"/>
          <w:lang w:val="en-US" w:eastAsia="zh-CN"/>
        </w:rPr>
        <w:t>“原酒真实性”来源</w:t>
      </w:r>
      <w:r>
        <w:rPr>
          <w:rFonts w:hint="default" w:ascii="宋体" w:hAnsi="宋体" w:eastAsia="宋体" w:cs="宋体"/>
          <w:kern w:val="0"/>
          <w:sz w:val="24"/>
          <w:szCs w:val="24"/>
          <w:lang w:val="en-US" w:eastAsia="zh-CN"/>
        </w:rPr>
        <w:t>T/5115YBAPS 026</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2021</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宜宾浓香型白酒  原酒</w:t>
      </w:r>
      <w:r>
        <w:rPr>
          <w:rFonts w:hint="eastAsia" w:ascii="宋体" w:hAnsi="宋体" w:eastAsia="宋体" w:cs="宋体"/>
          <w:kern w:val="0"/>
          <w:sz w:val="24"/>
          <w:szCs w:val="24"/>
          <w:lang w:val="en-US" w:eastAsia="zh-CN"/>
        </w:rPr>
        <w:t>》“原酒真实性”的定义，即：原酒符合所声称的工艺和要求。</w:t>
      </w:r>
    </w:p>
    <w:p w14:paraId="5E00170F">
      <w:pPr>
        <w:pStyle w:val="3"/>
        <w:spacing w:before="120" w:after="0" w:line="360" w:lineRule="auto"/>
        <w:rPr>
          <w:rFonts w:hint="eastAsia" w:ascii="宋体" w:hAnsi="宋体" w:eastAsia="宋体" w:cs="宋体"/>
          <w:kern w:val="0"/>
          <w:sz w:val="24"/>
          <w:lang w:val="en-US" w:eastAsia="zh-CN"/>
        </w:rPr>
      </w:pPr>
      <w:r>
        <w:rPr>
          <w:rFonts w:hint="eastAsia" w:ascii="宋体" w:hAnsi="宋体" w:cs="宋体"/>
          <w:kern w:val="0"/>
          <w:sz w:val="24"/>
          <w:lang w:val="en-US" w:eastAsia="zh-CN"/>
        </w:rPr>
        <w:t>3</w:t>
      </w:r>
      <w:r>
        <w:rPr>
          <w:rFonts w:hint="eastAsia" w:ascii="宋体" w:hAnsi="宋体" w:eastAsia="宋体" w:cs="宋体"/>
          <w:kern w:val="0"/>
          <w:sz w:val="24"/>
          <w:lang w:val="en-US" w:eastAsia="zh-CN"/>
        </w:rPr>
        <w:t>.2  评价要求</w:t>
      </w:r>
    </w:p>
    <w:p w14:paraId="073DABFD">
      <w:pPr>
        <w:pStyle w:val="56"/>
        <w:widowControl w:val="0"/>
        <w:spacing w:before="156" w:beforeLines="50" w:after="156" w:afterLines="50"/>
        <w:ind w:left="0" w:leftChars="0" w:firstLine="0" w:firstLineChars="0"/>
        <w:outlineLvl w:val="2"/>
        <w:rPr>
          <w:rFonts w:hint="eastAsia" w:ascii="宋体" w:hAnsi="宋体" w:eastAsia="宋体" w:cs="宋体"/>
          <w:b/>
          <w:bCs/>
          <w:kern w:val="0"/>
          <w:sz w:val="24"/>
          <w:szCs w:val="32"/>
          <w:lang w:val="en-US" w:eastAsia="zh-CN" w:bidi="ar-SA"/>
        </w:rPr>
      </w:pPr>
      <w:bookmarkStart w:id="12" w:name="_Toc53493882"/>
      <w:r>
        <w:rPr>
          <w:rFonts w:hint="eastAsia" w:ascii="宋体" w:hAnsi="宋体" w:eastAsia="宋体" w:cs="宋体"/>
          <w:b/>
          <w:bCs/>
          <w:kern w:val="0"/>
          <w:sz w:val="24"/>
          <w:szCs w:val="32"/>
          <w:lang w:val="en-US" w:eastAsia="zh-CN" w:bidi="ar-SA"/>
        </w:rPr>
        <w:t>3.2.1  生产企业要求</w:t>
      </w:r>
    </w:p>
    <w:p w14:paraId="4BF8D23A">
      <w:pPr>
        <w:keepNext w:val="0"/>
        <w:keepLines w:val="0"/>
        <w:pageBreakBefore w:val="0"/>
        <w:widowControl/>
        <w:numPr>
          <w:ilvl w:val="0"/>
          <w:numId w:val="6"/>
        </w:numPr>
        <w:tabs>
          <w:tab w:val="center" w:pos="420"/>
          <w:tab w:val="right" w:leader="dot" w:pos="9298"/>
        </w:tabs>
        <w:kinsoku/>
        <w:wordWrap/>
        <w:overflowPunct/>
        <w:topLinePunct w:val="0"/>
        <w:autoSpaceDE w:val="0"/>
        <w:autoSpaceDN w:val="0"/>
        <w:bidi w:val="0"/>
        <w:adjustRightInd/>
        <w:snapToGrid/>
        <w:spacing w:line="420" w:lineRule="exact"/>
        <w:ind w:left="425" w:leftChars="0" w:hanging="425" w:firstLineChars="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基本条件参考中国轻工业联合会团体标准T/CNLIC 0149－</w:t>
      </w:r>
      <w:r>
        <w:rPr>
          <w:rFonts w:hint="default" w:ascii="宋体" w:hAnsi="宋体" w:eastAsia="宋体" w:cs="宋体"/>
          <w:kern w:val="0"/>
          <w:sz w:val="24"/>
          <w:szCs w:val="24"/>
          <w:lang w:val="en-US" w:eastAsia="zh-CN"/>
        </w:rPr>
        <w:t>20</w:t>
      </w:r>
      <w:r>
        <w:rPr>
          <w:rFonts w:hint="eastAsia" w:ascii="宋体" w:hAnsi="宋体" w:eastAsia="宋体" w:cs="宋体"/>
          <w:kern w:val="0"/>
          <w:sz w:val="24"/>
          <w:szCs w:val="24"/>
          <w:lang w:val="en-US" w:eastAsia="zh-CN"/>
        </w:rPr>
        <w:t>24《生态酿酒评价规范  白酒企业》4.1基本条件，即：</w:t>
      </w:r>
    </w:p>
    <w:tbl>
      <w:tblPr>
        <w:tblStyle w:val="30"/>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3"/>
      </w:tblGrid>
      <w:tr w14:paraId="783F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3" w:type="dxa"/>
          </w:tcPr>
          <w:p w14:paraId="668EC38D">
            <w:pPr>
              <w:keepNext w:val="0"/>
              <w:keepLines w:val="0"/>
              <w:pageBreakBefore w:val="0"/>
              <w:widowControl/>
              <w:numPr>
                <w:numId w:val="0"/>
              </w:numPr>
              <w:tabs>
                <w:tab w:val="left" w:pos="360"/>
                <w:tab w:val="center" w:pos="4201"/>
                <w:tab w:val="right" w:leader="dot" w:pos="9298"/>
              </w:tabs>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生产</w:t>
            </w:r>
            <w:r>
              <w:rPr>
                <w:rFonts w:hint="default" w:ascii="宋体" w:hAnsi="宋体" w:eastAsia="宋体" w:cs="宋体"/>
                <w:kern w:val="0"/>
                <w:sz w:val="24"/>
                <w:szCs w:val="24"/>
                <w:lang w:val="en-US" w:eastAsia="zh-CN"/>
              </w:rPr>
              <w:t>企业应建在水源充足，无危及生产安全卫生</w:t>
            </w:r>
            <w:r>
              <w:rPr>
                <w:rFonts w:hint="eastAsia" w:ascii="宋体" w:hAnsi="宋体" w:eastAsia="宋体" w:cs="宋体"/>
                <w:kern w:val="0"/>
                <w:sz w:val="24"/>
                <w:szCs w:val="24"/>
                <w:lang w:val="en-US" w:eastAsia="zh-CN"/>
              </w:rPr>
              <w:t>风险</w:t>
            </w:r>
            <w:r>
              <w:rPr>
                <w:rFonts w:hint="default" w:ascii="宋体" w:hAnsi="宋体" w:eastAsia="宋体" w:cs="宋体"/>
                <w:kern w:val="0"/>
                <w:sz w:val="24"/>
                <w:szCs w:val="24"/>
                <w:lang w:val="en-US" w:eastAsia="zh-CN"/>
              </w:rPr>
              <w:t xml:space="preserve">的地区，区域内应保持清洁、植被丰富，有利于酿酒微生物的生长和繁殖。    </w:t>
            </w:r>
          </w:p>
          <w:p w14:paraId="22E0E951">
            <w:pPr>
              <w:keepNext w:val="0"/>
              <w:keepLines w:val="0"/>
              <w:pageBreakBefore w:val="0"/>
              <w:widowControl/>
              <w:numPr>
                <w:numId w:val="0"/>
              </w:numPr>
              <w:tabs>
                <w:tab w:val="left" w:pos="360"/>
                <w:tab w:val="center" w:pos="4201"/>
                <w:tab w:val="right" w:leader="dot" w:pos="9298"/>
              </w:tabs>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生产</w:t>
            </w:r>
            <w:r>
              <w:rPr>
                <w:rFonts w:hint="default" w:ascii="宋体" w:hAnsi="宋体" w:eastAsia="宋体" w:cs="宋体"/>
                <w:kern w:val="0"/>
                <w:sz w:val="24"/>
                <w:szCs w:val="24"/>
                <w:lang w:val="en-US" w:eastAsia="zh-CN"/>
              </w:rPr>
              <w:t>企业</w:t>
            </w:r>
            <w:r>
              <w:rPr>
                <w:rFonts w:hint="eastAsia" w:ascii="宋体" w:hAnsi="宋体" w:eastAsia="宋体" w:cs="宋体"/>
                <w:kern w:val="0"/>
                <w:sz w:val="24"/>
                <w:szCs w:val="24"/>
                <w:lang w:val="en-US" w:eastAsia="zh-CN"/>
              </w:rPr>
              <w:t>应</w:t>
            </w:r>
            <w:r>
              <w:rPr>
                <w:rFonts w:hint="default" w:ascii="宋体" w:hAnsi="宋体" w:eastAsia="宋体" w:cs="宋体"/>
                <w:kern w:val="0"/>
                <w:sz w:val="24"/>
                <w:szCs w:val="24"/>
                <w:lang w:val="en-US" w:eastAsia="zh-CN"/>
              </w:rPr>
              <w:t>拥有</w:t>
            </w:r>
            <w:r>
              <w:rPr>
                <w:rFonts w:hint="eastAsia" w:ascii="宋体" w:hAnsi="宋体" w:eastAsia="宋体" w:cs="宋体"/>
                <w:kern w:val="0"/>
                <w:sz w:val="24"/>
                <w:szCs w:val="24"/>
                <w:lang w:val="en-US" w:eastAsia="zh-CN"/>
              </w:rPr>
              <w:t>浓香型白酒传统固态发酵法</w:t>
            </w:r>
            <w:r>
              <w:rPr>
                <w:rFonts w:hint="default" w:ascii="宋体" w:hAnsi="宋体" w:eastAsia="宋体" w:cs="宋体"/>
                <w:kern w:val="0"/>
                <w:sz w:val="24"/>
                <w:szCs w:val="24"/>
                <w:lang w:val="en-US" w:eastAsia="zh-CN"/>
              </w:rPr>
              <w:t>白酒生产全流程能力，应有制曲、酿造、蒸馏、陈酿、包装、贮存及废弃物处理/处置或规范暂储等完善的设备设施。</w:t>
            </w:r>
          </w:p>
          <w:p w14:paraId="2F133B87">
            <w:pPr>
              <w:keepNext w:val="0"/>
              <w:keepLines w:val="0"/>
              <w:pageBreakBefore w:val="0"/>
              <w:widowControl/>
              <w:numPr>
                <w:numId w:val="0"/>
              </w:numPr>
              <w:tabs>
                <w:tab w:val="left" w:pos="360"/>
                <w:tab w:val="center" w:pos="4201"/>
                <w:tab w:val="right" w:leader="dot" w:pos="9298"/>
              </w:tabs>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lang w:val="en-US" w:eastAsia="zh-CN"/>
              </w:rPr>
              <w:t>生产</w:t>
            </w:r>
            <w:r>
              <w:rPr>
                <w:rFonts w:hint="default" w:ascii="宋体" w:hAnsi="宋体" w:eastAsia="宋体" w:cs="宋体"/>
                <w:kern w:val="0"/>
                <w:sz w:val="24"/>
                <w:szCs w:val="24"/>
                <w:lang w:val="en-US" w:eastAsia="zh-CN"/>
              </w:rPr>
              <w:t>企业近三年未发生行政执法单位处罚的环境污染事件</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近三年无重大安全责任事故。</w:t>
            </w:r>
          </w:p>
        </w:tc>
      </w:tr>
    </w:tbl>
    <w:p w14:paraId="6DE1CEB8">
      <w:pPr>
        <w:keepNext w:val="0"/>
        <w:keepLines w:val="0"/>
        <w:pageBreakBefore w:val="0"/>
        <w:widowControl/>
        <w:numPr>
          <w:ilvl w:val="0"/>
          <w:numId w:val="6"/>
        </w:numPr>
        <w:tabs>
          <w:tab w:val="center" w:pos="420"/>
          <w:tab w:val="right" w:leader="dot" w:pos="9298"/>
        </w:tabs>
        <w:kinsoku/>
        <w:wordWrap/>
        <w:overflowPunct/>
        <w:topLinePunct w:val="0"/>
        <w:autoSpaceDE w:val="0"/>
        <w:autoSpaceDN w:val="0"/>
        <w:bidi w:val="0"/>
        <w:adjustRightInd/>
        <w:snapToGrid/>
        <w:spacing w:line="420" w:lineRule="exact"/>
        <w:ind w:left="425" w:leftChars="0" w:hanging="425" w:firstLineChars="0"/>
        <w:textAlignment w:val="auto"/>
        <w:rPr>
          <w:rFonts w:hint="default" w:ascii="宋体" w:hAnsi="宋体" w:eastAsia="宋体" w:cs="宋体"/>
          <w:kern w:val="0"/>
          <w:sz w:val="24"/>
          <w:szCs w:val="24"/>
          <w:lang w:val="en-US" w:eastAsia="zh-CN"/>
        </w:rPr>
      </w:pPr>
      <w:r>
        <w:rPr>
          <w:rFonts w:ascii="Times New Roman"/>
          <w:szCs w:val="21"/>
        </w:rPr>
        <w:t xml:space="preserve"> </w:t>
      </w:r>
      <w:r>
        <w:rPr>
          <w:rFonts w:hint="eastAsia" w:ascii="宋体" w:hAnsi="宋体" w:eastAsia="宋体" w:cs="宋体"/>
          <w:kern w:val="0"/>
          <w:sz w:val="24"/>
          <w:szCs w:val="24"/>
          <w:lang w:val="en-US" w:eastAsia="zh-CN"/>
        </w:rPr>
        <w:t>基本要求参考中国轻工业联合会团体标准T/CNLIC 0149－</w:t>
      </w:r>
      <w:r>
        <w:rPr>
          <w:rFonts w:hint="default" w:ascii="宋体" w:hAnsi="宋体" w:eastAsia="宋体" w:cs="宋体"/>
          <w:kern w:val="0"/>
          <w:sz w:val="24"/>
          <w:szCs w:val="24"/>
          <w:lang w:val="en-US" w:eastAsia="zh-CN"/>
        </w:rPr>
        <w:t>20</w:t>
      </w:r>
      <w:r>
        <w:rPr>
          <w:rFonts w:hint="eastAsia" w:ascii="宋体" w:hAnsi="宋体" w:eastAsia="宋体" w:cs="宋体"/>
          <w:kern w:val="0"/>
          <w:sz w:val="24"/>
          <w:szCs w:val="24"/>
          <w:lang w:val="en-US" w:eastAsia="zh-CN"/>
        </w:rPr>
        <w:t>24《生态酿酒评价规范  白酒企业》4.1基本要求的4.2.1，以及中国轻工业联合会团体标准“绿色设计产品评价技术规范”“基本要求”</w:t>
      </w:r>
      <w:r>
        <w:rPr>
          <w:rFonts w:hint="eastAsia" w:ascii="宋体" w:hAnsi="宋体" w:cs="宋体"/>
          <w:kern w:val="0"/>
          <w:sz w:val="24"/>
          <w:szCs w:val="24"/>
          <w:lang w:val="en-US" w:eastAsia="zh-CN"/>
        </w:rPr>
        <w:t>中</w:t>
      </w:r>
      <w:r>
        <w:rPr>
          <w:rFonts w:hint="eastAsia" w:ascii="宋体" w:hAnsi="宋体" w:eastAsia="宋体" w:cs="宋体"/>
          <w:kern w:val="0"/>
          <w:sz w:val="24"/>
          <w:szCs w:val="24"/>
          <w:lang w:val="en-US" w:eastAsia="zh-CN"/>
        </w:rPr>
        <w:t>的通用内容，即：</w:t>
      </w:r>
    </w:p>
    <w:tbl>
      <w:tblPr>
        <w:tblStyle w:val="30"/>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2"/>
      </w:tblGrid>
      <w:tr w14:paraId="4497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2" w:type="dxa"/>
          </w:tcPr>
          <w:p w14:paraId="2BE631E0">
            <w:pPr>
              <w:keepNext w:val="0"/>
              <w:keepLines w:val="0"/>
              <w:pageBreakBefore w:val="0"/>
              <w:widowControl/>
              <w:numPr>
                <w:numId w:val="0"/>
              </w:numPr>
              <w:tabs>
                <w:tab w:val="left" w:pos="360"/>
                <w:tab w:val="center" w:pos="4201"/>
                <w:tab w:val="right" w:leader="dot" w:pos="9298"/>
              </w:tabs>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生产</w:t>
            </w:r>
            <w:r>
              <w:rPr>
                <w:rFonts w:hint="default" w:ascii="宋体" w:hAnsi="宋体" w:eastAsia="宋体" w:cs="宋体"/>
                <w:kern w:val="0"/>
                <w:sz w:val="24"/>
                <w:szCs w:val="24"/>
                <w:lang w:val="en-US" w:eastAsia="zh-CN"/>
              </w:rPr>
              <w:t>企业生产条件应符合GB 14881、GB 8951要求，生产过程应符合GB/T 23544的要求。</w:t>
            </w:r>
          </w:p>
          <w:p w14:paraId="391D3AFF">
            <w:pPr>
              <w:keepNext w:val="0"/>
              <w:keepLines w:val="0"/>
              <w:pageBreakBefore w:val="0"/>
              <w:widowControl/>
              <w:numPr>
                <w:numId w:val="0"/>
              </w:numPr>
              <w:tabs>
                <w:tab w:val="left" w:pos="360"/>
                <w:tab w:val="center" w:pos="4201"/>
                <w:tab w:val="right" w:leader="dot" w:pos="9298"/>
              </w:tabs>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生产</w:t>
            </w:r>
            <w:r>
              <w:rPr>
                <w:rFonts w:hint="default" w:ascii="宋体" w:hAnsi="宋体" w:eastAsia="宋体" w:cs="宋体"/>
                <w:kern w:val="0"/>
                <w:sz w:val="24"/>
                <w:szCs w:val="24"/>
                <w:lang w:val="en-US" w:eastAsia="zh-CN"/>
              </w:rPr>
              <w:t>企业污染物排放和固体废物处理处置状况，应符合相关环境保护法律法规，达到国家和地方污染物排放总量控制指标及排污许可证可排放量要求</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近三年无重大安全事故、质量事故和环境污染事件。</w:t>
            </w:r>
          </w:p>
          <w:p w14:paraId="3142F1FB">
            <w:pPr>
              <w:keepNext w:val="0"/>
              <w:keepLines w:val="0"/>
              <w:pageBreakBefore w:val="0"/>
              <w:widowControl/>
              <w:numPr>
                <w:numId w:val="0"/>
              </w:numPr>
              <w:tabs>
                <w:tab w:val="left" w:pos="360"/>
                <w:tab w:val="center" w:pos="4201"/>
                <w:tab w:val="right" w:leader="dot" w:pos="9298"/>
              </w:tabs>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生产</w:t>
            </w:r>
            <w:r>
              <w:rPr>
                <w:rFonts w:hint="default" w:ascii="宋体" w:hAnsi="宋体" w:eastAsia="宋体" w:cs="宋体"/>
                <w:kern w:val="0"/>
                <w:sz w:val="24"/>
                <w:szCs w:val="24"/>
                <w:lang w:val="en-US" w:eastAsia="zh-CN"/>
              </w:rPr>
              <w:t>企业宜采用国家鼓励的、符合国家产业和技术政策发展方向的先进技术和工艺。不应采用国家或有关部门明确淘汰或禁止的技术、生产工艺、装备及相关物质。</w:t>
            </w:r>
          </w:p>
          <w:p w14:paraId="3805F418">
            <w:pPr>
              <w:keepNext w:val="0"/>
              <w:keepLines w:val="0"/>
              <w:pageBreakBefore w:val="0"/>
              <w:widowControl/>
              <w:numPr>
                <w:numId w:val="0"/>
              </w:numPr>
              <w:tabs>
                <w:tab w:val="left" w:pos="360"/>
                <w:tab w:val="center" w:pos="4201"/>
                <w:tab w:val="right" w:leader="dot" w:pos="9298"/>
              </w:tabs>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生产企业应按照GB/T 24001、GB/T 23331、GB/T 19001和GB/T 45001分别建立并有效运行环境管理体系、能源管理体系、质量管理体系和职业健康安全管理体系。</w:t>
            </w:r>
          </w:p>
          <w:p w14:paraId="0AD73BBF">
            <w:pPr>
              <w:keepNext w:val="0"/>
              <w:keepLines w:val="0"/>
              <w:pageBreakBefore w:val="0"/>
              <w:widowControl/>
              <w:numPr>
                <w:numId w:val="0"/>
              </w:numPr>
              <w:tabs>
                <w:tab w:val="left" w:pos="360"/>
                <w:tab w:val="center" w:pos="4201"/>
                <w:tab w:val="right" w:leader="dot" w:pos="9298"/>
              </w:tabs>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生产</w:t>
            </w:r>
            <w:r>
              <w:rPr>
                <w:rFonts w:hint="default" w:ascii="宋体" w:hAnsi="宋体" w:eastAsia="宋体" w:cs="宋体"/>
                <w:kern w:val="0"/>
                <w:sz w:val="24"/>
                <w:szCs w:val="24"/>
                <w:lang w:val="en-US" w:eastAsia="zh-CN"/>
              </w:rPr>
              <w:t>企业安全生产标准化水平应符合GB/T</w:t>
            </w:r>
            <w:r>
              <w:rPr>
                <w:rFonts w:hint="eastAsia" w:ascii="宋体" w:hAnsi="宋体" w:eastAsia="宋体" w:cs="宋体"/>
                <w:kern w:val="0"/>
                <w:sz w:val="24"/>
                <w:szCs w:val="24"/>
                <w:lang w:val="en-US" w:eastAsia="zh-CN"/>
              </w:rPr>
              <w:t xml:space="preserve"> </w:t>
            </w:r>
            <w:r>
              <w:rPr>
                <w:rFonts w:hint="default" w:ascii="宋体" w:hAnsi="宋体" w:eastAsia="宋体" w:cs="宋体"/>
                <w:kern w:val="0"/>
                <w:sz w:val="24"/>
                <w:szCs w:val="24"/>
                <w:lang w:val="en-US" w:eastAsia="zh-CN"/>
              </w:rPr>
              <w:t>33000中的三级要求。</w:t>
            </w:r>
          </w:p>
          <w:p w14:paraId="2FCB3ABD">
            <w:pPr>
              <w:keepNext w:val="0"/>
              <w:keepLines w:val="0"/>
              <w:pageBreakBefore w:val="0"/>
              <w:widowControl/>
              <w:numPr>
                <w:numId w:val="0"/>
              </w:numPr>
              <w:tabs>
                <w:tab w:val="left" w:pos="360"/>
                <w:tab w:val="center" w:pos="4201"/>
                <w:tab w:val="right" w:leader="dot" w:pos="9298"/>
              </w:tabs>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生产</w:t>
            </w:r>
            <w:r>
              <w:rPr>
                <w:rFonts w:hint="default" w:ascii="宋体" w:hAnsi="宋体" w:eastAsia="宋体" w:cs="宋体"/>
                <w:kern w:val="0"/>
                <w:sz w:val="24"/>
                <w:szCs w:val="24"/>
                <w:lang w:val="en-US" w:eastAsia="zh-CN"/>
              </w:rPr>
              <w:t>企业应按照《危险化学品安全管理条例》建立并执行危险化学品安全管理制度。</w:t>
            </w:r>
          </w:p>
          <w:p w14:paraId="614106E6">
            <w:pPr>
              <w:keepNext w:val="0"/>
              <w:keepLines w:val="0"/>
              <w:pageBreakBefore w:val="0"/>
              <w:widowControl/>
              <w:numPr>
                <w:numId w:val="0"/>
              </w:numPr>
              <w:tabs>
                <w:tab w:val="left" w:pos="360"/>
                <w:tab w:val="center" w:pos="4201"/>
                <w:tab w:val="right" w:leader="dot" w:pos="9298"/>
              </w:tabs>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生产</w:t>
            </w:r>
            <w:r>
              <w:rPr>
                <w:rFonts w:hint="default" w:ascii="宋体" w:hAnsi="宋体" w:eastAsia="宋体" w:cs="宋体"/>
                <w:kern w:val="0"/>
                <w:sz w:val="24"/>
                <w:szCs w:val="24"/>
                <w:lang w:val="en-US" w:eastAsia="zh-CN"/>
              </w:rPr>
              <w:t>企业应按照GB/T 17167配备能源计量器具，并根据环保法律和标准要求配备污染物检测和在线监控设备。</w:t>
            </w:r>
          </w:p>
          <w:p w14:paraId="3345A98F">
            <w:pPr>
              <w:keepNext w:val="0"/>
              <w:keepLines w:val="0"/>
              <w:pageBreakBefore w:val="0"/>
              <w:widowControl/>
              <w:numPr>
                <w:numId w:val="0"/>
              </w:numPr>
              <w:tabs>
                <w:tab w:val="left" w:pos="360"/>
                <w:tab w:val="center" w:pos="4201"/>
                <w:tab w:val="right" w:leader="dot" w:pos="9298"/>
              </w:tabs>
              <w:kinsoku/>
              <w:wordWrap/>
              <w:overflowPunct/>
              <w:topLinePunct w:val="0"/>
              <w:autoSpaceDE w:val="0"/>
              <w:autoSpaceDN w:val="0"/>
              <w:bidi w:val="0"/>
              <w:adjustRightInd/>
              <w:snapToGrid/>
              <w:spacing w:line="420" w:lineRule="exact"/>
              <w:ind w:firstLine="480" w:firstLineChars="200"/>
              <w:textAlignment w:val="auto"/>
              <w:rPr>
                <w:rFonts w:hint="eastAsia" w:ascii="Times New Roman" w:hAnsi="Times New Roman" w:eastAsia="宋体" w:cs="Times New Roman"/>
                <w:szCs w:val="21"/>
                <w:vertAlign w:val="baseline"/>
                <w:lang w:val="en-US" w:eastAsia="zh-CN"/>
              </w:rPr>
            </w:pPr>
            <w:r>
              <w:rPr>
                <w:rFonts w:hint="eastAsia" w:ascii="宋体" w:hAnsi="宋体" w:eastAsia="宋体" w:cs="宋体"/>
                <w:kern w:val="0"/>
                <w:sz w:val="24"/>
                <w:szCs w:val="24"/>
                <w:lang w:val="en-US" w:eastAsia="zh-CN"/>
              </w:rPr>
              <w:t>生产</w:t>
            </w:r>
            <w:r>
              <w:rPr>
                <w:rFonts w:hint="default" w:ascii="宋体" w:hAnsi="宋体" w:eastAsia="宋体" w:cs="宋体"/>
                <w:kern w:val="0"/>
                <w:sz w:val="24"/>
                <w:szCs w:val="24"/>
                <w:lang w:val="en-US" w:eastAsia="zh-CN"/>
              </w:rPr>
              <w:t>企业应按照《企业环境信息依法披露管理办法》公开环境信息。</w:t>
            </w:r>
          </w:p>
        </w:tc>
      </w:tr>
    </w:tbl>
    <w:p w14:paraId="1EEE9138">
      <w:pPr>
        <w:pStyle w:val="56"/>
        <w:widowControl w:val="0"/>
        <w:spacing w:before="156" w:beforeLines="50" w:after="156" w:afterLines="50"/>
        <w:ind w:left="0" w:leftChars="0" w:firstLine="0" w:firstLineChars="0"/>
        <w:outlineLvl w:val="2"/>
        <w:rPr>
          <w:rFonts w:hint="eastAsia" w:ascii="宋体" w:hAnsi="宋体" w:eastAsia="宋体" w:cs="宋体"/>
          <w:b/>
          <w:bCs/>
          <w:kern w:val="0"/>
          <w:sz w:val="24"/>
          <w:szCs w:val="32"/>
          <w:lang w:val="en-US" w:eastAsia="zh-CN" w:bidi="ar-SA"/>
        </w:rPr>
      </w:pPr>
      <w:r>
        <w:rPr>
          <w:rFonts w:hint="eastAsia" w:ascii="宋体" w:hAnsi="宋体" w:eastAsia="宋体" w:cs="宋体"/>
          <w:b/>
          <w:bCs/>
          <w:kern w:val="0"/>
          <w:sz w:val="24"/>
          <w:szCs w:val="32"/>
          <w:lang w:val="en-US" w:eastAsia="zh-CN" w:bidi="ar-SA"/>
        </w:rPr>
        <w:t>3.2.2  评价指标要求</w:t>
      </w:r>
    </w:p>
    <w:p w14:paraId="5BB15B88">
      <w:pPr>
        <w:keepNext w:val="0"/>
        <w:keepLines w:val="0"/>
        <w:pageBreakBefore w:val="0"/>
        <w:widowControl/>
        <w:numPr>
          <w:ilvl w:val="0"/>
          <w:numId w:val="7"/>
        </w:numPr>
        <w:tabs>
          <w:tab w:val="center" w:pos="420"/>
          <w:tab w:val="right" w:leader="dot" w:pos="9298"/>
        </w:tabs>
        <w:kinsoku/>
        <w:wordWrap/>
        <w:overflowPunct/>
        <w:topLinePunct w:val="0"/>
        <w:autoSpaceDE w:val="0"/>
        <w:autoSpaceDN w:val="0"/>
        <w:bidi w:val="0"/>
        <w:adjustRightInd/>
        <w:snapToGrid/>
        <w:spacing w:line="420" w:lineRule="exact"/>
        <w:ind w:left="425" w:leftChars="0" w:hanging="425" w:firstLineChars="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评价指标分类参照中国轻工业联合会团体标准“绿色设计产品评价技术规范”“评价指标要求”</w:t>
      </w:r>
      <w:r>
        <w:rPr>
          <w:rFonts w:hint="eastAsia" w:ascii="宋体" w:hAnsi="宋体" w:cs="宋体"/>
          <w:kern w:val="0"/>
          <w:sz w:val="24"/>
          <w:szCs w:val="24"/>
          <w:lang w:val="en-US" w:eastAsia="zh-CN"/>
        </w:rPr>
        <w:t>中</w:t>
      </w:r>
      <w:r>
        <w:rPr>
          <w:rFonts w:hint="eastAsia" w:ascii="宋体" w:hAnsi="宋体" w:eastAsia="宋体" w:cs="宋体"/>
          <w:kern w:val="0"/>
          <w:sz w:val="24"/>
          <w:szCs w:val="24"/>
          <w:lang w:val="en-US" w:eastAsia="zh-CN"/>
        </w:rPr>
        <w:t>的</w:t>
      </w:r>
      <w:r>
        <w:rPr>
          <w:rFonts w:hint="eastAsia" w:ascii="宋体" w:hAnsi="宋体" w:cs="宋体"/>
          <w:kern w:val="0"/>
          <w:sz w:val="24"/>
          <w:szCs w:val="24"/>
          <w:lang w:val="en-US" w:eastAsia="zh-CN"/>
        </w:rPr>
        <w:t>指标构成</w:t>
      </w:r>
      <w:r>
        <w:rPr>
          <w:rFonts w:hint="eastAsia" w:ascii="宋体" w:hAnsi="宋体" w:eastAsia="宋体" w:cs="宋体"/>
          <w:kern w:val="0"/>
          <w:sz w:val="24"/>
          <w:szCs w:val="24"/>
          <w:lang w:val="en-US" w:eastAsia="zh-CN"/>
        </w:rPr>
        <w:t>，将</w:t>
      </w:r>
      <w:r>
        <w:rPr>
          <w:rFonts w:hint="default" w:ascii="宋体" w:hAnsi="宋体" w:eastAsia="宋体" w:cs="宋体"/>
          <w:kern w:val="0"/>
          <w:sz w:val="24"/>
          <w:szCs w:val="24"/>
          <w:lang w:val="en-US" w:eastAsia="zh-CN"/>
        </w:rPr>
        <w:t>五粮浓香型白酒质量评价指标体系</w:t>
      </w:r>
      <w:r>
        <w:rPr>
          <w:rFonts w:hint="eastAsia" w:ascii="宋体" w:hAnsi="宋体" w:eastAsia="宋体" w:cs="宋体"/>
          <w:kern w:val="0"/>
          <w:sz w:val="24"/>
          <w:szCs w:val="24"/>
          <w:lang w:val="en-US" w:eastAsia="zh-CN"/>
        </w:rPr>
        <w:t>分为一级指标</w:t>
      </w:r>
      <w:r>
        <w:rPr>
          <w:rFonts w:hint="eastAsia" w:ascii="宋体" w:hAnsi="宋体" w:cs="宋体"/>
          <w:kern w:val="0"/>
          <w:sz w:val="24"/>
          <w:szCs w:val="24"/>
          <w:lang w:val="en-US" w:eastAsia="zh-CN"/>
        </w:rPr>
        <w:t>和</w:t>
      </w:r>
      <w:r>
        <w:rPr>
          <w:rFonts w:hint="eastAsia" w:ascii="宋体" w:hAnsi="宋体" w:eastAsia="宋体" w:cs="宋体"/>
          <w:kern w:val="0"/>
          <w:sz w:val="24"/>
          <w:szCs w:val="24"/>
          <w:lang w:val="en-US" w:eastAsia="zh-CN"/>
        </w:rPr>
        <w:t>二级指标，即：</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5"/>
      </w:tblGrid>
      <w:tr w14:paraId="617B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5" w:type="dxa"/>
          </w:tcPr>
          <w:p w14:paraId="6C05459A">
            <w:pPr>
              <w:keepNext w:val="0"/>
              <w:keepLines w:val="0"/>
              <w:pageBreakBefore w:val="0"/>
              <w:widowControl/>
              <w:numPr>
                <w:ilvl w:val="0"/>
                <w:numId w:val="0"/>
              </w:numPr>
              <w:tabs>
                <w:tab w:val="left" w:pos="360"/>
                <w:tab w:val="center" w:pos="420"/>
                <w:tab w:val="right" w:leader="dot" w:pos="9298"/>
              </w:tabs>
              <w:kinsoku/>
              <w:wordWrap/>
              <w:overflowPunct/>
              <w:topLinePunct w:val="0"/>
              <w:autoSpaceDE w:val="0"/>
              <w:autoSpaceDN w:val="0"/>
              <w:bidi w:val="0"/>
              <w:adjustRightInd/>
              <w:snapToGrid/>
              <w:spacing w:line="420" w:lineRule="exact"/>
              <w:ind w:left="0" w:leftChars="0" w:firstLine="464" w:firstLineChars="200"/>
              <w:textAlignment w:val="auto"/>
              <w:rPr>
                <w:rFonts w:hint="default" w:ascii="宋体" w:hAnsi="宋体" w:eastAsia="宋体" w:cs="宋体"/>
                <w:kern w:val="0"/>
                <w:sz w:val="24"/>
                <w:szCs w:val="24"/>
                <w:vertAlign w:val="baseline"/>
                <w:lang w:val="en-US" w:eastAsia="zh-CN"/>
              </w:rPr>
            </w:pPr>
            <w:r>
              <w:rPr>
                <w:rFonts w:hint="default" w:ascii="宋体" w:hAnsi="宋体" w:eastAsia="宋体" w:cs="宋体"/>
                <w:spacing w:val="-4"/>
                <w:kern w:val="0"/>
                <w:sz w:val="24"/>
                <w:szCs w:val="24"/>
                <w:lang w:val="en-US" w:eastAsia="zh-CN"/>
              </w:rPr>
              <w:t>五粮浓香型白酒质量评价指标体系</w:t>
            </w:r>
            <w:r>
              <w:rPr>
                <w:rFonts w:hint="eastAsia" w:ascii="宋体" w:hAnsi="宋体" w:eastAsia="宋体" w:cs="宋体"/>
                <w:spacing w:val="-4"/>
                <w:kern w:val="0"/>
                <w:sz w:val="24"/>
                <w:szCs w:val="24"/>
                <w:lang w:val="en-US" w:eastAsia="zh-CN"/>
              </w:rPr>
              <w:t>分为一级指标和二级指标。其中，</w:t>
            </w:r>
            <w:r>
              <w:rPr>
                <w:rFonts w:hint="default" w:ascii="宋体" w:hAnsi="宋体" w:eastAsia="宋体" w:cs="宋体"/>
                <w:spacing w:val="-4"/>
                <w:kern w:val="0"/>
                <w:sz w:val="24"/>
                <w:szCs w:val="24"/>
                <w:lang w:val="en-US" w:eastAsia="zh-CN"/>
              </w:rPr>
              <w:t>一级指标包括能源属性、资源属性、环境属性和品质属性四类指标。二级指标是四类一级指标中具体评价项目，包括了指标名称、</w:t>
            </w:r>
            <w:r>
              <w:rPr>
                <w:rFonts w:hint="eastAsia" w:ascii="宋体" w:hAnsi="宋体" w:eastAsia="宋体" w:cs="宋体"/>
                <w:spacing w:val="-4"/>
                <w:kern w:val="0"/>
                <w:sz w:val="24"/>
                <w:szCs w:val="24"/>
                <w:lang w:val="en-US" w:eastAsia="zh-CN"/>
              </w:rPr>
              <w:t>单位、</w:t>
            </w:r>
            <w:r>
              <w:rPr>
                <w:rFonts w:hint="default" w:ascii="宋体" w:hAnsi="宋体" w:eastAsia="宋体" w:cs="宋体"/>
                <w:spacing w:val="-4"/>
                <w:kern w:val="0"/>
                <w:sz w:val="24"/>
                <w:szCs w:val="24"/>
                <w:lang w:val="en-US" w:eastAsia="zh-CN"/>
              </w:rPr>
              <w:t>基准值和判定依据等信息。</w:t>
            </w:r>
          </w:p>
        </w:tc>
      </w:tr>
    </w:tbl>
    <w:p w14:paraId="77A2E5F7">
      <w:pPr>
        <w:keepNext w:val="0"/>
        <w:keepLines w:val="0"/>
        <w:pageBreakBefore w:val="0"/>
        <w:widowControl/>
        <w:numPr>
          <w:ilvl w:val="0"/>
          <w:numId w:val="7"/>
        </w:numPr>
        <w:tabs>
          <w:tab w:val="center" w:pos="420"/>
          <w:tab w:val="right" w:leader="dot" w:pos="9298"/>
        </w:tabs>
        <w:kinsoku/>
        <w:wordWrap/>
        <w:overflowPunct/>
        <w:topLinePunct w:val="0"/>
        <w:autoSpaceDE w:val="0"/>
        <w:autoSpaceDN w:val="0"/>
        <w:bidi w:val="0"/>
        <w:adjustRightInd/>
        <w:snapToGrid/>
        <w:spacing w:line="420" w:lineRule="exact"/>
        <w:ind w:left="425" w:leftChars="0" w:hanging="425" w:firstLineChars="0"/>
        <w:textAlignment w:val="auto"/>
        <w:rPr>
          <w:rFonts w:hint="default" w:ascii="Times New Roman" w:hAnsi="Times New Roman" w:eastAsia="黑体" w:cs="Times New Roman"/>
          <w:kern w:val="0"/>
          <w:szCs w:val="20"/>
        </w:rPr>
      </w:pPr>
      <w:r>
        <w:rPr>
          <w:rFonts w:hint="default" w:ascii="宋体" w:hAnsi="宋体" w:eastAsia="宋体" w:cs="宋体"/>
          <w:kern w:val="0"/>
          <w:sz w:val="24"/>
          <w:szCs w:val="24"/>
          <w:lang w:val="en-US" w:eastAsia="zh-CN"/>
        </w:rPr>
        <w:t>能源属性指标</w:t>
      </w:r>
      <w:r>
        <w:rPr>
          <w:rFonts w:hint="eastAsia" w:ascii="宋体" w:hAnsi="宋体" w:eastAsia="宋体" w:cs="宋体"/>
          <w:kern w:val="0"/>
          <w:sz w:val="24"/>
          <w:szCs w:val="24"/>
          <w:lang w:val="en-US" w:eastAsia="zh-CN"/>
        </w:rPr>
        <w:t>（单位产品综合能耗）参考</w:t>
      </w:r>
      <w:r>
        <w:rPr>
          <w:rFonts w:hint="default" w:ascii="宋体" w:hAnsi="宋体" w:eastAsia="宋体" w:cs="宋体"/>
          <w:kern w:val="0"/>
          <w:sz w:val="24"/>
          <w:lang w:val="en-US" w:eastAsia="zh-CN"/>
        </w:rPr>
        <w:t>HJ/T 402</w:t>
      </w:r>
      <w:r>
        <w:rPr>
          <w:rFonts w:hint="eastAsia" w:ascii="宋体" w:hAnsi="宋体" w:eastAsia="宋体" w:cs="宋体"/>
          <w:kern w:val="0"/>
          <w:sz w:val="24"/>
          <w:lang w:val="en-US" w:eastAsia="zh-CN"/>
        </w:rPr>
        <w:t>－</w:t>
      </w:r>
      <w:r>
        <w:rPr>
          <w:rFonts w:hint="default" w:ascii="宋体" w:hAnsi="宋体" w:eastAsia="宋体" w:cs="宋体"/>
          <w:kern w:val="0"/>
          <w:sz w:val="24"/>
          <w:lang w:val="en-US" w:eastAsia="zh-CN"/>
        </w:rPr>
        <w:t>2007</w:t>
      </w:r>
      <w:r>
        <w:rPr>
          <w:rFonts w:hint="eastAsia" w:ascii="宋体" w:hAnsi="宋体" w:eastAsia="宋体" w:cs="宋体"/>
          <w:kern w:val="0"/>
          <w:sz w:val="24"/>
          <w:lang w:val="en-US" w:eastAsia="zh-CN"/>
        </w:rPr>
        <w:t>《</w:t>
      </w:r>
      <w:r>
        <w:rPr>
          <w:rFonts w:hint="default" w:ascii="宋体" w:hAnsi="宋体" w:eastAsia="宋体" w:cs="宋体"/>
          <w:kern w:val="0"/>
          <w:sz w:val="24"/>
          <w:lang w:val="en-US" w:eastAsia="zh-CN"/>
        </w:rPr>
        <w:t>清洁生产标准 白酒制造业</w:t>
      </w:r>
      <w:r>
        <w:rPr>
          <w:rFonts w:hint="eastAsia" w:ascii="宋体" w:hAnsi="宋体" w:eastAsia="宋体" w:cs="宋体"/>
          <w:kern w:val="0"/>
          <w:sz w:val="24"/>
          <w:lang w:val="en-US" w:eastAsia="zh-CN"/>
        </w:rPr>
        <w:t>》表1对应的一级指标及计算公式（</w:t>
      </w:r>
      <w:r>
        <w:rPr>
          <w:rFonts w:hint="default" w:ascii="宋体" w:hAnsi="宋体" w:eastAsia="宋体" w:cs="宋体"/>
          <w:kern w:val="0"/>
          <w:sz w:val="24"/>
          <w:lang w:val="en-US" w:eastAsia="zh-CN"/>
        </w:rPr>
        <w:t>HJ/T 402</w:t>
      </w:r>
      <w:r>
        <w:rPr>
          <w:rFonts w:hint="eastAsia" w:ascii="宋体" w:hAnsi="宋体" w:eastAsia="宋体" w:cs="宋体"/>
          <w:kern w:val="0"/>
          <w:sz w:val="24"/>
          <w:lang w:val="en-US" w:eastAsia="zh-CN"/>
        </w:rPr>
        <w:t>－</w:t>
      </w:r>
      <w:r>
        <w:rPr>
          <w:rFonts w:hint="default" w:ascii="宋体" w:hAnsi="宋体" w:eastAsia="宋体" w:cs="宋体"/>
          <w:kern w:val="0"/>
          <w:sz w:val="24"/>
          <w:lang w:val="en-US" w:eastAsia="zh-CN"/>
        </w:rPr>
        <w:t>2007</w:t>
      </w:r>
      <w:r>
        <w:rPr>
          <w:rFonts w:hint="eastAsia" w:ascii="宋体" w:hAnsi="宋体" w:eastAsia="宋体" w:cs="宋体"/>
          <w:kern w:val="0"/>
          <w:sz w:val="24"/>
          <w:lang w:val="en-US" w:eastAsia="zh-CN"/>
        </w:rPr>
        <w:t>共分三级</w:t>
      </w:r>
      <w:r>
        <w:rPr>
          <w:rFonts w:hint="eastAsia" w:ascii="宋体" w:hAnsi="宋体" w:cs="宋体"/>
          <w:kern w:val="0"/>
          <w:sz w:val="24"/>
          <w:lang w:val="en-US" w:eastAsia="zh-CN"/>
        </w:rPr>
        <w:t>，其中一级≤1300kg</w:t>
      </w:r>
      <w:r>
        <w:rPr>
          <w:rFonts w:hint="default" w:ascii="宋体" w:hAnsi="宋体" w:cs="宋体"/>
          <w:kern w:val="0"/>
          <w:sz w:val="24"/>
          <w:lang w:val="en-US" w:eastAsia="zh-CN"/>
        </w:rPr>
        <w:t>ce/</w:t>
      </w:r>
      <w:r>
        <w:rPr>
          <w:rFonts w:hint="eastAsia" w:ascii="宋体" w:hAnsi="宋体" w:cs="宋体"/>
          <w:kern w:val="0"/>
          <w:sz w:val="24"/>
          <w:lang w:val="en-US" w:eastAsia="zh-CN"/>
        </w:rPr>
        <w:t>kL，二级≤1500kg</w:t>
      </w:r>
      <w:r>
        <w:rPr>
          <w:rFonts w:hint="default" w:ascii="宋体" w:hAnsi="宋体" w:cs="宋体"/>
          <w:kern w:val="0"/>
          <w:sz w:val="24"/>
          <w:lang w:val="en-US" w:eastAsia="zh-CN"/>
        </w:rPr>
        <w:t>ce/</w:t>
      </w:r>
      <w:r>
        <w:rPr>
          <w:rFonts w:hint="eastAsia" w:ascii="宋体" w:hAnsi="宋体" w:cs="宋体"/>
          <w:kern w:val="0"/>
          <w:sz w:val="24"/>
          <w:lang w:val="en-US" w:eastAsia="zh-CN"/>
        </w:rPr>
        <w:t>kL，三级≤2000kg</w:t>
      </w:r>
      <w:r>
        <w:rPr>
          <w:rFonts w:hint="default" w:ascii="宋体" w:hAnsi="宋体" w:cs="宋体"/>
          <w:kern w:val="0"/>
          <w:sz w:val="24"/>
          <w:lang w:val="en-US" w:eastAsia="zh-CN"/>
        </w:rPr>
        <w:t>ce/</w:t>
      </w:r>
      <w:r>
        <w:rPr>
          <w:rFonts w:hint="eastAsia" w:ascii="宋体" w:hAnsi="宋体" w:cs="宋体"/>
          <w:kern w:val="0"/>
          <w:sz w:val="24"/>
          <w:lang w:val="en-US" w:eastAsia="zh-CN"/>
        </w:rPr>
        <w:t>kL</w:t>
      </w:r>
      <w:r>
        <w:rPr>
          <w:rFonts w:hint="eastAsia" w:ascii="宋体" w:hAnsi="宋体" w:eastAsia="宋体" w:cs="宋体"/>
          <w:kern w:val="0"/>
          <w:sz w:val="24"/>
          <w:lang w:val="en-US" w:eastAsia="zh-CN"/>
        </w:rPr>
        <w:t>），即：</w:t>
      </w:r>
    </w:p>
    <w:tbl>
      <w:tblPr>
        <w:tblStyle w:val="29"/>
        <w:tblW w:w="0" w:type="auto"/>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92"/>
        <w:gridCol w:w="2127"/>
        <w:gridCol w:w="916"/>
        <w:gridCol w:w="1536"/>
        <w:gridCol w:w="2058"/>
      </w:tblGrid>
      <w:tr w14:paraId="00B4D1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8" w:space="0"/>
              <w:bottom w:val="single" w:color="auto" w:sz="8" w:space="0"/>
            </w:tcBorders>
            <w:noWrap w:val="0"/>
            <w:vAlign w:val="center"/>
          </w:tcPr>
          <w:p w14:paraId="252E72A5">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序号</w:t>
            </w:r>
          </w:p>
        </w:tc>
        <w:tc>
          <w:tcPr>
            <w:tcW w:w="992" w:type="dxa"/>
            <w:tcBorders>
              <w:top w:val="single" w:color="auto" w:sz="8" w:space="0"/>
              <w:bottom w:val="single" w:color="auto" w:sz="8" w:space="0"/>
            </w:tcBorders>
            <w:noWrap w:val="0"/>
            <w:vAlign w:val="center"/>
          </w:tcPr>
          <w:p w14:paraId="77340BF0">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一级指标</w:t>
            </w:r>
          </w:p>
        </w:tc>
        <w:tc>
          <w:tcPr>
            <w:tcW w:w="2127" w:type="dxa"/>
            <w:tcBorders>
              <w:top w:val="single" w:color="auto" w:sz="8" w:space="0"/>
              <w:bottom w:val="single" w:color="auto" w:sz="8" w:space="0"/>
            </w:tcBorders>
            <w:noWrap w:val="0"/>
            <w:vAlign w:val="center"/>
          </w:tcPr>
          <w:p w14:paraId="5AC8F5F2">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二级指标</w:t>
            </w:r>
          </w:p>
        </w:tc>
        <w:tc>
          <w:tcPr>
            <w:tcW w:w="916" w:type="dxa"/>
            <w:tcBorders>
              <w:top w:val="single" w:color="auto" w:sz="8" w:space="0"/>
              <w:bottom w:val="single" w:color="auto" w:sz="8" w:space="0"/>
            </w:tcBorders>
            <w:noWrap w:val="0"/>
            <w:vAlign w:val="center"/>
          </w:tcPr>
          <w:p w14:paraId="1EA460DC">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单位</w:t>
            </w:r>
          </w:p>
        </w:tc>
        <w:tc>
          <w:tcPr>
            <w:tcW w:w="1536" w:type="dxa"/>
            <w:tcBorders>
              <w:top w:val="single" w:color="auto" w:sz="8" w:space="0"/>
              <w:bottom w:val="single" w:color="auto" w:sz="8" w:space="0"/>
            </w:tcBorders>
            <w:noWrap w:val="0"/>
            <w:vAlign w:val="center"/>
          </w:tcPr>
          <w:p w14:paraId="080B5885">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基准值</w:t>
            </w:r>
          </w:p>
        </w:tc>
        <w:tc>
          <w:tcPr>
            <w:tcW w:w="2058" w:type="dxa"/>
            <w:tcBorders>
              <w:top w:val="single" w:color="auto" w:sz="8" w:space="0"/>
              <w:bottom w:val="single" w:color="auto" w:sz="8" w:space="0"/>
            </w:tcBorders>
            <w:noWrap w:val="0"/>
            <w:vAlign w:val="center"/>
          </w:tcPr>
          <w:p w14:paraId="4E6528EF">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判定依据</w:t>
            </w:r>
          </w:p>
        </w:tc>
      </w:tr>
      <w:tr w14:paraId="6C49A1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8" w:space="0"/>
              <w:bottom w:val="single" w:color="auto" w:sz="8" w:space="0"/>
            </w:tcBorders>
            <w:noWrap w:val="0"/>
            <w:vAlign w:val="center"/>
          </w:tcPr>
          <w:p w14:paraId="22FB3AE8">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992" w:type="dxa"/>
            <w:tcBorders>
              <w:top w:val="single" w:color="auto" w:sz="8" w:space="0"/>
              <w:bottom w:val="single" w:color="auto" w:sz="8" w:space="0"/>
            </w:tcBorders>
            <w:noWrap w:val="0"/>
            <w:vAlign w:val="center"/>
          </w:tcPr>
          <w:p w14:paraId="02E53C60">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能源属性</w:t>
            </w:r>
          </w:p>
        </w:tc>
        <w:tc>
          <w:tcPr>
            <w:tcW w:w="2127" w:type="dxa"/>
            <w:tcBorders>
              <w:top w:val="single" w:color="auto" w:sz="8" w:space="0"/>
              <w:bottom w:val="single" w:color="auto" w:sz="8" w:space="0"/>
            </w:tcBorders>
            <w:noWrap w:val="0"/>
            <w:vAlign w:val="center"/>
          </w:tcPr>
          <w:p w14:paraId="2E4EDD13">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单位产品综合能耗</w:t>
            </w:r>
          </w:p>
        </w:tc>
        <w:tc>
          <w:tcPr>
            <w:tcW w:w="916" w:type="dxa"/>
            <w:tcBorders>
              <w:top w:val="single" w:color="auto" w:sz="8" w:space="0"/>
              <w:bottom w:val="single" w:color="auto" w:sz="8" w:space="0"/>
            </w:tcBorders>
            <w:noWrap w:val="0"/>
            <w:vAlign w:val="center"/>
          </w:tcPr>
          <w:p w14:paraId="4A1274DB">
            <w:pPr>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kg</w:t>
            </w:r>
            <w:r>
              <w:rPr>
                <w:rFonts w:hint="default" w:ascii="Times New Roman" w:hAnsi="Times New Roman" w:cs="Times New Roman"/>
                <w:color w:val="000000"/>
                <w:kern w:val="0"/>
                <w:sz w:val="18"/>
                <w:szCs w:val="18"/>
              </w:rPr>
              <w:t>ce/</w:t>
            </w:r>
            <w:r>
              <w:rPr>
                <w:rFonts w:hint="eastAsia" w:ascii="Times New Roman" w:hAnsi="Times New Roman" w:cs="Times New Roman"/>
                <w:color w:val="000000"/>
                <w:kern w:val="0"/>
                <w:sz w:val="18"/>
                <w:szCs w:val="18"/>
                <w:lang w:val="en-US" w:eastAsia="zh-CN"/>
              </w:rPr>
              <w:t>kL</w:t>
            </w:r>
          </w:p>
        </w:tc>
        <w:tc>
          <w:tcPr>
            <w:tcW w:w="1536" w:type="dxa"/>
            <w:tcBorders>
              <w:top w:val="single" w:color="auto" w:sz="8" w:space="0"/>
              <w:bottom w:val="single" w:color="auto" w:sz="8" w:space="0"/>
            </w:tcBorders>
            <w:noWrap w:val="0"/>
            <w:vAlign w:val="center"/>
          </w:tcPr>
          <w:p w14:paraId="71A55974">
            <w:pPr>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≤1300</w:t>
            </w:r>
          </w:p>
        </w:tc>
        <w:tc>
          <w:tcPr>
            <w:tcW w:w="2058" w:type="dxa"/>
            <w:tcBorders>
              <w:top w:val="single" w:color="auto" w:sz="8" w:space="0"/>
              <w:bottom w:val="single" w:color="auto" w:sz="8" w:space="0"/>
            </w:tcBorders>
            <w:noWrap w:val="0"/>
            <w:vAlign w:val="center"/>
          </w:tcPr>
          <w:p w14:paraId="51CE2E41">
            <w:pPr>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按</w:t>
            </w:r>
            <w:r>
              <w:rPr>
                <w:rFonts w:hint="eastAsia" w:ascii="Times New Roman" w:hAnsi="Times New Roman" w:eastAsia="宋体" w:cs="Times New Roman"/>
                <w:spacing w:val="0"/>
                <w:sz w:val="18"/>
                <w:szCs w:val="18"/>
                <w:lang w:val="en-US" w:eastAsia="zh-CN"/>
              </w:rPr>
              <w:t>照</w:t>
            </w:r>
            <w:r>
              <w:rPr>
                <w:rFonts w:hint="default" w:ascii="Times New Roman" w:hAnsi="Times New Roman" w:eastAsia="宋体" w:cs="Times New Roman"/>
                <w:color w:val="000000"/>
                <w:kern w:val="0"/>
                <w:sz w:val="18"/>
                <w:szCs w:val="18"/>
                <w:lang w:val="en-US" w:eastAsia="zh-CN"/>
              </w:rPr>
              <w:t>附录</w:t>
            </w:r>
            <w:r>
              <w:rPr>
                <w:rFonts w:hint="eastAsia" w:ascii="Times New Roman" w:hAnsi="Times New Roman" w:eastAsia="宋体" w:cs="Times New Roman"/>
                <w:color w:val="000000"/>
                <w:kern w:val="0"/>
                <w:sz w:val="18"/>
                <w:szCs w:val="18"/>
                <w:lang w:val="en-US" w:eastAsia="zh-CN"/>
              </w:rPr>
              <w:t>B中B.1</w:t>
            </w:r>
            <w:r>
              <w:rPr>
                <w:rFonts w:hint="default" w:ascii="Times New Roman" w:hAnsi="Times New Roman" w:eastAsia="宋体" w:cs="Times New Roman"/>
                <w:color w:val="000000"/>
                <w:kern w:val="0"/>
                <w:sz w:val="18"/>
                <w:szCs w:val="18"/>
                <w:lang w:val="en-US" w:eastAsia="zh-CN"/>
              </w:rPr>
              <w:t>计算，并提供证明材料</w:t>
            </w:r>
          </w:p>
        </w:tc>
      </w:tr>
    </w:tbl>
    <w:p w14:paraId="1DDCB8F5">
      <w:pPr>
        <w:keepNext w:val="0"/>
        <w:keepLines w:val="0"/>
        <w:pageBreakBefore w:val="0"/>
        <w:widowControl/>
        <w:numPr>
          <w:ilvl w:val="0"/>
          <w:numId w:val="7"/>
        </w:numPr>
        <w:tabs>
          <w:tab w:val="center" w:pos="420"/>
          <w:tab w:val="right" w:leader="dot" w:pos="9298"/>
        </w:tabs>
        <w:kinsoku/>
        <w:wordWrap/>
        <w:overflowPunct/>
        <w:topLinePunct w:val="0"/>
        <w:autoSpaceDE w:val="0"/>
        <w:autoSpaceDN w:val="0"/>
        <w:bidi w:val="0"/>
        <w:adjustRightInd/>
        <w:snapToGrid/>
        <w:spacing w:line="420" w:lineRule="exact"/>
        <w:ind w:left="425" w:leftChars="0" w:hanging="425" w:firstLineChars="0"/>
        <w:textAlignment w:val="auto"/>
        <w:rPr>
          <w:rFonts w:hint="default" w:ascii="Times New Roman" w:hAnsi="Times New Roman" w:cs="Times New Roman"/>
          <w:szCs w:val="21"/>
        </w:rPr>
      </w:pPr>
      <w:r>
        <w:rPr>
          <w:rFonts w:hint="eastAsia" w:ascii="宋体" w:hAnsi="宋体" w:eastAsia="宋体" w:cs="宋体"/>
          <w:kern w:val="0"/>
          <w:sz w:val="24"/>
          <w:szCs w:val="24"/>
          <w:lang w:val="en-US" w:eastAsia="zh-CN"/>
        </w:rPr>
        <w:t>资源属性指标：</w:t>
      </w:r>
    </w:p>
    <w:p w14:paraId="7B223E65">
      <w:pPr>
        <w:keepNext w:val="0"/>
        <w:keepLines w:val="0"/>
        <w:pageBreakBefore w:val="0"/>
        <w:widowControl/>
        <w:numPr>
          <w:ilvl w:val="0"/>
          <w:numId w:val="8"/>
        </w:numPr>
        <w:tabs>
          <w:tab w:val="center" w:pos="420"/>
          <w:tab w:val="right" w:leader="dot" w:pos="9298"/>
        </w:tabs>
        <w:kinsoku/>
        <w:wordWrap/>
        <w:overflowPunct/>
        <w:topLinePunct w:val="0"/>
        <w:autoSpaceDE w:val="0"/>
        <w:autoSpaceDN w:val="0"/>
        <w:bidi w:val="0"/>
        <w:adjustRightInd/>
        <w:snapToGrid/>
        <w:spacing w:line="420" w:lineRule="exact"/>
        <w:ind w:left="0" w:leftChars="0" w:firstLine="480" w:firstLineChars="200"/>
        <w:textAlignment w:val="auto"/>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单位产品取水量</w:t>
      </w:r>
      <w:r>
        <w:rPr>
          <w:rFonts w:hint="eastAsia" w:ascii="宋体" w:hAnsi="宋体" w:eastAsia="宋体" w:cs="宋体"/>
          <w:kern w:val="0"/>
          <w:sz w:val="24"/>
          <w:szCs w:val="24"/>
          <w:lang w:val="en-US" w:eastAsia="zh-CN"/>
        </w:rPr>
        <w:t>参考</w:t>
      </w:r>
      <w:r>
        <w:rPr>
          <w:rFonts w:hint="default" w:ascii="宋体" w:hAnsi="宋体" w:eastAsia="宋体" w:cs="宋体"/>
          <w:kern w:val="0"/>
          <w:sz w:val="24"/>
          <w:szCs w:val="24"/>
          <w:lang w:val="en-US" w:eastAsia="zh-CN"/>
        </w:rPr>
        <w:t>GB/T 18916.15-2024</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工业用水定额 第15部分：白酒</w:t>
      </w:r>
      <w:r>
        <w:rPr>
          <w:rFonts w:hint="eastAsia" w:ascii="宋体" w:hAnsi="宋体" w:eastAsia="宋体" w:cs="宋体"/>
          <w:kern w:val="0"/>
          <w:sz w:val="24"/>
          <w:szCs w:val="24"/>
          <w:lang w:val="en-US" w:eastAsia="zh-CN"/>
        </w:rPr>
        <w:t>》表1对应的先进值及计算公式（</w:t>
      </w:r>
      <w:r>
        <w:rPr>
          <w:rFonts w:hint="default" w:ascii="宋体" w:hAnsi="宋体" w:eastAsia="宋体" w:cs="宋体"/>
          <w:kern w:val="0"/>
          <w:sz w:val="24"/>
          <w:szCs w:val="24"/>
          <w:lang w:val="en-US" w:eastAsia="zh-CN"/>
        </w:rPr>
        <w:t>GB/T 18916.15-2024</w:t>
      </w:r>
      <w:r>
        <w:rPr>
          <w:rFonts w:hint="eastAsia" w:ascii="宋体" w:hAnsi="宋体" w:eastAsia="宋体" w:cs="宋体"/>
          <w:kern w:val="0"/>
          <w:sz w:val="24"/>
          <w:szCs w:val="24"/>
          <w:lang w:val="en-US" w:eastAsia="zh-CN"/>
        </w:rPr>
        <w:t>共分</w:t>
      </w:r>
      <w:r>
        <w:rPr>
          <w:rFonts w:hint="eastAsia" w:ascii="宋体" w:hAnsi="宋体" w:cs="宋体"/>
          <w:kern w:val="0"/>
          <w:sz w:val="24"/>
          <w:szCs w:val="24"/>
          <w:lang w:val="en-US" w:eastAsia="zh-CN"/>
        </w:rPr>
        <w:t>两</w:t>
      </w:r>
      <w:r>
        <w:rPr>
          <w:rFonts w:hint="eastAsia" w:ascii="宋体" w:hAnsi="宋体" w:eastAsia="宋体" w:cs="宋体"/>
          <w:kern w:val="0"/>
          <w:sz w:val="24"/>
          <w:szCs w:val="24"/>
          <w:lang w:val="en-US" w:eastAsia="zh-CN"/>
        </w:rPr>
        <w:t>级</w:t>
      </w:r>
      <w:r>
        <w:rPr>
          <w:rFonts w:hint="eastAsia" w:ascii="宋体" w:hAnsi="宋体" w:cs="宋体"/>
          <w:kern w:val="0"/>
          <w:sz w:val="24"/>
          <w:szCs w:val="24"/>
          <w:lang w:val="en-US" w:eastAsia="zh-CN"/>
        </w:rPr>
        <w:t>，其中先进值：原酒≤26.0</w:t>
      </w:r>
      <w:r>
        <w:rPr>
          <w:rFonts w:hint="eastAsia" w:ascii="Times New Roman" w:hAnsi="Times New Roman" w:cs="Times New Roman"/>
          <w:color w:val="000000"/>
          <w:kern w:val="0"/>
          <w:sz w:val="24"/>
          <w:szCs w:val="24"/>
          <w:lang w:val="en-US" w:eastAsia="zh-CN"/>
        </w:rPr>
        <w:t>m</w:t>
      </w:r>
      <w:r>
        <w:rPr>
          <w:rFonts w:hint="eastAsia" w:ascii="Times New Roman" w:hAnsi="Times New Roman" w:cs="Times New Roman"/>
          <w:color w:val="000000"/>
          <w:kern w:val="0"/>
          <w:sz w:val="24"/>
          <w:szCs w:val="24"/>
          <w:vertAlign w:val="superscript"/>
          <w:lang w:val="en-US" w:eastAsia="zh-CN"/>
        </w:rPr>
        <w:t>3</w:t>
      </w:r>
      <w:r>
        <w:rPr>
          <w:rFonts w:hint="default" w:ascii="Times New Roman" w:hAnsi="Times New Roman" w:cs="Times New Roman"/>
          <w:color w:val="000000"/>
          <w:kern w:val="0"/>
          <w:sz w:val="24"/>
          <w:szCs w:val="24"/>
        </w:rPr>
        <w:t>/</w:t>
      </w:r>
      <w:r>
        <w:rPr>
          <w:rFonts w:hint="eastAsia" w:ascii="Times New Roman" w:hAnsi="Times New Roman" w:cs="Times New Roman"/>
          <w:color w:val="000000"/>
          <w:kern w:val="0"/>
          <w:sz w:val="24"/>
          <w:szCs w:val="24"/>
          <w:lang w:val="en-US" w:eastAsia="zh-CN"/>
        </w:rPr>
        <w:t>kL</w:t>
      </w:r>
      <w:r>
        <w:rPr>
          <w:rFonts w:hint="eastAsia" w:ascii="宋体" w:hAnsi="宋体" w:cs="宋体"/>
          <w:kern w:val="0"/>
          <w:sz w:val="24"/>
          <w:szCs w:val="24"/>
          <w:lang w:val="en-US" w:eastAsia="zh-CN"/>
        </w:rPr>
        <w:t>，成品酒≤5.0</w:t>
      </w:r>
      <w:r>
        <w:rPr>
          <w:rFonts w:hint="eastAsia" w:ascii="Times New Roman" w:hAnsi="Times New Roman" w:cs="Times New Roman"/>
          <w:color w:val="000000"/>
          <w:kern w:val="0"/>
          <w:sz w:val="24"/>
          <w:szCs w:val="24"/>
          <w:lang w:val="en-US" w:eastAsia="zh-CN"/>
        </w:rPr>
        <w:t>m</w:t>
      </w:r>
      <w:r>
        <w:rPr>
          <w:rFonts w:hint="eastAsia" w:ascii="Times New Roman" w:hAnsi="Times New Roman" w:cs="Times New Roman"/>
          <w:color w:val="000000"/>
          <w:kern w:val="0"/>
          <w:sz w:val="24"/>
          <w:szCs w:val="24"/>
          <w:vertAlign w:val="superscript"/>
          <w:lang w:val="en-US" w:eastAsia="zh-CN"/>
        </w:rPr>
        <w:t>3</w:t>
      </w:r>
      <w:r>
        <w:rPr>
          <w:rFonts w:hint="default" w:ascii="Times New Roman" w:hAnsi="Times New Roman" w:cs="Times New Roman"/>
          <w:color w:val="000000"/>
          <w:kern w:val="0"/>
          <w:sz w:val="24"/>
          <w:szCs w:val="24"/>
        </w:rPr>
        <w:t>/</w:t>
      </w:r>
      <w:r>
        <w:rPr>
          <w:rFonts w:hint="eastAsia" w:ascii="Times New Roman" w:hAnsi="Times New Roman" w:cs="Times New Roman"/>
          <w:color w:val="000000"/>
          <w:kern w:val="0"/>
          <w:sz w:val="24"/>
          <w:szCs w:val="24"/>
          <w:lang w:val="en-US" w:eastAsia="zh-CN"/>
        </w:rPr>
        <w:t>kL</w:t>
      </w:r>
      <w:r>
        <w:rPr>
          <w:rFonts w:hint="eastAsia" w:cs="Times New Roman"/>
          <w:color w:val="000000"/>
          <w:kern w:val="0"/>
          <w:sz w:val="24"/>
          <w:szCs w:val="24"/>
          <w:lang w:val="en-US" w:eastAsia="zh-CN"/>
        </w:rPr>
        <w:t>；通用值：</w:t>
      </w:r>
      <w:r>
        <w:rPr>
          <w:rFonts w:hint="eastAsia" w:ascii="宋体" w:hAnsi="宋体" w:cs="宋体"/>
          <w:kern w:val="0"/>
          <w:sz w:val="24"/>
          <w:szCs w:val="24"/>
          <w:lang w:val="en-US" w:eastAsia="zh-CN"/>
        </w:rPr>
        <w:t>原酒≤43.0</w:t>
      </w:r>
      <w:r>
        <w:rPr>
          <w:rFonts w:hint="eastAsia" w:ascii="Times New Roman" w:hAnsi="Times New Roman" w:cs="Times New Roman"/>
          <w:color w:val="000000"/>
          <w:kern w:val="0"/>
          <w:sz w:val="24"/>
          <w:szCs w:val="24"/>
          <w:lang w:val="en-US" w:eastAsia="zh-CN"/>
        </w:rPr>
        <w:t>m</w:t>
      </w:r>
      <w:r>
        <w:rPr>
          <w:rFonts w:hint="eastAsia" w:ascii="Times New Roman" w:hAnsi="Times New Roman" w:cs="Times New Roman"/>
          <w:color w:val="000000"/>
          <w:kern w:val="0"/>
          <w:sz w:val="24"/>
          <w:szCs w:val="24"/>
          <w:vertAlign w:val="superscript"/>
          <w:lang w:val="en-US" w:eastAsia="zh-CN"/>
        </w:rPr>
        <w:t>3</w:t>
      </w:r>
      <w:r>
        <w:rPr>
          <w:rFonts w:hint="default" w:ascii="Times New Roman" w:hAnsi="Times New Roman" w:cs="Times New Roman"/>
          <w:color w:val="000000"/>
          <w:kern w:val="0"/>
          <w:sz w:val="24"/>
          <w:szCs w:val="24"/>
        </w:rPr>
        <w:t>/</w:t>
      </w:r>
      <w:r>
        <w:rPr>
          <w:rFonts w:hint="eastAsia" w:ascii="Times New Roman" w:hAnsi="Times New Roman" w:cs="Times New Roman"/>
          <w:color w:val="000000"/>
          <w:kern w:val="0"/>
          <w:sz w:val="24"/>
          <w:szCs w:val="24"/>
          <w:lang w:val="en-US" w:eastAsia="zh-CN"/>
        </w:rPr>
        <w:t>kL</w:t>
      </w:r>
      <w:r>
        <w:rPr>
          <w:rFonts w:hint="eastAsia" w:ascii="宋体" w:hAnsi="宋体" w:cs="宋体"/>
          <w:kern w:val="0"/>
          <w:sz w:val="24"/>
          <w:szCs w:val="24"/>
          <w:lang w:val="en-US" w:eastAsia="zh-CN"/>
        </w:rPr>
        <w:t>，成品酒≤6.0</w:t>
      </w:r>
      <w:r>
        <w:rPr>
          <w:rFonts w:hint="eastAsia" w:ascii="Times New Roman" w:hAnsi="Times New Roman" w:cs="Times New Roman"/>
          <w:color w:val="000000"/>
          <w:kern w:val="0"/>
          <w:sz w:val="24"/>
          <w:szCs w:val="24"/>
          <w:lang w:val="en-US" w:eastAsia="zh-CN"/>
        </w:rPr>
        <w:t>m</w:t>
      </w:r>
      <w:r>
        <w:rPr>
          <w:rFonts w:hint="eastAsia" w:ascii="Times New Roman" w:hAnsi="Times New Roman" w:cs="Times New Roman"/>
          <w:color w:val="000000"/>
          <w:kern w:val="0"/>
          <w:sz w:val="24"/>
          <w:szCs w:val="24"/>
          <w:vertAlign w:val="superscript"/>
          <w:lang w:val="en-US" w:eastAsia="zh-CN"/>
        </w:rPr>
        <w:t>3</w:t>
      </w:r>
      <w:r>
        <w:rPr>
          <w:rFonts w:hint="default" w:ascii="Times New Roman" w:hAnsi="Times New Roman" w:cs="Times New Roman"/>
          <w:color w:val="000000"/>
          <w:kern w:val="0"/>
          <w:sz w:val="24"/>
          <w:szCs w:val="24"/>
        </w:rPr>
        <w:t>/</w:t>
      </w:r>
      <w:r>
        <w:rPr>
          <w:rFonts w:hint="eastAsia" w:ascii="Times New Roman" w:hAnsi="Times New Roman" w:cs="Times New Roman"/>
          <w:color w:val="000000"/>
          <w:kern w:val="0"/>
          <w:sz w:val="24"/>
          <w:szCs w:val="24"/>
          <w:lang w:val="en-US" w:eastAsia="zh-CN"/>
        </w:rPr>
        <w:t>kL</w:t>
      </w:r>
      <w:r>
        <w:rPr>
          <w:rFonts w:hint="eastAsia" w:ascii="宋体" w:hAnsi="宋体" w:eastAsia="宋体" w:cs="宋体"/>
          <w:kern w:val="0"/>
          <w:sz w:val="24"/>
          <w:szCs w:val="24"/>
          <w:lang w:val="en-US" w:eastAsia="zh-CN"/>
        </w:rPr>
        <w:t>）。</w:t>
      </w:r>
    </w:p>
    <w:p w14:paraId="20B7B6BB">
      <w:pPr>
        <w:keepNext w:val="0"/>
        <w:keepLines w:val="0"/>
        <w:pageBreakBefore w:val="0"/>
        <w:widowControl/>
        <w:numPr>
          <w:ilvl w:val="0"/>
          <w:numId w:val="8"/>
        </w:numPr>
        <w:tabs>
          <w:tab w:val="center" w:pos="420"/>
          <w:tab w:val="right" w:leader="dot" w:pos="9298"/>
        </w:tabs>
        <w:kinsoku/>
        <w:wordWrap/>
        <w:overflowPunct/>
        <w:topLinePunct w:val="0"/>
        <w:autoSpaceDE w:val="0"/>
        <w:autoSpaceDN w:val="0"/>
        <w:bidi w:val="0"/>
        <w:adjustRightInd/>
        <w:snapToGrid/>
        <w:spacing w:line="420" w:lineRule="exact"/>
        <w:ind w:left="0" w:leftChars="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冷却水循环利用率参考</w:t>
      </w:r>
      <w:r>
        <w:rPr>
          <w:rFonts w:hint="default" w:ascii="宋体" w:hAnsi="宋体" w:eastAsia="宋体" w:cs="宋体"/>
          <w:kern w:val="0"/>
          <w:sz w:val="24"/>
          <w:szCs w:val="24"/>
          <w:lang w:val="en-US" w:eastAsia="zh-CN"/>
        </w:rPr>
        <w:t>HJ/T 402</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2007</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清洁生产标准 白酒制造业</w:t>
      </w:r>
      <w:r>
        <w:rPr>
          <w:rFonts w:hint="eastAsia" w:ascii="宋体" w:hAnsi="宋体" w:eastAsia="宋体" w:cs="宋体"/>
          <w:kern w:val="0"/>
          <w:sz w:val="24"/>
          <w:szCs w:val="24"/>
          <w:lang w:val="en-US" w:eastAsia="zh-CN"/>
        </w:rPr>
        <w:t>》表1对应的一级指标及计算公式</w:t>
      </w:r>
      <w:r>
        <w:rPr>
          <w:rFonts w:hint="eastAsia" w:ascii="宋体" w:hAnsi="宋体" w:cs="宋体"/>
          <w:kern w:val="0"/>
          <w:sz w:val="24"/>
          <w:szCs w:val="24"/>
          <w:lang w:val="en-US" w:eastAsia="zh-CN"/>
        </w:rPr>
        <w:t>（</w:t>
      </w:r>
      <w:r>
        <w:rPr>
          <w:rFonts w:hint="default" w:ascii="宋体" w:hAnsi="宋体" w:eastAsia="宋体" w:cs="宋体"/>
          <w:kern w:val="0"/>
          <w:sz w:val="24"/>
          <w:lang w:val="en-US" w:eastAsia="zh-CN"/>
        </w:rPr>
        <w:t>HJ/T 402</w:t>
      </w:r>
      <w:r>
        <w:rPr>
          <w:rFonts w:hint="eastAsia" w:ascii="宋体" w:hAnsi="宋体" w:eastAsia="宋体" w:cs="宋体"/>
          <w:kern w:val="0"/>
          <w:sz w:val="24"/>
          <w:lang w:val="en-US" w:eastAsia="zh-CN"/>
        </w:rPr>
        <w:t>－</w:t>
      </w:r>
      <w:r>
        <w:rPr>
          <w:rFonts w:hint="default" w:ascii="宋体" w:hAnsi="宋体" w:eastAsia="宋体" w:cs="宋体"/>
          <w:kern w:val="0"/>
          <w:sz w:val="24"/>
          <w:lang w:val="en-US" w:eastAsia="zh-CN"/>
        </w:rPr>
        <w:t>2007</w:t>
      </w:r>
      <w:r>
        <w:rPr>
          <w:rFonts w:hint="eastAsia" w:ascii="宋体" w:hAnsi="宋体" w:eastAsia="宋体" w:cs="宋体"/>
          <w:kern w:val="0"/>
          <w:sz w:val="24"/>
          <w:lang w:val="en-US" w:eastAsia="zh-CN"/>
        </w:rPr>
        <w:t>共分三级</w:t>
      </w:r>
      <w:r>
        <w:rPr>
          <w:rFonts w:hint="eastAsia" w:ascii="宋体" w:hAnsi="宋体" w:cs="宋体"/>
          <w:kern w:val="0"/>
          <w:sz w:val="24"/>
          <w:lang w:val="en-US" w:eastAsia="zh-CN"/>
        </w:rPr>
        <w:t>，其中一级≥90%，二级≥80%，三级≥70%</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w:t>
      </w:r>
    </w:p>
    <w:p w14:paraId="1BB99FE4">
      <w:pPr>
        <w:keepNext w:val="0"/>
        <w:keepLines w:val="0"/>
        <w:pageBreakBefore w:val="0"/>
        <w:widowControl/>
        <w:numPr>
          <w:ilvl w:val="0"/>
          <w:numId w:val="0"/>
        </w:numPr>
        <w:tabs>
          <w:tab w:val="center" w:pos="420"/>
          <w:tab w:val="right" w:leader="dot" w:pos="9298"/>
        </w:tabs>
        <w:kinsoku/>
        <w:wordWrap/>
        <w:overflowPunct/>
        <w:topLinePunct w:val="0"/>
        <w:autoSpaceDE w:val="0"/>
        <w:autoSpaceDN w:val="0"/>
        <w:bidi w:val="0"/>
        <w:adjustRightInd/>
        <w:snapToGrid/>
        <w:spacing w:line="420" w:lineRule="exact"/>
        <w:ind w:leftChars="0" w:firstLine="480" w:firstLineChars="200"/>
        <w:textAlignment w:val="auto"/>
        <w:rPr>
          <w:rFonts w:hint="default" w:ascii="Times New Roman" w:hAnsi="Times New Roman" w:cs="Times New Roman"/>
          <w:szCs w:val="21"/>
        </w:rPr>
      </w:pPr>
      <w:r>
        <w:rPr>
          <w:rFonts w:hint="eastAsia" w:ascii="宋体" w:hAnsi="宋体" w:eastAsia="宋体" w:cs="宋体"/>
          <w:kern w:val="0"/>
          <w:sz w:val="24"/>
          <w:lang w:val="en-US" w:eastAsia="zh-CN"/>
        </w:rPr>
        <w:t>即：</w:t>
      </w:r>
    </w:p>
    <w:tbl>
      <w:tblPr>
        <w:tblStyle w:val="29"/>
        <w:tblW w:w="0" w:type="auto"/>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021"/>
        <w:gridCol w:w="2132"/>
        <w:gridCol w:w="911"/>
        <w:gridCol w:w="1511"/>
        <w:gridCol w:w="2068"/>
      </w:tblGrid>
      <w:tr w14:paraId="12ED3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dxa"/>
            <w:tcBorders>
              <w:top w:val="single" w:color="auto" w:sz="8" w:space="0"/>
              <w:bottom w:val="single" w:color="auto" w:sz="8" w:space="0"/>
            </w:tcBorders>
            <w:noWrap w:val="0"/>
            <w:vAlign w:val="center"/>
          </w:tcPr>
          <w:p w14:paraId="42E2813B">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序号</w:t>
            </w:r>
          </w:p>
        </w:tc>
        <w:tc>
          <w:tcPr>
            <w:tcW w:w="1021" w:type="dxa"/>
            <w:tcBorders>
              <w:top w:val="single" w:color="auto" w:sz="8" w:space="0"/>
              <w:bottom w:val="single" w:color="auto" w:sz="8" w:space="0"/>
            </w:tcBorders>
            <w:noWrap w:val="0"/>
            <w:vAlign w:val="center"/>
          </w:tcPr>
          <w:p w14:paraId="57FA1192">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一级指标</w:t>
            </w:r>
          </w:p>
        </w:tc>
        <w:tc>
          <w:tcPr>
            <w:tcW w:w="2132" w:type="dxa"/>
            <w:tcBorders>
              <w:top w:val="single" w:color="auto" w:sz="8" w:space="0"/>
              <w:bottom w:val="single" w:color="auto" w:sz="8" w:space="0"/>
            </w:tcBorders>
            <w:noWrap w:val="0"/>
            <w:vAlign w:val="center"/>
          </w:tcPr>
          <w:p w14:paraId="63AEE66D">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二级指标</w:t>
            </w:r>
          </w:p>
        </w:tc>
        <w:tc>
          <w:tcPr>
            <w:tcW w:w="911" w:type="dxa"/>
            <w:tcBorders>
              <w:top w:val="single" w:color="auto" w:sz="8" w:space="0"/>
              <w:bottom w:val="single" w:color="auto" w:sz="8" w:space="0"/>
            </w:tcBorders>
            <w:noWrap w:val="0"/>
            <w:vAlign w:val="center"/>
          </w:tcPr>
          <w:p w14:paraId="27EBB259">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单位</w:t>
            </w:r>
          </w:p>
        </w:tc>
        <w:tc>
          <w:tcPr>
            <w:tcW w:w="1511" w:type="dxa"/>
            <w:tcBorders>
              <w:top w:val="single" w:color="auto" w:sz="8" w:space="0"/>
              <w:bottom w:val="single" w:color="auto" w:sz="8" w:space="0"/>
            </w:tcBorders>
            <w:noWrap w:val="0"/>
            <w:vAlign w:val="center"/>
          </w:tcPr>
          <w:p w14:paraId="09B76B46">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基准值</w:t>
            </w:r>
          </w:p>
        </w:tc>
        <w:tc>
          <w:tcPr>
            <w:tcW w:w="2068" w:type="dxa"/>
            <w:tcBorders>
              <w:top w:val="single" w:color="auto" w:sz="8" w:space="0"/>
              <w:bottom w:val="single" w:color="auto" w:sz="8" w:space="0"/>
            </w:tcBorders>
            <w:noWrap w:val="0"/>
            <w:vAlign w:val="center"/>
          </w:tcPr>
          <w:p w14:paraId="4219EED5">
            <w:pPr>
              <w:pageBreakBefore w:val="0"/>
              <w:widowControl/>
              <w:kinsoku/>
              <w:wordWrap/>
              <w:overflowPunct/>
              <w:topLinePunct w:val="0"/>
              <w:bidi w:val="0"/>
              <w:adjustRightInd/>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判定依据</w:t>
            </w:r>
          </w:p>
        </w:tc>
      </w:tr>
      <w:tr w14:paraId="4CD528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689" w:type="dxa"/>
            <w:tcBorders>
              <w:top w:val="single" w:color="auto" w:sz="8" w:space="0"/>
              <w:bottom w:val="single" w:color="auto" w:sz="4" w:space="0"/>
            </w:tcBorders>
            <w:noWrap w:val="0"/>
            <w:vAlign w:val="center"/>
          </w:tcPr>
          <w:p w14:paraId="40DE00D9">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1021" w:type="dxa"/>
            <w:vMerge w:val="restart"/>
            <w:tcBorders>
              <w:top w:val="single" w:color="auto" w:sz="8" w:space="0"/>
            </w:tcBorders>
            <w:noWrap w:val="0"/>
            <w:vAlign w:val="center"/>
          </w:tcPr>
          <w:p w14:paraId="7E28C23C">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资源属性</w:t>
            </w:r>
          </w:p>
        </w:tc>
        <w:tc>
          <w:tcPr>
            <w:tcW w:w="2132" w:type="dxa"/>
            <w:tcBorders>
              <w:top w:val="single" w:color="auto" w:sz="8" w:space="0"/>
              <w:bottom w:val="single" w:color="auto" w:sz="4" w:space="0"/>
            </w:tcBorders>
            <w:noWrap w:val="0"/>
            <w:vAlign w:val="center"/>
          </w:tcPr>
          <w:p w14:paraId="4851E3AD">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单位产品取水量</w:t>
            </w:r>
          </w:p>
        </w:tc>
        <w:tc>
          <w:tcPr>
            <w:tcW w:w="911" w:type="dxa"/>
            <w:tcBorders>
              <w:top w:val="single" w:color="auto" w:sz="8" w:space="0"/>
              <w:bottom w:val="single" w:color="auto" w:sz="4" w:space="0"/>
            </w:tcBorders>
            <w:noWrap w:val="0"/>
            <w:vAlign w:val="center"/>
          </w:tcPr>
          <w:p w14:paraId="5A251D89">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eastAsia" w:ascii="Times New Roman" w:hAnsi="Times New Roman" w:cs="Times New Roman"/>
                <w:color w:val="000000"/>
                <w:kern w:val="0"/>
                <w:sz w:val="18"/>
                <w:szCs w:val="18"/>
                <w:lang w:val="en-US" w:eastAsia="zh-CN"/>
              </w:rPr>
              <w:t>m</w:t>
            </w:r>
            <w:r>
              <w:rPr>
                <w:rFonts w:hint="eastAsia" w:ascii="Times New Roman" w:hAnsi="Times New Roman" w:cs="Times New Roman"/>
                <w:color w:val="000000"/>
                <w:kern w:val="0"/>
                <w:sz w:val="18"/>
                <w:szCs w:val="18"/>
                <w:vertAlign w:val="superscript"/>
                <w:lang w:val="en-US" w:eastAsia="zh-CN"/>
              </w:rPr>
              <w:t>3</w:t>
            </w:r>
            <w:r>
              <w:rPr>
                <w:rFonts w:hint="default" w:ascii="Times New Roman" w:hAnsi="Times New Roman" w:cs="Times New Roman"/>
                <w:color w:val="000000"/>
                <w:kern w:val="0"/>
                <w:sz w:val="18"/>
                <w:szCs w:val="18"/>
              </w:rPr>
              <w:t>/</w:t>
            </w:r>
            <w:r>
              <w:rPr>
                <w:rFonts w:hint="eastAsia" w:ascii="Times New Roman" w:hAnsi="Times New Roman" w:cs="Times New Roman"/>
                <w:color w:val="000000"/>
                <w:kern w:val="0"/>
                <w:sz w:val="18"/>
                <w:szCs w:val="18"/>
                <w:lang w:val="en-US" w:eastAsia="zh-CN"/>
              </w:rPr>
              <w:t>kL</w:t>
            </w:r>
          </w:p>
        </w:tc>
        <w:tc>
          <w:tcPr>
            <w:tcW w:w="1511" w:type="dxa"/>
            <w:tcBorders>
              <w:top w:val="single" w:color="auto" w:sz="8" w:space="0"/>
              <w:bottom w:val="single" w:color="auto" w:sz="4" w:space="0"/>
            </w:tcBorders>
            <w:noWrap w:val="0"/>
            <w:vAlign w:val="center"/>
          </w:tcPr>
          <w:p w14:paraId="52E4AD41">
            <w:pPr>
              <w:pageBreakBefore w:val="0"/>
              <w:kinsoku/>
              <w:wordWrap/>
              <w:overflowPunct/>
              <w:topLinePunct w:val="0"/>
              <w:bidi w:val="0"/>
              <w:adjustRightInd/>
              <w:snapToGrid/>
              <w:spacing w:line="240" w:lineRule="auto"/>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原酒：≤26.0</w:t>
            </w:r>
          </w:p>
          <w:p w14:paraId="647E28B9">
            <w:pPr>
              <w:pageBreakBefore w:val="0"/>
              <w:kinsoku/>
              <w:wordWrap/>
              <w:overflowPunct/>
              <w:topLinePunct w:val="0"/>
              <w:bidi w:val="0"/>
              <w:adjustRightInd/>
              <w:snapToGrid/>
              <w:spacing w:line="240" w:lineRule="auto"/>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成品酒：≤5.0</w:t>
            </w:r>
          </w:p>
        </w:tc>
        <w:tc>
          <w:tcPr>
            <w:tcW w:w="2068" w:type="dxa"/>
            <w:tcBorders>
              <w:top w:val="single" w:color="auto" w:sz="8" w:space="0"/>
              <w:bottom w:val="single" w:color="auto" w:sz="4" w:space="0"/>
            </w:tcBorders>
            <w:noWrap w:val="0"/>
            <w:vAlign w:val="center"/>
          </w:tcPr>
          <w:p w14:paraId="79672BB0">
            <w:pPr>
              <w:pageBreakBefore w:val="0"/>
              <w:kinsoku/>
              <w:wordWrap/>
              <w:overflowPunct/>
              <w:topLinePunct w:val="0"/>
              <w:bidi w:val="0"/>
              <w:adjustRightInd/>
              <w:snapToGrid/>
              <w:spacing w:line="240" w:lineRule="auto"/>
              <w:jc w:val="center"/>
              <w:rPr>
                <w:rFonts w:hint="eastAsia"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按</w:t>
            </w:r>
            <w:r>
              <w:rPr>
                <w:rFonts w:hint="eastAsia" w:ascii="Times New Roman" w:hAnsi="Times New Roman" w:eastAsia="宋体" w:cs="Times New Roman"/>
                <w:color w:val="000000"/>
                <w:kern w:val="0"/>
                <w:sz w:val="18"/>
                <w:szCs w:val="18"/>
                <w:lang w:val="en-US" w:eastAsia="zh-CN"/>
              </w:rPr>
              <w:t>照</w:t>
            </w:r>
            <w:r>
              <w:rPr>
                <w:rFonts w:hint="default" w:ascii="Times New Roman" w:hAnsi="Times New Roman" w:eastAsia="宋体" w:cs="Times New Roman"/>
                <w:color w:val="000000"/>
                <w:kern w:val="0"/>
                <w:sz w:val="18"/>
                <w:szCs w:val="18"/>
                <w:lang w:val="en-US" w:eastAsia="zh-CN"/>
              </w:rPr>
              <w:t>GB/T 18916.15</w:t>
            </w:r>
          </w:p>
          <w:p w14:paraId="03839729">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计算，并提供证明材</w:t>
            </w:r>
            <w:r>
              <w:rPr>
                <w:rFonts w:hint="default" w:ascii="Times New Roman" w:hAnsi="Times New Roman" w:cs="Times New Roman"/>
                <w:color w:val="000000"/>
                <w:kern w:val="0"/>
                <w:sz w:val="18"/>
                <w:szCs w:val="18"/>
              </w:rPr>
              <w:t>料</w:t>
            </w:r>
          </w:p>
        </w:tc>
      </w:tr>
      <w:tr w14:paraId="74611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689" w:type="dxa"/>
            <w:tcBorders>
              <w:top w:val="single" w:color="auto" w:sz="4" w:space="0"/>
            </w:tcBorders>
            <w:noWrap w:val="0"/>
            <w:vAlign w:val="center"/>
          </w:tcPr>
          <w:p w14:paraId="731EE64F">
            <w:pPr>
              <w:pageBreakBefore w:val="0"/>
              <w:widowControl/>
              <w:kinsoku/>
              <w:wordWrap/>
              <w:overflowPunct/>
              <w:topLinePunct w:val="0"/>
              <w:bidi w:val="0"/>
              <w:adjustRightInd/>
              <w:snapToGrid/>
              <w:spacing w:line="240" w:lineRule="auto"/>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2</w:t>
            </w:r>
          </w:p>
        </w:tc>
        <w:tc>
          <w:tcPr>
            <w:tcW w:w="1021" w:type="dxa"/>
            <w:vMerge w:val="continue"/>
            <w:noWrap w:val="0"/>
            <w:vAlign w:val="center"/>
          </w:tcPr>
          <w:p w14:paraId="1A767F43">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p>
        </w:tc>
        <w:tc>
          <w:tcPr>
            <w:tcW w:w="2132" w:type="dxa"/>
            <w:tcBorders>
              <w:top w:val="single" w:color="auto" w:sz="4" w:space="0"/>
            </w:tcBorders>
            <w:noWrap w:val="0"/>
            <w:vAlign w:val="center"/>
          </w:tcPr>
          <w:p w14:paraId="062A6C75">
            <w:pPr>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冷却水循环利用率</w:t>
            </w:r>
          </w:p>
        </w:tc>
        <w:tc>
          <w:tcPr>
            <w:tcW w:w="911" w:type="dxa"/>
            <w:tcBorders>
              <w:top w:val="single" w:color="auto" w:sz="4" w:space="0"/>
            </w:tcBorders>
            <w:noWrap w:val="0"/>
            <w:vAlign w:val="center"/>
          </w:tcPr>
          <w:p w14:paraId="2CBC5150">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w:t>
            </w:r>
          </w:p>
        </w:tc>
        <w:tc>
          <w:tcPr>
            <w:tcW w:w="1511" w:type="dxa"/>
            <w:tcBorders>
              <w:top w:val="single" w:color="auto" w:sz="4" w:space="0"/>
            </w:tcBorders>
            <w:noWrap w:val="0"/>
            <w:vAlign w:val="center"/>
          </w:tcPr>
          <w:p w14:paraId="311E69B7">
            <w:pPr>
              <w:pageBreakBefore w:val="0"/>
              <w:kinsoku/>
              <w:wordWrap/>
              <w:overflowPunct/>
              <w:topLinePunct w:val="0"/>
              <w:bidi w:val="0"/>
              <w:adjustRightInd/>
              <w:snapToGrid/>
              <w:spacing w:line="240" w:lineRule="auto"/>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≥90</w:t>
            </w:r>
          </w:p>
        </w:tc>
        <w:tc>
          <w:tcPr>
            <w:tcW w:w="2068" w:type="dxa"/>
            <w:tcBorders>
              <w:top w:val="single" w:color="auto" w:sz="4" w:space="0"/>
            </w:tcBorders>
            <w:noWrap w:val="0"/>
            <w:vAlign w:val="center"/>
          </w:tcPr>
          <w:p w14:paraId="4FA5E6B1">
            <w:pPr>
              <w:pageBreakBefore w:val="0"/>
              <w:kinsoku/>
              <w:wordWrap/>
              <w:overflowPunct/>
              <w:topLinePunct w:val="0"/>
              <w:bidi w:val="0"/>
              <w:adjustRightInd/>
              <w:snapToGrid/>
              <w:spacing w:line="240" w:lineRule="auto"/>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按</w:t>
            </w:r>
            <w:r>
              <w:rPr>
                <w:rFonts w:hint="eastAsia" w:ascii="Times New Roman" w:hAnsi="Times New Roman" w:eastAsia="宋体" w:cs="Times New Roman"/>
                <w:spacing w:val="0"/>
                <w:sz w:val="18"/>
                <w:szCs w:val="18"/>
                <w:lang w:val="en-US" w:eastAsia="zh-CN"/>
              </w:rPr>
              <w:t>照</w:t>
            </w:r>
            <w:r>
              <w:rPr>
                <w:rFonts w:hint="default" w:ascii="Times New Roman" w:hAnsi="Times New Roman" w:cs="Times New Roman"/>
                <w:color w:val="000000"/>
                <w:kern w:val="0"/>
                <w:sz w:val="18"/>
                <w:szCs w:val="18"/>
              </w:rPr>
              <w:t>附录</w:t>
            </w:r>
            <w:r>
              <w:rPr>
                <w:rFonts w:hint="eastAsia" w:ascii="Times New Roman" w:hAnsi="Times New Roman" w:cs="Times New Roman"/>
                <w:color w:val="000000"/>
                <w:kern w:val="0"/>
                <w:sz w:val="18"/>
                <w:szCs w:val="18"/>
                <w:lang w:val="en-US" w:eastAsia="zh-CN"/>
              </w:rPr>
              <w:t>B中B</w:t>
            </w:r>
            <w:r>
              <w:rPr>
                <w:rFonts w:hint="default" w:ascii="Times New Roman" w:hAnsi="Times New Roman" w:cs="Times New Roman"/>
                <w:color w:val="000000"/>
                <w:kern w:val="0"/>
                <w:sz w:val="18"/>
                <w:szCs w:val="18"/>
              </w:rPr>
              <w:t>.</w:t>
            </w:r>
            <w:r>
              <w:rPr>
                <w:rFonts w:hint="eastAsia" w:ascii="Times New Roman" w:hAnsi="Times New Roman" w:cs="Times New Roman"/>
                <w:color w:val="000000"/>
                <w:kern w:val="0"/>
                <w:sz w:val="18"/>
                <w:szCs w:val="18"/>
                <w:lang w:val="en-US" w:eastAsia="zh-CN"/>
              </w:rPr>
              <w:t>1</w:t>
            </w:r>
            <w:r>
              <w:rPr>
                <w:rFonts w:hint="default" w:ascii="Times New Roman" w:hAnsi="Times New Roman" w:cs="Times New Roman"/>
                <w:color w:val="000000"/>
                <w:kern w:val="0"/>
                <w:sz w:val="18"/>
                <w:szCs w:val="18"/>
              </w:rPr>
              <w:t>计算，并提供证明材料</w:t>
            </w:r>
          </w:p>
        </w:tc>
      </w:tr>
    </w:tbl>
    <w:p w14:paraId="0C17D2C1">
      <w:pPr>
        <w:keepNext w:val="0"/>
        <w:keepLines w:val="0"/>
        <w:pageBreakBefore w:val="0"/>
        <w:widowControl/>
        <w:numPr>
          <w:ilvl w:val="0"/>
          <w:numId w:val="7"/>
        </w:numPr>
        <w:tabs>
          <w:tab w:val="center" w:pos="420"/>
          <w:tab w:val="right" w:leader="dot" w:pos="9298"/>
        </w:tabs>
        <w:kinsoku/>
        <w:wordWrap/>
        <w:overflowPunct/>
        <w:topLinePunct w:val="0"/>
        <w:autoSpaceDE w:val="0"/>
        <w:autoSpaceDN w:val="0"/>
        <w:bidi w:val="0"/>
        <w:adjustRightInd/>
        <w:snapToGrid/>
        <w:spacing w:line="420" w:lineRule="exact"/>
        <w:ind w:left="425" w:leftChars="0" w:hanging="425" w:firstLineChars="0"/>
        <w:textAlignment w:val="auto"/>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环境属性指标</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单位产品废水产生量</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单位产品化学需氧量</w:t>
      </w:r>
      <w:r>
        <w:rPr>
          <w:rFonts w:hint="eastAsia" w:ascii="宋体" w:hAnsi="宋体" w:eastAsia="宋体" w:cs="宋体"/>
          <w:kern w:val="0"/>
          <w:sz w:val="24"/>
          <w:szCs w:val="24"/>
          <w:lang w:val="en-US" w:eastAsia="zh-CN"/>
        </w:rPr>
        <w:t>（COD）</w:t>
      </w:r>
      <w:r>
        <w:rPr>
          <w:rFonts w:hint="default" w:ascii="宋体" w:hAnsi="宋体" w:eastAsia="宋体" w:cs="宋体"/>
          <w:kern w:val="0"/>
          <w:sz w:val="24"/>
          <w:szCs w:val="24"/>
          <w:lang w:val="en-US" w:eastAsia="zh-CN"/>
        </w:rPr>
        <w:t>产生量</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单位产品</w:t>
      </w:r>
      <w:r>
        <w:rPr>
          <w:rFonts w:hint="eastAsia" w:ascii="宋体" w:hAnsi="宋体" w:eastAsia="宋体" w:cs="宋体"/>
          <w:kern w:val="0"/>
          <w:sz w:val="24"/>
          <w:szCs w:val="24"/>
          <w:lang w:val="en-US" w:eastAsia="zh-CN"/>
        </w:rPr>
        <w:t>生化需氧量（BOD）</w:t>
      </w:r>
      <w:r>
        <w:rPr>
          <w:rFonts w:hint="default" w:ascii="宋体" w:hAnsi="宋体" w:eastAsia="宋体" w:cs="宋体"/>
          <w:kern w:val="0"/>
          <w:sz w:val="24"/>
          <w:szCs w:val="24"/>
          <w:lang w:val="en-US" w:eastAsia="zh-CN"/>
        </w:rPr>
        <w:t>产生量</w:t>
      </w:r>
      <w:r>
        <w:rPr>
          <w:rFonts w:hint="eastAsia" w:ascii="宋体" w:hAnsi="宋体" w:eastAsia="宋体" w:cs="宋体"/>
          <w:kern w:val="0"/>
          <w:sz w:val="24"/>
          <w:szCs w:val="24"/>
          <w:lang w:val="en-US" w:eastAsia="zh-CN"/>
        </w:rPr>
        <w:t>、固态酒糟]参考</w:t>
      </w:r>
      <w:r>
        <w:rPr>
          <w:rFonts w:hint="default" w:ascii="宋体" w:hAnsi="宋体" w:eastAsia="宋体" w:cs="宋体"/>
          <w:kern w:val="0"/>
          <w:sz w:val="24"/>
          <w:szCs w:val="24"/>
          <w:lang w:val="en-US" w:eastAsia="zh-CN"/>
        </w:rPr>
        <w:t>HJ/T 402</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2007</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清洁生产标准 白酒制造业</w:t>
      </w:r>
      <w:r>
        <w:rPr>
          <w:rFonts w:hint="eastAsia" w:ascii="宋体" w:hAnsi="宋体" w:eastAsia="宋体" w:cs="宋体"/>
          <w:kern w:val="0"/>
          <w:sz w:val="24"/>
          <w:szCs w:val="24"/>
          <w:lang w:val="en-US" w:eastAsia="zh-CN"/>
        </w:rPr>
        <w:t>》表1对应的一级指标及计算公式</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HJ/T 402－2007</w:t>
      </w:r>
      <w:r>
        <w:rPr>
          <w:rFonts w:hint="eastAsia" w:ascii="宋体" w:hAnsi="宋体" w:eastAsia="宋体" w:cs="宋体"/>
          <w:color w:val="000000"/>
          <w:kern w:val="0"/>
          <w:sz w:val="24"/>
          <w:szCs w:val="24"/>
        </w:rPr>
        <w:t>单位产品废水产生量</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一级≤20</w:t>
      </w:r>
      <w:r>
        <w:rPr>
          <w:rFonts w:hint="eastAsia" w:ascii="宋体" w:hAnsi="宋体" w:eastAsia="宋体" w:cs="宋体"/>
          <w:color w:val="000000"/>
          <w:kern w:val="0"/>
          <w:sz w:val="24"/>
          <w:szCs w:val="24"/>
        </w:rPr>
        <w:t>m³/</w:t>
      </w:r>
      <w:r>
        <w:rPr>
          <w:rFonts w:hint="eastAsia" w:ascii="宋体" w:hAnsi="宋体" w:eastAsia="宋体" w:cs="宋体"/>
          <w:color w:val="000000"/>
          <w:kern w:val="0"/>
          <w:sz w:val="24"/>
          <w:szCs w:val="24"/>
          <w:lang w:val="en-US" w:eastAsia="zh-CN"/>
        </w:rPr>
        <w:t>kL，二级≤20</w:t>
      </w:r>
      <w:r>
        <w:rPr>
          <w:rFonts w:hint="eastAsia" w:ascii="宋体" w:hAnsi="宋体" w:eastAsia="宋体" w:cs="宋体"/>
          <w:color w:val="000000"/>
          <w:kern w:val="0"/>
          <w:sz w:val="24"/>
          <w:szCs w:val="24"/>
        </w:rPr>
        <w:t>m³/</w:t>
      </w:r>
      <w:r>
        <w:rPr>
          <w:rFonts w:hint="eastAsia" w:ascii="宋体" w:hAnsi="宋体" w:eastAsia="宋体" w:cs="宋体"/>
          <w:color w:val="000000"/>
          <w:kern w:val="0"/>
          <w:sz w:val="24"/>
          <w:szCs w:val="24"/>
          <w:lang w:val="en-US" w:eastAsia="zh-CN"/>
        </w:rPr>
        <w:t>kL，三级≤20</w:t>
      </w:r>
      <w:r>
        <w:rPr>
          <w:rFonts w:hint="eastAsia" w:ascii="宋体" w:hAnsi="宋体" w:eastAsia="宋体" w:cs="宋体"/>
          <w:color w:val="000000"/>
          <w:kern w:val="0"/>
          <w:sz w:val="24"/>
          <w:szCs w:val="24"/>
        </w:rPr>
        <w:t>m³/</w:t>
      </w:r>
      <w:r>
        <w:rPr>
          <w:rFonts w:hint="eastAsia" w:ascii="宋体" w:hAnsi="宋体" w:eastAsia="宋体" w:cs="宋体"/>
          <w:color w:val="000000"/>
          <w:kern w:val="0"/>
          <w:sz w:val="24"/>
          <w:szCs w:val="24"/>
          <w:lang w:val="en-US" w:eastAsia="zh-CN"/>
        </w:rPr>
        <w:t>kL；</w:t>
      </w:r>
      <w:r>
        <w:rPr>
          <w:rFonts w:hint="eastAsia" w:ascii="宋体" w:hAnsi="宋体" w:eastAsia="宋体" w:cs="宋体"/>
          <w:color w:val="000000"/>
          <w:kern w:val="0"/>
          <w:sz w:val="24"/>
          <w:szCs w:val="24"/>
        </w:rPr>
        <w:t>单位产品化学需氧量</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COD</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产生量</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一级≤100</w:t>
      </w:r>
      <w:r>
        <w:rPr>
          <w:rFonts w:hint="eastAsia" w:ascii="宋体" w:hAnsi="宋体" w:eastAsia="宋体" w:cs="宋体"/>
          <w:color w:val="000000"/>
          <w:kern w:val="0"/>
          <w:sz w:val="24"/>
          <w:szCs w:val="24"/>
        </w:rPr>
        <w:t>kg/</w:t>
      </w:r>
      <w:r>
        <w:rPr>
          <w:rFonts w:hint="eastAsia" w:ascii="宋体" w:hAnsi="宋体" w:eastAsia="宋体" w:cs="宋体"/>
          <w:color w:val="000000"/>
          <w:kern w:val="0"/>
          <w:sz w:val="24"/>
          <w:szCs w:val="24"/>
          <w:lang w:val="en-US" w:eastAsia="zh-CN"/>
        </w:rPr>
        <w:t>kL，二级≤120</w:t>
      </w:r>
      <w:r>
        <w:rPr>
          <w:rFonts w:hint="eastAsia" w:ascii="宋体" w:hAnsi="宋体" w:eastAsia="宋体" w:cs="宋体"/>
          <w:color w:val="000000"/>
          <w:kern w:val="0"/>
          <w:sz w:val="24"/>
          <w:szCs w:val="24"/>
        </w:rPr>
        <w:t>kg/</w:t>
      </w:r>
      <w:r>
        <w:rPr>
          <w:rFonts w:hint="eastAsia" w:ascii="宋体" w:hAnsi="宋体" w:eastAsia="宋体" w:cs="宋体"/>
          <w:color w:val="000000"/>
          <w:kern w:val="0"/>
          <w:sz w:val="24"/>
          <w:szCs w:val="24"/>
          <w:lang w:val="en-US" w:eastAsia="zh-CN"/>
        </w:rPr>
        <w:t>kL，三级≤150</w:t>
      </w:r>
      <w:r>
        <w:rPr>
          <w:rFonts w:hint="eastAsia" w:ascii="宋体" w:hAnsi="宋体" w:eastAsia="宋体" w:cs="宋体"/>
          <w:color w:val="000000"/>
          <w:kern w:val="0"/>
          <w:sz w:val="24"/>
          <w:szCs w:val="24"/>
        </w:rPr>
        <w:t>kg/</w:t>
      </w:r>
      <w:r>
        <w:rPr>
          <w:rFonts w:hint="eastAsia" w:ascii="宋体" w:hAnsi="宋体" w:eastAsia="宋体" w:cs="宋体"/>
          <w:color w:val="000000"/>
          <w:kern w:val="0"/>
          <w:sz w:val="24"/>
          <w:szCs w:val="24"/>
          <w:lang w:val="en-US" w:eastAsia="zh-CN"/>
        </w:rPr>
        <w:t>kL；</w:t>
      </w:r>
      <w:r>
        <w:rPr>
          <w:rFonts w:hint="eastAsia" w:ascii="宋体" w:hAnsi="宋体" w:eastAsia="宋体" w:cs="宋体"/>
          <w:color w:val="000000"/>
          <w:kern w:val="0"/>
          <w:sz w:val="24"/>
          <w:szCs w:val="24"/>
        </w:rPr>
        <w:t>单位产品</w:t>
      </w:r>
      <w:r>
        <w:rPr>
          <w:rFonts w:hint="eastAsia" w:ascii="宋体" w:hAnsi="宋体" w:eastAsia="宋体" w:cs="宋体"/>
          <w:color w:val="000000"/>
          <w:kern w:val="0"/>
          <w:sz w:val="24"/>
          <w:szCs w:val="24"/>
          <w:lang w:val="en-US" w:eastAsia="zh-CN"/>
        </w:rPr>
        <w:t>生化需氧量（BOD）</w:t>
      </w:r>
      <w:r>
        <w:rPr>
          <w:rFonts w:hint="eastAsia" w:ascii="宋体" w:hAnsi="宋体" w:eastAsia="宋体" w:cs="宋体"/>
          <w:color w:val="000000"/>
          <w:kern w:val="0"/>
          <w:sz w:val="24"/>
          <w:szCs w:val="24"/>
        </w:rPr>
        <w:t>产生量</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一级≤55</w:t>
      </w:r>
      <w:r>
        <w:rPr>
          <w:rFonts w:hint="eastAsia" w:ascii="宋体" w:hAnsi="宋体" w:eastAsia="宋体" w:cs="宋体"/>
          <w:color w:val="000000"/>
          <w:kern w:val="0"/>
          <w:sz w:val="24"/>
          <w:szCs w:val="24"/>
        </w:rPr>
        <w:t>kg/</w:t>
      </w:r>
      <w:r>
        <w:rPr>
          <w:rFonts w:hint="eastAsia" w:ascii="宋体" w:hAnsi="宋体" w:eastAsia="宋体" w:cs="宋体"/>
          <w:color w:val="000000"/>
          <w:kern w:val="0"/>
          <w:sz w:val="24"/>
          <w:szCs w:val="24"/>
          <w:lang w:val="en-US" w:eastAsia="zh-CN"/>
        </w:rPr>
        <w:t>kL，二级≤65</w:t>
      </w:r>
      <w:r>
        <w:rPr>
          <w:rFonts w:hint="eastAsia" w:ascii="宋体" w:hAnsi="宋体" w:eastAsia="宋体" w:cs="宋体"/>
          <w:color w:val="000000"/>
          <w:kern w:val="0"/>
          <w:sz w:val="24"/>
          <w:szCs w:val="24"/>
        </w:rPr>
        <w:t>kg/</w:t>
      </w:r>
      <w:r>
        <w:rPr>
          <w:rFonts w:hint="eastAsia" w:ascii="宋体" w:hAnsi="宋体" w:eastAsia="宋体" w:cs="宋体"/>
          <w:color w:val="000000"/>
          <w:kern w:val="0"/>
          <w:sz w:val="24"/>
          <w:szCs w:val="24"/>
          <w:lang w:val="en-US" w:eastAsia="zh-CN"/>
        </w:rPr>
        <w:t>kL，三级≤80</w:t>
      </w:r>
      <w:r>
        <w:rPr>
          <w:rFonts w:hint="eastAsia" w:ascii="宋体" w:hAnsi="宋体" w:eastAsia="宋体" w:cs="宋体"/>
          <w:color w:val="000000"/>
          <w:kern w:val="0"/>
          <w:sz w:val="24"/>
          <w:szCs w:val="24"/>
        </w:rPr>
        <w:t>kg/</w:t>
      </w:r>
      <w:r>
        <w:rPr>
          <w:rFonts w:hint="eastAsia" w:ascii="宋体" w:hAnsi="宋体" w:eastAsia="宋体" w:cs="宋体"/>
          <w:color w:val="000000"/>
          <w:kern w:val="0"/>
          <w:sz w:val="24"/>
          <w:szCs w:val="24"/>
          <w:lang w:val="en-US" w:eastAsia="zh-CN"/>
        </w:rPr>
        <w:t>kL</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CN"/>
        </w:rPr>
        <w:t>，即：</w:t>
      </w:r>
    </w:p>
    <w:p w14:paraId="77F33EBB">
      <w:pPr>
        <w:keepNext w:val="0"/>
        <w:keepLines w:val="0"/>
        <w:pageBreakBefore w:val="0"/>
        <w:widowControl/>
        <w:numPr>
          <w:ilvl w:val="0"/>
          <w:numId w:val="0"/>
        </w:numPr>
        <w:tabs>
          <w:tab w:val="center" w:pos="420"/>
          <w:tab w:val="right" w:leader="dot" w:pos="9298"/>
        </w:tabs>
        <w:kinsoku/>
        <w:wordWrap/>
        <w:overflowPunct/>
        <w:topLinePunct w:val="0"/>
        <w:autoSpaceDE w:val="0"/>
        <w:autoSpaceDN w:val="0"/>
        <w:bidi w:val="0"/>
        <w:adjustRightInd/>
        <w:snapToGrid/>
        <w:spacing w:line="420" w:lineRule="exact"/>
        <w:ind w:leftChars="0"/>
        <w:textAlignment w:val="auto"/>
        <w:rPr>
          <w:rFonts w:hint="default" w:ascii="Times New Roman" w:hAnsi="Times New Roman" w:cs="Times New Roman"/>
          <w:szCs w:val="21"/>
          <w:lang w:eastAsia="zh-CN"/>
        </w:rPr>
      </w:pPr>
    </w:p>
    <w:tbl>
      <w:tblPr>
        <w:tblStyle w:val="29"/>
        <w:tblW w:w="0" w:type="auto"/>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64"/>
        <w:gridCol w:w="2097"/>
        <w:gridCol w:w="900"/>
        <w:gridCol w:w="1500"/>
        <w:gridCol w:w="2068"/>
      </w:tblGrid>
      <w:tr w14:paraId="3BD64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8" w:space="0"/>
              <w:bottom w:val="single" w:color="auto" w:sz="8" w:space="0"/>
            </w:tcBorders>
            <w:noWrap w:val="0"/>
            <w:vAlign w:val="center"/>
          </w:tcPr>
          <w:p w14:paraId="707D32CD">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序号</w:t>
            </w:r>
          </w:p>
        </w:tc>
        <w:tc>
          <w:tcPr>
            <w:tcW w:w="1064" w:type="dxa"/>
            <w:tcBorders>
              <w:top w:val="single" w:color="auto" w:sz="8" w:space="0"/>
              <w:bottom w:val="single" w:color="auto" w:sz="8" w:space="0"/>
            </w:tcBorders>
            <w:noWrap w:val="0"/>
            <w:vAlign w:val="center"/>
          </w:tcPr>
          <w:p w14:paraId="0E63D81A">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一级指标</w:t>
            </w:r>
          </w:p>
        </w:tc>
        <w:tc>
          <w:tcPr>
            <w:tcW w:w="2097" w:type="dxa"/>
            <w:tcBorders>
              <w:top w:val="single" w:color="auto" w:sz="8" w:space="0"/>
              <w:bottom w:val="single" w:color="auto" w:sz="8" w:space="0"/>
            </w:tcBorders>
            <w:noWrap w:val="0"/>
            <w:vAlign w:val="center"/>
          </w:tcPr>
          <w:p w14:paraId="58E88A4E">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二级指标</w:t>
            </w:r>
          </w:p>
        </w:tc>
        <w:tc>
          <w:tcPr>
            <w:tcW w:w="900" w:type="dxa"/>
            <w:tcBorders>
              <w:top w:val="single" w:color="auto" w:sz="8" w:space="0"/>
              <w:bottom w:val="single" w:color="auto" w:sz="8" w:space="0"/>
            </w:tcBorders>
            <w:noWrap w:val="0"/>
            <w:vAlign w:val="center"/>
          </w:tcPr>
          <w:p w14:paraId="451487B1">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单位</w:t>
            </w:r>
          </w:p>
        </w:tc>
        <w:tc>
          <w:tcPr>
            <w:tcW w:w="1500" w:type="dxa"/>
            <w:tcBorders>
              <w:top w:val="single" w:color="auto" w:sz="8" w:space="0"/>
              <w:bottom w:val="single" w:color="auto" w:sz="8" w:space="0"/>
            </w:tcBorders>
            <w:noWrap w:val="0"/>
            <w:vAlign w:val="center"/>
          </w:tcPr>
          <w:p w14:paraId="3F928C85">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基准值</w:t>
            </w:r>
          </w:p>
        </w:tc>
        <w:tc>
          <w:tcPr>
            <w:tcW w:w="2068" w:type="dxa"/>
            <w:tcBorders>
              <w:top w:val="single" w:color="auto" w:sz="8" w:space="0"/>
              <w:bottom w:val="single" w:color="auto" w:sz="8" w:space="0"/>
            </w:tcBorders>
            <w:noWrap w:val="0"/>
            <w:vAlign w:val="center"/>
          </w:tcPr>
          <w:p w14:paraId="6CB3331F">
            <w:pPr>
              <w:pageBreakBefore w:val="0"/>
              <w:widowControl/>
              <w:kinsoku/>
              <w:wordWrap/>
              <w:overflowPunct/>
              <w:topLinePunct w:val="0"/>
              <w:bidi w:val="0"/>
              <w:adjustRightInd/>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判定依据</w:t>
            </w:r>
          </w:p>
        </w:tc>
      </w:tr>
      <w:tr w14:paraId="43AA2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8" w:space="0"/>
            </w:tcBorders>
            <w:noWrap w:val="0"/>
            <w:vAlign w:val="center"/>
          </w:tcPr>
          <w:p w14:paraId="7D467B64">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1064" w:type="dxa"/>
            <w:vMerge w:val="restart"/>
            <w:tcBorders>
              <w:top w:val="single" w:color="auto" w:sz="8" w:space="0"/>
            </w:tcBorders>
            <w:noWrap w:val="0"/>
            <w:vAlign w:val="center"/>
          </w:tcPr>
          <w:p w14:paraId="6AB5FFBB">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环境属性</w:t>
            </w:r>
          </w:p>
        </w:tc>
        <w:tc>
          <w:tcPr>
            <w:tcW w:w="2097" w:type="dxa"/>
            <w:tcBorders>
              <w:top w:val="single" w:color="auto" w:sz="8" w:space="0"/>
            </w:tcBorders>
            <w:noWrap w:val="0"/>
            <w:vAlign w:val="center"/>
          </w:tcPr>
          <w:p w14:paraId="262C71BF">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单位产品废水产生量</w:t>
            </w:r>
          </w:p>
        </w:tc>
        <w:tc>
          <w:tcPr>
            <w:tcW w:w="900" w:type="dxa"/>
            <w:tcBorders>
              <w:top w:val="single" w:color="auto" w:sz="8" w:space="0"/>
            </w:tcBorders>
            <w:noWrap w:val="0"/>
            <w:vAlign w:val="center"/>
          </w:tcPr>
          <w:p w14:paraId="27D667DF">
            <w:pPr>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rPr>
              <w:t>m³/</w:t>
            </w:r>
            <w:r>
              <w:rPr>
                <w:rFonts w:hint="eastAsia" w:ascii="Times New Roman" w:hAnsi="Times New Roman" w:cs="Times New Roman"/>
                <w:color w:val="000000"/>
                <w:kern w:val="0"/>
                <w:sz w:val="18"/>
                <w:szCs w:val="18"/>
                <w:lang w:val="en-US" w:eastAsia="zh-CN"/>
              </w:rPr>
              <w:t>kL</w:t>
            </w:r>
          </w:p>
        </w:tc>
        <w:tc>
          <w:tcPr>
            <w:tcW w:w="1500" w:type="dxa"/>
            <w:tcBorders>
              <w:top w:val="single" w:color="auto" w:sz="8" w:space="0"/>
            </w:tcBorders>
            <w:noWrap w:val="0"/>
            <w:vAlign w:val="center"/>
          </w:tcPr>
          <w:p w14:paraId="68DF8761">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≤20</w:t>
            </w:r>
          </w:p>
        </w:tc>
        <w:tc>
          <w:tcPr>
            <w:tcW w:w="2068" w:type="dxa"/>
            <w:tcBorders>
              <w:top w:val="single" w:color="auto" w:sz="8" w:space="0"/>
            </w:tcBorders>
            <w:noWrap w:val="0"/>
            <w:vAlign w:val="center"/>
          </w:tcPr>
          <w:p w14:paraId="4F921B27">
            <w:pPr>
              <w:pageBreakBefore w:val="0"/>
              <w:kinsoku/>
              <w:wordWrap/>
              <w:overflowPunct/>
              <w:topLinePunct w:val="0"/>
              <w:bidi w:val="0"/>
              <w:adjustRightInd/>
              <w:snapToGrid/>
              <w:spacing w:line="240" w:lineRule="auto"/>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按</w:t>
            </w:r>
            <w:r>
              <w:rPr>
                <w:rFonts w:hint="eastAsia" w:ascii="Times New Roman" w:hAnsi="Times New Roman" w:eastAsia="宋体" w:cs="Times New Roman"/>
                <w:spacing w:val="0"/>
                <w:sz w:val="18"/>
                <w:szCs w:val="18"/>
                <w:lang w:val="en-US" w:eastAsia="zh-CN"/>
              </w:rPr>
              <w:t>照</w:t>
            </w:r>
            <w:r>
              <w:rPr>
                <w:rFonts w:hint="default" w:ascii="Times New Roman" w:hAnsi="Times New Roman" w:cs="Times New Roman"/>
                <w:color w:val="000000"/>
                <w:kern w:val="0"/>
                <w:sz w:val="18"/>
                <w:szCs w:val="18"/>
              </w:rPr>
              <w:t>附录</w:t>
            </w:r>
            <w:r>
              <w:rPr>
                <w:rFonts w:hint="eastAsia" w:ascii="Times New Roman" w:hAnsi="Times New Roman" w:cs="Times New Roman"/>
                <w:color w:val="000000"/>
                <w:kern w:val="0"/>
                <w:sz w:val="18"/>
                <w:szCs w:val="18"/>
                <w:lang w:val="en-US" w:eastAsia="zh-CN"/>
              </w:rPr>
              <w:t>B中B</w:t>
            </w:r>
            <w:r>
              <w:rPr>
                <w:rFonts w:hint="default" w:ascii="Times New Roman" w:hAnsi="Times New Roman" w:cs="Times New Roman"/>
                <w:color w:val="000000"/>
                <w:kern w:val="0"/>
                <w:sz w:val="18"/>
                <w:szCs w:val="18"/>
              </w:rPr>
              <w:t>.</w:t>
            </w:r>
            <w:r>
              <w:rPr>
                <w:rFonts w:hint="eastAsia" w:ascii="Times New Roman" w:hAnsi="Times New Roman" w:cs="Times New Roman"/>
                <w:color w:val="000000"/>
                <w:kern w:val="0"/>
                <w:sz w:val="18"/>
                <w:szCs w:val="18"/>
                <w:lang w:val="en-US" w:eastAsia="zh-CN"/>
              </w:rPr>
              <w:t>2</w:t>
            </w:r>
            <w:r>
              <w:rPr>
                <w:rFonts w:hint="default" w:ascii="Times New Roman" w:hAnsi="Times New Roman" w:cs="Times New Roman"/>
                <w:color w:val="000000"/>
                <w:kern w:val="0"/>
                <w:sz w:val="18"/>
                <w:szCs w:val="18"/>
              </w:rPr>
              <w:t>计算，并提供证明材料</w:t>
            </w:r>
          </w:p>
        </w:tc>
      </w:tr>
      <w:tr w14:paraId="356E84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3" w:type="dxa"/>
            <w:noWrap w:val="0"/>
            <w:vAlign w:val="center"/>
          </w:tcPr>
          <w:p w14:paraId="60092055">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1064" w:type="dxa"/>
            <w:vMerge w:val="continue"/>
            <w:noWrap w:val="0"/>
            <w:vAlign w:val="center"/>
          </w:tcPr>
          <w:p w14:paraId="78462C15">
            <w:pPr>
              <w:pageBreakBefore w:val="0"/>
              <w:kinsoku/>
              <w:wordWrap/>
              <w:overflowPunct/>
              <w:topLinePunct w:val="0"/>
              <w:bidi w:val="0"/>
              <w:adjustRightInd/>
              <w:snapToGrid/>
              <w:spacing w:line="240" w:lineRule="auto"/>
              <w:jc w:val="left"/>
              <w:rPr>
                <w:rFonts w:hint="default" w:ascii="Times New Roman" w:hAnsi="Times New Roman" w:cs="Times New Roman"/>
                <w:color w:val="000000"/>
                <w:kern w:val="0"/>
                <w:sz w:val="18"/>
                <w:szCs w:val="18"/>
              </w:rPr>
            </w:pPr>
          </w:p>
        </w:tc>
        <w:tc>
          <w:tcPr>
            <w:tcW w:w="2097" w:type="dxa"/>
            <w:noWrap w:val="0"/>
            <w:vAlign w:val="center"/>
          </w:tcPr>
          <w:p w14:paraId="4768093A">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单位产品化学需氧量</w:t>
            </w:r>
            <w:r>
              <w:rPr>
                <w:rFonts w:hint="eastAsia" w:ascii="Times New Roman" w:hAnsi="Times New Roman" w:cs="Times New Roman"/>
                <w:color w:val="000000"/>
                <w:kern w:val="0"/>
                <w:sz w:val="18"/>
                <w:szCs w:val="18"/>
                <w:lang w:eastAsia="zh-CN"/>
              </w:rPr>
              <w:t>（</w:t>
            </w:r>
            <w:r>
              <w:rPr>
                <w:rFonts w:hint="eastAsia" w:ascii="Times New Roman" w:hAnsi="Times New Roman" w:cs="Times New Roman"/>
                <w:color w:val="000000"/>
                <w:kern w:val="0"/>
                <w:sz w:val="18"/>
                <w:szCs w:val="18"/>
                <w:lang w:val="en-US" w:eastAsia="zh-CN"/>
              </w:rPr>
              <w:t>COD</w:t>
            </w:r>
            <w:r>
              <w:rPr>
                <w:rFonts w:hint="eastAsia" w:ascii="Times New Roman" w:hAnsi="Times New Roman" w:cs="Times New Roman"/>
                <w:color w:val="000000"/>
                <w:kern w:val="0"/>
                <w:sz w:val="18"/>
                <w:szCs w:val="18"/>
                <w:lang w:eastAsia="zh-CN"/>
              </w:rPr>
              <w:t>）</w:t>
            </w:r>
            <w:r>
              <w:rPr>
                <w:rFonts w:hint="default" w:ascii="Times New Roman" w:hAnsi="Times New Roman" w:cs="Times New Roman"/>
                <w:color w:val="000000"/>
                <w:kern w:val="0"/>
                <w:sz w:val="18"/>
                <w:szCs w:val="18"/>
              </w:rPr>
              <w:t>产生量</w:t>
            </w:r>
          </w:p>
        </w:tc>
        <w:tc>
          <w:tcPr>
            <w:tcW w:w="900" w:type="dxa"/>
            <w:noWrap w:val="0"/>
            <w:vAlign w:val="center"/>
          </w:tcPr>
          <w:p w14:paraId="625E388E">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kg/</w:t>
            </w:r>
            <w:r>
              <w:rPr>
                <w:rFonts w:hint="eastAsia" w:ascii="Times New Roman" w:hAnsi="Times New Roman" w:cs="Times New Roman"/>
                <w:color w:val="000000"/>
                <w:kern w:val="0"/>
                <w:sz w:val="18"/>
                <w:szCs w:val="18"/>
                <w:lang w:val="en-US" w:eastAsia="zh-CN"/>
              </w:rPr>
              <w:t>kL</w:t>
            </w:r>
          </w:p>
        </w:tc>
        <w:tc>
          <w:tcPr>
            <w:tcW w:w="1500" w:type="dxa"/>
            <w:noWrap w:val="0"/>
            <w:vAlign w:val="center"/>
          </w:tcPr>
          <w:p w14:paraId="2665EFED">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≤100</w:t>
            </w:r>
          </w:p>
        </w:tc>
        <w:tc>
          <w:tcPr>
            <w:tcW w:w="2068" w:type="dxa"/>
            <w:noWrap w:val="0"/>
            <w:vAlign w:val="center"/>
          </w:tcPr>
          <w:p w14:paraId="44108FC1">
            <w:pPr>
              <w:pageBreakBefore w:val="0"/>
              <w:kinsoku/>
              <w:wordWrap/>
              <w:overflowPunct/>
              <w:topLinePunct w:val="0"/>
              <w:bidi w:val="0"/>
              <w:adjustRightInd/>
              <w:snapToGrid/>
              <w:spacing w:line="240" w:lineRule="auto"/>
              <w:jc w:val="left"/>
              <w:rPr>
                <w:rFonts w:hint="default" w:ascii="Times New Roman" w:hAnsi="Times New Roman" w:cs="Times New Roman"/>
                <w:sz w:val="18"/>
                <w:szCs w:val="18"/>
              </w:rPr>
            </w:pPr>
            <w:r>
              <w:rPr>
                <w:rFonts w:hint="default" w:ascii="Times New Roman" w:hAnsi="Times New Roman" w:cs="Times New Roman"/>
                <w:color w:val="000000"/>
                <w:kern w:val="0"/>
                <w:sz w:val="18"/>
                <w:szCs w:val="18"/>
              </w:rPr>
              <w:t>按</w:t>
            </w:r>
            <w:r>
              <w:rPr>
                <w:rFonts w:hint="eastAsia" w:ascii="Times New Roman" w:hAnsi="Times New Roman" w:eastAsia="宋体" w:cs="Times New Roman"/>
                <w:spacing w:val="0"/>
                <w:sz w:val="18"/>
                <w:szCs w:val="18"/>
                <w:lang w:val="en-US" w:eastAsia="zh-CN"/>
              </w:rPr>
              <w:t>照</w:t>
            </w:r>
            <w:r>
              <w:rPr>
                <w:rFonts w:hint="default" w:ascii="Times New Roman" w:hAnsi="Times New Roman" w:cs="Times New Roman"/>
                <w:color w:val="000000"/>
                <w:kern w:val="0"/>
                <w:sz w:val="18"/>
                <w:szCs w:val="18"/>
              </w:rPr>
              <w:t>附录</w:t>
            </w:r>
            <w:r>
              <w:rPr>
                <w:rFonts w:hint="eastAsia" w:ascii="Times New Roman" w:hAnsi="Times New Roman" w:cs="Times New Roman"/>
                <w:color w:val="000000"/>
                <w:kern w:val="0"/>
                <w:sz w:val="18"/>
                <w:szCs w:val="18"/>
                <w:lang w:val="en-US" w:eastAsia="zh-CN"/>
              </w:rPr>
              <w:t>B中B</w:t>
            </w:r>
            <w:r>
              <w:rPr>
                <w:rFonts w:hint="default" w:ascii="Times New Roman" w:hAnsi="Times New Roman" w:cs="Times New Roman"/>
                <w:color w:val="000000"/>
                <w:kern w:val="0"/>
                <w:sz w:val="18"/>
                <w:szCs w:val="18"/>
              </w:rPr>
              <w:t>.</w:t>
            </w:r>
            <w:r>
              <w:rPr>
                <w:rFonts w:hint="eastAsia" w:ascii="Times New Roman" w:hAnsi="Times New Roman" w:cs="Times New Roman"/>
                <w:color w:val="000000"/>
                <w:kern w:val="0"/>
                <w:sz w:val="18"/>
                <w:szCs w:val="18"/>
                <w:lang w:val="en-US" w:eastAsia="zh-CN"/>
              </w:rPr>
              <w:t>3</w:t>
            </w:r>
            <w:r>
              <w:rPr>
                <w:rFonts w:hint="default" w:ascii="Times New Roman" w:hAnsi="Times New Roman" w:cs="Times New Roman"/>
                <w:color w:val="000000"/>
                <w:kern w:val="0"/>
                <w:sz w:val="18"/>
                <w:szCs w:val="18"/>
              </w:rPr>
              <w:t>计算，并提供证明材料</w:t>
            </w:r>
          </w:p>
        </w:tc>
      </w:tr>
      <w:tr w14:paraId="427C4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3" w:type="dxa"/>
            <w:noWrap w:val="0"/>
            <w:vAlign w:val="center"/>
          </w:tcPr>
          <w:p w14:paraId="272DE662">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1064" w:type="dxa"/>
            <w:vMerge w:val="continue"/>
            <w:noWrap w:val="0"/>
            <w:vAlign w:val="center"/>
          </w:tcPr>
          <w:p w14:paraId="6AFB51F6">
            <w:pPr>
              <w:pageBreakBefore w:val="0"/>
              <w:kinsoku/>
              <w:wordWrap/>
              <w:overflowPunct/>
              <w:topLinePunct w:val="0"/>
              <w:bidi w:val="0"/>
              <w:adjustRightInd/>
              <w:snapToGrid/>
              <w:spacing w:line="240" w:lineRule="auto"/>
              <w:jc w:val="left"/>
              <w:rPr>
                <w:rFonts w:hint="default" w:ascii="Times New Roman" w:hAnsi="Times New Roman" w:cs="Times New Roman"/>
                <w:color w:val="000000"/>
                <w:kern w:val="0"/>
                <w:sz w:val="18"/>
                <w:szCs w:val="18"/>
              </w:rPr>
            </w:pPr>
          </w:p>
        </w:tc>
        <w:tc>
          <w:tcPr>
            <w:tcW w:w="2097" w:type="dxa"/>
            <w:noWrap w:val="0"/>
            <w:vAlign w:val="center"/>
          </w:tcPr>
          <w:p w14:paraId="1EC1399F">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单位产品</w:t>
            </w:r>
            <w:r>
              <w:rPr>
                <w:rFonts w:hint="eastAsia" w:ascii="Times New Roman" w:hAnsi="Times New Roman" w:cs="Times New Roman"/>
                <w:color w:val="000000"/>
                <w:kern w:val="0"/>
                <w:sz w:val="18"/>
                <w:szCs w:val="18"/>
                <w:lang w:val="en-US" w:eastAsia="zh-CN"/>
              </w:rPr>
              <w:t>生化需氧量（BOD）</w:t>
            </w:r>
            <w:r>
              <w:rPr>
                <w:rFonts w:hint="default" w:ascii="Times New Roman" w:hAnsi="Times New Roman" w:cs="Times New Roman"/>
                <w:color w:val="000000"/>
                <w:kern w:val="0"/>
                <w:sz w:val="18"/>
                <w:szCs w:val="18"/>
              </w:rPr>
              <w:t>产生量</w:t>
            </w:r>
          </w:p>
        </w:tc>
        <w:tc>
          <w:tcPr>
            <w:tcW w:w="900" w:type="dxa"/>
            <w:noWrap w:val="0"/>
            <w:vAlign w:val="center"/>
          </w:tcPr>
          <w:p w14:paraId="392D4694">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kg/</w:t>
            </w:r>
            <w:r>
              <w:rPr>
                <w:rFonts w:hint="eastAsia" w:ascii="Times New Roman" w:hAnsi="Times New Roman" w:cs="Times New Roman"/>
                <w:color w:val="000000"/>
                <w:kern w:val="0"/>
                <w:sz w:val="18"/>
                <w:szCs w:val="18"/>
                <w:lang w:val="en-US" w:eastAsia="zh-CN"/>
              </w:rPr>
              <w:t>kL</w:t>
            </w:r>
          </w:p>
        </w:tc>
        <w:tc>
          <w:tcPr>
            <w:tcW w:w="1500" w:type="dxa"/>
            <w:noWrap w:val="0"/>
            <w:vAlign w:val="center"/>
          </w:tcPr>
          <w:p w14:paraId="69D51468">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lang w:val="en-US"/>
              </w:rPr>
            </w:pPr>
            <w:r>
              <w:rPr>
                <w:rFonts w:hint="eastAsia" w:ascii="Times New Roman" w:hAnsi="Times New Roman" w:eastAsia="宋体" w:cs="Times New Roman"/>
                <w:color w:val="000000"/>
                <w:kern w:val="0"/>
                <w:sz w:val="18"/>
                <w:szCs w:val="18"/>
                <w:lang w:val="en-US" w:eastAsia="zh-CN"/>
              </w:rPr>
              <w:t>≤55</w:t>
            </w:r>
          </w:p>
        </w:tc>
        <w:tc>
          <w:tcPr>
            <w:tcW w:w="2068" w:type="dxa"/>
            <w:noWrap w:val="0"/>
            <w:vAlign w:val="center"/>
          </w:tcPr>
          <w:p w14:paraId="663C46E3">
            <w:pPr>
              <w:pageBreakBefore w:val="0"/>
              <w:kinsoku/>
              <w:wordWrap/>
              <w:overflowPunct/>
              <w:topLinePunct w:val="0"/>
              <w:bidi w:val="0"/>
              <w:adjustRightInd/>
              <w:snapToGrid/>
              <w:spacing w:line="240" w:lineRule="auto"/>
              <w:jc w:val="left"/>
              <w:rPr>
                <w:rFonts w:hint="default" w:ascii="Times New Roman" w:hAnsi="Times New Roman" w:cs="Times New Roman"/>
                <w:sz w:val="18"/>
                <w:szCs w:val="18"/>
              </w:rPr>
            </w:pPr>
            <w:r>
              <w:rPr>
                <w:rFonts w:hint="default" w:ascii="Times New Roman" w:hAnsi="Times New Roman" w:cs="Times New Roman"/>
                <w:color w:val="000000"/>
                <w:kern w:val="0"/>
                <w:sz w:val="18"/>
                <w:szCs w:val="18"/>
              </w:rPr>
              <w:t>按</w:t>
            </w:r>
            <w:r>
              <w:rPr>
                <w:rFonts w:hint="eastAsia" w:ascii="Times New Roman" w:hAnsi="Times New Roman" w:eastAsia="宋体" w:cs="Times New Roman"/>
                <w:spacing w:val="0"/>
                <w:sz w:val="18"/>
                <w:szCs w:val="18"/>
                <w:lang w:val="en-US" w:eastAsia="zh-CN"/>
              </w:rPr>
              <w:t>照</w:t>
            </w:r>
            <w:r>
              <w:rPr>
                <w:rFonts w:hint="default" w:ascii="Times New Roman" w:hAnsi="Times New Roman" w:cs="Times New Roman"/>
                <w:color w:val="000000"/>
                <w:kern w:val="0"/>
                <w:sz w:val="18"/>
                <w:szCs w:val="18"/>
              </w:rPr>
              <w:t>附录</w:t>
            </w:r>
            <w:r>
              <w:rPr>
                <w:rFonts w:hint="eastAsia" w:ascii="Times New Roman" w:hAnsi="Times New Roman" w:cs="Times New Roman"/>
                <w:color w:val="000000"/>
                <w:kern w:val="0"/>
                <w:sz w:val="18"/>
                <w:szCs w:val="18"/>
                <w:lang w:val="en-US" w:eastAsia="zh-CN"/>
              </w:rPr>
              <w:t>B中B</w:t>
            </w:r>
            <w:r>
              <w:rPr>
                <w:rFonts w:hint="default" w:ascii="Times New Roman" w:hAnsi="Times New Roman" w:cs="Times New Roman"/>
                <w:color w:val="000000"/>
                <w:kern w:val="0"/>
                <w:sz w:val="18"/>
                <w:szCs w:val="18"/>
              </w:rPr>
              <w:t>.</w:t>
            </w:r>
            <w:r>
              <w:rPr>
                <w:rFonts w:hint="eastAsia" w:ascii="Times New Roman" w:hAnsi="Times New Roman" w:cs="Times New Roman"/>
                <w:color w:val="000000"/>
                <w:kern w:val="0"/>
                <w:sz w:val="18"/>
                <w:szCs w:val="18"/>
                <w:lang w:val="en-US" w:eastAsia="zh-CN"/>
              </w:rPr>
              <w:t>4</w:t>
            </w:r>
            <w:r>
              <w:rPr>
                <w:rFonts w:hint="default" w:ascii="Times New Roman" w:hAnsi="Times New Roman" w:cs="Times New Roman"/>
                <w:color w:val="000000"/>
                <w:kern w:val="0"/>
                <w:sz w:val="18"/>
                <w:szCs w:val="18"/>
              </w:rPr>
              <w:t>计算，并提供证明材料</w:t>
            </w:r>
          </w:p>
        </w:tc>
      </w:tr>
      <w:tr w14:paraId="78EF2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3" w:type="dxa"/>
            <w:noWrap w:val="0"/>
            <w:vAlign w:val="center"/>
          </w:tcPr>
          <w:p w14:paraId="30222DE2">
            <w:pPr>
              <w:pageBreakBefore w:val="0"/>
              <w:kinsoku/>
              <w:wordWrap/>
              <w:overflowPunct/>
              <w:topLinePunct w:val="0"/>
              <w:bidi w:val="0"/>
              <w:adjustRightInd/>
              <w:snapToGrid/>
              <w:spacing w:line="240" w:lineRule="auto"/>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4</w:t>
            </w:r>
          </w:p>
        </w:tc>
        <w:tc>
          <w:tcPr>
            <w:tcW w:w="1064" w:type="dxa"/>
            <w:vMerge w:val="continue"/>
            <w:noWrap w:val="0"/>
            <w:vAlign w:val="center"/>
          </w:tcPr>
          <w:p w14:paraId="52D156D5">
            <w:pPr>
              <w:pageBreakBefore w:val="0"/>
              <w:kinsoku/>
              <w:wordWrap/>
              <w:overflowPunct/>
              <w:topLinePunct w:val="0"/>
              <w:bidi w:val="0"/>
              <w:adjustRightInd/>
              <w:snapToGrid/>
              <w:spacing w:line="240" w:lineRule="auto"/>
              <w:jc w:val="left"/>
              <w:rPr>
                <w:rFonts w:hint="default" w:ascii="Times New Roman" w:hAnsi="Times New Roman" w:cs="Times New Roman"/>
                <w:color w:val="000000"/>
                <w:kern w:val="0"/>
                <w:sz w:val="18"/>
                <w:szCs w:val="18"/>
              </w:rPr>
            </w:pPr>
          </w:p>
        </w:tc>
        <w:tc>
          <w:tcPr>
            <w:tcW w:w="2097" w:type="dxa"/>
            <w:noWrap w:val="0"/>
            <w:vAlign w:val="center"/>
          </w:tcPr>
          <w:p w14:paraId="7217FCA8">
            <w:pPr>
              <w:pageBreakBefore w:val="0"/>
              <w:kinsoku/>
              <w:wordWrap/>
              <w:overflowPunct/>
              <w:topLinePunct w:val="0"/>
              <w:bidi w:val="0"/>
              <w:adjustRightInd/>
              <w:snapToGrid/>
              <w:spacing w:line="240" w:lineRule="auto"/>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固态酒糟</w:t>
            </w:r>
          </w:p>
        </w:tc>
        <w:tc>
          <w:tcPr>
            <w:tcW w:w="900" w:type="dxa"/>
            <w:noWrap w:val="0"/>
            <w:vAlign w:val="center"/>
          </w:tcPr>
          <w:p w14:paraId="32930619">
            <w:pPr>
              <w:pageBreakBefore w:val="0"/>
              <w:kinsoku/>
              <w:wordWrap/>
              <w:overflowPunct/>
              <w:topLinePunct w:val="0"/>
              <w:bidi w:val="0"/>
              <w:adjustRightInd/>
              <w:snapToGrid/>
              <w:spacing w:line="240" w:lineRule="auto"/>
              <w:jc w:val="center"/>
              <w:rPr>
                <w:rFonts w:hint="eastAsia" w:ascii="Times New Roman" w:hAnsi="Times New Roman" w:eastAsia="宋体" w:cs="Times New Roman"/>
                <w:color w:val="000000"/>
                <w:kern w:val="0"/>
                <w:sz w:val="18"/>
                <w:szCs w:val="18"/>
                <w:lang w:eastAsia="zh-CN"/>
              </w:rPr>
            </w:pPr>
            <w:r>
              <w:rPr>
                <w:rFonts w:hint="eastAsia" w:ascii="Times New Roman" w:hAnsi="Times New Roman" w:cs="Times New Roman"/>
                <w:color w:val="000000"/>
                <w:kern w:val="0"/>
                <w:sz w:val="18"/>
                <w:szCs w:val="18"/>
                <w:lang w:eastAsia="zh-CN"/>
              </w:rPr>
              <w:t>—</w:t>
            </w:r>
          </w:p>
        </w:tc>
        <w:tc>
          <w:tcPr>
            <w:tcW w:w="1500" w:type="dxa"/>
            <w:noWrap w:val="0"/>
            <w:vAlign w:val="center"/>
          </w:tcPr>
          <w:p w14:paraId="16EDC515">
            <w:pPr>
              <w:pageBreakBefore w:val="0"/>
              <w:kinsoku/>
              <w:wordWrap/>
              <w:overflowPunct/>
              <w:topLinePunct w:val="0"/>
              <w:bidi w:val="0"/>
              <w:adjustRightInd/>
              <w:snapToGrid/>
              <w:spacing w:line="240" w:lineRule="auto"/>
              <w:jc w:val="center"/>
              <w:rPr>
                <w:rFonts w:hint="default" w:ascii="Times New Roman" w:hAnsi="Times New Roman" w:eastAsia="宋体" w:cs="Times New Roman"/>
                <w:color w:val="000000"/>
                <w:kern w:val="0"/>
                <w:sz w:val="18"/>
                <w:szCs w:val="18"/>
                <w:lang w:val="en-US" w:eastAsia="zh-CN"/>
              </w:rPr>
            </w:pPr>
            <w:r>
              <w:rPr>
                <w:rFonts w:hint="eastAsia" w:ascii="宋体" w:hAnsi="宋体" w:eastAsia="宋体" w:cs="宋体"/>
                <w:sz w:val="18"/>
                <w:szCs w:val="18"/>
                <w:lang w:val="en-US" w:eastAsia="zh-CN"/>
              </w:rPr>
              <w:t>生产</w:t>
            </w:r>
            <w:r>
              <w:rPr>
                <w:rFonts w:hint="eastAsia" w:ascii="Times New Roman" w:hAnsi="Times New Roman" w:eastAsia="宋体" w:cs="Times New Roman"/>
                <w:color w:val="000000"/>
                <w:kern w:val="0"/>
                <w:sz w:val="18"/>
                <w:szCs w:val="18"/>
                <w:lang w:val="en-US" w:eastAsia="zh-CN"/>
              </w:rPr>
              <w:t>企业资源化加工处理（加工成饲料或更高附加值的产品）</w:t>
            </w:r>
          </w:p>
        </w:tc>
        <w:tc>
          <w:tcPr>
            <w:tcW w:w="2068" w:type="dxa"/>
            <w:noWrap w:val="0"/>
            <w:vAlign w:val="center"/>
          </w:tcPr>
          <w:p w14:paraId="4D526C04">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提供证明材料</w:t>
            </w:r>
          </w:p>
        </w:tc>
      </w:tr>
    </w:tbl>
    <w:p w14:paraId="1DAAFEF7">
      <w:pPr>
        <w:keepNext w:val="0"/>
        <w:keepLines w:val="0"/>
        <w:pageBreakBefore w:val="0"/>
        <w:widowControl/>
        <w:numPr>
          <w:ilvl w:val="0"/>
          <w:numId w:val="7"/>
        </w:numPr>
        <w:tabs>
          <w:tab w:val="center" w:pos="420"/>
          <w:tab w:val="right" w:leader="dot" w:pos="9298"/>
        </w:tabs>
        <w:kinsoku/>
        <w:wordWrap/>
        <w:overflowPunct/>
        <w:topLinePunct w:val="0"/>
        <w:autoSpaceDE w:val="0"/>
        <w:autoSpaceDN w:val="0"/>
        <w:bidi w:val="0"/>
        <w:adjustRightInd/>
        <w:snapToGrid/>
        <w:spacing w:line="420" w:lineRule="exact"/>
        <w:ind w:left="425" w:leftChars="0" w:hanging="425" w:firstLineChars="0"/>
        <w:textAlignment w:val="auto"/>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品质属性指标</w:t>
      </w:r>
    </w:p>
    <w:p w14:paraId="414C8160">
      <w:pPr>
        <w:keepNext w:val="0"/>
        <w:keepLines w:val="0"/>
        <w:pageBreakBefore w:val="0"/>
        <w:widowControl/>
        <w:numPr>
          <w:ilvl w:val="0"/>
          <w:numId w:val="9"/>
        </w:numPr>
        <w:tabs>
          <w:tab w:val="center" w:pos="420"/>
          <w:tab w:val="right" w:leader="dot" w:pos="9298"/>
        </w:tabs>
        <w:kinsoku/>
        <w:wordWrap/>
        <w:overflowPunct/>
        <w:topLinePunct w:val="0"/>
        <w:autoSpaceDE w:val="0"/>
        <w:autoSpaceDN w:val="0"/>
        <w:bidi w:val="0"/>
        <w:adjustRightInd/>
        <w:snapToGrid/>
        <w:spacing w:line="420" w:lineRule="exact"/>
        <w:ind w:left="0"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原料参考</w:t>
      </w:r>
      <w:r>
        <w:rPr>
          <w:rFonts w:hint="default" w:ascii="宋体" w:hAnsi="宋体" w:eastAsia="宋体" w:cs="宋体"/>
          <w:kern w:val="0"/>
          <w:sz w:val="24"/>
          <w:lang w:val="en-US" w:eastAsia="zh-CN"/>
        </w:rPr>
        <w:t>GB/T 22211-2008</w:t>
      </w:r>
      <w:r>
        <w:rPr>
          <w:rFonts w:hint="eastAsia" w:ascii="宋体" w:hAnsi="宋体" w:eastAsia="宋体" w:cs="宋体"/>
          <w:kern w:val="0"/>
          <w:sz w:val="24"/>
          <w:lang w:val="en-US" w:eastAsia="zh-CN"/>
        </w:rPr>
        <w:t>《</w:t>
      </w:r>
      <w:r>
        <w:rPr>
          <w:rFonts w:hint="default" w:ascii="宋体" w:hAnsi="宋体" w:eastAsia="宋体" w:cs="宋体"/>
          <w:kern w:val="0"/>
          <w:sz w:val="24"/>
          <w:lang w:val="en-US" w:eastAsia="zh-CN"/>
        </w:rPr>
        <w:t>地理标志产品 五粮液酒</w:t>
      </w:r>
      <w:r>
        <w:rPr>
          <w:rFonts w:hint="eastAsia" w:ascii="宋体" w:hAnsi="宋体" w:eastAsia="宋体" w:cs="宋体"/>
          <w:kern w:val="0"/>
          <w:sz w:val="24"/>
          <w:lang w:val="en-US" w:eastAsia="zh-CN"/>
        </w:rPr>
        <w:t>》5.1原料要求</w:t>
      </w:r>
      <w:r>
        <w:rPr>
          <w:rFonts w:hint="eastAsia" w:ascii="宋体" w:hAnsi="宋体" w:cs="宋体"/>
          <w:kern w:val="0"/>
          <w:sz w:val="24"/>
          <w:lang w:val="en-US" w:eastAsia="zh-CN"/>
        </w:rPr>
        <w:t>（其中水源有修改，由“酿造用水取自宜宾‘安乐泉’水”改为“酿造用水应取自宜宾宜宾市行政区域范围内的地下水、山泉水和江河饮用水”）</w:t>
      </w:r>
      <w:r>
        <w:rPr>
          <w:rFonts w:hint="eastAsia" w:ascii="宋体" w:hAnsi="宋体" w:eastAsia="宋体" w:cs="宋体"/>
          <w:kern w:val="0"/>
          <w:sz w:val="24"/>
          <w:lang w:val="en-US" w:eastAsia="zh-CN"/>
        </w:rPr>
        <w:t>。</w:t>
      </w:r>
    </w:p>
    <w:p w14:paraId="612F8F68">
      <w:pPr>
        <w:keepNext w:val="0"/>
        <w:keepLines w:val="0"/>
        <w:pageBreakBefore w:val="0"/>
        <w:widowControl/>
        <w:numPr>
          <w:ilvl w:val="0"/>
          <w:numId w:val="9"/>
        </w:numPr>
        <w:tabs>
          <w:tab w:val="center" w:pos="420"/>
          <w:tab w:val="right" w:leader="dot" w:pos="9298"/>
        </w:tabs>
        <w:kinsoku/>
        <w:wordWrap/>
        <w:overflowPunct/>
        <w:topLinePunct w:val="0"/>
        <w:autoSpaceDE w:val="0"/>
        <w:autoSpaceDN w:val="0"/>
        <w:bidi w:val="0"/>
        <w:adjustRightInd/>
        <w:snapToGrid/>
        <w:spacing w:line="420" w:lineRule="exact"/>
        <w:ind w:left="0"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用曲执行</w:t>
      </w:r>
      <w:r>
        <w:rPr>
          <w:rFonts w:hint="default" w:ascii="宋体" w:hAnsi="宋体" w:eastAsia="宋体" w:cs="宋体"/>
          <w:kern w:val="0"/>
          <w:sz w:val="24"/>
          <w:lang w:val="en-US" w:eastAsia="zh-CN"/>
        </w:rPr>
        <w:t>QB/T 4259</w:t>
      </w:r>
      <w:r>
        <w:rPr>
          <w:rFonts w:hint="eastAsia" w:ascii="宋体" w:hAnsi="宋体" w:eastAsia="宋体" w:cs="宋体"/>
          <w:kern w:val="0"/>
          <w:sz w:val="24"/>
          <w:lang w:val="en-US" w:eastAsia="zh-CN"/>
        </w:rPr>
        <w:t xml:space="preserve">  </w:t>
      </w:r>
      <w:r>
        <w:rPr>
          <w:rFonts w:hint="default" w:ascii="宋体" w:hAnsi="宋体" w:eastAsia="宋体" w:cs="宋体"/>
          <w:kern w:val="0"/>
          <w:sz w:val="24"/>
          <w:lang w:val="en-US" w:eastAsia="zh-CN"/>
        </w:rPr>
        <w:t>浓香大曲</w:t>
      </w:r>
      <w:r>
        <w:rPr>
          <w:rFonts w:hint="eastAsia" w:ascii="宋体" w:hAnsi="宋体" w:eastAsia="宋体" w:cs="宋体"/>
          <w:kern w:val="0"/>
          <w:sz w:val="24"/>
          <w:lang w:val="en-US" w:eastAsia="zh-CN"/>
        </w:rPr>
        <w:t>。</w:t>
      </w:r>
    </w:p>
    <w:p w14:paraId="5B2FAA85">
      <w:pPr>
        <w:keepNext w:val="0"/>
        <w:keepLines w:val="0"/>
        <w:pageBreakBefore w:val="0"/>
        <w:widowControl/>
        <w:numPr>
          <w:ilvl w:val="0"/>
          <w:numId w:val="9"/>
        </w:numPr>
        <w:tabs>
          <w:tab w:val="center" w:pos="420"/>
          <w:tab w:val="right" w:leader="dot" w:pos="9298"/>
        </w:tabs>
        <w:kinsoku/>
        <w:wordWrap/>
        <w:overflowPunct/>
        <w:topLinePunct w:val="0"/>
        <w:autoSpaceDE w:val="0"/>
        <w:autoSpaceDN w:val="0"/>
        <w:bidi w:val="0"/>
        <w:adjustRightInd/>
        <w:snapToGrid/>
        <w:spacing w:line="420" w:lineRule="exact"/>
        <w:ind w:left="0" w:leftChars="0" w:firstLine="464" w:firstLineChars="200"/>
        <w:textAlignment w:val="auto"/>
        <w:rPr>
          <w:rFonts w:hint="eastAsia" w:ascii="宋体" w:hAnsi="宋体" w:eastAsia="宋体" w:cs="宋体"/>
          <w:spacing w:val="-4"/>
          <w:kern w:val="0"/>
          <w:sz w:val="24"/>
          <w:lang w:val="en-US" w:eastAsia="zh-CN"/>
        </w:rPr>
      </w:pPr>
      <w:r>
        <w:rPr>
          <w:rFonts w:hint="eastAsia" w:ascii="宋体" w:hAnsi="宋体" w:eastAsia="宋体" w:cs="宋体"/>
          <w:spacing w:val="-4"/>
          <w:kern w:val="0"/>
          <w:sz w:val="24"/>
          <w:lang w:val="en-US" w:eastAsia="zh-CN"/>
        </w:rPr>
        <w:t>工艺参考</w:t>
      </w:r>
      <w:r>
        <w:rPr>
          <w:rFonts w:hint="default" w:ascii="宋体" w:hAnsi="宋体" w:eastAsia="宋体" w:cs="宋体"/>
          <w:spacing w:val="-4"/>
          <w:kern w:val="0"/>
          <w:sz w:val="24"/>
          <w:lang w:val="en-US" w:eastAsia="zh-CN"/>
        </w:rPr>
        <w:t>GB/T 22211-2008</w:t>
      </w:r>
      <w:r>
        <w:rPr>
          <w:rFonts w:hint="eastAsia" w:ascii="宋体" w:hAnsi="宋体" w:eastAsia="宋体" w:cs="宋体"/>
          <w:spacing w:val="-4"/>
          <w:kern w:val="0"/>
          <w:sz w:val="24"/>
          <w:lang w:val="en-US" w:eastAsia="zh-CN"/>
        </w:rPr>
        <w:t>《</w:t>
      </w:r>
      <w:r>
        <w:rPr>
          <w:rFonts w:hint="default" w:ascii="宋体" w:hAnsi="宋体" w:eastAsia="宋体" w:cs="宋体"/>
          <w:spacing w:val="-4"/>
          <w:kern w:val="0"/>
          <w:sz w:val="24"/>
          <w:lang w:val="en-US" w:eastAsia="zh-CN"/>
        </w:rPr>
        <w:t>地理标志产品 五粮液酒</w:t>
      </w:r>
      <w:r>
        <w:rPr>
          <w:rFonts w:hint="eastAsia" w:ascii="宋体" w:hAnsi="宋体" w:eastAsia="宋体" w:cs="宋体"/>
          <w:spacing w:val="-4"/>
          <w:kern w:val="0"/>
          <w:sz w:val="24"/>
          <w:lang w:val="en-US" w:eastAsia="zh-CN"/>
        </w:rPr>
        <w:t>》5.3生产工艺要求</w:t>
      </w:r>
      <w:r>
        <w:rPr>
          <w:rFonts w:hint="eastAsia" w:ascii="宋体" w:hAnsi="宋体" w:cs="宋体"/>
          <w:spacing w:val="-4"/>
          <w:kern w:val="0"/>
          <w:sz w:val="24"/>
          <w:lang w:val="en-US" w:eastAsia="zh-CN"/>
        </w:rPr>
        <w:t>）</w:t>
      </w:r>
      <w:r>
        <w:rPr>
          <w:rFonts w:hint="eastAsia" w:ascii="宋体" w:hAnsi="宋体" w:eastAsia="宋体" w:cs="宋体"/>
          <w:spacing w:val="-4"/>
          <w:kern w:val="0"/>
          <w:sz w:val="24"/>
          <w:lang w:val="en-US" w:eastAsia="zh-CN"/>
        </w:rPr>
        <w:t>。</w:t>
      </w:r>
    </w:p>
    <w:p w14:paraId="1C64F1FC">
      <w:pPr>
        <w:keepNext w:val="0"/>
        <w:keepLines w:val="0"/>
        <w:pageBreakBefore w:val="0"/>
        <w:widowControl/>
        <w:numPr>
          <w:ilvl w:val="0"/>
          <w:numId w:val="9"/>
        </w:numPr>
        <w:tabs>
          <w:tab w:val="center" w:pos="420"/>
          <w:tab w:val="right" w:leader="dot" w:pos="9298"/>
        </w:tabs>
        <w:kinsoku/>
        <w:wordWrap/>
        <w:overflowPunct/>
        <w:topLinePunct w:val="0"/>
        <w:autoSpaceDE w:val="0"/>
        <w:autoSpaceDN w:val="0"/>
        <w:bidi w:val="0"/>
        <w:adjustRightInd/>
        <w:snapToGrid/>
        <w:spacing w:line="420" w:lineRule="exact"/>
        <w:ind w:left="0"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感官质量参考</w:t>
      </w:r>
      <w:r>
        <w:rPr>
          <w:rFonts w:hint="default" w:ascii="宋体" w:hAnsi="宋体" w:eastAsia="宋体" w:cs="宋体"/>
          <w:kern w:val="0"/>
          <w:sz w:val="24"/>
          <w:lang w:val="en-US" w:eastAsia="zh-CN"/>
        </w:rPr>
        <w:t>T/5115YBAPS 026</w:t>
      </w:r>
      <w:r>
        <w:rPr>
          <w:rFonts w:hint="eastAsia" w:ascii="宋体" w:hAnsi="宋体" w:eastAsia="宋体" w:cs="宋体"/>
          <w:kern w:val="0"/>
          <w:sz w:val="24"/>
          <w:lang w:val="en-US" w:eastAsia="zh-CN"/>
        </w:rPr>
        <w:t>－</w:t>
      </w:r>
      <w:r>
        <w:rPr>
          <w:rFonts w:hint="default" w:ascii="宋体" w:hAnsi="宋体" w:eastAsia="宋体" w:cs="宋体"/>
          <w:kern w:val="0"/>
          <w:sz w:val="24"/>
          <w:lang w:val="en-US" w:eastAsia="zh-CN"/>
        </w:rPr>
        <w:t>2021</w:t>
      </w:r>
      <w:r>
        <w:rPr>
          <w:rFonts w:hint="eastAsia" w:ascii="宋体" w:hAnsi="宋体" w:eastAsia="宋体" w:cs="宋体"/>
          <w:kern w:val="0"/>
          <w:sz w:val="24"/>
          <w:lang w:val="en-US" w:eastAsia="zh-CN"/>
        </w:rPr>
        <w:t>《</w:t>
      </w:r>
      <w:r>
        <w:rPr>
          <w:rFonts w:hint="default" w:ascii="宋体" w:hAnsi="宋体" w:eastAsia="宋体" w:cs="宋体"/>
          <w:kern w:val="0"/>
          <w:sz w:val="24"/>
          <w:lang w:val="en-US" w:eastAsia="zh-CN"/>
        </w:rPr>
        <w:t>宜宾浓香型白酒  原酒</w:t>
      </w:r>
      <w:r>
        <w:rPr>
          <w:rFonts w:hint="eastAsia" w:ascii="宋体" w:hAnsi="宋体" w:eastAsia="宋体" w:cs="宋体"/>
          <w:kern w:val="0"/>
          <w:sz w:val="24"/>
          <w:lang w:val="en-US" w:eastAsia="zh-CN"/>
        </w:rPr>
        <w:t>》附录A</w:t>
      </w:r>
      <w:r>
        <w:rPr>
          <w:rFonts w:hint="default" w:ascii="宋体" w:hAnsi="宋体" w:eastAsia="宋体" w:cs="宋体"/>
          <w:kern w:val="0"/>
          <w:sz w:val="24"/>
          <w:lang w:val="en-US" w:eastAsia="zh-CN"/>
        </w:rPr>
        <w:t>宜宾浓香型白酒原酒感官质量评价指南</w:t>
      </w:r>
      <w:r>
        <w:rPr>
          <w:rFonts w:hint="eastAsia" w:ascii="宋体" w:hAnsi="宋体" w:eastAsia="宋体" w:cs="宋体"/>
          <w:kern w:val="0"/>
          <w:sz w:val="24"/>
          <w:lang w:val="en-US" w:eastAsia="zh-CN"/>
        </w:rPr>
        <w:t>。</w:t>
      </w:r>
    </w:p>
    <w:p w14:paraId="663B2887">
      <w:pPr>
        <w:keepNext w:val="0"/>
        <w:keepLines w:val="0"/>
        <w:pageBreakBefore w:val="0"/>
        <w:widowControl/>
        <w:numPr>
          <w:ilvl w:val="0"/>
          <w:numId w:val="9"/>
        </w:numPr>
        <w:tabs>
          <w:tab w:val="center" w:pos="420"/>
          <w:tab w:val="right" w:leader="dot" w:pos="9298"/>
        </w:tabs>
        <w:kinsoku/>
        <w:wordWrap/>
        <w:overflowPunct/>
        <w:topLinePunct w:val="0"/>
        <w:autoSpaceDE w:val="0"/>
        <w:autoSpaceDN w:val="0"/>
        <w:bidi w:val="0"/>
        <w:adjustRightInd/>
        <w:snapToGrid/>
        <w:spacing w:line="420" w:lineRule="exact"/>
        <w:ind w:left="0"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理化指标参考</w:t>
      </w:r>
      <w:r>
        <w:rPr>
          <w:rFonts w:hint="default" w:ascii="宋体" w:hAnsi="宋体" w:eastAsia="宋体" w:cs="宋体"/>
          <w:kern w:val="0"/>
          <w:sz w:val="24"/>
          <w:lang w:val="en-US" w:eastAsia="zh-CN"/>
        </w:rPr>
        <w:t>T/5115YBAPS 026</w:t>
      </w:r>
      <w:r>
        <w:rPr>
          <w:rFonts w:hint="eastAsia" w:ascii="宋体" w:hAnsi="宋体" w:eastAsia="宋体" w:cs="宋体"/>
          <w:kern w:val="0"/>
          <w:sz w:val="24"/>
          <w:lang w:val="en-US" w:eastAsia="zh-CN"/>
        </w:rPr>
        <w:t>－</w:t>
      </w:r>
      <w:r>
        <w:rPr>
          <w:rFonts w:hint="default" w:ascii="宋体" w:hAnsi="宋体" w:eastAsia="宋体" w:cs="宋体"/>
          <w:kern w:val="0"/>
          <w:sz w:val="24"/>
          <w:lang w:val="en-US" w:eastAsia="zh-CN"/>
        </w:rPr>
        <w:t>2021</w:t>
      </w:r>
      <w:r>
        <w:rPr>
          <w:rFonts w:hint="eastAsia" w:ascii="宋体" w:hAnsi="宋体" w:eastAsia="宋体" w:cs="宋体"/>
          <w:kern w:val="0"/>
          <w:sz w:val="24"/>
          <w:lang w:val="en-US" w:eastAsia="zh-CN"/>
        </w:rPr>
        <w:t>《</w:t>
      </w:r>
      <w:r>
        <w:rPr>
          <w:rFonts w:hint="default" w:ascii="宋体" w:hAnsi="宋体" w:eastAsia="宋体" w:cs="宋体"/>
          <w:kern w:val="0"/>
          <w:sz w:val="24"/>
          <w:lang w:val="en-US" w:eastAsia="zh-CN"/>
        </w:rPr>
        <w:t>宜宾浓香型白酒  原酒</w:t>
      </w:r>
      <w:r>
        <w:rPr>
          <w:rFonts w:hint="eastAsia" w:ascii="宋体" w:hAnsi="宋体" w:eastAsia="宋体" w:cs="宋体"/>
          <w:kern w:val="0"/>
          <w:sz w:val="24"/>
          <w:lang w:val="en-US" w:eastAsia="zh-CN"/>
        </w:rPr>
        <w:t>》4.5真实性要求</w:t>
      </w:r>
      <w:r>
        <w:rPr>
          <w:rFonts w:hint="eastAsia"/>
          <w:spacing w:val="7"/>
          <w:sz w:val="20"/>
          <w:szCs w:val="20"/>
          <w:lang w:val="en-US" w:eastAsia="zh-CN"/>
        </w:rPr>
        <w:t>及相应方法。</w:t>
      </w:r>
    </w:p>
    <w:p w14:paraId="680E166C">
      <w:pPr>
        <w:keepNext w:val="0"/>
        <w:keepLines w:val="0"/>
        <w:pageBreakBefore w:val="0"/>
        <w:widowControl/>
        <w:numPr>
          <w:ilvl w:val="0"/>
          <w:numId w:val="9"/>
        </w:numPr>
        <w:tabs>
          <w:tab w:val="center" w:pos="420"/>
          <w:tab w:val="right" w:leader="dot" w:pos="9298"/>
        </w:tabs>
        <w:kinsoku/>
        <w:wordWrap/>
        <w:overflowPunct/>
        <w:topLinePunct w:val="0"/>
        <w:autoSpaceDE w:val="0"/>
        <w:autoSpaceDN w:val="0"/>
        <w:bidi w:val="0"/>
        <w:adjustRightInd/>
        <w:snapToGrid/>
        <w:spacing w:line="420" w:lineRule="exact"/>
        <w:ind w:left="0"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原酒真实性参考</w:t>
      </w:r>
      <w:r>
        <w:rPr>
          <w:rFonts w:hint="default" w:ascii="宋体" w:hAnsi="宋体" w:eastAsia="宋体" w:cs="宋体"/>
          <w:kern w:val="0"/>
          <w:sz w:val="24"/>
          <w:lang w:val="en-US" w:eastAsia="zh-CN"/>
        </w:rPr>
        <w:t>T/5115YBAPS 026</w:t>
      </w:r>
      <w:r>
        <w:rPr>
          <w:rFonts w:hint="eastAsia" w:ascii="宋体" w:hAnsi="宋体" w:eastAsia="宋体" w:cs="宋体"/>
          <w:kern w:val="0"/>
          <w:sz w:val="24"/>
          <w:lang w:val="en-US" w:eastAsia="zh-CN"/>
        </w:rPr>
        <w:t>－</w:t>
      </w:r>
      <w:r>
        <w:rPr>
          <w:rFonts w:hint="default" w:ascii="宋体" w:hAnsi="宋体" w:eastAsia="宋体" w:cs="宋体"/>
          <w:kern w:val="0"/>
          <w:sz w:val="24"/>
          <w:lang w:val="en-US" w:eastAsia="zh-CN"/>
        </w:rPr>
        <w:t>2021</w:t>
      </w:r>
      <w:r>
        <w:rPr>
          <w:rFonts w:hint="eastAsia" w:ascii="宋体" w:hAnsi="宋体" w:eastAsia="宋体" w:cs="宋体"/>
          <w:kern w:val="0"/>
          <w:sz w:val="24"/>
          <w:lang w:val="en-US" w:eastAsia="zh-CN"/>
        </w:rPr>
        <w:t>《</w:t>
      </w:r>
      <w:r>
        <w:rPr>
          <w:rFonts w:hint="default" w:ascii="宋体" w:hAnsi="宋体" w:eastAsia="宋体" w:cs="宋体"/>
          <w:kern w:val="0"/>
          <w:sz w:val="24"/>
          <w:lang w:val="en-US" w:eastAsia="zh-CN"/>
        </w:rPr>
        <w:t>宜宾浓香型白酒  原酒</w:t>
      </w:r>
      <w:r>
        <w:rPr>
          <w:rFonts w:hint="eastAsia" w:ascii="宋体" w:hAnsi="宋体" w:eastAsia="宋体" w:cs="宋体"/>
          <w:kern w:val="0"/>
          <w:sz w:val="24"/>
          <w:lang w:val="en-US" w:eastAsia="zh-CN"/>
        </w:rPr>
        <w:t>》表1</w:t>
      </w:r>
      <w:r>
        <w:rPr>
          <w:rFonts w:hint="default" w:ascii="宋体" w:hAnsi="宋体" w:eastAsia="宋体" w:cs="宋体"/>
          <w:kern w:val="0"/>
          <w:sz w:val="24"/>
          <w:lang w:val="en-US" w:eastAsia="zh-CN"/>
        </w:rPr>
        <w:t>宜宾浓香型白酒原酒理化指标</w:t>
      </w:r>
      <w:r>
        <w:rPr>
          <w:rFonts w:hint="eastAsia" w:ascii="宋体" w:hAnsi="宋体" w:eastAsia="宋体" w:cs="宋体"/>
          <w:kern w:val="0"/>
          <w:sz w:val="24"/>
          <w:lang w:val="en-US" w:eastAsia="zh-CN"/>
        </w:rPr>
        <w:t>、附录B</w:t>
      </w:r>
      <w:r>
        <w:rPr>
          <w:rFonts w:hint="default" w:ascii="宋体" w:hAnsi="宋体" w:eastAsia="宋体" w:cs="宋体"/>
          <w:kern w:val="0"/>
          <w:sz w:val="24"/>
          <w:lang w:val="en-US" w:eastAsia="zh-CN"/>
        </w:rPr>
        <w:t>宜宾浓香型白酒原酒真实性数据库构建指南</w:t>
      </w:r>
      <w:r>
        <w:rPr>
          <w:rFonts w:hint="eastAsia" w:ascii="宋体" w:hAnsi="宋体" w:eastAsia="宋体" w:cs="宋体"/>
          <w:kern w:val="0"/>
          <w:sz w:val="24"/>
          <w:lang w:val="en-US" w:eastAsia="zh-CN"/>
        </w:rPr>
        <w:t>，以及附录C</w:t>
      </w:r>
      <w:r>
        <w:rPr>
          <w:rFonts w:hint="default" w:ascii="宋体" w:hAnsi="宋体" w:eastAsia="宋体" w:cs="宋体"/>
          <w:kern w:val="0"/>
          <w:sz w:val="24"/>
          <w:lang w:val="en-US" w:eastAsia="zh-CN"/>
        </w:rPr>
        <w:t>宜宾浓香型白酒原酒中挥发性组分的测定方法 气相色谱法</w:t>
      </w:r>
      <w:r>
        <w:rPr>
          <w:rFonts w:hint="eastAsia" w:ascii="宋体" w:hAnsi="宋体" w:eastAsia="宋体" w:cs="宋体"/>
          <w:kern w:val="0"/>
          <w:sz w:val="24"/>
          <w:lang w:val="en-US" w:eastAsia="zh-CN"/>
        </w:rPr>
        <w:t>。</w:t>
      </w:r>
    </w:p>
    <w:p w14:paraId="61EC1596">
      <w:pPr>
        <w:keepNext w:val="0"/>
        <w:keepLines w:val="0"/>
        <w:pageBreakBefore w:val="0"/>
        <w:widowControl/>
        <w:numPr>
          <w:ilvl w:val="0"/>
          <w:numId w:val="9"/>
        </w:numPr>
        <w:tabs>
          <w:tab w:val="center" w:pos="420"/>
          <w:tab w:val="right" w:leader="dot" w:pos="9298"/>
        </w:tabs>
        <w:kinsoku/>
        <w:wordWrap/>
        <w:overflowPunct/>
        <w:topLinePunct w:val="0"/>
        <w:autoSpaceDE w:val="0"/>
        <w:autoSpaceDN w:val="0"/>
        <w:bidi w:val="0"/>
        <w:adjustRightInd/>
        <w:snapToGrid/>
        <w:spacing w:line="420" w:lineRule="exact"/>
        <w:ind w:left="0"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食品安全参考</w:t>
      </w:r>
      <w:r>
        <w:rPr>
          <w:rFonts w:hint="default" w:ascii="宋体" w:hAnsi="宋体" w:eastAsia="宋体" w:cs="宋体"/>
          <w:kern w:val="0"/>
          <w:sz w:val="24"/>
          <w:lang w:val="en-US" w:eastAsia="zh-CN"/>
        </w:rPr>
        <w:t>T/5115YBAPS 026</w:t>
      </w:r>
      <w:r>
        <w:rPr>
          <w:rFonts w:hint="eastAsia" w:ascii="宋体" w:hAnsi="宋体" w:eastAsia="宋体" w:cs="宋体"/>
          <w:kern w:val="0"/>
          <w:sz w:val="24"/>
          <w:lang w:val="en-US" w:eastAsia="zh-CN"/>
        </w:rPr>
        <w:t>－</w:t>
      </w:r>
      <w:r>
        <w:rPr>
          <w:rFonts w:hint="default" w:ascii="宋体" w:hAnsi="宋体" w:eastAsia="宋体" w:cs="宋体"/>
          <w:kern w:val="0"/>
          <w:sz w:val="24"/>
          <w:lang w:val="en-US" w:eastAsia="zh-CN"/>
        </w:rPr>
        <w:t>2021</w:t>
      </w:r>
      <w:r>
        <w:rPr>
          <w:rFonts w:hint="eastAsia" w:ascii="宋体" w:hAnsi="宋体" w:eastAsia="宋体" w:cs="宋体"/>
          <w:kern w:val="0"/>
          <w:sz w:val="24"/>
          <w:lang w:val="en-US" w:eastAsia="zh-CN"/>
        </w:rPr>
        <w:t>《</w:t>
      </w:r>
      <w:r>
        <w:rPr>
          <w:rFonts w:hint="default" w:ascii="宋体" w:hAnsi="宋体" w:eastAsia="宋体" w:cs="宋体"/>
          <w:kern w:val="0"/>
          <w:sz w:val="24"/>
          <w:lang w:val="en-US" w:eastAsia="zh-CN"/>
        </w:rPr>
        <w:t>宜宾浓香型白酒  原酒</w:t>
      </w:r>
      <w:r>
        <w:rPr>
          <w:rFonts w:hint="eastAsia" w:ascii="宋体" w:hAnsi="宋体" w:eastAsia="宋体" w:cs="宋体"/>
          <w:kern w:val="0"/>
          <w:sz w:val="24"/>
          <w:lang w:val="en-US" w:eastAsia="zh-CN"/>
        </w:rPr>
        <w:t>》4.6食品安全要求。</w:t>
      </w:r>
    </w:p>
    <w:p w14:paraId="662D714D">
      <w:pPr>
        <w:keepNext w:val="0"/>
        <w:keepLines w:val="0"/>
        <w:pageBreakBefore w:val="0"/>
        <w:widowControl/>
        <w:numPr>
          <w:ilvl w:val="0"/>
          <w:numId w:val="9"/>
        </w:numPr>
        <w:tabs>
          <w:tab w:val="center" w:pos="420"/>
          <w:tab w:val="right" w:leader="dot" w:pos="9298"/>
        </w:tabs>
        <w:kinsoku/>
        <w:wordWrap/>
        <w:overflowPunct/>
        <w:topLinePunct w:val="0"/>
        <w:autoSpaceDE w:val="0"/>
        <w:autoSpaceDN w:val="0"/>
        <w:bidi w:val="0"/>
        <w:adjustRightInd/>
        <w:snapToGrid/>
        <w:spacing w:line="420" w:lineRule="exact"/>
        <w:ind w:left="0"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标志、包装、运输和贮存参考</w:t>
      </w:r>
      <w:r>
        <w:rPr>
          <w:rFonts w:hint="default" w:ascii="宋体" w:hAnsi="宋体" w:eastAsia="宋体" w:cs="宋体"/>
          <w:kern w:val="0"/>
          <w:sz w:val="24"/>
          <w:lang w:val="en-US" w:eastAsia="zh-CN"/>
        </w:rPr>
        <w:t>T/5115YBAPS 026</w:t>
      </w:r>
      <w:r>
        <w:rPr>
          <w:rFonts w:hint="eastAsia" w:ascii="宋体" w:hAnsi="宋体" w:eastAsia="宋体" w:cs="宋体"/>
          <w:kern w:val="0"/>
          <w:sz w:val="24"/>
          <w:lang w:val="en-US" w:eastAsia="zh-CN"/>
        </w:rPr>
        <w:t>－</w:t>
      </w:r>
      <w:r>
        <w:rPr>
          <w:rFonts w:hint="default" w:ascii="宋体" w:hAnsi="宋体" w:eastAsia="宋体" w:cs="宋体"/>
          <w:kern w:val="0"/>
          <w:sz w:val="24"/>
          <w:lang w:val="en-US" w:eastAsia="zh-CN"/>
        </w:rPr>
        <w:t>2021</w:t>
      </w:r>
      <w:r>
        <w:rPr>
          <w:rFonts w:hint="eastAsia" w:ascii="宋体" w:hAnsi="宋体" w:eastAsia="宋体" w:cs="宋体"/>
          <w:kern w:val="0"/>
          <w:sz w:val="24"/>
          <w:lang w:val="en-US" w:eastAsia="zh-CN"/>
        </w:rPr>
        <w:t>《</w:t>
      </w:r>
      <w:r>
        <w:rPr>
          <w:rFonts w:hint="default" w:ascii="宋体" w:hAnsi="宋体" w:eastAsia="宋体" w:cs="宋体"/>
          <w:kern w:val="0"/>
          <w:sz w:val="24"/>
          <w:lang w:val="en-US" w:eastAsia="zh-CN"/>
        </w:rPr>
        <w:t>宜宾浓香型白酒  原酒</w:t>
      </w:r>
      <w:r>
        <w:rPr>
          <w:rFonts w:hint="eastAsia" w:ascii="宋体" w:hAnsi="宋体" w:eastAsia="宋体" w:cs="宋体"/>
          <w:kern w:val="0"/>
          <w:sz w:val="24"/>
          <w:lang w:val="en-US" w:eastAsia="zh-CN"/>
        </w:rPr>
        <w:t>》7.1标志，并按照</w:t>
      </w:r>
      <w:r>
        <w:rPr>
          <w:rFonts w:hint="default" w:ascii="宋体" w:hAnsi="宋体" w:eastAsia="宋体" w:cs="宋体"/>
          <w:kern w:val="0"/>
          <w:sz w:val="24"/>
          <w:lang w:val="en-US" w:eastAsia="zh-CN"/>
        </w:rPr>
        <w:t>GB/T 10346</w:t>
      </w:r>
      <w:r>
        <w:rPr>
          <w:rFonts w:hint="eastAsia" w:ascii="宋体" w:hAnsi="宋体" w:eastAsia="宋体" w:cs="宋体"/>
          <w:kern w:val="0"/>
          <w:sz w:val="24"/>
          <w:lang w:val="en-US" w:eastAsia="zh-CN"/>
        </w:rPr>
        <w:t>《白酒检验规则和标志、包装、运输、贮存》执行。</w:t>
      </w:r>
    </w:p>
    <w:p w14:paraId="2B9737A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kern w:val="0"/>
          <w:szCs w:val="20"/>
          <w:lang w:eastAsia="zh-CN"/>
        </w:rPr>
      </w:pPr>
      <w:r>
        <w:rPr>
          <w:rFonts w:hint="eastAsia" w:ascii="黑体" w:hAnsi="黑体" w:eastAsia="黑体" w:cs="黑体"/>
          <w:kern w:val="0"/>
          <w:szCs w:val="20"/>
        </w:rPr>
        <w:t>品质属性</w:t>
      </w:r>
      <w:r>
        <w:rPr>
          <w:rFonts w:hint="eastAsia" w:ascii="黑体" w:hAnsi="黑体" w:eastAsia="黑体" w:cs="黑体"/>
          <w:kern w:val="0"/>
          <w:szCs w:val="20"/>
          <w:lang w:eastAsia="zh-CN"/>
        </w:rPr>
        <w:t>指标</w:t>
      </w:r>
    </w:p>
    <w:tbl>
      <w:tblPr>
        <w:tblStyle w:val="29"/>
        <w:tblW w:w="8501"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1"/>
        <w:gridCol w:w="710"/>
        <w:gridCol w:w="1856"/>
        <w:gridCol w:w="815"/>
        <w:gridCol w:w="3211"/>
        <w:gridCol w:w="1498"/>
      </w:tblGrid>
      <w:tr w14:paraId="2C1AF9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dxa"/>
            <w:tcBorders>
              <w:top w:val="single" w:color="auto" w:sz="8" w:space="0"/>
              <w:bottom w:val="single" w:color="auto" w:sz="8" w:space="0"/>
            </w:tcBorders>
            <w:noWrap w:val="0"/>
            <w:vAlign w:val="center"/>
          </w:tcPr>
          <w:p w14:paraId="1B71EABD">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序号</w:t>
            </w:r>
          </w:p>
        </w:tc>
        <w:tc>
          <w:tcPr>
            <w:tcW w:w="710" w:type="dxa"/>
            <w:tcBorders>
              <w:top w:val="single" w:color="auto" w:sz="8" w:space="0"/>
              <w:bottom w:val="single" w:color="auto" w:sz="8" w:space="0"/>
            </w:tcBorders>
            <w:noWrap w:val="0"/>
            <w:vAlign w:val="center"/>
          </w:tcPr>
          <w:p w14:paraId="0F7CC535">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一级指标</w:t>
            </w:r>
          </w:p>
        </w:tc>
        <w:tc>
          <w:tcPr>
            <w:tcW w:w="1856" w:type="dxa"/>
            <w:tcBorders>
              <w:top w:val="single" w:color="auto" w:sz="8" w:space="0"/>
              <w:bottom w:val="single" w:color="auto" w:sz="8" w:space="0"/>
            </w:tcBorders>
            <w:noWrap w:val="0"/>
            <w:vAlign w:val="center"/>
          </w:tcPr>
          <w:p w14:paraId="2D4FA4E1">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二级指标</w:t>
            </w:r>
          </w:p>
        </w:tc>
        <w:tc>
          <w:tcPr>
            <w:tcW w:w="815" w:type="dxa"/>
            <w:tcBorders>
              <w:top w:val="single" w:color="auto" w:sz="8" w:space="0"/>
              <w:bottom w:val="single" w:color="auto" w:sz="8" w:space="0"/>
            </w:tcBorders>
            <w:noWrap w:val="0"/>
            <w:vAlign w:val="center"/>
          </w:tcPr>
          <w:p w14:paraId="271D03AA">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单位</w:t>
            </w:r>
          </w:p>
        </w:tc>
        <w:tc>
          <w:tcPr>
            <w:tcW w:w="3211" w:type="dxa"/>
            <w:tcBorders>
              <w:top w:val="single" w:color="auto" w:sz="8" w:space="0"/>
              <w:bottom w:val="single" w:color="auto" w:sz="8" w:space="0"/>
            </w:tcBorders>
            <w:noWrap w:val="0"/>
            <w:vAlign w:val="center"/>
          </w:tcPr>
          <w:p w14:paraId="744C080A">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基准值</w:t>
            </w:r>
          </w:p>
        </w:tc>
        <w:tc>
          <w:tcPr>
            <w:tcW w:w="1498" w:type="dxa"/>
            <w:tcBorders>
              <w:top w:val="single" w:color="auto" w:sz="8" w:space="0"/>
              <w:bottom w:val="single" w:color="auto" w:sz="8" w:space="0"/>
            </w:tcBorders>
            <w:noWrap w:val="0"/>
            <w:vAlign w:val="center"/>
          </w:tcPr>
          <w:p w14:paraId="54EE46E1">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判定依据</w:t>
            </w:r>
          </w:p>
        </w:tc>
      </w:tr>
      <w:tr w14:paraId="33583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dxa"/>
            <w:tcBorders>
              <w:top w:val="single" w:color="auto" w:sz="8" w:space="0"/>
              <w:bottom w:val="single" w:color="auto" w:sz="4" w:space="0"/>
            </w:tcBorders>
            <w:noWrap w:val="0"/>
            <w:vAlign w:val="center"/>
          </w:tcPr>
          <w:p w14:paraId="546D1492">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710" w:type="dxa"/>
            <w:vMerge w:val="restart"/>
            <w:tcBorders>
              <w:top w:val="single" w:color="auto" w:sz="8" w:space="0"/>
              <w:bottom w:val="single" w:color="auto" w:sz="8" w:space="0"/>
            </w:tcBorders>
            <w:noWrap w:val="0"/>
            <w:vAlign w:val="center"/>
          </w:tcPr>
          <w:p w14:paraId="13D64E2D">
            <w:pPr>
              <w:pageBreakBefore w:val="0"/>
              <w:kinsoku/>
              <w:wordWrap/>
              <w:overflowPunct/>
              <w:topLinePunct w:val="0"/>
              <w:bidi w:val="0"/>
              <w:adjustRightInd/>
              <w:snapToGrid/>
              <w:spacing w:line="240" w:lineRule="auto"/>
              <w:jc w:val="left"/>
              <w:rPr>
                <w:rFonts w:hint="default" w:ascii="Times New Roman" w:hAnsi="Times New Roman" w:cs="Times New Roman"/>
                <w:color w:val="000000"/>
                <w:kern w:val="0"/>
                <w:sz w:val="18"/>
                <w:szCs w:val="18"/>
              </w:rPr>
            </w:pPr>
          </w:p>
          <w:p w14:paraId="2554F963">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品质</w:t>
            </w:r>
          </w:p>
          <w:p w14:paraId="77CC72A6">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属性</w:t>
            </w:r>
          </w:p>
        </w:tc>
        <w:tc>
          <w:tcPr>
            <w:tcW w:w="1856" w:type="dxa"/>
            <w:tcBorders>
              <w:top w:val="single" w:color="auto" w:sz="8" w:space="0"/>
              <w:bottom w:val="single" w:color="auto" w:sz="4" w:space="0"/>
            </w:tcBorders>
            <w:noWrap w:val="0"/>
            <w:vAlign w:val="center"/>
          </w:tcPr>
          <w:p w14:paraId="14F13C9D">
            <w:pPr>
              <w:pageBreakBefore w:val="0"/>
              <w:widowControl/>
              <w:kinsoku/>
              <w:wordWrap/>
              <w:overflowPunct/>
              <w:topLinePunct w:val="0"/>
              <w:bidi w:val="0"/>
              <w:adjustRightInd/>
              <w:snapToGrid/>
              <w:spacing w:line="240" w:lineRule="auto"/>
              <w:jc w:val="center"/>
              <w:rPr>
                <w:rFonts w:hint="eastAsia" w:ascii="Times New Roman" w:hAnsi="Times New Roman" w:eastAsia="宋体" w:cs="Times New Roman"/>
                <w:color w:val="000000"/>
                <w:kern w:val="0"/>
                <w:sz w:val="18"/>
                <w:szCs w:val="18"/>
                <w:lang w:eastAsia="zh-CN"/>
              </w:rPr>
            </w:pPr>
            <w:r>
              <w:rPr>
                <w:rFonts w:hint="eastAsia" w:ascii="Times New Roman" w:hAnsi="Times New Roman" w:cs="Times New Roman"/>
                <w:color w:val="000000"/>
                <w:kern w:val="0"/>
                <w:sz w:val="18"/>
                <w:szCs w:val="18"/>
                <w:lang w:val="en-US" w:eastAsia="zh-CN"/>
              </w:rPr>
              <w:t>原料</w:t>
            </w:r>
          </w:p>
        </w:tc>
        <w:tc>
          <w:tcPr>
            <w:tcW w:w="815" w:type="dxa"/>
            <w:tcBorders>
              <w:top w:val="single" w:color="auto" w:sz="8" w:space="0"/>
              <w:bottom w:val="single" w:color="auto" w:sz="4" w:space="0"/>
            </w:tcBorders>
            <w:noWrap w:val="0"/>
            <w:vAlign w:val="center"/>
          </w:tcPr>
          <w:p w14:paraId="2588985D">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w:t>
            </w:r>
          </w:p>
        </w:tc>
        <w:tc>
          <w:tcPr>
            <w:tcW w:w="3211" w:type="dxa"/>
            <w:tcBorders>
              <w:top w:val="single" w:color="auto" w:sz="8" w:space="0"/>
              <w:bottom w:val="single" w:color="auto" w:sz="4" w:space="0"/>
            </w:tcBorders>
            <w:noWrap w:val="0"/>
            <w:vAlign w:val="center"/>
          </w:tcPr>
          <w:p w14:paraId="1D7498B0">
            <w:pPr>
              <w:ind w:left="0" w:leftChars="0" w:firstLine="180" w:firstLineChars="100"/>
              <w:rPr>
                <w:rFonts w:hint="default" w:ascii="黑体" w:hAnsi="黑体" w:eastAsia="黑体" w:cs="黑体"/>
                <w:sz w:val="18"/>
                <w:szCs w:val="18"/>
                <w:lang w:val="en-US" w:eastAsia="zh-CN"/>
              </w:rPr>
            </w:pPr>
            <w:r>
              <w:rPr>
                <w:rFonts w:hint="eastAsia" w:ascii="Times New Roman" w:hAnsi="Times New Roman" w:eastAsia="宋体" w:cs="Times New Roman"/>
                <w:sz w:val="18"/>
                <w:szCs w:val="18"/>
                <w:lang w:val="en-US" w:eastAsia="zh-CN"/>
              </w:rPr>
              <w:t>酿造用水应取自宜宾宜宾市行政区域范围内的地下水、山泉水和江河饮用水，水质应符合GB 5749的规定。勾兑加浆用水应优于酿造用水</w:t>
            </w:r>
          </w:p>
          <w:p w14:paraId="56F4AEF0">
            <w:pPr>
              <w:ind w:left="0" w:leftChars="0" w:firstLine="180" w:firstLineChars="100"/>
              <w:rPr>
                <w:rFonts w:hint="default" w:ascii="黑体" w:hAnsi="黑体" w:eastAsia="黑体" w:cs="黑体"/>
                <w:sz w:val="18"/>
                <w:szCs w:val="18"/>
                <w:lang w:val="en-US" w:eastAsia="zh-CN"/>
              </w:rPr>
            </w:pPr>
            <w:r>
              <w:rPr>
                <w:rFonts w:hint="eastAsia" w:ascii="Times New Roman" w:hAnsi="Times New Roman" w:eastAsia="宋体" w:cs="Times New Roman"/>
                <w:sz w:val="18"/>
                <w:szCs w:val="18"/>
                <w:lang w:val="en-US" w:eastAsia="zh-CN"/>
              </w:rPr>
              <w:t>应采用</w:t>
            </w:r>
            <w:r>
              <w:rPr>
                <w:rFonts w:hint="eastAsia" w:hAnsi="宋体"/>
                <w:sz w:val="18"/>
                <w:szCs w:val="18"/>
                <w:lang w:val="en-US" w:eastAsia="zh-CN"/>
              </w:rPr>
              <w:t>核心产区</w:t>
            </w:r>
            <w:r>
              <w:rPr>
                <w:rFonts w:hint="eastAsia" w:ascii="Times New Roman" w:hAnsi="Times New Roman" w:eastAsia="宋体" w:cs="Times New Roman"/>
                <w:sz w:val="18"/>
                <w:szCs w:val="18"/>
                <w:lang w:val="en-US" w:eastAsia="zh-CN"/>
              </w:rPr>
              <w:t>产、符合GB/T 8231规定的</w:t>
            </w:r>
            <w:r>
              <w:rPr>
                <w:rFonts w:hint="eastAsia" w:cs="Times New Roman"/>
                <w:sz w:val="18"/>
                <w:szCs w:val="18"/>
                <w:lang w:val="en-US" w:eastAsia="zh-CN"/>
              </w:rPr>
              <w:t>糯</w:t>
            </w:r>
            <w:r>
              <w:rPr>
                <w:rFonts w:hint="eastAsia" w:ascii="Times New Roman" w:hAnsi="Times New Roman" w:eastAsia="宋体" w:cs="Times New Roman"/>
                <w:sz w:val="18"/>
                <w:szCs w:val="18"/>
                <w:lang w:val="en-US" w:eastAsia="zh-CN"/>
              </w:rPr>
              <w:t>高粱</w:t>
            </w:r>
          </w:p>
          <w:p w14:paraId="412AC14A">
            <w:pPr>
              <w:ind w:left="0" w:leftChars="0" w:firstLine="180" w:firstLineChars="100"/>
              <w:rPr>
                <w:rFonts w:hint="eastAsia" w:ascii="Times New Roman" w:hAnsi="Times New Roman" w:eastAsia="宋体" w:cs="Times New Roman"/>
                <w:sz w:val="18"/>
                <w:szCs w:val="18"/>
                <w:lang w:val="en-US" w:eastAsia="zh-CN"/>
              </w:rPr>
            </w:pPr>
            <w:r>
              <w:rPr>
                <w:rFonts w:hint="eastAsia" w:ascii="宋体" w:hAnsi="宋体" w:eastAsia="宋体" w:cs="宋体"/>
                <w:sz w:val="18"/>
                <w:szCs w:val="18"/>
                <w:lang w:val="en-US" w:eastAsia="zh-CN"/>
              </w:rPr>
              <w:t>应</w:t>
            </w:r>
            <w:r>
              <w:rPr>
                <w:rFonts w:hint="eastAsia" w:ascii="Times New Roman" w:hAnsi="Times New Roman" w:eastAsia="宋体" w:cs="Times New Roman"/>
                <w:sz w:val="18"/>
                <w:szCs w:val="18"/>
                <w:lang w:val="en-US" w:eastAsia="zh-CN"/>
              </w:rPr>
              <w:t>采用符合</w:t>
            </w:r>
            <w:r>
              <w:rPr>
                <w:rFonts w:hint="eastAsia" w:ascii="Times New Roman" w:hAnsi="Times New Roman" w:cs="Times New Roman"/>
                <w:sz w:val="18"/>
                <w:szCs w:val="18"/>
                <w:lang w:val="en-US" w:eastAsia="zh-CN"/>
              </w:rPr>
              <w:t>GB/T 1354</w:t>
            </w:r>
            <w:r>
              <w:rPr>
                <w:rFonts w:hint="eastAsia" w:ascii="Times New Roman" w:hAnsi="Times New Roman" w:eastAsia="宋体" w:cs="Times New Roman"/>
                <w:sz w:val="18"/>
                <w:szCs w:val="18"/>
                <w:lang w:val="en-US" w:eastAsia="zh-CN"/>
              </w:rPr>
              <w:t>规定的大米</w:t>
            </w:r>
          </w:p>
          <w:p w14:paraId="654A0C1C">
            <w:pPr>
              <w:ind w:left="0" w:leftChars="0" w:firstLine="180" w:firstLineChars="100"/>
              <w:rPr>
                <w:rFonts w:hint="default" w:ascii="黑体" w:hAnsi="黑体" w:eastAsia="黑体" w:cs="黑体"/>
                <w:sz w:val="18"/>
                <w:szCs w:val="18"/>
                <w:lang w:val="en-US" w:eastAsia="zh-CN"/>
              </w:rPr>
            </w:pPr>
            <w:r>
              <w:rPr>
                <w:rFonts w:hint="eastAsia" w:ascii="宋体" w:hAnsi="宋体" w:eastAsia="宋体" w:cs="宋体"/>
                <w:sz w:val="18"/>
                <w:szCs w:val="18"/>
                <w:lang w:val="en-US" w:eastAsia="zh-CN"/>
              </w:rPr>
              <w:t>应</w:t>
            </w:r>
            <w:r>
              <w:rPr>
                <w:rFonts w:hint="eastAsia" w:ascii="Times New Roman" w:hAnsi="Times New Roman" w:eastAsia="宋体" w:cs="Times New Roman"/>
                <w:sz w:val="18"/>
                <w:szCs w:val="18"/>
                <w:lang w:val="en-US" w:eastAsia="zh-CN"/>
              </w:rPr>
              <w:t>采用符合</w:t>
            </w:r>
            <w:r>
              <w:rPr>
                <w:rFonts w:hint="eastAsia" w:ascii="Times New Roman" w:hAnsi="Times New Roman" w:cs="Times New Roman"/>
                <w:sz w:val="18"/>
                <w:szCs w:val="18"/>
                <w:lang w:val="en-US" w:eastAsia="zh-CN"/>
              </w:rPr>
              <w:t>GB/T 1354</w:t>
            </w:r>
            <w:r>
              <w:rPr>
                <w:rFonts w:hint="eastAsia" w:ascii="Times New Roman" w:hAnsi="Times New Roman" w:eastAsia="宋体" w:cs="Times New Roman"/>
                <w:sz w:val="18"/>
                <w:szCs w:val="18"/>
                <w:lang w:val="en-US" w:eastAsia="zh-CN"/>
              </w:rPr>
              <w:t>规定的糯米</w:t>
            </w:r>
          </w:p>
          <w:p w14:paraId="712D34C7">
            <w:pPr>
              <w:ind w:left="0" w:leftChars="0" w:firstLine="180" w:firstLineChars="100"/>
              <w:rPr>
                <w:rFonts w:hint="default" w:ascii="黑体" w:hAnsi="黑体" w:eastAsia="黑体" w:cs="黑体"/>
                <w:sz w:val="18"/>
                <w:szCs w:val="18"/>
                <w:lang w:val="en-US" w:eastAsia="zh-CN"/>
              </w:rPr>
            </w:pPr>
            <w:r>
              <w:rPr>
                <w:rFonts w:hint="eastAsia" w:ascii="宋体" w:hAnsi="宋体" w:eastAsia="宋体" w:cs="宋体"/>
                <w:sz w:val="18"/>
                <w:szCs w:val="18"/>
                <w:lang w:val="en-US" w:eastAsia="zh-CN"/>
              </w:rPr>
              <w:t>应</w:t>
            </w:r>
            <w:r>
              <w:rPr>
                <w:rFonts w:hint="eastAsia" w:ascii="Times New Roman" w:hAnsi="Times New Roman" w:eastAsia="宋体" w:cs="Times New Roman"/>
                <w:sz w:val="18"/>
                <w:szCs w:val="18"/>
                <w:lang w:val="en-US" w:eastAsia="zh-CN"/>
              </w:rPr>
              <w:t>采用符合</w:t>
            </w:r>
            <w:r>
              <w:rPr>
                <w:rFonts w:hint="eastAsia" w:ascii="Times New Roman" w:hAnsi="Times New Roman" w:cs="Times New Roman"/>
                <w:sz w:val="18"/>
                <w:szCs w:val="18"/>
                <w:lang w:val="en-US" w:eastAsia="zh-CN"/>
              </w:rPr>
              <w:t>GB 1351</w:t>
            </w:r>
            <w:r>
              <w:rPr>
                <w:rFonts w:hint="eastAsia" w:ascii="Times New Roman" w:hAnsi="Times New Roman" w:eastAsia="宋体" w:cs="Times New Roman"/>
                <w:sz w:val="18"/>
                <w:szCs w:val="18"/>
                <w:lang w:val="en-US" w:eastAsia="zh-CN"/>
              </w:rPr>
              <w:t>规定的小麦</w:t>
            </w:r>
          </w:p>
          <w:p w14:paraId="594C4294">
            <w:pPr>
              <w:pageBreakBefore w:val="0"/>
              <w:widowControl/>
              <w:kinsoku/>
              <w:wordWrap/>
              <w:overflowPunct/>
              <w:topLinePunct w:val="0"/>
              <w:bidi w:val="0"/>
              <w:adjustRightInd/>
              <w:snapToGrid/>
              <w:spacing w:line="240" w:lineRule="auto"/>
              <w:ind w:firstLine="180" w:firstLineChars="100"/>
              <w:jc w:val="both"/>
              <w:rPr>
                <w:rFonts w:hint="default" w:ascii="Times New Roman" w:hAnsi="Times New Roman" w:cs="Times New Roman"/>
                <w:color w:val="000000"/>
                <w:kern w:val="0"/>
                <w:sz w:val="18"/>
                <w:szCs w:val="18"/>
              </w:rPr>
            </w:pPr>
            <w:r>
              <w:rPr>
                <w:rFonts w:hint="eastAsia" w:ascii="宋体" w:hAnsi="宋体" w:eastAsia="宋体" w:cs="宋体"/>
                <w:sz w:val="18"/>
                <w:szCs w:val="18"/>
                <w:lang w:val="en-US" w:eastAsia="zh-CN"/>
              </w:rPr>
              <w:t>应</w:t>
            </w:r>
            <w:r>
              <w:rPr>
                <w:rFonts w:hint="eastAsia" w:ascii="Times New Roman" w:hAnsi="Times New Roman" w:eastAsia="宋体" w:cs="Times New Roman"/>
                <w:sz w:val="18"/>
                <w:szCs w:val="18"/>
                <w:lang w:val="en-US" w:eastAsia="zh-CN"/>
              </w:rPr>
              <w:t>采用符合</w:t>
            </w:r>
            <w:r>
              <w:rPr>
                <w:rFonts w:hint="eastAsia" w:ascii="Times New Roman" w:hAnsi="Times New Roman" w:cs="Times New Roman"/>
                <w:sz w:val="18"/>
                <w:szCs w:val="18"/>
                <w:lang w:val="en-US" w:eastAsia="zh-CN"/>
              </w:rPr>
              <w:t>GB 1353</w:t>
            </w:r>
            <w:r>
              <w:rPr>
                <w:rFonts w:hint="eastAsia" w:ascii="Times New Roman" w:hAnsi="Times New Roman" w:eastAsia="宋体" w:cs="Times New Roman"/>
                <w:sz w:val="18"/>
                <w:szCs w:val="18"/>
                <w:lang w:val="en-US" w:eastAsia="zh-CN"/>
              </w:rPr>
              <w:t>规定的玉米</w:t>
            </w:r>
          </w:p>
        </w:tc>
        <w:tc>
          <w:tcPr>
            <w:tcW w:w="1498" w:type="dxa"/>
            <w:tcBorders>
              <w:top w:val="single" w:color="auto" w:sz="8" w:space="0"/>
              <w:bottom w:val="single" w:color="auto" w:sz="4" w:space="0"/>
            </w:tcBorders>
            <w:noWrap w:val="0"/>
            <w:vAlign w:val="center"/>
          </w:tcPr>
          <w:p w14:paraId="23E4FC8E">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eastAsia" w:ascii="Times New Roman" w:hAnsi="Times New Roman" w:cs="Times New Roman"/>
                <w:color w:val="000000"/>
                <w:kern w:val="0"/>
                <w:sz w:val="18"/>
                <w:szCs w:val="18"/>
                <w:lang w:val="en-US" w:eastAsia="zh-CN"/>
              </w:rPr>
              <w:t>查验执行标准</w:t>
            </w:r>
          </w:p>
        </w:tc>
      </w:tr>
      <w:tr w14:paraId="431B3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dxa"/>
            <w:tcBorders>
              <w:top w:val="single" w:color="auto" w:sz="4" w:space="0"/>
              <w:bottom w:val="single" w:color="auto" w:sz="4" w:space="0"/>
            </w:tcBorders>
            <w:noWrap w:val="0"/>
            <w:vAlign w:val="center"/>
          </w:tcPr>
          <w:p w14:paraId="594EBE98">
            <w:pPr>
              <w:pageBreakBefore w:val="0"/>
              <w:widowControl/>
              <w:kinsoku/>
              <w:wordWrap/>
              <w:overflowPunct/>
              <w:topLinePunct w:val="0"/>
              <w:bidi w:val="0"/>
              <w:adjustRightInd/>
              <w:snapToGrid/>
              <w:spacing w:line="240" w:lineRule="auto"/>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2</w:t>
            </w:r>
          </w:p>
        </w:tc>
        <w:tc>
          <w:tcPr>
            <w:tcW w:w="710" w:type="dxa"/>
            <w:vMerge w:val="continue"/>
            <w:tcBorders>
              <w:top w:val="single" w:color="auto" w:sz="8" w:space="0"/>
              <w:bottom w:val="single" w:color="auto" w:sz="8" w:space="0"/>
            </w:tcBorders>
            <w:noWrap w:val="0"/>
            <w:vAlign w:val="center"/>
          </w:tcPr>
          <w:p w14:paraId="67548460">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p>
        </w:tc>
        <w:tc>
          <w:tcPr>
            <w:tcW w:w="1856" w:type="dxa"/>
            <w:tcBorders>
              <w:top w:val="single" w:color="auto" w:sz="4" w:space="0"/>
              <w:bottom w:val="single" w:color="auto" w:sz="4" w:space="0"/>
            </w:tcBorders>
            <w:noWrap w:val="0"/>
            <w:vAlign w:val="center"/>
          </w:tcPr>
          <w:p w14:paraId="5AD98656">
            <w:pPr>
              <w:pageBreakBefore w:val="0"/>
              <w:widowControl/>
              <w:kinsoku/>
              <w:wordWrap/>
              <w:overflowPunct/>
              <w:topLinePunct w:val="0"/>
              <w:bidi w:val="0"/>
              <w:adjustRightInd/>
              <w:snapToGrid/>
              <w:spacing w:line="240" w:lineRule="auto"/>
              <w:jc w:val="center"/>
              <w:rPr>
                <w:rFonts w:hint="eastAsia" w:ascii="Times New Roman" w:hAnsi="Times New Roman" w:cs="Times New Roman"/>
                <w:color w:val="000000"/>
                <w:kern w:val="0"/>
                <w:sz w:val="18"/>
                <w:szCs w:val="18"/>
                <w:lang w:val="en-US" w:eastAsia="zh-CN"/>
              </w:rPr>
            </w:pPr>
            <w:r>
              <w:rPr>
                <w:rFonts w:hint="eastAsia" w:ascii="黑体" w:hAnsi="黑体" w:cs="黑体"/>
                <w:bCs/>
                <w:sz w:val="18"/>
                <w:szCs w:val="18"/>
                <w:lang w:val="en-US" w:eastAsia="zh-CN"/>
              </w:rPr>
              <w:t>用曲</w:t>
            </w:r>
          </w:p>
        </w:tc>
        <w:tc>
          <w:tcPr>
            <w:tcW w:w="815" w:type="dxa"/>
            <w:tcBorders>
              <w:top w:val="single" w:color="auto" w:sz="4" w:space="0"/>
              <w:bottom w:val="single" w:color="auto" w:sz="4" w:space="0"/>
            </w:tcBorders>
            <w:noWrap w:val="0"/>
            <w:vAlign w:val="center"/>
          </w:tcPr>
          <w:p w14:paraId="2C47FF9F">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w:t>
            </w:r>
          </w:p>
        </w:tc>
        <w:tc>
          <w:tcPr>
            <w:tcW w:w="3211" w:type="dxa"/>
            <w:tcBorders>
              <w:top w:val="single" w:color="auto" w:sz="4" w:space="0"/>
              <w:bottom w:val="single" w:color="auto" w:sz="4" w:space="0"/>
            </w:tcBorders>
            <w:noWrap w:val="0"/>
            <w:vAlign w:val="center"/>
          </w:tcPr>
          <w:p w14:paraId="6DBA70E1">
            <w:pPr>
              <w:pageBreakBefore w:val="0"/>
              <w:widowControl/>
              <w:kinsoku/>
              <w:wordWrap/>
              <w:overflowPunct/>
              <w:topLinePunct w:val="0"/>
              <w:bidi w:val="0"/>
              <w:adjustRightInd/>
              <w:snapToGrid/>
              <w:spacing w:line="240" w:lineRule="auto"/>
              <w:ind w:firstLine="180" w:firstLineChars="100"/>
              <w:jc w:val="both"/>
              <w:rPr>
                <w:rFonts w:hint="eastAsia" w:ascii="宋体" w:hAnsi="宋体" w:eastAsia="宋体" w:cs="宋体"/>
                <w:sz w:val="18"/>
                <w:szCs w:val="18"/>
                <w:lang w:val="en-US" w:eastAsia="zh-CN"/>
              </w:rPr>
            </w:pPr>
            <w:r>
              <w:rPr>
                <w:rFonts w:hint="eastAsia" w:hAnsi="宋体"/>
                <w:sz w:val="18"/>
                <w:szCs w:val="18"/>
                <w:lang w:val="en-US" w:eastAsia="zh-CN"/>
              </w:rPr>
              <w:t>应采用符合</w:t>
            </w:r>
            <w:r>
              <w:rPr>
                <w:rFonts w:hint="default" w:ascii="Times New Roman" w:hAnsi="Times New Roman" w:cs="Times New Roman"/>
                <w:sz w:val="18"/>
                <w:szCs w:val="18"/>
              </w:rPr>
              <w:t>QB/T 4259</w:t>
            </w:r>
            <w:r>
              <w:rPr>
                <w:rFonts w:hint="eastAsia" w:hAnsi="宋体"/>
                <w:sz w:val="18"/>
                <w:szCs w:val="18"/>
                <w:lang w:val="en-US" w:eastAsia="zh-CN"/>
              </w:rPr>
              <w:t>规定的浓香大曲</w:t>
            </w:r>
          </w:p>
        </w:tc>
        <w:tc>
          <w:tcPr>
            <w:tcW w:w="1498" w:type="dxa"/>
            <w:tcBorders>
              <w:top w:val="single" w:color="auto" w:sz="4" w:space="0"/>
              <w:bottom w:val="single" w:color="auto" w:sz="4" w:space="0"/>
            </w:tcBorders>
            <w:noWrap w:val="0"/>
            <w:vAlign w:val="center"/>
          </w:tcPr>
          <w:p w14:paraId="59DAA195">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eastAsia" w:ascii="Times New Roman" w:hAnsi="Times New Roman" w:cs="Times New Roman"/>
                <w:color w:val="000000"/>
                <w:kern w:val="0"/>
                <w:sz w:val="18"/>
                <w:szCs w:val="18"/>
                <w:lang w:val="en-US" w:eastAsia="zh-CN"/>
              </w:rPr>
              <w:t>查验执行标准</w:t>
            </w:r>
          </w:p>
        </w:tc>
      </w:tr>
      <w:tr w14:paraId="4722C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dxa"/>
            <w:tcBorders>
              <w:top w:val="single" w:color="auto" w:sz="4" w:space="0"/>
              <w:bottom w:val="single" w:color="auto" w:sz="4" w:space="0"/>
            </w:tcBorders>
            <w:noWrap w:val="0"/>
            <w:vAlign w:val="center"/>
          </w:tcPr>
          <w:p w14:paraId="00597E24">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3</w:t>
            </w:r>
          </w:p>
        </w:tc>
        <w:tc>
          <w:tcPr>
            <w:tcW w:w="710" w:type="dxa"/>
            <w:vMerge w:val="continue"/>
            <w:tcBorders>
              <w:top w:val="single" w:color="auto" w:sz="8" w:space="0"/>
              <w:bottom w:val="single" w:color="auto" w:sz="8" w:space="0"/>
            </w:tcBorders>
            <w:noWrap w:val="0"/>
            <w:vAlign w:val="center"/>
          </w:tcPr>
          <w:p w14:paraId="176D081D">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p>
        </w:tc>
        <w:tc>
          <w:tcPr>
            <w:tcW w:w="1856" w:type="dxa"/>
            <w:tcBorders>
              <w:top w:val="single" w:color="auto" w:sz="4" w:space="0"/>
              <w:bottom w:val="single" w:color="auto" w:sz="4" w:space="0"/>
            </w:tcBorders>
            <w:noWrap w:val="0"/>
            <w:vAlign w:val="center"/>
          </w:tcPr>
          <w:p w14:paraId="7322E086">
            <w:pPr>
              <w:pageBreakBefore w:val="0"/>
              <w:widowControl/>
              <w:kinsoku/>
              <w:wordWrap/>
              <w:overflowPunct/>
              <w:topLinePunct w:val="0"/>
              <w:bidi w:val="0"/>
              <w:adjustRightInd/>
              <w:snapToGrid/>
              <w:spacing w:line="240" w:lineRule="auto"/>
              <w:jc w:val="center"/>
              <w:rPr>
                <w:rFonts w:hint="eastAsia" w:ascii="黑体" w:hAnsi="黑体" w:cs="黑体"/>
                <w:bCs/>
                <w:sz w:val="18"/>
                <w:szCs w:val="18"/>
                <w:lang w:val="en-US" w:eastAsia="zh-CN"/>
              </w:rPr>
            </w:pPr>
            <w:r>
              <w:rPr>
                <w:rFonts w:hint="eastAsia" w:ascii="黑体" w:hAnsi="黑体" w:cs="黑体"/>
                <w:bCs/>
                <w:sz w:val="18"/>
                <w:szCs w:val="18"/>
                <w:lang w:val="en-US" w:eastAsia="zh-CN"/>
              </w:rPr>
              <w:t>工艺</w:t>
            </w:r>
          </w:p>
        </w:tc>
        <w:tc>
          <w:tcPr>
            <w:tcW w:w="815" w:type="dxa"/>
            <w:tcBorders>
              <w:top w:val="single" w:color="auto" w:sz="4" w:space="0"/>
              <w:bottom w:val="single" w:color="auto" w:sz="4" w:space="0"/>
            </w:tcBorders>
            <w:noWrap w:val="0"/>
            <w:vAlign w:val="center"/>
          </w:tcPr>
          <w:p w14:paraId="7FA54295">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w:t>
            </w:r>
          </w:p>
        </w:tc>
        <w:tc>
          <w:tcPr>
            <w:tcW w:w="3211" w:type="dxa"/>
            <w:tcBorders>
              <w:top w:val="single" w:color="auto" w:sz="4" w:space="0"/>
              <w:bottom w:val="single" w:color="auto" w:sz="4" w:space="0"/>
            </w:tcBorders>
            <w:noWrap w:val="0"/>
            <w:vAlign w:val="center"/>
          </w:tcPr>
          <w:p w14:paraId="69E6F7CF">
            <w:pPr>
              <w:pageBreakBefore w:val="0"/>
              <w:widowControl/>
              <w:kinsoku/>
              <w:wordWrap/>
              <w:overflowPunct/>
              <w:topLinePunct w:val="0"/>
              <w:bidi w:val="0"/>
              <w:adjustRightInd/>
              <w:snapToGrid/>
              <w:spacing w:line="240" w:lineRule="auto"/>
              <w:ind w:firstLine="180" w:firstLineChars="100"/>
              <w:jc w:val="both"/>
              <w:rPr>
                <w:rFonts w:hint="eastAsia" w:hAnsi="宋体"/>
                <w:sz w:val="18"/>
                <w:szCs w:val="18"/>
                <w:lang w:val="en-US" w:eastAsia="zh-CN"/>
              </w:rPr>
            </w:pPr>
            <w:r>
              <w:rPr>
                <w:rFonts w:hint="default" w:ascii="Times New Roman" w:hAnsi="Times New Roman" w:cs="Times New Roman"/>
                <w:sz w:val="18"/>
                <w:szCs w:val="18"/>
                <w:lang w:val="en-US" w:eastAsia="zh-CN"/>
              </w:rPr>
              <w:t>按祖传配方配混5种粮食，粉碎后与一定比例的陈年老母糟（糟醅）配料，以包包曲为糖化发酵剂，在窖池中发酵周期在70 d以上，双轮底发酵时间在140 d以上，采用跑窖循环、续糟发酵、分层起糟、分层蒸馏、量质摘酒、按质并坛的传统工艺，经分级入库、陶坛长期陈酿、筛选组合而成。从原料投入到产品出厂不少于5 a，调味酒酒龄不少于15 a</w:t>
            </w:r>
          </w:p>
        </w:tc>
        <w:tc>
          <w:tcPr>
            <w:tcW w:w="1498" w:type="dxa"/>
            <w:tcBorders>
              <w:top w:val="single" w:color="auto" w:sz="4" w:space="0"/>
              <w:bottom w:val="single" w:color="auto" w:sz="4" w:space="0"/>
            </w:tcBorders>
            <w:noWrap w:val="0"/>
            <w:vAlign w:val="center"/>
          </w:tcPr>
          <w:p w14:paraId="6F38B2F8">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提供证明材料</w:t>
            </w:r>
          </w:p>
        </w:tc>
      </w:tr>
      <w:tr w14:paraId="44A9B4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dxa"/>
            <w:tcBorders>
              <w:top w:val="single" w:color="auto" w:sz="4" w:space="0"/>
              <w:bottom w:val="single" w:color="auto" w:sz="4" w:space="0"/>
            </w:tcBorders>
            <w:noWrap w:val="0"/>
            <w:vAlign w:val="center"/>
          </w:tcPr>
          <w:p w14:paraId="53237147">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4</w:t>
            </w:r>
          </w:p>
        </w:tc>
        <w:tc>
          <w:tcPr>
            <w:tcW w:w="710" w:type="dxa"/>
            <w:vMerge w:val="continue"/>
            <w:tcBorders>
              <w:top w:val="single" w:color="auto" w:sz="8" w:space="0"/>
              <w:bottom w:val="single" w:color="auto" w:sz="8" w:space="0"/>
            </w:tcBorders>
            <w:noWrap w:val="0"/>
            <w:vAlign w:val="center"/>
          </w:tcPr>
          <w:p w14:paraId="4C5B93A7">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p>
        </w:tc>
        <w:tc>
          <w:tcPr>
            <w:tcW w:w="1856" w:type="dxa"/>
            <w:tcBorders>
              <w:top w:val="single" w:color="auto" w:sz="4" w:space="0"/>
              <w:bottom w:val="single" w:color="auto" w:sz="4" w:space="0"/>
            </w:tcBorders>
            <w:noWrap w:val="0"/>
            <w:vAlign w:val="center"/>
          </w:tcPr>
          <w:p w14:paraId="16731604">
            <w:pPr>
              <w:pageBreakBefore w:val="0"/>
              <w:widowControl/>
              <w:kinsoku/>
              <w:wordWrap/>
              <w:overflowPunct/>
              <w:topLinePunct w:val="0"/>
              <w:bidi w:val="0"/>
              <w:adjustRightInd/>
              <w:snapToGrid/>
              <w:spacing w:line="240" w:lineRule="auto"/>
              <w:jc w:val="center"/>
              <w:rPr>
                <w:rFonts w:hint="eastAsia" w:ascii="黑体" w:hAnsi="黑体" w:cs="黑体"/>
                <w:bCs/>
                <w:sz w:val="18"/>
                <w:szCs w:val="18"/>
                <w:lang w:val="en-US" w:eastAsia="zh-CN"/>
              </w:rPr>
            </w:pPr>
            <w:r>
              <w:rPr>
                <w:rFonts w:hint="eastAsia" w:ascii="黑体" w:hAnsi="黑体" w:cs="黑体"/>
                <w:bCs/>
                <w:sz w:val="18"/>
                <w:szCs w:val="18"/>
                <w:lang w:val="en-US" w:eastAsia="zh-CN"/>
              </w:rPr>
              <w:t>感官质量</w:t>
            </w:r>
          </w:p>
        </w:tc>
        <w:tc>
          <w:tcPr>
            <w:tcW w:w="815" w:type="dxa"/>
            <w:tcBorders>
              <w:top w:val="single" w:color="auto" w:sz="4" w:space="0"/>
              <w:bottom w:val="single" w:color="auto" w:sz="4" w:space="0"/>
            </w:tcBorders>
            <w:noWrap w:val="0"/>
            <w:vAlign w:val="center"/>
          </w:tcPr>
          <w:p w14:paraId="25B5C133">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w:t>
            </w:r>
          </w:p>
        </w:tc>
        <w:tc>
          <w:tcPr>
            <w:tcW w:w="3211" w:type="dxa"/>
            <w:tcBorders>
              <w:top w:val="single" w:color="auto" w:sz="4" w:space="0"/>
              <w:bottom w:val="single" w:color="auto" w:sz="4" w:space="0"/>
            </w:tcBorders>
            <w:noWrap w:val="0"/>
            <w:vAlign w:val="center"/>
          </w:tcPr>
          <w:p w14:paraId="4F7DB83B">
            <w:pPr>
              <w:pageBreakBefore w:val="0"/>
              <w:widowControl/>
              <w:kinsoku/>
              <w:wordWrap/>
              <w:overflowPunct/>
              <w:topLinePunct w:val="0"/>
              <w:bidi w:val="0"/>
              <w:adjustRightInd/>
              <w:snapToGrid/>
              <w:spacing w:line="240" w:lineRule="auto"/>
              <w:ind w:firstLine="180" w:firstLineChars="100"/>
              <w:jc w:val="both"/>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应符合表5的规定</w:t>
            </w:r>
          </w:p>
        </w:tc>
        <w:tc>
          <w:tcPr>
            <w:tcW w:w="1498" w:type="dxa"/>
            <w:tcBorders>
              <w:top w:val="single" w:color="auto" w:sz="4" w:space="0"/>
              <w:bottom w:val="single" w:color="auto" w:sz="4" w:space="0"/>
            </w:tcBorders>
            <w:noWrap w:val="0"/>
            <w:vAlign w:val="center"/>
          </w:tcPr>
          <w:p w14:paraId="4961ECB9">
            <w:pPr>
              <w:pageBreakBefore w:val="0"/>
              <w:kinsoku/>
              <w:wordWrap/>
              <w:overflowPunct/>
              <w:topLinePunct w:val="0"/>
              <w:bidi w:val="0"/>
              <w:adjustRightInd/>
              <w:snapToGrid/>
              <w:spacing w:line="240" w:lineRule="auto"/>
              <w:ind w:firstLine="180" w:firstLineChars="100"/>
              <w:jc w:val="left"/>
              <w:rPr>
                <w:rFonts w:hint="default" w:ascii="Times New Roman" w:hAnsi="Times New Roman" w:cs="Times New Roman"/>
                <w:color w:val="000000"/>
                <w:kern w:val="0"/>
                <w:sz w:val="18"/>
                <w:szCs w:val="18"/>
              </w:rPr>
            </w:pPr>
            <w:r>
              <w:rPr>
                <w:rFonts w:hint="eastAsia" w:ascii="Times New Roman" w:hAnsi="Times New Roman" w:eastAsia="宋体" w:cs="Times New Roman"/>
                <w:sz w:val="18"/>
                <w:szCs w:val="18"/>
                <w:lang w:val="en-US" w:eastAsia="zh-CN"/>
              </w:rPr>
              <w:t>按照附录C的方法进行评价</w:t>
            </w:r>
          </w:p>
        </w:tc>
      </w:tr>
      <w:tr w14:paraId="71D21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dxa"/>
            <w:tcBorders>
              <w:top w:val="single" w:color="auto" w:sz="4" w:space="0"/>
              <w:bottom w:val="single" w:color="auto" w:sz="4" w:space="0"/>
            </w:tcBorders>
            <w:noWrap w:val="0"/>
            <w:vAlign w:val="center"/>
          </w:tcPr>
          <w:p w14:paraId="1C196A2E">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5</w:t>
            </w:r>
          </w:p>
        </w:tc>
        <w:tc>
          <w:tcPr>
            <w:tcW w:w="710" w:type="dxa"/>
            <w:vMerge w:val="continue"/>
            <w:tcBorders>
              <w:top w:val="single" w:color="auto" w:sz="8" w:space="0"/>
              <w:bottom w:val="single" w:color="auto" w:sz="8" w:space="0"/>
            </w:tcBorders>
            <w:noWrap w:val="0"/>
            <w:vAlign w:val="center"/>
          </w:tcPr>
          <w:p w14:paraId="3ECCC278">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p>
        </w:tc>
        <w:tc>
          <w:tcPr>
            <w:tcW w:w="1856" w:type="dxa"/>
            <w:tcBorders>
              <w:top w:val="single" w:color="auto" w:sz="4" w:space="0"/>
              <w:bottom w:val="single" w:color="auto" w:sz="4" w:space="0"/>
            </w:tcBorders>
            <w:noWrap w:val="0"/>
            <w:vAlign w:val="center"/>
          </w:tcPr>
          <w:p w14:paraId="5DE12B78">
            <w:pPr>
              <w:pageBreakBefore w:val="0"/>
              <w:widowControl/>
              <w:kinsoku/>
              <w:wordWrap/>
              <w:overflowPunct/>
              <w:topLinePunct w:val="0"/>
              <w:bidi w:val="0"/>
              <w:adjustRightInd/>
              <w:snapToGrid/>
              <w:spacing w:line="240" w:lineRule="auto"/>
              <w:jc w:val="center"/>
              <w:rPr>
                <w:rFonts w:hint="default" w:ascii="黑体" w:hAnsi="黑体" w:cs="黑体"/>
                <w:bCs/>
                <w:sz w:val="18"/>
                <w:szCs w:val="18"/>
                <w:lang w:val="en-US" w:eastAsia="zh-CN"/>
              </w:rPr>
            </w:pPr>
            <w:r>
              <w:rPr>
                <w:rFonts w:hint="eastAsia" w:ascii="黑体" w:hAnsi="黑体" w:cs="黑体"/>
                <w:bCs/>
                <w:sz w:val="18"/>
                <w:szCs w:val="18"/>
                <w:lang w:val="en-US" w:eastAsia="zh-CN"/>
              </w:rPr>
              <w:t>理化指标</w:t>
            </w:r>
          </w:p>
        </w:tc>
        <w:tc>
          <w:tcPr>
            <w:tcW w:w="815" w:type="dxa"/>
            <w:tcBorders>
              <w:top w:val="single" w:color="auto" w:sz="4" w:space="0"/>
              <w:bottom w:val="single" w:color="auto" w:sz="4" w:space="0"/>
            </w:tcBorders>
            <w:noWrap w:val="0"/>
            <w:vAlign w:val="center"/>
          </w:tcPr>
          <w:p w14:paraId="03D900BB">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w:t>
            </w:r>
          </w:p>
        </w:tc>
        <w:tc>
          <w:tcPr>
            <w:tcW w:w="3211" w:type="dxa"/>
            <w:tcBorders>
              <w:top w:val="single" w:color="auto" w:sz="4" w:space="0"/>
              <w:bottom w:val="single" w:color="auto" w:sz="4" w:space="0"/>
            </w:tcBorders>
            <w:noWrap w:val="0"/>
            <w:vAlign w:val="center"/>
          </w:tcPr>
          <w:p w14:paraId="5FF73FDC">
            <w:pPr>
              <w:pageBreakBefore w:val="0"/>
              <w:widowControl/>
              <w:kinsoku/>
              <w:wordWrap/>
              <w:overflowPunct/>
              <w:topLinePunct w:val="0"/>
              <w:bidi w:val="0"/>
              <w:adjustRightInd/>
              <w:snapToGrid/>
              <w:spacing w:line="240" w:lineRule="auto"/>
              <w:ind w:firstLine="180" w:firstLineChars="100"/>
              <w:jc w:val="both"/>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应符合表6的规定</w:t>
            </w:r>
          </w:p>
        </w:tc>
        <w:tc>
          <w:tcPr>
            <w:tcW w:w="1498" w:type="dxa"/>
            <w:tcBorders>
              <w:top w:val="single" w:color="auto" w:sz="4" w:space="0"/>
              <w:bottom w:val="single" w:color="auto" w:sz="4" w:space="0"/>
            </w:tcBorders>
            <w:noWrap w:val="0"/>
            <w:vAlign w:val="center"/>
          </w:tcPr>
          <w:p w14:paraId="2206DE6E">
            <w:pPr>
              <w:pageBreakBefore w:val="0"/>
              <w:kinsoku/>
              <w:wordWrap/>
              <w:overflowPunct/>
              <w:topLinePunct w:val="0"/>
              <w:bidi w:val="0"/>
              <w:adjustRightInd/>
              <w:snapToGrid/>
              <w:spacing w:line="240" w:lineRule="auto"/>
              <w:ind w:firstLine="180" w:firstLineChars="100"/>
              <w:jc w:val="lef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酒精度、</w:t>
            </w:r>
            <w:r>
              <w:rPr>
                <w:rFonts w:hint="default" w:ascii="Times New Roman" w:hAnsi="Times New Roman" w:eastAsia="宋体" w:cs="Times New Roman"/>
                <w:sz w:val="18"/>
                <w:szCs w:val="18"/>
                <w:lang w:val="en-US" w:eastAsia="zh-CN"/>
              </w:rPr>
              <w:t>酸酯总量</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己酸</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己酸乙酯</w:t>
            </w:r>
            <w:r>
              <w:rPr>
                <w:rFonts w:hint="eastAsia" w:ascii="Times New Roman" w:hAnsi="Times New Roman" w:eastAsia="宋体" w:cs="Times New Roman"/>
                <w:sz w:val="18"/>
                <w:szCs w:val="18"/>
                <w:lang w:val="en-US" w:eastAsia="zh-CN"/>
              </w:rPr>
              <w:t>、固形物按照GB/T 10781.1的方法进行测定，乙酸乙酯按照GB 1886.190的方法进行测定</w:t>
            </w:r>
          </w:p>
        </w:tc>
      </w:tr>
      <w:tr w14:paraId="1EAF0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dxa"/>
            <w:tcBorders>
              <w:top w:val="single" w:color="auto" w:sz="4" w:space="0"/>
              <w:bottom w:val="single" w:color="auto" w:sz="4" w:space="0"/>
            </w:tcBorders>
            <w:noWrap w:val="0"/>
            <w:vAlign w:val="center"/>
          </w:tcPr>
          <w:p w14:paraId="571541EC">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6</w:t>
            </w:r>
          </w:p>
        </w:tc>
        <w:tc>
          <w:tcPr>
            <w:tcW w:w="710" w:type="dxa"/>
            <w:vMerge w:val="continue"/>
            <w:tcBorders>
              <w:top w:val="single" w:color="auto" w:sz="8" w:space="0"/>
              <w:bottom w:val="single" w:color="auto" w:sz="8" w:space="0"/>
            </w:tcBorders>
            <w:noWrap w:val="0"/>
            <w:vAlign w:val="center"/>
          </w:tcPr>
          <w:p w14:paraId="59799CDA">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p>
        </w:tc>
        <w:tc>
          <w:tcPr>
            <w:tcW w:w="1856" w:type="dxa"/>
            <w:tcBorders>
              <w:top w:val="single" w:color="auto" w:sz="4" w:space="0"/>
              <w:bottom w:val="single" w:color="auto" w:sz="4" w:space="0"/>
            </w:tcBorders>
            <w:noWrap w:val="0"/>
            <w:vAlign w:val="center"/>
          </w:tcPr>
          <w:p w14:paraId="202BE11D">
            <w:pPr>
              <w:pageBreakBefore w:val="0"/>
              <w:widowControl/>
              <w:kinsoku/>
              <w:wordWrap/>
              <w:overflowPunct/>
              <w:topLinePunct w:val="0"/>
              <w:bidi w:val="0"/>
              <w:adjustRightInd/>
              <w:snapToGrid/>
              <w:spacing w:line="240" w:lineRule="auto"/>
              <w:jc w:val="center"/>
              <w:rPr>
                <w:rFonts w:hint="default" w:ascii="黑体" w:hAnsi="黑体" w:cs="黑体"/>
                <w:bCs/>
                <w:sz w:val="18"/>
                <w:szCs w:val="18"/>
                <w:lang w:val="en-US" w:eastAsia="zh-CN"/>
              </w:rPr>
            </w:pPr>
            <w:r>
              <w:rPr>
                <w:rFonts w:hint="eastAsia" w:ascii="黑体" w:hAnsi="黑体" w:cs="黑体"/>
                <w:bCs/>
                <w:sz w:val="18"/>
                <w:szCs w:val="18"/>
                <w:lang w:val="en-US" w:eastAsia="zh-CN"/>
              </w:rPr>
              <w:t>原酒真实性</w:t>
            </w:r>
          </w:p>
        </w:tc>
        <w:tc>
          <w:tcPr>
            <w:tcW w:w="815" w:type="dxa"/>
            <w:tcBorders>
              <w:top w:val="single" w:color="auto" w:sz="4" w:space="0"/>
              <w:bottom w:val="single" w:color="auto" w:sz="4" w:space="0"/>
            </w:tcBorders>
            <w:noWrap w:val="0"/>
            <w:vAlign w:val="center"/>
          </w:tcPr>
          <w:p w14:paraId="0F9425EC">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p>
        </w:tc>
        <w:tc>
          <w:tcPr>
            <w:tcW w:w="3211" w:type="dxa"/>
            <w:tcBorders>
              <w:top w:val="single" w:color="auto" w:sz="4" w:space="0"/>
              <w:bottom w:val="single" w:color="auto" w:sz="4" w:space="0"/>
            </w:tcBorders>
            <w:noWrap w:val="0"/>
            <w:vAlign w:val="center"/>
          </w:tcPr>
          <w:p w14:paraId="4B749EA6">
            <w:pPr>
              <w:pageBreakBefore w:val="0"/>
              <w:widowControl/>
              <w:kinsoku/>
              <w:wordWrap/>
              <w:overflowPunct/>
              <w:topLinePunct w:val="0"/>
              <w:bidi w:val="0"/>
              <w:adjustRightInd/>
              <w:snapToGrid/>
              <w:spacing w:line="240" w:lineRule="auto"/>
              <w:ind w:firstLine="180" w:firstLineChars="100"/>
              <w:jc w:val="both"/>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原酒应具有真实性</w:t>
            </w:r>
          </w:p>
          <w:p w14:paraId="109B60A8">
            <w:pPr>
              <w:pageBreakBefore w:val="0"/>
              <w:widowControl/>
              <w:kinsoku/>
              <w:wordWrap/>
              <w:overflowPunct/>
              <w:topLinePunct w:val="0"/>
              <w:bidi w:val="0"/>
              <w:adjustRightInd/>
              <w:snapToGrid/>
              <w:spacing w:line="240" w:lineRule="auto"/>
              <w:ind w:firstLine="180" w:firstLineChars="100"/>
              <w:jc w:val="both"/>
              <w:rPr>
                <w:rFonts w:hint="eastAsia"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原酒</w:t>
            </w:r>
            <w:r>
              <w:rPr>
                <w:rFonts w:hint="eastAsia" w:ascii="Times New Roman" w:hAnsi="Times New Roman" w:eastAsia="宋体" w:cs="Times New Roman"/>
                <w:sz w:val="18"/>
                <w:szCs w:val="18"/>
                <w:lang w:val="en-US" w:eastAsia="zh-CN"/>
              </w:rPr>
              <w:t>不应</w:t>
            </w:r>
            <w:r>
              <w:rPr>
                <w:rFonts w:hint="default" w:ascii="Times New Roman" w:hAnsi="Times New Roman" w:eastAsia="宋体" w:cs="Times New Roman"/>
                <w:sz w:val="18"/>
                <w:szCs w:val="18"/>
                <w:lang w:val="en-US" w:eastAsia="zh-CN"/>
              </w:rPr>
              <w:t>添加外源乙醇或外源呈香呈味物质</w:t>
            </w:r>
          </w:p>
        </w:tc>
        <w:tc>
          <w:tcPr>
            <w:tcW w:w="1498" w:type="dxa"/>
            <w:tcBorders>
              <w:top w:val="single" w:color="auto" w:sz="4" w:space="0"/>
              <w:bottom w:val="single" w:color="auto" w:sz="4" w:space="0"/>
            </w:tcBorders>
            <w:noWrap w:val="0"/>
            <w:vAlign w:val="center"/>
          </w:tcPr>
          <w:p w14:paraId="7C79808D">
            <w:pPr>
              <w:pageBreakBefore w:val="0"/>
              <w:kinsoku/>
              <w:wordWrap/>
              <w:overflowPunct/>
              <w:topLinePunct w:val="0"/>
              <w:bidi w:val="0"/>
              <w:adjustRightInd/>
              <w:snapToGrid/>
              <w:spacing w:line="240" w:lineRule="auto"/>
              <w:ind w:firstLine="180" w:firstLineChars="100"/>
              <w:jc w:val="left"/>
              <w:rPr>
                <w:rFonts w:hint="eastAsia"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采用气相色谱或气质联用仪测定</w:t>
            </w:r>
            <w:r>
              <w:rPr>
                <w:rFonts w:hint="eastAsia" w:ascii="Times New Roman" w:hAnsi="Times New Roman" w:eastAsia="宋体" w:cs="Times New Roman"/>
                <w:sz w:val="18"/>
                <w:szCs w:val="18"/>
                <w:lang w:val="en-US" w:eastAsia="zh-CN"/>
              </w:rPr>
              <w:t>原酒</w:t>
            </w:r>
            <w:r>
              <w:rPr>
                <w:rFonts w:hint="default" w:ascii="Times New Roman" w:hAnsi="Times New Roman" w:eastAsia="宋体" w:cs="Times New Roman"/>
                <w:sz w:val="18"/>
                <w:szCs w:val="18"/>
                <w:lang w:val="en-US" w:eastAsia="zh-CN"/>
              </w:rPr>
              <w:t>挥发性风味组分指纹图谱</w:t>
            </w:r>
            <w:r>
              <w:rPr>
                <w:rFonts w:hint="eastAsia" w:ascii="Times New Roman" w:hAnsi="Times New Roman" w:eastAsia="宋体" w:cs="Times New Roman"/>
                <w:sz w:val="18"/>
                <w:szCs w:val="18"/>
                <w:lang w:val="en-US" w:eastAsia="zh-CN"/>
              </w:rPr>
              <w:t>（见附录C）</w:t>
            </w:r>
            <w:r>
              <w:rPr>
                <w:rFonts w:hint="default" w:ascii="Times New Roman" w:hAnsi="Times New Roman" w:eastAsia="宋体" w:cs="Times New Roman"/>
                <w:sz w:val="18"/>
                <w:szCs w:val="18"/>
                <w:lang w:val="en-US" w:eastAsia="zh-CN"/>
              </w:rPr>
              <w:t>，建立原酒挥发性风味组分数据库</w:t>
            </w:r>
            <w:r>
              <w:rPr>
                <w:rFonts w:hint="eastAsia" w:ascii="Times New Roman" w:hAnsi="Times New Roman" w:eastAsia="宋体" w:cs="Times New Roman"/>
                <w:sz w:val="18"/>
                <w:szCs w:val="18"/>
                <w:lang w:val="en-US" w:eastAsia="zh-CN"/>
              </w:rPr>
              <w:t>（见附录 D）</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通过原酒</w:t>
            </w:r>
            <w:r>
              <w:rPr>
                <w:rFonts w:hint="default" w:ascii="Times New Roman" w:hAnsi="Times New Roman" w:eastAsia="宋体" w:cs="Times New Roman"/>
                <w:sz w:val="18"/>
                <w:szCs w:val="18"/>
                <w:lang w:val="en-US" w:eastAsia="zh-CN"/>
              </w:rPr>
              <w:t>挥发性</w:t>
            </w:r>
            <w:r>
              <w:rPr>
                <w:rFonts w:hint="eastAsia" w:ascii="Times New Roman" w:hAnsi="Times New Roman" w:eastAsia="宋体" w:cs="Times New Roman"/>
                <w:sz w:val="18"/>
                <w:szCs w:val="18"/>
                <w:lang w:val="en-US" w:eastAsia="zh-CN"/>
              </w:rPr>
              <w:t>风味组分数据库和专家质量评价，综合判断原酒真实性以及是否含有外源添加</w:t>
            </w:r>
            <w:r>
              <w:rPr>
                <w:rFonts w:hint="default" w:ascii="Times New Roman" w:hAnsi="Times New Roman" w:eastAsia="宋体" w:cs="Times New Roman"/>
                <w:sz w:val="18"/>
                <w:szCs w:val="18"/>
                <w:lang w:val="en-US" w:eastAsia="zh-CN"/>
              </w:rPr>
              <w:t>外源乙醇或外源呈香呈味物质</w:t>
            </w:r>
          </w:p>
        </w:tc>
      </w:tr>
      <w:tr w14:paraId="05825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dxa"/>
            <w:tcBorders>
              <w:top w:val="single" w:color="auto" w:sz="4" w:space="0"/>
              <w:bottom w:val="single" w:color="auto" w:sz="4" w:space="0"/>
            </w:tcBorders>
            <w:noWrap w:val="0"/>
            <w:vAlign w:val="center"/>
          </w:tcPr>
          <w:p w14:paraId="07FB6DFF">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7</w:t>
            </w:r>
          </w:p>
        </w:tc>
        <w:tc>
          <w:tcPr>
            <w:tcW w:w="710" w:type="dxa"/>
            <w:vMerge w:val="continue"/>
            <w:tcBorders>
              <w:top w:val="single" w:color="auto" w:sz="8" w:space="0"/>
              <w:bottom w:val="single" w:color="auto" w:sz="8" w:space="0"/>
            </w:tcBorders>
            <w:noWrap w:val="0"/>
            <w:vAlign w:val="center"/>
          </w:tcPr>
          <w:p w14:paraId="4C308F29">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p>
        </w:tc>
        <w:tc>
          <w:tcPr>
            <w:tcW w:w="1856" w:type="dxa"/>
            <w:tcBorders>
              <w:top w:val="single" w:color="auto" w:sz="4" w:space="0"/>
              <w:bottom w:val="single" w:color="auto" w:sz="4" w:space="0"/>
            </w:tcBorders>
            <w:noWrap w:val="0"/>
            <w:vAlign w:val="center"/>
          </w:tcPr>
          <w:p w14:paraId="46B05805">
            <w:pPr>
              <w:pageBreakBefore w:val="0"/>
              <w:widowControl/>
              <w:kinsoku/>
              <w:wordWrap/>
              <w:overflowPunct/>
              <w:topLinePunct w:val="0"/>
              <w:bidi w:val="0"/>
              <w:adjustRightInd/>
              <w:snapToGrid/>
              <w:spacing w:line="240" w:lineRule="auto"/>
              <w:jc w:val="center"/>
              <w:rPr>
                <w:rFonts w:hint="default" w:ascii="黑体" w:hAnsi="黑体" w:cs="黑体"/>
                <w:bCs/>
                <w:sz w:val="18"/>
                <w:szCs w:val="18"/>
                <w:lang w:val="en-US" w:eastAsia="zh-CN"/>
              </w:rPr>
            </w:pPr>
            <w:r>
              <w:rPr>
                <w:rFonts w:hint="eastAsia" w:ascii="黑体" w:hAnsi="黑体" w:cs="黑体"/>
                <w:bCs/>
                <w:sz w:val="18"/>
                <w:szCs w:val="18"/>
                <w:lang w:val="en-US" w:eastAsia="zh-CN"/>
              </w:rPr>
              <w:t>食品安全</w:t>
            </w:r>
          </w:p>
        </w:tc>
        <w:tc>
          <w:tcPr>
            <w:tcW w:w="815" w:type="dxa"/>
            <w:tcBorders>
              <w:top w:val="single" w:color="auto" w:sz="4" w:space="0"/>
              <w:bottom w:val="single" w:color="auto" w:sz="4" w:space="0"/>
            </w:tcBorders>
            <w:noWrap w:val="0"/>
            <w:vAlign w:val="center"/>
          </w:tcPr>
          <w:p w14:paraId="6217C35D">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p>
        </w:tc>
        <w:tc>
          <w:tcPr>
            <w:tcW w:w="3211" w:type="dxa"/>
            <w:tcBorders>
              <w:top w:val="single" w:color="auto" w:sz="4" w:space="0"/>
              <w:bottom w:val="single" w:color="auto" w:sz="4" w:space="0"/>
            </w:tcBorders>
            <w:noWrap w:val="0"/>
            <w:vAlign w:val="center"/>
          </w:tcPr>
          <w:p w14:paraId="33EC2029">
            <w:pPr>
              <w:pageBreakBefore w:val="0"/>
              <w:widowControl/>
              <w:kinsoku/>
              <w:wordWrap/>
              <w:overflowPunct/>
              <w:topLinePunct w:val="0"/>
              <w:bidi w:val="0"/>
              <w:adjustRightInd/>
              <w:snapToGrid/>
              <w:spacing w:line="240" w:lineRule="auto"/>
              <w:ind w:firstLine="180" w:firstLineChars="100"/>
              <w:jc w:val="both"/>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食品安全</w:t>
            </w:r>
            <w:r>
              <w:rPr>
                <w:rFonts w:hint="default" w:ascii="Times New Roman" w:hAnsi="Times New Roman" w:eastAsia="宋体" w:cs="Times New Roman"/>
                <w:sz w:val="18"/>
                <w:szCs w:val="18"/>
                <w:lang w:val="en-US" w:eastAsia="zh-CN"/>
              </w:rPr>
              <w:t>应符合GB 2757</w:t>
            </w:r>
            <w:r>
              <w:rPr>
                <w:rFonts w:hint="eastAsia" w:ascii="Times New Roman" w:hAnsi="Times New Roman" w:eastAsia="宋体" w:cs="Times New Roman"/>
                <w:sz w:val="18"/>
                <w:szCs w:val="18"/>
                <w:lang w:val="en-US" w:eastAsia="zh-CN"/>
              </w:rPr>
              <w:t>的</w:t>
            </w:r>
            <w:r>
              <w:rPr>
                <w:rFonts w:hint="default" w:ascii="Times New Roman" w:hAnsi="Times New Roman" w:eastAsia="宋体" w:cs="Times New Roman"/>
                <w:sz w:val="18"/>
                <w:szCs w:val="18"/>
                <w:lang w:val="en-US" w:eastAsia="zh-CN"/>
              </w:rPr>
              <w:t>规定</w:t>
            </w:r>
          </w:p>
          <w:p w14:paraId="64605C3B">
            <w:pPr>
              <w:pageBreakBefore w:val="0"/>
              <w:widowControl/>
              <w:kinsoku/>
              <w:wordWrap/>
              <w:overflowPunct/>
              <w:topLinePunct w:val="0"/>
              <w:bidi w:val="0"/>
              <w:adjustRightInd/>
              <w:snapToGrid/>
              <w:spacing w:line="240" w:lineRule="auto"/>
              <w:ind w:firstLine="180" w:firstLineChars="100"/>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食品安全风险监测指标应符合表</w:t>
            </w:r>
            <w:r>
              <w:rPr>
                <w:rFonts w:hint="eastAsia" w:ascii="Times New Roman" w:hAnsi="Times New Roman" w:eastAsia="宋体" w:cs="Times New Roman"/>
                <w:sz w:val="18"/>
                <w:szCs w:val="18"/>
                <w:lang w:val="en-US" w:eastAsia="zh-CN"/>
              </w:rPr>
              <w:t>4</w:t>
            </w:r>
            <w:r>
              <w:rPr>
                <w:rFonts w:hint="default" w:ascii="Times New Roman" w:hAnsi="Times New Roman" w:eastAsia="宋体" w:cs="Times New Roman"/>
                <w:sz w:val="18"/>
                <w:szCs w:val="18"/>
                <w:lang w:val="en-US" w:eastAsia="zh-CN"/>
              </w:rPr>
              <w:t>的规定</w:t>
            </w:r>
          </w:p>
        </w:tc>
        <w:tc>
          <w:tcPr>
            <w:tcW w:w="1498" w:type="dxa"/>
            <w:tcBorders>
              <w:top w:val="single" w:color="auto" w:sz="4" w:space="0"/>
              <w:bottom w:val="single" w:color="auto" w:sz="4" w:space="0"/>
            </w:tcBorders>
            <w:noWrap w:val="0"/>
            <w:vAlign w:val="center"/>
          </w:tcPr>
          <w:p w14:paraId="150CEF51">
            <w:pPr>
              <w:pageBreakBefore w:val="0"/>
              <w:kinsoku/>
              <w:wordWrap/>
              <w:overflowPunct/>
              <w:topLinePunct w:val="0"/>
              <w:bidi w:val="0"/>
              <w:adjustRightInd/>
              <w:snapToGrid/>
              <w:spacing w:line="240" w:lineRule="auto"/>
              <w:ind w:firstLine="180" w:firstLineChars="100"/>
              <w:jc w:val="lef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按</w:t>
            </w:r>
            <w:r>
              <w:rPr>
                <w:rFonts w:hint="eastAsia" w:ascii="Times New Roman" w:hAnsi="Times New Roman" w:eastAsia="宋体" w:cs="Times New Roman"/>
                <w:spacing w:val="0"/>
                <w:sz w:val="18"/>
                <w:szCs w:val="18"/>
                <w:lang w:val="en-US" w:eastAsia="zh-CN"/>
              </w:rPr>
              <w:t>照</w:t>
            </w:r>
            <w:r>
              <w:rPr>
                <w:rFonts w:hint="default" w:ascii="Times New Roman" w:hAnsi="Times New Roman" w:eastAsia="宋体" w:cs="Times New Roman"/>
                <w:sz w:val="18"/>
                <w:szCs w:val="18"/>
                <w:lang w:val="en-US" w:eastAsia="zh-CN"/>
              </w:rPr>
              <w:t>GB 2757</w:t>
            </w:r>
            <w:r>
              <w:rPr>
                <w:rFonts w:hint="eastAsia" w:ascii="Times New Roman" w:hAnsi="Times New Roman" w:eastAsia="宋体" w:cs="Times New Roman"/>
                <w:sz w:val="18"/>
                <w:szCs w:val="18"/>
                <w:lang w:val="en-US" w:eastAsia="zh-CN"/>
              </w:rPr>
              <w:t>执行</w:t>
            </w:r>
          </w:p>
        </w:tc>
      </w:tr>
      <w:tr w14:paraId="7A6996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dxa"/>
            <w:tcBorders>
              <w:top w:val="single" w:color="auto" w:sz="4" w:space="0"/>
            </w:tcBorders>
            <w:noWrap w:val="0"/>
            <w:vAlign w:val="center"/>
          </w:tcPr>
          <w:p w14:paraId="2E5A7FA8">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8</w:t>
            </w:r>
          </w:p>
        </w:tc>
        <w:tc>
          <w:tcPr>
            <w:tcW w:w="710" w:type="dxa"/>
            <w:vMerge w:val="continue"/>
            <w:tcBorders>
              <w:top w:val="single" w:color="auto" w:sz="8" w:space="0"/>
              <w:bottom w:val="single" w:color="auto" w:sz="8" w:space="0"/>
            </w:tcBorders>
            <w:noWrap w:val="0"/>
            <w:vAlign w:val="center"/>
          </w:tcPr>
          <w:p w14:paraId="33344C5B">
            <w:pPr>
              <w:pageBreakBefore w:val="0"/>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p>
        </w:tc>
        <w:tc>
          <w:tcPr>
            <w:tcW w:w="1856" w:type="dxa"/>
            <w:tcBorders>
              <w:top w:val="single" w:color="auto" w:sz="4" w:space="0"/>
            </w:tcBorders>
            <w:noWrap w:val="0"/>
            <w:vAlign w:val="center"/>
          </w:tcPr>
          <w:p w14:paraId="2CAA8E07">
            <w:pPr>
              <w:pageBreakBefore w:val="0"/>
              <w:widowControl/>
              <w:kinsoku/>
              <w:wordWrap/>
              <w:overflowPunct/>
              <w:topLinePunct w:val="0"/>
              <w:bidi w:val="0"/>
              <w:adjustRightInd/>
              <w:snapToGrid/>
              <w:spacing w:line="240" w:lineRule="auto"/>
              <w:jc w:val="center"/>
              <w:rPr>
                <w:rFonts w:hint="default" w:ascii="黑体" w:hAnsi="黑体" w:cs="黑体"/>
                <w:bCs/>
                <w:sz w:val="18"/>
                <w:szCs w:val="18"/>
                <w:lang w:val="en-US" w:eastAsia="zh-CN"/>
              </w:rPr>
            </w:pPr>
            <w:r>
              <w:rPr>
                <w:rFonts w:hint="eastAsia" w:ascii="黑体" w:hAnsi="黑体" w:cs="黑体"/>
                <w:bCs/>
                <w:sz w:val="18"/>
                <w:szCs w:val="18"/>
                <w:lang w:val="en-US" w:eastAsia="zh-CN"/>
              </w:rPr>
              <w:t>标志、包装、运输和贮存</w:t>
            </w:r>
          </w:p>
        </w:tc>
        <w:tc>
          <w:tcPr>
            <w:tcW w:w="815" w:type="dxa"/>
            <w:tcBorders>
              <w:top w:val="single" w:color="auto" w:sz="4" w:space="0"/>
            </w:tcBorders>
            <w:noWrap w:val="0"/>
            <w:vAlign w:val="center"/>
          </w:tcPr>
          <w:p w14:paraId="7D8E8B27">
            <w:pPr>
              <w:pageBreakBefore w:val="0"/>
              <w:widowControl/>
              <w:kinsoku/>
              <w:wordWrap/>
              <w:overflowPunct/>
              <w:topLinePunct w:val="0"/>
              <w:bidi w:val="0"/>
              <w:adjustRightInd/>
              <w:snapToGrid/>
              <w:spacing w:line="240" w:lineRule="auto"/>
              <w:jc w:val="center"/>
              <w:rPr>
                <w:rFonts w:hint="default" w:ascii="Times New Roman" w:hAnsi="Times New Roman" w:cs="Times New Roman"/>
                <w:color w:val="000000"/>
                <w:kern w:val="0"/>
                <w:sz w:val="18"/>
                <w:szCs w:val="18"/>
              </w:rPr>
            </w:pPr>
          </w:p>
        </w:tc>
        <w:tc>
          <w:tcPr>
            <w:tcW w:w="3211" w:type="dxa"/>
            <w:tcBorders>
              <w:top w:val="single" w:color="auto" w:sz="4" w:space="0"/>
            </w:tcBorders>
            <w:noWrap w:val="0"/>
            <w:vAlign w:val="center"/>
          </w:tcPr>
          <w:p w14:paraId="0091613B">
            <w:pPr>
              <w:pageBreakBefore w:val="0"/>
              <w:widowControl/>
              <w:kinsoku/>
              <w:wordWrap/>
              <w:overflowPunct/>
              <w:topLinePunct w:val="0"/>
              <w:bidi w:val="0"/>
              <w:adjustRightInd/>
              <w:snapToGrid/>
              <w:spacing w:line="240" w:lineRule="auto"/>
              <w:ind w:firstLine="180" w:firstLineChars="100"/>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pacing w:val="0"/>
                <w:sz w:val="18"/>
                <w:szCs w:val="18"/>
              </w:rPr>
              <w:t>按</w:t>
            </w:r>
            <w:r>
              <w:rPr>
                <w:rFonts w:hint="eastAsia" w:ascii="Times New Roman" w:hAnsi="Times New Roman" w:eastAsia="宋体" w:cs="Times New Roman"/>
                <w:spacing w:val="0"/>
                <w:sz w:val="18"/>
                <w:szCs w:val="18"/>
                <w:lang w:val="en-US" w:eastAsia="zh-CN"/>
              </w:rPr>
              <w:t>照</w:t>
            </w:r>
            <w:r>
              <w:rPr>
                <w:rFonts w:hint="default" w:ascii="Times New Roman" w:hAnsi="Times New Roman" w:eastAsia="宋体" w:cs="Times New Roman"/>
                <w:spacing w:val="0"/>
                <w:sz w:val="18"/>
                <w:szCs w:val="18"/>
              </w:rPr>
              <w:t>GB/T 10346执行</w:t>
            </w:r>
            <w:r>
              <w:rPr>
                <w:rFonts w:hint="eastAsia" w:ascii="Times New Roman" w:hAnsi="Times New Roman" w:eastAsia="宋体" w:cs="Times New Roman"/>
                <w:spacing w:val="0"/>
                <w:sz w:val="18"/>
                <w:szCs w:val="18"/>
                <w:lang w:eastAsia="zh-CN"/>
              </w:rPr>
              <w:t>，</w:t>
            </w:r>
            <w:r>
              <w:rPr>
                <w:rFonts w:hint="default" w:ascii="Times New Roman" w:hAnsi="Times New Roman" w:eastAsia="宋体" w:cs="Times New Roman"/>
                <w:spacing w:val="0"/>
                <w:sz w:val="18"/>
                <w:szCs w:val="18"/>
              </w:rPr>
              <w:t>酒精度实测值与标签标示值允许差为</w:t>
            </w:r>
            <w:r>
              <w:rPr>
                <w:rFonts w:hint="eastAsia" w:ascii="宋体" w:hAnsi="宋体" w:eastAsia="宋体" w:cs="宋体"/>
                <w:spacing w:val="0"/>
                <w:sz w:val="18"/>
                <w:szCs w:val="18"/>
              </w:rPr>
              <w:t>±</w:t>
            </w:r>
            <w:r>
              <w:rPr>
                <w:rFonts w:hint="default" w:ascii="Times New Roman" w:hAnsi="Times New Roman" w:eastAsia="宋体" w:cs="Times New Roman"/>
                <w:spacing w:val="0"/>
                <w:sz w:val="18"/>
                <w:szCs w:val="18"/>
              </w:rPr>
              <w:t>1.0%vol</w:t>
            </w:r>
          </w:p>
        </w:tc>
        <w:tc>
          <w:tcPr>
            <w:tcW w:w="1498" w:type="dxa"/>
            <w:tcBorders>
              <w:top w:val="single" w:color="auto" w:sz="4" w:space="0"/>
            </w:tcBorders>
            <w:noWrap w:val="0"/>
            <w:vAlign w:val="center"/>
          </w:tcPr>
          <w:p w14:paraId="367B703A">
            <w:pPr>
              <w:pageBreakBefore w:val="0"/>
              <w:kinsoku/>
              <w:wordWrap/>
              <w:overflowPunct/>
              <w:topLinePunct w:val="0"/>
              <w:bidi w:val="0"/>
              <w:adjustRightInd/>
              <w:snapToGrid/>
              <w:spacing w:line="240" w:lineRule="auto"/>
              <w:jc w:val="left"/>
              <w:rPr>
                <w:rFonts w:hint="eastAsia" w:ascii="Times New Roman" w:hAnsi="Times New Roman" w:eastAsia="宋体" w:cs="Times New Roman"/>
                <w:sz w:val="18"/>
                <w:szCs w:val="18"/>
                <w:lang w:val="en-US" w:eastAsia="zh-CN"/>
              </w:rPr>
            </w:pPr>
            <w:r>
              <w:rPr>
                <w:rFonts w:hint="default" w:ascii="Times New Roman" w:hAnsi="Times New Roman" w:eastAsia="宋体" w:cs="Times New Roman"/>
                <w:spacing w:val="0"/>
                <w:sz w:val="18"/>
                <w:szCs w:val="18"/>
              </w:rPr>
              <w:t>按</w:t>
            </w:r>
            <w:r>
              <w:rPr>
                <w:rFonts w:hint="eastAsia" w:ascii="Times New Roman" w:hAnsi="Times New Roman" w:eastAsia="宋体" w:cs="Times New Roman"/>
                <w:spacing w:val="0"/>
                <w:sz w:val="18"/>
                <w:szCs w:val="18"/>
                <w:lang w:val="en-US" w:eastAsia="zh-CN"/>
              </w:rPr>
              <w:t>照</w:t>
            </w:r>
            <w:r>
              <w:rPr>
                <w:rFonts w:hint="default" w:ascii="Times New Roman" w:hAnsi="Times New Roman" w:eastAsia="宋体" w:cs="Times New Roman"/>
                <w:spacing w:val="0"/>
                <w:sz w:val="18"/>
                <w:szCs w:val="18"/>
              </w:rPr>
              <w:t>GB/T 10346执行</w:t>
            </w:r>
          </w:p>
        </w:tc>
      </w:tr>
    </w:tbl>
    <w:p w14:paraId="16E51CFC">
      <w:pPr>
        <w:pStyle w:val="21"/>
        <w:keepNext w:val="0"/>
        <w:keepLines w:val="0"/>
        <w:pageBreakBefore w:val="0"/>
        <w:widowControl/>
        <w:kinsoku/>
        <w:wordWrap/>
        <w:overflowPunct/>
        <w:topLinePunct w:val="0"/>
        <w:autoSpaceDE w:val="0"/>
        <w:autoSpaceDN w:val="0"/>
        <w:bidi w:val="0"/>
        <w:adjustRightInd/>
        <w:snapToGrid/>
        <w:spacing w:before="313" w:beforeLines="100" w:after="157" w:afterLines="50"/>
        <w:ind w:left="0" w:leftChars="0" w:firstLine="0" w:firstLineChars="0"/>
        <w:jc w:val="center"/>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感官质量</w:t>
      </w:r>
    </w:p>
    <w:p w14:paraId="57F4B8B8">
      <w:pPr>
        <w:spacing w:line="170" w:lineRule="exact"/>
      </w:pPr>
    </w:p>
    <w:tbl>
      <w:tblPr>
        <w:tblStyle w:val="152"/>
        <w:tblW w:w="83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1845"/>
        <w:gridCol w:w="1845"/>
        <w:gridCol w:w="1845"/>
        <w:gridCol w:w="1847"/>
      </w:tblGrid>
      <w:tr w14:paraId="4E550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1" w:type="dxa"/>
            <w:vMerge w:val="restart"/>
            <w:tcBorders>
              <w:top w:val="single" w:color="auto" w:sz="8" w:space="0"/>
              <w:left w:val="single" w:color="auto" w:sz="8" w:space="0"/>
              <w:bottom w:val="nil"/>
            </w:tcBorders>
            <w:noWrap w:val="0"/>
            <w:vAlign w:val="center"/>
          </w:tcPr>
          <w:p w14:paraId="6D03888C">
            <w:pPr>
              <w:pStyle w:val="15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pacing w:val="-5"/>
                <w:sz w:val="18"/>
                <w:szCs w:val="18"/>
              </w:rPr>
              <w:t>项</w:t>
            </w:r>
            <w:r>
              <w:rPr>
                <w:rFonts w:hint="default" w:ascii="Times New Roman" w:hAnsi="Times New Roman" w:cs="Times New Roman"/>
                <w:spacing w:val="40"/>
                <w:sz w:val="18"/>
                <w:szCs w:val="18"/>
              </w:rPr>
              <w:t xml:space="preserve"> </w:t>
            </w:r>
            <w:r>
              <w:rPr>
                <w:rFonts w:hint="default" w:ascii="Times New Roman" w:hAnsi="Times New Roman" w:cs="Times New Roman"/>
                <w:spacing w:val="-5"/>
                <w:sz w:val="18"/>
                <w:szCs w:val="18"/>
              </w:rPr>
              <w:t>目</w:t>
            </w:r>
          </w:p>
        </w:tc>
        <w:tc>
          <w:tcPr>
            <w:tcW w:w="7382" w:type="dxa"/>
            <w:gridSpan w:val="4"/>
            <w:tcBorders>
              <w:top w:val="single" w:color="auto" w:sz="8" w:space="0"/>
              <w:right w:val="single" w:color="auto" w:sz="8" w:space="0"/>
            </w:tcBorders>
            <w:noWrap w:val="0"/>
            <w:vAlign w:val="top"/>
          </w:tcPr>
          <w:p w14:paraId="39023ED6">
            <w:pPr>
              <w:pStyle w:val="153"/>
              <w:keepNext w:val="0"/>
              <w:keepLines w:val="0"/>
              <w:pageBreakBefore w:val="0"/>
              <w:widowControl w:val="0"/>
              <w:kinsoku/>
              <w:wordWrap/>
              <w:overflowPunct/>
              <w:topLinePunct w:val="0"/>
              <w:autoSpaceDE/>
              <w:autoSpaceDN/>
              <w:bidi w:val="0"/>
              <w:adjustRightInd/>
              <w:snapToGrid/>
              <w:spacing w:line="240" w:lineRule="auto"/>
              <w:ind w:left="3534"/>
              <w:textAlignment w:val="auto"/>
              <w:rPr>
                <w:rFonts w:hint="default" w:ascii="Times New Roman" w:hAnsi="Times New Roman" w:cs="Times New Roman"/>
                <w:sz w:val="18"/>
                <w:szCs w:val="18"/>
              </w:rPr>
            </w:pPr>
            <w:r>
              <w:rPr>
                <w:rFonts w:hint="default" w:ascii="Times New Roman" w:hAnsi="Times New Roman" w:cs="Times New Roman"/>
                <w:spacing w:val="-4"/>
                <w:sz w:val="18"/>
                <w:szCs w:val="18"/>
              </w:rPr>
              <w:t>要</w:t>
            </w:r>
            <w:r>
              <w:rPr>
                <w:rFonts w:hint="default" w:ascii="Times New Roman" w:hAnsi="Times New Roman" w:cs="Times New Roman"/>
                <w:spacing w:val="8"/>
                <w:sz w:val="18"/>
                <w:szCs w:val="18"/>
              </w:rPr>
              <w:t xml:space="preserve">   </w:t>
            </w:r>
            <w:r>
              <w:rPr>
                <w:rFonts w:hint="default" w:ascii="Times New Roman" w:hAnsi="Times New Roman" w:cs="Times New Roman"/>
                <w:spacing w:val="-4"/>
                <w:sz w:val="18"/>
                <w:szCs w:val="18"/>
              </w:rPr>
              <w:t>求</w:t>
            </w:r>
          </w:p>
        </w:tc>
      </w:tr>
      <w:tr w14:paraId="5B1D7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1" w:type="dxa"/>
            <w:vMerge w:val="continue"/>
            <w:tcBorders>
              <w:top w:val="nil"/>
              <w:left w:val="single" w:color="auto" w:sz="8" w:space="0"/>
              <w:bottom w:val="single" w:color="auto" w:sz="8" w:space="0"/>
            </w:tcBorders>
            <w:noWrap w:val="0"/>
            <w:vAlign w:val="center"/>
          </w:tcPr>
          <w:p w14:paraId="146F53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p>
        </w:tc>
        <w:tc>
          <w:tcPr>
            <w:tcW w:w="1845" w:type="dxa"/>
            <w:tcBorders>
              <w:bottom w:val="single" w:color="auto" w:sz="8" w:space="0"/>
            </w:tcBorders>
            <w:noWrap w:val="0"/>
            <w:vAlign w:val="top"/>
          </w:tcPr>
          <w:p w14:paraId="161BC104">
            <w:pPr>
              <w:pStyle w:val="15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pacing w:val="-5"/>
                <w:sz w:val="18"/>
                <w:szCs w:val="18"/>
              </w:rPr>
              <w:t>调味</w:t>
            </w:r>
          </w:p>
        </w:tc>
        <w:tc>
          <w:tcPr>
            <w:tcW w:w="1845" w:type="dxa"/>
            <w:tcBorders>
              <w:bottom w:val="single" w:color="auto" w:sz="8" w:space="0"/>
            </w:tcBorders>
            <w:noWrap w:val="0"/>
            <w:vAlign w:val="top"/>
          </w:tcPr>
          <w:p w14:paraId="260F9D34">
            <w:pPr>
              <w:pStyle w:val="15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pacing w:val="-4"/>
                <w:sz w:val="18"/>
                <w:szCs w:val="18"/>
              </w:rPr>
              <w:t>特级</w:t>
            </w:r>
          </w:p>
        </w:tc>
        <w:tc>
          <w:tcPr>
            <w:tcW w:w="1845" w:type="dxa"/>
            <w:tcBorders>
              <w:bottom w:val="single" w:color="auto" w:sz="8" w:space="0"/>
            </w:tcBorders>
            <w:noWrap w:val="0"/>
            <w:vAlign w:val="top"/>
          </w:tcPr>
          <w:p w14:paraId="3972C808">
            <w:pPr>
              <w:pStyle w:val="15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pacing w:val="-4"/>
                <w:sz w:val="18"/>
                <w:szCs w:val="18"/>
              </w:rPr>
              <w:t>优级</w:t>
            </w:r>
          </w:p>
        </w:tc>
        <w:tc>
          <w:tcPr>
            <w:tcW w:w="1847" w:type="dxa"/>
            <w:tcBorders>
              <w:bottom w:val="single" w:color="auto" w:sz="8" w:space="0"/>
              <w:right w:val="single" w:color="auto" w:sz="8" w:space="0"/>
            </w:tcBorders>
            <w:noWrap w:val="0"/>
            <w:vAlign w:val="top"/>
          </w:tcPr>
          <w:p w14:paraId="402A4045">
            <w:pPr>
              <w:pStyle w:val="15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pacing w:val="-5"/>
                <w:sz w:val="18"/>
                <w:szCs w:val="18"/>
              </w:rPr>
              <w:t>一级</w:t>
            </w:r>
          </w:p>
        </w:tc>
      </w:tr>
      <w:tr w14:paraId="5E688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1" w:type="dxa"/>
            <w:tcBorders>
              <w:top w:val="single" w:color="auto" w:sz="8" w:space="0"/>
              <w:left w:val="single" w:color="auto" w:sz="8" w:space="0"/>
            </w:tcBorders>
            <w:noWrap w:val="0"/>
            <w:vAlign w:val="center"/>
          </w:tcPr>
          <w:p w14:paraId="48753A1C">
            <w:pPr>
              <w:pStyle w:val="15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pacing w:val="-2"/>
                <w:sz w:val="18"/>
                <w:szCs w:val="18"/>
              </w:rPr>
              <w:t>色泽和外观</w:t>
            </w:r>
          </w:p>
        </w:tc>
        <w:tc>
          <w:tcPr>
            <w:tcW w:w="7382" w:type="dxa"/>
            <w:gridSpan w:val="4"/>
            <w:tcBorders>
              <w:top w:val="single" w:color="auto" w:sz="8" w:space="0"/>
              <w:right w:val="single" w:color="auto" w:sz="8" w:space="0"/>
            </w:tcBorders>
            <w:noWrap w:val="0"/>
            <w:vAlign w:val="center"/>
          </w:tcPr>
          <w:p w14:paraId="483ECFC8">
            <w:pPr>
              <w:pStyle w:val="15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pacing w:val="-1"/>
                <w:sz w:val="18"/>
                <w:szCs w:val="18"/>
              </w:rPr>
              <w:t>无色，微黄。酒龄越长，微黄的程度越深。澄清透明，无油面，无沉淀，无混浊，无悬浮物</w:t>
            </w:r>
          </w:p>
        </w:tc>
      </w:tr>
      <w:tr w14:paraId="2CDF9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1" w:type="dxa"/>
            <w:tcBorders>
              <w:left w:val="single" w:color="auto" w:sz="8" w:space="0"/>
            </w:tcBorders>
            <w:noWrap w:val="0"/>
            <w:vAlign w:val="center"/>
          </w:tcPr>
          <w:p w14:paraId="76CF4417">
            <w:pPr>
              <w:pStyle w:val="15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pacing w:val="-5"/>
                <w:sz w:val="18"/>
                <w:szCs w:val="18"/>
              </w:rPr>
              <w:t>香</w:t>
            </w:r>
            <w:r>
              <w:rPr>
                <w:rFonts w:hint="default" w:ascii="Times New Roman" w:hAnsi="Times New Roman" w:cs="Times New Roman"/>
                <w:spacing w:val="7"/>
                <w:sz w:val="18"/>
                <w:szCs w:val="18"/>
              </w:rPr>
              <w:t xml:space="preserve"> </w:t>
            </w:r>
            <w:r>
              <w:rPr>
                <w:rFonts w:hint="default" w:ascii="Times New Roman" w:hAnsi="Times New Roman" w:cs="Times New Roman"/>
                <w:spacing w:val="-5"/>
                <w:sz w:val="18"/>
                <w:szCs w:val="18"/>
              </w:rPr>
              <w:t>气</w:t>
            </w:r>
          </w:p>
        </w:tc>
        <w:tc>
          <w:tcPr>
            <w:tcW w:w="1845" w:type="dxa"/>
            <w:noWrap w:val="0"/>
            <w:vAlign w:val="top"/>
          </w:tcPr>
          <w:p w14:paraId="24A1B92D">
            <w:pPr>
              <w:pStyle w:val="153"/>
              <w:keepNext w:val="0"/>
              <w:keepLines w:val="0"/>
              <w:pageBreakBefore w:val="0"/>
              <w:widowControl w:val="0"/>
              <w:kinsoku/>
              <w:wordWrap/>
              <w:overflowPunct/>
              <w:topLinePunct w:val="0"/>
              <w:autoSpaceDE/>
              <w:autoSpaceDN/>
              <w:bidi w:val="0"/>
              <w:adjustRightInd/>
              <w:snapToGrid/>
              <w:spacing w:line="240" w:lineRule="auto"/>
              <w:ind w:left="112" w:right="110" w:firstLine="180" w:firstLineChars="100"/>
              <w:jc w:val="both"/>
              <w:textAlignment w:val="auto"/>
              <w:rPr>
                <w:rFonts w:hint="default" w:ascii="Times New Roman" w:hAnsi="Times New Roman" w:cs="Times New Roman"/>
                <w:spacing w:val="0"/>
                <w:sz w:val="18"/>
                <w:szCs w:val="18"/>
              </w:rPr>
            </w:pPr>
            <w:r>
              <w:rPr>
                <w:rFonts w:hint="default" w:ascii="Times New Roman" w:hAnsi="Times New Roman" w:cs="Times New Roman"/>
                <w:spacing w:val="0"/>
                <w:sz w:val="18"/>
                <w:szCs w:val="18"/>
              </w:rPr>
              <w:t>窖香馥郁，香气自然幽雅，多粮浓香复合感典型</w:t>
            </w:r>
          </w:p>
        </w:tc>
        <w:tc>
          <w:tcPr>
            <w:tcW w:w="1845" w:type="dxa"/>
            <w:noWrap w:val="0"/>
            <w:vAlign w:val="top"/>
          </w:tcPr>
          <w:p w14:paraId="4F5923E2">
            <w:pPr>
              <w:pStyle w:val="153"/>
              <w:keepNext w:val="0"/>
              <w:keepLines w:val="0"/>
              <w:pageBreakBefore w:val="0"/>
              <w:widowControl w:val="0"/>
              <w:kinsoku/>
              <w:wordWrap/>
              <w:overflowPunct/>
              <w:topLinePunct w:val="0"/>
              <w:autoSpaceDE/>
              <w:autoSpaceDN/>
              <w:bidi w:val="0"/>
              <w:adjustRightInd/>
              <w:snapToGrid/>
              <w:spacing w:line="240" w:lineRule="auto"/>
              <w:ind w:left="112" w:right="109" w:firstLine="180" w:firstLineChars="100"/>
              <w:jc w:val="both"/>
              <w:textAlignment w:val="auto"/>
              <w:rPr>
                <w:rFonts w:hint="default" w:ascii="Times New Roman" w:hAnsi="Times New Roman" w:cs="Times New Roman"/>
                <w:spacing w:val="0"/>
                <w:sz w:val="18"/>
                <w:szCs w:val="18"/>
              </w:rPr>
            </w:pPr>
            <w:r>
              <w:rPr>
                <w:rFonts w:hint="default" w:ascii="Times New Roman" w:hAnsi="Times New Roman" w:cs="Times New Roman"/>
                <w:spacing w:val="0"/>
                <w:sz w:val="18"/>
                <w:szCs w:val="18"/>
              </w:rPr>
              <w:t>窖香馥郁</w:t>
            </w:r>
            <w:r>
              <w:rPr>
                <w:rFonts w:hint="eastAsia" w:ascii="Times New Roman" w:hAnsi="Times New Roman" w:cs="Times New Roman"/>
                <w:spacing w:val="0"/>
                <w:sz w:val="18"/>
                <w:szCs w:val="18"/>
                <w:lang w:eastAsia="zh-CN"/>
              </w:rPr>
              <w:t>，</w:t>
            </w:r>
            <w:r>
              <w:rPr>
                <w:rFonts w:hint="default" w:ascii="Times New Roman" w:hAnsi="Times New Roman" w:cs="Times New Roman"/>
                <w:spacing w:val="0"/>
                <w:sz w:val="18"/>
                <w:szCs w:val="18"/>
              </w:rPr>
              <w:t>香气自然舒适，多粮浓香复合感典型</w:t>
            </w:r>
          </w:p>
        </w:tc>
        <w:tc>
          <w:tcPr>
            <w:tcW w:w="1845" w:type="dxa"/>
            <w:noWrap w:val="0"/>
            <w:vAlign w:val="center"/>
          </w:tcPr>
          <w:p w14:paraId="2A86BA68">
            <w:pPr>
              <w:pStyle w:val="153"/>
              <w:keepNext w:val="0"/>
              <w:keepLines w:val="0"/>
              <w:pageBreakBefore w:val="0"/>
              <w:widowControl w:val="0"/>
              <w:kinsoku/>
              <w:wordWrap/>
              <w:overflowPunct/>
              <w:topLinePunct w:val="0"/>
              <w:autoSpaceDE/>
              <w:autoSpaceDN/>
              <w:bidi w:val="0"/>
              <w:adjustRightInd/>
              <w:snapToGrid/>
              <w:spacing w:line="240" w:lineRule="auto"/>
              <w:ind w:right="151" w:firstLine="172" w:firstLineChars="100"/>
              <w:jc w:val="both"/>
              <w:textAlignment w:val="auto"/>
              <w:rPr>
                <w:rFonts w:hint="default" w:ascii="Times New Roman" w:hAnsi="Times New Roman" w:cs="Times New Roman"/>
                <w:spacing w:val="0"/>
                <w:sz w:val="18"/>
                <w:szCs w:val="18"/>
              </w:rPr>
            </w:pPr>
            <w:r>
              <w:rPr>
                <w:rFonts w:hint="default" w:ascii="Times New Roman" w:hAnsi="Times New Roman" w:cs="Times New Roman"/>
                <w:spacing w:val="-4"/>
                <w:sz w:val="18"/>
                <w:szCs w:val="18"/>
              </w:rPr>
              <w:t>窖香浓郁</w:t>
            </w:r>
            <w:r>
              <w:rPr>
                <w:rFonts w:hint="eastAsia" w:ascii="Times New Roman" w:hAnsi="Times New Roman" w:cs="Times New Roman"/>
                <w:spacing w:val="-4"/>
                <w:sz w:val="18"/>
                <w:szCs w:val="18"/>
                <w:lang w:eastAsia="zh-CN"/>
              </w:rPr>
              <w:t>，</w:t>
            </w:r>
            <w:r>
              <w:rPr>
                <w:rFonts w:hint="default" w:ascii="Times New Roman" w:hAnsi="Times New Roman" w:cs="Times New Roman"/>
                <w:spacing w:val="-4"/>
                <w:sz w:val="18"/>
                <w:szCs w:val="18"/>
              </w:rPr>
              <w:t>香气自然，多粮浓香复合感好</w:t>
            </w:r>
          </w:p>
        </w:tc>
        <w:tc>
          <w:tcPr>
            <w:tcW w:w="1847" w:type="dxa"/>
            <w:tcBorders>
              <w:right w:val="single" w:color="auto" w:sz="8" w:space="0"/>
            </w:tcBorders>
            <w:noWrap w:val="0"/>
            <w:vAlign w:val="top"/>
          </w:tcPr>
          <w:p w14:paraId="7906F1C4">
            <w:pPr>
              <w:pStyle w:val="153"/>
              <w:keepNext w:val="0"/>
              <w:keepLines w:val="0"/>
              <w:pageBreakBefore w:val="0"/>
              <w:widowControl w:val="0"/>
              <w:kinsoku/>
              <w:wordWrap/>
              <w:overflowPunct/>
              <w:topLinePunct w:val="0"/>
              <w:autoSpaceDE/>
              <w:autoSpaceDN/>
              <w:bidi w:val="0"/>
              <w:adjustRightInd/>
              <w:snapToGrid/>
              <w:spacing w:line="240" w:lineRule="auto"/>
              <w:ind w:right="108" w:firstLine="180" w:firstLineChars="100"/>
              <w:jc w:val="both"/>
              <w:textAlignment w:val="auto"/>
              <w:rPr>
                <w:rFonts w:hint="default" w:ascii="Times New Roman" w:hAnsi="Times New Roman" w:cs="Times New Roman"/>
                <w:spacing w:val="0"/>
                <w:sz w:val="18"/>
                <w:szCs w:val="18"/>
              </w:rPr>
            </w:pPr>
            <w:r>
              <w:rPr>
                <w:rFonts w:hint="default" w:ascii="Times New Roman" w:hAnsi="Times New Roman" w:cs="Times New Roman"/>
                <w:spacing w:val="0"/>
                <w:sz w:val="18"/>
                <w:szCs w:val="18"/>
              </w:rPr>
              <w:t>窖香较浓郁</w:t>
            </w:r>
            <w:r>
              <w:rPr>
                <w:rFonts w:hint="eastAsia" w:ascii="Times New Roman" w:hAnsi="Times New Roman" w:cs="Times New Roman"/>
                <w:spacing w:val="0"/>
                <w:sz w:val="18"/>
                <w:szCs w:val="18"/>
                <w:lang w:eastAsia="zh-CN"/>
              </w:rPr>
              <w:t>，</w:t>
            </w:r>
            <w:r>
              <w:rPr>
                <w:rFonts w:hint="default" w:ascii="Times New Roman" w:hAnsi="Times New Roman" w:cs="Times New Roman"/>
                <w:spacing w:val="0"/>
                <w:sz w:val="18"/>
                <w:szCs w:val="18"/>
              </w:rPr>
              <w:t>香气 自然，多粮浓香复合感较好</w:t>
            </w:r>
          </w:p>
        </w:tc>
      </w:tr>
      <w:tr w14:paraId="592DD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921" w:type="dxa"/>
            <w:tcBorders>
              <w:left w:val="single" w:color="auto" w:sz="8" w:space="0"/>
            </w:tcBorders>
            <w:noWrap w:val="0"/>
            <w:vAlign w:val="center"/>
          </w:tcPr>
          <w:p w14:paraId="2725FBE8">
            <w:pPr>
              <w:pStyle w:val="15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pacing w:val="-18"/>
                <w:sz w:val="18"/>
                <w:szCs w:val="18"/>
              </w:rPr>
              <w:t>口</w:t>
            </w:r>
            <w:r>
              <w:rPr>
                <w:rFonts w:hint="default" w:ascii="Times New Roman" w:hAnsi="Times New Roman" w:cs="Times New Roman"/>
                <w:spacing w:val="13"/>
                <w:sz w:val="18"/>
                <w:szCs w:val="18"/>
              </w:rPr>
              <w:t xml:space="preserve"> </w:t>
            </w:r>
            <w:r>
              <w:rPr>
                <w:rFonts w:hint="default" w:ascii="Times New Roman" w:hAnsi="Times New Roman" w:cs="Times New Roman"/>
                <w:spacing w:val="-18"/>
                <w:sz w:val="18"/>
                <w:szCs w:val="18"/>
              </w:rPr>
              <w:t>味</w:t>
            </w:r>
          </w:p>
        </w:tc>
        <w:tc>
          <w:tcPr>
            <w:tcW w:w="1845" w:type="dxa"/>
            <w:noWrap w:val="0"/>
            <w:vAlign w:val="top"/>
          </w:tcPr>
          <w:p w14:paraId="4A68F8BD">
            <w:pPr>
              <w:pStyle w:val="153"/>
              <w:keepNext w:val="0"/>
              <w:keepLines w:val="0"/>
              <w:pageBreakBefore w:val="0"/>
              <w:widowControl w:val="0"/>
              <w:kinsoku/>
              <w:wordWrap/>
              <w:overflowPunct/>
              <w:topLinePunct w:val="0"/>
              <w:autoSpaceDE/>
              <w:autoSpaceDN/>
              <w:bidi w:val="0"/>
              <w:adjustRightInd/>
              <w:snapToGrid/>
              <w:spacing w:line="240" w:lineRule="auto"/>
              <w:ind w:left="111" w:right="110" w:firstLine="180" w:firstLineChars="100"/>
              <w:jc w:val="both"/>
              <w:textAlignment w:val="auto"/>
              <w:rPr>
                <w:rFonts w:hint="default" w:ascii="Times New Roman" w:hAnsi="Times New Roman" w:cs="Times New Roman"/>
                <w:spacing w:val="0"/>
                <w:sz w:val="18"/>
                <w:szCs w:val="18"/>
              </w:rPr>
            </w:pPr>
            <w:r>
              <w:rPr>
                <w:rFonts w:hint="default" w:ascii="Times New Roman" w:hAnsi="Times New Roman" w:cs="Times New Roman"/>
                <w:spacing w:val="0"/>
                <w:sz w:val="18"/>
                <w:szCs w:val="18"/>
              </w:rPr>
              <w:t>绵甜醇厚，或酒体丰满，或丰满细腻，后味、回味悠长。具有特殊口味，可用作调味酒</w:t>
            </w:r>
          </w:p>
        </w:tc>
        <w:tc>
          <w:tcPr>
            <w:tcW w:w="1845" w:type="dxa"/>
            <w:noWrap w:val="0"/>
            <w:vAlign w:val="top"/>
          </w:tcPr>
          <w:p w14:paraId="18047A65">
            <w:pPr>
              <w:pStyle w:val="153"/>
              <w:keepNext w:val="0"/>
              <w:keepLines w:val="0"/>
              <w:pageBreakBefore w:val="0"/>
              <w:widowControl w:val="0"/>
              <w:kinsoku/>
              <w:wordWrap/>
              <w:overflowPunct/>
              <w:topLinePunct w:val="0"/>
              <w:autoSpaceDE/>
              <w:autoSpaceDN/>
              <w:bidi w:val="0"/>
              <w:adjustRightInd/>
              <w:snapToGrid/>
              <w:spacing w:line="240" w:lineRule="auto"/>
              <w:ind w:left="113" w:right="109" w:firstLine="180" w:firstLineChars="100"/>
              <w:jc w:val="both"/>
              <w:textAlignment w:val="auto"/>
              <w:rPr>
                <w:rFonts w:hint="default" w:ascii="Times New Roman" w:hAnsi="Times New Roman" w:cs="Times New Roman"/>
                <w:spacing w:val="0"/>
                <w:sz w:val="18"/>
                <w:szCs w:val="18"/>
              </w:rPr>
            </w:pPr>
            <w:r>
              <w:rPr>
                <w:rFonts w:hint="default" w:ascii="Times New Roman" w:hAnsi="Times New Roman" w:cs="Times New Roman"/>
                <w:spacing w:val="0"/>
                <w:sz w:val="18"/>
                <w:szCs w:val="18"/>
              </w:rPr>
              <w:t>具有与产品类型相符的口味特点。绵甜醇厚，或酒体丰满，或丰满细腻，后味、回味悠长</w:t>
            </w:r>
          </w:p>
        </w:tc>
        <w:tc>
          <w:tcPr>
            <w:tcW w:w="1845" w:type="dxa"/>
            <w:noWrap w:val="0"/>
            <w:vAlign w:val="top"/>
          </w:tcPr>
          <w:p w14:paraId="40F3C5BC">
            <w:pPr>
              <w:pStyle w:val="153"/>
              <w:keepNext w:val="0"/>
              <w:keepLines w:val="0"/>
              <w:pageBreakBefore w:val="0"/>
              <w:widowControl w:val="0"/>
              <w:kinsoku/>
              <w:wordWrap/>
              <w:overflowPunct/>
              <w:topLinePunct w:val="0"/>
              <w:autoSpaceDE/>
              <w:autoSpaceDN/>
              <w:bidi w:val="0"/>
              <w:adjustRightInd/>
              <w:snapToGrid/>
              <w:spacing w:line="240" w:lineRule="auto"/>
              <w:ind w:left="115" w:right="47" w:firstLine="180" w:firstLineChars="100"/>
              <w:jc w:val="both"/>
              <w:textAlignment w:val="auto"/>
              <w:rPr>
                <w:rFonts w:hint="default" w:ascii="Times New Roman" w:hAnsi="Times New Roman" w:cs="Times New Roman"/>
                <w:spacing w:val="0"/>
                <w:sz w:val="18"/>
                <w:szCs w:val="18"/>
              </w:rPr>
            </w:pPr>
            <w:r>
              <w:rPr>
                <w:rFonts w:hint="default" w:ascii="Times New Roman" w:hAnsi="Times New Roman" w:cs="Times New Roman"/>
                <w:spacing w:val="0"/>
                <w:sz w:val="18"/>
                <w:szCs w:val="18"/>
              </w:rPr>
              <w:t>具有与产品类型相符的口味特点。较绵甜醇厚，或较酒体丰满， 或较丰满细腻，后味、 回味较长</w:t>
            </w:r>
          </w:p>
        </w:tc>
        <w:tc>
          <w:tcPr>
            <w:tcW w:w="1847" w:type="dxa"/>
            <w:tcBorders>
              <w:right w:val="single" w:color="auto" w:sz="8" w:space="0"/>
            </w:tcBorders>
            <w:noWrap w:val="0"/>
            <w:vAlign w:val="center"/>
          </w:tcPr>
          <w:p w14:paraId="7C7D045E">
            <w:pPr>
              <w:pStyle w:val="153"/>
              <w:keepNext w:val="0"/>
              <w:keepLines w:val="0"/>
              <w:pageBreakBefore w:val="0"/>
              <w:widowControl w:val="0"/>
              <w:kinsoku/>
              <w:wordWrap/>
              <w:overflowPunct/>
              <w:topLinePunct w:val="0"/>
              <w:autoSpaceDE/>
              <w:autoSpaceDN/>
              <w:bidi w:val="0"/>
              <w:adjustRightInd/>
              <w:snapToGrid/>
              <w:spacing w:line="240" w:lineRule="auto"/>
              <w:ind w:left="114" w:right="71" w:firstLine="187" w:firstLineChars="109"/>
              <w:jc w:val="both"/>
              <w:textAlignment w:val="auto"/>
              <w:rPr>
                <w:rFonts w:hint="default" w:ascii="Times New Roman" w:hAnsi="Times New Roman" w:cs="Times New Roman"/>
                <w:spacing w:val="0"/>
                <w:sz w:val="18"/>
                <w:szCs w:val="18"/>
              </w:rPr>
            </w:pPr>
            <w:r>
              <w:rPr>
                <w:rFonts w:hint="default" w:ascii="Times New Roman" w:hAnsi="Times New Roman" w:cs="Times New Roman"/>
                <w:spacing w:val="-4"/>
                <w:sz w:val="18"/>
                <w:szCs w:val="18"/>
              </w:rPr>
              <w:t>尚绵甜醇厚，或 酒体尚丰满，或尚丰满细腻，后味、回味稍长</w:t>
            </w:r>
          </w:p>
        </w:tc>
      </w:tr>
      <w:tr w14:paraId="30C07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1" w:type="dxa"/>
            <w:tcBorders>
              <w:left w:val="single" w:color="auto" w:sz="8" w:space="0"/>
            </w:tcBorders>
            <w:noWrap w:val="0"/>
            <w:vAlign w:val="center"/>
          </w:tcPr>
          <w:p w14:paraId="7B0809C2">
            <w:pPr>
              <w:pStyle w:val="15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pacing w:val="-4"/>
                <w:sz w:val="18"/>
                <w:szCs w:val="18"/>
              </w:rPr>
              <w:t>风</w:t>
            </w:r>
            <w:r>
              <w:rPr>
                <w:rFonts w:hint="default" w:ascii="Times New Roman" w:hAnsi="Times New Roman" w:cs="Times New Roman"/>
                <w:spacing w:val="5"/>
                <w:sz w:val="18"/>
                <w:szCs w:val="18"/>
              </w:rPr>
              <w:t xml:space="preserve"> </w:t>
            </w:r>
            <w:r>
              <w:rPr>
                <w:rFonts w:hint="default" w:ascii="Times New Roman" w:hAnsi="Times New Roman" w:cs="Times New Roman"/>
                <w:spacing w:val="-4"/>
                <w:sz w:val="18"/>
                <w:szCs w:val="18"/>
              </w:rPr>
              <w:t>格</w:t>
            </w:r>
          </w:p>
        </w:tc>
        <w:tc>
          <w:tcPr>
            <w:tcW w:w="1845" w:type="dxa"/>
            <w:noWrap w:val="0"/>
            <w:vAlign w:val="top"/>
          </w:tcPr>
          <w:p w14:paraId="49CCEF42">
            <w:pPr>
              <w:pStyle w:val="153"/>
              <w:keepNext w:val="0"/>
              <w:keepLines w:val="0"/>
              <w:pageBreakBefore w:val="0"/>
              <w:widowControl w:val="0"/>
              <w:kinsoku/>
              <w:wordWrap/>
              <w:overflowPunct/>
              <w:topLinePunct w:val="0"/>
              <w:autoSpaceDE/>
              <w:autoSpaceDN/>
              <w:bidi w:val="0"/>
              <w:adjustRightInd/>
              <w:snapToGrid/>
              <w:spacing w:line="240" w:lineRule="auto"/>
              <w:ind w:right="110" w:firstLine="180" w:firstLineChars="100"/>
              <w:textAlignment w:val="auto"/>
              <w:rPr>
                <w:rFonts w:hint="default" w:ascii="Times New Roman" w:hAnsi="Times New Roman" w:cs="Times New Roman"/>
                <w:spacing w:val="0"/>
                <w:sz w:val="18"/>
                <w:szCs w:val="18"/>
              </w:rPr>
            </w:pPr>
            <w:r>
              <w:rPr>
                <w:rFonts w:hint="default" w:ascii="Times New Roman" w:hAnsi="Times New Roman" w:cs="Times New Roman"/>
                <w:spacing w:val="0"/>
                <w:sz w:val="18"/>
                <w:szCs w:val="18"/>
              </w:rPr>
              <w:t>多粮浓香型风格突出、典型</w:t>
            </w:r>
          </w:p>
        </w:tc>
        <w:tc>
          <w:tcPr>
            <w:tcW w:w="1845" w:type="dxa"/>
            <w:noWrap w:val="0"/>
            <w:vAlign w:val="top"/>
          </w:tcPr>
          <w:p w14:paraId="4B55BDCE">
            <w:pPr>
              <w:pStyle w:val="153"/>
              <w:keepNext w:val="0"/>
              <w:keepLines w:val="0"/>
              <w:pageBreakBefore w:val="0"/>
              <w:widowControl w:val="0"/>
              <w:kinsoku/>
              <w:wordWrap/>
              <w:overflowPunct/>
              <w:topLinePunct w:val="0"/>
              <w:autoSpaceDE/>
              <w:autoSpaceDN/>
              <w:bidi w:val="0"/>
              <w:adjustRightInd/>
              <w:snapToGrid/>
              <w:spacing w:line="240" w:lineRule="auto"/>
              <w:ind w:right="109" w:firstLine="180" w:firstLineChars="100"/>
              <w:textAlignment w:val="auto"/>
              <w:rPr>
                <w:rFonts w:hint="default" w:ascii="Times New Roman" w:hAnsi="Times New Roman" w:cs="Times New Roman"/>
                <w:spacing w:val="0"/>
                <w:sz w:val="18"/>
                <w:szCs w:val="18"/>
              </w:rPr>
            </w:pPr>
            <w:r>
              <w:rPr>
                <w:rFonts w:hint="default" w:ascii="Times New Roman" w:hAnsi="Times New Roman" w:cs="Times New Roman"/>
                <w:spacing w:val="0"/>
                <w:sz w:val="18"/>
                <w:szCs w:val="18"/>
              </w:rPr>
              <w:t>多粮浓香型风格突出、典型</w:t>
            </w:r>
          </w:p>
        </w:tc>
        <w:tc>
          <w:tcPr>
            <w:tcW w:w="1845" w:type="dxa"/>
            <w:noWrap w:val="0"/>
            <w:vAlign w:val="center"/>
          </w:tcPr>
          <w:p w14:paraId="0ED1EE47">
            <w:pPr>
              <w:pStyle w:val="15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pacing w:val="0"/>
                <w:sz w:val="18"/>
                <w:szCs w:val="18"/>
              </w:rPr>
            </w:pPr>
            <w:r>
              <w:rPr>
                <w:rFonts w:hint="default" w:ascii="Times New Roman" w:hAnsi="Times New Roman" w:cs="Times New Roman"/>
                <w:spacing w:val="0"/>
                <w:sz w:val="18"/>
                <w:szCs w:val="18"/>
              </w:rPr>
              <w:t>多粮浓香型风格典型</w:t>
            </w:r>
          </w:p>
        </w:tc>
        <w:tc>
          <w:tcPr>
            <w:tcW w:w="1847" w:type="dxa"/>
            <w:tcBorders>
              <w:right w:val="single" w:color="auto" w:sz="8" w:space="0"/>
            </w:tcBorders>
            <w:noWrap w:val="0"/>
            <w:vAlign w:val="center"/>
          </w:tcPr>
          <w:p w14:paraId="4BD7C631">
            <w:pPr>
              <w:pStyle w:val="15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pacing w:val="0"/>
                <w:sz w:val="18"/>
                <w:szCs w:val="18"/>
              </w:rPr>
            </w:pPr>
            <w:r>
              <w:rPr>
                <w:rFonts w:hint="default" w:ascii="Times New Roman" w:hAnsi="Times New Roman" w:cs="Times New Roman"/>
                <w:spacing w:val="0"/>
                <w:sz w:val="18"/>
                <w:szCs w:val="18"/>
              </w:rPr>
              <w:t>多粮浓香型风格明显</w:t>
            </w:r>
          </w:p>
        </w:tc>
      </w:tr>
      <w:tr w14:paraId="503B4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1" w:type="dxa"/>
            <w:tcBorders>
              <w:left w:val="single" w:color="auto" w:sz="8" w:space="0"/>
              <w:bottom w:val="single" w:color="auto" w:sz="8" w:space="0"/>
            </w:tcBorders>
            <w:noWrap w:val="0"/>
            <w:vAlign w:val="top"/>
          </w:tcPr>
          <w:p w14:paraId="7A24C5BF">
            <w:pPr>
              <w:pStyle w:val="15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pacing w:val="-1"/>
                <w:sz w:val="18"/>
                <w:szCs w:val="18"/>
              </w:rPr>
              <w:t>评分范围（</w:t>
            </w:r>
            <w:r>
              <w:rPr>
                <w:rFonts w:hint="default" w:ascii="Times New Roman" w:hAnsi="Times New Roman" w:eastAsia="Times New Roman" w:cs="Times New Roman"/>
                <w:i/>
                <w:iCs/>
                <w:spacing w:val="-1"/>
                <w:sz w:val="18"/>
                <w:szCs w:val="18"/>
              </w:rPr>
              <w:t>F</w:t>
            </w:r>
            <w:r>
              <w:rPr>
                <w:rFonts w:hint="default" w:ascii="Times New Roman" w:hAnsi="Times New Roman" w:cs="Times New Roman"/>
                <w:spacing w:val="-1"/>
                <w:sz w:val="18"/>
                <w:szCs w:val="18"/>
              </w:rPr>
              <w:t>）</w:t>
            </w:r>
          </w:p>
        </w:tc>
        <w:tc>
          <w:tcPr>
            <w:tcW w:w="1845" w:type="dxa"/>
            <w:tcBorders>
              <w:bottom w:val="single" w:color="auto" w:sz="8" w:space="0"/>
            </w:tcBorders>
            <w:noWrap w:val="0"/>
            <w:vAlign w:val="top"/>
          </w:tcPr>
          <w:p w14:paraId="4B2D22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Times New Roman" w:cs="Times New Roman"/>
                <w:sz w:val="18"/>
                <w:szCs w:val="18"/>
              </w:rPr>
            </w:pPr>
            <w:r>
              <w:rPr>
                <w:rFonts w:hint="eastAsia" w:ascii="宋体" w:hAnsi="宋体" w:eastAsia="宋体" w:cs="宋体"/>
                <w:spacing w:val="-1"/>
                <w:sz w:val="18"/>
                <w:szCs w:val="18"/>
              </w:rPr>
              <w:t>≥</w:t>
            </w:r>
            <w:r>
              <w:rPr>
                <w:rFonts w:hint="default" w:ascii="Times New Roman" w:hAnsi="Times New Roman" w:eastAsia="Times New Roman" w:cs="Times New Roman"/>
                <w:spacing w:val="-1"/>
                <w:sz w:val="18"/>
                <w:szCs w:val="18"/>
              </w:rPr>
              <w:t>95.0</w:t>
            </w:r>
          </w:p>
        </w:tc>
        <w:tc>
          <w:tcPr>
            <w:tcW w:w="1845" w:type="dxa"/>
            <w:tcBorders>
              <w:bottom w:val="single" w:color="auto" w:sz="8" w:space="0"/>
            </w:tcBorders>
            <w:noWrap w:val="0"/>
            <w:vAlign w:val="top"/>
          </w:tcPr>
          <w:p w14:paraId="4D32845B">
            <w:pPr>
              <w:pStyle w:val="15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Times New Roman" w:cs="Times New Roman"/>
                <w:sz w:val="18"/>
                <w:szCs w:val="18"/>
              </w:rPr>
            </w:pPr>
            <w:r>
              <w:rPr>
                <w:rFonts w:hint="default" w:ascii="Times New Roman" w:hAnsi="Times New Roman" w:eastAsia="Times New Roman" w:cs="Times New Roman"/>
                <w:spacing w:val="-2"/>
                <w:sz w:val="18"/>
                <w:szCs w:val="18"/>
              </w:rPr>
              <w:t>93.0</w:t>
            </w:r>
            <w:r>
              <w:rPr>
                <w:rFonts w:ascii="宋体" w:hAnsi="宋体" w:eastAsia="宋体" w:cs="宋体"/>
                <w:spacing w:val="-1"/>
                <w:sz w:val="21"/>
                <w:szCs w:val="21"/>
              </w:rPr>
              <w:t>～</w:t>
            </w:r>
            <w:r>
              <w:rPr>
                <w:rFonts w:hint="default" w:ascii="Times New Roman" w:hAnsi="Times New Roman" w:cs="Times New Roman"/>
                <w:spacing w:val="-2"/>
                <w:sz w:val="18"/>
                <w:szCs w:val="18"/>
              </w:rPr>
              <w:t>＜</w:t>
            </w:r>
            <w:r>
              <w:rPr>
                <w:rFonts w:hint="default" w:ascii="Times New Roman" w:hAnsi="Times New Roman" w:eastAsia="Times New Roman" w:cs="Times New Roman"/>
                <w:spacing w:val="-2"/>
                <w:sz w:val="18"/>
                <w:szCs w:val="18"/>
              </w:rPr>
              <w:t>95.0</w:t>
            </w:r>
          </w:p>
        </w:tc>
        <w:tc>
          <w:tcPr>
            <w:tcW w:w="1845" w:type="dxa"/>
            <w:tcBorders>
              <w:bottom w:val="single" w:color="auto" w:sz="8" w:space="0"/>
            </w:tcBorders>
            <w:noWrap w:val="0"/>
            <w:vAlign w:val="top"/>
          </w:tcPr>
          <w:p w14:paraId="47F402E7">
            <w:pPr>
              <w:pStyle w:val="15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Times New Roman" w:cs="Times New Roman"/>
                <w:sz w:val="18"/>
                <w:szCs w:val="18"/>
              </w:rPr>
            </w:pPr>
            <w:r>
              <w:rPr>
                <w:rFonts w:hint="default" w:ascii="Times New Roman" w:hAnsi="Times New Roman" w:eastAsia="Times New Roman" w:cs="Times New Roman"/>
                <w:spacing w:val="-2"/>
                <w:sz w:val="18"/>
                <w:szCs w:val="18"/>
              </w:rPr>
              <w:t>90.0</w:t>
            </w:r>
            <w:r>
              <w:rPr>
                <w:rFonts w:ascii="宋体" w:hAnsi="宋体" w:eastAsia="宋体" w:cs="宋体"/>
                <w:spacing w:val="-1"/>
                <w:sz w:val="21"/>
                <w:szCs w:val="21"/>
              </w:rPr>
              <w:t>～</w:t>
            </w:r>
            <w:r>
              <w:rPr>
                <w:rFonts w:hint="default" w:ascii="Times New Roman" w:hAnsi="Times New Roman" w:cs="Times New Roman"/>
                <w:spacing w:val="-2"/>
                <w:sz w:val="18"/>
                <w:szCs w:val="18"/>
              </w:rPr>
              <w:t>＜</w:t>
            </w:r>
            <w:r>
              <w:rPr>
                <w:rFonts w:hint="default" w:ascii="Times New Roman" w:hAnsi="Times New Roman" w:eastAsia="Times New Roman" w:cs="Times New Roman"/>
                <w:spacing w:val="-2"/>
                <w:sz w:val="18"/>
                <w:szCs w:val="18"/>
              </w:rPr>
              <w:t>93.0</w:t>
            </w:r>
          </w:p>
        </w:tc>
        <w:tc>
          <w:tcPr>
            <w:tcW w:w="1847" w:type="dxa"/>
            <w:tcBorders>
              <w:bottom w:val="single" w:color="auto" w:sz="8" w:space="0"/>
              <w:right w:val="single" w:color="auto" w:sz="8" w:space="0"/>
            </w:tcBorders>
            <w:noWrap w:val="0"/>
            <w:vAlign w:val="top"/>
          </w:tcPr>
          <w:p w14:paraId="7AB9ECDC">
            <w:pPr>
              <w:pStyle w:val="15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Times New Roman" w:cs="Times New Roman"/>
                <w:sz w:val="18"/>
                <w:szCs w:val="18"/>
              </w:rPr>
            </w:pPr>
            <w:r>
              <w:rPr>
                <w:rFonts w:hint="default" w:ascii="Times New Roman" w:hAnsi="Times New Roman" w:eastAsia="Times New Roman" w:cs="Times New Roman"/>
                <w:spacing w:val="-2"/>
                <w:sz w:val="18"/>
                <w:szCs w:val="18"/>
              </w:rPr>
              <w:t>85.0</w:t>
            </w:r>
            <w:r>
              <w:rPr>
                <w:rFonts w:ascii="宋体" w:hAnsi="宋体" w:eastAsia="宋体" w:cs="宋体"/>
                <w:spacing w:val="-1"/>
                <w:sz w:val="21"/>
                <w:szCs w:val="21"/>
              </w:rPr>
              <w:t>～</w:t>
            </w:r>
            <w:r>
              <w:rPr>
                <w:rFonts w:hint="default" w:ascii="Times New Roman" w:hAnsi="Times New Roman" w:cs="Times New Roman"/>
                <w:spacing w:val="-2"/>
                <w:sz w:val="18"/>
                <w:szCs w:val="18"/>
              </w:rPr>
              <w:t>＜</w:t>
            </w:r>
            <w:r>
              <w:rPr>
                <w:rFonts w:hint="default" w:ascii="Times New Roman" w:hAnsi="Times New Roman" w:eastAsia="Times New Roman" w:cs="Times New Roman"/>
                <w:spacing w:val="-2"/>
                <w:sz w:val="18"/>
                <w:szCs w:val="18"/>
              </w:rPr>
              <w:t>90.0</w:t>
            </w:r>
          </w:p>
        </w:tc>
      </w:tr>
    </w:tbl>
    <w:p w14:paraId="529E56EC">
      <w:pPr>
        <w:pStyle w:val="21"/>
        <w:keepNext w:val="0"/>
        <w:keepLines w:val="0"/>
        <w:pageBreakBefore w:val="0"/>
        <w:widowControl/>
        <w:kinsoku/>
        <w:wordWrap/>
        <w:overflowPunct/>
        <w:topLinePunct w:val="0"/>
        <w:autoSpaceDE w:val="0"/>
        <w:autoSpaceDN w:val="0"/>
        <w:bidi w:val="0"/>
        <w:adjustRightInd/>
        <w:snapToGrid/>
        <w:spacing w:before="313" w:beforeLines="100" w:after="157" w:afterLines="50"/>
        <w:ind w:left="0" w:leftChars="0" w:firstLine="0" w:firstLineChars="0"/>
        <w:jc w:val="center"/>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理化指标</w:t>
      </w:r>
    </w:p>
    <w:p w14:paraId="2680163F">
      <w:pPr>
        <w:spacing w:line="168" w:lineRule="exact"/>
      </w:pPr>
    </w:p>
    <w:tbl>
      <w:tblPr>
        <w:tblStyle w:val="152"/>
        <w:tblW w:w="8293" w:type="dxa"/>
        <w:tblInd w:w="2" w:type="dxa"/>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0" w:type="dxa"/>
          <w:bottom w:w="0" w:type="dxa"/>
          <w:right w:w="0" w:type="dxa"/>
        </w:tblCellMar>
      </w:tblPr>
      <w:tblGrid>
        <w:gridCol w:w="4146"/>
        <w:gridCol w:w="4147"/>
      </w:tblGrid>
      <w:tr w14:paraId="23CF45C2">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46" w:type="dxa"/>
            <w:tcBorders>
              <w:bottom w:val="single" w:color="auto" w:sz="8" w:space="0"/>
            </w:tcBorders>
            <w:noWrap w:val="0"/>
            <w:vAlign w:val="top"/>
          </w:tcPr>
          <w:p w14:paraId="68DB41C7">
            <w:pPr>
              <w:pStyle w:val="153"/>
              <w:keepNext w:val="0"/>
              <w:keepLines w:val="0"/>
              <w:pageBreakBefore w:val="0"/>
              <w:widowControl w:val="0"/>
              <w:kinsoku/>
              <w:wordWrap/>
              <w:overflowPunct/>
              <w:topLinePunct w:val="0"/>
              <w:autoSpaceDE/>
              <w:autoSpaceDN/>
              <w:bidi w:val="0"/>
              <w:adjustRightInd/>
              <w:snapToGrid/>
              <w:spacing w:line="240" w:lineRule="auto"/>
              <w:ind w:right="110"/>
              <w:jc w:val="center"/>
              <w:textAlignment w:val="auto"/>
              <w:rPr>
                <w:rFonts w:hint="default" w:ascii="Times New Roman" w:hAnsi="Times New Roman" w:cs="Times New Roman"/>
                <w:spacing w:val="0"/>
                <w:sz w:val="18"/>
                <w:szCs w:val="18"/>
              </w:rPr>
            </w:pPr>
            <w:r>
              <w:rPr>
                <w:rFonts w:hint="default" w:ascii="Times New Roman" w:hAnsi="Times New Roman" w:cs="Times New Roman"/>
                <w:spacing w:val="0"/>
                <w:sz w:val="18"/>
                <w:szCs w:val="18"/>
              </w:rPr>
              <w:t>项目</w:t>
            </w:r>
          </w:p>
        </w:tc>
        <w:tc>
          <w:tcPr>
            <w:tcW w:w="4147" w:type="dxa"/>
            <w:tcBorders>
              <w:bottom w:val="single" w:color="auto" w:sz="8" w:space="0"/>
            </w:tcBorders>
            <w:noWrap w:val="0"/>
            <w:vAlign w:val="top"/>
          </w:tcPr>
          <w:p w14:paraId="09C0576C">
            <w:pPr>
              <w:pStyle w:val="153"/>
              <w:keepNext w:val="0"/>
              <w:keepLines w:val="0"/>
              <w:pageBreakBefore w:val="0"/>
              <w:widowControl w:val="0"/>
              <w:kinsoku/>
              <w:wordWrap/>
              <w:overflowPunct/>
              <w:topLinePunct w:val="0"/>
              <w:autoSpaceDE/>
              <w:autoSpaceDN/>
              <w:bidi w:val="0"/>
              <w:adjustRightInd/>
              <w:snapToGrid/>
              <w:spacing w:line="240" w:lineRule="auto"/>
              <w:ind w:right="110"/>
              <w:jc w:val="center"/>
              <w:textAlignment w:val="auto"/>
              <w:rPr>
                <w:rFonts w:hint="default" w:ascii="Times New Roman" w:hAnsi="Times New Roman" w:cs="Times New Roman"/>
                <w:spacing w:val="0"/>
                <w:sz w:val="18"/>
                <w:szCs w:val="18"/>
              </w:rPr>
            </w:pPr>
            <w:r>
              <w:rPr>
                <w:rFonts w:hint="default" w:ascii="Times New Roman" w:hAnsi="Times New Roman" w:cs="Times New Roman"/>
                <w:spacing w:val="0"/>
                <w:sz w:val="18"/>
                <w:szCs w:val="18"/>
              </w:rPr>
              <w:t>指标</w:t>
            </w:r>
          </w:p>
        </w:tc>
      </w:tr>
      <w:tr w14:paraId="54376543">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46" w:type="dxa"/>
            <w:tcBorders>
              <w:top w:val="single" w:color="auto" w:sz="8" w:space="0"/>
            </w:tcBorders>
            <w:noWrap w:val="0"/>
            <w:vAlign w:val="top"/>
          </w:tcPr>
          <w:p w14:paraId="603EFA78">
            <w:pPr>
              <w:pStyle w:val="153"/>
              <w:keepNext w:val="0"/>
              <w:keepLines w:val="0"/>
              <w:pageBreakBefore w:val="0"/>
              <w:widowControl w:val="0"/>
              <w:kinsoku/>
              <w:wordWrap/>
              <w:overflowPunct/>
              <w:topLinePunct w:val="0"/>
              <w:autoSpaceDE/>
              <w:autoSpaceDN/>
              <w:bidi w:val="0"/>
              <w:adjustRightInd/>
              <w:snapToGrid/>
              <w:spacing w:line="240" w:lineRule="auto"/>
              <w:ind w:right="110"/>
              <w:jc w:val="center"/>
              <w:textAlignment w:val="auto"/>
              <w:rPr>
                <w:rFonts w:hint="default" w:ascii="Times New Roman" w:hAnsi="Times New Roman" w:cs="Times New Roman"/>
                <w:spacing w:val="0"/>
                <w:sz w:val="18"/>
                <w:szCs w:val="18"/>
              </w:rPr>
            </w:pPr>
            <w:r>
              <w:rPr>
                <w:rFonts w:hint="default" w:ascii="Times New Roman" w:hAnsi="Times New Roman" w:cs="Times New Roman"/>
                <w:spacing w:val="0"/>
                <w:sz w:val="18"/>
                <w:szCs w:val="18"/>
              </w:rPr>
              <w:t>酒精度</w:t>
            </w:r>
            <w:r>
              <w:rPr>
                <w:rFonts w:hint="eastAsia" w:ascii="Times New Roman" w:hAnsi="Times New Roman" w:cs="Times New Roman"/>
                <w:spacing w:val="0"/>
                <w:sz w:val="18"/>
                <w:szCs w:val="18"/>
                <w:lang w:eastAsia="zh-CN"/>
              </w:rPr>
              <w:t>（</w:t>
            </w:r>
            <w:r>
              <w:rPr>
                <w:rFonts w:hint="default" w:ascii="Times New Roman" w:hAnsi="Times New Roman" w:cs="Times New Roman"/>
                <w:spacing w:val="0"/>
                <w:sz w:val="18"/>
                <w:szCs w:val="18"/>
              </w:rPr>
              <w:t>20℃</w:t>
            </w:r>
            <w:r>
              <w:rPr>
                <w:rFonts w:hint="eastAsia" w:ascii="Times New Roman" w:hAnsi="Times New Roman" w:cs="Times New Roman"/>
                <w:spacing w:val="0"/>
                <w:sz w:val="18"/>
                <w:szCs w:val="18"/>
                <w:lang w:eastAsia="zh-CN"/>
              </w:rPr>
              <w:t>）（</w:t>
            </w:r>
            <w:r>
              <w:rPr>
                <w:rFonts w:hint="default" w:ascii="Times New Roman" w:hAnsi="Times New Roman" w:cs="Times New Roman"/>
                <w:spacing w:val="0"/>
                <w:sz w:val="18"/>
                <w:szCs w:val="18"/>
              </w:rPr>
              <w:t>体积分数</w:t>
            </w:r>
            <w:r>
              <w:rPr>
                <w:rFonts w:hint="eastAsia" w:ascii="Times New Roman" w:hAnsi="Times New Roman" w:cs="Times New Roman"/>
                <w:spacing w:val="0"/>
                <w:sz w:val="18"/>
                <w:szCs w:val="18"/>
                <w:lang w:eastAsia="zh-CN"/>
              </w:rPr>
              <w:t>）</w:t>
            </w:r>
            <w:r>
              <w:rPr>
                <w:rFonts w:hint="default" w:ascii="Times New Roman" w:hAnsi="Times New Roman" w:cs="Times New Roman"/>
                <w:spacing w:val="0"/>
                <w:sz w:val="18"/>
                <w:szCs w:val="18"/>
              </w:rPr>
              <w:t>/（%）</w:t>
            </w:r>
          </w:p>
        </w:tc>
        <w:tc>
          <w:tcPr>
            <w:tcW w:w="4147" w:type="dxa"/>
            <w:tcBorders>
              <w:top w:val="single" w:color="auto" w:sz="8" w:space="0"/>
            </w:tcBorders>
            <w:noWrap w:val="0"/>
            <w:vAlign w:val="top"/>
          </w:tcPr>
          <w:p w14:paraId="60D698F5">
            <w:pPr>
              <w:pStyle w:val="153"/>
              <w:keepNext w:val="0"/>
              <w:keepLines w:val="0"/>
              <w:pageBreakBefore w:val="0"/>
              <w:widowControl w:val="0"/>
              <w:kinsoku/>
              <w:wordWrap/>
              <w:overflowPunct/>
              <w:topLinePunct w:val="0"/>
              <w:autoSpaceDE/>
              <w:autoSpaceDN/>
              <w:bidi w:val="0"/>
              <w:adjustRightInd/>
              <w:snapToGrid/>
              <w:spacing w:line="240" w:lineRule="auto"/>
              <w:ind w:right="110"/>
              <w:jc w:val="center"/>
              <w:textAlignment w:val="auto"/>
              <w:rPr>
                <w:rFonts w:hint="default" w:ascii="Times New Roman" w:hAnsi="Times New Roman" w:cs="Times New Roman"/>
                <w:spacing w:val="0"/>
                <w:sz w:val="18"/>
                <w:szCs w:val="18"/>
              </w:rPr>
            </w:pPr>
            <w:r>
              <w:rPr>
                <w:rFonts w:hint="eastAsia" w:ascii="宋体" w:hAnsi="宋体" w:eastAsia="宋体" w:cs="宋体"/>
                <w:spacing w:val="0"/>
                <w:sz w:val="18"/>
                <w:szCs w:val="18"/>
              </w:rPr>
              <w:t>≥</w:t>
            </w:r>
            <w:r>
              <w:rPr>
                <w:rFonts w:hint="default" w:ascii="Times New Roman" w:hAnsi="Times New Roman" w:cs="Times New Roman"/>
                <w:spacing w:val="0"/>
                <w:sz w:val="18"/>
                <w:szCs w:val="18"/>
              </w:rPr>
              <w:t>60.0</w:t>
            </w:r>
          </w:p>
        </w:tc>
      </w:tr>
      <w:tr w14:paraId="08CEA3DE">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46" w:type="dxa"/>
            <w:noWrap w:val="0"/>
            <w:vAlign w:val="top"/>
          </w:tcPr>
          <w:p w14:paraId="5E79689C">
            <w:pPr>
              <w:pStyle w:val="153"/>
              <w:keepNext w:val="0"/>
              <w:keepLines w:val="0"/>
              <w:pageBreakBefore w:val="0"/>
              <w:widowControl w:val="0"/>
              <w:kinsoku/>
              <w:wordWrap/>
              <w:overflowPunct/>
              <w:topLinePunct w:val="0"/>
              <w:autoSpaceDE/>
              <w:autoSpaceDN/>
              <w:bidi w:val="0"/>
              <w:adjustRightInd/>
              <w:snapToGrid/>
              <w:spacing w:line="240" w:lineRule="auto"/>
              <w:ind w:right="110"/>
              <w:jc w:val="center"/>
              <w:textAlignment w:val="auto"/>
              <w:rPr>
                <w:rFonts w:hint="default" w:ascii="Times New Roman" w:hAnsi="Times New Roman" w:cs="Times New Roman"/>
                <w:spacing w:val="0"/>
                <w:sz w:val="18"/>
                <w:szCs w:val="18"/>
              </w:rPr>
            </w:pPr>
            <w:r>
              <w:rPr>
                <w:rFonts w:hint="default" w:ascii="Times New Roman" w:hAnsi="Times New Roman" w:cs="Times New Roman"/>
                <w:spacing w:val="0"/>
                <w:sz w:val="18"/>
                <w:szCs w:val="18"/>
              </w:rPr>
              <w:t>酸酯总量/</w:t>
            </w:r>
            <w:r>
              <w:rPr>
                <w:rFonts w:hint="eastAsia" w:ascii="Times New Roman" w:hAnsi="Times New Roman" w:cs="Times New Roman"/>
                <w:spacing w:val="0"/>
                <w:sz w:val="18"/>
                <w:szCs w:val="18"/>
                <w:lang w:eastAsia="zh-CN"/>
              </w:rPr>
              <w:t>（</w:t>
            </w:r>
            <w:r>
              <w:rPr>
                <w:rFonts w:hint="default" w:ascii="Times New Roman" w:hAnsi="Times New Roman" w:cs="Times New Roman"/>
                <w:spacing w:val="0"/>
                <w:sz w:val="18"/>
                <w:szCs w:val="18"/>
              </w:rPr>
              <w:t>mmol/L</w:t>
            </w:r>
            <w:r>
              <w:rPr>
                <w:rFonts w:hint="eastAsia" w:ascii="Times New Roman" w:hAnsi="Times New Roman" w:cs="Times New Roman"/>
                <w:spacing w:val="0"/>
                <w:sz w:val="18"/>
                <w:szCs w:val="18"/>
                <w:lang w:eastAsia="zh-CN"/>
              </w:rPr>
              <w:t>）</w:t>
            </w:r>
          </w:p>
        </w:tc>
        <w:tc>
          <w:tcPr>
            <w:tcW w:w="4147" w:type="dxa"/>
            <w:noWrap w:val="0"/>
            <w:vAlign w:val="top"/>
          </w:tcPr>
          <w:p w14:paraId="64B4FACB">
            <w:pPr>
              <w:pStyle w:val="153"/>
              <w:keepNext w:val="0"/>
              <w:keepLines w:val="0"/>
              <w:pageBreakBefore w:val="0"/>
              <w:widowControl w:val="0"/>
              <w:kinsoku/>
              <w:wordWrap/>
              <w:overflowPunct/>
              <w:topLinePunct w:val="0"/>
              <w:autoSpaceDE/>
              <w:autoSpaceDN/>
              <w:bidi w:val="0"/>
              <w:adjustRightInd/>
              <w:snapToGrid/>
              <w:spacing w:line="240" w:lineRule="auto"/>
              <w:ind w:right="110"/>
              <w:jc w:val="center"/>
              <w:textAlignment w:val="auto"/>
              <w:rPr>
                <w:rFonts w:hint="default" w:ascii="Times New Roman" w:hAnsi="Times New Roman" w:cs="Times New Roman"/>
                <w:spacing w:val="0"/>
                <w:sz w:val="18"/>
                <w:szCs w:val="18"/>
              </w:rPr>
            </w:pPr>
            <w:r>
              <w:rPr>
                <w:rFonts w:hint="eastAsia" w:ascii="宋体" w:hAnsi="宋体" w:eastAsia="宋体" w:cs="宋体"/>
                <w:spacing w:val="0"/>
                <w:sz w:val="18"/>
                <w:szCs w:val="18"/>
              </w:rPr>
              <w:t>≥</w:t>
            </w:r>
            <w:r>
              <w:rPr>
                <w:rFonts w:hint="default" w:ascii="Times New Roman" w:hAnsi="Times New Roman" w:cs="Times New Roman"/>
                <w:spacing w:val="0"/>
                <w:sz w:val="18"/>
                <w:szCs w:val="18"/>
              </w:rPr>
              <w:t>40.0</w:t>
            </w:r>
          </w:p>
        </w:tc>
      </w:tr>
      <w:tr w14:paraId="1DB84B64">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46" w:type="dxa"/>
            <w:noWrap w:val="0"/>
            <w:vAlign w:val="top"/>
          </w:tcPr>
          <w:p w14:paraId="57E63B0B">
            <w:pPr>
              <w:pStyle w:val="153"/>
              <w:keepNext w:val="0"/>
              <w:keepLines w:val="0"/>
              <w:pageBreakBefore w:val="0"/>
              <w:widowControl w:val="0"/>
              <w:kinsoku/>
              <w:wordWrap/>
              <w:overflowPunct/>
              <w:topLinePunct w:val="0"/>
              <w:autoSpaceDE/>
              <w:autoSpaceDN/>
              <w:bidi w:val="0"/>
              <w:adjustRightInd/>
              <w:snapToGrid/>
              <w:spacing w:line="240" w:lineRule="auto"/>
              <w:ind w:right="110"/>
              <w:jc w:val="center"/>
              <w:textAlignment w:val="auto"/>
              <w:rPr>
                <w:rFonts w:hint="default" w:ascii="Times New Roman" w:hAnsi="Times New Roman" w:cs="Times New Roman"/>
                <w:spacing w:val="0"/>
                <w:sz w:val="18"/>
                <w:szCs w:val="18"/>
              </w:rPr>
            </w:pPr>
            <w:r>
              <w:rPr>
                <w:rFonts w:hint="default" w:ascii="Times New Roman" w:hAnsi="Times New Roman" w:cs="Times New Roman"/>
                <w:spacing w:val="0"/>
                <w:sz w:val="18"/>
                <w:szCs w:val="18"/>
              </w:rPr>
              <w:t>己酸+己酸乙酯/</w:t>
            </w:r>
            <w:r>
              <w:rPr>
                <w:rFonts w:hint="eastAsia" w:ascii="Times New Roman" w:hAnsi="Times New Roman" w:cs="Times New Roman"/>
                <w:spacing w:val="0"/>
                <w:sz w:val="18"/>
                <w:szCs w:val="18"/>
                <w:lang w:eastAsia="zh-CN"/>
              </w:rPr>
              <w:t>（</w:t>
            </w:r>
            <w:r>
              <w:rPr>
                <w:rFonts w:hint="default" w:ascii="Times New Roman" w:hAnsi="Times New Roman" w:cs="Times New Roman"/>
                <w:spacing w:val="0"/>
                <w:sz w:val="18"/>
                <w:szCs w:val="18"/>
              </w:rPr>
              <w:t>g/L</w:t>
            </w:r>
            <w:r>
              <w:rPr>
                <w:rFonts w:hint="eastAsia" w:ascii="Times New Roman" w:hAnsi="Times New Roman" w:cs="Times New Roman"/>
                <w:spacing w:val="0"/>
                <w:sz w:val="18"/>
                <w:szCs w:val="18"/>
                <w:lang w:eastAsia="zh-CN"/>
              </w:rPr>
              <w:t>）</w:t>
            </w:r>
          </w:p>
        </w:tc>
        <w:tc>
          <w:tcPr>
            <w:tcW w:w="4147" w:type="dxa"/>
            <w:noWrap w:val="0"/>
            <w:vAlign w:val="top"/>
          </w:tcPr>
          <w:p w14:paraId="2AFBF416">
            <w:pPr>
              <w:pStyle w:val="153"/>
              <w:keepNext w:val="0"/>
              <w:keepLines w:val="0"/>
              <w:pageBreakBefore w:val="0"/>
              <w:widowControl w:val="0"/>
              <w:kinsoku/>
              <w:wordWrap/>
              <w:overflowPunct/>
              <w:topLinePunct w:val="0"/>
              <w:autoSpaceDE/>
              <w:autoSpaceDN/>
              <w:bidi w:val="0"/>
              <w:adjustRightInd/>
              <w:snapToGrid/>
              <w:spacing w:line="240" w:lineRule="auto"/>
              <w:ind w:right="110"/>
              <w:jc w:val="center"/>
              <w:textAlignment w:val="auto"/>
              <w:rPr>
                <w:rFonts w:hint="default" w:ascii="Times New Roman" w:hAnsi="Times New Roman" w:cs="Times New Roman"/>
                <w:spacing w:val="0"/>
                <w:sz w:val="18"/>
                <w:szCs w:val="18"/>
              </w:rPr>
            </w:pPr>
            <w:r>
              <w:rPr>
                <w:rFonts w:hint="eastAsia" w:ascii="宋体" w:hAnsi="宋体" w:eastAsia="宋体" w:cs="宋体"/>
                <w:spacing w:val="0"/>
                <w:sz w:val="18"/>
                <w:szCs w:val="18"/>
              </w:rPr>
              <w:t>≥</w:t>
            </w:r>
            <w:r>
              <w:rPr>
                <w:rFonts w:hint="default" w:ascii="Times New Roman" w:hAnsi="Times New Roman" w:cs="Times New Roman"/>
                <w:spacing w:val="0"/>
                <w:sz w:val="18"/>
                <w:szCs w:val="18"/>
              </w:rPr>
              <w:t>1.20</w:t>
            </w:r>
          </w:p>
        </w:tc>
      </w:tr>
      <w:tr w14:paraId="0D446902">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46" w:type="dxa"/>
            <w:noWrap w:val="0"/>
            <w:vAlign w:val="top"/>
          </w:tcPr>
          <w:p w14:paraId="0A5E40B4">
            <w:pPr>
              <w:pStyle w:val="153"/>
              <w:keepNext w:val="0"/>
              <w:keepLines w:val="0"/>
              <w:pageBreakBefore w:val="0"/>
              <w:widowControl w:val="0"/>
              <w:kinsoku/>
              <w:wordWrap/>
              <w:overflowPunct/>
              <w:topLinePunct w:val="0"/>
              <w:autoSpaceDE/>
              <w:autoSpaceDN/>
              <w:bidi w:val="0"/>
              <w:adjustRightInd/>
              <w:snapToGrid/>
              <w:spacing w:line="240" w:lineRule="auto"/>
              <w:ind w:right="110"/>
              <w:jc w:val="center"/>
              <w:textAlignment w:val="auto"/>
              <w:rPr>
                <w:rFonts w:hint="default" w:ascii="Times New Roman" w:hAnsi="Times New Roman" w:cs="Times New Roman"/>
                <w:spacing w:val="0"/>
                <w:sz w:val="18"/>
                <w:szCs w:val="18"/>
              </w:rPr>
            </w:pPr>
            <w:r>
              <w:rPr>
                <w:rFonts w:hint="default" w:ascii="Times New Roman" w:hAnsi="Times New Roman" w:cs="Times New Roman"/>
                <w:spacing w:val="0"/>
                <w:sz w:val="18"/>
                <w:szCs w:val="18"/>
              </w:rPr>
              <w:t>固形物/</w:t>
            </w:r>
            <w:r>
              <w:rPr>
                <w:rFonts w:hint="eastAsia" w:ascii="Times New Roman" w:hAnsi="Times New Roman" w:cs="Times New Roman"/>
                <w:spacing w:val="0"/>
                <w:sz w:val="18"/>
                <w:szCs w:val="18"/>
                <w:lang w:eastAsia="zh-CN"/>
              </w:rPr>
              <w:t>（</w:t>
            </w:r>
            <w:r>
              <w:rPr>
                <w:rFonts w:hint="default" w:ascii="Times New Roman" w:hAnsi="Times New Roman" w:cs="Times New Roman"/>
                <w:spacing w:val="0"/>
                <w:sz w:val="18"/>
                <w:szCs w:val="18"/>
              </w:rPr>
              <w:t>g/L</w:t>
            </w:r>
            <w:r>
              <w:rPr>
                <w:rFonts w:hint="eastAsia" w:ascii="Times New Roman" w:hAnsi="Times New Roman" w:cs="Times New Roman"/>
                <w:spacing w:val="0"/>
                <w:sz w:val="18"/>
                <w:szCs w:val="18"/>
                <w:lang w:eastAsia="zh-CN"/>
              </w:rPr>
              <w:t>）</w:t>
            </w:r>
          </w:p>
        </w:tc>
        <w:tc>
          <w:tcPr>
            <w:tcW w:w="4147" w:type="dxa"/>
            <w:noWrap w:val="0"/>
            <w:vAlign w:val="top"/>
          </w:tcPr>
          <w:p w14:paraId="60B42135">
            <w:pPr>
              <w:pStyle w:val="153"/>
              <w:keepNext w:val="0"/>
              <w:keepLines w:val="0"/>
              <w:pageBreakBefore w:val="0"/>
              <w:widowControl w:val="0"/>
              <w:kinsoku/>
              <w:wordWrap/>
              <w:overflowPunct/>
              <w:topLinePunct w:val="0"/>
              <w:autoSpaceDE/>
              <w:autoSpaceDN/>
              <w:bidi w:val="0"/>
              <w:adjustRightInd/>
              <w:snapToGrid/>
              <w:spacing w:line="240" w:lineRule="auto"/>
              <w:ind w:right="110"/>
              <w:jc w:val="center"/>
              <w:textAlignment w:val="auto"/>
              <w:rPr>
                <w:rFonts w:hint="default" w:ascii="Times New Roman" w:hAnsi="Times New Roman" w:cs="Times New Roman"/>
                <w:spacing w:val="0"/>
                <w:sz w:val="18"/>
                <w:szCs w:val="18"/>
              </w:rPr>
            </w:pPr>
            <w:r>
              <w:rPr>
                <w:rFonts w:hint="eastAsia" w:ascii="宋体" w:hAnsi="宋体" w:eastAsia="宋体" w:cs="宋体"/>
                <w:spacing w:val="0"/>
                <w:sz w:val="18"/>
                <w:szCs w:val="18"/>
              </w:rPr>
              <w:t>≤</w:t>
            </w:r>
            <w:r>
              <w:rPr>
                <w:rFonts w:hint="default" w:ascii="Times New Roman" w:hAnsi="Times New Roman" w:cs="Times New Roman"/>
                <w:spacing w:val="0"/>
                <w:sz w:val="18"/>
                <w:szCs w:val="18"/>
              </w:rPr>
              <w:t>0.40</w:t>
            </w:r>
          </w:p>
        </w:tc>
      </w:tr>
      <w:tr w14:paraId="699B4DD9">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46" w:type="dxa"/>
            <w:noWrap w:val="0"/>
            <w:vAlign w:val="top"/>
          </w:tcPr>
          <w:p w14:paraId="2FB52F0D">
            <w:pPr>
              <w:pStyle w:val="153"/>
              <w:keepNext w:val="0"/>
              <w:keepLines w:val="0"/>
              <w:pageBreakBefore w:val="0"/>
              <w:widowControl w:val="0"/>
              <w:kinsoku/>
              <w:wordWrap/>
              <w:overflowPunct/>
              <w:topLinePunct w:val="0"/>
              <w:autoSpaceDE/>
              <w:autoSpaceDN/>
              <w:bidi w:val="0"/>
              <w:adjustRightInd/>
              <w:snapToGrid/>
              <w:spacing w:line="240" w:lineRule="auto"/>
              <w:ind w:right="110"/>
              <w:jc w:val="center"/>
              <w:textAlignment w:val="auto"/>
              <w:rPr>
                <w:rFonts w:hint="default" w:ascii="Times New Roman" w:hAnsi="Times New Roman" w:cs="Times New Roman"/>
                <w:spacing w:val="0"/>
                <w:sz w:val="18"/>
                <w:szCs w:val="18"/>
              </w:rPr>
            </w:pPr>
            <w:r>
              <w:rPr>
                <w:rFonts w:hint="default" w:ascii="Times New Roman" w:hAnsi="Times New Roman" w:cs="Times New Roman"/>
                <w:spacing w:val="0"/>
                <w:sz w:val="18"/>
                <w:szCs w:val="18"/>
              </w:rPr>
              <w:t>乙酸乙酯：己酸乙酯</w:t>
            </w:r>
          </w:p>
        </w:tc>
        <w:tc>
          <w:tcPr>
            <w:tcW w:w="4147" w:type="dxa"/>
            <w:noWrap w:val="0"/>
            <w:vAlign w:val="top"/>
          </w:tcPr>
          <w:p w14:paraId="67618E44">
            <w:pPr>
              <w:pStyle w:val="153"/>
              <w:keepNext w:val="0"/>
              <w:keepLines w:val="0"/>
              <w:pageBreakBefore w:val="0"/>
              <w:widowControl w:val="0"/>
              <w:kinsoku/>
              <w:wordWrap/>
              <w:overflowPunct/>
              <w:topLinePunct w:val="0"/>
              <w:autoSpaceDE/>
              <w:autoSpaceDN/>
              <w:bidi w:val="0"/>
              <w:adjustRightInd/>
              <w:snapToGrid/>
              <w:spacing w:line="240" w:lineRule="auto"/>
              <w:ind w:right="110"/>
              <w:jc w:val="center"/>
              <w:textAlignment w:val="auto"/>
              <w:rPr>
                <w:rFonts w:hint="default" w:ascii="Times New Roman" w:hAnsi="Times New Roman" w:cs="Times New Roman"/>
                <w:spacing w:val="0"/>
                <w:sz w:val="18"/>
                <w:szCs w:val="18"/>
              </w:rPr>
            </w:pPr>
            <w:r>
              <w:rPr>
                <w:rFonts w:hint="eastAsia" w:cs="宋体"/>
                <w:spacing w:val="0"/>
                <w:sz w:val="18"/>
                <w:szCs w:val="18"/>
                <w:lang w:val="en-US" w:eastAsia="zh-CN"/>
              </w:rPr>
              <w:t>＜</w:t>
            </w:r>
            <w:r>
              <w:rPr>
                <w:rFonts w:hint="default" w:ascii="Times New Roman" w:hAnsi="Times New Roman" w:cs="Times New Roman"/>
                <w:spacing w:val="0"/>
                <w:sz w:val="18"/>
                <w:szCs w:val="18"/>
              </w:rPr>
              <w:t>1</w:t>
            </w:r>
          </w:p>
        </w:tc>
      </w:tr>
    </w:tbl>
    <w:p w14:paraId="6BA9D939">
      <w:pPr>
        <w:pStyle w:val="21"/>
        <w:keepNext w:val="0"/>
        <w:keepLines w:val="0"/>
        <w:pageBreakBefore w:val="0"/>
        <w:widowControl/>
        <w:kinsoku/>
        <w:wordWrap/>
        <w:overflowPunct/>
        <w:topLinePunct w:val="0"/>
        <w:autoSpaceDE w:val="0"/>
        <w:autoSpaceDN w:val="0"/>
        <w:bidi w:val="0"/>
        <w:adjustRightInd/>
        <w:snapToGrid/>
        <w:spacing w:before="313" w:beforeLines="100" w:after="157" w:afterLines="50"/>
        <w:ind w:left="0" w:leftChars="0" w:firstLine="0" w:firstLineChars="0"/>
        <w:jc w:val="center"/>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食品安全风险监测指标</w:t>
      </w:r>
    </w:p>
    <w:p w14:paraId="06AF673E">
      <w:pPr>
        <w:pStyle w:val="21"/>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单位为毫克每千克</w:t>
      </w:r>
    </w:p>
    <w:tbl>
      <w:tblPr>
        <w:tblStyle w:val="152"/>
        <w:tblW w:w="8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46"/>
        <w:gridCol w:w="4147"/>
      </w:tblGrid>
      <w:tr w14:paraId="1CD16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46" w:type="dxa"/>
            <w:tcBorders>
              <w:top w:val="single" w:color="auto" w:sz="8" w:space="0"/>
              <w:left w:val="single" w:color="auto" w:sz="8" w:space="0"/>
              <w:bottom w:val="single" w:color="auto" w:sz="8" w:space="0"/>
            </w:tcBorders>
            <w:noWrap w:val="0"/>
            <w:vAlign w:val="center"/>
          </w:tcPr>
          <w:p w14:paraId="2EA00B70">
            <w:pPr>
              <w:pStyle w:val="153"/>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0"/>
                <w:sz w:val="18"/>
              </w:rPr>
            </w:pPr>
            <w:r>
              <w:rPr>
                <w:spacing w:val="0"/>
                <w:sz w:val="18"/>
              </w:rPr>
              <w:t>项目</w:t>
            </w:r>
          </w:p>
        </w:tc>
        <w:tc>
          <w:tcPr>
            <w:tcW w:w="4147" w:type="dxa"/>
            <w:tcBorders>
              <w:top w:val="single" w:color="auto" w:sz="8" w:space="0"/>
              <w:bottom w:val="single" w:color="auto" w:sz="8" w:space="0"/>
              <w:right w:val="single" w:color="auto" w:sz="8" w:space="0"/>
            </w:tcBorders>
            <w:noWrap w:val="0"/>
            <w:vAlign w:val="center"/>
          </w:tcPr>
          <w:p w14:paraId="65713B1C">
            <w:pPr>
              <w:pStyle w:val="15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pacing w:val="0"/>
                <w:sz w:val="18"/>
                <w:lang w:val="en-US" w:eastAsia="zh-CN"/>
              </w:rPr>
            </w:pPr>
            <w:r>
              <w:rPr>
                <w:rFonts w:hint="eastAsia"/>
                <w:spacing w:val="0"/>
                <w:sz w:val="18"/>
                <w:lang w:val="en-US" w:eastAsia="zh-CN"/>
              </w:rPr>
              <w:t>指标</w:t>
            </w:r>
          </w:p>
        </w:tc>
      </w:tr>
      <w:tr w14:paraId="76876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46" w:type="dxa"/>
            <w:tcBorders>
              <w:top w:val="single" w:color="auto" w:sz="8" w:space="0"/>
              <w:left w:val="single" w:color="auto" w:sz="8" w:space="0"/>
            </w:tcBorders>
            <w:noWrap w:val="0"/>
            <w:vAlign w:val="center"/>
          </w:tcPr>
          <w:p w14:paraId="669E4C81">
            <w:pPr>
              <w:pStyle w:val="153"/>
              <w:keepNext w:val="0"/>
              <w:keepLines w:val="0"/>
              <w:pageBreakBefore w:val="0"/>
              <w:widowControl w:val="0"/>
              <w:kinsoku/>
              <w:wordWrap/>
              <w:overflowPunct/>
              <w:topLinePunct w:val="0"/>
              <w:autoSpaceDE/>
              <w:autoSpaceDN/>
              <w:bidi w:val="0"/>
              <w:adjustRightInd/>
              <w:snapToGrid/>
              <w:spacing w:line="240" w:lineRule="auto"/>
              <w:ind w:left="117"/>
              <w:jc w:val="center"/>
              <w:textAlignment w:val="auto"/>
              <w:rPr>
                <w:rFonts w:hint="default" w:ascii="Times New Roman" w:hAnsi="Times New Roman" w:cs="Times New Roman"/>
                <w:spacing w:val="0"/>
                <w:sz w:val="18"/>
              </w:rPr>
            </w:pPr>
            <w:r>
              <w:rPr>
                <w:rFonts w:hint="default" w:ascii="Times New Roman" w:hAnsi="Times New Roman" w:cs="Times New Roman"/>
                <w:spacing w:val="0"/>
                <w:position w:val="2"/>
                <w:sz w:val="18"/>
              </w:rPr>
              <w:t>邻苯二甲酸二（</w:t>
            </w:r>
            <w:r>
              <w:rPr>
                <w:rFonts w:hint="default" w:ascii="Times New Roman" w:hAnsi="Times New Roman" w:eastAsia="Times New Roman" w:cs="Times New Roman"/>
                <w:spacing w:val="0"/>
                <w:position w:val="2"/>
                <w:sz w:val="18"/>
              </w:rPr>
              <w:t>2</w:t>
            </w:r>
            <w:r>
              <w:rPr>
                <w:rFonts w:hint="eastAsia" w:ascii="宋体" w:hAnsi="宋体" w:eastAsia="宋体" w:cs="宋体"/>
                <w:spacing w:val="0"/>
                <w:position w:val="2"/>
                <w:sz w:val="18"/>
              </w:rPr>
              <w:t>-</w:t>
            </w:r>
            <w:r>
              <w:rPr>
                <w:rFonts w:hint="default" w:ascii="Times New Roman" w:hAnsi="Times New Roman" w:cs="Times New Roman"/>
                <w:spacing w:val="0"/>
                <w:position w:val="2"/>
                <w:sz w:val="18"/>
              </w:rPr>
              <w:t>乙基己）酯（</w:t>
            </w:r>
            <w:r>
              <w:rPr>
                <w:rFonts w:hint="default" w:ascii="Times New Roman" w:hAnsi="Times New Roman" w:eastAsia="Times New Roman" w:cs="Times New Roman"/>
                <w:spacing w:val="0"/>
                <w:position w:val="2"/>
                <w:sz w:val="18"/>
              </w:rPr>
              <w:t>DEHP</w:t>
            </w:r>
            <w:r>
              <w:rPr>
                <w:rFonts w:hint="default" w:ascii="Times New Roman" w:hAnsi="Times New Roman" w:cs="Times New Roman"/>
                <w:spacing w:val="0"/>
                <w:position w:val="2"/>
                <w:sz w:val="18"/>
              </w:rPr>
              <w:t>）</w:t>
            </w:r>
          </w:p>
        </w:tc>
        <w:tc>
          <w:tcPr>
            <w:tcW w:w="4147" w:type="dxa"/>
            <w:tcBorders>
              <w:top w:val="single" w:color="auto" w:sz="8" w:space="0"/>
              <w:right w:val="single" w:color="auto" w:sz="8" w:space="0"/>
            </w:tcBorders>
            <w:noWrap w:val="0"/>
            <w:vAlign w:val="center"/>
          </w:tcPr>
          <w:p w14:paraId="26B659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spacing w:val="0"/>
                <w:sz w:val="18"/>
                <w:szCs w:val="18"/>
              </w:rPr>
            </w:pPr>
            <w:r>
              <w:rPr>
                <w:rFonts w:hint="eastAsia" w:ascii="宋体" w:hAnsi="宋体" w:eastAsia="宋体" w:cs="宋体"/>
                <w:spacing w:val="0"/>
                <w:position w:val="2"/>
                <w:sz w:val="18"/>
              </w:rPr>
              <w:t>≤</w:t>
            </w:r>
            <w:r>
              <w:rPr>
                <w:rFonts w:ascii="Times New Roman" w:hAnsi="Times New Roman" w:eastAsia="Times New Roman" w:cs="Times New Roman"/>
                <w:spacing w:val="0"/>
                <w:sz w:val="18"/>
                <w:szCs w:val="18"/>
              </w:rPr>
              <w:t>5.0</w:t>
            </w:r>
          </w:p>
        </w:tc>
      </w:tr>
      <w:tr w14:paraId="743DF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46" w:type="dxa"/>
            <w:tcBorders>
              <w:left w:val="single" w:color="auto" w:sz="8" w:space="0"/>
            </w:tcBorders>
            <w:noWrap w:val="0"/>
            <w:vAlign w:val="center"/>
          </w:tcPr>
          <w:p w14:paraId="4A5C336C">
            <w:pPr>
              <w:pStyle w:val="153"/>
              <w:keepNext w:val="0"/>
              <w:keepLines w:val="0"/>
              <w:pageBreakBefore w:val="0"/>
              <w:widowControl w:val="0"/>
              <w:kinsoku/>
              <w:wordWrap/>
              <w:overflowPunct/>
              <w:topLinePunct w:val="0"/>
              <w:autoSpaceDE/>
              <w:autoSpaceDN/>
              <w:bidi w:val="0"/>
              <w:adjustRightInd/>
              <w:snapToGrid/>
              <w:spacing w:line="240" w:lineRule="auto"/>
              <w:ind w:left="117"/>
              <w:jc w:val="center"/>
              <w:textAlignment w:val="auto"/>
              <w:rPr>
                <w:rFonts w:hint="default" w:ascii="Times New Roman" w:hAnsi="Times New Roman" w:cs="Times New Roman"/>
                <w:spacing w:val="0"/>
                <w:sz w:val="18"/>
              </w:rPr>
            </w:pPr>
            <w:r>
              <w:rPr>
                <w:rFonts w:hint="default" w:ascii="Times New Roman" w:hAnsi="Times New Roman" w:cs="Times New Roman"/>
                <w:spacing w:val="0"/>
                <w:position w:val="2"/>
                <w:sz w:val="18"/>
              </w:rPr>
              <w:t>邻苯二甲酸二丁酯（</w:t>
            </w:r>
            <w:r>
              <w:rPr>
                <w:rFonts w:hint="default" w:ascii="Times New Roman" w:hAnsi="Times New Roman" w:eastAsia="Times New Roman" w:cs="Times New Roman"/>
                <w:spacing w:val="0"/>
                <w:position w:val="2"/>
                <w:sz w:val="18"/>
              </w:rPr>
              <w:t>DBP</w:t>
            </w:r>
            <w:r>
              <w:rPr>
                <w:rFonts w:hint="default" w:ascii="Times New Roman" w:hAnsi="Times New Roman" w:cs="Times New Roman"/>
                <w:spacing w:val="0"/>
                <w:position w:val="2"/>
                <w:sz w:val="18"/>
              </w:rPr>
              <w:t>）</w:t>
            </w:r>
          </w:p>
        </w:tc>
        <w:tc>
          <w:tcPr>
            <w:tcW w:w="4147" w:type="dxa"/>
            <w:tcBorders>
              <w:right w:val="single" w:color="auto" w:sz="8" w:space="0"/>
            </w:tcBorders>
            <w:noWrap w:val="0"/>
            <w:vAlign w:val="center"/>
          </w:tcPr>
          <w:p w14:paraId="76968E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spacing w:val="0"/>
                <w:sz w:val="18"/>
                <w:szCs w:val="18"/>
              </w:rPr>
            </w:pPr>
            <w:r>
              <w:rPr>
                <w:rFonts w:hint="eastAsia" w:ascii="宋体" w:hAnsi="宋体" w:eastAsia="宋体" w:cs="宋体"/>
                <w:spacing w:val="0"/>
                <w:position w:val="2"/>
                <w:sz w:val="18"/>
              </w:rPr>
              <w:t>≤</w:t>
            </w:r>
            <w:r>
              <w:rPr>
                <w:rFonts w:ascii="Times New Roman" w:hAnsi="Times New Roman" w:eastAsia="Times New Roman" w:cs="Times New Roman"/>
                <w:spacing w:val="0"/>
                <w:sz w:val="18"/>
                <w:szCs w:val="18"/>
              </w:rPr>
              <w:t>1.0</w:t>
            </w:r>
          </w:p>
        </w:tc>
      </w:tr>
      <w:tr w14:paraId="0A0F8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46" w:type="dxa"/>
            <w:tcBorders>
              <w:left w:val="single" w:color="auto" w:sz="8" w:space="0"/>
              <w:bottom w:val="single" w:color="auto" w:sz="8" w:space="0"/>
            </w:tcBorders>
            <w:noWrap w:val="0"/>
            <w:vAlign w:val="center"/>
          </w:tcPr>
          <w:p w14:paraId="4BEFD460">
            <w:pPr>
              <w:pStyle w:val="153"/>
              <w:keepNext w:val="0"/>
              <w:keepLines w:val="0"/>
              <w:pageBreakBefore w:val="0"/>
              <w:widowControl w:val="0"/>
              <w:kinsoku/>
              <w:wordWrap/>
              <w:overflowPunct/>
              <w:topLinePunct w:val="0"/>
              <w:autoSpaceDE/>
              <w:autoSpaceDN/>
              <w:bidi w:val="0"/>
              <w:adjustRightInd/>
              <w:snapToGrid/>
              <w:spacing w:line="240" w:lineRule="auto"/>
              <w:ind w:left="117"/>
              <w:jc w:val="center"/>
              <w:textAlignment w:val="auto"/>
              <w:rPr>
                <w:rFonts w:hint="default" w:ascii="Times New Roman" w:hAnsi="Times New Roman" w:cs="Times New Roman"/>
                <w:spacing w:val="0"/>
                <w:sz w:val="18"/>
              </w:rPr>
            </w:pPr>
            <w:r>
              <w:rPr>
                <w:rFonts w:hint="default" w:ascii="Times New Roman" w:hAnsi="Times New Roman" w:cs="Times New Roman"/>
                <w:spacing w:val="0"/>
                <w:sz w:val="18"/>
              </w:rPr>
              <w:t>邻苯二甲酸二异壬酯（DIN</w:t>
            </w:r>
            <w:r>
              <w:rPr>
                <w:rFonts w:hint="default" w:ascii="Times New Roman" w:hAnsi="Times New Roman" w:eastAsia="Times New Roman" w:cs="Times New Roman"/>
                <w:spacing w:val="0"/>
                <w:sz w:val="18"/>
              </w:rPr>
              <w:t>P</w:t>
            </w:r>
            <w:r>
              <w:rPr>
                <w:rFonts w:hint="default" w:ascii="Times New Roman" w:hAnsi="Times New Roman" w:cs="Times New Roman"/>
                <w:spacing w:val="0"/>
                <w:sz w:val="18"/>
              </w:rPr>
              <w:t>）</w:t>
            </w:r>
          </w:p>
        </w:tc>
        <w:tc>
          <w:tcPr>
            <w:tcW w:w="4147" w:type="dxa"/>
            <w:tcBorders>
              <w:bottom w:val="single" w:color="auto" w:sz="8" w:space="0"/>
              <w:right w:val="single" w:color="auto" w:sz="8" w:space="0"/>
            </w:tcBorders>
            <w:noWrap w:val="0"/>
            <w:vAlign w:val="center"/>
          </w:tcPr>
          <w:p w14:paraId="7C0BDD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spacing w:val="0"/>
                <w:sz w:val="18"/>
                <w:szCs w:val="18"/>
              </w:rPr>
            </w:pPr>
            <w:r>
              <w:rPr>
                <w:rFonts w:hint="eastAsia" w:ascii="宋体" w:hAnsi="宋体" w:eastAsia="宋体" w:cs="宋体"/>
                <w:spacing w:val="0"/>
                <w:position w:val="2"/>
                <w:sz w:val="18"/>
              </w:rPr>
              <w:t>≤</w:t>
            </w:r>
            <w:r>
              <w:rPr>
                <w:rFonts w:ascii="Times New Roman" w:hAnsi="Times New Roman" w:eastAsia="Times New Roman" w:cs="Times New Roman"/>
                <w:spacing w:val="0"/>
                <w:sz w:val="18"/>
                <w:szCs w:val="18"/>
              </w:rPr>
              <w:t>9.0</w:t>
            </w:r>
          </w:p>
        </w:tc>
      </w:tr>
      <w:bookmarkEnd w:id="12"/>
    </w:tbl>
    <w:p w14:paraId="40F1414B">
      <w:pPr>
        <w:pStyle w:val="3"/>
        <w:spacing w:before="120" w:after="0" w:line="360" w:lineRule="auto"/>
        <w:rPr>
          <w:rFonts w:hint="eastAsia" w:ascii="宋体" w:hAnsi="宋体" w:eastAsia="宋体" w:cs="宋体"/>
          <w:kern w:val="0"/>
          <w:sz w:val="24"/>
          <w:lang w:val="en-US" w:eastAsia="zh-CN"/>
        </w:rPr>
      </w:pPr>
      <w:r>
        <w:rPr>
          <w:rFonts w:hint="eastAsia" w:ascii="宋体" w:hAnsi="宋体" w:cs="宋体"/>
          <w:kern w:val="0"/>
          <w:sz w:val="24"/>
          <w:lang w:val="en-US" w:eastAsia="zh-CN"/>
        </w:rPr>
        <w:t>3</w:t>
      </w:r>
      <w:r>
        <w:rPr>
          <w:rFonts w:hint="eastAsia" w:ascii="宋体" w:hAnsi="宋体" w:eastAsia="宋体" w:cs="宋体"/>
          <w:kern w:val="0"/>
          <w:sz w:val="24"/>
          <w:lang w:val="en-US" w:eastAsia="zh-CN"/>
        </w:rPr>
        <w:t>.3  评价方法</w:t>
      </w:r>
    </w:p>
    <w:p w14:paraId="76DC1104">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20" w:lineRule="exact"/>
        <w:ind w:firstLine="41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评价方法参照中国轻工业联合会团体标准“绿色设计产品评价技术规范”“评价方法”</w:t>
      </w:r>
      <w:r>
        <w:rPr>
          <w:rFonts w:hint="eastAsia" w:ascii="宋体" w:hAnsi="宋体" w:cs="宋体"/>
          <w:kern w:val="0"/>
          <w:sz w:val="24"/>
          <w:szCs w:val="24"/>
          <w:lang w:val="en-US" w:eastAsia="zh-CN"/>
        </w:rPr>
        <w:t>中</w:t>
      </w:r>
      <w:r>
        <w:rPr>
          <w:rFonts w:hint="eastAsia" w:ascii="宋体" w:hAnsi="宋体" w:eastAsia="宋体" w:cs="宋体"/>
          <w:kern w:val="0"/>
          <w:sz w:val="24"/>
          <w:szCs w:val="24"/>
          <w:lang w:val="en-US" w:eastAsia="zh-CN"/>
        </w:rPr>
        <w:t>的通用内容，即：</w:t>
      </w:r>
    </w:p>
    <w:tbl>
      <w:tblPr>
        <w:tblStyle w:val="30"/>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2"/>
      </w:tblGrid>
      <w:tr w14:paraId="2353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2" w:type="dxa"/>
          </w:tcPr>
          <w:p w14:paraId="728AA1F7">
            <w:pPr>
              <w:keepNext w:val="0"/>
              <w:keepLines w:val="0"/>
              <w:pageBreakBefore w:val="0"/>
              <w:widowControl/>
              <w:numPr>
                <w:numId w:val="0"/>
              </w:numPr>
              <w:tabs>
                <w:tab w:val="left" w:pos="360"/>
                <w:tab w:val="center" w:pos="4201"/>
                <w:tab w:val="right" w:leader="dot" w:pos="9298"/>
              </w:tabs>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同时满足以下要求的</w:t>
            </w:r>
            <w:r>
              <w:rPr>
                <w:rFonts w:hint="eastAsia" w:ascii="宋体" w:hAnsi="宋体" w:eastAsia="宋体" w:cs="宋体"/>
                <w:kern w:val="0"/>
                <w:sz w:val="24"/>
                <w:szCs w:val="24"/>
                <w:lang w:val="en-US" w:eastAsia="zh-CN"/>
              </w:rPr>
              <w:t>五粮浓香型白酒</w:t>
            </w:r>
            <w:r>
              <w:rPr>
                <w:rFonts w:hint="default" w:ascii="宋体" w:hAnsi="宋体" w:eastAsia="宋体" w:cs="宋体"/>
                <w:kern w:val="0"/>
                <w:sz w:val="24"/>
                <w:szCs w:val="24"/>
                <w:lang w:val="en-US" w:eastAsia="zh-CN"/>
              </w:rPr>
              <w:t>，可判定为</w:t>
            </w:r>
            <w:r>
              <w:rPr>
                <w:rFonts w:hint="eastAsia" w:ascii="宋体" w:hAnsi="宋体" w:eastAsia="宋体" w:cs="宋体"/>
                <w:kern w:val="0"/>
                <w:sz w:val="24"/>
                <w:szCs w:val="24"/>
                <w:lang w:val="en-US" w:eastAsia="zh-CN"/>
              </w:rPr>
              <w:t>五粮浓香型白酒核心产区产品</w:t>
            </w:r>
            <w:r>
              <w:rPr>
                <w:rFonts w:hint="default" w:ascii="宋体" w:hAnsi="宋体" w:eastAsia="宋体" w:cs="宋体"/>
                <w:kern w:val="0"/>
                <w:sz w:val="24"/>
                <w:szCs w:val="24"/>
                <w:lang w:val="en-US" w:eastAsia="zh-CN"/>
              </w:rPr>
              <w:t>：</w:t>
            </w:r>
          </w:p>
          <w:p w14:paraId="62BC9DB6">
            <w:pPr>
              <w:keepNext w:val="0"/>
              <w:keepLines w:val="0"/>
              <w:pageBreakBefore w:val="0"/>
              <w:widowControl/>
              <w:numPr>
                <w:numId w:val="0"/>
              </w:numPr>
              <w:tabs>
                <w:tab w:val="left" w:pos="360"/>
                <w:tab w:val="center" w:pos="4201"/>
                <w:tab w:val="right" w:leader="dot" w:pos="9298"/>
              </w:tabs>
              <w:kinsoku/>
              <w:wordWrap/>
              <w:overflowPunct/>
              <w:topLinePunct w:val="0"/>
              <w:autoSpaceDE w:val="0"/>
              <w:autoSpaceDN w:val="0"/>
              <w:bidi w:val="0"/>
              <w:adjustRightInd/>
              <w:snapToGrid/>
              <w:spacing w:line="420" w:lineRule="exact"/>
              <w:ind w:left="410" w:leftChars="0"/>
              <w:textAlignment w:val="auto"/>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——满足</w:t>
            </w:r>
            <w:r>
              <w:rPr>
                <w:rFonts w:hint="eastAsia" w:ascii="宋体" w:hAnsi="宋体" w:eastAsia="宋体" w:cs="宋体"/>
                <w:kern w:val="0"/>
                <w:sz w:val="24"/>
                <w:szCs w:val="24"/>
                <w:lang w:val="en-US" w:eastAsia="zh-CN"/>
              </w:rPr>
              <w:t>5</w:t>
            </w:r>
            <w:r>
              <w:rPr>
                <w:rFonts w:hint="default" w:ascii="宋体" w:hAnsi="宋体" w:eastAsia="宋体" w:cs="宋体"/>
                <w:kern w:val="0"/>
                <w:sz w:val="24"/>
                <w:szCs w:val="24"/>
                <w:lang w:val="en-US" w:eastAsia="zh-CN"/>
              </w:rPr>
              <w:t>.1的要求；</w:t>
            </w:r>
          </w:p>
          <w:p w14:paraId="67BEFE13">
            <w:pPr>
              <w:keepNext w:val="0"/>
              <w:keepLines w:val="0"/>
              <w:pageBreakBefore w:val="0"/>
              <w:widowControl/>
              <w:numPr>
                <w:numId w:val="0"/>
              </w:numPr>
              <w:tabs>
                <w:tab w:val="left" w:pos="360"/>
                <w:tab w:val="center" w:pos="4201"/>
                <w:tab w:val="right" w:leader="dot" w:pos="9298"/>
              </w:tabs>
              <w:kinsoku/>
              <w:wordWrap/>
              <w:overflowPunct/>
              <w:topLinePunct w:val="0"/>
              <w:autoSpaceDE w:val="0"/>
              <w:autoSpaceDN w:val="0"/>
              <w:bidi w:val="0"/>
              <w:adjustRightInd/>
              <w:snapToGrid/>
              <w:spacing w:line="420" w:lineRule="exact"/>
              <w:ind w:left="410" w:leftChars="0"/>
              <w:textAlignment w:val="auto"/>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——满足</w:t>
            </w:r>
            <w:r>
              <w:rPr>
                <w:rFonts w:hint="eastAsia" w:ascii="宋体" w:hAnsi="宋体" w:eastAsia="宋体" w:cs="宋体"/>
                <w:kern w:val="0"/>
                <w:sz w:val="24"/>
                <w:szCs w:val="24"/>
                <w:lang w:val="en-US" w:eastAsia="zh-CN"/>
              </w:rPr>
              <w:t>5</w:t>
            </w:r>
            <w:r>
              <w:rPr>
                <w:rFonts w:hint="default" w:ascii="宋体" w:hAnsi="宋体" w:eastAsia="宋体" w:cs="宋体"/>
                <w:kern w:val="0"/>
                <w:sz w:val="24"/>
                <w:szCs w:val="24"/>
                <w:lang w:val="en-US" w:eastAsia="zh-CN"/>
              </w:rPr>
              <w:t>.2的要求</w:t>
            </w:r>
            <w:r>
              <w:rPr>
                <w:rFonts w:hint="eastAsia" w:ascii="宋体" w:hAnsi="宋体" w:eastAsia="宋体" w:cs="宋体"/>
                <w:kern w:val="0"/>
                <w:sz w:val="24"/>
                <w:szCs w:val="24"/>
                <w:lang w:val="en-US" w:eastAsia="zh-CN"/>
              </w:rPr>
              <w:t>。</w:t>
            </w:r>
          </w:p>
          <w:p w14:paraId="175F1CC5">
            <w:pPr>
              <w:keepNext w:val="0"/>
              <w:keepLines w:val="0"/>
              <w:pageBreakBefore w:val="0"/>
              <w:widowControl/>
              <w:numPr>
                <w:numId w:val="0"/>
              </w:numPr>
              <w:tabs>
                <w:tab w:val="left" w:pos="360"/>
                <w:tab w:val="center" w:pos="4201"/>
                <w:tab w:val="right" w:leader="dot" w:pos="9298"/>
              </w:tabs>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kern w:val="0"/>
                <w:sz w:val="24"/>
                <w:szCs w:val="24"/>
                <w:vertAlign w:val="baseline"/>
                <w:lang w:val="en-US" w:eastAsia="zh-CN"/>
              </w:rPr>
            </w:pPr>
            <w:r>
              <w:rPr>
                <w:rFonts w:hint="default" w:ascii="宋体" w:hAnsi="宋体" w:eastAsia="宋体" w:cs="宋体"/>
                <w:kern w:val="0"/>
                <w:sz w:val="24"/>
                <w:szCs w:val="24"/>
                <w:lang w:val="en-US" w:eastAsia="zh-CN"/>
              </w:rPr>
              <w:t>判定为</w:t>
            </w:r>
            <w:r>
              <w:rPr>
                <w:rFonts w:hint="eastAsia" w:ascii="宋体" w:hAnsi="宋体" w:eastAsia="宋体" w:cs="宋体"/>
                <w:kern w:val="0"/>
                <w:sz w:val="24"/>
                <w:szCs w:val="24"/>
                <w:lang w:val="en-US" w:eastAsia="zh-CN"/>
              </w:rPr>
              <w:t>五粮浓香型白酒核心产区产品</w:t>
            </w:r>
            <w:r>
              <w:rPr>
                <w:rFonts w:hint="default" w:ascii="宋体" w:hAnsi="宋体" w:eastAsia="宋体" w:cs="宋体"/>
                <w:kern w:val="0"/>
                <w:sz w:val="24"/>
                <w:szCs w:val="24"/>
                <w:lang w:val="en-US" w:eastAsia="zh-CN"/>
              </w:rPr>
              <w:t>的可按照</w:t>
            </w:r>
            <w:r>
              <w:rPr>
                <w:rFonts w:hint="eastAsia" w:ascii="宋体" w:hAnsi="宋体" w:eastAsia="宋体" w:cs="宋体"/>
                <w:kern w:val="0"/>
                <w:sz w:val="24"/>
                <w:szCs w:val="24"/>
                <w:lang w:val="en-US" w:eastAsia="zh-CN"/>
              </w:rPr>
              <w:t>相关规定粘</w:t>
            </w:r>
            <w:r>
              <w:rPr>
                <w:rFonts w:hint="default" w:ascii="宋体" w:hAnsi="宋体" w:eastAsia="宋体" w:cs="宋体"/>
                <w:kern w:val="0"/>
                <w:sz w:val="24"/>
                <w:szCs w:val="24"/>
                <w:lang w:val="en-US" w:eastAsia="zh-CN"/>
              </w:rPr>
              <w:t>贴标识，可以各种形式进行相关信息自我声明，声明内容应包括但不限于</w:t>
            </w:r>
            <w:r>
              <w:rPr>
                <w:rFonts w:hint="eastAsia" w:ascii="宋体" w:hAnsi="宋体" w:eastAsia="宋体" w:cs="宋体"/>
                <w:kern w:val="0"/>
                <w:sz w:val="24"/>
                <w:szCs w:val="24"/>
                <w:lang w:val="en-US" w:eastAsia="zh-CN"/>
              </w:rPr>
              <w:t>5</w:t>
            </w:r>
            <w:r>
              <w:rPr>
                <w:rFonts w:hint="default" w:ascii="宋体" w:hAnsi="宋体" w:eastAsia="宋体" w:cs="宋体"/>
                <w:kern w:val="0"/>
                <w:sz w:val="24"/>
                <w:szCs w:val="24"/>
                <w:lang w:val="en-US" w:eastAsia="zh-CN"/>
              </w:rPr>
              <w:t>.1和</w:t>
            </w:r>
            <w:r>
              <w:rPr>
                <w:rFonts w:hint="eastAsia" w:ascii="宋体" w:hAnsi="宋体" w:eastAsia="宋体" w:cs="宋体"/>
                <w:kern w:val="0"/>
                <w:sz w:val="24"/>
                <w:szCs w:val="24"/>
                <w:lang w:val="en-US" w:eastAsia="zh-CN"/>
              </w:rPr>
              <w:t>5</w:t>
            </w:r>
            <w:r>
              <w:rPr>
                <w:rFonts w:hint="default" w:ascii="宋体" w:hAnsi="宋体" w:eastAsia="宋体" w:cs="宋体"/>
                <w:kern w:val="0"/>
                <w:sz w:val="24"/>
                <w:szCs w:val="24"/>
                <w:lang w:val="en-US" w:eastAsia="zh-CN"/>
              </w:rPr>
              <w:t>.2的要求，但</w:t>
            </w:r>
            <w:r>
              <w:rPr>
                <w:rFonts w:hint="eastAsia" w:ascii="宋体" w:hAnsi="宋体" w:eastAsia="宋体" w:cs="宋体"/>
                <w:kern w:val="0"/>
                <w:sz w:val="24"/>
                <w:szCs w:val="24"/>
                <w:lang w:val="en-US" w:eastAsia="zh-CN"/>
              </w:rPr>
              <w:t>应</w:t>
            </w:r>
            <w:r>
              <w:rPr>
                <w:rFonts w:hint="default" w:ascii="宋体" w:hAnsi="宋体" w:eastAsia="宋体" w:cs="宋体"/>
                <w:kern w:val="0"/>
                <w:sz w:val="24"/>
                <w:szCs w:val="24"/>
                <w:lang w:val="en-US" w:eastAsia="zh-CN"/>
              </w:rPr>
              <w:t>提供相关的符合有关要求的验证说明材料。</w:t>
            </w:r>
          </w:p>
        </w:tc>
      </w:tr>
    </w:tbl>
    <w:p w14:paraId="470B598C">
      <w:pPr>
        <w:pStyle w:val="3"/>
        <w:spacing w:before="120" w:after="0" w:line="360" w:lineRule="auto"/>
        <w:rPr>
          <w:rFonts w:hint="default" w:ascii="宋体" w:hAnsi="宋体" w:eastAsia="宋体" w:cs="宋体"/>
          <w:kern w:val="0"/>
          <w:sz w:val="24"/>
          <w:lang w:val="en-US" w:eastAsia="zh-CN"/>
        </w:rPr>
      </w:pPr>
      <w:r>
        <w:rPr>
          <w:rFonts w:hint="eastAsia" w:ascii="宋体" w:hAnsi="宋体" w:cs="宋体"/>
          <w:kern w:val="0"/>
          <w:sz w:val="24"/>
          <w:lang w:val="en-US" w:eastAsia="zh-CN"/>
        </w:rPr>
        <w:t>4.</w:t>
      </w:r>
      <w:r>
        <w:rPr>
          <w:rFonts w:hint="default" w:ascii="宋体" w:hAnsi="宋体" w:eastAsia="宋体" w:cs="宋体"/>
          <w:kern w:val="0"/>
          <w:sz w:val="24"/>
          <w:lang w:val="en-US" w:eastAsia="zh-CN"/>
        </w:rPr>
        <w:t xml:space="preserve">预期达到的社会效益、对产业发展的作用等情况 </w:t>
      </w:r>
    </w:p>
    <w:p w14:paraId="39AAF43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20" w:lineRule="exact"/>
        <w:ind w:firstLine="41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宜宾有着4000多年的酿酒史，是多粮浓香型白酒的发源地。近年来，宜宾市深入实施“产区发展、产业集群、三产融合、创新驱动、绿色低碳”五大战略，打造以五粮液等品牌为引领的五粮浓香白酒核心产区，不断丰富产品体系，巩固提升浓香型白酒原产地优势，加快打造世界级优质白酒产业集群。</w:t>
      </w:r>
    </w:p>
    <w:p w14:paraId="142C666E">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20" w:lineRule="exact"/>
        <w:ind w:firstLine="41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目前，宜宾市已形成了以五粮液集团为龙头，48户规模以上白酒企业、280户酿酒企业、131户产业链配套企业组成的一二三产业融合发展的全产业链。2023年1至10月，宜宾48户规上白酒企业营业收入、利润同比均实现两位数增长；预计全年营业收入将突破1800亿元，利润突破400亿元。</w:t>
      </w:r>
    </w:p>
    <w:p w14:paraId="158F790B">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20" w:lineRule="exact"/>
        <w:ind w:firstLine="41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本标准的制定，旨在通过系统的指标体系，对五粮浓香型白酒核心产区的五粮浓香型白酒的卓越品质给出科学评价。这一标准的实施，预期将带来显著的社会效益和产业发展作用。 </w:t>
      </w:r>
    </w:p>
    <w:p w14:paraId="46F3CEC5">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20" w:lineRule="exact"/>
        <w:ind w:firstLine="41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在社会效益方面，本标准将提升消费者对五粮浓香型白酒的信任度和满意度，进一步巩固其市场地位。同时，通过严格的质量把控，保障消费者的健康权益，树立五粮浓香型白酒行业的良好形象。此外，规范的实施还将促进五粮浓香型白酒核心产区内的经济繁荣，带动相关产业链的发展，为地方经济注入新的活力。 </w:t>
      </w:r>
    </w:p>
    <w:p w14:paraId="4A7FAF9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20" w:lineRule="exact"/>
        <w:ind w:firstLine="41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在产业发展方面，本标准将推动五粮浓香型白酒产业的标准化、科学化发展。通过完善品质评价标准体系，提升整体生产水平，有助于形成更加健康、有序的市场竞争环境。同时，本标准还将促进五粮浓香型白酒产业的科技创新和人才培养，为产业的持续、高质量发展提供有力支撑。 </w:t>
      </w:r>
    </w:p>
    <w:p w14:paraId="3FBECD79">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20" w:lineRule="exact"/>
        <w:ind w:firstLine="410"/>
        <w:textAlignment w:val="auto"/>
        <w:rPr>
          <w:rFonts w:hint="eastAsia" w:ascii="宋体" w:hAnsi="宋体" w:eastAsia="宋体" w:cs="宋体"/>
          <w:color w:val="000000"/>
          <w:sz w:val="24"/>
          <w:szCs w:val="24"/>
        </w:rPr>
      </w:pPr>
      <w:r>
        <w:rPr>
          <w:rFonts w:hint="eastAsia" w:ascii="宋体" w:hAnsi="宋体" w:eastAsia="宋体" w:cs="宋体"/>
          <w:kern w:val="0"/>
          <w:sz w:val="24"/>
          <w:szCs w:val="24"/>
          <w:lang w:val="en-US" w:eastAsia="zh-CN"/>
        </w:rPr>
        <w:t>综上所述，本标准的实施，不仅将带来显著的社会效益，还将对五粮浓香型白酒产业的持续、健康发展产生深远影响。</w:t>
      </w:r>
      <w:bookmarkStart w:id="13" w:name="_GoBack"/>
      <w:bookmarkEnd w:id="13"/>
    </w:p>
    <w:sectPr>
      <w:headerReference r:id="rId3" w:type="default"/>
      <w:footerReference r:id="rId4" w:type="default"/>
      <w:type w:val="continuous"/>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B99D1">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0A503">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4A0A503">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p w14:paraId="30575F65">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F098A">
    <w:pPr>
      <w:spacing w:before="54" w:line="141" w:lineRule="exact"/>
      <w:ind w:right="5"/>
      <w:jc w:val="right"/>
      <w:rPr>
        <w:rFonts w:ascii="黑体" w:hAnsi="黑体" w:eastAsia="黑体" w:cs="黑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C766D"/>
    <w:multiLevelType w:val="singleLevel"/>
    <w:tmpl w:val="912C766D"/>
    <w:lvl w:ilvl="0" w:tentative="0">
      <w:start w:val="1"/>
      <w:numFmt w:val="decimal"/>
      <w:lvlText w:val="(%1)"/>
      <w:lvlJc w:val="left"/>
      <w:pPr>
        <w:ind w:left="425" w:hanging="425"/>
      </w:pPr>
      <w:rPr>
        <w:rFonts w:hint="default"/>
      </w:rPr>
    </w:lvl>
  </w:abstractNum>
  <w:abstractNum w:abstractNumId="1">
    <w:nsid w:val="AF4EBAE2"/>
    <w:multiLevelType w:val="singleLevel"/>
    <w:tmpl w:val="AF4EBAE2"/>
    <w:lvl w:ilvl="0" w:tentative="0">
      <w:start w:val="1"/>
      <w:numFmt w:val="decimal"/>
      <w:lvlText w:val="(%1)"/>
      <w:lvlJc w:val="left"/>
      <w:pPr>
        <w:ind w:left="425" w:hanging="425"/>
      </w:pPr>
      <w:rPr>
        <w:rFonts w:hint="default"/>
      </w:rPr>
    </w:lvl>
  </w:abstractNum>
  <w:abstractNum w:abstractNumId="2">
    <w:nsid w:val="D311E2C0"/>
    <w:multiLevelType w:val="singleLevel"/>
    <w:tmpl w:val="D311E2C0"/>
    <w:lvl w:ilvl="0" w:tentative="0">
      <w:start w:val="1"/>
      <w:numFmt w:val="decimal"/>
      <w:lvlText w:val="(%1)"/>
      <w:lvlJc w:val="left"/>
      <w:pPr>
        <w:ind w:left="425" w:hanging="425"/>
      </w:pPr>
      <w:rPr>
        <w:rFonts w:hint="default"/>
      </w:rPr>
    </w:lvl>
  </w:abstractNum>
  <w:abstractNum w:abstractNumId="3">
    <w:nsid w:val="D721882F"/>
    <w:multiLevelType w:val="singleLevel"/>
    <w:tmpl w:val="D721882F"/>
    <w:lvl w:ilvl="0" w:tentative="0">
      <w:start w:val="1"/>
      <w:numFmt w:val="decimalEnclosedCircleChinese"/>
      <w:suff w:val="nothing"/>
      <w:lvlText w:val="%1　"/>
      <w:lvlJc w:val="left"/>
      <w:pPr>
        <w:ind w:left="0" w:firstLine="400"/>
      </w:pPr>
      <w:rPr>
        <w:rFonts w:hint="eastAsia"/>
      </w:rPr>
    </w:lvl>
  </w:abstractNum>
  <w:abstractNum w:abstractNumId="4">
    <w:nsid w:val="E2F96B92"/>
    <w:multiLevelType w:val="singleLevel"/>
    <w:tmpl w:val="E2F96B92"/>
    <w:lvl w:ilvl="0" w:tentative="0">
      <w:start w:val="1"/>
      <w:numFmt w:val="decimal"/>
      <w:lvlText w:val="(%1)"/>
      <w:lvlJc w:val="left"/>
      <w:pPr>
        <w:ind w:left="425" w:hanging="425"/>
      </w:pPr>
      <w:rPr>
        <w:rFonts w:hint="default"/>
      </w:rPr>
    </w:lvl>
  </w:abstractNum>
  <w:abstractNum w:abstractNumId="5">
    <w:nsid w:val="0DDE2B46"/>
    <w:multiLevelType w:val="multilevel"/>
    <w:tmpl w:val="0DDE2B46"/>
    <w:lvl w:ilvl="0" w:tentative="0">
      <w:start w:val="1"/>
      <w:numFmt w:val="lowerLetter"/>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7"/>
      <w:lvlText w:val="（%2）"/>
      <w:lvlJc w:val="left"/>
      <w:pPr>
        <w:ind w:left="284" w:firstLine="0"/>
      </w:pPr>
      <w:rPr>
        <w:rFonts w:hint="eastAsia"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lvlText w:val="（%3）"/>
      <w:lvlJc w:val="left"/>
      <w:pPr>
        <w:ind w:left="426"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540CC456"/>
    <w:multiLevelType w:val="singleLevel"/>
    <w:tmpl w:val="540CC456"/>
    <w:lvl w:ilvl="0" w:tentative="0">
      <w:start w:val="1"/>
      <w:numFmt w:val="decimal"/>
      <w:lvlText w:val="(%1)"/>
      <w:lvlJc w:val="left"/>
      <w:pPr>
        <w:ind w:left="425" w:hanging="425"/>
      </w:pPr>
      <w:rPr>
        <w:rFonts w:hint="default"/>
      </w:rPr>
    </w:lvl>
  </w:abstractNum>
  <w:abstractNum w:abstractNumId="8">
    <w:nsid w:val="6AAB715B"/>
    <w:multiLevelType w:val="singleLevel"/>
    <w:tmpl w:val="6AAB715B"/>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6"/>
  </w:num>
  <w:num w:numId="3">
    <w:abstractNumId w:val="2"/>
  </w:num>
  <w:num w:numId="4">
    <w:abstractNumId w:val="1"/>
  </w:num>
  <w:num w:numId="5">
    <w:abstractNumId w:val="4"/>
  </w:num>
  <w:num w:numId="6">
    <w:abstractNumId w:val="7"/>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DRjNDI0ZmJkZGIzNmJjYWIxZWEyNjRkYzg1YzMifQ=="/>
  </w:docVars>
  <w:rsids>
    <w:rsidRoot w:val="00AC030E"/>
    <w:rsid w:val="0000141E"/>
    <w:rsid w:val="0000351C"/>
    <w:rsid w:val="00007488"/>
    <w:rsid w:val="00010CFA"/>
    <w:rsid w:val="00010ED8"/>
    <w:rsid w:val="00011B3A"/>
    <w:rsid w:val="000248D9"/>
    <w:rsid w:val="00030B31"/>
    <w:rsid w:val="00046049"/>
    <w:rsid w:val="00056CB9"/>
    <w:rsid w:val="00060E39"/>
    <w:rsid w:val="000729A7"/>
    <w:rsid w:val="000741C6"/>
    <w:rsid w:val="00077DE8"/>
    <w:rsid w:val="000847B1"/>
    <w:rsid w:val="00092F44"/>
    <w:rsid w:val="00096A76"/>
    <w:rsid w:val="000A7F2D"/>
    <w:rsid w:val="000C4E42"/>
    <w:rsid w:val="000D0B36"/>
    <w:rsid w:val="000D6AF4"/>
    <w:rsid w:val="000F7089"/>
    <w:rsid w:val="001073BC"/>
    <w:rsid w:val="001165E4"/>
    <w:rsid w:val="0012386C"/>
    <w:rsid w:val="0012492D"/>
    <w:rsid w:val="00126BFD"/>
    <w:rsid w:val="00133064"/>
    <w:rsid w:val="00136D3A"/>
    <w:rsid w:val="00143204"/>
    <w:rsid w:val="00146417"/>
    <w:rsid w:val="00161176"/>
    <w:rsid w:val="0016243C"/>
    <w:rsid w:val="001671B6"/>
    <w:rsid w:val="0017706D"/>
    <w:rsid w:val="0018757C"/>
    <w:rsid w:val="0019165A"/>
    <w:rsid w:val="00192FE7"/>
    <w:rsid w:val="00196C4D"/>
    <w:rsid w:val="001A0CF7"/>
    <w:rsid w:val="001A4C4D"/>
    <w:rsid w:val="001B4F9E"/>
    <w:rsid w:val="001C13F3"/>
    <w:rsid w:val="001C7910"/>
    <w:rsid w:val="001D7A40"/>
    <w:rsid w:val="001E7222"/>
    <w:rsid w:val="001F656A"/>
    <w:rsid w:val="001F7BDF"/>
    <w:rsid w:val="002012E8"/>
    <w:rsid w:val="00210B24"/>
    <w:rsid w:val="0021214E"/>
    <w:rsid w:val="00217539"/>
    <w:rsid w:val="002353E9"/>
    <w:rsid w:val="002416F9"/>
    <w:rsid w:val="002438BF"/>
    <w:rsid w:val="00244F69"/>
    <w:rsid w:val="00245D22"/>
    <w:rsid w:val="0024728A"/>
    <w:rsid w:val="00261FC7"/>
    <w:rsid w:val="0026436B"/>
    <w:rsid w:val="00264881"/>
    <w:rsid w:val="00265247"/>
    <w:rsid w:val="00270C21"/>
    <w:rsid w:val="0027637C"/>
    <w:rsid w:val="00280C36"/>
    <w:rsid w:val="00287846"/>
    <w:rsid w:val="0029487D"/>
    <w:rsid w:val="002A3C2E"/>
    <w:rsid w:val="002B01D4"/>
    <w:rsid w:val="002C02AC"/>
    <w:rsid w:val="002D3F2C"/>
    <w:rsid w:val="002D742B"/>
    <w:rsid w:val="002E1062"/>
    <w:rsid w:val="002E1E38"/>
    <w:rsid w:val="002E3344"/>
    <w:rsid w:val="002E3C70"/>
    <w:rsid w:val="002E7C30"/>
    <w:rsid w:val="002F15F6"/>
    <w:rsid w:val="002F47F5"/>
    <w:rsid w:val="00327BC6"/>
    <w:rsid w:val="00333F80"/>
    <w:rsid w:val="00336678"/>
    <w:rsid w:val="00345CF7"/>
    <w:rsid w:val="00360129"/>
    <w:rsid w:val="00364AB3"/>
    <w:rsid w:val="00377295"/>
    <w:rsid w:val="00383721"/>
    <w:rsid w:val="003A511C"/>
    <w:rsid w:val="003B440F"/>
    <w:rsid w:val="003B4785"/>
    <w:rsid w:val="003C55E8"/>
    <w:rsid w:val="003D083B"/>
    <w:rsid w:val="003D1C44"/>
    <w:rsid w:val="003E25E4"/>
    <w:rsid w:val="003E34BC"/>
    <w:rsid w:val="003F51DA"/>
    <w:rsid w:val="004012A3"/>
    <w:rsid w:val="0040171B"/>
    <w:rsid w:val="004144E7"/>
    <w:rsid w:val="004165DD"/>
    <w:rsid w:val="00417B1E"/>
    <w:rsid w:val="00423C24"/>
    <w:rsid w:val="0042779A"/>
    <w:rsid w:val="004325A3"/>
    <w:rsid w:val="00437D3F"/>
    <w:rsid w:val="00454FFB"/>
    <w:rsid w:val="00457843"/>
    <w:rsid w:val="0046775D"/>
    <w:rsid w:val="004A53DF"/>
    <w:rsid w:val="004B108E"/>
    <w:rsid w:val="004B3041"/>
    <w:rsid w:val="004B7235"/>
    <w:rsid w:val="004C6440"/>
    <w:rsid w:val="004C72E3"/>
    <w:rsid w:val="004C7AD9"/>
    <w:rsid w:val="004E0312"/>
    <w:rsid w:val="004E3903"/>
    <w:rsid w:val="004E5A32"/>
    <w:rsid w:val="004E725E"/>
    <w:rsid w:val="004F3D88"/>
    <w:rsid w:val="004F5636"/>
    <w:rsid w:val="00506D70"/>
    <w:rsid w:val="00507B64"/>
    <w:rsid w:val="00510B25"/>
    <w:rsid w:val="00513FDA"/>
    <w:rsid w:val="0051526D"/>
    <w:rsid w:val="00515313"/>
    <w:rsid w:val="0051568C"/>
    <w:rsid w:val="0051594F"/>
    <w:rsid w:val="005166B3"/>
    <w:rsid w:val="0051786E"/>
    <w:rsid w:val="005250CE"/>
    <w:rsid w:val="005348F7"/>
    <w:rsid w:val="00540E33"/>
    <w:rsid w:val="00554DBC"/>
    <w:rsid w:val="00562BB2"/>
    <w:rsid w:val="00574E60"/>
    <w:rsid w:val="00586CC4"/>
    <w:rsid w:val="00593649"/>
    <w:rsid w:val="00594D4F"/>
    <w:rsid w:val="005A098D"/>
    <w:rsid w:val="005A4972"/>
    <w:rsid w:val="005B7FAE"/>
    <w:rsid w:val="005C225C"/>
    <w:rsid w:val="005D0284"/>
    <w:rsid w:val="005E2115"/>
    <w:rsid w:val="005F5FDB"/>
    <w:rsid w:val="005F73DE"/>
    <w:rsid w:val="005F7C6B"/>
    <w:rsid w:val="006218AD"/>
    <w:rsid w:val="00623EEF"/>
    <w:rsid w:val="00632231"/>
    <w:rsid w:val="006327B5"/>
    <w:rsid w:val="0063291B"/>
    <w:rsid w:val="006379E7"/>
    <w:rsid w:val="0064593F"/>
    <w:rsid w:val="006463B4"/>
    <w:rsid w:val="00667EEB"/>
    <w:rsid w:val="00673C0F"/>
    <w:rsid w:val="0067526A"/>
    <w:rsid w:val="00677210"/>
    <w:rsid w:val="006801AD"/>
    <w:rsid w:val="0068105F"/>
    <w:rsid w:val="006814AA"/>
    <w:rsid w:val="00690635"/>
    <w:rsid w:val="006914D5"/>
    <w:rsid w:val="00692248"/>
    <w:rsid w:val="006A5257"/>
    <w:rsid w:val="006A6CC5"/>
    <w:rsid w:val="006A7230"/>
    <w:rsid w:val="006B1303"/>
    <w:rsid w:val="006B4046"/>
    <w:rsid w:val="006C51B1"/>
    <w:rsid w:val="006C6748"/>
    <w:rsid w:val="006D0E6C"/>
    <w:rsid w:val="006D2713"/>
    <w:rsid w:val="00703C19"/>
    <w:rsid w:val="00704983"/>
    <w:rsid w:val="00710091"/>
    <w:rsid w:val="0071141E"/>
    <w:rsid w:val="007212A8"/>
    <w:rsid w:val="007239D1"/>
    <w:rsid w:val="0073229E"/>
    <w:rsid w:val="00742A92"/>
    <w:rsid w:val="00754C99"/>
    <w:rsid w:val="00756D17"/>
    <w:rsid w:val="00780A01"/>
    <w:rsid w:val="00785004"/>
    <w:rsid w:val="0079228C"/>
    <w:rsid w:val="007954E7"/>
    <w:rsid w:val="007A1C9A"/>
    <w:rsid w:val="007A2E0C"/>
    <w:rsid w:val="007B0C88"/>
    <w:rsid w:val="007B4794"/>
    <w:rsid w:val="007F4442"/>
    <w:rsid w:val="00801911"/>
    <w:rsid w:val="00812DA9"/>
    <w:rsid w:val="00815E94"/>
    <w:rsid w:val="0082084C"/>
    <w:rsid w:val="008225D5"/>
    <w:rsid w:val="00823B8E"/>
    <w:rsid w:val="0082525E"/>
    <w:rsid w:val="00827C1E"/>
    <w:rsid w:val="00830EF1"/>
    <w:rsid w:val="00836279"/>
    <w:rsid w:val="00841FA2"/>
    <w:rsid w:val="00844F57"/>
    <w:rsid w:val="00847318"/>
    <w:rsid w:val="00855CF1"/>
    <w:rsid w:val="00856AFA"/>
    <w:rsid w:val="00860EC1"/>
    <w:rsid w:val="008615B2"/>
    <w:rsid w:val="00863D4E"/>
    <w:rsid w:val="008671C8"/>
    <w:rsid w:val="008676DA"/>
    <w:rsid w:val="00892795"/>
    <w:rsid w:val="008957C8"/>
    <w:rsid w:val="008A7518"/>
    <w:rsid w:val="008D1690"/>
    <w:rsid w:val="008D3CDB"/>
    <w:rsid w:val="008E1156"/>
    <w:rsid w:val="008E5F7A"/>
    <w:rsid w:val="0091418A"/>
    <w:rsid w:val="009334DE"/>
    <w:rsid w:val="00940DAE"/>
    <w:rsid w:val="00941ACF"/>
    <w:rsid w:val="00960FCE"/>
    <w:rsid w:val="00966D27"/>
    <w:rsid w:val="00975675"/>
    <w:rsid w:val="00987F6A"/>
    <w:rsid w:val="0099748A"/>
    <w:rsid w:val="009A36B5"/>
    <w:rsid w:val="009B011E"/>
    <w:rsid w:val="009C6899"/>
    <w:rsid w:val="009C7060"/>
    <w:rsid w:val="009C7AAC"/>
    <w:rsid w:val="009E72A7"/>
    <w:rsid w:val="009F1DA6"/>
    <w:rsid w:val="009F2E7C"/>
    <w:rsid w:val="009F666F"/>
    <w:rsid w:val="00A05E67"/>
    <w:rsid w:val="00A06023"/>
    <w:rsid w:val="00A13A98"/>
    <w:rsid w:val="00A20586"/>
    <w:rsid w:val="00A2189A"/>
    <w:rsid w:val="00A23DDD"/>
    <w:rsid w:val="00A276EA"/>
    <w:rsid w:val="00A370D9"/>
    <w:rsid w:val="00A40823"/>
    <w:rsid w:val="00A41D4E"/>
    <w:rsid w:val="00A47871"/>
    <w:rsid w:val="00A60839"/>
    <w:rsid w:val="00A60B00"/>
    <w:rsid w:val="00A645EE"/>
    <w:rsid w:val="00A73EC3"/>
    <w:rsid w:val="00A864B1"/>
    <w:rsid w:val="00A93129"/>
    <w:rsid w:val="00A97959"/>
    <w:rsid w:val="00AA3521"/>
    <w:rsid w:val="00AB15C6"/>
    <w:rsid w:val="00AC030E"/>
    <w:rsid w:val="00AC6BC4"/>
    <w:rsid w:val="00AE1723"/>
    <w:rsid w:val="00AE409B"/>
    <w:rsid w:val="00AE4373"/>
    <w:rsid w:val="00AF152D"/>
    <w:rsid w:val="00AF78B0"/>
    <w:rsid w:val="00B031B2"/>
    <w:rsid w:val="00B14D94"/>
    <w:rsid w:val="00B26FA3"/>
    <w:rsid w:val="00B30445"/>
    <w:rsid w:val="00B3384D"/>
    <w:rsid w:val="00B3718B"/>
    <w:rsid w:val="00B40D9F"/>
    <w:rsid w:val="00B443B8"/>
    <w:rsid w:val="00B5509D"/>
    <w:rsid w:val="00B63A23"/>
    <w:rsid w:val="00B758DA"/>
    <w:rsid w:val="00B82F07"/>
    <w:rsid w:val="00B83B02"/>
    <w:rsid w:val="00B872B5"/>
    <w:rsid w:val="00B9103C"/>
    <w:rsid w:val="00B92711"/>
    <w:rsid w:val="00B950D3"/>
    <w:rsid w:val="00B977FD"/>
    <w:rsid w:val="00BA03FF"/>
    <w:rsid w:val="00BA2425"/>
    <w:rsid w:val="00BA2652"/>
    <w:rsid w:val="00BA59AA"/>
    <w:rsid w:val="00BA7793"/>
    <w:rsid w:val="00BB3889"/>
    <w:rsid w:val="00BC6F1E"/>
    <w:rsid w:val="00BD0A93"/>
    <w:rsid w:val="00BD7F00"/>
    <w:rsid w:val="00BE277E"/>
    <w:rsid w:val="00BE3978"/>
    <w:rsid w:val="00BE64BF"/>
    <w:rsid w:val="00C31317"/>
    <w:rsid w:val="00C32294"/>
    <w:rsid w:val="00C35374"/>
    <w:rsid w:val="00C50B40"/>
    <w:rsid w:val="00C5144E"/>
    <w:rsid w:val="00C53427"/>
    <w:rsid w:val="00C60019"/>
    <w:rsid w:val="00C60B7B"/>
    <w:rsid w:val="00C60E44"/>
    <w:rsid w:val="00C61D14"/>
    <w:rsid w:val="00C6601B"/>
    <w:rsid w:val="00C66ADB"/>
    <w:rsid w:val="00C720F0"/>
    <w:rsid w:val="00C857E4"/>
    <w:rsid w:val="00C867BB"/>
    <w:rsid w:val="00C92A4C"/>
    <w:rsid w:val="00C94CD0"/>
    <w:rsid w:val="00CA5E23"/>
    <w:rsid w:val="00CC3600"/>
    <w:rsid w:val="00CD0220"/>
    <w:rsid w:val="00CD6B18"/>
    <w:rsid w:val="00CF1C39"/>
    <w:rsid w:val="00CF3E2B"/>
    <w:rsid w:val="00D10C04"/>
    <w:rsid w:val="00D17BBC"/>
    <w:rsid w:val="00D21E4B"/>
    <w:rsid w:val="00D25955"/>
    <w:rsid w:val="00D318FF"/>
    <w:rsid w:val="00D42E2E"/>
    <w:rsid w:val="00D47C0B"/>
    <w:rsid w:val="00D62912"/>
    <w:rsid w:val="00D711DF"/>
    <w:rsid w:val="00D715C6"/>
    <w:rsid w:val="00D87084"/>
    <w:rsid w:val="00D933CF"/>
    <w:rsid w:val="00D96EA3"/>
    <w:rsid w:val="00DB62CF"/>
    <w:rsid w:val="00DB6C9B"/>
    <w:rsid w:val="00DC04C3"/>
    <w:rsid w:val="00DC059C"/>
    <w:rsid w:val="00DC1B12"/>
    <w:rsid w:val="00DF0A88"/>
    <w:rsid w:val="00DF7567"/>
    <w:rsid w:val="00E04663"/>
    <w:rsid w:val="00E239E5"/>
    <w:rsid w:val="00E23BDE"/>
    <w:rsid w:val="00E26DF1"/>
    <w:rsid w:val="00E36CDB"/>
    <w:rsid w:val="00E37898"/>
    <w:rsid w:val="00E40020"/>
    <w:rsid w:val="00E416CD"/>
    <w:rsid w:val="00E43409"/>
    <w:rsid w:val="00E5402C"/>
    <w:rsid w:val="00E63C14"/>
    <w:rsid w:val="00E63C25"/>
    <w:rsid w:val="00E736D6"/>
    <w:rsid w:val="00E85878"/>
    <w:rsid w:val="00E95E9C"/>
    <w:rsid w:val="00EA09D1"/>
    <w:rsid w:val="00EA0AF7"/>
    <w:rsid w:val="00EA24E8"/>
    <w:rsid w:val="00EA5218"/>
    <w:rsid w:val="00EC1F61"/>
    <w:rsid w:val="00ED0A97"/>
    <w:rsid w:val="00ED3CD0"/>
    <w:rsid w:val="00ED7278"/>
    <w:rsid w:val="00EE260B"/>
    <w:rsid w:val="00EE6CD5"/>
    <w:rsid w:val="00EF7271"/>
    <w:rsid w:val="00EF7A07"/>
    <w:rsid w:val="00F04670"/>
    <w:rsid w:val="00F1167F"/>
    <w:rsid w:val="00F1305F"/>
    <w:rsid w:val="00F243C6"/>
    <w:rsid w:val="00F372B9"/>
    <w:rsid w:val="00F50469"/>
    <w:rsid w:val="00F61459"/>
    <w:rsid w:val="00F70AFD"/>
    <w:rsid w:val="00F81115"/>
    <w:rsid w:val="00F820B7"/>
    <w:rsid w:val="00F86419"/>
    <w:rsid w:val="00F964F3"/>
    <w:rsid w:val="00FA335A"/>
    <w:rsid w:val="00FB27B3"/>
    <w:rsid w:val="00FB65A2"/>
    <w:rsid w:val="00FC4CB1"/>
    <w:rsid w:val="00FE02A3"/>
    <w:rsid w:val="00FF012A"/>
    <w:rsid w:val="00FF322F"/>
    <w:rsid w:val="0F9528C9"/>
    <w:rsid w:val="19EA7915"/>
    <w:rsid w:val="1BE50F7B"/>
    <w:rsid w:val="1FF26C41"/>
    <w:rsid w:val="23C27E13"/>
    <w:rsid w:val="26B75F6B"/>
    <w:rsid w:val="2C253500"/>
    <w:rsid w:val="33F50FF1"/>
    <w:rsid w:val="34621989"/>
    <w:rsid w:val="43592785"/>
    <w:rsid w:val="45726666"/>
    <w:rsid w:val="45A8769B"/>
    <w:rsid w:val="482F76EB"/>
    <w:rsid w:val="492D3AD4"/>
    <w:rsid w:val="4BD82F14"/>
    <w:rsid w:val="4BF54135"/>
    <w:rsid w:val="4C66389B"/>
    <w:rsid w:val="4CAF6FD3"/>
    <w:rsid w:val="4DCA6648"/>
    <w:rsid w:val="56010E2D"/>
    <w:rsid w:val="62661004"/>
    <w:rsid w:val="6B7B48AF"/>
    <w:rsid w:val="756E5C8B"/>
    <w:rsid w:val="7E39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1"/>
    <w:autoRedefine/>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42"/>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43"/>
    <w:unhideWhenUsed/>
    <w:qFormat/>
    <w:uiPriority w:val="0"/>
    <w:pPr>
      <w:keepNext/>
      <w:keepLines/>
      <w:spacing w:before="280" w:after="290" w:line="376" w:lineRule="auto"/>
      <w:outlineLvl w:val="3"/>
    </w:pPr>
    <w:rPr>
      <w:rFonts w:ascii="Cambria" w:hAnsi="Cambria"/>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autoRedefine/>
    <w:qFormat/>
    <w:uiPriority w:val="0"/>
    <w:pPr>
      <w:ind w:left="1050" w:hanging="210"/>
      <w:jc w:val="left"/>
    </w:pPr>
    <w:rPr>
      <w:rFonts w:ascii="Calibri" w:hAnsi="Calibri"/>
      <w:sz w:val="20"/>
      <w:szCs w:val="20"/>
    </w:rPr>
  </w:style>
  <w:style w:type="paragraph" w:styleId="9">
    <w:name w:val="index 6"/>
    <w:basedOn w:val="1"/>
    <w:next w:val="1"/>
    <w:autoRedefine/>
    <w:qFormat/>
    <w:uiPriority w:val="0"/>
    <w:pPr>
      <w:ind w:left="1260" w:hanging="210"/>
      <w:jc w:val="left"/>
    </w:pPr>
    <w:rPr>
      <w:rFonts w:ascii="Calibri" w:hAnsi="Calibri"/>
      <w:sz w:val="20"/>
      <w:szCs w:val="20"/>
    </w:rPr>
  </w:style>
  <w:style w:type="paragraph" w:styleId="10">
    <w:name w:val="Body Text"/>
    <w:basedOn w:val="1"/>
    <w:qFormat/>
    <w:uiPriority w:val="1"/>
    <w:rPr>
      <w:rFonts w:ascii="宋体" w:hAnsi="宋体" w:eastAsia="宋体" w:cs="宋体"/>
      <w:sz w:val="21"/>
      <w:szCs w:val="21"/>
    </w:rPr>
  </w:style>
  <w:style w:type="paragraph" w:styleId="11">
    <w:name w:val="Body Text Indent"/>
    <w:basedOn w:val="1"/>
    <w:autoRedefine/>
    <w:qFormat/>
    <w:uiPriority w:val="0"/>
    <w:pPr>
      <w:ind w:firstLine="570"/>
    </w:pPr>
    <w:rPr>
      <w:rFonts w:ascii="仿宋_GB2312" w:eastAsia="仿宋_GB2312"/>
      <w:sz w:val="28"/>
      <w:szCs w:val="20"/>
    </w:rPr>
  </w:style>
  <w:style w:type="paragraph" w:styleId="12">
    <w:name w:val="index 4"/>
    <w:basedOn w:val="1"/>
    <w:next w:val="1"/>
    <w:autoRedefine/>
    <w:qFormat/>
    <w:uiPriority w:val="0"/>
    <w:pPr>
      <w:ind w:left="840" w:hanging="210"/>
      <w:jc w:val="left"/>
    </w:pPr>
    <w:rPr>
      <w:rFonts w:ascii="Calibri" w:hAnsi="Calibri"/>
      <w:sz w:val="20"/>
      <w:szCs w:val="20"/>
    </w:rPr>
  </w:style>
  <w:style w:type="paragraph" w:styleId="13">
    <w:name w:val="index 3"/>
    <w:basedOn w:val="1"/>
    <w:next w:val="1"/>
    <w:autoRedefine/>
    <w:qFormat/>
    <w:uiPriority w:val="0"/>
    <w:pPr>
      <w:ind w:left="630" w:hanging="210"/>
      <w:jc w:val="left"/>
    </w:pPr>
    <w:rPr>
      <w:rFonts w:ascii="Calibri" w:hAnsi="Calibri"/>
      <w:sz w:val="20"/>
      <w:szCs w:val="20"/>
    </w:rPr>
  </w:style>
  <w:style w:type="paragraph" w:styleId="14">
    <w:name w:val="Date"/>
    <w:basedOn w:val="1"/>
    <w:next w:val="1"/>
    <w:autoRedefine/>
    <w:qFormat/>
    <w:uiPriority w:val="0"/>
    <w:pPr>
      <w:ind w:left="100" w:leftChars="2500"/>
    </w:pPr>
  </w:style>
  <w:style w:type="paragraph" w:styleId="15">
    <w:name w:val="Balloon Text"/>
    <w:basedOn w:val="1"/>
    <w:link w:val="146"/>
    <w:autoRedefine/>
    <w:qFormat/>
    <w:uiPriority w:val="0"/>
    <w:rPr>
      <w:sz w:val="18"/>
      <w:szCs w:val="18"/>
    </w:rPr>
  </w:style>
  <w:style w:type="paragraph" w:styleId="16">
    <w:name w:val="footer"/>
    <w:basedOn w:val="1"/>
    <w:link w:val="41"/>
    <w:autoRedefine/>
    <w:qFormat/>
    <w:uiPriority w:val="99"/>
    <w:pPr>
      <w:snapToGrid w:val="0"/>
      <w:ind w:right="210" w:rightChars="100"/>
      <w:jc w:val="right"/>
    </w:pPr>
    <w:rPr>
      <w:sz w:val="18"/>
      <w:szCs w:val="18"/>
    </w:rPr>
  </w:style>
  <w:style w:type="paragraph" w:styleId="17">
    <w:name w:val="header"/>
    <w:basedOn w:val="1"/>
    <w:link w:val="44"/>
    <w:autoRedefine/>
    <w:qFormat/>
    <w:uiPriority w:val="0"/>
    <w:pPr>
      <w:snapToGrid w:val="0"/>
      <w:jc w:val="left"/>
    </w:pPr>
    <w:rPr>
      <w:sz w:val="18"/>
      <w:szCs w:val="18"/>
    </w:rPr>
  </w:style>
  <w:style w:type="paragraph" w:styleId="18">
    <w:name w:val="toc 1"/>
    <w:basedOn w:val="1"/>
    <w:autoRedefine/>
    <w:qFormat/>
    <w:uiPriority w:val="39"/>
  </w:style>
  <w:style w:type="paragraph" w:styleId="19">
    <w:name w:val="index heading"/>
    <w:basedOn w:val="1"/>
    <w:next w:val="20"/>
    <w:autoRedefine/>
    <w:qFormat/>
    <w:uiPriority w:val="0"/>
    <w:pPr>
      <w:spacing w:before="120" w:after="120"/>
      <w:jc w:val="center"/>
    </w:pPr>
    <w:rPr>
      <w:rFonts w:ascii="Calibri" w:hAnsi="Calibri"/>
      <w:b/>
      <w:bCs/>
      <w:iCs/>
      <w:szCs w:val="20"/>
    </w:rPr>
  </w:style>
  <w:style w:type="paragraph" w:styleId="20">
    <w:name w:val="index 1"/>
    <w:basedOn w:val="1"/>
    <w:next w:val="21"/>
    <w:autoRedefine/>
    <w:qFormat/>
    <w:uiPriority w:val="0"/>
    <w:pPr>
      <w:tabs>
        <w:tab w:val="right" w:leader="dot" w:pos="9299"/>
      </w:tabs>
      <w:jc w:val="left"/>
    </w:pPr>
    <w:rPr>
      <w:rFonts w:ascii="宋体"/>
      <w:szCs w:val="21"/>
    </w:rPr>
  </w:style>
  <w:style w:type="paragraph" w:customStyle="1" w:styleId="21">
    <w:name w:val="段"/>
    <w:link w:val="46"/>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autoRedefine/>
    <w:qFormat/>
    <w:uiPriority w:val="0"/>
    <w:pPr>
      <w:tabs>
        <w:tab w:val="left" w:pos="0"/>
      </w:tabs>
      <w:snapToGrid w:val="0"/>
      <w:ind w:left="720" w:hanging="357"/>
      <w:jc w:val="left"/>
    </w:pPr>
    <w:rPr>
      <w:rFonts w:ascii="宋体"/>
      <w:sz w:val="18"/>
      <w:szCs w:val="18"/>
    </w:rPr>
  </w:style>
  <w:style w:type="paragraph" w:styleId="23">
    <w:name w:val="index 7"/>
    <w:basedOn w:val="1"/>
    <w:next w:val="1"/>
    <w:autoRedefine/>
    <w:qFormat/>
    <w:uiPriority w:val="0"/>
    <w:pPr>
      <w:ind w:left="1470" w:hanging="210"/>
      <w:jc w:val="left"/>
    </w:pPr>
    <w:rPr>
      <w:rFonts w:ascii="Calibri" w:hAnsi="Calibri"/>
      <w:sz w:val="20"/>
      <w:szCs w:val="20"/>
    </w:rPr>
  </w:style>
  <w:style w:type="paragraph" w:styleId="24">
    <w:name w:val="index 9"/>
    <w:basedOn w:val="1"/>
    <w:next w:val="1"/>
    <w:autoRedefine/>
    <w:qFormat/>
    <w:uiPriority w:val="0"/>
    <w:pPr>
      <w:ind w:left="1890" w:hanging="210"/>
      <w:jc w:val="left"/>
    </w:pPr>
    <w:rPr>
      <w:rFonts w:ascii="Calibri" w:hAnsi="Calibri"/>
      <w:sz w:val="20"/>
      <w:szCs w:val="20"/>
    </w:rPr>
  </w:style>
  <w:style w:type="paragraph" w:styleId="25">
    <w:name w:val="toc 2"/>
    <w:basedOn w:val="1"/>
    <w:next w:val="1"/>
    <w:autoRedefine/>
    <w:qFormat/>
    <w:uiPriority w:val="39"/>
    <w:pPr>
      <w:ind w:left="420" w:leftChars="200"/>
    </w:pPr>
  </w:style>
  <w:style w:type="paragraph" w:styleId="26">
    <w:name w:val="HTML Preformatted"/>
    <w:basedOn w:val="1"/>
    <w:autoRedefine/>
    <w:qFormat/>
    <w:uiPriority w:val="0"/>
    <w:pPr>
      <w:tabs>
        <w:tab w:val="left" w:pos="360"/>
      </w:tabs>
    </w:pPr>
    <w:rPr>
      <w:rFonts w:ascii="Courier New" w:hAnsi="Courier New" w:cs="Courier New"/>
      <w:sz w:val="20"/>
      <w:szCs w:val="20"/>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autoRedefine/>
    <w:qFormat/>
    <w:uiPriority w:val="59"/>
    <w:pPr>
      <w:numPr>
        <w:numId w:val="1"/>
      </w:numPr>
      <w:tabs>
        <w:tab w:val="left" w:pos="360"/>
      </w:tabs>
      <w:ind w:left="0" w:firstLine="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autoRedefine/>
    <w:qFormat/>
    <w:uiPriority w:val="22"/>
    <w:rPr>
      <w:b/>
      <w:bCs/>
    </w:rPr>
  </w:style>
  <w:style w:type="character" w:styleId="33">
    <w:name w:val="page number"/>
    <w:autoRedefine/>
    <w:qFormat/>
    <w:uiPriority w:val="0"/>
    <w:rPr>
      <w:rFonts w:ascii="Times New Roman" w:hAnsi="Times New Roman" w:eastAsia="宋体"/>
      <w:sz w:val="18"/>
    </w:rPr>
  </w:style>
  <w:style w:type="character" w:styleId="34">
    <w:name w:val="FollowedHyperlink"/>
    <w:basedOn w:val="31"/>
    <w:uiPriority w:val="0"/>
    <w:rPr>
      <w:color w:val="337AB7"/>
      <w:u w:val="none"/>
    </w:rPr>
  </w:style>
  <w:style w:type="character" w:styleId="35">
    <w:name w:val="HTML Definition"/>
    <w:basedOn w:val="31"/>
    <w:qFormat/>
    <w:uiPriority w:val="0"/>
    <w:rPr>
      <w:i/>
      <w:iCs/>
    </w:rPr>
  </w:style>
  <w:style w:type="character" w:styleId="36">
    <w:name w:val="Hyperlink"/>
    <w:autoRedefine/>
    <w:qFormat/>
    <w:uiPriority w:val="99"/>
    <w:rPr>
      <w:color w:val="0000FF"/>
      <w:spacing w:val="0"/>
      <w:w w:val="100"/>
      <w:szCs w:val="21"/>
      <w:u w:val="single"/>
      <w:lang w:val="en-US" w:eastAsia="zh-CN"/>
    </w:rPr>
  </w:style>
  <w:style w:type="character" w:styleId="37">
    <w:name w:val="HTML Code"/>
    <w:basedOn w:val="31"/>
    <w:qFormat/>
    <w:uiPriority w:val="0"/>
    <w:rPr>
      <w:rFonts w:hint="default" w:ascii="Consolas" w:hAnsi="Consolas" w:eastAsia="Consolas" w:cs="Consolas"/>
      <w:color w:val="C7254E"/>
      <w:sz w:val="21"/>
      <w:szCs w:val="21"/>
      <w:shd w:val="clear" w:fill="F9F2F4"/>
    </w:rPr>
  </w:style>
  <w:style w:type="character" w:styleId="38">
    <w:name w:val="HTML Keyboard"/>
    <w:basedOn w:val="31"/>
    <w:qFormat/>
    <w:uiPriority w:val="0"/>
    <w:rPr>
      <w:rFonts w:ascii="Consolas" w:hAnsi="Consolas" w:eastAsia="Consolas" w:cs="Consolas"/>
      <w:color w:val="FFFFFF"/>
      <w:sz w:val="21"/>
      <w:szCs w:val="21"/>
      <w:shd w:val="clear" w:fill="333333"/>
    </w:rPr>
  </w:style>
  <w:style w:type="character" w:styleId="39">
    <w:name w:val="HTML Sample"/>
    <w:basedOn w:val="31"/>
    <w:qFormat/>
    <w:uiPriority w:val="0"/>
    <w:rPr>
      <w:rFonts w:hint="default" w:ascii="Consolas" w:hAnsi="Consolas" w:eastAsia="Consolas" w:cs="Consolas"/>
      <w:sz w:val="21"/>
      <w:szCs w:val="21"/>
    </w:rPr>
  </w:style>
  <w:style w:type="character" w:customStyle="1" w:styleId="40">
    <w:name w:val="已访问的超链接1"/>
    <w:autoRedefine/>
    <w:qFormat/>
    <w:uiPriority w:val="0"/>
    <w:rPr>
      <w:color w:val="800080"/>
      <w:u w:val="single"/>
    </w:rPr>
  </w:style>
  <w:style w:type="character" w:customStyle="1" w:styleId="41">
    <w:name w:val="页脚 Char"/>
    <w:link w:val="16"/>
    <w:autoRedefine/>
    <w:qFormat/>
    <w:uiPriority w:val="99"/>
    <w:rPr>
      <w:rFonts w:eastAsia="宋体"/>
      <w:kern w:val="2"/>
      <w:sz w:val="18"/>
      <w:szCs w:val="18"/>
      <w:lang w:val="en-US" w:eastAsia="zh-CN" w:bidi="ar-SA"/>
    </w:rPr>
  </w:style>
  <w:style w:type="character" w:customStyle="1" w:styleId="42">
    <w:name w:val="首示例 Char"/>
    <w:link w:val="43"/>
    <w:autoRedefine/>
    <w:qFormat/>
    <w:uiPriority w:val="0"/>
    <w:rPr>
      <w:rFonts w:ascii="宋体" w:hAnsi="宋体"/>
      <w:kern w:val="2"/>
      <w:sz w:val="18"/>
      <w:szCs w:val="18"/>
    </w:rPr>
  </w:style>
  <w:style w:type="paragraph" w:customStyle="1" w:styleId="43">
    <w:name w:val="首示例"/>
    <w:next w:val="21"/>
    <w:link w:val="42"/>
    <w:autoRedefine/>
    <w:qFormat/>
    <w:uiPriority w:val="0"/>
    <w:pPr>
      <w:tabs>
        <w:tab w:val="left" w:pos="360"/>
      </w:tabs>
    </w:pPr>
    <w:rPr>
      <w:rFonts w:ascii="宋体" w:hAnsi="宋体" w:eastAsia="宋体" w:cs="Times New Roman"/>
      <w:kern w:val="2"/>
      <w:sz w:val="18"/>
      <w:szCs w:val="18"/>
      <w:lang w:val="en-US" w:eastAsia="zh-CN" w:bidi="ar-SA"/>
    </w:rPr>
  </w:style>
  <w:style w:type="character" w:customStyle="1" w:styleId="44">
    <w:name w:val="页眉 Char"/>
    <w:link w:val="17"/>
    <w:autoRedefine/>
    <w:qFormat/>
    <w:uiPriority w:val="0"/>
    <w:rPr>
      <w:kern w:val="2"/>
      <w:sz w:val="18"/>
      <w:szCs w:val="18"/>
    </w:rPr>
  </w:style>
  <w:style w:type="character" w:customStyle="1" w:styleId="45">
    <w:name w:val="发布"/>
    <w:autoRedefine/>
    <w:qFormat/>
    <w:uiPriority w:val="0"/>
    <w:rPr>
      <w:rFonts w:ascii="黑体" w:eastAsia="黑体"/>
      <w:spacing w:val="85"/>
      <w:w w:val="100"/>
      <w:position w:val="3"/>
      <w:sz w:val="28"/>
      <w:szCs w:val="28"/>
    </w:rPr>
  </w:style>
  <w:style w:type="character" w:customStyle="1" w:styleId="46">
    <w:name w:val="段 Char"/>
    <w:link w:val="21"/>
    <w:autoRedefine/>
    <w:qFormat/>
    <w:uiPriority w:val="0"/>
    <w:rPr>
      <w:rFonts w:ascii="宋体"/>
      <w:sz w:val="21"/>
      <w:lang w:val="en-US" w:eastAsia="zh-CN" w:bidi="ar-SA"/>
    </w:rPr>
  </w:style>
  <w:style w:type="character" w:customStyle="1" w:styleId="47">
    <w:name w:val="附录公式 Char"/>
    <w:basedOn w:val="46"/>
    <w:link w:val="48"/>
    <w:autoRedefine/>
    <w:qFormat/>
    <w:uiPriority w:val="0"/>
    <w:rPr>
      <w:rFonts w:ascii="宋体"/>
      <w:sz w:val="21"/>
      <w:lang w:val="en-US" w:eastAsia="zh-CN" w:bidi="ar-SA"/>
    </w:rPr>
  </w:style>
  <w:style w:type="paragraph" w:customStyle="1" w:styleId="48">
    <w:name w:val="附录公式"/>
    <w:basedOn w:val="21"/>
    <w:next w:val="21"/>
    <w:link w:val="47"/>
    <w:autoRedefine/>
    <w:qFormat/>
    <w:uiPriority w:val="0"/>
  </w:style>
  <w:style w:type="paragraph" w:customStyle="1" w:styleId="49">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0">
    <w:name w:val="参考文献、索引标题"/>
    <w:basedOn w:val="1"/>
    <w:next w:val="21"/>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51">
    <w:name w:val="章标题"/>
    <w:next w:val="21"/>
    <w:autoRedefine/>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2">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53">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4">
    <w:name w:val="附录公式编号制表符"/>
    <w:basedOn w:val="1"/>
    <w:next w:val="21"/>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55">
    <w:name w:val="二级无"/>
    <w:basedOn w:val="56"/>
    <w:autoRedefine/>
    <w:qFormat/>
    <w:uiPriority w:val="0"/>
    <w:pPr>
      <w:spacing w:before="0" w:beforeLines="0" w:after="0" w:afterLines="0"/>
      <w:ind w:left="0"/>
    </w:pPr>
    <w:rPr>
      <w:rFonts w:ascii="宋体" w:eastAsia="宋体"/>
    </w:rPr>
  </w:style>
  <w:style w:type="paragraph" w:customStyle="1" w:styleId="56">
    <w:name w:val="二级条标题"/>
    <w:basedOn w:val="57"/>
    <w:next w:val="21"/>
    <w:autoRedefine/>
    <w:qFormat/>
    <w:uiPriority w:val="0"/>
    <w:pPr>
      <w:numPr>
        <w:ilvl w:val="0"/>
        <w:numId w:val="0"/>
      </w:numPr>
      <w:spacing w:before="50" w:after="50"/>
      <w:ind w:left="426"/>
      <w:outlineLvl w:val="3"/>
    </w:pPr>
  </w:style>
  <w:style w:type="paragraph" w:customStyle="1" w:styleId="57">
    <w:name w:val="一级条标题"/>
    <w:next w:val="21"/>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8">
    <w:name w:val="编号列项（三级）"/>
    <w:autoRedefine/>
    <w:qFormat/>
    <w:uiPriority w:val="0"/>
    <w:rPr>
      <w:rFonts w:ascii="宋体" w:hAnsi="Times New Roman" w:eastAsia="宋体" w:cs="Times New Roman"/>
      <w:sz w:val="21"/>
      <w:lang w:val="en-US" w:eastAsia="zh-CN" w:bidi="ar-SA"/>
    </w:rPr>
  </w:style>
  <w:style w:type="paragraph" w:customStyle="1" w:styleId="59">
    <w:name w:val="条文脚注"/>
    <w:basedOn w:val="22"/>
    <w:autoRedefine/>
    <w:qFormat/>
    <w:uiPriority w:val="0"/>
    <w:pPr>
      <w:ind w:left="0" w:firstLine="0"/>
      <w:jc w:val="both"/>
    </w:pPr>
  </w:style>
  <w:style w:type="paragraph" w:customStyle="1" w:styleId="60">
    <w:name w:val="附录标题"/>
    <w:basedOn w:val="21"/>
    <w:next w:val="21"/>
    <w:autoRedefine/>
    <w:qFormat/>
    <w:uiPriority w:val="0"/>
    <w:pPr>
      <w:ind w:firstLine="0" w:firstLineChars="0"/>
      <w:jc w:val="center"/>
    </w:pPr>
    <w:rPr>
      <w:rFonts w:ascii="黑体" w:eastAsia="黑体"/>
    </w:rPr>
  </w:style>
  <w:style w:type="paragraph" w:customStyle="1" w:styleId="61">
    <w:name w:val="目次、标准名称标题"/>
    <w:basedOn w:val="1"/>
    <w:next w:val="21"/>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2">
    <w:name w:val="正文公式编号制表符"/>
    <w:basedOn w:val="21"/>
    <w:next w:val="21"/>
    <w:autoRedefine/>
    <w:qFormat/>
    <w:uiPriority w:val="0"/>
    <w:pPr>
      <w:ind w:firstLine="0" w:firstLineChars="0"/>
    </w:pPr>
  </w:style>
  <w:style w:type="paragraph" w:customStyle="1" w:styleId="63">
    <w:name w:val="附录四级条标题"/>
    <w:basedOn w:val="64"/>
    <w:next w:val="21"/>
    <w:autoRedefine/>
    <w:qFormat/>
    <w:uiPriority w:val="0"/>
    <w:pPr>
      <w:tabs>
        <w:tab w:val="left" w:pos="360"/>
      </w:tabs>
      <w:outlineLvl w:val="5"/>
    </w:pPr>
  </w:style>
  <w:style w:type="paragraph" w:customStyle="1" w:styleId="64">
    <w:name w:val="附录三级条标题"/>
    <w:basedOn w:val="65"/>
    <w:next w:val="21"/>
    <w:autoRedefine/>
    <w:qFormat/>
    <w:uiPriority w:val="0"/>
    <w:pPr>
      <w:tabs>
        <w:tab w:val="left" w:pos="360"/>
      </w:tabs>
      <w:outlineLvl w:val="4"/>
    </w:pPr>
  </w:style>
  <w:style w:type="paragraph" w:customStyle="1" w:styleId="65">
    <w:name w:val="附录二级条标题"/>
    <w:basedOn w:val="1"/>
    <w:next w:val="21"/>
    <w:autoRedefine/>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6">
    <w:name w:val="三级无"/>
    <w:basedOn w:val="67"/>
    <w:autoRedefine/>
    <w:qFormat/>
    <w:uiPriority w:val="0"/>
    <w:pPr>
      <w:spacing w:before="0" w:beforeLines="0" w:after="0" w:afterLines="0"/>
    </w:pPr>
    <w:rPr>
      <w:rFonts w:ascii="宋体" w:eastAsia="宋体"/>
    </w:rPr>
  </w:style>
  <w:style w:type="paragraph" w:customStyle="1" w:styleId="67">
    <w:name w:val="三级条标题"/>
    <w:basedOn w:val="56"/>
    <w:next w:val="21"/>
    <w:autoRedefine/>
    <w:qFormat/>
    <w:uiPriority w:val="0"/>
    <w:pPr>
      <w:ind w:left="0"/>
      <w:outlineLvl w:val="4"/>
    </w:pPr>
  </w:style>
  <w:style w:type="paragraph" w:customStyle="1" w:styleId="68">
    <w:name w:val="封面一致性程度标识"/>
    <w:basedOn w:val="69"/>
    <w:autoRedefine/>
    <w:qFormat/>
    <w:uiPriority w:val="0"/>
    <w:pPr>
      <w:spacing w:before="440"/>
    </w:pPr>
    <w:rPr>
      <w:rFonts w:ascii="宋体" w:eastAsia="宋体"/>
    </w:rPr>
  </w:style>
  <w:style w:type="paragraph" w:customStyle="1" w:styleId="69">
    <w:name w:val="封面标准英文名称"/>
    <w:basedOn w:val="70"/>
    <w:autoRedefine/>
    <w:qFormat/>
    <w:uiPriority w:val="0"/>
    <w:pPr>
      <w:spacing w:before="370" w:line="400" w:lineRule="exact"/>
    </w:pPr>
    <w:rPr>
      <w:rFonts w:ascii="Times New Roman"/>
      <w:sz w:val="28"/>
      <w:szCs w:val="28"/>
    </w:rPr>
  </w:style>
  <w:style w:type="paragraph" w:customStyle="1" w:styleId="70">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示例×："/>
    <w:basedOn w:val="51"/>
    <w:autoRedefine/>
    <w:qFormat/>
    <w:uiPriority w:val="0"/>
    <w:pPr>
      <w:spacing w:before="0" w:beforeLines="0" w:after="0" w:afterLines="0"/>
      <w:ind w:firstLine="363"/>
      <w:outlineLvl w:val="9"/>
    </w:pPr>
    <w:rPr>
      <w:rFonts w:ascii="宋体" w:eastAsia="宋体"/>
      <w:sz w:val="18"/>
      <w:szCs w:val="18"/>
    </w:rPr>
  </w:style>
  <w:style w:type="paragraph" w:customStyle="1" w:styleId="72">
    <w:name w:val="封面一致性程度标识2"/>
    <w:basedOn w:val="68"/>
    <w:autoRedefine/>
    <w:qFormat/>
    <w:uiPriority w:val="0"/>
    <w:pPr>
      <w:framePr w:y="4469"/>
    </w:pPr>
  </w:style>
  <w:style w:type="paragraph" w:customStyle="1" w:styleId="73">
    <w:name w:val="附录五级无"/>
    <w:basedOn w:val="74"/>
    <w:autoRedefine/>
    <w:qFormat/>
    <w:uiPriority w:val="0"/>
    <w:pPr>
      <w:tabs>
        <w:tab w:val="left" w:pos="360"/>
      </w:tabs>
      <w:spacing w:before="0" w:beforeLines="0" w:after="0" w:afterLines="0"/>
    </w:pPr>
    <w:rPr>
      <w:rFonts w:ascii="宋体" w:eastAsia="宋体"/>
      <w:szCs w:val="21"/>
    </w:rPr>
  </w:style>
  <w:style w:type="paragraph" w:customStyle="1" w:styleId="74">
    <w:name w:val="附录五级条标题"/>
    <w:basedOn w:val="63"/>
    <w:next w:val="21"/>
    <w:autoRedefine/>
    <w:qFormat/>
    <w:uiPriority w:val="0"/>
    <w:pPr>
      <w:outlineLvl w:val="6"/>
    </w:pPr>
  </w:style>
  <w:style w:type="paragraph" w:customStyle="1" w:styleId="75">
    <w:name w:val="四级条标题"/>
    <w:basedOn w:val="67"/>
    <w:next w:val="21"/>
    <w:autoRedefine/>
    <w:qFormat/>
    <w:uiPriority w:val="0"/>
    <w:pPr>
      <w:outlineLvl w:val="5"/>
    </w:pPr>
  </w:style>
  <w:style w:type="paragraph" w:customStyle="1" w:styleId="76">
    <w:name w:val="注："/>
    <w:next w:val="21"/>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7">
    <w:name w:val="附录四级无"/>
    <w:basedOn w:val="63"/>
    <w:autoRedefine/>
    <w:qFormat/>
    <w:uiPriority w:val="0"/>
    <w:pPr>
      <w:tabs>
        <w:tab w:val="clear" w:pos="360"/>
      </w:tabs>
      <w:spacing w:before="0" w:beforeLines="0" w:after="0" w:afterLines="0"/>
    </w:pPr>
    <w:rPr>
      <w:rFonts w:ascii="宋体" w:eastAsia="宋体"/>
      <w:szCs w:val="21"/>
    </w:rPr>
  </w:style>
  <w:style w:type="paragraph" w:customStyle="1" w:styleId="78">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9">
    <w:name w:val="其他发布部门"/>
    <w:basedOn w:val="80"/>
    <w:autoRedefine/>
    <w:qFormat/>
    <w:uiPriority w:val="0"/>
    <w:pPr>
      <w:framePr w:y="15310"/>
      <w:spacing w:line="0" w:lineRule="atLeast"/>
    </w:pPr>
    <w:rPr>
      <w:rFonts w:ascii="黑体" w:eastAsia="黑体"/>
      <w:b w:val="0"/>
    </w:rPr>
  </w:style>
  <w:style w:type="paragraph" w:customStyle="1" w:styleId="80">
    <w:name w:val="发布部门"/>
    <w:next w:val="21"/>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1">
    <w:name w:val="列项◆（三级）"/>
    <w:basedOn w:val="1"/>
    <w:autoRedefine/>
    <w:qFormat/>
    <w:uiPriority w:val="0"/>
    <w:pPr>
      <w:tabs>
        <w:tab w:val="left" w:pos="1678"/>
      </w:tabs>
      <w:ind w:left="1678" w:hanging="414"/>
    </w:pPr>
    <w:rPr>
      <w:rFonts w:ascii="宋体"/>
      <w:szCs w:val="21"/>
    </w:rPr>
  </w:style>
  <w:style w:type="paragraph" w:customStyle="1" w:styleId="82">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3">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4">
    <w:name w:val="正文图标题"/>
    <w:next w:val="21"/>
    <w:autoRedefine/>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85">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6">
    <w:name w:val="附录章标题"/>
    <w:next w:val="21"/>
    <w:autoRedefine/>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7">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8">
    <w:name w:val="注：（正文）"/>
    <w:basedOn w:val="76"/>
    <w:next w:val="21"/>
    <w:autoRedefine/>
    <w:qFormat/>
    <w:uiPriority w:val="0"/>
  </w:style>
  <w:style w:type="paragraph" w:customStyle="1" w:styleId="89">
    <w:name w:val="附录图标号"/>
    <w:basedOn w:val="1"/>
    <w:autoRedefine/>
    <w:qFormat/>
    <w:uiPriority w:val="0"/>
    <w:pPr>
      <w:keepNext/>
      <w:pageBreakBefore/>
      <w:widowControl/>
      <w:spacing w:line="14" w:lineRule="exact"/>
      <w:ind w:firstLine="363"/>
      <w:jc w:val="center"/>
      <w:outlineLvl w:val="0"/>
    </w:pPr>
    <w:rPr>
      <w:color w:val="FFFFFF"/>
    </w:rPr>
  </w:style>
  <w:style w:type="paragraph" w:customStyle="1" w:styleId="90">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9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3">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styleId="94">
    <w:name w:val="List Paragraph"/>
    <w:basedOn w:val="1"/>
    <w:autoRedefine/>
    <w:qFormat/>
    <w:uiPriority w:val="34"/>
    <w:pPr>
      <w:ind w:firstLine="420" w:firstLineChars="200"/>
    </w:pPr>
    <w:rPr>
      <w:rFonts w:ascii="Calibri" w:hAnsi="Calibri"/>
      <w:szCs w:val="22"/>
    </w:rPr>
  </w:style>
  <w:style w:type="paragraph" w:customStyle="1" w:styleId="95">
    <w:name w:val="附录一级无"/>
    <w:basedOn w:val="96"/>
    <w:autoRedefine/>
    <w:qFormat/>
    <w:uiPriority w:val="0"/>
    <w:pPr>
      <w:tabs>
        <w:tab w:val="left" w:pos="360"/>
      </w:tabs>
      <w:spacing w:before="0" w:beforeLines="0" w:after="0" w:afterLines="0"/>
    </w:pPr>
    <w:rPr>
      <w:rFonts w:ascii="宋体" w:eastAsia="宋体"/>
      <w:szCs w:val="21"/>
    </w:rPr>
  </w:style>
  <w:style w:type="paragraph" w:customStyle="1" w:styleId="96">
    <w:name w:val="附录一级条标题"/>
    <w:basedOn w:val="86"/>
    <w:next w:val="21"/>
    <w:autoRedefine/>
    <w:qFormat/>
    <w:uiPriority w:val="0"/>
    <w:pPr>
      <w:autoSpaceDN w:val="0"/>
      <w:spacing w:before="50" w:beforeLines="50" w:after="50" w:afterLines="50"/>
      <w:outlineLvl w:val="2"/>
    </w:pPr>
  </w:style>
  <w:style w:type="paragraph" w:customStyle="1" w:styleId="97">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8">
    <w:name w:val="标准书眉一"/>
    <w:autoRedefine/>
    <w:qFormat/>
    <w:uiPriority w:val="0"/>
    <w:pPr>
      <w:jc w:val="both"/>
    </w:pPr>
    <w:rPr>
      <w:rFonts w:ascii="Times New Roman" w:hAnsi="Times New Roman" w:eastAsia="宋体" w:cs="Times New Roman"/>
      <w:lang w:val="en-US" w:eastAsia="zh-CN" w:bidi="ar-SA"/>
    </w:rPr>
  </w:style>
  <w:style w:type="paragraph" w:customStyle="1" w:styleId="99">
    <w:name w:val="封面标准英文名称2"/>
    <w:basedOn w:val="69"/>
    <w:qFormat/>
    <w:uiPriority w:val="0"/>
    <w:pPr>
      <w:framePr w:y="4469"/>
    </w:pPr>
  </w:style>
  <w:style w:type="paragraph" w:customStyle="1" w:styleId="100">
    <w:name w:val="标准书眉_偶数页"/>
    <w:basedOn w:val="85"/>
    <w:next w:val="1"/>
    <w:autoRedefine/>
    <w:qFormat/>
    <w:uiPriority w:val="0"/>
    <w:pPr>
      <w:jc w:val="left"/>
    </w:pPr>
  </w:style>
  <w:style w:type="paragraph" w:customStyle="1" w:styleId="101">
    <w:name w:val="图表脚注说明"/>
    <w:basedOn w:val="1"/>
    <w:autoRedefine/>
    <w:qFormat/>
    <w:uiPriority w:val="0"/>
    <w:pPr>
      <w:ind w:left="544" w:hanging="181"/>
    </w:pPr>
    <w:rPr>
      <w:rFonts w:ascii="宋体"/>
      <w:sz w:val="18"/>
      <w:szCs w:val="18"/>
    </w:rPr>
  </w:style>
  <w:style w:type="paragraph" w:customStyle="1" w:styleId="102">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3">
    <w:name w:val="终结线"/>
    <w:basedOn w:val="1"/>
    <w:autoRedefine/>
    <w:qFormat/>
    <w:uiPriority w:val="0"/>
    <w:pPr>
      <w:framePr w:hSpace="181" w:vSpace="181" w:wrap="around" w:vAnchor="text" w:hAnchor="margin" w:xAlign="center" w:y="285"/>
    </w:pPr>
  </w:style>
  <w:style w:type="paragraph" w:customStyle="1" w:styleId="104">
    <w:name w:val="注×：（正文）"/>
    <w:autoRedefine/>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05">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6">
    <w:name w:val="附录数字编号列项（二级）"/>
    <w:autoRedefine/>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07">
    <w:name w:val="数字编号列项（二级）"/>
    <w:autoRedefine/>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108">
    <w:name w:val="列项——（一级）"/>
    <w:autoRedefine/>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109">
    <w:name w:val="列项●（二级）"/>
    <w:autoRedefine/>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10">
    <w:name w:val="封面标准文稿类别"/>
    <w:basedOn w:val="68"/>
    <w:autoRedefine/>
    <w:qFormat/>
    <w:uiPriority w:val="0"/>
    <w:pPr>
      <w:spacing w:after="160" w:line="240" w:lineRule="auto"/>
    </w:pPr>
    <w:rPr>
      <w:sz w:val="24"/>
    </w:rPr>
  </w:style>
  <w:style w:type="paragraph" w:customStyle="1" w:styleId="111">
    <w:name w:val="其他实施日期"/>
    <w:basedOn w:val="112"/>
    <w:autoRedefine/>
    <w:qFormat/>
    <w:uiPriority w:val="0"/>
  </w:style>
  <w:style w:type="paragraph" w:customStyle="1" w:styleId="112">
    <w:name w:val="实施日期"/>
    <w:basedOn w:val="93"/>
    <w:autoRedefine/>
    <w:qFormat/>
    <w:uiPriority w:val="0"/>
    <w:pPr>
      <w:framePr w:vAnchor="page" w:hAnchor="text"/>
      <w:jc w:val="right"/>
    </w:pPr>
  </w:style>
  <w:style w:type="paragraph" w:customStyle="1" w:styleId="113">
    <w:name w:val="五级条标题"/>
    <w:basedOn w:val="75"/>
    <w:next w:val="21"/>
    <w:autoRedefine/>
    <w:qFormat/>
    <w:uiPriority w:val="0"/>
    <w:pPr>
      <w:numPr>
        <w:ilvl w:val="5"/>
      </w:numPr>
      <w:outlineLvl w:val="6"/>
    </w:pPr>
  </w:style>
  <w:style w:type="paragraph" w:customStyle="1" w:styleId="114">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5">
    <w:name w:val="参考文献"/>
    <w:basedOn w:val="1"/>
    <w:next w:val="21"/>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6">
    <w:name w:val="字母编号列项（一级）"/>
    <w:autoRedefine/>
    <w:qFormat/>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117">
    <w:name w:val="示例"/>
    <w:next w:val="90"/>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18">
    <w:name w:val="封面标准文稿编辑信息"/>
    <w:basedOn w:val="110"/>
    <w:autoRedefine/>
    <w:qFormat/>
    <w:uiPriority w:val="0"/>
    <w:pPr>
      <w:spacing w:before="180" w:line="180" w:lineRule="exact"/>
    </w:pPr>
    <w:rPr>
      <w:sz w:val="21"/>
    </w:rPr>
  </w:style>
  <w:style w:type="paragraph" w:customStyle="1" w:styleId="119">
    <w:name w:val="封面正文"/>
    <w:autoRedefine/>
    <w:qFormat/>
    <w:uiPriority w:val="0"/>
    <w:pPr>
      <w:jc w:val="both"/>
    </w:pPr>
    <w:rPr>
      <w:rFonts w:ascii="Times New Roman" w:hAnsi="Times New Roman" w:eastAsia="宋体" w:cs="Times New Roman"/>
      <w:lang w:val="en-US" w:eastAsia="zh-CN" w:bidi="ar-SA"/>
    </w:rPr>
  </w:style>
  <w:style w:type="paragraph" w:customStyle="1" w:styleId="120">
    <w:name w:val="前言、引言标题"/>
    <w:next w:val="21"/>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1">
    <w:name w:val="附录标识"/>
    <w:basedOn w:val="1"/>
    <w:next w:val="21"/>
    <w:autoRedefine/>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2">
    <w:name w:val="图标脚注说明"/>
    <w:basedOn w:val="21"/>
    <w:autoRedefine/>
    <w:qFormat/>
    <w:uiPriority w:val="0"/>
    <w:pPr>
      <w:ind w:left="840" w:hanging="420" w:firstLineChars="0"/>
    </w:pPr>
    <w:rPr>
      <w:sz w:val="18"/>
      <w:szCs w:val="18"/>
    </w:rPr>
  </w:style>
  <w:style w:type="paragraph" w:customStyle="1" w:styleId="123">
    <w:name w:val="附录表标号"/>
    <w:basedOn w:val="1"/>
    <w:next w:val="21"/>
    <w:autoRedefine/>
    <w:qFormat/>
    <w:uiPriority w:val="0"/>
    <w:pPr>
      <w:spacing w:line="14" w:lineRule="exact"/>
      <w:ind w:left="811" w:hanging="448"/>
      <w:jc w:val="center"/>
      <w:outlineLvl w:val="0"/>
    </w:pPr>
    <w:rPr>
      <w:color w:val="FFFFFF"/>
    </w:rPr>
  </w:style>
  <w:style w:type="paragraph" w:customStyle="1" w:styleId="124">
    <w:name w:val="图的脚注"/>
    <w:next w:val="21"/>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附录表标题"/>
    <w:basedOn w:val="1"/>
    <w:next w:val="21"/>
    <w:autoRedefine/>
    <w:qFormat/>
    <w:uiPriority w:val="0"/>
    <w:pPr>
      <w:tabs>
        <w:tab w:val="left" w:pos="180"/>
      </w:tabs>
      <w:spacing w:before="50" w:beforeLines="50" w:after="50" w:afterLines="50"/>
      <w:jc w:val="center"/>
    </w:pPr>
    <w:rPr>
      <w:rFonts w:ascii="黑体" w:eastAsia="黑体"/>
      <w:szCs w:val="21"/>
    </w:rPr>
  </w:style>
  <w:style w:type="paragraph" w:customStyle="1" w:styleId="126">
    <w:name w:val="附录二级无"/>
    <w:basedOn w:val="65"/>
    <w:autoRedefine/>
    <w:qFormat/>
    <w:uiPriority w:val="0"/>
    <w:pPr>
      <w:tabs>
        <w:tab w:val="clear" w:pos="360"/>
      </w:tabs>
      <w:spacing w:before="0" w:beforeLines="0" w:after="0" w:afterLines="0"/>
    </w:pPr>
    <w:rPr>
      <w:rFonts w:ascii="宋体" w:eastAsia="宋体"/>
      <w:szCs w:val="21"/>
    </w:rPr>
  </w:style>
  <w:style w:type="paragraph" w:customStyle="1" w:styleId="127">
    <w:name w:val="五级无"/>
    <w:basedOn w:val="113"/>
    <w:autoRedefine/>
    <w:qFormat/>
    <w:uiPriority w:val="0"/>
    <w:pPr>
      <w:spacing w:before="0" w:beforeLines="0" w:after="0" w:afterLines="0"/>
    </w:pPr>
    <w:rPr>
      <w:rFonts w:ascii="宋体" w:eastAsia="宋体"/>
    </w:rPr>
  </w:style>
  <w:style w:type="paragraph" w:customStyle="1" w:styleId="128">
    <w:name w:val="附录三级无"/>
    <w:basedOn w:val="64"/>
    <w:autoRedefine/>
    <w:qFormat/>
    <w:uiPriority w:val="0"/>
    <w:pPr>
      <w:tabs>
        <w:tab w:val="clear" w:pos="360"/>
      </w:tabs>
      <w:spacing w:before="0" w:beforeLines="0" w:after="0" w:afterLines="0"/>
    </w:pPr>
    <w:rPr>
      <w:rFonts w:ascii="宋体" w:eastAsia="宋体"/>
      <w:szCs w:val="21"/>
    </w:rPr>
  </w:style>
  <w:style w:type="paragraph" w:customStyle="1" w:styleId="129">
    <w:name w:val="附录图标题"/>
    <w:basedOn w:val="1"/>
    <w:next w:val="21"/>
    <w:autoRedefine/>
    <w:qFormat/>
    <w:uiPriority w:val="0"/>
    <w:pPr>
      <w:tabs>
        <w:tab w:val="left" w:pos="363"/>
      </w:tabs>
      <w:spacing w:before="50" w:beforeLines="50" w:after="50" w:afterLines="50"/>
      <w:jc w:val="center"/>
    </w:pPr>
    <w:rPr>
      <w:rFonts w:ascii="黑体" w:eastAsia="黑体"/>
      <w:szCs w:val="21"/>
    </w:rPr>
  </w:style>
  <w:style w:type="paragraph" w:customStyle="1" w:styleId="130">
    <w:name w:val="列出段落1"/>
    <w:basedOn w:val="1"/>
    <w:autoRedefine/>
    <w:qFormat/>
    <w:uiPriority w:val="0"/>
    <w:pPr>
      <w:ind w:firstLine="420" w:firstLineChars="200"/>
    </w:pPr>
    <w:rPr>
      <w:rFonts w:ascii="Calibri" w:hAnsi="Calibri"/>
      <w:szCs w:val="22"/>
    </w:rPr>
  </w:style>
  <w:style w:type="paragraph" w:customStyle="1" w:styleId="131">
    <w:name w:val="附录字母编号列项（一级）"/>
    <w:autoRedefine/>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32">
    <w:name w:val="其他标准标志"/>
    <w:basedOn w:val="102"/>
    <w:autoRedefine/>
    <w:qFormat/>
    <w:uiPriority w:val="0"/>
    <w:pPr>
      <w:framePr w:w="6101" w:vAnchor="page" w:hAnchor="page" w:x="4673" w:y="942"/>
    </w:pPr>
    <w:rPr>
      <w:w w:val="130"/>
    </w:rPr>
  </w:style>
  <w:style w:type="paragraph" w:customStyle="1" w:styleId="133">
    <w:name w:val="示例后文字"/>
    <w:basedOn w:val="21"/>
    <w:next w:val="21"/>
    <w:autoRedefine/>
    <w:qFormat/>
    <w:uiPriority w:val="0"/>
    <w:pPr>
      <w:ind w:firstLine="360"/>
    </w:pPr>
    <w:rPr>
      <w:sz w:val="18"/>
    </w:rPr>
  </w:style>
  <w:style w:type="paragraph" w:customStyle="1" w:styleId="134">
    <w:name w:val="四级无"/>
    <w:basedOn w:val="75"/>
    <w:autoRedefine/>
    <w:qFormat/>
    <w:uiPriority w:val="0"/>
    <w:pPr>
      <w:spacing w:before="0" w:beforeLines="0" w:after="0" w:afterLines="0"/>
    </w:pPr>
    <w:rPr>
      <w:rFonts w:ascii="宋体" w:eastAsia="宋体"/>
    </w:rPr>
  </w:style>
  <w:style w:type="paragraph" w:customStyle="1" w:styleId="135">
    <w:name w:val="一级无"/>
    <w:basedOn w:val="57"/>
    <w:autoRedefine/>
    <w:qFormat/>
    <w:uiPriority w:val="0"/>
    <w:pPr>
      <w:spacing w:before="0" w:beforeLines="0" w:after="0" w:afterLines="0"/>
    </w:pPr>
    <w:rPr>
      <w:rFonts w:ascii="宋体" w:eastAsia="宋体"/>
    </w:rPr>
  </w:style>
  <w:style w:type="paragraph" w:customStyle="1" w:styleId="136">
    <w:name w:val="正文表标题"/>
    <w:next w:val="21"/>
    <w:autoRedefine/>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7">
    <w:name w:val="其他发布日期"/>
    <w:basedOn w:val="93"/>
    <w:autoRedefine/>
    <w:qFormat/>
    <w:uiPriority w:val="0"/>
    <w:pPr>
      <w:framePr w:vAnchor="page" w:hAnchor="text" w:x="1419"/>
    </w:pPr>
  </w:style>
  <w:style w:type="paragraph" w:customStyle="1" w:styleId="138">
    <w:name w:val="封面标准名称2"/>
    <w:basedOn w:val="70"/>
    <w:autoRedefine/>
    <w:qFormat/>
    <w:uiPriority w:val="0"/>
    <w:pPr>
      <w:framePr w:y="4469"/>
      <w:spacing w:before="630" w:beforeLines="630"/>
    </w:pPr>
  </w:style>
  <w:style w:type="paragraph" w:customStyle="1" w:styleId="139">
    <w:name w:val="封面标准文稿类别2"/>
    <w:basedOn w:val="110"/>
    <w:autoRedefine/>
    <w:qFormat/>
    <w:uiPriority w:val="0"/>
    <w:pPr>
      <w:framePr w:y="4469"/>
    </w:pPr>
  </w:style>
  <w:style w:type="paragraph" w:customStyle="1" w:styleId="140">
    <w:name w:val="封面标准文稿编辑信息2"/>
    <w:basedOn w:val="118"/>
    <w:autoRedefine/>
    <w:qFormat/>
    <w:uiPriority w:val="0"/>
    <w:pPr>
      <w:framePr w:y="4469"/>
    </w:pPr>
  </w:style>
  <w:style w:type="character" w:customStyle="1" w:styleId="141">
    <w:name w:val="标题 2 Char"/>
    <w:link w:val="3"/>
    <w:autoRedefine/>
    <w:qFormat/>
    <w:uiPriority w:val="0"/>
    <w:rPr>
      <w:rFonts w:ascii="Cambria" w:hAnsi="Cambria" w:eastAsia="宋体" w:cs="Times New Roman"/>
      <w:b/>
      <w:bCs/>
      <w:kern w:val="2"/>
      <w:sz w:val="32"/>
      <w:szCs w:val="32"/>
    </w:rPr>
  </w:style>
  <w:style w:type="character" w:customStyle="1" w:styleId="142">
    <w:name w:val="标题 3 Char"/>
    <w:link w:val="4"/>
    <w:autoRedefine/>
    <w:qFormat/>
    <w:uiPriority w:val="0"/>
    <w:rPr>
      <w:b/>
      <w:bCs/>
      <w:kern w:val="2"/>
      <w:sz w:val="32"/>
      <w:szCs w:val="32"/>
    </w:rPr>
  </w:style>
  <w:style w:type="character" w:customStyle="1" w:styleId="143">
    <w:name w:val="标题 4 Char"/>
    <w:link w:val="5"/>
    <w:autoRedefine/>
    <w:qFormat/>
    <w:uiPriority w:val="0"/>
    <w:rPr>
      <w:rFonts w:ascii="Cambria" w:hAnsi="Cambria" w:eastAsia="宋体" w:cs="Times New Roman"/>
      <w:b/>
      <w:bCs/>
      <w:kern w:val="2"/>
      <w:sz w:val="28"/>
      <w:szCs w:val="28"/>
    </w:rPr>
  </w:style>
  <w:style w:type="character" w:customStyle="1" w:styleId="144">
    <w:name w:val="标题 1 Char"/>
    <w:basedOn w:val="31"/>
    <w:link w:val="2"/>
    <w:autoRedefine/>
    <w:qFormat/>
    <w:uiPriority w:val="0"/>
    <w:rPr>
      <w:b/>
      <w:bCs/>
      <w:kern w:val="44"/>
      <w:sz w:val="44"/>
      <w:szCs w:val="44"/>
    </w:rPr>
  </w:style>
  <w:style w:type="paragraph" w:customStyle="1" w:styleId="145">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46">
    <w:name w:val="批注框文本 Char"/>
    <w:basedOn w:val="31"/>
    <w:link w:val="15"/>
    <w:autoRedefine/>
    <w:qFormat/>
    <w:uiPriority w:val="0"/>
    <w:rPr>
      <w:kern w:val="2"/>
      <w:sz w:val="18"/>
      <w:szCs w:val="18"/>
    </w:rPr>
  </w:style>
  <w:style w:type="table" w:customStyle="1" w:styleId="147">
    <w:name w:val="网格型1"/>
    <w:basedOn w:val="2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
    <w:name w:val="网格型2"/>
    <w:basedOn w:val="2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0">
    <w:name w:val="标准文件_段"/>
    <w:link w:val="15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1">
    <w:name w:val="标准文件_段 Char"/>
    <w:link w:val="150"/>
    <w:autoRedefine/>
    <w:qFormat/>
    <w:uiPriority w:val="0"/>
    <w:rPr>
      <w:rFonts w:ascii="宋体"/>
      <w:sz w:val="21"/>
    </w:rPr>
  </w:style>
  <w:style w:type="table" w:customStyle="1" w:styleId="152">
    <w:name w:val="Table Normal"/>
    <w:semiHidden/>
    <w:unhideWhenUsed/>
    <w:qFormat/>
    <w:uiPriority w:val="0"/>
    <w:tblPr>
      <w:tblCellMar>
        <w:top w:w="0" w:type="dxa"/>
        <w:left w:w="0" w:type="dxa"/>
        <w:bottom w:w="0" w:type="dxa"/>
        <w:right w:w="0" w:type="dxa"/>
      </w:tblCellMar>
    </w:tblPr>
  </w:style>
  <w:style w:type="paragraph" w:customStyle="1" w:styleId="153">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36301-17E5-4AE0-A15D-2E7AE6C3145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9</Pages>
  <Words>6289</Words>
  <Characters>7277</Characters>
  <Lines>57</Lines>
  <Paragraphs>16</Paragraphs>
  <TotalTime>11</TotalTime>
  <ScaleCrop>false</ScaleCrop>
  <LinksUpToDate>false</LinksUpToDate>
  <CharactersWithSpaces>7566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2024-01-02T07:15:00Z</dcterms:created>
  <dc:creator>user</dc:creator>
  <cp:lastModifiedBy>文档</cp:lastModifiedBy>
  <cp:lastPrinted>2023-06-05T03:32:00Z</cp:lastPrinted>
  <dcterms:modified xsi:type="dcterms:W3CDTF">2024-11-07T03:40:56Z</dcterms:modified>
  <dc:title>《聚氨酯合成革  节能环保技术要求》</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36FCCD3393FC45D99DCBD97427780C3D_12</vt:lpwstr>
  </property>
</Properties>
</file>