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Toc367716818"/>
      <w:bookmarkStart w:id="1" w:name="_Toc367697262"/>
      <w:bookmarkStart w:id="2" w:name="_Toc366073044"/>
      <w:bookmarkStart w:id="3" w:name="_Toc371002762"/>
      <w:bookmarkStart w:id="4" w:name="_Toc366056639"/>
    </w:p>
    <w:p>
      <w:pPr>
        <w:jc w:val="center"/>
        <w:rPr>
          <w:b/>
          <w:bCs/>
          <w:sz w:val="32"/>
          <w:szCs w:val="32"/>
        </w:rPr>
      </w:pPr>
      <w:r>
        <w:rPr>
          <w:b/>
          <w:bCs/>
          <w:sz w:val="32"/>
          <w:szCs w:val="32"/>
        </w:rPr>
        <w:t>中国</w:t>
      </w:r>
      <w:r>
        <w:rPr>
          <w:rFonts w:hint="eastAsia"/>
          <w:b/>
          <w:bCs/>
          <w:sz w:val="32"/>
          <w:szCs w:val="32"/>
        </w:rPr>
        <w:t>轻工业联合</w:t>
      </w:r>
      <w:r>
        <w:rPr>
          <w:b/>
          <w:bCs/>
          <w:sz w:val="32"/>
          <w:szCs w:val="32"/>
        </w:rPr>
        <w:t>会团体标准</w:t>
      </w:r>
    </w:p>
    <w:bookmarkEnd w:id="0"/>
    <w:bookmarkEnd w:id="1"/>
    <w:bookmarkEnd w:id="2"/>
    <w:bookmarkEnd w:id="3"/>
    <w:bookmarkEnd w:id="4"/>
    <w:p>
      <w:pPr>
        <w:ind w:right="-227" w:rightChars="-108"/>
        <w:jc w:val="center"/>
        <w:outlineLvl w:val="0"/>
        <w:rPr>
          <w:b/>
          <w:bCs/>
          <w:sz w:val="44"/>
          <w:szCs w:val="44"/>
        </w:rPr>
      </w:pPr>
      <w:bookmarkStart w:id="5" w:name="_Toc371002768"/>
      <w:bookmarkStart w:id="6" w:name="_Toc367697268"/>
      <w:bookmarkStart w:id="7" w:name="_Toc367716824"/>
      <w:bookmarkStart w:id="8" w:name="_Toc366056645"/>
      <w:bookmarkStart w:id="9" w:name="_Toc387683298"/>
      <w:bookmarkStart w:id="10" w:name="_Toc366073050"/>
      <w:r>
        <w:rPr>
          <w:rFonts w:hint="eastAsia"/>
          <w:b/>
          <w:bCs/>
          <w:sz w:val="44"/>
          <w:szCs w:val="44"/>
        </w:rPr>
        <w:t>房间空气调节器室内热舒适性评价方法</w:t>
      </w:r>
    </w:p>
    <w:p>
      <w:pPr>
        <w:jc w:val="center"/>
        <w:outlineLvl w:val="0"/>
        <w:rPr>
          <w:sz w:val="28"/>
          <w:szCs w:val="28"/>
        </w:rPr>
      </w:pPr>
      <w:bookmarkStart w:id="11" w:name="_Toc151567106"/>
      <w:bookmarkStart w:id="12" w:name="_Toc141197243"/>
      <w:r>
        <w:rPr>
          <w:sz w:val="28"/>
          <w:szCs w:val="28"/>
        </w:rPr>
        <w:t>（</w:t>
      </w:r>
      <w:r>
        <w:rPr>
          <w:rFonts w:hint="eastAsia"/>
          <w:sz w:val="28"/>
          <w:szCs w:val="28"/>
        </w:rPr>
        <w:t>征求意见</w:t>
      </w:r>
      <w:r>
        <w:rPr>
          <w:sz w:val="28"/>
          <w:szCs w:val="28"/>
        </w:rPr>
        <w:t>稿）</w:t>
      </w:r>
      <w:bookmarkEnd w:id="5"/>
      <w:bookmarkEnd w:id="6"/>
      <w:bookmarkEnd w:id="7"/>
      <w:bookmarkEnd w:id="8"/>
      <w:bookmarkEnd w:id="9"/>
      <w:bookmarkEnd w:id="10"/>
      <w:bookmarkEnd w:id="11"/>
      <w:bookmarkEnd w:id="12"/>
    </w:p>
    <w:p>
      <w:pPr>
        <w:jc w:val="center"/>
        <w:outlineLvl w:val="0"/>
        <w:rPr>
          <w:sz w:val="28"/>
          <w:szCs w:val="28"/>
        </w:rPr>
      </w:pPr>
    </w:p>
    <w:p>
      <w:pPr>
        <w:jc w:val="center"/>
        <w:rPr>
          <w:sz w:val="48"/>
          <w:szCs w:val="48"/>
        </w:rPr>
      </w:pPr>
    </w:p>
    <w:p>
      <w:pPr>
        <w:jc w:val="center"/>
        <w:rPr>
          <w:sz w:val="48"/>
          <w:szCs w:val="48"/>
        </w:rPr>
      </w:pPr>
    </w:p>
    <w:p>
      <w:pPr>
        <w:jc w:val="center"/>
        <w:rPr>
          <w:b/>
          <w:bCs/>
          <w:sz w:val="52"/>
          <w:szCs w:val="52"/>
        </w:rPr>
      </w:pPr>
      <w:r>
        <w:rPr>
          <w:b/>
          <w:bCs/>
          <w:sz w:val="52"/>
          <w:szCs w:val="52"/>
        </w:rPr>
        <w:t>标准编制说明</w:t>
      </w:r>
    </w:p>
    <w:p/>
    <w:p/>
    <w:p/>
    <w:p/>
    <w:p/>
    <w:p/>
    <w:p/>
    <w:p/>
    <w:p/>
    <w:p/>
    <w:p/>
    <w:p/>
    <w:p/>
    <w:p/>
    <w:p>
      <w:pPr>
        <w:jc w:val="center"/>
        <w:rPr>
          <w:b/>
          <w:bCs/>
          <w:sz w:val="28"/>
          <w:szCs w:val="28"/>
        </w:rPr>
      </w:pPr>
      <w:r>
        <w:rPr>
          <w:b/>
          <w:bCs/>
          <w:sz w:val="28"/>
          <w:szCs w:val="28"/>
        </w:rPr>
        <w:t>标准起草工作小组</w:t>
      </w:r>
    </w:p>
    <w:p>
      <w:pPr>
        <w:jc w:val="center"/>
        <w:rPr>
          <w:b/>
          <w:bCs/>
          <w:sz w:val="28"/>
          <w:szCs w:val="28"/>
        </w:rPr>
      </w:pPr>
      <w:r>
        <w:rPr>
          <w:b/>
          <w:bCs/>
          <w:sz w:val="28"/>
          <w:szCs w:val="28"/>
        </w:rPr>
        <w:t>二O</w:t>
      </w:r>
      <w:r>
        <w:rPr>
          <w:rFonts w:hint="eastAsia"/>
          <w:b/>
          <w:bCs/>
          <w:sz w:val="28"/>
          <w:szCs w:val="28"/>
        </w:rPr>
        <w:t>二四</w:t>
      </w:r>
      <w:r>
        <w:rPr>
          <w:b/>
          <w:bCs/>
          <w:sz w:val="28"/>
          <w:szCs w:val="28"/>
        </w:rPr>
        <w:t>年</w:t>
      </w:r>
      <w:r>
        <w:rPr>
          <w:rFonts w:hint="eastAsia"/>
          <w:b/>
          <w:bCs/>
          <w:sz w:val="28"/>
          <w:szCs w:val="28"/>
        </w:rPr>
        <w:t>十</w:t>
      </w:r>
      <w:r>
        <w:rPr>
          <w:b/>
          <w:bCs/>
          <w:sz w:val="28"/>
          <w:szCs w:val="28"/>
        </w:rPr>
        <w:t>月</w:t>
      </w:r>
    </w:p>
    <w:p>
      <w:pPr>
        <w:jc w:val="center"/>
        <w:rPr>
          <w:b/>
          <w:bCs/>
          <w:sz w:val="28"/>
          <w:szCs w:val="28"/>
        </w:rPr>
      </w:pPr>
    </w:p>
    <w:p>
      <w:pPr>
        <w:jc w:val="center"/>
        <w:rPr>
          <w:b/>
          <w:bCs/>
          <w:sz w:val="28"/>
          <w:szCs w:val="28"/>
        </w:rPr>
      </w:pPr>
    </w:p>
    <w:p/>
    <w:p/>
    <w:p/>
    <w:p>
      <w:pPr>
        <w:pStyle w:val="54"/>
        <w:spacing w:before="156" w:after="156" w:line="360" w:lineRule="auto"/>
        <w:jc w:val="center"/>
        <w:rPr>
          <w:rFonts w:ascii="Times New Roman" w:hAnsi="Times New Roman" w:cs="Times New Roman"/>
          <w:color w:val="auto"/>
          <w:sz w:val="44"/>
          <w:szCs w:val="44"/>
        </w:rPr>
      </w:pPr>
      <w:r>
        <w:rPr>
          <w:rFonts w:ascii="Times New Roman" w:cs="Times New Roman"/>
          <w:color w:val="auto"/>
          <w:sz w:val="44"/>
          <w:szCs w:val="44"/>
        </w:rPr>
        <w:t>目</w:t>
      </w:r>
      <w:r>
        <w:rPr>
          <w:rFonts w:ascii="Times New Roman" w:hAnsi="Times New Roman" w:cs="Times New Roman"/>
          <w:color w:val="auto"/>
          <w:sz w:val="44"/>
          <w:szCs w:val="44"/>
        </w:rPr>
        <w:t xml:space="preserve">  </w:t>
      </w:r>
      <w:r>
        <w:rPr>
          <w:rFonts w:ascii="Times New Roman" w:cs="Times New Roman"/>
          <w:color w:val="auto"/>
          <w:sz w:val="44"/>
          <w:szCs w:val="44"/>
        </w:rPr>
        <w:t>录</w:t>
      </w:r>
    </w:p>
    <w:p>
      <w:pPr>
        <w:pStyle w:val="17"/>
        <w:rPr>
          <w:rFonts w:hAnsi="Times New Roman" w:cs="Times New Roman"/>
          <w:sz w:val="24"/>
          <w:szCs w:val="24"/>
        </w:rPr>
      </w:pPr>
      <w:r>
        <w:rPr>
          <w:rFonts w:hAnsi="Times New Roman" w:cs="Times New Roman"/>
          <w:sz w:val="24"/>
          <w:szCs w:val="24"/>
        </w:rPr>
        <w:fldChar w:fldCharType="begin"/>
      </w:r>
      <w:r>
        <w:rPr>
          <w:rFonts w:hAnsi="Times New Roman" w:cs="Times New Roman"/>
          <w:sz w:val="24"/>
          <w:szCs w:val="24"/>
        </w:rPr>
        <w:instrText xml:space="preserve"> TOC \o "1-3" \h \z \u </w:instrText>
      </w:r>
      <w:r>
        <w:rPr>
          <w:rFonts w:hAnsi="Times New Roman" w:cs="Times New Roman"/>
          <w:sz w:val="24"/>
          <w:szCs w:val="24"/>
        </w:rPr>
        <w:fldChar w:fldCharType="separate"/>
      </w:r>
    </w:p>
    <w:p>
      <w:pPr>
        <w:pStyle w:val="17"/>
        <w:rPr>
          <w:rFonts w:ascii="Calibri" w:hAnsi="Calibri" w:cs="Times New Roman"/>
          <w:sz w:val="21"/>
          <w:szCs w:val="22"/>
        </w:rPr>
      </w:pPr>
    </w:p>
    <w:p>
      <w:pPr>
        <w:pStyle w:val="11"/>
        <w:tabs>
          <w:tab w:val="right" w:leader="dot" w:pos="9231"/>
        </w:tabs>
        <w:spacing w:line="480" w:lineRule="auto"/>
        <w:jc w:val="center"/>
        <w:rPr>
          <w:szCs w:val="22"/>
        </w:rPr>
      </w:pPr>
      <w:r>
        <w:fldChar w:fldCharType="begin"/>
      </w:r>
      <w:r>
        <w:instrText xml:space="preserve"> HYPERLINK \l "_Toc151567107" </w:instrText>
      </w:r>
      <w:r>
        <w:fldChar w:fldCharType="separate"/>
      </w:r>
      <w:r>
        <w:rPr>
          <w:rStyle w:val="28"/>
          <w:b/>
        </w:rPr>
        <w:t>一. 工作简况</w:t>
      </w:r>
      <w:r>
        <w:tab/>
      </w:r>
      <w:r>
        <w:fldChar w:fldCharType="begin"/>
      </w:r>
      <w:r>
        <w:instrText xml:space="preserve"> PAGEREF _Toc151567107 \h </w:instrText>
      </w:r>
      <w:r>
        <w:fldChar w:fldCharType="separate"/>
      </w:r>
      <w:r>
        <w:t>3</w:t>
      </w:r>
      <w:r>
        <w:fldChar w:fldCharType="end"/>
      </w:r>
      <w:r>
        <w:fldChar w:fldCharType="end"/>
      </w:r>
    </w:p>
    <w:p>
      <w:pPr>
        <w:pStyle w:val="11"/>
        <w:tabs>
          <w:tab w:val="right" w:leader="dot" w:pos="9231"/>
        </w:tabs>
        <w:spacing w:line="480" w:lineRule="auto"/>
        <w:jc w:val="center"/>
        <w:rPr>
          <w:szCs w:val="22"/>
        </w:rPr>
      </w:pPr>
      <w:r>
        <w:fldChar w:fldCharType="begin"/>
      </w:r>
      <w:r>
        <w:instrText xml:space="preserve"> HYPERLINK \l "_Toc151567108" </w:instrText>
      </w:r>
      <w:r>
        <w:fldChar w:fldCharType="separate"/>
      </w:r>
      <w:r>
        <w:rPr>
          <w:rStyle w:val="28"/>
          <w:b/>
        </w:rPr>
        <w:t>二. 标准编制原则</w:t>
      </w:r>
      <w:r>
        <w:tab/>
      </w:r>
      <w:r>
        <w:t>7</w:t>
      </w:r>
      <w:r>
        <w:fldChar w:fldCharType="end"/>
      </w:r>
    </w:p>
    <w:p>
      <w:pPr>
        <w:pStyle w:val="11"/>
        <w:tabs>
          <w:tab w:val="right" w:leader="dot" w:pos="9231"/>
        </w:tabs>
        <w:spacing w:line="480" w:lineRule="auto"/>
        <w:jc w:val="center"/>
        <w:rPr>
          <w:szCs w:val="22"/>
        </w:rPr>
      </w:pPr>
      <w:r>
        <w:fldChar w:fldCharType="begin"/>
      </w:r>
      <w:r>
        <w:instrText xml:space="preserve"> HYPERLINK \l "_Toc151567109" </w:instrText>
      </w:r>
      <w:r>
        <w:fldChar w:fldCharType="separate"/>
      </w:r>
      <w:r>
        <w:rPr>
          <w:rStyle w:val="28"/>
          <w:b/>
        </w:rPr>
        <w:t>三. 标准主要内容的确定</w:t>
      </w:r>
      <w:r>
        <w:tab/>
      </w:r>
      <w:r>
        <w:t>7</w:t>
      </w:r>
      <w:r>
        <w:fldChar w:fldCharType="end"/>
      </w:r>
    </w:p>
    <w:p>
      <w:pPr>
        <w:pStyle w:val="11"/>
        <w:tabs>
          <w:tab w:val="right" w:leader="dot" w:pos="9231"/>
        </w:tabs>
        <w:spacing w:line="480" w:lineRule="auto"/>
        <w:jc w:val="center"/>
        <w:rPr>
          <w:szCs w:val="22"/>
        </w:rPr>
      </w:pPr>
      <w:r>
        <w:fldChar w:fldCharType="begin"/>
      </w:r>
      <w:r>
        <w:instrText xml:space="preserve"> HYPERLINK \l "_Toc151567110" </w:instrText>
      </w:r>
      <w:r>
        <w:fldChar w:fldCharType="separate"/>
      </w:r>
      <w:r>
        <w:rPr>
          <w:rStyle w:val="28"/>
          <w:b/>
        </w:rPr>
        <w:t>四. 标准中涉及专利的情况</w:t>
      </w:r>
      <w:r>
        <w:tab/>
      </w:r>
      <w:r>
        <w:fldChar w:fldCharType="begin"/>
      </w:r>
      <w:r>
        <w:instrText xml:space="preserve"> PAGEREF _Toc151567110 \h </w:instrText>
      </w:r>
      <w:r>
        <w:fldChar w:fldCharType="separate"/>
      </w:r>
      <w:r>
        <w:t>13</w:t>
      </w:r>
      <w:r>
        <w:fldChar w:fldCharType="end"/>
      </w:r>
      <w:r>
        <w:fldChar w:fldCharType="end"/>
      </w:r>
    </w:p>
    <w:p>
      <w:pPr>
        <w:pStyle w:val="11"/>
        <w:tabs>
          <w:tab w:val="right" w:leader="dot" w:pos="9231"/>
        </w:tabs>
        <w:spacing w:line="480" w:lineRule="auto"/>
        <w:jc w:val="center"/>
        <w:rPr>
          <w:szCs w:val="22"/>
        </w:rPr>
      </w:pPr>
      <w:r>
        <w:fldChar w:fldCharType="begin"/>
      </w:r>
      <w:r>
        <w:instrText xml:space="preserve"> HYPERLINK \l "_Toc151567111" </w:instrText>
      </w:r>
      <w:r>
        <w:fldChar w:fldCharType="separate"/>
      </w:r>
      <w:r>
        <w:rPr>
          <w:rStyle w:val="28"/>
          <w:b/>
        </w:rPr>
        <w:t>五. 预期达到的社会效益、对产业发展的作用</w:t>
      </w:r>
      <w:r>
        <w:tab/>
      </w:r>
      <w:r>
        <w:fldChar w:fldCharType="begin"/>
      </w:r>
      <w:r>
        <w:instrText xml:space="preserve"> PAGEREF _Toc151567111 \h </w:instrText>
      </w:r>
      <w:r>
        <w:fldChar w:fldCharType="separate"/>
      </w:r>
      <w:r>
        <w:t>13</w:t>
      </w:r>
      <w:r>
        <w:fldChar w:fldCharType="end"/>
      </w:r>
      <w:r>
        <w:fldChar w:fldCharType="end"/>
      </w:r>
    </w:p>
    <w:p>
      <w:pPr>
        <w:pStyle w:val="11"/>
        <w:tabs>
          <w:tab w:val="right" w:leader="dot" w:pos="9231"/>
        </w:tabs>
        <w:spacing w:line="480" w:lineRule="auto"/>
        <w:jc w:val="center"/>
        <w:rPr>
          <w:szCs w:val="22"/>
        </w:rPr>
      </w:pPr>
      <w:r>
        <w:fldChar w:fldCharType="begin"/>
      </w:r>
      <w:r>
        <w:instrText xml:space="preserve"> HYPERLINK \l "_Toc151567112" </w:instrText>
      </w:r>
      <w:r>
        <w:fldChar w:fldCharType="separate"/>
      </w:r>
      <w:r>
        <w:rPr>
          <w:rStyle w:val="28"/>
          <w:b/>
        </w:rPr>
        <w:t>六. 采用国际标准和国外先进标准情况</w:t>
      </w:r>
      <w:r>
        <w:tab/>
      </w:r>
      <w:r>
        <w:fldChar w:fldCharType="begin"/>
      </w:r>
      <w:r>
        <w:instrText xml:space="preserve"> PAGEREF _Toc151567112 \h </w:instrText>
      </w:r>
      <w:r>
        <w:fldChar w:fldCharType="separate"/>
      </w:r>
      <w:r>
        <w:t>13</w:t>
      </w:r>
      <w:r>
        <w:fldChar w:fldCharType="end"/>
      </w:r>
      <w:r>
        <w:fldChar w:fldCharType="end"/>
      </w:r>
    </w:p>
    <w:p>
      <w:pPr>
        <w:pStyle w:val="11"/>
        <w:tabs>
          <w:tab w:val="right" w:leader="dot" w:pos="9231"/>
        </w:tabs>
        <w:spacing w:line="480" w:lineRule="auto"/>
        <w:jc w:val="center"/>
        <w:rPr>
          <w:szCs w:val="22"/>
        </w:rPr>
      </w:pPr>
      <w:r>
        <w:fldChar w:fldCharType="begin"/>
      </w:r>
      <w:r>
        <w:instrText xml:space="preserve"> HYPERLINK \l "_Toc151567113" </w:instrText>
      </w:r>
      <w:r>
        <w:fldChar w:fldCharType="separate"/>
      </w:r>
      <w:r>
        <w:rPr>
          <w:rStyle w:val="28"/>
          <w:b/>
        </w:rPr>
        <w:t>七. 在标准体系中的位置，与现行相关法律、法规、规章及相关标准，</w:t>
      </w:r>
      <w:r>
        <w:tab/>
      </w:r>
      <w:r>
        <w:fldChar w:fldCharType="begin"/>
      </w:r>
      <w:r>
        <w:instrText xml:space="preserve"> PAGEREF _Toc151567113 \h </w:instrText>
      </w:r>
      <w:r>
        <w:fldChar w:fldCharType="separate"/>
      </w:r>
      <w:r>
        <w:t>13</w:t>
      </w:r>
      <w:r>
        <w:fldChar w:fldCharType="end"/>
      </w:r>
      <w:r>
        <w:fldChar w:fldCharType="end"/>
      </w:r>
    </w:p>
    <w:p>
      <w:pPr>
        <w:pStyle w:val="11"/>
        <w:tabs>
          <w:tab w:val="right" w:leader="dot" w:pos="9231"/>
        </w:tabs>
        <w:spacing w:line="480" w:lineRule="auto"/>
        <w:jc w:val="center"/>
        <w:rPr>
          <w:szCs w:val="22"/>
        </w:rPr>
      </w:pPr>
      <w:r>
        <w:fldChar w:fldCharType="begin"/>
      </w:r>
      <w:r>
        <w:instrText xml:space="preserve"> HYPERLINK \l "_Toc151567114" </w:instrText>
      </w:r>
      <w:r>
        <w:fldChar w:fldCharType="separate"/>
      </w:r>
      <w:r>
        <w:rPr>
          <w:rStyle w:val="28"/>
          <w:b/>
        </w:rPr>
        <w:t>八. 重大分歧意见的处理经过和依据</w:t>
      </w:r>
      <w:r>
        <w:tab/>
      </w:r>
      <w:r>
        <w:fldChar w:fldCharType="begin"/>
      </w:r>
      <w:r>
        <w:instrText xml:space="preserve"> PAGEREF _Toc151567114 \h </w:instrText>
      </w:r>
      <w:r>
        <w:fldChar w:fldCharType="separate"/>
      </w:r>
      <w:r>
        <w:t>13</w:t>
      </w:r>
      <w:r>
        <w:fldChar w:fldCharType="end"/>
      </w:r>
      <w:r>
        <w:fldChar w:fldCharType="end"/>
      </w:r>
    </w:p>
    <w:p>
      <w:pPr>
        <w:pStyle w:val="11"/>
        <w:tabs>
          <w:tab w:val="right" w:leader="dot" w:pos="9231"/>
        </w:tabs>
        <w:spacing w:line="480" w:lineRule="auto"/>
        <w:jc w:val="center"/>
        <w:rPr>
          <w:szCs w:val="22"/>
        </w:rPr>
      </w:pPr>
      <w:r>
        <w:fldChar w:fldCharType="begin"/>
      </w:r>
      <w:r>
        <w:instrText xml:space="preserve"> HYPERLINK \l "_Toc151567115" </w:instrText>
      </w:r>
      <w:r>
        <w:fldChar w:fldCharType="separate"/>
      </w:r>
      <w:r>
        <w:rPr>
          <w:rStyle w:val="28"/>
          <w:b/>
        </w:rPr>
        <w:t>九. 标准应用的建议</w:t>
      </w:r>
      <w:r>
        <w:tab/>
      </w:r>
      <w:r>
        <w:fldChar w:fldCharType="begin"/>
      </w:r>
      <w:r>
        <w:instrText xml:space="preserve"> PAGEREF _Toc151567115 \h </w:instrText>
      </w:r>
      <w:r>
        <w:fldChar w:fldCharType="separate"/>
      </w:r>
      <w:r>
        <w:t>13</w:t>
      </w:r>
      <w:r>
        <w:fldChar w:fldCharType="end"/>
      </w:r>
      <w:r>
        <w:fldChar w:fldCharType="end"/>
      </w:r>
    </w:p>
    <w:p>
      <w:pPr>
        <w:pStyle w:val="11"/>
        <w:tabs>
          <w:tab w:val="right" w:leader="dot" w:pos="9231"/>
        </w:tabs>
        <w:spacing w:line="480" w:lineRule="auto"/>
        <w:jc w:val="center"/>
        <w:rPr>
          <w:szCs w:val="22"/>
        </w:rPr>
      </w:pPr>
      <w:r>
        <w:fldChar w:fldCharType="begin"/>
      </w:r>
      <w:r>
        <w:instrText xml:space="preserve"> HYPERLINK \l "_Toc151567116" </w:instrText>
      </w:r>
      <w:r>
        <w:fldChar w:fldCharType="separate"/>
      </w:r>
      <w:r>
        <w:rPr>
          <w:rStyle w:val="28"/>
          <w:b/>
        </w:rPr>
        <w:t>十. 废止现行相关标准的建议</w:t>
      </w:r>
      <w:r>
        <w:tab/>
      </w:r>
      <w:r>
        <w:fldChar w:fldCharType="begin"/>
      </w:r>
      <w:r>
        <w:instrText xml:space="preserve"> PAGEREF _Toc151567116 \h </w:instrText>
      </w:r>
      <w:r>
        <w:fldChar w:fldCharType="separate"/>
      </w:r>
      <w:r>
        <w:t>14</w:t>
      </w:r>
      <w:r>
        <w:fldChar w:fldCharType="end"/>
      </w:r>
      <w:r>
        <w:fldChar w:fldCharType="end"/>
      </w:r>
    </w:p>
    <w:p>
      <w:pPr>
        <w:pStyle w:val="11"/>
        <w:tabs>
          <w:tab w:val="right" w:leader="dot" w:pos="9231"/>
        </w:tabs>
        <w:spacing w:line="480" w:lineRule="auto"/>
        <w:jc w:val="center"/>
        <w:rPr>
          <w:szCs w:val="22"/>
        </w:rPr>
      </w:pPr>
      <w:r>
        <w:fldChar w:fldCharType="begin"/>
      </w:r>
      <w:r>
        <w:instrText xml:space="preserve"> HYPERLINK \l "_Toc151567117" </w:instrText>
      </w:r>
      <w:r>
        <w:fldChar w:fldCharType="separate"/>
      </w:r>
      <w:r>
        <w:rPr>
          <w:rStyle w:val="28"/>
          <w:b/>
        </w:rPr>
        <w:t>十一. 其他应予以说明的事项</w:t>
      </w:r>
      <w:r>
        <w:tab/>
      </w:r>
      <w:r>
        <w:fldChar w:fldCharType="begin"/>
      </w:r>
      <w:r>
        <w:instrText xml:space="preserve"> PAGEREF _Toc151567117 \h </w:instrText>
      </w:r>
      <w:r>
        <w:fldChar w:fldCharType="separate"/>
      </w:r>
      <w:r>
        <w:t>14</w:t>
      </w:r>
      <w:r>
        <w:fldChar w:fldCharType="end"/>
      </w:r>
      <w:r>
        <w:fldChar w:fldCharType="end"/>
      </w:r>
    </w:p>
    <w:p>
      <w:pPr>
        <w:pStyle w:val="56"/>
        <w:spacing w:line="480" w:lineRule="auto"/>
        <w:ind w:right="512"/>
        <w:jc w:val="both"/>
        <w:rPr>
          <w:sz w:val="24"/>
          <w:szCs w:val="24"/>
        </w:rPr>
      </w:pPr>
      <w:r>
        <w:rPr>
          <w:sz w:val="24"/>
          <w:szCs w:val="24"/>
        </w:rPr>
        <w:fldChar w:fldCharType="end"/>
      </w:r>
    </w:p>
    <w:p>
      <w:pPr>
        <w:pStyle w:val="56"/>
        <w:spacing w:line="480" w:lineRule="auto"/>
        <w:ind w:right="512"/>
        <w:jc w:val="center"/>
        <w:rPr>
          <w:rFonts w:hint="eastAsia" w:ascii="宋体" w:hAnsi="宋体" w:eastAsia="宋体"/>
          <w:b/>
          <w:bCs/>
          <w:spacing w:val="0"/>
          <w:kern w:val="2"/>
        </w:rPr>
      </w:pPr>
      <w:r>
        <w:rPr>
          <w:sz w:val="24"/>
          <w:szCs w:val="24"/>
        </w:rPr>
        <w:br w:type="page"/>
      </w:r>
      <w:r>
        <w:rPr>
          <w:rFonts w:ascii="宋体" w:hAnsi="宋体" w:eastAsia="宋体"/>
          <w:b/>
          <w:bCs/>
        </w:rPr>
        <w:t>《房间空气调节器室内热舒适性评价方法》</w:t>
      </w:r>
    </w:p>
    <w:p>
      <w:pPr>
        <w:spacing w:line="360" w:lineRule="auto"/>
        <w:jc w:val="center"/>
        <w:rPr>
          <w:rFonts w:hint="eastAsia" w:ascii="宋体" w:hAnsi="宋体"/>
          <w:b/>
          <w:bCs/>
          <w:sz w:val="28"/>
          <w:szCs w:val="28"/>
        </w:rPr>
      </w:pPr>
      <w:r>
        <w:rPr>
          <w:rFonts w:ascii="宋体" w:hAnsi="宋体"/>
          <w:b/>
          <w:bCs/>
          <w:sz w:val="28"/>
          <w:szCs w:val="28"/>
        </w:rPr>
        <w:t>编制说明</w:t>
      </w:r>
      <w:r>
        <w:rPr>
          <w:rFonts w:hint="eastAsia" w:ascii="宋体" w:hAnsi="宋体"/>
          <w:b/>
          <w:bCs/>
          <w:sz w:val="28"/>
          <w:szCs w:val="28"/>
        </w:rPr>
        <w:t>（</w:t>
      </w:r>
      <w:r>
        <w:rPr>
          <w:rFonts w:hint="eastAsia"/>
          <w:b/>
          <w:bCs/>
          <w:sz w:val="28"/>
          <w:szCs w:val="28"/>
        </w:rPr>
        <w:t>征求意见</w:t>
      </w:r>
      <w:r>
        <w:rPr>
          <w:rFonts w:hint="eastAsia" w:ascii="宋体" w:hAnsi="宋体"/>
          <w:b/>
          <w:bCs/>
          <w:sz w:val="28"/>
          <w:szCs w:val="28"/>
        </w:rPr>
        <w:t>稿）</w:t>
      </w:r>
    </w:p>
    <w:p>
      <w:pPr>
        <w:pStyle w:val="46"/>
        <w:numPr>
          <w:ilvl w:val="0"/>
          <w:numId w:val="0"/>
        </w:numPr>
        <w:spacing w:beforeLines="0" w:afterLines="0"/>
        <w:rPr>
          <w:rFonts w:hint="eastAsia" w:ascii="宋体" w:hAnsi="宋体" w:eastAsia="宋体"/>
          <w:b/>
          <w:sz w:val="30"/>
          <w:szCs w:val="30"/>
        </w:rPr>
      </w:pPr>
      <w:bookmarkStart w:id="13" w:name="_Toc151567107"/>
      <w:r>
        <w:rPr>
          <w:rFonts w:hint="eastAsia" w:ascii="宋体" w:hAnsi="宋体" w:eastAsia="宋体"/>
          <w:b/>
          <w:sz w:val="30"/>
          <w:szCs w:val="30"/>
        </w:rPr>
        <w:t>一</w:t>
      </w:r>
      <w:r>
        <w:rPr>
          <w:rFonts w:ascii="宋体" w:hAnsi="宋体" w:eastAsia="宋体"/>
          <w:b/>
          <w:sz w:val="30"/>
          <w:szCs w:val="30"/>
        </w:rPr>
        <w:t xml:space="preserve">. </w:t>
      </w:r>
      <w:r>
        <w:rPr>
          <w:rFonts w:hint="eastAsia" w:ascii="宋体" w:hAnsi="宋体" w:eastAsia="宋体"/>
          <w:b/>
          <w:sz w:val="30"/>
          <w:szCs w:val="30"/>
        </w:rPr>
        <w:t>工作简况</w:t>
      </w:r>
      <w:bookmarkEnd w:id="13"/>
    </w:p>
    <w:p>
      <w:pPr>
        <w:pStyle w:val="50"/>
        <w:numPr>
          <w:ilvl w:val="0"/>
          <w:numId w:val="0"/>
        </w:numPr>
        <w:spacing w:before="156" w:after="156"/>
        <w:rPr>
          <w:rFonts w:ascii="Times New Roman" w:eastAsia="宋体" w:cs="Times New Roman"/>
          <w:b/>
          <w:color w:val="000000" w:themeColor="text1"/>
          <w:sz w:val="24"/>
          <w14:textFill>
            <w14:solidFill>
              <w14:schemeClr w14:val="tx1"/>
            </w14:solidFill>
          </w14:textFill>
        </w:rPr>
      </w:pPr>
      <w:r>
        <w:rPr>
          <w:rFonts w:ascii="Times New Roman" w:eastAsia="宋体" w:cs="Times New Roman"/>
          <w:b/>
          <w:color w:val="000000" w:themeColor="text1"/>
          <w:sz w:val="24"/>
          <w14:textFill>
            <w14:solidFill>
              <w14:schemeClr w14:val="tx1"/>
            </w14:solidFill>
          </w14:textFill>
        </w:rPr>
        <w:t>1.1 标准制定的背景与目的</w:t>
      </w:r>
    </w:p>
    <w:p>
      <w:pPr>
        <w:spacing w:line="360" w:lineRule="auto"/>
        <w:ind w:firstLine="480" w:firstLineChars="200"/>
        <w:rPr>
          <w:sz w:val="24"/>
          <w:szCs w:val="24"/>
        </w:rPr>
      </w:pPr>
      <w:r>
        <w:rPr>
          <w:sz w:val="24"/>
          <w:szCs w:val="24"/>
        </w:rPr>
        <w:t>房间空气调节器（简称空调器）是现代家庭生活中使用率较高的家用电器之一。随着人民生活水平不断提升，空调器对于改善居住环境舒适度的重要性已逐渐被消费者感知，消费者对空调器的诉求已从基本的制冷、制热功能，逐渐演变为对室内人工热环境舒适性的需求。</w:t>
      </w:r>
    </w:p>
    <w:p>
      <w:pPr>
        <w:spacing w:line="360" w:lineRule="auto"/>
        <w:ind w:firstLine="480" w:firstLineChars="200"/>
        <w:rPr>
          <w:sz w:val="24"/>
          <w:szCs w:val="24"/>
        </w:rPr>
      </w:pPr>
      <w:r>
        <w:rPr>
          <w:sz w:val="24"/>
          <w:szCs w:val="24"/>
        </w:rPr>
        <w:t>空调器在通风供热时受热浮力特性影响，热气上浮。目前行业内普遍采用的上送风、侧送风形式的室内空调器末端，室内温度分布</w:t>
      </w:r>
      <w:r>
        <w:rPr>
          <w:rFonts w:hint="eastAsia"/>
          <w:sz w:val="24"/>
          <w:szCs w:val="24"/>
        </w:rPr>
        <w:t>“</w:t>
      </w:r>
      <w:r>
        <w:rPr>
          <w:sz w:val="24"/>
          <w:szCs w:val="24"/>
        </w:rPr>
        <w:t>头热脚冷</w:t>
      </w:r>
      <w:r>
        <w:rPr>
          <w:rFonts w:hint="eastAsia"/>
          <w:sz w:val="24"/>
          <w:szCs w:val="24"/>
        </w:rPr>
        <w:t>”</w:t>
      </w:r>
      <w:r>
        <w:rPr>
          <w:sz w:val="24"/>
          <w:szCs w:val="24"/>
        </w:rPr>
        <w:t>，体验不舒适；同时，空调器制冷时，冷风直吹人，体验不舒适。此外，目前的空调器在实际运行过程中存在</w:t>
      </w:r>
      <w:r>
        <w:rPr>
          <w:rFonts w:hint="eastAsia"/>
          <w:sz w:val="24"/>
          <w:szCs w:val="24"/>
        </w:rPr>
        <w:t>“</w:t>
      </w:r>
      <w:r>
        <w:rPr>
          <w:sz w:val="24"/>
          <w:szCs w:val="24"/>
        </w:rPr>
        <w:t>有人开、无人关</w:t>
      </w:r>
      <w:r>
        <w:rPr>
          <w:rFonts w:hint="eastAsia"/>
          <w:sz w:val="24"/>
          <w:szCs w:val="24"/>
        </w:rPr>
        <w:t>”</w:t>
      </w:r>
      <w:r>
        <w:rPr>
          <w:sz w:val="24"/>
          <w:szCs w:val="24"/>
        </w:rPr>
        <w:t>的间歇、短时运行特点，已与人体在动态阶段、稳态阶段不同的舒适性需求不匹配。例如，在动态阶段偏冷环境下，人体的头部、大腿、小腿和手四个部位对热刺激更加敏感，在动态阶段偏热环境下，人体的头部、背部、胸口和小腿四个部位对冷刺激更加敏感；而在稳态阶段，人体脚部温度最低，需要制热热风先暖脚、制冷冷风不吹人。因此，在空调器运行的动态阶段、稳态阶段分别对室内热环境进行舒适性主观体验评价、客观检测评价是有必要的。</w:t>
      </w:r>
    </w:p>
    <w:p>
      <w:pPr>
        <w:spacing w:line="360" w:lineRule="auto"/>
        <w:jc w:val="center"/>
        <w:rPr>
          <w:sz w:val="24"/>
          <w:szCs w:val="24"/>
        </w:rPr>
      </w:pPr>
      <w:r>
        <w:drawing>
          <wp:inline distT="0" distB="0" distL="0" distR="0">
            <wp:extent cx="3916680" cy="1187450"/>
            <wp:effectExtent l="0" t="0" r="7620" b="0"/>
            <wp:docPr id="849071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128" name="图片 1"/>
                    <pic:cNvPicPr>
                      <a:picLocks noChangeAspect="1"/>
                    </pic:cNvPicPr>
                  </pic:nvPicPr>
                  <pic:blipFill>
                    <a:blip r:embed="rId5"/>
                    <a:stretch>
                      <a:fillRect/>
                    </a:stretch>
                  </pic:blipFill>
                  <pic:spPr>
                    <a:xfrm>
                      <a:off x="0" y="0"/>
                      <a:ext cx="3917240" cy="1188000"/>
                    </a:xfrm>
                    <a:prstGeom prst="rect">
                      <a:avLst/>
                    </a:prstGeom>
                  </pic:spPr>
                </pic:pic>
              </a:graphicData>
            </a:graphic>
          </wp:inline>
        </w:drawing>
      </w:r>
    </w:p>
    <w:p>
      <w:pPr>
        <w:spacing w:line="360" w:lineRule="auto"/>
        <w:jc w:val="center"/>
        <w:rPr>
          <w:rFonts w:hint="eastAsia" w:ascii="黑体" w:hAnsi="黑体" w:eastAsia="黑体"/>
          <w:sz w:val="24"/>
          <w:szCs w:val="24"/>
        </w:rPr>
      </w:pPr>
      <w:r>
        <w:rPr>
          <w:rFonts w:ascii="黑体" w:hAnsi="黑体" w:eastAsia="黑体"/>
          <w:sz w:val="24"/>
          <w:szCs w:val="24"/>
        </w:rPr>
        <w:t>图</w:t>
      </w:r>
      <w:r>
        <w:rPr>
          <w:rFonts w:hint="eastAsia" w:ascii="黑体" w:hAnsi="黑体" w:eastAsia="黑体"/>
          <w:sz w:val="24"/>
          <w:szCs w:val="24"/>
        </w:rPr>
        <w:t>1</w:t>
      </w:r>
      <w:r>
        <w:rPr>
          <w:rFonts w:ascii="黑体" w:hAnsi="黑体" w:eastAsia="黑体"/>
          <w:sz w:val="24"/>
          <w:szCs w:val="24"/>
        </w:rPr>
        <w:t xml:space="preserve"> </w:t>
      </w:r>
      <w:r>
        <w:rPr>
          <w:rFonts w:hint="eastAsia" w:ascii="黑体" w:hAnsi="黑体" w:eastAsia="黑体"/>
          <w:sz w:val="24"/>
          <w:szCs w:val="24"/>
        </w:rPr>
        <w:t>空调器制冷制热运行时常见的热舒适问题</w:t>
      </w:r>
    </w:p>
    <w:p>
      <w:pPr>
        <w:spacing w:line="360" w:lineRule="auto"/>
        <w:ind w:firstLine="480" w:firstLineChars="200"/>
        <w:rPr>
          <w:sz w:val="24"/>
          <w:szCs w:val="24"/>
        </w:rPr>
      </w:pPr>
      <w:r>
        <w:rPr>
          <w:sz w:val="24"/>
          <w:szCs w:val="24"/>
        </w:rPr>
        <w:t>空调发展百年来，针对如何评价室内热环境舒适水平，一直是国内外学者或团体研究的重要领域。目前，国际公认的评价和预测室内热环境热舒适的标准为ASHRAE55系列标准和 ISO7730系列标准。1919年，美国采暖、制冷与空调工程师学会在匹斯堡人工环境实验室首次对人体热舒适性进行了实验，研究空气温度、湿度和流速等对人体热感觉和热舒适的影响。1922年，该协会开始进行热舒适标准的编写，之后其内容经过了不断调整和修改后形成了ASHRAE55系列标准；1984年国际标准化组织根据P</w:t>
      </w:r>
      <w:r>
        <w:rPr>
          <w:rFonts w:hint="eastAsia"/>
          <w:sz w:val="24"/>
          <w:szCs w:val="24"/>
        </w:rPr>
        <w:t>.</w:t>
      </w:r>
      <w:r>
        <w:rPr>
          <w:sz w:val="24"/>
          <w:szCs w:val="24"/>
        </w:rPr>
        <w:t>O</w:t>
      </w:r>
      <w:r>
        <w:rPr>
          <w:rFonts w:hint="eastAsia"/>
          <w:sz w:val="24"/>
          <w:szCs w:val="24"/>
        </w:rPr>
        <w:t>.</w:t>
      </w:r>
      <w:r>
        <w:rPr>
          <w:sz w:val="24"/>
          <w:szCs w:val="24"/>
        </w:rPr>
        <w:t>Fanger教授的研究成果，提出了ISO7730系列标准；在我国，目前通用的国家标准是GB/T 33658-2017《室内人体热舒适环境要求与评价方法》。</w:t>
      </w:r>
    </w:p>
    <w:p>
      <w:pPr>
        <w:spacing w:line="360" w:lineRule="auto"/>
        <w:ind w:firstLine="480" w:firstLineChars="200"/>
        <w:rPr>
          <w:sz w:val="24"/>
          <w:szCs w:val="24"/>
        </w:rPr>
      </w:pPr>
      <w:r>
        <w:rPr>
          <w:sz w:val="24"/>
          <w:szCs w:val="24"/>
        </w:rPr>
        <w:t>ASHRAE标准ASHRAE55-2010《人类居住的热环境条件》、国际标准ISO7730-2005《热环境人类工效学——基于PMV-PPD计算确定的热舒适及局部热舒适判据的分析测定和解析》均介绍了一般热环境中预测人体总的热感觉和不舒适度的方法，并给出了主观体验评价下预测平均热感觉指数（PMV）的7点标尺热感觉投票量表。</w:t>
      </w:r>
    </w:p>
    <w:p>
      <w:pPr>
        <w:spacing w:line="360" w:lineRule="auto"/>
        <w:ind w:firstLine="480" w:firstLineChars="200"/>
        <w:rPr>
          <w:sz w:val="24"/>
          <w:szCs w:val="24"/>
        </w:rPr>
      </w:pPr>
      <w:r>
        <w:rPr>
          <w:sz w:val="24"/>
          <w:szCs w:val="24"/>
        </w:rPr>
        <w:t>在现有的国内技术标准中，有关空调器舒适性测评方法的标准，例如，GB/T 33658-2017《室内人体热舒适环境要求与评价方法》、GB/T 5701-2008《室内热环境条件》、GB/T 18977-2003《热环境人类工效学使用主观判定最表评价热环境的影响》、T/CAB 0341-2024《人工环境舒适性产品 第10部分：带舒适功能的节能型房间空气调节器》、T/CAB CSISA 0030-2020《人工热环境舒适性测评方法 第1部分：房间空气调节器》，暂无对在空调器运行的动态阶段、稳态阶段分别进行室内热舒适性主观体验评价与客观检测评价相结合的舒适性测评方法。</w:t>
      </w:r>
    </w:p>
    <w:p>
      <w:pPr>
        <w:spacing w:line="360" w:lineRule="auto"/>
        <w:ind w:firstLine="480" w:firstLineChars="200"/>
        <w:jc w:val="left"/>
        <w:rPr>
          <w:sz w:val="24"/>
          <w:szCs w:val="24"/>
        </w:rPr>
      </w:pPr>
      <w:r>
        <w:rPr>
          <w:sz w:val="24"/>
          <w:szCs w:val="24"/>
        </w:rPr>
        <w:t>由于消费者对家用空调器的室内热环境舒适性核心指标的需求存在差异，目前针对空调器舒适性主观体验评价、客观检测评价的全面测试方法，行业没有统一的标准。因此，为了明确房间空气调节器室内热舒适性评价方法，给相关企业、检测机构对产品性能的有效评估提供标准支撑，规范行业的健康发展，同时填补标准的空白，需要制定本标准。</w:t>
      </w:r>
    </w:p>
    <w:p>
      <w:pPr>
        <w:pStyle w:val="50"/>
        <w:numPr>
          <w:ilvl w:val="0"/>
          <w:numId w:val="0"/>
        </w:numPr>
        <w:spacing w:before="156" w:after="156"/>
        <w:rPr>
          <w:rFonts w:ascii="Times New Roman" w:eastAsia="宋体" w:cs="Times New Roman"/>
          <w:b/>
          <w:sz w:val="24"/>
        </w:rPr>
      </w:pPr>
      <w:bookmarkStart w:id="14" w:name="_Toc387681394"/>
      <w:r>
        <w:rPr>
          <w:rFonts w:ascii="Times New Roman" w:eastAsia="宋体" w:cs="Times New Roman"/>
          <w:b/>
          <w:sz w:val="24"/>
        </w:rPr>
        <w:t>1.2 任务来源</w:t>
      </w:r>
      <w:bookmarkEnd w:id="14"/>
    </w:p>
    <w:p>
      <w:pPr>
        <w:spacing w:line="360" w:lineRule="auto"/>
        <w:ind w:firstLine="480" w:firstLineChars="200"/>
        <w:rPr>
          <w:color w:val="000000" w:themeColor="text1"/>
          <w:sz w:val="24"/>
          <w:szCs w:val="24"/>
          <w14:textFill>
            <w14:solidFill>
              <w14:schemeClr w14:val="tx1"/>
            </w14:solidFill>
          </w14:textFill>
        </w:rPr>
      </w:pPr>
      <w:r>
        <w:rPr>
          <w:sz w:val="24"/>
          <w:szCs w:val="24"/>
        </w:rPr>
        <w:t>本项目是根据中国轻工业联合会文件</w:t>
      </w:r>
      <w:r>
        <w:rPr>
          <w:rFonts w:hint="eastAsia"/>
          <w:sz w:val="24"/>
          <w:szCs w:val="24"/>
        </w:rPr>
        <w:t>“</w:t>
      </w:r>
      <w:r>
        <w:rPr>
          <w:sz w:val="24"/>
          <w:szCs w:val="24"/>
        </w:rPr>
        <w:t>关于下达《房间空气调节器室内热舒适性评价方法》中国轻工业联合会团体标准计划的通知</w:t>
      </w:r>
      <w:r>
        <w:rPr>
          <w:rFonts w:hint="eastAsia"/>
          <w:sz w:val="24"/>
          <w:szCs w:val="24"/>
        </w:rPr>
        <w:t>”</w:t>
      </w:r>
      <w:r>
        <w:rPr>
          <w:rFonts w:hint="eastAsia"/>
          <w:sz w:val="24"/>
          <w:szCs w:val="24"/>
          <w:lang w:eastAsia="zh-CN"/>
        </w:rPr>
        <w:t>（</w:t>
      </w:r>
      <w:r>
        <w:rPr>
          <w:sz w:val="24"/>
          <w:szCs w:val="24"/>
        </w:rPr>
        <w:t>中轻联标准﹝20</w:t>
      </w:r>
      <w:r>
        <w:rPr>
          <w:rFonts w:hint="eastAsia"/>
          <w:sz w:val="24"/>
          <w:szCs w:val="24"/>
          <w:lang w:val="en-US" w:eastAsia="zh-CN"/>
        </w:rPr>
        <w:t>24</w:t>
      </w:r>
      <w:r>
        <w:rPr>
          <w:sz w:val="24"/>
          <w:szCs w:val="24"/>
        </w:rPr>
        <w:t>﹞</w:t>
      </w:r>
      <w:r>
        <w:rPr>
          <w:rFonts w:hint="eastAsia"/>
          <w:sz w:val="24"/>
          <w:szCs w:val="24"/>
          <w:lang w:val="en-US" w:eastAsia="zh-CN"/>
        </w:rPr>
        <w:t>226</w:t>
      </w:r>
      <w:r>
        <w:rPr>
          <w:sz w:val="24"/>
          <w:szCs w:val="24"/>
        </w:rPr>
        <w:t>号</w:t>
      </w:r>
      <w:bookmarkStart w:id="43" w:name="_GoBack"/>
      <w:r>
        <w:rPr>
          <w:rFonts w:hint="eastAsia"/>
          <w:sz w:val="24"/>
          <w:szCs w:val="24"/>
          <w:lang w:eastAsia="zh-CN"/>
        </w:rPr>
        <w:t>）</w:t>
      </w:r>
      <w:bookmarkEnd w:id="43"/>
      <w:r>
        <w:rPr>
          <w:sz w:val="24"/>
          <w:szCs w:val="24"/>
        </w:rPr>
        <w:t>立项，项目名称《房间空气调节器室内热舒适性评价方法》，计划号：202</w:t>
      </w:r>
      <w:r>
        <w:rPr>
          <w:rFonts w:hint="eastAsia"/>
          <w:sz w:val="24"/>
          <w:szCs w:val="24"/>
          <w:lang w:val="en-US" w:eastAsia="zh-CN"/>
        </w:rPr>
        <w:t>4062</w:t>
      </w:r>
      <w:r>
        <w:rPr>
          <w:sz w:val="24"/>
          <w:szCs w:val="24"/>
        </w:rPr>
        <w:t>。本标准由珠海格力电器股份有限公司提出、中国家用电器研究院申报，主要起草单位：珠海格力电器股份有限公司、中国家用电器研究院等，计划完成时间为2024年</w:t>
      </w:r>
      <w:r>
        <w:rPr>
          <w:rFonts w:hint="eastAsia"/>
          <w:sz w:val="24"/>
          <w:szCs w:val="24"/>
          <w:lang w:val="en-US" w:eastAsia="zh-CN"/>
        </w:rPr>
        <w:t>12月</w:t>
      </w:r>
      <w:r>
        <w:rPr>
          <w:sz w:val="24"/>
          <w:szCs w:val="24"/>
        </w:rPr>
        <w:t>。</w:t>
      </w:r>
    </w:p>
    <w:p>
      <w:pPr>
        <w:pStyle w:val="50"/>
        <w:numPr>
          <w:ilvl w:val="0"/>
          <w:numId w:val="0"/>
        </w:numPr>
        <w:spacing w:before="156" w:after="156"/>
        <w:rPr>
          <w:rFonts w:ascii="Times New Roman" w:eastAsia="宋体" w:cs="Times New Roman"/>
          <w:b/>
          <w:sz w:val="24"/>
        </w:rPr>
      </w:pPr>
      <w:bookmarkStart w:id="15" w:name="_Toc387681395"/>
      <w:r>
        <w:rPr>
          <w:rFonts w:ascii="Times New Roman" w:eastAsia="宋体" w:cs="Times New Roman"/>
          <w:b/>
          <w:sz w:val="24"/>
        </w:rPr>
        <w:t>1.3 工作过程</w:t>
      </w:r>
      <w:bookmarkEnd w:id="15"/>
    </w:p>
    <w:p>
      <w:pPr>
        <w:spacing w:line="360" w:lineRule="auto"/>
        <w:ind w:firstLine="480" w:firstLineChars="200"/>
        <w:rPr>
          <w:sz w:val="24"/>
          <w:szCs w:val="24"/>
        </w:rPr>
      </w:pPr>
      <w:r>
        <w:rPr>
          <w:sz w:val="24"/>
          <w:szCs w:val="24"/>
        </w:rPr>
        <w:t>本标准的工作过程是以国内外现有</w:t>
      </w:r>
      <w:r>
        <w:rPr>
          <w:rFonts w:hint="eastAsia"/>
          <w:sz w:val="24"/>
          <w:szCs w:val="24"/>
        </w:rPr>
        <w:t>的</w:t>
      </w:r>
      <w:r>
        <w:rPr>
          <w:sz w:val="24"/>
          <w:szCs w:val="24"/>
        </w:rPr>
        <w:t>相关标准为基础，根据</w:t>
      </w:r>
      <w:r>
        <w:rPr>
          <w:rFonts w:hint="eastAsia"/>
          <w:sz w:val="24"/>
          <w:szCs w:val="24"/>
        </w:rPr>
        <w:t>相关的</w:t>
      </w:r>
      <w:r>
        <w:rPr>
          <w:sz w:val="24"/>
          <w:szCs w:val="24"/>
        </w:rPr>
        <w:t>测试数据，确定评价指标。</w:t>
      </w:r>
    </w:p>
    <w:p>
      <w:pPr>
        <w:spacing w:line="360" w:lineRule="auto"/>
        <w:ind w:firstLine="480" w:firstLineChars="200"/>
        <w:rPr>
          <w:sz w:val="24"/>
          <w:szCs w:val="24"/>
        </w:rPr>
      </w:pPr>
      <w:r>
        <w:rPr>
          <w:sz w:val="24"/>
          <w:szCs w:val="24"/>
        </w:rPr>
        <w:t>1</w:t>
      </w:r>
      <w:r>
        <w:rPr>
          <w:rFonts w:hint="eastAsia"/>
          <w:sz w:val="24"/>
          <w:szCs w:val="24"/>
        </w:rPr>
        <w:t>）</w:t>
      </w:r>
      <w:r>
        <w:rPr>
          <w:sz w:val="24"/>
          <w:szCs w:val="24"/>
        </w:rPr>
        <w:t>前期调研及资料整理</w:t>
      </w:r>
    </w:p>
    <w:p>
      <w:pPr>
        <w:spacing w:line="360" w:lineRule="auto"/>
        <w:ind w:firstLine="480" w:firstLineChars="200"/>
        <w:rPr>
          <w:sz w:val="24"/>
          <w:szCs w:val="24"/>
        </w:rPr>
      </w:pPr>
      <w:r>
        <w:rPr>
          <w:sz w:val="24"/>
          <w:szCs w:val="24"/>
        </w:rPr>
        <w:t>2024年7月-10月，主要起草单位广泛查阅了国内外相关标准和技术资料，并收集了有关室内热舒适性评价的标准和技术资料，对房间空调调节器室内热舒适性评价的现状及未来发展趋势进行了调查研究。在现有标准化文件、室内人体热舒适环境要求与评价方法及测试数据等相关资料进行收集整理的基础上，明确工作计划和重点关注问题，奠定了标准的框架基础。</w:t>
      </w:r>
    </w:p>
    <w:p>
      <w:pPr>
        <w:spacing w:line="360" w:lineRule="auto"/>
        <w:ind w:firstLine="480" w:firstLineChars="200"/>
        <w:rPr>
          <w:sz w:val="24"/>
          <w:szCs w:val="24"/>
        </w:rPr>
      </w:pPr>
      <w:r>
        <w:rPr>
          <w:sz w:val="24"/>
          <w:szCs w:val="24"/>
        </w:rPr>
        <w:t>2</w:t>
      </w:r>
      <w:r>
        <w:rPr>
          <w:rFonts w:hint="eastAsia"/>
          <w:sz w:val="24"/>
          <w:szCs w:val="24"/>
        </w:rPr>
        <w:t>）起草阶段</w:t>
      </w:r>
    </w:p>
    <w:p>
      <w:pPr>
        <w:spacing w:line="360" w:lineRule="auto"/>
        <w:ind w:firstLine="480" w:firstLineChars="200"/>
        <w:rPr>
          <w:sz w:val="24"/>
          <w:szCs w:val="24"/>
        </w:rPr>
      </w:pPr>
      <w:r>
        <w:rPr>
          <w:sz w:val="24"/>
          <w:szCs w:val="24"/>
        </w:rPr>
        <w:t>2024年10月</w:t>
      </w:r>
      <w:r>
        <w:rPr>
          <w:rFonts w:hint="eastAsia"/>
          <w:sz w:val="24"/>
          <w:szCs w:val="24"/>
        </w:rPr>
        <w:t>9</w:t>
      </w:r>
      <w:r>
        <w:rPr>
          <w:sz w:val="24"/>
          <w:szCs w:val="24"/>
        </w:rPr>
        <w:t>日，中国家用电器研究院组织工作组单位召开了线上工作组会议，</w:t>
      </w:r>
      <w:r>
        <w:rPr>
          <w:rFonts w:hint="eastAsia"/>
          <w:sz w:val="24"/>
          <w:szCs w:val="24"/>
        </w:rPr>
        <w:t>珠海格力电器股份有限公司对本团标的制定背景、主要技术指标设定及标准制定的意义进行了介绍。会议对标准的框架、范围和主要技术内容进行了详细讨论。</w:t>
      </w:r>
      <w:r>
        <w:rPr>
          <w:sz w:val="24"/>
          <w:szCs w:val="24"/>
        </w:rPr>
        <w:t>工作组成员单位的技术专家通过认真的讨论、仔细推敲，确定了具有代表性、可操作性强的技术要求及测试方法</w:t>
      </w:r>
      <w:r>
        <w:rPr>
          <w:rFonts w:hint="eastAsia"/>
          <w:sz w:val="24"/>
          <w:szCs w:val="24"/>
        </w:rPr>
        <w:t>。会后工作根据会上意见进行相应的试验测试，完善稿件。结合充分的试验验证，标准起草组对标准草案进行了修改和补充，</w:t>
      </w:r>
      <w:r>
        <w:rPr>
          <w:rFonts w:hint="eastAsia"/>
          <w:bCs/>
          <w:sz w:val="24"/>
        </w:rPr>
        <w:t>完善了范围和定义、技术要求、试验方法，</w:t>
      </w:r>
      <w:r>
        <w:rPr>
          <w:rFonts w:hint="eastAsia"/>
          <w:sz w:val="24"/>
          <w:szCs w:val="24"/>
        </w:rPr>
        <w:t>形成了标准征求意见稿及其编制说明。</w:t>
      </w:r>
    </w:p>
    <w:p>
      <w:pPr>
        <w:pStyle w:val="46"/>
        <w:numPr>
          <w:ilvl w:val="0"/>
          <w:numId w:val="0"/>
        </w:numPr>
        <w:spacing w:beforeLines="0" w:afterLines="0"/>
        <w:rPr>
          <w:rFonts w:hint="eastAsia" w:ascii="宋体" w:hAnsi="宋体" w:eastAsia="宋体"/>
          <w:b/>
          <w:sz w:val="30"/>
          <w:szCs w:val="30"/>
        </w:rPr>
      </w:pPr>
      <w:bookmarkStart w:id="16" w:name="_Toc387681396"/>
      <w:bookmarkStart w:id="17" w:name="_Toc151567108"/>
      <w:r>
        <w:rPr>
          <w:rFonts w:ascii="宋体" w:hAnsi="宋体" w:eastAsia="宋体"/>
          <w:b/>
          <w:sz w:val="30"/>
          <w:szCs w:val="30"/>
        </w:rPr>
        <w:t>二. 标准</w:t>
      </w:r>
      <w:bookmarkEnd w:id="16"/>
      <w:r>
        <w:rPr>
          <w:rFonts w:hint="eastAsia" w:ascii="宋体" w:hAnsi="宋体" w:eastAsia="宋体"/>
          <w:b/>
          <w:sz w:val="30"/>
          <w:szCs w:val="30"/>
        </w:rPr>
        <w:t>编制原则</w:t>
      </w:r>
      <w:bookmarkEnd w:id="17"/>
    </w:p>
    <w:p>
      <w:pPr>
        <w:pStyle w:val="50"/>
        <w:numPr>
          <w:ilvl w:val="0"/>
          <w:numId w:val="0"/>
        </w:numPr>
        <w:spacing w:before="156" w:after="156"/>
        <w:rPr>
          <w:rFonts w:ascii="Times New Roman" w:eastAsia="宋体" w:cs="Times New Roman"/>
          <w:b/>
          <w:sz w:val="24"/>
        </w:rPr>
      </w:pPr>
      <w:bookmarkStart w:id="18" w:name="_Toc387681397"/>
      <w:r>
        <w:rPr>
          <w:rFonts w:ascii="Times New Roman" w:eastAsia="宋体" w:cs="Times New Roman"/>
          <w:b/>
          <w:sz w:val="24"/>
        </w:rPr>
        <w:t>2.1 标准制定的法律依据</w:t>
      </w:r>
      <w:bookmarkEnd w:id="18"/>
    </w:p>
    <w:p>
      <w:pPr>
        <w:spacing w:line="360" w:lineRule="auto"/>
        <w:ind w:firstLine="480" w:firstLineChars="200"/>
        <w:rPr>
          <w:sz w:val="24"/>
          <w:szCs w:val="24"/>
        </w:rPr>
      </w:pPr>
      <w:r>
        <w:rPr>
          <w:sz w:val="24"/>
          <w:szCs w:val="24"/>
        </w:rPr>
        <w:t>标准依据以下相关的政策法规编制：《中华人民共和国标准化法》</w:t>
      </w:r>
      <w:r>
        <w:rPr>
          <w:rFonts w:hint="eastAsia"/>
          <w:sz w:val="24"/>
          <w:szCs w:val="24"/>
        </w:rPr>
        <w:t>，《中国轻工业联合会团体标准管理办法》。</w:t>
      </w:r>
    </w:p>
    <w:p>
      <w:pPr>
        <w:pStyle w:val="50"/>
        <w:numPr>
          <w:ilvl w:val="0"/>
          <w:numId w:val="0"/>
        </w:numPr>
        <w:spacing w:before="156" w:after="156"/>
        <w:rPr>
          <w:rFonts w:ascii="Times New Roman" w:eastAsia="宋体" w:cs="Times New Roman"/>
          <w:b/>
          <w:sz w:val="24"/>
        </w:rPr>
      </w:pPr>
      <w:bookmarkStart w:id="19" w:name="_Toc387681398"/>
      <w:r>
        <w:rPr>
          <w:rFonts w:ascii="Times New Roman" w:eastAsia="宋体" w:cs="Times New Roman"/>
          <w:b/>
          <w:sz w:val="24"/>
        </w:rPr>
        <w:t>2.2 标准起草的依据</w:t>
      </w:r>
      <w:bookmarkEnd w:id="19"/>
    </w:p>
    <w:p>
      <w:pPr>
        <w:spacing w:line="360" w:lineRule="auto"/>
        <w:ind w:firstLine="480" w:firstLineChars="200"/>
        <w:rPr>
          <w:sz w:val="24"/>
          <w:szCs w:val="24"/>
        </w:rPr>
      </w:pPr>
      <w:r>
        <w:rPr>
          <w:sz w:val="24"/>
          <w:szCs w:val="24"/>
        </w:rPr>
        <w:t>本标准按照</w:t>
      </w:r>
      <w:r>
        <w:rPr>
          <w:rFonts w:hint="eastAsia"/>
          <w:sz w:val="24"/>
          <w:szCs w:val="24"/>
        </w:rPr>
        <w:t>GB/T 1.1—2020《标准化工作导则第1部分：标准化文件的结构和起草规则》</w:t>
      </w:r>
      <w:r>
        <w:rPr>
          <w:sz w:val="24"/>
          <w:szCs w:val="24"/>
        </w:rPr>
        <w:t>以及GB/T 20004.1</w:t>
      </w:r>
      <w:r>
        <w:rPr>
          <w:rFonts w:hint="eastAsia"/>
          <w:sz w:val="24"/>
          <w:szCs w:val="24"/>
        </w:rPr>
        <w:t>—</w:t>
      </w:r>
      <w:r>
        <w:rPr>
          <w:sz w:val="24"/>
          <w:szCs w:val="24"/>
        </w:rPr>
        <w:t>2016《团体标准化 第1部分：良好行为指南》的具体要求进行编制；技术内容参考了国内外室内热舒适水平先进评价方法和相关标准，并结合房间空气调节器企业产品的实际情况。</w:t>
      </w:r>
    </w:p>
    <w:p>
      <w:pPr>
        <w:pStyle w:val="50"/>
        <w:numPr>
          <w:ilvl w:val="0"/>
          <w:numId w:val="0"/>
        </w:numPr>
        <w:spacing w:before="156" w:after="156"/>
        <w:rPr>
          <w:rFonts w:ascii="Times New Roman" w:eastAsia="宋体" w:cs="Times New Roman"/>
          <w:b/>
          <w:sz w:val="24"/>
        </w:rPr>
      </w:pPr>
      <w:bookmarkStart w:id="20" w:name="_Toc387681399"/>
      <w:r>
        <w:rPr>
          <w:rFonts w:ascii="Times New Roman" w:eastAsia="宋体" w:cs="Times New Roman"/>
          <w:b/>
          <w:sz w:val="24"/>
        </w:rPr>
        <w:t>2.3 标准制定的原则</w:t>
      </w:r>
      <w:bookmarkEnd w:id="20"/>
    </w:p>
    <w:p>
      <w:pPr>
        <w:spacing w:line="360" w:lineRule="auto"/>
        <w:ind w:firstLine="480" w:firstLineChars="200"/>
        <w:rPr>
          <w:sz w:val="24"/>
          <w:szCs w:val="24"/>
        </w:rPr>
      </w:pPr>
      <w:r>
        <w:rPr>
          <w:sz w:val="24"/>
          <w:szCs w:val="24"/>
        </w:rPr>
        <w:t>本标准制定遵循以下原则：科学性、适用性、先进性，结构合理、条理清晰、内容完整、可操作性强，无逻辑和语法错误。</w:t>
      </w:r>
    </w:p>
    <w:p>
      <w:pPr>
        <w:pStyle w:val="46"/>
        <w:numPr>
          <w:ilvl w:val="0"/>
          <w:numId w:val="0"/>
        </w:numPr>
        <w:spacing w:beforeLines="0" w:afterLines="0"/>
        <w:rPr>
          <w:rFonts w:hint="eastAsia" w:ascii="宋体" w:hAnsi="宋体" w:eastAsia="宋体"/>
          <w:b/>
          <w:sz w:val="30"/>
          <w:szCs w:val="30"/>
        </w:rPr>
      </w:pPr>
      <w:bookmarkStart w:id="21" w:name="_Toc387681400"/>
      <w:bookmarkStart w:id="22" w:name="_Toc151567109"/>
      <w:bookmarkStart w:id="23" w:name="_Toc365212146"/>
      <w:bookmarkStart w:id="24" w:name="_Toc364260301"/>
      <w:bookmarkStart w:id="25" w:name="_Toc363465809"/>
      <w:bookmarkStart w:id="26" w:name="_Toc362445501"/>
      <w:bookmarkStart w:id="27" w:name="_Toc362445587"/>
      <w:bookmarkStart w:id="28" w:name="_Toc365036261"/>
      <w:bookmarkStart w:id="29" w:name="_Toc366008207"/>
      <w:bookmarkStart w:id="30" w:name="_Toc364260288"/>
      <w:bookmarkStart w:id="31" w:name="_Toc362446985"/>
      <w:r>
        <w:rPr>
          <w:rFonts w:ascii="宋体" w:hAnsi="宋体" w:eastAsia="宋体"/>
          <w:b/>
          <w:sz w:val="30"/>
          <w:szCs w:val="30"/>
        </w:rPr>
        <w:t xml:space="preserve">三. </w:t>
      </w:r>
      <w:r>
        <w:rPr>
          <w:rFonts w:hint="eastAsia" w:ascii="宋体" w:hAnsi="宋体" w:eastAsia="宋体"/>
          <w:b/>
          <w:sz w:val="30"/>
          <w:szCs w:val="30"/>
        </w:rPr>
        <w:t>标准</w:t>
      </w:r>
      <w:r>
        <w:rPr>
          <w:rFonts w:ascii="宋体" w:hAnsi="宋体" w:eastAsia="宋体"/>
          <w:b/>
          <w:sz w:val="30"/>
          <w:szCs w:val="30"/>
        </w:rPr>
        <w:t>主要内容</w:t>
      </w:r>
      <w:bookmarkEnd w:id="21"/>
      <w:r>
        <w:rPr>
          <w:rFonts w:hint="eastAsia" w:ascii="宋体" w:hAnsi="宋体" w:eastAsia="宋体"/>
          <w:b/>
          <w:sz w:val="30"/>
          <w:szCs w:val="30"/>
        </w:rPr>
        <w:t>的确定</w:t>
      </w:r>
      <w:bookmarkEnd w:id="22"/>
    </w:p>
    <w:p>
      <w:pPr>
        <w:pStyle w:val="50"/>
        <w:numPr>
          <w:ilvl w:val="0"/>
          <w:numId w:val="0"/>
        </w:numPr>
        <w:spacing w:before="156" w:after="156"/>
        <w:rPr>
          <w:rFonts w:ascii="Times New Roman" w:eastAsia="宋体" w:cs="Times New Roman"/>
          <w:b/>
          <w:color w:val="000000" w:themeColor="text1"/>
          <w:sz w:val="24"/>
          <w14:textFill>
            <w14:solidFill>
              <w14:schemeClr w14:val="tx1"/>
            </w14:solidFill>
          </w14:textFill>
        </w:rPr>
      </w:pPr>
      <w:r>
        <w:rPr>
          <w:rFonts w:ascii="Times New Roman" w:eastAsia="宋体" w:cs="Times New Roman"/>
          <w:b/>
          <w:color w:val="000000" w:themeColor="text1"/>
          <w:sz w:val="24"/>
          <w14:textFill>
            <w14:solidFill>
              <w14:schemeClr w14:val="tx1"/>
            </w14:solidFill>
          </w14:textFill>
        </w:rPr>
        <w:t>3.1 范围</w:t>
      </w:r>
      <w:bookmarkEnd w:id="23"/>
      <w:bookmarkEnd w:id="24"/>
      <w:bookmarkEnd w:id="25"/>
      <w:bookmarkEnd w:id="26"/>
      <w:bookmarkEnd w:id="27"/>
      <w:bookmarkEnd w:id="28"/>
      <w:bookmarkEnd w:id="29"/>
      <w:bookmarkEnd w:id="30"/>
      <w:bookmarkEnd w:id="31"/>
    </w:p>
    <w:p>
      <w:pPr>
        <w:spacing w:line="360" w:lineRule="auto"/>
        <w:ind w:firstLine="480" w:firstLineChars="200"/>
        <w:rPr>
          <w:sz w:val="24"/>
          <w:szCs w:val="24"/>
        </w:rPr>
      </w:pPr>
      <w:r>
        <w:rPr>
          <w:sz w:val="24"/>
          <w:szCs w:val="24"/>
        </w:rPr>
        <w:t>规定了房间空气调节器室内热舒适性评价方法的技术要求、试验方法、检验规则等</w:t>
      </w:r>
      <w:r>
        <w:rPr>
          <w:rFonts w:hint="eastAsia"/>
          <w:sz w:val="24"/>
          <w:szCs w:val="24"/>
        </w:rPr>
        <w:t>。</w:t>
      </w:r>
    </w:p>
    <w:p>
      <w:pPr>
        <w:spacing w:line="360" w:lineRule="auto"/>
        <w:ind w:firstLine="480" w:firstLineChars="200"/>
        <w:rPr>
          <w:sz w:val="24"/>
          <w:szCs w:val="24"/>
        </w:rPr>
      </w:pPr>
      <w:r>
        <w:rPr>
          <w:rFonts w:hint="eastAsia"/>
          <w:sz w:val="24"/>
          <w:szCs w:val="24"/>
        </w:rPr>
        <w:t>适用</w:t>
      </w:r>
      <w:r>
        <w:rPr>
          <w:sz w:val="24"/>
          <w:szCs w:val="24"/>
        </w:rPr>
        <w:t>于热泵型房间空气调节器创造的室内热环境的评价，以及热泵型房间空气调节器热舒适性能力评价。其他类似条件下的人体热舒适性评价可参考本文件使用</w:t>
      </w:r>
      <w:r>
        <w:rPr>
          <w:rFonts w:hint="eastAsia"/>
          <w:sz w:val="24"/>
          <w:szCs w:val="24"/>
        </w:rPr>
        <w:t>。</w:t>
      </w:r>
    </w:p>
    <w:p>
      <w:pPr>
        <w:spacing w:line="360" w:lineRule="auto"/>
        <w:ind w:firstLine="480" w:firstLineChars="200"/>
        <w:rPr>
          <w:sz w:val="24"/>
          <w:szCs w:val="24"/>
        </w:rPr>
      </w:pPr>
      <w:r>
        <w:rPr>
          <w:sz w:val="24"/>
          <w:szCs w:val="24"/>
        </w:rPr>
        <w:t>适用于采用风冷及水冷冷凝器、全封闭型电动机-压缩机，额定制冷量14000 W以下以创造室内舒适环境为目的的家用和类似用途的自由送风热泵型房间空气调节器（以下简称空调器）</w:t>
      </w:r>
      <w:r>
        <w:rPr>
          <w:rFonts w:hint="eastAsia"/>
          <w:sz w:val="24"/>
          <w:szCs w:val="24"/>
        </w:rPr>
        <w:t>。</w:t>
      </w:r>
    </w:p>
    <w:p>
      <w:pPr>
        <w:pStyle w:val="50"/>
        <w:numPr>
          <w:ilvl w:val="0"/>
          <w:numId w:val="0"/>
        </w:numPr>
        <w:spacing w:before="156" w:after="156"/>
        <w:rPr>
          <w:rFonts w:ascii="Times New Roman" w:eastAsia="宋体" w:cs="Times New Roman"/>
          <w:b/>
          <w:sz w:val="24"/>
        </w:rPr>
      </w:pPr>
      <w:r>
        <w:rPr>
          <w:rFonts w:ascii="Times New Roman" w:eastAsia="宋体" w:cs="Times New Roman"/>
          <w:b/>
          <w:sz w:val="24"/>
        </w:rPr>
        <w:t>3.2 规范性引用文件</w:t>
      </w:r>
    </w:p>
    <w:p>
      <w:pPr>
        <w:pStyle w:val="43"/>
        <w:spacing w:line="360" w:lineRule="auto"/>
        <w:ind w:firstLine="480"/>
        <w:rPr>
          <w:rFonts w:ascii="Times New Roman"/>
          <w:color w:val="000000"/>
          <w:sz w:val="24"/>
          <w:szCs w:val="24"/>
        </w:rPr>
      </w:pPr>
      <w:bookmarkStart w:id="32" w:name="_Toc19804854"/>
      <w:bookmarkStart w:id="33" w:name="_Toc43397498"/>
      <w:r>
        <w:rPr>
          <w:rFonts w:ascii="Times New Roman"/>
          <w:color w:val="000000"/>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32"/>
      <w:bookmarkEnd w:id="33"/>
    </w:p>
    <w:p>
      <w:pPr>
        <w:pStyle w:val="43"/>
        <w:spacing w:line="360" w:lineRule="auto"/>
        <w:ind w:firstLine="480"/>
        <w:rPr>
          <w:rFonts w:ascii="Times New Roman"/>
          <w:color w:val="000000"/>
          <w:sz w:val="24"/>
          <w:szCs w:val="24"/>
        </w:rPr>
      </w:pPr>
      <w:r>
        <w:rPr>
          <w:rFonts w:hint="eastAsia" w:ascii="Times New Roman"/>
          <w:color w:val="000000"/>
          <w:sz w:val="24"/>
          <w:szCs w:val="24"/>
        </w:rPr>
        <w:t>G</w:t>
      </w:r>
      <w:r>
        <w:rPr>
          <w:rFonts w:ascii="Times New Roman"/>
          <w:color w:val="000000"/>
          <w:sz w:val="24"/>
          <w:szCs w:val="24"/>
        </w:rPr>
        <w:t xml:space="preserve">B/T 4706.1 家用和类似用途电器的安全 第1部分：通用要求 </w:t>
      </w:r>
    </w:p>
    <w:p>
      <w:pPr>
        <w:pStyle w:val="43"/>
        <w:spacing w:line="360" w:lineRule="auto"/>
        <w:ind w:firstLine="480"/>
        <w:rPr>
          <w:rFonts w:ascii="Times New Roman"/>
          <w:color w:val="000000"/>
          <w:sz w:val="24"/>
          <w:szCs w:val="24"/>
        </w:rPr>
      </w:pPr>
      <w:r>
        <w:rPr>
          <w:rFonts w:ascii="Times New Roman"/>
          <w:color w:val="000000"/>
          <w:sz w:val="24"/>
          <w:szCs w:val="24"/>
        </w:rPr>
        <w:t xml:space="preserve">GB/T 4706.32 家用和类似用途电器的安全 第32部分：热泵、空调器和除湿机的特殊要求 </w:t>
      </w:r>
    </w:p>
    <w:p>
      <w:pPr>
        <w:pStyle w:val="43"/>
        <w:spacing w:line="360" w:lineRule="auto"/>
        <w:ind w:firstLine="480"/>
        <w:rPr>
          <w:rFonts w:ascii="Times New Roman"/>
          <w:color w:val="000000"/>
          <w:sz w:val="24"/>
          <w:szCs w:val="24"/>
        </w:rPr>
      </w:pPr>
      <w:r>
        <w:rPr>
          <w:rFonts w:ascii="Times New Roman"/>
          <w:color w:val="000000"/>
          <w:sz w:val="24"/>
          <w:szCs w:val="24"/>
        </w:rPr>
        <w:t xml:space="preserve">GB/T 5701-2008 室内热环境条件 </w:t>
      </w:r>
    </w:p>
    <w:p>
      <w:pPr>
        <w:pStyle w:val="43"/>
        <w:spacing w:line="360" w:lineRule="auto"/>
        <w:ind w:firstLine="480"/>
        <w:rPr>
          <w:rFonts w:ascii="Times New Roman"/>
          <w:color w:val="000000"/>
          <w:sz w:val="24"/>
          <w:szCs w:val="24"/>
        </w:rPr>
      </w:pPr>
      <w:r>
        <w:rPr>
          <w:rFonts w:ascii="Times New Roman"/>
          <w:color w:val="000000"/>
          <w:sz w:val="24"/>
          <w:szCs w:val="24"/>
        </w:rPr>
        <w:t xml:space="preserve">GB/T 7725 房间空气调节器 </w:t>
      </w:r>
    </w:p>
    <w:p>
      <w:pPr>
        <w:pStyle w:val="43"/>
        <w:spacing w:line="360" w:lineRule="auto"/>
        <w:ind w:firstLine="480"/>
        <w:rPr>
          <w:rFonts w:ascii="Times New Roman"/>
          <w:color w:val="000000"/>
          <w:sz w:val="24"/>
          <w:szCs w:val="24"/>
        </w:rPr>
      </w:pPr>
      <w:r>
        <w:rPr>
          <w:rFonts w:ascii="Times New Roman"/>
          <w:color w:val="000000"/>
          <w:sz w:val="24"/>
          <w:szCs w:val="24"/>
        </w:rPr>
        <w:t xml:space="preserve">GB 21455 房间空气调节器能效限定值及能源效率等级 </w:t>
      </w:r>
    </w:p>
    <w:p>
      <w:pPr>
        <w:pStyle w:val="43"/>
        <w:spacing w:line="360" w:lineRule="auto"/>
        <w:ind w:firstLine="480"/>
        <w:rPr>
          <w:rFonts w:ascii="Times New Roman"/>
          <w:color w:val="000000"/>
          <w:sz w:val="24"/>
          <w:szCs w:val="24"/>
        </w:rPr>
      </w:pPr>
      <w:r>
        <w:rPr>
          <w:rFonts w:ascii="Times New Roman"/>
          <w:color w:val="000000"/>
          <w:sz w:val="24"/>
          <w:szCs w:val="24"/>
        </w:rPr>
        <w:t xml:space="preserve">GB/T 33658-2017 室内人体热舒适环境要求与评价方法 </w:t>
      </w:r>
    </w:p>
    <w:p>
      <w:pPr>
        <w:pStyle w:val="43"/>
        <w:spacing w:line="360" w:lineRule="auto"/>
        <w:ind w:firstLine="480"/>
        <w:rPr>
          <w:rFonts w:ascii="Times New Roman"/>
          <w:color w:val="000000"/>
          <w:sz w:val="24"/>
          <w:szCs w:val="24"/>
        </w:rPr>
      </w:pPr>
      <w:r>
        <w:rPr>
          <w:rFonts w:ascii="Times New Roman"/>
          <w:color w:val="000000"/>
          <w:sz w:val="24"/>
          <w:szCs w:val="24"/>
        </w:rPr>
        <w:t>T/CAS 305-2018 房间空气调节器实际运行性能参数测量规范</w:t>
      </w:r>
    </w:p>
    <w:p>
      <w:pPr>
        <w:pStyle w:val="43"/>
        <w:spacing w:line="360" w:lineRule="auto"/>
        <w:ind w:firstLine="0" w:firstLineChars="0"/>
        <w:rPr>
          <w:rFonts w:ascii="Times New Roman" w:cs="Times New Roman"/>
          <w:b/>
          <w:color w:val="000000" w:themeColor="text1"/>
          <w:sz w:val="24"/>
          <w14:textFill>
            <w14:solidFill>
              <w14:schemeClr w14:val="tx1"/>
            </w14:solidFill>
          </w14:textFill>
        </w:rPr>
      </w:pPr>
      <w:r>
        <w:rPr>
          <w:rFonts w:ascii="Times New Roman" w:cs="Times New Roman"/>
          <w:b/>
          <w:color w:val="000000" w:themeColor="text1"/>
          <w:sz w:val="24"/>
          <w14:textFill>
            <w14:solidFill>
              <w14:schemeClr w14:val="tx1"/>
            </w14:solidFill>
          </w14:textFill>
        </w:rPr>
        <w:t>3.3 术语和定义</w:t>
      </w:r>
    </w:p>
    <w:p>
      <w:pPr>
        <w:spacing w:line="360" w:lineRule="auto"/>
        <w:ind w:firstLine="480" w:firstLineChars="200"/>
        <w:rPr>
          <w:color w:val="000000"/>
          <w:kern w:val="0"/>
          <w:sz w:val="24"/>
          <w:szCs w:val="24"/>
        </w:rPr>
      </w:pPr>
      <w:r>
        <w:rPr>
          <w:color w:val="000000"/>
          <w:kern w:val="0"/>
          <w:sz w:val="24"/>
          <w:szCs w:val="24"/>
        </w:rPr>
        <w:t>GB/T 33658-2017 、GB/T 5701-2008、T/CAS 305-2018界定的术语和定义适用于本文件，具体指热稳定状态、热环境、热舒适、垂直空气温差、吹风感指数、预测平均热感觉指数（PMV）等。在此基础上，本标准增加定义了动态阶段、动态热舒适、稳态热舒适、降温速率、升温速率5个术语</w:t>
      </w:r>
      <w:r>
        <w:rPr>
          <w:rFonts w:hint="eastAsia"/>
          <w:color w:val="000000"/>
          <w:kern w:val="0"/>
          <w:sz w:val="24"/>
          <w:szCs w:val="24"/>
        </w:rPr>
        <w:t>。</w:t>
      </w:r>
    </w:p>
    <w:p>
      <w:pPr>
        <w:spacing w:line="360" w:lineRule="auto"/>
        <w:ind w:firstLine="480" w:firstLineChars="200"/>
        <w:rPr>
          <w:color w:val="000000"/>
          <w:kern w:val="0"/>
          <w:sz w:val="24"/>
          <w:szCs w:val="24"/>
        </w:rPr>
      </w:pPr>
      <w:r>
        <w:rPr>
          <w:color w:val="000000"/>
          <w:kern w:val="0"/>
          <w:sz w:val="24"/>
          <w:szCs w:val="24"/>
        </w:rPr>
        <w:t>动态阶段是指试验过程中从空调器进入制冷/制热模式初始时刻到室内平均温度到达设定温度时刻的阶段</w:t>
      </w:r>
      <w:r>
        <w:rPr>
          <w:rFonts w:hint="eastAsia"/>
          <w:color w:val="000000"/>
          <w:kern w:val="0"/>
          <w:sz w:val="24"/>
          <w:szCs w:val="24"/>
        </w:rPr>
        <w:t>。</w:t>
      </w:r>
    </w:p>
    <w:p>
      <w:pPr>
        <w:spacing w:line="360" w:lineRule="auto"/>
        <w:ind w:firstLine="480" w:firstLineChars="200"/>
        <w:rPr>
          <w:color w:val="000000"/>
          <w:kern w:val="0"/>
          <w:sz w:val="24"/>
          <w:szCs w:val="24"/>
        </w:rPr>
      </w:pPr>
      <w:r>
        <w:rPr>
          <w:color w:val="000000"/>
          <w:kern w:val="0"/>
          <w:sz w:val="24"/>
          <w:szCs w:val="24"/>
        </w:rPr>
        <w:t>动态热舒适是指表示对热环境动态阶段的主观满意程度，通过主观评价进行评定</w:t>
      </w:r>
      <w:r>
        <w:rPr>
          <w:rFonts w:hint="eastAsia"/>
          <w:color w:val="000000"/>
          <w:kern w:val="0"/>
          <w:sz w:val="24"/>
          <w:szCs w:val="24"/>
        </w:rPr>
        <w:t>。</w:t>
      </w:r>
    </w:p>
    <w:p>
      <w:pPr>
        <w:spacing w:line="360" w:lineRule="auto"/>
        <w:ind w:firstLine="480" w:firstLineChars="200"/>
        <w:rPr>
          <w:color w:val="000000"/>
          <w:kern w:val="0"/>
          <w:sz w:val="24"/>
          <w:szCs w:val="24"/>
        </w:rPr>
      </w:pPr>
      <w:r>
        <w:rPr>
          <w:color w:val="000000"/>
          <w:kern w:val="0"/>
          <w:sz w:val="24"/>
          <w:szCs w:val="24"/>
        </w:rPr>
        <w:t>稳态热舒适是指表示对热环境热稳定状态的主观满意程度，通过主观评价进行评定</w:t>
      </w:r>
      <w:r>
        <w:rPr>
          <w:rFonts w:hint="eastAsia"/>
          <w:color w:val="000000"/>
          <w:kern w:val="0"/>
          <w:sz w:val="24"/>
          <w:szCs w:val="24"/>
        </w:rPr>
        <w:t>。</w:t>
      </w:r>
    </w:p>
    <w:p>
      <w:pPr>
        <w:spacing w:line="360" w:lineRule="auto"/>
        <w:ind w:firstLine="480" w:firstLineChars="200"/>
        <w:rPr>
          <w:color w:val="000000"/>
          <w:kern w:val="0"/>
          <w:sz w:val="24"/>
          <w:szCs w:val="24"/>
        </w:rPr>
      </w:pPr>
      <w:r>
        <w:rPr>
          <w:color w:val="000000"/>
          <w:kern w:val="0"/>
          <w:sz w:val="24"/>
          <w:szCs w:val="24"/>
        </w:rPr>
        <w:t>降温速率是指在规定条件下，空调器使房间降低的温度值与所需时间的比值</w:t>
      </w:r>
      <w:r>
        <w:rPr>
          <w:rFonts w:hint="eastAsia"/>
          <w:color w:val="000000"/>
          <w:kern w:val="0"/>
          <w:sz w:val="24"/>
          <w:szCs w:val="24"/>
        </w:rPr>
        <w:t>。</w:t>
      </w:r>
    </w:p>
    <w:p>
      <w:pPr>
        <w:spacing w:line="360" w:lineRule="auto"/>
        <w:ind w:firstLine="480" w:firstLineChars="200"/>
        <w:rPr>
          <w:color w:val="000000"/>
          <w:kern w:val="0"/>
          <w:sz w:val="24"/>
          <w:szCs w:val="24"/>
        </w:rPr>
      </w:pPr>
      <w:r>
        <w:rPr>
          <w:color w:val="000000"/>
          <w:kern w:val="0"/>
          <w:sz w:val="24"/>
          <w:szCs w:val="24"/>
        </w:rPr>
        <w:t>升温速率是指在规定条件下，空调器使房间提升的温度值与所需时间的比值</w:t>
      </w:r>
      <w:r>
        <w:rPr>
          <w:rFonts w:hint="eastAsia"/>
          <w:color w:val="000000"/>
          <w:kern w:val="0"/>
          <w:sz w:val="24"/>
          <w:szCs w:val="24"/>
        </w:rPr>
        <w:t>。</w:t>
      </w:r>
    </w:p>
    <w:p>
      <w:pPr>
        <w:pStyle w:val="50"/>
        <w:numPr>
          <w:ilvl w:val="0"/>
          <w:numId w:val="0"/>
        </w:numPr>
        <w:spacing w:before="156" w:after="156"/>
        <w:rPr>
          <w:rFonts w:ascii="Times New Roman" w:eastAsia="宋体" w:cs="Times New Roman"/>
          <w:b/>
          <w:sz w:val="24"/>
        </w:rPr>
      </w:pPr>
      <w:r>
        <w:rPr>
          <w:rFonts w:ascii="Times New Roman" w:eastAsia="宋体" w:cs="Times New Roman"/>
          <w:b/>
          <w:sz w:val="24"/>
        </w:rPr>
        <w:t>3.4 技术要求</w:t>
      </w:r>
    </w:p>
    <w:p>
      <w:pPr>
        <w:spacing w:line="360" w:lineRule="auto"/>
        <w:ind w:firstLine="480" w:firstLineChars="200"/>
        <w:rPr>
          <w:color w:val="000000"/>
          <w:kern w:val="0"/>
          <w:sz w:val="24"/>
          <w:szCs w:val="24"/>
        </w:rPr>
      </w:pPr>
      <w:r>
        <w:rPr>
          <w:color w:val="000000"/>
          <w:kern w:val="0"/>
          <w:sz w:val="24"/>
          <w:szCs w:val="24"/>
        </w:rPr>
        <w:t>考虑到空调器正常运行，通用要求包括：空调器的性能、能效及安全。性能要求包括垂直空气温差、吹风感指数、测量期耗电量、热舒适、预测平均热感觉指数（PMV）、降温速率、升温速率。技术汇总如下表1</w:t>
      </w:r>
      <w:r>
        <w:rPr>
          <w:rFonts w:hint="eastAsia"/>
          <w:color w:val="000000"/>
          <w:kern w:val="0"/>
          <w:sz w:val="24"/>
          <w:szCs w:val="24"/>
        </w:rPr>
        <w:t>：</w:t>
      </w:r>
    </w:p>
    <w:p>
      <w:pPr>
        <w:spacing w:line="360" w:lineRule="auto"/>
        <w:jc w:val="center"/>
        <w:rPr>
          <w:rFonts w:hint="eastAsia" w:ascii="黑体" w:hAnsi="黑体" w:eastAsia="黑体"/>
        </w:rPr>
      </w:pPr>
      <w:r>
        <w:rPr>
          <w:rFonts w:hint="eastAsia" w:ascii="黑体" w:hAnsi="黑体" w:eastAsia="黑体"/>
        </w:rPr>
        <w:t>表1</w:t>
      </w:r>
      <w:r>
        <w:rPr>
          <w:rFonts w:ascii="黑体" w:hAnsi="黑体" w:eastAsia="黑体"/>
        </w:rPr>
        <w:t xml:space="preserve">  </w:t>
      </w:r>
      <w:r>
        <w:rPr>
          <w:rFonts w:hint="eastAsia" w:ascii="黑体" w:hAnsi="黑体" w:eastAsia="黑体"/>
        </w:rPr>
        <w:t>技术要求汇总表</w:t>
      </w:r>
    </w:p>
    <w:tbl>
      <w:tblPr>
        <w:tblStyle w:val="24"/>
        <w:tblW w:w="5260" w:type="pct"/>
        <w:tblInd w:w="-22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03"/>
        <w:gridCol w:w="1493"/>
        <w:gridCol w:w="6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8" w:hRule="atLeast"/>
        </w:trPr>
        <w:tc>
          <w:tcPr>
            <w:tcW w:w="1183" w:type="pct"/>
            <w:gridSpan w:val="2"/>
            <w:tcBorders>
              <w:top w:val="single" w:color="auto" w:sz="4" w:space="0"/>
              <w:left w:val="single" w:color="auto" w:sz="4" w:space="0"/>
              <w:right w:val="single" w:color="auto" w:sz="4" w:space="0"/>
            </w:tcBorders>
            <w:vAlign w:val="center"/>
          </w:tcPr>
          <w:p>
            <w:pPr>
              <w:ind w:right="-108"/>
              <w:jc w:val="center"/>
              <w:rPr>
                <w:rFonts w:eastAsiaTheme="minorEastAsia"/>
              </w:rPr>
            </w:pPr>
            <w:r>
              <w:rPr>
                <w:rFonts w:hint="eastAsia" w:eastAsiaTheme="minorEastAsia"/>
              </w:rPr>
              <w:t>项目</w:t>
            </w:r>
          </w:p>
        </w:tc>
        <w:tc>
          <w:tcPr>
            <w:tcW w:w="3817" w:type="pct"/>
            <w:tcBorders>
              <w:top w:val="single" w:color="auto" w:sz="4" w:space="0"/>
              <w:left w:val="single" w:color="auto" w:sz="4" w:space="0"/>
              <w:bottom w:val="single" w:color="auto" w:sz="4" w:space="0"/>
              <w:right w:val="single" w:color="auto" w:sz="4" w:space="0"/>
            </w:tcBorders>
            <w:vAlign w:val="center"/>
          </w:tcPr>
          <w:p>
            <w:pPr>
              <w:ind w:right="-108"/>
              <w:jc w:val="center"/>
              <w:rPr>
                <w:rFonts w:eastAsiaTheme="minorEastAsia"/>
              </w:rPr>
            </w:pPr>
            <w:r>
              <w:rPr>
                <w:rFonts w:hint="eastAsia" w:eastAsiaTheme="minorEastAsia"/>
              </w:rPr>
              <w:t>技术要求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74" w:hRule="atLeast"/>
        </w:trPr>
        <w:tc>
          <w:tcPr>
            <w:tcW w:w="340" w:type="pct"/>
            <w:vMerge w:val="restart"/>
            <w:tcBorders>
              <w:left w:val="single" w:color="auto" w:sz="4" w:space="0"/>
            </w:tcBorders>
            <w:vAlign w:val="center"/>
          </w:tcPr>
          <w:p>
            <w:pPr>
              <w:jc w:val="center"/>
              <w:rPr>
                <w:rFonts w:eastAsiaTheme="minorEastAsia"/>
              </w:rPr>
            </w:pPr>
            <w:r>
              <w:rPr>
                <w:rFonts w:hint="eastAsia" w:eastAsiaTheme="minorEastAsia"/>
              </w:rPr>
              <w:t>通用</w:t>
            </w:r>
          </w:p>
        </w:tc>
        <w:tc>
          <w:tcPr>
            <w:tcW w:w="843" w:type="pct"/>
            <w:tcBorders>
              <w:left w:val="single" w:color="auto" w:sz="4" w:space="0"/>
            </w:tcBorders>
            <w:vAlign w:val="center"/>
          </w:tcPr>
          <w:p>
            <w:pPr>
              <w:jc w:val="center"/>
              <w:rPr>
                <w:rFonts w:hint="eastAsia" w:ascii="宋体" w:hAnsi="宋体"/>
              </w:rPr>
            </w:pPr>
            <w:r>
              <w:rPr>
                <w:rFonts w:hint="eastAsia" w:ascii="宋体" w:hAnsi="宋体"/>
              </w:rPr>
              <w:t>性能、能效</w:t>
            </w:r>
          </w:p>
        </w:tc>
        <w:tc>
          <w:tcPr>
            <w:tcW w:w="3817" w:type="pct"/>
            <w:tcBorders>
              <w:right w:val="single" w:color="auto" w:sz="4" w:space="0"/>
            </w:tcBorders>
            <w:vAlign w:val="center"/>
          </w:tcPr>
          <w:p>
            <w:pPr>
              <w:rPr>
                <w:rFonts w:eastAsiaTheme="minorEastAsia"/>
              </w:rPr>
            </w:pPr>
            <w:r>
              <w:rPr>
                <w:rFonts w:eastAsiaTheme="minorEastAsia"/>
              </w:rPr>
              <w:t>应符合GB/T 7725、GB 21455的要求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6" w:hRule="atLeast"/>
        </w:trPr>
        <w:tc>
          <w:tcPr>
            <w:tcW w:w="340" w:type="pct"/>
            <w:vMerge w:val="continue"/>
            <w:tcBorders>
              <w:left w:val="single" w:color="auto" w:sz="4" w:space="0"/>
            </w:tcBorders>
            <w:vAlign w:val="center"/>
          </w:tcPr>
          <w:p>
            <w:pPr>
              <w:ind w:right="-108"/>
              <w:rPr>
                <w:rFonts w:eastAsiaTheme="minorEastAsia"/>
              </w:rPr>
            </w:pPr>
          </w:p>
        </w:tc>
        <w:tc>
          <w:tcPr>
            <w:tcW w:w="843" w:type="pct"/>
            <w:tcBorders>
              <w:left w:val="single" w:color="auto" w:sz="4" w:space="0"/>
            </w:tcBorders>
            <w:vAlign w:val="center"/>
          </w:tcPr>
          <w:p>
            <w:pPr>
              <w:jc w:val="center"/>
              <w:rPr>
                <w:rFonts w:eastAsiaTheme="minorEastAsia"/>
              </w:rPr>
            </w:pPr>
            <w:r>
              <w:rPr>
                <w:rFonts w:hint="eastAsia" w:eastAsiaTheme="minorEastAsia"/>
              </w:rPr>
              <w:t>安全</w:t>
            </w:r>
          </w:p>
        </w:tc>
        <w:tc>
          <w:tcPr>
            <w:tcW w:w="3817" w:type="pct"/>
            <w:tcBorders>
              <w:right w:val="single" w:color="auto" w:sz="4" w:space="0"/>
            </w:tcBorders>
            <w:vAlign w:val="center"/>
          </w:tcPr>
          <w:p>
            <w:pPr>
              <w:jc w:val="left"/>
              <w:rPr>
                <w:rFonts w:eastAsiaTheme="minorEastAsia"/>
              </w:rPr>
            </w:pPr>
            <w:r>
              <w:rPr>
                <w:rFonts w:eastAsiaTheme="minorEastAsia"/>
              </w:rPr>
              <w:t>应符合GB/T 4706.1、GB/T 4706.32的要求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83" w:hRule="atLeast"/>
        </w:trPr>
        <w:tc>
          <w:tcPr>
            <w:tcW w:w="340" w:type="pct"/>
            <w:vMerge w:val="restart"/>
            <w:tcBorders>
              <w:left w:val="single" w:color="auto" w:sz="4" w:space="0"/>
            </w:tcBorders>
            <w:vAlign w:val="center"/>
          </w:tcPr>
          <w:p>
            <w:pPr>
              <w:jc w:val="center"/>
              <w:rPr>
                <w:rFonts w:eastAsiaTheme="minorEastAsia"/>
              </w:rPr>
            </w:pPr>
            <w:r>
              <w:rPr>
                <w:rFonts w:hint="eastAsia" w:eastAsiaTheme="minorEastAsia"/>
              </w:rPr>
              <w:t>性能</w:t>
            </w:r>
          </w:p>
        </w:tc>
        <w:tc>
          <w:tcPr>
            <w:tcW w:w="843" w:type="pct"/>
            <w:tcBorders>
              <w:left w:val="single" w:color="auto" w:sz="4" w:space="0"/>
            </w:tcBorders>
            <w:vAlign w:val="center"/>
          </w:tcPr>
          <w:p>
            <w:pPr>
              <w:jc w:val="center"/>
              <w:rPr>
                <w:color w:val="000000" w:themeColor="text1"/>
                <w14:textFill>
                  <w14:solidFill>
                    <w14:schemeClr w14:val="tx1"/>
                  </w14:solidFill>
                </w14:textFill>
              </w:rPr>
            </w:pPr>
            <w:r>
              <w:rPr>
                <w:rFonts w:hint="eastAsia" w:eastAsiaTheme="minorEastAsia"/>
              </w:rPr>
              <w:t>垂直空气温差</w:t>
            </w:r>
          </w:p>
        </w:tc>
        <w:tc>
          <w:tcPr>
            <w:tcW w:w="3817" w:type="pct"/>
            <w:tcBorders>
              <w:right w:val="single" w:color="auto" w:sz="4" w:space="0"/>
            </w:tcBorders>
            <w:vAlign w:val="center"/>
          </w:tcPr>
          <w:p>
            <w:pPr>
              <w:jc w:val="left"/>
              <w:rPr>
                <w:rFonts w:eastAsiaTheme="minorEastAsia"/>
              </w:rPr>
            </w:pPr>
            <w:r>
              <w:rPr>
                <w:rFonts w:eastAsiaTheme="minorEastAsia"/>
              </w:rPr>
              <w:t>室内两任意高度层之间的垂直空气温差应小于3K，高度层划分如下：</w:t>
            </w:r>
          </w:p>
          <w:p>
            <w:pPr>
              <w:jc w:val="left"/>
              <w:rPr>
                <w:rFonts w:eastAsiaTheme="minorEastAsi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911"/>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cs="Calibri"/>
                      <w:szCs w:val="18"/>
                    </w:rPr>
                  </w:pPr>
                  <w:r>
                    <w:rPr>
                      <w:rFonts w:hint="eastAsia" w:cs="Calibri"/>
                      <w:szCs w:val="18"/>
                    </w:rPr>
                    <w:t>高度层代号</w:t>
                  </w:r>
                </w:p>
              </w:tc>
              <w:tc>
                <w:tcPr>
                  <w:tcW w:w="1911" w:type="dxa"/>
                  <w:vAlign w:val="center"/>
                </w:tcPr>
                <w:p>
                  <w:pPr>
                    <w:autoSpaceDE w:val="0"/>
                    <w:autoSpaceDN w:val="0"/>
                    <w:adjustRightInd w:val="0"/>
                    <w:jc w:val="center"/>
                    <w:rPr>
                      <w:rFonts w:cs="Calibri"/>
                      <w:szCs w:val="18"/>
                    </w:rPr>
                  </w:pPr>
                  <w:r>
                    <w:rPr>
                      <w:rFonts w:hint="eastAsia" w:cs="Calibri"/>
                      <w:szCs w:val="18"/>
                    </w:rPr>
                    <w:t>距地面高度（m）</w:t>
                  </w:r>
                </w:p>
              </w:tc>
              <w:tc>
                <w:tcPr>
                  <w:tcW w:w="2507" w:type="dxa"/>
                  <w:vAlign w:val="center"/>
                </w:tcPr>
                <w:p>
                  <w:pPr>
                    <w:autoSpaceDE w:val="0"/>
                    <w:autoSpaceDN w:val="0"/>
                    <w:adjustRightInd w:val="0"/>
                    <w:jc w:val="center"/>
                    <w:rPr>
                      <w:rFonts w:cs="Calibri"/>
                      <w:szCs w:val="18"/>
                    </w:rPr>
                  </w:pPr>
                  <w:r>
                    <w:rPr>
                      <w:rFonts w:hint="eastAsia" w:cs="Calibri"/>
                      <w:szCs w:val="18"/>
                    </w:rPr>
                    <w:t>模拟热环境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cs="Calibri"/>
                      <w:szCs w:val="18"/>
                    </w:rPr>
                  </w:pPr>
                  <w:r>
                    <w:rPr>
                      <w:rFonts w:hint="eastAsia" w:cs="Calibri"/>
                      <w:szCs w:val="18"/>
                    </w:rPr>
                    <w:t>H</w:t>
                  </w:r>
                  <w:r>
                    <w:rPr>
                      <w:rFonts w:hint="eastAsia" w:cs="Calibri"/>
                      <w:szCs w:val="18"/>
                      <w:vertAlign w:val="subscript"/>
                    </w:rPr>
                    <w:t>5</w:t>
                  </w:r>
                </w:p>
              </w:tc>
              <w:tc>
                <w:tcPr>
                  <w:tcW w:w="1911" w:type="dxa"/>
                  <w:vAlign w:val="center"/>
                </w:tcPr>
                <w:p>
                  <w:pPr>
                    <w:autoSpaceDE w:val="0"/>
                    <w:autoSpaceDN w:val="0"/>
                    <w:adjustRightInd w:val="0"/>
                    <w:jc w:val="center"/>
                    <w:rPr>
                      <w:rFonts w:cs="Calibri"/>
                      <w:szCs w:val="18"/>
                    </w:rPr>
                  </w:pPr>
                  <w:r>
                    <w:rPr>
                      <w:rFonts w:hint="eastAsia" w:cs="Calibri"/>
                      <w:szCs w:val="18"/>
                    </w:rPr>
                    <w:t>2.1</w:t>
                  </w:r>
                </w:p>
              </w:tc>
              <w:tc>
                <w:tcPr>
                  <w:tcW w:w="2507" w:type="dxa"/>
                  <w:vAlign w:val="center"/>
                </w:tcPr>
                <w:p>
                  <w:pPr>
                    <w:autoSpaceDE w:val="0"/>
                    <w:autoSpaceDN w:val="0"/>
                    <w:adjustRightInd w:val="0"/>
                    <w:jc w:val="center"/>
                    <w:rPr>
                      <w:rFonts w:cs="Calibri"/>
                      <w:szCs w:val="18"/>
                    </w:rPr>
                  </w:pPr>
                  <w:r>
                    <w:rPr>
                      <w:rFonts w:hint="eastAsia" w:cs="Calibri"/>
                      <w:szCs w:val="18"/>
                    </w:rPr>
                    <w:t>非人体活动区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6" w:type="dxa"/>
                  <w:vAlign w:val="center"/>
                </w:tcPr>
                <w:p>
                  <w:pPr>
                    <w:autoSpaceDE w:val="0"/>
                    <w:autoSpaceDN w:val="0"/>
                    <w:adjustRightInd w:val="0"/>
                    <w:jc w:val="center"/>
                    <w:rPr>
                      <w:rFonts w:cs="Calibri"/>
                      <w:szCs w:val="18"/>
                    </w:rPr>
                  </w:pPr>
                  <w:r>
                    <w:rPr>
                      <w:rFonts w:hint="eastAsia" w:cs="Calibri"/>
                      <w:szCs w:val="18"/>
                    </w:rPr>
                    <w:t>H</w:t>
                  </w:r>
                  <w:r>
                    <w:rPr>
                      <w:rFonts w:hint="eastAsia" w:cs="Calibri"/>
                      <w:szCs w:val="18"/>
                      <w:vertAlign w:val="subscript"/>
                    </w:rPr>
                    <w:t>4</w:t>
                  </w:r>
                </w:p>
              </w:tc>
              <w:tc>
                <w:tcPr>
                  <w:tcW w:w="1911" w:type="dxa"/>
                  <w:vAlign w:val="center"/>
                </w:tcPr>
                <w:p>
                  <w:pPr>
                    <w:autoSpaceDE w:val="0"/>
                    <w:autoSpaceDN w:val="0"/>
                    <w:adjustRightInd w:val="0"/>
                    <w:jc w:val="center"/>
                    <w:rPr>
                      <w:rFonts w:cs="Calibri"/>
                      <w:szCs w:val="18"/>
                    </w:rPr>
                  </w:pPr>
                  <w:r>
                    <w:rPr>
                      <w:rFonts w:hint="eastAsia" w:cs="Calibri"/>
                      <w:szCs w:val="18"/>
                    </w:rPr>
                    <w:t>1.6</w:t>
                  </w:r>
                </w:p>
              </w:tc>
              <w:tc>
                <w:tcPr>
                  <w:tcW w:w="2507" w:type="dxa"/>
                  <w:vAlign w:val="center"/>
                </w:tcPr>
                <w:p>
                  <w:pPr>
                    <w:autoSpaceDE w:val="0"/>
                    <w:autoSpaceDN w:val="0"/>
                    <w:adjustRightInd w:val="0"/>
                    <w:jc w:val="center"/>
                    <w:rPr>
                      <w:rFonts w:cs="Calibri"/>
                      <w:szCs w:val="18"/>
                    </w:rPr>
                  </w:pPr>
                  <w:r>
                    <w:rPr>
                      <w:rFonts w:hint="eastAsia" w:cs="Calibri"/>
                      <w:szCs w:val="18"/>
                    </w:rPr>
                    <w:t>人体站姿时头部位置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cs="Calibri"/>
                      <w:szCs w:val="18"/>
                    </w:rPr>
                  </w:pPr>
                  <w:r>
                    <w:rPr>
                      <w:rFonts w:hint="eastAsia" w:cs="Calibri"/>
                      <w:szCs w:val="18"/>
                    </w:rPr>
                    <w:t>H</w:t>
                  </w:r>
                  <w:r>
                    <w:rPr>
                      <w:rFonts w:hint="eastAsia" w:cs="Calibri"/>
                      <w:szCs w:val="18"/>
                      <w:vertAlign w:val="subscript"/>
                    </w:rPr>
                    <w:t>3</w:t>
                  </w:r>
                </w:p>
              </w:tc>
              <w:tc>
                <w:tcPr>
                  <w:tcW w:w="1911" w:type="dxa"/>
                  <w:vAlign w:val="center"/>
                </w:tcPr>
                <w:p>
                  <w:pPr>
                    <w:autoSpaceDE w:val="0"/>
                    <w:autoSpaceDN w:val="0"/>
                    <w:adjustRightInd w:val="0"/>
                    <w:jc w:val="center"/>
                    <w:rPr>
                      <w:rFonts w:cs="Calibri"/>
                      <w:szCs w:val="18"/>
                    </w:rPr>
                  </w:pPr>
                  <w:r>
                    <w:rPr>
                      <w:rFonts w:hint="eastAsia" w:cs="Calibri"/>
                      <w:szCs w:val="18"/>
                    </w:rPr>
                    <w:t>1.1</w:t>
                  </w:r>
                </w:p>
              </w:tc>
              <w:tc>
                <w:tcPr>
                  <w:tcW w:w="2507" w:type="dxa"/>
                  <w:vAlign w:val="center"/>
                </w:tcPr>
                <w:p>
                  <w:pPr>
                    <w:autoSpaceDE w:val="0"/>
                    <w:autoSpaceDN w:val="0"/>
                    <w:adjustRightInd w:val="0"/>
                    <w:jc w:val="center"/>
                    <w:rPr>
                      <w:rFonts w:cs="Calibri"/>
                      <w:szCs w:val="18"/>
                    </w:rPr>
                  </w:pPr>
                  <w:r>
                    <w:rPr>
                      <w:rFonts w:hint="eastAsia" w:cs="Calibri"/>
                      <w:szCs w:val="18"/>
                    </w:rPr>
                    <w:t>人体坐姿时头部位置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6" w:type="dxa"/>
                  <w:vAlign w:val="center"/>
                </w:tcPr>
                <w:p>
                  <w:pPr>
                    <w:autoSpaceDE w:val="0"/>
                    <w:autoSpaceDN w:val="0"/>
                    <w:adjustRightInd w:val="0"/>
                    <w:jc w:val="center"/>
                    <w:rPr>
                      <w:rFonts w:cs="Calibri"/>
                      <w:szCs w:val="18"/>
                    </w:rPr>
                  </w:pPr>
                  <w:r>
                    <w:rPr>
                      <w:rFonts w:hint="eastAsia" w:cs="Calibri"/>
                      <w:szCs w:val="18"/>
                    </w:rPr>
                    <w:t>H</w:t>
                  </w:r>
                  <w:r>
                    <w:rPr>
                      <w:rFonts w:hint="eastAsia" w:cs="Calibri"/>
                      <w:szCs w:val="18"/>
                      <w:vertAlign w:val="subscript"/>
                    </w:rPr>
                    <w:t>2</w:t>
                  </w:r>
                </w:p>
              </w:tc>
              <w:tc>
                <w:tcPr>
                  <w:tcW w:w="1911" w:type="dxa"/>
                  <w:vAlign w:val="center"/>
                </w:tcPr>
                <w:p>
                  <w:pPr>
                    <w:autoSpaceDE w:val="0"/>
                    <w:autoSpaceDN w:val="0"/>
                    <w:adjustRightInd w:val="0"/>
                    <w:jc w:val="center"/>
                    <w:rPr>
                      <w:rFonts w:cs="Calibri"/>
                      <w:szCs w:val="18"/>
                    </w:rPr>
                  </w:pPr>
                  <w:r>
                    <w:rPr>
                      <w:rFonts w:hint="eastAsia" w:cs="Calibri"/>
                      <w:szCs w:val="18"/>
                    </w:rPr>
                    <w:t>0.6</w:t>
                  </w:r>
                </w:p>
              </w:tc>
              <w:tc>
                <w:tcPr>
                  <w:tcW w:w="2507" w:type="dxa"/>
                  <w:vAlign w:val="center"/>
                </w:tcPr>
                <w:p>
                  <w:pPr>
                    <w:autoSpaceDE w:val="0"/>
                    <w:autoSpaceDN w:val="0"/>
                    <w:adjustRightInd w:val="0"/>
                    <w:jc w:val="center"/>
                    <w:rPr>
                      <w:rFonts w:cs="Calibri"/>
                      <w:szCs w:val="18"/>
                    </w:rPr>
                  </w:pPr>
                  <w:r>
                    <w:rPr>
                      <w:rFonts w:hint="eastAsia" w:cs="Calibri"/>
                      <w:szCs w:val="18"/>
                    </w:rPr>
                    <w:t>人体蹲坐时头部位置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Align w:val="center"/>
                </w:tcPr>
                <w:p>
                  <w:pPr>
                    <w:autoSpaceDE w:val="0"/>
                    <w:autoSpaceDN w:val="0"/>
                    <w:adjustRightInd w:val="0"/>
                    <w:jc w:val="center"/>
                    <w:rPr>
                      <w:rFonts w:cs="Calibri"/>
                      <w:szCs w:val="18"/>
                    </w:rPr>
                  </w:pPr>
                  <w:r>
                    <w:rPr>
                      <w:rFonts w:hint="eastAsia" w:cs="Calibri"/>
                      <w:szCs w:val="18"/>
                    </w:rPr>
                    <w:t>H</w:t>
                  </w:r>
                  <w:r>
                    <w:rPr>
                      <w:rFonts w:hint="eastAsia" w:cs="Calibri"/>
                      <w:szCs w:val="18"/>
                      <w:vertAlign w:val="subscript"/>
                    </w:rPr>
                    <w:t>1</w:t>
                  </w:r>
                </w:p>
              </w:tc>
              <w:tc>
                <w:tcPr>
                  <w:tcW w:w="1911" w:type="dxa"/>
                  <w:vAlign w:val="center"/>
                </w:tcPr>
                <w:p>
                  <w:pPr>
                    <w:autoSpaceDE w:val="0"/>
                    <w:autoSpaceDN w:val="0"/>
                    <w:adjustRightInd w:val="0"/>
                    <w:jc w:val="center"/>
                    <w:rPr>
                      <w:rFonts w:cs="Calibri"/>
                      <w:szCs w:val="18"/>
                    </w:rPr>
                  </w:pPr>
                  <w:r>
                    <w:rPr>
                      <w:rFonts w:hint="eastAsia" w:cs="Calibri"/>
                      <w:szCs w:val="18"/>
                    </w:rPr>
                    <w:t>0.1</w:t>
                  </w:r>
                </w:p>
              </w:tc>
              <w:tc>
                <w:tcPr>
                  <w:tcW w:w="2507" w:type="dxa"/>
                  <w:vAlign w:val="center"/>
                </w:tcPr>
                <w:p>
                  <w:pPr>
                    <w:autoSpaceDE w:val="0"/>
                    <w:autoSpaceDN w:val="0"/>
                    <w:adjustRightInd w:val="0"/>
                    <w:jc w:val="center"/>
                    <w:rPr>
                      <w:rFonts w:cs="Calibri"/>
                      <w:szCs w:val="18"/>
                    </w:rPr>
                  </w:pPr>
                  <w:r>
                    <w:rPr>
                      <w:rFonts w:hint="eastAsia" w:cs="Calibri"/>
                      <w:szCs w:val="18"/>
                    </w:rPr>
                    <w:t>人体脚踝位置</w:t>
                  </w:r>
                </w:p>
              </w:tc>
            </w:tr>
          </w:tbl>
          <w:p>
            <w:pPr>
              <w:jc w:val="left"/>
              <w:rPr>
                <w:rFonts w:eastAsia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81" w:hRule="atLeast"/>
        </w:trPr>
        <w:tc>
          <w:tcPr>
            <w:tcW w:w="340" w:type="pct"/>
            <w:vMerge w:val="continue"/>
            <w:tcBorders>
              <w:left w:val="single" w:color="auto" w:sz="4" w:space="0"/>
            </w:tcBorders>
            <w:vAlign w:val="center"/>
          </w:tcPr>
          <w:p>
            <w:pPr>
              <w:jc w:val="center"/>
              <w:rPr>
                <w:rFonts w:eastAsiaTheme="minorEastAsia"/>
              </w:rPr>
            </w:pPr>
          </w:p>
        </w:tc>
        <w:tc>
          <w:tcPr>
            <w:tcW w:w="843" w:type="pct"/>
            <w:tcBorders>
              <w:left w:val="single" w:color="auto" w:sz="4" w:space="0"/>
            </w:tcBorders>
            <w:vAlign w:val="center"/>
          </w:tcPr>
          <w:p>
            <w:pPr>
              <w:jc w:val="center"/>
              <w:rPr>
                <w:color w:val="000000" w:themeColor="text1"/>
                <w14:textFill>
                  <w14:solidFill>
                    <w14:schemeClr w14:val="tx1"/>
                  </w14:solidFill>
                </w14:textFill>
              </w:rPr>
            </w:pPr>
            <w:r>
              <w:rPr>
                <w:rFonts w:eastAsiaTheme="minorEastAsia"/>
              </w:rPr>
              <w:t>吹风感指数</w:t>
            </w:r>
          </w:p>
        </w:tc>
        <w:tc>
          <w:tcPr>
            <w:tcW w:w="3817" w:type="pct"/>
            <w:tcBorders>
              <w:right w:val="single" w:color="auto" w:sz="4" w:space="0"/>
            </w:tcBorders>
            <w:vAlign w:val="center"/>
          </w:tcPr>
          <w:p>
            <w:pPr>
              <w:jc w:val="left"/>
              <w:rPr>
                <w:rFonts w:eastAsiaTheme="minorEastAsia"/>
              </w:rPr>
            </w:pPr>
            <w:r>
              <w:rPr>
                <w:color w:val="000000" w:themeColor="text1"/>
                <w14:textFill>
                  <w14:solidFill>
                    <w14:schemeClr w14:val="tx1"/>
                  </w14:solidFill>
                </w14:textFill>
              </w:rPr>
              <w:t>制冷、制热工况下测试的吹风感指数应小于40%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6" w:hRule="atLeast"/>
        </w:trPr>
        <w:tc>
          <w:tcPr>
            <w:tcW w:w="340" w:type="pct"/>
            <w:vMerge w:val="continue"/>
            <w:tcBorders>
              <w:left w:val="single" w:color="auto" w:sz="4" w:space="0"/>
            </w:tcBorders>
            <w:vAlign w:val="center"/>
          </w:tcPr>
          <w:p>
            <w:pPr>
              <w:jc w:val="center"/>
              <w:rPr>
                <w:rFonts w:eastAsiaTheme="minorEastAsia"/>
              </w:rPr>
            </w:pPr>
          </w:p>
        </w:tc>
        <w:tc>
          <w:tcPr>
            <w:tcW w:w="843" w:type="pct"/>
            <w:tcBorders>
              <w:left w:val="single" w:color="auto" w:sz="4" w:space="0"/>
            </w:tcBorders>
            <w:vAlign w:val="center"/>
          </w:tcPr>
          <w:p>
            <w:pPr>
              <w:jc w:val="center"/>
              <w:rPr>
                <w:color w:val="000000" w:themeColor="text1"/>
                <w14:textFill>
                  <w14:solidFill>
                    <w14:schemeClr w14:val="tx1"/>
                  </w14:solidFill>
                </w14:textFill>
              </w:rPr>
            </w:pPr>
            <w:r>
              <w:rPr>
                <w:rFonts w:eastAsiaTheme="minorEastAsia"/>
              </w:rPr>
              <w:t>测量期耗电量</w:t>
            </w:r>
          </w:p>
        </w:tc>
        <w:tc>
          <w:tcPr>
            <w:tcW w:w="3817" w:type="pct"/>
            <w:tcBorders>
              <w:right w:val="single" w:color="auto" w:sz="4" w:space="0"/>
            </w:tcBorders>
            <w:vAlign w:val="center"/>
          </w:tcPr>
          <w:p>
            <w:pPr>
              <w:jc w:val="left"/>
              <w:rPr>
                <w:rFonts w:eastAsiaTheme="minorEastAsia"/>
              </w:rPr>
            </w:pPr>
            <w:r>
              <w:rPr>
                <w:color w:val="000000" w:themeColor="text1"/>
                <w14:textFill>
                  <w14:solidFill>
                    <w14:schemeClr w14:val="tx1"/>
                  </w14:solidFill>
                </w14:textFill>
              </w:rPr>
              <w:t>记录测量期耗电量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0" w:hRule="atLeast"/>
        </w:trPr>
        <w:tc>
          <w:tcPr>
            <w:tcW w:w="340" w:type="pct"/>
            <w:vMerge w:val="continue"/>
            <w:tcBorders>
              <w:left w:val="single" w:color="auto" w:sz="4" w:space="0"/>
            </w:tcBorders>
            <w:vAlign w:val="center"/>
          </w:tcPr>
          <w:p>
            <w:pPr>
              <w:jc w:val="center"/>
              <w:rPr>
                <w:rFonts w:eastAsiaTheme="minorEastAsia"/>
              </w:rPr>
            </w:pPr>
          </w:p>
        </w:tc>
        <w:tc>
          <w:tcPr>
            <w:tcW w:w="843" w:type="pct"/>
            <w:tcBorders>
              <w:left w:val="single" w:color="auto" w:sz="4" w:space="0"/>
            </w:tcBorders>
            <w:vAlign w:val="center"/>
          </w:tcPr>
          <w:p>
            <w:pPr>
              <w:jc w:val="center"/>
              <w:rPr>
                <w:rFonts w:eastAsiaTheme="minorEastAsia"/>
              </w:rPr>
            </w:pPr>
            <w:r>
              <w:rPr>
                <w:rFonts w:eastAsiaTheme="minorEastAsia"/>
              </w:rPr>
              <w:t>热舒适</w:t>
            </w:r>
          </w:p>
        </w:tc>
        <w:tc>
          <w:tcPr>
            <w:tcW w:w="3817" w:type="pct"/>
            <w:tcBorders>
              <w:right w:val="single" w:color="auto" w:sz="4" w:space="0"/>
            </w:tcBorders>
            <w:vAlign w:val="center"/>
          </w:tcPr>
          <w:p>
            <w:pPr>
              <w:jc w:val="left"/>
              <w:rPr>
                <w:rFonts w:eastAsiaTheme="minorEastAsia"/>
              </w:rPr>
            </w:pPr>
            <w:r>
              <w:rPr>
                <w:rFonts w:eastAsiaTheme="minorEastAsia"/>
              </w:rPr>
              <w:t>记录热环境动态阶段、稳态阶段的主观热舒适评价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1" w:hRule="atLeast"/>
        </w:trPr>
        <w:tc>
          <w:tcPr>
            <w:tcW w:w="340" w:type="pct"/>
            <w:vMerge w:val="continue"/>
            <w:tcBorders>
              <w:left w:val="single" w:color="auto" w:sz="4" w:space="0"/>
            </w:tcBorders>
            <w:vAlign w:val="center"/>
          </w:tcPr>
          <w:p>
            <w:pPr>
              <w:jc w:val="center"/>
              <w:rPr>
                <w:rFonts w:eastAsiaTheme="minorEastAsia"/>
              </w:rPr>
            </w:pPr>
          </w:p>
        </w:tc>
        <w:tc>
          <w:tcPr>
            <w:tcW w:w="843" w:type="pct"/>
            <w:tcBorders>
              <w:left w:val="single" w:color="auto" w:sz="4" w:space="0"/>
            </w:tcBorders>
            <w:vAlign w:val="center"/>
          </w:tcPr>
          <w:p>
            <w:pPr>
              <w:jc w:val="center"/>
              <w:rPr>
                <w:rFonts w:eastAsiaTheme="minorEastAsia"/>
              </w:rPr>
            </w:pPr>
            <w:r>
              <w:rPr>
                <w:rFonts w:eastAsiaTheme="minorEastAsia"/>
              </w:rPr>
              <w:t>预测平均热感觉指数</w:t>
            </w:r>
          </w:p>
        </w:tc>
        <w:tc>
          <w:tcPr>
            <w:tcW w:w="3817" w:type="pct"/>
            <w:tcBorders>
              <w:right w:val="single" w:color="auto" w:sz="4" w:space="0"/>
            </w:tcBorders>
            <w:vAlign w:val="center"/>
          </w:tcPr>
          <w:p>
            <w:pPr>
              <w:jc w:val="left"/>
              <w:rPr>
                <w:rFonts w:eastAsiaTheme="minorEastAsia"/>
              </w:rPr>
            </w:pPr>
            <w:r>
              <w:rPr>
                <w:rFonts w:eastAsiaTheme="minorEastAsia"/>
              </w:rPr>
              <w:t>记录热环境动态阶段、稳态阶段的主观热感觉评价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340" w:type="pct"/>
            <w:vMerge w:val="continue"/>
            <w:tcBorders>
              <w:left w:val="single" w:color="auto" w:sz="4" w:space="0"/>
            </w:tcBorders>
            <w:vAlign w:val="center"/>
          </w:tcPr>
          <w:p>
            <w:pPr>
              <w:jc w:val="center"/>
              <w:rPr>
                <w:rFonts w:eastAsiaTheme="minorEastAsia"/>
              </w:rPr>
            </w:pPr>
          </w:p>
        </w:tc>
        <w:tc>
          <w:tcPr>
            <w:tcW w:w="843" w:type="pct"/>
            <w:tcBorders>
              <w:left w:val="single" w:color="auto" w:sz="4" w:space="0"/>
            </w:tcBorders>
            <w:vAlign w:val="center"/>
          </w:tcPr>
          <w:p>
            <w:pPr>
              <w:jc w:val="center"/>
              <w:rPr>
                <w:rFonts w:eastAsiaTheme="minorEastAsia"/>
              </w:rPr>
            </w:pPr>
            <w:r>
              <w:rPr>
                <w:rFonts w:eastAsiaTheme="minorEastAsia"/>
              </w:rPr>
              <w:t>降温速率</w:t>
            </w:r>
          </w:p>
        </w:tc>
        <w:tc>
          <w:tcPr>
            <w:tcW w:w="3817" w:type="pct"/>
            <w:tcBorders>
              <w:right w:val="single" w:color="auto" w:sz="4" w:space="0"/>
            </w:tcBorders>
            <w:vAlign w:val="center"/>
          </w:tcPr>
          <w:p>
            <w:pPr>
              <w:jc w:val="left"/>
              <w:rPr>
                <w:rFonts w:eastAsiaTheme="minorEastAsia"/>
              </w:rPr>
            </w:pPr>
            <w:r>
              <w:rPr>
                <w:rFonts w:eastAsiaTheme="minorEastAsia"/>
              </w:rPr>
              <w:t>人体站姿时活动区域H4截面高度及以下的降温速率不低于0.4℃/min；</w:t>
            </w:r>
          </w:p>
          <w:p>
            <w:pPr>
              <w:jc w:val="left"/>
              <w:rPr>
                <w:rFonts w:eastAsiaTheme="minorEastAsia"/>
              </w:rPr>
            </w:pPr>
            <w:r>
              <w:rPr>
                <w:rFonts w:eastAsiaTheme="minorEastAsia"/>
              </w:rPr>
              <w:t>人体坐姿时活动区域H3截面高度及以下的降温速率不低于0.4℃/min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92" w:hRule="atLeast"/>
        </w:trPr>
        <w:tc>
          <w:tcPr>
            <w:tcW w:w="340" w:type="pct"/>
            <w:vMerge w:val="continue"/>
            <w:tcBorders>
              <w:left w:val="single" w:color="auto" w:sz="4" w:space="0"/>
            </w:tcBorders>
            <w:vAlign w:val="center"/>
          </w:tcPr>
          <w:p>
            <w:pPr>
              <w:jc w:val="center"/>
              <w:rPr>
                <w:rFonts w:eastAsiaTheme="minorEastAsia"/>
              </w:rPr>
            </w:pPr>
          </w:p>
        </w:tc>
        <w:tc>
          <w:tcPr>
            <w:tcW w:w="843" w:type="pct"/>
            <w:tcBorders>
              <w:left w:val="single" w:color="auto" w:sz="4" w:space="0"/>
            </w:tcBorders>
            <w:vAlign w:val="center"/>
          </w:tcPr>
          <w:p>
            <w:pPr>
              <w:jc w:val="center"/>
              <w:rPr>
                <w:rFonts w:eastAsiaTheme="minorEastAsia"/>
              </w:rPr>
            </w:pPr>
            <w:r>
              <w:rPr>
                <w:rFonts w:eastAsiaTheme="minorEastAsia"/>
              </w:rPr>
              <w:t>升温速率</w:t>
            </w:r>
          </w:p>
        </w:tc>
        <w:tc>
          <w:tcPr>
            <w:tcW w:w="3817" w:type="pct"/>
            <w:tcBorders>
              <w:right w:val="single" w:color="auto" w:sz="4" w:space="0"/>
            </w:tcBorders>
            <w:vAlign w:val="center"/>
          </w:tcPr>
          <w:p>
            <w:pPr>
              <w:jc w:val="left"/>
              <w:rPr>
                <w:rFonts w:eastAsiaTheme="minorEastAsia"/>
              </w:rPr>
            </w:pPr>
            <w:r>
              <w:rPr>
                <w:rFonts w:eastAsiaTheme="minorEastAsia"/>
              </w:rPr>
              <w:t>人体站姿时活动区域H4截面高度及以下的升温速率不低于0.5℃/min；人体坐姿时活动区域H3截面高度及以下的升温速率不低于0.5℃/min</w:t>
            </w:r>
          </w:p>
        </w:tc>
      </w:tr>
    </w:tbl>
    <w:p>
      <w:pPr>
        <w:pStyle w:val="50"/>
        <w:numPr>
          <w:ilvl w:val="0"/>
          <w:numId w:val="0"/>
        </w:numPr>
        <w:spacing w:before="156" w:after="156"/>
        <w:rPr>
          <w:rFonts w:ascii="Times New Roman" w:eastAsia="宋体" w:cs="Times New Roman"/>
          <w:b/>
          <w:color w:val="000000" w:themeColor="text1"/>
          <w:kern w:val="2"/>
          <w:sz w:val="24"/>
          <w:szCs w:val="24"/>
          <w14:textFill>
            <w14:solidFill>
              <w14:schemeClr w14:val="tx1"/>
            </w14:solidFill>
          </w14:textFill>
        </w:rPr>
      </w:pPr>
      <w:r>
        <w:rPr>
          <w:rFonts w:hint="eastAsia" w:ascii="Times New Roman" w:eastAsia="宋体" w:cs="Times New Roman"/>
          <w:b/>
          <w:color w:val="000000" w:themeColor="text1"/>
          <w:kern w:val="2"/>
          <w:sz w:val="24"/>
          <w:szCs w:val="24"/>
          <w14:textFill>
            <w14:solidFill>
              <w14:schemeClr w14:val="tx1"/>
            </w14:solidFill>
          </w14:textFill>
        </w:rPr>
        <w:t>3.5 试验方法</w:t>
      </w:r>
    </w:p>
    <w:p>
      <w:pPr>
        <w:spacing w:line="360" w:lineRule="auto"/>
        <w:ind w:firstLine="465"/>
        <w:rPr>
          <w:sz w:val="24"/>
          <w:szCs w:val="24"/>
        </w:rPr>
      </w:pPr>
      <w:r>
        <w:rPr>
          <w:sz w:val="24"/>
          <w:szCs w:val="24"/>
        </w:rPr>
        <w:t>本标准参考相关的国家标准、行业标准、企业标准的测试方法内容，对房间空气调节器室内热舒适性评价方法进行了规范。</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1、</w:t>
      </w:r>
      <w:r>
        <w:rPr>
          <w:rFonts w:ascii="Times New Roman" w:cs="Times New Roman"/>
          <w:color w:val="000000" w:themeColor="text1"/>
          <w:kern w:val="2"/>
          <w:sz w:val="24"/>
          <w:szCs w:val="24"/>
          <w14:textFill>
            <w14:solidFill>
              <w14:schemeClr w14:val="tx1"/>
            </w14:solidFill>
          </w14:textFill>
        </w:rPr>
        <w:t xml:space="preserve">试验条件 </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1）</w:t>
      </w:r>
      <w:r>
        <w:rPr>
          <w:rFonts w:ascii="Times New Roman" w:cs="Times New Roman"/>
          <w:color w:val="000000" w:themeColor="text1"/>
          <w:kern w:val="2"/>
          <w:sz w:val="24"/>
          <w:szCs w:val="24"/>
          <w14:textFill>
            <w14:solidFill>
              <w14:schemeClr w14:val="tx1"/>
            </w14:solidFill>
          </w14:textFill>
        </w:rPr>
        <w:t>空调器的安装、设置符合GB/T 7725的相关要求。</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2）</w:t>
      </w:r>
      <w:r>
        <w:rPr>
          <w:rFonts w:ascii="Times New Roman" w:cs="Times New Roman"/>
          <w:color w:val="000000" w:themeColor="text1"/>
          <w:kern w:val="2"/>
          <w:sz w:val="24"/>
          <w:szCs w:val="24"/>
          <w14:textFill>
            <w14:solidFill>
              <w14:schemeClr w14:val="tx1"/>
            </w14:solidFill>
          </w14:textFill>
        </w:rPr>
        <w:t>测试房间工况见表2规定，空调器相邻房间的温度等状态与所在测试房间需保持一致</w:t>
      </w:r>
      <w:r>
        <w:rPr>
          <w:rFonts w:hint="eastAsia" w:ascii="Times New Roman" w:cs="Times New Roman"/>
          <w:color w:val="000000" w:themeColor="text1"/>
          <w:kern w:val="2"/>
          <w:sz w:val="24"/>
          <w:szCs w:val="24"/>
          <w14:textFill>
            <w14:solidFill>
              <w14:schemeClr w14:val="tx1"/>
            </w14:solidFill>
          </w14:textFill>
        </w:rPr>
        <w:t>。</w:t>
      </w:r>
    </w:p>
    <w:p>
      <w:pPr>
        <w:spacing w:line="360" w:lineRule="auto"/>
        <w:ind w:firstLine="420"/>
        <w:jc w:val="center"/>
        <w:rPr>
          <w:rFonts w:hint="eastAsia" w:ascii="黑体" w:hAnsi="黑体" w:eastAsia="黑体"/>
        </w:rPr>
      </w:pPr>
      <w:r>
        <w:rPr>
          <w:rFonts w:hint="eastAsia" w:ascii="黑体" w:hAnsi="黑体" w:eastAsia="黑体"/>
        </w:rPr>
        <w:t>表</w:t>
      </w:r>
      <w:r>
        <w:rPr>
          <w:rFonts w:ascii="黑体" w:hAnsi="黑体" w:eastAsia="黑体"/>
        </w:rPr>
        <w:t>2</w:t>
      </w:r>
      <w:r>
        <w:rPr>
          <w:rFonts w:hint="eastAsia" w:ascii="黑体" w:hAnsi="黑体" w:eastAsia="黑体"/>
        </w:rPr>
        <w:t xml:space="preserve"> 试验工</w:t>
      </w:r>
      <w:r>
        <w:rPr>
          <w:rFonts w:ascii="黑体" w:hAnsi="黑体" w:eastAsia="黑体"/>
        </w:rPr>
        <w:t>况</w:t>
      </w:r>
    </w:p>
    <w:p>
      <w:pPr>
        <w:spacing w:line="360" w:lineRule="auto"/>
        <w:ind w:firstLine="420"/>
        <w:jc w:val="right"/>
        <w:rPr>
          <w:rFonts w:hint="eastAsia" w:ascii="黑体" w:hAnsi="黑体" w:eastAsia="黑体"/>
        </w:rPr>
      </w:pPr>
      <w:r>
        <w:rPr>
          <w:rFonts w:hint="eastAsia" w:ascii="宋体" w:hAnsi="宋体"/>
          <w:sz w:val="18"/>
          <w:szCs w:val="18"/>
        </w:rPr>
        <w:t>单位为摄氏度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693"/>
        <w:gridCol w:w="1528"/>
        <w:gridCol w:w="1528"/>
        <w:gridCol w:w="151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shd w:val="clear" w:color="auto" w:fill="auto"/>
            <w:vAlign w:val="center"/>
          </w:tcPr>
          <w:p>
            <w:pPr>
              <w:jc w:val="center"/>
              <w:rPr>
                <w:sz w:val="18"/>
                <w:szCs w:val="18"/>
              </w:rPr>
            </w:pPr>
            <w:r>
              <w:rPr>
                <w:rFonts w:hint="eastAsia"/>
                <w:sz w:val="18"/>
                <w:szCs w:val="18"/>
              </w:rPr>
              <w:t>序号</w:t>
            </w:r>
          </w:p>
        </w:tc>
        <w:tc>
          <w:tcPr>
            <w:tcW w:w="1985" w:type="dxa"/>
            <w:vMerge w:val="restart"/>
            <w:shd w:val="clear" w:color="auto" w:fill="auto"/>
            <w:vAlign w:val="center"/>
          </w:tcPr>
          <w:p>
            <w:pPr>
              <w:jc w:val="center"/>
              <w:rPr>
                <w:sz w:val="18"/>
                <w:szCs w:val="18"/>
              </w:rPr>
            </w:pPr>
            <w:r>
              <w:rPr>
                <w:rFonts w:hint="eastAsia"/>
                <w:sz w:val="18"/>
                <w:szCs w:val="18"/>
              </w:rPr>
              <w:t>环境</w:t>
            </w:r>
            <w:r>
              <w:rPr>
                <w:sz w:val="18"/>
                <w:szCs w:val="18"/>
              </w:rPr>
              <w:t>参数</w:t>
            </w:r>
          </w:p>
        </w:tc>
        <w:tc>
          <w:tcPr>
            <w:tcW w:w="6769" w:type="dxa"/>
            <w:gridSpan w:val="4"/>
          </w:tcPr>
          <w:p>
            <w:pPr>
              <w:jc w:val="center"/>
              <w:rPr>
                <w:sz w:val="18"/>
                <w:szCs w:val="18"/>
              </w:rPr>
            </w:pPr>
            <w:r>
              <w:rPr>
                <w:rFonts w:hint="eastAsia"/>
                <w:sz w:val="18"/>
                <w:szCs w:val="18"/>
              </w:rPr>
              <w:t>设定</w:t>
            </w:r>
            <w:r>
              <w:rPr>
                <w:sz w:val="18"/>
                <w:szCs w:val="18"/>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vAlign w:val="center"/>
          </w:tcPr>
          <w:p>
            <w:pPr>
              <w:jc w:val="center"/>
              <w:rPr>
                <w:sz w:val="18"/>
                <w:szCs w:val="18"/>
              </w:rPr>
            </w:pPr>
          </w:p>
        </w:tc>
        <w:tc>
          <w:tcPr>
            <w:tcW w:w="1985" w:type="dxa"/>
            <w:vMerge w:val="continue"/>
            <w:shd w:val="clear" w:color="auto" w:fill="auto"/>
            <w:vAlign w:val="center"/>
          </w:tcPr>
          <w:p>
            <w:pPr>
              <w:jc w:val="center"/>
              <w:rPr>
                <w:sz w:val="18"/>
                <w:szCs w:val="18"/>
              </w:rPr>
            </w:pPr>
          </w:p>
        </w:tc>
        <w:tc>
          <w:tcPr>
            <w:tcW w:w="1692" w:type="dxa"/>
            <w:vAlign w:val="center"/>
          </w:tcPr>
          <w:p>
            <w:pPr>
              <w:jc w:val="center"/>
              <w:rPr>
                <w:sz w:val="18"/>
                <w:szCs w:val="18"/>
              </w:rPr>
            </w:pPr>
            <w:r>
              <w:rPr>
                <w:rFonts w:hint="eastAsia"/>
                <w:sz w:val="18"/>
                <w:szCs w:val="18"/>
              </w:rPr>
              <w:t>制冷工况</w:t>
            </w:r>
          </w:p>
          <w:p>
            <w:pPr>
              <w:jc w:val="center"/>
              <w:rPr>
                <w:sz w:val="18"/>
                <w:szCs w:val="18"/>
              </w:rPr>
            </w:pPr>
            <w:r>
              <w:rPr>
                <w:rFonts w:hint="eastAsia"/>
                <w:sz w:val="18"/>
                <w:szCs w:val="18"/>
              </w:rPr>
              <w:t>（夏季</w:t>
            </w:r>
            <w:r>
              <w:rPr>
                <w:sz w:val="18"/>
                <w:szCs w:val="18"/>
              </w:rPr>
              <w:t>条件</w:t>
            </w:r>
            <w:r>
              <w:rPr>
                <w:rFonts w:hint="eastAsia"/>
                <w:sz w:val="18"/>
                <w:szCs w:val="18"/>
              </w:rPr>
              <w:t>）</w:t>
            </w:r>
          </w:p>
        </w:tc>
        <w:tc>
          <w:tcPr>
            <w:tcW w:w="1692" w:type="dxa"/>
            <w:vAlign w:val="center"/>
          </w:tcPr>
          <w:p>
            <w:pPr>
              <w:jc w:val="center"/>
              <w:rPr>
                <w:sz w:val="18"/>
                <w:szCs w:val="18"/>
              </w:rPr>
            </w:pPr>
            <w:r>
              <w:rPr>
                <w:rFonts w:hint="eastAsia"/>
                <w:sz w:val="18"/>
                <w:szCs w:val="18"/>
              </w:rPr>
              <w:t>制冷工况</w:t>
            </w:r>
          </w:p>
          <w:p>
            <w:pPr>
              <w:jc w:val="center"/>
              <w:rPr>
                <w:sz w:val="18"/>
                <w:szCs w:val="18"/>
              </w:rPr>
            </w:pPr>
            <w:r>
              <w:rPr>
                <w:rFonts w:hint="eastAsia"/>
                <w:sz w:val="18"/>
                <w:szCs w:val="18"/>
              </w:rPr>
              <w:t>（高温</w:t>
            </w:r>
            <w:r>
              <w:rPr>
                <w:sz w:val="18"/>
                <w:szCs w:val="18"/>
              </w:rPr>
              <w:t>条件</w:t>
            </w:r>
            <w:r>
              <w:rPr>
                <w:rFonts w:hint="eastAsia"/>
                <w:sz w:val="18"/>
                <w:szCs w:val="18"/>
              </w:rPr>
              <w:t>）</w:t>
            </w:r>
          </w:p>
        </w:tc>
        <w:tc>
          <w:tcPr>
            <w:tcW w:w="1692" w:type="dxa"/>
            <w:shd w:val="clear" w:color="auto" w:fill="auto"/>
            <w:vAlign w:val="center"/>
          </w:tcPr>
          <w:p>
            <w:pPr>
              <w:jc w:val="center"/>
              <w:rPr>
                <w:sz w:val="18"/>
                <w:szCs w:val="18"/>
              </w:rPr>
            </w:pPr>
            <w:r>
              <w:rPr>
                <w:rFonts w:hint="eastAsia"/>
                <w:sz w:val="18"/>
                <w:szCs w:val="18"/>
              </w:rPr>
              <w:t>制热工况</w:t>
            </w:r>
          </w:p>
          <w:p>
            <w:pPr>
              <w:jc w:val="center"/>
              <w:rPr>
                <w:sz w:val="18"/>
                <w:szCs w:val="18"/>
              </w:rPr>
            </w:pPr>
            <w:r>
              <w:rPr>
                <w:rFonts w:hint="eastAsia"/>
                <w:sz w:val="18"/>
                <w:szCs w:val="18"/>
              </w:rPr>
              <w:t>（冬季</w:t>
            </w:r>
            <w:r>
              <w:rPr>
                <w:sz w:val="18"/>
                <w:szCs w:val="18"/>
              </w:rPr>
              <w:t>条件</w:t>
            </w:r>
            <w:r>
              <w:rPr>
                <w:rFonts w:hint="eastAsia"/>
                <w:sz w:val="18"/>
                <w:szCs w:val="18"/>
              </w:rPr>
              <w:t>）</w:t>
            </w:r>
          </w:p>
        </w:tc>
        <w:tc>
          <w:tcPr>
            <w:tcW w:w="1693" w:type="dxa"/>
            <w:vAlign w:val="center"/>
          </w:tcPr>
          <w:p>
            <w:pPr>
              <w:jc w:val="center"/>
              <w:rPr>
                <w:sz w:val="18"/>
                <w:szCs w:val="18"/>
              </w:rPr>
            </w:pPr>
            <w:r>
              <w:rPr>
                <w:rFonts w:hint="eastAsia"/>
                <w:sz w:val="18"/>
                <w:szCs w:val="18"/>
              </w:rPr>
              <w:t>制热工况</w:t>
            </w:r>
          </w:p>
          <w:p>
            <w:pPr>
              <w:jc w:val="center"/>
              <w:rPr>
                <w:sz w:val="18"/>
                <w:szCs w:val="18"/>
              </w:rPr>
            </w:pPr>
            <w:r>
              <w:rPr>
                <w:rFonts w:hint="eastAsia"/>
                <w:sz w:val="18"/>
                <w:szCs w:val="18"/>
              </w:rPr>
              <w:t>（低温</w:t>
            </w:r>
            <w:r>
              <w:rPr>
                <w:sz w:val="18"/>
                <w:szCs w:val="18"/>
              </w:rPr>
              <w:t>条件</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jc w:val="center"/>
              <w:rPr>
                <w:sz w:val="18"/>
                <w:szCs w:val="18"/>
              </w:rPr>
            </w:pPr>
            <w:r>
              <w:rPr>
                <w:rFonts w:hint="eastAsia"/>
                <w:sz w:val="18"/>
                <w:szCs w:val="18"/>
              </w:rPr>
              <w:t>1</w:t>
            </w:r>
          </w:p>
        </w:tc>
        <w:tc>
          <w:tcPr>
            <w:tcW w:w="1985" w:type="dxa"/>
            <w:shd w:val="clear" w:color="auto" w:fill="auto"/>
            <w:vAlign w:val="center"/>
          </w:tcPr>
          <w:p>
            <w:pPr>
              <w:jc w:val="center"/>
              <w:rPr>
                <w:sz w:val="18"/>
                <w:szCs w:val="18"/>
              </w:rPr>
            </w:pPr>
            <w:r>
              <w:rPr>
                <w:rFonts w:hint="eastAsia"/>
                <w:sz w:val="18"/>
                <w:szCs w:val="18"/>
              </w:rPr>
              <w:t>室外</w:t>
            </w:r>
            <w:r>
              <w:rPr>
                <w:sz w:val="18"/>
                <w:szCs w:val="18"/>
              </w:rPr>
              <w:t>干球温度</w:t>
            </w:r>
          </w:p>
        </w:tc>
        <w:tc>
          <w:tcPr>
            <w:tcW w:w="1692" w:type="dxa"/>
            <w:vAlign w:val="center"/>
          </w:tcPr>
          <w:p>
            <w:pPr>
              <w:jc w:val="center"/>
              <w:rPr>
                <w:sz w:val="18"/>
                <w:szCs w:val="18"/>
              </w:rPr>
            </w:pPr>
            <w:r>
              <w:rPr>
                <w:rFonts w:hint="eastAsia"/>
                <w:sz w:val="18"/>
                <w:szCs w:val="18"/>
              </w:rPr>
              <w:t>35±0.5</w:t>
            </w:r>
          </w:p>
        </w:tc>
        <w:tc>
          <w:tcPr>
            <w:tcW w:w="1692" w:type="dxa"/>
            <w:vAlign w:val="center"/>
          </w:tcPr>
          <w:p>
            <w:pPr>
              <w:jc w:val="center"/>
              <w:rPr>
                <w:sz w:val="18"/>
                <w:szCs w:val="18"/>
              </w:rPr>
            </w:pPr>
            <w:r>
              <w:rPr>
                <w:sz w:val="18"/>
                <w:szCs w:val="18"/>
              </w:rPr>
              <w:t>43</w:t>
            </w:r>
            <w:r>
              <w:rPr>
                <w:rFonts w:hint="eastAsia"/>
                <w:sz w:val="18"/>
                <w:szCs w:val="18"/>
              </w:rPr>
              <w:t>±0.5</w:t>
            </w:r>
          </w:p>
        </w:tc>
        <w:tc>
          <w:tcPr>
            <w:tcW w:w="1692" w:type="dxa"/>
            <w:shd w:val="clear" w:color="auto" w:fill="auto"/>
            <w:vAlign w:val="center"/>
          </w:tcPr>
          <w:p>
            <w:pPr>
              <w:jc w:val="center"/>
              <w:rPr>
                <w:sz w:val="18"/>
                <w:szCs w:val="18"/>
              </w:rPr>
            </w:pPr>
            <w:r>
              <w:rPr>
                <w:sz w:val="18"/>
                <w:szCs w:val="18"/>
              </w:rPr>
              <w:t>7</w:t>
            </w:r>
            <w:r>
              <w:rPr>
                <w:rFonts w:hint="eastAsia"/>
                <w:sz w:val="18"/>
                <w:szCs w:val="18"/>
              </w:rPr>
              <w:t>±0.5</w:t>
            </w:r>
          </w:p>
        </w:tc>
        <w:tc>
          <w:tcPr>
            <w:tcW w:w="1693" w:type="dxa"/>
            <w:vAlign w:val="center"/>
          </w:tcPr>
          <w:p>
            <w:pPr>
              <w:jc w:val="center"/>
              <w:rPr>
                <w:sz w:val="18"/>
                <w:szCs w:val="18"/>
              </w:rPr>
            </w:pPr>
            <w:r>
              <w:rPr>
                <w:sz w:val="18"/>
                <w:szCs w:val="18"/>
              </w:rPr>
              <w:t>-7</w:t>
            </w:r>
            <w:r>
              <w:rPr>
                <w:rFonts w:hint="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6" w:type="dxa"/>
            <w:shd w:val="clear" w:color="auto" w:fill="auto"/>
            <w:vAlign w:val="center"/>
          </w:tcPr>
          <w:p>
            <w:pPr>
              <w:jc w:val="center"/>
              <w:rPr>
                <w:sz w:val="18"/>
                <w:szCs w:val="18"/>
              </w:rPr>
            </w:pPr>
            <w:r>
              <w:rPr>
                <w:rFonts w:hint="eastAsia"/>
                <w:sz w:val="18"/>
                <w:szCs w:val="18"/>
              </w:rPr>
              <w:t>2</w:t>
            </w:r>
          </w:p>
        </w:tc>
        <w:tc>
          <w:tcPr>
            <w:tcW w:w="1985" w:type="dxa"/>
            <w:shd w:val="clear" w:color="auto" w:fill="auto"/>
            <w:vAlign w:val="center"/>
          </w:tcPr>
          <w:p>
            <w:pPr>
              <w:jc w:val="center"/>
              <w:rPr>
                <w:sz w:val="18"/>
                <w:szCs w:val="18"/>
              </w:rPr>
            </w:pPr>
            <w:r>
              <w:rPr>
                <w:rFonts w:hint="eastAsia"/>
                <w:sz w:val="18"/>
                <w:szCs w:val="18"/>
              </w:rPr>
              <w:t>室外湿</w:t>
            </w:r>
            <w:r>
              <w:rPr>
                <w:sz w:val="18"/>
                <w:szCs w:val="18"/>
              </w:rPr>
              <w:t>球温度</w:t>
            </w:r>
          </w:p>
        </w:tc>
        <w:tc>
          <w:tcPr>
            <w:tcW w:w="1692" w:type="dxa"/>
            <w:vAlign w:val="center"/>
          </w:tcPr>
          <w:p>
            <w:pPr>
              <w:jc w:val="center"/>
              <w:rPr>
                <w:sz w:val="18"/>
                <w:szCs w:val="18"/>
              </w:rPr>
            </w:pPr>
            <w:r>
              <w:rPr>
                <w:sz w:val="18"/>
                <w:szCs w:val="18"/>
              </w:rPr>
              <w:t>24</w:t>
            </w:r>
            <w:r>
              <w:rPr>
                <w:rFonts w:hint="eastAsia"/>
                <w:sz w:val="18"/>
                <w:szCs w:val="18"/>
              </w:rPr>
              <w:t>±0.5</w:t>
            </w:r>
          </w:p>
        </w:tc>
        <w:tc>
          <w:tcPr>
            <w:tcW w:w="1692" w:type="dxa"/>
            <w:vAlign w:val="center"/>
          </w:tcPr>
          <w:p>
            <w:pPr>
              <w:jc w:val="center"/>
              <w:rPr>
                <w:sz w:val="18"/>
                <w:szCs w:val="18"/>
              </w:rPr>
            </w:pPr>
            <w:r>
              <w:rPr>
                <w:sz w:val="18"/>
                <w:szCs w:val="18"/>
              </w:rPr>
              <w:t>/</w:t>
            </w:r>
          </w:p>
        </w:tc>
        <w:tc>
          <w:tcPr>
            <w:tcW w:w="1692" w:type="dxa"/>
            <w:shd w:val="clear" w:color="auto" w:fill="auto"/>
            <w:vAlign w:val="center"/>
          </w:tcPr>
          <w:p>
            <w:pPr>
              <w:jc w:val="center"/>
              <w:rPr>
                <w:sz w:val="18"/>
                <w:szCs w:val="18"/>
              </w:rPr>
            </w:pPr>
            <w:r>
              <w:rPr>
                <w:sz w:val="18"/>
                <w:szCs w:val="18"/>
              </w:rPr>
              <w:t>6</w:t>
            </w:r>
            <w:r>
              <w:rPr>
                <w:rFonts w:hint="eastAsia"/>
                <w:sz w:val="18"/>
                <w:szCs w:val="18"/>
              </w:rPr>
              <w:t>±0.5</w:t>
            </w:r>
          </w:p>
        </w:tc>
        <w:tc>
          <w:tcPr>
            <w:tcW w:w="1693" w:type="dxa"/>
            <w:vAlign w:val="center"/>
          </w:tcPr>
          <w:p>
            <w:pPr>
              <w:jc w:val="center"/>
              <w:rPr>
                <w:sz w:val="18"/>
                <w:szCs w:val="18"/>
              </w:rPr>
            </w:pPr>
            <w:r>
              <w:rPr>
                <w:sz w:val="18"/>
                <w:szCs w:val="18"/>
              </w:rPr>
              <w:t>-8</w:t>
            </w:r>
            <w:r>
              <w:rPr>
                <w:rFonts w:hint="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6" w:type="dxa"/>
            <w:shd w:val="clear" w:color="auto" w:fill="auto"/>
            <w:vAlign w:val="center"/>
          </w:tcPr>
          <w:p>
            <w:pPr>
              <w:jc w:val="center"/>
              <w:rPr>
                <w:sz w:val="18"/>
                <w:szCs w:val="18"/>
              </w:rPr>
            </w:pPr>
            <w:r>
              <w:rPr>
                <w:rFonts w:hint="eastAsia"/>
                <w:sz w:val="18"/>
                <w:szCs w:val="18"/>
              </w:rPr>
              <w:t>3</w:t>
            </w:r>
          </w:p>
        </w:tc>
        <w:tc>
          <w:tcPr>
            <w:tcW w:w="1985" w:type="dxa"/>
            <w:shd w:val="clear" w:color="auto" w:fill="auto"/>
            <w:vAlign w:val="center"/>
          </w:tcPr>
          <w:p>
            <w:pPr>
              <w:jc w:val="center"/>
              <w:rPr>
                <w:sz w:val="18"/>
                <w:szCs w:val="18"/>
              </w:rPr>
            </w:pPr>
            <w:r>
              <w:rPr>
                <w:rFonts w:hint="eastAsia"/>
                <w:sz w:val="18"/>
                <w:szCs w:val="18"/>
              </w:rPr>
              <w:t>室内</w:t>
            </w:r>
            <w:r>
              <w:rPr>
                <w:sz w:val="18"/>
                <w:szCs w:val="18"/>
              </w:rPr>
              <w:t>干球温度</w:t>
            </w:r>
          </w:p>
        </w:tc>
        <w:tc>
          <w:tcPr>
            <w:tcW w:w="1692" w:type="dxa"/>
            <w:vAlign w:val="center"/>
          </w:tcPr>
          <w:p>
            <w:pPr>
              <w:jc w:val="center"/>
              <w:rPr>
                <w:sz w:val="18"/>
                <w:szCs w:val="18"/>
              </w:rPr>
            </w:pPr>
            <w:r>
              <w:rPr>
                <w:rFonts w:hint="eastAsia"/>
                <w:sz w:val="18"/>
                <w:szCs w:val="18"/>
              </w:rPr>
              <w:t>35±0.5</w:t>
            </w:r>
          </w:p>
        </w:tc>
        <w:tc>
          <w:tcPr>
            <w:tcW w:w="1692" w:type="dxa"/>
            <w:vAlign w:val="center"/>
          </w:tcPr>
          <w:p>
            <w:pPr>
              <w:jc w:val="center"/>
              <w:rPr>
                <w:sz w:val="18"/>
                <w:szCs w:val="18"/>
              </w:rPr>
            </w:pPr>
            <w:r>
              <w:rPr>
                <w:rFonts w:hint="eastAsia"/>
                <w:sz w:val="18"/>
                <w:szCs w:val="18"/>
              </w:rPr>
              <w:t>35±0.5</w:t>
            </w:r>
          </w:p>
        </w:tc>
        <w:tc>
          <w:tcPr>
            <w:tcW w:w="1692" w:type="dxa"/>
            <w:shd w:val="clear" w:color="auto" w:fill="auto"/>
            <w:vAlign w:val="center"/>
          </w:tcPr>
          <w:p>
            <w:pPr>
              <w:jc w:val="center"/>
              <w:rPr>
                <w:sz w:val="18"/>
                <w:szCs w:val="18"/>
              </w:rPr>
            </w:pPr>
            <w:r>
              <w:rPr>
                <w:sz w:val="18"/>
                <w:szCs w:val="18"/>
              </w:rPr>
              <w:t>7</w:t>
            </w:r>
            <w:r>
              <w:rPr>
                <w:rFonts w:hint="eastAsia"/>
                <w:sz w:val="18"/>
                <w:szCs w:val="18"/>
              </w:rPr>
              <w:t>±0.5</w:t>
            </w:r>
          </w:p>
        </w:tc>
        <w:tc>
          <w:tcPr>
            <w:tcW w:w="1693" w:type="dxa"/>
            <w:vAlign w:val="center"/>
          </w:tcPr>
          <w:p>
            <w:pPr>
              <w:jc w:val="center"/>
              <w:rPr>
                <w:sz w:val="18"/>
                <w:szCs w:val="18"/>
              </w:rPr>
            </w:pPr>
            <w:r>
              <w:rPr>
                <w:sz w:val="18"/>
                <w:szCs w:val="18"/>
              </w:rPr>
              <w:t>2</w:t>
            </w:r>
            <w:r>
              <w:rPr>
                <w:rFonts w:hint="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16" w:type="dxa"/>
            <w:shd w:val="clear" w:color="auto" w:fill="auto"/>
            <w:vAlign w:val="center"/>
          </w:tcPr>
          <w:p>
            <w:pPr>
              <w:jc w:val="center"/>
              <w:rPr>
                <w:sz w:val="18"/>
                <w:szCs w:val="18"/>
              </w:rPr>
            </w:pPr>
            <w:r>
              <w:rPr>
                <w:rFonts w:hint="eastAsia"/>
                <w:sz w:val="18"/>
                <w:szCs w:val="18"/>
              </w:rPr>
              <w:t>4</w:t>
            </w:r>
          </w:p>
        </w:tc>
        <w:tc>
          <w:tcPr>
            <w:tcW w:w="1985" w:type="dxa"/>
            <w:shd w:val="clear" w:color="auto" w:fill="auto"/>
            <w:vAlign w:val="center"/>
          </w:tcPr>
          <w:p>
            <w:pPr>
              <w:jc w:val="center"/>
              <w:rPr>
                <w:sz w:val="18"/>
                <w:szCs w:val="18"/>
              </w:rPr>
            </w:pPr>
            <w:r>
              <w:rPr>
                <w:rFonts w:hint="eastAsia"/>
                <w:sz w:val="18"/>
                <w:szCs w:val="18"/>
              </w:rPr>
              <w:t>室内湿</w:t>
            </w:r>
            <w:r>
              <w:rPr>
                <w:sz w:val="18"/>
                <w:szCs w:val="18"/>
              </w:rPr>
              <w:t>球温度</w:t>
            </w:r>
          </w:p>
        </w:tc>
        <w:tc>
          <w:tcPr>
            <w:tcW w:w="1692" w:type="dxa"/>
            <w:vAlign w:val="center"/>
          </w:tcPr>
          <w:p>
            <w:pPr>
              <w:jc w:val="center"/>
              <w:rPr>
                <w:sz w:val="18"/>
                <w:szCs w:val="18"/>
              </w:rPr>
            </w:pPr>
            <w:r>
              <w:rPr>
                <w:sz w:val="18"/>
                <w:szCs w:val="18"/>
              </w:rPr>
              <w:t>24</w:t>
            </w:r>
            <w:r>
              <w:rPr>
                <w:rFonts w:hint="eastAsia"/>
                <w:sz w:val="18"/>
                <w:szCs w:val="18"/>
              </w:rPr>
              <w:t>±0.5</w:t>
            </w:r>
          </w:p>
        </w:tc>
        <w:tc>
          <w:tcPr>
            <w:tcW w:w="1692" w:type="dxa"/>
            <w:vAlign w:val="center"/>
          </w:tcPr>
          <w:p>
            <w:pPr>
              <w:jc w:val="center"/>
              <w:rPr>
                <w:sz w:val="18"/>
                <w:szCs w:val="18"/>
              </w:rPr>
            </w:pPr>
            <w:r>
              <w:rPr>
                <w:rFonts w:hint="eastAsia"/>
                <w:sz w:val="18"/>
                <w:szCs w:val="18"/>
              </w:rPr>
              <w:t>/</w:t>
            </w:r>
          </w:p>
        </w:tc>
        <w:tc>
          <w:tcPr>
            <w:tcW w:w="1692" w:type="dxa"/>
            <w:shd w:val="clear" w:color="auto" w:fill="auto"/>
            <w:vAlign w:val="center"/>
          </w:tcPr>
          <w:p>
            <w:pPr>
              <w:jc w:val="center"/>
              <w:rPr>
                <w:sz w:val="18"/>
                <w:szCs w:val="18"/>
              </w:rPr>
            </w:pPr>
            <w:r>
              <w:rPr>
                <w:sz w:val="18"/>
                <w:szCs w:val="18"/>
              </w:rPr>
              <w:t>6</w:t>
            </w:r>
            <w:r>
              <w:rPr>
                <w:rFonts w:hint="eastAsia"/>
                <w:sz w:val="18"/>
                <w:szCs w:val="18"/>
              </w:rPr>
              <w:t>±0.5</w:t>
            </w:r>
          </w:p>
        </w:tc>
        <w:tc>
          <w:tcPr>
            <w:tcW w:w="1693" w:type="dxa"/>
            <w:vAlign w:val="center"/>
          </w:tcPr>
          <w:p>
            <w:pPr>
              <w:jc w:val="center"/>
              <w:rPr>
                <w:sz w:val="18"/>
                <w:szCs w:val="18"/>
              </w:rPr>
            </w:pPr>
            <w:r>
              <w:rPr>
                <w:rFonts w:hint="eastAsia"/>
                <w:sz w:val="18"/>
                <w:szCs w:val="18"/>
              </w:rPr>
              <w:t>/</w:t>
            </w:r>
          </w:p>
        </w:tc>
      </w:tr>
    </w:tbl>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3）</w:t>
      </w:r>
      <w:r>
        <w:rPr>
          <w:rFonts w:ascii="Times New Roman" w:cs="Times New Roman"/>
          <w:color w:val="000000" w:themeColor="text1"/>
          <w:kern w:val="2"/>
          <w:sz w:val="24"/>
          <w:szCs w:val="24"/>
          <w14:textFill>
            <w14:solidFill>
              <w14:schemeClr w14:val="tx1"/>
            </w14:solidFill>
          </w14:textFill>
        </w:rPr>
        <w:t>实验前被测机应保证完整，空调器运行过程中应不产生异响，例如室内机塑料件热胀冷缩异响、导风板运转过程中异响、左右扫风机构运转过程中异响、电机运行时轴承异响、蒸发器液流声、制热噪声等；空调器在进行试验过程中，送风口、进风口均应无异味、臭味、刺激性气味等</w:t>
      </w:r>
      <w:r>
        <w:rPr>
          <w:rFonts w:hint="eastAsia" w:ascii="Times New Roman" w:cs="Times New Roman"/>
          <w:color w:val="000000" w:themeColor="text1"/>
          <w:kern w:val="2"/>
          <w:sz w:val="24"/>
          <w:szCs w:val="24"/>
          <w14:textFill>
            <w14:solidFill>
              <w14:schemeClr w14:val="tx1"/>
            </w14:solidFill>
          </w14:textFill>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2、</w:t>
      </w:r>
      <w:r>
        <w:rPr>
          <w:rFonts w:ascii="Times New Roman" w:cs="Times New Roman"/>
          <w:color w:val="000000" w:themeColor="text1"/>
          <w:kern w:val="2"/>
          <w:sz w:val="24"/>
          <w:szCs w:val="24"/>
          <w14:textFill>
            <w14:solidFill>
              <w14:schemeClr w14:val="tx1"/>
            </w14:solidFill>
          </w14:textFill>
        </w:rPr>
        <w:t>试验</w:t>
      </w:r>
      <w:r>
        <w:rPr>
          <w:rFonts w:hint="eastAsia" w:ascii="Times New Roman" w:cs="Times New Roman"/>
          <w:color w:val="000000" w:themeColor="text1"/>
          <w:kern w:val="2"/>
          <w:sz w:val="24"/>
          <w:szCs w:val="24"/>
          <w14:textFill>
            <w14:solidFill>
              <w14:schemeClr w14:val="tx1"/>
            </w14:solidFill>
          </w14:textFill>
        </w:rPr>
        <w:t>要求</w:t>
      </w:r>
      <w:r>
        <w:rPr>
          <w:rFonts w:ascii="Times New Roman" w:cs="Times New Roman"/>
          <w:color w:val="000000" w:themeColor="text1"/>
          <w:kern w:val="2"/>
          <w:sz w:val="24"/>
          <w:szCs w:val="24"/>
          <w14:textFill>
            <w14:solidFill>
              <w14:schemeClr w14:val="tx1"/>
            </w14:solidFill>
          </w14:textFill>
        </w:rPr>
        <w:t xml:space="preserve"> </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1）</w:t>
      </w:r>
      <w:r>
        <w:rPr>
          <w:rFonts w:ascii="Times New Roman" w:cs="Times New Roman"/>
          <w:color w:val="000000" w:themeColor="text1"/>
          <w:kern w:val="2"/>
          <w:sz w:val="24"/>
          <w:szCs w:val="24"/>
          <w14:textFill>
            <w14:solidFill>
              <w14:schemeClr w14:val="tx1"/>
            </w14:solidFill>
          </w14:textFill>
        </w:rPr>
        <w:t>垂直空气温差、测量期耗电量、吹风感指数、预测平均热感觉指数（PMV）、热舒适试验时，按照国标GB/T 33658-2017中E.2.1.5中的被测空调运行条件：制冷工况时温度设定为27℃，制热工况时温度设定为20℃，风挡设定为最高风挡，上下导风板和左右导风板调至自动位置进行测试。</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2）</w:t>
      </w:r>
      <w:r>
        <w:rPr>
          <w:rFonts w:ascii="Times New Roman" w:cs="Times New Roman"/>
          <w:color w:val="000000" w:themeColor="text1"/>
          <w:kern w:val="2"/>
          <w:sz w:val="24"/>
          <w:szCs w:val="24"/>
          <w14:textFill>
            <w14:solidFill>
              <w14:schemeClr w14:val="tx1"/>
            </w14:solidFill>
          </w14:textFill>
        </w:rPr>
        <w:t>降温速率、升温速率试验时，制冷工况时温度设定为16℃，制热工况时温度设定为30℃，风挡设定为最高风挡，上下导风板和左右导风板调至自动位置进行测试</w:t>
      </w:r>
      <w:r>
        <w:rPr>
          <w:rFonts w:hint="eastAsia" w:ascii="Times New Roman" w:cs="Times New Roman"/>
          <w:color w:val="000000" w:themeColor="text1"/>
          <w:kern w:val="2"/>
          <w:sz w:val="24"/>
          <w:szCs w:val="24"/>
          <w14:textFill>
            <w14:solidFill>
              <w14:schemeClr w14:val="tx1"/>
            </w14:solidFill>
          </w14:textFill>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ascii="Times New Roman" w:cs="Times New Roman"/>
          <w:color w:val="000000" w:themeColor="text1"/>
          <w:kern w:val="2"/>
          <w:sz w:val="24"/>
          <w:szCs w:val="24"/>
          <w14:textFill>
            <w14:solidFill>
              <w14:schemeClr w14:val="tx1"/>
            </w14:solidFill>
          </w14:textFill>
        </w:rPr>
        <w:t>3</w:t>
      </w:r>
      <w:r>
        <w:rPr>
          <w:rFonts w:hint="eastAsia" w:ascii="Times New Roman" w:cs="Times New Roman"/>
          <w:color w:val="000000" w:themeColor="text1"/>
          <w:kern w:val="2"/>
          <w:sz w:val="24"/>
          <w:szCs w:val="24"/>
          <w14:textFill>
            <w14:solidFill>
              <w14:schemeClr w14:val="tx1"/>
            </w14:solidFill>
          </w14:textFill>
        </w:rPr>
        <w:t>、</w:t>
      </w:r>
      <w:r>
        <w:rPr>
          <w:rFonts w:ascii="Times New Roman" w:cs="Times New Roman"/>
          <w:color w:val="000000" w:themeColor="text1"/>
          <w:kern w:val="2"/>
          <w:sz w:val="24"/>
          <w:szCs w:val="24"/>
          <w14:textFill>
            <w14:solidFill>
              <w14:schemeClr w14:val="tx1"/>
            </w14:solidFill>
          </w14:textFill>
        </w:rPr>
        <w:t>试验室及温度测点布置</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1）</w:t>
      </w:r>
      <w:r>
        <w:rPr>
          <w:rFonts w:ascii="Times New Roman" w:cs="Times New Roman"/>
          <w:color w:val="000000" w:themeColor="text1"/>
          <w:kern w:val="2"/>
          <w:sz w:val="24"/>
          <w:szCs w:val="24"/>
          <w14:textFill>
            <w14:solidFill>
              <w14:schemeClr w14:val="tx1"/>
            </w14:solidFill>
          </w14:textFill>
        </w:rPr>
        <w:t>试验室布置如图2所示，试验室分为室内侧和室外侧，各房间的面积如表3所示，室内侧的房间用于放置室内机组；室外侧用于放置室外机组和环境控制机组，环境控制机组可控制环境的湿球温度和干球温度</w:t>
      </w:r>
      <w:r>
        <w:rPr>
          <w:rFonts w:hint="eastAsia" w:ascii="Times New Roman" w:cs="Times New Roman"/>
          <w:color w:val="000000" w:themeColor="text1"/>
          <w:kern w:val="2"/>
          <w:sz w:val="24"/>
          <w:szCs w:val="24"/>
          <w14:textFill>
            <w14:solidFill>
              <w14:schemeClr w14:val="tx1"/>
            </w14:solidFill>
          </w14:textFill>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2）</w:t>
      </w:r>
      <w:r>
        <w:rPr>
          <w:rFonts w:ascii="Times New Roman" w:cs="Times New Roman"/>
          <w:color w:val="000000" w:themeColor="text1"/>
          <w:kern w:val="2"/>
          <w:sz w:val="24"/>
          <w:szCs w:val="24"/>
          <w14:textFill>
            <w14:solidFill>
              <w14:schemeClr w14:val="tx1"/>
            </w14:solidFill>
          </w14:textFill>
        </w:rPr>
        <w:t>室内侧与室外侧之间的墙体为外墙，外墙围护结构为砖墙水泥混凝土、保温层和瓷砖，导热系数1.0W/（m</w:t>
      </w:r>
      <w:r>
        <w:rPr>
          <w:rFonts w:ascii="Times New Roman" w:cs="Times New Roman"/>
          <w:color w:val="000000" w:themeColor="text1"/>
          <w:kern w:val="2"/>
          <w:sz w:val="24"/>
          <w:szCs w:val="24"/>
          <w:vertAlign w:val="superscript"/>
          <w14:textFill>
            <w14:solidFill>
              <w14:schemeClr w14:val="tx1"/>
            </w14:solidFill>
          </w14:textFill>
        </w:rPr>
        <w:t>2</w:t>
      </w:r>
      <w:r>
        <w:rPr>
          <w:rFonts w:ascii="Times New Roman" w:cs="Times New Roman"/>
          <w:color w:val="000000" w:themeColor="text1"/>
          <w:kern w:val="2"/>
          <w:sz w:val="24"/>
          <w:szCs w:val="24"/>
          <w14:textFill>
            <w14:solidFill>
              <w14:schemeClr w14:val="tx1"/>
            </w14:solidFill>
          </w14:textFill>
        </w:rPr>
        <w:t>•K）~</w:t>
      </w:r>
      <w:r>
        <w:rPr>
          <w:rFonts w:hint="eastAsia" w:ascii="Times New Roman" w:cs="Times New Roman"/>
          <w:color w:val="000000" w:themeColor="text1"/>
          <w:kern w:val="2"/>
          <w:sz w:val="24"/>
          <w:szCs w:val="24"/>
          <w14:textFill>
            <w14:solidFill>
              <w14:schemeClr w14:val="tx1"/>
            </w14:solidFill>
          </w14:textFill>
        </w:rPr>
        <w:t xml:space="preserve"> </w:t>
      </w:r>
      <w:r>
        <w:rPr>
          <w:rFonts w:ascii="Times New Roman" w:cs="Times New Roman"/>
          <w:color w:val="000000" w:themeColor="text1"/>
          <w:kern w:val="2"/>
          <w:sz w:val="24"/>
          <w:szCs w:val="24"/>
          <w14:textFill>
            <w14:solidFill>
              <w14:schemeClr w14:val="tx1"/>
            </w14:solidFill>
          </w14:textFill>
        </w:rPr>
        <w:t>2.0 W/（m</w:t>
      </w:r>
      <w:r>
        <w:rPr>
          <w:rFonts w:ascii="Times New Roman" w:cs="Times New Roman"/>
          <w:color w:val="000000" w:themeColor="text1"/>
          <w:kern w:val="2"/>
          <w:sz w:val="24"/>
          <w:szCs w:val="24"/>
          <w:vertAlign w:val="superscript"/>
          <w14:textFill>
            <w14:solidFill>
              <w14:schemeClr w14:val="tx1"/>
            </w14:solidFill>
          </w14:textFill>
        </w:rPr>
        <w:t>2</w:t>
      </w:r>
      <w:r>
        <w:rPr>
          <w:rFonts w:ascii="Times New Roman" w:cs="Times New Roman"/>
          <w:color w:val="000000" w:themeColor="text1"/>
          <w:kern w:val="2"/>
          <w:sz w:val="24"/>
          <w:szCs w:val="24"/>
          <w14:textFill>
            <w14:solidFill>
              <w14:schemeClr w14:val="tx1"/>
            </w14:solidFill>
          </w14:textFill>
        </w:rPr>
        <w:t>•K）；室内房间之间的墙体为内墙，内墙围护结构为砖墙水泥混凝土，导热系数1.0 W/（m</w:t>
      </w:r>
      <w:r>
        <w:rPr>
          <w:rFonts w:ascii="Times New Roman" w:cs="Times New Roman"/>
          <w:color w:val="000000" w:themeColor="text1"/>
          <w:kern w:val="2"/>
          <w:sz w:val="24"/>
          <w:szCs w:val="24"/>
          <w:vertAlign w:val="superscript"/>
          <w14:textFill>
            <w14:solidFill>
              <w14:schemeClr w14:val="tx1"/>
            </w14:solidFill>
          </w14:textFill>
        </w:rPr>
        <w:t>2</w:t>
      </w:r>
      <w:r>
        <w:rPr>
          <w:rFonts w:ascii="Times New Roman" w:cs="Times New Roman"/>
          <w:color w:val="000000" w:themeColor="text1"/>
          <w:kern w:val="2"/>
          <w:sz w:val="24"/>
          <w:szCs w:val="24"/>
          <w14:textFill>
            <w14:solidFill>
              <w14:schemeClr w14:val="tx1"/>
            </w14:solidFill>
          </w14:textFill>
        </w:rPr>
        <w:t>•K）~</w:t>
      </w:r>
      <w:r>
        <w:rPr>
          <w:rFonts w:hint="eastAsia" w:ascii="Times New Roman" w:cs="Times New Roman"/>
          <w:color w:val="000000" w:themeColor="text1"/>
          <w:kern w:val="2"/>
          <w:sz w:val="24"/>
          <w:szCs w:val="24"/>
          <w14:textFill>
            <w14:solidFill>
              <w14:schemeClr w14:val="tx1"/>
            </w14:solidFill>
          </w14:textFill>
        </w:rPr>
        <w:t xml:space="preserve"> </w:t>
      </w:r>
      <w:r>
        <w:rPr>
          <w:rFonts w:ascii="Times New Roman" w:cs="Times New Roman"/>
          <w:color w:val="000000" w:themeColor="text1"/>
          <w:kern w:val="2"/>
          <w:sz w:val="24"/>
          <w:szCs w:val="24"/>
          <w14:textFill>
            <w14:solidFill>
              <w14:schemeClr w14:val="tx1"/>
            </w14:solidFill>
          </w14:textFill>
        </w:rPr>
        <w:t>2.0 W/（m</w:t>
      </w:r>
      <w:r>
        <w:rPr>
          <w:rFonts w:ascii="Times New Roman" w:cs="Times New Roman"/>
          <w:color w:val="000000" w:themeColor="text1"/>
          <w:kern w:val="2"/>
          <w:sz w:val="24"/>
          <w:szCs w:val="24"/>
          <w:vertAlign w:val="superscript"/>
          <w14:textFill>
            <w14:solidFill>
              <w14:schemeClr w14:val="tx1"/>
            </w14:solidFill>
          </w14:textFill>
        </w:rPr>
        <w:t>2</w:t>
      </w:r>
      <w:r>
        <w:rPr>
          <w:rFonts w:ascii="Times New Roman" w:cs="Times New Roman"/>
          <w:color w:val="000000" w:themeColor="text1"/>
          <w:kern w:val="2"/>
          <w:sz w:val="24"/>
          <w:szCs w:val="24"/>
          <w14:textFill>
            <w14:solidFill>
              <w14:schemeClr w14:val="tx1"/>
            </w14:solidFill>
          </w14:textFill>
        </w:rPr>
        <w:t>•K）</w:t>
      </w:r>
      <w:r>
        <w:rPr>
          <w:rFonts w:hint="eastAsia" w:ascii="Times New Roman" w:cs="Times New Roman"/>
          <w:color w:val="000000" w:themeColor="text1"/>
          <w:kern w:val="2"/>
          <w:sz w:val="24"/>
          <w:szCs w:val="24"/>
          <w14:textFill>
            <w14:solidFill>
              <w14:schemeClr w14:val="tx1"/>
            </w14:solidFill>
          </w14:textFill>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3）</w:t>
      </w:r>
      <w:r>
        <w:rPr>
          <w:rFonts w:ascii="Times New Roman" w:cs="Times New Roman"/>
          <w:color w:val="000000" w:themeColor="text1"/>
          <w:kern w:val="2"/>
          <w:sz w:val="24"/>
          <w:szCs w:val="24"/>
          <w14:textFill>
            <w14:solidFill>
              <w14:schemeClr w14:val="tx1"/>
            </w14:solidFill>
          </w14:textFill>
        </w:rPr>
        <w:t>温度测点布置数量如表3所示，房间温度测点在水平方向和垂直方向的间隔距离为0.5 m，布置如图2所示，所有房间垂直方向以0.1m为起点，每隔0.5m布置一层温度测点，共布置5层温度测点，如图3所示</w:t>
      </w:r>
      <w:r>
        <w:rPr>
          <w:rFonts w:hint="eastAsia" w:ascii="Times New Roman" w:cs="Times New Roman"/>
          <w:color w:val="000000" w:themeColor="text1"/>
          <w:kern w:val="2"/>
          <w:sz w:val="24"/>
          <w:szCs w:val="24"/>
          <w14:textFill>
            <w14:solidFill>
              <w14:schemeClr w14:val="tx1"/>
            </w14:solidFill>
          </w14:textFill>
        </w:rPr>
        <w:t>。</w:t>
      </w:r>
    </w:p>
    <w:p>
      <w:pPr>
        <w:jc w:val="center"/>
        <w:rPr>
          <w:rFonts w:hint="eastAsia" w:ascii="黑体" w:hAnsi="黑体" w:eastAsia="黑体"/>
        </w:rPr>
      </w:pPr>
      <w:r>
        <w:rPr>
          <w:rFonts w:hint="eastAsia" w:ascii="黑体" w:hAnsi="黑体" w:eastAsia="黑体"/>
        </w:rPr>
        <w:t>表3</w:t>
      </w:r>
      <w:r>
        <w:rPr>
          <w:rFonts w:ascii="黑体" w:hAnsi="黑体" w:eastAsia="黑体"/>
        </w:rPr>
        <w:t xml:space="preserve"> </w:t>
      </w:r>
      <w:r>
        <w:rPr>
          <w:rFonts w:hint="eastAsia" w:ascii="黑体" w:hAnsi="黑体" w:eastAsia="黑体"/>
        </w:rPr>
        <w:t>各房间面积与测点数量</w:t>
      </w:r>
    </w:p>
    <w:tbl>
      <w:tblPr>
        <w:tblStyle w:val="24"/>
        <w:tblW w:w="84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1"/>
        <w:gridCol w:w="892"/>
        <w:gridCol w:w="958"/>
        <w:gridCol w:w="1233"/>
        <w:gridCol w:w="2013"/>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 w:hRule="atLeast"/>
          <w:jc w:val="center"/>
        </w:trPr>
        <w:tc>
          <w:tcPr>
            <w:tcW w:w="1541" w:type="dxa"/>
          </w:tcPr>
          <w:p>
            <w:pPr>
              <w:jc w:val="center"/>
              <w:rPr>
                <w:sz w:val="18"/>
              </w:rPr>
            </w:pPr>
            <w:r>
              <w:rPr>
                <w:sz w:val="18"/>
              </w:rPr>
              <w:t>房间编号</w:t>
            </w:r>
          </w:p>
        </w:tc>
        <w:tc>
          <w:tcPr>
            <w:tcW w:w="892" w:type="dxa"/>
          </w:tcPr>
          <w:p>
            <w:pPr>
              <w:jc w:val="center"/>
              <w:rPr>
                <w:sz w:val="18"/>
              </w:rPr>
            </w:pPr>
            <w:r>
              <w:rPr>
                <w:sz w:val="18"/>
              </w:rPr>
              <w:t>长</w:t>
            </w:r>
            <w:r>
              <w:rPr>
                <w:sz w:val="18"/>
                <w:vertAlign w:val="superscript"/>
              </w:rPr>
              <w:t>a</w:t>
            </w:r>
          </w:p>
        </w:tc>
        <w:tc>
          <w:tcPr>
            <w:tcW w:w="958" w:type="dxa"/>
          </w:tcPr>
          <w:p>
            <w:pPr>
              <w:jc w:val="center"/>
              <w:rPr>
                <w:sz w:val="18"/>
              </w:rPr>
            </w:pPr>
            <w:r>
              <w:rPr>
                <w:sz w:val="18"/>
              </w:rPr>
              <w:t>宽</w:t>
            </w:r>
            <w:r>
              <w:rPr>
                <w:sz w:val="18"/>
                <w:vertAlign w:val="superscript"/>
              </w:rPr>
              <w:t>a</w:t>
            </w:r>
          </w:p>
        </w:tc>
        <w:tc>
          <w:tcPr>
            <w:tcW w:w="1233" w:type="dxa"/>
          </w:tcPr>
          <w:p>
            <w:pPr>
              <w:jc w:val="center"/>
              <w:rPr>
                <w:sz w:val="18"/>
              </w:rPr>
            </w:pPr>
            <w:r>
              <w:rPr>
                <w:rFonts w:hint="eastAsia"/>
                <w:sz w:val="18"/>
              </w:rPr>
              <w:t>高</w:t>
            </w:r>
            <w:r>
              <w:rPr>
                <w:sz w:val="18"/>
                <w:vertAlign w:val="superscript"/>
              </w:rPr>
              <w:t>a</w:t>
            </w:r>
          </w:p>
        </w:tc>
        <w:tc>
          <w:tcPr>
            <w:tcW w:w="2013" w:type="dxa"/>
          </w:tcPr>
          <w:p>
            <w:pPr>
              <w:jc w:val="center"/>
              <w:rPr>
                <w:sz w:val="18"/>
              </w:rPr>
            </w:pPr>
            <w:r>
              <w:rPr>
                <w:sz w:val="18"/>
              </w:rPr>
              <w:t>房间温度测点数量</w:t>
            </w:r>
            <w:r>
              <w:rPr>
                <w:sz w:val="18"/>
                <w:vertAlign w:val="superscript"/>
              </w:rPr>
              <w:t>b</w:t>
            </w:r>
          </w:p>
        </w:tc>
        <w:tc>
          <w:tcPr>
            <w:tcW w:w="1814" w:type="dxa"/>
          </w:tcPr>
          <w:p>
            <w:pPr>
              <w:jc w:val="center"/>
              <w:rPr>
                <w:sz w:val="18"/>
              </w:rPr>
            </w:pPr>
            <w:r>
              <w:rPr>
                <w:rFonts w:hint="eastAsia"/>
                <w:sz w:val="18"/>
              </w:rPr>
              <w:t>额定</w:t>
            </w:r>
            <w:r>
              <w:rPr>
                <w:sz w:val="18"/>
              </w:rPr>
              <w:t>制冷量</w:t>
            </w:r>
            <w:r>
              <w:rPr>
                <w:rFonts w:hint="eastAsia"/>
                <w:sz w:val="18"/>
              </w:rPr>
              <w:t>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1541" w:type="dxa"/>
          </w:tcPr>
          <w:p>
            <w:pPr>
              <w:jc w:val="center"/>
              <w:rPr>
                <w:sz w:val="18"/>
              </w:rPr>
            </w:pPr>
            <w:r>
              <w:rPr>
                <w:sz w:val="18"/>
              </w:rPr>
              <w:t>1-1房间</w:t>
            </w:r>
          </w:p>
        </w:tc>
        <w:tc>
          <w:tcPr>
            <w:tcW w:w="892" w:type="dxa"/>
          </w:tcPr>
          <w:p>
            <w:pPr>
              <w:jc w:val="center"/>
              <w:rPr>
                <w:sz w:val="18"/>
              </w:rPr>
            </w:pPr>
            <w:r>
              <w:rPr>
                <w:sz w:val="18"/>
              </w:rPr>
              <w:t>5.5m</w:t>
            </w:r>
          </w:p>
        </w:tc>
        <w:tc>
          <w:tcPr>
            <w:tcW w:w="958" w:type="dxa"/>
          </w:tcPr>
          <w:p>
            <w:pPr>
              <w:jc w:val="center"/>
              <w:rPr>
                <w:sz w:val="18"/>
              </w:rPr>
            </w:pPr>
            <w:r>
              <w:rPr>
                <w:sz w:val="18"/>
              </w:rPr>
              <w:t>9.2</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17×10×5</w:t>
            </w:r>
          </w:p>
        </w:tc>
        <w:tc>
          <w:tcPr>
            <w:tcW w:w="1814" w:type="dxa"/>
          </w:tcPr>
          <w:p>
            <w:pPr>
              <w:jc w:val="center"/>
              <w:rPr>
                <w:sz w:val="18"/>
              </w:rPr>
            </w:pPr>
            <w:r>
              <w:rPr>
                <w:rFonts w:hint="eastAsia"/>
                <w:sz w:val="18"/>
              </w:rPr>
              <w:t>7.1</w:t>
            </w:r>
            <w:r>
              <w:rPr>
                <w:sz w:val="18"/>
              </w:rPr>
              <w:t>kW</w:t>
            </w:r>
            <w:r>
              <w:rPr>
                <w:rFonts w:hint="eastAsia"/>
                <w:sz w:val="18"/>
              </w:rPr>
              <w:t>＜</w:t>
            </w:r>
            <w:r>
              <w:rPr>
                <w:sz w:val="18"/>
              </w:rPr>
              <w:t>CC≤14 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1541" w:type="dxa"/>
          </w:tcPr>
          <w:p>
            <w:pPr>
              <w:jc w:val="center"/>
              <w:rPr>
                <w:sz w:val="18"/>
              </w:rPr>
            </w:pPr>
            <w:r>
              <w:rPr>
                <w:sz w:val="18"/>
              </w:rPr>
              <w:t>1-2房间</w:t>
            </w:r>
          </w:p>
        </w:tc>
        <w:tc>
          <w:tcPr>
            <w:tcW w:w="892" w:type="dxa"/>
          </w:tcPr>
          <w:p>
            <w:pPr>
              <w:jc w:val="center"/>
              <w:rPr>
                <w:sz w:val="18"/>
              </w:rPr>
            </w:pPr>
            <w:r>
              <w:rPr>
                <w:sz w:val="18"/>
              </w:rPr>
              <w:t>6.6</w:t>
            </w:r>
            <w:r>
              <w:rPr>
                <w:rFonts w:hint="eastAsia"/>
                <w:sz w:val="18"/>
              </w:rPr>
              <w:t>m</w:t>
            </w:r>
          </w:p>
        </w:tc>
        <w:tc>
          <w:tcPr>
            <w:tcW w:w="958" w:type="dxa"/>
          </w:tcPr>
          <w:p>
            <w:pPr>
              <w:jc w:val="center"/>
              <w:rPr>
                <w:sz w:val="18"/>
              </w:rPr>
            </w:pPr>
            <w:r>
              <w:rPr>
                <w:sz w:val="18"/>
              </w:rPr>
              <w:t>4.0</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12×7×5</w:t>
            </w:r>
          </w:p>
        </w:tc>
        <w:tc>
          <w:tcPr>
            <w:tcW w:w="1814" w:type="dxa"/>
          </w:tcPr>
          <w:p>
            <w:pPr>
              <w:jc w:val="center"/>
              <w:rPr>
                <w:sz w:val="18"/>
              </w:rPr>
            </w:pPr>
            <w:r>
              <w:rPr>
                <w:rFonts w:hint="eastAsia"/>
                <w:sz w:val="18"/>
              </w:rPr>
              <w:t>4.5</w:t>
            </w:r>
            <w:r>
              <w:rPr>
                <w:sz w:val="18"/>
              </w:rPr>
              <w:t>kW</w:t>
            </w:r>
            <w:r>
              <w:rPr>
                <w:rFonts w:hint="eastAsia"/>
                <w:sz w:val="18"/>
              </w:rPr>
              <w:t>＜</w:t>
            </w:r>
            <w:r>
              <w:rPr>
                <w:sz w:val="18"/>
              </w:rPr>
              <w:t>CC≤7.1kW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1541" w:type="dxa"/>
          </w:tcPr>
          <w:p>
            <w:pPr>
              <w:jc w:val="center"/>
              <w:rPr>
                <w:sz w:val="18"/>
              </w:rPr>
            </w:pPr>
            <w:r>
              <w:rPr>
                <w:sz w:val="18"/>
              </w:rPr>
              <w:t>1-3房间</w:t>
            </w:r>
          </w:p>
        </w:tc>
        <w:tc>
          <w:tcPr>
            <w:tcW w:w="892" w:type="dxa"/>
          </w:tcPr>
          <w:p>
            <w:pPr>
              <w:jc w:val="center"/>
              <w:rPr>
                <w:sz w:val="18"/>
              </w:rPr>
            </w:pPr>
            <w:r>
              <w:rPr>
                <w:sz w:val="18"/>
              </w:rPr>
              <w:t>2.4</w:t>
            </w:r>
            <w:r>
              <w:rPr>
                <w:rFonts w:hint="eastAsia"/>
                <w:sz w:val="18"/>
              </w:rPr>
              <w:t>m</w:t>
            </w:r>
          </w:p>
        </w:tc>
        <w:tc>
          <w:tcPr>
            <w:tcW w:w="958" w:type="dxa"/>
          </w:tcPr>
          <w:p>
            <w:pPr>
              <w:jc w:val="center"/>
              <w:rPr>
                <w:sz w:val="18"/>
              </w:rPr>
            </w:pPr>
            <w:r>
              <w:rPr>
                <w:sz w:val="18"/>
              </w:rPr>
              <w:t>4.0</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4×7×5</w:t>
            </w:r>
          </w:p>
        </w:tc>
        <w:tc>
          <w:tcPr>
            <w:tcW w:w="1814" w:type="dxa"/>
          </w:tcPr>
          <w:p>
            <w:pPr>
              <w:jc w:val="center"/>
              <w:rPr>
                <w:sz w:val="18"/>
              </w:rPr>
            </w:pPr>
            <w:r>
              <w:rPr>
                <w:sz w:val="18"/>
              </w:rPr>
              <w:t>CC≤2.2kW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1541" w:type="dxa"/>
          </w:tcPr>
          <w:p>
            <w:pPr>
              <w:jc w:val="center"/>
              <w:rPr>
                <w:sz w:val="18"/>
              </w:rPr>
            </w:pPr>
            <w:r>
              <w:rPr>
                <w:sz w:val="18"/>
              </w:rPr>
              <w:t>1-4房间</w:t>
            </w:r>
          </w:p>
        </w:tc>
        <w:tc>
          <w:tcPr>
            <w:tcW w:w="892" w:type="dxa"/>
          </w:tcPr>
          <w:p>
            <w:pPr>
              <w:jc w:val="center"/>
              <w:rPr>
                <w:sz w:val="18"/>
              </w:rPr>
            </w:pPr>
            <w:r>
              <w:rPr>
                <w:sz w:val="18"/>
              </w:rPr>
              <w:t>3.8</w:t>
            </w:r>
            <w:r>
              <w:rPr>
                <w:rFonts w:hint="eastAsia"/>
                <w:sz w:val="18"/>
              </w:rPr>
              <w:t>m</w:t>
            </w:r>
          </w:p>
        </w:tc>
        <w:tc>
          <w:tcPr>
            <w:tcW w:w="958" w:type="dxa"/>
          </w:tcPr>
          <w:p>
            <w:pPr>
              <w:jc w:val="center"/>
              <w:rPr>
                <w:sz w:val="18"/>
              </w:rPr>
            </w:pPr>
            <w:r>
              <w:rPr>
                <w:sz w:val="18"/>
              </w:rPr>
              <w:t>4.1</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6×7×5</w:t>
            </w:r>
          </w:p>
        </w:tc>
        <w:tc>
          <w:tcPr>
            <w:tcW w:w="1814" w:type="dxa"/>
          </w:tcPr>
          <w:p>
            <w:pPr>
              <w:jc w:val="center"/>
              <w:rPr>
                <w:sz w:val="18"/>
              </w:rPr>
            </w:pPr>
            <w:r>
              <w:rPr>
                <w:sz w:val="18"/>
              </w:rPr>
              <w:t>2.2kW</w:t>
            </w:r>
            <w:r>
              <w:rPr>
                <w:rFonts w:hint="eastAsia"/>
                <w:sz w:val="18"/>
              </w:rPr>
              <w:t>＜</w:t>
            </w:r>
            <w:r>
              <w:rPr>
                <w:sz w:val="18"/>
              </w:rPr>
              <w:t>CC≤</w:t>
            </w:r>
            <w:r>
              <w:rPr>
                <w:rFonts w:hint="eastAsia"/>
                <w:sz w:val="18"/>
              </w:rPr>
              <w:t>2.6</w:t>
            </w:r>
            <w:r>
              <w:rPr>
                <w:sz w:val="18"/>
              </w:rPr>
              <w:t>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1541" w:type="dxa"/>
          </w:tcPr>
          <w:p>
            <w:pPr>
              <w:jc w:val="center"/>
              <w:rPr>
                <w:sz w:val="18"/>
              </w:rPr>
            </w:pPr>
            <w:r>
              <w:rPr>
                <w:sz w:val="18"/>
              </w:rPr>
              <w:t>1-5房间</w:t>
            </w:r>
          </w:p>
        </w:tc>
        <w:tc>
          <w:tcPr>
            <w:tcW w:w="892" w:type="dxa"/>
          </w:tcPr>
          <w:p>
            <w:pPr>
              <w:jc w:val="center"/>
              <w:rPr>
                <w:sz w:val="18"/>
              </w:rPr>
            </w:pPr>
            <w:r>
              <w:rPr>
                <w:sz w:val="18"/>
              </w:rPr>
              <w:t>3.8</w:t>
            </w:r>
            <w:r>
              <w:rPr>
                <w:rFonts w:hint="eastAsia"/>
                <w:sz w:val="18"/>
              </w:rPr>
              <w:t>m</w:t>
            </w:r>
          </w:p>
        </w:tc>
        <w:tc>
          <w:tcPr>
            <w:tcW w:w="958" w:type="dxa"/>
          </w:tcPr>
          <w:p>
            <w:pPr>
              <w:jc w:val="center"/>
              <w:rPr>
                <w:sz w:val="18"/>
              </w:rPr>
            </w:pPr>
            <w:r>
              <w:rPr>
                <w:sz w:val="18"/>
              </w:rPr>
              <w:t>5.3</w:t>
            </w:r>
            <w:r>
              <w:rPr>
                <w:rFonts w:hint="eastAsia"/>
                <w:sz w:val="18"/>
              </w:rPr>
              <w:t>m</w:t>
            </w:r>
          </w:p>
        </w:tc>
        <w:tc>
          <w:tcPr>
            <w:tcW w:w="1233" w:type="dxa"/>
          </w:tcPr>
          <w:p>
            <w:pPr>
              <w:jc w:val="center"/>
              <w:rPr>
                <w:sz w:val="18"/>
              </w:rPr>
            </w:pPr>
            <w:r>
              <w:rPr>
                <w:sz w:val="18"/>
              </w:rPr>
              <w:t>2.8</w:t>
            </w:r>
            <w:r>
              <w:rPr>
                <w:rFonts w:hint="eastAsia"/>
                <w:sz w:val="18"/>
              </w:rPr>
              <w:t>m</w:t>
            </w:r>
          </w:p>
        </w:tc>
        <w:tc>
          <w:tcPr>
            <w:tcW w:w="2013" w:type="dxa"/>
          </w:tcPr>
          <w:p>
            <w:pPr>
              <w:jc w:val="center"/>
              <w:rPr>
                <w:sz w:val="18"/>
              </w:rPr>
            </w:pPr>
            <w:r>
              <w:rPr>
                <w:sz w:val="18"/>
              </w:rPr>
              <w:t>6×8×5</w:t>
            </w:r>
          </w:p>
        </w:tc>
        <w:tc>
          <w:tcPr>
            <w:tcW w:w="1814" w:type="dxa"/>
          </w:tcPr>
          <w:p>
            <w:pPr>
              <w:jc w:val="center"/>
              <w:rPr>
                <w:sz w:val="18"/>
              </w:rPr>
            </w:pPr>
            <w:r>
              <w:rPr>
                <w:sz w:val="18"/>
              </w:rPr>
              <w:t>2.6kW</w:t>
            </w:r>
            <w:r>
              <w:rPr>
                <w:rFonts w:hint="eastAsia"/>
                <w:sz w:val="18"/>
              </w:rPr>
              <w:t>＜</w:t>
            </w:r>
            <w:r>
              <w:rPr>
                <w:sz w:val="18"/>
              </w:rPr>
              <w:t>CC≤4.5kW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8451" w:type="dxa"/>
            <w:gridSpan w:val="6"/>
          </w:tcPr>
          <w:p>
            <w:pPr>
              <w:ind w:firstLine="360" w:firstLineChars="200"/>
              <w:rPr>
                <w:sz w:val="18"/>
              </w:rPr>
            </w:pPr>
            <w:r>
              <w:rPr>
                <w:sz w:val="18"/>
                <w:vertAlign w:val="superscript"/>
              </w:rPr>
              <w:t>a</w:t>
            </w:r>
            <w:r>
              <w:rPr>
                <w:rFonts w:hint="eastAsia"/>
                <w:sz w:val="18"/>
              </w:rPr>
              <w:t>房间的长</w:t>
            </w:r>
            <w:r>
              <w:rPr>
                <w:sz w:val="18"/>
              </w:rPr>
              <w:t>、宽、高尺寸的允许偏差为±0.1m</w:t>
            </w:r>
            <w:r>
              <w:rPr>
                <w:rFonts w:hint="eastAsia"/>
                <w:sz w:val="18"/>
              </w:rPr>
              <w:t>；</w:t>
            </w:r>
          </w:p>
          <w:p>
            <w:pPr>
              <w:ind w:firstLine="360" w:firstLineChars="200"/>
              <w:rPr>
                <w:sz w:val="18"/>
              </w:rPr>
            </w:pPr>
            <w:r>
              <w:rPr>
                <w:sz w:val="18"/>
                <w:vertAlign w:val="superscript"/>
              </w:rPr>
              <w:t>b</w:t>
            </w:r>
            <w:r>
              <w:rPr>
                <w:rFonts w:hint="eastAsia"/>
                <w:sz w:val="18"/>
              </w:rPr>
              <w:t>房间</w:t>
            </w:r>
            <w:r>
              <w:rPr>
                <w:sz w:val="18"/>
              </w:rPr>
              <w:t>温度测点数量为房间长度方向数量×房间宽度方向数量×房间高度方向数量</w:t>
            </w:r>
            <w:r>
              <w:rPr>
                <w:rFonts w:hint="eastAsia"/>
                <w:sz w:val="18"/>
              </w:rPr>
              <w:t>。</w:t>
            </w:r>
          </w:p>
        </w:tc>
      </w:tr>
    </w:tbl>
    <w:p>
      <w:pPr>
        <w:jc w:val="center"/>
      </w:pPr>
      <w:r>
        <w:drawing>
          <wp:inline distT="0" distB="0" distL="0" distR="0">
            <wp:extent cx="3543300" cy="2795270"/>
            <wp:effectExtent l="19050" t="0" r="0" b="0"/>
            <wp:docPr id="157491295" name="图片 15749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1295" name="图片 1574912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43300" cy="2795374"/>
                    </a:xfrm>
                    <a:prstGeom prst="rect">
                      <a:avLst/>
                    </a:prstGeom>
                    <a:noFill/>
                    <a:ln>
                      <a:noFill/>
                    </a:ln>
                  </pic:spPr>
                </pic:pic>
              </a:graphicData>
            </a:graphic>
          </wp:inline>
        </w:drawing>
      </w:r>
    </w:p>
    <w:p>
      <w:pPr>
        <w:jc w:val="center"/>
        <w:rPr>
          <w:rFonts w:hint="eastAsia" w:ascii="黑体" w:hAnsi="黑体" w:eastAsia="黑体"/>
        </w:rPr>
      </w:pPr>
      <w:r>
        <w:rPr>
          <w:rFonts w:hint="eastAsia" w:ascii="黑体" w:hAnsi="黑体" w:eastAsia="黑体"/>
        </w:rPr>
        <w:t>图2 房间温度测点布局图</w:t>
      </w:r>
    </w:p>
    <w:p>
      <w:pPr>
        <w:jc w:val="center"/>
      </w:pPr>
      <w:r>
        <w:rPr>
          <w:rFonts w:hint="eastAsia"/>
        </w:rPr>
        <w:drawing>
          <wp:inline distT="0" distB="0" distL="0" distR="0">
            <wp:extent cx="1447800" cy="1682115"/>
            <wp:effectExtent l="19050" t="0" r="0" b="0"/>
            <wp:docPr id="57648830" name="图片 5764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8830" name="图片 576488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47800" cy="1682360"/>
                    </a:xfrm>
                    <a:prstGeom prst="rect">
                      <a:avLst/>
                    </a:prstGeom>
                    <a:noFill/>
                    <a:ln>
                      <a:noFill/>
                    </a:ln>
                  </pic:spPr>
                </pic:pic>
              </a:graphicData>
            </a:graphic>
          </wp:inline>
        </w:drawing>
      </w:r>
    </w:p>
    <w:p>
      <w:pPr>
        <w:jc w:val="center"/>
        <w:rPr>
          <w:rFonts w:hint="eastAsia" w:ascii="黑体" w:hAnsi="黑体" w:eastAsia="黑体"/>
        </w:rPr>
      </w:pPr>
      <w:r>
        <w:rPr>
          <w:rFonts w:hint="eastAsia" w:ascii="黑体" w:hAnsi="黑体" w:eastAsia="黑体"/>
        </w:rPr>
        <w:t>图3</w:t>
      </w:r>
      <w:r>
        <w:rPr>
          <w:rFonts w:ascii="黑体" w:hAnsi="黑体" w:eastAsia="黑体"/>
        </w:rPr>
        <w:t xml:space="preserve"> </w:t>
      </w:r>
      <w:r>
        <w:rPr>
          <w:rFonts w:hint="eastAsia" w:ascii="黑体" w:hAnsi="黑体" w:eastAsia="黑体"/>
        </w:rPr>
        <w:t>垂直方向温度测点布局图</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4、</w:t>
      </w:r>
      <w:r>
        <w:rPr>
          <w:rFonts w:ascii="Times New Roman" w:cs="Times New Roman"/>
          <w:color w:val="000000" w:themeColor="text1"/>
          <w:kern w:val="2"/>
          <w:sz w:val="24"/>
          <w:szCs w:val="24"/>
          <w14:textFill>
            <w14:solidFill>
              <w14:schemeClr w14:val="tx1"/>
            </w14:solidFill>
          </w14:textFill>
        </w:rPr>
        <w:t>试验</w:t>
      </w:r>
      <w:r>
        <w:rPr>
          <w:rFonts w:hint="eastAsia" w:ascii="Times New Roman" w:cs="Times New Roman"/>
          <w:color w:val="000000" w:themeColor="text1"/>
          <w:kern w:val="2"/>
          <w:sz w:val="24"/>
          <w:szCs w:val="24"/>
          <w14:textFill>
            <w14:solidFill>
              <w14:schemeClr w14:val="tx1"/>
            </w14:solidFill>
          </w14:textFill>
        </w:rPr>
        <w:t>测试方法</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1）垂直空气温差</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当室内、</w:t>
      </w:r>
      <w:r>
        <w:rPr>
          <w:rFonts w:ascii="Times New Roman" w:cs="Times New Roman"/>
          <w:color w:val="000000" w:themeColor="text1"/>
          <w:kern w:val="2"/>
          <w:sz w:val="24"/>
          <w:szCs w:val="24"/>
          <w14:textFill>
            <w14:solidFill>
              <w14:schemeClr w14:val="tx1"/>
            </w14:solidFill>
          </w14:textFill>
        </w:rPr>
        <w:t>室外侧达到</w:t>
      </w:r>
      <w:r>
        <w:rPr>
          <w:rFonts w:hint="eastAsia" w:ascii="Times New Roman" w:cs="Times New Roman"/>
          <w:color w:val="000000" w:themeColor="text1"/>
          <w:kern w:val="2"/>
          <w:sz w:val="24"/>
          <w:szCs w:val="24"/>
          <w14:textFill>
            <w14:solidFill>
              <w14:schemeClr w14:val="tx1"/>
            </w14:solidFill>
          </w14:textFill>
        </w:rPr>
        <w:t>表</w:t>
      </w:r>
      <w:r>
        <w:rPr>
          <w:rFonts w:ascii="Times New Roman" w:cs="Times New Roman"/>
          <w:color w:val="000000" w:themeColor="text1"/>
          <w:kern w:val="2"/>
          <w:sz w:val="24"/>
          <w:szCs w:val="24"/>
          <w14:textFill>
            <w14:solidFill>
              <w14:schemeClr w14:val="tx1"/>
            </w14:solidFill>
          </w14:textFill>
        </w:rPr>
        <w:t>2</w:t>
      </w:r>
      <w:r>
        <w:rPr>
          <w:rFonts w:hint="eastAsia" w:ascii="Times New Roman" w:cs="Times New Roman"/>
          <w:color w:val="000000" w:themeColor="text1"/>
          <w:kern w:val="2"/>
          <w:sz w:val="24"/>
          <w:szCs w:val="24"/>
          <w14:textFill>
            <w14:solidFill>
              <w14:schemeClr w14:val="tx1"/>
            </w14:solidFill>
          </w14:textFill>
        </w:rPr>
        <w:t>的运行</w:t>
      </w:r>
      <w:r>
        <w:rPr>
          <w:rFonts w:ascii="Times New Roman" w:cs="Times New Roman"/>
          <w:color w:val="000000" w:themeColor="text1"/>
          <w:kern w:val="2"/>
          <w:sz w:val="24"/>
          <w:szCs w:val="24"/>
          <w14:textFill>
            <w14:solidFill>
              <w14:schemeClr w14:val="tx1"/>
            </w14:solidFill>
          </w14:textFill>
        </w:rPr>
        <w:t>工况</w:t>
      </w:r>
      <w:r>
        <w:rPr>
          <w:rFonts w:hint="eastAsia" w:ascii="Times New Roman" w:cs="Times New Roman"/>
          <w:color w:val="000000" w:themeColor="text1"/>
          <w:kern w:val="2"/>
          <w:sz w:val="24"/>
          <w:szCs w:val="24"/>
          <w14:textFill>
            <w14:solidFill>
              <w14:schemeClr w14:val="tx1"/>
            </w14:solidFill>
          </w14:textFill>
        </w:rPr>
        <w:t>，且</w:t>
      </w:r>
      <w:r>
        <w:rPr>
          <w:rFonts w:ascii="Times New Roman" w:cs="Times New Roman"/>
          <w:color w:val="000000" w:themeColor="text1"/>
          <w:kern w:val="2"/>
          <w:sz w:val="24"/>
          <w:szCs w:val="24"/>
          <w14:textFill>
            <w14:solidFill>
              <w14:schemeClr w14:val="tx1"/>
            </w14:solidFill>
          </w14:textFill>
        </w:rPr>
        <w:t>处于热稳定</w:t>
      </w:r>
      <w:r>
        <w:rPr>
          <w:rFonts w:hint="eastAsia" w:ascii="Times New Roman" w:cs="Times New Roman"/>
          <w:color w:val="000000" w:themeColor="text1"/>
          <w:kern w:val="2"/>
          <w:sz w:val="24"/>
          <w:szCs w:val="24"/>
          <w14:textFill>
            <w14:solidFill>
              <w14:schemeClr w14:val="tx1"/>
            </w14:solidFill>
          </w14:textFill>
        </w:rPr>
        <w:t>状态</w:t>
      </w:r>
      <w:r>
        <w:rPr>
          <w:rFonts w:ascii="Times New Roman" w:cs="Times New Roman"/>
          <w:color w:val="000000" w:themeColor="text1"/>
          <w:kern w:val="2"/>
          <w:sz w:val="24"/>
          <w:szCs w:val="24"/>
          <w14:textFill>
            <w14:solidFill>
              <w14:schemeClr w14:val="tx1"/>
            </w14:solidFill>
          </w14:textFill>
        </w:rPr>
        <w:t>后，开始</w:t>
      </w:r>
      <w:r>
        <w:rPr>
          <w:rFonts w:hint="eastAsia" w:ascii="Times New Roman" w:cs="Times New Roman"/>
          <w:color w:val="000000" w:themeColor="text1"/>
          <w:kern w:val="2"/>
          <w:sz w:val="24"/>
          <w:szCs w:val="24"/>
          <w14:textFill>
            <w14:solidFill>
              <w14:schemeClr w14:val="tx1"/>
            </w14:solidFill>
          </w14:textFill>
        </w:rPr>
        <w:t>进行</w:t>
      </w:r>
      <w:r>
        <w:rPr>
          <w:rFonts w:ascii="Times New Roman" w:cs="Times New Roman"/>
          <w:color w:val="000000" w:themeColor="text1"/>
          <w:kern w:val="2"/>
          <w:sz w:val="24"/>
          <w:szCs w:val="24"/>
          <w14:textFill>
            <w14:solidFill>
              <w14:schemeClr w14:val="tx1"/>
            </w14:solidFill>
          </w14:textFill>
        </w:rPr>
        <w:t>舒适性测试</w:t>
      </w:r>
      <w:r>
        <w:rPr>
          <w:rFonts w:hint="eastAsia" w:ascii="Times New Roman" w:cs="Times New Roman"/>
          <w:color w:val="000000" w:themeColor="text1"/>
          <w:kern w:val="2"/>
          <w:sz w:val="24"/>
          <w:szCs w:val="24"/>
          <w14:textFill>
            <w14:solidFill>
              <w14:schemeClr w14:val="tx1"/>
            </w14:solidFill>
          </w14:textFill>
        </w:rPr>
        <w:t>。</w:t>
      </w:r>
      <w:r>
        <w:rPr>
          <w:rFonts w:ascii="Times New Roman" w:cs="Times New Roman"/>
          <w:color w:val="000000" w:themeColor="text1"/>
          <w:kern w:val="2"/>
          <w:sz w:val="24"/>
          <w:szCs w:val="24"/>
          <w14:textFill>
            <w14:solidFill>
              <w14:schemeClr w14:val="tx1"/>
            </w14:solidFill>
          </w14:textFill>
        </w:rPr>
        <w:t>被测</w:t>
      </w:r>
      <w:r>
        <w:rPr>
          <w:rFonts w:hint="eastAsia" w:ascii="Times New Roman" w:cs="Times New Roman"/>
          <w:color w:val="000000" w:themeColor="text1"/>
          <w:kern w:val="2"/>
          <w:sz w:val="24"/>
          <w:szCs w:val="24"/>
          <w14:textFill>
            <w14:solidFill>
              <w14:schemeClr w14:val="tx1"/>
            </w14:solidFill>
          </w14:textFill>
        </w:rPr>
        <w:t>空调</w:t>
      </w:r>
      <w:r>
        <w:rPr>
          <w:rFonts w:ascii="Times New Roman" w:cs="Times New Roman"/>
          <w:color w:val="000000" w:themeColor="text1"/>
          <w:kern w:val="2"/>
          <w:sz w:val="24"/>
          <w:szCs w:val="24"/>
          <w14:textFill>
            <w14:solidFill>
              <w14:schemeClr w14:val="tx1"/>
            </w14:solidFill>
          </w14:textFill>
        </w:rPr>
        <w:t>启动</w:t>
      </w:r>
      <w:r>
        <w:rPr>
          <w:rFonts w:hint="eastAsia" w:ascii="Times New Roman" w:cs="Times New Roman"/>
          <w:color w:val="000000" w:themeColor="text1"/>
          <w:kern w:val="2"/>
          <w:sz w:val="24"/>
          <w:szCs w:val="24"/>
          <w14:textFill>
            <w14:solidFill>
              <w14:schemeClr w14:val="tx1"/>
            </w14:solidFill>
          </w14:textFill>
        </w:rPr>
        <w:t>运行2h后</w:t>
      </w:r>
      <w:r>
        <w:rPr>
          <w:rFonts w:ascii="Times New Roman" w:cs="Times New Roman"/>
          <w:color w:val="000000" w:themeColor="text1"/>
          <w:kern w:val="2"/>
          <w:sz w:val="24"/>
          <w:szCs w:val="24"/>
          <w14:textFill>
            <w14:solidFill>
              <w14:schemeClr w14:val="tx1"/>
            </w14:solidFill>
          </w14:textFill>
        </w:rPr>
        <w:t>，开始采集数据</w:t>
      </w:r>
      <w:r>
        <w:rPr>
          <w:rFonts w:hint="eastAsia" w:ascii="Times New Roman" w:cs="Times New Roman"/>
          <w:color w:val="000000" w:themeColor="text1"/>
          <w:kern w:val="2"/>
          <w:sz w:val="24"/>
          <w:szCs w:val="24"/>
          <w14:textFill>
            <w14:solidFill>
              <w14:schemeClr w14:val="tx1"/>
            </w14:solidFill>
          </w14:textFill>
        </w:rPr>
        <w:t>，测量各高度层区间内所有温度检测点的温度值。</w:t>
      </w:r>
      <w:r>
        <w:rPr>
          <w:rFonts w:ascii="Times New Roman" w:cs="Times New Roman"/>
          <w:color w:val="000000" w:themeColor="text1"/>
          <w:kern w:val="2"/>
          <w:sz w:val="24"/>
          <w:szCs w:val="24"/>
          <w14:textFill>
            <w14:solidFill>
              <w14:schemeClr w14:val="tx1"/>
            </w14:solidFill>
          </w14:textFill>
        </w:rPr>
        <w:t>数据</w:t>
      </w:r>
      <w:r>
        <w:rPr>
          <w:rFonts w:hint="eastAsia" w:ascii="Times New Roman" w:cs="Times New Roman"/>
          <w:color w:val="000000" w:themeColor="text1"/>
          <w:kern w:val="2"/>
          <w:sz w:val="24"/>
          <w:szCs w:val="24"/>
          <w14:textFill>
            <w14:solidFill>
              <w14:schemeClr w14:val="tx1"/>
            </w14:solidFill>
          </w14:textFill>
        </w:rPr>
        <w:t>采集</w:t>
      </w:r>
      <w:r>
        <w:rPr>
          <w:rFonts w:ascii="Times New Roman" w:cs="Times New Roman"/>
          <w:color w:val="000000" w:themeColor="text1"/>
          <w:kern w:val="2"/>
          <w:sz w:val="24"/>
          <w:szCs w:val="24"/>
          <w14:textFill>
            <w14:solidFill>
              <w14:schemeClr w14:val="tx1"/>
            </w14:solidFill>
          </w14:textFill>
        </w:rPr>
        <w:t>时间间隔</w:t>
      </w:r>
      <w:r>
        <w:rPr>
          <w:rFonts w:hint="eastAsia" w:ascii="Times New Roman" w:cs="Times New Roman"/>
          <w:color w:val="000000" w:themeColor="text1"/>
          <w:kern w:val="2"/>
          <w:sz w:val="24"/>
          <w:szCs w:val="24"/>
          <w14:textFill>
            <w14:solidFill>
              <w14:schemeClr w14:val="tx1"/>
            </w14:solidFill>
          </w14:textFill>
        </w:rPr>
        <w:t>不大于</w:t>
      </w:r>
      <w:r>
        <w:rPr>
          <w:rFonts w:ascii="Times New Roman" w:cs="Times New Roman"/>
          <w:color w:val="000000" w:themeColor="text1"/>
          <w:kern w:val="2"/>
          <w:sz w:val="24"/>
          <w:szCs w:val="24"/>
          <w14:textFill>
            <w14:solidFill>
              <w14:schemeClr w14:val="tx1"/>
            </w14:solidFill>
          </w14:textFill>
        </w:rPr>
        <w:t>30s</w:t>
      </w:r>
      <w:r>
        <w:rPr>
          <w:rFonts w:hint="eastAsia" w:ascii="Times New Roman" w:cs="Times New Roman"/>
          <w:color w:val="000000" w:themeColor="text1"/>
          <w:kern w:val="2"/>
          <w:sz w:val="24"/>
          <w:szCs w:val="24"/>
          <w14:textFill>
            <w14:solidFill>
              <w14:schemeClr w14:val="tx1"/>
            </w14:solidFill>
          </w14:textFill>
        </w:rPr>
        <w:t>，数据</w:t>
      </w:r>
      <w:r>
        <w:rPr>
          <w:rFonts w:ascii="Times New Roman" w:cs="Times New Roman"/>
          <w:color w:val="000000" w:themeColor="text1"/>
          <w:kern w:val="2"/>
          <w:sz w:val="24"/>
          <w:szCs w:val="24"/>
          <w14:textFill>
            <w14:solidFill>
              <w14:schemeClr w14:val="tx1"/>
            </w14:solidFill>
          </w14:textFill>
        </w:rPr>
        <w:t>采集时间为</w:t>
      </w:r>
      <w:r>
        <w:rPr>
          <w:rFonts w:hint="eastAsia" w:ascii="Times New Roman" w:cs="Times New Roman"/>
          <w:color w:val="000000" w:themeColor="text1"/>
          <w:kern w:val="2"/>
          <w:sz w:val="24"/>
          <w:szCs w:val="24"/>
          <w14:textFill>
            <w14:solidFill>
              <w14:schemeClr w14:val="tx1"/>
            </w14:solidFill>
          </w14:textFill>
        </w:rPr>
        <w:t>1h。按照公式（1）计算室内</w:t>
      </w:r>
      <w:r>
        <w:rPr>
          <w:rFonts w:ascii="Times New Roman" w:cs="Times New Roman"/>
          <w:color w:val="000000" w:themeColor="text1"/>
          <w:kern w:val="2"/>
          <w:sz w:val="24"/>
          <w:szCs w:val="24"/>
          <w14:textFill>
            <w14:solidFill>
              <w14:schemeClr w14:val="tx1"/>
            </w14:solidFill>
          </w14:textFill>
        </w:rPr>
        <w:t>垂直空气温差</w:t>
      </w:r>
      <w:r>
        <w:rPr>
          <w:rFonts w:hint="eastAsia" w:ascii="Times New Roman" w:cs="Times New Roman"/>
          <w:color w:val="000000" w:themeColor="text1"/>
          <w:kern w:val="2"/>
          <w:sz w:val="24"/>
          <w:szCs w:val="24"/>
          <w14:textFill>
            <w14:solidFill>
              <w14:schemeClr w14:val="tx1"/>
            </w14:solidFill>
          </w14:textFill>
        </w:rPr>
        <w:t>。</w:t>
      </w:r>
    </w:p>
    <w:p>
      <w:pPr>
        <w:pStyle w:val="62"/>
        <w:jc w:val="right"/>
        <w:rPr>
          <w:rFonts w:ascii="Times New Roman"/>
        </w:rPr>
      </w:pPr>
      <w:r>
        <w:rPr>
          <w:rFonts w:ascii="Times New Roman"/>
          <w:position w:val="-24"/>
        </w:rPr>
        <w:object>
          <v:shape id="_x0000_i1025" o:spt="75" type="#_x0000_t75" style="height:30.55pt;width:108.4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rPr>
        <w:t>············································（</w:t>
      </w:r>
      <w:r>
        <w:rPr>
          <w:rFonts w:hint="eastAsia" w:ascii="Times New Roman"/>
        </w:rPr>
        <w:t>1</w:t>
      </w:r>
      <w:r>
        <w:rPr>
          <w:rFonts w:ascii="Times New Roman"/>
        </w:rPr>
        <w:t>）</w:t>
      </w:r>
    </w:p>
    <w:p>
      <w:pPr>
        <w:ind w:right="210" w:firstLine="480" w:firstLineChars="200"/>
        <w:rPr>
          <w:rFonts w:ascii="Calibri" w:hAnsi="Calibri"/>
          <w:i/>
          <w:sz w:val="24"/>
          <w:szCs w:val="24"/>
        </w:rPr>
      </w:pPr>
      <w:r>
        <w:rPr>
          <w:sz w:val="24"/>
          <w:szCs w:val="24"/>
        </w:rPr>
        <w:t>式中：</w:t>
      </w:r>
    </w:p>
    <w:p>
      <w:pPr>
        <w:spacing w:after="156"/>
        <w:ind w:firstLine="420"/>
        <w:rPr>
          <w:sz w:val="24"/>
          <w:szCs w:val="24"/>
        </w:rPr>
      </w:pPr>
      <w:r>
        <w:rPr>
          <w:i/>
          <w:position w:val="-14"/>
          <w:sz w:val="24"/>
          <w:szCs w:val="24"/>
        </w:rPr>
        <w:object>
          <v:shape id="_x0000_i1026" o:spt="75" type="#_x0000_t75" style="height:18.7pt;width:20.0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sz w:val="24"/>
          <w:szCs w:val="24"/>
        </w:rPr>
        <w:t>——</w:t>
      </w:r>
      <w:r>
        <w:rPr>
          <w:rFonts w:hint="eastAsia"/>
          <w:sz w:val="24"/>
          <w:szCs w:val="24"/>
        </w:rPr>
        <w:t>高度层H</w:t>
      </w:r>
      <w:r>
        <w:rPr>
          <w:sz w:val="24"/>
          <w:szCs w:val="24"/>
          <w:vertAlign w:val="subscript"/>
        </w:rPr>
        <w:t>i</w:t>
      </w:r>
      <w:r>
        <w:rPr>
          <w:rFonts w:hint="eastAsia"/>
          <w:sz w:val="24"/>
          <w:szCs w:val="24"/>
        </w:rPr>
        <w:t>到H</w:t>
      </w:r>
      <w:r>
        <w:rPr>
          <w:rFonts w:hint="eastAsia"/>
          <w:sz w:val="24"/>
          <w:szCs w:val="24"/>
          <w:vertAlign w:val="subscript"/>
        </w:rPr>
        <w:t>1</w:t>
      </w:r>
      <w:r>
        <w:rPr>
          <w:rFonts w:hint="eastAsia"/>
          <w:sz w:val="24"/>
          <w:szCs w:val="24"/>
        </w:rPr>
        <w:t>的垂</w:t>
      </w:r>
      <w:r>
        <w:rPr>
          <w:sz w:val="24"/>
          <w:szCs w:val="24"/>
        </w:rPr>
        <w:t>直空气温差，</w:t>
      </w:r>
      <w:r>
        <w:rPr>
          <w:rFonts w:hint="eastAsia"/>
          <w:sz w:val="24"/>
          <w:szCs w:val="24"/>
        </w:rPr>
        <w:t>本试验H</w:t>
      </w:r>
      <w:r>
        <w:rPr>
          <w:sz w:val="24"/>
          <w:szCs w:val="24"/>
          <w:vertAlign w:val="subscript"/>
        </w:rPr>
        <w:t>i</w:t>
      </w:r>
      <w:r>
        <w:rPr>
          <w:rFonts w:hint="eastAsia"/>
          <w:sz w:val="24"/>
          <w:szCs w:val="24"/>
        </w:rPr>
        <w:t>取H</w:t>
      </w:r>
      <w:r>
        <w:rPr>
          <w:rFonts w:hint="eastAsia"/>
          <w:sz w:val="24"/>
          <w:szCs w:val="24"/>
          <w:vertAlign w:val="subscript"/>
        </w:rPr>
        <w:t>5</w:t>
      </w:r>
      <w:r>
        <w:rPr>
          <w:rFonts w:hint="eastAsia"/>
          <w:sz w:val="24"/>
          <w:szCs w:val="24"/>
        </w:rPr>
        <w:t>、H</w:t>
      </w:r>
      <w:r>
        <w:rPr>
          <w:rFonts w:hint="eastAsia"/>
          <w:sz w:val="24"/>
          <w:szCs w:val="24"/>
          <w:vertAlign w:val="subscript"/>
        </w:rPr>
        <w:t>4</w:t>
      </w:r>
      <w:r>
        <w:rPr>
          <w:rFonts w:hint="eastAsia"/>
          <w:sz w:val="24"/>
          <w:szCs w:val="24"/>
        </w:rPr>
        <w:t>、H</w:t>
      </w:r>
      <w:r>
        <w:rPr>
          <w:rFonts w:hint="eastAsia"/>
          <w:sz w:val="24"/>
          <w:szCs w:val="24"/>
          <w:vertAlign w:val="subscript"/>
        </w:rPr>
        <w:t>3</w:t>
      </w:r>
      <w:r>
        <w:rPr>
          <w:rFonts w:hint="eastAsia"/>
          <w:sz w:val="24"/>
          <w:szCs w:val="24"/>
        </w:rPr>
        <w:t>、H</w:t>
      </w:r>
      <w:r>
        <w:rPr>
          <w:rFonts w:hint="eastAsia"/>
          <w:sz w:val="24"/>
          <w:szCs w:val="24"/>
          <w:vertAlign w:val="subscript"/>
        </w:rPr>
        <w:t>2</w:t>
      </w:r>
      <w:r>
        <w:rPr>
          <w:rFonts w:hint="eastAsia"/>
          <w:sz w:val="24"/>
          <w:szCs w:val="24"/>
        </w:rPr>
        <w:t>，单位为</w:t>
      </w:r>
      <w:r>
        <w:rPr>
          <w:sz w:val="24"/>
          <w:szCs w:val="24"/>
        </w:rPr>
        <w:t>开尔文（</w:t>
      </w:r>
      <w:r>
        <w:rPr>
          <w:rFonts w:hint="eastAsia"/>
          <w:sz w:val="24"/>
          <w:szCs w:val="24"/>
        </w:rPr>
        <w:t>K</w:t>
      </w:r>
      <w:r>
        <w:rPr>
          <w:sz w:val="24"/>
          <w:szCs w:val="24"/>
        </w:rPr>
        <w:t>）；</w:t>
      </w:r>
    </w:p>
    <w:p>
      <w:pPr>
        <w:ind w:firstLine="420"/>
        <w:rPr>
          <w:sz w:val="24"/>
          <w:szCs w:val="24"/>
        </w:rPr>
      </w:pPr>
      <w:r>
        <w:rPr>
          <w:i/>
          <w:position w:val="-14"/>
          <w:sz w:val="24"/>
          <w:szCs w:val="24"/>
        </w:rPr>
        <w:object>
          <v:shape id="_x0000_i1027" o:spt="75" type="#_x0000_t75" style="height:18.7pt;width:18.2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sz w:val="24"/>
          <w:szCs w:val="24"/>
        </w:rPr>
        <w:t>——</w:t>
      </w:r>
      <w:r>
        <w:rPr>
          <w:rFonts w:hint="eastAsia"/>
          <w:sz w:val="24"/>
          <w:szCs w:val="24"/>
        </w:rPr>
        <w:t>高度层H</w:t>
      </w:r>
      <w:r>
        <w:rPr>
          <w:sz w:val="24"/>
          <w:szCs w:val="24"/>
          <w:vertAlign w:val="subscript"/>
        </w:rPr>
        <w:t>i</w:t>
      </w:r>
      <w:r>
        <w:rPr>
          <w:rFonts w:hint="eastAsia"/>
          <w:sz w:val="24"/>
          <w:szCs w:val="24"/>
        </w:rPr>
        <w:t>中第k个检</w:t>
      </w:r>
      <w:r>
        <w:rPr>
          <w:sz w:val="24"/>
          <w:szCs w:val="24"/>
        </w:rPr>
        <w:t>测点</w:t>
      </w:r>
      <w:r>
        <w:rPr>
          <w:rFonts w:hint="eastAsia"/>
          <w:sz w:val="24"/>
          <w:szCs w:val="24"/>
        </w:rPr>
        <w:t>在数据采集阶段中的</w:t>
      </w:r>
      <w:r>
        <w:rPr>
          <w:sz w:val="24"/>
          <w:szCs w:val="24"/>
        </w:rPr>
        <w:t>平均温度，</w:t>
      </w:r>
      <w:r>
        <w:rPr>
          <w:rFonts w:hint="eastAsia"/>
          <w:sz w:val="24"/>
          <w:szCs w:val="24"/>
        </w:rPr>
        <w:t>单位为摄氏度</w:t>
      </w:r>
      <w:r>
        <w:rPr>
          <w:sz w:val="24"/>
          <w:szCs w:val="24"/>
        </w:rPr>
        <w:t>（℃）；</w:t>
      </w:r>
    </w:p>
    <w:p>
      <w:pPr>
        <w:spacing w:after="156"/>
        <w:ind w:firstLine="420"/>
        <w:rPr>
          <w:sz w:val="24"/>
          <w:szCs w:val="24"/>
        </w:rPr>
      </w:pPr>
      <w:r>
        <w:rPr>
          <w:i/>
          <w:position w:val="-14"/>
          <w:sz w:val="24"/>
          <w:szCs w:val="24"/>
        </w:rPr>
        <w:object>
          <v:shape id="_x0000_i1028" o:spt="75" type="#_x0000_t75" style="height:18.7pt;width:18.2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sz w:val="24"/>
          <w:szCs w:val="24"/>
        </w:rPr>
        <w:t>——</w:t>
      </w:r>
      <w:r>
        <w:rPr>
          <w:rFonts w:hint="eastAsia"/>
          <w:sz w:val="24"/>
          <w:szCs w:val="24"/>
        </w:rPr>
        <w:t>高度层H</w:t>
      </w:r>
      <w:r>
        <w:rPr>
          <w:rFonts w:hint="eastAsia"/>
          <w:sz w:val="24"/>
          <w:szCs w:val="24"/>
          <w:vertAlign w:val="subscript"/>
        </w:rPr>
        <w:t>1</w:t>
      </w:r>
      <w:r>
        <w:rPr>
          <w:rFonts w:hint="eastAsia"/>
          <w:sz w:val="24"/>
          <w:szCs w:val="24"/>
        </w:rPr>
        <w:t>中</w:t>
      </w:r>
      <w:r>
        <w:rPr>
          <w:sz w:val="24"/>
          <w:szCs w:val="24"/>
        </w:rPr>
        <w:t>，</w:t>
      </w:r>
      <w:r>
        <w:rPr>
          <w:rFonts w:hint="eastAsia"/>
          <w:sz w:val="24"/>
          <w:szCs w:val="24"/>
        </w:rPr>
        <w:t>与H</w:t>
      </w:r>
      <w:r>
        <w:rPr>
          <w:sz w:val="24"/>
          <w:szCs w:val="24"/>
          <w:vertAlign w:val="subscript"/>
        </w:rPr>
        <w:t>i</w:t>
      </w:r>
      <w:r>
        <w:rPr>
          <w:rFonts w:hint="eastAsia"/>
          <w:sz w:val="24"/>
          <w:szCs w:val="24"/>
        </w:rPr>
        <w:t>层第k个检</w:t>
      </w:r>
      <w:r>
        <w:rPr>
          <w:sz w:val="24"/>
          <w:szCs w:val="24"/>
        </w:rPr>
        <w:t>测点</w:t>
      </w:r>
      <w:r>
        <w:rPr>
          <w:rFonts w:hint="eastAsia"/>
          <w:sz w:val="24"/>
          <w:szCs w:val="24"/>
        </w:rPr>
        <w:t>垂直方向对应的检</w:t>
      </w:r>
      <w:r>
        <w:rPr>
          <w:sz w:val="24"/>
          <w:szCs w:val="24"/>
        </w:rPr>
        <w:t>测点</w:t>
      </w:r>
      <w:r>
        <w:rPr>
          <w:rFonts w:hint="eastAsia"/>
          <w:sz w:val="24"/>
          <w:szCs w:val="24"/>
        </w:rPr>
        <w:t>在数据采集阶段中的</w:t>
      </w:r>
      <w:r>
        <w:rPr>
          <w:sz w:val="24"/>
          <w:szCs w:val="24"/>
        </w:rPr>
        <w:t>平均温度，</w:t>
      </w:r>
      <w:r>
        <w:rPr>
          <w:rFonts w:hint="eastAsia"/>
          <w:sz w:val="24"/>
          <w:szCs w:val="24"/>
        </w:rPr>
        <w:t>单位为摄氏度</w:t>
      </w:r>
      <w:r>
        <w:rPr>
          <w:sz w:val="24"/>
          <w:szCs w:val="24"/>
        </w:rPr>
        <w:t>（℃）；</w:t>
      </w:r>
    </w:p>
    <w:p>
      <w:pPr>
        <w:spacing w:after="156"/>
        <w:ind w:firstLine="420"/>
        <w:rPr>
          <w:sz w:val="24"/>
          <w:szCs w:val="24"/>
        </w:rPr>
      </w:pPr>
      <w:r>
        <w:rPr>
          <w:i/>
          <w:sz w:val="24"/>
          <w:szCs w:val="24"/>
        </w:rPr>
        <w:t xml:space="preserve">k </w:t>
      </w:r>
      <w:r>
        <w:rPr>
          <w:sz w:val="24"/>
          <w:szCs w:val="24"/>
        </w:rPr>
        <w:t>——</w:t>
      </w:r>
      <w:r>
        <w:rPr>
          <w:rFonts w:hint="eastAsia"/>
          <w:sz w:val="24"/>
          <w:szCs w:val="24"/>
        </w:rPr>
        <w:t>高度层H</w:t>
      </w:r>
      <w:r>
        <w:rPr>
          <w:sz w:val="24"/>
          <w:szCs w:val="24"/>
          <w:vertAlign w:val="subscript"/>
        </w:rPr>
        <w:t>i</w:t>
      </w:r>
      <w:r>
        <w:rPr>
          <w:rFonts w:hint="eastAsia"/>
          <w:sz w:val="24"/>
          <w:szCs w:val="24"/>
        </w:rPr>
        <w:t>中</w:t>
      </w:r>
      <w:r>
        <w:rPr>
          <w:sz w:val="24"/>
          <w:szCs w:val="24"/>
        </w:rPr>
        <w:t>测点</w:t>
      </w:r>
      <w:r>
        <w:rPr>
          <w:rFonts w:hint="eastAsia"/>
          <w:sz w:val="24"/>
          <w:szCs w:val="24"/>
        </w:rPr>
        <w:t>的总数量</w:t>
      </w:r>
      <w:r>
        <w:rPr>
          <w:sz w:val="24"/>
          <w:szCs w:val="24"/>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2）吹风感指数</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ascii="Times New Roman" w:cs="Times New Roman"/>
          <w:color w:val="000000" w:themeColor="text1"/>
          <w:kern w:val="2"/>
          <w:sz w:val="24"/>
          <w:szCs w:val="24"/>
          <w14:textFill>
            <w14:solidFill>
              <w14:schemeClr w14:val="tx1"/>
            </w14:solidFill>
          </w14:textFill>
        </w:rPr>
        <w:t>按照</w:t>
      </w:r>
      <w:r>
        <w:rPr>
          <w:rFonts w:hint="eastAsia" w:ascii="Times New Roman" w:cs="Times New Roman"/>
          <w:color w:val="000000" w:themeColor="text1"/>
          <w:kern w:val="2"/>
          <w:sz w:val="24"/>
          <w:szCs w:val="24"/>
          <w14:textFill>
            <w14:solidFill>
              <w14:schemeClr w14:val="tx1"/>
            </w14:solidFill>
          </w14:textFill>
        </w:rPr>
        <w:t>1）</w:t>
      </w:r>
      <w:r>
        <w:rPr>
          <w:rFonts w:ascii="Times New Roman" w:cs="Times New Roman"/>
          <w:color w:val="000000" w:themeColor="text1"/>
          <w:kern w:val="2"/>
          <w:sz w:val="24"/>
          <w:szCs w:val="24"/>
          <w14:textFill>
            <w14:solidFill>
              <w14:schemeClr w14:val="tx1"/>
            </w14:solidFill>
          </w14:textFill>
        </w:rPr>
        <w:t>试验方法，室内热环境稳定后，测量采集时间内各检测点的温度值和风速，按照公式（</w:t>
      </w:r>
      <w:r>
        <w:rPr>
          <w:rFonts w:hint="eastAsia" w:ascii="Times New Roman" w:cs="Times New Roman"/>
          <w:color w:val="000000" w:themeColor="text1"/>
          <w:kern w:val="2"/>
          <w:sz w:val="24"/>
          <w:szCs w:val="24"/>
          <w14:textFill>
            <w14:solidFill>
              <w14:schemeClr w14:val="tx1"/>
            </w14:solidFill>
          </w14:textFill>
        </w:rPr>
        <w:t>2</w:t>
      </w:r>
      <w:r>
        <w:rPr>
          <w:rFonts w:ascii="Times New Roman" w:cs="Times New Roman"/>
          <w:color w:val="000000" w:themeColor="text1"/>
          <w:kern w:val="2"/>
          <w:sz w:val="24"/>
          <w:szCs w:val="24"/>
          <w14:textFill>
            <w14:solidFill>
              <w14:schemeClr w14:val="tx1"/>
            </w14:solidFill>
          </w14:textFill>
        </w:rPr>
        <w:t>）计算房间监测点的吹风感指数，整个房间的吹风感指数为测定时间内检测点吹风感指数的平均值。</w:t>
      </w:r>
    </w:p>
    <w:p>
      <w:pPr>
        <w:pStyle w:val="62"/>
        <w:jc w:val="right"/>
        <w:rPr>
          <w:rFonts w:ascii="Times New Roman"/>
        </w:rPr>
      </w:pPr>
      <m:oMath>
        <m:r>
          <m:rPr/>
          <w:rPr>
            <w:rFonts w:ascii="Cambria Math" w:hAnsi="Cambria Math"/>
          </w:rPr>
          <m:t>DR=</m:t>
        </m:r>
        <m:d>
          <m:dPr>
            <m:ctrlPr>
              <w:rPr>
                <w:rFonts w:ascii="Cambria Math" w:hAnsi="Cambria Math" w:eastAsiaTheme="minorEastAsia"/>
                <w:i/>
                <w:kern w:val="2"/>
                <w:szCs w:val="22"/>
              </w:rPr>
            </m:ctrlPr>
          </m:dPr>
          <m:e>
            <m:r>
              <m:rPr/>
              <w:rPr>
                <w:rFonts w:ascii="Cambria Math" w:hAnsi="Cambria Math"/>
              </w:rPr>
              <m:t>34−</m:t>
            </m:r>
            <m:sSub>
              <m:sSubPr>
                <m:ctrlPr>
                  <w:rPr>
                    <w:rFonts w:ascii="Cambria Math" w:hAnsi="Cambria Math" w:eastAsiaTheme="minorEastAsia"/>
                    <w:kern w:val="2"/>
                    <w:szCs w:val="22"/>
                  </w:rPr>
                </m:ctrlPr>
              </m:sSubPr>
              <m:e>
                <m:r>
                  <m:rPr>
                    <m:sty m:val="p"/>
                  </m:rPr>
                  <w:rPr>
                    <w:rFonts w:ascii="Cambria Math" w:hAnsi="Cambria Math"/>
                  </w:rPr>
                  <m:t>t</m:t>
                </m:r>
                <m:ctrlPr>
                  <w:rPr>
                    <w:rFonts w:ascii="Cambria Math" w:hAnsi="Cambria Math" w:eastAsiaTheme="minorEastAsia"/>
                    <w:kern w:val="2"/>
                    <w:szCs w:val="22"/>
                  </w:rPr>
                </m:ctrlPr>
              </m:e>
              <m:sub>
                <m:r>
                  <m:rPr>
                    <m:sty m:val="p"/>
                  </m:rPr>
                  <w:rPr>
                    <w:rFonts w:ascii="Cambria Math" w:hAnsi="Cambria Math"/>
                  </w:rPr>
                  <m:t>a</m:t>
                </m:r>
                <m:ctrlPr>
                  <w:rPr>
                    <w:rFonts w:ascii="Cambria Math" w:hAnsi="Cambria Math" w:eastAsiaTheme="minorEastAsia"/>
                    <w:kern w:val="2"/>
                    <w:szCs w:val="22"/>
                  </w:rPr>
                </m:ctrlPr>
              </m:sub>
            </m:sSub>
            <m:ctrlPr>
              <w:rPr>
                <w:rFonts w:ascii="Cambria Math" w:hAnsi="Cambria Math" w:eastAsiaTheme="minorEastAsia"/>
                <w:i/>
                <w:kern w:val="2"/>
                <w:szCs w:val="22"/>
              </w:rPr>
            </m:ctrlPr>
          </m:e>
        </m:d>
        <m:sSup>
          <m:sSupPr>
            <m:ctrlPr>
              <w:rPr>
                <w:rFonts w:ascii="Cambria Math" w:hAnsi="Cambria Math" w:eastAsiaTheme="minorEastAsia"/>
                <w:i/>
                <w:kern w:val="2"/>
                <w:szCs w:val="22"/>
              </w:rPr>
            </m:ctrlPr>
          </m:sSupPr>
          <m:e>
            <m:d>
              <m:dPr>
                <m:ctrlPr>
                  <w:rPr>
                    <w:rFonts w:ascii="Cambria Math" w:hAnsi="Cambria Math" w:eastAsiaTheme="minorEastAsia"/>
                    <w:i/>
                    <w:kern w:val="2"/>
                    <w:szCs w:val="22"/>
                  </w:rPr>
                </m:ctrlPr>
              </m:dPr>
              <m:e>
                <m:sSub>
                  <m:sSubPr>
                    <m:ctrlPr>
                      <w:rPr>
                        <w:rFonts w:ascii="Cambria Math" w:hAnsi="Cambria Math" w:eastAsiaTheme="minorEastAsia"/>
                        <w:i/>
                        <w:kern w:val="2"/>
                        <w:szCs w:val="22"/>
                      </w:rPr>
                    </m:ctrlPr>
                  </m:sSubPr>
                  <m:e>
                    <m:r>
                      <m:rPr/>
                      <w:rPr>
                        <w:rFonts w:hint="eastAsia" w:ascii="Cambria Math" w:hAnsi="Cambria Math"/>
                      </w:rPr>
                      <m:t>ν</m:t>
                    </m:r>
                    <m:ctrlPr>
                      <w:rPr>
                        <w:rFonts w:ascii="Cambria Math" w:hAnsi="Cambria Math" w:eastAsiaTheme="minorEastAsia"/>
                        <w:i/>
                        <w:kern w:val="2"/>
                        <w:szCs w:val="22"/>
                      </w:rPr>
                    </m:ctrlPr>
                  </m:e>
                  <m:sub>
                    <m:r>
                      <m:rPr/>
                      <w:rPr>
                        <w:rFonts w:ascii="Cambria Math" w:hAnsi="Cambria Math"/>
                      </w:rPr>
                      <m:t>a</m:t>
                    </m:r>
                    <m:ctrlPr>
                      <w:rPr>
                        <w:rFonts w:ascii="Cambria Math" w:hAnsi="Cambria Math" w:eastAsiaTheme="minorEastAsia"/>
                        <w:i/>
                        <w:kern w:val="2"/>
                        <w:szCs w:val="22"/>
                      </w:rPr>
                    </m:ctrlPr>
                  </m:sub>
                </m:sSub>
                <m:r>
                  <m:rPr/>
                  <w:rPr>
                    <w:rFonts w:ascii="Cambria Math" w:hAnsi="Cambria Math"/>
                  </w:rPr>
                  <m:t>−</m:t>
                </m:r>
                <m:r>
                  <m:rPr>
                    <m:sty m:val="p"/>
                  </m:rPr>
                  <w:rPr>
                    <w:rFonts w:ascii="Cambria Math" w:hAnsi="Cambria Math"/>
                  </w:rPr>
                  <m:t>0.05</m:t>
                </m:r>
                <m:ctrlPr>
                  <w:rPr>
                    <w:rFonts w:ascii="Cambria Math" w:hAnsi="Cambria Math" w:eastAsiaTheme="minorEastAsia"/>
                    <w:i/>
                    <w:kern w:val="2"/>
                    <w:szCs w:val="22"/>
                  </w:rPr>
                </m:ctrlPr>
              </m:e>
            </m:d>
            <m:ctrlPr>
              <w:rPr>
                <w:rFonts w:ascii="Cambria Math" w:hAnsi="Cambria Math" w:eastAsiaTheme="minorEastAsia"/>
                <w:i/>
                <w:kern w:val="2"/>
                <w:szCs w:val="22"/>
              </w:rPr>
            </m:ctrlPr>
          </m:e>
          <m:sup>
            <m:r>
              <m:rPr/>
              <w:rPr>
                <w:rFonts w:ascii="Cambria Math" w:hAnsi="Cambria Math"/>
              </w:rPr>
              <m:t>0.62</m:t>
            </m:r>
            <m:ctrlPr>
              <w:rPr>
                <w:rFonts w:ascii="Cambria Math" w:hAnsi="Cambria Math" w:eastAsiaTheme="minorEastAsia"/>
                <w:i/>
                <w:kern w:val="2"/>
                <w:szCs w:val="22"/>
              </w:rPr>
            </m:ctrlPr>
          </m:sup>
        </m:sSup>
        <m:d>
          <m:dPr>
            <m:ctrlPr>
              <w:rPr>
                <w:rFonts w:ascii="Cambria Math" w:hAnsi="Cambria Math" w:eastAsiaTheme="minorEastAsia"/>
                <w:i/>
                <w:kern w:val="2"/>
                <w:szCs w:val="22"/>
              </w:rPr>
            </m:ctrlPr>
          </m:dPr>
          <m:e>
            <m:r>
              <m:rPr/>
              <w:rPr>
                <w:rFonts w:ascii="Cambria Math" w:hAnsi="Cambria Math"/>
              </w:rPr>
              <m:t>0.37×</m:t>
            </m:r>
            <m:sSub>
              <m:sSubPr>
                <m:ctrlPr>
                  <w:rPr>
                    <w:rFonts w:ascii="Cambria Math" w:hAnsi="Cambria Math" w:eastAsiaTheme="minorEastAsia"/>
                    <w:i/>
                    <w:kern w:val="2"/>
                    <w:szCs w:val="22"/>
                  </w:rPr>
                </m:ctrlPr>
              </m:sSubPr>
              <m:e>
                <m:r>
                  <m:rPr/>
                  <w:rPr>
                    <w:rFonts w:hint="eastAsia" w:ascii="Cambria Math" w:hAnsi="Cambria Math"/>
                  </w:rPr>
                  <m:t>ν</m:t>
                </m:r>
                <m:ctrlPr>
                  <w:rPr>
                    <w:rFonts w:ascii="Cambria Math" w:hAnsi="Cambria Math" w:eastAsiaTheme="minorEastAsia"/>
                    <w:i/>
                    <w:kern w:val="2"/>
                    <w:szCs w:val="22"/>
                  </w:rPr>
                </m:ctrlPr>
              </m:e>
              <m:sub>
                <m:r>
                  <m:rPr/>
                  <w:rPr>
                    <w:rFonts w:ascii="Cambria Math" w:hAnsi="Cambria Math"/>
                  </w:rPr>
                  <m:t>a</m:t>
                </m:r>
                <m:ctrlPr>
                  <w:rPr>
                    <w:rFonts w:ascii="Cambria Math" w:hAnsi="Cambria Math" w:eastAsiaTheme="minorEastAsia"/>
                    <w:i/>
                    <w:kern w:val="2"/>
                    <w:szCs w:val="22"/>
                  </w:rPr>
                </m:ctrlPr>
              </m:sub>
            </m:sSub>
            <m:r>
              <m:rPr/>
              <w:rPr>
                <w:rFonts w:ascii="Cambria Math" w:hAnsi="Cambria Math"/>
              </w:rPr>
              <m:t>×</m:t>
            </m:r>
            <m:sSub>
              <m:sSubPr>
                <m:ctrlPr>
                  <w:rPr>
                    <w:rFonts w:ascii="Cambria Math" w:hAnsi="Cambria Math" w:eastAsiaTheme="minorEastAsia"/>
                    <w:i/>
                    <w:kern w:val="2"/>
                    <w:szCs w:val="22"/>
                  </w:rPr>
                </m:ctrlPr>
              </m:sSubPr>
              <m:e>
                <m:r>
                  <m:rPr/>
                  <w:rPr>
                    <w:rFonts w:ascii="Cambria Math" w:hAnsi="Cambria Math"/>
                  </w:rPr>
                  <m:t>T</m:t>
                </m:r>
                <m:ctrlPr>
                  <w:rPr>
                    <w:rFonts w:ascii="Cambria Math" w:hAnsi="Cambria Math" w:eastAsiaTheme="minorEastAsia"/>
                    <w:i/>
                    <w:kern w:val="2"/>
                    <w:szCs w:val="22"/>
                  </w:rPr>
                </m:ctrlPr>
              </m:e>
              <m:sub>
                <m:r>
                  <m:rPr/>
                  <w:rPr>
                    <w:rFonts w:ascii="Cambria Math" w:hAnsi="Cambria Math"/>
                  </w:rPr>
                  <m:t>u</m:t>
                </m:r>
                <m:ctrlPr>
                  <w:rPr>
                    <w:rFonts w:ascii="Cambria Math" w:hAnsi="Cambria Math" w:eastAsiaTheme="minorEastAsia"/>
                    <w:i/>
                    <w:kern w:val="2"/>
                    <w:szCs w:val="22"/>
                  </w:rPr>
                </m:ctrlPr>
              </m:sub>
            </m:sSub>
            <m:r>
              <m:rPr/>
              <w:rPr>
                <w:rFonts w:ascii="Cambria Math" w:hAnsi="Cambria Math"/>
              </w:rPr>
              <m:t>+</m:t>
            </m:r>
            <m:r>
              <m:rPr>
                <m:sty m:val="p"/>
              </m:rPr>
              <w:rPr>
                <w:rFonts w:ascii="Cambria Math" w:hAnsi="Cambria Math"/>
              </w:rPr>
              <m:t>3.14</m:t>
            </m:r>
            <m:ctrlPr>
              <w:rPr>
                <w:rFonts w:ascii="Cambria Math" w:hAnsi="Cambria Math" w:eastAsiaTheme="minorEastAsia"/>
                <w:i/>
                <w:kern w:val="2"/>
                <w:szCs w:val="22"/>
              </w:rPr>
            </m:ctrlPr>
          </m:e>
        </m:d>
        <m:r>
          <m:rPr/>
          <w:rPr>
            <w:rFonts w:ascii="Cambria Math" w:hAnsi="Cambria Math"/>
          </w:rPr>
          <m:t xml:space="preserve"> </m:t>
        </m:r>
      </m:oMath>
      <w:r>
        <w:rPr>
          <w:rFonts w:ascii="Times New Roman"/>
        </w:rPr>
        <w:t>······················</w:t>
      </w:r>
      <w:r>
        <w:rPr>
          <w:rFonts w:hint="eastAsia" w:ascii="Times New Roman"/>
        </w:rPr>
        <w:t>（2）</w:t>
      </w:r>
    </w:p>
    <w:p>
      <w:pPr>
        <w:spacing w:line="360" w:lineRule="auto"/>
        <w:ind w:firstLine="420"/>
        <w:rPr>
          <w:sz w:val="24"/>
          <w:szCs w:val="24"/>
        </w:rPr>
      </w:pPr>
      <w:r>
        <w:rPr>
          <w:rFonts w:hAnsi="宋体"/>
          <w:sz w:val="24"/>
          <w:szCs w:val="24"/>
        </w:rPr>
        <w:t>式中：</w:t>
      </w:r>
    </w:p>
    <w:p>
      <w:pPr>
        <w:spacing w:line="360" w:lineRule="auto"/>
        <w:ind w:firstLine="420"/>
        <w:rPr>
          <w:sz w:val="24"/>
          <w:szCs w:val="24"/>
        </w:rPr>
      </w:pPr>
      <w:r>
        <w:rPr>
          <w:i/>
          <w:sz w:val="24"/>
          <w:szCs w:val="24"/>
        </w:rPr>
        <w:t>DR</w:t>
      </w:r>
      <w:r>
        <w:rPr>
          <w:sz w:val="24"/>
          <w:szCs w:val="24"/>
        </w:rPr>
        <w:t xml:space="preserve"> ——</w:t>
      </w:r>
      <w:r>
        <w:rPr>
          <w:rFonts w:hAnsi="宋体"/>
          <w:sz w:val="24"/>
          <w:szCs w:val="24"/>
        </w:rPr>
        <w:t>吹风感指数，即由于涡动气流引起的不满意率；若</w:t>
      </w:r>
      <w:r>
        <w:rPr>
          <w:sz w:val="24"/>
          <w:szCs w:val="24"/>
        </w:rPr>
        <w:t>DR</w:t>
      </w:r>
      <w:r>
        <w:rPr>
          <w:rFonts w:hAnsi="宋体"/>
          <w:sz w:val="24"/>
          <w:szCs w:val="24"/>
        </w:rPr>
        <w:t>＞</w:t>
      </w:r>
      <w:r>
        <w:rPr>
          <w:sz w:val="24"/>
          <w:szCs w:val="24"/>
        </w:rPr>
        <w:t>100%</w:t>
      </w:r>
      <w:r>
        <w:rPr>
          <w:rFonts w:hAnsi="宋体"/>
          <w:sz w:val="24"/>
          <w:szCs w:val="24"/>
        </w:rPr>
        <w:t>，则</w:t>
      </w:r>
      <w:r>
        <w:rPr>
          <w:sz w:val="24"/>
          <w:szCs w:val="24"/>
        </w:rPr>
        <w:t>DR=100%</w:t>
      </w:r>
      <w:r>
        <w:rPr>
          <w:rFonts w:hAnsi="宋体"/>
          <w:sz w:val="24"/>
          <w:szCs w:val="24"/>
        </w:rPr>
        <w:t>。</w:t>
      </w:r>
    </w:p>
    <w:p>
      <w:pPr>
        <w:spacing w:line="360" w:lineRule="auto"/>
        <w:ind w:firstLine="420"/>
        <w:rPr>
          <w:sz w:val="24"/>
          <w:szCs w:val="24"/>
        </w:rPr>
      </w:pPr>
      <w:r>
        <w:rPr>
          <w:i/>
          <w:sz w:val="24"/>
          <w:szCs w:val="24"/>
        </w:rPr>
        <w:t>T</w:t>
      </w:r>
      <w:r>
        <w:rPr>
          <w:i/>
          <w:sz w:val="24"/>
          <w:szCs w:val="24"/>
          <w:vertAlign w:val="subscript"/>
        </w:rPr>
        <w:t>a</w:t>
      </w:r>
      <w:r>
        <w:rPr>
          <w:sz w:val="24"/>
          <w:szCs w:val="24"/>
        </w:rPr>
        <w:t xml:space="preserve"> ——</w:t>
      </w:r>
      <w:r>
        <w:rPr>
          <w:rFonts w:hAnsi="宋体"/>
          <w:sz w:val="24"/>
          <w:szCs w:val="24"/>
        </w:rPr>
        <w:t>局部空气温度，</w:t>
      </w:r>
      <w:r>
        <w:rPr>
          <w:rFonts w:hint="eastAsia"/>
          <w:sz w:val="24"/>
          <w:szCs w:val="24"/>
        </w:rPr>
        <w:t>单位为摄氏度</w:t>
      </w:r>
      <w:r>
        <w:rPr>
          <w:sz w:val="24"/>
          <w:szCs w:val="24"/>
        </w:rPr>
        <w:t>（℃）；</w:t>
      </w:r>
    </w:p>
    <w:p>
      <w:pPr>
        <w:spacing w:line="360" w:lineRule="auto"/>
        <w:ind w:firstLine="420"/>
        <w:rPr>
          <w:sz w:val="24"/>
          <w:szCs w:val="24"/>
        </w:rPr>
      </w:pPr>
      <w:r>
        <w:rPr>
          <w:i/>
          <w:sz w:val="24"/>
          <w:szCs w:val="24"/>
        </w:rPr>
        <w:t>v</w:t>
      </w:r>
      <w:r>
        <w:rPr>
          <w:i/>
          <w:sz w:val="24"/>
          <w:szCs w:val="24"/>
          <w:vertAlign w:val="subscript"/>
        </w:rPr>
        <w:t>a</w:t>
      </w:r>
      <w:r>
        <w:rPr>
          <w:sz w:val="24"/>
          <w:szCs w:val="24"/>
        </w:rPr>
        <w:t>——</w:t>
      </w:r>
      <w:r>
        <w:rPr>
          <w:rFonts w:hAnsi="宋体"/>
          <w:sz w:val="24"/>
          <w:szCs w:val="24"/>
        </w:rPr>
        <w:t>局部平均空气流速，</w:t>
      </w:r>
      <w:r>
        <w:rPr>
          <w:rFonts w:hint="eastAsia"/>
          <w:sz w:val="24"/>
          <w:szCs w:val="24"/>
        </w:rPr>
        <w:t>单位为米每秒</w:t>
      </w:r>
      <w:r>
        <w:rPr>
          <w:sz w:val="24"/>
          <w:szCs w:val="24"/>
        </w:rPr>
        <w:t>（m/s）</w:t>
      </w:r>
      <w:r>
        <w:rPr>
          <w:rFonts w:hint="eastAsia"/>
          <w:sz w:val="24"/>
          <w:szCs w:val="24"/>
        </w:rPr>
        <w:t>；</w:t>
      </w:r>
      <w:r>
        <w:rPr>
          <w:rFonts w:hAnsi="宋体"/>
          <w:sz w:val="24"/>
          <w:szCs w:val="24"/>
        </w:rPr>
        <w:t>若</w:t>
      </w:r>
      <w:r>
        <w:rPr>
          <w:i/>
          <w:sz w:val="24"/>
          <w:szCs w:val="24"/>
        </w:rPr>
        <w:t>v</w:t>
      </w:r>
      <w:r>
        <w:rPr>
          <w:i/>
          <w:sz w:val="24"/>
          <w:szCs w:val="24"/>
          <w:vertAlign w:val="subscript"/>
        </w:rPr>
        <w:t>a</w:t>
      </w:r>
      <w:r>
        <w:rPr>
          <w:sz w:val="24"/>
          <w:szCs w:val="24"/>
        </w:rPr>
        <w:t>≤0.05m/s</w:t>
      </w:r>
      <w:r>
        <w:rPr>
          <w:rFonts w:hAnsi="宋体"/>
          <w:sz w:val="24"/>
          <w:szCs w:val="24"/>
        </w:rPr>
        <w:t>，则</w:t>
      </w:r>
      <w:r>
        <w:rPr>
          <w:i/>
          <w:sz w:val="24"/>
          <w:szCs w:val="24"/>
        </w:rPr>
        <w:t>v</w:t>
      </w:r>
      <w:r>
        <w:rPr>
          <w:i/>
          <w:sz w:val="24"/>
          <w:szCs w:val="24"/>
          <w:vertAlign w:val="subscript"/>
        </w:rPr>
        <w:t>a</w:t>
      </w:r>
      <w:r>
        <w:rPr>
          <w:sz w:val="24"/>
          <w:szCs w:val="24"/>
        </w:rPr>
        <w:t xml:space="preserve"> =0.05m/s</w:t>
      </w:r>
      <w:r>
        <w:rPr>
          <w:rFonts w:hAnsi="宋体"/>
          <w:sz w:val="24"/>
          <w:szCs w:val="24"/>
        </w:rPr>
        <w:t>；</w:t>
      </w:r>
    </w:p>
    <w:p>
      <w:pPr>
        <w:spacing w:line="360" w:lineRule="auto"/>
        <w:ind w:firstLine="420"/>
        <w:rPr>
          <w:rFonts w:hint="eastAsia" w:hAnsi="宋体"/>
          <w:sz w:val="24"/>
          <w:szCs w:val="24"/>
        </w:rPr>
      </w:pPr>
      <w:r>
        <w:rPr>
          <w:i/>
          <w:sz w:val="24"/>
          <w:szCs w:val="24"/>
        </w:rPr>
        <w:t>T</w:t>
      </w:r>
      <w:r>
        <w:rPr>
          <w:i/>
          <w:sz w:val="24"/>
          <w:szCs w:val="24"/>
          <w:vertAlign w:val="subscript"/>
        </w:rPr>
        <w:t>u</w:t>
      </w:r>
      <w:r>
        <w:rPr>
          <w:sz w:val="24"/>
          <w:szCs w:val="24"/>
        </w:rPr>
        <w:t>——</w:t>
      </w:r>
      <w:r>
        <w:rPr>
          <w:rFonts w:hAnsi="宋体"/>
          <w:sz w:val="24"/>
          <w:szCs w:val="24"/>
        </w:rPr>
        <w:t>局部紊流强度，为局部空气流速的标准差与局部平均空气流速之比，</w:t>
      </w:r>
      <w:r>
        <w:rPr>
          <w:rFonts w:hint="eastAsia" w:hAnsi="宋体"/>
          <w:sz w:val="24"/>
          <w:szCs w:val="24"/>
        </w:rPr>
        <w:t>取</w:t>
      </w:r>
      <w:r>
        <w:rPr>
          <w:rFonts w:hAnsi="宋体"/>
          <w:sz w:val="24"/>
          <w:szCs w:val="24"/>
        </w:rPr>
        <w:t>百分数</w:t>
      </w:r>
      <w:r>
        <w:rPr>
          <w:rFonts w:hint="eastAsia" w:hAnsi="宋体"/>
          <w:sz w:val="24"/>
          <w:szCs w:val="24"/>
        </w:rPr>
        <w:t>；其</w:t>
      </w:r>
      <w:r>
        <w:rPr>
          <w:rFonts w:hAnsi="宋体"/>
          <w:sz w:val="24"/>
          <w:szCs w:val="24"/>
        </w:rPr>
        <w:t>值在</w:t>
      </w:r>
      <w:r>
        <w:rPr>
          <w:sz w:val="24"/>
          <w:szCs w:val="24"/>
        </w:rPr>
        <w:t>10%—60%</w:t>
      </w:r>
      <w:r>
        <w:rPr>
          <w:rFonts w:hAnsi="宋体"/>
          <w:sz w:val="24"/>
          <w:szCs w:val="24"/>
        </w:rPr>
        <w:t>之间，若未知可取</w:t>
      </w:r>
      <w:r>
        <w:rPr>
          <w:sz w:val="24"/>
          <w:szCs w:val="24"/>
        </w:rPr>
        <w:t>40%</w:t>
      </w:r>
      <w:r>
        <w:rPr>
          <w:rFonts w:hAnsi="宋体"/>
          <w:sz w:val="24"/>
          <w:szCs w:val="24"/>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3）测量期耗电量</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按照1）的试验方法，</w:t>
      </w:r>
      <w:r>
        <w:rPr>
          <w:rFonts w:ascii="Times New Roman" w:cs="Times New Roman"/>
          <w:color w:val="000000" w:themeColor="text1"/>
          <w:kern w:val="2"/>
          <w:sz w:val="24"/>
          <w:szCs w:val="24"/>
          <w14:textFill>
            <w14:solidFill>
              <w14:schemeClr w14:val="tx1"/>
            </w14:solidFill>
          </w14:textFill>
        </w:rPr>
        <w:t>被测空调器在制冷模式（制热模式）下，</w:t>
      </w:r>
      <w:r>
        <w:rPr>
          <w:rFonts w:hint="eastAsia" w:ascii="Times New Roman" w:cs="Times New Roman"/>
          <w:color w:val="000000" w:themeColor="text1"/>
          <w:kern w:val="2"/>
          <w:sz w:val="24"/>
          <w:szCs w:val="24"/>
          <w14:textFill>
            <w14:solidFill>
              <w14:schemeClr w14:val="tx1"/>
            </w14:solidFill>
          </w14:textFill>
        </w:rPr>
        <w:t>采集</w:t>
      </w:r>
      <w:r>
        <w:rPr>
          <w:rFonts w:ascii="Times New Roman" w:cs="Times New Roman"/>
          <w:color w:val="000000" w:themeColor="text1"/>
          <w:kern w:val="2"/>
          <w:sz w:val="24"/>
          <w:szCs w:val="24"/>
          <w14:textFill>
            <w14:solidFill>
              <w14:schemeClr w14:val="tx1"/>
            </w14:solidFill>
          </w14:textFill>
        </w:rPr>
        <w:t>空调器从开机到运行</w:t>
      </w:r>
      <w:r>
        <w:rPr>
          <w:rFonts w:hint="eastAsia" w:ascii="Times New Roman" w:cs="Times New Roman"/>
          <w:color w:val="000000" w:themeColor="text1"/>
          <w:kern w:val="2"/>
          <w:sz w:val="24"/>
          <w:szCs w:val="24"/>
          <w14:textFill>
            <w14:solidFill>
              <w14:schemeClr w14:val="tx1"/>
            </w14:solidFill>
          </w14:textFill>
        </w:rPr>
        <w:t>3h</w:t>
      </w:r>
      <w:r>
        <w:rPr>
          <w:rFonts w:ascii="Times New Roman" w:cs="Times New Roman"/>
          <w:color w:val="000000" w:themeColor="text1"/>
          <w:kern w:val="2"/>
          <w:sz w:val="24"/>
          <w:szCs w:val="24"/>
          <w14:textFill>
            <w14:solidFill>
              <w14:schemeClr w14:val="tx1"/>
            </w14:solidFill>
          </w14:textFill>
        </w:rPr>
        <w:t>后停机，所消耗的电量</w:t>
      </w:r>
      <w:r>
        <w:rPr>
          <w:rFonts w:hint="eastAsia" w:ascii="Times New Roman" w:cs="Times New Roman"/>
          <w:color w:val="000000" w:themeColor="text1"/>
          <w:kern w:val="2"/>
          <w:sz w:val="24"/>
          <w:szCs w:val="24"/>
          <w14:textFill>
            <w14:solidFill>
              <w14:schemeClr w14:val="tx1"/>
            </w14:solidFill>
          </w14:textFill>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4）热舒适、预测平均热感觉指数（PMV）</w:t>
      </w:r>
    </w:p>
    <w:p>
      <w:pPr>
        <w:pStyle w:val="43"/>
        <w:spacing w:line="360" w:lineRule="auto"/>
        <w:ind w:firstLine="480"/>
        <w:rPr>
          <w:sz w:val="24"/>
          <w:szCs w:val="24"/>
        </w:rPr>
      </w:pPr>
      <w:r>
        <w:rPr>
          <w:rFonts w:hint="eastAsia" w:ascii="Times New Roman" w:cs="Times New Roman"/>
          <w:color w:val="000000" w:themeColor="text1"/>
          <w:kern w:val="2"/>
          <w:sz w:val="24"/>
          <w:szCs w:val="24"/>
          <w14:textFill>
            <w14:solidFill>
              <w14:schemeClr w14:val="tx1"/>
            </w14:solidFill>
          </w14:textFill>
        </w:rPr>
        <w:t>按照1）的试验方法，</w:t>
      </w:r>
      <w:r>
        <w:rPr>
          <w:rFonts w:hint="eastAsia"/>
          <w:sz w:val="24"/>
          <w:szCs w:val="24"/>
        </w:rPr>
        <w:t>当室内、</w:t>
      </w:r>
      <w:r>
        <w:rPr>
          <w:sz w:val="24"/>
          <w:szCs w:val="24"/>
        </w:rPr>
        <w:t>室外侧达到</w:t>
      </w:r>
      <w:r>
        <w:rPr>
          <w:rFonts w:hint="eastAsia"/>
          <w:sz w:val="24"/>
          <w:szCs w:val="24"/>
        </w:rPr>
        <w:t>表</w:t>
      </w:r>
      <w:r>
        <w:rPr>
          <w:sz w:val="24"/>
          <w:szCs w:val="24"/>
        </w:rPr>
        <w:t>2</w:t>
      </w:r>
      <w:r>
        <w:rPr>
          <w:rFonts w:hint="eastAsia"/>
          <w:sz w:val="24"/>
          <w:szCs w:val="24"/>
        </w:rPr>
        <w:t>的运行</w:t>
      </w:r>
      <w:r>
        <w:rPr>
          <w:sz w:val="24"/>
          <w:szCs w:val="24"/>
        </w:rPr>
        <w:t>工况</w:t>
      </w:r>
      <w:r>
        <w:rPr>
          <w:rFonts w:hint="eastAsia"/>
          <w:sz w:val="24"/>
          <w:szCs w:val="24"/>
        </w:rPr>
        <w:t>，且</w:t>
      </w:r>
      <w:r>
        <w:rPr>
          <w:sz w:val="24"/>
          <w:szCs w:val="24"/>
        </w:rPr>
        <w:t>处于热稳定</w:t>
      </w:r>
      <w:r>
        <w:rPr>
          <w:rFonts w:hint="eastAsia"/>
          <w:sz w:val="24"/>
          <w:szCs w:val="24"/>
        </w:rPr>
        <w:t>状态</w:t>
      </w:r>
      <w:r>
        <w:rPr>
          <w:sz w:val="24"/>
          <w:szCs w:val="24"/>
        </w:rPr>
        <w:t>后，开始</w:t>
      </w:r>
      <w:r>
        <w:rPr>
          <w:rFonts w:hint="eastAsia"/>
          <w:sz w:val="24"/>
          <w:szCs w:val="24"/>
        </w:rPr>
        <w:t>进行</w:t>
      </w:r>
      <w:r>
        <w:rPr>
          <w:sz w:val="24"/>
          <w:szCs w:val="24"/>
        </w:rPr>
        <w:t>舒适性</w:t>
      </w:r>
      <w:r>
        <w:rPr>
          <w:rFonts w:hint="eastAsia"/>
          <w:sz w:val="24"/>
          <w:szCs w:val="24"/>
        </w:rPr>
        <w:t>主观评价</w:t>
      </w:r>
      <w:r>
        <w:rPr>
          <w:sz w:val="24"/>
          <w:szCs w:val="24"/>
        </w:rPr>
        <w:t>测试</w:t>
      </w:r>
      <w:r>
        <w:rPr>
          <w:rFonts w:hint="eastAsia"/>
          <w:sz w:val="24"/>
          <w:szCs w:val="24"/>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ascii="Times New Roman" w:cs="Times New Roman"/>
          <w:color w:val="000000" w:themeColor="text1"/>
          <w:kern w:val="2"/>
          <w:sz w:val="24"/>
          <w:szCs w:val="24"/>
          <w14:textFill>
            <w14:solidFill>
              <w14:schemeClr w14:val="tx1"/>
            </w14:solidFill>
          </w14:textFill>
        </w:rPr>
        <w:t>共邀请15名受试者全程参与实验，将受试者分3组、每组5人分别进入实验室体验并按照前、后、左、右和中间的方位分布在房间内</w:t>
      </w:r>
      <w:r>
        <w:rPr>
          <w:rFonts w:hint="eastAsia" w:ascii="Times New Roman" w:cs="Times New Roman"/>
          <w:color w:val="000000" w:themeColor="text1"/>
          <w:kern w:val="2"/>
          <w:sz w:val="24"/>
          <w:szCs w:val="24"/>
          <w14:textFill>
            <w14:solidFill>
              <w14:schemeClr w14:val="tx1"/>
            </w14:solidFill>
          </w14:textFill>
        </w:rPr>
        <w:t>，</w:t>
      </w:r>
      <w:r>
        <w:rPr>
          <w:rFonts w:ascii="Times New Roman" w:cs="Times New Roman"/>
          <w:color w:val="000000" w:themeColor="text1"/>
          <w:kern w:val="2"/>
          <w:sz w:val="24"/>
          <w:szCs w:val="24"/>
          <w14:textFill>
            <w14:solidFill>
              <w14:schemeClr w14:val="tx1"/>
            </w14:solidFill>
          </w14:textFill>
        </w:rPr>
        <w:t>受试者位置如图</w:t>
      </w:r>
      <w:r>
        <w:rPr>
          <w:rFonts w:hint="eastAsia" w:ascii="Times New Roman" w:cs="Times New Roman"/>
          <w:color w:val="000000" w:themeColor="text1"/>
          <w:kern w:val="2"/>
          <w:sz w:val="24"/>
          <w:szCs w:val="24"/>
          <w14:textFill>
            <w14:solidFill>
              <w14:schemeClr w14:val="tx1"/>
            </w14:solidFill>
          </w14:textFill>
        </w:rPr>
        <w:t>4</w:t>
      </w:r>
      <w:r>
        <w:rPr>
          <w:rFonts w:ascii="Times New Roman" w:cs="Times New Roman"/>
          <w:color w:val="000000" w:themeColor="text1"/>
          <w:kern w:val="2"/>
          <w:sz w:val="24"/>
          <w:szCs w:val="24"/>
          <w14:textFill>
            <w14:solidFill>
              <w14:schemeClr w14:val="tx1"/>
            </w14:solidFill>
          </w14:textFill>
        </w:rPr>
        <w:t>所示</w:t>
      </w:r>
      <w:r>
        <w:rPr>
          <w:rFonts w:hint="eastAsia" w:ascii="Times New Roman" w:cs="Times New Roman"/>
          <w:color w:val="000000" w:themeColor="text1"/>
          <w:kern w:val="2"/>
          <w:sz w:val="24"/>
          <w:szCs w:val="24"/>
          <w14:textFill>
            <w14:solidFill>
              <w14:schemeClr w14:val="tx1"/>
            </w14:solidFill>
          </w14:textFill>
        </w:rPr>
        <w:t>。</w:t>
      </w:r>
    </w:p>
    <w:p>
      <w:pPr>
        <w:ind w:firstLine="420"/>
        <w:jc w:val="center"/>
        <w:rPr>
          <w:highlight w:val="yellow"/>
        </w:rPr>
      </w:pPr>
      <w:r>
        <w:drawing>
          <wp:inline distT="0" distB="0" distL="0" distR="0">
            <wp:extent cx="2070735" cy="1763395"/>
            <wp:effectExtent l="0" t="0" r="571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6" cstate="print"/>
                    <a:srcRect/>
                    <a:stretch>
                      <a:fillRect/>
                    </a:stretch>
                  </pic:blipFill>
                  <pic:spPr>
                    <a:xfrm>
                      <a:off x="0" y="0"/>
                      <a:ext cx="2070931" cy="1764000"/>
                    </a:xfrm>
                    <a:prstGeom prst="rect">
                      <a:avLst/>
                    </a:prstGeom>
                    <a:noFill/>
                    <a:ln w="9525">
                      <a:noFill/>
                      <a:miter lim="800000"/>
                      <a:headEnd/>
                      <a:tailEnd/>
                    </a:ln>
                  </pic:spPr>
                </pic:pic>
              </a:graphicData>
            </a:graphic>
          </wp:inline>
        </w:drawing>
      </w:r>
      <w:r>
        <w:drawing>
          <wp:inline distT="0" distB="0" distL="0" distR="0">
            <wp:extent cx="2096135" cy="1763395"/>
            <wp:effectExtent l="0" t="0" r="0"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7" cstate="print"/>
                    <a:srcRect/>
                    <a:stretch>
                      <a:fillRect/>
                    </a:stretch>
                  </pic:blipFill>
                  <pic:spPr>
                    <a:xfrm>
                      <a:off x="0" y="0"/>
                      <a:ext cx="2096246" cy="1764000"/>
                    </a:xfrm>
                    <a:prstGeom prst="rect">
                      <a:avLst/>
                    </a:prstGeom>
                    <a:noFill/>
                    <a:ln w="9525">
                      <a:noFill/>
                      <a:miter lim="800000"/>
                      <a:headEnd/>
                      <a:tailEnd/>
                    </a:ln>
                  </pic:spPr>
                </pic:pic>
              </a:graphicData>
            </a:graphic>
          </wp:inline>
        </w:drawing>
      </w:r>
    </w:p>
    <w:p>
      <w:pPr>
        <w:ind w:firstLine="420"/>
        <w:jc w:val="center"/>
        <w:rPr>
          <w:rFonts w:hint="eastAsia" w:ascii="黑体" w:hAnsi="黑体" w:eastAsia="黑体"/>
        </w:rPr>
      </w:pPr>
      <w:r>
        <w:rPr>
          <w:rFonts w:hint="eastAsia" w:ascii="黑体" w:hAnsi="黑体" w:eastAsia="黑体"/>
        </w:rPr>
        <w:t>图4 受试者位置布置示意图</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ascii="Times New Roman" w:cs="Times New Roman"/>
          <w:color w:val="000000" w:themeColor="text1"/>
          <w:kern w:val="2"/>
          <w:sz w:val="24"/>
          <w:szCs w:val="24"/>
          <w14:textFill>
            <w14:solidFill>
              <w14:schemeClr w14:val="tx1"/>
            </w14:solidFill>
          </w14:textFill>
        </w:rPr>
        <w:t>实验开始前，受试者先在环境温度为2</w:t>
      </w:r>
      <w:r>
        <w:rPr>
          <w:rFonts w:hint="eastAsia" w:ascii="Times New Roman" w:cs="Times New Roman"/>
          <w:color w:val="000000" w:themeColor="text1"/>
          <w:kern w:val="2"/>
          <w:sz w:val="24"/>
          <w:szCs w:val="24"/>
          <w14:textFill>
            <w14:solidFill>
              <w14:schemeClr w14:val="tx1"/>
            </w14:solidFill>
          </w14:textFill>
        </w:rPr>
        <w:t>6℃</w:t>
      </w:r>
      <w:r>
        <w:rPr>
          <w:rFonts w:ascii="Times New Roman" w:cs="Times New Roman"/>
          <w:color w:val="000000" w:themeColor="text1"/>
          <w:kern w:val="2"/>
          <w:sz w:val="24"/>
          <w:szCs w:val="24"/>
          <w14:textFill>
            <w14:solidFill>
              <w14:schemeClr w14:val="tx1"/>
            </w14:solidFill>
          </w14:textFill>
        </w:rPr>
        <w:t>的空调房停留5 min，以便身体状态恢复至稳定，并填写个人信息；然后进入环境温度为</w:t>
      </w:r>
      <w:r>
        <w:rPr>
          <w:rFonts w:hint="eastAsia" w:ascii="Times New Roman" w:cs="Times New Roman"/>
          <w:color w:val="000000" w:themeColor="text1"/>
          <w:kern w:val="2"/>
          <w:sz w:val="24"/>
          <w:szCs w:val="24"/>
          <w14:textFill>
            <w14:solidFill>
              <w14:schemeClr w14:val="tx1"/>
            </w14:solidFill>
          </w14:textFill>
        </w:rPr>
        <w:t>表</w:t>
      </w:r>
      <w:r>
        <w:rPr>
          <w:rFonts w:ascii="Times New Roman" w:cs="Times New Roman"/>
          <w:color w:val="000000" w:themeColor="text1"/>
          <w:kern w:val="2"/>
          <w:sz w:val="24"/>
          <w:szCs w:val="24"/>
          <w14:textFill>
            <w14:solidFill>
              <w14:schemeClr w14:val="tx1"/>
            </w14:solidFill>
          </w14:textFill>
        </w:rPr>
        <w:t>2</w:t>
      </w:r>
      <w:r>
        <w:rPr>
          <w:rFonts w:hint="eastAsia" w:ascii="Times New Roman" w:cs="Times New Roman"/>
          <w:color w:val="000000" w:themeColor="text1"/>
          <w:kern w:val="2"/>
          <w:sz w:val="24"/>
          <w:szCs w:val="24"/>
          <w14:textFill>
            <w14:solidFill>
              <w14:schemeClr w14:val="tx1"/>
            </w14:solidFill>
          </w14:textFill>
        </w:rPr>
        <w:t>中外室</w:t>
      </w:r>
      <w:r>
        <w:rPr>
          <w:rFonts w:ascii="Times New Roman" w:cs="Times New Roman"/>
          <w:color w:val="000000" w:themeColor="text1"/>
          <w:kern w:val="2"/>
          <w:sz w:val="24"/>
          <w:szCs w:val="24"/>
          <w14:textFill>
            <w14:solidFill>
              <w14:schemeClr w14:val="tx1"/>
            </w14:solidFill>
          </w14:textFill>
        </w:rPr>
        <w:t>干球温度的</w:t>
      </w:r>
      <w:r>
        <w:rPr>
          <w:rFonts w:hint="eastAsia" w:ascii="Times New Roman" w:cs="Times New Roman"/>
          <w:color w:val="000000" w:themeColor="text1"/>
          <w:kern w:val="2"/>
          <w:sz w:val="24"/>
          <w:szCs w:val="24"/>
          <w14:textFill>
            <w14:solidFill>
              <w14:schemeClr w14:val="tx1"/>
            </w14:solidFill>
          </w14:textFill>
        </w:rPr>
        <w:t>工况室</w:t>
      </w:r>
      <w:r>
        <w:rPr>
          <w:rFonts w:ascii="Times New Roman" w:cs="Times New Roman"/>
          <w:color w:val="000000" w:themeColor="text1"/>
          <w:kern w:val="2"/>
          <w:sz w:val="24"/>
          <w:szCs w:val="24"/>
          <w14:textFill>
            <w14:solidFill>
              <w14:schemeClr w14:val="tx1"/>
            </w14:solidFill>
          </w14:textFill>
        </w:rPr>
        <w:t>待15min，模拟用户长时间在室外停留的情形；最后进入测试房间，分坐于不同位置并开机，开始正式测试</w:t>
      </w:r>
      <w:r>
        <w:rPr>
          <w:rFonts w:hint="eastAsia" w:ascii="Times New Roman" w:cs="Times New Roman"/>
          <w:color w:val="000000" w:themeColor="text1"/>
          <w:kern w:val="2"/>
          <w:sz w:val="24"/>
          <w:szCs w:val="24"/>
          <w14:textFill>
            <w14:solidFill>
              <w14:schemeClr w14:val="tx1"/>
            </w14:solidFill>
          </w14:textFill>
        </w:rPr>
        <w:t>。</w:t>
      </w:r>
      <w:r>
        <w:rPr>
          <w:rFonts w:ascii="Times New Roman" w:cs="Times New Roman"/>
          <w:color w:val="000000" w:themeColor="text1"/>
          <w:kern w:val="2"/>
          <w:sz w:val="24"/>
          <w:szCs w:val="24"/>
          <w14:textFill>
            <w14:solidFill>
              <w14:schemeClr w14:val="tx1"/>
            </w14:solidFill>
          </w14:textFill>
        </w:rPr>
        <w:t>开机后，所有受试者立即填写问卷，之后每间隔 2min填写一次至实验结束</w:t>
      </w:r>
      <w:r>
        <w:rPr>
          <w:rFonts w:hint="eastAsia" w:ascii="Times New Roman" w:cs="Times New Roman"/>
          <w:color w:val="000000" w:themeColor="text1"/>
          <w:kern w:val="2"/>
          <w:sz w:val="24"/>
          <w:szCs w:val="24"/>
          <w14:textFill>
            <w14:solidFill>
              <w14:schemeClr w14:val="tx1"/>
            </w14:solidFill>
          </w14:textFill>
        </w:rPr>
        <w:t>。</w:t>
      </w:r>
      <w:r>
        <w:rPr>
          <w:rFonts w:ascii="Times New Roman" w:cs="Times New Roman"/>
          <w:color w:val="000000" w:themeColor="text1"/>
          <w:kern w:val="2"/>
          <w:sz w:val="24"/>
          <w:szCs w:val="24"/>
          <w14:textFill>
            <w14:solidFill>
              <w14:schemeClr w14:val="tx1"/>
            </w14:solidFill>
          </w14:textFill>
        </w:rPr>
        <w:t>每次实验持续进行</w:t>
      </w:r>
      <w:r>
        <w:rPr>
          <w:rFonts w:hint="eastAsia" w:ascii="Times New Roman" w:cs="Times New Roman"/>
          <w:color w:val="000000" w:themeColor="text1"/>
          <w:kern w:val="2"/>
          <w:sz w:val="24"/>
          <w:szCs w:val="24"/>
          <w14:textFill>
            <w14:solidFill>
              <w14:schemeClr w14:val="tx1"/>
            </w14:solidFill>
          </w14:textFill>
        </w:rPr>
        <w:t>3</w:t>
      </w:r>
      <w:r>
        <w:rPr>
          <w:rFonts w:ascii="Times New Roman" w:cs="Times New Roman"/>
          <w:color w:val="000000" w:themeColor="text1"/>
          <w:kern w:val="2"/>
          <w:sz w:val="24"/>
          <w:szCs w:val="24"/>
          <w14:textFill>
            <w14:solidFill>
              <w14:schemeClr w14:val="tx1"/>
            </w14:solidFill>
          </w14:textFill>
        </w:rPr>
        <w:t>h</w:t>
      </w:r>
      <w:r>
        <w:rPr>
          <w:rFonts w:hint="eastAsia" w:ascii="Times New Roman" w:cs="Times New Roman"/>
          <w:color w:val="000000" w:themeColor="text1"/>
          <w:kern w:val="2"/>
          <w:sz w:val="24"/>
          <w:szCs w:val="24"/>
          <w14:textFill>
            <w14:solidFill>
              <w14:schemeClr w14:val="tx1"/>
            </w14:solidFill>
          </w14:textFill>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ascii="Times New Roman" w:cs="Times New Roman"/>
          <w:color w:val="000000" w:themeColor="text1"/>
          <w:kern w:val="2"/>
          <w:sz w:val="24"/>
          <w:szCs w:val="24"/>
          <w14:textFill>
            <w14:solidFill>
              <w14:schemeClr w14:val="tx1"/>
            </w14:solidFill>
          </w14:textFill>
        </w:rPr>
        <w:t>调查</w:t>
      </w:r>
      <w:r>
        <w:rPr>
          <w:rFonts w:hint="eastAsia" w:ascii="Times New Roman" w:cs="Times New Roman"/>
          <w:color w:val="000000" w:themeColor="text1"/>
          <w:kern w:val="2"/>
          <w:sz w:val="24"/>
          <w:szCs w:val="24"/>
          <w14:textFill>
            <w14:solidFill>
              <w14:schemeClr w14:val="tx1"/>
            </w14:solidFill>
          </w14:textFill>
        </w:rPr>
        <w:t>问卷</w:t>
      </w:r>
      <w:r>
        <w:rPr>
          <w:rFonts w:ascii="Times New Roman" w:cs="Times New Roman"/>
          <w:color w:val="000000" w:themeColor="text1"/>
          <w:kern w:val="2"/>
          <w:sz w:val="24"/>
          <w:szCs w:val="24"/>
          <w14:textFill>
            <w14:solidFill>
              <w14:schemeClr w14:val="tx1"/>
            </w14:solidFill>
          </w14:textFill>
        </w:rPr>
        <w:t>内容包括受试者局部与整体热感觉以及整体热舒适</w:t>
      </w:r>
      <w:r>
        <w:rPr>
          <w:rFonts w:hint="eastAsia" w:ascii="Times New Roman" w:cs="Times New Roman"/>
          <w:color w:val="000000" w:themeColor="text1"/>
          <w:kern w:val="2"/>
          <w:sz w:val="24"/>
          <w:szCs w:val="24"/>
          <w14:textFill>
            <w14:solidFill>
              <w14:schemeClr w14:val="tx1"/>
            </w14:solidFill>
          </w14:textFill>
        </w:rPr>
        <w:t>，可参照附录A。</w:t>
      </w:r>
      <w:r>
        <w:rPr>
          <w:rFonts w:ascii="Times New Roman" w:cs="Times New Roman"/>
          <w:color w:val="000000" w:themeColor="text1"/>
          <w:kern w:val="2"/>
          <w:sz w:val="24"/>
          <w:szCs w:val="24"/>
          <w14:textFill>
            <w14:solidFill>
              <w14:schemeClr w14:val="tx1"/>
            </w14:solidFill>
          </w14:textFill>
        </w:rPr>
        <w:t>其中，局部热感觉部位为：头部、躯干和足部</w:t>
      </w:r>
      <w:r>
        <w:rPr>
          <w:rFonts w:hint="eastAsia" w:ascii="Times New Roman" w:cs="Times New Roman"/>
          <w:color w:val="000000" w:themeColor="text1"/>
          <w:kern w:val="2"/>
          <w:sz w:val="24"/>
          <w:szCs w:val="24"/>
          <w14:textFill>
            <w14:solidFill>
              <w14:schemeClr w14:val="tx1"/>
            </w14:solidFill>
          </w14:textFill>
        </w:rPr>
        <w:t>。</w:t>
      </w:r>
      <w:r>
        <w:rPr>
          <w:rFonts w:ascii="Times New Roman" w:cs="Times New Roman"/>
          <w:color w:val="000000" w:themeColor="text1"/>
          <w:kern w:val="2"/>
          <w:sz w:val="24"/>
          <w:szCs w:val="24"/>
          <w14:textFill>
            <w14:solidFill>
              <w14:schemeClr w14:val="tx1"/>
            </w14:solidFill>
          </w14:textFill>
        </w:rPr>
        <w:t>调查中使用的标</w:t>
      </w:r>
      <w:r>
        <w:rPr>
          <w:rFonts w:hint="eastAsia" w:ascii="Times New Roman" w:cs="Times New Roman"/>
          <w:color w:val="000000" w:themeColor="text1"/>
          <w:kern w:val="2"/>
          <w:sz w:val="24"/>
          <w:szCs w:val="24"/>
          <w14:textFill>
            <w14:solidFill>
              <w14:schemeClr w14:val="tx1"/>
            </w14:solidFill>
          </w14:textFill>
        </w:rPr>
        <w:t>尺</w:t>
      </w:r>
      <w:r>
        <w:rPr>
          <w:rFonts w:ascii="Times New Roman" w:cs="Times New Roman"/>
          <w:color w:val="000000" w:themeColor="text1"/>
          <w:kern w:val="2"/>
          <w:sz w:val="24"/>
          <w:szCs w:val="24"/>
          <w14:textFill>
            <w14:solidFill>
              <w14:schemeClr w14:val="tx1"/>
            </w14:solidFill>
          </w14:textFill>
        </w:rPr>
        <w:t>见表</w:t>
      </w:r>
      <w:r>
        <w:rPr>
          <w:rFonts w:hint="eastAsia" w:ascii="Times New Roman" w:cs="Times New Roman"/>
          <w:color w:val="000000" w:themeColor="text1"/>
          <w:kern w:val="2"/>
          <w:sz w:val="24"/>
          <w:szCs w:val="24"/>
          <w14:textFill>
            <w14:solidFill>
              <w14:schemeClr w14:val="tx1"/>
            </w14:solidFill>
          </w14:textFill>
        </w:rPr>
        <w:t>4、</w:t>
      </w:r>
      <w:r>
        <w:rPr>
          <w:rFonts w:ascii="Times New Roman" w:cs="Times New Roman"/>
          <w:color w:val="000000" w:themeColor="text1"/>
          <w:kern w:val="2"/>
          <w:sz w:val="24"/>
          <w:szCs w:val="24"/>
          <w14:textFill>
            <w14:solidFill>
              <w14:schemeClr w14:val="tx1"/>
            </w14:solidFill>
          </w14:textFill>
        </w:rPr>
        <w:t>表</w:t>
      </w:r>
      <w:r>
        <w:rPr>
          <w:rFonts w:hint="eastAsia" w:ascii="Times New Roman" w:cs="Times New Roman"/>
          <w:color w:val="000000" w:themeColor="text1"/>
          <w:kern w:val="2"/>
          <w:sz w:val="24"/>
          <w:szCs w:val="24"/>
          <w14:textFill>
            <w14:solidFill>
              <w14:schemeClr w14:val="tx1"/>
            </w14:solidFill>
          </w14:textFill>
        </w:rPr>
        <w:t>5。</w:t>
      </w:r>
    </w:p>
    <w:p>
      <w:pPr>
        <w:autoSpaceDE w:val="0"/>
        <w:autoSpaceDN w:val="0"/>
        <w:adjustRightInd w:val="0"/>
        <w:ind w:left="425"/>
        <w:jc w:val="center"/>
        <w:rPr>
          <w:rFonts w:hint="eastAsia" w:ascii="黑体" w:hAnsi="黑体" w:eastAsia="黑体"/>
          <w:kern w:val="0"/>
        </w:rPr>
      </w:pPr>
      <w:r>
        <w:rPr>
          <w:rFonts w:hint="eastAsia" w:ascii="黑体" w:hAnsi="黑体" w:eastAsia="黑体"/>
          <w:kern w:val="0"/>
        </w:rPr>
        <w:t>表4 热感觉量表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Align w:val="center"/>
          </w:tcPr>
          <w:p>
            <w:pPr>
              <w:autoSpaceDE w:val="0"/>
              <w:autoSpaceDN w:val="0"/>
              <w:adjustRightInd w:val="0"/>
              <w:jc w:val="center"/>
              <w:rPr>
                <w:kern w:val="0"/>
                <w:sz w:val="18"/>
                <w:szCs w:val="18"/>
              </w:rPr>
            </w:pPr>
            <w:r>
              <w:rPr>
                <w:rFonts w:hint="eastAsia"/>
                <w:kern w:val="0"/>
                <w:sz w:val="18"/>
                <w:szCs w:val="18"/>
              </w:rPr>
              <w:t>量表</w:t>
            </w:r>
          </w:p>
        </w:tc>
        <w:tc>
          <w:tcPr>
            <w:tcW w:w="1065" w:type="dxa"/>
            <w:vAlign w:val="center"/>
          </w:tcPr>
          <w:p>
            <w:pPr>
              <w:autoSpaceDE w:val="0"/>
              <w:autoSpaceDN w:val="0"/>
              <w:adjustRightInd w:val="0"/>
              <w:jc w:val="center"/>
              <w:rPr>
                <w:kern w:val="0"/>
                <w:sz w:val="18"/>
                <w:szCs w:val="18"/>
              </w:rPr>
            </w:pPr>
            <w:r>
              <w:rPr>
                <w:rFonts w:hint="eastAsia"/>
                <w:kern w:val="0"/>
                <w:sz w:val="18"/>
                <w:szCs w:val="18"/>
              </w:rPr>
              <w:t>+3</w:t>
            </w:r>
          </w:p>
        </w:tc>
        <w:tc>
          <w:tcPr>
            <w:tcW w:w="1065" w:type="dxa"/>
            <w:vAlign w:val="center"/>
          </w:tcPr>
          <w:p>
            <w:pPr>
              <w:autoSpaceDE w:val="0"/>
              <w:autoSpaceDN w:val="0"/>
              <w:adjustRightInd w:val="0"/>
              <w:jc w:val="center"/>
              <w:rPr>
                <w:kern w:val="0"/>
                <w:sz w:val="18"/>
                <w:szCs w:val="18"/>
              </w:rPr>
            </w:pPr>
            <w:r>
              <w:rPr>
                <w:rFonts w:hint="eastAsia"/>
                <w:kern w:val="0"/>
                <w:sz w:val="18"/>
                <w:szCs w:val="18"/>
              </w:rPr>
              <w:t>+2</w:t>
            </w:r>
          </w:p>
        </w:tc>
        <w:tc>
          <w:tcPr>
            <w:tcW w:w="1065" w:type="dxa"/>
            <w:vAlign w:val="center"/>
          </w:tcPr>
          <w:p>
            <w:pPr>
              <w:autoSpaceDE w:val="0"/>
              <w:autoSpaceDN w:val="0"/>
              <w:adjustRightInd w:val="0"/>
              <w:jc w:val="center"/>
              <w:rPr>
                <w:kern w:val="0"/>
                <w:sz w:val="18"/>
                <w:szCs w:val="18"/>
              </w:rPr>
            </w:pPr>
            <w:r>
              <w:rPr>
                <w:rFonts w:hint="eastAsia"/>
                <w:kern w:val="0"/>
                <w:sz w:val="18"/>
                <w:szCs w:val="18"/>
              </w:rPr>
              <w:t>+1</w:t>
            </w:r>
          </w:p>
        </w:tc>
        <w:tc>
          <w:tcPr>
            <w:tcW w:w="1065" w:type="dxa"/>
            <w:vAlign w:val="center"/>
          </w:tcPr>
          <w:p>
            <w:pPr>
              <w:autoSpaceDE w:val="0"/>
              <w:autoSpaceDN w:val="0"/>
              <w:adjustRightInd w:val="0"/>
              <w:jc w:val="center"/>
              <w:rPr>
                <w:kern w:val="0"/>
                <w:sz w:val="18"/>
                <w:szCs w:val="18"/>
              </w:rPr>
            </w:pPr>
            <w:r>
              <w:rPr>
                <w:rFonts w:hint="eastAsia"/>
                <w:kern w:val="0"/>
                <w:sz w:val="18"/>
                <w:szCs w:val="18"/>
              </w:rPr>
              <w:t>0</w:t>
            </w:r>
          </w:p>
        </w:tc>
        <w:tc>
          <w:tcPr>
            <w:tcW w:w="1065" w:type="dxa"/>
            <w:vAlign w:val="center"/>
          </w:tcPr>
          <w:p>
            <w:pPr>
              <w:autoSpaceDE w:val="0"/>
              <w:autoSpaceDN w:val="0"/>
              <w:adjustRightInd w:val="0"/>
              <w:jc w:val="center"/>
              <w:rPr>
                <w:kern w:val="0"/>
                <w:sz w:val="18"/>
                <w:szCs w:val="18"/>
              </w:rPr>
            </w:pPr>
            <w:r>
              <w:rPr>
                <w:rFonts w:hint="eastAsia"/>
                <w:kern w:val="0"/>
                <w:sz w:val="18"/>
                <w:szCs w:val="18"/>
              </w:rPr>
              <w:t>1</w:t>
            </w:r>
          </w:p>
        </w:tc>
        <w:tc>
          <w:tcPr>
            <w:tcW w:w="1066" w:type="dxa"/>
            <w:vAlign w:val="center"/>
          </w:tcPr>
          <w:p>
            <w:pPr>
              <w:autoSpaceDE w:val="0"/>
              <w:autoSpaceDN w:val="0"/>
              <w:adjustRightInd w:val="0"/>
              <w:jc w:val="center"/>
              <w:rPr>
                <w:kern w:val="0"/>
                <w:sz w:val="18"/>
                <w:szCs w:val="18"/>
              </w:rPr>
            </w:pPr>
            <w:r>
              <w:rPr>
                <w:rFonts w:hint="eastAsia"/>
                <w:kern w:val="0"/>
                <w:sz w:val="18"/>
                <w:szCs w:val="18"/>
              </w:rPr>
              <w:t>2</w:t>
            </w:r>
          </w:p>
        </w:tc>
        <w:tc>
          <w:tcPr>
            <w:tcW w:w="1066" w:type="dxa"/>
            <w:vAlign w:val="center"/>
          </w:tcPr>
          <w:p>
            <w:pPr>
              <w:autoSpaceDE w:val="0"/>
              <w:autoSpaceDN w:val="0"/>
              <w:adjustRightInd w:val="0"/>
              <w:jc w:val="center"/>
              <w:rPr>
                <w:kern w:val="0"/>
                <w:sz w:val="18"/>
                <w:szCs w:val="18"/>
              </w:rPr>
            </w:pPr>
            <w:r>
              <w:rPr>
                <w:rFonts w:hint="eastAsia"/>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5" w:type="dxa"/>
            <w:vAlign w:val="center"/>
          </w:tcPr>
          <w:p>
            <w:pPr>
              <w:autoSpaceDE w:val="0"/>
              <w:autoSpaceDN w:val="0"/>
              <w:adjustRightInd w:val="0"/>
              <w:jc w:val="center"/>
              <w:rPr>
                <w:kern w:val="0"/>
                <w:sz w:val="18"/>
                <w:szCs w:val="18"/>
              </w:rPr>
            </w:pPr>
            <w:r>
              <w:rPr>
                <w:rFonts w:hint="eastAsia"/>
                <w:kern w:val="0"/>
                <w:sz w:val="18"/>
                <w:szCs w:val="18"/>
              </w:rPr>
              <w:t>感觉描述</w:t>
            </w:r>
          </w:p>
        </w:tc>
        <w:tc>
          <w:tcPr>
            <w:tcW w:w="1065" w:type="dxa"/>
            <w:vAlign w:val="center"/>
          </w:tcPr>
          <w:p>
            <w:pPr>
              <w:autoSpaceDE w:val="0"/>
              <w:autoSpaceDN w:val="0"/>
              <w:adjustRightInd w:val="0"/>
              <w:jc w:val="center"/>
              <w:rPr>
                <w:kern w:val="0"/>
                <w:sz w:val="18"/>
                <w:szCs w:val="18"/>
              </w:rPr>
            </w:pPr>
            <w:r>
              <w:rPr>
                <w:rFonts w:hint="eastAsia"/>
                <w:kern w:val="0"/>
                <w:sz w:val="18"/>
                <w:szCs w:val="18"/>
              </w:rPr>
              <w:t>热</w:t>
            </w:r>
          </w:p>
        </w:tc>
        <w:tc>
          <w:tcPr>
            <w:tcW w:w="1065" w:type="dxa"/>
            <w:vAlign w:val="center"/>
          </w:tcPr>
          <w:p>
            <w:pPr>
              <w:autoSpaceDE w:val="0"/>
              <w:autoSpaceDN w:val="0"/>
              <w:adjustRightInd w:val="0"/>
              <w:jc w:val="center"/>
              <w:rPr>
                <w:kern w:val="0"/>
                <w:sz w:val="18"/>
                <w:szCs w:val="18"/>
              </w:rPr>
            </w:pPr>
            <w:r>
              <w:rPr>
                <w:rFonts w:hint="eastAsia"/>
                <w:kern w:val="0"/>
                <w:sz w:val="18"/>
                <w:szCs w:val="18"/>
              </w:rPr>
              <w:t>暖</w:t>
            </w:r>
          </w:p>
        </w:tc>
        <w:tc>
          <w:tcPr>
            <w:tcW w:w="1065" w:type="dxa"/>
            <w:vAlign w:val="center"/>
          </w:tcPr>
          <w:p>
            <w:pPr>
              <w:autoSpaceDE w:val="0"/>
              <w:autoSpaceDN w:val="0"/>
              <w:adjustRightInd w:val="0"/>
              <w:jc w:val="center"/>
              <w:rPr>
                <w:kern w:val="0"/>
                <w:sz w:val="18"/>
                <w:szCs w:val="18"/>
              </w:rPr>
            </w:pPr>
            <w:r>
              <w:rPr>
                <w:rFonts w:hint="eastAsia"/>
                <w:kern w:val="0"/>
                <w:sz w:val="18"/>
                <w:szCs w:val="18"/>
              </w:rPr>
              <w:t>稍暖</w:t>
            </w:r>
          </w:p>
        </w:tc>
        <w:tc>
          <w:tcPr>
            <w:tcW w:w="1065" w:type="dxa"/>
            <w:vAlign w:val="center"/>
          </w:tcPr>
          <w:p>
            <w:pPr>
              <w:autoSpaceDE w:val="0"/>
              <w:autoSpaceDN w:val="0"/>
              <w:adjustRightInd w:val="0"/>
              <w:jc w:val="center"/>
              <w:rPr>
                <w:kern w:val="0"/>
                <w:sz w:val="18"/>
                <w:szCs w:val="18"/>
              </w:rPr>
            </w:pPr>
            <w:r>
              <w:rPr>
                <w:rFonts w:hint="eastAsia"/>
                <w:kern w:val="0"/>
                <w:sz w:val="18"/>
                <w:szCs w:val="18"/>
              </w:rPr>
              <w:t>适中</w:t>
            </w:r>
          </w:p>
        </w:tc>
        <w:tc>
          <w:tcPr>
            <w:tcW w:w="1065" w:type="dxa"/>
            <w:vAlign w:val="center"/>
          </w:tcPr>
          <w:p>
            <w:pPr>
              <w:autoSpaceDE w:val="0"/>
              <w:autoSpaceDN w:val="0"/>
              <w:adjustRightInd w:val="0"/>
              <w:jc w:val="center"/>
              <w:rPr>
                <w:kern w:val="0"/>
                <w:sz w:val="18"/>
                <w:szCs w:val="18"/>
              </w:rPr>
            </w:pPr>
            <w:r>
              <w:rPr>
                <w:rFonts w:hint="eastAsia"/>
                <w:kern w:val="0"/>
                <w:sz w:val="18"/>
                <w:szCs w:val="18"/>
              </w:rPr>
              <w:t>稍凉</w:t>
            </w:r>
          </w:p>
        </w:tc>
        <w:tc>
          <w:tcPr>
            <w:tcW w:w="1066" w:type="dxa"/>
            <w:vAlign w:val="center"/>
          </w:tcPr>
          <w:p>
            <w:pPr>
              <w:autoSpaceDE w:val="0"/>
              <w:autoSpaceDN w:val="0"/>
              <w:adjustRightInd w:val="0"/>
              <w:jc w:val="center"/>
              <w:rPr>
                <w:kern w:val="0"/>
                <w:sz w:val="18"/>
                <w:szCs w:val="18"/>
              </w:rPr>
            </w:pPr>
            <w:r>
              <w:rPr>
                <w:rFonts w:hint="eastAsia"/>
                <w:kern w:val="0"/>
                <w:sz w:val="18"/>
                <w:szCs w:val="18"/>
              </w:rPr>
              <w:t>凉</w:t>
            </w:r>
          </w:p>
        </w:tc>
        <w:tc>
          <w:tcPr>
            <w:tcW w:w="1066" w:type="dxa"/>
            <w:vAlign w:val="center"/>
          </w:tcPr>
          <w:p>
            <w:pPr>
              <w:autoSpaceDE w:val="0"/>
              <w:autoSpaceDN w:val="0"/>
              <w:adjustRightInd w:val="0"/>
              <w:jc w:val="center"/>
              <w:rPr>
                <w:kern w:val="0"/>
                <w:sz w:val="18"/>
                <w:szCs w:val="18"/>
              </w:rPr>
            </w:pPr>
            <w:r>
              <w:rPr>
                <w:rFonts w:hint="eastAsia"/>
                <w:kern w:val="0"/>
                <w:sz w:val="18"/>
                <w:szCs w:val="18"/>
              </w:rPr>
              <w:t>冷</w:t>
            </w:r>
          </w:p>
        </w:tc>
      </w:tr>
    </w:tbl>
    <w:p>
      <w:pPr>
        <w:ind w:firstLine="420"/>
      </w:pPr>
    </w:p>
    <w:p>
      <w:pPr>
        <w:autoSpaceDE w:val="0"/>
        <w:autoSpaceDN w:val="0"/>
        <w:adjustRightInd w:val="0"/>
        <w:ind w:left="425"/>
        <w:jc w:val="center"/>
        <w:rPr>
          <w:rFonts w:hint="eastAsia" w:ascii="黑体" w:hAnsi="黑体" w:eastAsia="黑体"/>
          <w:kern w:val="0"/>
        </w:rPr>
      </w:pPr>
      <w:r>
        <w:rPr>
          <w:rFonts w:hint="eastAsia" w:ascii="黑体" w:hAnsi="黑体" w:eastAsia="黑体"/>
          <w:kern w:val="0"/>
        </w:rPr>
        <w:t>表5 热舒适标尺（断裂标尺）</w:t>
      </w:r>
    </w:p>
    <w:p>
      <w:pPr>
        <w:jc w:val="center"/>
      </w:pPr>
      <w:r>
        <w:drawing>
          <wp:inline distT="0" distB="0" distL="0" distR="0">
            <wp:extent cx="2705100" cy="7340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05100" cy="734497"/>
                    </a:xfrm>
                    <a:prstGeom prst="rect">
                      <a:avLst/>
                    </a:prstGeom>
                    <a:noFill/>
                    <a:ln>
                      <a:noFill/>
                    </a:ln>
                  </pic:spPr>
                </pic:pic>
              </a:graphicData>
            </a:graphic>
          </wp:inline>
        </w:drawing>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5）降温速率</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在额定电压、表2制冷工况（高温条件）下进行测试，工况稳定后开机运行，同时关闭室内侧工况机，按照试验要求2），开始降温速率测试。从空调器开启时开始采集数据，当运行时间达到</w:t>
      </w:r>
      <w:r>
        <w:rPr>
          <w:rFonts w:ascii="Times New Roman" w:cs="Times New Roman"/>
          <w:color w:val="000000" w:themeColor="text1"/>
          <w:kern w:val="2"/>
          <w:sz w:val="24"/>
          <w:szCs w:val="24"/>
          <w14:textFill>
            <w14:solidFill>
              <w14:schemeClr w14:val="tx1"/>
            </w14:solidFill>
          </w14:textFill>
        </w:rPr>
        <w:t>30min</w:t>
      </w:r>
      <w:r>
        <w:rPr>
          <w:rFonts w:hint="eastAsia" w:ascii="Times New Roman" w:cs="Times New Roman"/>
          <w:color w:val="000000" w:themeColor="text1"/>
          <w:kern w:val="2"/>
          <w:sz w:val="24"/>
          <w:szCs w:val="24"/>
          <w14:textFill>
            <w14:solidFill>
              <w14:schemeClr w14:val="tx1"/>
            </w14:solidFill>
          </w14:textFill>
        </w:rPr>
        <w:t>时或者室内平均温度</w:t>
      </w:r>
      <w:r>
        <w:rPr>
          <w:rFonts w:ascii="Times New Roman" w:cs="Times New Roman"/>
          <w:color w:val="000000" w:themeColor="text1"/>
          <w:kern w:val="2"/>
          <w:sz w:val="24"/>
          <w:szCs w:val="24"/>
          <w14:textFill>
            <w14:solidFill>
              <w14:schemeClr w14:val="tx1"/>
            </w14:solidFill>
          </w14:textFill>
        </w:rPr>
        <w:t>到达规定温度</w:t>
      </w:r>
      <w:r>
        <w:rPr>
          <w:rFonts w:hint="eastAsia" w:ascii="Times New Roman" w:cs="Times New Roman"/>
          <w:color w:val="000000" w:themeColor="text1"/>
          <w:kern w:val="2"/>
          <w:sz w:val="24"/>
          <w:szCs w:val="24"/>
          <w14:textFill>
            <w14:solidFill>
              <w14:schemeClr w14:val="tx1"/>
            </w14:solidFill>
          </w14:textFill>
        </w:rPr>
        <w:t>时，停止实验，</w:t>
      </w:r>
      <w:r>
        <w:rPr>
          <w:rFonts w:ascii="Times New Roman" w:cs="Times New Roman"/>
          <w:color w:val="000000" w:themeColor="text1"/>
          <w:kern w:val="2"/>
          <w:sz w:val="24"/>
          <w:szCs w:val="24"/>
          <w14:textFill>
            <w14:solidFill>
              <w14:schemeClr w14:val="tx1"/>
            </w14:solidFill>
          </w14:textFill>
        </w:rPr>
        <w:t>按照公式（</w:t>
      </w:r>
      <w:r>
        <w:rPr>
          <w:rFonts w:hint="eastAsia" w:ascii="Times New Roman" w:cs="Times New Roman"/>
          <w:color w:val="000000" w:themeColor="text1"/>
          <w:kern w:val="2"/>
          <w:sz w:val="24"/>
          <w:szCs w:val="24"/>
          <w14:textFill>
            <w14:solidFill>
              <w14:schemeClr w14:val="tx1"/>
            </w14:solidFill>
          </w14:textFill>
        </w:rPr>
        <w:t>3</w:t>
      </w:r>
      <w:r>
        <w:rPr>
          <w:rFonts w:ascii="Times New Roman" w:cs="Times New Roman"/>
          <w:color w:val="000000" w:themeColor="text1"/>
          <w:kern w:val="2"/>
          <w:sz w:val="24"/>
          <w:szCs w:val="24"/>
          <w14:textFill>
            <w14:solidFill>
              <w14:schemeClr w14:val="tx1"/>
            </w14:solidFill>
          </w14:textFill>
        </w:rPr>
        <w:t>）计算降温速率</w:t>
      </w:r>
      <w:r>
        <w:rPr>
          <w:rFonts w:hint="eastAsia" w:ascii="Times New Roman" w:cs="Times New Roman"/>
          <w:color w:val="000000" w:themeColor="text1"/>
          <w:kern w:val="2"/>
          <w:sz w:val="24"/>
          <w:szCs w:val="24"/>
          <w14:textFill>
            <w14:solidFill>
              <w14:schemeClr w14:val="tx1"/>
            </w14:solidFill>
          </w14:textFill>
        </w:rPr>
        <w:t>。</w:t>
      </w:r>
    </w:p>
    <w:p>
      <w:pPr>
        <w:jc w:val="right"/>
      </w:pPr>
      <w:r>
        <w:rPr>
          <w:position w:val="-30"/>
        </w:rPr>
        <w:object>
          <v:shape id="_x0000_i1029" o:spt="75" type="#_x0000_t75" style="height:36.45pt;width:90.7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t xml:space="preserve"> ···············································</w:t>
      </w:r>
      <w:r>
        <w:rPr>
          <w:rFonts w:hint="eastAsia"/>
        </w:rPr>
        <w:t>（3）</w:t>
      </w:r>
    </w:p>
    <w:p>
      <w:pPr>
        <w:pStyle w:val="63"/>
        <w:spacing w:line="360" w:lineRule="auto"/>
        <w:ind w:firstLine="420"/>
        <w:rPr>
          <w:rFonts w:ascii="Times New Roman"/>
          <w:sz w:val="24"/>
          <w:szCs w:val="24"/>
        </w:rPr>
      </w:pPr>
      <w:r>
        <w:rPr>
          <w:rFonts w:ascii="Times New Roman"/>
          <w:sz w:val="24"/>
          <w:szCs w:val="24"/>
        </w:rPr>
        <w:t>式中：</w:t>
      </w:r>
    </w:p>
    <w:p>
      <w:pPr>
        <w:spacing w:line="360" w:lineRule="auto"/>
        <w:ind w:firstLine="420"/>
        <w:rPr>
          <w:sz w:val="24"/>
          <w:szCs w:val="24"/>
        </w:rPr>
      </w:pPr>
      <w:r>
        <w:rPr>
          <w:i/>
          <w:position w:val="-14"/>
          <w:sz w:val="24"/>
          <w:szCs w:val="24"/>
        </w:rPr>
        <w:object>
          <v:shape id="_x0000_i1030" o:spt="75" type="#_x0000_t75" style="height:18.7pt;width:21.8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sz w:val="24"/>
          <w:szCs w:val="24"/>
        </w:rPr>
        <w:t>——</w:t>
      </w:r>
      <w:r>
        <w:rPr>
          <w:rFonts w:hint="eastAsia"/>
          <w:sz w:val="24"/>
          <w:szCs w:val="24"/>
        </w:rPr>
        <w:t>高度层H</w:t>
      </w:r>
      <w:r>
        <w:rPr>
          <w:sz w:val="24"/>
          <w:szCs w:val="24"/>
          <w:vertAlign w:val="subscript"/>
        </w:rPr>
        <w:t>i</w:t>
      </w:r>
      <w:r>
        <w:rPr>
          <w:rFonts w:hint="eastAsia"/>
          <w:sz w:val="24"/>
          <w:szCs w:val="24"/>
        </w:rPr>
        <w:t>截面</w:t>
      </w:r>
      <w:r>
        <w:rPr>
          <w:sz w:val="24"/>
          <w:szCs w:val="24"/>
        </w:rPr>
        <w:t>高度及以下</w:t>
      </w:r>
      <w:r>
        <w:rPr>
          <w:rFonts w:hint="eastAsia"/>
          <w:sz w:val="24"/>
          <w:szCs w:val="24"/>
        </w:rPr>
        <w:t>的</w:t>
      </w:r>
      <w:r>
        <w:rPr>
          <w:sz w:val="24"/>
          <w:szCs w:val="24"/>
        </w:rPr>
        <w:t>降温速率，</w:t>
      </w:r>
      <w:r>
        <w:rPr>
          <w:rFonts w:hint="eastAsia"/>
          <w:sz w:val="24"/>
          <w:szCs w:val="24"/>
        </w:rPr>
        <w:t>本试验H</w:t>
      </w:r>
      <w:r>
        <w:rPr>
          <w:sz w:val="24"/>
          <w:szCs w:val="24"/>
          <w:vertAlign w:val="subscript"/>
        </w:rPr>
        <w:t>i</w:t>
      </w:r>
      <w:r>
        <w:rPr>
          <w:rFonts w:hint="eastAsia"/>
          <w:sz w:val="24"/>
          <w:szCs w:val="24"/>
        </w:rPr>
        <w:t>取H</w:t>
      </w:r>
      <w:r>
        <w:rPr>
          <w:rFonts w:hint="eastAsia"/>
          <w:sz w:val="24"/>
          <w:szCs w:val="24"/>
          <w:vertAlign w:val="subscript"/>
        </w:rPr>
        <w:t>4</w:t>
      </w:r>
      <w:r>
        <w:rPr>
          <w:rFonts w:hint="eastAsia"/>
          <w:sz w:val="24"/>
          <w:szCs w:val="24"/>
        </w:rPr>
        <w:t>、H</w:t>
      </w:r>
      <w:r>
        <w:rPr>
          <w:rFonts w:hint="eastAsia"/>
          <w:sz w:val="24"/>
          <w:szCs w:val="24"/>
          <w:vertAlign w:val="subscript"/>
        </w:rPr>
        <w:t>3</w:t>
      </w:r>
      <w:r>
        <w:rPr>
          <w:rFonts w:hint="eastAsia"/>
          <w:sz w:val="24"/>
          <w:szCs w:val="24"/>
        </w:rPr>
        <w:t>，单位为摄氏度每分钟</w:t>
      </w:r>
      <w:r>
        <w:rPr>
          <w:sz w:val="24"/>
          <w:szCs w:val="24"/>
        </w:rPr>
        <w:t>（℃/min）；</w:t>
      </w:r>
    </w:p>
    <w:p>
      <w:pPr>
        <w:spacing w:line="360" w:lineRule="auto"/>
        <w:ind w:firstLine="420"/>
        <w:rPr>
          <w:sz w:val="24"/>
          <w:szCs w:val="24"/>
        </w:rPr>
      </w:pPr>
      <w:r>
        <w:rPr>
          <w:i/>
          <w:position w:val="-14"/>
          <w:sz w:val="24"/>
          <w:szCs w:val="24"/>
        </w:rPr>
        <w:object>
          <v:shape id="_x0000_i1031" o:spt="75" type="#_x0000_t75" style="height:18.7pt;width:25.0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sz w:val="24"/>
          <w:szCs w:val="24"/>
        </w:rPr>
        <w:t>——</w:t>
      </w:r>
      <w:r>
        <w:rPr>
          <w:rFonts w:hint="eastAsia"/>
          <w:sz w:val="24"/>
          <w:szCs w:val="24"/>
        </w:rPr>
        <w:t>制冷模式下，</w:t>
      </w:r>
      <w:r>
        <w:rPr>
          <w:sz w:val="24"/>
          <w:szCs w:val="24"/>
        </w:rPr>
        <w:t>被测空调器开机时刻，</w:t>
      </w:r>
      <w:r>
        <w:rPr>
          <w:rFonts w:hint="eastAsia"/>
          <w:sz w:val="24"/>
          <w:szCs w:val="24"/>
        </w:rPr>
        <w:t>高度层H</w:t>
      </w:r>
      <w:r>
        <w:rPr>
          <w:sz w:val="24"/>
          <w:szCs w:val="24"/>
          <w:vertAlign w:val="subscript"/>
        </w:rPr>
        <w:t>i</w:t>
      </w:r>
      <w:r>
        <w:rPr>
          <w:sz w:val="24"/>
          <w:szCs w:val="24"/>
        </w:rPr>
        <w:t>截面高度及以下所有测点的平均温度，</w:t>
      </w:r>
      <w:r>
        <w:rPr>
          <w:rFonts w:hint="eastAsia"/>
          <w:sz w:val="24"/>
          <w:szCs w:val="24"/>
        </w:rPr>
        <w:t>单位为摄氏度（</w:t>
      </w:r>
      <w:r>
        <w:rPr>
          <w:sz w:val="24"/>
          <w:szCs w:val="24"/>
        </w:rPr>
        <w:t>℃</w:t>
      </w:r>
      <w:r>
        <w:rPr>
          <w:rFonts w:hint="eastAsia"/>
          <w:sz w:val="24"/>
          <w:szCs w:val="24"/>
        </w:rPr>
        <w:t>）</w:t>
      </w:r>
      <w:r>
        <w:rPr>
          <w:sz w:val="24"/>
          <w:szCs w:val="24"/>
        </w:rPr>
        <w:t>；</w:t>
      </w:r>
    </w:p>
    <w:p>
      <w:pPr>
        <w:spacing w:line="360" w:lineRule="auto"/>
        <w:ind w:firstLine="420"/>
        <w:rPr>
          <w:sz w:val="24"/>
          <w:szCs w:val="24"/>
        </w:rPr>
      </w:pPr>
      <w:r>
        <w:rPr>
          <w:i/>
          <w:position w:val="-14"/>
          <w:sz w:val="24"/>
          <w:szCs w:val="24"/>
        </w:rPr>
        <w:object>
          <v:shape id="_x0000_i1032" o:spt="75" type="#_x0000_t75" style="height:18.7pt;width:23.7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sz w:val="24"/>
          <w:szCs w:val="24"/>
        </w:rPr>
        <w:t>——</w:t>
      </w:r>
      <w:r>
        <w:rPr>
          <w:rFonts w:hint="eastAsia"/>
          <w:sz w:val="24"/>
          <w:szCs w:val="24"/>
        </w:rPr>
        <w:t>制冷模式下，</w:t>
      </w:r>
      <w:r>
        <w:rPr>
          <w:sz w:val="24"/>
          <w:szCs w:val="24"/>
        </w:rPr>
        <w:t>降温实验结束时刻，</w:t>
      </w:r>
      <w:r>
        <w:rPr>
          <w:rFonts w:hint="eastAsia"/>
          <w:sz w:val="24"/>
          <w:szCs w:val="24"/>
        </w:rPr>
        <w:t>高度层H</w:t>
      </w:r>
      <w:r>
        <w:rPr>
          <w:sz w:val="24"/>
          <w:szCs w:val="24"/>
          <w:vertAlign w:val="subscript"/>
        </w:rPr>
        <w:t>i</w:t>
      </w:r>
      <w:r>
        <w:rPr>
          <w:sz w:val="24"/>
          <w:szCs w:val="24"/>
        </w:rPr>
        <w:t>截面高度及以下所有测点的平均温度，</w:t>
      </w:r>
      <w:r>
        <w:rPr>
          <w:rFonts w:hint="eastAsia"/>
          <w:sz w:val="24"/>
          <w:szCs w:val="24"/>
        </w:rPr>
        <w:t>单位为摄氏度（</w:t>
      </w:r>
      <w:r>
        <w:rPr>
          <w:sz w:val="24"/>
          <w:szCs w:val="24"/>
        </w:rPr>
        <w:t>℃</w:t>
      </w:r>
      <w:r>
        <w:rPr>
          <w:rFonts w:hint="eastAsia"/>
          <w:sz w:val="24"/>
          <w:szCs w:val="24"/>
        </w:rPr>
        <w:t>）</w:t>
      </w:r>
      <w:r>
        <w:rPr>
          <w:sz w:val="24"/>
          <w:szCs w:val="24"/>
        </w:rPr>
        <w:t>；</w:t>
      </w:r>
    </w:p>
    <w:p>
      <w:pPr>
        <w:spacing w:line="360" w:lineRule="auto"/>
        <w:ind w:firstLine="420"/>
        <w:rPr>
          <w:sz w:val="24"/>
          <w:szCs w:val="24"/>
        </w:rPr>
      </w:pPr>
      <w:r>
        <w:rPr>
          <w:rFonts w:hint="eastAsia"/>
          <w:i/>
          <w:sz w:val="24"/>
          <w:szCs w:val="24"/>
        </w:rPr>
        <w:t>T</w:t>
      </w:r>
      <w:r>
        <w:rPr>
          <w:i/>
          <w:sz w:val="24"/>
          <w:szCs w:val="24"/>
          <w:vertAlign w:val="subscript"/>
        </w:rPr>
        <w:t>c</w:t>
      </w:r>
      <w:r>
        <w:rPr>
          <w:sz w:val="24"/>
          <w:szCs w:val="24"/>
        </w:rPr>
        <w:t>——</w:t>
      </w:r>
      <w:r>
        <w:rPr>
          <w:rFonts w:hint="eastAsia"/>
          <w:sz w:val="24"/>
          <w:szCs w:val="24"/>
        </w:rPr>
        <w:t>制冷模式下，</w:t>
      </w:r>
      <w:r>
        <w:rPr>
          <w:sz w:val="24"/>
          <w:szCs w:val="24"/>
        </w:rPr>
        <w:t>从被测空调器开机时刻到所有测点的平均温度达到规定温度所用时间，</w:t>
      </w:r>
      <w:r>
        <w:rPr>
          <w:rFonts w:hint="eastAsia"/>
          <w:sz w:val="24"/>
          <w:szCs w:val="24"/>
        </w:rPr>
        <w:t>单位为分钟</w:t>
      </w:r>
      <w:r>
        <w:rPr>
          <w:sz w:val="24"/>
          <w:szCs w:val="24"/>
        </w:rPr>
        <w:t>（min）</w:t>
      </w:r>
      <w:r>
        <w:rPr>
          <w:rFonts w:hint="eastAsia"/>
          <w:sz w:val="24"/>
          <w:szCs w:val="24"/>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6）升温速率</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ascii="Times New Roman" w:cs="Times New Roman"/>
          <w:color w:val="000000" w:themeColor="text1"/>
          <w:kern w:val="2"/>
          <w:sz w:val="24"/>
          <w:szCs w:val="24"/>
          <w14:textFill>
            <w14:solidFill>
              <w14:schemeClr w14:val="tx1"/>
            </w14:solidFill>
          </w14:textFill>
        </w:rPr>
        <w:t>在额定电压，在表</w:t>
      </w:r>
      <w:r>
        <w:rPr>
          <w:rFonts w:ascii="Times New Roman" w:cs="Times New Roman"/>
          <w:color w:val="000000" w:themeColor="text1"/>
          <w:kern w:val="2"/>
          <w:sz w:val="24"/>
          <w:szCs w:val="24"/>
          <w14:textFill>
            <w14:solidFill>
              <w14:schemeClr w14:val="tx1"/>
            </w14:solidFill>
          </w14:textFill>
        </w:rPr>
        <w:t>2</w:t>
      </w:r>
      <w:r>
        <w:rPr>
          <w:rFonts w:hint="eastAsia" w:ascii="Times New Roman" w:cs="Times New Roman"/>
          <w:color w:val="000000" w:themeColor="text1"/>
          <w:kern w:val="2"/>
          <w:sz w:val="24"/>
          <w:szCs w:val="24"/>
          <w14:textFill>
            <w14:solidFill>
              <w14:schemeClr w14:val="tx1"/>
            </w14:solidFill>
          </w14:textFill>
        </w:rPr>
        <w:t>制热工况（低温条件）下进行测试，工况稳定后开机运行，同时关闭室内侧工况机，辅助电加热处于关闭状态，按照试验要求 2），开始升温速率测试。从空调器开启时开始采集数据，当运行时间达到</w:t>
      </w:r>
      <w:r>
        <w:rPr>
          <w:rFonts w:ascii="Times New Roman" w:cs="Times New Roman"/>
          <w:color w:val="000000" w:themeColor="text1"/>
          <w:kern w:val="2"/>
          <w:sz w:val="24"/>
          <w:szCs w:val="24"/>
          <w14:textFill>
            <w14:solidFill>
              <w14:schemeClr w14:val="tx1"/>
            </w14:solidFill>
          </w14:textFill>
        </w:rPr>
        <w:t>30min</w:t>
      </w:r>
      <w:r>
        <w:rPr>
          <w:rFonts w:hint="eastAsia" w:ascii="Times New Roman" w:cs="Times New Roman"/>
          <w:color w:val="000000" w:themeColor="text1"/>
          <w:kern w:val="2"/>
          <w:sz w:val="24"/>
          <w:szCs w:val="24"/>
          <w14:textFill>
            <w14:solidFill>
              <w14:schemeClr w14:val="tx1"/>
            </w14:solidFill>
          </w14:textFill>
        </w:rPr>
        <w:t>时或者室内平均温度</w:t>
      </w:r>
      <w:r>
        <w:rPr>
          <w:rFonts w:ascii="Times New Roman" w:cs="Times New Roman"/>
          <w:color w:val="000000" w:themeColor="text1"/>
          <w:kern w:val="2"/>
          <w:sz w:val="24"/>
          <w:szCs w:val="24"/>
          <w14:textFill>
            <w14:solidFill>
              <w14:schemeClr w14:val="tx1"/>
            </w14:solidFill>
          </w14:textFill>
        </w:rPr>
        <w:t>到达规定温度</w:t>
      </w:r>
      <w:r>
        <w:rPr>
          <w:rFonts w:hint="eastAsia" w:ascii="Times New Roman" w:cs="Times New Roman"/>
          <w:color w:val="000000" w:themeColor="text1"/>
          <w:kern w:val="2"/>
          <w:sz w:val="24"/>
          <w:szCs w:val="24"/>
          <w14:textFill>
            <w14:solidFill>
              <w14:schemeClr w14:val="tx1"/>
            </w14:solidFill>
          </w14:textFill>
        </w:rPr>
        <w:t>时，停止实验，</w:t>
      </w:r>
      <w:r>
        <w:rPr>
          <w:rFonts w:ascii="Times New Roman" w:cs="Times New Roman"/>
          <w:color w:val="000000" w:themeColor="text1"/>
          <w:kern w:val="2"/>
          <w:sz w:val="24"/>
          <w:szCs w:val="24"/>
          <w14:textFill>
            <w14:solidFill>
              <w14:schemeClr w14:val="tx1"/>
            </w14:solidFill>
          </w14:textFill>
        </w:rPr>
        <w:t>按照公式（</w:t>
      </w:r>
      <w:r>
        <w:rPr>
          <w:rFonts w:hint="eastAsia" w:ascii="Times New Roman" w:cs="Times New Roman"/>
          <w:color w:val="000000" w:themeColor="text1"/>
          <w:kern w:val="2"/>
          <w:sz w:val="24"/>
          <w:szCs w:val="24"/>
          <w14:textFill>
            <w14:solidFill>
              <w14:schemeClr w14:val="tx1"/>
            </w14:solidFill>
          </w14:textFill>
        </w:rPr>
        <w:t>4</w:t>
      </w:r>
      <w:r>
        <w:rPr>
          <w:rFonts w:ascii="Times New Roman" w:cs="Times New Roman"/>
          <w:color w:val="000000" w:themeColor="text1"/>
          <w:kern w:val="2"/>
          <w:sz w:val="24"/>
          <w:szCs w:val="24"/>
          <w14:textFill>
            <w14:solidFill>
              <w14:schemeClr w14:val="tx1"/>
            </w14:solidFill>
          </w14:textFill>
        </w:rPr>
        <w:t>）计算降温速率</w:t>
      </w:r>
      <w:r>
        <w:rPr>
          <w:rFonts w:hint="eastAsia" w:ascii="Times New Roman" w:cs="Times New Roman"/>
          <w:color w:val="000000" w:themeColor="text1"/>
          <w:kern w:val="2"/>
          <w:sz w:val="24"/>
          <w:szCs w:val="24"/>
          <w14:textFill>
            <w14:solidFill>
              <w14:schemeClr w14:val="tx1"/>
            </w14:solidFill>
          </w14:textFill>
        </w:rPr>
        <w:t>。</w:t>
      </w:r>
    </w:p>
    <w:p>
      <w:pPr>
        <w:jc w:val="right"/>
      </w:pPr>
      <w:r>
        <w:rPr>
          <w:position w:val="-30"/>
        </w:rPr>
        <w:object>
          <v:shape id="_x0000_i1033" o:spt="75" type="#_x0000_t75" style="height:36.45pt;width:93.4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t xml:space="preserve"> ···············································</w:t>
      </w:r>
      <w:r>
        <w:rPr>
          <w:rFonts w:hint="eastAsia"/>
        </w:rPr>
        <w:t>（4）</w:t>
      </w:r>
    </w:p>
    <w:p>
      <w:pPr>
        <w:pStyle w:val="63"/>
        <w:spacing w:line="360" w:lineRule="auto"/>
        <w:ind w:firstLine="420"/>
        <w:rPr>
          <w:rFonts w:ascii="Times New Roman"/>
          <w:sz w:val="24"/>
          <w:szCs w:val="24"/>
        </w:rPr>
      </w:pPr>
      <w:r>
        <w:rPr>
          <w:rFonts w:ascii="Times New Roman"/>
          <w:sz w:val="24"/>
          <w:szCs w:val="24"/>
        </w:rPr>
        <w:t>式中：</w:t>
      </w:r>
    </w:p>
    <w:p>
      <w:pPr>
        <w:spacing w:line="360" w:lineRule="auto"/>
        <w:ind w:firstLine="420"/>
        <w:rPr>
          <w:sz w:val="24"/>
          <w:szCs w:val="24"/>
        </w:rPr>
      </w:pPr>
      <w:r>
        <w:rPr>
          <w:i/>
          <w:position w:val="-14"/>
          <w:sz w:val="24"/>
          <w:szCs w:val="24"/>
        </w:rPr>
        <w:object>
          <v:shape id="_x0000_i1034" o:spt="75" type="#_x0000_t75" style="height:18.7pt;width:21.8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sz w:val="24"/>
          <w:szCs w:val="24"/>
        </w:rPr>
        <w:t>——</w:t>
      </w:r>
      <w:r>
        <w:rPr>
          <w:rFonts w:hint="eastAsia"/>
          <w:sz w:val="24"/>
          <w:szCs w:val="24"/>
        </w:rPr>
        <w:t>高度层H</w:t>
      </w:r>
      <w:r>
        <w:rPr>
          <w:sz w:val="24"/>
          <w:szCs w:val="24"/>
          <w:vertAlign w:val="subscript"/>
        </w:rPr>
        <w:t>i</w:t>
      </w:r>
      <w:r>
        <w:rPr>
          <w:rFonts w:hint="eastAsia"/>
          <w:sz w:val="24"/>
          <w:szCs w:val="24"/>
        </w:rPr>
        <w:t>截面</w:t>
      </w:r>
      <w:r>
        <w:rPr>
          <w:sz w:val="24"/>
          <w:szCs w:val="24"/>
        </w:rPr>
        <w:t>高度及以下</w:t>
      </w:r>
      <w:r>
        <w:rPr>
          <w:rFonts w:hint="eastAsia"/>
          <w:sz w:val="24"/>
          <w:szCs w:val="24"/>
        </w:rPr>
        <w:t>的升</w:t>
      </w:r>
      <w:r>
        <w:rPr>
          <w:sz w:val="24"/>
          <w:szCs w:val="24"/>
        </w:rPr>
        <w:t>温速率，</w:t>
      </w:r>
      <w:r>
        <w:rPr>
          <w:rFonts w:hint="eastAsia"/>
          <w:sz w:val="24"/>
          <w:szCs w:val="24"/>
        </w:rPr>
        <w:t>本试验H</w:t>
      </w:r>
      <w:r>
        <w:rPr>
          <w:sz w:val="24"/>
          <w:szCs w:val="24"/>
          <w:vertAlign w:val="subscript"/>
        </w:rPr>
        <w:t>i</w:t>
      </w:r>
      <w:r>
        <w:rPr>
          <w:rFonts w:hint="eastAsia"/>
          <w:sz w:val="24"/>
          <w:szCs w:val="24"/>
        </w:rPr>
        <w:t>取H</w:t>
      </w:r>
      <w:r>
        <w:rPr>
          <w:rFonts w:hint="eastAsia"/>
          <w:sz w:val="24"/>
          <w:szCs w:val="24"/>
          <w:vertAlign w:val="subscript"/>
        </w:rPr>
        <w:t>4</w:t>
      </w:r>
      <w:r>
        <w:rPr>
          <w:rFonts w:hint="eastAsia"/>
          <w:sz w:val="24"/>
          <w:szCs w:val="24"/>
        </w:rPr>
        <w:t>、H</w:t>
      </w:r>
      <w:r>
        <w:rPr>
          <w:rFonts w:hint="eastAsia"/>
          <w:sz w:val="24"/>
          <w:szCs w:val="24"/>
          <w:vertAlign w:val="subscript"/>
        </w:rPr>
        <w:t>3</w:t>
      </w:r>
      <w:r>
        <w:rPr>
          <w:rFonts w:hint="eastAsia"/>
          <w:sz w:val="24"/>
          <w:szCs w:val="24"/>
        </w:rPr>
        <w:t>，单位为摄氏度每分钟</w:t>
      </w:r>
      <w:r>
        <w:rPr>
          <w:sz w:val="24"/>
          <w:szCs w:val="24"/>
        </w:rPr>
        <w:t>（℃/min）；</w:t>
      </w:r>
    </w:p>
    <w:p>
      <w:pPr>
        <w:spacing w:line="360" w:lineRule="auto"/>
        <w:ind w:firstLine="420"/>
        <w:rPr>
          <w:sz w:val="24"/>
          <w:szCs w:val="24"/>
        </w:rPr>
      </w:pPr>
      <w:r>
        <w:rPr>
          <w:i/>
          <w:position w:val="-14"/>
          <w:sz w:val="24"/>
          <w:szCs w:val="24"/>
        </w:rPr>
        <w:object>
          <v:shape id="_x0000_i1035" o:spt="75" type="#_x0000_t75" style="height:18.7pt;width:25.05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sz w:val="24"/>
          <w:szCs w:val="24"/>
        </w:rPr>
        <w:t>——</w:t>
      </w:r>
      <w:r>
        <w:rPr>
          <w:rFonts w:hint="eastAsia"/>
          <w:sz w:val="24"/>
          <w:szCs w:val="24"/>
        </w:rPr>
        <w:t>制热模式下</w:t>
      </w:r>
      <w:r>
        <w:rPr>
          <w:sz w:val="24"/>
          <w:szCs w:val="24"/>
        </w:rPr>
        <w:t>，被测空调器开机时刻，</w:t>
      </w:r>
      <w:r>
        <w:rPr>
          <w:rFonts w:hint="eastAsia"/>
          <w:sz w:val="24"/>
          <w:szCs w:val="24"/>
        </w:rPr>
        <w:t>高度层H</w:t>
      </w:r>
      <w:r>
        <w:rPr>
          <w:sz w:val="24"/>
          <w:szCs w:val="24"/>
          <w:vertAlign w:val="subscript"/>
        </w:rPr>
        <w:t>i</w:t>
      </w:r>
      <w:r>
        <w:rPr>
          <w:sz w:val="24"/>
          <w:szCs w:val="24"/>
        </w:rPr>
        <w:t>截面高度及以下所有测点的平均温度，</w:t>
      </w:r>
      <w:r>
        <w:rPr>
          <w:rFonts w:hint="eastAsia"/>
          <w:sz w:val="24"/>
          <w:szCs w:val="24"/>
        </w:rPr>
        <w:t>单位为摄氏度（</w:t>
      </w:r>
      <w:r>
        <w:rPr>
          <w:sz w:val="24"/>
          <w:szCs w:val="24"/>
        </w:rPr>
        <w:t>℃</w:t>
      </w:r>
      <w:r>
        <w:rPr>
          <w:rFonts w:hint="eastAsia"/>
          <w:sz w:val="24"/>
          <w:szCs w:val="24"/>
        </w:rPr>
        <w:t>）</w:t>
      </w:r>
      <w:r>
        <w:rPr>
          <w:sz w:val="24"/>
          <w:szCs w:val="24"/>
        </w:rPr>
        <w:t>；</w:t>
      </w:r>
    </w:p>
    <w:p>
      <w:pPr>
        <w:spacing w:line="360" w:lineRule="auto"/>
        <w:ind w:firstLine="420"/>
        <w:rPr>
          <w:sz w:val="24"/>
          <w:szCs w:val="24"/>
        </w:rPr>
      </w:pPr>
      <w:r>
        <w:rPr>
          <w:i/>
          <w:position w:val="-14"/>
          <w:sz w:val="24"/>
          <w:szCs w:val="24"/>
        </w:rPr>
        <w:object>
          <v:shape id="_x0000_i1036" o:spt="75" type="#_x0000_t75" style="height:18.7pt;width:25.0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sz w:val="24"/>
          <w:szCs w:val="24"/>
        </w:rPr>
        <w:t>——</w:t>
      </w:r>
      <w:r>
        <w:rPr>
          <w:rFonts w:hint="eastAsia"/>
          <w:sz w:val="24"/>
          <w:szCs w:val="24"/>
        </w:rPr>
        <w:t>制热模式下</w:t>
      </w:r>
      <w:r>
        <w:rPr>
          <w:sz w:val="24"/>
          <w:szCs w:val="24"/>
        </w:rPr>
        <w:t>，</w:t>
      </w:r>
      <w:r>
        <w:rPr>
          <w:rFonts w:hint="eastAsia"/>
          <w:sz w:val="24"/>
          <w:szCs w:val="24"/>
        </w:rPr>
        <w:t>升温</w:t>
      </w:r>
      <w:r>
        <w:rPr>
          <w:sz w:val="24"/>
          <w:szCs w:val="24"/>
        </w:rPr>
        <w:t>实验结束时刻，</w:t>
      </w:r>
      <w:r>
        <w:rPr>
          <w:rFonts w:hint="eastAsia"/>
          <w:sz w:val="24"/>
          <w:szCs w:val="24"/>
        </w:rPr>
        <w:t>高度层H</w:t>
      </w:r>
      <w:r>
        <w:rPr>
          <w:sz w:val="24"/>
          <w:szCs w:val="24"/>
          <w:vertAlign w:val="subscript"/>
        </w:rPr>
        <w:t>i</w:t>
      </w:r>
      <w:r>
        <w:rPr>
          <w:sz w:val="24"/>
          <w:szCs w:val="24"/>
        </w:rPr>
        <w:t>截面高度及以下所有测点的平均温度，</w:t>
      </w:r>
      <w:r>
        <w:rPr>
          <w:rFonts w:hint="eastAsia"/>
          <w:sz w:val="24"/>
          <w:szCs w:val="24"/>
        </w:rPr>
        <w:t>单位为摄氏度（</w:t>
      </w:r>
      <w:r>
        <w:rPr>
          <w:sz w:val="24"/>
          <w:szCs w:val="24"/>
        </w:rPr>
        <w:t>℃</w:t>
      </w:r>
      <w:r>
        <w:rPr>
          <w:rFonts w:hint="eastAsia"/>
          <w:sz w:val="24"/>
          <w:szCs w:val="24"/>
        </w:rPr>
        <w:t>）</w:t>
      </w:r>
      <w:r>
        <w:rPr>
          <w:sz w:val="24"/>
          <w:szCs w:val="24"/>
        </w:rPr>
        <w:t>；</w:t>
      </w:r>
    </w:p>
    <w:p>
      <w:pPr>
        <w:pStyle w:val="43"/>
        <w:spacing w:line="360" w:lineRule="auto"/>
        <w:ind w:firstLine="480"/>
        <w:rPr>
          <w:rFonts w:ascii="Times New Roman" w:cs="Times New Roman"/>
          <w:color w:val="000000" w:themeColor="text1"/>
          <w:kern w:val="2"/>
          <w:sz w:val="24"/>
          <w:szCs w:val="24"/>
          <w14:textFill>
            <w14:solidFill>
              <w14:schemeClr w14:val="tx1"/>
            </w14:solidFill>
          </w14:textFill>
        </w:rPr>
      </w:pPr>
      <w:r>
        <w:rPr>
          <w:rFonts w:hint="eastAsia"/>
          <w:i/>
          <w:sz w:val="24"/>
          <w:szCs w:val="24"/>
        </w:rPr>
        <w:t>T</w:t>
      </w:r>
      <w:r>
        <w:rPr>
          <w:i/>
          <w:sz w:val="24"/>
          <w:szCs w:val="24"/>
          <w:vertAlign w:val="subscript"/>
        </w:rPr>
        <w:t>h</w:t>
      </w:r>
      <w:r>
        <w:rPr>
          <w:sz w:val="24"/>
          <w:szCs w:val="24"/>
        </w:rPr>
        <w:t>——</w:t>
      </w:r>
      <w:r>
        <w:rPr>
          <w:rFonts w:hint="eastAsia"/>
          <w:sz w:val="24"/>
          <w:szCs w:val="24"/>
        </w:rPr>
        <w:t>制冷模式下，</w:t>
      </w:r>
      <w:r>
        <w:rPr>
          <w:sz w:val="24"/>
          <w:szCs w:val="24"/>
        </w:rPr>
        <w:t>从被测空调器开机时刻到所有测点的平均温度达到规定温度所用时间，</w:t>
      </w:r>
      <w:r>
        <w:rPr>
          <w:rFonts w:hint="eastAsia"/>
          <w:sz w:val="24"/>
          <w:szCs w:val="24"/>
        </w:rPr>
        <w:t>单位为分钟</w:t>
      </w:r>
      <w:r>
        <w:rPr>
          <w:sz w:val="24"/>
          <w:szCs w:val="24"/>
        </w:rPr>
        <w:t>（</w:t>
      </w:r>
      <w:r>
        <w:rPr>
          <w:rFonts w:ascii="Times New Roman" w:cs="Times New Roman"/>
          <w:sz w:val="24"/>
          <w:szCs w:val="24"/>
        </w:rPr>
        <w:t>min</w:t>
      </w:r>
      <w:r>
        <w:rPr>
          <w:sz w:val="24"/>
          <w:szCs w:val="24"/>
        </w:rPr>
        <w:t>）</w:t>
      </w:r>
      <w:r>
        <w:rPr>
          <w:rFonts w:hint="eastAsia"/>
          <w:sz w:val="24"/>
          <w:szCs w:val="24"/>
        </w:rPr>
        <w:t>。</w:t>
      </w:r>
    </w:p>
    <w:p>
      <w:pPr>
        <w:pStyle w:val="46"/>
        <w:numPr>
          <w:ilvl w:val="0"/>
          <w:numId w:val="0"/>
        </w:numPr>
        <w:spacing w:beforeLines="0" w:afterLines="0"/>
        <w:rPr>
          <w:rFonts w:hint="eastAsia" w:ascii="宋体" w:hAnsi="宋体" w:eastAsia="宋体"/>
          <w:b/>
          <w:sz w:val="30"/>
          <w:szCs w:val="30"/>
        </w:rPr>
      </w:pPr>
      <w:bookmarkStart w:id="34" w:name="_Toc151567110"/>
      <w:bookmarkStart w:id="35" w:name="_Toc387681411"/>
      <w:r>
        <w:rPr>
          <w:rFonts w:hint="eastAsia" w:ascii="宋体" w:hAnsi="宋体" w:eastAsia="宋体"/>
          <w:b/>
          <w:sz w:val="30"/>
          <w:szCs w:val="30"/>
        </w:rPr>
        <w:t>四</w:t>
      </w:r>
      <w:r>
        <w:rPr>
          <w:rFonts w:ascii="宋体" w:hAnsi="宋体" w:eastAsia="宋体"/>
          <w:b/>
          <w:sz w:val="30"/>
          <w:szCs w:val="30"/>
        </w:rPr>
        <w:t>.</w:t>
      </w:r>
      <w:r>
        <w:rPr>
          <w:rFonts w:hint="eastAsia" w:ascii="宋体" w:hAnsi="宋体" w:eastAsia="宋体"/>
          <w:b/>
          <w:sz w:val="30"/>
          <w:szCs w:val="30"/>
        </w:rPr>
        <w:t xml:space="preserve"> </w:t>
      </w:r>
      <w:r>
        <w:rPr>
          <w:rFonts w:ascii="宋体" w:hAnsi="宋体" w:eastAsia="宋体"/>
          <w:b/>
          <w:sz w:val="30"/>
          <w:szCs w:val="30"/>
        </w:rPr>
        <w:t>标准中涉及专利的情况</w:t>
      </w:r>
      <w:bookmarkEnd w:id="34"/>
    </w:p>
    <w:p>
      <w:pPr>
        <w:spacing w:line="360" w:lineRule="auto"/>
        <w:ind w:firstLine="480" w:firstLineChars="200"/>
      </w:pPr>
      <w:r>
        <w:rPr>
          <w:rFonts w:hint="eastAsia"/>
          <w:sz w:val="24"/>
          <w:szCs w:val="24"/>
        </w:rPr>
        <w:t>本标准不</w:t>
      </w:r>
      <w:r>
        <w:rPr>
          <w:sz w:val="24"/>
          <w:szCs w:val="24"/>
        </w:rPr>
        <w:t>涉及国内外专利问题</w:t>
      </w:r>
      <w:r>
        <w:rPr>
          <w:rFonts w:hint="eastAsia"/>
          <w:sz w:val="24"/>
          <w:szCs w:val="24"/>
        </w:rPr>
        <w:t>。</w:t>
      </w:r>
    </w:p>
    <w:p>
      <w:pPr>
        <w:pStyle w:val="46"/>
        <w:numPr>
          <w:ilvl w:val="0"/>
          <w:numId w:val="0"/>
        </w:numPr>
        <w:spacing w:beforeLines="0" w:afterLines="0"/>
        <w:rPr>
          <w:rFonts w:hint="eastAsia" w:ascii="宋体" w:hAnsi="宋体" w:eastAsia="宋体"/>
          <w:b/>
          <w:sz w:val="30"/>
          <w:szCs w:val="30"/>
        </w:rPr>
      </w:pPr>
      <w:bookmarkStart w:id="36" w:name="_Toc151567111"/>
      <w:r>
        <w:rPr>
          <w:rFonts w:ascii="宋体" w:hAnsi="宋体" w:eastAsia="宋体"/>
          <w:b/>
          <w:sz w:val="30"/>
          <w:szCs w:val="30"/>
        </w:rPr>
        <w:t>五.预期达到的社会效益、对产业发展的作用</w:t>
      </w:r>
      <w:bookmarkEnd w:id="36"/>
    </w:p>
    <w:p>
      <w:pPr>
        <w:spacing w:line="360" w:lineRule="auto"/>
        <w:ind w:firstLine="46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房间空气调节器产业属</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顾客驱动型</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产业，开发高质量的好产品是空调器生产企业赢得消费者青睐的关键，符合产业发展的需求。 </w:t>
      </w:r>
    </w:p>
    <w:p>
      <w:pPr>
        <w:spacing w:line="360" w:lineRule="auto"/>
        <w:ind w:firstLine="46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本标准以国家及空调器生产企业对室内热环境舒适性评价方法的标准为参考，对空调器运行阶段室内热环境动态及稳态舒适性主观评价、客观核心指标评价进行了全面的规范，有助于生产企业提升空调器的舒适性技术水平促进标准化工作的持续发展。 </w:t>
      </w:r>
    </w:p>
    <w:p>
      <w:pPr>
        <w:spacing w:line="360" w:lineRule="auto"/>
        <w:ind w:firstLine="465"/>
        <w:rPr>
          <w:color w:val="FF0000"/>
          <w:sz w:val="24"/>
          <w:szCs w:val="24"/>
        </w:rPr>
      </w:pPr>
      <w:r>
        <w:rPr>
          <w:color w:val="000000" w:themeColor="text1"/>
          <w:sz w:val="24"/>
          <w:szCs w:val="24"/>
          <w14:textFill>
            <w14:solidFill>
              <w14:schemeClr w14:val="tx1"/>
            </w14:solidFill>
          </w14:textFill>
        </w:rPr>
        <w:t>通过本标准的实施，能够规范房间空气调节器室内热舒适性评价方法，有利于推动空调行业室内热环境舒适性评价方法的发展及应用研究</w:t>
      </w:r>
      <w:r>
        <w:rPr>
          <w:rFonts w:hint="eastAsia"/>
          <w:sz w:val="24"/>
          <w:szCs w:val="24"/>
        </w:rPr>
        <w:t>。</w:t>
      </w:r>
    </w:p>
    <w:p>
      <w:pPr>
        <w:pStyle w:val="46"/>
        <w:numPr>
          <w:ilvl w:val="0"/>
          <w:numId w:val="0"/>
        </w:numPr>
        <w:spacing w:beforeLines="0" w:afterLines="0"/>
        <w:rPr>
          <w:rFonts w:hint="eastAsia" w:ascii="宋体" w:hAnsi="宋体" w:eastAsia="宋体"/>
          <w:b/>
          <w:color w:val="000000" w:themeColor="text1"/>
          <w:sz w:val="30"/>
          <w:szCs w:val="30"/>
          <w14:textFill>
            <w14:solidFill>
              <w14:schemeClr w14:val="tx1"/>
            </w14:solidFill>
          </w14:textFill>
        </w:rPr>
      </w:pPr>
      <w:bookmarkStart w:id="37" w:name="_Toc151567112"/>
      <w:r>
        <w:rPr>
          <w:rFonts w:ascii="宋体" w:hAnsi="宋体" w:eastAsia="宋体"/>
          <w:b/>
          <w:color w:val="000000" w:themeColor="text1"/>
          <w:sz w:val="30"/>
          <w:szCs w:val="30"/>
          <w14:textFill>
            <w14:solidFill>
              <w14:schemeClr w14:val="tx1"/>
            </w14:solidFill>
          </w14:textFill>
        </w:rPr>
        <w:t>六.采用国际标准和国外先进标准情况</w:t>
      </w:r>
      <w:bookmarkEnd w:id="37"/>
    </w:p>
    <w:p>
      <w:pPr>
        <w:tabs>
          <w:tab w:val="right" w:pos="8305"/>
        </w:tabs>
        <w:spacing w:line="360" w:lineRule="auto"/>
        <w:ind w:firstLine="480"/>
        <w:rPr>
          <w:rFonts w:ascii="Arial" w:hAnsi="Arial" w:cs="Arial"/>
          <w:kern w:val="1"/>
          <w:sz w:val="24"/>
          <w:szCs w:val="24"/>
        </w:rPr>
      </w:pPr>
      <w:r>
        <w:rPr>
          <w:rFonts w:hint="eastAsia" w:ascii="Arial" w:hAnsi="Arial" w:cs="Arial"/>
          <w:kern w:val="1"/>
          <w:sz w:val="24"/>
          <w:szCs w:val="24"/>
        </w:rPr>
        <w:t>本标准没有采用国际标准。</w:t>
      </w:r>
    </w:p>
    <w:p>
      <w:pPr>
        <w:tabs>
          <w:tab w:val="right" w:pos="8305"/>
        </w:tabs>
        <w:spacing w:line="360" w:lineRule="auto"/>
        <w:ind w:firstLine="480"/>
        <w:rPr>
          <w:rFonts w:ascii="Arial" w:hAnsi="Arial" w:cs="Arial"/>
          <w:kern w:val="1"/>
          <w:sz w:val="24"/>
          <w:szCs w:val="24"/>
        </w:rPr>
      </w:pPr>
      <w:r>
        <w:rPr>
          <w:rFonts w:hint="eastAsia" w:ascii="Arial" w:hAnsi="Arial" w:cs="Arial"/>
          <w:kern w:val="1"/>
          <w:sz w:val="24"/>
          <w:szCs w:val="24"/>
        </w:rPr>
        <w:t>本标准制定过程中未查到同类国际、国外标准。</w:t>
      </w:r>
    </w:p>
    <w:p>
      <w:pPr>
        <w:tabs>
          <w:tab w:val="right" w:pos="8305"/>
        </w:tabs>
        <w:spacing w:line="360" w:lineRule="auto"/>
        <w:ind w:firstLine="480"/>
        <w:rPr>
          <w:rFonts w:ascii="Arial" w:hAnsi="Arial" w:cs="Arial"/>
          <w:kern w:val="1"/>
          <w:sz w:val="24"/>
          <w:szCs w:val="24"/>
        </w:rPr>
      </w:pPr>
      <w:r>
        <w:rPr>
          <w:rFonts w:hint="eastAsia" w:ascii="Arial" w:hAnsi="Arial" w:cs="Arial"/>
          <w:kern w:val="1"/>
          <w:sz w:val="24"/>
          <w:szCs w:val="24"/>
        </w:rPr>
        <w:t>本标准制定过程中有测试国外的样品。</w:t>
      </w:r>
    </w:p>
    <w:p>
      <w:pPr>
        <w:tabs>
          <w:tab w:val="right" w:pos="8305"/>
        </w:tabs>
        <w:spacing w:line="360" w:lineRule="auto"/>
        <w:ind w:firstLine="480"/>
        <w:rPr>
          <w:rFonts w:ascii="Arial" w:hAnsi="Arial" w:cs="Arial"/>
          <w:kern w:val="1"/>
          <w:sz w:val="24"/>
          <w:szCs w:val="24"/>
        </w:rPr>
      </w:pPr>
      <w:r>
        <w:rPr>
          <w:rFonts w:hint="eastAsia" w:ascii="Arial" w:hAnsi="Arial" w:cs="Arial"/>
          <w:kern w:val="1"/>
          <w:sz w:val="24"/>
          <w:szCs w:val="24"/>
        </w:rPr>
        <w:t>本标准水平为国内领先水平。</w:t>
      </w:r>
    </w:p>
    <w:p>
      <w:pPr>
        <w:pStyle w:val="46"/>
        <w:numPr>
          <w:ilvl w:val="0"/>
          <w:numId w:val="0"/>
        </w:numPr>
        <w:spacing w:beforeLines="0" w:afterLines="0"/>
        <w:rPr>
          <w:rFonts w:hint="eastAsia" w:ascii="宋体" w:hAnsi="宋体" w:eastAsia="宋体"/>
          <w:b/>
          <w:sz w:val="30"/>
          <w:szCs w:val="30"/>
        </w:rPr>
      </w:pPr>
      <w:bookmarkStart w:id="38" w:name="_Toc151567113"/>
      <w:r>
        <w:rPr>
          <w:rFonts w:ascii="宋体" w:hAnsi="宋体" w:eastAsia="宋体"/>
          <w:b/>
          <w:sz w:val="30"/>
          <w:szCs w:val="30"/>
        </w:rPr>
        <w:t>七.在标准体系中的位置，与现行相关法律、法规、规章及相关标准</w:t>
      </w:r>
      <w:bookmarkEnd w:id="38"/>
      <w:r>
        <w:rPr>
          <w:rFonts w:ascii="宋体" w:hAnsi="宋体" w:eastAsia="宋体"/>
          <w:b/>
          <w:sz w:val="30"/>
          <w:szCs w:val="30"/>
        </w:rPr>
        <w:t xml:space="preserve"> </w:t>
      </w:r>
    </w:p>
    <w:p>
      <w:pPr>
        <w:tabs>
          <w:tab w:val="right" w:pos="8305"/>
        </w:tabs>
        <w:spacing w:line="360" w:lineRule="auto"/>
        <w:ind w:firstLine="480"/>
        <w:rPr>
          <w:rFonts w:ascii="Arial" w:hAnsi="Arial" w:cs="Arial"/>
          <w:kern w:val="1"/>
          <w:sz w:val="24"/>
          <w:szCs w:val="24"/>
        </w:rPr>
      </w:pPr>
      <w:r>
        <w:rPr>
          <w:rFonts w:ascii="Arial" w:hAnsi="Arial" w:cs="Arial"/>
          <w:kern w:val="1"/>
          <w:sz w:val="24"/>
          <w:szCs w:val="24"/>
        </w:rPr>
        <w:t>本标准属于团体标准，</w:t>
      </w:r>
      <w:r>
        <w:rPr>
          <w:rFonts w:hint="eastAsia" w:ascii="Arial" w:hAnsi="Arial" w:cs="Arial"/>
          <w:kern w:val="1"/>
          <w:sz w:val="24"/>
          <w:szCs w:val="24"/>
        </w:rPr>
        <w:t>与现行法律、法规、规章及相关标准内容无矛盾和冲突。</w:t>
      </w:r>
    </w:p>
    <w:p>
      <w:pPr>
        <w:pStyle w:val="46"/>
        <w:numPr>
          <w:ilvl w:val="0"/>
          <w:numId w:val="0"/>
        </w:numPr>
        <w:spacing w:beforeLines="0" w:afterLines="0"/>
        <w:rPr>
          <w:rFonts w:hint="eastAsia" w:ascii="宋体" w:hAnsi="宋体" w:eastAsia="宋体"/>
          <w:b/>
          <w:sz w:val="30"/>
          <w:szCs w:val="30"/>
        </w:rPr>
      </w:pPr>
      <w:bookmarkStart w:id="39" w:name="_Toc151567114"/>
      <w:r>
        <w:rPr>
          <w:rFonts w:ascii="宋体" w:hAnsi="宋体" w:eastAsia="宋体"/>
          <w:b/>
          <w:sz w:val="30"/>
          <w:szCs w:val="30"/>
        </w:rPr>
        <w:t>八.重大分歧意见的处理经过和依据</w:t>
      </w:r>
      <w:bookmarkEnd w:id="39"/>
    </w:p>
    <w:p>
      <w:pPr>
        <w:spacing w:line="360" w:lineRule="auto"/>
        <w:ind w:firstLine="480" w:firstLineChars="200"/>
        <w:rPr>
          <w:rFonts w:hint="eastAsia" w:ascii="宋体" w:hAnsi="宋体"/>
          <w:b/>
          <w:sz w:val="18"/>
          <w:szCs w:val="18"/>
        </w:rPr>
      </w:pPr>
      <w:r>
        <w:rPr>
          <w:sz w:val="24"/>
          <w:szCs w:val="24"/>
        </w:rPr>
        <w:t>暂无</w:t>
      </w:r>
    </w:p>
    <w:p>
      <w:pPr>
        <w:pStyle w:val="46"/>
        <w:numPr>
          <w:ilvl w:val="0"/>
          <w:numId w:val="0"/>
        </w:numPr>
        <w:spacing w:beforeLines="0" w:afterLines="0"/>
        <w:rPr>
          <w:rFonts w:hint="eastAsia" w:ascii="宋体" w:hAnsi="宋体" w:eastAsia="宋体"/>
          <w:b/>
          <w:sz w:val="30"/>
          <w:szCs w:val="30"/>
        </w:rPr>
      </w:pPr>
      <w:bookmarkStart w:id="40" w:name="_Toc151567115"/>
      <w:r>
        <w:rPr>
          <w:rFonts w:hint="eastAsia" w:ascii="宋体" w:hAnsi="宋体" w:eastAsia="宋体"/>
          <w:b/>
          <w:sz w:val="30"/>
          <w:szCs w:val="30"/>
        </w:rPr>
        <w:t>九</w:t>
      </w:r>
      <w:r>
        <w:rPr>
          <w:rFonts w:ascii="宋体" w:hAnsi="宋体" w:eastAsia="宋体"/>
          <w:b/>
          <w:sz w:val="30"/>
          <w:szCs w:val="30"/>
        </w:rPr>
        <w:t>.标准应用的建议</w:t>
      </w:r>
      <w:bookmarkEnd w:id="40"/>
    </w:p>
    <w:p>
      <w:pPr>
        <w:spacing w:line="360" w:lineRule="auto"/>
        <w:ind w:firstLine="488" w:firstLineChars="200"/>
        <w:rPr>
          <w:sz w:val="24"/>
          <w:szCs w:val="24"/>
        </w:rPr>
      </w:pPr>
      <w:r>
        <w:rPr>
          <w:spacing w:val="2"/>
          <w:sz w:val="24"/>
          <w:szCs w:val="24"/>
        </w:rPr>
        <w:t>建议本标准批准发布</w:t>
      </w:r>
      <w:r>
        <w:rPr>
          <w:rFonts w:hint="eastAsia"/>
          <w:spacing w:val="2"/>
          <w:sz w:val="24"/>
          <w:szCs w:val="24"/>
        </w:rPr>
        <w:t>即</w:t>
      </w:r>
      <w:r>
        <w:rPr>
          <w:spacing w:val="2"/>
          <w:sz w:val="24"/>
          <w:szCs w:val="24"/>
        </w:rPr>
        <w:t>实施。</w:t>
      </w:r>
    </w:p>
    <w:p>
      <w:pPr>
        <w:pStyle w:val="46"/>
        <w:numPr>
          <w:ilvl w:val="0"/>
          <w:numId w:val="0"/>
        </w:numPr>
        <w:spacing w:beforeLines="0" w:afterLines="0"/>
        <w:rPr>
          <w:rFonts w:hint="eastAsia" w:ascii="宋体" w:hAnsi="宋体" w:eastAsia="宋体"/>
          <w:b/>
          <w:sz w:val="30"/>
          <w:szCs w:val="30"/>
        </w:rPr>
      </w:pPr>
      <w:bookmarkStart w:id="41" w:name="_Toc151567116"/>
      <w:r>
        <w:rPr>
          <w:rFonts w:ascii="宋体" w:hAnsi="宋体" w:eastAsia="宋体"/>
          <w:b/>
          <w:sz w:val="30"/>
          <w:szCs w:val="30"/>
        </w:rPr>
        <w:t>十.废止现行相关标准的建议</w:t>
      </w:r>
      <w:bookmarkEnd w:id="41"/>
    </w:p>
    <w:p>
      <w:pPr>
        <w:spacing w:line="360" w:lineRule="auto"/>
        <w:ind w:firstLine="480" w:firstLineChars="200"/>
        <w:rPr>
          <w:sz w:val="24"/>
          <w:szCs w:val="24"/>
        </w:rPr>
      </w:pPr>
      <w:r>
        <w:rPr>
          <w:sz w:val="24"/>
          <w:szCs w:val="24"/>
        </w:rPr>
        <w:t>无</w:t>
      </w:r>
    </w:p>
    <w:p>
      <w:pPr>
        <w:pStyle w:val="46"/>
        <w:numPr>
          <w:ilvl w:val="0"/>
          <w:numId w:val="0"/>
        </w:numPr>
        <w:spacing w:beforeLines="0" w:afterLines="0"/>
        <w:rPr>
          <w:rFonts w:hint="eastAsia" w:ascii="宋体" w:hAnsi="宋体" w:eastAsia="宋体"/>
          <w:b/>
          <w:sz w:val="30"/>
          <w:szCs w:val="30"/>
        </w:rPr>
      </w:pPr>
      <w:bookmarkStart w:id="42" w:name="_Toc151567117"/>
      <w:r>
        <w:rPr>
          <w:rFonts w:ascii="宋体" w:hAnsi="宋体" w:eastAsia="宋体"/>
          <w:b/>
          <w:sz w:val="30"/>
          <w:szCs w:val="30"/>
        </w:rPr>
        <w:t>十</w:t>
      </w:r>
      <w:r>
        <w:rPr>
          <w:rFonts w:hint="eastAsia" w:ascii="宋体" w:hAnsi="宋体" w:eastAsia="宋体"/>
          <w:b/>
          <w:sz w:val="30"/>
          <w:szCs w:val="30"/>
        </w:rPr>
        <w:t>一</w:t>
      </w:r>
      <w:r>
        <w:rPr>
          <w:rFonts w:ascii="宋体" w:hAnsi="宋体" w:eastAsia="宋体"/>
          <w:b/>
          <w:sz w:val="30"/>
          <w:szCs w:val="30"/>
        </w:rPr>
        <w:t>.其他应予以说明的事项</w:t>
      </w:r>
      <w:bookmarkEnd w:id="42"/>
    </w:p>
    <w:p>
      <w:pPr>
        <w:tabs>
          <w:tab w:val="right" w:pos="9542"/>
        </w:tabs>
        <w:spacing w:line="360" w:lineRule="auto"/>
        <w:ind w:firstLine="488" w:firstLineChars="200"/>
        <w:rPr>
          <w:sz w:val="24"/>
          <w:szCs w:val="24"/>
        </w:rPr>
      </w:pPr>
      <w:r>
        <w:rPr>
          <w:rFonts w:hint="eastAsia"/>
          <w:spacing w:val="2"/>
          <w:sz w:val="24"/>
          <w:szCs w:val="24"/>
        </w:rPr>
        <w:t>无</w:t>
      </w:r>
      <w:bookmarkEnd w:id="35"/>
    </w:p>
    <w:p>
      <w:pPr>
        <w:spacing w:line="360" w:lineRule="auto"/>
        <w:ind w:firstLine="480" w:firstLineChars="200"/>
        <w:jc w:val="right"/>
        <w:rPr>
          <w:sz w:val="24"/>
          <w:szCs w:val="24"/>
        </w:rPr>
      </w:pPr>
    </w:p>
    <w:p/>
    <w:p>
      <w:pPr>
        <w:spacing w:line="360" w:lineRule="auto"/>
        <w:jc w:val="right"/>
        <w:rPr>
          <w:sz w:val="24"/>
          <w:szCs w:val="24"/>
        </w:rPr>
      </w:pPr>
      <w:r>
        <w:rPr>
          <w:sz w:val="24"/>
          <w:szCs w:val="24"/>
        </w:rPr>
        <w:t>《</w:t>
      </w:r>
      <w:r>
        <w:rPr>
          <w:rFonts w:hint="eastAsia"/>
          <w:sz w:val="24"/>
          <w:szCs w:val="24"/>
        </w:rPr>
        <w:t>房间空气调节器室内热舒适性评价方法</w:t>
      </w:r>
      <w:r>
        <w:rPr>
          <w:sz w:val="24"/>
          <w:szCs w:val="24"/>
        </w:rPr>
        <w:t>》团体标准起草工作组</w:t>
      </w:r>
    </w:p>
    <w:p>
      <w:pPr>
        <w:spacing w:line="360" w:lineRule="auto"/>
        <w:jc w:val="right"/>
        <w:rPr>
          <w:sz w:val="24"/>
          <w:szCs w:val="24"/>
        </w:rPr>
      </w:pPr>
      <w:r>
        <w:rPr>
          <w:sz w:val="24"/>
          <w:szCs w:val="24"/>
        </w:rPr>
        <w:t xml:space="preserve">  2024年</w:t>
      </w:r>
      <w:r>
        <w:rPr>
          <w:rFonts w:hint="eastAsia"/>
          <w:sz w:val="24"/>
          <w:szCs w:val="24"/>
        </w:rPr>
        <w:t>10</w:t>
      </w:r>
      <w:r>
        <w:rPr>
          <w:sz w:val="24"/>
          <w:szCs w:val="24"/>
        </w:rPr>
        <w:t>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6</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9"/>
      <w:lvlText w:val=""/>
      <w:lvlJc w:val="left"/>
      <w:pPr>
        <w:tabs>
          <w:tab w:val="left" w:pos="1620"/>
        </w:tabs>
        <w:ind w:left="1620" w:hanging="360"/>
      </w:pPr>
      <w:rPr>
        <w:rFonts w:hint="default" w:ascii="Wingdings" w:hAnsi="Wingdings"/>
      </w:rPr>
    </w:lvl>
  </w:abstractNum>
  <w:abstractNum w:abstractNumId="1">
    <w:nsid w:val="1FC91163"/>
    <w:multiLevelType w:val="multilevel"/>
    <w:tmpl w:val="1FC91163"/>
    <w:lvl w:ilvl="0" w:tentative="0">
      <w:start w:val="1"/>
      <w:numFmt w:val="decimal"/>
      <w:pStyle w:val="52"/>
      <w:suff w:val="nothing"/>
      <w:lvlText w:val="%1　"/>
      <w:lvlJc w:val="left"/>
      <w:rPr>
        <w:rFonts w:hint="eastAsia" w:ascii="黑体" w:hAnsi="Times New Roman" w:eastAsia="黑体"/>
        <w:b w:val="0"/>
        <w:bCs w:val="0"/>
        <w:i w:val="0"/>
        <w:iCs w:val="0"/>
        <w:sz w:val="21"/>
        <w:szCs w:val="21"/>
      </w:rPr>
    </w:lvl>
    <w:lvl w:ilvl="1" w:tentative="0">
      <w:start w:val="1"/>
      <w:numFmt w:val="decimal"/>
      <w:pStyle w:val="46"/>
      <w:suff w:val="nothing"/>
      <w:lvlText w:val="%1.%2　"/>
      <w:lvlJc w:val="left"/>
      <w:rPr>
        <w:rFonts w:hint="eastAsia" w:ascii="黑体" w:hAnsi="Times New Roman" w:eastAsia="黑体"/>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0"/>
      <w:suff w:val="nothing"/>
      <w:lvlText w:val="%1.%2.%3　"/>
      <w:lvlJc w:val="left"/>
      <w:pPr>
        <w:ind w:left="1418"/>
      </w:pPr>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pStyle w:val="51"/>
      <w:suff w:val="nothing"/>
      <w:lvlText w:val="%1.%2.%3.%4.%5　"/>
      <w:lvlJc w:val="left"/>
      <w:rPr>
        <w:rFonts w:hint="eastAsia" w:ascii="黑体" w:hAnsi="Times New Roman" w:eastAsia="黑体"/>
        <w:b w:val="0"/>
        <w:bCs w:val="0"/>
        <w:i w:val="0"/>
        <w:iCs w:val="0"/>
        <w:sz w:val="21"/>
        <w:szCs w:val="21"/>
      </w:rPr>
    </w:lvl>
    <w:lvl w:ilvl="5" w:tentative="0">
      <w:start w:val="1"/>
      <w:numFmt w:val="decimal"/>
      <w:pStyle w:val="53"/>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wMTViNWMxYjNiMDc3OGZmM2I1NjI4YWMwY2M1ODYifQ=="/>
    <w:docVar w:name="KSO_WPS_MARK_KEY" w:val="3412f01a-97f5-4268-8e8d-67aff2cb1c6a"/>
  </w:docVars>
  <w:rsids>
    <w:rsidRoot w:val="001D3D23"/>
    <w:rsid w:val="0000050F"/>
    <w:rsid w:val="00000850"/>
    <w:rsid w:val="00001F3B"/>
    <w:rsid w:val="00002D3C"/>
    <w:rsid w:val="00002E82"/>
    <w:rsid w:val="00002F9D"/>
    <w:rsid w:val="00005A42"/>
    <w:rsid w:val="00005B18"/>
    <w:rsid w:val="00007B44"/>
    <w:rsid w:val="00010AB1"/>
    <w:rsid w:val="00010D5F"/>
    <w:rsid w:val="00013E50"/>
    <w:rsid w:val="000154BE"/>
    <w:rsid w:val="00015CEB"/>
    <w:rsid w:val="00016298"/>
    <w:rsid w:val="000176BD"/>
    <w:rsid w:val="00017A3A"/>
    <w:rsid w:val="00027E2E"/>
    <w:rsid w:val="00030F05"/>
    <w:rsid w:val="00031268"/>
    <w:rsid w:val="000312E5"/>
    <w:rsid w:val="0003213F"/>
    <w:rsid w:val="00033FA6"/>
    <w:rsid w:val="000345D1"/>
    <w:rsid w:val="0003577E"/>
    <w:rsid w:val="00035E4D"/>
    <w:rsid w:val="00040664"/>
    <w:rsid w:val="00040EBE"/>
    <w:rsid w:val="0004156F"/>
    <w:rsid w:val="00045ABE"/>
    <w:rsid w:val="00047F27"/>
    <w:rsid w:val="000537EC"/>
    <w:rsid w:val="000542C7"/>
    <w:rsid w:val="00054D35"/>
    <w:rsid w:val="00054DE3"/>
    <w:rsid w:val="00054DF9"/>
    <w:rsid w:val="00056CF5"/>
    <w:rsid w:val="00060455"/>
    <w:rsid w:val="00060A1C"/>
    <w:rsid w:val="0006165B"/>
    <w:rsid w:val="00061C0D"/>
    <w:rsid w:val="000635CE"/>
    <w:rsid w:val="00064125"/>
    <w:rsid w:val="000646FD"/>
    <w:rsid w:val="00067631"/>
    <w:rsid w:val="00067B54"/>
    <w:rsid w:val="000707E8"/>
    <w:rsid w:val="00071748"/>
    <w:rsid w:val="000727C9"/>
    <w:rsid w:val="00072FD8"/>
    <w:rsid w:val="000735DA"/>
    <w:rsid w:val="00073933"/>
    <w:rsid w:val="00073E89"/>
    <w:rsid w:val="00074210"/>
    <w:rsid w:val="00075CFC"/>
    <w:rsid w:val="0008049A"/>
    <w:rsid w:val="00080C2B"/>
    <w:rsid w:val="00081F2B"/>
    <w:rsid w:val="000836E2"/>
    <w:rsid w:val="000838D8"/>
    <w:rsid w:val="00084310"/>
    <w:rsid w:val="00084763"/>
    <w:rsid w:val="0008476F"/>
    <w:rsid w:val="00086110"/>
    <w:rsid w:val="00090742"/>
    <w:rsid w:val="00090D01"/>
    <w:rsid w:val="0009108B"/>
    <w:rsid w:val="000923DD"/>
    <w:rsid w:val="00093AA5"/>
    <w:rsid w:val="000942D8"/>
    <w:rsid w:val="0009458D"/>
    <w:rsid w:val="0009466B"/>
    <w:rsid w:val="00095D47"/>
    <w:rsid w:val="00097101"/>
    <w:rsid w:val="00097681"/>
    <w:rsid w:val="000A01AE"/>
    <w:rsid w:val="000A0ECF"/>
    <w:rsid w:val="000A1C6C"/>
    <w:rsid w:val="000A22F5"/>
    <w:rsid w:val="000A4C11"/>
    <w:rsid w:val="000A519F"/>
    <w:rsid w:val="000A5D82"/>
    <w:rsid w:val="000A69B4"/>
    <w:rsid w:val="000B08DA"/>
    <w:rsid w:val="000B1481"/>
    <w:rsid w:val="000B317F"/>
    <w:rsid w:val="000C024C"/>
    <w:rsid w:val="000C0B0F"/>
    <w:rsid w:val="000C0FDA"/>
    <w:rsid w:val="000C3BBF"/>
    <w:rsid w:val="000C462D"/>
    <w:rsid w:val="000C580C"/>
    <w:rsid w:val="000C5C99"/>
    <w:rsid w:val="000C5D67"/>
    <w:rsid w:val="000D1A1A"/>
    <w:rsid w:val="000D1EC8"/>
    <w:rsid w:val="000D2804"/>
    <w:rsid w:val="000D394C"/>
    <w:rsid w:val="000E04BC"/>
    <w:rsid w:val="000E0587"/>
    <w:rsid w:val="000E14C6"/>
    <w:rsid w:val="000E22A5"/>
    <w:rsid w:val="000E2CAB"/>
    <w:rsid w:val="000E2FB9"/>
    <w:rsid w:val="000E3AD0"/>
    <w:rsid w:val="000E42C4"/>
    <w:rsid w:val="000E4713"/>
    <w:rsid w:val="000E64CA"/>
    <w:rsid w:val="000F04B1"/>
    <w:rsid w:val="000F25BB"/>
    <w:rsid w:val="000F3B07"/>
    <w:rsid w:val="000F3F32"/>
    <w:rsid w:val="000F4264"/>
    <w:rsid w:val="000F4567"/>
    <w:rsid w:val="000F5CEC"/>
    <w:rsid w:val="000F5E7C"/>
    <w:rsid w:val="001027F1"/>
    <w:rsid w:val="00102A6C"/>
    <w:rsid w:val="0010300E"/>
    <w:rsid w:val="001037FB"/>
    <w:rsid w:val="00103A83"/>
    <w:rsid w:val="001059F9"/>
    <w:rsid w:val="00106F35"/>
    <w:rsid w:val="0011019B"/>
    <w:rsid w:val="00110B1B"/>
    <w:rsid w:val="00111102"/>
    <w:rsid w:val="0011156B"/>
    <w:rsid w:val="00113129"/>
    <w:rsid w:val="001140C9"/>
    <w:rsid w:val="00114641"/>
    <w:rsid w:val="00114C48"/>
    <w:rsid w:val="00115580"/>
    <w:rsid w:val="0012061B"/>
    <w:rsid w:val="001224A5"/>
    <w:rsid w:val="00123130"/>
    <w:rsid w:val="0012455F"/>
    <w:rsid w:val="001263DA"/>
    <w:rsid w:val="00130A99"/>
    <w:rsid w:val="00130B37"/>
    <w:rsid w:val="00132571"/>
    <w:rsid w:val="00132EF9"/>
    <w:rsid w:val="00133A98"/>
    <w:rsid w:val="001341CF"/>
    <w:rsid w:val="00136E7B"/>
    <w:rsid w:val="00140817"/>
    <w:rsid w:val="00142F93"/>
    <w:rsid w:val="00144780"/>
    <w:rsid w:val="0014482F"/>
    <w:rsid w:val="00144A55"/>
    <w:rsid w:val="00144AE8"/>
    <w:rsid w:val="001461E8"/>
    <w:rsid w:val="001467D6"/>
    <w:rsid w:val="00146A11"/>
    <w:rsid w:val="0014727D"/>
    <w:rsid w:val="00147B8E"/>
    <w:rsid w:val="00150DDD"/>
    <w:rsid w:val="00152431"/>
    <w:rsid w:val="001542FA"/>
    <w:rsid w:val="00156694"/>
    <w:rsid w:val="00157131"/>
    <w:rsid w:val="001575B6"/>
    <w:rsid w:val="00160A97"/>
    <w:rsid w:val="001621FB"/>
    <w:rsid w:val="00162231"/>
    <w:rsid w:val="0016268E"/>
    <w:rsid w:val="00163C7B"/>
    <w:rsid w:val="00163FCE"/>
    <w:rsid w:val="00164449"/>
    <w:rsid w:val="001704E9"/>
    <w:rsid w:val="0017182F"/>
    <w:rsid w:val="00171A3E"/>
    <w:rsid w:val="00171C27"/>
    <w:rsid w:val="001746C7"/>
    <w:rsid w:val="00174A9D"/>
    <w:rsid w:val="00175744"/>
    <w:rsid w:val="001801B1"/>
    <w:rsid w:val="001816AA"/>
    <w:rsid w:val="00181733"/>
    <w:rsid w:val="00181804"/>
    <w:rsid w:val="0018181C"/>
    <w:rsid w:val="001837EC"/>
    <w:rsid w:val="00184683"/>
    <w:rsid w:val="00186048"/>
    <w:rsid w:val="001867B2"/>
    <w:rsid w:val="00186910"/>
    <w:rsid w:val="00190A6C"/>
    <w:rsid w:val="001942B0"/>
    <w:rsid w:val="001957EA"/>
    <w:rsid w:val="001964B9"/>
    <w:rsid w:val="0019701A"/>
    <w:rsid w:val="00197B26"/>
    <w:rsid w:val="00197D0D"/>
    <w:rsid w:val="001A2A30"/>
    <w:rsid w:val="001A2D66"/>
    <w:rsid w:val="001A45D5"/>
    <w:rsid w:val="001A5546"/>
    <w:rsid w:val="001A6A89"/>
    <w:rsid w:val="001A70A7"/>
    <w:rsid w:val="001B1621"/>
    <w:rsid w:val="001B19B0"/>
    <w:rsid w:val="001B3532"/>
    <w:rsid w:val="001B7BED"/>
    <w:rsid w:val="001C12F0"/>
    <w:rsid w:val="001C1F6B"/>
    <w:rsid w:val="001C3F98"/>
    <w:rsid w:val="001C4A35"/>
    <w:rsid w:val="001C6C2A"/>
    <w:rsid w:val="001C7127"/>
    <w:rsid w:val="001D3583"/>
    <w:rsid w:val="001D3D23"/>
    <w:rsid w:val="001D40E8"/>
    <w:rsid w:val="001D5D06"/>
    <w:rsid w:val="001D604C"/>
    <w:rsid w:val="001E0C48"/>
    <w:rsid w:val="001E1529"/>
    <w:rsid w:val="001E37F3"/>
    <w:rsid w:val="001E40D4"/>
    <w:rsid w:val="001E4BC7"/>
    <w:rsid w:val="001E66E9"/>
    <w:rsid w:val="001F063A"/>
    <w:rsid w:val="001F0F9B"/>
    <w:rsid w:val="001F220D"/>
    <w:rsid w:val="001F2DC3"/>
    <w:rsid w:val="001F3A76"/>
    <w:rsid w:val="001F42E4"/>
    <w:rsid w:val="001F62D4"/>
    <w:rsid w:val="001F7282"/>
    <w:rsid w:val="00200509"/>
    <w:rsid w:val="00200ED0"/>
    <w:rsid w:val="00201402"/>
    <w:rsid w:val="00202D01"/>
    <w:rsid w:val="00204B1C"/>
    <w:rsid w:val="00206451"/>
    <w:rsid w:val="002065A7"/>
    <w:rsid w:val="00206E6C"/>
    <w:rsid w:val="00210BFB"/>
    <w:rsid w:val="00211634"/>
    <w:rsid w:val="00211A80"/>
    <w:rsid w:val="002138B1"/>
    <w:rsid w:val="00214C43"/>
    <w:rsid w:val="00215826"/>
    <w:rsid w:val="002159E7"/>
    <w:rsid w:val="002168D6"/>
    <w:rsid w:val="002175D1"/>
    <w:rsid w:val="00220621"/>
    <w:rsid w:val="002231B5"/>
    <w:rsid w:val="0022371A"/>
    <w:rsid w:val="00223E76"/>
    <w:rsid w:val="00225EC7"/>
    <w:rsid w:val="00225F86"/>
    <w:rsid w:val="0022611A"/>
    <w:rsid w:val="00227D5D"/>
    <w:rsid w:val="002309B2"/>
    <w:rsid w:val="00233197"/>
    <w:rsid w:val="002411BF"/>
    <w:rsid w:val="0024139A"/>
    <w:rsid w:val="00242F00"/>
    <w:rsid w:val="00244FB5"/>
    <w:rsid w:val="00247846"/>
    <w:rsid w:val="002515EB"/>
    <w:rsid w:val="00251D82"/>
    <w:rsid w:val="0025220C"/>
    <w:rsid w:val="0025388C"/>
    <w:rsid w:val="00253C61"/>
    <w:rsid w:val="002540BF"/>
    <w:rsid w:val="0025414E"/>
    <w:rsid w:val="00256156"/>
    <w:rsid w:val="002610BA"/>
    <w:rsid w:val="002617B5"/>
    <w:rsid w:val="0026205F"/>
    <w:rsid w:val="00262069"/>
    <w:rsid w:val="0026384B"/>
    <w:rsid w:val="00265F97"/>
    <w:rsid w:val="002660F3"/>
    <w:rsid w:val="002672BD"/>
    <w:rsid w:val="002673DD"/>
    <w:rsid w:val="002678F3"/>
    <w:rsid w:val="00271BDA"/>
    <w:rsid w:val="00272024"/>
    <w:rsid w:val="0027202D"/>
    <w:rsid w:val="00272FCF"/>
    <w:rsid w:val="00273AE1"/>
    <w:rsid w:val="00273D5A"/>
    <w:rsid w:val="0027444C"/>
    <w:rsid w:val="00274830"/>
    <w:rsid w:val="00274AC1"/>
    <w:rsid w:val="00275A9D"/>
    <w:rsid w:val="00280159"/>
    <w:rsid w:val="00280199"/>
    <w:rsid w:val="00280DDC"/>
    <w:rsid w:val="002845DA"/>
    <w:rsid w:val="002854B3"/>
    <w:rsid w:val="00286994"/>
    <w:rsid w:val="002905C8"/>
    <w:rsid w:val="00291241"/>
    <w:rsid w:val="00292447"/>
    <w:rsid w:val="00292581"/>
    <w:rsid w:val="002949C4"/>
    <w:rsid w:val="00294F21"/>
    <w:rsid w:val="00295D2B"/>
    <w:rsid w:val="0029633C"/>
    <w:rsid w:val="00296A41"/>
    <w:rsid w:val="002A2C14"/>
    <w:rsid w:val="002A2D5F"/>
    <w:rsid w:val="002A341D"/>
    <w:rsid w:val="002A4434"/>
    <w:rsid w:val="002A4724"/>
    <w:rsid w:val="002A7E7C"/>
    <w:rsid w:val="002B2526"/>
    <w:rsid w:val="002B4C52"/>
    <w:rsid w:val="002B590B"/>
    <w:rsid w:val="002B641B"/>
    <w:rsid w:val="002B7075"/>
    <w:rsid w:val="002C4EA7"/>
    <w:rsid w:val="002C79BE"/>
    <w:rsid w:val="002C7A3D"/>
    <w:rsid w:val="002D236C"/>
    <w:rsid w:val="002D41DB"/>
    <w:rsid w:val="002D522A"/>
    <w:rsid w:val="002D6346"/>
    <w:rsid w:val="002E0343"/>
    <w:rsid w:val="002E04DE"/>
    <w:rsid w:val="002E2324"/>
    <w:rsid w:val="002E5D2A"/>
    <w:rsid w:val="002E6091"/>
    <w:rsid w:val="002E63D1"/>
    <w:rsid w:val="002F0903"/>
    <w:rsid w:val="002F0E0F"/>
    <w:rsid w:val="002F166D"/>
    <w:rsid w:val="002F1C37"/>
    <w:rsid w:val="002F1D98"/>
    <w:rsid w:val="002F1FE6"/>
    <w:rsid w:val="002F4199"/>
    <w:rsid w:val="002F587B"/>
    <w:rsid w:val="002F5CEA"/>
    <w:rsid w:val="002F6DB6"/>
    <w:rsid w:val="00300781"/>
    <w:rsid w:val="00300DC5"/>
    <w:rsid w:val="00301A24"/>
    <w:rsid w:val="0030251D"/>
    <w:rsid w:val="00302BF4"/>
    <w:rsid w:val="0030300F"/>
    <w:rsid w:val="003063D0"/>
    <w:rsid w:val="003066DB"/>
    <w:rsid w:val="003068C2"/>
    <w:rsid w:val="0031123A"/>
    <w:rsid w:val="0031370A"/>
    <w:rsid w:val="00314E53"/>
    <w:rsid w:val="00316018"/>
    <w:rsid w:val="003215A9"/>
    <w:rsid w:val="003255CB"/>
    <w:rsid w:val="0033077E"/>
    <w:rsid w:val="003319AE"/>
    <w:rsid w:val="003350AA"/>
    <w:rsid w:val="00336CD2"/>
    <w:rsid w:val="00340061"/>
    <w:rsid w:val="00340613"/>
    <w:rsid w:val="0034197D"/>
    <w:rsid w:val="003419D9"/>
    <w:rsid w:val="0034271B"/>
    <w:rsid w:val="00343043"/>
    <w:rsid w:val="003434F9"/>
    <w:rsid w:val="003437F9"/>
    <w:rsid w:val="00343E64"/>
    <w:rsid w:val="00345D94"/>
    <w:rsid w:val="00346A42"/>
    <w:rsid w:val="00351C2D"/>
    <w:rsid w:val="00352E77"/>
    <w:rsid w:val="003536C2"/>
    <w:rsid w:val="00353CA5"/>
    <w:rsid w:val="00355CB1"/>
    <w:rsid w:val="00356EF2"/>
    <w:rsid w:val="00360034"/>
    <w:rsid w:val="00360044"/>
    <w:rsid w:val="003601FA"/>
    <w:rsid w:val="003603CF"/>
    <w:rsid w:val="00360EFB"/>
    <w:rsid w:val="00363751"/>
    <w:rsid w:val="00364C6B"/>
    <w:rsid w:val="003657C8"/>
    <w:rsid w:val="00365B94"/>
    <w:rsid w:val="00365E04"/>
    <w:rsid w:val="00366586"/>
    <w:rsid w:val="0036706A"/>
    <w:rsid w:val="003670A9"/>
    <w:rsid w:val="00367147"/>
    <w:rsid w:val="00371407"/>
    <w:rsid w:val="00371E19"/>
    <w:rsid w:val="0037209F"/>
    <w:rsid w:val="00373188"/>
    <w:rsid w:val="0037346F"/>
    <w:rsid w:val="00373970"/>
    <w:rsid w:val="00375764"/>
    <w:rsid w:val="003763DD"/>
    <w:rsid w:val="00376828"/>
    <w:rsid w:val="0037711E"/>
    <w:rsid w:val="0037764B"/>
    <w:rsid w:val="00381D6B"/>
    <w:rsid w:val="00382C09"/>
    <w:rsid w:val="00384690"/>
    <w:rsid w:val="00384B52"/>
    <w:rsid w:val="003859A3"/>
    <w:rsid w:val="0038742B"/>
    <w:rsid w:val="0039086B"/>
    <w:rsid w:val="00390E8C"/>
    <w:rsid w:val="0039313E"/>
    <w:rsid w:val="0039404B"/>
    <w:rsid w:val="0039610D"/>
    <w:rsid w:val="00396F95"/>
    <w:rsid w:val="003A0626"/>
    <w:rsid w:val="003A087E"/>
    <w:rsid w:val="003A13CC"/>
    <w:rsid w:val="003A216C"/>
    <w:rsid w:val="003A3318"/>
    <w:rsid w:val="003A44DF"/>
    <w:rsid w:val="003A487C"/>
    <w:rsid w:val="003A49C3"/>
    <w:rsid w:val="003A4EFC"/>
    <w:rsid w:val="003A6083"/>
    <w:rsid w:val="003B0B95"/>
    <w:rsid w:val="003B1ED8"/>
    <w:rsid w:val="003B2DBB"/>
    <w:rsid w:val="003B39CF"/>
    <w:rsid w:val="003B3DEB"/>
    <w:rsid w:val="003B4065"/>
    <w:rsid w:val="003C03EE"/>
    <w:rsid w:val="003C0C23"/>
    <w:rsid w:val="003C17DC"/>
    <w:rsid w:val="003C2261"/>
    <w:rsid w:val="003C34F0"/>
    <w:rsid w:val="003C54CA"/>
    <w:rsid w:val="003C585E"/>
    <w:rsid w:val="003C61E5"/>
    <w:rsid w:val="003C65D8"/>
    <w:rsid w:val="003C7E53"/>
    <w:rsid w:val="003D0303"/>
    <w:rsid w:val="003D08AD"/>
    <w:rsid w:val="003D1CB7"/>
    <w:rsid w:val="003D2353"/>
    <w:rsid w:val="003D2422"/>
    <w:rsid w:val="003D549C"/>
    <w:rsid w:val="003D5E1F"/>
    <w:rsid w:val="003D6ECE"/>
    <w:rsid w:val="003E1F56"/>
    <w:rsid w:val="003E3F81"/>
    <w:rsid w:val="003E5A0C"/>
    <w:rsid w:val="003E666D"/>
    <w:rsid w:val="003E7DB0"/>
    <w:rsid w:val="003F0CE2"/>
    <w:rsid w:val="003F2DA7"/>
    <w:rsid w:val="003F4083"/>
    <w:rsid w:val="003F46A1"/>
    <w:rsid w:val="003F5EDE"/>
    <w:rsid w:val="003F73EA"/>
    <w:rsid w:val="004013B4"/>
    <w:rsid w:val="00401DBD"/>
    <w:rsid w:val="00402E1C"/>
    <w:rsid w:val="0040337B"/>
    <w:rsid w:val="004039BD"/>
    <w:rsid w:val="00403F8F"/>
    <w:rsid w:val="0040425F"/>
    <w:rsid w:val="00405C57"/>
    <w:rsid w:val="00407BB2"/>
    <w:rsid w:val="00411C18"/>
    <w:rsid w:val="00412913"/>
    <w:rsid w:val="0041364E"/>
    <w:rsid w:val="004143D8"/>
    <w:rsid w:val="00414775"/>
    <w:rsid w:val="004212BB"/>
    <w:rsid w:val="00422196"/>
    <w:rsid w:val="00423905"/>
    <w:rsid w:val="004244E8"/>
    <w:rsid w:val="00424FFC"/>
    <w:rsid w:val="00432E01"/>
    <w:rsid w:val="004340BB"/>
    <w:rsid w:val="004354B7"/>
    <w:rsid w:val="004401F7"/>
    <w:rsid w:val="00442184"/>
    <w:rsid w:val="00443596"/>
    <w:rsid w:val="00443B4C"/>
    <w:rsid w:val="00444459"/>
    <w:rsid w:val="00445456"/>
    <w:rsid w:val="00445A50"/>
    <w:rsid w:val="00447221"/>
    <w:rsid w:val="004479FD"/>
    <w:rsid w:val="00447A4C"/>
    <w:rsid w:val="00450EE1"/>
    <w:rsid w:val="004543EA"/>
    <w:rsid w:val="004546CD"/>
    <w:rsid w:val="00454DF4"/>
    <w:rsid w:val="0045509B"/>
    <w:rsid w:val="00455144"/>
    <w:rsid w:val="004562F3"/>
    <w:rsid w:val="00457D21"/>
    <w:rsid w:val="0046503B"/>
    <w:rsid w:val="00465774"/>
    <w:rsid w:val="00465940"/>
    <w:rsid w:val="00465A55"/>
    <w:rsid w:val="004666E6"/>
    <w:rsid w:val="0046772F"/>
    <w:rsid w:val="00470728"/>
    <w:rsid w:val="00473020"/>
    <w:rsid w:val="00474AF5"/>
    <w:rsid w:val="00476B98"/>
    <w:rsid w:val="00480FE5"/>
    <w:rsid w:val="004819F1"/>
    <w:rsid w:val="00482B34"/>
    <w:rsid w:val="00490973"/>
    <w:rsid w:val="00490C56"/>
    <w:rsid w:val="00490EAC"/>
    <w:rsid w:val="004929C6"/>
    <w:rsid w:val="00492D39"/>
    <w:rsid w:val="004938B8"/>
    <w:rsid w:val="004943E5"/>
    <w:rsid w:val="00497640"/>
    <w:rsid w:val="00497DF2"/>
    <w:rsid w:val="004A0495"/>
    <w:rsid w:val="004A0564"/>
    <w:rsid w:val="004A1E5E"/>
    <w:rsid w:val="004A4541"/>
    <w:rsid w:val="004A50B5"/>
    <w:rsid w:val="004B254C"/>
    <w:rsid w:val="004B4E6A"/>
    <w:rsid w:val="004B5CE9"/>
    <w:rsid w:val="004C08C2"/>
    <w:rsid w:val="004C33A4"/>
    <w:rsid w:val="004C3B76"/>
    <w:rsid w:val="004C4622"/>
    <w:rsid w:val="004C652D"/>
    <w:rsid w:val="004D41F8"/>
    <w:rsid w:val="004D5079"/>
    <w:rsid w:val="004D673B"/>
    <w:rsid w:val="004D6E4E"/>
    <w:rsid w:val="004D6ECF"/>
    <w:rsid w:val="004D750A"/>
    <w:rsid w:val="004D78EC"/>
    <w:rsid w:val="004E0134"/>
    <w:rsid w:val="004E2133"/>
    <w:rsid w:val="004E219E"/>
    <w:rsid w:val="004E365B"/>
    <w:rsid w:val="004E4C0C"/>
    <w:rsid w:val="004E536C"/>
    <w:rsid w:val="004E55F9"/>
    <w:rsid w:val="004E5FFF"/>
    <w:rsid w:val="004E6131"/>
    <w:rsid w:val="004E7423"/>
    <w:rsid w:val="004E79D0"/>
    <w:rsid w:val="004F044D"/>
    <w:rsid w:val="004F0D26"/>
    <w:rsid w:val="004F2DEE"/>
    <w:rsid w:val="004F330A"/>
    <w:rsid w:val="004F3DC0"/>
    <w:rsid w:val="004F4856"/>
    <w:rsid w:val="004F6DA4"/>
    <w:rsid w:val="004F7C7B"/>
    <w:rsid w:val="00500894"/>
    <w:rsid w:val="00501BDB"/>
    <w:rsid w:val="00503538"/>
    <w:rsid w:val="00507C41"/>
    <w:rsid w:val="005119C0"/>
    <w:rsid w:val="00511ED5"/>
    <w:rsid w:val="00515655"/>
    <w:rsid w:val="00524FAF"/>
    <w:rsid w:val="0052513D"/>
    <w:rsid w:val="005256A4"/>
    <w:rsid w:val="00525A35"/>
    <w:rsid w:val="00527792"/>
    <w:rsid w:val="00530D95"/>
    <w:rsid w:val="00531E8E"/>
    <w:rsid w:val="005323BD"/>
    <w:rsid w:val="00532876"/>
    <w:rsid w:val="00533840"/>
    <w:rsid w:val="0053740B"/>
    <w:rsid w:val="00537A26"/>
    <w:rsid w:val="005403F6"/>
    <w:rsid w:val="00540444"/>
    <w:rsid w:val="005415DB"/>
    <w:rsid w:val="0054366B"/>
    <w:rsid w:val="00543ACE"/>
    <w:rsid w:val="00544463"/>
    <w:rsid w:val="00544CFA"/>
    <w:rsid w:val="00545219"/>
    <w:rsid w:val="005469D3"/>
    <w:rsid w:val="00546DFC"/>
    <w:rsid w:val="00550368"/>
    <w:rsid w:val="00553D81"/>
    <w:rsid w:val="00554F0C"/>
    <w:rsid w:val="005563D6"/>
    <w:rsid w:val="00560669"/>
    <w:rsid w:val="005608E8"/>
    <w:rsid w:val="00564434"/>
    <w:rsid w:val="00565AC3"/>
    <w:rsid w:val="00566309"/>
    <w:rsid w:val="005671C8"/>
    <w:rsid w:val="005708CD"/>
    <w:rsid w:val="005737BA"/>
    <w:rsid w:val="00573CD2"/>
    <w:rsid w:val="00574342"/>
    <w:rsid w:val="0057576B"/>
    <w:rsid w:val="005803F7"/>
    <w:rsid w:val="00580A2B"/>
    <w:rsid w:val="005811A9"/>
    <w:rsid w:val="0058149E"/>
    <w:rsid w:val="00582694"/>
    <w:rsid w:val="00583762"/>
    <w:rsid w:val="005843E7"/>
    <w:rsid w:val="00584DF4"/>
    <w:rsid w:val="00586259"/>
    <w:rsid w:val="00587BF9"/>
    <w:rsid w:val="00587EA5"/>
    <w:rsid w:val="00591A06"/>
    <w:rsid w:val="00591A96"/>
    <w:rsid w:val="00592943"/>
    <w:rsid w:val="005930C3"/>
    <w:rsid w:val="00595BF1"/>
    <w:rsid w:val="005A1BFB"/>
    <w:rsid w:val="005A3E79"/>
    <w:rsid w:val="005A41C3"/>
    <w:rsid w:val="005A5930"/>
    <w:rsid w:val="005A6300"/>
    <w:rsid w:val="005A73A0"/>
    <w:rsid w:val="005B2300"/>
    <w:rsid w:val="005B27A9"/>
    <w:rsid w:val="005B28C6"/>
    <w:rsid w:val="005B40D3"/>
    <w:rsid w:val="005B4990"/>
    <w:rsid w:val="005B7B57"/>
    <w:rsid w:val="005B7DE5"/>
    <w:rsid w:val="005C0089"/>
    <w:rsid w:val="005C0435"/>
    <w:rsid w:val="005C065C"/>
    <w:rsid w:val="005C17E8"/>
    <w:rsid w:val="005C1E86"/>
    <w:rsid w:val="005C1F89"/>
    <w:rsid w:val="005C33D1"/>
    <w:rsid w:val="005C354C"/>
    <w:rsid w:val="005C7196"/>
    <w:rsid w:val="005D222A"/>
    <w:rsid w:val="005D3D82"/>
    <w:rsid w:val="005D40F4"/>
    <w:rsid w:val="005D49AA"/>
    <w:rsid w:val="005D544C"/>
    <w:rsid w:val="005D7D1A"/>
    <w:rsid w:val="005E3E62"/>
    <w:rsid w:val="005E7B2D"/>
    <w:rsid w:val="005F0FA5"/>
    <w:rsid w:val="005F29DD"/>
    <w:rsid w:val="005F3770"/>
    <w:rsid w:val="005F6E10"/>
    <w:rsid w:val="005F7E36"/>
    <w:rsid w:val="00602313"/>
    <w:rsid w:val="00602DE1"/>
    <w:rsid w:val="00603083"/>
    <w:rsid w:val="00606DF3"/>
    <w:rsid w:val="00607A22"/>
    <w:rsid w:val="00607AA7"/>
    <w:rsid w:val="00610C92"/>
    <w:rsid w:val="0061318C"/>
    <w:rsid w:val="00613C48"/>
    <w:rsid w:val="00614725"/>
    <w:rsid w:val="00614AA7"/>
    <w:rsid w:val="00615124"/>
    <w:rsid w:val="00615507"/>
    <w:rsid w:val="00615803"/>
    <w:rsid w:val="00615FDA"/>
    <w:rsid w:val="00616BC2"/>
    <w:rsid w:val="00616EBF"/>
    <w:rsid w:val="006178D4"/>
    <w:rsid w:val="00622B99"/>
    <w:rsid w:val="00623878"/>
    <w:rsid w:val="0062408E"/>
    <w:rsid w:val="00625093"/>
    <w:rsid w:val="006311DD"/>
    <w:rsid w:val="006316B5"/>
    <w:rsid w:val="00633235"/>
    <w:rsid w:val="0063426D"/>
    <w:rsid w:val="006346DA"/>
    <w:rsid w:val="006349EE"/>
    <w:rsid w:val="00636418"/>
    <w:rsid w:val="00636A0D"/>
    <w:rsid w:val="00636B3D"/>
    <w:rsid w:val="00640BAC"/>
    <w:rsid w:val="00641366"/>
    <w:rsid w:val="00642445"/>
    <w:rsid w:val="006468FB"/>
    <w:rsid w:val="00646B55"/>
    <w:rsid w:val="00651840"/>
    <w:rsid w:val="006518AB"/>
    <w:rsid w:val="006524F4"/>
    <w:rsid w:val="00654740"/>
    <w:rsid w:val="00654AB1"/>
    <w:rsid w:val="00656508"/>
    <w:rsid w:val="0065762C"/>
    <w:rsid w:val="00657B51"/>
    <w:rsid w:val="00661B47"/>
    <w:rsid w:val="0066339E"/>
    <w:rsid w:val="006652C9"/>
    <w:rsid w:val="00665C6E"/>
    <w:rsid w:val="006662B7"/>
    <w:rsid w:val="006664B4"/>
    <w:rsid w:val="00666FE9"/>
    <w:rsid w:val="00667730"/>
    <w:rsid w:val="00672139"/>
    <w:rsid w:val="00673120"/>
    <w:rsid w:val="00673183"/>
    <w:rsid w:val="0067390B"/>
    <w:rsid w:val="00674F61"/>
    <w:rsid w:val="006761D3"/>
    <w:rsid w:val="00676A7E"/>
    <w:rsid w:val="006778B0"/>
    <w:rsid w:val="006801C7"/>
    <w:rsid w:val="00680672"/>
    <w:rsid w:val="00680760"/>
    <w:rsid w:val="00680CEE"/>
    <w:rsid w:val="00681E14"/>
    <w:rsid w:val="006828EB"/>
    <w:rsid w:val="006848BF"/>
    <w:rsid w:val="00685161"/>
    <w:rsid w:val="00687337"/>
    <w:rsid w:val="0069018E"/>
    <w:rsid w:val="0069069A"/>
    <w:rsid w:val="00692545"/>
    <w:rsid w:val="00697DCC"/>
    <w:rsid w:val="006A0656"/>
    <w:rsid w:val="006A0665"/>
    <w:rsid w:val="006A3C87"/>
    <w:rsid w:val="006A424D"/>
    <w:rsid w:val="006A4A10"/>
    <w:rsid w:val="006A4C16"/>
    <w:rsid w:val="006A52BA"/>
    <w:rsid w:val="006B0D6A"/>
    <w:rsid w:val="006B11C7"/>
    <w:rsid w:val="006B3118"/>
    <w:rsid w:val="006B3BD9"/>
    <w:rsid w:val="006B6FCA"/>
    <w:rsid w:val="006B74B2"/>
    <w:rsid w:val="006C2A47"/>
    <w:rsid w:val="006C3F6F"/>
    <w:rsid w:val="006C517B"/>
    <w:rsid w:val="006C54EA"/>
    <w:rsid w:val="006C68BF"/>
    <w:rsid w:val="006C7F83"/>
    <w:rsid w:val="006D0A5C"/>
    <w:rsid w:val="006D2F85"/>
    <w:rsid w:val="006D3925"/>
    <w:rsid w:val="006D4465"/>
    <w:rsid w:val="006D466C"/>
    <w:rsid w:val="006D583F"/>
    <w:rsid w:val="006D5DB1"/>
    <w:rsid w:val="006D5F3C"/>
    <w:rsid w:val="006D6F04"/>
    <w:rsid w:val="006D742A"/>
    <w:rsid w:val="006D7588"/>
    <w:rsid w:val="006E130D"/>
    <w:rsid w:val="006E1470"/>
    <w:rsid w:val="006E1A26"/>
    <w:rsid w:val="006E3EC1"/>
    <w:rsid w:val="006E6F38"/>
    <w:rsid w:val="006E6F95"/>
    <w:rsid w:val="006F06DE"/>
    <w:rsid w:val="006F0E65"/>
    <w:rsid w:val="006F5E35"/>
    <w:rsid w:val="006F63F8"/>
    <w:rsid w:val="006F7157"/>
    <w:rsid w:val="0070130A"/>
    <w:rsid w:val="00701490"/>
    <w:rsid w:val="00701696"/>
    <w:rsid w:val="00701711"/>
    <w:rsid w:val="00702A3F"/>
    <w:rsid w:val="007055B6"/>
    <w:rsid w:val="0070690B"/>
    <w:rsid w:val="00706F33"/>
    <w:rsid w:val="0070754F"/>
    <w:rsid w:val="00707BF5"/>
    <w:rsid w:val="0071215A"/>
    <w:rsid w:val="00712A37"/>
    <w:rsid w:val="00712C5D"/>
    <w:rsid w:val="00713441"/>
    <w:rsid w:val="007165F7"/>
    <w:rsid w:val="00717B1E"/>
    <w:rsid w:val="00721C64"/>
    <w:rsid w:val="0072257F"/>
    <w:rsid w:val="00722616"/>
    <w:rsid w:val="007239BC"/>
    <w:rsid w:val="00724017"/>
    <w:rsid w:val="0072408C"/>
    <w:rsid w:val="00724D51"/>
    <w:rsid w:val="007252F3"/>
    <w:rsid w:val="00726BBC"/>
    <w:rsid w:val="00727D3C"/>
    <w:rsid w:val="0073073B"/>
    <w:rsid w:val="00730FF5"/>
    <w:rsid w:val="00731404"/>
    <w:rsid w:val="007316D6"/>
    <w:rsid w:val="00731AD4"/>
    <w:rsid w:val="00733B71"/>
    <w:rsid w:val="00733FF4"/>
    <w:rsid w:val="00734357"/>
    <w:rsid w:val="007347DA"/>
    <w:rsid w:val="007358BA"/>
    <w:rsid w:val="00735F04"/>
    <w:rsid w:val="00736631"/>
    <w:rsid w:val="00737D76"/>
    <w:rsid w:val="00741748"/>
    <w:rsid w:val="00741FD1"/>
    <w:rsid w:val="0074277D"/>
    <w:rsid w:val="00743193"/>
    <w:rsid w:val="00743FE0"/>
    <w:rsid w:val="007442F4"/>
    <w:rsid w:val="0074573F"/>
    <w:rsid w:val="00750F32"/>
    <w:rsid w:val="007557CE"/>
    <w:rsid w:val="007567B4"/>
    <w:rsid w:val="0076089F"/>
    <w:rsid w:val="007615DC"/>
    <w:rsid w:val="00762E9C"/>
    <w:rsid w:val="007632D3"/>
    <w:rsid w:val="00763A7D"/>
    <w:rsid w:val="0076550C"/>
    <w:rsid w:val="00765815"/>
    <w:rsid w:val="00765837"/>
    <w:rsid w:val="00770B5E"/>
    <w:rsid w:val="0077417D"/>
    <w:rsid w:val="00774AAB"/>
    <w:rsid w:val="00775AC7"/>
    <w:rsid w:val="0077695E"/>
    <w:rsid w:val="00776D2A"/>
    <w:rsid w:val="00782017"/>
    <w:rsid w:val="00785116"/>
    <w:rsid w:val="007869BF"/>
    <w:rsid w:val="00786D42"/>
    <w:rsid w:val="00787CEF"/>
    <w:rsid w:val="00790C76"/>
    <w:rsid w:val="0079239F"/>
    <w:rsid w:val="0079355D"/>
    <w:rsid w:val="007935D0"/>
    <w:rsid w:val="00794845"/>
    <w:rsid w:val="00794FE0"/>
    <w:rsid w:val="00796533"/>
    <w:rsid w:val="00796D4F"/>
    <w:rsid w:val="0079758A"/>
    <w:rsid w:val="007977B0"/>
    <w:rsid w:val="007978FF"/>
    <w:rsid w:val="007A0ACA"/>
    <w:rsid w:val="007A156B"/>
    <w:rsid w:val="007A25D3"/>
    <w:rsid w:val="007A2D63"/>
    <w:rsid w:val="007A348D"/>
    <w:rsid w:val="007A3684"/>
    <w:rsid w:val="007A4493"/>
    <w:rsid w:val="007A50A3"/>
    <w:rsid w:val="007A5E96"/>
    <w:rsid w:val="007B1C35"/>
    <w:rsid w:val="007B48DF"/>
    <w:rsid w:val="007B660D"/>
    <w:rsid w:val="007B72BA"/>
    <w:rsid w:val="007C003B"/>
    <w:rsid w:val="007C005F"/>
    <w:rsid w:val="007C1EE8"/>
    <w:rsid w:val="007C4459"/>
    <w:rsid w:val="007C4C69"/>
    <w:rsid w:val="007C5047"/>
    <w:rsid w:val="007D14F2"/>
    <w:rsid w:val="007D1C0B"/>
    <w:rsid w:val="007D1D21"/>
    <w:rsid w:val="007D2FB6"/>
    <w:rsid w:val="007D3B83"/>
    <w:rsid w:val="007D3DBE"/>
    <w:rsid w:val="007D497A"/>
    <w:rsid w:val="007D6341"/>
    <w:rsid w:val="007D6431"/>
    <w:rsid w:val="007D692C"/>
    <w:rsid w:val="007D775E"/>
    <w:rsid w:val="007E1E78"/>
    <w:rsid w:val="007E4C9F"/>
    <w:rsid w:val="007E4D6A"/>
    <w:rsid w:val="007E4E45"/>
    <w:rsid w:val="007E537C"/>
    <w:rsid w:val="007E56E7"/>
    <w:rsid w:val="007E73FA"/>
    <w:rsid w:val="007F3AC5"/>
    <w:rsid w:val="007F3DF7"/>
    <w:rsid w:val="007F5446"/>
    <w:rsid w:val="007F66B8"/>
    <w:rsid w:val="007F7791"/>
    <w:rsid w:val="00800907"/>
    <w:rsid w:val="00802292"/>
    <w:rsid w:val="00802ED2"/>
    <w:rsid w:val="008056AA"/>
    <w:rsid w:val="00805B40"/>
    <w:rsid w:val="00805FAE"/>
    <w:rsid w:val="0081013B"/>
    <w:rsid w:val="00812538"/>
    <w:rsid w:val="00812897"/>
    <w:rsid w:val="00813257"/>
    <w:rsid w:val="008132C3"/>
    <w:rsid w:val="00814593"/>
    <w:rsid w:val="00814A27"/>
    <w:rsid w:val="008162B3"/>
    <w:rsid w:val="00816AD2"/>
    <w:rsid w:val="008178B3"/>
    <w:rsid w:val="00817A1A"/>
    <w:rsid w:val="0082010C"/>
    <w:rsid w:val="0082379D"/>
    <w:rsid w:val="008240C4"/>
    <w:rsid w:val="008273F0"/>
    <w:rsid w:val="00827F45"/>
    <w:rsid w:val="00831D07"/>
    <w:rsid w:val="00833097"/>
    <w:rsid w:val="00833D1F"/>
    <w:rsid w:val="0083511D"/>
    <w:rsid w:val="00835A4D"/>
    <w:rsid w:val="00835D27"/>
    <w:rsid w:val="00836013"/>
    <w:rsid w:val="00836B53"/>
    <w:rsid w:val="0083778C"/>
    <w:rsid w:val="00840AF9"/>
    <w:rsid w:val="00841376"/>
    <w:rsid w:val="008415CE"/>
    <w:rsid w:val="008420E0"/>
    <w:rsid w:val="00843CAF"/>
    <w:rsid w:val="00844660"/>
    <w:rsid w:val="00846409"/>
    <w:rsid w:val="008465EC"/>
    <w:rsid w:val="00847203"/>
    <w:rsid w:val="0084733E"/>
    <w:rsid w:val="00847BCE"/>
    <w:rsid w:val="00850606"/>
    <w:rsid w:val="00851C04"/>
    <w:rsid w:val="00852E21"/>
    <w:rsid w:val="00854066"/>
    <w:rsid w:val="00854169"/>
    <w:rsid w:val="008601D2"/>
    <w:rsid w:val="00860BBB"/>
    <w:rsid w:val="00863294"/>
    <w:rsid w:val="00864AB2"/>
    <w:rsid w:val="00865790"/>
    <w:rsid w:val="00865E6C"/>
    <w:rsid w:val="00867AF2"/>
    <w:rsid w:val="008706C7"/>
    <w:rsid w:val="008728E2"/>
    <w:rsid w:val="00872974"/>
    <w:rsid w:val="00873711"/>
    <w:rsid w:val="00873E00"/>
    <w:rsid w:val="00874494"/>
    <w:rsid w:val="00875647"/>
    <w:rsid w:val="00875D35"/>
    <w:rsid w:val="00876DDC"/>
    <w:rsid w:val="0088217C"/>
    <w:rsid w:val="00884AC4"/>
    <w:rsid w:val="00884DD9"/>
    <w:rsid w:val="00885109"/>
    <w:rsid w:val="0088535D"/>
    <w:rsid w:val="0088597A"/>
    <w:rsid w:val="00885ED1"/>
    <w:rsid w:val="008878F3"/>
    <w:rsid w:val="00890089"/>
    <w:rsid w:val="0089152E"/>
    <w:rsid w:val="00891C8F"/>
    <w:rsid w:val="00892493"/>
    <w:rsid w:val="00893E2A"/>
    <w:rsid w:val="00893EFD"/>
    <w:rsid w:val="0089660C"/>
    <w:rsid w:val="0089693B"/>
    <w:rsid w:val="008A1CE7"/>
    <w:rsid w:val="008A30E2"/>
    <w:rsid w:val="008A31E7"/>
    <w:rsid w:val="008A3757"/>
    <w:rsid w:val="008A5D7A"/>
    <w:rsid w:val="008A5FC7"/>
    <w:rsid w:val="008A704C"/>
    <w:rsid w:val="008B09BD"/>
    <w:rsid w:val="008B10F2"/>
    <w:rsid w:val="008B274F"/>
    <w:rsid w:val="008B7371"/>
    <w:rsid w:val="008C1EC2"/>
    <w:rsid w:val="008D29E2"/>
    <w:rsid w:val="008D3978"/>
    <w:rsid w:val="008D3E86"/>
    <w:rsid w:val="008D4199"/>
    <w:rsid w:val="008D55D5"/>
    <w:rsid w:val="008D674C"/>
    <w:rsid w:val="008D7E83"/>
    <w:rsid w:val="008E2943"/>
    <w:rsid w:val="008E2D60"/>
    <w:rsid w:val="008E45D9"/>
    <w:rsid w:val="008E482E"/>
    <w:rsid w:val="008E61CB"/>
    <w:rsid w:val="008E7D40"/>
    <w:rsid w:val="008F07F5"/>
    <w:rsid w:val="008F2075"/>
    <w:rsid w:val="008F3429"/>
    <w:rsid w:val="008F3FE0"/>
    <w:rsid w:val="008F43C0"/>
    <w:rsid w:val="008F6370"/>
    <w:rsid w:val="008F6901"/>
    <w:rsid w:val="00902BE4"/>
    <w:rsid w:val="0090385E"/>
    <w:rsid w:val="009048D0"/>
    <w:rsid w:val="00905013"/>
    <w:rsid w:val="00906CAB"/>
    <w:rsid w:val="0091015B"/>
    <w:rsid w:val="00911B93"/>
    <w:rsid w:val="00912EF3"/>
    <w:rsid w:val="00913645"/>
    <w:rsid w:val="009148C3"/>
    <w:rsid w:val="00917FEA"/>
    <w:rsid w:val="009217F0"/>
    <w:rsid w:val="00921B88"/>
    <w:rsid w:val="00922840"/>
    <w:rsid w:val="00923F64"/>
    <w:rsid w:val="0092468D"/>
    <w:rsid w:val="00924811"/>
    <w:rsid w:val="0092533E"/>
    <w:rsid w:val="00926229"/>
    <w:rsid w:val="0092712C"/>
    <w:rsid w:val="009302D0"/>
    <w:rsid w:val="00933C84"/>
    <w:rsid w:val="00936724"/>
    <w:rsid w:val="00940844"/>
    <w:rsid w:val="0094432F"/>
    <w:rsid w:val="009445D0"/>
    <w:rsid w:val="00944CFE"/>
    <w:rsid w:val="00944ECF"/>
    <w:rsid w:val="009478D6"/>
    <w:rsid w:val="009479AA"/>
    <w:rsid w:val="00951F4A"/>
    <w:rsid w:val="009540C1"/>
    <w:rsid w:val="00954CB0"/>
    <w:rsid w:val="0095509E"/>
    <w:rsid w:val="009551C0"/>
    <w:rsid w:val="00955475"/>
    <w:rsid w:val="00956237"/>
    <w:rsid w:val="009606B6"/>
    <w:rsid w:val="00960BDF"/>
    <w:rsid w:val="009614EB"/>
    <w:rsid w:val="00964613"/>
    <w:rsid w:val="00966F65"/>
    <w:rsid w:val="00967372"/>
    <w:rsid w:val="009705AB"/>
    <w:rsid w:val="00970C6F"/>
    <w:rsid w:val="00972B7D"/>
    <w:rsid w:val="0097426E"/>
    <w:rsid w:val="0097437F"/>
    <w:rsid w:val="00974853"/>
    <w:rsid w:val="00975602"/>
    <w:rsid w:val="00975959"/>
    <w:rsid w:val="00975E37"/>
    <w:rsid w:val="00976DE7"/>
    <w:rsid w:val="00981654"/>
    <w:rsid w:val="0098247E"/>
    <w:rsid w:val="009876EF"/>
    <w:rsid w:val="00990890"/>
    <w:rsid w:val="009935D1"/>
    <w:rsid w:val="009A0791"/>
    <w:rsid w:val="009A0A74"/>
    <w:rsid w:val="009A1A67"/>
    <w:rsid w:val="009A395B"/>
    <w:rsid w:val="009A3A45"/>
    <w:rsid w:val="009A43D5"/>
    <w:rsid w:val="009A4A7E"/>
    <w:rsid w:val="009A7F08"/>
    <w:rsid w:val="009B094B"/>
    <w:rsid w:val="009B156D"/>
    <w:rsid w:val="009B2823"/>
    <w:rsid w:val="009B2EDF"/>
    <w:rsid w:val="009B2FB8"/>
    <w:rsid w:val="009B31EA"/>
    <w:rsid w:val="009B388F"/>
    <w:rsid w:val="009B38E5"/>
    <w:rsid w:val="009B399A"/>
    <w:rsid w:val="009B6736"/>
    <w:rsid w:val="009B78D1"/>
    <w:rsid w:val="009C07BC"/>
    <w:rsid w:val="009C0DD9"/>
    <w:rsid w:val="009C11D5"/>
    <w:rsid w:val="009C11FC"/>
    <w:rsid w:val="009C1CB6"/>
    <w:rsid w:val="009C2B48"/>
    <w:rsid w:val="009C2E37"/>
    <w:rsid w:val="009C34C3"/>
    <w:rsid w:val="009C3904"/>
    <w:rsid w:val="009C3953"/>
    <w:rsid w:val="009C53F8"/>
    <w:rsid w:val="009C56C4"/>
    <w:rsid w:val="009C59A7"/>
    <w:rsid w:val="009C71B9"/>
    <w:rsid w:val="009C7CD0"/>
    <w:rsid w:val="009D0040"/>
    <w:rsid w:val="009D12FB"/>
    <w:rsid w:val="009D274F"/>
    <w:rsid w:val="009D3044"/>
    <w:rsid w:val="009D47EE"/>
    <w:rsid w:val="009D4C93"/>
    <w:rsid w:val="009D5914"/>
    <w:rsid w:val="009E0D05"/>
    <w:rsid w:val="009E11AD"/>
    <w:rsid w:val="009E164F"/>
    <w:rsid w:val="009E2008"/>
    <w:rsid w:val="009E275E"/>
    <w:rsid w:val="009E336B"/>
    <w:rsid w:val="009E499F"/>
    <w:rsid w:val="009E64F0"/>
    <w:rsid w:val="009F054C"/>
    <w:rsid w:val="009F1C66"/>
    <w:rsid w:val="009F2541"/>
    <w:rsid w:val="009F2C32"/>
    <w:rsid w:val="009F5DC4"/>
    <w:rsid w:val="009F6D4D"/>
    <w:rsid w:val="009F7266"/>
    <w:rsid w:val="00A008C3"/>
    <w:rsid w:val="00A00922"/>
    <w:rsid w:val="00A02386"/>
    <w:rsid w:val="00A03D4D"/>
    <w:rsid w:val="00A04132"/>
    <w:rsid w:val="00A0450C"/>
    <w:rsid w:val="00A051D7"/>
    <w:rsid w:val="00A051E2"/>
    <w:rsid w:val="00A0689D"/>
    <w:rsid w:val="00A06964"/>
    <w:rsid w:val="00A07214"/>
    <w:rsid w:val="00A07E3A"/>
    <w:rsid w:val="00A10B22"/>
    <w:rsid w:val="00A119A0"/>
    <w:rsid w:val="00A11DA0"/>
    <w:rsid w:val="00A12D81"/>
    <w:rsid w:val="00A1666B"/>
    <w:rsid w:val="00A16BCF"/>
    <w:rsid w:val="00A17DC5"/>
    <w:rsid w:val="00A17FA3"/>
    <w:rsid w:val="00A217B7"/>
    <w:rsid w:val="00A21862"/>
    <w:rsid w:val="00A21EEB"/>
    <w:rsid w:val="00A25DF6"/>
    <w:rsid w:val="00A30606"/>
    <w:rsid w:val="00A336FE"/>
    <w:rsid w:val="00A344A7"/>
    <w:rsid w:val="00A35312"/>
    <w:rsid w:val="00A36810"/>
    <w:rsid w:val="00A40B3C"/>
    <w:rsid w:val="00A41684"/>
    <w:rsid w:val="00A41904"/>
    <w:rsid w:val="00A41EBA"/>
    <w:rsid w:val="00A4202B"/>
    <w:rsid w:val="00A42FFA"/>
    <w:rsid w:val="00A43444"/>
    <w:rsid w:val="00A454FB"/>
    <w:rsid w:val="00A47CFF"/>
    <w:rsid w:val="00A50900"/>
    <w:rsid w:val="00A5096C"/>
    <w:rsid w:val="00A50E29"/>
    <w:rsid w:val="00A54A6B"/>
    <w:rsid w:val="00A54C12"/>
    <w:rsid w:val="00A5603F"/>
    <w:rsid w:val="00A5609B"/>
    <w:rsid w:val="00A56B39"/>
    <w:rsid w:val="00A5781D"/>
    <w:rsid w:val="00A62ACD"/>
    <w:rsid w:val="00A62D47"/>
    <w:rsid w:val="00A632EB"/>
    <w:rsid w:val="00A64CCF"/>
    <w:rsid w:val="00A6600D"/>
    <w:rsid w:val="00A6652C"/>
    <w:rsid w:val="00A71EF4"/>
    <w:rsid w:val="00A7304F"/>
    <w:rsid w:val="00A73580"/>
    <w:rsid w:val="00A7363B"/>
    <w:rsid w:val="00A73DEE"/>
    <w:rsid w:val="00A75704"/>
    <w:rsid w:val="00A7586E"/>
    <w:rsid w:val="00A8080F"/>
    <w:rsid w:val="00A80AF0"/>
    <w:rsid w:val="00A811CB"/>
    <w:rsid w:val="00A8178A"/>
    <w:rsid w:val="00A817D8"/>
    <w:rsid w:val="00A83268"/>
    <w:rsid w:val="00A8370B"/>
    <w:rsid w:val="00A83BA3"/>
    <w:rsid w:val="00A843DF"/>
    <w:rsid w:val="00A848BB"/>
    <w:rsid w:val="00A911C9"/>
    <w:rsid w:val="00A94AA6"/>
    <w:rsid w:val="00A94CAA"/>
    <w:rsid w:val="00A96AE5"/>
    <w:rsid w:val="00AA2008"/>
    <w:rsid w:val="00AA22DA"/>
    <w:rsid w:val="00AA49F3"/>
    <w:rsid w:val="00AA5161"/>
    <w:rsid w:val="00AA5CF1"/>
    <w:rsid w:val="00AA68DA"/>
    <w:rsid w:val="00AB01B2"/>
    <w:rsid w:val="00AB0528"/>
    <w:rsid w:val="00AB15D3"/>
    <w:rsid w:val="00AB2721"/>
    <w:rsid w:val="00AB2A85"/>
    <w:rsid w:val="00AB5F61"/>
    <w:rsid w:val="00AB6B8C"/>
    <w:rsid w:val="00AB7962"/>
    <w:rsid w:val="00AC08C9"/>
    <w:rsid w:val="00AC18E9"/>
    <w:rsid w:val="00AC18EB"/>
    <w:rsid w:val="00AC1E50"/>
    <w:rsid w:val="00AC2818"/>
    <w:rsid w:val="00AC435B"/>
    <w:rsid w:val="00AC62D1"/>
    <w:rsid w:val="00AD03E1"/>
    <w:rsid w:val="00AD2010"/>
    <w:rsid w:val="00AD235A"/>
    <w:rsid w:val="00AD5C7C"/>
    <w:rsid w:val="00AD6108"/>
    <w:rsid w:val="00AE046B"/>
    <w:rsid w:val="00AE0B2E"/>
    <w:rsid w:val="00AE113D"/>
    <w:rsid w:val="00AE14F3"/>
    <w:rsid w:val="00AE4105"/>
    <w:rsid w:val="00AE5715"/>
    <w:rsid w:val="00AE62DE"/>
    <w:rsid w:val="00AE663F"/>
    <w:rsid w:val="00AE6B23"/>
    <w:rsid w:val="00AF3479"/>
    <w:rsid w:val="00AF3483"/>
    <w:rsid w:val="00AF501E"/>
    <w:rsid w:val="00AF5438"/>
    <w:rsid w:val="00AF7A32"/>
    <w:rsid w:val="00B00F58"/>
    <w:rsid w:val="00B033B2"/>
    <w:rsid w:val="00B051C1"/>
    <w:rsid w:val="00B06DC8"/>
    <w:rsid w:val="00B070A1"/>
    <w:rsid w:val="00B128D8"/>
    <w:rsid w:val="00B13658"/>
    <w:rsid w:val="00B14F8D"/>
    <w:rsid w:val="00B21915"/>
    <w:rsid w:val="00B23CCC"/>
    <w:rsid w:val="00B2467A"/>
    <w:rsid w:val="00B25030"/>
    <w:rsid w:val="00B26296"/>
    <w:rsid w:val="00B26D80"/>
    <w:rsid w:val="00B31B94"/>
    <w:rsid w:val="00B330BA"/>
    <w:rsid w:val="00B34ECF"/>
    <w:rsid w:val="00B35B9E"/>
    <w:rsid w:val="00B36142"/>
    <w:rsid w:val="00B36C1A"/>
    <w:rsid w:val="00B42A72"/>
    <w:rsid w:val="00B42C2E"/>
    <w:rsid w:val="00B44142"/>
    <w:rsid w:val="00B451BF"/>
    <w:rsid w:val="00B45440"/>
    <w:rsid w:val="00B45574"/>
    <w:rsid w:val="00B45FC4"/>
    <w:rsid w:val="00B46521"/>
    <w:rsid w:val="00B469F4"/>
    <w:rsid w:val="00B472DD"/>
    <w:rsid w:val="00B47D5A"/>
    <w:rsid w:val="00B5112E"/>
    <w:rsid w:val="00B51631"/>
    <w:rsid w:val="00B52D2F"/>
    <w:rsid w:val="00B53E70"/>
    <w:rsid w:val="00B545E5"/>
    <w:rsid w:val="00B54D96"/>
    <w:rsid w:val="00B54E77"/>
    <w:rsid w:val="00B55260"/>
    <w:rsid w:val="00B57EB2"/>
    <w:rsid w:val="00B60ACA"/>
    <w:rsid w:val="00B60B9C"/>
    <w:rsid w:val="00B61F22"/>
    <w:rsid w:val="00B63423"/>
    <w:rsid w:val="00B637DF"/>
    <w:rsid w:val="00B641DB"/>
    <w:rsid w:val="00B643D2"/>
    <w:rsid w:val="00B65528"/>
    <w:rsid w:val="00B67874"/>
    <w:rsid w:val="00B67C52"/>
    <w:rsid w:val="00B715D5"/>
    <w:rsid w:val="00B73178"/>
    <w:rsid w:val="00B732FB"/>
    <w:rsid w:val="00B7418F"/>
    <w:rsid w:val="00B75B64"/>
    <w:rsid w:val="00B75C8D"/>
    <w:rsid w:val="00B77BC3"/>
    <w:rsid w:val="00B8224C"/>
    <w:rsid w:val="00B8663B"/>
    <w:rsid w:val="00B872F7"/>
    <w:rsid w:val="00B90E25"/>
    <w:rsid w:val="00B90E6C"/>
    <w:rsid w:val="00B9550E"/>
    <w:rsid w:val="00B9565E"/>
    <w:rsid w:val="00B96FA6"/>
    <w:rsid w:val="00BA0B32"/>
    <w:rsid w:val="00BA28D4"/>
    <w:rsid w:val="00BA4DCB"/>
    <w:rsid w:val="00BA6306"/>
    <w:rsid w:val="00BA6554"/>
    <w:rsid w:val="00BA674E"/>
    <w:rsid w:val="00BA6837"/>
    <w:rsid w:val="00BA736A"/>
    <w:rsid w:val="00BB0DE1"/>
    <w:rsid w:val="00BB1187"/>
    <w:rsid w:val="00BB2AD0"/>
    <w:rsid w:val="00BB3222"/>
    <w:rsid w:val="00BB3B1B"/>
    <w:rsid w:val="00BB4F5E"/>
    <w:rsid w:val="00BB57F4"/>
    <w:rsid w:val="00BB5DB4"/>
    <w:rsid w:val="00BB6F70"/>
    <w:rsid w:val="00BB7315"/>
    <w:rsid w:val="00BC13F6"/>
    <w:rsid w:val="00BC210F"/>
    <w:rsid w:val="00BC21FE"/>
    <w:rsid w:val="00BC3DC4"/>
    <w:rsid w:val="00BC6488"/>
    <w:rsid w:val="00BC6719"/>
    <w:rsid w:val="00BD1FD3"/>
    <w:rsid w:val="00BD20B2"/>
    <w:rsid w:val="00BD42BC"/>
    <w:rsid w:val="00BD5A11"/>
    <w:rsid w:val="00BD5E8C"/>
    <w:rsid w:val="00BD6A20"/>
    <w:rsid w:val="00BD71BA"/>
    <w:rsid w:val="00BD7338"/>
    <w:rsid w:val="00BD7D7A"/>
    <w:rsid w:val="00BE03AB"/>
    <w:rsid w:val="00BE1EE3"/>
    <w:rsid w:val="00BE2AFC"/>
    <w:rsid w:val="00BE3F86"/>
    <w:rsid w:val="00BE7A33"/>
    <w:rsid w:val="00BF30F8"/>
    <w:rsid w:val="00BF79BA"/>
    <w:rsid w:val="00C01160"/>
    <w:rsid w:val="00C02713"/>
    <w:rsid w:val="00C02EA5"/>
    <w:rsid w:val="00C031DA"/>
    <w:rsid w:val="00C03B74"/>
    <w:rsid w:val="00C047CE"/>
    <w:rsid w:val="00C06DB5"/>
    <w:rsid w:val="00C06DE1"/>
    <w:rsid w:val="00C11178"/>
    <w:rsid w:val="00C11BBF"/>
    <w:rsid w:val="00C13287"/>
    <w:rsid w:val="00C17106"/>
    <w:rsid w:val="00C17F0A"/>
    <w:rsid w:val="00C21DE8"/>
    <w:rsid w:val="00C22086"/>
    <w:rsid w:val="00C23423"/>
    <w:rsid w:val="00C23789"/>
    <w:rsid w:val="00C24987"/>
    <w:rsid w:val="00C24D3A"/>
    <w:rsid w:val="00C25060"/>
    <w:rsid w:val="00C30DE4"/>
    <w:rsid w:val="00C319FF"/>
    <w:rsid w:val="00C33336"/>
    <w:rsid w:val="00C350FC"/>
    <w:rsid w:val="00C36140"/>
    <w:rsid w:val="00C367F3"/>
    <w:rsid w:val="00C37F25"/>
    <w:rsid w:val="00C40C65"/>
    <w:rsid w:val="00C41740"/>
    <w:rsid w:val="00C4353F"/>
    <w:rsid w:val="00C44970"/>
    <w:rsid w:val="00C47497"/>
    <w:rsid w:val="00C47659"/>
    <w:rsid w:val="00C50034"/>
    <w:rsid w:val="00C51DEC"/>
    <w:rsid w:val="00C51F6E"/>
    <w:rsid w:val="00C5237A"/>
    <w:rsid w:val="00C52BF0"/>
    <w:rsid w:val="00C53A32"/>
    <w:rsid w:val="00C558D8"/>
    <w:rsid w:val="00C575E6"/>
    <w:rsid w:val="00C61237"/>
    <w:rsid w:val="00C61A53"/>
    <w:rsid w:val="00C62325"/>
    <w:rsid w:val="00C623A3"/>
    <w:rsid w:val="00C635AF"/>
    <w:rsid w:val="00C63A9E"/>
    <w:rsid w:val="00C63E52"/>
    <w:rsid w:val="00C655C5"/>
    <w:rsid w:val="00C71609"/>
    <w:rsid w:val="00C71E7C"/>
    <w:rsid w:val="00C7485A"/>
    <w:rsid w:val="00C7670D"/>
    <w:rsid w:val="00C768F2"/>
    <w:rsid w:val="00C76A7B"/>
    <w:rsid w:val="00C775D2"/>
    <w:rsid w:val="00C80E75"/>
    <w:rsid w:val="00C81134"/>
    <w:rsid w:val="00C819E7"/>
    <w:rsid w:val="00C8438B"/>
    <w:rsid w:val="00C85694"/>
    <w:rsid w:val="00C90AD4"/>
    <w:rsid w:val="00C90E33"/>
    <w:rsid w:val="00C93D92"/>
    <w:rsid w:val="00C96514"/>
    <w:rsid w:val="00C96836"/>
    <w:rsid w:val="00C97D97"/>
    <w:rsid w:val="00CA2408"/>
    <w:rsid w:val="00CA25B7"/>
    <w:rsid w:val="00CA2B3E"/>
    <w:rsid w:val="00CA300E"/>
    <w:rsid w:val="00CA3157"/>
    <w:rsid w:val="00CA3205"/>
    <w:rsid w:val="00CA3795"/>
    <w:rsid w:val="00CA47F7"/>
    <w:rsid w:val="00CA5E0E"/>
    <w:rsid w:val="00CA6BEE"/>
    <w:rsid w:val="00CA7027"/>
    <w:rsid w:val="00CA735C"/>
    <w:rsid w:val="00CB20DB"/>
    <w:rsid w:val="00CB41BE"/>
    <w:rsid w:val="00CB54B7"/>
    <w:rsid w:val="00CB7604"/>
    <w:rsid w:val="00CC0106"/>
    <w:rsid w:val="00CC0AC1"/>
    <w:rsid w:val="00CC3DDC"/>
    <w:rsid w:val="00CC4FEE"/>
    <w:rsid w:val="00CC60E2"/>
    <w:rsid w:val="00CC6473"/>
    <w:rsid w:val="00CC6D89"/>
    <w:rsid w:val="00CC7211"/>
    <w:rsid w:val="00CC7E0D"/>
    <w:rsid w:val="00CD063E"/>
    <w:rsid w:val="00CD1D2A"/>
    <w:rsid w:val="00CD2D78"/>
    <w:rsid w:val="00CD34BD"/>
    <w:rsid w:val="00CD34E2"/>
    <w:rsid w:val="00CD3C2C"/>
    <w:rsid w:val="00CD40D9"/>
    <w:rsid w:val="00CD4854"/>
    <w:rsid w:val="00CD4BCC"/>
    <w:rsid w:val="00CD63B7"/>
    <w:rsid w:val="00CD72E5"/>
    <w:rsid w:val="00CE0805"/>
    <w:rsid w:val="00CE29AC"/>
    <w:rsid w:val="00CE3C18"/>
    <w:rsid w:val="00CE7D8B"/>
    <w:rsid w:val="00CE7E47"/>
    <w:rsid w:val="00CF0085"/>
    <w:rsid w:val="00CF2C31"/>
    <w:rsid w:val="00CF331B"/>
    <w:rsid w:val="00CF43AA"/>
    <w:rsid w:val="00CF5537"/>
    <w:rsid w:val="00CF5D1C"/>
    <w:rsid w:val="00D00181"/>
    <w:rsid w:val="00D00ACC"/>
    <w:rsid w:val="00D00D63"/>
    <w:rsid w:val="00D01EA6"/>
    <w:rsid w:val="00D02355"/>
    <w:rsid w:val="00D0341D"/>
    <w:rsid w:val="00D03454"/>
    <w:rsid w:val="00D04893"/>
    <w:rsid w:val="00D05FF8"/>
    <w:rsid w:val="00D060A8"/>
    <w:rsid w:val="00D06CB6"/>
    <w:rsid w:val="00D10BA0"/>
    <w:rsid w:val="00D11599"/>
    <w:rsid w:val="00D132E9"/>
    <w:rsid w:val="00D150DF"/>
    <w:rsid w:val="00D16F13"/>
    <w:rsid w:val="00D16F45"/>
    <w:rsid w:val="00D200DF"/>
    <w:rsid w:val="00D20A8B"/>
    <w:rsid w:val="00D21E4F"/>
    <w:rsid w:val="00D2418F"/>
    <w:rsid w:val="00D24501"/>
    <w:rsid w:val="00D3252A"/>
    <w:rsid w:val="00D32985"/>
    <w:rsid w:val="00D32E5E"/>
    <w:rsid w:val="00D32EBF"/>
    <w:rsid w:val="00D339E2"/>
    <w:rsid w:val="00D34908"/>
    <w:rsid w:val="00D34CE5"/>
    <w:rsid w:val="00D35C05"/>
    <w:rsid w:val="00D36183"/>
    <w:rsid w:val="00D369BF"/>
    <w:rsid w:val="00D36B58"/>
    <w:rsid w:val="00D37954"/>
    <w:rsid w:val="00D37C81"/>
    <w:rsid w:val="00D414FF"/>
    <w:rsid w:val="00D41E25"/>
    <w:rsid w:val="00D42533"/>
    <w:rsid w:val="00D43FEC"/>
    <w:rsid w:val="00D45BB4"/>
    <w:rsid w:val="00D475D6"/>
    <w:rsid w:val="00D522E6"/>
    <w:rsid w:val="00D52F04"/>
    <w:rsid w:val="00D55723"/>
    <w:rsid w:val="00D56E75"/>
    <w:rsid w:val="00D575E0"/>
    <w:rsid w:val="00D577D7"/>
    <w:rsid w:val="00D608EF"/>
    <w:rsid w:val="00D60A79"/>
    <w:rsid w:val="00D63763"/>
    <w:rsid w:val="00D63892"/>
    <w:rsid w:val="00D644A0"/>
    <w:rsid w:val="00D66DF5"/>
    <w:rsid w:val="00D67BBA"/>
    <w:rsid w:val="00D70258"/>
    <w:rsid w:val="00D7166A"/>
    <w:rsid w:val="00D71E43"/>
    <w:rsid w:val="00D72908"/>
    <w:rsid w:val="00D75264"/>
    <w:rsid w:val="00D76464"/>
    <w:rsid w:val="00D76A8D"/>
    <w:rsid w:val="00D80405"/>
    <w:rsid w:val="00D81224"/>
    <w:rsid w:val="00D81599"/>
    <w:rsid w:val="00D8244A"/>
    <w:rsid w:val="00D83E99"/>
    <w:rsid w:val="00D85F24"/>
    <w:rsid w:val="00D902CF"/>
    <w:rsid w:val="00D9052A"/>
    <w:rsid w:val="00D91120"/>
    <w:rsid w:val="00D91284"/>
    <w:rsid w:val="00D946CA"/>
    <w:rsid w:val="00D95C57"/>
    <w:rsid w:val="00D97881"/>
    <w:rsid w:val="00D979D8"/>
    <w:rsid w:val="00D97C5D"/>
    <w:rsid w:val="00DA023A"/>
    <w:rsid w:val="00DA3082"/>
    <w:rsid w:val="00DB2BDE"/>
    <w:rsid w:val="00DB47E6"/>
    <w:rsid w:val="00DB64F6"/>
    <w:rsid w:val="00DB690D"/>
    <w:rsid w:val="00DB79BE"/>
    <w:rsid w:val="00DC099C"/>
    <w:rsid w:val="00DC3048"/>
    <w:rsid w:val="00DC4BE0"/>
    <w:rsid w:val="00DC585F"/>
    <w:rsid w:val="00DC5B6E"/>
    <w:rsid w:val="00DC63FC"/>
    <w:rsid w:val="00DD1F68"/>
    <w:rsid w:val="00DD2B47"/>
    <w:rsid w:val="00DD77CC"/>
    <w:rsid w:val="00DE1CC7"/>
    <w:rsid w:val="00DE2212"/>
    <w:rsid w:val="00DE43B4"/>
    <w:rsid w:val="00DE44E8"/>
    <w:rsid w:val="00DE4B72"/>
    <w:rsid w:val="00DE5231"/>
    <w:rsid w:val="00DE65C0"/>
    <w:rsid w:val="00DE761B"/>
    <w:rsid w:val="00DF06BA"/>
    <w:rsid w:val="00DF0A0D"/>
    <w:rsid w:val="00DF1EFA"/>
    <w:rsid w:val="00DF34C9"/>
    <w:rsid w:val="00DF39FE"/>
    <w:rsid w:val="00DF3F2B"/>
    <w:rsid w:val="00DF3F95"/>
    <w:rsid w:val="00DF4927"/>
    <w:rsid w:val="00DF5883"/>
    <w:rsid w:val="00DF771D"/>
    <w:rsid w:val="00E00202"/>
    <w:rsid w:val="00E013CF"/>
    <w:rsid w:val="00E015F5"/>
    <w:rsid w:val="00E0207A"/>
    <w:rsid w:val="00E022EE"/>
    <w:rsid w:val="00E032EB"/>
    <w:rsid w:val="00E05792"/>
    <w:rsid w:val="00E07072"/>
    <w:rsid w:val="00E078C2"/>
    <w:rsid w:val="00E11414"/>
    <w:rsid w:val="00E11717"/>
    <w:rsid w:val="00E125D0"/>
    <w:rsid w:val="00E15A3E"/>
    <w:rsid w:val="00E15FA5"/>
    <w:rsid w:val="00E16491"/>
    <w:rsid w:val="00E20147"/>
    <w:rsid w:val="00E2375F"/>
    <w:rsid w:val="00E2421F"/>
    <w:rsid w:val="00E24923"/>
    <w:rsid w:val="00E24C55"/>
    <w:rsid w:val="00E26F20"/>
    <w:rsid w:val="00E27B9C"/>
    <w:rsid w:val="00E27CD0"/>
    <w:rsid w:val="00E306CE"/>
    <w:rsid w:val="00E31EB0"/>
    <w:rsid w:val="00E32637"/>
    <w:rsid w:val="00E33C2C"/>
    <w:rsid w:val="00E352D8"/>
    <w:rsid w:val="00E4048F"/>
    <w:rsid w:val="00E405F2"/>
    <w:rsid w:val="00E40D20"/>
    <w:rsid w:val="00E42D70"/>
    <w:rsid w:val="00E43718"/>
    <w:rsid w:val="00E444F0"/>
    <w:rsid w:val="00E44FAB"/>
    <w:rsid w:val="00E46094"/>
    <w:rsid w:val="00E50284"/>
    <w:rsid w:val="00E52545"/>
    <w:rsid w:val="00E52BC0"/>
    <w:rsid w:val="00E56ACE"/>
    <w:rsid w:val="00E57D3E"/>
    <w:rsid w:val="00E646EE"/>
    <w:rsid w:val="00E65A8D"/>
    <w:rsid w:val="00E667E9"/>
    <w:rsid w:val="00E7062D"/>
    <w:rsid w:val="00E71791"/>
    <w:rsid w:val="00E764A6"/>
    <w:rsid w:val="00E76CE5"/>
    <w:rsid w:val="00E805C1"/>
    <w:rsid w:val="00E80BDB"/>
    <w:rsid w:val="00E81095"/>
    <w:rsid w:val="00E81F1A"/>
    <w:rsid w:val="00E82327"/>
    <w:rsid w:val="00E82D20"/>
    <w:rsid w:val="00E84F38"/>
    <w:rsid w:val="00E85225"/>
    <w:rsid w:val="00E854F1"/>
    <w:rsid w:val="00E86D26"/>
    <w:rsid w:val="00E90817"/>
    <w:rsid w:val="00E90845"/>
    <w:rsid w:val="00E923BB"/>
    <w:rsid w:val="00E94046"/>
    <w:rsid w:val="00E95222"/>
    <w:rsid w:val="00E95466"/>
    <w:rsid w:val="00E96AB7"/>
    <w:rsid w:val="00E97E66"/>
    <w:rsid w:val="00EA0A61"/>
    <w:rsid w:val="00EA0CFC"/>
    <w:rsid w:val="00EA13EF"/>
    <w:rsid w:val="00EA2476"/>
    <w:rsid w:val="00EA2961"/>
    <w:rsid w:val="00EA30A5"/>
    <w:rsid w:val="00EA43BD"/>
    <w:rsid w:val="00EA4BE8"/>
    <w:rsid w:val="00EA6257"/>
    <w:rsid w:val="00EA67D2"/>
    <w:rsid w:val="00EA6B87"/>
    <w:rsid w:val="00EB1D16"/>
    <w:rsid w:val="00EB213B"/>
    <w:rsid w:val="00EB3185"/>
    <w:rsid w:val="00EB642D"/>
    <w:rsid w:val="00EB652D"/>
    <w:rsid w:val="00EB720F"/>
    <w:rsid w:val="00EC0EA1"/>
    <w:rsid w:val="00EC15CF"/>
    <w:rsid w:val="00EC3C27"/>
    <w:rsid w:val="00EC3D8C"/>
    <w:rsid w:val="00EC56A3"/>
    <w:rsid w:val="00EC5E1E"/>
    <w:rsid w:val="00EC652D"/>
    <w:rsid w:val="00EC7345"/>
    <w:rsid w:val="00EC7502"/>
    <w:rsid w:val="00EC7667"/>
    <w:rsid w:val="00ED002F"/>
    <w:rsid w:val="00ED1F87"/>
    <w:rsid w:val="00ED2CB6"/>
    <w:rsid w:val="00ED2EA8"/>
    <w:rsid w:val="00ED45E5"/>
    <w:rsid w:val="00ED4A1F"/>
    <w:rsid w:val="00ED4A48"/>
    <w:rsid w:val="00ED62B5"/>
    <w:rsid w:val="00ED6459"/>
    <w:rsid w:val="00ED66D5"/>
    <w:rsid w:val="00EE172B"/>
    <w:rsid w:val="00EE2402"/>
    <w:rsid w:val="00EE26BE"/>
    <w:rsid w:val="00EE37FB"/>
    <w:rsid w:val="00EE6506"/>
    <w:rsid w:val="00EE676A"/>
    <w:rsid w:val="00EE6AED"/>
    <w:rsid w:val="00EE7BC5"/>
    <w:rsid w:val="00EF00D9"/>
    <w:rsid w:val="00EF0379"/>
    <w:rsid w:val="00EF1856"/>
    <w:rsid w:val="00EF2691"/>
    <w:rsid w:val="00EF54ED"/>
    <w:rsid w:val="00F007D6"/>
    <w:rsid w:val="00F013AF"/>
    <w:rsid w:val="00F01AAE"/>
    <w:rsid w:val="00F01EB7"/>
    <w:rsid w:val="00F02290"/>
    <w:rsid w:val="00F02613"/>
    <w:rsid w:val="00F043EC"/>
    <w:rsid w:val="00F04A40"/>
    <w:rsid w:val="00F04BBE"/>
    <w:rsid w:val="00F066CE"/>
    <w:rsid w:val="00F110CB"/>
    <w:rsid w:val="00F1179B"/>
    <w:rsid w:val="00F12C48"/>
    <w:rsid w:val="00F13875"/>
    <w:rsid w:val="00F14E5A"/>
    <w:rsid w:val="00F14E8B"/>
    <w:rsid w:val="00F155B0"/>
    <w:rsid w:val="00F15B2A"/>
    <w:rsid w:val="00F15F4C"/>
    <w:rsid w:val="00F20648"/>
    <w:rsid w:val="00F2260A"/>
    <w:rsid w:val="00F234EC"/>
    <w:rsid w:val="00F250C2"/>
    <w:rsid w:val="00F255B7"/>
    <w:rsid w:val="00F265AB"/>
    <w:rsid w:val="00F27BF2"/>
    <w:rsid w:val="00F30F13"/>
    <w:rsid w:val="00F31391"/>
    <w:rsid w:val="00F31895"/>
    <w:rsid w:val="00F3211C"/>
    <w:rsid w:val="00F33245"/>
    <w:rsid w:val="00F3410C"/>
    <w:rsid w:val="00F34C36"/>
    <w:rsid w:val="00F34F95"/>
    <w:rsid w:val="00F3614D"/>
    <w:rsid w:val="00F42724"/>
    <w:rsid w:val="00F456CF"/>
    <w:rsid w:val="00F45728"/>
    <w:rsid w:val="00F47311"/>
    <w:rsid w:val="00F509B0"/>
    <w:rsid w:val="00F5104C"/>
    <w:rsid w:val="00F511E7"/>
    <w:rsid w:val="00F51860"/>
    <w:rsid w:val="00F5324F"/>
    <w:rsid w:val="00F53C41"/>
    <w:rsid w:val="00F550EC"/>
    <w:rsid w:val="00F552EF"/>
    <w:rsid w:val="00F56D09"/>
    <w:rsid w:val="00F64C75"/>
    <w:rsid w:val="00F66809"/>
    <w:rsid w:val="00F671F8"/>
    <w:rsid w:val="00F70852"/>
    <w:rsid w:val="00F72C1A"/>
    <w:rsid w:val="00F72FD0"/>
    <w:rsid w:val="00F73C15"/>
    <w:rsid w:val="00F74052"/>
    <w:rsid w:val="00F741A1"/>
    <w:rsid w:val="00F82BCF"/>
    <w:rsid w:val="00F85F90"/>
    <w:rsid w:val="00F9132B"/>
    <w:rsid w:val="00F91486"/>
    <w:rsid w:val="00F92D05"/>
    <w:rsid w:val="00F93D8E"/>
    <w:rsid w:val="00F94762"/>
    <w:rsid w:val="00F9576D"/>
    <w:rsid w:val="00F95DE3"/>
    <w:rsid w:val="00F967CD"/>
    <w:rsid w:val="00F97185"/>
    <w:rsid w:val="00F97E7C"/>
    <w:rsid w:val="00FA2714"/>
    <w:rsid w:val="00FA3ACF"/>
    <w:rsid w:val="00FA4819"/>
    <w:rsid w:val="00FA7986"/>
    <w:rsid w:val="00FA7D7B"/>
    <w:rsid w:val="00FB06B4"/>
    <w:rsid w:val="00FB1CC8"/>
    <w:rsid w:val="00FB2C13"/>
    <w:rsid w:val="00FB2F50"/>
    <w:rsid w:val="00FB3BDA"/>
    <w:rsid w:val="00FB4BBB"/>
    <w:rsid w:val="00FB61D5"/>
    <w:rsid w:val="00FB6C3C"/>
    <w:rsid w:val="00FC247D"/>
    <w:rsid w:val="00FC3318"/>
    <w:rsid w:val="00FC372C"/>
    <w:rsid w:val="00FC3D4F"/>
    <w:rsid w:val="00FC5C3E"/>
    <w:rsid w:val="00FC5ECB"/>
    <w:rsid w:val="00FD1280"/>
    <w:rsid w:val="00FD2264"/>
    <w:rsid w:val="00FD518A"/>
    <w:rsid w:val="00FD53F7"/>
    <w:rsid w:val="00FD566A"/>
    <w:rsid w:val="00FD64F6"/>
    <w:rsid w:val="00FD6915"/>
    <w:rsid w:val="00FD6FA0"/>
    <w:rsid w:val="00FE05AD"/>
    <w:rsid w:val="00FE2685"/>
    <w:rsid w:val="00FE6531"/>
    <w:rsid w:val="00FE6BD3"/>
    <w:rsid w:val="00FE7816"/>
    <w:rsid w:val="00FE7DBE"/>
    <w:rsid w:val="00FF0252"/>
    <w:rsid w:val="00FF03BD"/>
    <w:rsid w:val="00FF1F74"/>
    <w:rsid w:val="00FF2ACD"/>
    <w:rsid w:val="00FF2D76"/>
    <w:rsid w:val="00FF31AA"/>
    <w:rsid w:val="00FF3600"/>
    <w:rsid w:val="00FF54A7"/>
    <w:rsid w:val="00FF7450"/>
    <w:rsid w:val="068E4036"/>
    <w:rsid w:val="06D06F74"/>
    <w:rsid w:val="0EBD2D7E"/>
    <w:rsid w:val="0F826750"/>
    <w:rsid w:val="10695B19"/>
    <w:rsid w:val="43796A46"/>
    <w:rsid w:val="52B72B48"/>
    <w:rsid w:val="78287DAF"/>
    <w:rsid w:val="7E736BB7"/>
    <w:rsid w:val="7EB1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0"/>
    <w:qFormat/>
    <w:uiPriority w:val="99"/>
    <w:pPr>
      <w:keepNext/>
      <w:keepLines/>
      <w:spacing w:beforeLines="50" w:afterLines="50" w:line="360" w:lineRule="auto"/>
      <w:outlineLvl w:val="0"/>
    </w:pPr>
    <w:rPr>
      <w:b/>
      <w:bCs/>
      <w:kern w:val="44"/>
      <w:sz w:val="44"/>
      <w:szCs w:val="44"/>
      <w:lang w:val="zh-CN"/>
    </w:rPr>
  </w:style>
  <w:style w:type="paragraph" w:styleId="3">
    <w:name w:val="heading 2"/>
    <w:basedOn w:val="1"/>
    <w:next w:val="1"/>
    <w:link w:val="31"/>
    <w:qFormat/>
    <w:uiPriority w:val="99"/>
    <w:pPr>
      <w:keepNext/>
      <w:keepLines/>
      <w:spacing w:line="360" w:lineRule="auto"/>
      <w:ind w:left="100" w:leftChars="100"/>
      <w:outlineLvl w:val="1"/>
    </w:pPr>
    <w:rPr>
      <w:b/>
      <w:bCs/>
      <w:kern w:val="0"/>
      <w:sz w:val="32"/>
      <w:szCs w:val="32"/>
      <w:lang w:val="zh-CN"/>
    </w:rPr>
  </w:style>
  <w:style w:type="paragraph" w:styleId="4">
    <w:name w:val="heading 3"/>
    <w:basedOn w:val="1"/>
    <w:next w:val="1"/>
    <w:link w:val="32"/>
    <w:qFormat/>
    <w:uiPriority w:val="99"/>
    <w:pPr>
      <w:keepNext/>
      <w:keepLines/>
      <w:spacing w:line="360" w:lineRule="auto"/>
      <w:ind w:left="150" w:leftChars="150"/>
      <w:outlineLvl w:val="2"/>
    </w:pPr>
    <w:rPr>
      <w:b/>
      <w:bCs/>
      <w:kern w:val="0"/>
      <w:sz w:val="32"/>
      <w:szCs w:val="32"/>
      <w:lang w:val="zh-CN"/>
    </w:rPr>
  </w:style>
  <w:style w:type="paragraph" w:styleId="5">
    <w:name w:val="heading 4"/>
    <w:basedOn w:val="1"/>
    <w:next w:val="1"/>
    <w:link w:val="33"/>
    <w:qFormat/>
    <w:uiPriority w:val="99"/>
    <w:pPr>
      <w:keepNext/>
      <w:keepLines/>
      <w:spacing w:line="360" w:lineRule="auto"/>
      <w:ind w:left="100" w:leftChars="100"/>
      <w:outlineLvl w:val="3"/>
    </w:pPr>
    <w:rPr>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ind w:left="1200"/>
      <w:jc w:val="left"/>
    </w:pPr>
    <w:rPr>
      <w:rFonts w:ascii="Calibri" w:hAnsi="Calibri" w:cs="Calibri"/>
      <w:kern w:val="0"/>
      <w:sz w:val="18"/>
      <w:szCs w:val="18"/>
    </w:rPr>
  </w:style>
  <w:style w:type="paragraph" w:styleId="7">
    <w:name w:val="Document Map"/>
    <w:basedOn w:val="1"/>
    <w:link w:val="34"/>
    <w:semiHidden/>
    <w:uiPriority w:val="99"/>
    <w:rPr>
      <w:rFonts w:ascii="宋体"/>
      <w:kern w:val="0"/>
      <w:sz w:val="18"/>
      <w:szCs w:val="18"/>
      <w:lang w:val="zh-CN"/>
    </w:rPr>
  </w:style>
  <w:style w:type="paragraph" w:styleId="8">
    <w:name w:val="annotation text"/>
    <w:basedOn w:val="1"/>
    <w:link w:val="35"/>
    <w:qFormat/>
    <w:uiPriority w:val="99"/>
    <w:pPr>
      <w:jc w:val="left"/>
    </w:pPr>
    <w:rPr>
      <w:kern w:val="0"/>
      <w:sz w:val="24"/>
      <w:szCs w:val="24"/>
      <w:lang w:val="zh-CN"/>
    </w:rPr>
  </w:style>
  <w:style w:type="paragraph" w:styleId="9">
    <w:name w:val="List Bullet 3"/>
    <w:basedOn w:val="1"/>
    <w:qFormat/>
    <w:uiPriority w:val="0"/>
    <w:pPr>
      <w:numPr>
        <w:ilvl w:val="0"/>
        <w:numId w:val="1"/>
      </w:numPr>
      <w:tabs>
        <w:tab w:val="left" w:pos="1200"/>
        <w:tab w:val="clear" w:pos="1620"/>
      </w:tabs>
      <w:ind w:left="1200" w:leftChars="400"/>
    </w:pPr>
    <w:rPr>
      <w:rFonts w:ascii="Calibri" w:hAnsi="Calibri"/>
      <w:sz w:val="24"/>
      <w:szCs w:val="22"/>
    </w:rPr>
  </w:style>
  <w:style w:type="paragraph" w:styleId="10">
    <w:name w:val="toc 5"/>
    <w:basedOn w:val="1"/>
    <w:next w:val="1"/>
    <w:semiHidden/>
    <w:qFormat/>
    <w:uiPriority w:val="99"/>
    <w:pPr>
      <w:ind w:left="800"/>
      <w:jc w:val="left"/>
    </w:pPr>
    <w:rPr>
      <w:rFonts w:ascii="Calibri" w:hAnsi="Calibri" w:cs="Calibri"/>
      <w:kern w:val="0"/>
      <w:sz w:val="18"/>
      <w:szCs w:val="18"/>
    </w:rPr>
  </w:style>
  <w:style w:type="paragraph" w:styleId="11">
    <w:name w:val="toc 3"/>
    <w:basedOn w:val="1"/>
    <w:next w:val="1"/>
    <w:qFormat/>
    <w:uiPriority w:val="39"/>
    <w:pPr>
      <w:ind w:left="840" w:leftChars="400"/>
    </w:pPr>
  </w:style>
  <w:style w:type="paragraph" w:styleId="12">
    <w:name w:val="toc 8"/>
    <w:basedOn w:val="1"/>
    <w:next w:val="1"/>
    <w:semiHidden/>
    <w:qFormat/>
    <w:uiPriority w:val="99"/>
    <w:pPr>
      <w:ind w:left="1400"/>
      <w:jc w:val="left"/>
    </w:pPr>
    <w:rPr>
      <w:rFonts w:ascii="Calibri" w:hAnsi="Calibri" w:cs="Calibri"/>
      <w:kern w:val="0"/>
      <w:sz w:val="18"/>
      <w:szCs w:val="18"/>
    </w:rPr>
  </w:style>
  <w:style w:type="paragraph" w:styleId="13">
    <w:name w:val="Date"/>
    <w:basedOn w:val="1"/>
    <w:next w:val="1"/>
    <w:link w:val="36"/>
    <w:semiHidden/>
    <w:qFormat/>
    <w:uiPriority w:val="99"/>
    <w:pPr>
      <w:ind w:left="100" w:leftChars="2500"/>
    </w:pPr>
    <w:rPr>
      <w:kern w:val="0"/>
      <w:sz w:val="20"/>
      <w:szCs w:val="20"/>
      <w:lang w:val="zh-CN"/>
    </w:rPr>
  </w:style>
  <w:style w:type="paragraph" w:styleId="14">
    <w:name w:val="Balloon Text"/>
    <w:basedOn w:val="1"/>
    <w:link w:val="37"/>
    <w:semiHidden/>
    <w:qFormat/>
    <w:uiPriority w:val="99"/>
    <w:rPr>
      <w:kern w:val="0"/>
      <w:sz w:val="18"/>
      <w:szCs w:val="18"/>
      <w:lang w:val="zh-CN"/>
    </w:rPr>
  </w:style>
  <w:style w:type="paragraph" w:styleId="15">
    <w:name w:val="footer"/>
    <w:basedOn w:val="1"/>
    <w:link w:val="38"/>
    <w:qFormat/>
    <w:uiPriority w:val="99"/>
    <w:pPr>
      <w:tabs>
        <w:tab w:val="center" w:pos="4153"/>
        <w:tab w:val="right" w:pos="8306"/>
      </w:tabs>
      <w:snapToGrid w:val="0"/>
      <w:jc w:val="left"/>
    </w:pPr>
    <w:rPr>
      <w:kern w:val="0"/>
      <w:sz w:val="18"/>
      <w:szCs w:val="18"/>
      <w:lang w:val="zh-CN"/>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7">
    <w:name w:val="toc 1"/>
    <w:basedOn w:val="1"/>
    <w:next w:val="1"/>
    <w:qFormat/>
    <w:uiPriority w:val="39"/>
    <w:pPr>
      <w:tabs>
        <w:tab w:val="right" w:leader="dot" w:pos="8296"/>
      </w:tabs>
    </w:pPr>
    <w:rPr>
      <w:rFonts w:hAnsi="宋体" w:cs="宋体"/>
      <w:sz w:val="28"/>
      <w:szCs w:val="28"/>
    </w:rPr>
  </w:style>
  <w:style w:type="paragraph" w:styleId="18">
    <w:name w:val="toc 4"/>
    <w:basedOn w:val="1"/>
    <w:next w:val="1"/>
    <w:semiHidden/>
    <w:qFormat/>
    <w:uiPriority w:val="99"/>
    <w:pPr>
      <w:ind w:left="600"/>
      <w:jc w:val="left"/>
    </w:pPr>
    <w:rPr>
      <w:rFonts w:ascii="Calibri" w:hAnsi="Calibri" w:cs="Calibri"/>
      <w:kern w:val="0"/>
      <w:sz w:val="18"/>
      <w:szCs w:val="18"/>
    </w:rPr>
  </w:style>
  <w:style w:type="paragraph" w:styleId="19">
    <w:name w:val="toc 6"/>
    <w:basedOn w:val="1"/>
    <w:next w:val="1"/>
    <w:semiHidden/>
    <w:qFormat/>
    <w:uiPriority w:val="99"/>
    <w:pPr>
      <w:ind w:left="1000"/>
      <w:jc w:val="left"/>
    </w:pPr>
    <w:rPr>
      <w:rFonts w:ascii="Calibri" w:hAnsi="Calibri" w:cs="Calibri"/>
      <w:kern w:val="0"/>
      <w:sz w:val="18"/>
      <w:szCs w:val="18"/>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00"/>
      <w:jc w:val="left"/>
    </w:pPr>
    <w:rPr>
      <w:rFonts w:ascii="Calibri" w:hAnsi="Calibri" w:cs="Calibri"/>
      <w:kern w:val="0"/>
      <w:sz w:val="18"/>
      <w:szCs w:val="18"/>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annotation subject"/>
    <w:basedOn w:val="8"/>
    <w:next w:val="8"/>
    <w:link w:val="59"/>
    <w:semiHidden/>
    <w:unhideWhenUsed/>
    <w:qFormat/>
    <w:uiPriority w:val="99"/>
    <w:rPr>
      <w:b/>
      <w:bCs/>
      <w:kern w:val="2"/>
      <w:sz w:val="21"/>
      <w:szCs w:val="21"/>
    </w:rPr>
  </w:style>
  <w:style w:type="table" w:styleId="25">
    <w:name w:val="Table Grid"/>
    <w:basedOn w:val="24"/>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mphasis"/>
    <w:qFormat/>
    <w:locked/>
    <w:uiPriority w:val="20"/>
    <w:rPr>
      <w:i/>
      <w:iCs/>
    </w:rPr>
  </w:style>
  <w:style w:type="character" w:styleId="28">
    <w:name w:val="Hyperlink"/>
    <w:qFormat/>
    <w:uiPriority w:val="99"/>
    <w:rPr>
      <w:color w:val="0000FF"/>
      <w:u w:val="single"/>
    </w:rPr>
  </w:style>
  <w:style w:type="character" w:styleId="29">
    <w:name w:val="annotation reference"/>
    <w:unhideWhenUsed/>
    <w:qFormat/>
    <w:uiPriority w:val="99"/>
    <w:rPr>
      <w:sz w:val="21"/>
      <w:szCs w:val="21"/>
    </w:rPr>
  </w:style>
  <w:style w:type="character" w:customStyle="1" w:styleId="30">
    <w:name w:val="标题 1 字符"/>
    <w:link w:val="2"/>
    <w:qFormat/>
    <w:locked/>
    <w:uiPriority w:val="99"/>
    <w:rPr>
      <w:rFonts w:ascii="Times New Roman" w:hAnsi="Times New Roman" w:eastAsia="宋体" w:cs="Times New Roman"/>
      <w:b/>
      <w:bCs/>
      <w:kern w:val="44"/>
      <w:sz w:val="44"/>
      <w:szCs w:val="44"/>
    </w:rPr>
  </w:style>
  <w:style w:type="character" w:customStyle="1" w:styleId="31">
    <w:name w:val="标题 2 字符"/>
    <w:link w:val="3"/>
    <w:qFormat/>
    <w:locked/>
    <w:uiPriority w:val="99"/>
    <w:rPr>
      <w:rFonts w:ascii="Times New Roman" w:hAnsi="Times New Roman" w:eastAsia="宋体" w:cs="Times New Roman"/>
      <w:b/>
      <w:bCs/>
      <w:sz w:val="32"/>
      <w:szCs w:val="32"/>
    </w:rPr>
  </w:style>
  <w:style w:type="character" w:customStyle="1" w:styleId="32">
    <w:name w:val="标题 3 字符"/>
    <w:link w:val="4"/>
    <w:qFormat/>
    <w:locked/>
    <w:uiPriority w:val="99"/>
    <w:rPr>
      <w:rFonts w:ascii="Times New Roman" w:hAnsi="Times New Roman" w:eastAsia="宋体" w:cs="Times New Roman"/>
      <w:b/>
      <w:bCs/>
      <w:kern w:val="0"/>
      <w:sz w:val="32"/>
      <w:szCs w:val="32"/>
    </w:rPr>
  </w:style>
  <w:style w:type="character" w:customStyle="1" w:styleId="33">
    <w:name w:val="标题 4 字符"/>
    <w:link w:val="5"/>
    <w:qFormat/>
    <w:locked/>
    <w:uiPriority w:val="99"/>
    <w:rPr>
      <w:rFonts w:ascii="Times New Roman" w:hAnsi="Times New Roman" w:eastAsia="宋体" w:cs="Times New Roman"/>
      <w:b/>
      <w:bCs/>
      <w:kern w:val="0"/>
      <w:sz w:val="28"/>
      <w:szCs w:val="28"/>
    </w:rPr>
  </w:style>
  <w:style w:type="character" w:customStyle="1" w:styleId="34">
    <w:name w:val="文档结构图 字符"/>
    <w:link w:val="7"/>
    <w:semiHidden/>
    <w:qFormat/>
    <w:locked/>
    <w:uiPriority w:val="99"/>
    <w:rPr>
      <w:rFonts w:ascii="宋体" w:hAnsi="Times New Roman" w:eastAsia="宋体" w:cs="宋体"/>
      <w:sz w:val="18"/>
      <w:szCs w:val="18"/>
    </w:rPr>
  </w:style>
  <w:style w:type="character" w:customStyle="1" w:styleId="35">
    <w:name w:val="批注文字 字符1"/>
    <w:link w:val="8"/>
    <w:qFormat/>
    <w:locked/>
    <w:uiPriority w:val="99"/>
    <w:rPr>
      <w:rFonts w:ascii="Times New Roman" w:hAnsi="Times New Roman" w:eastAsia="宋体" w:cs="Times New Roman"/>
      <w:sz w:val="24"/>
      <w:szCs w:val="24"/>
    </w:rPr>
  </w:style>
  <w:style w:type="character" w:customStyle="1" w:styleId="36">
    <w:name w:val="日期 字符"/>
    <w:link w:val="13"/>
    <w:semiHidden/>
    <w:qFormat/>
    <w:locked/>
    <w:uiPriority w:val="99"/>
    <w:rPr>
      <w:rFonts w:ascii="Times New Roman" w:hAnsi="Times New Roman" w:eastAsia="宋体" w:cs="Times New Roman"/>
      <w:kern w:val="0"/>
      <w:sz w:val="20"/>
      <w:szCs w:val="20"/>
    </w:rPr>
  </w:style>
  <w:style w:type="character" w:customStyle="1" w:styleId="37">
    <w:name w:val="批注框文本 字符"/>
    <w:link w:val="14"/>
    <w:semiHidden/>
    <w:qFormat/>
    <w:locked/>
    <w:uiPriority w:val="99"/>
    <w:rPr>
      <w:rFonts w:ascii="Times New Roman" w:hAnsi="Times New Roman" w:eastAsia="宋体" w:cs="Times New Roman"/>
      <w:sz w:val="18"/>
      <w:szCs w:val="18"/>
    </w:rPr>
  </w:style>
  <w:style w:type="character" w:customStyle="1" w:styleId="38">
    <w:name w:val="页脚 字符"/>
    <w:link w:val="15"/>
    <w:qFormat/>
    <w:locked/>
    <w:uiPriority w:val="99"/>
    <w:rPr>
      <w:rFonts w:ascii="Times New Roman" w:hAnsi="Times New Roman" w:eastAsia="宋体" w:cs="Times New Roman"/>
      <w:sz w:val="18"/>
      <w:szCs w:val="18"/>
    </w:rPr>
  </w:style>
  <w:style w:type="character" w:customStyle="1" w:styleId="39">
    <w:name w:val="页眉 字符"/>
    <w:link w:val="16"/>
    <w:qFormat/>
    <w:locked/>
    <w:uiPriority w:val="99"/>
    <w:rPr>
      <w:rFonts w:ascii="Times New Roman" w:hAnsi="Times New Roman" w:eastAsia="宋体" w:cs="Times New Roman"/>
      <w:sz w:val="18"/>
      <w:szCs w:val="18"/>
    </w:rPr>
  </w:style>
  <w:style w:type="character" w:customStyle="1" w:styleId="40">
    <w:name w:val="billhead"/>
    <w:uiPriority w:val="99"/>
    <w:rPr>
      <w:rFonts w:ascii="Times New Roman" w:hAnsi="Times New Roman" w:cs="Times New Roman"/>
      <w:b/>
      <w:bCs/>
      <w:smallCaps/>
    </w:rPr>
  </w:style>
  <w:style w:type="character" w:customStyle="1" w:styleId="41">
    <w:name w:val="段 Char Char"/>
    <w:qFormat/>
    <w:uiPriority w:val="99"/>
    <w:rPr>
      <w:rFonts w:ascii="宋体" w:cs="宋体"/>
      <w:sz w:val="21"/>
      <w:szCs w:val="21"/>
      <w:lang w:val="en-US" w:eastAsia="zh-CN"/>
    </w:rPr>
  </w:style>
  <w:style w:type="character" w:customStyle="1" w:styleId="42">
    <w:name w:val="段 Char"/>
    <w:link w:val="43"/>
    <w:qFormat/>
    <w:locked/>
    <w:uiPriority w:val="99"/>
    <w:rPr>
      <w:rFonts w:ascii="宋体" w:hAnsi="Times New Roman" w:cs="宋体"/>
      <w:sz w:val="21"/>
      <w:szCs w:val="21"/>
      <w:lang w:val="en-US" w:eastAsia="zh-CN" w:bidi="ar-SA"/>
    </w:rPr>
  </w:style>
  <w:style w:type="paragraph" w:customStyle="1" w:styleId="43">
    <w:name w:val="段"/>
    <w:link w:val="42"/>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44">
    <w:name w:val="文档结构图 Char1"/>
    <w:semiHidden/>
    <w:qFormat/>
    <w:uiPriority w:val="99"/>
    <w:rPr>
      <w:rFonts w:ascii="宋体" w:cs="宋体"/>
      <w:sz w:val="18"/>
      <w:szCs w:val="18"/>
    </w:rPr>
  </w:style>
  <w:style w:type="paragraph" w:customStyle="1" w:styleId="4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6">
    <w:name w:val="一级条标题"/>
    <w:next w:val="43"/>
    <w:link w:val="60"/>
    <w:qFormat/>
    <w:uiPriority w:val="0"/>
    <w:pPr>
      <w:numPr>
        <w:ilvl w:val="1"/>
        <w:numId w:val="2"/>
      </w:numPr>
      <w:spacing w:beforeLines="50" w:afterLines="50"/>
      <w:outlineLvl w:val="2"/>
    </w:pPr>
    <w:rPr>
      <w:rFonts w:ascii="黑体" w:hAnsi="Times New Roman" w:eastAsia="黑体" w:cs="黑体"/>
      <w:sz w:val="21"/>
      <w:szCs w:val="21"/>
      <w:lang w:val="en-US" w:eastAsia="zh-CN" w:bidi="ar-SA"/>
    </w:rPr>
  </w:style>
  <w:style w:type="paragraph" w:styleId="47">
    <w:name w:val="List Paragraph"/>
    <w:basedOn w:val="1"/>
    <w:qFormat/>
    <w:uiPriority w:val="99"/>
    <w:pPr>
      <w:ind w:firstLine="420" w:firstLineChars="200"/>
    </w:pPr>
  </w:style>
  <w:style w:type="paragraph" w:customStyle="1" w:styleId="48">
    <w:name w:val="文档结构图1"/>
    <w:basedOn w:val="1"/>
    <w:uiPriority w:val="99"/>
    <w:rPr>
      <w:rFonts w:ascii="宋体" w:cs="宋体"/>
      <w:kern w:val="0"/>
      <w:sz w:val="18"/>
      <w:szCs w:val="18"/>
    </w:rPr>
  </w:style>
  <w:style w:type="paragraph" w:customStyle="1" w:styleId="49">
    <w:name w:val="三级条标题"/>
    <w:basedOn w:val="50"/>
    <w:next w:val="43"/>
    <w:qFormat/>
    <w:uiPriority w:val="0"/>
    <w:pPr>
      <w:numPr>
        <w:ilvl w:val="0"/>
        <w:numId w:val="0"/>
      </w:numPr>
      <w:outlineLvl w:val="4"/>
    </w:pPr>
  </w:style>
  <w:style w:type="paragraph" w:customStyle="1" w:styleId="50">
    <w:name w:val="二级条标题"/>
    <w:basedOn w:val="46"/>
    <w:next w:val="43"/>
    <w:qFormat/>
    <w:uiPriority w:val="0"/>
    <w:pPr>
      <w:numPr>
        <w:ilvl w:val="2"/>
      </w:numPr>
      <w:spacing w:before="50" w:after="50"/>
      <w:outlineLvl w:val="3"/>
    </w:pPr>
  </w:style>
  <w:style w:type="paragraph" w:customStyle="1" w:styleId="51">
    <w:name w:val="四级条标题"/>
    <w:basedOn w:val="1"/>
    <w:next w:val="43"/>
    <w:qFormat/>
    <w:uiPriority w:val="99"/>
    <w:pPr>
      <w:widowControl/>
      <w:numPr>
        <w:ilvl w:val="4"/>
        <w:numId w:val="2"/>
      </w:numPr>
      <w:spacing w:beforeLines="50" w:afterLines="50"/>
      <w:jc w:val="left"/>
      <w:outlineLvl w:val="5"/>
    </w:pPr>
    <w:rPr>
      <w:rFonts w:ascii="黑体" w:eastAsia="黑体" w:cs="黑体"/>
      <w:kern w:val="0"/>
    </w:rPr>
  </w:style>
  <w:style w:type="paragraph" w:customStyle="1" w:styleId="52">
    <w:name w:val="章标题"/>
    <w:next w:val="43"/>
    <w:qFormat/>
    <w:uiPriority w:val="0"/>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53">
    <w:name w:val="五级条标题"/>
    <w:basedOn w:val="51"/>
    <w:next w:val="43"/>
    <w:qFormat/>
    <w:uiPriority w:val="0"/>
    <w:pPr>
      <w:numPr>
        <w:ilvl w:val="5"/>
      </w:numPr>
      <w:outlineLvl w:val="6"/>
    </w:pPr>
  </w:style>
  <w:style w:type="paragraph" w:customStyle="1" w:styleId="54">
    <w:name w:val="TOC 标题1"/>
    <w:basedOn w:val="2"/>
    <w:next w:val="1"/>
    <w:qFormat/>
    <w:uiPriority w:val="99"/>
    <w:pPr>
      <w:widowControl/>
      <w:spacing w:beforeLines="0" w:afterLines="0" w:line="276" w:lineRule="auto"/>
      <w:jc w:val="left"/>
      <w:outlineLvl w:val="9"/>
    </w:pPr>
    <w:rPr>
      <w:rFonts w:ascii="Cambria" w:hAnsi="Cambria" w:cs="Cambria"/>
      <w:color w:val="365F91"/>
      <w:kern w:val="0"/>
      <w:sz w:val="28"/>
      <w:szCs w:val="28"/>
    </w:rPr>
  </w:style>
  <w:style w:type="paragraph" w:customStyle="1" w:styleId="55">
    <w:name w:val="列出段落1"/>
    <w:basedOn w:val="1"/>
    <w:qFormat/>
    <w:uiPriority w:val="99"/>
    <w:pPr>
      <w:ind w:firstLine="420" w:firstLineChars="200"/>
    </w:pPr>
    <w:rPr>
      <w:kern w:val="0"/>
      <w:sz w:val="20"/>
      <w:szCs w:val="20"/>
    </w:rPr>
  </w:style>
  <w:style w:type="paragraph" w:customStyle="1" w:styleId="56">
    <w:name w:val="封面编号"/>
    <w:uiPriority w:val="99"/>
    <w:pPr>
      <w:ind w:right="284"/>
      <w:jc w:val="right"/>
    </w:pPr>
    <w:rPr>
      <w:rFonts w:ascii="Times New Roman" w:hAnsi="Times New Roman" w:eastAsia="黑体" w:cs="Times New Roman"/>
      <w:spacing w:val="20"/>
      <w:sz w:val="28"/>
      <w:szCs w:val="28"/>
      <w:lang w:val="en-US" w:eastAsia="zh-CN" w:bidi="ar-SA"/>
    </w:rPr>
  </w:style>
  <w:style w:type="character" w:customStyle="1" w:styleId="57">
    <w:name w:val="批注文字 字符"/>
    <w:qFormat/>
    <w:uiPriority w:val="99"/>
    <w:rPr>
      <w:rFonts w:ascii="Times New Roman" w:hAnsi="Times New Roman" w:eastAsia="宋体" w:cs="Times New Roman"/>
      <w:kern w:val="0"/>
      <w:szCs w:val="20"/>
    </w:rPr>
  </w:style>
  <w:style w:type="character" w:customStyle="1" w:styleId="58">
    <w:name w:val="ke-content-forecolor"/>
    <w:basedOn w:val="26"/>
    <w:qFormat/>
    <w:uiPriority w:val="0"/>
  </w:style>
  <w:style w:type="character" w:customStyle="1" w:styleId="59">
    <w:name w:val="批注主题 字符"/>
    <w:link w:val="23"/>
    <w:semiHidden/>
    <w:qFormat/>
    <w:uiPriority w:val="99"/>
    <w:rPr>
      <w:rFonts w:ascii="Times New Roman" w:hAnsi="Times New Roman" w:eastAsia="宋体" w:cs="Times New Roman"/>
      <w:b/>
      <w:bCs/>
      <w:kern w:val="2"/>
      <w:sz w:val="21"/>
      <w:szCs w:val="21"/>
    </w:rPr>
  </w:style>
  <w:style w:type="character" w:customStyle="1" w:styleId="60">
    <w:name w:val="一级条标题 Char Char"/>
    <w:link w:val="46"/>
    <w:uiPriority w:val="0"/>
    <w:rPr>
      <w:rFonts w:ascii="黑体" w:hAnsi="Times New Roman" w:eastAsia="黑体" w:cs="黑体"/>
      <w:sz w:val="21"/>
      <w:szCs w:val="21"/>
    </w:rPr>
  </w:style>
  <w:style w:type="paragraph" w:customStyle="1" w:styleId="61">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62">
    <w:name w:val="正文公式编号制表符"/>
    <w:basedOn w:val="1"/>
    <w:next w:val="1"/>
    <w:qFormat/>
    <w:uiPriority w:val="0"/>
    <w:pPr>
      <w:widowControl/>
      <w:tabs>
        <w:tab w:val="center" w:pos="4201"/>
        <w:tab w:val="right" w:leader="dot" w:pos="9298"/>
      </w:tabs>
      <w:autoSpaceDE w:val="0"/>
      <w:autoSpaceDN w:val="0"/>
    </w:pPr>
    <w:rPr>
      <w:rFonts w:ascii="宋体"/>
      <w:kern w:val="0"/>
      <w:szCs w:val="20"/>
    </w:rPr>
  </w:style>
  <w:style w:type="paragraph" w:customStyle="1" w:styleId="63">
    <w:name w:val="附录公式编号制表符"/>
    <w:basedOn w:val="1"/>
    <w:next w:val="1"/>
    <w:qFormat/>
    <w:uiPriority w:val="0"/>
    <w:pPr>
      <w:widowControl/>
      <w:tabs>
        <w:tab w:val="center" w:pos="4201"/>
        <w:tab w:val="right" w:leader="dot" w:pos="9298"/>
      </w:tabs>
      <w:autoSpaceDE w:val="0"/>
      <w:autoSpaceDN w:val="0"/>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numbering" Target="numbering.xml"/><Relationship Id="rId34" Type="http://schemas.openxmlformats.org/officeDocument/2006/relationships/image" Target="media/image18.wmf"/><Relationship Id="rId33" Type="http://schemas.openxmlformats.org/officeDocument/2006/relationships/oleObject" Target="embeddings/oleObject12.bin"/><Relationship Id="rId32" Type="http://schemas.openxmlformats.org/officeDocument/2006/relationships/image" Target="media/image17.wmf"/><Relationship Id="rId31" Type="http://schemas.openxmlformats.org/officeDocument/2006/relationships/oleObject" Target="embeddings/oleObject11.bin"/><Relationship Id="rId30" Type="http://schemas.openxmlformats.org/officeDocument/2006/relationships/image" Target="media/image16.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5.wmf"/><Relationship Id="rId27" Type="http://schemas.openxmlformats.org/officeDocument/2006/relationships/oleObject" Target="embeddings/oleObject9.bin"/><Relationship Id="rId26" Type="http://schemas.openxmlformats.org/officeDocument/2006/relationships/image" Target="media/image14.wmf"/><Relationship Id="rId25" Type="http://schemas.openxmlformats.org/officeDocument/2006/relationships/oleObject" Target="embeddings/oleObject8.bin"/><Relationship Id="rId24" Type="http://schemas.openxmlformats.org/officeDocument/2006/relationships/image" Target="media/image13.wmf"/><Relationship Id="rId23" Type="http://schemas.openxmlformats.org/officeDocument/2006/relationships/oleObject" Target="embeddings/oleObject7.bin"/><Relationship Id="rId22" Type="http://schemas.openxmlformats.org/officeDocument/2006/relationships/image" Target="media/image12.wmf"/><Relationship Id="rId21" Type="http://schemas.openxmlformats.org/officeDocument/2006/relationships/oleObject" Target="embeddings/oleObject6.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B5BA-AF67-4417-A395-4030E199EE3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6793</Words>
  <Characters>7750</Characters>
  <Lines>65</Lines>
  <Paragraphs>18</Paragraphs>
  <TotalTime>0</TotalTime>
  <ScaleCrop>false</ScaleCrop>
  <LinksUpToDate>false</LinksUpToDate>
  <CharactersWithSpaces>7869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2024-10-19T06:59:00Z</dcterms:created>
  <dc:creator>HP</dc:creator>
  <cp:lastModifiedBy>不灭的黄金精神</cp:lastModifiedBy>
  <cp:lastPrinted>2018-11-16T02:53:00Z</cp:lastPrinted>
  <dcterms:modified xsi:type="dcterms:W3CDTF">2024-10-24T06:02:05Z</dcterms:modified>
  <dc:title>中国电子质量管理协会团体标准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87C4EBED0DC54667A58A5F6B883449C4</vt:lpwstr>
  </property>
</Properties>
</file>