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266C" w14:textId="77777777" w:rsidR="00DB17CE" w:rsidRDefault="00ED408E">
      <w:pPr>
        <w:tabs>
          <w:tab w:val="left" w:pos="3600"/>
        </w:tabs>
        <w:spacing w:line="360" w:lineRule="auto"/>
        <w:jc w:val="center"/>
        <w:rPr>
          <w:b/>
          <w:bCs/>
          <w:sz w:val="32"/>
          <w:szCs w:val="32"/>
        </w:rPr>
      </w:pPr>
      <w:r>
        <w:rPr>
          <w:b/>
          <w:bCs/>
          <w:sz w:val="32"/>
          <w:szCs w:val="32"/>
        </w:rPr>
        <w:t>《</w:t>
      </w:r>
      <w:r>
        <w:rPr>
          <w:rFonts w:hint="eastAsia"/>
          <w:b/>
          <w:bCs/>
          <w:sz w:val="32"/>
          <w:szCs w:val="32"/>
        </w:rPr>
        <w:t>产品碳足迹</w:t>
      </w:r>
      <w:r>
        <w:rPr>
          <w:rFonts w:hint="eastAsia"/>
          <w:b/>
          <w:bCs/>
          <w:sz w:val="32"/>
          <w:szCs w:val="32"/>
        </w:rPr>
        <w:t xml:space="preserve"> </w:t>
      </w:r>
      <w:r>
        <w:rPr>
          <w:rFonts w:hint="eastAsia"/>
          <w:b/>
          <w:bCs/>
          <w:sz w:val="32"/>
          <w:szCs w:val="32"/>
        </w:rPr>
        <w:t>产品种类规则</w:t>
      </w:r>
      <w:r>
        <w:rPr>
          <w:rFonts w:hint="eastAsia"/>
          <w:b/>
          <w:bCs/>
          <w:sz w:val="32"/>
          <w:szCs w:val="32"/>
        </w:rPr>
        <w:t xml:space="preserve"> </w:t>
      </w:r>
      <w:r>
        <w:rPr>
          <w:rFonts w:hint="eastAsia"/>
          <w:b/>
          <w:bCs/>
          <w:sz w:val="32"/>
          <w:szCs w:val="32"/>
        </w:rPr>
        <w:t>一次性卫生用品</w:t>
      </w:r>
      <w:r>
        <w:rPr>
          <w:b/>
          <w:bCs/>
          <w:sz w:val="32"/>
          <w:szCs w:val="32"/>
        </w:rPr>
        <w:t>》</w:t>
      </w:r>
    </w:p>
    <w:p w14:paraId="1EF8B967" w14:textId="77777777" w:rsidR="00DB17CE" w:rsidRDefault="00ED408E">
      <w:pPr>
        <w:tabs>
          <w:tab w:val="left" w:pos="3600"/>
        </w:tabs>
        <w:spacing w:line="360" w:lineRule="auto"/>
        <w:jc w:val="center"/>
        <w:rPr>
          <w:b/>
          <w:bCs/>
          <w:sz w:val="32"/>
          <w:szCs w:val="32"/>
        </w:rPr>
      </w:pPr>
      <w:r>
        <w:rPr>
          <w:rFonts w:hint="eastAsia"/>
          <w:b/>
          <w:bCs/>
          <w:sz w:val="32"/>
          <w:szCs w:val="32"/>
        </w:rPr>
        <w:t>团体</w:t>
      </w:r>
      <w:r>
        <w:rPr>
          <w:b/>
          <w:bCs/>
          <w:sz w:val="32"/>
          <w:szCs w:val="32"/>
        </w:rPr>
        <w:t>标准编制说明</w:t>
      </w:r>
    </w:p>
    <w:p w14:paraId="46ED78CA" w14:textId="77777777" w:rsidR="00DB17CE" w:rsidRDefault="00ED408E">
      <w:pPr>
        <w:tabs>
          <w:tab w:val="left" w:pos="3600"/>
        </w:tabs>
        <w:spacing w:line="360" w:lineRule="auto"/>
        <w:jc w:val="center"/>
        <w:rPr>
          <w:b/>
          <w:bCs/>
          <w:sz w:val="32"/>
          <w:szCs w:val="32"/>
        </w:rPr>
      </w:pPr>
      <w:r>
        <w:rPr>
          <w:rFonts w:hint="eastAsia"/>
          <w:b/>
          <w:bCs/>
          <w:sz w:val="32"/>
          <w:szCs w:val="32"/>
        </w:rPr>
        <w:t>（</w:t>
      </w:r>
      <w:r>
        <w:rPr>
          <w:rFonts w:hint="eastAsia"/>
          <w:b/>
          <w:bCs/>
          <w:sz w:val="32"/>
          <w:szCs w:val="32"/>
        </w:rPr>
        <w:t>征求意见</w:t>
      </w:r>
      <w:r>
        <w:rPr>
          <w:rFonts w:hint="eastAsia"/>
          <w:b/>
          <w:bCs/>
          <w:sz w:val="32"/>
          <w:szCs w:val="32"/>
        </w:rPr>
        <w:t>稿）</w:t>
      </w:r>
    </w:p>
    <w:p w14:paraId="1F3FB37A" w14:textId="77777777" w:rsidR="00DB17CE" w:rsidRDefault="00ED408E">
      <w:pPr>
        <w:tabs>
          <w:tab w:val="left" w:pos="3600"/>
        </w:tabs>
        <w:spacing w:line="360" w:lineRule="auto"/>
        <w:rPr>
          <w:b/>
          <w:sz w:val="24"/>
        </w:rPr>
      </w:pPr>
      <w:r>
        <w:rPr>
          <w:b/>
          <w:sz w:val="24"/>
        </w:rPr>
        <w:t>一、工作简况</w:t>
      </w:r>
    </w:p>
    <w:p w14:paraId="69D51DD8" w14:textId="77777777" w:rsidR="00DB17CE" w:rsidRDefault="00ED408E">
      <w:pPr>
        <w:tabs>
          <w:tab w:val="left" w:pos="3600"/>
        </w:tabs>
        <w:spacing w:line="360" w:lineRule="auto"/>
        <w:rPr>
          <w:b/>
          <w:kern w:val="0"/>
          <w:sz w:val="24"/>
        </w:rPr>
      </w:pPr>
      <w:r>
        <w:rPr>
          <w:b/>
          <w:kern w:val="0"/>
          <w:sz w:val="24"/>
        </w:rPr>
        <w:t>1</w:t>
      </w:r>
      <w:r>
        <w:rPr>
          <w:rFonts w:hAnsi="宋体"/>
          <w:b/>
          <w:kern w:val="0"/>
          <w:sz w:val="24"/>
        </w:rPr>
        <w:t>、任务来源</w:t>
      </w:r>
    </w:p>
    <w:p w14:paraId="2FE6CF19" w14:textId="77777777" w:rsidR="00DB17CE" w:rsidRDefault="00ED408E">
      <w:pPr>
        <w:spacing w:line="360" w:lineRule="auto"/>
        <w:ind w:firstLineChars="200" w:firstLine="480"/>
        <w:rPr>
          <w:sz w:val="24"/>
        </w:rPr>
      </w:pPr>
      <w:r>
        <w:rPr>
          <w:rFonts w:hint="eastAsia"/>
          <w:sz w:val="24"/>
        </w:rPr>
        <w:t>一次性卫生用品主要包括妇女经期卫生用品（包括卫生护垫）、尿布等排泄物卫生用品（不包括皱纹卫生纸等厕所用纸）、湿巾等，是重要的日常生活用消费品。随着经济的发展和生活水平的提高，一次性卫生用品的需求量与日俱增，国内的市场规模已达到</w:t>
      </w:r>
      <w:r>
        <w:rPr>
          <w:rFonts w:hint="eastAsia"/>
          <w:sz w:val="24"/>
        </w:rPr>
        <w:t>2000</w:t>
      </w:r>
      <w:r>
        <w:rPr>
          <w:rFonts w:hint="eastAsia"/>
          <w:sz w:val="24"/>
        </w:rPr>
        <w:t>亿元。据统计，</w:t>
      </w:r>
      <w:r>
        <w:rPr>
          <w:rFonts w:hint="eastAsia"/>
          <w:sz w:val="24"/>
        </w:rPr>
        <w:t>2016</w:t>
      </w:r>
      <w:r>
        <w:rPr>
          <w:rFonts w:hint="eastAsia"/>
          <w:sz w:val="24"/>
        </w:rPr>
        <w:t>年我国一次性卫生用品行业产量</w:t>
      </w:r>
      <w:r>
        <w:rPr>
          <w:rFonts w:hint="eastAsia"/>
          <w:sz w:val="24"/>
        </w:rPr>
        <w:t>2271.2</w:t>
      </w:r>
      <w:r>
        <w:rPr>
          <w:rFonts w:hint="eastAsia"/>
          <w:sz w:val="24"/>
        </w:rPr>
        <w:t>亿片，行业需求量</w:t>
      </w:r>
      <w:r>
        <w:rPr>
          <w:rFonts w:hint="eastAsia"/>
          <w:sz w:val="24"/>
        </w:rPr>
        <w:t>1967.7</w:t>
      </w:r>
      <w:r>
        <w:rPr>
          <w:rFonts w:hint="eastAsia"/>
          <w:sz w:val="24"/>
        </w:rPr>
        <w:t>亿片；到</w:t>
      </w:r>
      <w:r>
        <w:rPr>
          <w:rFonts w:hint="eastAsia"/>
          <w:sz w:val="24"/>
        </w:rPr>
        <w:t>2021</w:t>
      </w:r>
      <w:r>
        <w:rPr>
          <w:rFonts w:hint="eastAsia"/>
          <w:sz w:val="24"/>
        </w:rPr>
        <w:t>年我国一次性卫生用品行业产量增长到了</w:t>
      </w:r>
      <w:r>
        <w:rPr>
          <w:rFonts w:hint="eastAsia"/>
          <w:sz w:val="24"/>
        </w:rPr>
        <w:t>2934.3</w:t>
      </w:r>
      <w:r>
        <w:rPr>
          <w:rFonts w:hint="eastAsia"/>
          <w:sz w:val="24"/>
        </w:rPr>
        <w:t>亿片，需求量达到了</w:t>
      </w:r>
      <w:r>
        <w:rPr>
          <w:rFonts w:hint="eastAsia"/>
          <w:sz w:val="24"/>
        </w:rPr>
        <w:t>2403.9</w:t>
      </w:r>
      <w:r>
        <w:rPr>
          <w:rFonts w:hint="eastAsia"/>
          <w:sz w:val="24"/>
        </w:rPr>
        <w:t>亿片。</w:t>
      </w:r>
      <w:r>
        <w:rPr>
          <w:rFonts w:hint="eastAsia"/>
          <w:sz w:val="24"/>
        </w:rPr>
        <w:t>2020</w:t>
      </w:r>
      <w:r>
        <w:rPr>
          <w:rFonts w:hint="eastAsia"/>
          <w:sz w:val="24"/>
        </w:rPr>
        <w:t>年</w:t>
      </w:r>
      <w:r>
        <w:rPr>
          <w:rFonts w:hint="eastAsia"/>
          <w:sz w:val="24"/>
        </w:rPr>
        <w:t>9</w:t>
      </w:r>
      <w:r>
        <w:rPr>
          <w:rFonts w:hint="eastAsia"/>
          <w:sz w:val="24"/>
        </w:rPr>
        <w:t>月</w:t>
      </w:r>
      <w:r>
        <w:rPr>
          <w:rFonts w:hint="eastAsia"/>
          <w:sz w:val="24"/>
        </w:rPr>
        <w:t>22</w:t>
      </w:r>
      <w:r>
        <w:rPr>
          <w:rFonts w:hint="eastAsia"/>
          <w:sz w:val="24"/>
        </w:rPr>
        <w:t>日，习近平总书记在第七十五届联合国大会一般性辩论上宣布，中国二氧化碳排放力争于</w:t>
      </w:r>
      <w:r>
        <w:rPr>
          <w:rFonts w:hint="eastAsia"/>
          <w:sz w:val="24"/>
        </w:rPr>
        <w:t>2030</w:t>
      </w:r>
      <w:r>
        <w:rPr>
          <w:rFonts w:hint="eastAsia"/>
          <w:sz w:val="24"/>
        </w:rPr>
        <w:t>年前达到峰值，努力争取</w:t>
      </w:r>
      <w:r>
        <w:rPr>
          <w:rFonts w:hint="eastAsia"/>
          <w:sz w:val="24"/>
        </w:rPr>
        <w:t>2060</w:t>
      </w:r>
      <w:r>
        <w:rPr>
          <w:rFonts w:hint="eastAsia"/>
          <w:sz w:val="24"/>
        </w:rPr>
        <w:t>年前实现碳中和。为了尽早实现“双碳”目标，卫生用品行业正积极开展和落实</w:t>
      </w:r>
      <w:proofErr w:type="gramStart"/>
      <w:r>
        <w:rPr>
          <w:rFonts w:hint="eastAsia"/>
          <w:sz w:val="24"/>
        </w:rPr>
        <w:t>产业内碳足迹</w:t>
      </w:r>
      <w:proofErr w:type="gramEnd"/>
      <w:r>
        <w:rPr>
          <w:rFonts w:hint="eastAsia"/>
          <w:sz w:val="24"/>
        </w:rPr>
        <w:t>核算等重要优化产能的绿色制造转型工作。</w:t>
      </w:r>
    </w:p>
    <w:p w14:paraId="44A3AD93" w14:textId="77777777" w:rsidR="00DB17CE" w:rsidRDefault="00ED408E">
      <w:pPr>
        <w:spacing w:line="360" w:lineRule="auto"/>
        <w:ind w:firstLineChars="200" w:firstLine="480"/>
        <w:rPr>
          <w:sz w:val="24"/>
        </w:rPr>
      </w:pPr>
      <w:r>
        <w:rPr>
          <w:rFonts w:hint="eastAsia"/>
          <w:sz w:val="24"/>
        </w:rPr>
        <w:t>一次性卫生用品的原材料较多，包括纸浆、吸水衬纸等造纸工业产品，也有无纺布、</w:t>
      </w:r>
      <w:r>
        <w:rPr>
          <w:rFonts w:hint="eastAsia"/>
          <w:sz w:val="24"/>
        </w:rPr>
        <w:t>PE</w:t>
      </w:r>
      <w:r>
        <w:rPr>
          <w:rFonts w:hint="eastAsia"/>
          <w:sz w:val="24"/>
        </w:rPr>
        <w:t>复合膜、热熔胶、高吸收性树脂等化工产品。在产品中纸浆和吸水衬纸主要原料为植物纤维，</w:t>
      </w:r>
      <w:proofErr w:type="gramStart"/>
      <w:r>
        <w:rPr>
          <w:rFonts w:hint="eastAsia"/>
          <w:sz w:val="24"/>
        </w:rPr>
        <w:t>具有固碳作用</w:t>
      </w:r>
      <w:proofErr w:type="gramEnd"/>
      <w:r>
        <w:rPr>
          <w:rFonts w:hint="eastAsia"/>
          <w:sz w:val="24"/>
        </w:rPr>
        <w:t>，而其他部分的化工材料在全生命周期内</w:t>
      </w:r>
      <w:proofErr w:type="gramStart"/>
      <w:r>
        <w:rPr>
          <w:rFonts w:hint="eastAsia"/>
          <w:sz w:val="24"/>
        </w:rPr>
        <w:t>没有固碳作用</w:t>
      </w:r>
      <w:proofErr w:type="gramEnd"/>
      <w:r>
        <w:rPr>
          <w:rFonts w:hint="eastAsia"/>
          <w:sz w:val="24"/>
        </w:rPr>
        <w:t>，仅有温室气体排放效果。在全球范围内一次性卫生用品的生命周期末端处置主要为燃烧或卫生填埋，少部分会进行回用处理，但这些碳足迹数据的采集和整理难度较大，目前此方面的研究较少。因此，从全生命周期角度分析核算一次性卫生用品碳足迹具有一定的复杂性，但这也体现了此类产品具有较大的</w:t>
      </w:r>
      <w:proofErr w:type="gramStart"/>
      <w:r>
        <w:rPr>
          <w:rFonts w:hint="eastAsia"/>
          <w:sz w:val="24"/>
        </w:rPr>
        <w:t>节能降碳潜力</w:t>
      </w:r>
      <w:proofErr w:type="gramEnd"/>
      <w:r>
        <w:rPr>
          <w:rFonts w:hint="eastAsia"/>
          <w:sz w:val="24"/>
        </w:rPr>
        <w:t>。目前，全球已有</w:t>
      </w:r>
      <w:r>
        <w:rPr>
          <w:rFonts w:hint="eastAsia"/>
          <w:sz w:val="24"/>
        </w:rPr>
        <w:t>1000</w:t>
      </w:r>
      <w:r>
        <w:rPr>
          <w:rFonts w:hint="eastAsia"/>
          <w:sz w:val="24"/>
        </w:rPr>
        <w:t>多家知名企业将产品的碳足迹标签作为供应商准入的重要条件。我国一次性卫生用品产业规模和出口量都较大，但此类产品没有适用的碳足迹核算方法，缺少产品碳足迹标签的推广应用，这对我国一次性卫生用品的出口贸易发展不利。因此，中轻纸品检验认证有限公司等提出了《产品碳足迹</w:t>
      </w:r>
      <w:r>
        <w:rPr>
          <w:rFonts w:hint="eastAsia"/>
          <w:sz w:val="24"/>
        </w:rPr>
        <w:t xml:space="preserve"> </w:t>
      </w:r>
      <w:r>
        <w:rPr>
          <w:rFonts w:hint="eastAsia"/>
          <w:sz w:val="24"/>
        </w:rPr>
        <w:t>产品种类规则</w:t>
      </w:r>
      <w:r>
        <w:rPr>
          <w:rFonts w:hint="eastAsia"/>
          <w:sz w:val="24"/>
        </w:rPr>
        <w:t xml:space="preserve"> </w:t>
      </w:r>
      <w:r>
        <w:rPr>
          <w:rFonts w:hint="eastAsia"/>
          <w:sz w:val="24"/>
        </w:rPr>
        <w:t>一次性卫生用品》标准制定计划。根据中国轻工业联合会</w:t>
      </w:r>
      <w:r>
        <w:rPr>
          <w:rFonts w:hint="eastAsia"/>
          <w:sz w:val="24"/>
        </w:rPr>
        <w:t>2022</w:t>
      </w:r>
      <w:r>
        <w:rPr>
          <w:rFonts w:hint="eastAsia"/>
          <w:sz w:val="24"/>
        </w:rPr>
        <w:t>年</w:t>
      </w:r>
      <w:r>
        <w:rPr>
          <w:rFonts w:hint="eastAsia"/>
          <w:sz w:val="24"/>
        </w:rPr>
        <w:t>12</w:t>
      </w:r>
      <w:r>
        <w:rPr>
          <w:rFonts w:hint="eastAsia"/>
          <w:sz w:val="24"/>
        </w:rPr>
        <w:t>月发布的《关于下达</w:t>
      </w:r>
      <w:r>
        <w:rPr>
          <w:rFonts w:hint="eastAsia"/>
          <w:sz w:val="24"/>
        </w:rPr>
        <w:t>&lt;</w:t>
      </w:r>
      <w:r>
        <w:rPr>
          <w:rFonts w:hint="eastAsia"/>
          <w:sz w:val="24"/>
        </w:rPr>
        <w:t>轻工行业绿色制造标杆企业评价要求</w:t>
      </w:r>
      <w:r>
        <w:rPr>
          <w:rFonts w:hint="eastAsia"/>
          <w:sz w:val="24"/>
        </w:rPr>
        <w:t>&gt;</w:t>
      </w:r>
      <w:r>
        <w:rPr>
          <w:rFonts w:hint="eastAsia"/>
          <w:sz w:val="24"/>
        </w:rPr>
        <w:lastRenderedPageBreak/>
        <w:t>等</w:t>
      </w:r>
      <w:r>
        <w:rPr>
          <w:rFonts w:hint="eastAsia"/>
          <w:sz w:val="24"/>
        </w:rPr>
        <w:t>4</w:t>
      </w:r>
      <w:r>
        <w:rPr>
          <w:rFonts w:hint="eastAsia"/>
          <w:sz w:val="24"/>
        </w:rPr>
        <w:t>项中国轻工业联合会团体标准计划的通知》（中</w:t>
      </w:r>
      <w:proofErr w:type="gramStart"/>
      <w:r>
        <w:rPr>
          <w:rFonts w:hint="eastAsia"/>
          <w:sz w:val="24"/>
        </w:rPr>
        <w:t>轻联标准</w:t>
      </w:r>
      <w:proofErr w:type="gramEnd"/>
      <w:r>
        <w:rPr>
          <w:rFonts w:hint="eastAsia"/>
          <w:sz w:val="24"/>
        </w:rPr>
        <w:t>〔</w:t>
      </w:r>
      <w:r>
        <w:rPr>
          <w:rFonts w:hint="eastAsia"/>
          <w:sz w:val="24"/>
        </w:rPr>
        <w:t>2022</w:t>
      </w:r>
      <w:r>
        <w:rPr>
          <w:rFonts w:hint="eastAsia"/>
          <w:sz w:val="24"/>
        </w:rPr>
        <w:t>〕</w:t>
      </w:r>
      <w:r>
        <w:rPr>
          <w:rFonts w:hint="eastAsia"/>
          <w:sz w:val="24"/>
        </w:rPr>
        <w:t>315</w:t>
      </w:r>
      <w:r>
        <w:rPr>
          <w:rFonts w:hint="eastAsia"/>
          <w:sz w:val="24"/>
        </w:rPr>
        <w:t>号），计划要求制定《产品碳足迹</w:t>
      </w:r>
      <w:r>
        <w:rPr>
          <w:rFonts w:hint="eastAsia"/>
          <w:sz w:val="24"/>
        </w:rPr>
        <w:t xml:space="preserve"> </w:t>
      </w:r>
      <w:r>
        <w:rPr>
          <w:rFonts w:hint="eastAsia"/>
          <w:sz w:val="24"/>
        </w:rPr>
        <w:t>产品种类规则</w:t>
      </w:r>
      <w:r>
        <w:rPr>
          <w:rFonts w:hint="eastAsia"/>
          <w:sz w:val="24"/>
        </w:rPr>
        <w:t xml:space="preserve"> </w:t>
      </w:r>
      <w:r>
        <w:rPr>
          <w:rFonts w:hint="eastAsia"/>
          <w:sz w:val="24"/>
        </w:rPr>
        <w:t>一次性卫生用品》团体标准，计划项目号：</w:t>
      </w:r>
      <w:r>
        <w:rPr>
          <w:rFonts w:hint="eastAsia"/>
          <w:sz w:val="24"/>
        </w:rPr>
        <w:t>2022038</w:t>
      </w:r>
      <w:r>
        <w:rPr>
          <w:rFonts w:hint="eastAsia"/>
          <w:sz w:val="24"/>
        </w:rPr>
        <w:t>。</w:t>
      </w:r>
    </w:p>
    <w:p w14:paraId="5646C2C8" w14:textId="77777777" w:rsidR="00DB17CE" w:rsidRDefault="00ED408E">
      <w:pPr>
        <w:tabs>
          <w:tab w:val="left" w:pos="3600"/>
        </w:tabs>
        <w:spacing w:line="360" w:lineRule="auto"/>
        <w:rPr>
          <w:sz w:val="24"/>
        </w:rPr>
      </w:pPr>
      <w:r>
        <w:rPr>
          <w:rFonts w:hint="eastAsia"/>
          <w:b/>
          <w:kern w:val="0"/>
          <w:sz w:val="24"/>
        </w:rPr>
        <w:t>2</w:t>
      </w:r>
      <w:r>
        <w:rPr>
          <w:b/>
          <w:kern w:val="0"/>
          <w:sz w:val="24"/>
        </w:rPr>
        <w:t>、主要工作过程</w:t>
      </w:r>
    </w:p>
    <w:p w14:paraId="73AB5F73" w14:textId="77777777" w:rsidR="00DB17CE" w:rsidRDefault="00ED408E">
      <w:pPr>
        <w:adjustRightInd w:val="0"/>
        <w:snapToGrid w:val="0"/>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hint="eastAsia"/>
          <w:color w:val="000000"/>
          <w:sz w:val="24"/>
        </w:rPr>
        <w:t>起草阶段</w:t>
      </w:r>
    </w:p>
    <w:p w14:paraId="1079B518" w14:textId="77777777" w:rsidR="00DB17CE" w:rsidRDefault="00ED408E">
      <w:pPr>
        <w:tabs>
          <w:tab w:val="left" w:pos="3600"/>
        </w:tabs>
        <w:spacing w:line="360" w:lineRule="auto"/>
        <w:ind w:firstLine="480"/>
        <w:rPr>
          <w:sz w:val="24"/>
          <w:highlight w:val="yellow"/>
        </w:rPr>
      </w:pPr>
      <w:r>
        <w:rPr>
          <w:rFonts w:hint="eastAsia"/>
          <w:color w:val="000000"/>
          <w:kern w:val="0"/>
          <w:sz w:val="24"/>
        </w:rPr>
        <w:t>本</w:t>
      </w:r>
      <w:r>
        <w:rPr>
          <w:color w:val="000000"/>
          <w:kern w:val="0"/>
          <w:sz w:val="24"/>
        </w:rPr>
        <w:t>标准制定任务下达后，</w:t>
      </w:r>
      <w:r>
        <w:rPr>
          <w:rFonts w:hint="eastAsia"/>
          <w:color w:val="000000"/>
          <w:kern w:val="0"/>
          <w:sz w:val="24"/>
        </w:rPr>
        <w:t>中轻纸品检验认证有限公司组织该标准的起草工作。</w:t>
      </w:r>
      <w:r>
        <w:rPr>
          <w:rFonts w:hint="eastAsia"/>
          <w:color w:val="000000"/>
          <w:kern w:val="0"/>
          <w:sz w:val="24"/>
        </w:rPr>
        <w:t>2</w:t>
      </w:r>
      <w:r>
        <w:rPr>
          <w:color w:val="000000"/>
          <w:kern w:val="0"/>
          <w:sz w:val="24"/>
        </w:rPr>
        <w:t>0</w:t>
      </w:r>
      <w:r>
        <w:rPr>
          <w:rFonts w:hint="eastAsia"/>
          <w:color w:val="000000"/>
          <w:kern w:val="0"/>
          <w:sz w:val="24"/>
        </w:rPr>
        <w:t>23</w:t>
      </w:r>
      <w:r>
        <w:rPr>
          <w:rFonts w:hint="eastAsia"/>
          <w:color w:val="000000"/>
          <w:kern w:val="0"/>
          <w:sz w:val="24"/>
        </w:rPr>
        <w:t>年</w:t>
      </w:r>
      <w:r>
        <w:rPr>
          <w:rFonts w:hint="eastAsia"/>
          <w:color w:val="000000"/>
          <w:kern w:val="0"/>
          <w:sz w:val="24"/>
        </w:rPr>
        <w:t>1</w:t>
      </w:r>
      <w:r>
        <w:rPr>
          <w:rFonts w:hint="eastAsia"/>
          <w:color w:val="000000"/>
          <w:kern w:val="0"/>
          <w:sz w:val="24"/>
        </w:rPr>
        <w:t>月，成立标准起草小组，</w:t>
      </w:r>
      <w:r>
        <w:rPr>
          <w:color w:val="000000"/>
          <w:kern w:val="0"/>
          <w:sz w:val="24"/>
        </w:rPr>
        <w:t>并制定了标准工作计划。</w:t>
      </w:r>
      <w:r>
        <w:rPr>
          <w:sz w:val="24"/>
        </w:rPr>
        <w:t>20</w:t>
      </w:r>
      <w:r>
        <w:rPr>
          <w:rFonts w:hint="eastAsia"/>
          <w:sz w:val="24"/>
        </w:rPr>
        <w:t>23</w:t>
      </w:r>
      <w:r>
        <w:rPr>
          <w:sz w:val="24"/>
        </w:rPr>
        <w:t>年</w:t>
      </w:r>
      <w:r>
        <w:rPr>
          <w:rFonts w:hint="eastAsia"/>
          <w:sz w:val="24"/>
        </w:rPr>
        <w:t>2</w:t>
      </w:r>
      <w:r>
        <w:rPr>
          <w:sz w:val="24"/>
        </w:rPr>
        <w:t>月</w:t>
      </w:r>
      <w:r>
        <w:rPr>
          <w:rFonts w:hint="eastAsia"/>
          <w:sz w:val="24"/>
        </w:rPr>
        <w:t>~7</w:t>
      </w:r>
      <w:r>
        <w:rPr>
          <w:rFonts w:hint="eastAsia"/>
          <w:sz w:val="24"/>
        </w:rPr>
        <w:t>月</w:t>
      </w:r>
      <w:r>
        <w:rPr>
          <w:rFonts w:hint="eastAsia"/>
          <w:color w:val="000000"/>
          <w:kern w:val="0"/>
          <w:sz w:val="24"/>
        </w:rPr>
        <w:t>，收集相关文献资料，完成国内外标准、法规查找和对比分析工作。</w:t>
      </w:r>
      <w:r>
        <w:rPr>
          <w:sz w:val="24"/>
        </w:rPr>
        <w:t>20</w:t>
      </w:r>
      <w:r>
        <w:rPr>
          <w:rFonts w:hint="eastAsia"/>
          <w:sz w:val="24"/>
        </w:rPr>
        <w:t>23</w:t>
      </w:r>
      <w:r>
        <w:rPr>
          <w:sz w:val="24"/>
        </w:rPr>
        <w:t>年</w:t>
      </w:r>
      <w:r>
        <w:rPr>
          <w:rFonts w:hint="eastAsia"/>
          <w:sz w:val="24"/>
        </w:rPr>
        <w:t>8</w:t>
      </w:r>
      <w:r>
        <w:rPr>
          <w:sz w:val="24"/>
        </w:rPr>
        <w:t>月</w:t>
      </w:r>
      <w:r>
        <w:rPr>
          <w:rFonts w:hint="eastAsia"/>
          <w:sz w:val="24"/>
        </w:rPr>
        <w:t>~10</w:t>
      </w:r>
      <w:r>
        <w:rPr>
          <w:rFonts w:hint="eastAsia"/>
          <w:sz w:val="24"/>
        </w:rPr>
        <w:t>月</w:t>
      </w:r>
      <w:r>
        <w:rPr>
          <w:sz w:val="24"/>
        </w:rPr>
        <w:t>，</w:t>
      </w:r>
      <w:r>
        <w:rPr>
          <w:rFonts w:hint="eastAsia"/>
          <w:sz w:val="24"/>
        </w:rPr>
        <w:t>对国内的生产数据进行调研，并汇总整理数据。</w:t>
      </w:r>
      <w:r>
        <w:rPr>
          <w:sz w:val="24"/>
        </w:rPr>
        <w:t>20</w:t>
      </w:r>
      <w:r>
        <w:rPr>
          <w:rFonts w:hint="eastAsia"/>
          <w:sz w:val="24"/>
        </w:rPr>
        <w:t>23</w:t>
      </w:r>
      <w:r>
        <w:rPr>
          <w:sz w:val="24"/>
        </w:rPr>
        <w:t>年</w:t>
      </w:r>
      <w:r>
        <w:rPr>
          <w:rFonts w:hint="eastAsia"/>
          <w:sz w:val="24"/>
        </w:rPr>
        <w:t>11</w:t>
      </w:r>
      <w:r>
        <w:rPr>
          <w:sz w:val="24"/>
        </w:rPr>
        <w:t>月</w:t>
      </w:r>
      <w:r>
        <w:rPr>
          <w:rFonts w:hint="eastAsia"/>
          <w:sz w:val="24"/>
        </w:rPr>
        <w:t>~12</w:t>
      </w:r>
      <w:r>
        <w:rPr>
          <w:sz w:val="24"/>
        </w:rPr>
        <w:t>月，</w:t>
      </w:r>
      <w:r>
        <w:rPr>
          <w:rFonts w:hint="eastAsia"/>
          <w:sz w:val="24"/>
        </w:rPr>
        <w:t>对</w:t>
      </w:r>
      <w:r>
        <w:rPr>
          <w:rFonts w:hint="eastAsia"/>
          <w:sz w:val="24"/>
        </w:rPr>
        <w:t>温室气体数据</w:t>
      </w:r>
      <w:r>
        <w:rPr>
          <w:rFonts w:hint="eastAsia"/>
          <w:sz w:val="24"/>
        </w:rPr>
        <w:t>进行</w:t>
      </w:r>
      <w:r>
        <w:rPr>
          <w:rFonts w:hint="eastAsia"/>
          <w:sz w:val="24"/>
        </w:rPr>
        <w:t>核算。</w:t>
      </w:r>
      <w:r>
        <w:rPr>
          <w:sz w:val="24"/>
        </w:rPr>
        <w:t>20</w:t>
      </w:r>
      <w:r>
        <w:rPr>
          <w:rFonts w:hint="eastAsia"/>
          <w:sz w:val="24"/>
        </w:rPr>
        <w:t>24</w:t>
      </w:r>
      <w:r>
        <w:rPr>
          <w:sz w:val="24"/>
        </w:rPr>
        <w:t>年</w:t>
      </w:r>
      <w:r>
        <w:rPr>
          <w:rFonts w:hint="eastAsia"/>
          <w:sz w:val="24"/>
        </w:rPr>
        <w:t>3</w:t>
      </w:r>
      <w:r>
        <w:rPr>
          <w:sz w:val="24"/>
        </w:rPr>
        <w:t>月，</w:t>
      </w:r>
      <w:r>
        <w:rPr>
          <w:rFonts w:hint="eastAsia"/>
          <w:sz w:val="24"/>
        </w:rPr>
        <w:t>根据企业的实际生产情况并参照相关资料的规定，完成标准征求意见稿。</w:t>
      </w:r>
    </w:p>
    <w:p w14:paraId="28250601" w14:textId="77777777" w:rsidR="00DB17CE" w:rsidRDefault="00ED408E">
      <w:pPr>
        <w:tabs>
          <w:tab w:val="left" w:pos="3600"/>
        </w:tabs>
        <w:spacing w:line="360" w:lineRule="auto"/>
        <w:rPr>
          <w:b/>
          <w:kern w:val="0"/>
          <w:sz w:val="24"/>
        </w:rPr>
      </w:pPr>
      <w:r>
        <w:rPr>
          <w:b/>
          <w:kern w:val="0"/>
          <w:sz w:val="24"/>
        </w:rPr>
        <w:t>3</w:t>
      </w:r>
      <w:r>
        <w:rPr>
          <w:rFonts w:hint="eastAsia"/>
          <w:b/>
          <w:kern w:val="0"/>
          <w:sz w:val="24"/>
        </w:rPr>
        <w:t>、主要参加单位和工作组成员及其所做的工作等</w:t>
      </w:r>
    </w:p>
    <w:p w14:paraId="2F641541" w14:textId="77777777" w:rsidR="00DB17CE" w:rsidRDefault="00ED408E">
      <w:pPr>
        <w:autoSpaceDE w:val="0"/>
        <w:autoSpaceDN w:val="0"/>
        <w:adjustRightInd w:val="0"/>
        <w:spacing w:line="360" w:lineRule="auto"/>
        <w:ind w:firstLineChars="200" w:firstLine="480"/>
        <w:jc w:val="left"/>
        <w:rPr>
          <w:color w:val="000000"/>
          <w:kern w:val="0"/>
          <w:sz w:val="24"/>
        </w:rPr>
      </w:pPr>
      <w:r>
        <w:rPr>
          <w:rFonts w:hint="eastAsia"/>
          <w:sz w:val="24"/>
        </w:rPr>
        <w:t>本标准</w:t>
      </w:r>
      <w:r>
        <w:rPr>
          <w:rFonts w:hint="eastAsia"/>
          <w:color w:val="000000"/>
          <w:kern w:val="0"/>
          <w:sz w:val="24"/>
        </w:rPr>
        <w:t>由</w:t>
      </w:r>
      <w:r>
        <w:rPr>
          <w:rFonts w:hAnsi="宋体" w:hint="eastAsia"/>
          <w:sz w:val="24"/>
        </w:rPr>
        <w:t>中轻纸品检验认证有限公司、国家纸张质量检验检测中心等负责起草</w:t>
      </w:r>
      <w:r>
        <w:rPr>
          <w:rFonts w:hint="eastAsia"/>
          <w:color w:val="000000"/>
          <w:kern w:val="0"/>
          <w:sz w:val="24"/>
        </w:rPr>
        <w:t>共同起草。</w:t>
      </w:r>
    </w:p>
    <w:p w14:paraId="2D901DA1" w14:textId="77777777" w:rsidR="00DB17CE" w:rsidRDefault="00ED408E">
      <w:pPr>
        <w:autoSpaceDE w:val="0"/>
        <w:autoSpaceDN w:val="0"/>
        <w:adjustRightInd w:val="0"/>
        <w:spacing w:line="360" w:lineRule="auto"/>
        <w:ind w:firstLineChars="200" w:firstLine="480"/>
        <w:jc w:val="left"/>
        <w:rPr>
          <w:color w:val="000000"/>
          <w:kern w:val="0"/>
          <w:sz w:val="24"/>
        </w:rPr>
      </w:pPr>
      <w:r>
        <w:rPr>
          <w:rFonts w:hint="eastAsia"/>
          <w:color w:val="000000"/>
          <w:kern w:val="0"/>
          <w:sz w:val="24"/>
        </w:rPr>
        <w:t>主要成员：</w:t>
      </w:r>
      <w:r>
        <w:rPr>
          <w:rFonts w:hint="eastAsia"/>
          <w:color w:val="000000"/>
          <w:kern w:val="0"/>
          <w:sz w:val="24"/>
        </w:rPr>
        <w:t xml:space="preserve">    </w:t>
      </w:r>
      <w:r>
        <w:rPr>
          <w:rFonts w:hint="eastAsia"/>
          <w:color w:val="000000"/>
          <w:kern w:val="0"/>
          <w:sz w:val="24"/>
        </w:rPr>
        <w:t>。</w:t>
      </w:r>
    </w:p>
    <w:p w14:paraId="0CCD7A1D" w14:textId="77777777" w:rsidR="00DB17CE" w:rsidRDefault="00ED408E">
      <w:pPr>
        <w:autoSpaceDE w:val="0"/>
        <w:autoSpaceDN w:val="0"/>
        <w:adjustRightInd w:val="0"/>
        <w:spacing w:line="360" w:lineRule="auto"/>
        <w:ind w:firstLineChars="200" w:firstLine="480"/>
        <w:jc w:val="left"/>
        <w:rPr>
          <w:color w:val="000000"/>
          <w:kern w:val="0"/>
          <w:sz w:val="24"/>
        </w:rPr>
      </w:pPr>
      <w:r>
        <w:rPr>
          <w:rFonts w:hint="eastAsia"/>
          <w:color w:val="000000"/>
          <w:kern w:val="0"/>
          <w:sz w:val="24"/>
        </w:rPr>
        <w:t>所做的工作：</w:t>
      </w:r>
      <w:r>
        <w:rPr>
          <w:rFonts w:hint="eastAsia"/>
          <w:color w:val="000000"/>
          <w:kern w:val="0"/>
          <w:sz w:val="24"/>
        </w:rPr>
        <w:t>XXX</w:t>
      </w:r>
      <w:r>
        <w:rPr>
          <w:rFonts w:hint="eastAsia"/>
          <w:color w:val="000000"/>
          <w:kern w:val="0"/>
          <w:sz w:val="24"/>
        </w:rPr>
        <w:t>作为标准起草的总负责人，负责技术路线的制定、标准的起草、征求意见、意见的汇总和对标准草案的修改等。</w:t>
      </w:r>
      <w:r>
        <w:rPr>
          <w:rFonts w:hint="eastAsia"/>
          <w:sz w:val="24"/>
        </w:rPr>
        <w:t>XXX</w:t>
      </w:r>
      <w:r>
        <w:rPr>
          <w:rFonts w:hint="eastAsia"/>
          <w:color w:val="000000"/>
          <w:kern w:val="0"/>
          <w:sz w:val="24"/>
        </w:rPr>
        <w:t>负责技术资料的查找和检索。</w:t>
      </w:r>
      <w:r>
        <w:rPr>
          <w:rFonts w:hint="eastAsia"/>
          <w:sz w:val="24"/>
        </w:rPr>
        <w:t>XXXXX</w:t>
      </w:r>
      <w:r>
        <w:rPr>
          <w:rFonts w:hint="eastAsia"/>
          <w:color w:val="000000"/>
          <w:kern w:val="0"/>
          <w:sz w:val="24"/>
        </w:rPr>
        <w:t>负责调研以及协助标准的起草和审核。</w:t>
      </w:r>
    </w:p>
    <w:p w14:paraId="41D26F18" w14:textId="77777777" w:rsidR="00DB17CE" w:rsidRDefault="00ED408E">
      <w:pPr>
        <w:tabs>
          <w:tab w:val="left" w:pos="3600"/>
        </w:tabs>
        <w:spacing w:line="360" w:lineRule="auto"/>
        <w:rPr>
          <w:b/>
          <w:sz w:val="24"/>
        </w:rPr>
      </w:pPr>
      <w:r>
        <w:rPr>
          <w:b/>
          <w:sz w:val="24"/>
        </w:rPr>
        <w:t>二、标准编制原则</w:t>
      </w:r>
    </w:p>
    <w:p w14:paraId="40FCCD47" w14:textId="77777777" w:rsidR="00DB17CE" w:rsidRDefault="00ED408E">
      <w:pPr>
        <w:widowControl/>
        <w:spacing w:line="360" w:lineRule="auto"/>
        <w:ind w:firstLineChars="200" w:firstLine="480"/>
        <w:jc w:val="left"/>
        <w:rPr>
          <w:kern w:val="0"/>
          <w:sz w:val="24"/>
        </w:rPr>
      </w:pPr>
      <w:r>
        <w:rPr>
          <w:sz w:val="24"/>
        </w:rPr>
        <w:t>本标准按照</w:t>
      </w:r>
      <w:r>
        <w:rPr>
          <w:kern w:val="0"/>
          <w:sz w:val="24"/>
        </w:rPr>
        <w:t>GB/T 1.1</w:t>
      </w:r>
      <w:r>
        <w:rPr>
          <w:rFonts w:hint="eastAsia"/>
          <w:kern w:val="0"/>
          <w:sz w:val="24"/>
        </w:rPr>
        <w:t>—</w:t>
      </w:r>
      <w:r>
        <w:rPr>
          <w:kern w:val="0"/>
          <w:sz w:val="24"/>
        </w:rPr>
        <w:t>20</w:t>
      </w:r>
      <w:r>
        <w:rPr>
          <w:rFonts w:hint="eastAsia"/>
          <w:kern w:val="0"/>
          <w:sz w:val="24"/>
        </w:rPr>
        <w:t>20</w:t>
      </w:r>
      <w:r>
        <w:rPr>
          <w:rFonts w:hint="eastAsia"/>
          <w:kern w:val="0"/>
          <w:sz w:val="24"/>
        </w:rPr>
        <w:t>《标准化工作导则</w:t>
      </w:r>
      <w:r>
        <w:rPr>
          <w:rFonts w:hint="eastAsia"/>
          <w:kern w:val="0"/>
          <w:sz w:val="24"/>
        </w:rPr>
        <w:t xml:space="preserve"> </w:t>
      </w:r>
      <w:r>
        <w:rPr>
          <w:rFonts w:hint="eastAsia"/>
          <w:kern w:val="0"/>
          <w:sz w:val="24"/>
        </w:rPr>
        <w:t>第</w:t>
      </w:r>
      <w:r>
        <w:rPr>
          <w:rFonts w:hint="eastAsia"/>
          <w:kern w:val="0"/>
          <w:sz w:val="24"/>
        </w:rPr>
        <w:t>1</w:t>
      </w:r>
      <w:r>
        <w:rPr>
          <w:rFonts w:hint="eastAsia"/>
          <w:kern w:val="0"/>
          <w:sz w:val="24"/>
        </w:rPr>
        <w:t>部分：标准化文件的结构和起草规则》</w:t>
      </w:r>
      <w:r>
        <w:rPr>
          <w:kern w:val="0"/>
          <w:sz w:val="24"/>
        </w:rPr>
        <w:t>的</w:t>
      </w:r>
      <w:r>
        <w:rPr>
          <w:rFonts w:hint="eastAsia"/>
          <w:kern w:val="0"/>
          <w:sz w:val="24"/>
        </w:rPr>
        <w:t>规定</w:t>
      </w:r>
      <w:r>
        <w:rPr>
          <w:kern w:val="0"/>
          <w:sz w:val="24"/>
        </w:rPr>
        <w:t>起草，技术内容主要结合</w:t>
      </w:r>
      <w:r>
        <w:rPr>
          <w:rFonts w:hint="eastAsia"/>
          <w:kern w:val="0"/>
          <w:sz w:val="24"/>
        </w:rPr>
        <w:t>国内外相关标准及政策规定</w:t>
      </w:r>
      <w:r>
        <w:rPr>
          <w:kern w:val="0"/>
          <w:sz w:val="24"/>
        </w:rPr>
        <w:t>、企业实际生产情况制定而成。</w:t>
      </w:r>
    </w:p>
    <w:p w14:paraId="3D5BE34D" w14:textId="77777777" w:rsidR="00DB17CE" w:rsidRDefault="00ED408E">
      <w:pPr>
        <w:tabs>
          <w:tab w:val="center" w:pos="4153"/>
        </w:tabs>
        <w:spacing w:line="360" w:lineRule="auto"/>
        <w:rPr>
          <w:b/>
          <w:sz w:val="24"/>
        </w:rPr>
      </w:pPr>
      <w:r>
        <w:rPr>
          <w:b/>
          <w:sz w:val="24"/>
        </w:rPr>
        <w:t>三、标准主要内容的确定</w:t>
      </w:r>
    </w:p>
    <w:p w14:paraId="092BD7E5" w14:textId="77777777" w:rsidR="00DB17CE" w:rsidRDefault="00ED408E">
      <w:pPr>
        <w:pStyle w:val="af6"/>
        <w:spacing w:line="360" w:lineRule="auto"/>
        <w:ind w:firstLineChars="0" w:firstLine="0"/>
        <w:rPr>
          <w:rFonts w:ascii="Times New Roman"/>
          <w:b/>
          <w:sz w:val="24"/>
          <w:szCs w:val="24"/>
        </w:rPr>
      </w:pPr>
      <w:r>
        <w:rPr>
          <w:rFonts w:ascii="Times New Roman" w:hint="eastAsia"/>
          <w:b/>
          <w:sz w:val="24"/>
          <w:szCs w:val="24"/>
        </w:rPr>
        <w:t xml:space="preserve">3.1 </w:t>
      </w:r>
      <w:r>
        <w:rPr>
          <w:rFonts w:ascii="Times New Roman" w:hint="eastAsia"/>
          <w:b/>
          <w:sz w:val="24"/>
          <w:szCs w:val="24"/>
        </w:rPr>
        <w:t>范围</w:t>
      </w:r>
    </w:p>
    <w:p w14:paraId="72061446"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本文件确立了一次性卫生用品生命周期内温室气体排放和清除量化的原则和通用要求，规定了产品种类与产品描述、目的和范围、数据收集与处理、核算方法、核算报告的要求，界定了相关的术语和定义。</w:t>
      </w:r>
    </w:p>
    <w:p w14:paraId="6E44C873"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本标准适用于卫生巾（护垫）、纸尿裤（片、垫）、卫生棉条、乳垫、纸巾、湿巾等一次性卫生用品的碳足迹评价。</w:t>
      </w:r>
    </w:p>
    <w:p w14:paraId="5FCAC9E7" w14:textId="77777777" w:rsidR="00DB17CE" w:rsidRDefault="00ED408E">
      <w:pPr>
        <w:pStyle w:val="af6"/>
        <w:spacing w:line="360" w:lineRule="auto"/>
        <w:ind w:firstLineChars="0" w:firstLine="0"/>
        <w:rPr>
          <w:rFonts w:ascii="Times New Roman"/>
          <w:b/>
          <w:sz w:val="24"/>
          <w:szCs w:val="24"/>
        </w:rPr>
      </w:pPr>
      <w:r>
        <w:rPr>
          <w:rFonts w:ascii="Times New Roman" w:hint="eastAsia"/>
          <w:b/>
          <w:sz w:val="24"/>
          <w:szCs w:val="24"/>
        </w:rPr>
        <w:lastRenderedPageBreak/>
        <w:t xml:space="preserve">3.2 </w:t>
      </w:r>
      <w:r>
        <w:rPr>
          <w:rFonts w:ascii="Times New Roman" w:hint="eastAsia"/>
          <w:b/>
          <w:sz w:val="24"/>
          <w:szCs w:val="24"/>
        </w:rPr>
        <w:t>原则</w:t>
      </w:r>
    </w:p>
    <w:p w14:paraId="01B092F1"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本标准参考</w:t>
      </w:r>
      <w:r>
        <w:rPr>
          <w:rFonts w:ascii="Times New Roman" w:hint="eastAsia"/>
          <w:color w:val="000000"/>
          <w:sz w:val="24"/>
          <w:szCs w:val="24"/>
        </w:rPr>
        <w:t>GB/T 32150</w:t>
      </w:r>
      <w:r>
        <w:rPr>
          <w:rFonts w:ascii="Times New Roman" w:hint="eastAsia"/>
          <w:color w:val="000000"/>
          <w:sz w:val="24"/>
          <w:szCs w:val="24"/>
        </w:rPr>
        <w:t>、</w:t>
      </w:r>
      <w:r>
        <w:rPr>
          <w:rFonts w:ascii="Times New Roman" w:hint="eastAsia"/>
          <w:color w:val="000000"/>
          <w:sz w:val="24"/>
          <w:szCs w:val="24"/>
        </w:rPr>
        <w:t>ISO 14067</w:t>
      </w:r>
      <w:r>
        <w:rPr>
          <w:rFonts w:ascii="Times New Roman" w:hint="eastAsia"/>
          <w:color w:val="000000"/>
          <w:sz w:val="24"/>
          <w:szCs w:val="24"/>
        </w:rPr>
        <w:t>、</w:t>
      </w:r>
      <w:r>
        <w:rPr>
          <w:rFonts w:ascii="Times New Roman" w:hint="eastAsia"/>
          <w:color w:val="000000"/>
          <w:sz w:val="24"/>
          <w:szCs w:val="24"/>
        </w:rPr>
        <w:t>PAS 2050:2011</w:t>
      </w:r>
      <w:r>
        <w:rPr>
          <w:rFonts w:ascii="Times New Roman" w:hint="eastAsia"/>
          <w:color w:val="000000"/>
          <w:sz w:val="24"/>
          <w:szCs w:val="24"/>
        </w:rPr>
        <w:t>规定的原则，结合一次性卫生用品特性设定了相关性、完整性、一致性、准确性</w:t>
      </w:r>
      <w:r>
        <w:rPr>
          <w:rFonts w:ascii="Times New Roman" w:hint="eastAsia"/>
          <w:color w:val="000000"/>
          <w:sz w:val="24"/>
          <w:szCs w:val="24"/>
        </w:rPr>
        <w:t>、</w:t>
      </w:r>
      <w:r>
        <w:rPr>
          <w:rFonts w:ascii="Times New Roman" w:hint="eastAsia"/>
          <w:color w:val="000000"/>
          <w:sz w:val="24"/>
          <w:szCs w:val="24"/>
        </w:rPr>
        <w:t>透明性</w:t>
      </w:r>
      <w:r>
        <w:rPr>
          <w:rFonts w:ascii="Times New Roman" w:hint="eastAsia"/>
          <w:color w:val="000000"/>
          <w:sz w:val="24"/>
          <w:szCs w:val="24"/>
        </w:rPr>
        <w:t>和避免重复计算</w:t>
      </w:r>
      <w:r>
        <w:rPr>
          <w:rFonts w:ascii="Times New Roman" w:hint="eastAsia"/>
          <w:color w:val="000000"/>
          <w:sz w:val="24"/>
          <w:szCs w:val="24"/>
        </w:rPr>
        <w:t>的原则。</w:t>
      </w:r>
    </w:p>
    <w:p w14:paraId="6E01C9DE"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相关性是指根据一次性卫生用品实际生产、使用和废弃处理等情况，选择适宜的功能单位、系统边界、核算方法和数据，确保真实反映产品系统边界内温室气体排放和清除情况，服务于企业内部和外部采用者的决策需求。</w:t>
      </w:r>
    </w:p>
    <w:p w14:paraId="55AA2AD5"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完整性是指对所有指定的、评价一次性卫生用品的温室气体排放有实质性贡献的温室气体排放</w:t>
      </w:r>
      <w:r>
        <w:rPr>
          <w:rFonts w:ascii="Times New Roman" w:hint="eastAsia"/>
          <w:color w:val="000000"/>
          <w:sz w:val="24"/>
          <w:szCs w:val="24"/>
        </w:rPr>
        <w:t>量</w:t>
      </w:r>
      <w:r>
        <w:rPr>
          <w:rFonts w:ascii="Times New Roman" w:hint="eastAsia"/>
          <w:color w:val="000000"/>
          <w:sz w:val="24"/>
          <w:szCs w:val="24"/>
        </w:rPr>
        <w:t>和清除</w:t>
      </w:r>
      <w:r>
        <w:rPr>
          <w:rFonts w:ascii="Times New Roman" w:hint="eastAsia"/>
          <w:color w:val="000000"/>
          <w:sz w:val="24"/>
          <w:szCs w:val="24"/>
        </w:rPr>
        <w:t>量</w:t>
      </w:r>
      <w:r>
        <w:rPr>
          <w:rFonts w:ascii="Times New Roman" w:hint="eastAsia"/>
          <w:color w:val="000000"/>
          <w:sz w:val="24"/>
          <w:szCs w:val="24"/>
        </w:rPr>
        <w:t>进行全面的核算和报告。</w:t>
      </w:r>
    </w:p>
    <w:p w14:paraId="7C3A0E68"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一致性是指采用统一的核算和报告方法，能对相同种类一次性卫生用品相同系统边界内的碳足迹进行有意义的比较。</w:t>
      </w:r>
    </w:p>
    <w:p w14:paraId="5A47B499"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准确性是指准确收集一次性卫生用品碳足迹核算的初级数据和次级数据，并进行准确的核算，尽可能地减少误差和不确定性。</w:t>
      </w:r>
    </w:p>
    <w:p w14:paraId="0BE84580"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透明性是指以公开、全面和</w:t>
      </w:r>
      <w:proofErr w:type="gramStart"/>
      <w:r>
        <w:rPr>
          <w:rFonts w:ascii="Times New Roman" w:hint="eastAsia"/>
          <w:color w:val="000000"/>
          <w:sz w:val="24"/>
          <w:szCs w:val="24"/>
        </w:rPr>
        <w:t>可</w:t>
      </w:r>
      <w:proofErr w:type="gramEnd"/>
      <w:r>
        <w:rPr>
          <w:rFonts w:ascii="Times New Roman" w:hint="eastAsia"/>
          <w:color w:val="000000"/>
          <w:sz w:val="24"/>
          <w:szCs w:val="24"/>
        </w:rPr>
        <w:t>理解的信息表述方式处理和记录所有相关假设、方法、数据来源、估算等问题，以使产品碳足迹研究报告如实地阐明其内容。</w:t>
      </w:r>
    </w:p>
    <w:p w14:paraId="68BEF2E6"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避免重复计算是</w:t>
      </w:r>
      <w:proofErr w:type="gramStart"/>
      <w:r>
        <w:rPr>
          <w:rFonts w:ascii="Times New Roman" w:hint="eastAsia"/>
          <w:color w:val="000000"/>
          <w:sz w:val="24"/>
          <w:szCs w:val="24"/>
        </w:rPr>
        <w:t>指相同</w:t>
      </w:r>
      <w:proofErr w:type="gramEnd"/>
      <w:r>
        <w:rPr>
          <w:rFonts w:ascii="Times New Roman" w:hint="eastAsia"/>
          <w:color w:val="000000"/>
          <w:sz w:val="24"/>
          <w:szCs w:val="24"/>
        </w:rPr>
        <w:t>的温室气体排放量和清除量仅分配一次，以避免</w:t>
      </w:r>
      <w:r>
        <w:rPr>
          <w:rFonts w:ascii="Times New Roman" w:hint="eastAsia"/>
          <w:color w:val="000000"/>
          <w:sz w:val="24"/>
          <w:szCs w:val="24"/>
        </w:rPr>
        <w:t>GHG</w:t>
      </w:r>
      <w:r>
        <w:rPr>
          <w:rFonts w:ascii="Times New Roman" w:hint="eastAsia"/>
          <w:color w:val="000000"/>
          <w:sz w:val="24"/>
          <w:szCs w:val="24"/>
        </w:rPr>
        <w:t>排放量和清除量的重复计算。</w:t>
      </w:r>
    </w:p>
    <w:p w14:paraId="007952A0" w14:textId="77777777" w:rsidR="00DB17CE" w:rsidRDefault="00ED408E">
      <w:pPr>
        <w:pStyle w:val="af6"/>
        <w:spacing w:line="360" w:lineRule="auto"/>
        <w:ind w:firstLineChars="0" w:firstLine="0"/>
        <w:rPr>
          <w:rFonts w:ascii="Times New Roman"/>
          <w:b/>
          <w:sz w:val="24"/>
          <w:szCs w:val="24"/>
        </w:rPr>
      </w:pPr>
      <w:r>
        <w:rPr>
          <w:rFonts w:ascii="Times New Roman" w:hint="eastAsia"/>
          <w:b/>
          <w:sz w:val="24"/>
          <w:szCs w:val="24"/>
        </w:rPr>
        <w:t xml:space="preserve">3.3 </w:t>
      </w:r>
      <w:r>
        <w:rPr>
          <w:rFonts w:ascii="Times New Roman" w:hint="eastAsia"/>
          <w:b/>
          <w:sz w:val="24"/>
          <w:szCs w:val="24"/>
        </w:rPr>
        <w:t>产品种类与产品描述</w:t>
      </w:r>
    </w:p>
    <w:p w14:paraId="49637B46"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一次性卫生用品为使用一次后即丢弃的、与人体直接或间接接触的、并为达到人体生理卫生或卫生保健（抗菌或抑菌）目的而使用的纸质日常生活用品，包括卫生巾（护垫）、纸尿裤（片、垫）、卫生棉条、乳垫、纸巾、湿巾等。</w:t>
      </w:r>
    </w:p>
    <w:p w14:paraId="087CFA49"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产品描述应体现产品的关键信息以明确地识别产品，包括但不限于以下内容：</w:t>
      </w:r>
    </w:p>
    <w:p w14:paraId="3D9A76E5"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t>a</w:t>
      </w:r>
      <w:r>
        <w:rPr>
          <w:rFonts w:ascii="Times New Roman"/>
          <w:color w:val="000000"/>
          <w:sz w:val="24"/>
          <w:szCs w:val="24"/>
        </w:rPr>
        <w:t>）产品（系统）范围：明确产品名称、型号、功能、功能单位和生产工艺流程及工艺参数</w:t>
      </w:r>
      <w:r>
        <w:rPr>
          <w:rFonts w:ascii="Times New Roman" w:hint="eastAsia"/>
          <w:color w:val="000000"/>
          <w:sz w:val="24"/>
          <w:szCs w:val="24"/>
        </w:rPr>
        <w:t>等</w:t>
      </w:r>
      <w:r>
        <w:rPr>
          <w:rFonts w:ascii="Times New Roman"/>
          <w:color w:val="000000"/>
          <w:sz w:val="24"/>
          <w:szCs w:val="24"/>
        </w:rPr>
        <w:t>；</w:t>
      </w:r>
    </w:p>
    <w:p w14:paraId="69D007C1"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t>b</w:t>
      </w:r>
      <w:r>
        <w:rPr>
          <w:rFonts w:ascii="Times New Roman"/>
          <w:color w:val="000000"/>
          <w:sz w:val="24"/>
          <w:szCs w:val="24"/>
        </w:rPr>
        <w:t>）时间范围：选择核算碳足迹有代表性的时间段，覆盖一次性卫生用品的全生命周期；</w:t>
      </w:r>
    </w:p>
    <w:p w14:paraId="6CC66BC6"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t>c</w:t>
      </w:r>
      <w:r>
        <w:rPr>
          <w:rFonts w:ascii="Times New Roman"/>
          <w:color w:val="000000"/>
          <w:sz w:val="24"/>
          <w:szCs w:val="24"/>
        </w:rPr>
        <w:t>）温室气体范围：一次性卫生用品生命周期内</w:t>
      </w:r>
      <w:r>
        <w:rPr>
          <w:rFonts w:ascii="Times New Roman" w:hint="eastAsia"/>
          <w:color w:val="000000"/>
          <w:sz w:val="24"/>
          <w:szCs w:val="24"/>
        </w:rPr>
        <w:t>温室气体</w:t>
      </w:r>
      <w:r>
        <w:rPr>
          <w:rFonts w:ascii="Times New Roman"/>
          <w:color w:val="000000"/>
          <w:sz w:val="24"/>
          <w:szCs w:val="24"/>
        </w:rPr>
        <w:t>排放评价的气体为</w:t>
      </w:r>
      <w:r>
        <w:rPr>
          <w:rFonts w:ascii="Times New Roman"/>
          <w:color w:val="000000"/>
          <w:sz w:val="24"/>
          <w:szCs w:val="24"/>
        </w:rPr>
        <w:t>CO</w:t>
      </w:r>
      <w:r>
        <w:rPr>
          <w:rFonts w:ascii="Times New Roman"/>
          <w:color w:val="000000"/>
          <w:sz w:val="24"/>
          <w:szCs w:val="24"/>
          <w:vertAlign w:val="subscript"/>
        </w:rPr>
        <w:t>2</w:t>
      </w:r>
      <w:r>
        <w:rPr>
          <w:rFonts w:ascii="Times New Roman"/>
          <w:color w:val="000000"/>
          <w:sz w:val="24"/>
          <w:szCs w:val="24"/>
        </w:rPr>
        <w:t>、</w:t>
      </w:r>
      <w:r>
        <w:rPr>
          <w:rFonts w:ascii="Times New Roman"/>
          <w:color w:val="000000"/>
          <w:sz w:val="24"/>
          <w:szCs w:val="24"/>
        </w:rPr>
        <w:t>CH</w:t>
      </w:r>
      <w:r>
        <w:rPr>
          <w:rFonts w:ascii="Times New Roman"/>
          <w:color w:val="000000"/>
          <w:sz w:val="24"/>
          <w:szCs w:val="24"/>
          <w:vertAlign w:val="subscript"/>
        </w:rPr>
        <w:t>4</w:t>
      </w:r>
      <w:r>
        <w:rPr>
          <w:rFonts w:ascii="Times New Roman"/>
          <w:color w:val="000000"/>
          <w:sz w:val="24"/>
          <w:szCs w:val="24"/>
        </w:rPr>
        <w:t>和</w:t>
      </w:r>
      <w:r>
        <w:rPr>
          <w:rFonts w:ascii="Times New Roman"/>
          <w:color w:val="000000"/>
          <w:sz w:val="24"/>
          <w:szCs w:val="24"/>
        </w:rPr>
        <w:t>N</w:t>
      </w:r>
      <w:r>
        <w:rPr>
          <w:rFonts w:ascii="Times New Roman"/>
          <w:color w:val="000000"/>
          <w:sz w:val="24"/>
          <w:szCs w:val="24"/>
          <w:vertAlign w:val="subscript"/>
        </w:rPr>
        <w:t>2</w:t>
      </w:r>
      <w:r>
        <w:rPr>
          <w:rFonts w:ascii="Times New Roman"/>
          <w:color w:val="000000"/>
          <w:sz w:val="24"/>
          <w:szCs w:val="24"/>
        </w:rPr>
        <w:t>O</w:t>
      </w:r>
      <w:r>
        <w:rPr>
          <w:rFonts w:ascii="Times New Roman"/>
          <w:color w:val="000000"/>
          <w:sz w:val="24"/>
          <w:szCs w:val="24"/>
        </w:rPr>
        <w:t>。</w:t>
      </w:r>
    </w:p>
    <w:p w14:paraId="13218404" w14:textId="77777777" w:rsidR="00DB17CE" w:rsidRDefault="00ED408E">
      <w:pPr>
        <w:pStyle w:val="af6"/>
        <w:spacing w:line="360" w:lineRule="auto"/>
        <w:ind w:firstLineChars="0" w:firstLine="0"/>
        <w:rPr>
          <w:rFonts w:ascii="Times New Roman"/>
          <w:b/>
          <w:sz w:val="24"/>
          <w:szCs w:val="24"/>
        </w:rPr>
      </w:pPr>
      <w:r>
        <w:rPr>
          <w:rFonts w:ascii="Times New Roman" w:hint="eastAsia"/>
          <w:b/>
          <w:sz w:val="24"/>
          <w:szCs w:val="24"/>
        </w:rPr>
        <w:t xml:space="preserve">3.4 </w:t>
      </w:r>
      <w:r>
        <w:rPr>
          <w:rFonts w:ascii="Times New Roman" w:hint="eastAsia"/>
          <w:b/>
          <w:sz w:val="24"/>
          <w:szCs w:val="24"/>
        </w:rPr>
        <w:t>目的和范围</w:t>
      </w:r>
    </w:p>
    <w:p w14:paraId="07D25550"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lastRenderedPageBreak/>
        <w:t>（</w:t>
      </w:r>
      <w:r>
        <w:rPr>
          <w:rFonts w:ascii="Times New Roman" w:hint="eastAsia"/>
          <w:color w:val="000000"/>
          <w:sz w:val="24"/>
          <w:szCs w:val="24"/>
        </w:rPr>
        <w:t>1</w:t>
      </w:r>
      <w:r>
        <w:rPr>
          <w:rFonts w:ascii="Times New Roman" w:hint="eastAsia"/>
          <w:color w:val="000000"/>
          <w:sz w:val="24"/>
          <w:szCs w:val="24"/>
        </w:rPr>
        <w:t>）功能单位</w:t>
      </w:r>
    </w:p>
    <w:p w14:paraId="2B1F98F5"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功能单位是对产品系统输出功能的量度，关系到环境清单数据的具体数值，其基本作用是为有关的输入和输出提供参照基准，以保证</w:t>
      </w:r>
      <w:r>
        <w:rPr>
          <w:rFonts w:ascii="Times New Roman" w:hint="eastAsia"/>
          <w:color w:val="000000"/>
          <w:sz w:val="24"/>
          <w:szCs w:val="24"/>
        </w:rPr>
        <w:t>LCA</w:t>
      </w:r>
      <w:r>
        <w:rPr>
          <w:rFonts w:ascii="Times New Roman" w:hint="eastAsia"/>
          <w:color w:val="000000"/>
          <w:sz w:val="24"/>
          <w:szCs w:val="24"/>
        </w:rPr>
        <w:t>结果的可比性。在评估不同系统时，</w:t>
      </w:r>
      <w:r>
        <w:rPr>
          <w:rFonts w:ascii="Times New Roman" w:hint="eastAsia"/>
          <w:color w:val="000000"/>
          <w:sz w:val="24"/>
          <w:szCs w:val="24"/>
        </w:rPr>
        <w:t>LCA</w:t>
      </w:r>
      <w:r>
        <w:rPr>
          <w:rFonts w:ascii="Times New Roman" w:hint="eastAsia"/>
          <w:color w:val="000000"/>
          <w:sz w:val="24"/>
          <w:szCs w:val="24"/>
        </w:rPr>
        <w:t>结果的可比性是必不可少的，否则无法在同</w:t>
      </w:r>
      <w:proofErr w:type="gramStart"/>
      <w:r>
        <w:rPr>
          <w:rFonts w:ascii="Times New Roman" w:hint="eastAsia"/>
          <w:color w:val="000000"/>
          <w:sz w:val="24"/>
          <w:szCs w:val="24"/>
        </w:rPr>
        <w:t>一基础</w:t>
      </w:r>
      <w:proofErr w:type="gramEnd"/>
      <w:r>
        <w:rPr>
          <w:rFonts w:ascii="Times New Roman" w:hint="eastAsia"/>
          <w:color w:val="000000"/>
          <w:sz w:val="24"/>
          <w:szCs w:val="24"/>
        </w:rPr>
        <w:t>上进行比较。因此，本文件规定了功能单位的选择应与研究目的和范围保持一致，为输入和输出数据的归一化提供基准。应根据具体一次性卫生用品和行业系统性能等特点，定义可量化、可测算、具有统计意义的功能单位。</w:t>
      </w:r>
    </w:p>
    <w:p w14:paraId="763BC000"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依据一次性卫生用品分类、计量单位及生产工艺等特性以及考虑上下游</w:t>
      </w:r>
      <w:proofErr w:type="gramStart"/>
      <w:r>
        <w:rPr>
          <w:rFonts w:ascii="Times New Roman" w:hint="eastAsia"/>
          <w:color w:val="000000"/>
          <w:sz w:val="24"/>
          <w:szCs w:val="24"/>
        </w:rPr>
        <w:t>供应链碳足迹</w:t>
      </w:r>
      <w:proofErr w:type="gramEnd"/>
      <w:r>
        <w:rPr>
          <w:rFonts w:ascii="Times New Roman" w:hint="eastAsia"/>
          <w:color w:val="000000"/>
          <w:sz w:val="24"/>
          <w:szCs w:val="24"/>
        </w:rPr>
        <w:t>评价相关数据的可获取性，</w:t>
      </w:r>
      <w:r>
        <w:rPr>
          <w:rFonts w:ascii="Times New Roman" w:hint="eastAsia"/>
          <w:sz w:val="24"/>
          <w:szCs w:val="24"/>
        </w:rPr>
        <w:t>规定可根据</w:t>
      </w:r>
      <w:r>
        <w:rPr>
          <w:rFonts w:ascii="Times New Roman" w:hint="eastAsia"/>
          <w:color w:val="000000"/>
          <w:sz w:val="24"/>
          <w:szCs w:val="24"/>
        </w:rPr>
        <w:t>一次性卫生用品种类和</w:t>
      </w:r>
      <w:proofErr w:type="gramStart"/>
      <w:r>
        <w:rPr>
          <w:rFonts w:ascii="Times New Roman" w:hint="eastAsia"/>
          <w:color w:val="000000"/>
          <w:sz w:val="24"/>
          <w:szCs w:val="24"/>
        </w:rPr>
        <w:t>碳足迹</w:t>
      </w:r>
      <w:proofErr w:type="gramEnd"/>
      <w:r>
        <w:rPr>
          <w:rFonts w:ascii="Times New Roman" w:hint="eastAsia"/>
          <w:color w:val="000000"/>
          <w:sz w:val="24"/>
          <w:szCs w:val="24"/>
        </w:rPr>
        <w:t>核算目的，选择合适的功能单位，例如</w:t>
      </w:r>
      <w:r>
        <w:rPr>
          <w:rFonts w:ascii="Times New Roman" w:hint="eastAsia"/>
          <w:color w:val="000000"/>
          <w:sz w:val="24"/>
          <w:szCs w:val="24"/>
        </w:rPr>
        <w:t>1t</w:t>
      </w:r>
      <w:r>
        <w:rPr>
          <w:rFonts w:ascii="Times New Roman" w:hint="eastAsia"/>
          <w:color w:val="000000"/>
          <w:sz w:val="24"/>
          <w:szCs w:val="24"/>
        </w:rPr>
        <w:t>、</w:t>
      </w:r>
      <w:r>
        <w:rPr>
          <w:rFonts w:ascii="Times New Roman" w:hint="eastAsia"/>
          <w:color w:val="000000"/>
          <w:sz w:val="24"/>
          <w:szCs w:val="24"/>
        </w:rPr>
        <w:t>1kg</w:t>
      </w:r>
      <w:r>
        <w:rPr>
          <w:rFonts w:ascii="Times New Roman" w:hint="eastAsia"/>
          <w:color w:val="000000"/>
          <w:sz w:val="24"/>
          <w:szCs w:val="24"/>
        </w:rPr>
        <w:t>、</w:t>
      </w:r>
      <w:r>
        <w:rPr>
          <w:rFonts w:ascii="Times New Roman" w:hint="eastAsia"/>
          <w:color w:val="000000"/>
          <w:sz w:val="24"/>
          <w:szCs w:val="24"/>
        </w:rPr>
        <w:t>1</w:t>
      </w:r>
      <w:r>
        <w:rPr>
          <w:rFonts w:ascii="Times New Roman" w:hint="eastAsia"/>
          <w:color w:val="000000"/>
          <w:sz w:val="24"/>
          <w:szCs w:val="24"/>
        </w:rPr>
        <w:t>片等。</w:t>
      </w:r>
    </w:p>
    <w:p w14:paraId="6D41A766"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w:t>
      </w:r>
      <w:r>
        <w:rPr>
          <w:rFonts w:ascii="Times New Roman" w:hint="eastAsia"/>
          <w:color w:val="000000"/>
          <w:sz w:val="24"/>
          <w:szCs w:val="24"/>
        </w:rPr>
        <w:t>2</w:t>
      </w:r>
      <w:r>
        <w:rPr>
          <w:rFonts w:ascii="Times New Roman" w:hint="eastAsia"/>
          <w:color w:val="000000"/>
          <w:sz w:val="24"/>
          <w:szCs w:val="24"/>
        </w:rPr>
        <w:t>）系统边界</w:t>
      </w:r>
    </w:p>
    <w:p w14:paraId="0ABFE75F"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一次性卫生用品系统边界根据此类产品全生命周期的特点，将系统边界分为上游单元、核心单元和下游单元三个部分（见图</w:t>
      </w:r>
      <w:r>
        <w:rPr>
          <w:rFonts w:ascii="Times New Roman" w:hint="eastAsia"/>
          <w:color w:val="000000"/>
          <w:sz w:val="24"/>
          <w:szCs w:val="24"/>
        </w:rPr>
        <w:t>1</w:t>
      </w:r>
      <w:r>
        <w:rPr>
          <w:rFonts w:ascii="Times New Roman" w:hint="eastAsia"/>
          <w:color w:val="000000"/>
          <w:sz w:val="24"/>
          <w:szCs w:val="24"/>
        </w:rPr>
        <w:t>）。在进行碳足迹核算时，可根据产品在产品链中的位置及评价的目的适当调整上游单元、核心单元和下游单元，并确定产品的系统边界。</w:t>
      </w:r>
    </w:p>
    <w:p w14:paraId="7F1BEFF7"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上游单元包括但不限于以下过程，但并不是一次性卫生用品包括所有过程：</w:t>
      </w:r>
    </w:p>
    <w:p w14:paraId="6DD1C95E"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a</w:t>
      </w:r>
      <w:r>
        <w:rPr>
          <w:rFonts w:ascii="Times New Roman" w:hint="eastAsia"/>
          <w:color w:val="000000"/>
          <w:sz w:val="24"/>
          <w:szCs w:val="24"/>
        </w:rPr>
        <w:t>）林业或农业的种植砍伐，包括种苗的生产、种植（采伐后清理作业、整地、栽种、清理和施肥）、伐木或收割、场内运输和新的种苗生产；</w:t>
      </w:r>
    </w:p>
    <w:p w14:paraId="2427180E"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b</w:t>
      </w:r>
      <w:r>
        <w:rPr>
          <w:rFonts w:ascii="Times New Roman" w:hint="eastAsia"/>
          <w:color w:val="000000"/>
          <w:sz w:val="24"/>
          <w:szCs w:val="24"/>
        </w:rPr>
        <w:t>）石油化工基础原料的采集加工，包括原油的开采、运输、加工等；</w:t>
      </w:r>
    </w:p>
    <w:p w14:paraId="0AD2A323"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c</w:t>
      </w:r>
      <w:r>
        <w:rPr>
          <w:rFonts w:ascii="Times New Roman" w:hint="eastAsia"/>
          <w:color w:val="000000"/>
          <w:sz w:val="24"/>
          <w:szCs w:val="24"/>
        </w:rPr>
        <w:t>）原辅材料的生产（如纸浆、棉纤维及其他纤维、高吸收性树脂、非织造布、膜、化纤、胶黏剂、弹性体等）；</w:t>
      </w:r>
    </w:p>
    <w:p w14:paraId="4DC92538"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d</w:t>
      </w:r>
      <w:r>
        <w:rPr>
          <w:rFonts w:ascii="Times New Roman" w:hint="eastAsia"/>
          <w:color w:val="000000"/>
          <w:sz w:val="24"/>
          <w:szCs w:val="24"/>
        </w:rPr>
        <w:t>）一次性卫生用品包装材料的生产及后加工；</w:t>
      </w:r>
    </w:p>
    <w:p w14:paraId="38A5B554"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e</w:t>
      </w:r>
      <w:r>
        <w:rPr>
          <w:rFonts w:ascii="Times New Roman" w:hint="eastAsia"/>
          <w:color w:val="000000"/>
          <w:sz w:val="24"/>
          <w:szCs w:val="24"/>
        </w:rPr>
        <w:t>）为一次性卫生用品生产过程中使用的辅助化学品的生产过程；</w:t>
      </w:r>
    </w:p>
    <w:p w14:paraId="482A2524"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f</w:t>
      </w:r>
      <w:r>
        <w:rPr>
          <w:rFonts w:ascii="Times New Roman" w:hint="eastAsia"/>
          <w:color w:val="000000"/>
          <w:sz w:val="24"/>
          <w:szCs w:val="24"/>
        </w:rPr>
        <w:t>）上游单元所用能源的生产；</w:t>
      </w:r>
    </w:p>
    <w:p w14:paraId="13DFB6D0"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g</w:t>
      </w:r>
      <w:r>
        <w:rPr>
          <w:rFonts w:ascii="Times New Roman" w:hint="eastAsia"/>
          <w:color w:val="000000"/>
          <w:sz w:val="24"/>
          <w:szCs w:val="24"/>
        </w:rPr>
        <w:t>）生产过程中产生废气、废水、固体废弃物的处理；</w:t>
      </w:r>
    </w:p>
    <w:p w14:paraId="08751026"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h</w:t>
      </w:r>
      <w:r>
        <w:rPr>
          <w:rFonts w:ascii="Times New Roman" w:hint="eastAsia"/>
          <w:color w:val="000000"/>
          <w:sz w:val="24"/>
          <w:szCs w:val="24"/>
        </w:rPr>
        <w:t>）由上游单元</w:t>
      </w:r>
      <w:proofErr w:type="gramStart"/>
      <w:r>
        <w:rPr>
          <w:rFonts w:ascii="Times New Roman" w:hint="eastAsia"/>
          <w:color w:val="000000"/>
          <w:sz w:val="24"/>
          <w:szCs w:val="24"/>
        </w:rPr>
        <w:t>至核心</w:t>
      </w:r>
      <w:proofErr w:type="gramEnd"/>
      <w:r>
        <w:rPr>
          <w:rFonts w:ascii="Times New Roman" w:hint="eastAsia"/>
          <w:color w:val="000000"/>
          <w:sz w:val="24"/>
          <w:szCs w:val="24"/>
        </w:rPr>
        <w:t>单元的运输，包括圆木的运输。</w:t>
      </w:r>
    </w:p>
    <w:p w14:paraId="0DF93954"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核心单元包括但不限于以下过程，但并不是一次性卫生用品包括所有过程：</w:t>
      </w:r>
    </w:p>
    <w:p w14:paraId="2D1915D9"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a</w:t>
      </w:r>
      <w:r>
        <w:rPr>
          <w:rFonts w:ascii="Times New Roman" w:hint="eastAsia"/>
          <w:color w:val="000000"/>
          <w:sz w:val="24"/>
          <w:szCs w:val="24"/>
        </w:rPr>
        <w:t>）一次性卫生用品的生产；</w:t>
      </w:r>
    </w:p>
    <w:p w14:paraId="3667E080"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b</w:t>
      </w:r>
      <w:r>
        <w:rPr>
          <w:rFonts w:ascii="Times New Roman" w:hint="eastAsia"/>
          <w:color w:val="000000"/>
          <w:sz w:val="24"/>
          <w:szCs w:val="24"/>
        </w:rPr>
        <w:t>）核心单元所用能源的生产；</w:t>
      </w:r>
    </w:p>
    <w:p w14:paraId="4A1C70F5"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lastRenderedPageBreak/>
        <w:t>c</w:t>
      </w:r>
      <w:r>
        <w:rPr>
          <w:rFonts w:ascii="Times New Roman" w:hint="eastAsia"/>
          <w:color w:val="000000"/>
          <w:sz w:val="24"/>
          <w:szCs w:val="24"/>
        </w:rPr>
        <w:t>）生产过程中产生废气、废水、固体废弃物的处理；</w:t>
      </w:r>
    </w:p>
    <w:p w14:paraId="40263468"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d</w:t>
      </w:r>
      <w:r>
        <w:rPr>
          <w:rFonts w:ascii="Times New Roman" w:hint="eastAsia"/>
          <w:color w:val="000000"/>
          <w:sz w:val="24"/>
          <w:szCs w:val="24"/>
        </w:rPr>
        <w:t>）产品至下游加工厂、分销商或物流中心的运输。</w:t>
      </w:r>
    </w:p>
    <w:p w14:paraId="14B5459D"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下游单元包括以下过程：</w:t>
      </w:r>
    </w:p>
    <w:p w14:paraId="093C449F"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a</w:t>
      </w:r>
      <w:r>
        <w:rPr>
          <w:rFonts w:ascii="Times New Roman" w:hint="eastAsia"/>
          <w:color w:val="000000"/>
          <w:sz w:val="24"/>
          <w:szCs w:val="24"/>
        </w:rPr>
        <w:t>）从最终制造至普通客户（例如零售商）或分销点的运输；</w:t>
      </w:r>
    </w:p>
    <w:p w14:paraId="68213E28"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b</w:t>
      </w:r>
      <w:r>
        <w:rPr>
          <w:rFonts w:ascii="Times New Roman" w:hint="eastAsia"/>
          <w:color w:val="000000"/>
          <w:sz w:val="24"/>
          <w:szCs w:val="24"/>
        </w:rPr>
        <w:t>）包括包装在内的使用完的产品的废弃处理。</w:t>
      </w:r>
    </w:p>
    <w:p w14:paraId="5E5A7FC9" w14:textId="77777777" w:rsidR="00DB17CE" w:rsidRDefault="00ED408E">
      <w:pPr>
        <w:pStyle w:val="af6"/>
        <w:spacing w:line="360" w:lineRule="auto"/>
        <w:ind w:firstLineChars="0" w:firstLine="0"/>
        <w:jc w:val="center"/>
      </w:pPr>
      <w:r>
        <w:rPr>
          <w:rFonts w:hint="eastAsia"/>
          <w:noProof/>
        </w:rPr>
        <w:drawing>
          <wp:inline distT="0" distB="0" distL="114300" distR="114300" wp14:anchorId="73AA2170" wp14:editId="60D1C3CA">
            <wp:extent cx="5273040" cy="2407285"/>
            <wp:effectExtent l="0" t="0" r="3810" b="12065"/>
            <wp:docPr id="2" name="图片 2" descr="一次性卫生用品系统边界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次性卫生用品系统边界图"/>
                    <pic:cNvPicPr>
                      <a:picLocks noChangeAspect="1"/>
                    </pic:cNvPicPr>
                  </pic:nvPicPr>
                  <pic:blipFill>
                    <a:blip r:embed="rId7"/>
                    <a:stretch>
                      <a:fillRect/>
                    </a:stretch>
                  </pic:blipFill>
                  <pic:spPr>
                    <a:xfrm>
                      <a:off x="0" y="0"/>
                      <a:ext cx="5273040" cy="2407285"/>
                    </a:xfrm>
                    <a:prstGeom prst="rect">
                      <a:avLst/>
                    </a:prstGeom>
                  </pic:spPr>
                </pic:pic>
              </a:graphicData>
            </a:graphic>
          </wp:inline>
        </w:drawing>
      </w:r>
    </w:p>
    <w:p w14:paraId="50E53A81" w14:textId="77777777" w:rsidR="00DB17CE" w:rsidRDefault="00ED408E">
      <w:pPr>
        <w:pStyle w:val="af6"/>
        <w:spacing w:line="360" w:lineRule="auto"/>
        <w:ind w:firstLine="360"/>
        <w:jc w:val="center"/>
        <w:rPr>
          <w:rFonts w:ascii="Times New Roman"/>
          <w:color w:val="000000"/>
          <w:sz w:val="18"/>
          <w:szCs w:val="18"/>
        </w:rPr>
      </w:pPr>
      <w:r>
        <w:rPr>
          <w:rFonts w:ascii="Times New Roman" w:hint="eastAsia"/>
          <w:color w:val="000000"/>
          <w:sz w:val="18"/>
          <w:szCs w:val="18"/>
        </w:rPr>
        <w:t>图</w:t>
      </w:r>
      <w:r>
        <w:rPr>
          <w:rFonts w:ascii="Times New Roman" w:hint="eastAsia"/>
          <w:color w:val="000000"/>
          <w:sz w:val="18"/>
          <w:szCs w:val="18"/>
        </w:rPr>
        <w:t xml:space="preserve">1 </w:t>
      </w:r>
      <w:r>
        <w:rPr>
          <w:rFonts w:ascii="Times New Roman" w:hint="eastAsia"/>
          <w:color w:val="000000"/>
          <w:sz w:val="18"/>
          <w:szCs w:val="18"/>
        </w:rPr>
        <w:t>一次性卫生用品系统边界</w:t>
      </w:r>
      <w:r>
        <w:rPr>
          <w:rFonts w:ascii="Times New Roman" w:hint="eastAsia"/>
          <w:color w:val="000000"/>
          <w:sz w:val="18"/>
          <w:szCs w:val="18"/>
        </w:rPr>
        <w:t>示意图</w:t>
      </w:r>
    </w:p>
    <w:p w14:paraId="050243B4" w14:textId="77777777" w:rsidR="00DB17CE" w:rsidRDefault="00ED408E">
      <w:pPr>
        <w:pStyle w:val="af6"/>
        <w:spacing w:line="360" w:lineRule="auto"/>
        <w:ind w:firstLineChars="0" w:firstLine="0"/>
        <w:rPr>
          <w:rFonts w:ascii="Times New Roman"/>
          <w:b/>
          <w:sz w:val="24"/>
          <w:szCs w:val="24"/>
        </w:rPr>
      </w:pPr>
      <w:r>
        <w:rPr>
          <w:rFonts w:ascii="Times New Roman" w:hint="eastAsia"/>
          <w:b/>
          <w:sz w:val="24"/>
          <w:szCs w:val="24"/>
        </w:rPr>
        <w:t xml:space="preserve">3.5 </w:t>
      </w:r>
      <w:r>
        <w:rPr>
          <w:rFonts w:ascii="Times New Roman" w:hint="eastAsia"/>
          <w:b/>
          <w:sz w:val="24"/>
          <w:szCs w:val="24"/>
        </w:rPr>
        <w:t>数据收集与数据处理</w:t>
      </w:r>
    </w:p>
    <w:p w14:paraId="42EC05E4"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1</w:t>
      </w:r>
      <w:r>
        <w:rPr>
          <w:rFonts w:ascii="Times New Roman" w:hint="eastAsia"/>
          <w:color w:val="000000"/>
          <w:sz w:val="24"/>
          <w:szCs w:val="24"/>
        </w:rPr>
        <w:t>）数据描述</w:t>
      </w:r>
    </w:p>
    <w:p w14:paraId="73AAC9D3"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一次性卫生用品碳足迹核算需要两类数据：活动数据和排放因子。活动数据是指产品生命周期中涉及的所有</w:t>
      </w:r>
      <w:r>
        <w:rPr>
          <w:rFonts w:ascii="Times New Roman" w:hint="eastAsia"/>
          <w:color w:val="000000"/>
          <w:sz w:val="24"/>
          <w:szCs w:val="24"/>
        </w:rPr>
        <w:t>资源</w:t>
      </w:r>
      <w:r>
        <w:rPr>
          <w:rFonts w:ascii="Times New Roman" w:hint="eastAsia"/>
          <w:color w:val="000000"/>
          <w:sz w:val="24"/>
          <w:szCs w:val="24"/>
        </w:rPr>
        <w:t>使用量和能源消耗量（物料输入和输出、能源使用和运输等）。排放因子是一种联系，可将这些数据转换成</w:t>
      </w:r>
      <w:r>
        <w:rPr>
          <w:rFonts w:ascii="Times New Roman" w:hint="eastAsia"/>
          <w:color w:val="000000"/>
          <w:sz w:val="24"/>
          <w:szCs w:val="24"/>
        </w:rPr>
        <w:t>GHG</w:t>
      </w:r>
      <w:r>
        <w:rPr>
          <w:rFonts w:ascii="Times New Roman" w:hint="eastAsia"/>
          <w:color w:val="000000"/>
          <w:sz w:val="24"/>
          <w:szCs w:val="24"/>
        </w:rPr>
        <w:t>排放。活动数据和排放因子可来自初级数据或次级数据。</w:t>
      </w:r>
    </w:p>
    <w:p w14:paraId="7A0DA739"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初级数据包含直接排放的活动数据或从特定场地获取的数据，也可包含产品相应进程中的数据分配值。初级数据可通过测量或建模获得，分配的数据只要满足初级数据的要求，则可被认为是初级数据。一般情况下，应尽可能使用初级数据。数据收集宜分别针对各个过程进行，如纸浆生产、吸水衬纸生产、非织造布生产、一次性卫生用品加工、运输和废弃处理等过程。也可对发生过程的场所进行，如林地、纸浆等原材料的生产地点、废弃物的处理地点、能源加工转换地点等，这些初级数据应代表为其收集数据的过程。</w:t>
      </w:r>
    </w:p>
    <w:p w14:paraId="78D53468"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凡无法获得初级数据或者初级数据质量有问题时，有必要使用直接测量以外其他来源的次级数据。次级数据的来源包括但不限于以下方面：</w:t>
      </w:r>
    </w:p>
    <w:p w14:paraId="26487FFB"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lastRenderedPageBreak/>
        <w:t>a</w:t>
      </w:r>
      <w:r>
        <w:rPr>
          <w:rFonts w:ascii="Times New Roman"/>
          <w:color w:val="000000"/>
          <w:sz w:val="24"/>
          <w:szCs w:val="24"/>
        </w:rPr>
        <w:t>）使用经同行评审过出版物中的数据，以及其他合格来源（如国家政府、联合国正式出版物和由联合国支持机构的出版物）的数据；</w:t>
      </w:r>
    </w:p>
    <w:p w14:paraId="46627FF3"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t>b</w:t>
      </w:r>
      <w:r>
        <w:rPr>
          <w:rFonts w:ascii="Times New Roman"/>
          <w:color w:val="000000"/>
          <w:sz w:val="24"/>
          <w:szCs w:val="24"/>
        </w:rPr>
        <w:t>）多行业生命周期数据库，既有商业的，也有公开提供的；</w:t>
      </w:r>
    </w:p>
    <w:p w14:paraId="4BD356DB"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c</w:t>
      </w:r>
      <w:r>
        <w:rPr>
          <w:rFonts w:ascii="Times New Roman" w:hint="eastAsia"/>
          <w:color w:val="000000"/>
          <w:sz w:val="24"/>
          <w:szCs w:val="24"/>
        </w:rPr>
        <w:t>）</w:t>
      </w:r>
      <w:r>
        <w:rPr>
          <w:rFonts w:ascii="Times New Roman" w:hint="eastAsia"/>
          <w:color w:val="000000"/>
          <w:sz w:val="24"/>
          <w:szCs w:val="24"/>
        </w:rPr>
        <w:t>行业数据库；</w:t>
      </w:r>
    </w:p>
    <w:p w14:paraId="05B7F7A3"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d</w:t>
      </w:r>
      <w:r>
        <w:rPr>
          <w:rFonts w:ascii="Times New Roman"/>
          <w:color w:val="000000"/>
          <w:sz w:val="24"/>
          <w:szCs w:val="24"/>
        </w:rPr>
        <w:t>）国家数据来源，例如政府机构。</w:t>
      </w:r>
    </w:p>
    <w:p w14:paraId="7DA3E727"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2</w:t>
      </w:r>
      <w:r>
        <w:rPr>
          <w:rFonts w:ascii="Times New Roman" w:hint="eastAsia"/>
          <w:color w:val="000000"/>
          <w:sz w:val="24"/>
          <w:szCs w:val="24"/>
        </w:rPr>
        <w:t>）数据质量要求</w:t>
      </w:r>
    </w:p>
    <w:p w14:paraId="13E7B330"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在确定产品碳足迹量化所使用的初级数据和次级数据时，应优先考虑以下方面：</w:t>
      </w:r>
    </w:p>
    <w:p w14:paraId="3AD20132"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t>a</w:t>
      </w:r>
      <w:r>
        <w:rPr>
          <w:rFonts w:ascii="Times New Roman"/>
          <w:color w:val="000000"/>
          <w:sz w:val="24"/>
          <w:szCs w:val="24"/>
        </w:rPr>
        <w:t>）覆盖范围：收集包括该产品系统边界内的所有温室气体排放</w:t>
      </w:r>
      <w:r>
        <w:rPr>
          <w:rFonts w:ascii="Times New Roman" w:hint="eastAsia"/>
          <w:color w:val="000000"/>
          <w:sz w:val="24"/>
          <w:szCs w:val="24"/>
        </w:rPr>
        <w:t>；</w:t>
      </w:r>
    </w:p>
    <w:p w14:paraId="25849CF4"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t>b</w:t>
      </w:r>
      <w:r>
        <w:rPr>
          <w:rFonts w:ascii="Times New Roman"/>
          <w:color w:val="000000"/>
          <w:sz w:val="24"/>
          <w:szCs w:val="24"/>
        </w:rPr>
        <w:t>）时间代表性：数据能代表声明报告期的活动水平，一般收集声明报告期上一年的活动数据；最短期限不少于</w:t>
      </w:r>
      <w:r>
        <w:rPr>
          <w:rFonts w:ascii="Times New Roman"/>
          <w:color w:val="000000"/>
          <w:sz w:val="24"/>
          <w:szCs w:val="24"/>
        </w:rPr>
        <w:t>1</w:t>
      </w:r>
      <w:r>
        <w:rPr>
          <w:rFonts w:ascii="Times New Roman"/>
          <w:color w:val="000000"/>
          <w:sz w:val="24"/>
          <w:szCs w:val="24"/>
        </w:rPr>
        <w:t>年，最长不超过</w:t>
      </w:r>
      <w:r>
        <w:rPr>
          <w:rFonts w:ascii="Times New Roman" w:hint="eastAsia"/>
          <w:color w:val="000000"/>
          <w:sz w:val="24"/>
          <w:szCs w:val="24"/>
        </w:rPr>
        <w:t>3</w:t>
      </w:r>
      <w:r>
        <w:rPr>
          <w:rFonts w:ascii="Times New Roman"/>
          <w:color w:val="000000"/>
          <w:sz w:val="24"/>
          <w:szCs w:val="24"/>
        </w:rPr>
        <w:t>年。森林的碳</w:t>
      </w:r>
      <w:r>
        <w:rPr>
          <w:rFonts w:ascii="Times New Roman" w:hint="eastAsia"/>
          <w:color w:val="000000"/>
          <w:sz w:val="24"/>
          <w:szCs w:val="24"/>
        </w:rPr>
        <w:t>存储</w:t>
      </w:r>
      <w:r>
        <w:rPr>
          <w:rFonts w:ascii="Times New Roman"/>
          <w:color w:val="000000"/>
          <w:sz w:val="24"/>
          <w:szCs w:val="24"/>
        </w:rPr>
        <w:t>时间期限可适当延长。</w:t>
      </w:r>
      <w:proofErr w:type="gramStart"/>
      <w:r>
        <w:rPr>
          <w:rFonts w:ascii="Times New Roman"/>
          <w:color w:val="000000"/>
          <w:sz w:val="24"/>
          <w:szCs w:val="24"/>
        </w:rPr>
        <w:t>若数据</w:t>
      </w:r>
      <w:proofErr w:type="gramEnd"/>
      <w:r>
        <w:rPr>
          <w:rFonts w:ascii="Times New Roman"/>
          <w:color w:val="000000"/>
          <w:sz w:val="24"/>
          <w:szCs w:val="24"/>
        </w:rPr>
        <w:t>不在此时间期限内，应给出充分的数据合理性说明</w:t>
      </w:r>
      <w:r>
        <w:rPr>
          <w:rFonts w:ascii="Times New Roman" w:hint="eastAsia"/>
          <w:color w:val="000000"/>
          <w:sz w:val="24"/>
          <w:szCs w:val="24"/>
        </w:rPr>
        <w:t>；</w:t>
      </w:r>
    </w:p>
    <w:p w14:paraId="6B86028C"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t>c</w:t>
      </w:r>
      <w:r>
        <w:rPr>
          <w:rFonts w:ascii="Times New Roman"/>
          <w:color w:val="000000"/>
          <w:sz w:val="24"/>
          <w:szCs w:val="24"/>
        </w:rPr>
        <w:t>）地域代表性：收集数据所在的地理区域，以及针对具有地理特性的产品的具体数据</w:t>
      </w:r>
      <w:r>
        <w:rPr>
          <w:rFonts w:ascii="Times New Roman" w:hint="eastAsia"/>
          <w:color w:val="000000"/>
          <w:sz w:val="24"/>
          <w:szCs w:val="24"/>
        </w:rPr>
        <w:t>；</w:t>
      </w:r>
    </w:p>
    <w:p w14:paraId="0F1CA0C2"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color w:val="000000"/>
          <w:sz w:val="24"/>
          <w:szCs w:val="24"/>
        </w:rPr>
        <w:t>d</w:t>
      </w:r>
      <w:r>
        <w:rPr>
          <w:rFonts w:ascii="Times New Roman"/>
          <w:color w:val="000000"/>
          <w:sz w:val="24"/>
          <w:szCs w:val="24"/>
        </w:rPr>
        <w:t>）技术代表性：采用与产品生命周期内所用的技术具</w:t>
      </w:r>
      <w:r>
        <w:rPr>
          <w:rFonts w:ascii="Times New Roman" w:hint="eastAsia"/>
          <w:color w:val="000000"/>
          <w:sz w:val="24"/>
          <w:szCs w:val="24"/>
        </w:rPr>
        <w:t>有</w:t>
      </w:r>
      <w:r>
        <w:rPr>
          <w:rFonts w:ascii="Times New Roman"/>
          <w:color w:val="000000"/>
          <w:sz w:val="24"/>
          <w:szCs w:val="24"/>
        </w:rPr>
        <w:t>一致性的数据</w:t>
      </w:r>
      <w:r>
        <w:rPr>
          <w:rFonts w:ascii="Times New Roman" w:hint="eastAsia"/>
          <w:color w:val="000000"/>
          <w:sz w:val="24"/>
          <w:szCs w:val="24"/>
        </w:rPr>
        <w:t>；</w:t>
      </w:r>
    </w:p>
    <w:p w14:paraId="584FFB88"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e</w:t>
      </w:r>
      <w:r>
        <w:rPr>
          <w:rFonts w:ascii="Times New Roman"/>
          <w:color w:val="000000"/>
          <w:sz w:val="24"/>
          <w:szCs w:val="24"/>
        </w:rPr>
        <w:t>）</w:t>
      </w:r>
      <w:r>
        <w:rPr>
          <w:rFonts w:ascii="Times New Roman" w:hint="eastAsia"/>
          <w:color w:val="000000"/>
          <w:sz w:val="24"/>
          <w:szCs w:val="24"/>
        </w:rPr>
        <w:t>可重现性：对其他独立从业人员采用同一方法学和数值信息重现相同研究结果的定性评价</w:t>
      </w:r>
      <w:r>
        <w:rPr>
          <w:rFonts w:ascii="Times New Roman" w:hint="eastAsia"/>
          <w:color w:val="000000"/>
          <w:sz w:val="24"/>
          <w:szCs w:val="24"/>
        </w:rPr>
        <w:t>。</w:t>
      </w:r>
    </w:p>
    <w:p w14:paraId="0F716E12"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3</w:t>
      </w:r>
      <w:r>
        <w:rPr>
          <w:rFonts w:ascii="Times New Roman" w:hint="eastAsia"/>
          <w:color w:val="000000"/>
          <w:sz w:val="24"/>
          <w:szCs w:val="24"/>
        </w:rPr>
        <w:t>）取舍原则</w:t>
      </w:r>
    </w:p>
    <w:p w14:paraId="0D985DF7"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系统边界确定的取舍原则是列入所有的“实质性”排放，即由选定的产品在生产、使用、处置或再生利用过程中直接或间接产生的排放。实质性排放是指超过该产品生命周期预期排放总量</w:t>
      </w:r>
      <w:r>
        <w:rPr>
          <w:rFonts w:ascii="Times New Roman" w:hint="eastAsia"/>
          <w:color w:val="000000"/>
          <w:sz w:val="24"/>
          <w:szCs w:val="24"/>
        </w:rPr>
        <w:t>1%</w:t>
      </w:r>
      <w:r>
        <w:rPr>
          <w:rFonts w:ascii="Times New Roman" w:hint="eastAsia"/>
          <w:color w:val="000000"/>
          <w:sz w:val="24"/>
          <w:szCs w:val="24"/>
        </w:rPr>
        <w:t>的任一来源的排放。可将非实质性排放排除在外，即占排放总量不到</w:t>
      </w:r>
      <w:r>
        <w:rPr>
          <w:rFonts w:ascii="Times New Roman" w:hint="eastAsia"/>
          <w:color w:val="000000"/>
          <w:sz w:val="24"/>
          <w:szCs w:val="24"/>
        </w:rPr>
        <w:t>1%</w:t>
      </w:r>
      <w:r>
        <w:rPr>
          <w:rFonts w:ascii="Times New Roman" w:hint="eastAsia"/>
          <w:color w:val="000000"/>
          <w:sz w:val="24"/>
          <w:szCs w:val="24"/>
        </w:rPr>
        <w:t>的任何单一来源。但是，非实质性排放源的总比例不应超过整个产品碳足迹的</w:t>
      </w:r>
      <w:r>
        <w:rPr>
          <w:rFonts w:ascii="Times New Roman" w:hint="eastAsia"/>
          <w:color w:val="000000"/>
          <w:sz w:val="24"/>
          <w:szCs w:val="24"/>
        </w:rPr>
        <w:t>5%</w:t>
      </w:r>
      <w:r>
        <w:rPr>
          <w:rFonts w:ascii="Times New Roman" w:hint="eastAsia"/>
          <w:color w:val="000000"/>
          <w:sz w:val="24"/>
          <w:szCs w:val="24"/>
        </w:rPr>
        <w:t>。</w:t>
      </w:r>
    </w:p>
    <w:p w14:paraId="295993C4"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4</w:t>
      </w:r>
      <w:r>
        <w:rPr>
          <w:rFonts w:ascii="Times New Roman" w:hint="eastAsia"/>
          <w:color w:val="000000"/>
          <w:sz w:val="24"/>
          <w:szCs w:val="24"/>
        </w:rPr>
        <w:t>）数据分配</w:t>
      </w:r>
    </w:p>
    <w:p w14:paraId="6C86812B"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一次性卫生用品生命周期内不可能只有一种原料的输入或一种产品的输出，生产工艺常通过原料或配件互相连接，所以在进行碳足迹核算时，应根据既定的程序将物流、能流和环境排放分配到各个产品。碳足迹核算中的分配应遵循以下原则：</w:t>
      </w:r>
    </w:p>
    <w:p w14:paraId="7F164CF2"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lastRenderedPageBreak/>
        <w:t>a</w:t>
      </w:r>
      <w:r>
        <w:rPr>
          <w:rFonts w:ascii="Times New Roman" w:hint="eastAsia"/>
          <w:color w:val="000000"/>
          <w:sz w:val="24"/>
          <w:szCs w:val="24"/>
        </w:rPr>
        <w:t>）各个单元过程如纸浆生产、非织造布生产、热熔胶生产等过程，可根据各个过程的输入量（如能源、原料、水等）或输出量（如产品产量、废</w:t>
      </w:r>
      <w:r>
        <w:rPr>
          <w:rFonts w:ascii="Times New Roman" w:hint="eastAsia"/>
          <w:color w:val="000000"/>
          <w:sz w:val="24"/>
          <w:szCs w:val="24"/>
        </w:rPr>
        <w:t>水</w:t>
      </w:r>
      <w:r>
        <w:rPr>
          <w:rFonts w:ascii="Times New Roman" w:hint="eastAsia"/>
          <w:color w:val="000000"/>
          <w:sz w:val="24"/>
          <w:szCs w:val="24"/>
        </w:rPr>
        <w:t>产生量等）进行分配；</w:t>
      </w:r>
    </w:p>
    <w:p w14:paraId="1592E9B6" w14:textId="77777777" w:rsidR="00DB17CE" w:rsidRDefault="00ED408E">
      <w:pPr>
        <w:pStyle w:val="af6"/>
        <w:spacing w:line="360" w:lineRule="auto"/>
        <w:ind w:leftChars="200" w:left="900" w:hangingChars="200" w:hanging="480"/>
        <w:rPr>
          <w:rFonts w:ascii="Times New Roman"/>
          <w:color w:val="000000"/>
          <w:sz w:val="24"/>
          <w:szCs w:val="24"/>
        </w:rPr>
      </w:pPr>
      <w:r>
        <w:rPr>
          <w:rFonts w:ascii="Times New Roman" w:hint="eastAsia"/>
          <w:color w:val="000000"/>
          <w:sz w:val="24"/>
          <w:szCs w:val="24"/>
        </w:rPr>
        <w:t>b</w:t>
      </w:r>
      <w:r>
        <w:rPr>
          <w:rFonts w:ascii="Times New Roman" w:hint="eastAsia"/>
          <w:color w:val="000000"/>
          <w:sz w:val="24"/>
          <w:szCs w:val="24"/>
        </w:rPr>
        <w:t>）收集各制造过程原料或服务供应商的相关数据，并按照实际使用比率进行分配。</w:t>
      </w:r>
    </w:p>
    <w:p w14:paraId="401CA018" w14:textId="77777777" w:rsidR="00DB17CE" w:rsidRDefault="00ED408E">
      <w:pPr>
        <w:tabs>
          <w:tab w:val="center" w:pos="4201"/>
          <w:tab w:val="right" w:leader="dot" w:pos="9298"/>
        </w:tabs>
        <w:ind w:leftChars="200" w:left="780" w:hangingChars="200" w:hanging="360"/>
        <w:rPr>
          <w:sz w:val="18"/>
          <w:szCs w:val="18"/>
        </w:rPr>
      </w:pPr>
      <w:r>
        <w:rPr>
          <w:rFonts w:ascii="黑体" w:eastAsia="黑体" w:hAnsi="黑体" w:cs="黑体" w:hint="eastAsia"/>
          <w:sz w:val="18"/>
          <w:szCs w:val="18"/>
        </w:rPr>
        <w:t>注</w:t>
      </w:r>
      <w:r>
        <w:rPr>
          <w:rFonts w:ascii="黑体" w:eastAsia="黑体" w:hAnsi="黑体" w:cs="黑体" w:hint="eastAsia"/>
          <w:sz w:val="18"/>
          <w:szCs w:val="18"/>
        </w:rPr>
        <w:t>1</w:t>
      </w:r>
      <w:r>
        <w:rPr>
          <w:rFonts w:hint="eastAsia"/>
          <w:sz w:val="18"/>
          <w:szCs w:val="18"/>
        </w:rPr>
        <w:t>：一些设备生产有多种产品或副产品，碳排放需分配给不同的产品，但是在生命周期研究中，碳排放通常不分配给副产品。</w:t>
      </w:r>
    </w:p>
    <w:p w14:paraId="25367C4E" w14:textId="77777777" w:rsidR="00DB17CE" w:rsidRDefault="00ED408E">
      <w:pPr>
        <w:tabs>
          <w:tab w:val="center" w:pos="4201"/>
          <w:tab w:val="right" w:leader="dot" w:pos="9298"/>
        </w:tabs>
        <w:ind w:leftChars="200" w:left="780" w:hangingChars="200" w:hanging="360"/>
        <w:rPr>
          <w:sz w:val="18"/>
          <w:szCs w:val="18"/>
        </w:rPr>
      </w:pPr>
      <w:r>
        <w:rPr>
          <w:rFonts w:ascii="黑体" w:eastAsia="黑体" w:hAnsi="黑体" w:cs="黑体" w:hint="eastAsia"/>
          <w:sz w:val="18"/>
          <w:szCs w:val="18"/>
        </w:rPr>
        <w:t>注</w:t>
      </w:r>
      <w:r>
        <w:rPr>
          <w:rFonts w:ascii="黑体" w:eastAsia="黑体" w:hAnsi="黑体" w:cs="黑体" w:hint="eastAsia"/>
          <w:sz w:val="18"/>
          <w:szCs w:val="18"/>
        </w:rPr>
        <w:t>2</w:t>
      </w:r>
      <w:r>
        <w:rPr>
          <w:rFonts w:hint="eastAsia"/>
          <w:sz w:val="18"/>
          <w:szCs w:val="18"/>
        </w:rPr>
        <w:t>：工厂有时售出多余的电力或</w:t>
      </w:r>
      <w:r>
        <w:rPr>
          <w:rFonts w:hint="eastAsia"/>
          <w:sz w:val="18"/>
          <w:szCs w:val="18"/>
        </w:rPr>
        <w:t>热力等</w:t>
      </w:r>
      <w:r>
        <w:rPr>
          <w:rFonts w:hint="eastAsia"/>
          <w:sz w:val="18"/>
          <w:szCs w:val="18"/>
        </w:rPr>
        <w:t>，有三种方法调整碳足迹的计算。第一种方法将其作为产品或副产品，计算</w:t>
      </w:r>
      <w:r>
        <w:rPr>
          <w:rFonts w:hint="eastAsia"/>
          <w:sz w:val="18"/>
          <w:szCs w:val="18"/>
        </w:rPr>
        <w:t>GHG</w:t>
      </w:r>
      <w:r>
        <w:rPr>
          <w:rFonts w:hint="eastAsia"/>
          <w:sz w:val="18"/>
          <w:szCs w:val="18"/>
        </w:rPr>
        <w:t>排放并进行分配。第二</w:t>
      </w:r>
      <w:r>
        <w:rPr>
          <w:rFonts w:hint="eastAsia"/>
          <w:sz w:val="18"/>
          <w:szCs w:val="18"/>
        </w:rPr>
        <w:t>种</w:t>
      </w:r>
      <w:r>
        <w:rPr>
          <w:rFonts w:hint="eastAsia"/>
          <w:sz w:val="18"/>
          <w:szCs w:val="18"/>
        </w:rPr>
        <w:t>方法特别适合于外售量较小，能按从购买的电力中进行扣除，</w:t>
      </w:r>
      <w:proofErr w:type="gramStart"/>
      <w:r>
        <w:rPr>
          <w:rFonts w:hint="eastAsia"/>
          <w:sz w:val="18"/>
          <w:szCs w:val="18"/>
        </w:rPr>
        <w:t>评价净购电力</w:t>
      </w:r>
      <w:proofErr w:type="gramEnd"/>
      <w:r>
        <w:rPr>
          <w:rFonts w:hint="eastAsia"/>
          <w:sz w:val="18"/>
          <w:szCs w:val="18"/>
        </w:rPr>
        <w:t>的排放。第三</w:t>
      </w:r>
      <w:r>
        <w:rPr>
          <w:rFonts w:hint="eastAsia"/>
          <w:sz w:val="18"/>
          <w:szCs w:val="18"/>
        </w:rPr>
        <w:t>种</w:t>
      </w:r>
      <w:r>
        <w:rPr>
          <w:rFonts w:hint="eastAsia"/>
          <w:sz w:val="18"/>
          <w:szCs w:val="18"/>
        </w:rPr>
        <w:t>方法</w:t>
      </w:r>
      <w:proofErr w:type="gramStart"/>
      <w:r>
        <w:rPr>
          <w:rFonts w:hint="eastAsia"/>
          <w:sz w:val="18"/>
          <w:szCs w:val="18"/>
        </w:rPr>
        <w:t>按避免</w:t>
      </w:r>
      <w:proofErr w:type="gramEnd"/>
      <w:r>
        <w:rPr>
          <w:rFonts w:hint="eastAsia"/>
          <w:sz w:val="18"/>
          <w:szCs w:val="18"/>
        </w:rPr>
        <w:t>排放评价。</w:t>
      </w:r>
    </w:p>
    <w:p w14:paraId="364B9008" w14:textId="77777777" w:rsidR="00DB17CE" w:rsidRDefault="00ED408E">
      <w:pPr>
        <w:pStyle w:val="af6"/>
        <w:spacing w:line="360" w:lineRule="auto"/>
        <w:ind w:firstLineChars="0" w:firstLine="0"/>
        <w:rPr>
          <w:rFonts w:ascii="Times New Roman"/>
          <w:b/>
          <w:sz w:val="24"/>
          <w:szCs w:val="24"/>
        </w:rPr>
      </w:pPr>
      <w:r>
        <w:rPr>
          <w:rFonts w:ascii="Times New Roman" w:hint="eastAsia"/>
          <w:b/>
          <w:sz w:val="24"/>
          <w:szCs w:val="24"/>
        </w:rPr>
        <w:t xml:space="preserve">3.6 </w:t>
      </w:r>
      <w:r>
        <w:rPr>
          <w:rFonts w:ascii="Times New Roman" w:hint="eastAsia"/>
          <w:b/>
          <w:sz w:val="24"/>
          <w:szCs w:val="24"/>
        </w:rPr>
        <w:t>核算方法</w:t>
      </w:r>
    </w:p>
    <w:p w14:paraId="0BE158A1"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根据产品碳足迹的定义，一次性卫生用品碳足迹是将</w:t>
      </w:r>
      <w:proofErr w:type="gramStart"/>
      <w:r>
        <w:rPr>
          <w:rFonts w:ascii="Times New Roman" w:hint="eastAsia"/>
          <w:color w:val="000000"/>
          <w:sz w:val="24"/>
          <w:szCs w:val="24"/>
        </w:rPr>
        <w:t>每功能</w:t>
      </w:r>
      <w:proofErr w:type="gramEnd"/>
      <w:r>
        <w:rPr>
          <w:rFonts w:ascii="Times New Roman" w:hint="eastAsia"/>
          <w:color w:val="000000"/>
          <w:sz w:val="24"/>
          <w:szCs w:val="24"/>
        </w:rPr>
        <w:t>单位产品产生的温室气体排放和清除总量乘以温室气体的全球</w:t>
      </w:r>
      <w:r>
        <w:rPr>
          <w:rFonts w:ascii="Times New Roman" w:hint="eastAsia"/>
          <w:color w:val="000000"/>
          <w:sz w:val="24"/>
          <w:szCs w:val="24"/>
        </w:rPr>
        <w:t>变暖</w:t>
      </w:r>
      <w:r>
        <w:rPr>
          <w:rFonts w:ascii="Times New Roman" w:hint="eastAsia"/>
          <w:color w:val="000000"/>
          <w:sz w:val="24"/>
          <w:szCs w:val="24"/>
        </w:rPr>
        <w:t>潜势得到。温室气体排放由活动数据乘以相应的排放因子获得。</w:t>
      </w:r>
    </w:p>
    <w:p w14:paraId="5F11C42B"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w:t>
      </w:r>
      <w:r>
        <w:rPr>
          <w:rFonts w:ascii="Times New Roman" w:hint="eastAsia"/>
          <w:color w:val="000000"/>
          <w:sz w:val="24"/>
          <w:szCs w:val="24"/>
        </w:rPr>
        <w:t>1</w:t>
      </w:r>
      <w:r>
        <w:rPr>
          <w:rFonts w:ascii="Times New Roman" w:hint="eastAsia"/>
          <w:color w:val="000000"/>
          <w:sz w:val="24"/>
          <w:szCs w:val="24"/>
        </w:rPr>
        <w:t>）</w:t>
      </w:r>
      <w:r>
        <w:rPr>
          <w:rFonts w:ascii="Times New Roman" w:hint="eastAsia"/>
          <w:color w:val="000000"/>
          <w:sz w:val="24"/>
          <w:szCs w:val="24"/>
        </w:rPr>
        <w:t>系统边界内一次性卫生用品碳足迹具体的核算方法如下：</w:t>
      </w:r>
    </w:p>
    <w:p w14:paraId="479FA1DA" w14:textId="77777777" w:rsidR="00DB17CE" w:rsidRDefault="00ED408E">
      <w:pPr>
        <w:pStyle w:val="af6"/>
        <w:spacing w:line="360" w:lineRule="auto"/>
        <w:ind w:firstLine="480"/>
        <w:rPr>
          <w:rFonts w:ascii="Times New Roman"/>
          <w:i/>
          <w:iCs/>
          <w:color w:val="000000"/>
          <w:sz w:val="24"/>
          <w:szCs w:val="24"/>
        </w:rPr>
      </w:pPr>
      <m:oMathPara>
        <m:oMath>
          <m:r>
            <w:rPr>
              <w:rFonts w:ascii="Cambria Math" w:hAnsi="Cambria Math"/>
              <w:color w:val="000000"/>
              <w:sz w:val="24"/>
              <w:szCs w:val="24"/>
            </w:rPr>
            <m:t>CF</m:t>
          </m:r>
          <m:r>
            <w:rPr>
              <w:rFonts w:ascii="Cambria Math" w:hAnsi="Cambria Math"/>
              <w:color w:val="000000"/>
              <w:sz w:val="24"/>
              <w:szCs w:val="24"/>
            </w:rPr>
            <m:t>P</m:t>
          </m:r>
          <m:r>
            <w:rPr>
              <w:rFonts w:ascii="Cambria Math" w:hAnsi="Cambria Math" w:hint="eastAsia"/>
              <w:color w:val="000000"/>
              <w:sz w:val="24"/>
              <w:szCs w:val="24"/>
            </w:rPr>
            <m:t>=</m:t>
          </m:r>
          <m:r>
            <w:rPr>
              <w:rFonts w:ascii="Cambria Math" w:hAnsi="Cambria Math" w:cs="Cambria Math"/>
              <w:color w:val="000000"/>
              <w:sz w:val="24"/>
              <w:szCs w:val="24"/>
            </w:rPr>
            <m:t>∑</m:t>
          </m:r>
          <m:sSub>
            <m:sSubPr>
              <m:ctrlPr>
                <w:rPr>
                  <w:rFonts w:ascii="Cambria Math" w:hAnsi="Cambria Math" w:cs="Cambria Math"/>
                  <w:i/>
                  <w:iCs/>
                  <w:color w:val="000000"/>
                  <w:sz w:val="24"/>
                  <w:szCs w:val="24"/>
                </w:rPr>
              </m:ctrlPr>
            </m:sSubPr>
            <m:e>
              <m:r>
                <w:rPr>
                  <w:rFonts w:ascii="Cambria Math" w:hAnsi="Cambria Math" w:cs="Cambria Math"/>
                  <w:color w:val="000000"/>
                  <w:sz w:val="24"/>
                  <w:szCs w:val="24"/>
                </w:rPr>
                <m:t>GHG</m:t>
              </m:r>
            </m:e>
            <m:sub>
              <m:r>
                <w:rPr>
                  <w:rFonts w:ascii="Cambria Math" w:hAnsi="Cambria Math" w:cs="Cambria Math"/>
                  <w:color w:val="000000"/>
                  <w:sz w:val="24"/>
                  <w:szCs w:val="24"/>
                </w:rPr>
                <m:t>i</m:t>
              </m:r>
            </m:sub>
          </m:sSub>
          <m:r>
            <w:rPr>
              <w:rFonts w:ascii="Cambria Math" w:hAnsi="Cambria Math" w:cs="Cambria Math"/>
              <w:color w:val="000000"/>
              <w:sz w:val="24"/>
              <w:szCs w:val="24"/>
            </w:rPr>
            <m:t>×</m:t>
          </m:r>
          <m:sSub>
            <m:sSubPr>
              <m:ctrlPr>
                <w:rPr>
                  <w:rFonts w:ascii="Cambria Math" w:hAnsi="Cambria Math" w:cs="Cambria Math"/>
                  <w:i/>
                  <w:iCs/>
                  <w:color w:val="000000"/>
                  <w:sz w:val="24"/>
                  <w:szCs w:val="24"/>
                </w:rPr>
              </m:ctrlPr>
            </m:sSubPr>
            <m:e>
              <m:r>
                <w:rPr>
                  <w:rFonts w:ascii="Cambria Math" w:hAnsi="Cambria Math"/>
                  <w:color w:val="000000"/>
                  <w:sz w:val="24"/>
                  <w:szCs w:val="24"/>
                </w:rPr>
                <m:t>GWP</m:t>
              </m:r>
            </m:e>
            <m:sub>
              <m:r>
                <w:rPr>
                  <w:rFonts w:ascii="Cambria Math" w:hAnsi="Cambria Math" w:cs="Cambria Math"/>
                  <w:color w:val="000000"/>
                  <w:sz w:val="24"/>
                  <w:szCs w:val="24"/>
                </w:rPr>
                <m:t>i</m:t>
              </m:r>
            </m:sub>
          </m:sSub>
          <m:r>
            <w:rPr>
              <w:rFonts w:ascii="Cambria Math" w:hAnsi="Cambria Math" w:hint="eastAsia"/>
              <w:color w:val="000000"/>
              <w:sz w:val="24"/>
              <w:szCs w:val="24"/>
            </w:rPr>
            <m:t>=</m:t>
          </m:r>
          <m:r>
            <w:rPr>
              <w:rFonts w:ascii="Cambria Math" w:hAnsi="Cambria Math" w:cs="Cambria Math"/>
              <w:color w:val="000000"/>
              <w:sz w:val="24"/>
              <w:szCs w:val="24"/>
            </w:rPr>
            <m:t>∑</m:t>
          </m:r>
          <m:r>
            <m:rPr>
              <m:sty m:val="p"/>
            </m:rPr>
            <w:rPr>
              <w:rFonts w:ascii="Cambria Math" w:hAnsi="Cambria Math" w:hint="eastAsia"/>
              <w:color w:val="000000"/>
              <w:sz w:val="24"/>
              <w:szCs w:val="24"/>
            </w:rPr>
            <m:t>（</m:t>
          </m:r>
          <m:sSub>
            <m:sSubPr>
              <m:ctrlPr>
                <w:rPr>
                  <w:rFonts w:ascii="Cambria Math" w:hAnsi="Cambria Math" w:hint="eastAsia"/>
                  <w:i/>
                  <w:iCs/>
                  <w:color w:val="000000"/>
                  <w:sz w:val="24"/>
                  <w:szCs w:val="24"/>
                </w:rPr>
              </m:ctrlPr>
            </m:sSubPr>
            <m:e>
              <m:r>
                <w:rPr>
                  <w:rFonts w:ascii="Cambria Math" w:hAnsi="Cambria Math"/>
                  <w:color w:val="000000"/>
                  <w:sz w:val="24"/>
                  <w:szCs w:val="24"/>
                </w:rPr>
                <m:t>GHG</m:t>
              </m:r>
            </m:e>
            <m:sub>
              <m:r>
                <w:rPr>
                  <w:rFonts w:ascii="Cambria Math" w:hAnsi="Cambria Math"/>
                  <w:color w:val="000000"/>
                  <w:sz w:val="24"/>
                  <w:szCs w:val="24"/>
                </w:rPr>
                <m:t>USi</m:t>
              </m:r>
            </m:sub>
          </m:sSub>
          <m:r>
            <w:rPr>
              <w:rFonts w:ascii="Cambria Math" w:hAnsi="Cambria Math"/>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GHG</m:t>
              </m:r>
            </m:e>
            <m:sub>
              <m:r>
                <w:rPr>
                  <w:rFonts w:ascii="Cambria Math" w:hAnsi="Cambria Math"/>
                  <w:color w:val="000000"/>
                  <w:sz w:val="24"/>
                  <w:szCs w:val="24"/>
                </w:rPr>
                <m:t>CSi</m:t>
              </m:r>
            </m:sub>
          </m:sSub>
          <m:r>
            <w:rPr>
              <w:rFonts w:ascii="Cambria Math" w:hAnsi="Cambria Math"/>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GHG</m:t>
              </m:r>
            </m:e>
            <m:sub>
              <m:r>
                <w:rPr>
                  <w:rFonts w:ascii="Cambria Math" w:hAnsi="Cambria Math"/>
                  <w:color w:val="000000"/>
                  <w:sz w:val="24"/>
                  <w:szCs w:val="24"/>
                </w:rPr>
                <m:t>DSi</m:t>
              </m:r>
            </m:sub>
          </m:sSub>
          <m:r>
            <w:rPr>
              <w:rFonts w:ascii="Cambria Math" w:hAnsi="Cambria Math"/>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GHG</m:t>
              </m:r>
            </m:e>
            <m:sub>
              <m:r>
                <w:rPr>
                  <w:rFonts w:ascii="Cambria Math" w:hAnsi="Cambria Math"/>
                  <w:color w:val="000000"/>
                  <w:sz w:val="24"/>
                  <w:szCs w:val="24"/>
                </w:rPr>
                <m:t>Ri</m:t>
              </m:r>
            </m:sub>
          </m:sSub>
          <m:r>
            <m:rPr>
              <m:sty m:val="p"/>
            </m:rPr>
            <w:rPr>
              <w:rFonts w:ascii="Cambria Math" w:hAnsi="Cambria Math" w:hint="eastAsia"/>
              <w:color w:val="000000"/>
              <w:sz w:val="24"/>
              <w:szCs w:val="24"/>
            </w:rPr>
            <m:t>）</m:t>
          </m:r>
          <m:r>
            <w:rPr>
              <w:rFonts w:ascii="Cambria Math" w:hAnsi="Cambria Math" w:cs="Cambria Math"/>
              <w:color w:val="000000"/>
              <w:sz w:val="24"/>
              <w:szCs w:val="24"/>
            </w:rPr>
            <m:t>×</m:t>
          </m:r>
          <m:sSub>
            <m:sSubPr>
              <m:ctrlPr>
                <w:rPr>
                  <w:rFonts w:ascii="Cambria Math" w:hAnsi="Cambria Math" w:cs="Cambria Math"/>
                  <w:i/>
                  <w:iCs/>
                  <w:color w:val="000000"/>
                  <w:sz w:val="24"/>
                  <w:szCs w:val="24"/>
                </w:rPr>
              </m:ctrlPr>
            </m:sSubPr>
            <m:e>
              <m:r>
                <w:rPr>
                  <w:rFonts w:ascii="Cambria Math" w:hAnsi="Cambria Math"/>
                  <w:color w:val="000000"/>
                  <w:sz w:val="24"/>
                  <w:szCs w:val="24"/>
                </w:rPr>
                <m:t>GWP</m:t>
              </m:r>
            </m:e>
            <m:sub>
              <m:r>
                <w:rPr>
                  <w:rFonts w:ascii="Cambria Math" w:hAnsi="Cambria Math"/>
                  <w:color w:val="000000"/>
                  <w:sz w:val="24"/>
                  <w:szCs w:val="24"/>
                </w:rPr>
                <m:t>i</m:t>
              </m:r>
            </m:sub>
          </m:sSub>
        </m:oMath>
      </m:oMathPara>
    </w:p>
    <w:p w14:paraId="5211082D" w14:textId="77777777" w:rsidR="00DB17CE" w:rsidRDefault="00ED408E">
      <w:pPr>
        <w:tabs>
          <w:tab w:val="center" w:pos="4201"/>
          <w:tab w:val="right" w:leader="dot" w:pos="9298"/>
        </w:tabs>
        <w:ind w:firstLineChars="200" w:firstLine="440"/>
        <w:rPr>
          <w:sz w:val="22"/>
          <w:szCs w:val="22"/>
        </w:rPr>
      </w:pPr>
      <w:r>
        <w:rPr>
          <w:rFonts w:hint="eastAsia"/>
          <w:sz w:val="22"/>
          <w:szCs w:val="22"/>
        </w:rPr>
        <w:t>式中：</w:t>
      </w:r>
    </w:p>
    <w:p w14:paraId="72739A55" w14:textId="77777777" w:rsidR="00DB17CE" w:rsidRDefault="00ED408E">
      <w:pPr>
        <w:tabs>
          <w:tab w:val="center" w:pos="4201"/>
          <w:tab w:val="right" w:leader="dot" w:pos="9298"/>
        </w:tabs>
        <w:ind w:firstLineChars="200" w:firstLine="376"/>
        <w:rPr>
          <w:spacing w:val="-11"/>
          <w:szCs w:val="21"/>
        </w:rPr>
      </w:pPr>
      <w:r>
        <w:rPr>
          <w:rFonts w:hint="eastAsia"/>
          <w:i/>
          <w:iCs/>
          <w:spacing w:val="-11"/>
          <w:szCs w:val="21"/>
        </w:rPr>
        <w:t>CF</w:t>
      </w:r>
      <w:r>
        <w:rPr>
          <w:rFonts w:hint="eastAsia"/>
          <w:i/>
          <w:iCs/>
          <w:spacing w:val="-11"/>
          <w:szCs w:val="21"/>
        </w:rPr>
        <w:t>P</w:t>
      </w:r>
      <w:r>
        <w:rPr>
          <w:rFonts w:hint="eastAsia"/>
          <w:spacing w:val="-11"/>
          <w:szCs w:val="21"/>
        </w:rPr>
        <w:t>——产品碳足迹，单位为千克二氧化碳当量（</w:t>
      </w:r>
      <w:r>
        <w:rPr>
          <w:rFonts w:hint="eastAsia"/>
          <w:spacing w:val="-11"/>
          <w:szCs w:val="21"/>
        </w:rPr>
        <w:t>kgCO</w:t>
      </w:r>
      <w:r>
        <w:rPr>
          <w:rFonts w:hint="eastAsia"/>
          <w:spacing w:val="-11"/>
          <w:szCs w:val="21"/>
          <w:vertAlign w:val="subscript"/>
        </w:rPr>
        <w:t>2</w:t>
      </w:r>
      <w:r>
        <w:rPr>
          <w:rFonts w:hint="eastAsia"/>
          <w:spacing w:val="-11"/>
          <w:szCs w:val="21"/>
        </w:rPr>
        <w:t>e</w:t>
      </w:r>
      <w:r>
        <w:rPr>
          <w:rFonts w:hint="eastAsia"/>
          <w:spacing w:val="-11"/>
          <w:szCs w:val="21"/>
        </w:rPr>
        <w:t>）</w:t>
      </w:r>
      <w:r>
        <w:rPr>
          <w:rFonts w:hint="eastAsia"/>
          <w:spacing w:val="-11"/>
          <w:szCs w:val="21"/>
        </w:rPr>
        <w:t>;</w:t>
      </w:r>
    </w:p>
    <w:p w14:paraId="57F4B5F9" w14:textId="77777777" w:rsidR="00DB17CE" w:rsidRDefault="00ED408E">
      <w:pPr>
        <w:tabs>
          <w:tab w:val="center" w:pos="4201"/>
          <w:tab w:val="right" w:leader="dot" w:pos="9298"/>
        </w:tabs>
        <w:ind w:firstLineChars="200" w:firstLine="376"/>
        <w:rPr>
          <w:spacing w:val="-11"/>
          <w:szCs w:val="21"/>
          <w:highlight w:val="yellow"/>
        </w:rPr>
      </w:pPr>
      <w:proofErr w:type="spellStart"/>
      <w:r>
        <w:rPr>
          <w:rFonts w:hint="eastAsia"/>
          <w:i/>
          <w:iCs/>
          <w:spacing w:val="-11"/>
          <w:szCs w:val="21"/>
        </w:rPr>
        <w:t>GHG</w:t>
      </w:r>
      <w:r>
        <w:rPr>
          <w:rFonts w:hint="eastAsia"/>
          <w:i/>
          <w:iCs/>
          <w:spacing w:val="-11"/>
          <w:szCs w:val="21"/>
          <w:vertAlign w:val="subscript"/>
        </w:rPr>
        <w:t>USi</w:t>
      </w:r>
      <w:proofErr w:type="spellEnd"/>
      <w:r>
        <w:rPr>
          <w:rFonts w:hint="eastAsia"/>
          <w:spacing w:val="-11"/>
          <w:szCs w:val="21"/>
        </w:rPr>
        <w:t>——</w:t>
      </w:r>
      <w:proofErr w:type="gramStart"/>
      <w:r>
        <w:rPr>
          <w:rFonts w:hint="eastAsia"/>
          <w:spacing w:val="-11"/>
          <w:szCs w:val="21"/>
        </w:rPr>
        <w:t>每功能</w:t>
      </w:r>
      <w:proofErr w:type="gramEnd"/>
      <w:r>
        <w:rPr>
          <w:rFonts w:hint="eastAsia"/>
          <w:spacing w:val="-11"/>
          <w:szCs w:val="21"/>
        </w:rPr>
        <w:t>单位产品在上游单元制造阶段产生的温室气体</w:t>
      </w:r>
      <w:proofErr w:type="spellStart"/>
      <w:r>
        <w:rPr>
          <w:rFonts w:hint="eastAsia"/>
          <w:i/>
          <w:iCs/>
          <w:spacing w:val="-11"/>
          <w:szCs w:val="21"/>
        </w:rPr>
        <w:t>i</w:t>
      </w:r>
      <w:proofErr w:type="spellEnd"/>
      <w:r>
        <w:rPr>
          <w:rFonts w:hint="eastAsia"/>
          <w:spacing w:val="-11"/>
          <w:szCs w:val="21"/>
        </w:rPr>
        <w:t>的排放，单位为千克（</w:t>
      </w:r>
      <w:r>
        <w:rPr>
          <w:rFonts w:hint="eastAsia"/>
          <w:spacing w:val="-11"/>
          <w:szCs w:val="21"/>
        </w:rPr>
        <w:t>kg</w:t>
      </w:r>
      <w:r>
        <w:rPr>
          <w:rFonts w:hint="eastAsia"/>
          <w:spacing w:val="-11"/>
          <w:szCs w:val="21"/>
        </w:rPr>
        <w:t>）；</w:t>
      </w:r>
    </w:p>
    <w:p w14:paraId="61F5FE7A" w14:textId="77777777" w:rsidR="00DB17CE" w:rsidRDefault="00ED408E">
      <w:pPr>
        <w:tabs>
          <w:tab w:val="center" w:pos="4201"/>
          <w:tab w:val="right" w:leader="dot" w:pos="9298"/>
        </w:tabs>
        <w:ind w:firstLineChars="200" w:firstLine="376"/>
        <w:rPr>
          <w:spacing w:val="-11"/>
          <w:szCs w:val="21"/>
        </w:rPr>
      </w:pPr>
      <w:proofErr w:type="spellStart"/>
      <w:r>
        <w:rPr>
          <w:rFonts w:hint="eastAsia"/>
          <w:i/>
          <w:iCs/>
          <w:spacing w:val="-11"/>
          <w:szCs w:val="21"/>
        </w:rPr>
        <w:t>GHG</w:t>
      </w:r>
      <w:r>
        <w:rPr>
          <w:rFonts w:hint="eastAsia"/>
          <w:i/>
          <w:iCs/>
          <w:spacing w:val="-11"/>
          <w:szCs w:val="21"/>
          <w:vertAlign w:val="subscript"/>
        </w:rPr>
        <w:t>CSi</w:t>
      </w:r>
      <w:proofErr w:type="spellEnd"/>
      <w:r>
        <w:rPr>
          <w:rFonts w:hint="eastAsia"/>
          <w:spacing w:val="-11"/>
          <w:szCs w:val="21"/>
        </w:rPr>
        <w:t>——</w:t>
      </w:r>
      <w:proofErr w:type="gramStart"/>
      <w:r>
        <w:rPr>
          <w:rFonts w:hint="eastAsia"/>
          <w:spacing w:val="-11"/>
          <w:szCs w:val="21"/>
        </w:rPr>
        <w:t>每功能</w:t>
      </w:r>
      <w:proofErr w:type="gramEnd"/>
      <w:r>
        <w:rPr>
          <w:rFonts w:hint="eastAsia"/>
          <w:spacing w:val="-11"/>
          <w:szCs w:val="21"/>
        </w:rPr>
        <w:t>单位产品在核心单元生产阶段产生的温室气体</w:t>
      </w:r>
      <w:proofErr w:type="spellStart"/>
      <w:r>
        <w:rPr>
          <w:rFonts w:hint="eastAsia"/>
          <w:i/>
          <w:iCs/>
          <w:spacing w:val="-11"/>
          <w:szCs w:val="21"/>
        </w:rPr>
        <w:t>i</w:t>
      </w:r>
      <w:proofErr w:type="spellEnd"/>
      <w:r>
        <w:rPr>
          <w:rFonts w:hint="eastAsia"/>
          <w:spacing w:val="-11"/>
          <w:szCs w:val="21"/>
        </w:rPr>
        <w:t>的排放，单位为千克（</w:t>
      </w:r>
      <w:r>
        <w:rPr>
          <w:rFonts w:hint="eastAsia"/>
          <w:spacing w:val="-11"/>
          <w:szCs w:val="21"/>
        </w:rPr>
        <w:t>kg</w:t>
      </w:r>
      <w:r>
        <w:rPr>
          <w:rFonts w:hint="eastAsia"/>
          <w:spacing w:val="-11"/>
          <w:szCs w:val="21"/>
        </w:rPr>
        <w:t>）；</w:t>
      </w:r>
    </w:p>
    <w:p w14:paraId="3530732D" w14:textId="77777777" w:rsidR="00DB17CE" w:rsidRDefault="00ED408E">
      <w:pPr>
        <w:tabs>
          <w:tab w:val="center" w:pos="4201"/>
          <w:tab w:val="right" w:leader="dot" w:pos="9298"/>
        </w:tabs>
        <w:ind w:firstLineChars="200" w:firstLine="376"/>
        <w:rPr>
          <w:spacing w:val="-11"/>
          <w:szCs w:val="21"/>
        </w:rPr>
      </w:pPr>
      <w:proofErr w:type="spellStart"/>
      <w:r>
        <w:rPr>
          <w:rFonts w:hint="eastAsia"/>
          <w:i/>
          <w:iCs/>
          <w:spacing w:val="-11"/>
          <w:szCs w:val="21"/>
        </w:rPr>
        <w:t>GHG</w:t>
      </w:r>
      <w:r>
        <w:rPr>
          <w:rFonts w:hint="eastAsia"/>
          <w:i/>
          <w:iCs/>
          <w:spacing w:val="-11"/>
          <w:szCs w:val="21"/>
          <w:vertAlign w:val="subscript"/>
        </w:rPr>
        <w:t>DSi</w:t>
      </w:r>
      <w:proofErr w:type="spellEnd"/>
      <w:r>
        <w:rPr>
          <w:rFonts w:hint="eastAsia"/>
          <w:spacing w:val="-11"/>
          <w:szCs w:val="21"/>
        </w:rPr>
        <w:t>——</w:t>
      </w:r>
      <w:proofErr w:type="gramStart"/>
      <w:r>
        <w:rPr>
          <w:rFonts w:hint="eastAsia"/>
          <w:spacing w:val="-11"/>
          <w:szCs w:val="21"/>
        </w:rPr>
        <w:t>每功能</w:t>
      </w:r>
      <w:proofErr w:type="gramEnd"/>
      <w:r>
        <w:rPr>
          <w:rFonts w:hint="eastAsia"/>
          <w:spacing w:val="-11"/>
          <w:szCs w:val="21"/>
        </w:rPr>
        <w:t>单位产品在下游单元处置阶段产生的温室气体</w:t>
      </w:r>
      <w:proofErr w:type="spellStart"/>
      <w:r>
        <w:rPr>
          <w:rFonts w:hint="eastAsia"/>
          <w:i/>
          <w:iCs/>
          <w:spacing w:val="-11"/>
          <w:szCs w:val="21"/>
        </w:rPr>
        <w:t>i</w:t>
      </w:r>
      <w:proofErr w:type="spellEnd"/>
      <w:r>
        <w:rPr>
          <w:rFonts w:hint="eastAsia"/>
          <w:spacing w:val="-11"/>
          <w:szCs w:val="21"/>
        </w:rPr>
        <w:t>的排放，单位为千克（</w:t>
      </w:r>
      <w:r>
        <w:rPr>
          <w:rFonts w:hint="eastAsia"/>
          <w:spacing w:val="-11"/>
          <w:szCs w:val="21"/>
        </w:rPr>
        <w:t>kg</w:t>
      </w:r>
      <w:r>
        <w:rPr>
          <w:rFonts w:hint="eastAsia"/>
          <w:spacing w:val="-11"/>
          <w:szCs w:val="21"/>
        </w:rPr>
        <w:t>）；</w:t>
      </w:r>
    </w:p>
    <w:p w14:paraId="1EBF4B8F" w14:textId="77777777" w:rsidR="00DB17CE" w:rsidRDefault="00ED408E">
      <w:pPr>
        <w:tabs>
          <w:tab w:val="center" w:pos="4201"/>
          <w:tab w:val="right" w:leader="dot" w:pos="9298"/>
        </w:tabs>
        <w:ind w:firstLineChars="200" w:firstLine="376"/>
        <w:rPr>
          <w:spacing w:val="-11"/>
          <w:szCs w:val="21"/>
        </w:rPr>
      </w:pPr>
      <w:proofErr w:type="spellStart"/>
      <w:r>
        <w:rPr>
          <w:rFonts w:hint="eastAsia"/>
          <w:i/>
          <w:iCs/>
          <w:spacing w:val="-11"/>
          <w:szCs w:val="21"/>
        </w:rPr>
        <w:t>GHG</w:t>
      </w:r>
      <w:r>
        <w:rPr>
          <w:rFonts w:hint="eastAsia"/>
          <w:i/>
          <w:iCs/>
          <w:spacing w:val="-11"/>
          <w:szCs w:val="21"/>
          <w:vertAlign w:val="subscript"/>
        </w:rPr>
        <w:t>Ri</w:t>
      </w:r>
      <w:proofErr w:type="spellEnd"/>
      <w:r>
        <w:rPr>
          <w:rFonts w:hint="eastAsia"/>
          <w:spacing w:val="-11"/>
          <w:szCs w:val="21"/>
        </w:rPr>
        <w:t>——</w:t>
      </w:r>
      <w:proofErr w:type="gramStart"/>
      <w:r>
        <w:rPr>
          <w:rFonts w:hint="eastAsia"/>
          <w:spacing w:val="-11"/>
          <w:szCs w:val="21"/>
        </w:rPr>
        <w:t>每功能</w:t>
      </w:r>
      <w:proofErr w:type="gramEnd"/>
      <w:r>
        <w:rPr>
          <w:rFonts w:hint="eastAsia"/>
          <w:spacing w:val="-11"/>
          <w:szCs w:val="21"/>
        </w:rPr>
        <w:t>单位产品温室气体</w:t>
      </w:r>
      <w:proofErr w:type="spellStart"/>
      <w:r>
        <w:rPr>
          <w:rFonts w:hint="eastAsia"/>
          <w:i/>
          <w:iCs/>
          <w:spacing w:val="-11"/>
          <w:szCs w:val="21"/>
        </w:rPr>
        <w:t>i</w:t>
      </w:r>
      <w:proofErr w:type="spellEnd"/>
      <w:r>
        <w:rPr>
          <w:rFonts w:hint="eastAsia"/>
          <w:spacing w:val="-11"/>
          <w:szCs w:val="21"/>
        </w:rPr>
        <w:t>的清除量，单位为千克（</w:t>
      </w:r>
      <w:r>
        <w:rPr>
          <w:rFonts w:hint="eastAsia"/>
          <w:spacing w:val="-11"/>
          <w:szCs w:val="21"/>
        </w:rPr>
        <w:t>kg</w:t>
      </w:r>
      <w:r>
        <w:rPr>
          <w:rFonts w:hint="eastAsia"/>
          <w:spacing w:val="-11"/>
          <w:szCs w:val="21"/>
        </w:rPr>
        <w:t>）；</w:t>
      </w:r>
    </w:p>
    <w:p w14:paraId="2BC267FF" w14:textId="77777777" w:rsidR="00DB17CE" w:rsidRDefault="00ED408E">
      <w:pPr>
        <w:tabs>
          <w:tab w:val="center" w:pos="4201"/>
          <w:tab w:val="right" w:leader="dot" w:pos="9298"/>
        </w:tabs>
        <w:ind w:firstLineChars="200" w:firstLine="376"/>
        <w:rPr>
          <w:spacing w:val="-11"/>
          <w:szCs w:val="21"/>
        </w:rPr>
      </w:pPr>
      <w:proofErr w:type="spellStart"/>
      <w:r>
        <w:rPr>
          <w:rFonts w:hint="eastAsia"/>
          <w:i/>
          <w:iCs/>
          <w:spacing w:val="-11"/>
          <w:szCs w:val="21"/>
        </w:rPr>
        <w:t>GWP</w:t>
      </w:r>
      <w:r>
        <w:rPr>
          <w:rFonts w:hint="eastAsia"/>
          <w:i/>
          <w:iCs/>
          <w:spacing w:val="-11"/>
          <w:szCs w:val="21"/>
          <w:vertAlign w:val="subscript"/>
        </w:rPr>
        <w:t>i</w:t>
      </w:r>
      <w:proofErr w:type="spellEnd"/>
      <w:r>
        <w:rPr>
          <w:rFonts w:hint="eastAsia"/>
          <w:spacing w:val="-11"/>
          <w:szCs w:val="21"/>
        </w:rPr>
        <w:t>——系统边界内温室气体</w:t>
      </w:r>
      <w:proofErr w:type="spellStart"/>
      <w:r>
        <w:rPr>
          <w:rFonts w:hint="eastAsia"/>
          <w:i/>
          <w:iCs/>
          <w:spacing w:val="-11"/>
          <w:szCs w:val="21"/>
        </w:rPr>
        <w:t>i</w:t>
      </w:r>
      <w:proofErr w:type="spellEnd"/>
      <w:r>
        <w:rPr>
          <w:rFonts w:hint="eastAsia"/>
          <w:spacing w:val="-11"/>
          <w:szCs w:val="21"/>
        </w:rPr>
        <w:t>的全球增温潜势。</w:t>
      </w:r>
    </w:p>
    <w:p w14:paraId="5C1C5A35"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w:t>
      </w:r>
      <w:r>
        <w:rPr>
          <w:rFonts w:ascii="Times New Roman" w:hint="eastAsia"/>
          <w:color w:val="000000"/>
          <w:sz w:val="24"/>
          <w:szCs w:val="24"/>
        </w:rPr>
        <w:t>2</w:t>
      </w:r>
      <w:r>
        <w:rPr>
          <w:rFonts w:ascii="Times New Roman" w:hint="eastAsia"/>
          <w:color w:val="000000"/>
          <w:sz w:val="24"/>
          <w:szCs w:val="24"/>
        </w:rPr>
        <w:t>）</w:t>
      </w:r>
      <w:r>
        <w:rPr>
          <w:rFonts w:ascii="Times New Roman" w:hint="eastAsia"/>
          <w:color w:val="000000"/>
          <w:sz w:val="24"/>
          <w:szCs w:val="24"/>
        </w:rPr>
        <w:t>上游单元</w:t>
      </w:r>
      <w:r>
        <w:rPr>
          <w:rFonts w:ascii="Times New Roman" w:hint="eastAsia"/>
          <w:color w:val="000000"/>
          <w:sz w:val="24"/>
          <w:szCs w:val="24"/>
        </w:rPr>
        <w:t>/</w:t>
      </w:r>
      <w:r>
        <w:rPr>
          <w:rFonts w:ascii="Times New Roman" w:hint="eastAsia"/>
          <w:color w:val="000000"/>
          <w:sz w:val="24"/>
          <w:szCs w:val="24"/>
        </w:rPr>
        <w:t>核心单元</w:t>
      </w:r>
      <w:r>
        <w:rPr>
          <w:rFonts w:ascii="Times New Roman" w:hint="eastAsia"/>
          <w:color w:val="000000"/>
          <w:sz w:val="24"/>
          <w:szCs w:val="24"/>
        </w:rPr>
        <w:t>/</w:t>
      </w:r>
      <w:r>
        <w:rPr>
          <w:rFonts w:ascii="Times New Roman" w:hint="eastAsia"/>
          <w:color w:val="000000"/>
          <w:sz w:val="24"/>
          <w:szCs w:val="24"/>
        </w:rPr>
        <w:t>下游单元温室气体排放可按以下公式进行核算：</w:t>
      </w:r>
    </w:p>
    <w:p w14:paraId="46BD826A" w14:textId="77777777" w:rsidR="00DB17CE" w:rsidRDefault="00ED408E">
      <w:pPr>
        <w:pStyle w:val="af6"/>
        <w:spacing w:line="360" w:lineRule="auto"/>
        <w:ind w:firstLine="480"/>
        <w:rPr>
          <w:rFonts w:ascii="Times New Roman"/>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GHG</m:t>
              </m:r>
            </m:e>
            <m:sub>
              <m:r>
                <w:rPr>
                  <w:rFonts w:ascii="Cambria Math" w:hAnsi="Cambria Math"/>
                  <w:color w:val="000000"/>
                  <w:sz w:val="24"/>
                  <w:szCs w:val="24"/>
                </w:rPr>
                <m:t>n</m:t>
              </m:r>
            </m:sub>
          </m:sSub>
          <m:r>
            <w:rPr>
              <w:rFonts w:ascii="Cambria Math" w:hAnsi="Cambria Math" w:cs="Cambria Math"/>
              <w:color w:val="000000"/>
              <w:sz w:val="24"/>
              <w:szCs w:val="24"/>
            </w:rPr>
            <m:t>=∑</m:t>
          </m:r>
          <m:r>
            <m:rPr>
              <m:sty m:val="p"/>
            </m:rPr>
            <w:rPr>
              <w:rFonts w:ascii="Cambria Math" w:hAnsi="Cambria Math" w:cs="Cambria Math" w:hint="eastAsia"/>
              <w:color w:val="000000"/>
              <w:sz w:val="24"/>
              <w:szCs w:val="24"/>
            </w:rPr>
            <m:t>（</m:t>
          </m:r>
          <m:sSub>
            <m:sSubPr>
              <m:ctrlPr>
                <w:rPr>
                  <w:rFonts w:ascii="Cambria Math" w:hAnsi="Cambria Math" w:cs="Cambria Math" w:hint="eastAsia"/>
                  <w:i/>
                  <w:color w:val="000000"/>
                  <w:sz w:val="24"/>
                  <w:szCs w:val="24"/>
                </w:rPr>
              </m:ctrlPr>
            </m:sSubPr>
            <m:e>
              <m:r>
                <w:rPr>
                  <w:rFonts w:ascii="Cambria Math" w:hAnsi="Cambria Math" w:cs="Cambria Math"/>
                  <w:color w:val="000000"/>
                  <w:sz w:val="24"/>
                  <w:szCs w:val="24"/>
                </w:rPr>
                <m:t>R</m:t>
              </m:r>
            </m:e>
            <m:sub>
              <m:r>
                <w:rPr>
                  <w:rFonts w:ascii="Cambria Math" w:hAnsi="Cambria Math" w:cs="Cambria Math"/>
                  <w:color w:val="000000"/>
                  <w:sz w:val="24"/>
                  <w:szCs w:val="24"/>
                </w:rPr>
                <m:t>n</m:t>
              </m:r>
            </m:sub>
          </m:sSub>
          <m:r>
            <w:rPr>
              <w:rFonts w:ascii="Cambria Math" w:hAnsi="Cambria Math" w:cs="Cambria Math"/>
              <w:color w:val="000000"/>
              <w:sz w:val="24"/>
              <w:szCs w:val="24"/>
            </w:rPr>
            <m:t>×</m:t>
          </m:r>
          <m:sSub>
            <m:sSubPr>
              <m:ctrlPr>
                <w:rPr>
                  <w:rFonts w:ascii="Cambria Math" w:hAnsi="Cambria Math" w:cs="Cambria Math"/>
                  <w:i/>
                  <w:color w:val="000000"/>
                  <w:sz w:val="24"/>
                  <w:szCs w:val="24"/>
                </w:rPr>
              </m:ctrlPr>
            </m:sSubPr>
            <m:e>
              <m:r>
                <w:rPr>
                  <w:rFonts w:ascii="Cambria Math" w:hAnsi="Cambria Math" w:cs="Cambria Math"/>
                  <w:color w:val="000000"/>
                  <w:sz w:val="24"/>
                  <w:szCs w:val="24"/>
                </w:rPr>
                <m:t>α</m:t>
              </m:r>
            </m:e>
            <m:sub>
              <m:r>
                <w:rPr>
                  <w:rFonts w:ascii="Cambria Math" w:hAnsi="Cambria Math" w:cs="Cambria Math"/>
                  <w:color w:val="000000"/>
                  <w:sz w:val="24"/>
                  <w:szCs w:val="24"/>
                </w:rPr>
                <m:t>n</m:t>
              </m:r>
            </m:sub>
          </m:sSub>
          <m:r>
            <m:rPr>
              <m:sty m:val="p"/>
            </m:rPr>
            <w:rPr>
              <w:rFonts w:ascii="Cambria Math" w:hAnsi="Cambria Math" w:cs="Cambria Math" w:hint="eastAsia"/>
              <w:color w:val="000000"/>
              <w:sz w:val="24"/>
              <w:szCs w:val="24"/>
            </w:rPr>
            <m:t>）</m:t>
          </m:r>
          <m:r>
            <w:rPr>
              <w:rFonts w:ascii="Cambria Math" w:hAnsi="Cambria Math" w:cs="Cambria Math"/>
              <w:color w:val="000000"/>
              <w:sz w:val="24"/>
              <w:szCs w:val="24"/>
            </w:rPr>
            <m:t>+∑</m:t>
          </m:r>
          <m:r>
            <m:rPr>
              <m:sty m:val="p"/>
            </m:rPr>
            <w:rPr>
              <w:rFonts w:ascii="Cambria Math" w:hAnsi="Cambria Math" w:cs="Cambria Math" w:hint="eastAsia"/>
              <w:color w:val="000000"/>
              <w:sz w:val="24"/>
              <w:szCs w:val="24"/>
            </w:rPr>
            <m:t>（</m:t>
          </m:r>
          <m:sSub>
            <m:sSubPr>
              <m:ctrlPr>
                <w:rPr>
                  <w:rFonts w:ascii="Cambria Math" w:hAnsi="Cambria Math" w:cs="Cambria Math" w:hint="eastAsia"/>
                  <w:i/>
                  <w:color w:val="000000"/>
                  <w:sz w:val="24"/>
                  <w:szCs w:val="24"/>
                </w:rPr>
              </m:ctrlPr>
            </m:sSubPr>
            <m:e>
              <m:r>
                <w:rPr>
                  <w:rFonts w:ascii="Cambria Math" w:hAnsi="Cambria Math" w:cs="Cambria Math"/>
                  <w:color w:val="000000"/>
                  <w:sz w:val="24"/>
                  <w:szCs w:val="24"/>
                </w:rPr>
                <m:t>R</m:t>
              </m:r>
            </m:e>
            <m:sub>
              <m:r>
                <w:rPr>
                  <w:rFonts w:ascii="Cambria Math" w:hAnsi="Cambria Math" w:cs="Cambria Math"/>
                  <w:color w:val="000000"/>
                  <w:sz w:val="24"/>
                  <w:szCs w:val="24"/>
                </w:rPr>
                <m:t>n</m:t>
              </m:r>
            </m:sub>
          </m:sSub>
          <m:r>
            <w:rPr>
              <w:rFonts w:ascii="Cambria Math" w:hAnsi="Cambria Math" w:cs="Cambria Math"/>
              <w:color w:val="000000"/>
              <w:sz w:val="24"/>
              <w:szCs w:val="24"/>
            </w:rPr>
            <m:t>×</m:t>
          </m:r>
          <m:sSub>
            <m:sSubPr>
              <m:ctrlPr>
                <w:rPr>
                  <w:rFonts w:ascii="Cambria Math" w:hAnsi="Cambria Math" w:cs="Cambria Math"/>
                  <w:i/>
                  <w:color w:val="000000"/>
                  <w:sz w:val="24"/>
                  <w:szCs w:val="24"/>
                </w:rPr>
              </m:ctrlPr>
            </m:sSubPr>
            <m:e>
              <m:r>
                <w:rPr>
                  <w:rFonts w:ascii="Cambria Math" w:hAnsi="Cambria Math" w:cs="Cambria Math"/>
                  <w:color w:val="000000"/>
                  <w:sz w:val="24"/>
                  <w:szCs w:val="24"/>
                </w:rPr>
                <m:t>D</m:t>
              </m:r>
            </m:e>
            <m:sub>
              <m:r>
                <w:rPr>
                  <w:rFonts w:ascii="Cambria Math" w:hAnsi="Cambria Math" w:cs="Cambria Math"/>
                  <w:color w:val="000000"/>
                  <w:sz w:val="24"/>
                  <w:szCs w:val="24"/>
                </w:rPr>
                <m:t>n</m:t>
              </m:r>
              <m:r>
                <w:rPr>
                  <w:rFonts w:ascii="Cambria Math" w:hAnsi="Cambria Math" w:cs="Cambria Math"/>
                  <w:color w:val="000000"/>
                  <w:sz w:val="24"/>
                  <w:szCs w:val="24"/>
                </w:rPr>
                <m:t>,</m:t>
              </m:r>
              <m:r>
                <w:rPr>
                  <w:rFonts w:ascii="Cambria Math" w:hAnsi="Cambria Math" w:cs="Cambria Math"/>
                  <w:color w:val="000000"/>
                  <w:sz w:val="24"/>
                  <w:szCs w:val="24"/>
                </w:rPr>
                <m:t>k</m:t>
              </m:r>
            </m:sub>
          </m:sSub>
          <m:r>
            <w:rPr>
              <w:rFonts w:ascii="Cambria Math" w:hAnsi="Cambria Math" w:cs="Cambria Math"/>
              <w:color w:val="000000"/>
              <w:sz w:val="24"/>
              <w:szCs w:val="24"/>
            </w:rPr>
            <m:t>×</m:t>
          </m:r>
          <m:sSub>
            <m:sSubPr>
              <m:ctrlPr>
                <w:rPr>
                  <w:rFonts w:ascii="Cambria Math" w:hAnsi="Cambria Math" w:cs="Cambria Math"/>
                  <w:i/>
                  <w:color w:val="000000"/>
                  <w:sz w:val="24"/>
                  <w:szCs w:val="24"/>
                </w:rPr>
              </m:ctrlPr>
            </m:sSubPr>
            <m:e>
              <m:r>
                <w:rPr>
                  <w:rFonts w:ascii="Cambria Math" w:hAnsi="Cambria Math" w:cs="Cambria Math"/>
                  <w:color w:val="000000"/>
                  <w:sz w:val="24"/>
                  <w:szCs w:val="24"/>
                </w:rPr>
                <m:t>β</m:t>
              </m:r>
            </m:e>
            <m:sub>
              <m:r>
                <w:rPr>
                  <w:rFonts w:ascii="Cambria Math" w:hAnsi="Cambria Math" w:cs="Cambria Math"/>
                  <w:color w:val="000000"/>
                  <w:sz w:val="24"/>
                  <w:szCs w:val="24"/>
                </w:rPr>
                <m:t>k</m:t>
              </m:r>
              <m:r>
                <w:rPr>
                  <w:rFonts w:ascii="Cambria Math" w:hAnsi="Cambria Math" w:cs="Cambria Math"/>
                  <w:color w:val="000000"/>
                  <w:sz w:val="24"/>
                  <w:szCs w:val="24"/>
                </w:rPr>
                <m:t>,</m:t>
              </m:r>
              <m:r>
                <w:rPr>
                  <w:rFonts w:ascii="Cambria Math" w:hAnsi="Cambria Math" w:cs="Cambria Math"/>
                  <w:color w:val="000000"/>
                  <w:sz w:val="24"/>
                  <w:szCs w:val="24"/>
                </w:rPr>
                <m:t>i</m:t>
              </m:r>
            </m:sub>
          </m:sSub>
          <m:r>
            <m:rPr>
              <m:sty m:val="p"/>
            </m:rPr>
            <w:rPr>
              <w:rFonts w:ascii="Cambria Math" w:hAnsi="Cambria Math" w:cs="Cambria Math" w:hint="eastAsia"/>
              <w:color w:val="000000"/>
              <w:sz w:val="24"/>
              <w:szCs w:val="24"/>
            </w:rPr>
            <m:t>）</m:t>
          </m:r>
        </m:oMath>
      </m:oMathPara>
    </w:p>
    <w:p w14:paraId="6F40EA35" w14:textId="77777777" w:rsidR="00DB17CE" w:rsidRDefault="00ED408E">
      <w:pPr>
        <w:tabs>
          <w:tab w:val="center" w:pos="4201"/>
          <w:tab w:val="right" w:leader="dot" w:pos="9298"/>
        </w:tabs>
        <w:ind w:firstLineChars="200" w:firstLine="420"/>
        <w:rPr>
          <w:szCs w:val="21"/>
        </w:rPr>
      </w:pPr>
      <w:r>
        <w:rPr>
          <w:rFonts w:hint="eastAsia"/>
          <w:szCs w:val="21"/>
        </w:rPr>
        <w:t>式中：</w:t>
      </w:r>
    </w:p>
    <w:p w14:paraId="2865DAF5" w14:textId="77777777" w:rsidR="00DB17CE" w:rsidRDefault="00ED408E">
      <w:pPr>
        <w:tabs>
          <w:tab w:val="center" w:pos="4201"/>
          <w:tab w:val="right" w:leader="dot" w:pos="9298"/>
        </w:tabs>
        <w:ind w:firstLineChars="200" w:firstLine="420"/>
        <w:rPr>
          <w:szCs w:val="21"/>
        </w:rPr>
      </w:pPr>
      <w:proofErr w:type="spellStart"/>
      <w:r>
        <w:rPr>
          <w:rFonts w:hint="eastAsia"/>
          <w:i/>
          <w:iCs/>
          <w:szCs w:val="21"/>
        </w:rPr>
        <w:t>GHG</w:t>
      </w:r>
      <w:r>
        <w:rPr>
          <w:rFonts w:hint="eastAsia"/>
          <w:i/>
          <w:iCs/>
          <w:szCs w:val="21"/>
          <w:vertAlign w:val="subscript"/>
        </w:rPr>
        <w:t>n</w:t>
      </w:r>
      <w:proofErr w:type="spellEnd"/>
      <w:r>
        <w:rPr>
          <w:rFonts w:hint="eastAsia"/>
          <w:szCs w:val="21"/>
        </w:rPr>
        <w:t>——项目</w:t>
      </w:r>
      <w:r>
        <w:rPr>
          <w:rFonts w:hint="eastAsia"/>
          <w:i/>
          <w:iCs/>
          <w:szCs w:val="21"/>
        </w:rPr>
        <w:t>n</w:t>
      </w:r>
      <w:r>
        <w:rPr>
          <w:rFonts w:hint="eastAsia"/>
          <w:szCs w:val="21"/>
        </w:rPr>
        <w:t>原始数据碳排放，单位为千克（</w:t>
      </w:r>
      <w:r>
        <w:rPr>
          <w:rFonts w:hint="eastAsia"/>
          <w:szCs w:val="21"/>
        </w:rPr>
        <w:t>kg</w:t>
      </w:r>
      <w:r>
        <w:rPr>
          <w:rFonts w:hint="eastAsia"/>
          <w:szCs w:val="21"/>
        </w:rPr>
        <w:t>）；</w:t>
      </w:r>
    </w:p>
    <w:p w14:paraId="668DAB77" w14:textId="77777777" w:rsidR="00DB17CE" w:rsidRDefault="00ED408E">
      <w:pPr>
        <w:tabs>
          <w:tab w:val="center" w:pos="4201"/>
          <w:tab w:val="right" w:leader="dot" w:pos="9298"/>
        </w:tabs>
        <w:ind w:firstLineChars="200" w:firstLine="420"/>
        <w:rPr>
          <w:szCs w:val="21"/>
        </w:rPr>
      </w:pPr>
      <w:r>
        <w:rPr>
          <w:rFonts w:hint="eastAsia"/>
          <w:i/>
          <w:iCs/>
          <w:szCs w:val="21"/>
        </w:rPr>
        <w:t>R</w:t>
      </w:r>
      <w:r>
        <w:rPr>
          <w:rFonts w:hint="eastAsia"/>
          <w:i/>
          <w:iCs/>
          <w:szCs w:val="21"/>
          <w:vertAlign w:val="subscript"/>
        </w:rPr>
        <w:t>n</w:t>
      </w:r>
      <w:r>
        <w:rPr>
          <w:rFonts w:hint="eastAsia"/>
          <w:szCs w:val="21"/>
        </w:rPr>
        <w:t>——第</w:t>
      </w:r>
      <w:r>
        <w:rPr>
          <w:rFonts w:hint="eastAsia"/>
          <w:i/>
          <w:iCs/>
          <w:szCs w:val="21"/>
        </w:rPr>
        <w:t>n</w:t>
      </w:r>
      <w:r>
        <w:rPr>
          <w:rFonts w:hint="eastAsia"/>
          <w:szCs w:val="21"/>
        </w:rPr>
        <w:t>类资源或能源的活动数据，单位为千克（</w:t>
      </w:r>
      <w:r>
        <w:rPr>
          <w:rFonts w:hint="eastAsia"/>
          <w:szCs w:val="21"/>
        </w:rPr>
        <w:t>kg</w:t>
      </w:r>
      <w:r>
        <w:rPr>
          <w:rFonts w:hint="eastAsia"/>
          <w:szCs w:val="21"/>
        </w:rPr>
        <w:t>）；</w:t>
      </w:r>
    </w:p>
    <w:p w14:paraId="63F7D27D" w14:textId="77777777" w:rsidR="00DB17CE" w:rsidRDefault="00ED408E">
      <w:pPr>
        <w:tabs>
          <w:tab w:val="center" w:pos="4201"/>
          <w:tab w:val="right" w:leader="dot" w:pos="9298"/>
        </w:tabs>
        <w:ind w:firstLineChars="200" w:firstLine="420"/>
        <w:rPr>
          <w:szCs w:val="21"/>
        </w:rPr>
      </w:pPr>
      <w:r>
        <w:rPr>
          <w:i/>
          <w:iCs/>
          <w:szCs w:val="21"/>
        </w:rPr>
        <w:t>α</w:t>
      </w:r>
      <w:r>
        <w:rPr>
          <w:rFonts w:hint="eastAsia"/>
          <w:i/>
          <w:iCs/>
          <w:szCs w:val="21"/>
          <w:vertAlign w:val="subscript"/>
        </w:rPr>
        <w:t>n</w:t>
      </w:r>
      <w:r>
        <w:rPr>
          <w:rFonts w:hint="eastAsia"/>
          <w:szCs w:val="21"/>
        </w:rPr>
        <w:t>——第</w:t>
      </w:r>
      <w:r>
        <w:rPr>
          <w:rFonts w:hint="eastAsia"/>
          <w:i/>
          <w:iCs/>
          <w:szCs w:val="21"/>
        </w:rPr>
        <w:t>n</w:t>
      </w:r>
      <w:r>
        <w:rPr>
          <w:rFonts w:hint="eastAsia"/>
          <w:szCs w:val="21"/>
        </w:rPr>
        <w:t>类资源或能源项目的</w:t>
      </w:r>
      <w:r>
        <w:rPr>
          <w:rFonts w:hint="eastAsia"/>
          <w:szCs w:val="21"/>
        </w:rPr>
        <w:t>GHG</w:t>
      </w:r>
      <w:r>
        <w:rPr>
          <w:rFonts w:hint="eastAsia"/>
          <w:szCs w:val="21"/>
        </w:rPr>
        <w:t>排放因子；</w:t>
      </w:r>
    </w:p>
    <w:p w14:paraId="3552F295" w14:textId="77777777" w:rsidR="00DB17CE" w:rsidRDefault="00ED408E">
      <w:pPr>
        <w:tabs>
          <w:tab w:val="center" w:pos="4201"/>
          <w:tab w:val="right" w:leader="dot" w:pos="9298"/>
        </w:tabs>
        <w:ind w:firstLineChars="200" w:firstLine="420"/>
        <w:rPr>
          <w:szCs w:val="21"/>
        </w:rPr>
      </w:pPr>
      <w:proofErr w:type="spellStart"/>
      <w:r>
        <w:rPr>
          <w:rFonts w:hint="eastAsia"/>
          <w:i/>
          <w:iCs/>
          <w:szCs w:val="21"/>
        </w:rPr>
        <w:t>D</w:t>
      </w:r>
      <w:r>
        <w:rPr>
          <w:rFonts w:hint="eastAsia"/>
          <w:i/>
          <w:iCs/>
          <w:szCs w:val="21"/>
          <w:vertAlign w:val="subscript"/>
        </w:rPr>
        <w:t>n,k</w:t>
      </w:r>
      <w:proofErr w:type="spellEnd"/>
      <w:r>
        <w:rPr>
          <w:rFonts w:hint="eastAsia"/>
          <w:szCs w:val="21"/>
        </w:rPr>
        <w:t>——第</w:t>
      </w:r>
      <w:r>
        <w:rPr>
          <w:rFonts w:hint="eastAsia"/>
          <w:i/>
          <w:iCs/>
          <w:szCs w:val="21"/>
        </w:rPr>
        <w:t>n</w:t>
      </w:r>
      <w:r>
        <w:rPr>
          <w:rFonts w:hint="eastAsia"/>
          <w:szCs w:val="21"/>
        </w:rPr>
        <w:t>类资源或能源项目第</w:t>
      </w:r>
      <w:r>
        <w:rPr>
          <w:rFonts w:hint="eastAsia"/>
          <w:i/>
          <w:iCs/>
          <w:szCs w:val="21"/>
        </w:rPr>
        <w:t>k</w:t>
      </w:r>
      <w:proofErr w:type="gramStart"/>
      <w:r>
        <w:rPr>
          <w:rFonts w:hint="eastAsia"/>
          <w:szCs w:val="21"/>
        </w:rPr>
        <w:t>种运输</w:t>
      </w:r>
      <w:proofErr w:type="gramEnd"/>
      <w:r>
        <w:rPr>
          <w:rFonts w:hint="eastAsia"/>
          <w:szCs w:val="21"/>
        </w:rPr>
        <w:t>方式的加权运输距离，单位为公里（</w:t>
      </w:r>
      <w:r>
        <w:rPr>
          <w:rFonts w:hint="eastAsia"/>
          <w:szCs w:val="21"/>
        </w:rPr>
        <w:t>km</w:t>
      </w:r>
      <w:r>
        <w:rPr>
          <w:rFonts w:hint="eastAsia"/>
          <w:szCs w:val="21"/>
        </w:rPr>
        <w:t>）；</w:t>
      </w:r>
    </w:p>
    <w:p w14:paraId="4A310A8E" w14:textId="77777777" w:rsidR="00DB17CE" w:rsidRDefault="00ED408E">
      <w:pPr>
        <w:tabs>
          <w:tab w:val="center" w:pos="4201"/>
          <w:tab w:val="right" w:leader="dot" w:pos="9298"/>
        </w:tabs>
        <w:ind w:firstLineChars="200" w:firstLine="420"/>
        <w:rPr>
          <w:szCs w:val="21"/>
        </w:rPr>
      </w:pPr>
      <w:r>
        <w:rPr>
          <w:rFonts w:ascii="Arial" w:hAnsi="Arial" w:cs="Arial"/>
          <w:i/>
          <w:iCs/>
          <w:szCs w:val="21"/>
        </w:rPr>
        <w:t>β</w:t>
      </w:r>
      <w:proofErr w:type="spellStart"/>
      <w:r>
        <w:rPr>
          <w:rFonts w:hint="eastAsia"/>
          <w:i/>
          <w:iCs/>
          <w:szCs w:val="21"/>
          <w:vertAlign w:val="subscript"/>
        </w:rPr>
        <w:t>k,i</w:t>
      </w:r>
      <w:proofErr w:type="spellEnd"/>
      <w:r>
        <w:rPr>
          <w:rFonts w:hint="eastAsia"/>
          <w:szCs w:val="21"/>
        </w:rPr>
        <w:t>——第</w:t>
      </w:r>
      <w:r>
        <w:rPr>
          <w:rFonts w:hint="eastAsia"/>
          <w:i/>
          <w:iCs/>
          <w:szCs w:val="21"/>
        </w:rPr>
        <w:t>k</w:t>
      </w:r>
      <w:proofErr w:type="gramStart"/>
      <w:r>
        <w:rPr>
          <w:rFonts w:hint="eastAsia"/>
          <w:szCs w:val="21"/>
        </w:rPr>
        <w:t>种运输</w:t>
      </w:r>
      <w:proofErr w:type="gramEnd"/>
      <w:r>
        <w:rPr>
          <w:rFonts w:hint="eastAsia"/>
          <w:szCs w:val="21"/>
        </w:rPr>
        <w:t>方式的第</w:t>
      </w:r>
      <w:proofErr w:type="spellStart"/>
      <w:r>
        <w:rPr>
          <w:rFonts w:hint="eastAsia"/>
          <w:i/>
          <w:iCs/>
          <w:szCs w:val="21"/>
        </w:rPr>
        <w:t>i</w:t>
      </w:r>
      <w:proofErr w:type="spellEnd"/>
      <w:r>
        <w:rPr>
          <w:rFonts w:hint="eastAsia"/>
          <w:szCs w:val="21"/>
        </w:rPr>
        <w:t>种温室气体排放因子，单位为千克每吨公里（</w:t>
      </w:r>
      <w:r>
        <w:rPr>
          <w:rFonts w:hint="eastAsia"/>
          <w:szCs w:val="21"/>
        </w:rPr>
        <w:t>kg/</w:t>
      </w:r>
      <w:proofErr w:type="spellStart"/>
      <w:r>
        <w:rPr>
          <w:rFonts w:hint="eastAsia"/>
          <w:szCs w:val="21"/>
        </w:rPr>
        <w:t>t</w:t>
      </w:r>
      <w:r>
        <w:rPr>
          <w:szCs w:val="21"/>
        </w:rPr>
        <w:t>·</w:t>
      </w:r>
      <w:r>
        <w:rPr>
          <w:rFonts w:hint="eastAsia"/>
          <w:szCs w:val="21"/>
        </w:rPr>
        <w:t>km</w:t>
      </w:r>
      <w:proofErr w:type="spellEnd"/>
      <w:r>
        <w:rPr>
          <w:rFonts w:hint="eastAsia"/>
          <w:szCs w:val="21"/>
        </w:rPr>
        <w:t>）。</w:t>
      </w:r>
    </w:p>
    <w:p w14:paraId="566ECDEA" w14:textId="77777777" w:rsidR="00DB17CE" w:rsidRDefault="00ED408E">
      <w:pPr>
        <w:tabs>
          <w:tab w:val="center" w:pos="4201"/>
          <w:tab w:val="right" w:leader="dot" w:pos="9298"/>
        </w:tabs>
        <w:ind w:leftChars="200" w:left="780" w:hangingChars="200" w:hanging="360"/>
        <w:rPr>
          <w:sz w:val="18"/>
          <w:szCs w:val="18"/>
        </w:rPr>
      </w:pPr>
      <w:r>
        <w:rPr>
          <w:rFonts w:ascii="黑体" w:eastAsia="黑体" w:hAnsi="黑体" w:cs="黑体" w:hint="eastAsia"/>
          <w:sz w:val="18"/>
          <w:szCs w:val="18"/>
        </w:rPr>
        <w:t>注</w:t>
      </w:r>
      <w:r>
        <w:rPr>
          <w:rFonts w:ascii="黑体" w:eastAsia="黑体" w:hAnsi="黑体" w:cs="黑体" w:hint="eastAsia"/>
          <w:sz w:val="18"/>
          <w:szCs w:val="18"/>
        </w:rPr>
        <w:t>1</w:t>
      </w:r>
      <w:r>
        <w:rPr>
          <w:rFonts w:hint="eastAsia"/>
          <w:sz w:val="18"/>
          <w:szCs w:val="18"/>
        </w:rPr>
        <w:t>：现场数据的排放因子采用</w:t>
      </w:r>
      <w:r>
        <w:rPr>
          <w:rFonts w:hint="eastAsia"/>
          <w:sz w:val="18"/>
          <w:szCs w:val="18"/>
        </w:rPr>
        <w:t>GB/T 32150</w:t>
      </w:r>
      <w:r>
        <w:rPr>
          <w:rFonts w:hint="eastAsia"/>
          <w:sz w:val="18"/>
          <w:szCs w:val="18"/>
        </w:rPr>
        <w:t>规定的核算方法进行核算；</w:t>
      </w:r>
    </w:p>
    <w:p w14:paraId="73DE6C29" w14:textId="77777777" w:rsidR="00DB17CE" w:rsidRDefault="00ED408E">
      <w:pPr>
        <w:tabs>
          <w:tab w:val="center" w:pos="4201"/>
          <w:tab w:val="right" w:leader="dot" w:pos="9298"/>
        </w:tabs>
        <w:ind w:leftChars="200" w:left="780" w:hangingChars="200" w:hanging="360"/>
        <w:rPr>
          <w:sz w:val="18"/>
          <w:szCs w:val="18"/>
        </w:rPr>
      </w:pPr>
      <w:r>
        <w:rPr>
          <w:rFonts w:ascii="黑体" w:eastAsia="黑体" w:hAnsi="黑体" w:cs="黑体" w:hint="eastAsia"/>
          <w:sz w:val="18"/>
          <w:szCs w:val="18"/>
        </w:rPr>
        <w:t>注</w:t>
      </w:r>
      <w:r>
        <w:rPr>
          <w:rFonts w:ascii="黑体" w:eastAsia="黑体" w:hAnsi="黑体" w:cs="黑体" w:hint="eastAsia"/>
          <w:sz w:val="18"/>
          <w:szCs w:val="18"/>
        </w:rPr>
        <w:t>2</w:t>
      </w:r>
      <w:r>
        <w:rPr>
          <w:rFonts w:hint="eastAsia"/>
          <w:sz w:val="18"/>
          <w:szCs w:val="18"/>
        </w:rPr>
        <w:t>：其他原始数据排放因子能采用来自其他可比产品系统的数据或采用其他满足产品系统数据质量要求的可信的公开因子（如国家电力排放因子），当使用以上来源数据时需单独予以说明。</w:t>
      </w:r>
    </w:p>
    <w:p w14:paraId="36E85F26" w14:textId="77777777" w:rsidR="00DB17CE" w:rsidRDefault="00ED408E">
      <w:pPr>
        <w:tabs>
          <w:tab w:val="center" w:pos="4201"/>
          <w:tab w:val="right" w:leader="dot" w:pos="9298"/>
        </w:tabs>
        <w:ind w:leftChars="200" w:left="780" w:hangingChars="200" w:hanging="360"/>
        <w:rPr>
          <w:sz w:val="18"/>
          <w:szCs w:val="18"/>
        </w:rPr>
      </w:pPr>
      <w:r>
        <w:rPr>
          <w:rFonts w:ascii="黑体" w:eastAsia="黑体" w:hAnsi="黑体" w:cs="黑体" w:hint="eastAsia"/>
          <w:sz w:val="18"/>
          <w:szCs w:val="18"/>
        </w:rPr>
        <w:t>注</w:t>
      </w:r>
      <w:r>
        <w:rPr>
          <w:rFonts w:ascii="黑体" w:eastAsia="黑体" w:hAnsi="黑体" w:cs="黑体" w:hint="eastAsia"/>
          <w:sz w:val="18"/>
          <w:szCs w:val="18"/>
        </w:rPr>
        <w:t>3</w:t>
      </w:r>
      <w:r>
        <w:rPr>
          <w:rFonts w:hint="eastAsia"/>
          <w:sz w:val="18"/>
          <w:szCs w:val="18"/>
        </w:rPr>
        <w:t>：系统边界内资源或能源温室气体排放核算方法参照《中国造纸和纸制品生产企业温室气体排放核算方法与报告指南（试行）》。</w:t>
      </w:r>
    </w:p>
    <w:p w14:paraId="0B971132" w14:textId="77777777" w:rsidR="00DB17CE" w:rsidRDefault="00ED408E">
      <w:pPr>
        <w:pStyle w:val="af6"/>
        <w:numPr>
          <w:ilvl w:val="0"/>
          <w:numId w:val="2"/>
        </w:numPr>
        <w:spacing w:line="360" w:lineRule="auto"/>
        <w:ind w:firstLine="480"/>
        <w:rPr>
          <w:rFonts w:ascii="Times New Roman"/>
          <w:color w:val="000000"/>
          <w:sz w:val="24"/>
          <w:szCs w:val="24"/>
        </w:rPr>
      </w:pPr>
      <w:r>
        <w:rPr>
          <w:rFonts w:ascii="Times New Roman" w:hint="eastAsia"/>
          <w:color w:val="000000"/>
          <w:sz w:val="24"/>
          <w:szCs w:val="24"/>
        </w:rPr>
        <w:lastRenderedPageBreak/>
        <w:t>系统边界内温室气体的清除量</w:t>
      </w:r>
      <w:r>
        <w:rPr>
          <w:rFonts w:ascii="Times New Roman" w:hint="eastAsia"/>
          <w:color w:val="000000"/>
          <w:sz w:val="24"/>
          <w:szCs w:val="24"/>
        </w:rPr>
        <w:t>包括森林碳存储量、农作物碳存储量、产品中碳存储量、填埋中碳存储量</w:t>
      </w:r>
      <w:r>
        <w:rPr>
          <w:rFonts w:ascii="Times New Roman" w:hint="eastAsia"/>
          <w:color w:val="000000"/>
          <w:sz w:val="24"/>
          <w:szCs w:val="24"/>
        </w:rPr>
        <w:t>。</w:t>
      </w:r>
    </w:p>
    <w:p w14:paraId="3D7B5D37" w14:textId="77777777" w:rsidR="00DB17CE" w:rsidRDefault="00ED408E">
      <w:pPr>
        <w:pStyle w:val="af6"/>
        <w:spacing w:line="360" w:lineRule="auto"/>
        <w:ind w:firstLine="480"/>
        <w:rPr>
          <w:rFonts w:ascii="Times New Roman"/>
          <w:sz w:val="24"/>
          <w:szCs w:val="24"/>
        </w:rPr>
      </w:pPr>
      <w:r>
        <w:rPr>
          <w:rFonts w:ascii="Times New Roman" w:hint="eastAsia"/>
          <w:sz w:val="24"/>
          <w:szCs w:val="24"/>
        </w:rPr>
        <w:t>①森林碳存储量</w:t>
      </w:r>
      <w:r>
        <w:rPr>
          <w:rFonts w:ascii="Times New Roman" w:hint="eastAsia"/>
          <w:sz w:val="24"/>
          <w:szCs w:val="24"/>
        </w:rPr>
        <w:t>的计算</w:t>
      </w:r>
    </w:p>
    <w:p w14:paraId="40B3EDB5" w14:textId="77777777" w:rsidR="00DB17CE" w:rsidRDefault="00ED408E">
      <w:pPr>
        <w:tabs>
          <w:tab w:val="center" w:pos="4201"/>
          <w:tab w:val="right" w:leader="dot" w:pos="9298"/>
        </w:tabs>
        <w:ind w:leftChars="200" w:left="900" w:hangingChars="200" w:hanging="480"/>
        <w:rPr>
          <w:color w:val="000000"/>
          <w:kern w:val="0"/>
          <w:sz w:val="24"/>
        </w:rPr>
      </w:pPr>
      <w:r>
        <w:rPr>
          <w:rFonts w:hint="eastAsia"/>
          <w:color w:val="000000"/>
          <w:kern w:val="0"/>
          <w:sz w:val="24"/>
        </w:rPr>
        <w:t>若一次性卫生用品使用木纤维或竹纤维为原料，则选择计算森林碳存储。</w:t>
      </w:r>
    </w:p>
    <w:p w14:paraId="51B313B7" w14:textId="77777777" w:rsidR="00DB17CE" w:rsidRDefault="00ED408E">
      <w:pPr>
        <w:tabs>
          <w:tab w:val="center" w:pos="4201"/>
          <w:tab w:val="right" w:leader="dot" w:pos="9298"/>
        </w:tabs>
        <w:ind w:leftChars="200" w:left="900" w:hangingChars="200" w:hanging="480"/>
        <w:rPr>
          <w:color w:val="000000"/>
          <w:kern w:val="0"/>
          <w:sz w:val="24"/>
        </w:rPr>
      </w:pPr>
      <w:r>
        <w:rPr>
          <w:rFonts w:hint="eastAsia"/>
          <w:color w:val="000000"/>
          <w:kern w:val="0"/>
          <w:sz w:val="24"/>
        </w:rPr>
        <w:t>a</w:t>
      </w:r>
      <w:r>
        <w:rPr>
          <w:rFonts w:hint="eastAsia"/>
          <w:color w:val="000000"/>
          <w:kern w:val="0"/>
          <w:sz w:val="24"/>
        </w:rPr>
        <w:t>）森林碳存储包括地上部和地下部的生物质、死有机质和土壤有机质中的碳库。若纸浆原料获取涉及土地利用变化，相应的碳存储变化</w:t>
      </w:r>
      <w:proofErr w:type="gramStart"/>
      <w:r>
        <w:rPr>
          <w:rFonts w:hint="eastAsia"/>
          <w:color w:val="000000"/>
          <w:kern w:val="0"/>
          <w:sz w:val="24"/>
        </w:rPr>
        <w:t>量</w:t>
      </w:r>
      <w:r>
        <w:rPr>
          <w:rFonts w:hint="eastAsia"/>
          <w:color w:val="000000"/>
          <w:kern w:val="0"/>
          <w:sz w:val="24"/>
        </w:rPr>
        <w:t>以下</w:t>
      </w:r>
      <w:proofErr w:type="gramEnd"/>
      <w:r>
        <w:rPr>
          <w:rFonts w:hint="eastAsia"/>
          <w:color w:val="000000"/>
          <w:kern w:val="0"/>
          <w:sz w:val="24"/>
        </w:rPr>
        <w:t>公式</w:t>
      </w:r>
      <w:r>
        <w:rPr>
          <w:rFonts w:hint="eastAsia"/>
          <w:color w:val="000000"/>
          <w:kern w:val="0"/>
          <w:sz w:val="24"/>
        </w:rPr>
        <w:t>计算。</w:t>
      </w:r>
    </w:p>
    <w:p w14:paraId="5E0840F3" w14:textId="77777777" w:rsidR="00DB17CE" w:rsidRDefault="00ED408E">
      <w:pPr>
        <w:tabs>
          <w:tab w:val="center" w:pos="4201"/>
          <w:tab w:val="right" w:leader="dot" w:pos="9298"/>
        </w:tabs>
        <w:ind w:leftChars="200" w:left="840" w:hangingChars="200" w:hanging="420"/>
        <w:rPr>
          <w:szCs w:val="21"/>
        </w:rPr>
      </w:pPr>
      <m:oMathPara>
        <m:oMathParaPr>
          <m:jc m:val="center"/>
        </m:oMathParaPr>
        <m:oMath>
          <m:sSub>
            <m:sSubPr>
              <m:ctrlPr>
                <w:rPr>
                  <w:rFonts w:ascii="Cambria Math" w:hAnsi="Cambria Math"/>
                  <w:i/>
                  <w:szCs w:val="21"/>
                </w:rPr>
              </m:ctrlPr>
            </m:sSubPr>
            <m:e>
              <m:r>
                <w:rPr>
                  <w:rFonts w:ascii="Cambria Math" w:hAnsi="Cambria Math"/>
                  <w:szCs w:val="21"/>
                </w:rPr>
                <m:t>G</m:t>
              </m:r>
            </m:e>
            <m:sub>
              <m:r>
                <m:rPr>
                  <m:sty m:val="p"/>
                </m:rPr>
                <w:rPr>
                  <w:rFonts w:ascii="Cambria Math" w:hAnsi="Cambria Math"/>
                  <w:szCs w:val="21"/>
                </w:rPr>
                <m:t>f</m:t>
              </m:r>
            </m:sub>
          </m:sSub>
          <m:r>
            <w:rPr>
              <w:rFonts w:ascii="Cambria Math" w:hAnsi="Cambria Math" w:cs="Cambria Math"/>
              <w:szCs w:val="21"/>
            </w:rPr>
            <m:t>=</m:t>
          </m:r>
          <m:nary>
            <m:naryPr>
              <m:chr m:val="∑"/>
              <m:limLoc m:val="subSup"/>
              <m:ctrlPr>
                <w:rPr>
                  <w:rFonts w:ascii="Cambria Math" w:hAnsi="Cambria Math" w:cs="Cambria Math"/>
                  <w:i/>
                  <w:szCs w:val="21"/>
                </w:rPr>
              </m:ctrlPr>
            </m:naryPr>
            <m:sub>
              <m:r>
                <w:rPr>
                  <w:rFonts w:ascii="Cambria Math" w:hAnsi="Cambria Math" w:cs="Cambria Math"/>
                  <w:szCs w:val="21"/>
                </w:rPr>
                <m:t>i</m:t>
              </m:r>
              <m:r>
                <w:rPr>
                  <w:rFonts w:ascii="Cambria Math" w:hAnsi="Cambria Math" w:cs="Cambria Math"/>
                  <w:szCs w:val="21"/>
                </w:rPr>
                <m:t>=</m:t>
              </m:r>
              <m:r>
                <w:rPr>
                  <w:rFonts w:ascii="Cambria Math" w:hAnsi="Cambria Math" w:cs="Cambria Math"/>
                  <w:szCs w:val="21"/>
                </w:rPr>
                <m:t>1</m:t>
              </m:r>
            </m:sub>
            <m:sup>
              <m:r>
                <w:rPr>
                  <w:rFonts w:ascii="Cambria Math" w:hAnsi="Cambria Math" w:cs="Cambria Math"/>
                  <w:szCs w:val="21"/>
                </w:rPr>
                <m:t>n</m:t>
              </m:r>
            </m:sup>
            <m:e>
              <m:d>
                <m:dPr>
                  <m:ctrlPr>
                    <w:rPr>
                      <w:rFonts w:ascii="Cambria Math" w:hAnsi="Cambria Math" w:cs="Cambria Math"/>
                      <w:i/>
                      <w:szCs w:val="21"/>
                    </w:rPr>
                  </m:ctrlPr>
                </m:dPr>
                <m:e>
                  <m:sSub>
                    <m:sSubPr>
                      <m:ctrlPr>
                        <w:rPr>
                          <w:rFonts w:ascii="Cambria Math" w:hAnsi="Cambria Math" w:cs="Cambria Math"/>
                          <w:i/>
                          <w:szCs w:val="21"/>
                        </w:rPr>
                      </m:ctrlPr>
                    </m:sSubPr>
                    <m:e>
                      <m:r>
                        <w:rPr>
                          <w:rFonts w:ascii="Cambria Math" w:hAnsi="Cambria Math" w:cs="Cambria Math"/>
                          <w:szCs w:val="21"/>
                        </w:rPr>
                        <m:t>R</m:t>
                      </m:r>
                      <m:r>
                        <w:rPr>
                          <w:rFonts w:ascii="Cambria Math" w:hAnsi="Cambria Math" w:cs="Cambria Math"/>
                          <w:szCs w:val="21"/>
                        </w:rPr>
                        <m:t>2</m:t>
                      </m:r>
                    </m:e>
                    <m:sub>
                      <m:r>
                        <w:rPr>
                          <w:rFonts w:ascii="Cambria Math" w:hAnsi="Cambria Math" w:cs="Cambria Math"/>
                          <w:szCs w:val="21"/>
                        </w:rPr>
                        <m:t>j</m:t>
                      </m:r>
                    </m:sub>
                  </m:sSub>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R</m:t>
                      </m:r>
                      <m:r>
                        <w:rPr>
                          <w:rFonts w:ascii="Cambria Math" w:hAnsi="Cambria Math" w:cs="Cambria Math"/>
                          <w:szCs w:val="21"/>
                        </w:rPr>
                        <m:t>1</m:t>
                      </m:r>
                    </m:e>
                    <m:sub>
                      <m:r>
                        <w:rPr>
                          <w:rFonts w:ascii="Cambria Math" w:hAnsi="Cambria Math" w:cs="Cambria Math"/>
                          <w:szCs w:val="21"/>
                        </w:rPr>
                        <m:t>j</m:t>
                      </m:r>
                    </m:sub>
                  </m:sSub>
                </m:e>
              </m:d>
              <m:r>
                <w:rPr>
                  <w:rFonts w:ascii="Cambria Math" w:hAnsi="Cambria Math" w:cs="Cambria Math"/>
                  <w:szCs w:val="21"/>
                </w:rPr>
                <m:t>×</m:t>
              </m:r>
              <m:f>
                <m:fPr>
                  <m:ctrlPr>
                    <w:rPr>
                      <w:rFonts w:ascii="Cambria Math" w:hAnsi="Cambria Math" w:cs="Cambria Math"/>
                      <w:i/>
                      <w:szCs w:val="21"/>
                    </w:rPr>
                  </m:ctrlPr>
                </m:fPr>
                <m:num>
                  <m:r>
                    <w:rPr>
                      <w:rFonts w:ascii="Cambria Math" w:hAnsi="Cambria Math" w:cs="Cambria Math"/>
                      <w:szCs w:val="21"/>
                    </w:rPr>
                    <m:t>44</m:t>
                  </m:r>
                </m:num>
                <m:den>
                  <m:r>
                    <w:rPr>
                      <w:rFonts w:ascii="Cambria Math" w:hAnsi="Cambria Math" w:cs="Cambria Math"/>
                      <w:szCs w:val="21"/>
                    </w:rPr>
                    <m:t>12</m:t>
                  </m:r>
                </m:den>
              </m:f>
            </m:e>
          </m:nary>
        </m:oMath>
      </m:oMathPara>
    </w:p>
    <w:p w14:paraId="7DB09293" w14:textId="77777777" w:rsidR="00DB17CE" w:rsidRDefault="00ED408E">
      <w:pPr>
        <w:tabs>
          <w:tab w:val="center" w:pos="4201"/>
          <w:tab w:val="right" w:leader="dot" w:pos="9298"/>
        </w:tabs>
        <w:ind w:leftChars="200" w:left="840" w:hangingChars="200" w:hanging="420"/>
        <w:rPr>
          <w:szCs w:val="21"/>
        </w:rPr>
      </w:pPr>
      <w:r>
        <w:rPr>
          <w:rFonts w:hint="eastAsia"/>
          <w:szCs w:val="21"/>
        </w:rPr>
        <w:t>式中：</w:t>
      </w:r>
    </w:p>
    <w:p w14:paraId="79F40B9B" w14:textId="77777777" w:rsidR="00DB17CE" w:rsidRDefault="00ED408E">
      <w:pPr>
        <w:tabs>
          <w:tab w:val="center" w:pos="4201"/>
          <w:tab w:val="right" w:leader="dot" w:pos="9298"/>
        </w:tabs>
        <w:ind w:leftChars="200" w:left="840" w:hangingChars="200" w:hanging="420"/>
        <w:rPr>
          <w:szCs w:val="21"/>
        </w:rPr>
      </w:pPr>
      <w:r>
        <w:rPr>
          <w:rFonts w:hint="eastAsia"/>
          <w:i/>
          <w:iCs/>
          <w:szCs w:val="21"/>
        </w:rPr>
        <w:t>G</w:t>
      </w:r>
      <w:r>
        <w:rPr>
          <w:rFonts w:hint="eastAsia"/>
          <w:szCs w:val="21"/>
          <w:vertAlign w:val="subscript"/>
        </w:rPr>
        <w:t>f</w:t>
      </w:r>
      <w:r>
        <w:rPr>
          <w:rFonts w:hint="eastAsia"/>
          <w:szCs w:val="21"/>
        </w:rPr>
        <w:t>——碳存储变化量，</w:t>
      </w:r>
      <w:proofErr w:type="gramStart"/>
      <w:r>
        <w:rPr>
          <w:rFonts w:hint="eastAsia"/>
          <w:szCs w:val="21"/>
        </w:rPr>
        <w:t>单位为吨二氧化碳</w:t>
      </w:r>
      <w:proofErr w:type="gramEnd"/>
      <w:r>
        <w:rPr>
          <w:rFonts w:hint="eastAsia"/>
          <w:szCs w:val="21"/>
        </w:rPr>
        <w:t>（</w:t>
      </w:r>
      <w:r>
        <w:rPr>
          <w:rFonts w:hint="eastAsia"/>
          <w:szCs w:val="21"/>
        </w:rPr>
        <w:t>tCO</w:t>
      </w:r>
      <w:r>
        <w:rPr>
          <w:rFonts w:hint="eastAsia"/>
          <w:szCs w:val="21"/>
          <w:vertAlign w:val="subscript"/>
        </w:rPr>
        <w:t>2</w:t>
      </w:r>
      <w:r>
        <w:rPr>
          <w:rFonts w:hint="eastAsia"/>
          <w:szCs w:val="21"/>
        </w:rPr>
        <w:t>）；</w:t>
      </w:r>
    </w:p>
    <w:p w14:paraId="226E4367" w14:textId="77777777" w:rsidR="00DB17CE" w:rsidRDefault="00ED408E">
      <w:pPr>
        <w:tabs>
          <w:tab w:val="center" w:pos="4201"/>
          <w:tab w:val="right" w:leader="dot" w:pos="9298"/>
        </w:tabs>
        <w:ind w:leftChars="200" w:left="840" w:hangingChars="200" w:hanging="420"/>
        <w:rPr>
          <w:szCs w:val="21"/>
        </w:rPr>
      </w:pPr>
      <w:r>
        <w:rPr>
          <w:rFonts w:hint="eastAsia"/>
          <w:i/>
          <w:iCs/>
          <w:szCs w:val="21"/>
        </w:rPr>
        <w:t>R</w:t>
      </w:r>
      <w:r>
        <w:rPr>
          <w:rFonts w:hint="eastAsia"/>
          <w:szCs w:val="21"/>
        </w:rPr>
        <w:t>2</w:t>
      </w:r>
      <w:r>
        <w:rPr>
          <w:rFonts w:hint="eastAsia"/>
          <w:i/>
          <w:iCs/>
          <w:szCs w:val="21"/>
          <w:vertAlign w:val="subscript"/>
        </w:rPr>
        <w:t>j</w:t>
      </w:r>
      <w:r>
        <w:rPr>
          <w:rFonts w:hint="eastAsia"/>
          <w:szCs w:val="21"/>
        </w:rPr>
        <w:t>——第二年该</w:t>
      </w:r>
      <w:proofErr w:type="gramStart"/>
      <w:r>
        <w:rPr>
          <w:rFonts w:hint="eastAsia"/>
          <w:szCs w:val="21"/>
        </w:rPr>
        <w:t>区域第</w:t>
      </w:r>
      <w:proofErr w:type="gramEnd"/>
      <w:r>
        <w:rPr>
          <w:rFonts w:hint="eastAsia"/>
          <w:i/>
          <w:iCs/>
          <w:szCs w:val="21"/>
        </w:rPr>
        <w:t>j</w:t>
      </w:r>
      <w:r>
        <w:rPr>
          <w:rFonts w:hint="eastAsia"/>
          <w:szCs w:val="21"/>
        </w:rPr>
        <w:t>种树木种类对应的碳存储量，单位</w:t>
      </w:r>
      <w:proofErr w:type="gramStart"/>
      <w:r>
        <w:rPr>
          <w:rFonts w:hint="eastAsia"/>
          <w:szCs w:val="21"/>
        </w:rPr>
        <w:t>为吨碳</w:t>
      </w:r>
      <w:proofErr w:type="gramEnd"/>
      <w:r>
        <w:rPr>
          <w:rFonts w:hint="eastAsia"/>
          <w:szCs w:val="21"/>
        </w:rPr>
        <w:t>（</w:t>
      </w:r>
      <w:proofErr w:type="spellStart"/>
      <w:r>
        <w:rPr>
          <w:rFonts w:hint="eastAsia"/>
          <w:szCs w:val="21"/>
        </w:rPr>
        <w:t>tC</w:t>
      </w:r>
      <w:proofErr w:type="spellEnd"/>
      <w:r>
        <w:rPr>
          <w:rFonts w:hint="eastAsia"/>
          <w:szCs w:val="21"/>
        </w:rPr>
        <w:t>）；</w:t>
      </w:r>
    </w:p>
    <w:p w14:paraId="7B1C9743" w14:textId="77777777" w:rsidR="00DB17CE" w:rsidRDefault="00ED408E">
      <w:pPr>
        <w:tabs>
          <w:tab w:val="center" w:pos="4201"/>
          <w:tab w:val="right" w:leader="dot" w:pos="9298"/>
        </w:tabs>
        <w:ind w:leftChars="200" w:left="840" w:hangingChars="200" w:hanging="420"/>
        <w:rPr>
          <w:szCs w:val="21"/>
        </w:rPr>
      </w:pPr>
      <w:r>
        <w:rPr>
          <w:rFonts w:hint="eastAsia"/>
          <w:i/>
          <w:iCs/>
          <w:szCs w:val="21"/>
        </w:rPr>
        <w:t>R</w:t>
      </w:r>
      <w:r>
        <w:rPr>
          <w:rFonts w:hint="eastAsia"/>
          <w:szCs w:val="21"/>
        </w:rPr>
        <w:t>1</w:t>
      </w:r>
      <w:r>
        <w:rPr>
          <w:rFonts w:hint="eastAsia"/>
          <w:i/>
          <w:iCs/>
          <w:szCs w:val="21"/>
          <w:vertAlign w:val="subscript"/>
        </w:rPr>
        <w:t>j</w:t>
      </w:r>
      <w:r>
        <w:rPr>
          <w:rFonts w:hint="eastAsia"/>
          <w:szCs w:val="21"/>
        </w:rPr>
        <w:t>——第一年该</w:t>
      </w:r>
      <w:proofErr w:type="gramStart"/>
      <w:r>
        <w:rPr>
          <w:rFonts w:hint="eastAsia"/>
          <w:szCs w:val="21"/>
        </w:rPr>
        <w:t>区域第</w:t>
      </w:r>
      <w:proofErr w:type="gramEnd"/>
      <w:r>
        <w:rPr>
          <w:rFonts w:hint="eastAsia"/>
          <w:i/>
          <w:iCs/>
          <w:szCs w:val="21"/>
        </w:rPr>
        <w:t>j</w:t>
      </w:r>
      <w:r>
        <w:rPr>
          <w:rFonts w:hint="eastAsia"/>
          <w:szCs w:val="21"/>
        </w:rPr>
        <w:t>种树木种类对应的碳存储量，单位</w:t>
      </w:r>
      <w:proofErr w:type="gramStart"/>
      <w:r>
        <w:rPr>
          <w:rFonts w:hint="eastAsia"/>
          <w:szCs w:val="21"/>
        </w:rPr>
        <w:t>为吨碳</w:t>
      </w:r>
      <w:proofErr w:type="gramEnd"/>
      <w:r>
        <w:rPr>
          <w:rFonts w:hint="eastAsia"/>
          <w:szCs w:val="21"/>
        </w:rPr>
        <w:t>（</w:t>
      </w:r>
      <w:proofErr w:type="spellStart"/>
      <w:r>
        <w:rPr>
          <w:rFonts w:hint="eastAsia"/>
          <w:szCs w:val="21"/>
        </w:rPr>
        <w:t>tC</w:t>
      </w:r>
      <w:proofErr w:type="spellEnd"/>
      <w:r>
        <w:rPr>
          <w:rFonts w:hint="eastAsia"/>
          <w:szCs w:val="21"/>
        </w:rPr>
        <w:t>）；</w:t>
      </w:r>
    </w:p>
    <w:p w14:paraId="12E3E52C" w14:textId="77777777" w:rsidR="00DB17CE" w:rsidRDefault="00ED408E">
      <w:pPr>
        <w:tabs>
          <w:tab w:val="center" w:pos="4201"/>
          <w:tab w:val="right" w:leader="dot" w:pos="9298"/>
        </w:tabs>
        <w:ind w:leftChars="200" w:left="840" w:hangingChars="200" w:hanging="420"/>
        <w:rPr>
          <w:szCs w:val="21"/>
        </w:rPr>
      </w:pPr>
      <w:r>
        <w:rPr>
          <w:rFonts w:hint="eastAsia"/>
          <w:szCs w:val="21"/>
        </w:rPr>
        <w:t>b</w:t>
      </w:r>
      <w:r>
        <w:rPr>
          <w:rFonts w:hint="eastAsia"/>
          <w:szCs w:val="21"/>
        </w:rPr>
        <w:t>）</w:t>
      </w:r>
      <w:r>
        <w:rPr>
          <w:rFonts w:hint="eastAsia"/>
          <w:color w:val="000000"/>
          <w:kern w:val="0"/>
          <w:sz w:val="24"/>
        </w:rPr>
        <w:t>根据欧洲造纸协会（</w:t>
      </w:r>
      <w:r>
        <w:rPr>
          <w:rFonts w:hint="eastAsia"/>
          <w:color w:val="000000"/>
          <w:kern w:val="0"/>
          <w:sz w:val="24"/>
        </w:rPr>
        <w:t>CEPI</w:t>
      </w:r>
      <w:r>
        <w:rPr>
          <w:rFonts w:hint="eastAsia"/>
          <w:color w:val="000000"/>
          <w:kern w:val="0"/>
          <w:sz w:val="24"/>
        </w:rPr>
        <w:t>）提出的建议，可持续森林管理有利于土地碳储量保持稳定。因此，经由可持续森林认证的木材可认为不产生额外的森林利用变化碳排放，即森林碳储存变化量为零。经由竹林可持续经营认证的竹林可认为不产生额外的竹林利用变化碳排放，即竹林的碳存储为零。</w:t>
      </w:r>
    </w:p>
    <w:p w14:paraId="4BDB77F7"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②农作物碳存储</w:t>
      </w:r>
    </w:p>
    <w:p w14:paraId="3D96144D"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若一次性卫生用品使用芦苇、秸秆、稻草、麦草等非木纤维为原料，则选择计算农作物碳存储。由于产品使用的非木纤维原料主要是农作物或农业废弃物，这一部分的碳存储可默认为零。</w:t>
      </w:r>
    </w:p>
    <w:p w14:paraId="41959215"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③产品中碳存储</w:t>
      </w:r>
    </w:p>
    <w:p w14:paraId="22120DBE" w14:textId="77777777" w:rsidR="00DB17CE" w:rsidRDefault="00ED408E">
      <w:pPr>
        <w:tabs>
          <w:tab w:val="center" w:pos="4201"/>
          <w:tab w:val="right" w:leader="dot" w:pos="9298"/>
        </w:tabs>
        <w:ind w:leftChars="200" w:left="900" w:hangingChars="200" w:hanging="480"/>
        <w:rPr>
          <w:color w:val="000000"/>
          <w:kern w:val="0"/>
          <w:sz w:val="24"/>
        </w:rPr>
      </w:pPr>
      <w:r>
        <w:rPr>
          <w:rFonts w:hint="eastAsia"/>
          <w:color w:val="000000"/>
          <w:kern w:val="0"/>
          <w:sz w:val="24"/>
        </w:rPr>
        <w:t>产品中碳存储量按</w:t>
      </w:r>
      <w:r>
        <w:rPr>
          <w:rFonts w:hint="eastAsia"/>
          <w:color w:val="000000"/>
          <w:kern w:val="0"/>
          <w:sz w:val="24"/>
        </w:rPr>
        <w:t>以下公式</w:t>
      </w:r>
      <w:r>
        <w:rPr>
          <w:rFonts w:hint="eastAsia"/>
          <w:color w:val="000000"/>
          <w:kern w:val="0"/>
          <w:sz w:val="24"/>
        </w:rPr>
        <w:t>计算：</w:t>
      </w:r>
    </w:p>
    <w:p w14:paraId="29A5EAE5" w14:textId="77777777" w:rsidR="00DB17CE" w:rsidRDefault="00ED408E">
      <w:pPr>
        <w:tabs>
          <w:tab w:val="center" w:pos="4201"/>
          <w:tab w:val="right" w:leader="dot" w:pos="9298"/>
        </w:tabs>
        <w:ind w:leftChars="200" w:left="840" w:hangingChars="200" w:hanging="420"/>
        <w:rPr>
          <w:szCs w:val="21"/>
        </w:rPr>
      </w:pPr>
      <m:oMathPara>
        <m:oMathParaPr>
          <m:jc m:val="center"/>
        </m:oMathParaPr>
        <m:oMath>
          <m:sSub>
            <m:sSubPr>
              <m:ctrlPr>
                <w:rPr>
                  <w:rFonts w:ascii="Cambria Math" w:hAnsi="Cambria Math"/>
                  <w:i/>
                  <w:szCs w:val="21"/>
                </w:rPr>
              </m:ctrlPr>
            </m:sSubPr>
            <m:e>
              <m:r>
                <w:rPr>
                  <w:rFonts w:ascii="Cambria Math" w:hAnsi="Cambria Math"/>
                  <w:szCs w:val="21"/>
                </w:rPr>
                <m:t>G</m:t>
              </m:r>
            </m:e>
            <m:sub>
              <m:r>
                <m:rPr>
                  <m:sty m:val="p"/>
                </m:rPr>
                <w:rPr>
                  <w:rFonts w:ascii="Cambria Math" w:hAnsi="Cambria Math"/>
                  <w:szCs w:val="21"/>
                </w:rPr>
                <m:t>p</m:t>
              </m:r>
            </m:sub>
          </m:sSub>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m</m:t>
              </m:r>
            </m:e>
            <m:sub>
              <m:r>
                <m:rPr>
                  <m:sty m:val="p"/>
                </m:rPr>
                <w:rPr>
                  <w:rFonts w:ascii="Cambria Math" w:hAnsi="Cambria Math" w:cs="Cambria Math"/>
                  <w:szCs w:val="21"/>
                </w:rPr>
                <m:t>p</m:t>
              </m:r>
            </m:sub>
          </m:sSub>
          <m:r>
            <w:rPr>
              <w:rFonts w:ascii="Cambria Math" w:hAnsi="Cambria Math" w:cs="Cambria Math"/>
              <w:szCs w:val="21"/>
            </w:rPr>
            <m:t>×</m:t>
          </m:r>
          <m:d>
            <m:dPr>
              <m:ctrlPr>
                <w:rPr>
                  <w:rFonts w:ascii="Cambria Math" w:hAnsi="Cambria Math" w:cs="Cambria Math"/>
                  <w:i/>
                  <w:szCs w:val="21"/>
                </w:rPr>
              </m:ctrlPr>
            </m:dPr>
            <m:e>
              <m:r>
                <w:rPr>
                  <w:rFonts w:ascii="Cambria Math" w:hAnsi="Cambria Math" w:cs="Cambria Math"/>
                  <w:szCs w:val="21"/>
                </w:rPr>
                <m:t>1</m:t>
              </m:r>
              <m:r>
                <w:rPr>
                  <w:rFonts w:ascii="Cambria Math" w:hAnsi="Cambria Math" w:cs="Cambria Math"/>
                  <w:szCs w:val="21"/>
                </w:rPr>
                <m:t>-</m:t>
              </m:r>
              <m:r>
                <w:rPr>
                  <w:rFonts w:ascii="Cambria Math" w:hAnsi="Cambria Math" w:cs="Cambria Math"/>
                  <w:szCs w:val="21"/>
                </w:rPr>
                <m:t>h</m:t>
              </m:r>
            </m:e>
          </m:d>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C</m:t>
              </m:r>
            </m:e>
            <m:sub>
              <m:r>
                <m:rPr>
                  <m:sty m:val="p"/>
                </m:rPr>
                <w:rPr>
                  <w:rFonts w:ascii="Cambria Math" w:hAnsi="Cambria Math" w:cs="Cambria Math"/>
                  <w:szCs w:val="21"/>
                </w:rPr>
                <m:t>p</m:t>
              </m:r>
            </m:sub>
          </m:sSub>
          <m:r>
            <w:rPr>
              <w:rFonts w:ascii="Cambria Math" w:hAnsi="Cambria Math" w:cs="Cambria Math"/>
              <w:szCs w:val="21"/>
            </w:rPr>
            <m:t>×</m:t>
          </m:r>
          <m:r>
            <w:rPr>
              <w:rFonts w:ascii="Cambria Math" w:hAnsi="Cambria Math" w:cs="Cambria Math"/>
              <w:szCs w:val="21"/>
            </w:rPr>
            <m:t>n</m:t>
          </m:r>
          <m:r>
            <w:rPr>
              <w:rFonts w:ascii="Cambria Math" w:hAnsi="Cambria Math" w:cs="Cambria Math"/>
              <w:szCs w:val="21"/>
            </w:rPr>
            <m:t>×</m:t>
          </m:r>
          <m:f>
            <m:fPr>
              <m:ctrlPr>
                <w:rPr>
                  <w:rFonts w:ascii="Cambria Math" w:hAnsi="Cambria Math" w:cs="Cambria Math"/>
                  <w:i/>
                  <w:szCs w:val="21"/>
                </w:rPr>
              </m:ctrlPr>
            </m:fPr>
            <m:num>
              <m:r>
                <w:rPr>
                  <w:rFonts w:ascii="Cambria Math" w:hAnsi="Cambria Math" w:cs="Cambria Math"/>
                  <w:szCs w:val="21"/>
                </w:rPr>
                <m:t>44</m:t>
              </m:r>
            </m:num>
            <m:den>
              <m:r>
                <w:rPr>
                  <w:rFonts w:ascii="Cambria Math" w:hAnsi="Cambria Math" w:cs="Cambria Math"/>
                  <w:szCs w:val="21"/>
                </w:rPr>
                <m:t>12</m:t>
              </m:r>
            </m:den>
          </m:f>
        </m:oMath>
      </m:oMathPara>
    </w:p>
    <w:p w14:paraId="5D3127DC" w14:textId="77777777" w:rsidR="00DB17CE" w:rsidRDefault="00ED408E">
      <w:pPr>
        <w:tabs>
          <w:tab w:val="center" w:pos="4201"/>
          <w:tab w:val="right" w:leader="dot" w:pos="9298"/>
        </w:tabs>
        <w:ind w:leftChars="200" w:left="840" w:hangingChars="200" w:hanging="420"/>
        <w:rPr>
          <w:szCs w:val="21"/>
        </w:rPr>
      </w:pPr>
      <w:r>
        <w:rPr>
          <w:rFonts w:hint="eastAsia"/>
          <w:szCs w:val="21"/>
        </w:rPr>
        <w:t>式中：</w:t>
      </w:r>
    </w:p>
    <w:p w14:paraId="41D30680" w14:textId="77777777" w:rsidR="00DB17CE" w:rsidRDefault="00ED408E">
      <w:pPr>
        <w:tabs>
          <w:tab w:val="center" w:pos="4201"/>
          <w:tab w:val="right" w:leader="dot" w:pos="9298"/>
        </w:tabs>
        <w:ind w:leftChars="200" w:left="840" w:hangingChars="200" w:hanging="420"/>
        <w:rPr>
          <w:szCs w:val="21"/>
        </w:rPr>
      </w:pPr>
      <w:proofErr w:type="spellStart"/>
      <w:r>
        <w:rPr>
          <w:rFonts w:hint="eastAsia"/>
          <w:i/>
          <w:iCs/>
          <w:szCs w:val="21"/>
        </w:rPr>
        <w:t>G</w:t>
      </w:r>
      <w:r>
        <w:rPr>
          <w:rFonts w:hint="eastAsia"/>
          <w:szCs w:val="21"/>
          <w:vertAlign w:val="subscript"/>
        </w:rPr>
        <w:t>p</w:t>
      </w:r>
      <w:proofErr w:type="spellEnd"/>
      <w:r>
        <w:rPr>
          <w:rFonts w:hint="eastAsia"/>
          <w:szCs w:val="21"/>
        </w:rPr>
        <w:t>——产品中碳存储量，</w:t>
      </w:r>
      <w:proofErr w:type="gramStart"/>
      <w:r>
        <w:rPr>
          <w:rFonts w:hint="eastAsia"/>
          <w:szCs w:val="21"/>
        </w:rPr>
        <w:t>单位为吨二氧化碳</w:t>
      </w:r>
      <w:proofErr w:type="gramEnd"/>
      <w:r>
        <w:rPr>
          <w:rFonts w:hint="eastAsia"/>
          <w:szCs w:val="21"/>
        </w:rPr>
        <w:t>（</w:t>
      </w:r>
      <w:r>
        <w:rPr>
          <w:rFonts w:hint="eastAsia"/>
          <w:szCs w:val="21"/>
        </w:rPr>
        <w:t>tCO</w:t>
      </w:r>
      <w:r>
        <w:rPr>
          <w:rFonts w:hint="eastAsia"/>
          <w:szCs w:val="21"/>
          <w:vertAlign w:val="subscript"/>
        </w:rPr>
        <w:t>2</w:t>
      </w:r>
      <w:r>
        <w:rPr>
          <w:rFonts w:hint="eastAsia"/>
          <w:szCs w:val="21"/>
        </w:rPr>
        <w:t>）；</w:t>
      </w:r>
    </w:p>
    <w:p w14:paraId="57AD45B3" w14:textId="77777777" w:rsidR="00DB17CE" w:rsidRDefault="00ED408E">
      <w:pPr>
        <w:tabs>
          <w:tab w:val="center" w:pos="4201"/>
          <w:tab w:val="right" w:leader="dot" w:pos="9298"/>
        </w:tabs>
        <w:ind w:leftChars="200" w:left="840" w:hangingChars="200" w:hanging="420"/>
        <w:rPr>
          <w:szCs w:val="21"/>
        </w:rPr>
      </w:pPr>
      <w:proofErr w:type="spellStart"/>
      <w:r>
        <w:rPr>
          <w:rFonts w:hint="eastAsia"/>
          <w:i/>
          <w:iCs/>
          <w:szCs w:val="21"/>
        </w:rPr>
        <w:t>m</w:t>
      </w:r>
      <w:r>
        <w:rPr>
          <w:rFonts w:hint="eastAsia"/>
          <w:szCs w:val="21"/>
          <w:vertAlign w:val="subscript"/>
        </w:rPr>
        <w:t>p</w:t>
      </w:r>
      <w:proofErr w:type="spellEnd"/>
      <w:r>
        <w:rPr>
          <w:rFonts w:hint="eastAsia"/>
          <w:szCs w:val="21"/>
        </w:rPr>
        <w:t>——产品产量，单位为吨（</w:t>
      </w:r>
      <w:r>
        <w:rPr>
          <w:rFonts w:hint="eastAsia"/>
          <w:szCs w:val="21"/>
        </w:rPr>
        <w:t>t</w:t>
      </w:r>
      <w:r>
        <w:rPr>
          <w:rFonts w:hint="eastAsia"/>
          <w:szCs w:val="21"/>
        </w:rPr>
        <w:t>）；</w:t>
      </w:r>
    </w:p>
    <w:p w14:paraId="2D57BEC4" w14:textId="77777777" w:rsidR="00DB17CE" w:rsidRDefault="00ED408E">
      <w:pPr>
        <w:tabs>
          <w:tab w:val="center" w:pos="4201"/>
          <w:tab w:val="right" w:leader="dot" w:pos="9298"/>
        </w:tabs>
        <w:ind w:leftChars="200" w:left="840" w:hangingChars="200" w:hanging="420"/>
        <w:rPr>
          <w:szCs w:val="21"/>
        </w:rPr>
      </w:pPr>
      <w:r>
        <w:rPr>
          <w:rFonts w:hint="eastAsia"/>
          <w:i/>
          <w:iCs/>
          <w:szCs w:val="21"/>
        </w:rPr>
        <w:t>h</w:t>
      </w:r>
      <w:r>
        <w:rPr>
          <w:rFonts w:hint="eastAsia"/>
          <w:szCs w:val="21"/>
        </w:rPr>
        <w:t>——产品的水分，</w:t>
      </w:r>
      <w:r>
        <w:rPr>
          <w:rFonts w:hint="eastAsia"/>
          <w:szCs w:val="21"/>
        </w:rPr>
        <w:t>%</w:t>
      </w:r>
      <w:r>
        <w:rPr>
          <w:rFonts w:hint="eastAsia"/>
          <w:szCs w:val="21"/>
        </w:rPr>
        <w:t>；</w:t>
      </w:r>
    </w:p>
    <w:p w14:paraId="1A3E3DC5" w14:textId="77777777" w:rsidR="00DB17CE" w:rsidRDefault="00ED408E">
      <w:pPr>
        <w:tabs>
          <w:tab w:val="center" w:pos="4201"/>
          <w:tab w:val="right" w:leader="dot" w:pos="9298"/>
        </w:tabs>
        <w:ind w:leftChars="200" w:left="840" w:hangingChars="200" w:hanging="420"/>
        <w:rPr>
          <w:szCs w:val="21"/>
        </w:rPr>
      </w:pPr>
      <w:r>
        <w:rPr>
          <w:rFonts w:hint="eastAsia"/>
          <w:i/>
          <w:iCs/>
          <w:szCs w:val="21"/>
        </w:rPr>
        <w:t>C</w:t>
      </w:r>
      <w:r>
        <w:rPr>
          <w:rFonts w:hint="eastAsia"/>
          <w:szCs w:val="21"/>
          <w:vertAlign w:val="subscript"/>
        </w:rPr>
        <w:t>p</w:t>
      </w:r>
      <w:r>
        <w:rPr>
          <w:rFonts w:hint="eastAsia"/>
          <w:szCs w:val="21"/>
        </w:rPr>
        <w:t>——产品的碳含量，</w:t>
      </w:r>
      <w:r>
        <w:rPr>
          <w:rFonts w:hint="eastAsia"/>
          <w:szCs w:val="21"/>
        </w:rPr>
        <w:t>%</w:t>
      </w:r>
      <w:r>
        <w:rPr>
          <w:rFonts w:hint="eastAsia"/>
          <w:szCs w:val="21"/>
        </w:rPr>
        <w:t>；</w:t>
      </w:r>
    </w:p>
    <w:p w14:paraId="60D47CDD" w14:textId="77777777" w:rsidR="00DB17CE" w:rsidRDefault="00ED408E">
      <w:pPr>
        <w:tabs>
          <w:tab w:val="center" w:pos="4201"/>
          <w:tab w:val="right" w:leader="dot" w:pos="9298"/>
        </w:tabs>
        <w:ind w:leftChars="200" w:left="840" w:hangingChars="200" w:hanging="420"/>
        <w:rPr>
          <w:szCs w:val="21"/>
        </w:rPr>
      </w:pPr>
      <w:r>
        <w:rPr>
          <w:rFonts w:hint="eastAsia"/>
          <w:i/>
          <w:iCs/>
          <w:szCs w:val="21"/>
        </w:rPr>
        <w:t>n</w:t>
      </w:r>
      <w:r>
        <w:rPr>
          <w:rFonts w:hint="eastAsia"/>
          <w:szCs w:val="21"/>
        </w:rPr>
        <w:t>——延迟年限的产品碳存储权重系数。</w:t>
      </w:r>
    </w:p>
    <w:p w14:paraId="52C7235E" w14:textId="77777777" w:rsidR="00DB17CE" w:rsidRDefault="00ED408E">
      <w:pPr>
        <w:tabs>
          <w:tab w:val="center" w:pos="4201"/>
          <w:tab w:val="right" w:leader="dot" w:pos="9298"/>
        </w:tabs>
        <w:ind w:leftChars="200" w:left="900" w:hangingChars="200" w:hanging="480"/>
        <w:rPr>
          <w:color w:val="000000"/>
          <w:kern w:val="0"/>
          <w:sz w:val="24"/>
        </w:rPr>
      </w:pPr>
      <w:r>
        <w:rPr>
          <w:rFonts w:hint="eastAsia"/>
          <w:color w:val="000000"/>
          <w:kern w:val="0"/>
          <w:sz w:val="24"/>
        </w:rPr>
        <w:t>产品评价期内</w:t>
      </w:r>
      <w:r>
        <w:rPr>
          <w:rFonts w:hint="eastAsia"/>
          <w:color w:val="000000"/>
          <w:kern w:val="0"/>
          <w:sz w:val="24"/>
        </w:rPr>
        <w:t>CO</w:t>
      </w:r>
      <w:r>
        <w:rPr>
          <w:rFonts w:hint="eastAsia"/>
          <w:color w:val="000000"/>
          <w:kern w:val="0"/>
          <w:sz w:val="24"/>
          <w:vertAlign w:val="subscript"/>
        </w:rPr>
        <w:t>2</w:t>
      </w:r>
      <w:r>
        <w:rPr>
          <w:rFonts w:hint="eastAsia"/>
          <w:color w:val="000000"/>
          <w:kern w:val="0"/>
          <w:sz w:val="24"/>
        </w:rPr>
        <w:t>延迟排放的加权系数按以下计算：</w:t>
      </w:r>
    </w:p>
    <w:p w14:paraId="3CA4BB5E" w14:textId="77777777" w:rsidR="00DB17CE" w:rsidRDefault="00ED408E">
      <w:pPr>
        <w:tabs>
          <w:tab w:val="center" w:pos="4201"/>
          <w:tab w:val="right" w:leader="dot" w:pos="9298"/>
        </w:tabs>
        <w:ind w:leftChars="200" w:left="840" w:hangingChars="200" w:hanging="420"/>
        <w:rPr>
          <w:szCs w:val="21"/>
        </w:rPr>
      </w:pPr>
      <m:oMathPara>
        <m:oMathParaPr>
          <m:jc m:val="center"/>
        </m:oMathParaPr>
        <m:oMath>
          <m:r>
            <w:rPr>
              <w:rFonts w:ascii="Cambria Math" w:hAnsi="Cambria Math"/>
              <w:szCs w:val="21"/>
            </w:rPr>
            <m:t>n</m:t>
          </m:r>
          <m:r>
            <m:rPr>
              <m:sty m:val="p"/>
            </m:rPr>
            <w:rPr>
              <w:rFonts w:ascii="Cambria Math" w:hAnsi="Cambria Math" w:cs="Cambria Math"/>
              <w:szCs w:val="21"/>
            </w:rPr>
            <m:t>=</m:t>
          </m:r>
          <m:r>
            <m:rPr>
              <m:sty m:val="p"/>
            </m:rPr>
            <w:rPr>
              <w:rFonts w:ascii="Cambria Math" w:hAnsi="Cambria Math"/>
              <w:szCs w:val="21"/>
            </w:rPr>
            <m:t>0.76</m:t>
          </m:r>
          <m:r>
            <m:rPr>
              <m:sty m:val="p"/>
            </m:rPr>
            <w:rPr>
              <w:rFonts w:ascii="Cambria Math" w:hAnsi="Cambria Math" w:cs="Cambria Math"/>
              <w:szCs w:val="21"/>
            </w:rPr>
            <m:t>×</m:t>
          </m:r>
          <m:f>
            <m:fPr>
              <m:ctrlPr>
                <w:rPr>
                  <w:rFonts w:ascii="Cambria Math" w:hAnsi="Cambria Math" w:cs="Cambria Math"/>
                  <w:szCs w:val="21"/>
                </w:rPr>
              </m:ctrlPr>
            </m:fPr>
            <m:num>
              <m:sSub>
                <m:sSubPr>
                  <m:ctrlPr>
                    <w:rPr>
                      <w:rFonts w:ascii="Cambria Math" w:hAnsi="Cambria Math" w:cs="Cambria Math"/>
                      <w:szCs w:val="21"/>
                    </w:rPr>
                  </m:ctrlPr>
                </m:sSubPr>
                <m:e>
                  <m:r>
                    <w:rPr>
                      <w:rFonts w:ascii="Cambria Math" w:hAnsi="Cambria Math" w:cs="Cambria Math"/>
                      <w:szCs w:val="21"/>
                    </w:rPr>
                    <m:t>t</m:t>
                  </m:r>
                </m:e>
                <m:sub>
                  <m:r>
                    <m:rPr>
                      <m:sty m:val="p"/>
                    </m:rPr>
                    <w:rPr>
                      <w:rFonts w:ascii="Cambria Math" w:hAnsi="Cambria Math" w:cs="Cambria Math"/>
                      <w:szCs w:val="21"/>
                    </w:rPr>
                    <m:t>p</m:t>
                  </m:r>
                </m:sub>
              </m:sSub>
            </m:num>
            <m:den>
              <m:r>
                <m:rPr>
                  <m:sty m:val="p"/>
                </m:rPr>
                <w:rPr>
                  <w:rFonts w:ascii="Cambria Math" w:hAnsi="Cambria Math" w:cs="Cambria Math"/>
                  <w:szCs w:val="21"/>
                </w:rPr>
                <m:t>100</m:t>
              </m:r>
            </m:den>
          </m:f>
        </m:oMath>
      </m:oMathPara>
    </w:p>
    <w:p w14:paraId="16B4E669" w14:textId="77777777" w:rsidR="00DB17CE" w:rsidRDefault="00ED408E">
      <w:pPr>
        <w:tabs>
          <w:tab w:val="center" w:pos="4201"/>
          <w:tab w:val="right" w:leader="dot" w:pos="9298"/>
        </w:tabs>
        <w:ind w:leftChars="200" w:left="840" w:hangingChars="200" w:hanging="420"/>
        <w:rPr>
          <w:szCs w:val="21"/>
        </w:rPr>
      </w:pPr>
      <w:r>
        <w:rPr>
          <w:rFonts w:hint="eastAsia"/>
          <w:szCs w:val="21"/>
        </w:rPr>
        <w:t>式中：</w:t>
      </w:r>
    </w:p>
    <w:p w14:paraId="34F7F4C8" w14:textId="77777777" w:rsidR="00DB17CE" w:rsidRDefault="00ED408E">
      <w:pPr>
        <w:tabs>
          <w:tab w:val="center" w:pos="4201"/>
          <w:tab w:val="right" w:leader="dot" w:pos="9298"/>
        </w:tabs>
        <w:ind w:leftChars="200" w:left="840" w:hangingChars="200" w:hanging="420"/>
        <w:rPr>
          <w:szCs w:val="21"/>
        </w:rPr>
      </w:pPr>
      <w:proofErr w:type="spellStart"/>
      <w:r>
        <w:rPr>
          <w:rFonts w:hint="eastAsia"/>
          <w:i/>
          <w:iCs/>
          <w:szCs w:val="21"/>
        </w:rPr>
        <w:t>t</w:t>
      </w:r>
      <w:r>
        <w:rPr>
          <w:rFonts w:hint="eastAsia"/>
          <w:szCs w:val="21"/>
          <w:vertAlign w:val="subscript"/>
        </w:rPr>
        <w:t>p</w:t>
      </w:r>
      <w:proofErr w:type="spellEnd"/>
      <w:r>
        <w:rPr>
          <w:rFonts w:hint="eastAsia"/>
          <w:szCs w:val="21"/>
        </w:rPr>
        <w:t>——产品在市场上流通以及使用总时间，单位为年（</w:t>
      </w:r>
      <w:r>
        <w:rPr>
          <w:rFonts w:hint="eastAsia"/>
          <w:szCs w:val="21"/>
        </w:rPr>
        <w:t>a</w:t>
      </w:r>
      <w:r>
        <w:rPr>
          <w:rFonts w:hint="eastAsia"/>
          <w:szCs w:val="21"/>
        </w:rPr>
        <w:t>）。</w:t>
      </w:r>
    </w:p>
    <w:p w14:paraId="27765DB2" w14:textId="77777777" w:rsidR="00DB17CE" w:rsidRDefault="00ED408E">
      <w:pPr>
        <w:tabs>
          <w:tab w:val="center" w:pos="4201"/>
          <w:tab w:val="right" w:leader="dot" w:pos="9298"/>
        </w:tabs>
        <w:ind w:leftChars="200" w:left="780" w:hangingChars="200" w:hanging="360"/>
        <w:rPr>
          <w:sz w:val="18"/>
          <w:szCs w:val="18"/>
        </w:rPr>
      </w:pPr>
      <w:r>
        <w:rPr>
          <w:rFonts w:ascii="黑体" w:eastAsia="黑体" w:hAnsi="黑体" w:cs="黑体" w:hint="eastAsia"/>
          <w:sz w:val="18"/>
          <w:szCs w:val="18"/>
        </w:rPr>
        <w:t>注</w:t>
      </w:r>
      <w:r>
        <w:rPr>
          <w:rFonts w:hint="eastAsia"/>
          <w:sz w:val="18"/>
          <w:szCs w:val="18"/>
        </w:rPr>
        <w:t>：本文件推荐为</w:t>
      </w:r>
      <w:r>
        <w:rPr>
          <w:rFonts w:hint="eastAsia"/>
          <w:sz w:val="18"/>
          <w:szCs w:val="18"/>
        </w:rPr>
        <w:t>2</w:t>
      </w:r>
      <w:r>
        <w:rPr>
          <w:rFonts w:hint="eastAsia"/>
          <w:sz w:val="18"/>
          <w:szCs w:val="18"/>
        </w:rPr>
        <w:t>年。</w:t>
      </w:r>
    </w:p>
    <w:p w14:paraId="02F5429F"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④填埋中碳存储</w:t>
      </w:r>
    </w:p>
    <w:p w14:paraId="16096FC8" w14:textId="77777777" w:rsidR="00DB17CE" w:rsidRDefault="00ED408E">
      <w:pPr>
        <w:tabs>
          <w:tab w:val="center" w:pos="4201"/>
          <w:tab w:val="right" w:leader="dot" w:pos="9298"/>
        </w:tabs>
        <w:ind w:leftChars="200" w:left="900" w:hangingChars="200" w:hanging="480"/>
        <w:rPr>
          <w:color w:val="000000"/>
          <w:kern w:val="0"/>
          <w:sz w:val="24"/>
        </w:rPr>
      </w:pPr>
      <w:r>
        <w:rPr>
          <w:rFonts w:hint="eastAsia"/>
          <w:color w:val="000000"/>
          <w:kern w:val="0"/>
          <w:sz w:val="24"/>
        </w:rPr>
        <w:t>一次性卫生用品废弃物填埋处置的碳存储量按以下公式计算：</w:t>
      </w:r>
    </w:p>
    <w:p w14:paraId="031210F9" w14:textId="77777777" w:rsidR="00DB17CE" w:rsidRDefault="00ED408E">
      <w:pPr>
        <w:tabs>
          <w:tab w:val="center" w:pos="4201"/>
          <w:tab w:val="right" w:leader="dot" w:pos="9298"/>
        </w:tabs>
        <w:ind w:leftChars="200" w:left="840" w:hangingChars="200" w:hanging="420"/>
        <w:rPr>
          <w:szCs w:val="21"/>
        </w:rPr>
      </w:pPr>
      <m:oMathPara>
        <m:oMathParaPr>
          <m:jc m:val="center"/>
        </m:oMathParaPr>
        <m:oMath>
          <m:sSub>
            <m:sSubPr>
              <m:ctrlPr>
                <w:rPr>
                  <w:rFonts w:ascii="Cambria Math" w:hAnsi="Cambria Math"/>
                  <w:i/>
                  <w:szCs w:val="21"/>
                </w:rPr>
              </m:ctrlPr>
            </m:sSubPr>
            <m:e>
              <m:r>
                <w:rPr>
                  <w:rFonts w:ascii="Cambria Math" w:hAnsi="Cambria Math"/>
                  <w:szCs w:val="21"/>
                </w:rPr>
                <m:t>G</m:t>
              </m:r>
            </m:e>
            <m:sub>
              <m:r>
                <m:rPr>
                  <m:sty m:val="p"/>
                </m:rPr>
                <w:rPr>
                  <w:rFonts w:ascii="Cambria Math" w:hAnsi="Cambria Math"/>
                  <w:szCs w:val="21"/>
                </w:rPr>
                <m:t>d</m:t>
              </m:r>
            </m:sub>
          </m:sSub>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m</m:t>
              </m:r>
            </m:e>
            <m:sub>
              <m:r>
                <m:rPr>
                  <m:sty m:val="p"/>
                </m:rPr>
                <w:rPr>
                  <w:rFonts w:ascii="Cambria Math" w:hAnsi="Cambria Math" w:cs="Cambria Math"/>
                  <w:szCs w:val="21"/>
                </w:rPr>
                <m:t>d</m:t>
              </m:r>
            </m:sub>
          </m:sSub>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t</m:t>
              </m:r>
            </m:e>
            <m:sub>
              <m:r>
                <m:rPr>
                  <m:sty m:val="p"/>
                </m:rPr>
                <w:rPr>
                  <w:rFonts w:ascii="Cambria Math" w:hAnsi="Cambria Math" w:cs="Cambria Math"/>
                  <w:szCs w:val="21"/>
                </w:rPr>
                <m:t>0</m:t>
              </m:r>
            </m:sub>
          </m:sSub>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C</m:t>
              </m:r>
            </m:e>
            <m:sub>
              <m:r>
                <w:rPr>
                  <w:rFonts w:ascii="Cambria Math" w:hAnsi="Cambria Math" w:cs="Cambria Math"/>
                  <w:szCs w:val="21"/>
                </w:rPr>
                <m:t>1</m:t>
              </m:r>
            </m:sub>
          </m:sSub>
          <m:r>
            <w:rPr>
              <w:rFonts w:ascii="Cambria Math" w:hAnsi="Cambria Math" w:cs="Cambria Math"/>
              <w:szCs w:val="21"/>
            </w:rPr>
            <m:t>×</m:t>
          </m:r>
          <m:d>
            <m:dPr>
              <m:ctrlPr>
                <w:rPr>
                  <w:rFonts w:ascii="Cambria Math" w:hAnsi="Cambria Math" w:cs="Cambria Math"/>
                  <w:i/>
                  <w:szCs w:val="21"/>
                </w:rPr>
              </m:ctrlPr>
            </m:dPr>
            <m:e>
              <m:r>
                <w:rPr>
                  <w:rFonts w:ascii="Cambria Math" w:hAnsi="Cambria Math" w:cs="Cambria Math"/>
                  <w:szCs w:val="21"/>
                </w:rPr>
                <m:t>1</m:t>
              </m:r>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C</m:t>
                  </m:r>
                </m:e>
                <m:sub>
                  <m:r>
                    <w:rPr>
                      <w:rFonts w:ascii="Cambria Math" w:hAnsi="Cambria Math" w:cs="Cambria Math"/>
                      <w:szCs w:val="21"/>
                    </w:rPr>
                    <m:t>2</m:t>
                  </m:r>
                </m:sub>
              </m:sSub>
            </m:e>
          </m:d>
          <m:r>
            <w:rPr>
              <w:rFonts w:ascii="Cambria Math" w:hAnsi="Cambria Math" w:cs="Cambria Math"/>
              <w:szCs w:val="21"/>
            </w:rPr>
            <m:t>×</m:t>
          </m:r>
          <m:f>
            <m:fPr>
              <m:ctrlPr>
                <w:rPr>
                  <w:rFonts w:ascii="Cambria Math" w:hAnsi="Cambria Math" w:cs="Cambria Math"/>
                  <w:i/>
                  <w:szCs w:val="21"/>
                </w:rPr>
              </m:ctrlPr>
            </m:fPr>
            <m:num>
              <m:r>
                <w:rPr>
                  <w:rFonts w:ascii="Cambria Math" w:hAnsi="Cambria Math" w:cs="Cambria Math"/>
                  <w:szCs w:val="21"/>
                </w:rPr>
                <m:t>44</m:t>
              </m:r>
            </m:num>
            <m:den>
              <m:r>
                <w:rPr>
                  <w:rFonts w:ascii="Cambria Math" w:hAnsi="Cambria Math" w:cs="Cambria Math"/>
                  <w:szCs w:val="21"/>
                </w:rPr>
                <m:t>12</m:t>
              </m:r>
            </m:den>
          </m:f>
        </m:oMath>
      </m:oMathPara>
    </w:p>
    <w:p w14:paraId="6721C53F" w14:textId="77777777" w:rsidR="00DB17CE" w:rsidRDefault="00ED408E">
      <w:pPr>
        <w:tabs>
          <w:tab w:val="center" w:pos="4201"/>
          <w:tab w:val="right" w:leader="dot" w:pos="9298"/>
        </w:tabs>
        <w:ind w:leftChars="200" w:left="840" w:hangingChars="200" w:hanging="420"/>
        <w:rPr>
          <w:szCs w:val="21"/>
        </w:rPr>
      </w:pPr>
      <w:r>
        <w:rPr>
          <w:rFonts w:hint="eastAsia"/>
          <w:szCs w:val="21"/>
        </w:rPr>
        <w:t>式中：</w:t>
      </w:r>
    </w:p>
    <w:p w14:paraId="1598E2D9" w14:textId="77777777" w:rsidR="00DB17CE" w:rsidRDefault="00ED408E">
      <w:pPr>
        <w:tabs>
          <w:tab w:val="center" w:pos="4201"/>
          <w:tab w:val="right" w:leader="dot" w:pos="9298"/>
        </w:tabs>
        <w:ind w:leftChars="200" w:left="840" w:hangingChars="200" w:hanging="420"/>
        <w:rPr>
          <w:szCs w:val="21"/>
        </w:rPr>
      </w:pPr>
      <w:r>
        <w:rPr>
          <w:rFonts w:hint="eastAsia"/>
          <w:i/>
          <w:iCs/>
          <w:szCs w:val="21"/>
        </w:rPr>
        <w:t>G</w:t>
      </w:r>
      <w:r>
        <w:rPr>
          <w:rFonts w:hint="eastAsia"/>
          <w:szCs w:val="21"/>
          <w:vertAlign w:val="subscript"/>
        </w:rPr>
        <w:t>d</w:t>
      </w:r>
      <w:r>
        <w:rPr>
          <w:rFonts w:hint="eastAsia"/>
          <w:szCs w:val="21"/>
        </w:rPr>
        <w:t>——产品废弃物填埋处置的碳存储量，</w:t>
      </w:r>
      <w:proofErr w:type="gramStart"/>
      <w:r>
        <w:rPr>
          <w:rFonts w:hint="eastAsia"/>
          <w:szCs w:val="21"/>
        </w:rPr>
        <w:t>单位为吨二氧化碳</w:t>
      </w:r>
      <w:proofErr w:type="gramEnd"/>
      <w:r>
        <w:rPr>
          <w:rFonts w:hint="eastAsia"/>
          <w:szCs w:val="21"/>
        </w:rPr>
        <w:t>（</w:t>
      </w:r>
      <w:r>
        <w:rPr>
          <w:rFonts w:hint="eastAsia"/>
          <w:szCs w:val="21"/>
        </w:rPr>
        <w:t>tCO</w:t>
      </w:r>
      <w:r>
        <w:rPr>
          <w:rFonts w:hint="eastAsia"/>
          <w:szCs w:val="21"/>
          <w:vertAlign w:val="subscript"/>
        </w:rPr>
        <w:t>2</w:t>
      </w:r>
      <w:r>
        <w:rPr>
          <w:rFonts w:hint="eastAsia"/>
          <w:szCs w:val="21"/>
        </w:rPr>
        <w:t>）；</w:t>
      </w:r>
    </w:p>
    <w:p w14:paraId="25436AF6" w14:textId="77777777" w:rsidR="00DB17CE" w:rsidRDefault="00ED408E">
      <w:pPr>
        <w:tabs>
          <w:tab w:val="center" w:pos="4201"/>
          <w:tab w:val="right" w:leader="dot" w:pos="9298"/>
        </w:tabs>
        <w:ind w:leftChars="200" w:left="840" w:hangingChars="200" w:hanging="420"/>
        <w:rPr>
          <w:szCs w:val="21"/>
        </w:rPr>
      </w:pPr>
      <w:r>
        <w:rPr>
          <w:rFonts w:hint="eastAsia"/>
          <w:i/>
          <w:iCs/>
          <w:szCs w:val="21"/>
        </w:rPr>
        <w:t>m</w:t>
      </w:r>
      <w:r>
        <w:rPr>
          <w:rFonts w:hint="eastAsia"/>
          <w:szCs w:val="21"/>
          <w:vertAlign w:val="subscript"/>
        </w:rPr>
        <w:t>d</w:t>
      </w:r>
      <w:r>
        <w:rPr>
          <w:rFonts w:hint="eastAsia"/>
          <w:szCs w:val="21"/>
        </w:rPr>
        <w:t>——产品废弃物的总重量，单位为吨（</w:t>
      </w:r>
      <w:r>
        <w:rPr>
          <w:rFonts w:hint="eastAsia"/>
          <w:szCs w:val="21"/>
        </w:rPr>
        <w:t>t</w:t>
      </w:r>
      <w:r>
        <w:rPr>
          <w:rFonts w:hint="eastAsia"/>
          <w:szCs w:val="21"/>
        </w:rPr>
        <w:t>）；</w:t>
      </w:r>
    </w:p>
    <w:p w14:paraId="266B27D3" w14:textId="77777777" w:rsidR="00DB17CE" w:rsidRDefault="00ED408E">
      <w:pPr>
        <w:tabs>
          <w:tab w:val="center" w:pos="4201"/>
          <w:tab w:val="right" w:leader="dot" w:pos="9298"/>
        </w:tabs>
        <w:ind w:leftChars="200" w:left="840" w:hangingChars="200" w:hanging="420"/>
        <w:rPr>
          <w:szCs w:val="21"/>
        </w:rPr>
      </w:pPr>
      <w:r>
        <w:rPr>
          <w:rFonts w:hint="eastAsia"/>
          <w:i/>
          <w:iCs/>
          <w:szCs w:val="21"/>
        </w:rPr>
        <w:t>t</w:t>
      </w:r>
      <w:r>
        <w:rPr>
          <w:rFonts w:hint="eastAsia"/>
          <w:szCs w:val="21"/>
          <w:vertAlign w:val="subscript"/>
        </w:rPr>
        <w:t>0</w:t>
      </w:r>
      <w:r>
        <w:rPr>
          <w:rFonts w:hint="eastAsia"/>
          <w:szCs w:val="21"/>
        </w:rPr>
        <w:t>——城市废弃物填埋</w:t>
      </w:r>
      <w:proofErr w:type="gramStart"/>
      <w:r>
        <w:rPr>
          <w:rFonts w:hint="eastAsia"/>
          <w:szCs w:val="21"/>
        </w:rPr>
        <w:t>处置占</w:t>
      </w:r>
      <w:proofErr w:type="gramEnd"/>
      <w:r>
        <w:rPr>
          <w:rFonts w:hint="eastAsia"/>
          <w:szCs w:val="21"/>
        </w:rPr>
        <w:t>废弃物总量的比例，</w:t>
      </w:r>
      <w:r>
        <w:rPr>
          <w:rFonts w:hint="eastAsia"/>
          <w:szCs w:val="21"/>
        </w:rPr>
        <w:t>%</w:t>
      </w:r>
      <w:r>
        <w:rPr>
          <w:rFonts w:hint="eastAsia"/>
          <w:szCs w:val="21"/>
        </w:rPr>
        <w:t>；</w:t>
      </w:r>
    </w:p>
    <w:p w14:paraId="77E395ED" w14:textId="77777777" w:rsidR="00DB17CE" w:rsidRDefault="00ED408E">
      <w:pPr>
        <w:tabs>
          <w:tab w:val="center" w:pos="4201"/>
          <w:tab w:val="right" w:leader="dot" w:pos="9298"/>
        </w:tabs>
        <w:ind w:leftChars="200" w:left="840" w:hangingChars="200" w:hanging="420"/>
        <w:rPr>
          <w:szCs w:val="21"/>
        </w:rPr>
      </w:pPr>
      <w:r>
        <w:rPr>
          <w:rFonts w:hint="eastAsia"/>
          <w:i/>
          <w:iCs/>
          <w:szCs w:val="21"/>
        </w:rPr>
        <w:t>C</w:t>
      </w:r>
      <w:r>
        <w:rPr>
          <w:rFonts w:hint="eastAsia"/>
          <w:szCs w:val="21"/>
          <w:vertAlign w:val="subscript"/>
        </w:rPr>
        <w:t>1</w:t>
      </w:r>
      <w:r>
        <w:rPr>
          <w:rFonts w:hint="eastAsia"/>
          <w:szCs w:val="21"/>
        </w:rPr>
        <w:t>——可降解有机碳比例，单位</w:t>
      </w:r>
      <w:proofErr w:type="gramStart"/>
      <w:r>
        <w:rPr>
          <w:rFonts w:hint="eastAsia"/>
          <w:szCs w:val="21"/>
        </w:rPr>
        <w:t>为吨碳</w:t>
      </w:r>
      <w:r>
        <w:rPr>
          <w:rFonts w:hint="eastAsia"/>
          <w:szCs w:val="21"/>
        </w:rPr>
        <w:t>/</w:t>
      </w:r>
      <w:proofErr w:type="gramEnd"/>
      <w:r>
        <w:rPr>
          <w:rFonts w:hint="eastAsia"/>
          <w:szCs w:val="21"/>
        </w:rPr>
        <w:t>吨废弃物（</w:t>
      </w:r>
      <w:proofErr w:type="spellStart"/>
      <w:r>
        <w:rPr>
          <w:rFonts w:hint="eastAsia"/>
          <w:szCs w:val="21"/>
        </w:rPr>
        <w:t>tC</w:t>
      </w:r>
      <w:proofErr w:type="spellEnd"/>
      <w:r>
        <w:rPr>
          <w:rFonts w:hint="eastAsia"/>
          <w:szCs w:val="21"/>
        </w:rPr>
        <w:t>/t</w:t>
      </w:r>
      <w:r>
        <w:rPr>
          <w:rFonts w:hint="eastAsia"/>
          <w:szCs w:val="21"/>
        </w:rPr>
        <w:t>废弃物）；</w:t>
      </w:r>
    </w:p>
    <w:p w14:paraId="70FBA1DA" w14:textId="77777777" w:rsidR="00DB17CE" w:rsidRDefault="00ED408E">
      <w:pPr>
        <w:tabs>
          <w:tab w:val="center" w:pos="4201"/>
          <w:tab w:val="right" w:leader="dot" w:pos="9298"/>
        </w:tabs>
        <w:ind w:leftChars="200" w:left="840" w:hangingChars="200" w:hanging="420"/>
        <w:rPr>
          <w:szCs w:val="21"/>
        </w:rPr>
      </w:pPr>
      <w:r>
        <w:rPr>
          <w:rFonts w:hint="eastAsia"/>
          <w:i/>
          <w:iCs/>
          <w:szCs w:val="21"/>
        </w:rPr>
        <w:t>C</w:t>
      </w:r>
      <w:r>
        <w:rPr>
          <w:rFonts w:hint="eastAsia"/>
          <w:szCs w:val="21"/>
          <w:vertAlign w:val="subscript"/>
        </w:rPr>
        <w:t>2</w:t>
      </w:r>
      <w:r>
        <w:rPr>
          <w:rFonts w:hint="eastAsia"/>
          <w:szCs w:val="21"/>
        </w:rPr>
        <w:t>——可降解有机碳的降解比例。</w:t>
      </w:r>
    </w:p>
    <w:p w14:paraId="007D12AC" w14:textId="77777777" w:rsidR="00DB17CE" w:rsidRDefault="00ED408E">
      <w:pPr>
        <w:pStyle w:val="af6"/>
        <w:spacing w:line="360" w:lineRule="auto"/>
        <w:ind w:firstLineChars="0" w:firstLine="0"/>
        <w:rPr>
          <w:rFonts w:ascii="Times New Roman"/>
          <w:b/>
          <w:sz w:val="24"/>
          <w:szCs w:val="24"/>
        </w:rPr>
      </w:pPr>
      <w:r>
        <w:rPr>
          <w:rFonts w:ascii="Times New Roman" w:hint="eastAsia"/>
          <w:b/>
          <w:sz w:val="24"/>
          <w:szCs w:val="24"/>
        </w:rPr>
        <w:t xml:space="preserve">3.7 </w:t>
      </w:r>
      <w:r>
        <w:rPr>
          <w:rFonts w:ascii="Times New Roman" w:hint="eastAsia"/>
          <w:b/>
          <w:sz w:val="24"/>
          <w:szCs w:val="24"/>
        </w:rPr>
        <w:t>结果报告</w:t>
      </w:r>
    </w:p>
    <w:p w14:paraId="5942084E"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企业可根据需求对碳足迹核算结果进行披露，例如通过碳标签的</w:t>
      </w:r>
      <w:proofErr w:type="gramStart"/>
      <w:r>
        <w:rPr>
          <w:rFonts w:ascii="Times New Roman" w:hint="eastAsia"/>
          <w:color w:val="000000"/>
          <w:sz w:val="24"/>
          <w:szCs w:val="24"/>
        </w:rPr>
        <w:t>形式将碳足迹</w:t>
      </w:r>
      <w:proofErr w:type="gramEnd"/>
      <w:r>
        <w:rPr>
          <w:rFonts w:ascii="Times New Roman" w:hint="eastAsia"/>
          <w:color w:val="000000"/>
          <w:sz w:val="24"/>
          <w:szCs w:val="24"/>
        </w:rPr>
        <w:t>信息披露，但是无论采用哪种形式，在对一次性卫生用品碳足迹核算结果进行报告时，应将活动水平数据、核算方法、核算过程和结果进行完整、准确的呈现，并且有足够详细的说明。</w:t>
      </w:r>
    </w:p>
    <w:p w14:paraId="55457E8A" w14:textId="77777777" w:rsidR="00DB17CE" w:rsidRDefault="00ED408E">
      <w:pPr>
        <w:pStyle w:val="af6"/>
        <w:spacing w:line="360" w:lineRule="auto"/>
        <w:ind w:firstLineChars="0" w:firstLine="0"/>
        <w:rPr>
          <w:rFonts w:ascii="Times New Roman"/>
          <w:b/>
          <w:sz w:val="24"/>
          <w:szCs w:val="24"/>
        </w:rPr>
      </w:pPr>
      <w:r>
        <w:rPr>
          <w:rFonts w:ascii="Times New Roman" w:hint="eastAsia"/>
          <w:b/>
          <w:sz w:val="24"/>
          <w:szCs w:val="24"/>
        </w:rPr>
        <w:t xml:space="preserve">3.8 </w:t>
      </w:r>
      <w:r>
        <w:rPr>
          <w:rFonts w:ascii="Times New Roman" w:hint="eastAsia"/>
          <w:b/>
          <w:sz w:val="24"/>
          <w:szCs w:val="24"/>
        </w:rPr>
        <w:t>验证情况</w:t>
      </w:r>
    </w:p>
    <w:p w14:paraId="66145025"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为验证本标准的适用性，起草小组选择了具有代表性的</w:t>
      </w:r>
      <w:r>
        <w:rPr>
          <w:rFonts w:ascii="Times New Roman" w:hint="eastAsia"/>
          <w:color w:val="000000"/>
          <w:sz w:val="24"/>
          <w:szCs w:val="24"/>
        </w:rPr>
        <w:t>1</w:t>
      </w:r>
      <w:r>
        <w:rPr>
          <w:rFonts w:ascii="Times New Roman" w:hint="eastAsia"/>
          <w:color w:val="000000"/>
          <w:sz w:val="24"/>
          <w:szCs w:val="24"/>
        </w:rPr>
        <w:t>种</w:t>
      </w:r>
      <w:r>
        <w:rPr>
          <w:rFonts w:ascii="Times New Roman" w:hint="eastAsia"/>
          <w:color w:val="000000"/>
          <w:sz w:val="24"/>
          <w:szCs w:val="24"/>
        </w:rPr>
        <w:t>纸巾</w:t>
      </w:r>
      <w:r>
        <w:rPr>
          <w:rFonts w:ascii="Times New Roman" w:hint="eastAsia"/>
          <w:color w:val="000000"/>
          <w:sz w:val="24"/>
          <w:szCs w:val="24"/>
        </w:rPr>
        <w:t>产品，采用本标准进行了测算。具体过程如下。</w:t>
      </w:r>
    </w:p>
    <w:p w14:paraId="34537761"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w:t>
      </w:r>
      <w:r>
        <w:rPr>
          <w:rFonts w:ascii="Times New Roman" w:hint="eastAsia"/>
          <w:color w:val="000000"/>
          <w:sz w:val="24"/>
          <w:szCs w:val="24"/>
        </w:rPr>
        <w:t>1</w:t>
      </w:r>
      <w:r>
        <w:rPr>
          <w:rFonts w:ascii="Times New Roman" w:hint="eastAsia"/>
          <w:color w:val="000000"/>
          <w:sz w:val="24"/>
          <w:szCs w:val="24"/>
        </w:rPr>
        <w:t>）功能单位：</w:t>
      </w:r>
      <w:r>
        <w:rPr>
          <w:rFonts w:ascii="Times New Roman"/>
          <w:color w:val="000000"/>
          <w:sz w:val="24"/>
          <w:szCs w:val="24"/>
        </w:rPr>
        <w:t>选择</w:t>
      </w:r>
      <w:r>
        <w:rPr>
          <w:rFonts w:ascii="Times New Roman"/>
          <w:color w:val="000000"/>
          <w:sz w:val="24"/>
          <w:szCs w:val="24"/>
        </w:rPr>
        <w:t>1000kg</w:t>
      </w:r>
      <w:r>
        <w:rPr>
          <w:rFonts w:ascii="Times New Roman" w:hint="eastAsia"/>
          <w:color w:val="000000"/>
          <w:sz w:val="24"/>
          <w:szCs w:val="24"/>
        </w:rPr>
        <w:t>纸巾</w:t>
      </w:r>
      <w:r>
        <w:rPr>
          <w:rFonts w:ascii="Times New Roman"/>
          <w:color w:val="000000"/>
          <w:sz w:val="24"/>
          <w:szCs w:val="24"/>
        </w:rPr>
        <w:t>产品作为功能单位</w:t>
      </w:r>
      <w:r>
        <w:rPr>
          <w:rFonts w:ascii="Times New Roman" w:hint="eastAsia"/>
          <w:color w:val="000000"/>
          <w:sz w:val="24"/>
          <w:szCs w:val="24"/>
        </w:rPr>
        <w:t>。</w:t>
      </w:r>
    </w:p>
    <w:p w14:paraId="01179936"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w:t>
      </w:r>
      <w:r>
        <w:rPr>
          <w:rFonts w:ascii="Times New Roman" w:hint="eastAsia"/>
          <w:color w:val="000000"/>
          <w:sz w:val="24"/>
          <w:szCs w:val="24"/>
        </w:rPr>
        <w:t>2</w:t>
      </w:r>
      <w:r>
        <w:rPr>
          <w:rFonts w:ascii="Times New Roman" w:hint="eastAsia"/>
          <w:color w:val="000000"/>
          <w:sz w:val="24"/>
          <w:szCs w:val="24"/>
        </w:rPr>
        <w:t>）产品参数：纸浆：</w:t>
      </w:r>
      <w:r>
        <w:rPr>
          <w:rFonts w:ascii="Times New Roman" w:hint="eastAsia"/>
          <w:color w:val="000000"/>
          <w:sz w:val="24"/>
          <w:szCs w:val="24"/>
        </w:rPr>
        <w:t>1060kg</w:t>
      </w:r>
      <w:r>
        <w:rPr>
          <w:rFonts w:ascii="Times New Roman" w:hint="eastAsia"/>
          <w:color w:val="000000"/>
          <w:sz w:val="24"/>
          <w:szCs w:val="24"/>
        </w:rPr>
        <w:t>；化学品：</w:t>
      </w:r>
      <w:r>
        <w:rPr>
          <w:rFonts w:ascii="Times New Roman" w:hint="eastAsia"/>
          <w:color w:val="000000"/>
          <w:sz w:val="24"/>
          <w:szCs w:val="24"/>
        </w:rPr>
        <w:t>3.65kg</w:t>
      </w:r>
      <w:r>
        <w:rPr>
          <w:rFonts w:ascii="Times New Roman" w:hint="eastAsia"/>
          <w:color w:val="000000"/>
          <w:sz w:val="24"/>
          <w:szCs w:val="24"/>
        </w:rPr>
        <w:t>；包材：</w:t>
      </w:r>
      <w:r>
        <w:rPr>
          <w:rFonts w:ascii="Times New Roman" w:hint="eastAsia"/>
          <w:color w:val="000000"/>
          <w:sz w:val="24"/>
          <w:szCs w:val="24"/>
        </w:rPr>
        <w:t>123.58kg</w:t>
      </w:r>
      <w:r>
        <w:rPr>
          <w:rFonts w:ascii="Times New Roman" w:hint="eastAsia"/>
          <w:color w:val="000000"/>
          <w:sz w:val="24"/>
          <w:szCs w:val="24"/>
        </w:rPr>
        <w:t>；</w:t>
      </w:r>
      <w:r>
        <w:rPr>
          <w:rFonts w:ascii="Times New Roman" w:hint="eastAsia"/>
          <w:color w:val="000000"/>
          <w:sz w:val="24"/>
          <w:szCs w:val="24"/>
        </w:rPr>
        <w:t>水：</w:t>
      </w:r>
      <w:r>
        <w:rPr>
          <w:rFonts w:ascii="Times New Roman" w:hint="eastAsia"/>
          <w:color w:val="000000"/>
          <w:sz w:val="24"/>
          <w:szCs w:val="24"/>
        </w:rPr>
        <w:t>10.1m</w:t>
      </w:r>
      <w:r>
        <w:rPr>
          <w:rFonts w:ascii="Times New Roman" w:hint="eastAsia"/>
          <w:color w:val="000000"/>
          <w:sz w:val="24"/>
          <w:szCs w:val="24"/>
          <w:vertAlign w:val="superscript"/>
        </w:rPr>
        <w:t>3</w:t>
      </w:r>
      <w:r>
        <w:rPr>
          <w:rFonts w:ascii="Times New Roman" w:hint="eastAsia"/>
          <w:color w:val="000000"/>
          <w:sz w:val="24"/>
          <w:szCs w:val="24"/>
        </w:rPr>
        <w:t>；电：</w:t>
      </w:r>
      <w:r>
        <w:rPr>
          <w:rFonts w:ascii="Times New Roman" w:hint="eastAsia"/>
          <w:color w:val="000000"/>
          <w:sz w:val="24"/>
          <w:szCs w:val="24"/>
        </w:rPr>
        <w:t>600kWh</w:t>
      </w:r>
      <w:r>
        <w:rPr>
          <w:rFonts w:ascii="Times New Roman" w:hint="eastAsia"/>
          <w:color w:val="000000"/>
          <w:sz w:val="24"/>
          <w:szCs w:val="24"/>
        </w:rPr>
        <w:t>；煤：</w:t>
      </w:r>
      <w:r>
        <w:rPr>
          <w:rFonts w:ascii="Times New Roman" w:hint="eastAsia"/>
          <w:color w:val="000000"/>
          <w:sz w:val="24"/>
          <w:szCs w:val="24"/>
        </w:rPr>
        <w:t>430kg</w:t>
      </w:r>
      <w:r>
        <w:rPr>
          <w:rFonts w:ascii="Times New Roman" w:hint="eastAsia"/>
          <w:color w:val="000000"/>
          <w:sz w:val="24"/>
          <w:szCs w:val="24"/>
        </w:rPr>
        <w:t>。</w:t>
      </w:r>
    </w:p>
    <w:p w14:paraId="015D5F59"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w:t>
      </w:r>
      <w:r>
        <w:rPr>
          <w:rFonts w:ascii="Times New Roman" w:hint="eastAsia"/>
          <w:color w:val="000000"/>
          <w:sz w:val="24"/>
          <w:szCs w:val="24"/>
        </w:rPr>
        <w:t>3</w:t>
      </w:r>
      <w:r>
        <w:rPr>
          <w:rFonts w:ascii="Times New Roman" w:hint="eastAsia"/>
          <w:color w:val="000000"/>
          <w:sz w:val="24"/>
          <w:szCs w:val="24"/>
        </w:rPr>
        <w:t>）系统边界：摇篮—坟墓。实测阶段包括：上游单元制造阶段、核心单元生产阶段和下游单元处置阶段。</w:t>
      </w:r>
    </w:p>
    <w:p w14:paraId="761F8BAF" w14:textId="77777777" w:rsidR="00DB17CE" w:rsidRDefault="00ED408E">
      <w:pPr>
        <w:pStyle w:val="af6"/>
        <w:spacing w:line="360" w:lineRule="auto"/>
        <w:ind w:firstLine="480"/>
        <w:rPr>
          <w:rFonts w:ascii="Times New Roman"/>
          <w:color w:val="000000"/>
          <w:sz w:val="24"/>
          <w:szCs w:val="24"/>
        </w:rPr>
      </w:pPr>
      <w:r>
        <w:rPr>
          <w:rFonts w:ascii="Times New Roman" w:hint="eastAsia"/>
          <w:color w:val="000000"/>
          <w:sz w:val="24"/>
          <w:szCs w:val="24"/>
        </w:rPr>
        <w:t>（</w:t>
      </w:r>
      <w:r>
        <w:rPr>
          <w:rFonts w:ascii="Times New Roman" w:hint="eastAsia"/>
          <w:color w:val="000000"/>
          <w:sz w:val="24"/>
          <w:szCs w:val="24"/>
        </w:rPr>
        <w:t>4</w:t>
      </w:r>
      <w:r>
        <w:rPr>
          <w:rFonts w:ascii="Times New Roman" w:hint="eastAsia"/>
          <w:color w:val="000000"/>
          <w:sz w:val="24"/>
          <w:szCs w:val="24"/>
        </w:rPr>
        <w:t>）</w:t>
      </w:r>
      <w:r>
        <w:rPr>
          <w:rFonts w:ascii="Times New Roman" w:hint="eastAsia"/>
          <w:color w:val="000000"/>
          <w:sz w:val="24"/>
          <w:szCs w:val="24"/>
        </w:rPr>
        <w:t>核算</w:t>
      </w:r>
      <w:r>
        <w:rPr>
          <w:rFonts w:ascii="Times New Roman" w:hint="eastAsia"/>
          <w:color w:val="000000"/>
          <w:sz w:val="24"/>
          <w:szCs w:val="24"/>
        </w:rPr>
        <w:t>结果：</w:t>
      </w:r>
      <w:r>
        <w:rPr>
          <w:rFonts w:ascii="Times New Roman" w:hint="eastAsia"/>
          <w:color w:val="000000"/>
          <w:sz w:val="24"/>
          <w:szCs w:val="24"/>
        </w:rPr>
        <w:t>蒸汽生产（含蒸汽、外购电力生产过程）是纸巾产品生产全生命周期温室气体排放的主要阶段，占比为</w:t>
      </w:r>
      <w:r>
        <w:rPr>
          <w:rFonts w:ascii="Times New Roman" w:hint="eastAsia"/>
          <w:color w:val="000000"/>
          <w:sz w:val="24"/>
          <w:szCs w:val="24"/>
        </w:rPr>
        <w:t>29.91%</w:t>
      </w:r>
      <w:r>
        <w:rPr>
          <w:rFonts w:ascii="Times New Roman" w:hint="eastAsia"/>
          <w:color w:val="000000"/>
          <w:sz w:val="24"/>
          <w:szCs w:val="24"/>
        </w:rPr>
        <w:t>。</w:t>
      </w:r>
      <w:r>
        <w:rPr>
          <w:rFonts w:ascii="Times New Roman" w:hint="eastAsia"/>
          <w:color w:val="000000"/>
          <w:sz w:val="24"/>
          <w:szCs w:val="24"/>
        </w:rPr>
        <w:t>其次是最终处置阶段</w:t>
      </w:r>
      <w:r>
        <w:rPr>
          <w:rFonts w:ascii="Times New Roman" w:hint="eastAsia"/>
          <w:color w:val="000000"/>
          <w:sz w:val="24"/>
          <w:szCs w:val="24"/>
        </w:rPr>
        <w:t>（</w:t>
      </w:r>
      <w:r>
        <w:rPr>
          <w:rFonts w:ascii="Times New Roman" w:hint="eastAsia"/>
          <w:color w:val="000000"/>
          <w:sz w:val="24"/>
          <w:szCs w:val="24"/>
        </w:rPr>
        <w:t>含填满、焚烧、污泥处理等</w:t>
      </w:r>
      <w:r>
        <w:rPr>
          <w:rFonts w:ascii="Times New Roman" w:hint="eastAsia"/>
          <w:color w:val="000000"/>
          <w:sz w:val="24"/>
          <w:szCs w:val="24"/>
        </w:rPr>
        <w:t>）</w:t>
      </w:r>
      <w:r>
        <w:rPr>
          <w:rFonts w:ascii="Times New Roman" w:hint="eastAsia"/>
          <w:color w:val="000000"/>
          <w:sz w:val="24"/>
          <w:szCs w:val="24"/>
        </w:rPr>
        <w:t>，占总排放的</w:t>
      </w:r>
      <w:r>
        <w:rPr>
          <w:rFonts w:ascii="Times New Roman" w:hint="eastAsia"/>
          <w:color w:val="000000"/>
          <w:sz w:val="24"/>
          <w:szCs w:val="24"/>
        </w:rPr>
        <w:t>24.19%</w:t>
      </w:r>
      <w:r>
        <w:rPr>
          <w:rFonts w:ascii="Times New Roman" w:hint="eastAsia"/>
          <w:color w:val="000000"/>
          <w:sz w:val="24"/>
          <w:szCs w:val="24"/>
        </w:rPr>
        <w:t>，而填埋处置方式是最终处置阶段温室气体排放较大的主要原因。填埋气中含有较大比例的</w:t>
      </w:r>
      <w:r>
        <w:rPr>
          <w:rFonts w:ascii="Times New Roman" w:hint="eastAsia"/>
          <w:color w:val="000000"/>
          <w:sz w:val="24"/>
          <w:szCs w:val="24"/>
        </w:rPr>
        <w:t>CH</w:t>
      </w:r>
      <w:r>
        <w:rPr>
          <w:rFonts w:ascii="Times New Roman" w:hint="eastAsia"/>
          <w:color w:val="000000"/>
          <w:sz w:val="24"/>
          <w:szCs w:val="24"/>
          <w:vertAlign w:val="subscript"/>
        </w:rPr>
        <w:t>4</w:t>
      </w:r>
      <w:r>
        <w:rPr>
          <w:rFonts w:ascii="Times New Roman" w:hint="eastAsia"/>
          <w:color w:val="000000"/>
          <w:sz w:val="24"/>
          <w:szCs w:val="24"/>
        </w:rPr>
        <w:t>，这部分</w:t>
      </w:r>
      <w:r>
        <w:rPr>
          <w:rFonts w:ascii="Times New Roman" w:hint="eastAsia"/>
          <w:color w:val="000000"/>
          <w:sz w:val="24"/>
          <w:szCs w:val="24"/>
        </w:rPr>
        <w:t>CH</w:t>
      </w:r>
      <w:r>
        <w:rPr>
          <w:rFonts w:ascii="Times New Roman" w:hint="eastAsia"/>
          <w:color w:val="000000"/>
          <w:sz w:val="24"/>
          <w:szCs w:val="24"/>
          <w:vertAlign w:val="subscript"/>
        </w:rPr>
        <w:t>4</w:t>
      </w:r>
      <w:r>
        <w:rPr>
          <w:rFonts w:ascii="Times New Roman" w:hint="eastAsia"/>
          <w:color w:val="000000"/>
          <w:sz w:val="24"/>
          <w:szCs w:val="24"/>
        </w:rPr>
        <w:t>不能完全收集利用，直接排放进入大气中，加剧温室效应。因此，完善垃圾处理管理制度，不断研究应用垃圾处置新技术是减少最终处置阶段温室气体排放的途径之一。纸浆生产、卫生原纸生产、后加工及包装、抄纸废水处理以及运输阶段分别占温室气体总排放量的</w:t>
      </w:r>
      <w:r>
        <w:rPr>
          <w:rFonts w:ascii="Times New Roman" w:hint="eastAsia"/>
          <w:color w:val="000000"/>
          <w:sz w:val="24"/>
          <w:szCs w:val="24"/>
        </w:rPr>
        <w:t>17.84%</w:t>
      </w:r>
      <w:r>
        <w:rPr>
          <w:rFonts w:ascii="Times New Roman" w:hint="eastAsia"/>
          <w:color w:val="000000"/>
          <w:sz w:val="24"/>
          <w:szCs w:val="24"/>
        </w:rPr>
        <w:t>、</w:t>
      </w:r>
      <w:r>
        <w:rPr>
          <w:rFonts w:ascii="Times New Roman" w:hint="eastAsia"/>
          <w:color w:val="000000"/>
          <w:sz w:val="24"/>
          <w:szCs w:val="24"/>
        </w:rPr>
        <w:t>16.45%</w:t>
      </w:r>
      <w:r>
        <w:rPr>
          <w:rFonts w:ascii="Times New Roman" w:hint="eastAsia"/>
          <w:color w:val="000000"/>
          <w:sz w:val="24"/>
          <w:szCs w:val="24"/>
        </w:rPr>
        <w:t>、</w:t>
      </w:r>
      <w:r>
        <w:rPr>
          <w:rFonts w:ascii="Times New Roman" w:hint="eastAsia"/>
          <w:color w:val="000000"/>
          <w:sz w:val="24"/>
          <w:szCs w:val="24"/>
        </w:rPr>
        <w:t>5.13%</w:t>
      </w:r>
      <w:r>
        <w:rPr>
          <w:rFonts w:ascii="Times New Roman" w:hint="eastAsia"/>
          <w:color w:val="000000"/>
          <w:sz w:val="24"/>
          <w:szCs w:val="24"/>
        </w:rPr>
        <w:t>、</w:t>
      </w:r>
      <w:r>
        <w:rPr>
          <w:rFonts w:ascii="Times New Roman" w:hint="eastAsia"/>
          <w:color w:val="000000"/>
          <w:sz w:val="24"/>
          <w:szCs w:val="24"/>
        </w:rPr>
        <w:t>0.2</w:t>
      </w:r>
      <w:r>
        <w:rPr>
          <w:rFonts w:ascii="Times New Roman" w:hint="eastAsia"/>
          <w:color w:val="000000"/>
          <w:sz w:val="24"/>
          <w:szCs w:val="24"/>
        </w:rPr>
        <w:t>5</w:t>
      </w:r>
      <w:r>
        <w:rPr>
          <w:rFonts w:ascii="Times New Roman" w:hint="eastAsia"/>
          <w:color w:val="000000"/>
          <w:sz w:val="24"/>
          <w:szCs w:val="24"/>
        </w:rPr>
        <w:t>%</w:t>
      </w:r>
      <w:r>
        <w:rPr>
          <w:rFonts w:ascii="Times New Roman" w:hint="eastAsia"/>
          <w:color w:val="000000"/>
          <w:sz w:val="24"/>
          <w:szCs w:val="24"/>
        </w:rPr>
        <w:t>、</w:t>
      </w:r>
      <w:r>
        <w:rPr>
          <w:rFonts w:ascii="Times New Roman" w:hint="eastAsia"/>
          <w:color w:val="000000"/>
          <w:sz w:val="24"/>
          <w:szCs w:val="24"/>
        </w:rPr>
        <w:t>6.23%</w:t>
      </w:r>
      <w:r>
        <w:rPr>
          <w:rFonts w:ascii="Times New Roman" w:hint="eastAsia"/>
          <w:color w:val="000000"/>
          <w:sz w:val="24"/>
          <w:szCs w:val="24"/>
        </w:rPr>
        <w:t>。抄纸废水处理阶段的</w:t>
      </w:r>
      <w:r>
        <w:rPr>
          <w:rFonts w:ascii="Times New Roman" w:hint="eastAsia"/>
          <w:color w:val="000000"/>
          <w:sz w:val="24"/>
          <w:szCs w:val="24"/>
        </w:rPr>
        <w:t>温室气体</w:t>
      </w:r>
      <w:r>
        <w:rPr>
          <w:rFonts w:ascii="Times New Roman" w:hint="eastAsia"/>
          <w:color w:val="000000"/>
          <w:sz w:val="24"/>
          <w:szCs w:val="24"/>
        </w:rPr>
        <w:t>排放源主要为所使用电力生产产生的间接排放、厌氧处理产生的</w:t>
      </w:r>
      <w:r>
        <w:rPr>
          <w:rFonts w:ascii="Times New Roman" w:hint="eastAsia"/>
          <w:color w:val="000000"/>
          <w:sz w:val="24"/>
          <w:szCs w:val="24"/>
        </w:rPr>
        <w:t>CH</w:t>
      </w:r>
      <w:r>
        <w:rPr>
          <w:rFonts w:ascii="Times New Roman" w:hint="eastAsia"/>
          <w:color w:val="000000"/>
          <w:sz w:val="24"/>
          <w:szCs w:val="24"/>
          <w:vertAlign w:val="subscript"/>
        </w:rPr>
        <w:t>4</w:t>
      </w:r>
      <w:r>
        <w:rPr>
          <w:rFonts w:ascii="Times New Roman" w:hint="eastAsia"/>
          <w:color w:val="000000"/>
          <w:sz w:val="24"/>
          <w:szCs w:val="24"/>
        </w:rPr>
        <w:t>排放。但是排放量较少，厌氧处理产生的</w:t>
      </w:r>
      <w:r>
        <w:rPr>
          <w:rFonts w:ascii="Times New Roman" w:hint="eastAsia"/>
          <w:color w:val="000000"/>
          <w:sz w:val="24"/>
          <w:szCs w:val="24"/>
        </w:rPr>
        <w:t>CH</w:t>
      </w:r>
      <w:r>
        <w:rPr>
          <w:rFonts w:ascii="Times New Roman" w:hint="eastAsia"/>
          <w:color w:val="000000"/>
          <w:sz w:val="24"/>
          <w:szCs w:val="24"/>
          <w:vertAlign w:val="subscript"/>
        </w:rPr>
        <w:t>4</w:t>
      </w:r>
      <w:r>
        <w:rPr>
          <w:rFonts w:ascii="Times New Roman" w:hint="eastAsia"/>
          <w:color w:val="000000"/>
          <w:sz w:val="24"/>
          <w:szCs w:val="24"/>
        </w:rPr>
        <w:t>排放为</w:t>
      </w:r>
      <w:r>
        <w:rPr>
          <w:rFonts w:ascii="Times New Roman" w:hint="eastAsia"/>
          <w:color w:val="000000"/>
          <w:sz w:val="24"/>
          <w:szCs w:val="24"/>
        </w:rPr>
        <w:t>3.42kgCO2e</w:t>
      </w:r>
      <w:r>
        <w:rPr>
          <w:rFonts w:ascii="Times New Roman" w:hint="eastAsia"/>
          <w:color w:val="000000"/>
          <w:sz w:val="24"/>
          <w:szCs w:val="24"/>
        </w:rPr>
        <w:t>。根据删</w:t>
      </w:r>
      <w:r>
        <w:rPr>
          <w:rFonts w:ascii="Times New Roman" w:hint="eastAsia"/>
          <w:color w:val="000000"/>
          <w:sz w:val="24"/>
          <w:szCs w:val="24"/>
        </w:rPr>
        <w:lastRenderedPageBreak/>
        <w:t>减原则，抄纸废水处理阶段温室排放量不足总排放量的</w:t>
      </w:r>
      <w:r>
        <w:rPr>
          <w:rFonts w:ascii="Times New Roman" w:hint="eastAsia"/>
          <w:color w:val="000000"/>
          <w:sz w:val="24"/>
          <w:szCs w:val="24"/>
        </w:rPr>
        <w:t>1%</w:t>
      </w:r>
      <w:r>
        <w:rPr>
          <w:rFonts w:ascii="Times New Roman" w:hint="eastAsia"/>
          <w:color w:val="000000"/>
          <w:sz w:val="24"/>
          <w:szCs w:val="24"/>
        </w:rPr>
        <w:t>，因此可以不予以考虑。</w:t>
      </w:r>
    </w:p>
    <w:p w14:paraId="333EA050" w14:textId="77777777" w:rsidR="00DB17CE" w:rsidRDefault="00ED408E">
      <w:pPr>
        <w:tabs>
          <w:tab w:val="left" w:pos="3600"/>
        </w:tabs>
        <w:spacing w:beforeLines="50" w:before="156" w:afterLines="50" w:after="156" w:line="360" w:lineRule="auto"/>
        <w:rPr>
          <w:b/>
          <w:kern w:val="0"/>
          <w:sz w:val="24"/>
        </w:rPr>
      </w:pPr>
      <w:r>
        <w:rPr>
          <w:rFonts w:hint="eastAsia"/>
          <w:b/>
          <w:kern w:val="0"/>
          <w:sz w:val="24"/>
        </w:rPr>
        <w:t>四</w:t>
      </w:r>
      <w:r>
        <w:rPr>
          <w:b/>
          <w:kern w:val="0"/>
          <w:sz w:val="24"/>
        </w:rPr>
        <w:t>、</w:t>
      </w:r>
      <w:r>
        <w:rPr>
          <w:rFonts w:ascii="宋体" w:hAnsi="宋体"/>
          <w:b/>
          <w:sz w:val="24"/>
        </w:rPr>
        <w:t>与国际、国外同类标准水平的对比情况</w:t>
      </w:r>
    </w:p>
    <w:p w14:paraId="0498DF3A" w14:textId="77777777" w:rsidR="00DB17CE" w:rsidRDefault="00ED408E">
      <w:pPr>
        <w:autoSpaceDE w:val="0"/>
        <w:autoSpaceDN w:val="0"/>
        <w:adjustRightInd w:val="0"/>
        <w:spacing w:line="360" w:lineRule="auto"/>
        <w:ind w:firstLineChars="200" w:firstLine="480"/>
        <w:jc w:val="left"/>
        <w:rPr>
          <w:kern w:val="0"/>
          <w:sz w:val="24"/>
        </w:rPr>
      </w:pPr>
      <w:r>
        <w:rPr>
          <w:kern w:val="0"/>
          <w:sz w:val="24"/>
        </w:rPr>
        <w:t>本标准没有采用国际标准。</w:t>
      </w:r>
    </w:p>
    <w:p w14:paraId="77B87674" w14:textId="77777777" w:rsidR="00DB17CE" w:rsidRDefault="00ED408E">
      <w:pPr>
        <w:autoSpaceDE w:val="0"/>
        <w:autoSpaceDN w:val="0"/>
        <w:adjustRightInd w:val="0"/>
        <w:spacing w:line="360" w:lineRule="auto"/>
        <w:ind w:firstLineChars="200" w:firstLine="480"/>
        <w:jc w:val="left"/>
        <w:rPr>
          <w:kern w:val="0"/>
          <w:sz w:val="24"/>
        </w:rPr>
      </w:pPr>
      <w:r>
        <w:rPr>
          <w:kern w:val="0"/>
          <w:sz w:val="24"/>
        </w:rPr>
        <w:t>本标准为国内先进水平。</w:t>
      </w:r>
    </w:p>
    <w:p w14:paraId="7AA53DCB" w14:textId="77777777" w:rsidR="00DB17CE" w:rsidRDefault="00ED408E">
      <w:pPr>
        <w:autoSpaceDE w:val="0"/>
        <w:autoSpaceDN w:val="0"/>
        <w:adjustRightInd w:val="0"/>
        <w:spacing w:beforeLines="50" w:before="156" w:afterLines="50" w:after="156" w:line="360" w:lineRule="auto"/>
        <w:jc w:val="left"/>
        <w:rPr>
          <w:b/>
          <w:kern w:val="0"/>
          <w:sz w:val="24"/>
        </w:rPr>
      </w:pPr>
      <w:r>
        <w:rPr>
          <w:rFonts w:hint="eastAsia"/>
          <w:b/>
          <w:kern w:val="0"/>
          <w:sz w:val="24"/>
        </w:rPr>
        <w:t>五</w:t>
      </w:r>
      <w:r>
        <w:rPr>
          <w:b/>
          <w:kern w:val="0"/>
          <w:sz w:val="24"/>
        </w:rPr>
        <w:t>、</w:t>
      </w:r>
      <w:r>
        <w:rPr>
          <w:rFonts w:ascii="宋体" w:hAnsi="宋体"/>
          <w:b/>
          <w:sz w:val="24"/>
        </w:rPr>
        <w:t>与国内相关标准的关系</w:t>
      </w:r>
    </w:p>
    <w:p w14:paraId="3040861D" w14:textId="77777777" w:rsidR="00DB17CE" w:rsidRDefault="00ED408E">
      <w:pPr>
        <w:spacing w:line="360" w:lineRule="auto"/>
        <w:ind w:firstLine="480"/>
        <w:rPr>
          <w:kern w:val="0"/>
          <w:sz w:val="24"/>
        </w:rPr>
      </w:pPr>
      <w:r>
        <w:rPr>
          <w:kern w:val="0"/>
          <w:sz w:val="24"/>
        </w:rPr>
        <w:t>标准与现行法令、法规、国家标准无抵触</w:t>
      </w:r>
      <w:r>
        <w:rPr>
          <w:sz w:val="24"/>
        </w:rPr>
        <w:t>。</w:t>
      </w:r>
    </w:p>
    <w:p w14:paraId="3665D9A2" w14:textId="77777777" w:rsidR="00DB17CE" w:rsidRDefault="00ED408E">
      <w:pPr>
        <w:spacing w:beforeLines="50" w:before="156" w:afterLines="50" w:after="156" w:line="360" w:lineRule="auto"/>
        <w:rPr>
          <w:b/>
          <w:kern w:val="0"/>
          <w:sz w:val="24"/>
        </w:rPr>
      </w:pPr>
      <w:r>
        <w:rPr>
          <w:rFonts w:hint="eastAsia"/>
          <w:b/>
          <w:kern w:val="0"/>
          <w:sz w:val="24"/>
        </w:rPr>
        <w:t>六</w:t>
      </w:r>
      <w:r>
        <w:rPr>
          <w:b/>
          <w:kern w:val="0"/>
          <w:sz w:val="24"/>
        </w:rPr>
        <w:t>、</w:t>
      </w:r>
      <w:r>
        <w:rPr>
          <w:rFonts w:hint="eastAsia"/>
          <w:b/>
          <w:kern w:val="0"/>
          <w:sz w:val="24"/>
        </w:rPr>
        <w:t>重大分歧意见的处理经过和依据</w:t>
      </w:r>
    </w:p>
    <w:p w14:paraId="7C5AE02F" w14:textId="77777777" w:rsidR="00DB17CE" w:rsidRDefault="00ED408E">
      <w:pPr>
        <w:spacing w:line="360" w:lineRule="auto"/>
        <w:ind w:firstLineChars="200" w:firstLine="480"/>
        <w:rPr>
          <w:kern w:val="0"/>
          <w:sz w:val="24"/>
        </w:rPr>
      </w:pPr>
      <w:r>
        <w:rPr>
          <w:kern w:val="0"/>
          <w:sz w:val="24"/>
        </w:rPr>
        <w:t>本标准无重大分歧意见存在。</w:t>
      </w:r>
    </w:p>
    <w:p w14:paraId="45575E17" w14:textId="77777777" w:rsidR="00DB17CE" w:rsidRDefault="00ED408E">
      <w:pPr>
        <w:spacing w:line="360" w:lineRule="auto"/>
        <w:rPr>
          <w:rFonts w:ascii="宋体" w:hAnsi="宋体"/>
          <w:b/>
          <w:sz w:val="24"/>
        </w:rPr>
      </w:pPr>
      <w:r>
        <w:rPr>
          <w:rFonts w:ascii="宋体" w:hAnsi="宋体"/>
          <w:b/>
          <w:sz w:val="24"/>
        </w:rPr>
        <w:t>七、其他</w:t>
      </w:r>
    </w:p>
    <w:p w14:paraId="43C16B4D" w14:textId="41DA56AD" w:rsidR="00DB17CE" w:rsidRDefault="00ED408E">
      <w:pPr>
        <w:spacing w:line="360" w:lineRule="auto"/>
        <w:ind w:firstLineChars="200" w:firstLine="480"/>
        <w:rPr>
          <w:kern w:val="0"/>
          <w:sz w:val="24"/>
        </w:rPr>
      </w:pPr>
      <w:r>
        <w:rPr>
          <w:kern w:val="0"/>
          <w:sz w:val="24"/>
        </w:rPr>
        <w:t>本标准</w:t>
      </w:r>
      <w:r>
        <w:rPr>
          <w:rFonts w:hint="eastAsia"/>
          <w:kern w:val="0"/>
          <w:sz w:val="24"/>
        </w:rPr>
        <w:t>的</w:t>
      </w:r>
      <w:r>
        <w:rPr>
          <w:kern w:val="0"/>
          <w:sz w:val="24"/>
        </w:rPr>
        <w:t>实施</w:t>
      </w:r>
      <w:r>
        <w:rPr>
          <w:rFonts w:hint="eastAsia"/>
          <w:kern w:val="0"/>
          <w:sz w:val="24"/>
        </w:rPr>
        <w:t>为一次性卫生用品碳足迹核算提供了依据</w:t>
      </w:r>
      <w:r>
        <w:rPr>
          <w:kern w:val="0"/>
          <w:sz w:val="24"/>
        </w:rPr>
        <w:t>，因此建议本标准发布后</w:t>
      </w:r>
      <w:r>
        <w:rPr>
          <w:rFonts w:hint="eastAsia"/>
          <w:kern w:val="0"/>
          <w:sz w:val="24"/>
        </w:rPr>
        <w:t>即</w:t>
      </w:r>
      <w:r>
        <w:rPr>
          <w:kern w:val="0"/>
          <w:sz w:val="24"/>
        </w:rPr>
        <w:t>实施。</w:t>
      </w:r>
    </w:p>
    <w:p w14:paraId="6E3E45BB" w14:textId="77777777" w:rsidR="00DB17CE" w:rsidRDefault="00ED408E">
      <w:pPr>
        <w:spacing w:line="360" w:lineRule="auto"/>
        <w:ind w:firstLineChars="200" w:firstLine="480"/>
        <w:rPr>
          <w:kern w:val="0"/>
          <w:sz w:val="24"/>
        </w:rPr>
      </w:pPr>
      <w:r>
        <w:rPr>
          <w:rFonts w:hint="eastAsia"/>
          <w:kern w:val="0"/>
          <w:sz w:val="24"/>
        </w:rPr>
        <w:t>本标准不涉及知识产权。</w:t>
      </w:r>
    </w:p>
    <w:p w14:paraId="66061230" w14:textId="77777777" w:rsidR="00DB17CE" w:rsidRDefault="00ED408E">
      <w:pPr>
        <w:spacing w:line="360" w:lineRule="auto"/>
        <w:ind w:right="520"/>
        <w:jc w:val="right"/>
        <w:rPr>
          <w:sz w:val="24"/>
        </w:rPr>
      </w:pPr>
      <w:r>
        <w:rPr>
          <w:sz w:val="24"/>
        </w:rPr>
        <w:t>标准起草小组</w:t>
      </w:r>
    </w:p>
    <w:p w14:paraId="11F4B400" w14:textId="77777777" w:rsidR="00DB17CE" w:rsidRDefault="00ED408E">
      <w:pPr>
        <w:spacing w:line="360" w:lineRule="auto"/>
        <w:ind w:right="560"/>
        <w:jc w:val="right"/>
        <w:rPr>
          <w:sz w:val="24"/>
        </w:rPr>
      </w:pPr>
      <w:r>
        <w:rPr>
          <w:sz w:val="24"/>
        </w:rPr>
        <w:t>20</w:t>
      </w:r>
      <w:r>
        <w:rPr>
          <w:rFonts w:hint="eastAsia"/>
          <w:sz w:val="24"/>
        </w:rPr>
        <w:t>2</w:t>
      </w:r>
      <w:r>
        <w:rPr>
          <w:sz w:val="24"/>
        </w:rPr>
        <w:t>4</w:t>
      </w:r>
      <w:r>
        <w:rPr>
          <w:sz w:val="24"/>
        </w:rPr>
        <w:t>年</w:t>
      </w:r>
      <w:r>
        <w:rPr>
          <w:rFonts w:hint="eastAsia"/>
          <w:sz w:val="24"/>
        </w:rPr>
        <w:t>3</w:t>
      </w:r>
      <w:r>
        <w:rPr>
          <w:sz w:val="24"/>
        </w:rPr>
        <w:t>月</w:t>
      </w:r>
    </w:p>
    <w:sectPr w:rsidR="00DB17C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DA17" w14:textId="77777777" w:rsidR="00ED408E" w:rsidRDefault="00ED408E">
      <w:r>
        <w:separator/>
      </w:r>
    </w:p>
  </w:endnote>
  <w:endnote w:type="continuationSeparator" w:id="0">
    <w:p w14:paraId="5A1B2366" w14:textId="77777777" w:rsidR="00ED408E" w:rsidRDefault="00ED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 Sun">
    <w:altName w:val="宋体"/>
    <w:charset w:val="86"/>
    <w:family w:val="swiss"/>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F1A9" w14:textId="77777777" w:rsidR="00DB17CE" w:rsidRDefault="00ED408E">
    <w:pPr>
      <w:pStyle w:val="ab"/>
      <w:jc w:val="center"/>
    </w:pPr>
    <w:r>
      <w:fldChar w:fldCharType="begin"/>
    </w:r>
    <w:r>
      <w:instrText xml:space="preserve"> PAGE   \* MERGEFORMAT </w:instrText>
    </w:r>
    <w:r>
      <w:fldChar w:fldCharType="separate"/>
    </w:r>
    <w:r>
      <w:rPr>
        <w:lang w:val="zh-CN"/>
      </w:rPr>
      <w:t>1</w:t>
    </w:r>
    <w:r>
      <w:rPr>
        <w:lang w:val="zh-CN"/>
      </w:rPr>
      <w:t>2</w:t>
    </w:r>
    <w:r>
      <w:fldChar w:fldCharType="end"/>
    </w:r>
  </w:p>
  <w:p w14:paraId="629D8D6D" w14:textId="77777777" w:rsidR="00DB17CE" w:rsidRDefault="00DB17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8BD2" w14:textId="77777777" w:rsidR="00ED408E" w:rsidRDefault="00ED408E">
      <w:r>
        <w:separator/>
      </w:r>
    </w:p>
  </w:footnote>
  <w:footnote w:type="continuationSeparator" w:id="0">
    <w:p w14:paraId="6A6A5BB5" w14:textId="77777777" w:rsidR="00ED408E" w:rsidRDefault="00ED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95D0"/>
    <w:multiLevelType w:val="singleLevel"/>
    <w:tmpl w:val="02CF95D0"/>
    <w:lvl w:ilvl="0">
      <w:start w:val="3"/>
      <w:numFmt w:val="decimal"/>
      <w:suff w:val="nothing"/>
      <w:lvlText w:val="（%1）"/>
      <w:lvlJc w:val="left"/>
    </w:lvl>
  </w:abstractNum>
  <w:abstractNum w:abstractNumId="1" w15:restartNumberingAfterBreak="0">
    <w:nsid w:val="60B55DC2"/>
    <w:multiLevelType w:val="multilevel"/>
    <w:tmpl w:val="60B55DC2"/>
    <w:lvl w:ilvl="0">
      <w:start w:val="1"/>
      <w:numFmt w:val="upperLetter"/>
      <w:pStyle w:val="a"/>
      <w:lvlText w:val="%1"/>
      <w:lvlJc w:val="left"/>
      <w:pPr>
        <w:tabs>
          <w:tab w:val="left"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16cid:durableId="1460952077">
    <w:abstractNumId w:val="1"/>
  </w:num>
  <w:num w:numId="2" w16cid:durableId="92911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M2ZjZkYjEyZmE1MzRmNTczMmNjZTAyODQyODA1YjgifQ=="/>
  </w:docVars>
  <w:rsids>
    <w:rsidRoot w:val="00ED57B1"/>
    <w:rsid w:val="000027A7"/>
    <w:rsid w:val="00013353"/>
    <w:rsid w:val="00015EA9"/>
    <w:rsid w:val="00016DB5"/>
    <w:rsid w:val="00021432"/>
    <w:rsid w:val="00025200"/>
    <w:rsid w:val="000363B0"/>
    <w:rsid w:val="0003685B"/>
    <w:rsid w:val="000421B6"/>
    <w:rsid w:val="000470C7"/>
    <w:rsid w:val="000501F3"/>
    <w:rsid w:val="00051D9A"/>
    <w:rsid w:val="00053CCA"/>
    <w:rsid w:val="00053F58"/>
    <w:rsid w:val="00062C28"/>
    <w:rsid w:val="00070EE1"/>
    <w:rsid w:val="00074B90"/>
    <w:rsid w:val="00075041"/>
    <w:rsid w:val="000777D3"/>
    <w:rsid w:val="000834A2"/>
    <w:rsid w:val="000A1A67"/>
    <w:rsid w:val="000A480F"/>
    <w:rsid w:val="000A4E77"/>
    <w:rsid w:val="000A515A"/>
    <w:rsid w:val="000A6206"/>
    <w:rsid w:val="000A7276"/>
    <w:rsid w:val="000B1D56"/>
    <w:rsid w:val="000B5E37"/>
    <w:rsid w:val="000B6D24"/>
    <w:rsid w:val="000C3EE3"/>
    <w:rsid w:val="000C569A"/>
    <w:rsid w:val="000C6834"/>
    <w:rsid w:val="000E07E2"/>
    <w:rsid w:val="000E19F9"/>
    <w:rsid w:val="000E266E"/>
    <w:rsid w:val="000E49F9"/>
    <w:rsid w:val="001031B1"/>
    <w:rsid w:val="001112D3"/>
    <w:rsid w:val="001152FD"/>
    <w:rsid w:val="001221FF"/>
    <w:rsid w:val="00135854"/>
    <w:rsid w:val="0015633B"/>
    <w:rsid w:val="001757F4"/>
    <w:rsid w:val="00182204"/>
    <w:rsid w:val="001851D0"/>
    <w:rsid w:val="001928B2"/>
    <w:rsid w:val="00194A1A"/>
    <w:rsid w:val="001A06F3"/>
    <w:rsid w:val="001A0DD1"/>
    <w:rsid w:val="001A0F06"/>
    <w:rsid w:val="001A1FED"/>
    <w:rsid w:val="001A6517"/>
    <w:rsid w:val="001A729B"/>
    <w:rsid w:val="001A7F0C"/>
    <w:rsid w:val="001B6AE2"/>
    <w:rsid w:val="001C0D64"/>
    <w:rsid w:val="001C2BCB"/>
    <w:rsid w:val="001D4CBF"/>
    <w:rsid w:val="0020579F"/>
    <w:rsid w:val="00222B39"/>
    <w:rsid w:val="0022392E"/>
    <w:rsid w:val="00227014"/>
    <w:rsid w:val="002278B9"/>
    <w:rsid w:val="00234B54"/>
    <w:rsid w:val="00240642"/>
    <w:rsid w:val="00261E36"/>
    <w:rsid w:val="00264366"/>
    <w:rsid w:val="00271669"/>
    <w:rsid w:val="002929EF"/>
    <w:rsid w:val="0029681C"/>
    <w:rsid w:val="002A706D"/>
    <w:rsid w:val="002C143F"/>
    <w:rsid w:val="002C54C4"/>
    <w:rsid w:val="002D7603"/>
    <w:rsid w:val="002E2F5A"/>
    <w:rsid w:val="002E3A5C"/>
    <w:rsid w:val="002E5609"/>
    <w:rsid w:val="002E5BEA"/>
    <w:rsid w:val="002E76D3"/>
    <w:rsid w:val="002F6EC8"/>
    <w:rsid w:val="003022F5"/>
    <w:rsid w:val="00303E3E"/>
    <w:rsid w:val="003040FA"/>
    <w:rsid w:val="0030783C"/>
    <w:rsid w:val="00312FA6"/>
    <w:rsid w:val="00313679"/>
    <w:rsid w:val="003164B5"/>
    <w:rsid w:val="003170E4"/>
    <w:rsid w:val="00320130"/>
    <w:rsid w:val="00323EDA"/>
    <w:rsid w:val="00327DDE"/>
    <w:rsid w:val="00327F89"/>
    <w:rsid w:val="003419E9"/>
    <w:rsid w:val="00344688"/>
    <w:rsid w:val="00345067"/>
    <w:rsid w:val="003464C3"/>
    <w:rsid w:val="00354FC3"/>
    <w:rsid w:val="003660F4"/>
    <w:rsid w:val="00376379"/>
    <w:rsid w:val="0038396B"/>
    <w:rsid w:val="00383E3A"/>
    <w:rsid w:val="00384076"/>
    <w:rsid w:val="00395725"/>
    <w:rsid w:val="003A0492"/>
    <w:rsid w:val="003A0C7D"/>
    <w:rsid w:val="003A2849"/>
    <w:rsid w:val="003A2E1C"/>
    <w:rsid w:val="003A4CA5"/>
    <w:rsid w:val="003A6862"/>
    <w:rsid w:val="003B0633"/>
    <w:rsid w:val="003C1423"/>
    <w:rsid w:val="003C2499"/>
    <w:rsid w:val="003D1098"/>
    <w:rsid w:val="003D4C64"/>
    <w:rsid w:val="003E1E0F"/>
    <w:rsid w:val="003E6BB9"/>
    <w:rsid w:val="003E79E2"/>
    <w:rsid w:val="003F47BD"/>
    <w:rsid w:val="00402B01"/>
    <w:rsid w:val="00411E81"/>
    <w:rsid w:val="00411F5B"/>
    <w:rsid w:val="00413AC0"/>
    <w:rsid w:val="00413CA8"/>
    <w:rsid w:val="004239E1"/>
    <w:rsid w:val="00426422"/>
    <w:rsid w:val="004316A1"/>
    <w:rsid w:val="00432CFC"/>
    <w:rsid w:val="00433A1D"/>
    <w:rsid w:val="0044018D"/>
    <w:rsid w:val="00442958"/>
    <w:rsid w:val="00453D8B"/>
    <w:rsid w:val="00461BC1"/>
    <w:rsid w:val="00475786"/>
    <w:rsid w:val="004811BE"/>
    <w:rsid w:val="004832CF"/>
    <w:rsid w:val="00483322"/>
    <w:rsid w:val="004849E7"/>
    <w:rsid w:val="00484F68"/>
    <w:rsid w:val="00495FF8"/>
    <w:rsid w:val="004A3083"/>
    <w:rsid w:val="004B4F61"/>
    <w:rsid w:val="004B7793"/>
    <w:rsid w:val="004C0716"/>
    <w:rsid w:val="004C19E6"/>
    <w:rsid w:val="004D027A"/>
    <w:rsid w:val="004D3DDB"/>
    <w:rsid w:val="004D7E14"/>
    <w:rsid w:val="004E1A25"/>
    <w:rsid w:val="004E3EC6"/>
    <w:rsid w:val="004E3EC7"/>
    <w:rsid w:val="004F129A"/>
    <w:rsid w:val="004F3DF2"/>
    <w:rsid w:val="004F3E4B"/>
    <w:rsid w:val="004F729C"/>
    <w:rsid w:val="00500739"/>
    <w:rsid w:val="00505A93"/>
    <w:rsid w:val="00505E04"/>
    <w:rsid w:val="00506970"/>
    <w:rsid w:val="0050759D"/>
    <w:rsid w:val="0051150F"/>
    <w:rsid w:val="005136D2"/>
    <w:rsid w:val="0051546E"/>
    <w:rsid w:val="005213CE"/>
    <w:rsid w:val="005220DC"/>
    <w:rsid w:val="00522865"/>
    <w:rsid w:val="00525FE7"/>
    <w:rsid w:val="005275F6"/>
    <w:rsid w:val="00533EA3"/>
    <w:rsid w:val="00535E2F"/>
    <w:rsid w:val="00540CD3"/>
    <w:rsid w:val="00546689"/>
    <w:rsid w:val="0055006F"/>
    <w:rsid w:val="00551AB8"/>
    <w:rsid w:val="00554FB7"/>
    <w:rsid w:val="00557F69"/>
    <w:rsid w:val="0056691B"/>
    <w:rsid w:val="00582951"/>
    <w:rsid w:val="0059058D"/>
    <w:rsid w:val="005910E4"/>
    <w:rsid w:val="00594856"/>
    <w:rsid w:val="005A052D"/>
    <w:rsid w:val="005A3CB5"/>
    <w:rsid w:val="005B3AAD"/>
    <w:rsid w:val="005C6629"/>
    <w:rsid w:val="005D6F57"/>
    <w:rsid w:val="005E0972"/>
    <w:rsid w:val="005E1E1F"/>
    <w:rsid w:val="005E1F8C"/>
    <w:rsid w:val="005E3F0A"/>
    <w:rsid w:val="005E409C"/>
    <w:rsid w:val="005E73A3"/>
    <w:rsid w:val="005F301E"/>
    <w:rsid w:val="005F5662"/>
    <w:rsid w:val="0060076C"/>
    <w:rsid w:val="00600850"/>
    <w:rsid w:val="006028D1"/>
    <w:rsid w:val="006039C3"/>
    <w:rsid w:val="00606403"/>
    <w:rsid w:val="006111CD"/>
    <w:rsid w:val="006123F8"/>
    <w:rsid w:val="0061381C"/>
    <w:rsid w:val="006140CC"/>
    <w:rsid w:val="00640502"/>
    <w:rsid w:val="006424AC"/>
    <w:rsid w:val="00646BFF"/>
    <w:rsid w:val="006475D4"/>
    <w:rsid w:val="00650E3E"/>
    <w:rsid w:val="00655B30"/>
    <w:rsid w:val="00660135"/>
    <w:rsid w:val="00671655"/>
    <w:rsid w:val="00682215"/>
    <w:rsid w:val="0068222E"/>
    <w:rsid w:val="006825A6"/>
    <w:rsid w:val="006825C3"/>
    <w:rsid w:val="006829F2"/>
    <w:rsid w:val="00687DBB"/>
    <w:rsid w:val="00695811"/>
    <w:rsid w:val="006A618F"/>
    <w:rsid w:val="006A6551"/>
    <w:rsid w:val="006B111B"/>
    <w:rsid w:val="006B1432"/>
    <w:rsid w:val="006B745F"/>
    <w:rsid w:val="006C026E"/>
    <w:rsid w:val="006C0FA8"/>
    <w:rsid w:val="006C32BD"/>
    <w:rsid w:val="006C6E2F"/>
    <w:rsid w:val="006D56CB"/>
    <w:rsid w:val="006E196E"/>
    <w:rsid w:val="006E5294"/>
    <w:rsid w:val="006F3DA6"/>
    <w:rsid w:val="006F4B78"/>
    <w:rsid w:val="0070209B"/>
    <w:rsid w:val="00726DF2"/>
    <w:rsid w:val="007273C4"/>
    <w:rsid w:val="00736839"/>
    <w:rsid w:val="007368A9"/>
    <w:rsid w:val="00740F56"/>
    <w:rsid w:val="00757DD2"/>
    <w:rsid w:val="00763B3A"/>
    <w:rsid w:val="007654D5"/>
    <w:rsid w:val="00787CA8"/>
    <w:rsid w:val="00795FAC"/>
    <w:rsid w:val="007A2669"/>
    <w:rsid w:val="007B36CD"/>
    <w:rsid w:val="007B57EB"/>
    <w:rsid w:val="007C0BB3"/>
    <w:rsid w:val="007C35F6"/>
    <w:rsid w:val="007C627D"/>
    <w:rsid w:val="007C7374"/>
    <w:rsid w:val="007D0398"/>
    <w:rsid w:val="007D25BD"/>
    <w:rsid w:val="007D3E11"/>
    <w:rsid w:val="007F1609"/>
    <w:rsid w:val="0080170D"/>
    <w:rsid w:val="00801BC3"/>
    <w:rsid w:val="00804558"/>
    <w:rsid w:val="008050CF"/>
    <w:rsid w:val="00821366"/>
    <w:rsid w:val="00827344"/>
    <w:rsid w:val="00827AD7"/>
    <w:rsid w:val="0083169E"/>
    <w:rsid w:val="00835003"/>
    <w:rsid w:val="00836CB4"/>
    <w:rsid w:val="00836D78"/>
    <w:rsid w:val="008518F7"/>
    <w:rsid w:val="00861A0D"/>
    <w:rsid w:val="00863278"/>
    <w:rsid w:val="00864365"/>
    <w:rsid w:val="008644F2"/>
    <w:rsid w:val="008665FF"/>
    <w:rsid w:val="00870538"/>
    <w:rsid w:val="00874BFD"/>
    <w:rsid w:val="00876D5F"/>
    <w:rsid w:val="00884E08"/>
    <w:rsid w:val="00885722"/>
    <w:rsid w:val="00896316"/>
    <w:rsid w:val="00896983"/>
    <w:rsid w:val="00896AB3"/>
    <w:rsid w:val="008A40C3"/>
    <w:rsid w:val="008A6464"/>
    <w:rsid w:val="008A719D"/>
    <w:rsid w:val="008B426E"/>
    <w:rsid w:val="008B7001"/>
    <w:rsid w:val="008C0A45"/>
    <w:rsid w:val="008C236E"/>
    <w:rsid w:val="008D303C"/>
    <w:rsid w:val="008E435C"/>
    <w:rsid w:val="008E76B7"/>
    <w:rsid w:val="008F0493"/>
    <w:rsid w:val="00901CDB"/>
    <w:rsid w:val="0091513C"/>
    <w:rsid w:val="00916AE0"/>
    <w:rsid w:val="00917D04"/>
    <w:rsid w:val="009548C9"/>
    <w:rsid w:val="00960273"/>
    <w:rsid w:val="00961DA0"/>
    <w:rsid w:val="00961FFE"/>
    <w:rsid w:val="0096321F"/>
    <w:rsid w:val="00963BB9"/>
    <w:rsid w:val="00965CFE"/>
    <w:rsid w:val="009677AB"/>
    <w:rsid w:val="00976ECC"/>
    <w:rsid w:val="009902DA"/>
    <w:rsid w:val="00991A27"/>
    <w:rsid w:val="00993099"/>
    <w:rsid w:val="009A0C38"/>
    <w:rsid w:val="009A5068"/>
    <w:rsid w:val="009C2F3C"/>
    <w:rsid w:val="009C4363"/>
    <w:rsid w:val="009C7E9E"/>
    <w:rsid w:val="009D18B2"/>
    <w:rsid w:val="009D6732"/>
    <w:rsid w:val="009E18FE"/>
    <w:rsid w:val="009E34E2"/>
    <w:rsid w:val="009E4312"/>
    <w:rsid w:val="009E63F0"/>
    <w:rsid w:val="009F1290"/>
    <w:rsid w:val="009F3007"/>
    <w:rsid w:val="00A003CD"/>
    <w:rsid w:val="00A00C0B"/>
    <w:rsid w:val="00A014C8"/>
    <w:rsid w:val="00A06B17"/>
    <w:rsid w:val="00A14277"/>
    <w:rsid w:val="00A23359"/>
    <w:rsid w:val="00A30A74"/>
    <w:rsid w:val="00A34E4F"/>
    <w:rsid w:val="00A4609A"/>
    <w:rsid w:val="00A50A2C"/>
    <w:rsid w:val="00A61F77"/>
    <w:rsid w:val="00A6381D"/>
    <w:rsid w:val="00A6584E"/>
    <w:rsid w:val="00A72B5F"/>
    <w:rsid w:val="00A77C5D"/>
    <w:rsid w:val="00A808E3"/>
    <w:rsid w:val="00A80B6C"/>
    <w:rsid w:val="00A8129C"/>
    <w:rsid w:val="00A817B2"/>
    <w:rsid w:val="00A8269A"/>
    <w:rsid w:val="00A87FC3"/>
    <w:rsid w:val="00AA1DEC"/>
    <w:rsid w:val="00AB3990"/>
    <w:rsid w:val="00AC1C02"/>
    <w:rsid w:val="00AC3BCD"/>
    <w:rsid w:val="00AC427A"/>
    <w:rsid w:val="00AC4FC4"/>
    <w:rsid w:val="00AC7CDE"/>
    <w:rsid w:val="00AD0EF9"/>
    <w:rsid w:val="00AD1319"/>
    <w:rsid w:val="00AD1993"/>
    <w:rsid w:val="00AD4F5E"/>
    <w:rsid w:val="00AD6393"/>
    <w:rsid w:val="00AE06BD"/>
    <w:rsid w:val="00AE184D"/>
    <w:rsid w:val="00AE204E"/>
    <w:rsid w:val="00AE3655"/>
    <w:rsid w:val="00AF2972"/>
    <w:rsid w:val="00AF4874"/>
    <w:rsid w:val="00AF4A4C"/>
    <w:rsid w:val="00AF5D8D"/>
    <w:rsid w:val="00B0486E"/>
    <w:rsid w:val="00B1062C"/>
    <w:rsid w:val="00B12E68"/>
    <w:rsid w:val="00B156D5"/>
    <w:rsid w:val="00B16590"/>
    <w:rsid w:val="00B22BB1"/>
    <w:rsid w:val="00B231DD"/>
    <w:rsid w:val="00B267AB"/>
    <w:rsid w:val="00B32941"/>
    <w:rsid w:val="00B32B1D"/>
    <w:rsid w:val="00B369BC"/>
    <w:rsid w:val="00B42EB4"/>
    <w:rsid w:val="00B4315E"/>
    <w:rsid w:val="00B52D24"/>
    <w:rsid w:val="00B549D9"/>
    <w:rsid w:val="00B809AD"/>
    <w:rsid w:val="00B817D4"/>
    <w:rsid w:val="00B86BD2"/>
    <w:rsid w:val="00B95239"/>
    <w:rsid w:val="00B9627D"/>
    <w:rsid w:val="00BA22D4"/>
    <w:rsid w:val="00BA5E3B"/>
    <w:rsid w:val="00BA7D53"/>
    <w:rsid w:val="00BB01F9"/>
    <w:rsid w:val="00BB32AC"/>
    <w:rsid w:val="00BB3387"/>
    <w:rsid w:val="00BB5419"/>
    <w:rsid w:val="00BB6D85"/>
    <w:rsid w:val="00BC0750"/>
    <w:rsid w:val="00BC62C5"/>
    <w:rsid w:val="00BC7BF6"/>
    <w:rsid w:val="00BD0A7F"/>
    <w:rsid w:val="00BD15A9"/>
    <w:rsid w:val="00BD2BD7"/>
    <w:rsid w:val="00BD636F"/>
    <w:rsid w:val="00BD6D7E"/>
    <w:rsid w:val="00BD6E68"/>
    <w:rsid w:val="00BE0194"/>
    <w:rsid w:val="00BE2B2A"/>
    <w:rsid w:val="00BE5D4C"/>
    <w:rsid w:val="00BE5EC9"/>
    <w:rsid w:val="00BF5BDF"/>
    <w:rsid w:val="00C01FF0"/>
    <w:rsid w:val="00C04971"/>
    <w:rsid w:val="00C054AE"/>
    <w:rsid w:val="00C07BA4"/>
    <w:rsid w:val="00C24590"/>
    <w:rsid w:val="00C30BEA"/>
    <w:rsid w:val="00C35316"/>
    <w:rsid w:val="00C357B1"/>
    <w:rsid w:val="00C37408"/>
    <w:rsid w:val="00C43E0A"/>
    <w:rsid w:val="00C4446A"/>
    <w:rsid w:val="00C4635D"/>
    <w:rsid w:val="00C47452"/>
    <w:rsid w:val="00C53FB8"/>
    <w:rsid w:val="00C5700D"/>
    <w:rsid w:val="00C64C28"/>
    <w:rsid w:val="00C6584F"/>
    <w:rsid w:val="00C67A54"/>
    <w:rsid w:val="00C7003C"/>
    <w:rsid w:val="00C70149"/>
    <w:rsid w:val="00C72E6E"/>
    <w:rsid w:val="00C7558A"/>
    <w:rsid w:val="00C803CE"/>
    <w:rsid w:val="00C83945"/>
    <w:rsid w:val="00C86438"/>
    <w:rsid w:val="00C8662D"/>
    <w:rsid w:val="00C90B38"/>
    <w:rsid w:val="00C92DC8"/>
    <w:rsid w:val="00C92E21"/>
    <w:rsid w:val="00C94C7D"/>
    <w:rsid w:val="00CA0A10"/>
    <w:rsid w:val="00CA502A"/>
    <w:rsid w:val="00CA531A"/>
    <w:rsid w:val="00CB2218"/>
    <w:rsid w:val="00CC782D"/>
    <w:rsid w:val="00CD77F6"/>
    <w:rsid w:val="00CE1770"/>
    <w:rsid w:val="00CE3505"/>
    <w:rsid w:val="00CF315D"/>
    <w:rsid w:val="00D0053B"/>
    <w:rsid w:val="00D0711D"/>
    <w:rsid w:val="00D13117"/>
    <w:rsid w:val="00D215BF"/>
    <w:rsid w:val="00D23DD5"/>
    <w:rsid w:val="00D326ED"/>
    <w:rsid w:val="00D331ED"/>
    <w:rsid w:val="00D33EF6"/>
    <w:rsid w:val="00D34618"/>
    <w:rsid w:val="00D47FAD"/>
    <w:rsid w:val="00D50B94"/>
    <w:rsid w:val="00D53DDA"/>
    <w:rsid w:val="00D54E0A"/>
    <w:rsid w:val="00D56FF9"/>
    <w:rsid w:val="00D573B0"/>
    <w:rsid w:val="00D65AD1"/>
    <w:rsid w:val="00D7256D"/>
    <w:rsid w:val="00D755D2"/>
    <w:rsid w:val="00D77D57"/>
    <w:rsid w:val="00D81425"/>
    <w:rsid w:val="00D82307"/>
    <w:rsid w:val="00D85460"/>
    <w:rsid w:val="00D92FAB"/>
    <w:rsid w:val="00D94461"/>
    <w:rsid w:val="00D96F17"/>
    <w:rsid w:val="00D97E3E"/>
    <w:rsid w:val="00DA4F64"/>
    <w:rsid w:val="00DB17CE"/>
    <w:rsid w:val="00DB297C"/>
    <w:rsid w:val="00DC79ED"/>
    <w:rsid w:val="00DD3F5B"/>
    <w:rsid w:val="00DD57C3"/>
    <w:rsid w:val="00DE12A3"/>
    <w:rsid w:val="00DE2E7C"/>
    <w:rsid w:val="00DE77CE"/>
    <w:rsid w:val="00DF4E6E"/>
    <w:rsid w:val="00E004F5"/>
    <w:rsid w:val="00E0394C"/>
    <w:rsid w:val="00E06325"/>
    <w:rsid w:val="00E1015A"/>
    <w:rsid w:val="00E13BB8"/>
    <w:rsid w:val="00E333D0"/>
    <w:rsid w:val="00E34FF6"/>
    <w:rsid w:val="00E3560D"/>
    <w:rsid w:val="00E36F43"/>
    <w:rsid w:val="00E41C65"/>
    <w:rsid w:val="00E450C0"/>
    <w:rsid w:val="00E47250"/>
    <w:rsid w:val="00E478CE"/>
    <w:rsid w:val="00E55DF8"/>
    <w:rsid w:val="00E5647E"/>
    <w:rsid w:val="00E63D11"/>
    <w:rsid w:val="00E64DB9"/>
    <w:rsid w:val="00E70F02"/>
    <w:rsid w:val="00EA63AF"/>
    <w:rsid w:val="00EB2734"/>
    <w:rsid w:val="00EB33AC"/>
    <w:rsid w:val="00EB3850"/>
    <w:rsid w:val="00EB4B26"/>
    <w:rsid w:val="00EB56C4"/>
    <w:rsid w:val="00EC09C5"/>
    <w:rsid w:val="00EC13A0"/>
    <w:rsid w:val="00ED408E"/>
    <w:rsid w:val="00ED57B1"/>
    <w:rsid w:val="00EE2575"/>
    <w:rsid w:val="00EE6DF5"/>
    <w:rsid w:val="00EE7571"/>
    <w:rsid w:val="00F02DFB"/>
    <w:rsid w:val="00F0475A"/>
    <w:rsid w:val="00F1416B"/>
    <w:rsid w:val="00F15AD2"/>
    <w:rsid w:val="00F22AD7"/>
    <w:rsid w:val="00F2326A"/>
    <w:rsid w:val="00F3256A"/>
    <w:rsid w:val="00F34ED7"/>
    <w:rsid w:val="00F35B05"/>
    <w:rsid w:val="00F41155"/>
    <w:rsid w:val="00F45264"/>
    <w:rsid w:val="00F575D5"/>
    <w:rsid w:val="00F63765"/>
    <w:rsid w:val="00F75851"/>
    <w:rsid w:val="00F77541"/>
    <w:rsid w:val="00F84CF7"/>
    <w:rsid w:val="00F964B9"/>
    <w:rsid w:val="00FA2288"/>
    <w:rsid w:val="00FA3100"/>
    <w:rsid w:val="00FA3181"/>
    <w:rsid w:val="00FB1519"/>
    <w:rsid w:val="00FB3B54"/>
    <w:rsid w:val="00FC0E3A"/>
    <w:rsid w:val="00FC5617"/>
    <w:rsid w:val="00FD163B"/>
    <w:rsid w:val="00FE1E6B"/>
    <w:rsid w:val="00FE6566"/>
    <w:rsid w:val="00FE727D"/>
    <w:rsid w:val="00FF1DBF"/>
    <w:rsid w:val="00FF6C81"/>
    <w:rsid w:val="00FF7B56"/>
    <w:rsid w:val="030C1265"/>
    <w:rsid w:val="05AD02B6"/>
    <w:rsid w:val="07805557"/>
    <w:rsid w:val="081E3DD2"/>
    <w:rsid w:val="0B521B72"/>
    <w:rsid w:val="0F97049A"/>
    <w:rsid w:val="103755A7"/>
    <w:rsid w:val="10991687"/>
    <w:rsid w:val="14F5049C"/>
    <w:rsid w:val="15177F3A"/>
    <w:rsid w:val="154708D5"/>
    <w:rsid w:val="161E0EF5"/>
    <w:rsid w:val="17C81174"/>
    <w:rsid w:val="1A7A37CF"/>
    <w:rsid w:val="1B4072CF"/>
    <w:rsid w:val="1C1679CD"/>
    <w:rsid w:val="1C681168"/>
    <w:rsid w:val="2002108A"/>
    <w:rsid w:val="22CA1B74"/>
    <w:rsid w:val="243C1C69"/>
    <w:rsid w:val="2452597D"/>
    <w:rsid w:val="25597C15"/>
    <w:rsid w:val="291B0A33"/>
    <w:rsid w:val="29B53B9D"/>
    <w:rsid w:val="29B73ECC"/>
    <w:rsid w:val="29D362A0"/>
    <w:rsid w:val="2A614B6C"/>
    <w:rsid w:val="2A642ECF"/>
    <w:rsid w:val="2AE35551"/>
    <w:rsid w:val="2B572603"/>
    <w:rsid w:val="2BCE1463"/>
    <w:rsid w:val="2CA837FF"/>
    <w:rsid w:val="2D846CD4"/>
    <w:rsid w:val="2DE17538"/>
    <w:rsid w:val="2EF860E1"/>
    <w:rsid w:val="30200C5B"/>
    <w:rsid w:val="30275AA9"/>
    <w:rsid w:val="31691B50"/>
    <w:rsid w:val="330F4AF5"/>
    <w:rsid w:val="33826C4F"/>
    <w:rsid w:val="33C66680"/>
    <w:rsid w:val="34831B82"/>
    <w:rsid w:val="3687718E"/>
    <w:rsid w:val="36A94344"/>
    <w:rsid w:val="36F36FEF"/>
    <w:rsid w:val="37B9410D"/>
    <w:rsid w:val="38DE1E0E"/>
    <w:rsid w:val="3A720BD5"/>
    <w:rsid w:val="3BB60494"/>
    <w:rsid w:val="3D8A5372"/>
    <w:rsid w:val="403159A6"/>
    <w:rsid w:val="40617905"/>
    <w:rsid w:val="40F33074"/>
    <w:rsid w:val="416A5859"/>
    <w:rsid w:val="41935C01"/>
    <w:rsid w:val="41CB6C41"/>
    <w:rsid w:val="41FB36A0"/>
    <w:rsid w:val="43DD46A6"/>
    <w:rsid w:val="43F71859"/>
    <w:rsid w:val="443E5624"/>
    <w:rsid w:val="4614088C"/>
    <w:rsid w:val="47050CF6"/>
    <w:rsid w:val="489C1525"/>
    <w:rsid w:val="48A87983"/>
    <w:rsid w:val="48CD1AAB"/>
    <w:rsid w:val="49246317"/>
    <w:rsid w:val="4A897A9B"/>
    <w:rsid w:val="4CC76FA6"/>
    <w:rsid w:val="4D267823"/>
    <w:rsid w:val="4D504CAB"/>
    <w:rsid w:val="4F277882"/>
    <w:rsid w:val="4F721AB0"/>
    <w:rsid w:val="50DD0783"/>
    <w:rsid w:val="52AA2078"/>
    <w:rsid w:val="571203CE"/>
    <w:rsid w:val="57DC0B62"/>
    <w:rsid w:val="5A0E1921"/>
    <w:rsid w:val="5A742EE9"/>
    <w:rsid w:val="5B073AB1"/>
    <w:rsid w:val="5BB9422C"/>
    <w:rsid w:val="60DD6B15"/>
    <w:rsid w:val="634D5BFA"/>
    <w:rsid w:val="63CB20C7"/>
    <w:rsid w:val="654354C3"/>
    <w:rsid w:val="659439E1"/>
    <w:rsid w:val="66297639"/>
    <w:rsid w:val="664C2F40"/>
    <w:rsid w:val="669827C7"/>
    <w:rsid w:val="66E35591"/>
    <w:rsid w:val="685D6544"/>
    <w:rsid w:val="68C17B6C"/>
    <w:rsid w:val="690402B0"/>
    <w:rsid w:val="6A8555EE"/>
    <w:rsid w:val="6B4A24D7"/>
    <w:rsid w:val="6C280BE0"/>
    <w:rsid w:val="6C552D7D"/>
    <w:rsid w:val="6C9D6EE8"/>
    <w:rsid w:val="6D132616"/>
    <w:rsid w:val="6D347F0A"/>
    <w:rsid w:val="6F2C2F5B"/>
    <w:rsid w:val="70D13822"/>
    <w:rsid w:val="70E94540"/>
    <w:rsid w:val="71AB5C99"/>
    <w:rsid w:val="71FC02A3"/>
    <w:rsid w:val="72280003"/>
    <w:rsid w:val="74C0135E"/>
    <w:rsid w:val="75D23D52"/>
    <w:rsid w:val="767959DD"/>
    <w:rsid w:val="7749462B"/>
    <w:rsid w:val="781246A1"/>
    <w:rsid w:val="78AD4116"/>
    <w:rsid w:val="78D43A95"/>
    <w:rsid w:val="78F35C85"/>
    <w:rsid w:val="797B09E6"/>
    <w:rsid w:val="7AD565D6"/>
    <w:rsid w:val="7B0D2E97"/>
    <w:rsid w:val="7B481AC2"/>
    <w:rsid w:val="7DA056F0"/>
    <w:rsid w:val="7E36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06706"/>
  <w15:docId w15:val="{BF2B64DE-0D8E-4EB0-92C4-B44C85FD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pPr>
      <w:widowControl w:val="0"/>
      <w:jc w:val="both"/>
    </w:pPr>
    <w:rPr>
      <w:kern w:val="2"/>
      <w:sz w:val="21"/>
      <w:szCs w:val="24"/>
    </w:rPr>
  </w:style>
  <w:style w:type="paragraph" w:styleId="1">
    <w:name w:val="heading 1"/>
    <w:basedOn w:val="a1"/>
    <w:next w:val="a1"/>
    <w:link w:val="10"/>
    <w:autoRedefine/>
    <w:qFormat/>
    <w:pPr>
      <w:keepNext/>
      <w:widowControl/>
      <w:tabs>
        <w:tab w:val="left" w:pos="720"/>
      </w:tabs>
      <w:topLinePunct/>
      <w:spacing w:line="360" w:lineRule="auto"/>
      <w:jc w:val="left"/>
      <w:outlineLvl w:val="0"/>
    </w:pPr>
    <w:rPr>
      <w:rFonts w:ascii="黑体" w:eastAsia="黑体" w:hAnsi="黑体"/>
      <w:smallCaps/>
      <w:kern w:val="0"/>
      <w:sz w:val="24"/>
      <w:szCs w:val="20"/>
      <w:lang w:val="en-GB"/>
    </w:rPr>
  </w:style>
  <w:style w:type="paragraph" w:styleId="2">
    <w:name w:val="heading 2"/>
    <w:basedOn w:val="a1"/>
    <w:next w:val="a1"/>
    <w:link w:val="20"/>
    <w:autoRedefine/>
    <w:qFormat/>
    <w:pPr>
      <w:keepNext/>
      <w:keepLines/>
      <w:spacing w:before="260" w:after="260" w:line="416" w:lineRule="auto"/>
      <w:outlineLvl w:val="1"/>
    </w:pPr>
    <w:rPr>
      <w:rFonts w:ascii="Cambria" w:hAnsi="Cambria"/>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autoRedefine/>
    <w:qFormat/>
    <w:pPr>
      <w:jc w:val="left"/>
    </w:pPr>
  </w:style>
  <w:style w:type="paragraph" w:styleId="a7">
    <w:name w:val="Body Text"/>
    <w:basedOn w:val="a1"/>
    <w:link w:val="a8"/>
    <w:autoRedefine/>
    <w:qFormat/>
    <w:pPr>
      <w:spacing w:after="120"/>
    </w:pPr>
  </w:style>
  <w:style w:type="paragraph" w:styleId="a9">
    <w:name w:val="Date"/>
    <w:basedOn w:val="a1"/>
    <w:next w:val="a1"/>
    <w:link w:val="aa"/>
    <w:autoRedefine/>
    <w:qFormat/>
    <w:pPr>
      <w:keepLines/>
      <w:adjustRightInd w:val="0"/>
      <w:snapToGrid w:val="0"/>
      <w:spacing w:line="360" w:lineRule="auto"/>
      <w:ind w:firstLineChars="200" w:firstLine="200"/>
      <w:jc w:val="left"/>
    </w:pPr>
    <w:rPr>
      <w:rFonts w:ascii="宋体" w:eastAsia="Times New Roman" w:hAnsi="宋体"/>
      <w:kern w:val="0"/>
      <w:sz w:val="32"/>
      <w:szCs w:val="20"/>
    </w:rPr>
  </w:style>
  <w:style w:type="paragraph" w:styleId="ab">
    <w:name w:val="footer"/>
    <w:basedOn w:val="a1"/>
    <w:link w:val="ac"/>
    <w:autoRedefine/>
    <w:uiPriority w:val="99"/>
    <w:qFormat/>
    <w:pPr>
      <w:tabs>
        <w:tab w:val="center" w:pos="4153"/>
        <w:tab w:val="right" w:pos="8306"/>
      </w:tabs>
      <w:snapToGrid w:val="0"/>
      <w:jc w:val="left"/>
    </w:pPr>
    <w:rPr>
      <w:sz w:val="18"/>
      <w:szCs w:val="18"/>
    </w:rPr>
  </w:style>
  <w:style w:type="paragraph" w:styleId="ad">
    <w:name w:val="header"/>
    <w:basedOn w:val="a1"/>
    <w:link w:val="ae"/>
    <w:autoRedefine/>
    <w:qFormat/>
    <w:pPr>
      <w:pBdr>
        <w:bottom w:val="single" w:sz="6" w:space="1" w:color="auto"/>
      </w:pBdr>
      <w:tabs>
        <w:tab w:val="center" w:pos="4153"/>
        <w:tab w:val="right" w:pos="8306"/>
      </w:tabs>
      <w:snapToGrid w:val="0"/>
      <w:jc w:val="center"/>
    </w:pPr>
    <w:rPr>
      <w:sz w:val="18"/>
      <w:szCs w:val="18"/>
    </w:rPr>
  </w:style>
  <w:style w:type="paragraph" w:styleId="af">
    <w:name w:val="Normal (Web)"/>
    <w:basedOn w:val="a1"/>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autoRedefine/>
    <w:qFormat/>
    <w:rPr>
      <w:b/>
      <w:bCs/>
    </w:rPr>
  </w:style>
  <w:style w:type="paragraph" w:styleId="af2">
    <w:name w:val="Body Text First Indent"/>
    <w:basedOn w:val="a1"/>
    <w:link w:val="af3"/>
    <w:autoRedefine/>
    <w:qFormat/>
    <w:pPr>
      <w:spacing w:line="400" w:lineRule="atLeast"/>
      <w:ind w:firstLineChars="200" w:firstLine="200"/>
    </w:pPr>
    <w:rPr>
      <w:sz w:val="24"/>
    </w:rPr>
  </w:style>
  <w:style w:type="table" w:styleId="af4">
    <w:name w:val="Table Grid"/>
    <w:basedOn w:val="a3"/>
    <w:autoRedefine/>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autoRedefine/>
    <w:uiPriority w:val="99"/>
    <w:qFormat/>
    <w:rPr>
      <w:color w:val="0000FF"/>
      <w:u w:val="single"/>
    </w:rPr>
  </w:style>
  <w:style w:type="character" w:customStyle="1" w:styleId="10">
    <w:name w:val="标题 1 字符"/>
    <w:link w:val="1"/>
    <w:autoRedefine/>
    <w:qFormat/>
    <w:rPr>
      <w:rFonts w:ascii="黑体" w:eastAsia="黑体" w:hAnsi="黑体" w:cs="Arial"/>
      <w:smallCaps/>
      <w:sz w:val="24"/>
      <w:lang w:val="en-GB"/>
    </w:rPr>
  </w:style>
  <w:style w:type="character" w:customStyle="1" w:styleId="20">
    <w:name w:val="标题 2 字符"/>
    <w:link w:val="2"/>
    <w:autoRedefine/>
    <w:qFormat/>
    <w:rPr>
      <w:rFonts w:ascii="Cambria" w:hAnsi="Cambria"/>
      <w:b/>
      <w:bCs/>
      <w:kern w:val="2"/>
      <w:sz w:val="32"/>
      <w:szCs w:val="32"/>
    </w:rPr>
  </w:style>
  <w:style w:type="character" w:customStyle="1" w:styleId="a6">
    <w:name w:val="批注文字 字符"/>
    <w:link w:val="a5"/>
    <w:autoRedefine/>
    <w:qFormat/>
    <w:rPr>
      <w:kern w:val="2"/>
      <w:sz w:val="21"/>
      <w:szCs w:val="24"/>
    </w:rPr>
  </w:style>
  <w:style w:type="character" w:customStyle="1" w:styleId="a8">
    <w:name w:val="正文文本 字符"/>
    <w:link w:val="a7"/>
    <w:autoRedefine/>
    <w:qFormat/>
    <w:rPr>
      <w:kern w:val="2"/>
      <w:sz w:val="21"/>
      <w:szCs w:val="24"/>
    </w:rPr>
  </w:style>
  <w:style w:type="character" w:customStyle="1" w:styleId="aa">
    <w:name w:val="日期 字符"/>
    <w:link w:val="a9"/>
    <w:autoRedefine/>
    <w:qFormat/>
    <w:rPr>
      <w:rFonts w:ascii="宋体" w:eastAsia="Times New Roman" w:hAnsi="宋体"/>
      <w:sz w:val="32"/>
    </w:rPr>
  </w:style>
  <w:style w:type="character" w:customStyle="1" w:styleId="ac">
    <w:name w:val="页脚 字符"/>
    <w:link w:val="ab"/>
    <w:autoRedefine/>
    <w:uiPriority w:val="99"/>
    <w:qFormat/>
    <w:rPr>
      <w:kern w:val="2"/>
      <w:sz w:val="18"/>
      <w:szCs w:val="18"/>
    </w:rPr>
  </w:style>
  <w:style w:type="character" w:customStyle="1" w:styleId="ae">
    <w:name w:val="页眉 字符"/>
    <w:link w:val="ad"/>
    <w:autoRedefine/>
    <w:qFormat/>
    <w:rPr>
      <w:kern w:val="2"/>
      <w:sz w:val="18"/>
      <w:szCs w:val="18"/>
    </w:rPr>
  </w:style>
  <w:style w:type="character" w:customStyle="1" w:styleId="af1">
    <w:name w:val="批注主题 字符"/>
    <w:link w:val="af0"/>
    <w:autoRedefine/>
    <w:qFormat/>
    <w:rPr>
      <w:b/>
      <w:bCs/>
      <w:kern w:val="2"/>
      <w:sz w:val="21"/>
      <w:szCs w:val="24"/>
    </w:rPr>
  </w:style>
  <w:style w:type="character" w:customStyle="1" w:styleId="af3">
    <w:name w:val="正文文本首行缩进 字符"/>
    <w:link w:val="af2"/>
    <w:autoRedefine/>
    <w:qFormat/>
    <w:rPr>
      <w:kern w:val="2"/>
      <w:sz w:val="24"/>
      <w:szCs w:val="24"/>
    </w:rPr>
  </w:style>
  <w:style w:type="paragraph" w:customStyle="1" w:styleId="af6">
    <w:name w:val="段"/>
    <w:link w:val="Char"/>
    <w:autoRedefine/>
    <w:qFormat/>
    <w:pPr>
      <w:autoSpaceDE w:val="0"/>
      <w:autoSpaceDN w:val="0"/>
      <w:ind w:firstLineChars="200" w:firstLine="200"/>
      <w:jc w:val="both"/>
    </w:pPr>
    <w:rPr>
      <w:rFonts w:ascii="宋体"/>
      <w:sz w:val="21"/>
    </w:rPr>
  </w:style>
  <w:style w:type="character" w:customStyle="1" w:styleId="Char">
    <w:name w:val="段 Char"/>
    <w:link w:val="af6"/>
    <w:autoRedefine/>
    <w:qFormat/>
    <w:rPr>
      <w:rFonts w:ascii="宋体"/>
      <w:sz w:val="21"/>
      <w:lang w:val="en-US" w:eastAsia="zh-CN" w:bidi="ar-SA"/>
    </w:rPr>
  </w:style>
  <w:style w:type="paragraph" w:styleId="af7">
    <w:name w:val="List Paragraph"/>
    <w:basedOn w:val="af8"/>
    <w:next w:val="af8"/>
    <w:autoRedefine/>
    <w:uiPriority w:val="34"/>
    <w:qFormat/>
    <w:pPr>
      <w:spacing w:line="360" w:lineRule="auto"/>
      <w:ind w:firstLineChars="200" w:firstLine="200"/>
    </w:pPr>
    <w:rPr>
      <w:sz w:val="24"/>
      <w:szCs w:val="21"/>
    </w:rPr>
  </w:style>
  <w:style w:type="paragraph" w:styleId="af8">
    <w:name w:val="No Spacing"/>
    <w:autoRedefine/>
    <w:uiPriority w:val="1"/>
    <w:qFormat/>
    <w:pPr>
      <w:widowControl w:val="0"/>
      <w:jc w:val="both"/>
    </w:pPr>
    <w:rPr>
      <w:kern w:val="2"/>
      <w:sz w:val="21"/>
      <w:szCs w:val="24"/>
    </w:rPr>
  </w:style>
  <w:style w:type="paragraph" w:customStyle="1" w:styleId="21">
    <w:name w:val="列出段落2"/>
    <w:basedOn w:val="a1"/>
    <w:autoRedefine/>
    <w:qFormat/>
    <w:pPr>
      <w:ind w:firstLineChars="200" w:firstLine="420"/>
    </w:pPr>
    <w:rPr>
      <w:rFonts w:ascii="Calibri" w:hAnsi="Calibri"/>
      <w:szCs w:val="22"/>
    </w:rPr>
  </w:style>
  <w:style w:type="paragraph" w:customStyle="1" w:styleId="Default">
    <w:name w:val="Default"/>
    <w:autoRedefine/>
    <w:qFormat/>
    <w:pPr>
      <w:widowControl w:val="0"/>
      <w:autoSpaceDE w:val="0"/>
      <w:autoSpaceDN w:val="0"/>
    </w:pPr>
    <w:rPr>
      <w:rFonts w:ascii="Sim Sun" w:eastAsia="Sim Sun" w:hint="eastAsia"/>
      <w:color w:val="000000"/>
      <w:sz w:val="24"/>
    </w:rPr>
  </w:style>
  <w:style w:type="paragraph" w:customStyle="1" w:styleId="a">
    <w:name w:val="附录表标号"/>
    <w:basedOn w:val="a1"/>
    <w:next w:val="af6"/>
    <w:autoRedefine/>
    <w:qFormat/>
    <w:pPr>
      <w:numPr>
        <w:numId w:val="1"/>
      </w:numPr>
      <w:tabs>
        <w:tab w:val="clear" w:pos="0"/>
      </w:tabs>
      <w:spacing w:line="14" w:lineRule="exact"/>
      <w:ind w:left="811" w:hanging="448"/>
      <w:jc w:val="center"/>
      <w:outlineLvl w:val="0"/>
    </w:pPr>
    <w:rPr>
      <w:color w:val="FFFFFF"/>
    </w:rPr>
  </w:style>
  <w:style w:type="paragraph" w:customStyle="1" w:styleId="a0">
    <w:name w:val="附录表标题"/>
    <w:basedOn w:val="a1"/>
    <w:next w:val="af6"/>
    <w:autoRedefine/>
    <w:qFormat/>
    <w:pPr>
      <w:numPr>
        <w:ilvl w:val="1"/>
        <w:numId w:val="1"/>
      </w:numPr>
      <w:spacing w:beforeLines="50" w:before="50" w:afterLines="50" w:after="50"/>
      <w:jc w:val="center"/>
    </w:pPr>
    <w:rPr>
      <w:rFonts w:ascii="黑体" w:eastAsia="黑体"/>
      <w:szCs w:val="21"/>
    </w:rPr>
  </w:style>
  <w:style w:type="paragraph" w:customStyle="1" w:styleId="222">
    <w:name w:val="样式 样式 样式 首行缩进:  2 字符 + 首行缩进:  2 字符 + 首行缩进:  2 字符"/>
    <w:basedOn w:val="a1"/>
    <w:autoRedefine/>
    <w:qFormat/>
    <w:pPr>
      <w:suppressAutoHyphens/>
      <w:wordWrap w:val="0"/>
      <w:adjustRightInd w:val="0"/>
      <w:snapToGrid w:val="0"/>
      <w:spacing w:line="360" w:lineRule="auto"/>
      <w:ind w:firstLineChars="200" w:firstLine="200"/>
      <w:jc w:val="left"/>
      <w:textAlignment w:val="center"/>
    </w:pPr>
    <w:rPr>
      <w:rFonts w:ascii="宋体" w:eastAsia="Times New Roman"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1124</Words>
  <Characters>6409</Characters>
  <Application>Microsoft Office Word</Application>
  <DocSecurity>0</DocSecurity>
  <Lines>53</Lines>
  <Paragraphs>15</Paragraphs>
  <ScaleCrop>false</ScaleCrop>
  <Company>China</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温建宇</cp:lastModifiedBy>
  <cp:revision>38</cp:revision>
  <cp:lastPrinted>2020-12-18T01:16:00Z</cp:lastPrinted>
  <dcterms:created xsi:type="dcterms:W3CDTF">2017-07-04T02:18:00Z</dcterms:created>
  <dcterms:modified xsi:type="dcterms:W3CDTF">2024-04-08T12:13:00Z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291B0418E86242F4972170579996C4D5_13</vt:lpwstr>
  </property>
</Properties>
</file>