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2" w:rsidRDefault="003D0C05" w:rsidP="00800E22">
      <w:pPr>
        <w:tabs>
          <w:tab w:val="right" w:pos="9542"/>
        </w:tabs>
        <w:jc w:val="center"/>
        <w:rPr>
          <w:b/>
          <w:sz w:val="28"/>
        </w:rPr>
      </w:pPr>
      <w:r w:rsidRPr="000C63F8">
        <w:rPr>
          <w:rFonts w:hint="eastAsia"/>
          <w:b/>
          <w:sz w:val="28"/>
        </w:rPr>
        <w:t>《</w:t>
      </w:r>
      <w:r w:rsidR="008A2D16">
        <w:rPr>
          <w:rFonts w:hint="eastAsia"/>
          <w:b/>
          <w:sz w:val="28"/>
        </w:rPr>
        <w:t>家用和</w:t>
      </w:r>
      <w:r w:rsidR="008A2D16">
        <w:rPr>
          <w:b/>
          <w:sz w:val="28"/>
        </w:rPr>
        <w:t>类似用途</w:t>
      </w:r>
      <w:r w:rsidR="002B484F">
        <w:rPr>
          <w:rFonts w:hint="eastAsia"/>
          <w:b/>
          <w:sz w:val="28"/>
        </w:rPr>
        <w:t>材料抗过敏原性能</w:t>
      </w:r>
      <w:r w:rsidR="002B484F">
        <w:rPr>
          <w:b/>
          <w:sz w:val="28"/>
        </w:rPr>
        <w:t>技术要求和试验方法</w:t>
      </w:r>
      <w:r>
        <w:rPr>
          <w:rFonts w:hint="eastAsia"/>
          <w:b/>
          <w:sz w:val="28"/>
        </w:rPr>
        <w:t>》</w:t>
      </w:r>
      <w:r w:rsidR="009C2389" w:rsidRPr="000C63F8">
        <w:rPr>
          <w:rFonts w:hint="eastAsia"/>
          <w:b/>
          <w:sz w:val="28"/>
        </w:rPr>
        <w:t>编制说明</w:t>
      </w:r>
      <w:r w:rsidR="00800E22">
        <w:rPr>
          <w:rFonts w:hint="eastAsia"/>
          <w:b/>
          <w:sz w:val="28"/>
        </w:rPr>
        <w:t>（</w:t>
      </w:r>
      <w:r w:rsidR="00E65AAE">
        <w:rPr>
          <w:rFonts w:hint="eastAsia"/>
          <w:b/>
          <w:sz w:val="28"/>
        </w:rPr>
        <w:t>征求意见</w:t>
      </w:r>
      <w:r w:rsidR="00800E22">
        <w:rPr>
          <w:rFonts w:hint="eastAsia"/>
          <w:b/>
          <w:sz w:val="28"/>
        </w:rPr>
        <w:t>稿）</w:t>
      </w:r>
    </w:p>
    <w:p w:rsidR="00431F63" w:rsidRPr="00B26A61" w:rsidRDefault="00431F63" w:rsidP="001D2080">
      <w:pPr>
        <w:widowControl/>
        <w:snapToGrid w:val="0"/>
        <w:spacing w:beforeLines="50" w:before="156" w:afterLines="50" w:after="156"/>
        <w:rPr>
          <w:rFonts w:ascii="宋体" w:hAnsi="宋体"/>
          <w:b/>
          <w:sz w:val="24"/>
          <w:szCs w:val="24"/>
        </w:rPr>
      </w:pPr>
      <w:r w:rsidRPr="00B26A61">
        <w:rPr>
          <w:rFonts w:ascii="宋体" w:hAnsi="宋体" w:hint="eastAsia"/>
          <w:b/>
          <w:sz w:val="24"/>
          <w:szCs w:val="24"/>
        </w:rPr>
        <w:t>一、工作简况</w:t>
      </w:r>
    </w:p>
    <w:p w:rsidR="00431F63" w:rsidRPr="00D55E8E" w:rsidRDefault="00431F63" w:rsidP="001D2080">
      <w:pPr>
        <w:widowControl/>
        <w:snapToGrid w:val="0"/>
        <w:spacing w:beforeLines="50" w:before="156" w:afterLines="50" w:after="156"/>
        <w:ind w:firstLineChars="200" w:firstLine="482"/>
        <w:rPr>
          <w:b/>
          <w:sz w:val="24"/>
          <w:szCs w:val="24"/>
        </w:rPr>
      </w:pPr>
      <w:r w:rsidRPr="00D55E8E">
        <w:rPr>
          <w:b/>
          <w:sz w:val="24"/>
          <w:szCs w:val="24"/>
        </w:rPr>
        <w:t>1</w:t>
      </w:r>
      <w:r w:rsidRPr="00D55E8E">
        <w:rPr>
          <w:b/>
          <w:sz w:val="24"/>
          <w:szCs w:val="24"/>
        </w:rPr>
        <w:t>、任务来源</w:t>
      </w:r>
    </w:p>
    <w:p w:rsidR="00431F63" w:rsidRPr="00D55E8E" w:rsidRDefault="00431F63" w:rsidP="004624B7">
      <w:pPr>
        <w:tabs>
          <w:tab w:val="right" w:pos="9542"/>
        </w:tabs>
        <w:spacing w:line="360" w:lineRule="auto"/>
        <w:ind w:firstLineChars="200" w:firstLine="480"/>
        <w:rPr>
          <w:sz w:val="24"/>
          <w:szCs w:val="24"/>
        </w:rPr>
      </w:pPr>
      <w:r w:rsidRPr="00D55E8E">
        <w:rPr>
          <w:sz w:val="24"/>
          <w:szCs w:val="24"/>
        </w:rPr>
        <w:t>本项目是根据</w:t>
      </w:r>
      <w:r w:rsidR="00654D1E">
        <w:rPr>
          <w:rFonts w:hint="eastAsia"/>
          <w:sz w:val="24"/>
          <w:szCs w:val="24"/>
        </w:rPr>
        <w:t>中国轻工业</w:t>
      </w:r>
      <w:r w:rsidR="00654D1E">
        <w:rPr>
          <w:sz w:val="24"/>
          <w:szCs w:val="24"/>
        </w:rPr>
        <w:t>联合会</w:t>
      </w:r>
      <w:r w:rsidR="00654D1E">
        <w:rPr>
          <w:rFonts w:hint="eastAsia"/>
          <w:sz w:val="24"/>
          <w:szCs w:val="24"/>
        </w:rPr>
        <w:t>发布</w:t>
      </w:r>
      <w:r w:rsidR="00654D1E">
        <w:rPr>
          <w:sz w:val="24"/>
          <w:szCs w:val="24"/>
        </w:rPr>
        <w:t>关于下达</w:t>
      </w:r>
      <w:r w:rsidR="008A2D16">
        <w:rPr>
          <w:sz w:val="24"/>
          <w:szCs w:val="24"/>
        </w:rPr>
        <w:t>《</w:t>
      </w:r>
      <w:r w:rsidR="008A2D16">
        <w:rPr>
          <w:rFonts w:hint="eastAsia"/>
          <w:sz w:val="24"/>
          <w:szCs w:val="24"/>
        </w:rPr>
        <w:t>家用和类似用途</w:t>
      </w:r>
      <w:r w:rsidR="008A2D16">
        <w:rPr>
          <w:sz w:val="24"/>
          <w:szCs w:val="24"/>
        </w:rPr>
        <w:t>材料抗过敏原性能技术要求和试验方法</w:t>
      </w:r>
      <w:r w:rsidR="00DF5B5B" w:rsidRPr="00D55E8E">
        <w:rPr>
          <w:sz w:val="24"/>
          <w:szCs w:val="24"/>
        </w:rPr>
        <w:t>》</w:t>
      </w:r>
      <w:r w:rsidR="00654D1E">
        <w:rPr>
          <w:rFonts w:hint="eastAsia"/>
          <w:sz w:val="24"/>
          <w:szCs w:val="24"/>
        </w:rPr>
        <w:t>等</w:t>
      </w:r>
      <w:r w:rsidR="00654D1E">
        <w:rPr>
          <w:rFonts w:hint="eastAsia"/>
          <w:sz w:val="24"/>
          <w:szCs w:val="24"/>
        </w:rPr>
        <w:t>9</w:t>
      </w:r>
      <w:r w:rsidR="00654D1E">
        <w:rPr>
          <w:rFonts w:hint="eastAsia"/>
          <w:sz w:val="24"/>
          <w:szCs w:val="24"/>
        </w:rPr>
        <w:t>项</w:t>
      </w:r>
      <w:r w:rsidR="00654D1E">
        <w:rPr>
          <w:sz w:val="24"/>
          <w:szCs w:val="24"/>
        </w:rPr>
        <w:t>中国轻工业联合会团体标准计划的通知（</w:t>
      </w:r>
      <w:r w:rsidR="00654D1E">
        <w:rPr>
          <w:rFonts w:hint="eastAsia"/>
          <w:sz w:val="24"/>
          <w:szCs w:val="24"/>
        </w:rPr>
        <w:t>中轻联</w:t>
      </w:r>
      <w:r w:rsidR="00654D1E">
        <w:rPr>
          <w:sz w:val="24"/>
          <w:szCs w:val="24"/>
        </w:rPr>
        <w:t>标准</w:t>
      </w:r>
      <w:r w:rsidR="00654D1E">
        <w:rPr>
          <w:rFonts w:hint="eastAsia"/>
          <w:sz w:val="24"/>
          <w:szCs w:val="24"/>
        </w:rPr>
        <w:t>[2022]270</w:t>
      </w:r>
      <w:r w:rsidR="00654D1E">
        <w:rPr>
          <w:rFonts w:hint="eastAsia"/>
          <w:sz w:val="24"/>
          <w:szCs w:val="24"/>
        </w:rPr>
        <w:t>号</w:t>
      </w:r>
      <w:r w:rsidR="00654D1E">
        <w:rPr>
          <w:sz w:val="24"/>
          <w:szCs w:val="24"/>
        </w:rPr>
        <w:t>）</w:t>
      </w:r>
      <w:r w:rsidR="00654D1E">
        <w:rPr>
          <w:sz w:val="24"/>
          <w:szCs w:val="24"/>
        </w:rPr>
        <w:t>《</w:t>
      </w:r>
      <w:r w:rsidR="00654D1E">
        <w:rPr>
          <w:rFonts w:hint="eastAsia"/>
          <w:sz w:val="24"/>
          <w:szCs w:val="24"/>
        </w:rPr>
        <w:t>家用和类似用途</w:t>
      </w:r>
      <w:r w:rsidR="00654D1E">
        <w:rPr>
          <w:sz w:val="24"/>
          <w:szCs w:val="24"/>
        </w:rPr>
        <w:t>材料抗过敏原性能技术要求和试验方法</w:t>
      </w:r>
      <w:r w:rsidR="00654D1E" w:rsidRPr="00D55E8E">
        <w:rPr>
          <w:sz w:val="24"/>
          <w:szCs w:val="24"/>
        </w:rPr>
        <w:t>》</w:t>
      </w:r>
      <w:r w:rsidR="008A2D16">
        <w:rPr>
          <w:rFonts w:hint="eastAsia"/>
          <w:sz w:val="24"/>
          <w:szCs w:val="24"/>
        </w:rPr>
        <w:t>团体</w:t>
      </w:r>
      <w:r w:rsidR="00DF5B5B" w:rsidRPr="00D55E8E">
        <w:rPr>
          <w:sz w:val="24"/>
          <w:szCs w:val="24"/>
        </w:rPr>
        <w:t>标准（</w:t>
      </w:r>
      <w:r w:rsidR="00DF5B5B" w:rsidRPr="00654D1E">
        <w:rPr>
          <w:sz w:val="24"/>
          <w:szCs w:val="24"/>
        </w:rPr>
        <w:t>计划号：</w:t>
      </w:r>
      <w:r w:rsidR="00654D1E">
        <w:rPr>
          <w:sz w:val="24"/>
          <w:szCs w:val="24"/>
        </w:rPr>
        <w:t>20220208</w:t>
      </w:r>
      <w:r w:rsidR="00DF5B5B" w:rsidRPr="00D55E8E">
        <w:rPr>
          <w:sz w:val="24"/>
          <w:szCs w:val="24"/>
        </w:rPr>
        <w:t>）</w:t>
      </w:r>
      <w:r w:rsidR="00AA29F7">
        <w:rPr>
          <w:rFonts w:hint="eastAsia"/>
          <w:sz w:val="24"/>
          <w:szCs w:val="24"/>
        </w:rPr>
        <w:t>进行</w:t>
      </w:r>
      <w:r w:rsidR="00AA29F7">
        <w:rPr>
          <w:sz w:val="24"/>
          <w:szCs w:val="24"/>
        </w:rPr>
        <w:t>制定</w:t>
      </w:r>
      <w:r w:rsidR="004624B7" w:rsidRPr="00D55E8E">
        <w:rPr>
          <w:sz w:val="24"/>
          <w:szCs w:val="24"/>
        </w:rPr>
        <w:t>。</w:t>
      </w:r>
      <w:r w:rsidRPr="00D55E8E">
        <w:rPr>
          <w:sz w:val="24"/>
          <w:szCs w:val="24"/>
        </w:rPr>
        <w:t>主要起草单位为中国家用电器研究院，计划应完成时间为</w:t>
      </w:r>
      <w:r w:rsidR="008E503F" w:rsidRPr="008A2D16">
        <w:rPr>
          <w:sz w:val="24"/>
          <w:szCs w:val="24"/>
        </w:rPr>
        <w:t>202</w:t>
      </w:r>
      <w:r w:rsidR="008A2D16" w:rsidRPr="008A2D16">
        <w:rPr>
          <w:sz w:val="24"/>
          <w:szCs w:val="24"/>
        </w:rPr>
        <w:t>3</w:t>
      </w:r>
      <w:r w:rsidRPr="00D55E8E">
        <w:rPr>
          <w:sz w:val="24"/>
          <w:szCs w:val="24"/>
        </w:rPr>
        <w:t>年。</w:t>
      </w:r>
    </w:p>
    <w:p w:rsidR="00431F63" w:rsidRPr="00D55E8E" w:rsidRDefault="00431F63" w:rsidP="001D2080">
      <w:pPr>
        <w:widowControl/>
        <w:snapToGrid w:val="0"/>
        <w:spacing w:beforeLines="50" w:before="156" w:afterLines="50" w:after="156"/>
        <w:ind w:firstLineChars="200" w:firstLine="482"/>
        <w:rPr>
          <w:sz w:val="24"/>
          <w:szCs w:val="24"/>
        </w:rPr>
      </w:pPr>
      <w:r w:rsidRPr="00D55E8E">
        <w:rPr>
          <w:b/>
          <w:sz w:val="24"/>
          <w:szCs w:val="24"/>
        </w:rPr>
        <w:t>2</w:t>
      </w:r>
      <w:r w:rsidRPr="00D55E8E">
        <w:rPr>
          <w:b/>
          <w:sz w:val="24"/>
          <w:szCs w:val="24"/>
        </w:rPr>
        <w:t>、主要工作过程</w:t>
      </w:r>
    </w:p>
    <w:p w:rsidR="00654D1E" w:rsidRPr="00D55E8E" w:rsidRDefault="00431F63" w:rsidP="00654D1E">
      <w:pPr>
        <w:tabs>
          <w:tab w:val="right" w:pos="9542"/>
        </w:tabs>
        <w:spacing w:line="360" w:lineRule="auto"/>
        <w:ind w:firstLineChars="200" w:firstLine="482"/>
        <w:rPr>
          <w:color w:val="000000" w:themeColor="text1"/>
          <w:sz w:val="24"/>
          <w:szCs w:val="24"/>
        </w:rPr>
      </w:pPr>
      <w:r w:rsidRPr="00D55E8E">
        <w:rPr>
          <w:b/>
          <w:sz w:val="24"/>
          <w:szCs w:val="24"/>
        </w:rPr>
        <w:t>起草阶段</w:t>
      </w:r>
      <w:r w:rsidRPr="00D55E8E">
        <w:rPr>
          <w:b/>
          <w:color w:val="000000" w:themeColor="text1"/>
          <w:sz w:val="24"/>
          <w:szCs w:val="24"/>
        </w:rPr>
        <w:t>：</w:t>
      </w:r>
      <w:r w:rsidR="00654D1E" w:rsidRPr="00D55E8E">
        <w:rPr>
          <w:color w:val="000000" w:themeColor="text1"/>
          <w:sz w:val="24"/>
          <w:szCs w:val="24"/>
        </w:rPr>
        <w:t>本标准的立项申请</w:t>
      </w:r>
      <w:r w:rsidR="00654D1E" w:rsidRPr="00411FEC">
        <w:rPr>
          <w:color w:val="000000" w:themeColor="text1"/>
          <w:sz w:val="24"/>
          <w:szCs w:val="24"/>
        </w:rPr>
        <w:t>是</w:t>
      </w:r>
      <w:r w:rsidR="00654D1E" w:rsidRPr="00411FEC">
        <w:rPr>
          <w:color w:val="000000" w:themeColor="text1"/>
          <w:sz w:val="24"/>
          <w:szCs w:val="24"/>
        </w:rPr>
        <w:t>2022</w:t>
      </w:r>
      <w:r w:rsidR="00654D1E" w:rsidRPr="00411FEC">
        <w:rPr>
          <w:rFonts w:hint="eastAsia"/>
          <w:color w:val="000000" w:themeColor="text1"/>
          <w:sz w:val="24"/>
          <w:szCs w:val="24"/>
        </w:rPr>
        <w:t>年</w:t>
      </w:r>
      <w:r w:rsidR="00654D1E" w:rsidRPr="00411FEC">
        <w:rPr>
          <w:rFonts w:hint="eastAsia"/>
          <w:color w:val="000000" w:themeColor="text1"/>
          <w:sz w:val="24"/>
          <w:szCs w:val="24"/>
        </w:rPr>
        <w:t>1</w:t>
      </w:r>
      <w:r w:rsidR="00654D1E" w:rsidRPr="00411FEC">
        <w:rPr>
          <w:color w:val="000000" w:themeColor="text1"/>
          <w:sz w:val="24"/>
          <w:szCs w:val="24"/>
        </w:rPr>
        <w:t>0</w:t>
      </w:r>
      <w:r w:rsidR="00654D1E" w:rsidRPr="00411FEC">
        <w:rPr>
          <w:rFonts w:hint="eastAsia"/>
          <w:color w:val="000000" w:themeColor="text1"/>
          <w:sz w:val="24"/>
          <w:szCs w:val="24"/>
        </w:rPr>
        <w:t>月</w:t>
      </w:r>
      <w:r w:rsidR="00654D1E" w:rsidRPr="00411FEC">
        <w:rPr>
          <w:color w:val="000000" w:themeColor="text1"/>
          <w:sz w:val="24"/>
          <w:szCs w:val="24"/>
        </w:rPr>
        <w:t>批</w:t>
      </w:r>
      <w:r w:rsidR="00654D1E" w:rsidRPr="00D55E8E">
        <w:rPr>
          <w:color w:val="000000" w:themeColor="text1"/>
          <w:sz w:val="24"/>
          <w:szCs w:val="24"/>
        </w:rPr>
        <w:t>准的，</w:t>
      </w:r>
      <w:r w:rsidR="00654D1E">
        <w:rPr>
          <w:rFonts w:hint="eastAsia"/>
          <w:color w:val="000000" w:themeColor="text1"/>
          <w:sz w:val="24"/>
          <w:szCs w:val="24"/>
        </w:rPr>
        <w:t>健康家居专委会</w:t>
      </w:r>
      <w:r w:rsidR="00654D1E" w:rsidRPr="00D55E8E">
        <w:rPr>
          <w:color w:val="000000" w:themeColor="text1"/>
          <w:sz w:val="24"/>
          <w:szCs w:val="24"/>
        </w:rPr>
        <w:t>随即征集了标准起草工作组，根据前期立项阶段的标准预研，由中国家用电器研究院提出《</w:t>
      </w:r>
      <w:r w:rsidR="00654D1E">
        <w:rPr>
          <w:rFonts w:hint="eastAsia"/>
          <w:sz w:val="24"/>
          <w:szCs w:val="24"/>
        </w:rPr>
        <w:t>家用和类似用途</w:t>
      </w:r>
      <w:r w:rsidR="00654D1E">
        <w:rPr>
          <w:sz w:val="24"/>
          <w:szCs w:val="24"/>
        </w:rPr>
        <w:t>材料抗过敏原性能技术要求和试验方法</w:t>
      </w:r>
      <w:r w:rsidR="00654D1E" w:rsidRPr="00D55E8E">
        <w:rPr>
          <w:color w:val="000000" w:themeColor="text1"/>
          <w:sz w:val="24"/>
          <w:szCs w:val="24"/>
        </w:rPr>
        <w:t>》标准草案。</w:t>
      </w:r>
    </w:p>
    <w:p w:rsidR="001122F7" w:rsidRPr="00C22E59" w:rsidRDefault="00654D1E" w:rsidP="001122F7">
      <w:pPr>
        <w:spacing w:line="360" w:lineRule="auto"/>
        <w:ind w:firstLine="420"/>
        <w:rPr>
          <w:bCs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健康家居专委会</w:t>
      </w:r>
      <w:r w:rsidRPr="00D55E8E">
        <w:rPr>
          <w:color w:val="000000" w:themeColor="text1"/>
          <w:sz w:val="24"/>
          <w:szCs w:val="24"/>
        </w:rPr>
        <w:t>于</w:t>
      </w:r>
      <w:r w:rsidRPr="00D55E8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2</w:t>
      </w:r>
      <w:r w:rsidRPr="00D55E8E">
        <w:rPr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11</w:t>
      </w:r>
      <w:r w:rsidRPr="00D55E8E">
        <w:rPr>
          <w:color w:val="000000" w:themeColor="text1"/>
          <w:sz w:val="24"/>
          <w:szCs w:val="24"/>
        </w:rPr>
        <w:t>月</w:t>
      </w:r>
      <w:r w:rsidR="001122F7">
        <w:rPr>
          <w:rFonts w:hint="eastAsia"/>
          <w:sz w:val="24"/>
          <w:szCs w:val="24"/>
        </w:rPr>
        <w:t>在线上</w:t>
      </w:r>
      <w:r w:rsidR="001122F7" w:rsidRPr="00C22E59">
        <w:rPr>
          <w:sz w:val="24"/>
          <w:szCs w:val="24"/>
        </w:rPr>
        <w:t>召开该项标准制定工作启动会议暨第一次标准讨论会。</w:t>
      </w:r>
      <w:r w:rsidR="001122F7">
        <w:rPr>
          <w:rFonts w:hint="eastAsia"/>
          <w:sz w:val="24"/>
          <w:szCs w:val="24"/>
        </w:rPr>
        <w:t>会</w:t>
      </w:r>
      <w:r w:rsidR="001122F7" w:rsidRPr="00727A6C">
        <w:rPr>
          <w:sz w:val="24"/>
          <w:szCs w:val="24"/>
        </w:rPr>
        <w:t>议通过了工作组的组成，宣布</w:t>
      </w:r>
      <w:r w:rsidR="001122F7" w:rsidRPr="00727A6C">
        <w:rPr>
          <w:bCs/>
          <w:sz w:val="24"/>
          <w:szCs w:val="24"/>
        </w:rPr>
        <w:t>标准</w:t>
      </w:r>
      <w:r w:rsidR="001122F7" w:rsidRPr="00C22E59">
        <w:rPr>
          <w:bCs/>
          <w:sz w:val="24"/>
          <w:szCs w:val="24"/>
        </w:rPr>
        <w:t>制订工作正式启动。会议</w:t>
      </w:r>
      <w:r w:rsidR="008959D9">
        <w:rPr>
          <w:rFonts w:hint="eastAsia"/>
          <w:bCs/>
          <w:sz w:val="24"/>
          <w:szCs w:val="24"/>
        </w:rPr>
        <w:t>对</w:t>
      </w:r>
      <w:r w:rsidR="008959D9">
        <w:rPr>
          <w:bCs/>
          <w:sz w:val="24"/>
          <w:szCs w:val="24"/>
        </w:rPr>
        <w:t>标准的术语和定义、要</w:t>
      </w:r>
      <w:r w:rsidR="008959D9">
        <w:rPr>
          <w:rFonts w:hint="eastAsia"/>
          <w:bCs/>
          <w:sz w:val="24"/>
          <w:szCs w:val="24"/>
        </w:rPr>
        <w:t>求</w:t>
      </w:r>
      <w:r w:rsidR="008959D9">
        <w:rPr>
          <w:bCs/>
          <w:sz w:val="24"/>
          <w:szCs w:val="24"/>
        </w:rPr>
        <w:t>、</w:t>
      </w:r>
      <w:r w:rsidR="008959D9">
        <w:rPr>
          <w:rFonts w:hint="eastAsia"/>
          <w:bCs/>
          <w:sz w:val="24"/>
          <w:szCs w:val="24"/>
        </w:rPr>
        <w:t>试验</w:t>
      </w:r>
      <w:r w:rsidR="008959D9">
        <w:rPr>
          <w:bCs/>
          <w:sz w:val="24"/>
          <w:szCs w:val="24"/>
        </w:rPr>
        <w:t>方法</w:t>
      </w:r>
      <w:r w:rsidR="008959D9">
        <w:rPr>
          <w:rFonts w:hint="eastAsia"/>
          <w:bCs/>
          <w:sz w:val="24"/>
          <w:szCs w:val="24"/>
        </w:rPr>
        <w:t>进行了讨论</w:t>
      </w:r>
      <w:r w:rsidR="008959D9">
        <w:rPr>
          <w:bCs/>
          <w:sz w:val="24"/>
          <w:szCs w:val="24"/>
        </w:rPr>
        <w:t>，确定了</w:t>
      </w:r>
      <w:r w:rsidR="001122F7" w:rsidRPr="00C22E59">
        <w:rPr>
          <w:bCs/>
          <w:sz w:val="24"/>
          <w:szCs w:val="24"/>
        </w:rPr>
        <w:t>的框架结构</w:t>
      </w:r>
      <w:r w:rsidR="008959D9">
        <w:rPr>
          <w:rFonts w:hint="eastAsia"/>
          <w:bCs/>
          <w:sz w:val="24"/>
          <w:szCs w:val="24"/>
        </w:rPr>
        <w:t>和</w:t>
      </w:r>
      <w:r w:rsidR="008959D9">
        <w:rPr>
          <w:bCs/>
          <w:sz w:val="24"/>
          <w:szCs w:val="24"/>
        </w:rPr>
        <w:t>工作方案</w:t>
      </w:r>
      <w:r w:rsidR="001122F7" w:rsidRPr="00C22E59">
        <w:rPr>
          <w:bCs/>
          <w:sz w:val="24"/>
          <w:szCs w:val="24"/>
        </w:rPr>
        <w:t>，</w:t>
      </w:r>
      <w:r w:rsidR="008959D9">
        <w:rPr>
          <w:rFonts w:hint="eastAsia"/>
          <w:bCs/>
          <w:sz w:val="24"/>
          <w:szCs w:val="24"/>
        </w:rPr>
        <w:t>并对</w:t>
      </w:r>
      <w:r w:rsidR="008959D9">
        <w:rPr>
          <w:bCs/>
          <w:sz w:val="24"/>
          <w:szCs w:val="24"/>
        </w:rPr>
        <w:t>标准中的</w:t>
      </w:r>
      <w:r w:rsidR="008959D9">
        <w:rPr>
          <w:rFonts w:hint="eastAsia"/>
          <w:bCs/>
          <w:sz w:val="24"/>
          <w:szCs w:val="24"/>
        </w:rPr>
        <w:t>术语和</w:t>
      </w:r>
      <w:r w:rsidR="008959D9">
        <w:rPr>
          <w:bCs/>
          <w:sz w:val="24"/>
          <w:szCs w:val="24"/>
        </w:rPr>
        <w:t>定义进行了讨论和修改，</w:t>
      </w:r>
      <w:r w:rsidR="008959D9">
        <w:rPr>
          <w:rFonts w:hint="eastAsia"/>
          <w:bCs/>
          <w:sz w:val="24"/>
          <w:szCs w:val="24"/>
        </w:rPr>
        <w:t>对</w:t>
      </w:r>
      <w:r w:rsidR="008959D9">
        <w:rPr>
          <w:bCs/>
          <w:sz w:val="24"/>
          <w:szCs w:val="24"/>
        </w:rPr>
        <w:t>标准中的一些表述进行了</w:t>
      </w:r>
      <w:r w:rsidR="008959D9">
        <w:rPr>
          <w:rFonts w:hint="eastAsia"/>
          <w:bCs/>
          <w:sz w:val="24"/>
          <w:szCs w:val="24"/>
        </w:rPr>
        <w:t>规范化</w:t>
      </w:r>
      <w:r w:rsidR="008959D9">
        <w:rPr>
          <w:bCs/>
          <w:sz w:val="24"/>
          <w:szCs w:val="24"/>
        </w:rPr>
        <w:t>处理</w:t>
      </w:r>
      <w:r w:rsidR="008959D9">
        <w:rPr>
          <w:rFonts w:hint="eastAsia"/>
          <w:bCs/>
          <w:sz w:val="24"/>
          <w:szCs w:val="24"/>
        </w:rPr>
        <w:t>，</w:t>
      </w:r>
      <w:r w:rsidR="008959D9">
        <w:rPr>
          <w:bCs/>
          <w:sz w:val="24"/>
          <w:szCs w:val="24"/>
        </w:rPr>
        <w:t>会议最后</w:t>
      </w:r>
      <w:r w:rsidR="001122F7" w:rsidRPr="00C22E59">
        <w:rPr>
          <w:bCs/>
          <w:sz w:val="24"/>
          <w:szCs w:val="24"/>
        </w:rPr>
        <w:t>明确</w:t>
      </w:r>
      <w:r w:rsidR="008959D9">
        <w:rPr>
          <w:rFonts w:hint="eastAsia"/>
          <w:bCs/>
          <w:sz w:val="24"/>
          <w:szCs w:val="24"/>
        </w:rPr>
        <w:t>了各</w:t>
      </w:r>
      <w:r w:rsidR="001122F7" w:rsidRPr="00C22E59">
        <w:rPr>
          <w:bCs/>
          <w:sz w:val="24"/>
          <w:szCs w:val="24"/>
        </w:rPr>
        <w:t>工作组各单位的工作分工，以及会后的具体工作安排。</w:t>
      </w:r>
    </w:p>
    <w:p w:rsidR="001122F7" w:rsidRPr="00C22E59" w:rsidRDefault="001122F7" w:rsidP="001122F7">
      <w:pPr>
        <w:spacing w:line="360" w:lineRule="auto"/>
        <w:ind w:firstLine="420"/>
        <w:rPr>
          <w:sz w:val="24"/>
          <w:szCs w:val="24"/>
        </w:rPr>
      </w:pPr>
      <w:r w:rsidRPr="00C22E59">
        <w:rPr>
          <w:sz w:val="24"/>
          <w:szCs w:val="24"/>
        </w:rPr>
        <w:t>20</w:t>
      </w:r>
      <w:r w:rsidR="008959D9">
        <w:rPr>
          <w:sz w:val="24"/>
          <w:szCs w:val="24"/>
        </w:rPr>
        <w:t>22</w:t>
      </w:r>
      <w:r w:rsidRPr="00C22E59">
        <w:rPr>
          <w:sz w:val="24"/>
          <w:szCs w:val="24"/>
        </w:rPr>
        <w:t>年</w:t>
      </w:r>
      <w:r w:rsidR="008959D9">
        <w:rPr>
          <w:sz w:val="24"/>
          <w:szCs w:val="24"/>
        </w:rPr>
        <w:t>12</w:t>
      </w:r>
      <w:r w:rsidRPr="00C22E59">
        <w:rPr>
          <w:sz w:val="24"/>
          <w:szCs w:val="24"/>
        </w:rPr>
        <w:t>月</w:t>
      </w:r>
      <w:r w:rsidR="008959D9">
        <w:rPr>
          <w:sz w:val="24"/>
          <w:szCs w:val="24"/>
        </w:rPr>
        <w:t>18</w:t>
      </w:r>
      <w:r w:rsidRPr="00C22E59">
        <w:rPr>
          <w:sz w:val="24"/>
          <w:szCs w:val="24"/>
        </w:rPr>
        <w:t>日</w:t>
      </w:r>
      <w:r w:rsidR="008959D9">
        <w:rPr>
          <w:rFonts w:hint="eastAsia"/>
          <w:sz w:val="24"/>
          <w:szCs w:val="24"/>
        </w:rPr>
        <w:t>在线上</w:t>
      </w:r>
      <w:r w:rsidRPr="00C22E59">
        <w:rPr>
          <w:sz w:val="24"/>
          <w:szCs w:val="24"/>
        </w:rPr>
        <w:t>召开了第二次讨论会，会议根据第一次会议后收集的工作组成员意见，讨论和修改了标准草案，与会专家、参编企业代表针对标准的</w:t>
      </w:r>
      <w:r w:rsidR="00AC0F41">
        <w:rPr>
          <w:rFonts w:hint="eastAsia"/>
          <w:sz w:val="24"/>
          <w:szCs w:val="24"/>
        </w:rPr>
        <w:t>结构、</w:t>
      </w:r>
      <w:r w:rsidR="00AC0F41">
        <w:rPr>
          <w:sz w:val="24"/>
          <w:szCs w:val="24"/>
        </w:rPr>
        <w:t>试验方法</w:t>
      </w:r>
      <w:r w:rsidRPr="00C22E59">
        <w:rPr>
          <w:sz w:val="24"/>
          <w:szCs w:val="24"/>
        </w:rPr>
        <w:t>等内容上存在的问题及存在争议的部分进行了深入的交流与讨论，整体上和细节上梳理、确定了标准的内容。</w:t>
      </w:r>
    </w:p>
    <w:p w:rsidR="001122F7" w:rsidRPr="00C22E59" w:rsidRDefault="001122F7" w:rsidP="001122F7">
      <w:pPr>
        <w:spacing w:line="360" w:lineRule="auto"/>
        <w:ind w:firstLine="420"/>
        <w:rPr>
          <w:sz w:val="24"/>
          <w:szCs w:val="24"/>
        </w:rPr>
      </w:pPr>
      <w:r w:rsidRPr="00C22E59">
        <w:rPr>
          <w:sz w:val="24"/>
          <w:szCs w:val="24"/>
        </w:rPr>
        <w:t>经过上述两次会议和会后进一步整理、在工作组内再次征求意见，形成了标准（</w:t>
      </w:r>
      <w:r w:rsidR="00AC0F41">
        <w:rPr>
          <w:rFonts w:hint="eastAsia"/>
          <w:sz w:val="24"/>
          <w:szCs w:val="24"/>
        </w:rPr>
        <w:t>征求意见</w:t>
      </w:r>
      <w:r w:rsidRPr="00C22E59">
        <w:rPr>
          <w:sz w:val="24"/>
          <w:szCs w:val="24"/>
        </w:rPr>
        <w:t>稿）</w:t>
      </w:r>
    </w:p>
    <w:p w:rsidR="001122F7" w:rsidRPr="00654D1E" w:rsidRDefault="001122F7" w:rsidP="00654D1E">
      <w:pPr>
        <w:spacing w:line="360" w:lineRule="auto"/>
        <w:ind w:firstLineChars="200" w:firstLine="482"/>
        <w:rPr>
          <w:b/>
          <w:sz w:val="24"/>
          <w:szCs w:val="24"/>
        </w:rPr>
      </w:pPr>
      <w:r w:rsidRPr="00654D1E">
        <w:rPr>
          <w:b/>
          <w:sz w:val="24"/>
          <w:szCs w:val="24"/>
        </w:rPr>
        <w:t>征求意见阶段</w:t>
      </w:r>
    </w:p>
    <w:p w:rsidR="004C47ED" w:rsidRPr="00654D1E" w:rsidRDefault="00654D1E" w:rsidP="00654D1E">
      <w:pPr>
        <w:tabs>
          <w:tab w:val="right" w:pos="9542"/>
        </w:tabs>
        <w:spacing w:line="360" w:lineRule="auto"/>
        <w:ind w:firstLineChars="200" w:firstLine="480"/>
        <w:rPr>
          <w:rFonts w:hint="eastAsia"/>
          <w:sz w:val="24"/>
        </w:rPr>
      </w:pPr>
      <w:r w:rsidRPr="002574C5">
        <w:rPr>
          <w:rFonts w:hint="eastAsia"/>
          <w:color w:val="000000" w:themeColor="text1"/>
          <w:sz w:val="24"/>
          <w:szCs w:val="24"/>
        </w:rPr>
        <w:t>经起草工作组组长单位</w:t>
      </w:r>
      <w:r w:rsidRPr="002574C5">
        <w:rPr>
          <w:rFonts w:hint="eastAsia"/>
          <w:color w:val="000000" w:themeColor="text1"/>
          <w:sz w:val="24"/>
          <w:szCs w:val="24"/>
        </w:rPr>
        <w:t>-</w:t>
      </w:r>
      <w:r w:rsidRPr="002574C5">
        <w:rPr>
          <w:rFonts w:hint="eastAsia"/>
          <w:color w:val="000000" w:themeColor="text1"/>
          <w:sz w:val="24"/>
          <w:szCs w:val="24"/>
        </w:rPr>
        <w:t>中国家用电器研究院审核，并报家电标委会同意后，</w:t>
      </w:r>
      <w:r>
        <w:rPr>
          <w:rFonts w:hint="eastAsia"/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3</w:t>
      </w:r>
      <w:r w:rsidRPr="002574C5">
        <w:rPr>
          <w:rFonts w:hint="eastAsia"/>
          <w:color w:val="000000" w:themeColor="text1"/>
          <w:sz w:val="24"/>
          <w:szCs w:val="24"/>
        </w:rPr>
        <w:t>年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月，工作组将标准“征求意见稿”发至健康家居专委会</w:t>
      </w:r>
      <w:r w:rsidRPr="002574C5">
        <w:rPr>
          <w:rFonts w:hint="eastAsia"/>
          <w:color w:val="000000" w:themeColor="text1"/>
          <w:sz w:val="24"/>
          <w:szCs w:val="24"/>
        </w:rPr>
        <w:t>及行业有关单</w:t>
      </w:r>
      <w:r w:rsidRPr="002574C5">
        <w:rPr>
          <w:rFonts w:hint="eastAsia"/>
          <w:color w:val="000000" w:themeColor="text1"/>
          <w:sz w:val="24"/>
          <w:szCs w:val="24"/>
        </w:rPr>
        <w:lastRenderedPageBreak/>
        <w:t>位</w:t>
      </w:r>
      <w:r>
        <w:rPr>
          <w:rFonts w:hint="eastAsia"/>
          <w:color w:val="000000" w:themeColor="text1"/>
          <w:sz w:val="24"/>
          <w:szCs w:val="24"/>
        </w:rPr>
        <w:t>通过</w:t>
      </w:r>
      <w:r>
        <w:rPr>
          <w:color w:val="000000" w:themeColor="text1"/>
          <w:sz w:val="24"/>
          <w:szCs w:val="24"/>
        </w:rPr>
        <w:t>邮件、网站等方式</w:t>
      </w:r>
      <w:r w:rsidRPr="002574C5">
        <w:rPr>
          <w:rFonts w:hint="eastAsia"/>
          <w:color w:val="000000" w:themeColor="text1"/>
          <w:sz w:val="24"/>
          <w:szCs w:val="24"/>
        </w:rPr>
        <w:t>广泛征求意见。</w:t>
      </w:r>
    </w:p>
    <w:p w:rsidR="009C2389" w:rsidRPr="002574C5" w:rsidRDefault="009C2389" w:rsidP="001D2080">
      <w:pPr>
        <w:widowControl/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4"/>
          <w:szCs w:val="24"/>
        </w:rPr>
      </w:pPr>
      <w:r w:rsidRPr="002574C5">
        <w:rPr>
          <w:rFonts w:ascii="宋体" w:hAnsi="宋体" w:hint="eastAsia"/>
          <w:b/>
          <w:color w:val="000000" w:themeColor="text1"/>
          <w:sz w:val="24"/>
          <w:szCs w:val="24"/>
        </w:rPr>
        <w:t>二、标准编制原则和</w:t>
      </w:r>
      <w:r w:rsidR="005F7516" w:rsidRPr="002574C5">
        <w:rPr>
          <w:rFonts w:ascii="宋体" w:hAnsi="宋体" w:hint="eastAsia"/>
          <w:b/>
          <w:color w:val="000000" w:themeColor="text1"/>
          <w:sz w:val="24"/>
          <w:szCs w:val="24"/>
        </w:rPr>
        <w:t>主要内容</w:t>
      </w:r>
    </w:p>
    <w:p w:rsidR="009C2389" w:rsidRPr="002574C5" w:rsidRDefault="009C2389" w:rsidP="005F7516">
      <w:pPr>
        <w:tabs>
          <w:tab w:val="right" w:pos="9542"/>
        </w:tabs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2574C5">
        <w:rPr>
          <w:color w:val="000000" w:themeColor="text1"/>
          <w:sz w:val="24"/>
          <w:szCs w:val="24"/>
        </w:rPr>
        <w:t>1</w:t>
      </w:r>
      <w:r w:rsidR="000C63F8" w:rsidRPr="002574C5">
        <w:rPr>
          <w:rFonts w:hAnsi="Arial"/>
          <w:color w:val="000000" w:themeColor="text1"/>
          <w:sz w:val="24"/>
          <w:szCs w:val="24"/>
        </w:rPr>
        <w:t>、</w:t>
      </w:r>
      <w:r w:rsidRPr="002574C5">
        <w:rPr>
          <w:rFonts w:hAnsi="Arial"/>
          <w:color w:val="000000" w:themeColor="text1"/>
          <w:sz w:val="24"/>
          <w:szCs w:val="24"/>
        </w:rPr>
        <w:t>编制原则</w:t>
      </w:r>
    </w:p>
    <w:p w:rsidR="00226269" w:rsidRPr="00F06210" w:rsidRDefault="00F06210" w:rsidP="00226269">
      <w:pPr>
        <w:tabs>
          <w:tab w:val="right" w:pos="9542"/>
        </w:tabs>
        <w:spacing w:line="360" w:lineRule="auto"/>
        <w:ind w:firstLineChars="200" w:firstLine="480"/>
        <w:rPr>
          <w:rFonts w:hAnsi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本文件</w:t>
      </w:r>
      <w:r w:rsidR="00226269" w:rsidRPr="002574C5">
        <w:rPr>
          <w:rFonts w:ascii="Arial" w:hAnsi="Arial" w:cs="Arial" w:hint="eastAsia"/>
          <w:color w:val="000000" w:themeColor="text1"/>
          <w:sz w:val="24"/>
          <w:szCs w:val="24"/>
        </w:rPr>
        <w:t>依</w:t>
      </w:r>
      <w:r w:rsidR="00226269" w:rsidRPr="002574C5">
        <w:rPr>
          <w:rFonts w:hAnsi="Arial"/>
          <w:color w:val="000000" w:themeColor="text1"/>
          <w:sz w:val="24"/>
          <w:szCs w:val="24"/>
        </w:rPr>
        <w:t>据</w:t>
      </w:r>
      <w:r w:rsidR="00226269" w:rsidRPr="002574C5">
        <w:rPr>
          <w:color w:val="000000" w:themeColor="text1"/>
          <w:sz w:val="24"/>
          <w:szCs w:val="24"/>
        </w:rPr>
        <w:t>GB/T</w:t>
      </w:r>
      <w:r w:rsidR="00226269">
        <w:rPr>
          <w:rFonts w:hint="eastAsia"/>
          <w:color w:val="000000" w:themeColor="text1"/>
          <w:sz w:val="24"/>
          <w:szCs w:val="24"/>
        </w:rPr>
        <w:t xml:space="preserve"> </w:t>
      </w:r>
      <w:r w:rsidR="00226269" w:rsidRPr="002574C5">
        <w:rPr>
          <w:color w:val="000000" w:themeColor="text1"/>
          <w:sz w:val="24"/>
          <w:szCs w:val="24"/>
        </w:rPr>
        <w:t>1.1</w:t>
      </w:r>
      <w:r>
        <w:rPr>
          <w:color w:val="000000" w:themeColor="text1"/>
          <w:sz w:val="24"/>
          <w:szCs w:val="24"/>
        </w:rPr>
        <w:t>-2020</w:t>
      </w:r>
      <w:r w:rsidR="00226269" w:rsidRPr="002574C5">
        <w:rPr>
          <w:rFonts w:hAnsi="Arial"/>
          <w:color w:val="000000" w:themeColor="text1"/>
          <w:sz w:val="24"/>
          <w:szCs w:val="24"/>
        </w:rPr>
        <w:t>《标准化工作导则</w:t>
      </w:r>
      <w:r>
        <w:rPr>
          <w:rFonts w:hAnsi="Arial" w:hint="eastAsia"/>
          <w:color w:val="000000" w:themeColor="text1"/>
          <w:sz w:val="24"/>
          <w:szCs w:val="24"/>
        </w:rPr>
        <w:t xml:space="preserve"> </w:t>
      </w:r>
      <w:r w:rsidR="00226269" w:rsidRPr="002574C5">
        <w:rPr>
          <w:rFonts w:hAnsi="Arial"/>
          <w:color w:val="000000" w:themeColor="text1"/>
          <w:sz w:val="24"/>
          <w:szCs w:val="24"/>
        </w:rPr>
        <w:t>第</w:t>
      </w:r>
      <w:r w:rsidR="00226269" w:rsidRPr="002574C5">
        <w:rPr>
          <w:color w:val="000000" w:themeColor="text1"/>
          <w:sz w:val="24"/>
          <w:szCs w:val="24"/>
        </w:rPr>
        <w:t>1</w:t>
      </w:r>
      <w:r w:rsidR="00226269" w:rsidRPr="002574C5">
        <w:rPr>
          <w:rFonts w:ascii="Arial" w:hAnsi="Arial" w:cs="Arial" w:hint="eastAsia"/>
          <w:color w:val="000000" w:themeColor="text1"/>
          <w:sz w:val="24"/>
          <w:szCs w:val="24"/>
        </w:rPr>
        <w:t>部</w:t>
      </w:r>
      <w:r w:rsidR="00226269" w:rsidRPr="00F06210">
        <w:rPr>
          <w:rFonts w:hAnsi="Arial" w:hint="eastAsia"/>
          <w:color w:val="000000" w:themeColor="text1"/>
          <w:sz w:val="24"/>
          <w:szCs w:val="24"/>
        </w:rPr>
        <w:t>分：</w:t>
      </w:r>
      <w:r w:rsidRPr="00F06210">
        <w:rPr>
          <w:rFonts w:hAnsi="Arial"/>
          <w:color w:val="000000" w:themeColor="text1"/>
          <w:sz w:val="24"/>
          <w:szCs w:val="24"/>
        </w:rPr>
        <w:t>标准化文件的结构和起草规则</w:t>
      </w:r>
      <w:r w:rsidR="00226269" w:rsidRPr="00F06210">
        <w:rPr>
          <w:rFonts w:hAnsi="Arial" w:hint="eastAsia"/>
          <w:color w:val="000000" w:themeColor="text1"/>
          <w:sz w:val="24"/>
          <w:szCs w:val="24"/>
        </w:rPr>
        <w:t>》编制。</w:t>
      </w:r>
    </w:p>
    <w:p w:rsidR="00226269" w:rsidRPr="002574C5" w:rsidRDefault="00226269" w:rsidP="00226269">
      <w:pPr>
        <w:spacing w:line="360" w:lineRule="auto"/>
        <w:ind w:firstLineChars="200" w:firstLine="480"/>
        <w:rPr>
          <w:rFonts w:ascii="??" w:hAnsi="??" w:cs="宋体"/>
          <w:color w:val="000000" w:themeColor="text1"/>
          <w:kern w:val="0"/>
          <w:sz w:val="16"/>
          <w:szCs w:val="16"/>
        </w:rPr>
      </w:pP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在编制标准过程中，起草工作组充分考虑到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产品</w:t>
      </w:r>
      <w:r>
        <w:rPr>
          <w:rFonts w:ascii="Arial" w:hAnsi="Arial" w:cs="Arial"/>
          <w:color w:val="000000" w:themeColor="text1"/>
          <w:sz w:val="24"/>
          <w:szCs w:val="24"/>
        </w:rPr>
        <w:t>的特性</w:t>
      </w: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，</w:t>
      </w:r>
      <w:r w:rsidRPr="002574C5">
        <w:rPr>
          <w:rFonts w:hAnsi="Arial"/>
          <w:color w:val="000000" w:themeColor="text1"/>
          <w:sz w:val="24"/>
          <w:szCs w:val="24"/>
        </w:rPr>
        <w:t>并</w:t>
      </w:r>
      <w:r w:rsidRPr="002574C5">
        <w:rPr>
          <w:rFonts w:hAnsi="Arial" w:hint="eastAsia"/>
          <w:color w:val="000000" w:themeColor="text1"/>
          <w:sz w:val="24"/>
          <w:szCs w:val="24"/>
        </w:rPr>
        <w:t>结合</w:t>
      </w:r>
      <w:r>
        <w:rPr>
          <w:rFonts w:hAnsi="Arial" w:hint="eastAsia"/>
          <w:color w:val="000000" w:themeColor="text1"/>
          <w:sz w:val="24"/>
          <w:szCs w:val="24"/>
        </w:rPr>
        <w:t>市场推广</w:t>
      </w:r>
      <w:r>
        <w:rPr>
          <w:rFonts w:hAnsi="Arial"/>
          <w:color w:val="000000" w:themeColor="text1"/>
          <w:sz w:val="24"/>
          <w:szCs w:val="24"/>
        </w:rPr>
        <w:t>、监督和消费者</w:t>
      </w:r>
      <w:r w:rsidRPr="002574C5">
        <w:rPr>
          <w:rFonts w:hAnsi="Arial" w:hint="eastAsia"/>
          <w:color w:val="000000" w:themeColor="text1"/>
          <w:sz w:val="24"/>
          <w:szCs w:val="24"/>
        </w:rPr>
        <w:t>的</w:t>
      </w:r>
      <w:r w:rsidRPr="002574C5">
        <w:rPr>
          <w:rFonts w:hAnsi="Arial"/>
          <w:color w:val="000000" w:themeColor="text1"/>
          <w:sz w:val="24"/>
          <w:szCs w:val="24"/>
        </w:rPr>
        <w:t>实际情况；同</w:t>
      </w: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时，也考虑了标准中涉及的各项技术指标应满足的实际要求，力求针对性突出，所定的技术规范内容尽量合理。</w:t>
      </w:r>
    </w:p>
    <w:p w:rsidR="00D5684B" w:rsidRPr="00226269" w:rsidRDefault="00226269" w:rsidP="00D5684B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本标准的技术要求涉及的内容均为目前</w:t>
      </w:r>
      <w:r w:rsidR="005C1703">
        <w:rPr>
          <w:rFonts w:ascii="Arial" w:hAnsi="Arial" w:cs="Arial" w:hint="eastAsia"/>
          <w:color w:val="000000" w:themeColor="text1"/>
          <w:sz w:val="24"/>
          <w:szCs w:val="24"/>
        </w:rPr>
        <w:t>食具消毒柜</w:t>
      </w: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生产企业的技术水平所认同和接受。</w:t>
      </w:r>
    </w:p>
    <w:p w:rsidR="009C2389" w:rsidRPr="00E35E75" w:rsidRDefault="009C2389" w:rsidP="005F7516">
      <w:pPr>
        <w:tabs>
          <w:tab w:val="right" w:pos="9542"/>
        </w:tabs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E35E75">
        <w:rPr>
          <w:rFonts w:ascii="Arial" w:hAnsi="Arial" w:cs="Arial"/>
          <w:color w:val="000000" w:themeColor="text1"/>
          <w:sz w:val="24"/>
          <w:szCs w:val="24"/>
        </w:rPr>
        <w:t>2</w:t>
      </w:r>
      <w:r w:rsidR="000C63F8" w:rsidRPr="00E35E75">
        <w:rPr>
          <w:rFonts w:ascii="Arial" w:hAnsi="Arial" w:cs="Arial"/>
          <w:color w:val="000000" w:themeColor="text1"/>
          <w:sz w:val="24"/>
          <w:szCs w:val="24"/>
        </w:rPr>
        <w:t>、</w:t>
      </w:r>
      <w:r w:rsidRPr="00E35E75">
        <w:rPr>
          <w:rFonts w:ascii="Arial" w:hAnsi="Arial" w:cs="Arial"/>
          <w:color w:val="000000" w:themeColor="text1"/>
          <w:sz w:val="24"/>
          <w:szCs w:val="24"/>
        </w:rPr>
        <w:t>主要内容</w:t>
      </w:r>
    </w:p>
    <w:p w:rsidR="00226269" w:rsidRPr="002574C5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E35E75">
        <w:rPr>
          <w:rFonts w:ascii="Arial" w:hAnsi="Arial" w:cs="Arial" w:hint="eastAsia"/>
          <w:color w:val="000000" w:themeColor="text1"/>
          <w:sz w:val="24"/>
          <w:szCs w:val="24"/>
        </w:rPr>
        <w:t>该标准针对</w:t>
      </w:r>
      <w:r w:rsidR="00AC0F41">
        <w:rPr>
          <w:rFonts w:ascii="Arial" w:hAnsi="Arial" w:cs="Arial" w:hint="eastAsia"/>
          <w:color w:val="000000" w:themeColor="text1"/>
          <w:sz w:val="24"/>
          <w:szCs w:val="24"/>
        </w:rPr>
        <w:t>家用和</w:t>
      </w:r>
      <w:r w:rsidR="00AC0F41">
        <w:rPr>
          <w:rFonts w:ascii="Arial" w:hAnsi="Arial" w:cs="Arial"/>
          <w:color w:val="000000" w:themeColor="text1"/>
          <w:sz w:val="24"/>
          <w:szCs w:val="24"/>
        </w:rPr>
        <w:t>类似用途电器中使用的材料、零部件</w:t>
      </w:r>
      <w:r w:rsidRPr="00E35E75">
        <w:rPr>
          <w:rFonts w:ascii="Arial" w:hAnsi="Arial" w:cs="Arial" w:hint="eastAsia"/>
          <w:color w:val="000000" w:themeColor="text1"/>
          <w:sz w:val="24"/>
          <w:szCs w:val="24"/>
        </w:rPr>
        <w:t>提出了</w:t>
      </w:r>
      <w:r w:rsidR="00AC0F41">
        <w:rPr>
          <w:rFonts w:ascii="Arial" w:hAnsi="Arial" w:cs="Arial" w:hint="eastAsia"/>
          <w:color w:val="000000" w:themeColor="text1"/>
          <w:sz w:val="24"/>
          <w:szCs w:val="24"/>
        </w:rPr>
        <w:t>抗过敏原性能</w:t>
      </w:r>
      <w:r w:rsidR="006221CD" w:rsidRPr="00E35E75">
        <w:rPr>
          <w:rFonts w:ascii="Arial" w:hAnsi="Arial" w:cs="Arial" w:hint="eastAsia"/>
          <w:color w:val="000000" w:themeColor="text1"/>
          <w:sz w:val="24"/>
          <w:szCs w:val="24"/>
        </w:rPr>
        <w:t>试验方法</w:t>
      </w:r>
      <w:r w:rsidRPr="00E35E75">
        <w:rPr>
          <w:rFonts w:ascii="Arial" w:hAnsi="Arial" w:cs="Arial" w:hint="eastAsia"/>
          <w:color w:val="000000" w:themeColor="text1"/>
          <w:sz w:val="24"/>
          <w:szCs w:val="24"/>
        </w:rPr>
        <w:t>，并</w:t>
      </w:r>
      <w:r w:rsidRPr="002574C5">
        <w:rPr>
          <w:rFonts w:hint="eastAsia"/>
          <w:color w:val="000000" w:themeColor="text1"/>
          <w:sz w:val="24"/>
          <w:szCs w:val="24"/>
        </w:rPr>
        <w:t>以此作为标准的适用范围；</w:t>
      </w:r>
      <w:r w:rsidR="00AC0F41">
        <w:rPr>
          <w:rFonts w:hint="eastAsia"/>
          <w:color w:val="000000" w:themeColor="text1"/>
          <w:sz w:val="24"/>
          <w:szCs w:val="24"/>
        </w:rPr>
        <w:t>并以此</w:t>
      </w:r>
      <w:r w:rsidR="00AC0F41">
        <w:rPr>
          <w:color w:val="000000" w:themeColor="text1"/>
          <w:sz w:val="24"/>
          <w:szCs w:val="24"/>
        </w:rPr>
        <w:t>提出了抗过敏原</w:t>
      </w: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指标。</w:t>
      </w:r>
    </w:p>
    <w:p w:rsidR="00226269" w:rsidRPr="002574C5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本标准的具体内容包括：</w:t>
      </w:r>
    </w:p>
    <w:p w:rsidR="00226269" w:rsidRPr="002574C5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2574C5">
        <w:rPr>
          <w:rFonts w:hint="eastAsia"/>
          <w:color w:val="000000" w:themeColor="text1"/>
          <w:sz w:val="24"/>
          <w:szCs w:val="24"/>
        </w:rPr>
        <w:t>1</w:t>
      </w:r>
      <w:r w:rsidRPr="002574C5">
        <w:rPr>
          <w:rFonts w:hint="eastAsia"/>
          <w:color w:val="000000" w:themeColor="text1"/>
          <w:sz w:val="24"/>
          <w:szCs w:val="24"/>
        </w:rPr>
        <w:t>）术语和定义</w:t>
      </w:r>
    </w:p>
    <w:p w:rsidR="00226269" w:rsidRPr="002574C5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2574C5">
        <w:rPr>
          <w:rFonts w:hint="eastAsia"/>
          <w:color w:val="000000" w:themeColor="text1"/>
          <w:sz w:val="24"/>
          <w:szCs w:val="24"/>
        </w:rPr>
        <w:t>提出了“</w:t>
      </w:r>
      <w:r w:rsidR="00A359C8">
        <w:rPr>
          <w:rFonts w:hint="eastAsia"/>
          <w:color w:val="000000" w:themeColor="text1"/>
          <w:sz w:val="24"/>
          <w:szCs w:val="24"/>
        </w:rPr>
        <w:t>过敏原</w:t>
      </w:r>
      <w:r w:rsidRPr="002574C5">
        <w:rPr>
          <w:rFonts w:hint="eastAsia"/>
          <w:color w:val="000000" w:themeColor="text1"/>
          <w:sz w:val="24"/>
          <w:szCs w:val="24"/>
        </w:rPr>
        <w:t>”、“</w:t>
      </w:r>
      <w:r w:rsidR="00A359C8">
        <w:rPr>
          <w:rFonts w:hint="eastAsia"/>
          <w:color w:val="000000" w:themeColor="text1"/>
          <w:sz w:val="24"/>
          <w:szCs w:val="24"/>
        </w:rPr>
        <w:t>抗过敏原</w:t>
      </w:r>
      <w:r w:rsidRPr="002574C5">
        <w:rPr>
          <w:rFonts w:hint="eastAsia"/>
          <w:color w:val="000000" w:themeColor="text1"/>
          <w:sz w:val="24"/>
          <w:szCs w:val="24"/>
        </w:rPr>
        <w:t>”、“</w:t>
      </w:r>
      <w:r w:rsidR="00A359C8">
        <w:rPr>
          <w:rFonts w:hint="eastAsia"/>
          <w:color w:val="000000" w:themeColor="text1"/>
          <w:sz w:val="24"/>
          <w:szCs w:val="24"/>
        </w:rPr>
        <w:t>抗过敏原率</w:t>
      </w:r>
      <w:r w:rsidRPr="002574C5">
        <w:rPr>
          <w:rFonts w:hint="eastAsia"/>
          <w:color w:val="000000" w:themeColor="text1"/>
          <w:sz w:val="24"/>
          <w:szCs w:val="24"/>
        </w:rPr>
        <w:t>”等术语和定义。</w:t>
      </w:r>
    </w:p>
    <w:p w:rsidR="00226269" w:rsidRPr="002574C5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2574C5">
        <w:rPr>
          <w:rFonts w:hint="eastAsia"/>
          <w:color w:val="000000" w:themeColor="text1"/>
          <w:sz w:val="24"/>
          <w:szCs w:val="24"/>
        </w:rPr>
        <w:t>2</w:t>
      </w:r>
      <w:r w:rsidRPr="002574C5">
        <w:rPr>
          <w:rFonts w:hint="eastAsia"/>
          <w:color w:val="000000" w:themeColor="text1"/>
          <w:sz w:val="24"/>
          <w:szCs w:val="24"/>
        </w:rPr>
        <w:t>）技术要求及试验方法</w:t>
      </w:r>
    </w:p>
    <w:p w:rsidR="00A359C8" w:rsidRDefault="00A359C8" w:rsidP="00A20298">
      <w:pPr>
        <w:pStyle w:val="af0"/>
        <w:spacing w:line="360" w:lineRule="auto"/>
        <w:ind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该标准</w:t>
      </w:r>
      <w:r>
        <w:rPr>
          <w:color w:val="000000" w:themeColor="text1"/>
          <w:sz w:val="24"/>
          <w:szCs w:val="24"/>
        </w:rPr>
        <w:t>要求家用和类似用途材料抗过敏原率应不小于</w:t>
      </w:r>
      <w:r>
        <w:rPr>
          <w:rFonts w:hint="eastAsia"/>
          <w:color w:val="000000" w:themeColor="text1"/>
          <w:sz w:val="24"/>
          <w:szCs w:val="24"/>
        </w:rPr>
        <w:t>90</w:t>
      </w:r>
      <w:r>
        <w:rPr>
          <w:color w:val="000000" w:themeColor="text1"/>
          <w:sz w:val="24"/>
          <w:szCs w:val="24"/>
        </w:rPr>
        <w:t>%。</w:t>
      </w:r>
    </w:p>
    <w:p w:rsidR="00A359C8" w:rsidRDefault="00A359C8" w:rsidP="00A20298">
      <w:pPr>
        <w:pStyle w:val="af0"/>
        <w:spacing w:line="360" w:lineRule="auto"/>
        <w:ind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该标准中</w:t>
      </w:r>
      <w:r>
        <w:rPr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根据</w:t>
      </w:r>
      <w:r>
        <w:rPr>
          <w:color w:val="000000" w:themeColor="text1"/>
          <w:sz w:val="24"/>
          <w:szCs w:val="24"/>
        </w:rPr>
        <w:t>材料的特性，将材料裁剪成</w:t>
      </w:r>
      <w:r>
        <w:rPr>
          <w:rFonts w:hint="eastAsia"/>
          <w:color w:val="000000" w:themeColor="text1"/>
          <w:sz w:val="24"/>
          <w:szCs w:val="24"/>
        </w:rPr>
        <w:t>相应规格</w:t>
      </w:r>
      <w:r>
        <w:rPr>
          <w:color w:val="000000" w:themeColor="text1"/>
          <w:sz w:val="24"/>
          <w:szCs w:val="24"/>
        </w:rPr>
        <w:t>的</w:t>
      </w:r>
      <w:r w:rsidR="00FC2AF8">
        <w:rPr>
          <w:rFonts w:hint="eastAsia"/>
          <w:color w:val="000000" w:themeColor="text1"/>
          <w:sz w:val="24"/>
          <w:szCs w:val="24"/>
        </w:rPr>
        <w:t>试验样品</w:t>
      </w:r>
      <w:r w:rsidR="00FC2AF8">
        <w:rPr>
          <w:color w:val="000000" w:themeColor="text1"/>
          <w:sz w:val="24"/>
          <w:szCs w:val="24"/>
        </w:rPr>
        <w:t>，然后在试验样品上</w:t>
      </w:r>
      <w:r w:rsidR="00FC2AF8">
        <w:rPr>
          <w:rFonts w:hint="eastAsia"/>
          <w:color w:val="000000" w:themeColor="text1"/>
          <w:sz w:val="24"/>
          <w:szCs w:val="24"/>
        </w:rPr>
        <w:t>滴加</w:t>
      </w:r>
      <w:r w:rsidR="00FC2AF8">
        <w:rPr>
          <w:color w:val="000000" w:themeColor="text1"/>
          <w:sz w:val="24"/>
          <w:szCs w:val="24"/>
        </w:rPr>
        <w:t>一定浓度和一定量的过敏原溶液，使其与样品进行充分均匀的接触，经过一定作用时间后，检测</w:t>
      </w:r>
      <w:r w:rsidR="00FC2AF8">
        <w:rPr>
          <w:rFonts w:hint="eastAsia"/>
          <w:color w:val="000000" w:themeColor="text1"/>
          <w:sz w:val="24"/>
          <w:szCs w:val="24"/>
        </w:rPr>
        <w:t>样品上</w:t>
      </w:r>
      <w:r w:rsidR="00FC2AF8">
        <w:rPr>
          <w:color w:val="000000" w:themeColor="text1"/>
          <w:sz w:val="24"/>
          <w:szCs w:val="24"/>
        </w:rPr>
        <w:t>残留的过敏原浓度，通过计算前后过敏原浓度的差值，计算样品的抗过敏原率。</w:t>
      </w:r>
    </w:p>
    <w:p w:rsidR="009C2389" w:rsidRPr="002574C5" w:rsidRDefault="009C2389" w:rsidP="001D2080">
      <w:pPr>
        <w:widowControl/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4"/>
          <w:szCs w:val="24"/>
        </w:rPr>
      </w:pPr>
      <w:r w:rsidRPr="002574C5">
        <w:rPr>
          <w:rFonts w:ascii="宋体" w:hAnsi="宋体" w:hint="eastAsia"/>
          <w:b/>
          <w:color w:val="000000" w:themeColor="text1"/>
          <w:sz w:val="24"/>
          <w:szCs w:val="24"/>
        </w:rPr>
        <w:t>三、主要试验（或验证</w:t>
      </w:r>
      <w:r w:rsidRPr="002574C5">
        <w:rPr>
          <w:rFonts w:ascii="宋体" w:hAnsi="宋体"/>
          <w:b/>
          <w:color w:val="000000" w:themeColor="text1"/>
          <w:sz w:val="24"/>
          <w:szCs w:val="24"/>
        </w:rPr>
        <w:t>）</w:t>
      </w:r>
      <w:r w:rsidR="00B85FC5" w:rsidRPr="002574C5">
        <w:rPr>
          <w:rFonts w:ascii="宋体" w:hAnsi="宋体" w:hint="eastAsia"/>
          <w:b/>
          <w:color w:val="000000" w:themeColor="text1"/>
          <w:sz w:val="24"/>
          <w:szCs w:val="24"/>
        </w:rPr>
        <w:t>情况</w:t>
      </w:r>
    </w:p>
    <w:p w:rsidR="00226269" w:rsidRDefault="00226269" w:rsidP="00226269">
      <w:pPr>
        <w:tabs>
          <w:tab w:val="right" w:pos="9542"/>
        </w:tabs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本标准涉及的主要试验（或验证</w:t>
      </w:r>
      <w:r w:rsidRPr="002574C5">
        <w:rPr>
          <w:rFonts w:ascii="Arial" w:hAnsi="Arial" w:cs="Arial"/>
          <w:color w:val="000000" w:themeColor="text1"/>
          <w:sz w:val="24"/>
          <w:szCs w:val="24"/>
        </w:rPr>
        <w:t>）</w:t>
      </w:r>
      <w:r w:rsidRPr="002574C5">
        <w:rPr>
          <w:rFonts w:ascii="Arial" w:hAnsi="Arial" w:cs="Arial" w:hint="eastAsia"/>
          <w:color w:val="000000" w:themeColor="text1"/>
          <w:sz w:val="24"/>
          <w:szCs w:val="24"/>
        </w:rPr>
        <w:t>数据如下：</w:t>
      </w:r>
    </w:p>
    <w:p w:rsidR="0005008A" w:rsidRDefault="0005008A" w:rsidP="00226269">
      <w:pPr>
        <w:tabs>
          <w:tab w:val="right" w:pos="9542"/>
        </w:tabs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本标准收集</w:t>
      </w:r>
      <w:r>
        <w:rPr>
          <w:rFonts w:ascii="Arial" w:hAnsi="Arial" w:cs="Arial"/>
          <w:color w:val="000000" w:themeColor="text1"/>
          <w:sz w:val="24"/>
          <w:szCs w:val="24"/>
        </w:rPr>
        <w:t>了</w:t>
      </w:r>
      <w:r w:rsidR="001B7AD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种</w:t>
      </w:r>
      <w:r>
        <w:rPr>
          <w:rFonts w:ascii="Arial" w:hAnsi="Arial" w:cs="Arial"/>
          <w:color w:val="000000" w:themeColor="text1"/>
          <w:sz w:val="24"/>
          <w:szCs w:val="24"/>
        </w:rPr>
        <w:t>不同的来源于家用电器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上</w:t>
      </w:r>
      <w:r>
        <w:rPr>
          <w:rFonts w:ascii="Arial" w:hAnsi="Arial" w:cs="Arial"/>
          <w:color w:val="000000" w:themeColor="text1"/>
          <w:sz w:val="24"/>
          <w:szCs w:val="24"/>
        </w:rPr>
        <w:t>的材料，包括空气净化器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滤芯</w:t>
      </w:r>
      <w:r>
        <w:rPr>
          <w:rFonts w:ascii="Arial" w:hAnsi="Arial" w:cs="Arial"/>
          <w:color w:val="000000" w:themeColor="text1"/>
          <w:sz w:val="24"/>
          <w:szCs w:val="24"/>
        </w:rPr>
        <w:t>，加湿器滤芯，</w:t>
      </w:r>
      <w:r w:rsidR="001B7AD8">
        <w:rPr>
          <w:rFonts w:ascii="Arial" w:hAnsi="Arial" w:cs="Arial" w:hint="eastAsia"/>
          <w:color w:val="000000" w:themeColor="text1"/>
          <w:sz w:val="24"/>
          <w:szCs w:val="24"/>
        </w:rPr>
        <w:t>吸尘器</w:t>
      </w:r>
      <w:r w:rsidR="001B7AD8">
        <w:rPr>
          <w:rFonts w:ascii="Arial" w:hAnsi="Arial" w:cs="Arial"/>
          <w:color w:val="000000" w:themeColor="text1"/>
          <w:sz w:val="24"/>
          <w:szCs w:val="24"/>
        </w:rPr>
        <w:t>滤芯，马桶盖材料等，检测数据如下所示</w:t>
      </w:r>
      <w:r w:rsidR="00D9119B">
        <w:rPr>
          <w:rFonts w:ascii="Arial" w:hAnsi="Arial" w:cs="Arial" w:hint="eastAsia"/>
          <w:color w:val="000000" w:themeColor="text1"/>
          <w:sz w:val="24"/>
          <w:szCs w:val="24"/>
        </w:rPr>
        <w:t>：</w:t>
      </w:r>
    </w:p>
    <w:p w:rsidR="00D9119B" w:rsidRPr="00D9119B" w:rsidRDefault="00D9119B" w:rsidP="00D9119B">
      <w:pPr>
        <w:tabs>
          <w:tab w:val="right" w:pos="9542"/>
        </w:tabs>
        <w:spacing w:line="360" w:lineRule="auto"/>
        <w:ind w:firstLineChars="200" w:firstLine="48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表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1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不同材料的除过敏原率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9119B" w:rsidTr="00D9119B">
        <w:tc>
          <w:tcPr>
            <w:tcW w:w="2074" w:type="dxa"/>
          </w:tcPr>
          <w:p w:rsidR="00D9119B" w:rsidRPr="00D9119B" w:rsidRDefault="00D9119B" w:rsidP="00D9119B">
            <w:pPr>
              <w:tabs>
                <w:tab w:val="right" w:pos="9542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2074" w:type="dxa"/>
          </w:tcPr>
          <w:p w:rsidR="00D9119B" w:rsidRPr="00D9119B" w:rsidRDefault="00D9119B" w:rsidP="00D9119B">
            <w:pPr>
              <w:tabs>
                <w:tab w:val="right" w:pos="9542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去除率</w:t>
            </w:r>
          </w:p>
        </w:tc>
        <w:tc>
          <w:tcPr>
            <w:tcW w:w="2074" w:type="dxa"/>
          </w:tcPr>
          <w:p w:rsidR="00D9119B" w:rsidRPr="00D9119B" w:rsidRDefault="00D9119B" w:rsidP="00D9119B">
            <w:pPr>
              <w:tabs>
                <w:tab w:val="right" w:pos="9542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2074" w:type="dxa"/>
          </w:tcPr>
          <w:p w:rsidR="00D9119B" w:rsidRPr="00D9119B" w:rsidRDefault="00D9119B" w:rsidP="00D9119B">
            <w:pPr>
              <w:tabs>
                <w:tab w:val="right" w:pos="9542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去除率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color w:val="000000" w:themeColor="text1"/>
                <w:szCs w:val="21"/>
              </w:rPr>
              <w:t>95.351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75.614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color w:val="000000" w:themeColor="text1"/>
                <w:szCs w:val="21"/>
              </w:rPr>
              <w:t>95.351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62.345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95.351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96.680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95.351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95.820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95.319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95.541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95.319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70.68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95.319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51.07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95.374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96.240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95.374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96.50</w:t>
            </w:r>
          </w:p>
        </w:tc>
      </w:tr>
      <w:tr w:rsidR="00D9119B" w:rsidTr="00620038"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＞</w:t>
            </w:r>
            <w:r w:rsidRPr="00D9119B">
              <w:rPr>
                <w:rFonts w:hint="eastAsia"/>
                <w:color w:val="000000" w:themeColor="text1"/>
                <w:szCs w:val="21"/>
              </w:rPr>
              <w:t>95.374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材料</w:t>
            </w:r>
            <w:r w:rsidRPr="00D9119B"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2074" w:type="dxa"/>
            <w:vAlign w:val="center"/>
          </w:tcPr>
          <w:p w:rsidR="00D9119B" w:rsidRPr="00D9119B" w:rsidRDefault="00D9119B" w:rsidP="00D9119B">
            <w:pPr>
              <w:jc w:val="center"/>
              <w:rPr>
                <w:color w:val="000000" w:themeColor="text1"/>
                <w:szCs w:val="21"/>
              </w:rPr>
            </w:pPr>
            <w:r w:rsidRPr="00D9119B">
              <w:rPr>
                <w:rFonts w:hint="eastAsia"/>
                <w:color w:val="000000" w:themeColor="text1"/>
                <w:szCs w:val="21"/>
              </w:rPr>
              <w:t>85.49</w:t>
            </w:r>
          </w:p>
        </w:tc>
      </w:tr>
    </w:tbl>
    <w:p w:rsidR="00F552A4" w:rsidRPr="002574C5" w:rsidRDefault="00F552A4" w:rsidP="00F552A4">
      <w:pPr>
        <w:tabs>
          <w:tab w:val="right" w:pos="9542"/>
        </w:tabs>
        <w:spacing w:line="360" w:lineRule="auto"/>
        <w:rPr>
          <w:rFonts w:ascii="宋体" w:hAnsi="宋体"/>
          <w:b/>
          <w:color w:val="000000" w:themeColor="text1"/>
          <w:sz w:val="24"/>
          <w:szCs w:val="24"/>
        </w:rPr>
      </w:pPr>
      <w:r w:rsidRPr="002574C5">
        <w:rPr>
          <w:rFonts w:ascii="宋体" w:hAnsi="宋体" w:hint="eastAsia"/>
          <w:b/>
          <w:color w:val="000000" w:themeColor="text1"/>
          <w:sz w:val="24"/>
          <w:szCs w:val="24"/>
        </w:rPr>
        <w:t>四</w:t>
      </w:r>
      <w:r w:rsidRPr="002574C5">
        <w:rPr>
          <w:rFonts w:ascii="宋体" w:hAnsi="宋体"/>
          <w:b/>
          <w:color w:val="000000" w:themeColor="text1"/>
          <w:sz w:val="24"/>
          <w:szCs w:val="24"/>
        </w:rPr>
        <w:t>、知识产权说明</w:t>
      </w:r>
    </w:p>
    <w:p w:rsidR="00F552A4" w:rsidRPr="002574C5" w:rsidRDefault="00F552A4" w:rsidP="00F552A4">
      <w:pPr>
        <w:spacing w:line="360" w:lineRule="auto"/>
        <w:ind w:firstLineChars="200" w:firstLine="4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574C5">
        <w:rPr>
          <w:rFonts w:ascii="Arial" w:hAnsi="Arial" w:cs="Arial"/>
          <w:color w:val="000000" w:themeColor="text1"/>
          <w:sz w:val="24"/>
          <w:szCs w:val="24"/>
        </w:rPr>
        <w:t>本标准没有涉及专利等知识产权。</w:t>
      </w:r>
    </w:p>
    <w:p w:rsidR="00F552A4" w:rsidRDefault="00F552A4" w:rsidP="001D2080">
      <w:pPr>
        <w:widowControl/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4"/>
          <w:szCs w:val="24"/>
        </w:rPr>
      </w:pPr>
      <w:r w:rsidRPr="002574C5">
        <w:rPr>
          <w:rFonts w:ascii="宋体" w:hAnsi="宋体" w:hint="eastAsia"/>
          <w:b/>
          <w:color w:val="000000" w:themeColor="text1"/>
          <w:sz w:val="24"/>
          <w:szCs w:val="24"/>
        </w:rPr>
        <w:t>五</w:t>
      </w:r>
      <w:r w:rsidRPr="002574C5">
        <w:rPr>
          <w:rFonts w:ascii="宋体" w:hAnsi="宋体"/>
          <w:b/>
          <w:color w:val="000000" w:themeColor="text1"/>
          <w:sz w:val="24"/>
          <w:szCs w:val="24"/>
        </w:rPr>
        <w:t>、产业化情况、推广应用论证和预期达到的经济效果等情况</w:t>
      </w:r>
    </w:p>
    <w:p w:rsidR="00D9119B" w:rsidRPr="00D9119B" w:rsidRDefault="00D9119B" w:rsidP="00D9119B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过敏性疾病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被世界卫生组织列为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21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世纪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重点防治的三大疾病之一，治疗费用巨大，对家庭和社会造成巨大的经济负担。过敏原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是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引起过敏性疾病的物质，有效阻止患者与过敏原接触，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减少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生活中的过敏原，可降低过敏性疾病的发病率。</w:t>
      </w:r>
    </w:p>
    <w:p w:rsidR="00D9119B" w:rsidRPr="00D9119B" w:rsidRDefault="00D9119B" w:rsidP="00D9119B">
      <w:pPr>
        <w:spacing w:line="360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随着生活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水平的提高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，人们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对营造健康的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生活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环境日益重视。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电器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产品的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快速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发展，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一方面方便了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我们的生活，另一方面也带来了许多安全隐患。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比如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空调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、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净化器中的滤网，容易造成微生物、过敏原等在空调滤网上的累积，长期使用，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容易造成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二次污染。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目前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一些特殊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的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功能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性材料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如抗菌、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防霉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、抗过敏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原等功能材料出现在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人们的视野中。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关于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材料的相关标准，国外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有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AATCC Test Method 147-2011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介绍了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纺织品的抗菌性能，国内有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GB/T 21551.2-2010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和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GB/T 20944.1-2007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介绍了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家用电器材料及纺织品的抗菌、防霉性能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，这些标准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主要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针对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细菌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、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霉菌测试进行了介绍，对于材料抗过敏原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方面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的性能并未涉及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，市场上出现的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抗过敏原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材料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的抗过敏原能力水平存在较大差异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，目前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还没有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材料</w:t>
      </w:r>
      <w:r w:rsidRPr="00D9119B">
        <w:rPr>
          <w:rFonts w:ascii="Arial" w:hAnsi="Arial" w:cs="Arial"/>
          <w:color w:val="000000" w:themeColor="text1"/>
          <w:sz w:val="24"/>
          <w:szCs w:val="24"/>
        </w:rPr>
        <w:t>抗过敏原方面的标准</w:t>
      </w:r>
      <w:r w:rsidRPr="00D9119B">
        <w:rPr>
          <w:rFonts w:ascii="Arial" w:hAnsi="Arial" w:cs="Arial" w:hint="eastAsia"/>
          <w:color w:val="000000" w:themeColor="text1"/>
          <w:sz w:val="24"/>
          <w:szCs w:val="24"/>
        </w:rPr>
        <w:t>。</w:t>
      </w:r>
    </w:p>
    <w:p w:rsidR="00F552A4" w:rsidRPr="00617EEF" w:rsidRDefault="00F552A4" w:rsidP="001D2080">
      <w:pPr>
        <w:widowControl/>
        <w:snapToGrid w:val="0"/>
        <w:spacing w:beforeLines="50" w:before="156" w:afterLines="50" w:after="156"/>
        <w:rPr>
          <w:rFonts w:ascii="宋体" w:hAnsi="宋体"/>
          <w:b/>
          <w:sz w:val="24"/>
          <w:szCs w:val="24"/>
        </w:rPr>
      </w:pPr>
      <w:r w:rsidRPr="00617EEF">
        <w:rPr>
          <w:rFonts w:ascii="宋体" w:hAnsi="宋体" w:hint="eastAsia"/>
          <w:b/>
          <w:sz w:val="24"/>
          <w:szCs w:val="24"/>
        </w:rPr>
        <w:t>六、采用国际标准和国外先进标准程度</w:t>
      </w:r>
    </w:p>
    <w:p w:rsidR="00F552A4" w:rsidRPr="00EB29D1" w:rsidRDefault="00F552A4" w:rsidP="00EB29D1">
      <w:pPr>
        <w:tabs>
          <w:tab w:val="right" w:pos="8305"/>
        </w:tabs>
        <w:spacing w:line="360" w:lineRule="auto"/>
        <w:ind w:firstLine="480"/>
        <w:rPr>
          <w:rFonts w:ascii="Arial" w:hAnsi="Arial" w:cs="Arial"/>
          <w:kern w:val="1"/>
          <w:sz w:val="24"/>
          <w:szCs w:val="24"/>
        </w:rPr>
      </w:pPr>
      <w:r w:rsidRPr="00EB29D1">
        <w:rPr>
          <w:rFonts w:ascii="Arial" w:hAnsi="Arial" w:cs="Arial" w:hint="eastAsia"/>
          <w:kern w:val="1"/>
          <w:sz w:val="24"/>
          <w:szCs w:val="24"/>
        </w:rPr>
        <w:t>本标准没有采用国际标准。</w:t>
      </w:r>
    </w:p>
    <w:p w:rsidR="00F552A4" w:rsidRPr="00EB29D1" w:rsidRDefault="00F552A4" w:rsidP="00EB29D1">
      <w:pPr>
        <w:tabs>
          <w:tab w:val="right" w:pos="8305"/>
        </w:tabs>
        <w:spacing w:line="360" w:lineRule="auto"/>
        <w:ind w:firstLine="480"/>
        <w:rPr>
          <w:rFonts w:ascii="Arial" w:hAnsi="Arial" w:cs="Arial"/>
          <w:kern w:val="1"/>
          <w:sz w:val="24"/>
          <w:szCs w:val="24"/>
        </w:rPr>
      </w:pPr>
      <w:r w:rsidRPr="00EB29D1">
        <w:rPr>
          <w:rFonts w:ascii="Arial" w:hAnsi="Arial" w:cs="Arial" w:hint="eastAsia"/>
          <w:kern w:val="1"/>
          <w:sz w:val="24"/>
          <w:szCs w:val="24"/>
        </w:rPr>
        <w:t>本标准制定过程中未查到同类国际、国外标准。</w:t>
      </w:r>
    </w:p>
    <w:p w:rsidR="00F552A4" w:rsidRPr="00EB29D1" w:rsidRDefault="00F552A4" w:rsidP="00EB29D1">
      <w:pPr>
        <w:tabs>
          <w:tab w:val="right" w:pos="8305"/>
        </w:tabs>
        <w:spacing w:line="360" w:lineRule="auto"/>
        <w:ind w:firstLine="480"/>
        <w:rPr>
          <w:rFonts w:ascii="Arial" w:hAnsi="Arial" w:cs="Arial"/>
          <w:kern w:val="1"/>
          <w:sz w:val="24"/>
          <w:szCs w:val="24"/>
        </w:rPr>
      </w:pPr>
      <w:r w:rsidRPr="00EB29D1">
        <w:rPr>
          <w:rFonts w:ascii="Arial" w:hAnsi="Arial" w:cs="Arial" w:hint="eastAsia"/>
          <w:kern w:val="1"/>
          <w:sz w:val="24"/>
          <w:szCs w:val="24"/>
        </w:rPr>
        <w:t>本标准制定过程中未测试国外的样品、样机。</w:t>
      </w:r>
    </w:p>
    <w:p w:rsidR="00F552A4" w:rsidRPr="00EB29D1" w:rsidRDefault="00F552A4" w:rsidP="00EB29D1">
      <w:pPr>
        <w:tabs>
          <w:tab w:val="right" w:pos="8305"/>
        </w:tabs>
        <w:spacing w:line="360" w:lineRule="auto"/>
        <w:ind w:firstLine="480"/>
        <w:rPr>
          <w:rFonts w:ascii="Arial" w:hAnsi="Arial" w:cs="Arial"/>
          <w:kern w:val="1"/>
          <w:sz w:val="24"/>
          <w:szCs w:val="24"/>
        </w:rPr>
      </w:pPr>
      <w:r w:rsidRPr="00EB29D1">
        <w:rPr>
          <w:rFonts w:ascii="Arial" w:hAnsi="Arial" w:cs="Arial" w:hint="eastAsia"/>
          <w:kern w:val="1"/>
          <w:sz w:val="24"/>
          <w:szCs w:val="24"/>
        </w:rPr>
        <w:t>本标准水平为国内先进水平。</w:t>
      </w:r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七、</w:t>
      </w:r>
      <w:r w:rsidRPr="0017267D">
        <w:rPr>
          <w:rFonts w:hAnsi="宋体"/>
          <w:b/>
          <w:color w:val="000000"/>
          <w:kern w:val="0"/>
          <w:sz w:val="24"/>
          <w:szCs w:val="24"/>
        </w:rPr>
        <w:t>与现行相关法律、法规、规章及相关标准的协调性</w:t>
      </w:r>
    </w:p>
    <w:p w:rsidR="00320AA4" w:rsidRDefault="00320AA4" w:rsidP="00320AA4">
      <w:pPr>
        <w:tabs>
          <w:tab w:val="right" w:pos="9542"/>
        </w:tabs>
        <w:spacing w:line="360" w:lineRule="auto"/>
        <w:ind w:firstLineChars="147" w:firstLine="353"/>
        <w:rPr>
          <w:rFonts w:ascii="宋体" w:hAnsi="宋体"/>
          <w:kern w:val="0"/>
          <w:sz w:val="24"/>
          <w:szCs w:val="24"/>
        </w:rPr>
      </w:pPr>
      <w:r w:rsidRPr="001270A4">
        <w:rPr>
          <w:rFonts w:ascii="宋体" w:hAnsi="宋体" w:hint="eastAsia"/>
          <w:kern w:val="0"/>
          <w:sz w:val="24"/>
          <w:szCs w:val="24"/>
        </w:rPr>
        <w:t>本标准与现行法律、法规、规章及相关标准内容无矛盾和冲突。</w:t>
      </w:r>
    </w:p>
    <w:p w:rsidR="00226269" w:rsidRDefault="00D01E67" w:rsidP="00226269">
      <w:pPr>
        <w:tabs>
          <w:tab w:val="right" w:pos="9542"/>
        </w:tabs>
        <w:spacing w:line="360" w:lineRule="auto"/>
        <w:rPr>
          <w:rFonts w:ascii="宋体" w:hAnsi="宋体"/>
          <w:kern w:val="0"/>
          <w:sz w:val="24"/>
          <w:szCs w:val="24"/>
        </w:rPr>
      </w:pPr>
      <w:bookmarkStart w:id="0" w:name="_GoBack"/>
      <w:r w:rsidRPr="00117D8F">
        <w:rPr>
          <w:rFonts w:ascii="宋体" w:hint="eastAsia"/>
          <w:b/>
          <w:noProof/>
          <w:sz w:val="24"/>
        </w:rPr>
        <w:drawing>
          <wp:inline distT="0" distB="0" distL="0" distR="0">
            <wp:extent cx="4635500" cy="2727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八、重大分歧意见处理经过和依据</w:t>
      </w:r>
    </w:p>
    <w:p w:rsidR="00320AA4" w:rsidRPr="000C63F8" w:rsidRDefault="00320AA4" w:rsidP="00320AA4">
      <w:pPr>
        <w:tabs>
          <w:tab w:val="right" w:pos="9542"/>
        </w:tabs>
        <w:spacing w:line="360" w:lineRule="auto"/>
        <w:ind w:firstLineChars="200" w:firstLine="480"/>
        <w:rPr>
          <w:sz w:val="24"/>
          <w:szCs w:val="24"/>
        </w:rPr>
      </w:pPr>
      <w:r w:rsidRPr="000C63F8">
        <w:rPr>
          <w:rFonts w:hint="eastAsia"/>
          <w:sz w:val="24"/>
          <w:szCs w:val="24"/>
        </w:rPr>
        <w:t>无。</w:t>
      </w:r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九、</w:t>
      </w:r>
      <w:r w:rsidRPr="00A74F65">
        <w:rPr>
          <w:rFonts w:hAnsi="宋体"/>
          <w:b/>
          <w:color w:val="000000"/>
          <w:kern w:val="0"/>
          <w:sz w:val="24"/>
          <w:szCs w:val="24"/>
        </w:rPr>
        <w:t>标准性质的建议说明</w:t>
      </w:r>
    </w:p>
    <w:p w:rsidR="00320AA4" w:rsidRPr="0035266D" w:rsidRDefault="00320AA4" w:rsidP="00320AA4">
      <w:pPr>
        <w:tabs>
          <w:tab w:val="right" w:pos="8305"/>
        </w:tabs>
        <w:spacing w:line="360" w:lineRule="auto"/>
        <w:ind w:firstLine="480"/>
        <w:rPr>
          <w:rFonts w:ascii="Arial" w:hAnsi="Arial" w:cs="Arial"/>
          <w:kern w:val="1"/>
          <w:sz w:val="24"/>
          <w:szCs w:val="24"/>
        </w:rPr>
      </w:pPr>
      <w:r w:rsidRPr="0035266D">
        <w:rPr>
          <w:rFonts w:ascii="Arial" w:hAnsi="Arial" w:cs="Arial"/>
          <w:kern w:val="1"/>
          <w:sz w:val="24"/>
          <w:szCs w:val="24"/>
        </w:rPr>
        <w:t>鉴于本标准仅涉及对</w:t>
      </w:r>
      <w:r w:rsidR="00664CE1">
        <w:rPr>
          <w:rFonts w:ascii="Arial" w:hAnsi="Arial" w:cs="Arial" w:hint="eastAsia"/>
          <w:kern w:val="1"/>
          <w:sz w:val="24"/>
          <w:szCs w:val="24"/>
        </w:rPr>
        <w:t>家用和</w:t>
      </w:r>
      <w:r w:rsidR="00664CE1">
        <w:rPr>
          <w:rFonts w:ascii="Arial" w:hAnsi="Arial" w:cs="Arial"/>
          <w:kern w:val="1"/>
          <w:sz w:val="24"/>
          <w:szCs w:val="24"/>
        </w:rPr>
        <w:t>类似用途材料</w:t>
      </w:r>
      <w:r w:rsidR="00226269">
        <w:rPr>
          <w:rFonts w:ascii="Arial" w:hAnsi="Arial" w:cs="Arial"/>
          <w:kern w:val="1"/>
          <w:sz w:val="24"/>
          <w:szCs w:val="24"/>
        </w:rPr>
        <w:t>提出了具体的技术要求和</w:t>
      </w:r>
      <w:r w:rsidR="00226269">
        <w:rPr>
          <w:rFonts w:ascii="Arial" w:hAnsi="Arial" w:cs="Arial" w:hint="eastAsia"/>
          <w:kern w:val="1"/>
          <w:sz w:val="24"/>
          <w:szCs w:val="24"/>
        </w:rPr>
        <w:t>试验</w:t>
      </w:r>
      <w:r w:rsidRPr="0035266D">
        <w:rPr>
          <w:rFonts w:ascii="Arial" w:hAnsi="Arial" w:cs="Arial"/>
          <w:kern w:val="1"/>
          <w:sz w:val="24"/>
          <w:szCs w:val="24"/>
        </w:rPr>
        <w:t>方法，作为行业标准，按照标准计划书的要求，以推荐性标准上报。</w:t>
      </w:r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十</w:t>
      </w:r>
      <w:r>
        <w:rPr>
          <w:rFonts w:hint="eastAsia"/>
          <w:b/>
          <w:sz w:val="24"/>
          <w:szCs w:val="24"/>
        </w:rPr>
        <w:t>、贯彻</w:t>
      </w:r>
      <w:r w:rsidRPr="000C63F8">
        <w:rPr>
          <w:rFonts w:hint="eastAsia"/>
          <w:b/>
          <w:sz w:val="24"/>
          <w:szCs w:val="24"/>
        </w:rPr>
        <w:t>标准的要求和实施建议</w:t>
      </w:r>
    </w:p>
    <w:p w:rsidR="00320AA4" w:rsidRPr="000C63F8" w:rsidRDefault="00320AA4" w:rsidP="00320AA4">
      <w:pPr>
        <w:tabs>
          <w:tab w:val="right" w:pos="9542"/>
        </w:tabs>
        <w:spacing w:line="360" w:lineRule="auto"/>
        <w:ind w:firstLineChars="200" w:firstLine="480"/>
        <w:rPr>
          <w:sz w:val="24"/>
          <w:szCs w:val="24"/>
        </w:rPr>
      </w:pPr>
      <w:r w:rsidRPr="000C63F8">
        <w:rPr>
          <w:rFonts w:ascii="宋体" w:hAnsi="宋体" w:hint="eastAsia"/>
          <w:sz w:val="24"/>
          <w:szCs w:val="24"/>
        </w:rPr>
        <w:t>标准自公布之日起至实施，建议需</w:t>
      </w:r>
      <w:r w:rsidRPr="00584F95">
        <w:rPr>
          <w:rFonts w:hAnsi="宋体"/>
          <w:sz w:val="24"/>
          <w:szCs w:val="24"/>
        </w:rPr>
        <w:t>要</w:t>
      </w:r>
      <w:r w:rsidRPr="00584F95">
        <w:rPr>
          <w:sz w:val="24"/>
          <w:szCs w:val="24"/>
        </w:rPr>
        <w:t>6</w:t>
      </w:r>
      <w:r w:rsidRPr="000C63F8">
        <w:rPr>
          <w:rFonts w:ascii="宋体" w:hAnsi="宋体" w:hint="eastAsia"/>
          <w:sz w:val="24"/>
          <w:szCs w:val="24"/>
        </w:rPr>
        <w:t>个月的准备期和过渡期，标准批准发布后应尽快组织宣贯，组织媒体进行宣传。</w:t>
      </w:r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十一、废止现行有关标准的建议</w:t>
      </w:r>
    </w:p>
    <w:p w:rsidR="00320AA4" w:rsidRPr="000C63F8" w:rsidRDefault="00320AA4" w:rsidP="00613991">
      <w:pPr>
        <w:widowControl/>
        <w:snapToGrid w:val="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0C63F8">
        <w:rPr>
          <w:rFonts w:hint="eastAsia"/>
          <w:sz w:val="24"/>
          <w:szCs w:val="24"/>
        </w:rPr>
        <w:t>无</w:t>
      </w:r>
    </w:p>
    <w:p w:rsidR="00320AA4" w:rsidRPr="000C63F8" w:rsidRDefault="00320AA4" w:rsidP="001D2080">
      <w:pPr>
        <w:widowControl/>
        <w:snapToGrid w:val="0"/>
        <w:spacing w:beforeLines="50" w:before="156" w:afterLines="50" w:after="156"/>
        <w:rPr>
          <w:b/>
          <w:sz w:val="24"/>
          <w:szCs w:val="24"/>
        </w:rPr>
      </w:pPr>
      <w:r w:rsidRPr="000C63F8">
        <w:rPr>
          <w:rFonts w:hint="eastAsia"/>
          <w:b/>
          <w:sz w:val="24"/>
          <w:szCs w:val="24"/>
        </w:rPr>
        <w:t>十二、其他应予说明的问题</w:t>
      </w:r>
    </w:p>
    <w:p w:rsidR="005718F9" w:rsidRPr="000C63F8" w:rsidRDefault="005718F9" w:rsidP="00613991">
      <w:pPr>
        <w:widowControl/>
        <w:snapToGrid w:val="0"/>
        <w:spacing w:beforeLines="50" w:before="156" w:afterLines="50" w:after="156"/>
        <w:ind w:firstLineChars="200" w:firstLine="480"/>
        <w:rPr>
          <w:sz w:val="24"/>
          <w:szCs w:val="24"/>
        </w:rPr>
      </w:pPr>
      <w:r w:rsidRPr="000C63F8">
        <w:rPr>
          <w:rFonts w:hint="eastAsia"/>
          <w:sz w:val="24"/>
          <w:szCs w:val="24"/>
        </w:rPr>
        <w:t>无</w:t>
      </w:r>
    </w:p>
    <w:p w:rsidR="00FF38FE" w:rsidRPr="004F4707" w:rsidRDefault="00FF38FE" w:rsidP="00FF38FE">
      <w:pPr>
        <w:spacing w:line="380" w:lineRule="exact"/>
        <w:ind w:firstLineChars="200" w:firstLine="480"/>
        <w:rPr>
          <w:color w:val="000000"/>
          <w:sz w:val="24"/>
        </w:rPr>
      </w:pPr>
    </w:p>
    <w:p w:rsidR="00320AA4" w:rsidRPr="00FF38FE" w:rsidRDefault="00320AA4" w:rsidP="00320AA4">
      <w:pPr>
        <w:tabs>
          <w:tab w:val="right" w:pos="9542"/>
        </w:tabs>
        <w:spacing w:line="360" w:lineRule="auto"/>
        <w:ind w:firstLine="465"/>
        <w:rPr>
          <w:rFonts w:ascii="Arial" w:hAnsi="Arial" w:cs="Arial"/>
          <w:sz w:val="24"/>
          <w:szCs w:val="24"/>
        </w:rPr>
      </w:pPr>
    </w:p>
    <w:p w:rsidR="00320AA4" w:rsidRDefault="00320AA4" w:rsidP="00320AA4">
      <w:pPr>
        <w:tabs>
          <w:tab w:val="right" w:pos="9542"/>
        </w:tabs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320AA4" w:rsidRPr="00475BFD" w:rsidRDefault="00320AA4" w:rsidP="00320AA4">
      <w:pPr>
        <w:tabs>
          <w:tab w:val="right" w:pos="9542"/>
        </w:tabs>
        <w:spacing w:line="360" w:lineRule="auto"/>
        <w:ind w:firstLineChars="200" w:firstLine="480"/>
        <w:jc w:val="right"/>
        <w:rPr>
          <w:rFonts w:ascii="仿宋_GB2312" w:eastAsia="仿宋_GB2312" w:hAnsi="宋体"/>
          <w:sz w:val="24"/>
          <w:szCs w:val="24"/>
        </w:rPr>
      </w:pPr>
      <w:r w:rsidRPr="009E7FF4">
        <w:rPr>
          <w:rFonts w:hint="eastAsia"/>
          <w:sz w:val="24"/>
          <w:szCs w:val="24"/>
        </w:rPr>
        <w:t>《</w:t>
      </w:r>
      <w:r w:rsidR="00664CE1">
        <w:rPr>
          <w:rFonts w:hint="eastAsia"/>
          <w:sz w:val="24"/>
          <w:szCs w:val="24"/>
        </w:rPr>
        <w:t>家用和类似用途</w:t>
      </w:r>
      <w:r w:rsidR="00664CE1">
        <w:rPr>
          <w:sz w:val="24"/>
          <w:szCs w:val="24"/>
        </w:rPr>
        <w:t>材料抗过敏原性能技术要求和试验方法</w:t>
      </w:r>
      <w:r w:rsidRPr="009E7FF4">
        <w:rPr>
          <w:rFonts w:hint="eastAsia"/>
          <w:sz w:val="24"/>
          <w:szCs w:val="24"/>
        </w:rPr>
        <w:t>》</w:t>
      </w:r>
      <w:r w:rsidRPr="000C63F8">
        <w:rPr>
          <w:rFonts w:hint="eastAsia"/>
          <w:sz w:val="24"/>
          <w:szCs w:val="24"/>
        </w:rPr>
        <w:t>起草工作组</w:t>
      </w:r>
    </w:p>
    <w:p w:rsidR="00F552A4" w:rsidRDefault="009E7FF4" w:rsidP="008903EB">
      <w:pPr>
        <w:tabs>
          <w:tab w:val="right" w:pos="9542"/>
        </w:tabs>
        <w:spacing w:line="360" w:lineRule="auto"/>
        <w:ind w:right="480" w:firstLineChars="200" w:firstLine="480"/>
        <w:jc w:val="right"/>
        <w:rPr>
          <w:color w:val="0000FF"/>
          <w:sz w:val="24"/>
        </w:rPr>
      </w:pPr>
      <w:r>
        <w:rPr>
          <w:rFonts w:hint="eastAsia"/>
          <w:sz w:val="24"/>
          <w:szCs w:val="24"/>
        </w:rPr>
        <w:t>202</w:t>
      </w:r>
      <w:r w:rsidR="00664CE1">
        <w:rPr>
          <w:sz w:val="24"/>
          <w:szCs w:val="24"/>
        </w:rPr>
        <w:t>3</w:t>
      </w:r>
      <w:r w:rsidR="00320AA4" w:rsidRPr="004C7744">
        <w:rPr>
          <w:rFonts w:hint="eastAsia"/>
          <w:sz w:val="24"/>
          <w:szCs w:val="24"/>
        </w:rPr>
        <w:t>年</w:t>
      </w:r>
      <w:r w:rsidR="00664CE1">
        <w:rPr>
          <w:sz w:val="24"/>
          <w:szCs w:val="24"/>
        </w:rPr>
        <w:t>2</w:t>
      </w:r>
      <w:r w:rsidR="00320AA4" w:rsidRPr="004C7744">
        <w:rPr>
          <w:rFonts w:hint="eastAsia"/>
          <w:sz w:val="24"/>
          <w:szCs w:val="24"/>
        </w:rPr>
        <w:t>月</w:t>
      </w:r>
    </w:p>
    <w:sectPr w:rsidR="00F552A4" w:rsidSect="00581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99" w:rsidRDefault="00F64D99">
      <w:r>
        <w:separator/>
      </w:r>
    </w:p>
  </w:endnote>
  <w:endnote w:type="continuationSeparator" w:id="0">
    <w:p w:rsidR="00F64D99" w:rsidRDefault="00F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99" w:rsidRDefault="00F64D99">
      <w:r>
        <w:separator/>
      </w:r>
    </w:p>
  </w:footnote>
  <w:footnote w:type="continuationSeparator" w:id="0">
    <w:p w:rsidR="00F64D99" w:rsidRDefault="00F6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344"/>
    <w:multiLevelType w:val="hybridMultilevel"/>
    <w:tmpl w:val="BDA03ED0"/>
    <w:lvl w:ilvl="0" w:tplc="14BA9EA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 w15:restartNumberingAfterBreak="0">
    <w:nsid w:val="14011054"/>
    <w:multiLevelType w:val="hybridMultilevel"/>
    <w:tmpl w:val="F3C6B634"/>
    <w:lvl w:ilvl="0" w:tplc="032AE196">
      <w:start w:val="3"/>
      <w:numFmt w:val="decimal"/>
      <w:lvlText w:val="%1、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AF423F"/>
    <w:multiLevelType w:val="hybridMultilevel"/>
    <w:tmpl w:val="B1A6D6D0"/>
    <w:lvl w:ilvl="0" w:tplc="15F4B992">
      <w:start w:val="3"/>
      <w:numFmt w:val="decimal"/>
      <w:lvlText w:val="%1、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442B3B"/>
    <w:multiLevelType w:val="hybridMultilevel"/>
    <w:tmpl w:val="032E6E06"/>
    <w:lvl w:ilvl="0" w:tplc="7182F0DE">
      <w:start w:val="3"/>
      <w:numFmt w:val="decimal"/>
      <w:lvlText w:val="%1、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140862"/>
    <w:multiLevelType w:val="hybridMultilevel"/>
    <w:tmpl w:val="8BFEF756"/>
    <w:lvl w:ilvl="0" w:tplc="D8002804">
      <w:start w:val="3"/>
      <w:numFmt w:val="decimal"/>
      <w:lvlText w:val="%1、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8C26E8"/>
    <w:multiLevelType w:val="hybridMultilevel"/>
    <w:tmpl w:val="E7509692"/>
    <w:lvl w:ilvl="0" w:tplc="AAB44E50">
      <w:start w:val="3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ind w:left="5580" w:hanging="420"/>
      </w:pPr>
    </w:lvl>
  </w:abstractNum>
  <w:abstractNum w:abstractNumId="6" w15:restartNumberingAfterBreak="0">
    <w:nsid w:val="54FA1A63"/>
    <w:multiLevelType w:val="singleLevel"/>
    <w:tmpl w:val="54FA1A63"/>
    <w:lvl w:ilvl="0">
      <w:start w:val="3"/>
      <w:numFmt w:val="decimal"/>
      <w:suff w:val="nothing"/>
      <w:lvlText w:val="%1）"/>
      <w:lvlJc w:val="left"/>
    </w:lvl>
  </w:abstractNum>
  <w:abstractNum w:abstractNumId="7" w15:restartNumberingAfterBreak="0">
    <w:nsid w:val="73AD7465"/>
    <w:multiLevelType w:val="hybridMultilevel"/>
    <w:tmpl w:val="BD224B8A"/>
    <w:lvl w:ilvl="0" w:tplc="D370F03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9"/>
    <w:rsid w:val="00016CCA"/>
    <w:rsid w:val="00020510"/>
    <w:rsid w:val="00022B54"/>
    <w:rsid w:val="0003667F"/>
    <w:rsid w:val="0003670A"/>
    <w:rsid w:val="00043187"/>
    <w:rsid w:val="00045F74"/>
    <w:rsid w:val="00050028"/>
    <w:rsid w:val="0005008A"/>
    <w:rsid w:val="00053DB6"/>
    <w:rsid w:val="00056ADF"/>
    <w:rsid w:val="00062538"/>
    <w:rsid w:val="000629E1"/>
    <w:rsid w:val="00064BFA"/>
    <w:rsid w:val="000655EE"/>
    <w:rsid w:val="000705EB"/>
    <w:rsid w:val="00074412"/>
    <w:rsid w:val="00080E03"/>
    <w:rsid w:val="000813C4"/>
    <w:rsid w:val="00085A34"/>
    <w:rsid w:val="000864B9"/>
    <w:rsid w:val="00096189"/>
    <w:rsid w:val="00096F87"/>
    <w:rsid w:val="000A06DD"/>
    <w:rsid w:val="000A1CAC"/>
    <w:rsid w:val="000B1C88"/>
    <w:rsid w:val="000C0A97"/>
    <w:rsid w:val="000C3490"/>
    <w:rsid w:val="000C5DA0"/>
    <w:rsid w:val="000C63F8"/>
    <w:rsid w:val="000D1477"/>
    <w:rsid w:val="000D35F9"/>
    <w:rsid w:val="000E07E0"/>
    <w:rsid w:val="000F474D"/>
    <w:rsid w:val="001004FF"/>
    <w:rsid w:val="001061F1"/>
    <w:rsid w:val="001077EA"/>
    <w:rsid w:val="001122F7"/>
    <w:rsid w:val="00113E98"/>
    <w:rsid w:val="0011599B"/>
    <w:rsid w:val="00123300"/>
    <w:rsid w:val="001248B0"/>
    <w:rsid w:val="00124BE1"/>
    <w:rsid w:val="001270A4"/>
    <w:rsid w:val="00131210"/>
    <w:rsid w:val="00133AE2"/>
    <w:rsid w:val="001358DA"/>
    <w:rsid w:val="0014186A"/>
    <w:rsid w:val="00141915"/>
    <w:rsid w:val="00143060"/>
    <w:rsid w:val="00146120"/>
    <w:rsid w:val="0015433A"/>
    <w:rsid w:val="00156FC5"/>
    <w:rsid w:val="00165D9D"/>
    <w:rsid w:val="00165FEC"/>
    <w:rsid w:val="00172651"/>
    <w:rsid w:val="00184F31"/>
    <w:rsid w:val="0018522A"/>
    <w:rsid w:val="00196C3A"/>
    <w:rsid w:val="001A37D1"/>
    <w:rsid w:val="001A65FB"/>
    <w:rsid w:val="001A71FF"/>
    <w:rsid w:val="001B2FB3"/>
    <w:rsid w:val="001B4A24"/>
    <w:rsid w:val="001B529E"/>
    <w:rsid w:val="001B5C76"/>
    <w:rsid w:val="001B7AD8"/>
    <w:rsid w:val="001C0363"/>
    <w:rsid w:val="001C22A9"/>
    <w:rsid w:val="001D2080"/>
    <w:rsid w:val="001D2D0D"/>
    <w:rsid w:val="001E1928"/>
    <w:rsid w:val="001E5854"/>
    <w:rsid w:val="001E75AC"/>
    <w:rsid w:val="001F27E5"/>
    <w:rsid w:val="0020189F"/>
    <w:rsid w:val="00220B25"/>
    <w:rsid w:val="00223A0A"/>
    <w:rsid w:val="00225259"/>
    <w:rsid w:val="00225F02"/>
    <w:rsid w:val="00226269"/>
    <w:rsid w:val="00234ED5"/>
    <w:rsid w:val="00237EEC"/>
    <w:rsid w:val="0024783A"/>
    <w:rsid w:val="00250A5B"/>
    <w:rsid w:val="002574C5"/>
    <w:rsid w:val="00257F62"/>
    <w:rsid w:val="00271C84"/>
    <w:rsid w:val="00277D1A"/>
    <w:rsid w:val="0028733E"/>
    <w:rsid w:val="0029017E"/>
    <w:rsid w:val="0029585F"/>
    <w:rsid w:val="002A375E"/>
    <w:rsid w:val="002A536F"/>
    <w:rsid w:val="002A6225"/>
    <w:rsid w:val="002B3357"/>
    <w:rsid w:val="002B3FC0"/>
    <w:rsid w:val="002B484F"/>
    <w:rsid w:val="002B5FDF"/>
    <w:rsid w:val="002C01E6"/>
    <w:rsid w:val="002C46EF"/>
    <w:rsid w:val="002D1A96"/>
    <w:rsid w:val="002D204B"/>
    <w:rsid w:val="002D6766"/>
    <w:rsid w:val="002D76A6"/>
    <w:rsid w:val="002E1BA7"/>
    <w:rsid w:val="002E34B0"/>
    <w:rsid w:val="002F1532"/>
    <w:rsid w:val="002F630E"/>
    <w:rsid w:val="002F6CC4"/>
    <w:rsid w:val="002F74B5"/>
    <w:rsid w:val="00300C1A"/>
    <w:rsid w:val="00300C48"/>
    <w:rsid w:val="003015CD"/>
    <w:rsid w:val="0031267E"/>
    <w:rsid w:val="00320AA4"/>
    <w:rsid w:val="00321931"/>
    <w:rsid w:val="00325526"/>
    <w:rsid w:val="00332579"/>
    <w:rsid w:val="00337410"/>
    <w:rsid w:val="003411B4"/>
    <w:rsid w:val="00341DDD"/>
    <w:rsid w:val="003452CE"/>
    <w:rsid w:val="00345A2A"/>
    <w:rsid w:val="00347485"/>
    <w:rsid w:val="00352452"/>
    <w:rsid w:val="003529C3"/>
    <w:rsid w:val="00356C18"/>
    <w:rsid w:val="003572DF"/>
    <w:rsid w:val="00361D61"/>
    <w:rsid w:val="00365AD3"/>
    <w:rsid w:val="00373419"/>
    <w:rsid w:val="00376EBF"/>
    <w:rsid w:val="00381FAB"/>
    <w:rsid w:val="00386AE8"/>
    <w:rsid w:val="00386FB1"/>
    <w:rsid w:val="00387A37"/>
    <w:rsid w:val="00391772"/>
    <w:rsid w:val="003927CE"/>
    <w:rsid w:val="00392819"/>
    <w:rsid w:val="00396A98"/>
    <w:rsid w:val="003A1286"/>
    <w:rsid w:val="003A1529"/>
    <w:rsid w:val="003B0FB0"/>
    <w:rsid w:val="003C27EF"/>
    <w:rsid w:val="003C3501"/>
    <w:rsid w:val="003C7235"/>
    <w:rsid w:val="003C725E"/>
    <w:rsid w:val="003C7F6B"/>
    <w:rsid w:val="003D0C05"/>
    <w:rsid w:val="003E4962"/>
    <w:rsid w:val="003E6AB0"/>
    <w:rsid w:val="003F0731"/>
    <w:rsid w:val="003F225B"/>
    <w:rsid w:val="00406C41"/>
    <w:rsid w:val="004107AD"/>
    <w:rsid w:val="00413DB7"/>
    <w:rsid w:val="004205C7"/>
    <w:rsid w:val="004206A2"/>
    <w:rsid w:val="00424443"/>
    <w:rsid w:val="004316AF"/>
    <w:rsid w:val="00431F63"/>
    <w:rsid w:val="00434C56"/>
    <w:rsid w:val="0044505D"/>
    <w:rsid w:val="00445105"/>
    <w:rsid w:val="00445927"/>
    <w:rsid w:val="00451764"/>
    <w:rsid w:val="004624B7"/>
    <w:rsid w:val="00462E5C"/>
    <w:rsid w:val="00472131"/>
    <w:rsid w:val="00474347"/>
    <w:rsid w:val="0047506E"/>
    <w:rsid w:val="00492281"/>
    <w:rsid w:val="00496656"/>
    <w:rsid w:val="004A7C4F"/>
    <w:rsid w:val="004B237E"/>
    <w:rsid w:val="004B685A"/>
    <w:rsid w:val="004C42ED"/>
    <w:rsid w:val="004C47ED"/>
    <w:rsid w:val="004C6410"/>
    <w:rsid w:val="004C7744"/>
    <w:rsid w:val="004D1371"/>
    <w:rsid w:val="004D4CF8"/>
    <w:rsid w:val="004D4F06"/>
    <w:rsid w:val="004E29D4"/>
    <w:rsid w:val="004F0996"/>
    <w:rsid w:val="004F1C39"/>
    <w:rsid w:val="005044B4"/>
    <w:rsid w:val="00524F64"/>
    <w:rsid w:val="00527AFB"/>
    <w:rsid w:val="005300E7"/>
    <w:rsid w:val="005508F0"/>
    <w:rsid w:val="00550ED8"/>
    <w:rsid w:val="00557194"/>
    <w:rsid w:val="005641D4"/>
    <w:rsid w:val="00564D2F"/>
    <w:rsid w:val="00567BA1"/>
    <w:rsid w:val="005718F9"/>
    <w:rsid w:val="00572C1F"/>
    <w:rsid w:val="00572C79"/>
    <w:rsid w:val="00581B97"/>
    <w:rsid w:val="00583463"/>
    <w:rsid w:val="005845C1"/>
    <w:rsid w:val="00585660"/>
    <w:rsid w:val="0058762A"/>
    <w:rsid w:val="005917D8"/>
    <w:rsid w:val="005943E6"/>
    <w:rsid w:val="00594CC1"/>
    <w:rsid w:val="005B0B1C"/>
    <w:rsid w:val="005B1020"/>
    <w:rsid w:val="005B139C"/>
    <w:rsid w:val="005B4B4C"/>
    <w:rsid w:val="005B63DE"/>
    <w:rsid w:val="005C1189"/>
    <w:rsid w:val="005C1703"/>
    <w:rsid w:val="005D006E"/>
    <w:rsid w:val="005D3D22"/>
    <w:rsid w:val="005D4664"/>
    <w:rsid w:val="005D5EF9"/>
    <w:rsid w:val="005D6286"/>
    <w:rsid w:val="005D68B4"/>
    <w:rsid w:val="005D721C"/>
    <w:rsid w:val="005E0A92"/>
    <w:rsid w:val="005E0F2D"/>
    <w:rsid w:val="005F15A7"/>
    <w:rsid w:val="005F60C3"/>
    <w:rsid w:val="005F626D"/>
    <w:rsid w:val="005F7516"/>
    <w:rsid w:val="006020D2"/>
    <w:rsid w:val="0061076C"/>
    <w:rsid w:val="00612487"/>
    <w:rsid w:val="00612FFC"/>
    <w:rsid w:val="00613991"/>
    <w:rsid w:val="006157A6"/>
    <w:rsid w:val="00617EEF"/>
    <w:rsid w:val="006221CD"/>
    <w:rsid w:val="006237E3"/>
    <w:rsid w:val="00623A12"/>
    <w:rsid w:val="00627ABD"/>
    <w:rsid w:val="0063364E"/>
    <w:rsid w:val="00634A25"/>
    <w:rsid w:val="00642660"/>
    <w:rsid w:val="00642818"/>
    <w:rsid w:val="00646A84"/>
    <w:rsid w:val="00651283"/>
    <w:rsid w:val="00653D3C"/>
    <w:rsid w:val="00653FC3"/>
    <w:rsid w:val="00654D1E"/>
    <w:rsid w:val="006613E8"/>
    <w:rsid w:val="00664A54"/>
    <w:rsid w:val="00664CE1"/>
    <w:rsid w:val="00673207"/>
    <w:rsid w:val="006742E0"/>
    <w:rsid w:val="0067467D"/>
    <w:rsid w:val="00691A36"/>
    <w:rsid w:val="00691B0B"/>
    <w:rsid w:val="00692ABD"/>
    <w:rsid w:val="00695F0F"/>
    <w:rsid w:val="006A0DB3"/>
    <w:rsid w:val="006A1056"/>
    <w:rsid w:val="006A11FD"/>
    <w:rsid w:val="006A4DB6"/>
    <w:rsid w:val="006A6010"/>
    <w:rsid w:val="006A6037"/>
    <w:rsid w:val="006B3D52"/>
    <w:rsid w:val="006B4A60"/>
    <w:rsid w:val="006D2892"/>
    <w:rsid w:val="006D6B35"/>
    <w:rsid w:val="006E00E9"/>
    <w:rsid w:val="006E015B"/>
    <w:rsid w:val="006E3475"/>
    <w:rsid w:val="006E5F2F"/>
    <w:rsid w:val="006F2050"/>
    <w:rsid w:val="006F5C83"/>
    <w:rsid w:val="00701BB2"/>
    <w:rsid w:val="0071148B"/>
    <w:rsid w:val="00713CF3"/>
    <w:rsid w:val="00723C8D"/>
    <w:rsid w:val="00731914"/>
    <w:rsid w:val="00733EA9"/>
    <w:rsid w:val="0073483F"/>
    <w:rsid w:val="00734AAF"/>
    <w:rsid w:val="00740E01"/>
    <w:rsid w:val="00745791"/>
    <w:rsid w:val="00745FD8"/>
    <w:rsid w:val="00751B4E"/>
    <w:rsid w:val="00754011"/>
    <w:rsid w:val="007543C9"/>
    <w:rsid w:val="00755AE5"/>
    <w:rsid w:val="00756C94"/>
    <w:rsid w:val="007700E9"/>
    <w:rsid w:val="0077028E"/>
    <w:rsid w:val="00775605"/>
    <w:rsid w:val="007838E3"/>
    <w:rsid w:val="00784AF5"/>
    <w:rsid w:val="00786500"/>
    <w:rsid w:val="007878FC"/>
    <w:rsid w:val="00794AC3"/>
    <w:rsid w:val="0079608E"/>
    <w:rsid w:val="00797FDF"/>
    <w:rsid w:val="007A1EC2"/>
    <w:rsid w:val="007A6551"/>
    <w:rsid w:val="007B2FD3"/>
    <w:rsid w:val="007B3015"/>
    <w:rsid w:val="007B3469"/>
    <w:rsid w:val="007B42E9"/>
    <w:rsid w:val="007C161F"/>
    <w:rsid w:val="007D0766"/>
    <w:rsid w:val="007D3016"/>
    <w:rsid w:val="007D7889"/>
    <w:rsid w:val="007E1BD0"/>
    <w:rsid w:val="007E6084"/>
    <w:rsid w:val="007E70F6"/>
    <w:rsid w:val="007E7EF5"/>
    <w:rsid w:val="007F1AB3"/>
    <w:rsid w:val="007F5074"/>
    <w:rsid w:val="007F51B4"/>
    <w:rsid w:val="007F5F1C"/>
    <w:rsid w:val="007F78CD"/>
    <w:rsid w:val="0080035B"/>
    <w:rsid w:val="00800E22"/>
    <w:rsid w:val="00801361"/>
    <w:rsid w:val="00806DA5"/>
    <w:rsid w:val="00807F6B"/>
    <w:rsid w:val="0081638C"/>
    <w:rsid w:val="00816FCD"/>
    <w:rsid w:val="00817894"/>
    <w:rsid w:val="00821AD1"/>
    <w:rsid w:val="00824A59"/>
    <w:rsid w:val="008407BF"/>
    <w:rsid w:val="00842F8D"/>
    <w:rsid w:val="00843594"/>
    <w:rsid w:val="008442D7"/>
    <w:rsid w:val="0085762B"/>
    <w:rsid w:val="00863D97"/>
    <w:rsid w:val="00867116"/>
    <w:rsid w:val="00870590"/>
    <w:rsid w:val="00870B98"/>
    <w:rsid w:val="00875E2A"/>
    <w:rsid w:val="00885CAA"/>
    <w:rsid w:val="008903EB"/>
    <w:rsid w:val="0089097A"/>
    <w:rsid w:val="008959D9"/>
    <w:rsid w:val="00896096"/>
    <w:rsid w:val="008A2D16"/>
    <w:rsid w:val="008A50EA"/>
    <w:rsid w:val="008A781D"/>
    <w:rsid w:val="008B18F9"/>
    <w:rsid w:val="008B31C0"/>
    <w:rsid w:val="008B7063"/>
    <w:rsid w:val="008C1A1A"/>
    <w:rsid w:val="008C3A1B"/>
    <w:rsid w:val="008C4E30"/>
    <w:rsid w:val="008D7C58"/>
    <w:rsid w:val="008E503F"/>
    <w:rsid w:val="008F2013"/>
    <w:rsid w:val="008F536C"/>
    <w:rsid w:val="00906064"/>
    <w:rsid w:val="00914899"/>
    <w:rsid w:val="00922A3A"/>
    <w:rsid w:val="00923FEA"/>
    <w:rsid w:val="00924193"/>
    <w:rsid w:val="00927BBB"/>
    <w:rsid w:val="009330F9"/>
    <w:rsid w:val="0093558A"/>
    <w:rsid w:val="00936EB5"/>
    <w:rsid w:val="0094030D"/>
    <w:rsid w:val="00983F04"/>
    <w:rsid w:val="00991EC2"/>
    <w:rsid w:val="00993034"/>
    <w:rsid w:val="009A1943"/>
    <w:rsid w:val="009A3A66"/>
    <w:rsid w:val="009A542E"/>
    <w:rsid w:val="009A5B63"/>
    <w:rsid w:val="009A5C2E"/>
    <w:rsid w:val="009B0E54"/>
    <w:rsid w:val="009C0CA0"/>
    <w:rsid w:val="009C11D2"/>
    <w:rsid w:val="009C1BD7"/>
    <w:rsid w:val="009C2389"/>
    <w:rsid w:val="009C2A23"/>
    <w:rsid w:val="009C4BD4"/>
    <w:rsid w:val="009D0DA4"/>
    <w:rsid w:val="009D3D86"/>
    <w:rsid w:val="009D64FC"/>
    <w:rsid w:val="009E33E7"/>
    <w:rsid w:val="009E596F"/>
    <w:rsid w:val="009E7FF4"/>
    <w:rsid w:val="009F1280"/>
    <w:rsid w:val="00A0171E"/>
    <w:rsid w:val="00A03203"/>
    <w:rsid w:val="00A04DB5"/>
    <w:rsid w:val="00A14AB2"/>
    <w:rsid w:val="00A17233"/>
    <w:rsid w:val="00A20298"/>
    <w:rsid w:val="00A23F23"/>
    <w:rsid w:val="00A359C8"/>
    <w:rsid w:val="00A40211"/>
    <w:rsid w:val="00A4421F"/>
    <w:rsid w:val="00A444A7"/>
    <w:rsid w:val="00A464D5"/>
    <w:rsid w:val="00A47A18"/>
    <w:rsid w:val="00A504C4"/>
    <w:rsid w:val="00A561AD"/>
    <w:rsid w:val="00A57A51"/>
    <w:rsid w:val="00A60086"/>
    <w:rsid w:val="00A674B5"/>
    <w:rsid w:val="00A71986"/>
    <w:rsid w:val="00A747CD"/>
    <w:rsid w:val="00A74906"/>
    <w:rsid w:val="00A761AF"/>
    <w:rsid w:val="00A9745F"/>
    <w:rsid w:val="00A9792B"/>
    <w:rsid w:val="00AA2189"/>
    <w:rsid w:val="00AA29F7"/>
    <w:rsid w:val="00AA3906"/>
    <w:rsid w:val="00AA7B1F"/>
    <w:rsid w:val="00AB27DE"/>
    <w:rsid w:val="00AC0F41"/>
    <w:rsid w:val="00AD5ED1"/>
    <w:rsid w:val="00AE0E22"/>
    <w:rsid w:val="00AE75C4"/>
    <w:rsid w:val="00AE7EB3"/>
    <w:rsid w:val="00AF62BE"/>
    <w:rsid w:val="00B03932"/>
    <w:rsid w:val="00B10286"/>
    <w:rsid w:val="00B11A77"/>
    <w:rsid w:val="00B144AD"/>
    <w:rsid w:val="00B14A52"/>
    <w:rsid w:val="00B17B13"/>
    <w:rsid w:val="00B22AEE"/>
    <w:rsid w:val="00B23CAB"/>
    <w:rsid w:val="00B2644C"/>
    <w:rsid w:val="00B26A61"/>
    <w:rsid w:val="00B30DED"/>
    <w:rsid w:val="00B33724"/>
    <w:rsid w:val="00B36A74"/>
    <w:rsid w:val="00B422C3"/>
    <w:rsid w:val="00B46376"/>
    <w:rsid w:val="00B51DC3"/>
    <w:rsid w:val="00B52318"/>
    <w:rsid w:val="00B754A4"/>
    <w:rsid w:val="00B76131"/>
    <w:rsid w:val="00B77043"/>
    <w:rsid w:val="00B85FC5"/>
    <w:rsid w:val="00B91A4D"/>
    <w:rsid w:val="00B92554"/>
    <w:rsid w:val="00B944B2"/>
    <w:rsid w:val="00B9606D"/>
    <w:rsid w:val="00BA3628"/>
    <w:rsid w:val="00BA612B"/>
    <w:rsid w:val="00BB03DE"/>
    <w:rsid w:val="00BB0985"/>
    <w:rsid w:val="00BB7CD5"/>
    <w:rsid w:val="00BD2B6D"/>
    <w:rsid w:val="00BD3B71"/>
    <w:rsid w:val="00BD6F87"/>
    <w:rsid w:val="00BE0B1E"/>
    <w:rsid w:val="00BE450A"/>
    <w:rsid w:val="00BF4CC4"/>
    <w:rsid w:val="00BF6C79"/>
    <w:rsid w:val="00C00338"/>
    <w:rsid w:val="00C012EF"/>
    <w:rsid w:val="00C02508"/>
    <w:rsid w:val="00C02B41"/>
    <w:rsid w:val="00C049B7"/>
    <w:rsid w:val="00C073B8"/>
    <w:rsid w:val="00C10287"/>
    <w:rsid w:val="00C1120E"/>
    <w:rsid w:val="00C17401"/>
    <w:rsid w:val="00C2510B"/>
    <w:rsid w:val="00C254C4"/>
    <w:rsid w:val="00C31239"/>
    <w:rsid w:val="00C32354"/>
    <w:rsid w:val="00C333EB"/>
    <w:rsid w:val="00C65EC6"/>
    <w:rsid w:val="00C67B3E"/>
    <w:rsid w:val="00C77EE6"/>
    <w:rsid w:val="00C80ADE"/>
    <w:rsid w:val="00C840D2"/>
    <w:rsid w:val="00C90D69"/>
    <w:rsid w:val="00C91579"/>
    <w:rsid w:val="00C91CBD"/>
    <w:rsid w:val="00C93DC4"/>
    <w:rsid w:val="00C93DFF"/>
    <w:rsid w:val="00CA42BD"/>
    <w:rsid w:val="00CA498D"/>
    <w:rsid w:val="00CA68E7"/>
    <w:rsid w:val="00CB038C"/>
    <w:rsid w:val="00CB383F"/>
    <w:rsid w:val="00CB42D2"/>
    <w:rsid w:val="00CB644D"/>
    <w:rsid w:val="00CC61A3"/>
    <w:rsid w:val="00CC7661"/>
    <w:rsid w:val="00CD0A54"/>
    <w:rsid w:val="00CD6588"/>
    <w:rsid w:val="00CD6DF5"/>
    <w:rsid w:val="00CE243D"/>
    <w:rsid w:val="00CE3288"/>
    <w:rsid w:val="00CE3F28"/>
    <w:rsid w:val="00CE6261"/>
    <w:rsid w:val="00CF35D0"/>
    <w:rsid w:val="00CF5312"/>
    <w:rsid w:val="00D0003E"/>
    <w:rsid w:val="00D0017E"/>
    <w:rsid w:val="00D00635"/>
    <w:rsid w:val="00D00BF1"/>
    <w:rsid w:val="00D01E67"/>
    <w:rsid w:val="00D03430"/>
    <w:rsid w:val="00D03C1F"/>
    <w:rsid w:val="00D063F8"/>
    <w:rsid w:val="00D10E6D"/>
    <w:rsid w:val="00D112A4"/>
    <w:rsid w:val="00D17F74"/>
    <w:rsid w:val="00D30D2C"/>
    <w:rsid w:val="00D46678"/>
    <w:rsid w:val="00D54BE2"/>
    <w:rsid w:val="00D55E8E"/>
    <w:rsid w:val="00D5684B"/>
    <w:rsid w:val="00D667DB"/>
    <w:rsid w:val="00D74786"/>
    <w:rsid w:val="00D7564F"/>
    <w:rsid w:val="00D76536"/>
    <w:rsid w:val="00D8493E"/>
    <w:rsid w:val="00D862D8"/>
    <w:rsid w:val="00D86B7D"/>
    <w:rsid w:val="00D90F45"/>
    <w:rsid w:val="00D9119B"/>
    <w:rsid w:val="00D96DD0"/>
    <w:rsid w:val="00DA2A1D"/>
    <w:rsid w:val="00DA30F3"/>
    <w:rsid w:val="00DA4A26"/>
    <w:rsid w:val="00DA53F3"/>
    <w:rsid w:val="00DA6B73"/>
    <w:rsid w:val="00DB4CE8"/>
    <w:rsid w:val="00DC6800"/>
    <w:rsid w:val="00DD14CF"/>
    <w:rsid w:val="00DD1E33"/>
    <w:rsid w:val="00DD31E6"/>
    <w:rsid w:val="00DD5148"/>
    <w:rsid w:val="00DD68D5"/>
    <w:rsid w:val="00DE291C"/>
    <w:rsid w:val="00DE5642"/>
    <w:rsid w:val="00DE5E12"/>
    <w:rsid w:val="00DE7C43"/>
    <w:rsid w:val="00DF23F4"/>
    <w:rsid w:val="00DF5B5B"/>
    <w:rsid w:val="00DF66AF"/>
    <w:rsid w:val="00DF7D8E"/>
    <w:rsid w:val="00E009B8"/>
    <w:rsid w:val="00E034AD"/>
    <w:rsid w:val="00E06F2C"/>
    <w:rsid w:val="00E11393"/>
    <w:rsid w:val="00E114E4"/>
    <w:rsid w:val="00E173A9"/>
    <w:rsid w:val="00E1757E"/>
    <w:rsid w:val="00E21A2C"/>
    <w:rsid w:val="00E239E2"/>
    <w:rsid w:val="00E255B4"/>
    <w:rsid w:val="00E25BBC"/>
    <w:rsid w:val="00E33A02"/>
    <w:rsid w:val="00E35E75"/>
    <w:rsid w:val="00E45B8B"/>
    <w:rsid w:val="00E50145"/>
    <w:rsid w:val="00E50B41"/>
    <w:rsid w:val="00E526F4"/>
    <w:rsid w:val="00E53F46"/>
    <w:rsid w:val="00E63412"/>
    <w:rsid w:val="00E65AAE"/>
    <w:rsid w:val="00E704F5"/>
    <w:rsid w:val="00E746F0"/>
    <w:rsid w:val="00E77183"/>
    <w:rsid w:val="00E8164D"/>
    <w:rsid w:val="00E90CBF"/>
    <w:rsid w:val="00EA2EE4"/>
    <w:rsid w:val="00EA3B4A"/>
    <w:rsid w:val="00EA6E2F"/>
    <w:rsid w:val="00EB0347"/>
    <w:rsid w:val="00EB29D1"/>
    <w:rsid w:val="00EB3E22"/>
    <w:rsid w:val="00EC0A59"/>
    <w:rsid w:val="00EC1245"/>
    <w:rsid w:val="00EC29F4"/>
    <w:rsid w:val="00EE0ACF"/>
    <w:rsid w:val="00EE4EA8"/>
    <w:rsid w:val="00EE51CE"/>
    <w:rsid w:val="00EF49D8"/>
    <w:rsid w:val="00F01AB7"/>
    <w:rsid w:val="00F02C0B"/>
    <w:rsid w:val="00F04A16"/>
    <w:rsid w:val="00F05EC3"/>
    <w:rsid w:val="00F06210"/>
    <w:rsid w:val="00F1063B"/>
    <w:rsid w:val="00F15134"/>
    <w:rsid w:val="00F17632"/>
    <w:rsid w:val="00F30FE2"/>
    <w:rsid w:val="00F33526"/>
    <w:rsid w:val="00F34372"/>
    <w:rsid w:val="00F34FCA"/>
    <w:rsid w:val="00F354BC"/>
    <w:rsid w:val="00F360E3"/>
    <w:rsid w:val="00F41BA4"/>
    <w:rsid w:val="00F51FA3"/>
    <w:rsid w:val="00F52440"/>
    <w:rsid w:val="00F52BEE"/>
    <w:rsid w:val="00F552A4"/>
    <w:rsid w:val="00F55FA2"/>
    <w:rsid w:val="00F56766"/>
    <w:rsid w:val="00F64706"/>
    <w:rsid w:val="00F64D99"/>
    <w:rsid w:val="00F807B6"/>
    <w:rsid w:val="00F83A2A"/>
    <w:rsid w:val="00F90DA4"/>
    <w:rsid w:val="00F933AA"/>
    <w:rsid w:val="00F94612"/>
    <w:rsid w:val="00FA4363"/>
    <w:rsid w:val="00FA6B9F"/>
    <w:rsid w:val="00FB3010"/>
    <w:rsid w:val="00FB488A"/>
    <w:rsid w:val="00FB5CBE"/>
    <w:rsid w:val="00FB6035"/>
    <w:rsid w:val="00FC1031"/>
    <w:rsid w:val="00FC21FC"/>
    <w:rsid w:val="00FC2AF8"/>
    <w:rsid w:val="00FC538C"/>
    <w:rsid w:val="00FC582D"/>
    <w:rsid w:val="00FC60F2"/>
    <w:rsid w:val="00FC61AD"/>
    <w:rsid w:val="00FD10D1"/>
    <w:rsid w:val="00FD7857"/>
    <w:rsid w:val="00FE4613"/>
    <w:rsid w:val="00FF2BA4"/>
    <w:rsid w:val="00FF35B6"/>
    <w:rsid w:val="00FF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DDC18-5227-40C0-89A4-527124DB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8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9C238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styleId="a4">
    <w:name w:val="header"/>
    <w:basedOn w:val="a"/>
    <w:link w:val="Char"/>
    <w:uiPriority w:val="99"/>
    <w:unhideWhenUsed/>
    <w:rsid w:val="008B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B18F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B18F9"/>
    <w:rPr>
      <w:rFonts w:ascii="Times New Roman" w:hAnsi="Times New Roman"/>
      <w:kern w:val="2"/>
      <w:sz w:val="18"/>
      <w:szCs w:val="18"/>
    </w:rPr>
  </w:style>
  <w:style w:type="paragraph" w:customStyle="1" w:styleId="a6">
    <w:name w:val="前言、引言标题"/>
    <w:next w:val="a"/>
    <w:rsid w:val="00745FD8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7">
    <w:name w:val="章标题"/>
    <w:next w:val="a"/>
    <w:rsid w:val="00745FD8"/>
    <w:pPr>
      <w:numPr>
        <w:ilvl w:val="1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8">
    <w:name w:val="一级条标题"/>
    <w:next w:val="a"/>
    <w:rsid w:val="00745FD8"/>
    <w:pPr>
      <w:numPr>
        <w:ilvl w:val="2"/>
      </w:numPr>
      <w:outlineLvl w:val="2"/>
    </w:pPr>
    <w:rPr>
      <w:rFonts w:ascii="Times New Roman" w:eastAsia="黑体" w:hAnsi="Times New Roman"/>
      <w:sz w:val="21"/>
    </w:rPr>
  </w:style>
  <w:style w:type="paragraph" w:customStyle="1" w:styleId="a9">
    <w:name w:val="二级条标题"/>
    <w:basedOn w:val="a8"/>
    <w:next w:val="a"/>
    <w:rsid w:val="00745FD8"/>
    <w:pPr>
      <w:numPr>
        <w:ilvl w:val="3"/>
      </w:numPr>
      <w:outlineLvl w:val="3"/>
    </w:pPr>
  </w:style>
  <w:style w:type="paragraph" w:customStyle="1" w:styleId="aa">
    <w:name w:val="实施日期"/>
    <w:basedOn w:val="a"/>
    <w:rsid w:val="00745FD8"/>
    <w:pPr>
      <w:framePr w:w="4000" w:h="473" w:hRule="exact" w:vSpace="180" w:wrap="around" w:hAnchor="margin" w:xAlign="right" w:y="13511" w:anchorLock="1"/>
      <w:widowControl/>
      <w:numPr>
        <w:ilvl w:val="4"/>
      </w:numPr>
      <w:jc w:val="right"/>
    </w:pPr>
    <w:rPr>
      <w:rFonts w:eastAsia="黑体"/>
      <w:kern w:val="0"/>
      <w:sz w:val="28"/>
    </w:rPr>
  </w:style>
  <w:style w:type="paragraph" w:customStyle="1" w:styleId="ab">
    <w:name w:val="图表脚注"/>
    <w:next w:val="a"/>
    <w:rsid w:val="00745FD8"/>
    <w:pPr>
      <w:numPr>
        <w:ilvl w:val="5"/>
      </w:num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styleId="ac">
    <w:name w:val="List Paragraph"/>
    <w:basedOn w:val="a"/>
    <w:uiPriority w:val="34"/>
    <w:qFormat/>
    <w:rsid w:val="00BA3628"/>
    <w:pPr>
      <w:ind w:left="1259" w:firstLineChars="200" w:firstLine="420"/>
    </w:pPr>
    <w:rPr>
      <w:rFonts w:ascii="Calibri" w:hAnsi="Calibri"/>
      <w:szCs w:val="22"/>
    </w:rPr>
  </w:style>
  <w:style w:type="paragraph" w:styleId="ad">
    <w:name w:val="Balloon Text"/>
    <w:basedOn w:val="a"/>
    <w:link w:val="Char1"/>
    <w:uiPriority w:val="99"/>
    <w:semiHidden/>
    <w:unhideWhenUsed/>
    <w:rsid w:val="00223A0A"/>
    <w:rPr>
      <w:sz w:val="18"/>
      <w:szCs w:val="18"/>
    </w:rPr>
  </w:style>
  <w:style w:type="character" w:customStyle="1" w:styleId="Char1">
    <w:name w:val="批注框文本 Char"/>
    <w:link w:val="ad"/>
    <w:uiPriority w:val="99"/>
    <w:semiHidden/>
    <w:rsid w:val="00223A0A"/>
    <w:rPr>
      <w:rFonts w:ascii="Times New Roman" w:hAnsi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857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34A25"/>
    <w:rPr>
      <w:color w:val="0000FF"/>
      <w:u w:val="single"/>
    </w:rPr>
  </w:style>
  <w:style w:type="paragraph" w:customStyle="1" w:styleId="af0">
    <w:name w:val="段"/>
    <w:link w:val="Char2"/>
    <w:qFormat/>
    <w:rsid w:val="0086711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0"/>
    <w:qFormat/>
    <w:rsid w:val="00867116"/>
    <w:rPr>
      <w:rFonts w:ascii="宋体" w:hAnsi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2A15-EF9F-4176-8A7D-71CB961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377</Words>
  <Characters>2149</Characters>
  <Application>Microsoft Office Word</Application>
  <DocSecurity>0</DocSecurity>
  <Lines>17</Lines>
  <Paragraphs>5</Paragraphs>
  <ScaleCrop>false</ScaleCrop>
  <Company>微软中国</Company>
  <LinksUpToDate>false</LinksUpToDate>
  <CharactersWithSpaces>2521</CharactersWithSpaces>
  <SharedDoc>false</SharedDoc>
  <HLinks>
    <vt:vector size="18" baseType="variant">
      <vt:variant>
        <vt:i4>71</vt:i4>
      </vt:variant>
      <vt:variant>
        <vt:i4>9</vt:i4>
      </vt:variant>
      <vt:variant>
        <vt:i4>0</vt:i4>
      </vt:variant>
      <vt:variant>
        <vt:i4>5</vt:i4>
      </vt:variant>
      <vt:variant>
        <vt:lpwstr>http://219.239.107.141:8080/program/publicity/QBCPZT12092014.aspx</vt:lpwstr>
      </vt:variant>
      <vt:variant>
        <vt:lpwstr/>
      </vt:variant>
      <vt:variant>
        <vt:i4>5374033</vt:i4>
      </vt:variant>
      <vt:variant>
        <vt:i4>3</vt:i4>
      </vt:variant>
      <vt:variant>
        <vt:i4>0</vt:i4>
      </vt:variant>
      <vt:variant>
        <vt:i4>5</vt:i4>
      </vt:variant>
      <vt:variant>
        <vt:lpwstr>javascript:ShowStdInfo('GB/T 20292-2006')</vt:lpwstr>
      </vt:variant>
      <vt:variant>
        <vt:lpwstr/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http://219.239.107.141:8080/program/publicity/QBCPZT12092014.aspx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</dc:creator>
  <cp:lastModifiedBy>冯素梅</cp:lastModifiedBy>
  <cp:revision>8</cp:revision>
  <dcterms:created xsi:type="dcterms:W3CDTF">2023-02-17T01:39:00Z</dcterms:created>
  <dcterms:modified xsi:type="dcterms:W3CDTF">2023-02-20T01:43:00Z</dcterms:modified>
</cp:coreProperties>
</file>