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framePr w:hSpace="0" w:vSpace="0" w:wrap="auto" w:vAnchor="margin" w:hAnchor="text" w:yAlign="inline"/>
        <w:rPr>
          <w:rFonts w:ascii="黑体"/>
          <w:color w:val="000000"/>
        </w:rPr>
      </w:pPr>
      <w:r>
        <w:rPr>
          <w:rFonts w:ascii="黑体" w:cs="黑体"/>
          <w:color w:val="000000"/>
        </w:rPr>
        <w:t>ICS 97.040.30</w:t>
      </w:r>
    </w:p>
    <w:p>
      <w:pPr>
        <w:pStyle w:val="39"/>
        <w:framePr w:hSpace="0" w:vSpace="0" w:wrap="auto" w:vAnchor="margin" w:hAnchor="text" w:yAlign="inline"/>
        <w:rPr>
          <w:rFonts w:ascii="黑体" w:cs="黑体"/>
          <w:color w:val="000000"/>
        </w:rPr>
      </w:pPr>
      <w:r>
        <w:rPr>
          <w:rFonts w:ascii="黑体" w:cs="黑体"/>
          <w:color w:val="000000"/>
        </w:rPr>
        <w:t>CCS Y 61</w:t>
      </w:r>
    </w:p>
    <w:p>
      <w:pPr>
        <w:pStyle w:val="39"/>
        <w:framePr w:hSpace="0" w:vSpace="0" w:wrap="auto" w:vAnchor="margin" w:hAnchor="text" w:yAlign="inline"/>
        <w:jc w:val="right"/>
        <w:rPr>
          <w:b/>
          <w:szCs w:val="21"/>
        </w:rPr>
      </w:pPr>
    </w:p>
    <w:p>
      <w:pPr>
        <w:pStyle w:val="39"/>
        <w:framePr w:hSpace="0" w:vSpace="0" w:wrap="auto" w:vAnchor="margin" w:hAnchor="text" w:yAlign="inline"/>
      </w:pPr>
    </w:p>
    <w:p>
      <w:pPr>
        <w:pStyle w:val="39"/>
        <w:framePr w:hSpace="0" w:vSpace="0" w:wrap="auto" w:vAnchor="margin" w:hAnchor="text" w:yAlign="inline"/>
      </w:pPr>
    </w:p>
    <w:p>
      <w:pPr>
        <w:pStyle w:val="36"/>
        <w:ind w:left="-10" w:leftChars="-136" w:right="-483" w:rightChars="-230" w:hanging="276" w:hangingChars="34"/>
        <w:jc w:val="center"/>
      </w:pPr>
    </w:p>
    <w:p>
      <w:pPr>
        <w:pStyle w:val="36"/>
        <w:ind w:left="-167" w:leftChars="-136" w:right="-483" w:rightChars="-230" w:hanging="119" w:hangingChars="34"/>
        <w:jc w:val="center"/>
      </w:pPr>
      <w:r>
        <w:rPr>
          <w:sz w:val="21"/>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469900</wp:posOffset>
                </wp:positionV>
                <wp:extent cx="5887720" cy="0"/>
                <wp:effectExtent l="0" t="0" r="17780" b="0"/>
                <wp:wrapTopAndBottom/>
                <wp:docPr id="41" name="直接连接符 41"/>
                <wp:cNvGraphicFramePr/>
                <a:graphic xmlns:a="http://schemas.openxmlformats.org/drawingml/2006/main">
                  <a:graphicData uri="http://schemas.microsoft.com/office/word/2010/wordprocessingShape">
                    <wps:wsp>
                      <wps:cNvCnPr/>
                      <wps:spPr>
                        <a:xfrm>
                          <a:off x="0" y="0"/>
                          <a:ext cx="588772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65pt;margin-top:37pt;height:0pt;width:463.6pt;mso-wrap-distance-bottom:0pt;mso-wrap-distance-top:0pt;z-index:251661312;mso-width-relative:page;mso-height-relative:page;" filled="f" stroked="t" coordsize="21600,21600" o:gfxdata="UEsDBAoAAAAAAIdO4kAAAAAAAAAAAAAAAAAEAAAAZHJzL1BLAwQUAAAACACHTuJAw9FgYdgAAAAJ&#10;AQAADwAAAGRycy9kb3ducmV2LnhtbE2PTU/DMAyG70j8h8hI3LZ0Y6JdaboDaJpAXLYhcfVa0xQa&#10;p2uyD/49RjvA0faj189bLM6uU0caQuvZwGScgCKufN1yY+BtuxxloEJErrHzTAa+KcCivL4qMK/9&#10;idd03MRGSQiHHA3YGPtc61BZchjGvieW24cfHEYZh0bXA54k3HV6miT32mHL8sFiT4+Wqq/NwRnA&#10;p9U6vmfTl7R9tq+f2+V+ZbO9Mbc3k+QBVKRz/IPhV1/UoRSnnT9wHVRnYDRL7wQ1kM6kkwBZOp+D&#10;2l0Wuiz0/wblD1BLAwQUAAAACACHTuJASgovh/IBAADpAwAADgAAAGRycy9lMm9Eb2MueG1srVO9&#10;jhMxEO6ReAfLPdkkAhKtsrniwtEgiAQ8wMT2Zi35Tx5fNnkJXgCJDipKet6Gu8dg7M2F465JcVt4&#10;x56Zb+b7PF5c7K1hOxVRe9fwyWjMmXLCS+22Df/86erFnDNM4CQY71TDDwr5xfL5s0UfajX1nTdS&#10;RUYgDus+NLxLKdRVhaJTFnDkg3LkbH20kGgbt5WM0BO6NdV0PH5d9T7KEL1QiHS6Gpz8iBjPAfRt&#10;q4VaeXFtlUsDalQGElHCTgfky9Jt2yqRPrQtqsRMw4lpKisVIXuT12q5gHobIXRaHFuAc1p4wMmC&#10;dlT0BLWCBOw66kdQVovo0bdpJLytBiJFEWIxGT/Q5mMHQRUuJDWGk+j4dLDi/W4dmZYNfznhzIGl&#10;G7/5+uvPl++3v7/RevPzByMPydQHrCn60q3jcYdhHTPnfRtt/hMbti/SHk7Sqn1igg5fzeez2ZRU&#10;F3e+6l9iiJjeKm9ZNhputMusoYbdO0xUjELvQvKxcaynyZ3OxhkPaAZbunsybSAe6LYlGb3R8kob&#10;k1MwbjeXJrId5DkoX+ZEwP+F5SorwG6IK65hQjoF8o2TLB0CCeToYfDcg1WSM6PoHWWLAKFOoM05&#10;kVTauJygypQeiWaRB1mztfHyUNSu8o4moHR8nNY8Yvf3ZN9/o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9FgYdgAAAAJAQAADwAAAAAAAAABACAAAAAiAAAAZHJzL2Rvd25yZXYueG1sUEsBAhQA&#10;FAAAAAgAh07iQEoKL4fyAQAA6QMAAA4AAAAAAAAAAQAgAAAAJwEAAGRycy9lMm9Eb2MueG1sUEsF&#10;BgAAAAAGAAYAWQEAAIsFAAAAAA==&#10;">
                <v:fill on="f" focussize="0,0"/>
                <v:stroke weight="1pt" color="#000000" joinstyle="round"/>
                <v:imagedata o:title=""/>
                <o:lock v:ext="edit" aspectratio="f"/>
                <w10:wrap type="topAndBottom"/>
              </v:line>
            </w:pict>
          </mc:Fallback>
        </mc:AlternateContent>
      </w:r>
    </w:p>
    <w:p>
      <w:pPr>
        <w:pStyle w:val="36"/>
        <w:ind w:left="-95" w:leftChars="-136" w:right="-483" w:rightChars="-230" w:hanging="191" w:hangingChars="34"/>
        <w:jc w:val="center"/>
      </w:pPr>
      <w:bookmarkStart w:id="22" w:name="_GoBack"/>
      <w:bookmarkEnd w:id="22"/>
      <w:r>
        <w:rPr>
          <w:w w:val="100"/>
        </w:rPr>
        <mc:AlternateContent>
          <mc:Choice Requires="wps">
            <w:drawing>
              <wp:anchor distT="0" distB="0" distL="114300" distR="114300" simplePos="0" relativeHeight="251662336" behindDoc="0" locked="1" layoutInCell="0" allowOverlap="1">
                <wp:simplePos x="0" y="0"/>
                <wp:positionH relativeFrom="margin">
                  <wp:posOffset>-309245</wp:posOffset>
                </wp:positionH>
                <wp:positionV relativeFrom="margin">
                  <wp:posOffset>965200</wp:posOffset>
                </wp:positionV>
                <wp:extent cx="5919470" cy="39116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919470" cy="391160"/>
                        </a:xfrm>
                        <a:prstGeom prst="rect">
                          <a:avLst/>
                        </a:prstGeom>
                        <a:solidFill>
                          <a:srgbClr val="FFFFFF"/>
                        </a:solidFill>
                        <a:ln>
                          <a:noFill/>
                        </a:ln>
                      </wps:spPr>
                      <wps:txbx>
                        <w:txbxContent>
                          <w:p>
                            <w:pPr>
                              <w:pStyle w:val="36"/>
                              <w:rPr>
                                <w:sz w:val="44"/>
                                <w:szCs w:val="44"/>
                              </w:rPr>
                            </w:pPr>
                            <w:r>
                              <w:rPr>
                                <w:rFonts w:hint="eastAsia"/>
                                <w:sz w:val="44"/>
                                <w:szCs w:val="44"/>
                              </w:rPr>
                              <w:t>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5pt;margin-top:76pt;height:30.8pt;width:466.1pt;mso-position-horizontal-relative:margin;mso-position-vertical-relative:margin;z-index:251662336;mso-width-relative:page;mso-height-relative:page;" fillcolor="#FFFFFF" filled="t" stroked="f" coordsize="21600,21600" o:allowincell="f" o:gfxdata="UEsDBAoAAAAAAIdO4kAAAAAAAAAAAAAAAAAEAAAAZHJzL1BLAwQUAAAACACHTuJACOrBKdoAAAAL&#10;AQAADwAAAGRycy9kb3ducmV2LnhtbE2PQU/CQBCF7yb+h82YeDGwbZHalG5JBL3pASScl+7QNnZn&#10;m+6Wwr93POlx8r68+V6xvtpOXHDwrSMF8TwCgVQ501Kt4PD1PstA+KDJ6M4RKrihh3V5f1fo3LiJ&#10;dnjZh1pwCflcK2hC6HMpfdWg1X7ueiTOzm6wOvA51NIMeuJy28kkilJpdUv8odE9bhqsvvejVZBu&#10;h3Ha0eZpe3j70J99nRxfb0elHh/iaAUi4DX8wfCrz+pQstPJjWS86BTMnrMXRjlYJjyKiSxbLEGc&#10;FCTxIgVZFvL/hvIHUEsDBBQAAAAIAIdO4kDxXPvnIQIAADAEAAAOAAAAZHJzL2Uyb0RvYy54bWyt&#10;U82O0zAQviPxDpbvNO0CC42arpZWRUjLj7TwAI7jJBaOx4zdJssDwBtw4sKd5+pzMHbasiqXPZBD&#10;NLZnPs/3zefF1dAZtlPoNdiCzyZTzpSVUGnbFPzTx82Tl5z5IGwlDFhV8Dvl+dXy8aNF73J1AS2Y&#10;SiEjEOvz3hW8DcHlWeZlqzrhJ+CUpcMasBOBlthkFYqe0DuTXUynl1kPWDkEqbyn3fV4yA+I+BBA&#10;qGst1RrktlM2jKiojAhEybfaeb5M3da1kuF9XXsVmCk4MQ3pT5dQXMZ/tlyIvEHhWi0PLYiHtHDG&#10;qRPa0qUnqLUIgm1R/wPVaYngoQ4TCV02EkmKEIvZ9Eyb21Y4lbiQ1N6dRPf/D1a+231Apitywpwz&#10;Kzqa+P7H9/3P3/tf3xjtkUC98znl3TrKDMMrGCg5kfXuBuRnzyysWmEbdY0IfatERQ3OYmV2r3TE&#10;8RGk7N9CRReJbYAENNTYRfVID0boNJy703DUEJikzefz2fzZCzqSdPZ0PptdpullIj9WO/ThtYKO&#10;xaDgSMNP6GJ340PsRuTHlHiZB6OrjTYmLbApVwbZTpBRNulLBM7SjI3JFmLZiBh3Es3IbOQYhnI4&#10;yFZCdUeEEUbj0bOjoAX8yllPpiu4/7IVqDgzbyyJFh16DPAYlMdAWEmlBQ+cjeEqjE7eOtRNS8jj&#10;WCxck7C1TpzjBMYuDn2SkZIUB9NHp95fp6y/D33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q&#10;wSnaAAAACwEAAA8AAAAAAAAAAQAgAAAAIgAAAGRycy9kb3ducmV2LnhtbFBLAQIUABQAAAAIAIdO&#10;4kDxXPvnIQIAADAEAAAOAAAAAAAAAAEAIAAAACkBAABkcnMvZTJvRG9jLnhtbFBLBQYAAAAABgAG&#10;AFkBAAC8BQAAAAA=&#10;">
                <v:fill on="t" focussize="0,0"/>
                <v:stroke on="f"/>
                <v:imagedata o:title=""/>
                <o:lock v:ext="edit" aspectratio="f"/>
                <v:textbox inset="0mm,0mm,0mm,0mm">
                  <w:txbxContent>
                    <w:p>
                      <w:pPr>
                        <w:pStyle w:val="36"/>
                        <w:rPr>
                          <w:sz w:val="44"/>
                          <w:szCs w:val="44"/>
                        </w:rPr>
                      </w:pPr>
                      <w:r>
                        <w:rPr>
                          <w:rFonts w:hint="eastAsia"/>
                          <w:sz w:val="44"/>
                          <w:szCs w:val="44"/>
                        </w:rPr>
                        <w:t>团体标准</w:t>
                      </w:r>
                    </w:p>
                  </w:txbxContent>
                </v:textbox>
                <w10:anchorlock/>
              </v:shape>
            </w:pict>
          </mc:Fallback>
        </mc:AlternateContent>
      </w:r>
      <w:r>
        <mc:AlternateContent>
          <mc:Choice Requires="wps">
            <w:drawing>
              <wp:anchor distT="0" distB="0" distL="114300" distR="114300" simplePos="0" relativeHeight="251663360" behindDoc="1" locked="1" layoutInCell="0" allowOverlap="1">
                <wp:simplePos x="0" y="0"/>
                <wp:positionH relativeFrom="margin">
                  <wp:posOffset>3400425</wp:posOffset>
                </wp:positionH>
                <wp:positionV relativeFrom="margin">
                  <wp:posOffset>1295400</wp:posOffset>
                </wp:positionV>
                <wp:extent cx="2087880" cy="472440"/>
                <wp:effectExtent l="0" t="0" r="7620" b="381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087880" cy="472440"/>
                        </a:xfrm>
                        <a:prstGeom prst="rect">
                          <a:avLst/>
                        </a:prstGeom>
                        <a:solidFill>
                          <a:srgbClr val="FFFFFF"/>
                        </a:solidFill>
                        <a:ln>
                          <a:noFill/>
                        </a:ln>
                      </wps:spPr>
                      <wps:txbx>
                        <w:txbxContent>
                          <w:p>
                            <w:pPr>
                              <w:pStyle w:val="42"/>
                              <w:rPr>
                                <w:rFonts w:ascii="黑体" w:hAnsi="黑体" w:eastAsia="黑体"/>
                                <w:szCs w:val="28"/>
                              </w:rPr>
                            </w:pPr>
                            <w:r>
                              <w:rPr>
                                <w:szCs w:val="28"/>
                              </w:rPr>
                              <w:t>T/ CNLIC</w:t>
                            </w:r>
                            <w:r>
                              <w:rPr>
                                <w:rFonts w:hint="eastAsia"/>
                                <w:sz w:val="21"/>
                              </w:rPr>
                              <w:t xml:space="preserve"> XXXX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7.75pt;margin-top:102pt;height:37.2pt;width:164.4pt;mso-position-horizontal-relative:margin;mso-position-vertical-relative:margin;z-index:-251653120;mso-width-relative:page;mso-height-relative:page;" fillcolor="#FFFFFF" filled="t" stroked="f" coordsize="21600,21600" o:allowincell="f" o:gfxdata="UEsDBAoAAAAAAIdO4kAAAAAAAAAAAAAAAAAEAAAAZHJzL1BLAwQUAAAACACHTuJAxMV8XdoAAAAL&#10;AQAADwAAAGRycy9kb3ducmV2LnhtbE2PwU7DMAyG70i8Q2QkLogl69pSlaaT2OAGh41p56wJbUXj&#10;VEm6bm+POcHR9qff31+tL3ZgZ+ND71DCciGAGWyc7rGVcPh8eyyAhahQq8GhkXA1Adb17U2lSu1m&#10;3JnzPraMQjCUSkIX41hyHprOWBUWbjRIty/nrYo0+pZrr2YKtwNPhMi5VT3Sh06NZtOZ5ns/WQn5&#10;1k/zDjcP28Pru/oY2+T4cj1KeX+3FM/AornEPxh+9UkdanI6uQl1YIOEbJVlhEpIREqliCjydAXs&#10;RJunIgVeV/x/h/oHUEsDBBQAAAAIAIdO4kB6xYo4IAIAADAEAAAOAAAAZHJzL2Uyb0RvYy54bWyt&#10;U82O0zAQviPxDpbvNG1VsVXUdLW0KkJafqSFB3Acp7FwPGbsNikPAG/AiQt3nqvPwdhpy6pc9kAO&#10;0die+TzfN58Xt31r2F6h12ALPhmNOVNWQqXttuCfPm5ezDnzQdhKGLCq4Afl+e3y+bNF53I1hQZM&#10;pZARiPV55wrehODyLPOyUa3wI3DK0mEN2IpAS9xmFYqO0FuTTcfjl1kHWDkEqbyn3fVwyE+I+BRA&#10;qGst1RrkrlU2DKiojAhEyTfaeb5M3da1kuF9XXsVmCk4MQ3pT5dQXMZ/tlyIfIvCNVqeWhBPaeGK&#10;Uyu0pUsvUGsRBNuh/geq1RLBQx1GEtpsIJIUIRaT8ZU2D41wKnEhqb27iO7/H6x8t/+ATFfkBJq7&#10;FS1N/Pjj+/Hn7+Ovb4z2SKDO+ZzyHhxlhv4V9JScyHp3D/KzZxZWjbBbdYcIXaNERQ1OYmX2qHTA&#10;8RGk7N5CRReJXYAE1NfYRvVID0boNJzDZTiqD0zS5nQ8v5nP6UjS2exmOpul6WUiP1c79OG1gpbF&#10;oOBIw0/oYn/vQ+xG5OeUeJkHo6uNNiYtcFuuDLK9IKNs0pcIXKUZG5MtxLIBMe4kmpHZwDH0ZX+S&#10;rYTqQIQRBuPRs6OgAfzKWUemK7j/shOoODNvLIkWHXoO8ByU50BYSaUFD5wN4SoMTt451NuGkIex&#10;WLgjYWudOMcJDF2c+iQjJSlOpo9OfbxOWX8f+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MV8&#10;XdoAAAALAQAADwAAAAAAAAABACAAAAAiAAAAZHJzL2Rvd25yZXYueG1sUEsBAhQAFAAAAAgAh07i&#10;QHrFijggAgAAMAQAAA4AAAAAAAAAAQAgAAAAKQEAAGRycy9lMm9Eb2MueG1sUEsFBgAAAAAGAAYA&#10;WQEAALsFAAAAAA==&#10;">
                <v:fill on="t" focussize="0,0"/>
                <v:stroke on="f"/>
                <v:imagedata o:title=""/>
                <o:lock v:ext="edit" aspectratio="f"/>
                <v:textbox inset="0mm,0mm,0mm,0mm">
                  <w:txbxContent>
                    <w:p>
                      <w:pPr>
                        <w:pStyle w:val="42"/>
                        <w:rPr>
                          <w:rFonts w:ascii="黑体" w:hAnsi="黑体" w:eastAsia="黑体"/>
                          <w:szCs w:val="28"/>
                        </w:rPr>
                      </w:pPr>
                      <w:r>
                        <w:rPr>
                          <w:szCs w:val="28"/>
                        </w:rPr>
                        <w:t>T/ CNLIC</w:t>
                      </w:r>
                      <w:r>
                        <w:rPr>
                          <w:rFonts w:hint="eastAsia"/>
                          <w:sz w:val="21"/>
                        </w:rPr>
                        <w:t xml:space="preserve"> XXXX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v:textbox>
                <w10:anchorlock/>
              </v:shape>
            </w:pict>
          </mc:Fallback>
        </mc:AlternateContent>
      </w:r>
      <w:bookmarkStart w:id="0" w:name="_Toc388513519"/>
      <w:bookmarkEnd w:id="0"/>
      <w:bookmarkStart w:id="1" w:name="_Toc388512205"/>
      <w:bookmarkEnd w:id="1"/>
      <w:bookmarkStart w:id="2" w:name="_Toc388513452"/>
      <w:bookmarkEnd w:id="2"/>
      <w:bookmarkStart w:id="3" w:name="_Toc388512741"/>
      <w:bookmarkEnd w:id="3"/>
      <w:bookmarkStart w:id="4" w:name="_Toc388513326"/>
      <w:bookmarkEnd w:id="4"/>
      <w:r>
        <mc:AlternateContent>
          <mc:Choice Requires="wps">
            <w:drawing>
              <wp:anchor distT="0" distB="0" distL="114300" distR="114300" simplePos="0" relativeHeight="251664384" behindDoc="0" locked="1" layoutInCell="0" allowOverlap="1">
                <wp:simplePos x="0" y="0"/>
                <wp:positionH relativeFrom="margin">
                  <wp:posOffset>-2540</wp:posOffset>
                </wp:positionH>
                <wp:positionV relativeFrom="margin">
                  <wp:posOffset>3775075</wp:posOffset>
                </wp:positionV>
                <wp:extent cx="5277485" cy="2816225"/>
                <wp:effectExtent l="0" t="0" r="0" b="317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277485" cy="2816225"/>
                        </a:xfrm>
                        <a:prstGeom prst="rect">
                          <a:avLst/>
                        </a:prstGeom>
                        <a:solidFill>
                          <a:srgbClr val="FFFFFF"/>
                        </a:solidFill>
                        <a:ln>
                          <a:noFill/>
                        </a:ln>
                      </wps:spPr>
                      <wps:txbx>
                        <w:txbxContent>
                          <w:p>
                            <w:pPr>
                              <w:jc w:val="center"/>
                              <w:rPr>
                                <w:rFonts w:ascii="黑体" w:hAnsi="黑体" w:eastAsia="黑体"/>
                                <w:sz w:val="52"/>
                                <w:szCs w:val="52"/>
                              </w:rPr>
                            </w:pPr>
                            <w:r>
                              <w:rPr>
                                <w:rFonts w:hint="eastAsia" w:ascii="黑体" w:hAnsi="黑体" w:eastAsia="黑体"/>
                                <w:sz w:val="52"/>
                                <w:szCs w:val="52"/>
                              </w:rPr>
                              <w:t>家用电冰箱 电场保鲜技术评价要求及试验方法</w:t>
                            </w:r>
                          </w:p>
                          <w:p>
                            <w:pPr>
                              <w:spacing w:line="360" w:lineRule="auto"/>
                              <w:jc w:val="center"/>
                              <w:rPr>
                                <w:rFonts w:ascii="Times New Roman" w:hAnsi="Times New Roman" w:eastAsia="黑体" w:cs="Times New Roman"/>
                                <w:bCs/>
                                <w:color w:val="000000"/>
                                <w:spacing w:val="20"/>
                                <w:sz w:val="28"/>
                                <w:szCs w:val="52"/>
                              </w:rPr>
                            </w:pPr>
                            <w:r>
                              <w:rPr>
                                <w:rFonts w:ascii="Times New Roman" w:cs="Times New Roman"/>
                                <w:b/>
                                <w:color w:val="000000"/>
                                <w:kern w:val="0"/>
                                <w:sz w:val="28"/>
                                <w:szCs w:val="28"/>
                              </w:rPr>
                              <w:t>Household refrigerator</w:t>
                            </w:r>
                            <w:r>
                              <w:rPr>
                                <w:rFonts w:hint="eastAsia" w:ascii="Times New Roman" w:cs="Times New Roman"/>
                                <w:b/>
                                <w:color w:val="000000"/>
                                <w:kern w:val="0"/>
                                <w:sz w:val="28"/>
                                <w:szCs w:val="28"/>
                              </w:rPr>
                              <w:t>—E</w:t>
                            </w:r>
                            <w:r>
                              <w:rPr>
                                <w:rFonts w:ascii="Times New Roman" w:cs="Times New Roman"/>
                                <w:b/>
                                <w:color w:val="000000"/>
                                <w:kern w:val="0"/>
                                <w:sz w:val="28"/>
                                <w:szCs w:val="28"/>
                              </w:rPr>
                              <w:t>valuation requirements and test method</w:t>
                            </w:r>
                            <w:r>
                              <w:rPr>
                                <w:rFonts w:ascii="Times New Roman" w:cs="Times New Roman"/>
                                <w:b/>
                                <w:color w:val="000000"/>
                                <w:sz w:val="28"/>
                                <w:szCs w:val="28"/>
                              </w:rPr>
                              <w:t>s for Electric Field Preservation Technology</w:t>
                            </w:r>
                          </w:p>
                          <w:p>
                            <w:pPr>
                              <w:pStyle w:val="52"/>
                              <w:spacing w:line="500" w:lineRule="exact"/>
                              <w:rPr>
                                <w:rFonts w:ascii="Times New Roman" w:cs="Times New Roman"/>
                                <w:b/>
                                <w:color w:val="000000"/>
                                <w:sz w:val="28"/>
                                <w:szCs w:val="28"/>
                              </w:rPr>
                            </w:pP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(征求意见</w:t>
                            </w:r>
                            <w:r>
                              <w:rPr>
                                <w:rFonts w:hint="eastAsia" w:ascii="宋体" w:hAnsi="宋体" w:eastAsia="宋体" w:cs="Times New Roman"/>
                                <w:color w:val="000000" w:themeColor="text1"/>
                                <w:sz w:val="28"/>
                                <w:szCs w:val="28"/>
                                <w14:textFill>
                                  <w14:solidFill>
                                    <w14:schemeClr w14:val="tx1"/>
                                  </w14:solidFill>
                                </w14:textFill>
                              </w:rPr>
                              <w:t>稿</w:t>
                            </w:r>
                            <w:r>
                              <w:rPr>
                                <w:rFonts w:hint="eastAsia" w:ascii="宋体" w:hAnsi="宋体" w:eastAsia="宋体" w:cs="Times New Roman"/>
                                <w:color w:val="000000"/>
                                <w:sz w:val="28"/>
                                <w:szCs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2pt;margin-top:297.25pt;height:221.75pt;width:415.55pt;mso-position-horizontal-relative:margin;mso-position-vertical-relative:margin;z-index:251664384;mso-width-relative:page;mso-height-relative:page;" fillcolor="#FFFFFF" filled="t" stroked="f" coordsize="21600,21600" o:allowincell="f" o:gfxdata="UEsDBAoAAAAAAIdO4kAAAAAAAAAAAAAAAAAEAAAAZHJzL1BLAwQUAAAACACHTuJAZbtmetkAAAAK&#10;AQAADwAAAGRycy9kb3ducmV2LnhtbE2Py07DMBBF90j8gzVIbFBr952GOJVoYQeLlqprNx6SiHgc&#10;xU7T/j3DCpaje3TvmWxzdY24YBdqTxomYwUCqfC2plLD8fNtlIAI0ZA1jSfUcMMAm/z+LjOp9QPt&#10;8XKIpeASCqnRUMXYplKGokJnwti3SJx9+c6ZyGdXStuZgctdI6dKLaUzNfFCZVrcVlh8H3qnYbnr&#10;+mFP26fd8fXdfLTl9PRyO2n9+DBRzyAiXuMfDL/6rA45O519TzaIRsNozqCGxXq+AMF5MlMrEGcG&#10;1SxRIPNM/n8h/wFQSwMEFAAAAAgAh07iQC+qYxsjAgAAMQQAAA4AAABkcnMvZTJvRG9jLnhtbK1T&#10;zY7TMBC+I/EOlu80bUS3VdR0tbQqQlp+pIUHcBynsUg8Zuw2KQ8Ab8BpL9x5rj4HY6cty3LZAzlE&#10;4/HMN/N9M15c923D9gqdBpPzyWjMmTISSm22Of/0cfNizpnzwpSiAaNyflCOXy+fP1t0NlMp1NCU&#10;ChmBGJd1Nue19zZLEidr1Qo3AqsMXVaArfB0xG1SougIvW2SdDy+SjrA0iJI5Rx518MlPyHiUwCh&#10;qrRUa5C7Vhk/oKJqhCdKrtbW8WXstqqU9O+ryinPmpwTUx//VITsIvyT5UJkWxS21vLUgnhKC484&#10;tUIbKnqBWgsv2A71P1CtlggOKj+S0CYDkagIsZiMH2lzVwurIheS2tmL6O7/wcp3+w/IdEmbMOPM&#10;iJYmfvzx/Xj/6/jzGyMfCdRZl1HcnaVI37+CnoIjWWdvQX52zMCqFmarbhChq5UoqcFJyEwepA44&#10;LoAU3VsoqZDYeYhAfYVtUI/0YIROwzlchqN6zyQ5p+ls9nI+5UzSXTqfXKXpNNYQ2TndovOvFbQs&#10;GDlHmn6EF/tb50M7IjuHhGoOGl1udNPEA26LVYNsL2hTNvE7of8V1pgQbCCkDYjBE3kGagNJ3xf9&#10;SbcCygMxRhg2j94dGTXgV8462rqcuy87gYqz5o0h1cKKng08G8XZEEZSas49Z4O58sMq7yzqbU3I&#10;w1wM3JCylY6cwwiGLk590iZFKU5bH1b14TlG/Xnp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u2Z62QAAAAoBAAAPAAAAAAAAAAEAIAAAACIAAABkcnMvZG93bnJldi54bWxQSwECFAAUAAAACACH&#10;TuJAL6pjGyMCAAAxBAAADgAAAAAAAAABACAAAAAoAQAAZHJzL2Uyb0RvYy54bWxQSwUGAAAAAAYA&#10;BgBZAQAAvQUAAAAA&#10;">
                <v:fill on="t" focussize="0,0"/>
                <v:stroke on="f"/>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家用电冰箱 电场保鲜技术评价要求及试验方法</w:t>
                      </w:r>
                    </w:p>
                    <w:p>
                      <w:pPr>
                        <w:spacing w:line="360" w:lineRule="auto"/>
                        <w:jc w:val="center"/>
                        <w:rPr>
                          <w:rFonts w:ascii="Times New Roman" w:hAnsi="Times New Roman" w:eastAsia="黑体" w:cs="Times New Roman"/>
                          <w:bCs/>
                          <w:color w:val="000000"/>
                          <w:spacing w:val="20"/>
                          <w:sz w:val="28"/>
                          <w:szCs w:val="52"/>
                        </w:rPr>
                      </w:pPr>
                      <w:r>
                        <w:rPr>
                          <w:rFonts w:ascii="Times New Roman" w:cs="Times New Roman"/>
                          <w:b/>
                          <w:color w:val="000000"/>
                          <w:kern w:val="0"/>
                          <w:sz w:val="28"/>
                          <w:szCs w:val="28"/>
                        </w:rPr>
                        <w:t>Household refrigerator</w:t>
                      </w:r>
                      <w:r>
                        <w:rPr>
                          <w:rFonts w:hint="eastAsia" w:ascii="Times New Roman" w:cs="Times New Roman"/>
                          <w:b/>
                          <w:color w:val="000000"/>
                          <w:kern w:val="0"/>
                          <w:sz w:val="28"/>
                          <w:szCs w:val="28"/>
                        </w:rPr>
                        <w:t>—E</w:t>
                      </w:r>
                      <w:r>
                        <w:rPr>
                          <w:rFonts w:ascii="Times New Roman" w:cs="Times New Roman"/>
                          <w:b/>
                          <w:color w:val="000000"/>
                          <w:kern w:val="0"/>
                          <w:sz w:val="28"/>
                          <w:szCs w:val="28"/>
                        </w:rPr>
                        <w:t>valuation requirements and test method</w:t>
                      </w:r>
                      <w:r>
                        <w:rPr>
                          <w:rFonts w:ascii="Times New Roman" w:cs="Times New Roman"/>
                          <w:b/>
                          <w:color w:val="000000"/>
                          <w:sz w:val="28"/>
                          <w:szCs w:val="28"/>
                        </w:rPr>
                        <w:t>s for Electric Field Preservation Technology</w:t>
                      </w:r>
                    </w:p>
                    <w:p>
                      <w:pPr>
                        <w:pStyle w:val="52"/>
                        <w:spacing w:line="500" w:lineRule="exact"/>
                        <w:rPr>
                          <w:rFonts w:ascii="Times New Roman" w:cs="Times New Roman"/>
                          <w:b/>
                          <w:color w:val="000000"/>
                          <w:sz w:val="28"/>
                          <w:szCs w:val="28"/>
                        </w:rPr>
                      </w:pP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(征求意见</w:t>
                      </w:r>
                      <w:r>
                        <w:rPr>
                          <w:rFonts w:hint="eastAsia" w:ascii="宋体" w:hAnsi="宋体" w:eastAsia="宋体" w:cs="Times New Roman"/>
                          <w:color w:val="000000" w:themeColor="text1"/>
                          <w:sz w:val="28"/>
                          <w:szCs w:val="28"/>
                          <w14:textFill>
                            <w14:solidFill>
                              <w14:schemeClr w14:val="tx1"/>
                            </w14:solidFill>
                          </w14:textFill>
                        </w:rPr>
                        <w:t>稿</w:t>
                      </w:r>
                      <w:r>
                        <w:rPr>
                          <w:rFonts w:hint="eastAsia" w:ascii="宋体" w:hAnsi="宋体" w:eastAsia="宋体" w:cs="Times New Roman"/>
                          <w:color w:val="000000"/>
                          <w:sz w:val="28"/>
                          <w:szCs w:val="28"/>
                        </w:rPr>
                        <w:t>)</w:t>
                      </w:r>
                    </w:p>
                  </w:txbxContent>
                </v:textbox>
                <w10:anchorlock/>
              </v:shape>
            </w:pict>
          </mc:Fallback>
        </mc:AlternateContent>
      </w:r>
    </w:p>
    <w:p>
      <w:pPr>
        <w:jc w:val="left"/>
      </w:pPr>
    </w:p>
    <w:p>
      <w:pPr>
        <w:jc w:val="left"/>
      </w:pPr>
    </w:p>
    <w:p>
      <w:pPr>
        <w:jc w:val="left"/>
      </w:pPr>
    </w:p>
    <w:p>
      <w:pPr>
        <w:jc w:val="left"/>
      </w:pPr>
    </w:p>
    <w:p>
      <w:pPr>
        <w:jc w:val="left"/>
      </w:pPr>
    </w:p>
    <w:p>
      <w:pPr>
        <w:jc w:val="left"/>
      </w:pPr>
      <w:r>
        <mc:AlternateContent>
          <mc:Choice Requires="wps">
            <w:drawing>
              <wp:anchor distT="0" distB="0" distL="114300" distR="114300" simplePos="0" relativeHeight="251659264" behindDoc="1" locked="1" layoutInCell="1" allowOverlap="1">
                <wp:simplePos x="0" y="0"/>
                <wp:positionH relativeFrom="margin">
                  <wp:posOffset>-214630</wp:posOffset>
                </wp:positionH>
                <wp:positionV relativeFrom="margin">
                  <wp:posOffset>7998460</wp:posOffset>
                </wp:positionV>
                <wp:extent cx="2019300" cy="31242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6"/>
                              <w:rPr>
                                <w:rFonts w:ascii="黑体" w:hAnsi="黑体"/>
                                <w:szCs w:val="28"/>
                              </w:rPr>
                            </w:pPr>
                            <w:r>
                              <w:rPr>
                                <w:rFonts w:ascii="黑体" w:hAnsi="黑体"/>
                                <w:szCs w:val="28"/>
                              </w:rPr>
                              <w:t>202*-**-**</w:t>
                            </w:r>
                            <w:r>
                              <w:rPr>
                                <w:rFonts w:hint="eastAsia" w:ascii="黑体" w:hAnsi="黑体"/>
                                <w:szCs w:val="28"/>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9pt;margin-top:629.8pt;height:24.6pt;width:159pt;mso-position-horizontal-relative:margin;mso-position-vertical-relative:margin;z-index:-251657216;mso-width-relative:page;mso-height-relative:page;" fillcolor="#FFFFFF" filled="t" stroked="f" coordsize="21600,21600" o:gfxdata="UEsDBAoAAAAAAIdO4kAAAAAAAAAAAAAAAAAEAAAAZHJzL1BLAwQUAAAACACHTuJA/OeRdtsAAAAN&#10;AQAADwAAAGRycy9kb3ducmV2LnhtbE2PwU7DMBBE70j8g7VIXFBr14EopHEq0cKNHlqqnt3YJFHj&#10;dRQ7Tfv3LCc4zs5o5m2xurqOXewQWo8KFnMBzGLlTYu1gsPXxywDFqJGozuPVsHNBliV93eFzo2f&#10;cGcv+1gzKsGQawVNjH3Oeaga63SY+94ied9+cDqSHGpuBj1Rueu4FCLlTrdIC43u7bqx1Xk/OgXp&#10;ZhinHa6fNof3T73ta3l8ux2VenxYiCWwaK/xLwy/+IQOJTGd/IgmsE7BLEkIPZIhX15TYBSR2bME&#10;dqJTIrIMeFnw/1+UP1BLAwQUAAAACACHTuJAKiwWvR8CAAAwBAAADgAAAGRycy9lMm9Eb2MueG1s&#10;rVPNjtMwEL4j8Q6W7zRtFxBETVdLqyKk5UdaeADHcRILx2PGbpPyAPAGnLhw57n6HIydtqzKZQ/k&#10;EI3tmc/zffN5cT10hu0Ueg224LPJlDNlJVTaNgX/9HHz5AVnPghbCQNWFXyvPL9ePn606F2u5tCC&#10;qRQyArE+713B2xBcnmVetqoTfgJOWTqsATsRaIlNVqHoCb0z2Xw6fZ71gJVDkMp72l2Ph/yIiA8B&#10;hLrWUq1Bbjtlw4iKyohAlHyrnefL1G1dKxne17VXgZmCE9OQ/nQJxWX8Z8uFyBsUrtXy2IJ4SAsX&#10;nDqhLV16hlqLINgW9T9QnZYIHuowkdBlI5GkCLGYTS+0uWuFU4kLSe3dWXT//2Dlu90HZLoiJzzj&#10;zIqOJn748f3w8/fh1zdGeyRQ73xOeXeOMsPwCgZKTmS9uwX52TMLq1bYRt0gQt8qUVGDs1iZ3Ssd&#10;cXwEKfu3UNFFYhsgAQ01dlE90oMROg1nfx6OGgKTtEn6vLya0pGks6vZ/Ok8TS8T+anaoQ+vFXQs&#10;BgVHGn5CF7tbH2I3Ij+lxMs8GF1ttDFpgU25Msh2goyySV8icJFmbEy2EMtGxLiTaEZmI8cwlMNR&#10;thKqPRFGGI1Hz46CFvArZz2ZruD+y1ag4sy8sSRadOgpwFNQngJhJZUWPHA2hqswOnnrUDctIY9j&#10;sXBDwtY6cY4TGLs49klGSlIcTR+den+dsv4+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eR&#10;dtsAAAANAQAADwAAAAAAAAABACAAAAAiAAAAZHJzL2Rvd25yZXYueG1sUEsBAhQAFAAAAAgAh07i&#10;QCosFr0fAgAAMAQAAA4AAAAAAAAAAQAgAAAAKgEAAGRycy9lMm9Eb2MueG1sUEsFBgAAAAAGAAYA&#10;WQEAALsFAAAAAA==&#10;">
                <v:fill on="t" focussize="0,0"/>
                <v:stroke on="f"/>
                <v:imagedata o:title=""/>
                <o:lock v:ext="edit" aspectratio="f"/>
                <v:textbox inset="0mm,0mm,0mm,0mm">
                  <w:txbxContent>
                    <w:p>
                      <w:pPr>
                        <w:pStyle w:val="46"/>
                        <w:rPr>
                          <w:rFonts w:ascii="黑体" w:hAnsi="黑体"/>
                          <w:szCs w:val="28"/>
                        </w:rPr>
                      </w:pPr>
                      <w:r>
                        <w:rPr>
                          <w:rFonts w:ascii="黑体" w:hAnsi="黑体"/>
                          <w:szCs w:val="28"/>
                        </w:rPr>
                        <w:t>202*-**-**</w:t>
                      </w:r>
                      <w:r>
                        <w:rPr>
                          <w:rFonts w:hint="eastAsia" w:ascii="黑体" w:hAnsi="黑体"/>
                          <w:szCs w:val="28"/>
                        </w:rPr>
                        <w:t>发布</w:t>
                      </w:r>
                    </w:p>
                  </w:txbxContent>
                </v:textbox>
                <w10:anchorlock/>
              </v:shape>
            </w:pict>
          </mc:Fallback>
        </mc:AlternateContent>
      </w:r>
    </w:p>
    <w:p>
      <w:pPr>
        <w:widowControl/>
        <w:jc w:val="left"/>
        <w:rPr>
          <w:rFonts w:ascii="黑体" w:eastAsia="黑体"/>
          <w:spacing w:val="22"/>
          <w:position w:val="3"/>
          <w:sz w:val="28"/>
        </w:rPr>
        <w:sectPr>
          <w:headerReference r:id="rId3" w:type="default"/>
          <w:footerReference r:id="rId5" w:type="default"/>
          <w:headerReference r:id="rId4" w:type="even"/>
          <w:footerReference r:id="rId6" w:type="even"/>
          <w:pgSz w:w="11907" w:h="16839"/>
          <w:pgMar w:top="1440" w:right="1800" w:bottom="1440" w:left="1800" w:header="850" w:footer="851" w:gutter="0"/>
          <w:pgNumType w:fmt="upperRoman" w:start="2"/>
          <w:cols w:space="425" w:num="1"/>
          <w:titlePg/>
          <w:docGrid w:type="lines" w:linePitch="312" w:charSpace="0"/>
        </w:sectPr>
      </w:pPr>
      <w:r>
        <w:rPr>
          <w:rFonts w:ascii="Times New Roman" w:eastAsia="宋体"/>
          <w:sz w:val="28"/>
        </w:rPr>
        <mc:AlternateContent>
          <mc:Choice Requires="wpg">
            <w:drawing>
              <wp:anchor distT="0" distB="0" distL="114300" distR="114300" simplePos="0" relativeHeight="251666432" behindDoc="0" locked="0" layoutInCell="1" allowOverlap="1">
                <wp:simplePos x="0" y="0"/>
                <wp:positionH relativeFrom="column">
                  <wp:posOffset>-219075</wp:posOffset>
                </wp:positionH>
                <wp:positionV relativeFrom="paragraph">
                  <wp:posOffset>4695825</wp:posOffset>
                </wp:positionV>
                <wp:extent cx="6120130" cy="711200"/>
                <wp:effectExtent l="0" t="0" r="0" b="0"/>
                <wp:wrapNone/>
                <wp:docPr id="11" name="组合 11"/>
                <wp:cNvGraphicFramePr/>
                <a:graphic xmlns:a="http://schemas.openxmlformats.org/drawingml/2006/main">
                  <a:graphicData uri="http://schemas.microsoft.com/office/word/2010/wordprocessingGroup">
                    <wpg:wgp>
                      <wpg:cNvGrpSpPr/>
                      <wpg:grpSpPr>
                        <a:xfrm>
                          <a:off x="0" y="0"/>
                          <a:ext cx="6120130" cy="711200"/>
                          <a:chOff x="1722" y="14981"/>
                          <a:chExt cx="9638" cy="1120"/>
                        </a:xfrm>
                      </wpg:grpSpPr>
                      <wps:wsp>
                        <wps:cNvPr id="12" name="fmFrame7"/>
                        <wps:cNvSpPr txBox="1">
                          <a:spLocks noChangeArrowheads="1"/>
                        </wps:cNvSpPr>
                        <wps:spPr bwMode="auto">
                          <a:xfrm>
                            <a:off x="1722" y="15165"/>
                            <a:ext cx="9638" cy="936"/>
                          </a:xfrm>
                          <a:prstGeom prst="rect">
                            <a:avLst/>
                          </a:prstGeom>
                          <a:solidFill>
                            <a:srgbClr val="FFFFFF"/>
                          </a:solidFill>
                          <a:ln>
                            <a:noFill/>
                          </a:ln>
                        </wps:spPr>
                        <wps:txbx>
                          <w:txbxContent>
                            <w:p>
                              <w:pPr>
                                <w:pStyle w:val="45"/>
                                <w:spacing w:line="400" w:lineRule="exact"/>
                                <w:ind w:right="2123" w:rightChars="1011"/>
                                <w:jc w:val="distribute"/>
                                <w:rPr>
                                  <w:b w:val="0"/>
                                  <w:spacing w:val="-14"/>
                                  <w:sz w:val="28"/>
                                  <w:szCs w:val="28"/>
                                </w:rPr>
                              </w:pPr>
                              <w:r>
                                <w:rPr>
                                  <w:rFonts w:hint="eastAsia"/>
                                  <w:b w:val="0"/>
                                  <w:spacing w:val="-12"/>
                                  <w:sz w:val="28"/>
                                  <w:szCs w:val="28"/>
                                </w:rPr>
                                <w:t>中 国 轻 工 业 联 合 会</w:t>
                              </w:r>
                            </w:p>
                            <w:p>
                              <w:pPr>
                                <w:pStyle w:val="45"/>
                                <w:spacing w:line="400" w:lineRule="exact"/>
                                <w:ind w:right="2104" w:rightChars="1002"/>
                                <w:jc w:val="distribute"/>
                                <w:rPr>
                                  <w:b w:val="0"/>
                                  <w:sz w:val="28"/>
                                  <w:szCs w:val="28"/>
                                </w:rPr>
                              </w:pPr>
                            </w:p>
                          </w:txbxContent>
                        </wps:txbx>
                        <wps:bodyPr rot="0" vert="horz" wrap="square" lIns="0" tIns="0" rIns="0" bIns="0" anchor="t" anchorCtr="0" upright="1">
                          <a:noAutofit/>
                        </wps:bodyPr>
                      </wps:wsp>
                      <wps:wsp>
                        <wps:cNvPr id="13" name="文本框 15"/>
                        <wps:cNvSpPr txBox="1">
                          <a:spLocks noChangeArrowheads="1"/>
                        </wps:cNvSpPr>
                        <wps:spPr bwMode="auto">
                          <a:xfrm>
                            <a:off x="9709" y="14981"/>
                            <a:ext cx="1155" cy="624"/>
                          </a:xfrm>
                          <a:prstGeom prst="rect">
                            <a:avLst/>
                          </a:prstGeom>
                          <a:noFill/>
                          <a:ln>
                            <a:noFill/>
                          </a:ln>
                        </wps:spPr>
                        <wps:txbx>
                          <w:txbxContent>
                            <w:p>
                              <w:pPr>
                                <w:rPr>
                                  <w:sz w:val="28"/>
                                  <w:szCs w:val="28"/>
                                </w:rPr>
                              </w:pPr>
                              <w:r>
                                <w:rPr>
                                  <w:rFonts w:hint="eastAsia" w:ascii="宋体"/>
                                  <w:spacing w:val="-14"/>
                                  <w:w w:val="135"/>
                                  <w:kern w:val="0"/>
                                  <w:sz w:val="28"/>
                                  <w:szCs w:val="28"/>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7.25pt;margin-top:369.75pt;height:56pt;width:481.9pt;z-index:251666432;mso-width-relative:page;mso-height-relative:page;" coordorigin="1722,14981" coordsize="9638,1120" o:gfxdata="UEsDBAoAAAAAAIdO4kAAAAAAAAAAAAAAAAAEAAAAZHJzL1BLAwQUAAAACACHTuJAJ3KQbNwAAAAL&#10;AQAADwAAAGRycy9kb3ducmV2LnhtbE2PwUrDQBCG74LvsIzgrd1sY7SJ2RQp6qkUbAXxtk2mSWh2&#10;NmS3Sfv2jie9zTAf/3x/vrrYTow4+NaRBjWPQCCVrmqp1vC5f5stQfhgqDKdI9RwRQ+r4vYmN1nl&#10;JvrAcRdqwSHkM6OhCaHPpPRlg9b4ueuR+HZ0gzWB16GW1WAmDredXETRo7SmJf7QmB7XDZan3dlq&#10;eJ/M9BKr13FzOq6v3/tk+7VRqPX9nYqeQQS8hD8YfvVZHQp2OrgzVV50GmbxQ8Kohqc45YGJdJHG&#10;IA4alolKQBa5/N+h+AFQSwMEFAAAAAgAh07iQPMUQmzeAgAAmgcAAA4AAABkcnMvZTJvRG9jLnht&#10;bL1Vy27UMBTdI/EPlvc0k3l2omaq0jIVUoFKhQ/wOM5DJLaxPZOUdQUsWbFiw54/4Hsov8G1nWTa&#10;YVNRyiwy16/je47PtQ8Om6pEG6Z0IXiMw70BRoxTkRQ8i/Gb18sn+xhpQ3hCSsFZjC+ZxoeLx48O&#10;ahmxochFmTCFAITrqJYxzo2RURBomrOK6D0hGYfBVKiKGGiqLEgUqQG9KoPhYDANaqESqQRlWkPv&#10;iR/ELaK6C6BI04KyE0HXFePGoypWEgOUdF5IjRcu2zRl1LxKU80MKmMMTI37wiYQr+w3WByQKFNE&#10;5gVtUyB3SWGHU0UKDpv2UCfEELRWxR9QVUGV0CI1e1RUgSfiFAEW4WBHm1Ml1tJxyaI6k73ocFA7&#10;qv81LH25OVeoSMAJIUacVHDiv35c/fz8CUEHqFPLLIJJp0peyHPVdmS+ZQk3qarsP1BBjdP1steV&#10;NQZR6JyGQG4EklMYm4XQaoWnOZyOXRbOhkOMYDQcz/fdviSi+bN2/Xw6AlPaxXatzSroNg5sfn06&#10;tQRP6q1Q+n5CXeREMqe/thp0QkGmXqi0WipQbOZ1cnOsSMg0T4Ul5Ryh5ZmgbzXi4jgnPGNHSok6&#10;ZySB5BxToNAvtXrrSFuQVf1CJHAaZG2EA9pReivZJJxObAok6gTfCjYfTW/pRSKptDllokI2iLGC&#10;EnHwZHOmjZe2m2IhtSiLZFmUpWuobHVcKrQhUE5L92vRb00ruZ3MhV3mEW2P42mpeZKmWTUwaPmu&#10;RHIJjJXw5QmXEwS5UO8xqqE0Y6zfrYliGJXPOahm67gLVBesuoBwCktjbDDy4bHx9b6WqshyQPbn&#10;wsURKJsWjvM2izZPcJHP7eHtNOrsdP3l4/XX79ffPqDQnecNX/wfS81ng/luFXaWCsPJxNfgdDi+&#10;n6V6Y5DogZ0yD8fj3i3jyQwuD+Qd045417Qj/9A57lqCK9vdVO3zYt+Em23ntO2Tu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3KQbNwAAAALAQAADwAAAAAAAAABACAAAAAiAAAAZHJzL2Rvd25y&#10;ZXYueG1sUEsBAhQAFAAAAAgAh07iQPMUQmzeAgAAmgcAAA4AAAAAAAAAAQAgAAAAKwEAAGRycy9l&#10;Mm9Eb2MueG1sUEsFBgAAAAAGAAYAWQEAAHsGAAAAAA==&#10;">
                <o:lock v:ext="edit" aspectratio="f"/>
                <v:shape id="fmFrame7" o:spid="_x0000_s1026" o:spt="202" type="#_x0000_t202" style="position:absolute;left:1722;top:15165;height:936;width:9638;" fillcolor="#FFFFFF" filled="t" stroked="f" coordsize="21600,21600" o:gfxdata="UEsDBAoAAAAAAIdO4kAAAAAAAAAAAAAAAAAEAAAAZHJzL1BLAwQUAAAACACHTuJAGY+8vbgAAADb&#10;AAAADwAAAGRycy9kb3ducmV2LnhtbEVPy6rCMBDdC/5DGMGNaGoXItUo+LhwF7rwgeuhGdtiMylJ&#10;tPr3RhDczeE8Z758mlo8yPnKsoLxKAFBnFtdcaHgfPobTkH4gKyxtkwKXuRhueh25php2/KBHsdQ&#10;iBjCPkMFZQhNJqXPSzLoR7YhjtzVOoMhQldI7bCN4aaWaZJMpMGKY0OJDa1Lym/Hu1Ew2bh7e+D1&#10;YHPe7nDfFOll9boo1e+NkxmIQM/wE3/d/zrOT+HzSzx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8vbgAAADbAAAA&#10;DwAAAAAAAAABACAAAAAiAAAAZHJzL2Rvd25yZXYueG1sUEsBAhQAFAAAAAgAh07iQDMvBZ47AAAA&#10;OQAAABAAAAAAAAAAAQAgAAAABwEAAGRycy9zaGFwZXhtbC54bWxQSwUGAAAAAAYABgBbAQAAsQMA&#10;AAAA&#10;">
                  <v:fill on="t" focussize="0,0"/>
                  <v:stroke on="f"/>
                  <v:imagedata o:title=""/>
                  <o:lock v:ext="edit" aspectratio="f"/>
                  <v:textbox inset="0mm,0mm,0mm,0mm">
                    <w:txbxContent>
                      <w:p>
                        <w:pPr>
                          <w:pStyle w:val="45"/>
                          <w:spacing w:line="400" w:lineRule="exact"/>
                          <w:ind w:right="2123" w:rightChars="1011"/>
                          <w:jc w:val="distribute"/>
                          <w:rPr>
                            <w:b w:val="0"/>
                            <w:spacing w:val="-14"/>
                            <w:sz w:val="28"/>
                            <w:szCs w:val="28"/>
                          </w:rPr>
                        </w:pPr>
                        <w:r>
                          <w:rPr>
                            <w:rFonts w:hint="eastAsia"/>
                            <w:b w:val="0"/>
                            <w:spacing w:val="-12"/>
                            <w:sz w:val="28"/>
                            <w:szCs w:val="28"/>
                          </w:rPr>
                          <w:t>中 国 轻 工 业 联 合 会</w:t>
                        </w:r>
                      </w:p>
                      <w:p>
                        <w:pPr>
                          <w:pStyle w:val="45"/>
                          <w:spacing w:line="400" w:lineRule="exact"/>
                          <w:ind w:right="2104" w:rightChars="1002"/>
                          <w:jc w:val="distribute"/>
                          <w:rPr>
                            <w:b w:val="0"/>
                            <w:sz w:val="28"/>
                            <w:szCs w:val="28"/>
                          </w:rPr>
                        </w:pPr>
                      </w:p>
                    </w:txbxContent>
                  </v:textbox>
                </v:shape>
                <v:shape id="文本框 15" o:spid="_x0000_s1026" o:spt="202" type="#_x0000_t202" style="position:absolute;left:9709;top:14981;height:624;width:1155;"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28"/>
                            <w:szCs w:val="28"/>
                          </w:rPr>
                        </w:pPr>
                        <w:r>
                          <w:rPr>
                            <w:rFonts w:hint="eastAsia" w:ascii="宋体"/>
                            <w:spacing w:val="-14"/>
                            <w:w w:val="135"/>
                            <w:kern w:val="0"/>
                            <w:sz w:val="28"/>
                            <w:szCs w:val="28"/>
                          </w:rPr>
                          <w:t>发布</w:t>
                        </w:r>
                      </w:p>
                    </w:txbxContent>
                  </v:textbox>
                </v:shape>
              </v:group>
            </w:pict>
          </mc:Fallback>
        </mc:AlternateContent>
      </w:r>
      <w:r>
        <w:rPr>
          <w:rFonts w:ascii="Times New Roman" w:eastAsia="宋体"/>
          <w:sz w:val="2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4449445</wp:posOffset>
                </wp:positionV>
                <wp:extent cx="5848350" cy="0"/>
                <wp:effectExtent l="0" t="0" r="19050" b="1905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23.7pt;margin-top:350.35pt;height:0pt;width:460.5pt;z-index:251660288;mso-width-relative:page;mso-height-relative:page;" filled="f" stroked="t" coordsize="21600,21600" o:gfxdata="UEsDBAoAAAAAAIdO4kAAAAAAAAAAAAAAAAAEAAAAZHJzL1BLAwQUAAAACACHTuJALXjvh9UAAAAL&#10;AQAADwAAAGRycy9kb3ducmV2LnhtbE2PwU7DMAyG70i8Q2Qkblsy6NqqNJ0EEueJjgs3t/Haiiap&#10;mmwtb4+RkOBo+9fn7y8Pqx3FleYweKdht1UgyLXeDK7T8H563eQgQkRncPSONHxRgEN1e1NiYfzi&#10;3uhax04wxIUCNfQxToWUoe3JYtj6iRzfzn62GHmcO2lmXBhuR/mgVCotDo4/9DjRS0/tZ32xGrLE&#10;fHhMn/fNfjmeIp37Oj+uWt/f7dQTiEhr/AvDjz6rQ8VOjb84E8SoYZNkCUcZplQGghN59piCaH43&#10;sirl/w7VN1BLAwQUAAAACACHTuJAp7uFKvYBAAC/AwAADgAAAGRycy9lMm9Eb2MueG1srVPNbhMx&#10;EL4j8Q6W72Q3gUK6yqaHROVSIFLLAzhe766F12N5nGzyErwAEifgVDj1ztNAeQzGzg+lXHpgD5bt&#10;8ffNfN/MTs42nWFr5VGDLflwkHOmrIRK26bkb6/On4w5wyBsJQxYVfKtQn42ffxo0rtCjaAFUynP&#10;iMRi0buStyG4IstQtqoTOACnLAVr8J0IdPRNVnnRE3tnslGeP8968JXzIBUi3c53Qb5n9A8hhLrW&#10;Us1Brjplw47VKyMCScJWO+TTVG1dKxne1DWqwEzJSWlIKyWh/TKu2XQiisYL12q5L0E8pIR7mjqh&#10;LSU9Us1FEGzl9T9UnZYeEOowkNBlOyHJEVIxzO95c9kKp5IWshrd0XT8f7Ty9Xrhma5KfsqZFR01&#10;/PbDzc/3n2+/ff3x6ebX949xf/2FnUareocFIWZ24aNYubGX7gLkO2QWZq2wjUolX20d8QwjIvsL&#10;Eg/oKOGyfwUVvRGrAMm3Te27SEmOsE1qz/bYHrUJTNLlyfjZ+OkJdU4eYpkoDkDnMbxU0LG4KTkG&#10;L3TThhlYS0MAfpjSiPUFhliWKA6AmNXCuTYmzYKxrKfaRy/yPCEQjK5iNL5D3yxnxrO1iOOUviSS&#10;InefeVjZapfF2L0HUfbOwCVU24U/eEN9TeXsZzAOzt1zQv/57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1474fVAAAACwEAAA8AAAAAAAAAAQAgAAAAIgAAAGRycy9kb3ducmV2LnhtbFBLAQIU&#10;ABQAAAAIAIdO4kCnu4Uq9gEAAL8DAAAOAAAAAAAAAAEAIAAAACQBAABkcnMvZTJvRG9jLnhtbFBL&#10;BQYAAAAABgAGAFkBAACMBQAAAAA=&#10;">
                <v:fill on="f" focussize="0,0"/>
                <v:stroke weight="1pt" color="#000000" joinstyle="round"/>
                <v:imagedata o:title=""/>
                <o:lock v:ext="edit" aspectratio="f"/>
              </v:shape>
            </w:pict>
          </mc:Fallback>
        </mc:AlternateContent>
      </w:r>
      <w:r>
        <w:rPr>
          <w:rFonts w:ascii="Times New Roman" w:eastAsia="宋体"/>
          <w:sz w:val="28"/>
        </w:rPr>
        <mc:AlternateContent>
          <mc:Choice Requires="wps">
            <w:drawing>
              <wp:anchor distT="0" distB="0" distL="114300" distR="114300" simplePos="0" relativeHeight="251665408" behindDoc="1" locked="1" layoutInCell="1" allowOverlap="1">
                <wp:simplePos x="0" y="0"/>
                <wp:positionH relativeFrom="margin">
                  <wp:posOffset>4117975</wp:posOffset>
                </wp:positionH>
                <wp:positionV relativeFrom="margin">
                  <wp:posOffset>8044815</wp:posOffset>
                </wp:positionV>
                <wp:extent cx="1363980" cy="289560"/>
                <wp:effectExtent l="0" t="0" r="762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3980" cy="289560"/>
                        </a:xfrm>
                        <a:prstGeom prst="rect">
                          <a:avLst/>
                        </a:prstGeom>
                        <a:solidFill>
                          <a:srgbClr val="FFFFFF"/>
                        </a:solidFill>
                        <a:ln>
                          <a:noFill/>
                        </a:ln>
                      </wps:spPr>
                      <wps:txbx>
                        <w:txbxContent>
                          <w:p>
                            <w:pPr>
                              <w:pStyle w:val="44"/>
                              <w:rPr>
                                <w:szCs w:val="28"/>
                              </w:rPr>
                            </w:pPr>
                            <w:r>
                              <w:rPr>
                                <w:rFonts w:ascii="黑体" w:hAnsi="黑体"/>
                                <w:szCs w:val="28"/>
                              </w:rPr>
                              <w:t>202*-**-**</w:t>
                            </w:r>
                            <w:r>
                              <w:rPr>
                                <w:rFonts w:hint="eastAsia"/>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25pt;margin-top:633.45pt;height:22.8pt;width:107.4pt;mso-position-horizontal-relative:margin;mso-position-vertical-relative:margin;z-index:-251651072;mso-width-relative:page;mso-height-relative:page;" fillcolor="#FFFFFF" filled="t" stroked="f" coordsize="21600,21600" o:gfxdata="UEsDBAoAAAAAAIdO4kAAAAAAAAAAAAAAAAAEAAAAZHJzL1BLAwQUAAAACACHTuJAFwl5PtsAAAAN&#10;AQAADwAAAGRycy9kb3ducmV2LnhtbE2Py07DMBBF90j8gzVIbBB1HtQKIU4lWtjBoqXq2o1NEhGP&#10;I9tp2r9nWNHlzL06c6Zane3ATsaH3qGEdJEAM9g43WMrYf/1/lgAC1GhVoNDI+FiAqzq25tKldrN&#10;uDWnXWwZQTCUSkIX41hyHprOWBUWbjRI2bfzVkUafcu1VzPB7cCzJBHcqh7pQqdGs+5M87ObrASx&#10;8dO8xfXDZv/2oT7HNju8Xg5S3t+lyQuwaM7xvwx/+qQONTkd3YQ6sIEYT8WSqhRkQjwDo0oh8hzY&#10;kVZ5mi2B1xW//qL+BVBLAwQUAAAACACHTuJAbg/gmCACAAAuBAAADgAAAGRycy9lMm9Eb2MueG1s&#10;rVPNjtMwEL4j8Q6W7zRtV1S7UdPV0qoIafmRFh7AdZzEwvGYsdukPAC8AScu3HmuPgdjpy2rctkD&#10;OUTjeOab+b75Mr/tW8N2Cr0GW/DJaMyZshJKbeuCf/q4fnHNmQ/ClsKAVQXfK89vF8+fzTuXqyk0&#10;YEqFjECszztX8CYEl2eZl41qhR+BU5YuK8BWBDpinZUoOkJvTTYdj2dZB1g6BKm8p6+r4ZIfEfEp&#10;gFBVWqoVyG2rbBhQURkRiJJvtPN8kaatKiXD+6ryKjBTcGIa0puaULyJ72wxF3mNwjVaHkcQTxnh&#10;glMrtKWmZ6iVCIJtUf8D1WqJ4KEKIwltNhBJihCLyfhCm4dGOJW4kNTenUX3/w9Wvtt9QKbLgk85&#10;s6KlhR9+fD/8/H349Y1Nozyd8zllPTjKC/0r6Mk0iap39yA/e2Zh2QhbqztE6BolShpvEiuzR6UD&#10;jo8gm+4tlNRHbAMkoL7CNmpHajBCp9Xsz6tRfWAytryaXd1c05Wku+n1zctZ2l0m8lO1Qx9eK2hZ&#10;DAqOtPqELnb3PsRpRH5Kic08GF2utTHpgPVmaZDtBNlknZ5E4CLN2JhsIZYNiPFLohmZDRxDv+mP&#10;sm2g3BNhhMF29NNR0AB+5awjyxXcf9kKVJyZN5ZEi/48BXgKNqdAWEmlBQ+cDeEyDD7eOtR1Q8jD&#10;WizckbCVTpzjBoYpjnOSjZIUR8tHnz4+p6y/v/n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cJ&#10;eT7bAAAADQEAAA8AAAAAAAAAAQAgAAAAIgAAAGRycy9kb3ducmV2LnhtbFBLAQIUABQAAAAIAIdO&#10;4kBuD+CYIAIAAC4EAAAOAAAAAAAAAAEAIAAAACoBAABkcnMvZTJvRG9jLnhtbFBLBQYAAAAABgAG&#10;AFkBAAC8BQAAAAA=&#10;">
                <v:fill on="t" focussize="0,0"/>
                <v:stroke on="f"/>
                <v:imagedata o:title=""/>
                <o:lock v:ext="edit" aspectratio="f"/>
                <v:textbox inset="0mm,0mm,0mm,0mm">
                  <w:txbxContent>
                    <w:p>
                      <w:pPr>
                        <w:pStyle w:val="44"/>
                        <w:rPr>
                          <w:szCs w:val="28"/>
                        </w:rPr>
                      </w:pPr>
                      <w:r>
                        <w:rPr>
                          <w:rFonts w:ascii="黑体" w:hAnsi="黑体"/>
                          <w:szCs w:val="28"/>
                        </w:rPr>
                        <w:t>202*-**-**</w:t>
                      </w:r>
                      <w:r>
                        <w:rPr>
                          <w:rFonts w:hint="eastAsia"/>
                          <w:szCs w:val="28"/>
                        </w:rPr>
                        <w:t>实施</w:t>
                      </w:r>
                    </w:p>
                  </w:txbxContent>
                </v:textbox>
                <w10:anchorlock/>
              </v:shape>
            </w:pict>
          </mc:Fallback>
        </mc:AlternateContent>
      </w:r>
      <w:r>
        <w:rPr>
          <w:rStyle w:val="35"/>
        </w:rPr>
        <w:br w:type="page"/>
      </w:r>
    </w:p>
    <w:p>
      <w:pPr>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次</w:t>
      </w:r>
    </w:p>
    <w:p>
      <w:pPr>
        <w:pStyle w:val="11"/>
        <w:tabs>
          <w:tab w:val="right" w:leader="dot" w:pos="8297"/>
        </w:tabs>
        <w:spacing w:line="360" w:lineRule="auto"/>
        <w:rPr>
          <w:rStyle w:val="19"/>
          <w:rFonts w:ascii="Times New Roman" w:hAnsi="Times New Roman"/>
        </w:rPr>
      </w:pPr>
      <w:r>
        <w:rPr>
          <w:rStyle w:val="19"/>
          <w:rFonts w:ascii="Times New Roman" w:hAnsi="Times New Roman"/>
        </w:rPr>
        <w:fldChar w:fldCharType="begin"/>
      </w:r>
      <w:r>
        <w:rPr>
          <w:rStyle w:val="19"/>
          <w:rFonts w:ascii="Times New Roman" w:hAnsi="Times New Roman"/>
        </w:rPr>
        <w:instrText xml:space="preserve"> TOC \o "1-2" \h \z \u </w:instrText>
      </w:r>
      <w:r>
        <w:rPr>
          <w:rStyle w:val="19"/>
          <w:rFonts w:ascii="Times New Roman" w:hAnsi="Times New Roman"/>
        </w:rPr>
        <w:fldChar w:fldCharType="separate"/>
      </w:r>
      <w:r>
        <w:fldChar w:fldCharType="begin"/>
      </w:r>
      <w:r>
        <w:instrText xml:space="preserve"> HYPERLINK \l "_Toc127465489" </w:instrText>
      </w:r>
      <w:r>
        <w:fldChar w:fldCharType="separate"/>
      </w:r>
      <w:r>
        <w:rPr>
          <w:rStyle w:val="19"/>
          <w:rFonts w:ascii="Times New Roman" w:hAnsi="Times New Roman"/>
        </w:rPr>
        <w:t>前  言</w:t>
      </w:r>
      <w:r>
        <w:rPr>
          <w:rStyle w:val="19"/>
          <w:rFonts w:ascii="Times New Roman" w:hAnsi="Times New Roman"/>
        </w:rPr>
        <w:tab/>
      </w:r>
      <w:r>
        <w:rPr>
          <w:rStyle w:val="19"/>
          <w:rFonts w:ascii="Times New Roman" w:hAnsi="Times New Roman"/>
        </w:rPr>
        <w:fldChar w:fldCharType="begin"/>
      </w:r>
      <w:r>
        <w:rPr>
          <w:rStyle w:val="19"/>
          <w:rFonts w:ascii="Times New Roman" w:hAnsi="Times New Roman"/>
        </w:rPr>
        <w:instrText xml:space="preserve"> PAGEREF _Toc127465489 \h </w:instrText>
      </w:r>
      <w:r>
        <w:rPr>
          <w:rStyle w:val="19"/>
          <w:rFonts w:ascii="Times New Roman" w:hAnsi="Times New Roman"/>
        </w:rPr>
        <w:fldChar w:fldCharType="separate"/>
      </w:r>
      <w:r>
        <w:rPr>
          <w:rStyle w:val="19"/>
          <w:rFonts w:ascii="Times New Roman" w:hAnsi="Times New Roman"/>
        </w:rPr>
        <w:t>II</w:t>
      </w:r>
      <w:r>
        <w:rPr>
          <w:rStyle w:val="19"/>
          <w:rFonts w:ascii="Times New Roman" w:hAnsi="Times New Roman"/>
        </w:rPr>
        <w:fldChar w:fldCharType="end"/>
      </w:r>
      <w:r>
        <w:rPr>
          <w:rStyle w:val="19"/>
          <w:rFonts w:ascii="Times New Roman" w:hAnsi="Times New Roman"/>
        </w:rPr>
        <w:fldChar w:fldCharType="end"/>
      </w:r>
    </w:p>
    <w:p>
      <w:pPr>
        <w:pStyle w:val="11"/>
        <w:tabs>
          <w:tab w:val="right" w:leader="dot" w:pos="8297"/>
        </w:tabs>
        <w:spacing w:line="360" w:lineRule="auto"/>
        <w:rPr>
          <w:rStyle w:val="19"/>
          <w:rFonts w:ascii="Times New Roman" w:hAnsi="Times New Roman"/>
        </w:rPr>
      </w:pPr>
      <w:r>
        <w:fldChar w:fldCharType="begin"/>
      </w:r>
      <w:r>
        <w:instrText xml:space="preserve"> HYPERLINK \l "_Toc127465490" </w:instrText>
      </w:r>
      <w:r>
        <w:fldChar w:fldCharType="separate"/>
      </w:r>
      <w:r>
        <w:rPr>
          <w:rStyle w:val="19"/>
          <w:rFonts w:ascii="Times New Roman" w:hAnsi="Times New Roman"/>
        </w:rPr>
        <w:t>1 范围</w:t>
      </w:r>
      <w:r>
        <w:rPr>
          <w:rStyle w:val="19"/>
          <w:rFonts w:ascii="Times New Roman" w:hAnsi="Times New Roman"/>
        </w:rPr>
        <w:tab/>
      </w:r>
      <w:r>
        <w:rPr>
          <w:rStyle w:val="19"/>
          <w:rFonts w:ascii="Times New Roman" w:hAnsi="Times New Roman"/>
        </w:rPr>
        <w:fldChar w:fldCharType="begin"/>
      </w:r>
      <w:r>
        <w:rPr>
          <w:rStyle w:val="19"/>
          <w:rFonts w:ascii="Times New Roman" w:hAnsi="Times New Roman"/>
        </w:rPr>
        <w:instrText xml:space="preserve"> PAGEREF _Toc127465490 \h </w:instrText>
      </w:r>
      <w:r>
        <w:rPr>
          <w:rStyle w:val="19"/>
          <w:rFonts w:ascii="Times New Roman" w:hAnsi="Times New Roman"/>
        </w:rPr>
        <w:fldChar w:fldCharType="separate"/>
      </w:r>
      <w:r>
        <w:rPr>
          <w:rStyle w:val="19"/>
          <w:rFonts w:ascii="Times New Roman" w:hAnsi="Times New Roman"/>
        </w:rPr>
        <w:t>1</w:t>
      </w:r>
      <w:r>
        <w:rPr>
          <w:rStyle w:val="19"/>
          <w:rFonts w:ascii="Times New Roman" w:hAnsi="Times New Roman"/>
        </w:rPr>
        <w:fldChar w:fldCharType="end"/>
      </w:r>
      <w:r>
        <w:rPr>
          <w:rStyle w:val="19"/>
          <w:rFonts w:ascii="Times New Roman" w:hAnsi="Times New Roman"/>
        </w:rPr>
        <w:fldChar w:fldCharType="end"/>
      </w:r>
    </w:p>
    <w:p>
      <w:pPr>
        <w:pStyle w:val="11"/>
        <w:tabs>
          <w:tab w:val="right" w:leader="dot" w:pos="8297"/>
        </w:tabs>
        <w:spacing w:line="360" w:lineRule="auto"/>
        <w:rPr>
          <w:rStyle w:val="19"/>
          <w:rFonts w:ascii="Times New Roman" w:hAnsi="Times New Roman"/>
        </w:rPr>
      </w:pPr>
      <w:r>
        <w:fldChar w:fldCharType="begin"/>
      </w:r>
      <w:r>
        <w:instrText xml:space="preserve"> HYPERLINK \l "_Toc127465491" </w:instrText>
      </w:r>
      <w:r>
        <w:fldChar w:fldCharType="separate"/>
      </w:r>
      <w:r>
        <w:rPr>
          <w:rStyle w:val="19"/>
          <w:rFonts w:ascii="Times New Roman" w:hAnsi="Times New Roman"/>
        </w:rPr>
        <w:t>2 规范性引用文件</w:t>
      </w:r>
      <w:r>
        <w:rPr>
          <w:rStyle w:val="19"/>
          <w:rFonts w:ascii="Times New Roman" w:hAnsi="Times New Roman"/>
        </w:rPr>
        <w:tab/>
      </w:r>
      <w:r>
        <w:rPr>
          <w:rStyle w:val="19"/>
          <w:rFonts w:ascii="Times New Roman" w:hAnsi="Times New Roman"/>
        </w:rPr>
        <w:fldChar w:fldCharType="begin"/>
      </w:r>
      <w:r>
        <w:rPr>
          <w:rStyle w:val="19"/>
          <w:rFonts w:ascii="Times New Roman" w:hAnsi="Times New Roman"/>
        </w:rPr>
        <w:instrText xml:space="preserve"> PAGEREF _Toc127465491 \h </w:instrText>
      </w:r>
      <w:r>
        <w:rPr>
          <w:rStyle w:val="19"/>
          <w:rFonts w:ascii="Times New Roman" w:hAnsi="Times New Roman"/>
        </w:rPr>
        <w:fldChar w:fldCharType="separate"/>
      </w:r>
      <w:r>
        <w:rPr>
          <w:rStyle w:val="19"/>
          <w:rFonts w:ascii="Times New Roman" w:hAnsi="Times New Roman"/>
        </w:rPr>
        <w:t>1</w:t>
      </w:r>
      <w:r>
        <w:rPr>
          <w:rStyle w:val="19"/>
          <w:rFonts w:ascii="Times New Roman" w:hAnsi="Times New Roman"/>
        </w:rPr>
        <w:fldChar w:fldCharType="end"/>
      </w:r>
      <w:r>
        <w:rPr>
          <w:rStyle w:val="19"/>
          <w:rFonts w:ascii="Times New Roman" w:hAnsi="Times New Roman"/>
        </w:rPr>
        <w:fldChar w:fldCharType="end"/>
      </w:r>
    </w:p>
    <w:p>
      <w:pPr>
        <w:pStyle w:val="11"/>
        <w:tabs>
          <w:tab w:val="right" w:leader="dot" w:pos="8297"/>
        </w:tabs>
        <w:spacing w:line="360" w:lineRule="auto"/>
        <w:rPr>
          <w:rStyle w:val="19"/>
          <w:rFonts w:ascii="Times New Roman" w:hAnsi="Times New Roman"/>
        </w:rPr>
      </w:pPr>
      <w:r>
        <w:fldChar w:fldCharType="begin"/>
      </w:r>
      <w:r>
        <w:instrText xml:space="preserve"> HYPERLINK \l "_Toc127465492" </w:instrText>
      </w:r>
      <w:r>
        <w:fldChar w:fldCharType="separate"/>
      </w:r>
      <w:r>
        <w:rPr>
          <w:rStyle w:val="19"/>
          <w:rFonts w:ascii="Times New Roman" w:hAnsi="Times New Roman"/>
        </w:rPr>
        <w:t>3 术语和定义</w:t>
      </w:r>
      <w:r>
        <w:rPr>
          <w:rStyle w:val="19"/>
          <w:rFonts w:ascii="Times New Roman" w:hAnsi="Times New Roman"/>
        </w:rPr>
        <w:tab/>
      </w:r>
      <w:r>
        <w:rPr>
          <w:rStyle w:val="19"/>
          <w:rFonts w:ascii="Times New Roman" w:hAnsi="Times New Roman"/>
        </w:rPr>
        <w:fldChar w:fldCharType="begin"/>
      </w:r>
      <w:r>
        <w:rPr>
          <w:rStyle w:val="19"/>
          <w:rFonts w:ascii="Times New Roman" w:hAnsi="Times New Roman"/>
        </w:rPr>
        <w:instrText xml:space="preserve"> PAGEREF _Toc127465492 \h </w:instrText>
      </w:r>
      <w:r>
        <w:rPr>
          <w:rStyle w:val="19"/>
          <w:rFonts w:ascii="Times New Roman" w:hAnsi="Times New Roman"/>
        </w:rPr>
        <w:fldChar w:fldCharType="separate"/>
      </w:r>
      <w:r>
        <w:rPr>
          <w:rStyle w:val="19"/>
          <w:rFonts w:ascii="Times New Roman" w:hAnsi="Times New Roman"/>
        </w:rPr>
        <w:t>1</w:t>
      </w:r>
      <w:r>
        <w:rPr>
          <w:rStyle w:val="19"/>
          <w:rFonts w:ascii="Times New Roman" w:hAnsi="Times New Roman"/>
        </w:rPr>
        <w:fldChar w:fldCharType="end"/>
      </w:r>
      <w:r>
        <w:rPr>
          <w:rStyle w:val="19"/>
          <w:rFonts w:ascii="Times New Roman" w:hAnsi="Times New Roman"/>
        </w:rPr>
        <w:fldChar w:fldCharType="end"/>
      </w:r>
    </w:p>
    <w:p>
      <w:pPr>
        <w:pStyle w:val="11"/>
        <w:tabs>
          <w:tab w:val="right" w:leader="dot" w:pos="8297"/>
        </w:tabs>
        <w:spacing w:line="360" w:lineRule="auto"/>
        <w:rPr>
          <w:rStyle w:val="19"/>
          <w:rFonts w:ascii="Times New Roman" w:hAnsi="Times New Roman"/>
        </w:rPr>
      </w:pPr>
      <w:r>
        <w:fldChar w:fldCharType="begin"/>
      </w:r>
      <w:r>
        <w:instrText xml:space="preserve"> HYPERLINK \l "_Toc127465498" </w:instrText>
      </w:r>
      <w:r>
        <w:fldChar w:fldCharType="separate"/>
      </w:r>
      <w:r>
        <w:rPr>
          <w:rStyle w:val="19"/>
          <w:rFonts w:ascii="Times New Roman" w:hAnsi="Times New Roman"/>
        </w:rPr>
        <w:t>4 技术要求</w:t>
      </w:r>
      <w:r>
        <w:rPr>
          <w:rStyle w:val="19"/>
          <w:rFonts w:ascii="Times New Roman" w:hAnsi="Times New Roman"/>
        </w:rPr>
        <w:tab/>
      </w:r>
      <w:r>
        <w:rPr>
          <w:rStyle w:val="19"/>
          <w:rFonts w:ascii="Times New Roman" w:hAnsi="Times New Roman"/>
        </w:rPr>
        <w:fldChar w:fldCharType="begin"/>
      </w:r>
      <w:r>
        <w:rPr>
          <w:rStyle w:val="19"/>
          <w:rFonts w:ascii="Times New Roman" w:hAnsi="Times New Roman"/>
        </w:rPr>
        <w:instrText xml:space="preserve"> PAGEREF _Toc127465498 \h </w:instrText>
      </w:r>
      <w:r>
        <w:rPr>
          <w:rStyle w:val="19"/>
          <w:rFonts w:ascii="Times New Roman" w:hAnsi="Times New Roman"/>
        </w:rPr>
        <w:fldChar w:fldCharType="separate"/>
      </w:r>
      <w:r>
        <w:rPr>
          <w:rStyle w:val="19"/>
          <w:rFonts w:ascii="Times New Roman" w:hAnsi="Times New Roman"/>
        </w:rPr>
        <w:t>2</w:t>
      </w:r>
      <w:r>
        <w:rPr>
          <w:rStyle w:val="19"/>
          <w:rFonts w:ascii="Times New Roman" w:hAnsi="Times New Roman"/>
        </w:rPr>
        <w:fldChar w:fldCharType="end"/>
      </w:r>
      <w:r>
        <w:rPr>
          <w:rStyle w:val="19"/>
          <w:rFonts w:ascii="Times New Roman" w:hAnsi="Times New Roman"/>
        </w:rPr>
        <w:fldChar w:fldCharType="end"/>
      </w:r>
    </w:p>
    <w:p>
      <w:pPr>
        <w:pStyle w:val="11"/>
        <w:tabs>
          <w:tab w:val="right" w:leader="dot" w:pos="8297"/>
        </w:tabs>
        <w:spacing w:line="360" w:lineRule="auto"/>
        <w:rPr>
          <w:rStyle w:val="19"/>
          <w:rFonts w:ascii="Times New Roman" w:hAnsi="Times New Roman"/>
        </w:rPr>
      </w:pPr>
      <w:r>
        <w:fldChar w:fldCharType="begin"/>
      </w:r>
      <w:r>
        <w:instrText xml:space="preserve"> HYPERLINK \l "_Toc127465499" </w:instrText>
      </w:r>
      <w:r>
        <w:fldChar w:fldCharType="separate"/>
      </w:r>
      <w:r>
        <w:rPr>
          <w:rStyle w:val="19"/>
          <w:rFonts w:ascii="Times New Roman" w:hAnsi="Times New Roman"/>
        </w:rPr>
        <w:t>5 试验方法</w:t>
      </w:r>
      <w:r>
        <w:rPr>
          <w:rStyle w:val="19"/>
          <w:rFonts w:ascii="Times New Roman" w:hAnsi="Times New Roman"/>
        </w:rPr>
        <w:tab/>
      </w:r>
      <w:r>
        <w:rPr>
          <w:rStyle w:val="19"/>
          <w:rFonts w:ascii="Times New Roman" w:hAnsi="Times New Roman"/>
        </w:rPr>
        <w:fldChar w:fldCharType="begin"/>
      </w:r>
      <w:r>
        <w:rPr>
          <w:rStyle w:val="19"/>
          <w:rFonts w:ascii="Times New Roman" w:hAnsi="Times New Roman"/>
        </w:rPr>
        <w:instrText xml:space="preserve"> PAGEREF _Toc127465499 \h </w:instrText>
      </w:r>
      <w:r>
        <w:rPr>
          <w:rStyle w:val="19"/>
          <w:rFonts w:ascii="Times New Roman" w:hAnsi="Times New Roman"/>
        </w:rPr>
        <w:fldChar w:fldCharType="separate"/>
      </w:r>
      <w:r>
        <w:rPr>
          <w:rStyle w:val="19"/>
          <w:rFonts w:ascii="Times New Roman" w:hAnsi="Times New Roman"/>
        </w:rPr>
        <w:t>3</w:t>
      </w:r>
      <w:r>
        <w:rPr>
          <w:rStyle w:val="19"/>
          <w:rFonts w:ascii="Times New Roman" w:hAnsi="Times New Roman"/>
        </w:rPr>
        <w:fldChar w:fldCharType="end"/>
      </w:r>
      <w:r>
        <w:rPr>
          <w:rStyle w:val="19"/>
          <w:rFonts w:ascii="Times New Roman" w:hAnsi="Times New Roman"/>
        </w:rPr>
        <w:fldChar w:fldCharType="end"/>
      </w:r>
    </w:p>
    <w:p>
      <w:pPr>
        <w:pStyle w:val="11"/>
        <w:tabs>
          <w:tab w:val="right" w:leader="dot" w:pos="8297"/>
        </w:tabs>
        <w:spacing w:line="360" w:lineRule="auto"/>
        <w:rPr>
          <w:rStyle w:val="19"/>
          <w:rFonts w:ascii="Times New Roman" w:hAnsi="Times New Roman"/>
        </w:rPr>
      </w:pPr>
      <w:r>
        <w:fldChar w:fldCharType="begin"/>
      </w:r>
      <w:r>
        <w:instrText xml:space="preserve"> HYPERLINK \l "_Toc127465500" </w:instrText>
      </w:r>
      <w:r>
        <w:fldChar w:fldCharType="separate"/>
      </w:r>
      <w:r>
        <w:rPr>
          <w:rStyle w:val="19"/>
          <w:rFonts w:ascii="Times New Roman" w:hAnsi="Times New Roman"/>
        </w:rPr>
        <w:t>参考文献</w:t>
      </w:r>
      <w:r>
        <w:rPr>
          <w:rStyle w:val="19"/>
          <w:rFonts w:ascii="Times New Roman" w:hAnsi="Times New Roman"/>
        </w:rPr>
        <w:tab/>
      </w:r>
      <w:r>
        <w:rPr>
          <w:rStyle w:val="19"/>
          <w:rFonts w:ascii="Times New Roman" w:hAnsi="Times New Roman"/>
          <w:color w:val="FF0000"/>
        </w:rPr>
        <w:t>7</w:t>
      </w:r>
      <w:r>
        <w:rPr>
          <w:rStyle w:val="19"/>
          <w:rFonts w:ascii="Times New Roman" w:hAnsi="Times New Roman"/>
          <w:color w:val="FF0000"/>
        </w:rPr>
        <w:fldChar w:fldCharType="end"/>
      </w:r>
    </w:p>
    <w:p>
      <w:pPr>
        <w:pStyle w:val="11"/>
        <w:tabs>
          <w:tab w:val="right" w:leader="dot" w:pos="8297"/>
        </w:tabs>
        <w:spacing w:line="360" w:lineRule="auto"/>
        <w:rPr>
          <w:rFonts w:ascii="Times New Roman" w:hAnsi="Times New Roman"/>
        </w:rPr>
      </w:pPr>
      <w:r>
        <w:rPr>
          <w:rStyle w:val="19"/>
          <w:rFonts w:ascii="Times New Roman" w:hAnsi="Times New Roman"/>
        </w:rPr>
        <w:fldChar w:fldCharType="end"/>
      </w:r>
    </w:p>
    <w:p>
      <w:pPr>
        <w:adjustRightInd w:val="0"/>
        <w:snapToGrid w:val="0"/>
        <w:spacing w:line="360" w:lineRule="auto"/>
        <w:jc w:val="left"/>
        <w:outlineLvl w:val="1"/>
        <w:rPr>
          <w:rFonts w:ascii="Times New Roman" w:hAnsi="Times New Roman" w:eastAsia="宋体"/>
          <w:szCs w:val="20"/>
        </w:rPr>
      </w:pPr>
    </w:p>
    <w:p>
      <w:pPr>
        <w:widowControl/>
        <w:spacing w:line="360" w:lineRule="auto"/>
        <w:jc w:val="left"/>
        <w:rPr>
          <w:rFonts w:ascii="黑体" w:hAnsi="黑体" w:eastAsia="黑体"/>
          <w:sz w:val="22"/>
          <w:szCs w:val="20"/>
        </w:rPr>
      </w:pPr>
      <w:r>
        <w:rPr>
          <w:rFonts w:ascii="黑体" w:hAnsi="黑体" w:eastAsia="黑体"/>
          <w:sz w:val="22"/>
          <w:szCs w:val="20"/>
        </w:rPr>
        <w:br w:type="page"/>
      </w:r>
    </w:p>
    <w:p>
      <w:pPr>
        <w:spacing w:line="360" w:lineRule="auto"/>
        <w:jc w:val="center"/>
        <w:outlineLvl w:val="0"/>
        <w:rPr>
          <w:rFonts w:ascii="黑体" w:hAnsi="黑体" w:eastAsia="黑体"/>
          <w:sz w:val="32"/>
          <w:szCs w:val="32"/>
        </w:rPr>
      </w:pPr>
      <w:bookmarkStart w:id="5" w:name="_Toc127465489"/>
      <w:bookmarkStart w:id="6" w:name="_Toc461048827"/>
      <w:bookmarkStart w:id="7" w:name="_Toc15266114"/>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bookmarkEnd w:id="5"/>
      <w:bookmarkEnd w:id="6"/>
      <w:bookmarkEnd w:id="7"/>
    </w:p>
    <w:p>
      <w:pPr>
        <w:spacing w:line="360" w:lineRule="auto"/>
        <w:jc w:val="center"/>
        <w:outlineLvl w:val="0"/>
        <w:rPr>
          <w:rFonts w:ascii="黑体" w:hAnsi="黑体" w:eastAsia="黑体"/>
          <w:sz w:val="32"/>
          <w:szCs w:val="32"/>
        </w:rPr>
      </w:pPr>
    </w:p>
    <w:p>
      <w:pPr>
        <w:pStyle w:val="21"/>
        <w:rPr>
          <w:rFonts w:ascii="Times New Roman"/>
        </w:rPr>
      </w:pPr>
      <w:r>
        <w:rPr>
          <w:rFonts w:hint="eastAsia"/>
        </w:rPr>
        <w:t>本文件按照GB/T 1.1—2020《标准化工作导则  第1部分：标准化文件的结构和起草规则》的规定起草。</w:t>
      </w:r>
    </w:p>
    <w:p>
      <w:pPr>
        <w:pStyle w:val="21"/>
        <w:rPr>
          <w:rFonts w:ascii="Times New Roman"/>
        </w:rPr>
      </w:pPr>
      <w:r>
        <w:rPr>
          <w:rFonts w:ascii="Times New Roman" w:hAnsi="宋体"/>
        </w:rPr>
        <w:t>本文件由中国轻工业联合会归口。</w:t>
      </w:r>
    </w:p>
    <w:p>
      <w:pPr>
        <w:ind w:firstLine="420" w:firstLineChars="200"/>
        <w:jc w:val="left"/>
        <w:rPr>
          <w:rFonts w:ascii="宋体" w:hAnsi="Times New Roman" w:eastAsia="宋体" w:cs="Times New Roman"/>
          <w:kern w:val="0"/>
          <w:szCs w:val="20"/>
        </w:rPr>
      </w:pPr>
      <w:r>
        <w:rPr>
          <w:rFonts w:hint="eastAsia" w:ascii="Times New Roman" w:hAnsi="Times New Roman" w:eastAsia="宋体" w:cs="Times New Roman"/>
        </w:rPr>
        <w:t>本文件起</w:t>
      </w:r>
      <w:r>
        <w:rPr>
          <w:rFonts w:hint="eastAsia" w:ascii="宋体" w:hAnsi="Times New Roman" w:eastAsia="宋体" w:cs="Times New Roman"/>
          <w:kern w:val="0"/>
          <w:szCs w:val="20"/>
        </w:rPr>
        <w:t xml:space="preserve">草单位： </w:t>
      </w:r>
    </w:p>
    <w:p>
      <w:pPr>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本文件主要起草人：</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 xml:space="preserve"> </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本文件为首次发布。</w:t>
      </w:r>
    </w:p>
    <w:p>
      <w:pPr>
        <w:spacing w:line="360" w:lineRule="auto"/>
        <w:ind w:firstLine="420" w:firstLineChars="200"/>
        <w:jc w:val="left"/>
        <w:rPr>
          <w:rFonts w:ascii="Times New Roman" w:hAnsi="Times New Roman" w:eastAsia="宋体" w:cs="Times New Roman"/>
        </w:rPr>
      </w:pPr>
    </w:p>
    <w:p>
      <w:pPr>
        <w:spacing w:line="360" w:lineRule="auto"/>
        <w:ind w:firstLine="420" w:firstLineChars="200"/>
        <w:jc w:val="left"/>
        <w:rPr>
          <w:rFonts w:ascii="Times New Roman" w:hAnsi="Times New Roman" w:eastAsia="宋体" w:cs="Times New Roman"/>
        </w:rPr>
        <w:sectPr>
          <w:headerReference r:id="rId7" w:type="first"/>
          <w:footerReference r:id="rId8" w:type="first"/>
          <w:type w:val="continuous"/>
          <w:pgSz w:w="11907" w:h="16839"/>
          <w:pgMar w:top="1440" w:right="1800" w:bottom="1440" w:left="1800" w:header="850" w:footer="851" w:gutter="0"/>
          <w:pgNumType w:fmt="upperRoman" w:start="1"/>
          <w:cols w:space="425" w:num="1"/>
          <w:titlePg/>
          <w:docGrid w:type="lines" w:linePitch="312" w:charSpace="0"/>
        </w:sectPr>
      </w:pPr>
    </w:p>
    <w:p>
      <w:pPr>
        <w:jc w:val="center"/>
        <w:rPr>
          <w:rFonts w:ascii="黑体" w:hAnsi="黑体" w:eastAsia="黑体"/>
          <w:sz w:val="32"/>
          <w:szCs w:val="32"/>
        </w:rPr>
      </w:pPr>
      <w:r>
        <w:rPr>
          <w:rFonts w:hint="eastAsia" w:ascii="黑体" w:hAnsi="黑体" w:eastAsia="黑体"/>
          <w:sz w:val="32"/>
          <w:szCs w:val="32"/>
        </w:rPr>
        <w:t>家用电冰箱 电场保鲜技术评价要求及试验方法</w:t>
      </w:r>
    </w:p>
    <w:p>
      <w:pPr>
        <w:pStyle w:val="2"/>
      </w:pPr>
      <w:bookmarkStart w:id="8" w:name="_Toc127465490"/>
      <w:r>
        <w:rPr>
          <w:rFonts w:hint="eastAsia"/>
        </w:rPr>
        <w:t>1</w:t>
      </w:r>
      <w:r>
        <w:t xml:space="preserve"> </w:t>
      </w:r>
      <w:r>
        <w:rPr>
          <w:rFonts w:hint="eastAsia"/>
        </w:rPr>
        <w:t>范围</w:t>
      </w:r>
      <w:bookmarkEnd w:id="8"/>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本文件规定了家用电冰箱电场保鲜技术的术语和定义、技术要求和试验方法。</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本文件适用于</w:t>
      </w:r>
      <w:r>
        <w:rPr>
          <w:rFonts w:ascii="Times New Roman" w:hAnsi="Times New Roman" w:eastAsia="宋体" w:cs="Times New Roman"/>
          <w:szCs w:val="21"/>
        </w:rPr>
        <w:t>应用了</w:t>
      </w:r>
      <w:r>
        <w:rPr>
          <w:rFonts w:hint="eastAsia" w:ascii="Times New Roman" w:hAnsi="Times New Roman" w:eastAsia="宋体" w:cs="Times New Roman"/>
          <w:szCs w:val="21"/>
        </w:rPr>
        <w:t>电场保鲜技术的家用电冰箱的设计及评价。</w:t>
      </w:r>
    </w:p>
    <w:p>
      <w:pPr>
        <w:pStyle w:val="2"/>
      </w:pPr>
      <w:bookmarkStart w:id="9" w:name="_Toc127465491"/>
      <w:r>
        <w:t xml:space="preserve">2 </w:t>
      </w:r>
      <w:r>
        <w:rPr>
          <w:rFonts w:hint="eastAsia"/>
        </w:rPr>
        <w:t>规范性引用文件</w:t>
      </w:r>
      <w:bookmarkEnd w:id="9"/>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下列文件中</w:t>
      </w:r>
      <w:r>
        <w:rPr>
          <w:rFonts w:ascii="Times New Roman" w:hAnsi="Times New Roman" w:eastAsia="宋体" w:cs="Times New Roman"/>
          <w:szCs w:val="21"/>
        </w:rPr>
        <w:t>的内容</w:t>
      </w:r>
      <w:r>
        <w:rPr>
          <w:rFonts w:hint="eastAsia" w:ascii="Times New Roman" w:hAnsi="Times New Roman" w:eastAsia="宋体" w:cs="Times New Roman"/>
          <w:szCs w:val="21"/>
        </w:rPr>
        <w:t>通过文中</w:t>
      </w:r>
      <w:r>
        <w:rPr>
          <w:rFonts w:ascii="Times New Roman" w:hAnsi="Times New Roman" w:eastAsia="宋体" w:cs="Times New Roman"/>
          <w:szCs w:val="21"/>
        </w:rPr>
        <w:t>的规范</w:t>
      </w:r>
      <w:r>
        <w:rPr>
          <w:rFonts w:hint="eastAsia" w:ascii="Times New Roman" w:hAnsi="Times New Roman" w:eastAsia="宋体" w:cs="Times New Roman"/>
          <w:szCs w:val="21"/>
        </w:rPr>
        <w:t>性</w:t>
      </w:r>
      <w:r>
        <w:rPr>
          <w:rFonts w:ascii="Times New Roman" w:hAnsi="Times New Roman" w:eastAsia="宋体" w:cs="Times New Roman"/>
          <w:szCs w:val="21"/>
        </w:rPr>
        <w:t>引用而构成</w:t>
      </w:r>
      <w:r>
        <w:rPr>
          <w:rFonts w:hint="eastAsia" w:ascii="Times New Roman" w:hAnsi="Times New Roman" w:eastAsia="宋体" w:cs="Times New Roman"/>
          <w:szCs w:val="21"/>
        </w:rPr>
        <w:t>本</w:t>
      </w:r>
      <w:r>
        <w:rPr>
          <w:rFonts w:ascii="Times New Roman" w:hAnsi="Times New Roman" w:eastAsia="宋体" w:cs="Times New Roman"/>
          <w:szCs w:val="21"/>
        </w:rPr>
        <w:t>文件</w:t>
      </w:r>
      <w:r>
        <w:rPr>
          <w:rFonts w:hint="eastAsia" w:ascii="Times New Roman" w:hAnsi="Times New Roman" w:eastAsia="宋体" w:cs="Times New Roman"/>
          <w:szCs w:val="21"/>
        </w:rPr>
        <w:t>必不可少的条款。其中，注日期的引用文件，仅该日期对应的版本适用于本文件；不注日期的引用文件，其最新版本（包括所有的修改单）适用于本文件。</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4789.2  食品微生物学检验  菌落总数测定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5009.5—2016 食品安全国家标准 食品中蛋白质的测定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5009.86</w:t>
      </w:r>
      <w:r>
        <w:rPr>
          <w:rFonts w:hint="eastAsia" w:ascii="Times New Roman" w:hAnsi="Times New Roman" w:eastAsia="宋体" w:cs="Times New Roman"/>
          <w:szCs w:val="21"/>
        </w:rPr>
        <w:t>—2</w:t>
      </w:r>
      <w:r>
        <w:rPr>
          <w:rFonts w:ascii="Times New Roman" w:hAnsi="Times New Roman" w:eastAsia="宋体" w:cs="Times New Roman"/>
          <w:szCs w:val="21"/>
        </w:rPr>
        <w:t>016  食品安全国家标准食品中抗坏血酸的测定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5009.181 食品安全国家标准 食品中丙二醛的测定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5009.228  食品安全国家标准食品中挥发性盐基氮的测定</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GB/T 8059</w:t>
      </w:r>
      <w:r>
        <w:rPr>
          <w:rFonts w:hint="eastAsia" w:ascii="Times New Roman" w:hAnsi="Times New Roman" w:eastAsia="宋体" w:cs="Times New Roman"/>
          <w:szCs w:val="21"/>
        </w:rPr>
        <w:t>—</w:t>
      </w:r>
      <w:r>
        <w:rPr>
          <w:rFonts w:ascii="Times New Roman" w:hAnsi="Times New Roman" w:eastAsia="宋体" w:cs="Times New Roman"/>
          <w:szCs w:val="21"/>
        </w:rPr>
        <w:t>2016  家用和类似用途制冷器具</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 21551.4</w:t>
      </w:r>
      <w:r>
        <w:rPr>
          <w:rFonts w:hint="eastAsia" w:ascii="Times New Roman" w:hAnsi="Times New Roman" w:eastAsia="宋体" w:cs="Times New Roman"/>
          <w:szCs w:val="21"/>
        </w:rPr>
        <w:t>—</w:t>
      </w:r>
      <w:r>
        <w:rPr>
          <w:rFonts w:ascii="Times New Roman" w:hAnsi="Times New Roman" w:eastAsia="宋体" w:cs="Times New Roman"/>
          <w:szCs w:val="21"/>
        </w:rPr>
        <w:t>2010  家用和类似用途电器的抗菌、除菌、净化功能 电冰箱的特殊要求</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GB/T 39640</w:t>
      </w:r>
      <w:r>
        <w:rPr>
          <w:rFonts w:hint="eastAsia" w:ascii="Times New Roman" w:hAnsi="Times New Roman" w:eastAsia="宋体" w:cs="Times New Roman"/>
          <w:szCs w:val="21"/>
        </w:rPr>
        <w:t>—</w:t>
      </w:r>
      <w:r>
        <w:rPr>
          <w:rFonts w:ascii="Times New Roman" w:hAnsi="Times New Roman" w:eastAsia="宋体" w:cs="Times New Roman"/>
          <w:szCs w:val="21"/>
        </w:rPr>
        <w:t>2020  家用电器及类似器具电磁场相对于人体曝露的测量方法</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NY/T 1794  猕猴桃等级规格</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NY/T 3082  水果、蔬菜及其制品中叶绿素含量的测定分光光度法</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QB/T 5510</w:t>
      </w:r>
      <w:r>
        <w:rPr>
          <w:rFonts w:hint="eastAsia" w:ascii="Times New Roman" w:hAnsi="Times New Roman" w:eastAsia="宋体" w:cs="Times New Roman"/>
          <w:szCs w:val="21"/>
        </w:rPr>
        <w:t>—</w:t>
      </w:r>
      <w:r>
        <w:rPr>
          <w:rFonts w:ascii="Times New Roman" w:hAnsi="Times New Roman" w:eastAsia="宋体" w:cs="Times New Roman"/>
          <w:szCs w:val="21"/>
        </w:rPr>
        <w:t>2021  家用电冰箱保鲜性能试验方法</w:t>
      </w:r>
    </w:p>
    <w:p>
      <w:pPr>
        <w:pStyle w:val="2"/>
      </w:pPr>
      <w:bookmarkStart w:id="10" w:name="_Toc127465492"/>
      <w:r>
        <w:t xml:space="preserve">3 </w:t>
      </w:r>
      <w:r>
        <w:rPr>
          <w:rFonts w:hint="eastAsia"/>
        </w:rPr>
        <w:t>术语和定义</w:t>
      </w:r>
      <w:bookmarkEnd w:id="10"/>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B/T 8059</w:t>
      </w:r>
      <w:r>
        <w:rPr>
          <w:rFonts w:hint="eastAsia" w:ascii="Times New Roman" w:hAnsi="Times New Roman" w:eastAsia="宋体" w:cs="Times New Roman"/>
          <w:szCs w:val="21"/>
        </w:rPr>
        <w:t>—</w:t>
      </w:r>
      <w:r>
        <w:rPr>
          <w:rFonts w:ascii="Times New Roman" w:hAnsi="Times New Roman" w:eastAsia="宋体" w:cs="Times New Roman"/>
          <w:szCs w:val="21"/>
        </w:rPr>
        <w:t>2016</w:t>
      </w:r>
      <w:r>
        <w:rPr>
          <w:rFonts w:hint="eastAsia" w:ascii="Times New Roman" w:hAnsi="Times New Roman" w:eastAsia="宋体" w:cs="Times New Roman"/>
          <w:szCs w:val="21"/>
        </w:rPr>
        <w:t>和Q</w:t>
      </w:r>
      <w:r>
        <w:rPr>
          <w:rFonts w:ascii="Times New Roman" w:hAnsi="Times New Roman" w:eastAsia="宋体" w:cs="Times New Roman"/>
          <w:szCs w:val="21"/>
        </w:rPr>
        <w:t>B/T 5510</w:t>
      </w:r>
      <w:r>
        <w:rPr>
          <w:rFonts w:hint="eastAsia" w:ascii="Times New Roman" w:hAnsi="Times New Roman" w:eastAsia="宋体" w:cs="Times New Roman"/>
          <w:szCs w:val="21"/>
        </w:rPr>
        <w:t>—</w:t>
      </w:r>
      <w:r>
        <w:rPr>
          <w:rFonts w:ascii="Times New Roman" w:hAnsi="Times New Roman" w:eastAsia="宋体" w:cs="Times New Roman"/>
          <w:szCs w:val="21"/>
        </w:rPr>
        <w:t>2021</w:t>
      </w:r>
      <w:r>
        <w:rPr>
          <w:rFonts w:hint="eastAsia" w:ascii="Times New Roman" w:hAnsi="Times New Roman" w:eastAsia="宋体" w:cs="Times New Roman"/>
          <w:szCs w:val="21"/>
        </w:rPr>
        <w:t>界定的以及下列术语和定义适用于本文件。</w:t>
      </w:r>
    </w:p>
    <w:p>
      <w:pPr>
        <w:pStyle w:val="3"/>
        <w:rPr>
          <w:color w:val="000000" w:themeColor="text1"/>
          <w14:textFill>
            <w14:solidFill>
              <w14:schemeClr w14:val="tx1"/>
            </w14:solidFill>
          </w14:textFill>
        </w:rPr>
      </w:pPr>
      <w:bookmarkStart w:id="11" w:name="_Toc127465493"/>
      <w:r>
        <w:t>3.1</w:t>
      </w:r>
      <w:bookmarkEnd w:id="11"/>
      <w:r>
        <w:rPr>
          <w:color w:val="000000" w:themeColor="text1"/>
          <w14:textFill>
            <w14:solidFill>
              <w14:schemeClr w14:val="tx1"/>
            </w14:solidFill>
          </w14:textFill>
        </w:rPr>
        <w:tab/>
      </w:r>
    </w:p>
    <w:p>
      <w:pPr>
        <w:spacing w:line="276" w:lineRule="auto"/>
        <w:ind w:firstLine="420"/>
        <w:rPr>
          <w:rFonts w:ascii="Times New Roman" w:hAnsi="Times New Roman" w:eastAsia="黑体" w:cs="Times New Roman"/>
        </w:rPr>
      </w:pPr>
      <w:r>
        <w:rPr>
          <w:rFonts w:ascii="Times New Roman" w:hAnsi="Times New Roman" w:eastAsia="黑体" w:cs="Times New Roman"/>
        </w:rPr>
        <w:t>电场保鲜 electric field preservation</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在食品储藏的区域，利用高压静电场技术维持食材新鲜度的过程。</w:t>
      </w:r>
    </w:p>
    <w:p>
      <w:pPr>
        <w:pStyle w:val="3"/>
      </w:pPr>
      <w:bookmarkStart w:id="12" w:name="_Toc127465494"/>
      <w:r>
        <w:t>3.</w:t>
      </w:r>
      <w:r>
        <w:rPr>
          <w:rFonts w:hint="eastAsia"/>
        </w:rPr>
        <w:t>2</w:t>
      </w:r>
      <w:bookmarkEnd w:id="12"/>
      <w:r>
        <w:tab/>
      </w:r>
    </w:p>
    <w:p>
      <w:pPr>
        <w:spacing w:line="276" w:lineRule="auto"/>
        <w:ind w:firstLine="420"/>
        <w:rPr>
          <w:rFonts w:ascii="Times New Roman" w:hAnsi="Times New Roman" w:eastAsia="黑体" w:cs="Times New Roman"/>
        </w:rPr>
      </w:pPr>
      <w:r>
        <w:rPr>
          <w:rFonts w:hint="eastAsia" w:ascii="Times New Roman" w:hAnsi="Times New Roman" w:eastAsia="黑体" w:cs="Times New Roman"/>
        </w:rPr>
        <w:t>总叶绿素保有率</w:t>
      </w:r>
      <w:r>
        <w:rPr>
          <w:rFonts w:ascii="Times New Roman" w:hAnsi="Times New Roman" w:eastAsia="黑体" w:cs="Times New Roman"/>
        </w:rPr>
        <w:t xml:space="preserve"> </w:t>
      </w:r>
      <w:r>
        <w:rPr>
          <w:rFonts w:hint="eastAsia" w:ascii="Times New Roman" w:hAnsi="Times New Roman" w:eastAsia="黑体" w:cs="Times New Roman"/>
        </w:rPr>
        <w:t>r</w:t>
      </w:r>
      <w:r>
        <w:rPr>
          <w:rFonts w:ascii="Times New Roman" w:hAnsi="Times New Roman" w:eastAsia="黑体" w:cs="Times New Roman"/>
        </w:rPr>
        <w:t xml:space="preserve">etention rate of total </w:t>
      </w:r>
      <w:r>
        <w:rPr>
          <w:rFonts w:hint="eastAsia" w:ascii="Times New Roman" w:hAnsi="Times New Roman" w:eastAsia="黑体" w:cs="Times New Roman"/>
        </w:rPr>
        <w:t>c</w:t>
      </w:r>
      <w:r>
        <w:rPr>
          <w:rFonts w:ascii="Times New Roman" w:hAnsi="Times New Roman" w:eastAsia="黑体" w:cs="Times New Roman"/>
        </w:rPr>
        <w:t>hlorophyll content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在规定的条件下，食材在储藏后总叶绿素含量和其质量乘积与储藏前总叶绿素含量和其质量乘积的比值，用百分比表示。</w:t>
      </w:r>
    </w:p>
    <w:p>
      <w:pPr>
        <w:pStyle w:val="3"/>
      </w:pPr>
      <w:bookmarkStart w:id="13" w:name="_Toc127465495"/>
      <w:r>
        <w:t>3.</w:t>
      </w:r>
      <w:r>
        <w:rPr>
          <w:rFonts w:hint="eastAsia"/>
        </w:rPr>
        <w:t>3</w:t>
      </w:r>
      <w:bookmarkEnd w:id="13"/>
      <w:r>
        <w:tab/>
      </w:r>
    </w:p>
    <w:p>
      <w:pPr>
        <w:spacing w:line="276" w:lineRule="auto"/>
        <w:ind w:firstLine="420"/>
        <w:rPr>
          <w:rFonts w:ascii="Times New Roman" w:hAnsi="Times New Roman" w:eastAsia="黑体" w:cs="Times New Roman"/>
        </w:rPr>
      </w:pPr>
      <w:r>
        <w:rPr>
          <w:rFonts w:hint="eastAsia" w:ascii="Times New Roman" w:hAnsi="Times New Roman" w:eastAsia="黑体" w:cs="Times New Roman"/>
        </w:rPr>
        <w:t>维生素C保有率</w:t>
      </w:r>
      <w:r>
        <w:rPr>
          <w:rFonts w:ascii="Times New Roman" w:hAnsi="Times New Roman" w:eastAsia="黑体" w:cs="Times New Roman"/>
        </w:rPr>
        <w:t xml:space="preserve"> </w:t>
      </w:r>
      <w:r>
        <w:rPr>
          <w:rFonts w:hint="eastAsia" w:ascii="Times New Roman" w:hAnsi="Times New Roman" w:eastAsia="黑体" w:cs="Times New Roman"/>
        </w:rPr>
        <w:t>r</w:t>
      </w:r>
      <w:r>
        <w:rPr>
          <w:rFonts w:ascii="Times New Roman" w:hAnsi="Times New Roman" w:eastAsia="黑体" w:cs="Times New Roman"/>
        </w:rPr>
        <w:t>etention rate of vitamin C content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在规定的条件下，食材在储藏后食材维生素C含量和其质量乘积与储藏前维生素C含量和其质量乘积的比值，用百分比表示。</w:t>
      </w:r>
    </w:p>
    <w:p>
      <w:pPr>
        <w:pStyle w:val="3"/>
      </w:pPr>
      <w:bookmarkStart w:id="14" w:name="_Toc127465496"/>
      <w:r>
        <w:t>3.4</w:t>
      </w:r>
      <w:bookmarkEnd w:id="14"/>
      <w:r>
        <w:tab/>
      </w:r>
    </w:p>
    <w:p>
      <w:pPr>
        <w:spacing w:line="276" w:lineRule="auto"/>
        <w:ind w:firstLine="420"/>
        <w:rPr>
          <w:rFonts w:ascii="Times New Roman" w:hAnsi="Times New Roman" w:eastAsia="黑体" w:cs="Times New Roman"/>
        </w:rPr>
      </w:pPr>
      <w:r>
        <w:rPr>
          <w:rFonts w:hint="eastAsia" w:ascii="Times New Roman" w:hAnsi="Times New Roman" w:eastAsia="黑体" w:cs="Times New Roman"/>
        </w:rPr>
        <w:t>硬度变化率</w:t>
      </w:r>
      <w:r>
        <w:rPr>
          <w:rFonts w:ascii="Times New Roman" w:hAnsi="Times New Roman" w:eastAsia="黑体" w:cs="Times New Roman"/>
        </w:rPr>
        <w:t xml:space="preserve"> </w:t>
      </w:r>
      <w:r>
        <w:rPr>
          <w:rFonts w:hint="eastAsia" w:ascii="Times New Roman" w:hAnsi="Times New Roman" w:eastAsia="黑体" w:cs="Times New Roman"/>
        </w:rPr>
        <w:t>r</w:t>
      </w:r>
      <w:r>
        <w:rPr>
          <w:rFonts w:ascii="Times New Roman" w:hAnsi="Times New Roman" w:eastAsia="黑体" w:cs="Times New Roman"/>
        </w:rPr>
        <w:t>etention rate of vitamin C content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在规定的条件下，食材硬度在储藏前和储藏后的差值与储藏前食材硬度的比值，用百分比表示。</w:t>
      </w:r>
    </w:p>
    <w:p>
      <w:pPr>
        <w:pStyle w:val="3"/>
      </w:pPr>
      <w:bookmarkStart w:id="15" w:name="_Toc127465497"/>
      <w:r>
        <w:t>3.5</w:t>
      </w:r>
      <w:bookmarkEnd w:id="15"/>
      <w:r>
        <w:tab/>
      </w:r>
    </w:p>
    <w:p>
      <w:pPr>
        <w:spacing w:line="276" w:lineRule="auto"/>
        <w:ind w:firstLine="420"/>
        <w:rPr>
          <w:rFonts w:ascii="Times New Roman" w:hAnsi="Times New Roman" w:eastAsia="黑体" w:cs="Times New Roman"/>
        </w:rPr>
      </w:pPr>
      <w:r>
        <w:rPr>
          <w:rFonts w:hint="eastAsia" w:ascii="Times New Roman" w:hAnsi="Times New Roman" w:eastAsia="黑体" w:cs="Times New Roman"/>
        </w:rPr>
        <w:t>蛋白质保有率</w:t>
      </w:r>
      <w:r>
        <w:rPr>
          <w:rFonts w:ascii="Times New Roman" w:hAnsi="Times New Roman" w:eastAsia="黑体" w:cs="Times New Roman"/>
        </w:rPr>
        <w:t xml:space="preserve"> </w:t>
      </w:r>
      <w:r>
        <w:rPr>
          <w:rFonts w:hint="eastAsia" w:ascii="Times New Roman" w:hAnsi="Times New Roman" w:eastAsia="黑体" w:cs="Times New Roman"/>
        </w:rPr>
        <w:t>r</w:t>
      </w:r>
      <w:r>
        <w:rPr>
          <w:rFonts w:ascii="Times New Roman" w:hAnsi="Times New Roman" w:eastAsia="黑体" w:cs="Times New Roman"/>
        </w:rPr>
        <w:t>etention rate of vitamin C content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在规定的条件下，食材在储藏后蛋白质含量和其质量乘积与储藏前蛋白质含量和其质量乘积的比值，用百分比表示。</w:t>
      </w:r>
    </w:p>
    <w:p>
      <w:pPr>
        <w:pStyle w:val="2"/>
      </w:pPr>
      <w:bookmarkStart w:id="16" w:name="_Toc127465498"/>
      <w:r>
        <w:t xml:space="preserve">4 </w:t>
      </w:r>
      <w:r>
        <w:rPr>
          <w:rFonts w:hint="eastAsia"/>
        </w:rPr>
        <w:t>技术</w:t>
      </w:r>
      <w:r>
        <w:t>要求</w:t>
      </w:r>
      <w:bookmarkEnd w:id="16"/>
    </w:p>
    <w:p>
      <w:pPr>
        <w:spacing w:line="276" w:lineRule="auto"/>
        <w:rPr>
          <w:rFonts w:ascii="Times New Roman" w:hAnsi="Times New Roman" w:eastAsia="黑体" w:cs="Times New Roman"/>
        </w:rPr>
      </w:pPr>
      <w:r>
        <w:rPr>
          <w:rFonts w:ascii="Times New Roman" w:hAnsi="Times New Roman" w:eastAsia="黑体" w:cs="Times New Roman"/>
        </w:rPr>
        <w:t>4.1 电场强度</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电</w:t>
      </w:r>
      <w:r>
        <w:rPr>
          <w:rFonts w:ascii="Times New Roman" w:hAnsi="Times New Roman" w:eastAsia="宋体" w:cs="Times New Roman"/>
          <w:szCs w:val="21"/>
        </w:rPr>
        <w:t>冰箱整机正常运行，电场模块或功能开启，</w:t>
      </w:r>
      <w:r>
        <w:rPr>
          <w:rFonts w:hint="eastAsia" w:ascii="Times New Roman" w:hAnsi="Times New Roman" w:eastAsia="宋体" w:cs="Times New Roman"/>
          <w:szCs w:val="21"/>
        </w:rPr>
        <w:t>冰箱内部</w:t>
      </w:r>
      <w:r>
        <w:rPr>
          <w:rFonts w:ascii="Times New Roman" w:hAnsi="Times New Roman" w:eastAsia="宋体" w:cs="Times New Roman"/>
          <w:szCs w:val="21"/>
        </w:rPr>
        <w:t>应用了电场保鲜技术区域</w:t>
      </w:r>
      <w:r>
        <w:rPr>
          <w:rFonts w:hint="eastAsia" w:ascii="Times New Roman" w:hAnsi="Times New Roman" w:eastAsia="宋体" w:cs="Times New Roman"/>
          <w:szCs w:val="21"/>
        </w:rPr>
        <w:t>的电场强度应</w:t>
      </w:r>
      <w:r>
        <w:rPr>
          <w:rFonts w:hint="eastAsia" w:ascii="宋体" w:hAnsi="宋体" w:eastAsia="宋体" w:cs="Times New Roman"/>
          <w:szCs w:val="21"/>
        </w:rPr>
        <w:t>不大于</w:t>
      </w:r>
      <w:r>
        <w:rPr>
          <w:rFonts w:hint="eastAsia" w:ascii="Times New Roman" w:hAnsi="Times New Roman" w:eastAsia="宋体" w:cs="Times New Roman"/>
          <w:szCs w:val="21"/>
        </w:rPr>
        <w:t>10</w:t>
      </w:r>
      <w:r>
        <w:rPr>
          <w:rFonts w:ascii="Times New Roman" w:hAnsi="Times New Roman" w:eastAsia="宋体" w:cs="Times New Roman"/>
          <w:szCs w:val="21"/>
        </w:rPr>
        <w:t xml:space="preserve"> </w:t>
      </w:r>
      <w:r>
        <w:rPr>
          <w:rFonts w:hint="eastAsia" w:ascii="Times New Roman" w:hAnsi="Times New Roman" w:eastAsia="宋体" w:cs="Times New Roman"/>
          <w:szCs w:val="21"/>
        </w:rPr>
        <w:t>k</w:t>
      </w:r>
      <w:r>
        <w:rPr>
          <w:rFonts w:ascii="Times New Roman" w:hAnsi="Times New Roman" w:eastAsia="宋体" w:cs="Times New Roman"/>
          <w:szCs w:val="21"/>
        </w:rPr>
        <w:t>V/m</w:t>
      </w:r>
      <w:r>
        <w:rPr>
          <w:rFonts w:hint="eastAsia" w:ascii="Times New Roman" w:hAnsi="Times New Roman" w:eastAsia="宋体" w:cs="Times New Roman"/>
          <w:szCs w:val="21"/>
        </w:rPr>
        <w:t>，冰箱外部的电场强度应</w:t>
      </w:r>
      <w:r>
        <w:rPr>
          <w:rFonts w:hint="eastAsia" w:ascii="宋体" w:hAnsi="宋体" w:eastAsia="宋体" w:cs="Times New Roman"/>
          <w:szCs w:val="21"/>
        </w:rPr>
        <w:t>不大于</w:t>
      </w:r>
      <w:r>
        <w:rPr>
          <w:rFonts w:hint="eastAsia" w:ascii="Times New Roman" w:hAnsi="Times New Roman" w:eastAsia="宋体" w:cs="Times New Roman"/>
          <w:szCs w:val="21"/>
        </w:rPr>
        <w:t>1</w:t>
      </w:r>
      <w:r>
        <w:rPr>
          <w:rFonts w:ascii="Times New Roman" w:hAnsi="Times New Roman" w:eastAsia="宋体" w:cs="Times New Roman"/>
          <w:szCs w:val="21"/>
        </w:rPr>
        <w:t xml:space="preserve"> V/m。</w:t>
      </w:r>
    </w:p>
    <w:p>
      <w:pPr>
        <w:spacing w:line="276" w:lineRule="auto"/>
        <w:rPr>
          <w:rFonts w:ascii="Times New Roman" w:hAnsi="Times New Roman" w:eastAsia="黑体" w:cs="Times New Roman"/>
        </w:rPr>
      </w:pPr>
      <w:r>
        <w:rPr>
          <w:rFonts w:hint="eastAsia" w:ascii="Times New Roman" w:hAnsi="Times New Roman" w:eastAsia="黑体" w:cs="Times New Roman"/>
        </w:rPr>
        <w:t>4.2</w:t>
      </w:r>
      <w:r>
        <w:rPr>
          <w:rFonts w:ascii="Times New Roman" w:hAnsi="Times New Roman" w:eastAsia="黑体" w:cs="Times New Roman"/>
        </w:rPr>
        <w:t xml:space="preserve"> </w:t>
      </w:r>
      <w:r>
        <w:rPr>
          <w:rFonts w:hint="eastAsia" w:ascii="Times New Roman" w:hAnsi="Times New Roman" w:eastAsia="黑体" w:cs="Times New Roman"/>
        </w:rPr>
        <w:t>臭氧泄漏量</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电</w:t>
      </w:r>
      <w:r>
        <w:rPr>
          <w:rFonts w:ascii="Times New Roman" w:hAnsi="Times New Roman" w:eastAsia="宋体" w:cs="Times New Roman"/>
          <w:szCs w:val="21"/>
        </w:rPr>
        <w:t>冰箱整机正常运行</w:t>
      </w:r>
      <w:r>
        <w:rPr>
          <w:rFonts w:hint="eastAsia" w:ascii="Times New Roman" w:hAnsi="Times New Roman" w:eastAsia="宋体" w:cs="Times New Roman"/>
          <w:szCs w:val="21"/>
        </w:rPr>
        <w:t>且密闭</w:t>
      </w:r>
      <w:r>
        <w:rPr>
          <w:rFonts w:ascii="Times New Roman" w:hAnsi="Times New Roman" w:eastAsia="宋体" w:cs="Times New Roman"/>
          <w:szCs w:val="21"/>
        </w:rPr>
        <w:t>，电场模块或功能开启，</w:t>
      </w:r>
      <w:r>
        <w:rPr>
          <w:rFonts w:hint="eastAsia" w:ascii="Times New Roman" w:hAnsi="Times New Roman" w:eastAsia="宋体" w:cs="Times New Roman"/>
          <w:szCs w:val="21"/>
        </w:rPr>
        <w:t>冰箱周围环境中臭氧泄漏量应</w:t>
      </w:r>
      <w:r>
        <w:rPr>
          <w:rFonts w:hint="eastAsia" w:ascii="宋体" w:hAnsi="宋体" w:eastAsia="宋体" w:cs="Times New Roman"/>
          <w:szCs w:val="21"/>
        </w:rPr>
        <w:t>不大于</w:t>
      </w:r>
      <w:r>
        <w:rPr>
          <w:rFonts w:hint="eastAsia" w:ascii="Times New Roman" w:hAnsi="Times New Roman" w:eastAsia="宋体" w:cs="Times New Roman"/>
          <w:szCs w:val="21"/>
        </w:rPr>
        <w:t>0</w:t>
      </w:r>
      <w:r>
        <w:rPr>
          <w:rFonts w:ascii="Times New Roman" w:hAnsi="Times New Roman" w:eastAsia="宋体" w:cs="Times New Roman"/>
          <w:szCs w:val="21"/>
        </w:rPr>
        <w:t>.</w:t>
      </w:r>
      <w:r>
        <w:rPr>
          <w:rFonts w:hint="eastAsia" w:ascii="Times New Roman" w:hAnsi="Times New Roman" w:eastAsia="宋体" w:cs="Times New Roman"/>
          <w:szCs w:val="21"/>
        </w:rPr>
        <w:t>1</w:t>
      </w:r>
      <w:r>
        <w:rPr>
          <w:rFonts w:ascii="Times New Roman" w:hAnsi="Times New Roman" w:eastAsia="宋体" w:cs="Times New Roman"/>
          <w:szCs w:val="21"/>
        </w:rPr>
        <w:t xml:space="preserve"> m</w:t>
      </w:r>
      <w:r>
        <w:rPr>
          <w:rFonts w:hint="eastAsia" w:ascii="Times New Roman" w:hAnsi="Times New Roman" w:eastAsia="宋体" w:cs="Times New Roman"/>
          <w:szCs w:val="21"/>
        </w:rPr>
        <w:t>g</w:t>
      </w: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p>
      <w:pPr>
        <w:spacing w:line="276" w:lineRule="auto"/>
        <w:rPr>
          <w:rFonts w:ascii="Times New Roman" w:hAnsi="Times New Roman" w:eastAsia="黑体" w:cs="Times New Roman"/>
        </w:rPr>
      </w:pPr>
      <w:r>
        <w:rPr>
          <w:rFonts w:ascii="Times New Roman" w:hAnsi="Times New Roman" w:eastAsia="黑体" w:cs="Times New Roman"/>
        </w:rPr>
        <w:t>4.</w:t>
      </w:r>
      <w:r>
        <w:rPr>
          <w:rFonts w:hint="eastAsia" w:ascii="Times New Roman" w:hAnsi="Times New Roman" w:eastAsia="黑体" w:cs="Times New Roman"/>
        </w:rPr>
        <w:t>3</w:t>
      </w:r>
      <w:r>
        <w:rPr>
          <w:rFonts w:ascii="Times New Roman" w:hAnsi="Times New Roman" w:eastAsia="黑体" w:cs="Times New Roman"/>
        </w:rPr>
        <w:t xml:space="preserve"> 保鲜性能</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电</w:t>
      </w:r>
      <w:r>
        <w:rPr>
          <w:rFonts w:ascii="Times New Roman" w:hAnsi="Times New Roman" w:eastAsia="宋体" w:cs="Times New Roman"/>
          <w:szCs w:val="21"/>
        </w:rPr>
        <w:t>冰箱</w:t>
      </w:r>
      <w:r>
        <w:rPr>
          <w:rFonts w:hint="eastAsia" w:ascii="Times New Roman" w:hAnsi="Times New Roman" w:eastAsia="宋体" w:cs="Times New Roman"/>
          <w:szCs w:val="21"/>
        </w:rPr>
        <w:t>的保鲜性能</w:t>
      </w:r>
      <w:r>
        <w:rPr>
          <w:rFonts w:ascii="Times New Roman" w:hAnsi="Times New Roman" w:eastAsia="宋体" w:cs="Times New Roman"/>
          <w:szCs w:val="21"/>
        </w:rPr>
        <w:t>应符合表1</w:t>
      </w:r>
      <w:r>
        <w:rPr>
          <w:rFonts w:hint="eastAsia" w:ascii="Times New Roman" w:hAnsi="Times New Roman" w:eastAsia="宋体" w:cs="Times New Roman"/>
          <w:szCs w:val="21"/>
        </w:rPr>
        <w:t>的</w:t>
      </w:r>
      <w:r>
        <w:rPr>
          <w:rFonts w:ascii="Times New Roman" w:hAnsi="Times New Roman" w:eastAsia="宋体" w:cs="Times New Roman"/>
          <w:szCs w:val="21"/>
        </w:rPr>
        <w:t>规定。</w:t>
      </w:r>
      <w:r>
        <w:rPr>
          <w:rFonts w:hint="eastAsia" w:ascii="Times New Roman" w:hAnsi="Times New Roman" w:eastAsia="宋体" w:cs="Times New Roman"/>
          <w:szCs w:val="21"/>
        </w:rPr>
        <w:t>其中，蔬菜、水果的测试适用于电冰箱冷藏室中应用电场保鲜技术的冷藏抽屉，肉类的测试适用于电冰箱冷藏室中</w:t>
      </w:r>
      <w:r>
        <w:rPr>
          <w:rFonts w:ascii="Times New Roman" w:hAnsi="Times New Roman" w:eastAsia="宋体" w:cs="Times New Roman"/>
          <w:szCs w:val="21"/>
        </w:rPr>
        <w:t>应用电场保鲜技术的</w:t>
      </w:r>
      <w:r>
        <w:rPr>
          <w:rFonts w:hint="eastAsia" w:ascii="Times New Roman" w:hAnsi="Times New Roman" w:eastAsia="宋体" w:cs="Times New Roman"/>
          <w:szCs w:val="21"/>
        </w:rPr>
        <w:t>温度不低于</w:t>
      </w:r>
      <w:r>
        <w:rPr>
          <w:rFonts w:ascii="Times New Roman" w:hAnsi="Times New Roman" w:eastAsia="宋体" w:cs="Times New Roman"/>
          <w:szCs w:val="21"/>
        </w:rPr>
        <w:t>-3 ℃</w:t>
      </w:r>
      <w:r>
        <w:rPr>
          <w:rFonts w:hint="eastAsia" w:ascii="Times New Roman" w:hAnsi="Times New Roman" w:eastAsia="宋体" w:cs="Times New Roman"/>
          <w:szCs w:val="21"/>
        </w:rPr>
        <w:t>的变温抽屉</w:t>
      </w:r>
      <w:r>
        <w:rPr>
          <w:rFonts w:ascii="Times New Roman" w:hAnsi="Times New Roman" w:eastAsia="宋体" w:cs="Times New Roman"/>
          <w:szCs w:val="21"/>
        </w:rPr>
        <w:t>。</w:t>
      </w:r>
    </w:p>
    <w:p>
      <w:pPr>
        <w:spacing w:line="276" w:lineRule="auto"/>
        <w:jc w:val="center"/>
        <w:rPr>
          <w:rFonts w:ascii="Times New Roman" w:hAnsi="Times New Roman" w:eastAsia="宋体" w:cs="Times New Roman"/>
        </w:rPr>
      </w:pPr>
      <w:bookmarkStart w:id="17" w:name="_Hlk125921532"/>
      <w:r>
        <w:rPr>
          <w:rFonts w:ascii="黑体" w:hAnsi="黑体" w:eastAsia="黑体"/>
        </w:rPr>
        <w:t>表</w:t>
      </w:r>
      <w:r>
        <w:rPr>
          <w:rFonts w:ascii="黑体" w:hAnsi="黑体" w:eastAsia="黑体"/>
          <w:color w:val="000000"/>
        </w:rPr>
        <w:t>1 保鲜</w:t>
      </w:r>
      <w:r>
        <w:rPr>
          <w:rFonts w:hint="eastAsia" w:ascii="黑体" w:hAnsi="黑体" w:eastAsia="黑体"/>
          <w:color w:val="000000"/>
        </w:rPr>
        <w:t>性能要求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97"/>
        <w:gridCol w:w="1685"/>
        <w:gridCol w:w="221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食材类别</w:t>
            </w:r>
          </w:p>
        </w:tc>
        <w:tc>
          <w:tcPr>
            <w:tcW w:w="1697"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测试样品</w:t>
            </w:r>
          </w:p>
        </w:tc>
        <w:tc>
          <w:tcPr>
            <w:tcW w:w="1685"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储藏时间</w:t>
            </w:r>
          </w:p>
          <w:p>
            <w:pPr>
              <w:spacing w:line="276" w:lineRule="auto"/>
              <w:jc w:val="center"/>
              <w:rPr>
                <w:rFonts w:ascii="Times New Roman" w:hAnsi="Times New Roman" w:eastAsia="宋体" w:cs="Times New Roman"/>
              </w:rPr>
            </w:pPr>
            <w:r>
              <w:rPr>
                <w:rFonts w:hint="eastAsia" w:ascii="Times New Roman" w:hAnsi="Times New Roman" w:eastAsia="宋体" w:cs="Times New Roman"/>
              </w:rPr>
              <w:t>h</w:t>
            </w:r>
          </w:p>
        </w:tc>
        <w:tc>
          <w:tcPr>
            <w:tcW w:w="221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测试</w:t>
            </w:r>
            <w:r>
              <w:rPr>
                <w:rFonts w:ascii="Times New Roman" w:hAnsi="Times New Roman" w:eastAsia="宋体" w:cs="Times New Roman"/>
              </w:rPr>
              <w:t>项目</w:t>
            </w:r>
          </w:p>
        </w:tc>
        <w:tc>
          <w:tcPr>
            <w:tcW w:w="1560" w:type="dxa"/>
            <w:vAlign w:val="center"/>
          </w:tcPr>
          <w:p>
            <w:pPr>
              <w:spacing w:line="276" w:lineRule="auto"/>
              <w:jc w:val="center"/>
              <w:rPr>
                <w:rFonts w:ascii="Times New Roman" w:hAnsi="Times New Roman" w:eastAsia="宋体" w:cs="Times New Roman"/>
              </w:rPr>
            </w:pPr>
            <w:r>
              <w:rPr>
                <w:rFonts w:ascii="Times New Roman" w:hAnsi="Times New Roman" w:eastAsia="宋体" w:cs="Times New Roma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38"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蔬菜</w:t>
            </w:r>
          </w:p>
        </w:tc>
        <w:tc>
          <w:tcPr>
            <w:tcW w:w="1697"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菠菜</w:t>
            </w:r>
          </w:p>
        </w:tc>
        <w:tc>
          <w:tcPr>
            <w:tcW w:w="1685"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168</w:t>
            </w:r>
          </w:p>
        </w:tc>
        <w:tc>
          <w:tcPr>
            <w:tcW w:w="221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总叶绿素保有</w:t>
            </w:r>
            <w:r>
              <w:rPr>
                <w:rFonts w:ascii="Times New Roman" w:hAnsi="Times New Roman" w:eastAsia="宋体" w:cs="Times New Roman"/>
              </w:rPr>
              <w:t>率</w:t>
            </w:r>
          </w:p>
          <w:p>
            <w:pPr>
              <w:tabs>
                <w:tab w:val="left" w:pos="2705"/>
              </w:tabs>
              <w:spacing w:line="276" w:lineRule="auto"/>
              <w:jc w:val="center"/>
              <w:rPr>
                <w:rFonts w:ascii="Times New Roman" w:hAnsi="Times New Roman" w:eastAsia="宋体" w:cs="Times New Roman"/>
              </w:rPr>
            </w:pPr>
            <w:r>
              <w:rPr>
                <w:rFonts w:hint="eastAsia" w:ascii="Times New Roman" w:hAnsi="Times New Roman" w:eastAsia="宋体" w:cs="Times New Roman"/>
              </w:rPr>
              <w:t>%</w:t>
            </w:r>
          </w:p>
        </w:tc>
        <w:tc>
          <w:tcPr>
            <w:tcW w:w="1560" w:type="dxa"/>
            <w:vAlign w:val="center"/>
          </w:tcPr>
          <w:p>
            <w:pPr>
              <w:tabs>
                <w:tab w:val="left" w:pos="2705"/>
              </w:tabs>
              <w:spacing w:line="276" w:lineRule="auto"/>
              <w:jc w:val="center"/>
              <w:rPr>
                <w:rFonts w:ascii="Times New Roman" w:hAnsi="Times New Roman" w:eastAsia="宋体" w:cs="Times New Roman"/>
              </w:rPr>
            </w:pPr>
            <w:r>
              <w:rPr>
                <w:rFonts w:ascii="宋体" w:hAnsi="宋体" w:eastAsia="宋体" w:cs="Times New Roman"/>
                <w:kern w:val="0"/>
              </w:rPr>
              <w:t>≥</w:t>
            </w:r>
            <w:r>
              <w:rPr>
                <w:rFonts w:ascii="Times New Roman" w:hAnsi="Times New Roman" w:cs="Times New Roman"/>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38" w:type="dxa"/>
            <w:vMerge w:val="restart"/>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水果</w:t>
            </w:r>
          </w:p>
        </w:tc>
        <w:tc>
          <w:tcPr>
            <w:tcW w:w="1697"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猕猴桃</w:t>
            </w:r>
          </w:p>
        </w:tc>
        <w:tc>
          <w:tcPr>
            <w:tcW w:w="1685"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168</w:t>
            </w:r>
          </w:p>
        </w:tc>
        <w:tc>
          <w:tcPr>
            <w:tcW w:w="221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维生素C保有</w:t>
            </w:r>
            <w:r>
              <w:rPr>
                <w:rFonts w:ascii="Times New Roman" w:hAnsi="Times New Roman" w:eastAsia="宋体" w:cs="Times New Roman"/>
              </w:rPr>
              <w:t>率</w:t>
            </w:r>
          </w:p>
          <w:p>
            <w:pPr>
              <w:spacing w:line="276" w:lineRule="auto"/>
              <w:jc w:val="center"/>
              <w:rPr>
                <w:rFonts w:ascii="Times New Roman" w:hAnsi="Times New Roman" w:eastAsia="宋体" w:cs="Times New Roman"/>
              </w:rPr>
            </w:pPr>
            <w:r>
              <w:rPr>
                <w:rFonts w:hint="eastAsia" w:ascii="Times New Roman" w:hAnsi="Times New Roman" w:eastAsia="宋体" w:cs="Times New Roman"/>
              </w:rPr>
              <w:t>%</w:t>
            </w:r>
          </w:p>
        </w:tc>
        <w:tc>
          <w:tcPr>
            <w:tcW w:w="1560" w:type="dxa"/>
            <w:vAlign w:val="center"/>
          </w:tcPr>
          <w:p>
            <w:pPr>
              <w:spacing w:line="276" w:lineRule="auto"/>
              <w:jc w:val="center"/>
              <w:rPr>
                <w:rFonts w:ascii="Times New Roman" w:hAnsi="Times New Roman" w:eastAsia="宋体" w:cs="Times New Roman"/>
              </w:rPr>
            </w:pPr>
            <w:r>
              <w:rPr>
                <w:rFonts w:ascii="宋体" w:hAnsi="宋体" w:eastAsia="宋体" w:cs="Times New Roman"/>
                <w:kern w:val="0"/>
              </w:rPr>
              <w:t>≥</w:t>
            </w:r>
            <w:r>
              <w:rPr>
                <w:rFonts w:ascii="Times New Roman" w:hAnsi="Times New Roman" w:cs="Times New Roman"/>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38" w:type="dxa"/>
            <w:vMerge w:val="continue"/>
            <w:vAlign w:val="center"/>
          </w:tcPr>
          <w:p>
            <w:pPr>
              <w:spacing w:line="276" w:lineRule="auto"/>
              <w:jc w:val="center"/>
              <w:rPr>
                <w:rFonts w:ascii="Times New Roman" w:hAnsi="Times New Roman" w:eastAsia="宋体" w:cs="Times New Roman"/>
              </w:rPr>
            </w:pPr>
          </w:p>
        </w:tc>
        <w:tc>
          <w:tcPr>
            <w:tcW w:w="1697"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葡萄</w:t>
            </w:r>
          </w:p>
        </w:tc>
        <w:tc>
          <w:tcPr>
            <w:tcW w:w="1685"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68</w:t>
            </w:r>
          </w:p>
        </w:tc>
        <w:tc>
          <w:tcPr>
            <w:tcW w:w="221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硬度变化率</w:t>
            </w:r>
          </w:p>
          <w:p>
            <w:pPr>
              <w:spacing w:line="276" w:lineRule="auto"/>
              <w:jc w:val="center"/>
              <w:rPr>
                <w:rFonts w:ascii="Times New Roman" w:hAnsi="Times New Roman" w:eastAsia="宋体" w:cs="Times New Roman"/>
              </w:rPr>
            </w:pPr>
            <w:r>
              <w:rPr>
                <w:rFonts w:hint="eastAsia" w:ascii="Times New Roman" w:hAnsi="Times New Roman" w:eastAsia="宋体" w:cs="Times New Roman"/>
              </w:rPr>
              <w:t>%</w:t>
            </w:r>
          </w:p>
        </w:tc>
        <w:tc>
          <w:tcPr>
            <w:tcW w:w="1560" w:type="dxa"/>
            <w:vAlign w:val="center"/>
          </w:tcPr>
          <w:p>
            <w:pPr>
              <w:spacing w:line="276" w:lineRule="auto"/>
              <w:jc w:val="center"/>
              <w:rPr>
                <w:rFonts w:ascii="Times New Roman" w:hAnsi="Times New Roman" w:cs="Times New Roman"/>
                <w:kern w:val="0"/>
              </w:rPr>
            </w:pPr>
            <w:r>
              <w:rPr>
                <w:rFonts w:hint="eastAsia" w:ascii="Times New Roman" w:hAnsi="Times New Roman" w:cs="Times New Roman"/>
                <w:kern w:val="0"/>
              </w:rPr>
              <w:t>≤1</w:t>
            </w:r>
            <w:r>
              <w:rPr>
                <w:rFonts w:ascii="Times New Roman" w:hAnsi="Times New Roman" w:cs="Times New Roman"/>
                <w:kern w:val="0"/>
              </w:rPr>
              <w:t>5</w:t>
            </w:r>
            <w:r>
              <w:rPr>
                <w:rFonts w:hint="eastAsia" w:ascii="Times New Roman" w:hAnsi="Times New Roman"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restart"/>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肉类</w:t>
            </w:r>
          </w:p>
        </w:tc>
        <w:tc>
          <w:tcPr>
            <w:tcW w:w="1697" w:type="dxa"/>
            <w:vMerge w:val="restart"/>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牛肉</w:t>
            </w:r>
          </w:p>
        </w:tc>
        <w:tc>
          <w:tcPr>
            <w:tcW w:w="1685" w:type="dxa"/>
            <w:vMerge w:val="restart"/>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72</w:t>
            </w:r>
          </w:p>
        </w:tc>
        <w:tc>
          <w:tcPr>
            <w:tcW w:w="221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感官评价等级</w:t>
            </w:r>
          </w:p>
        </w:tc>
        <w:tc>
          <w:tcPr>
            <w:tcW w:w="1560" w:type="dxa"/>
            <w:vAlign w:val="center"/>
          </w:tcPr>
          <w:p>
            <w:pPr>
              <w:spacing w:line="276" w:lineRule="auto"/>
              <w:jc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级或</w:t>
            </w:r>
            <w:r>
              <w:rPr>
                <w:rFonts w:ascii="Times New Roman" w:hAnsi="Times New Roman" w:eastAsia="宋体" w:cs="Times New Roman"/>
              </w:rPr>
              <w:t>2</w:t>
            </w:r>
            <w:r>
              <w:rPr>
                <w:rFonts w:hint="eastAsia" w:ascii="Times New Roman" w:hAnsi="Times New Roman" w:eastAsia="宋体" w:cs="Times New Roma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1697" w:type="dxa"/>
            <w:vMerge w:val="continue"/>
            <w:vAlign w:val="center"/>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1685" w:type="dxa"/>
            <w:vMerge w:val="continue"/>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2211" w:type="dxa"/>
            <w:vAlign w:val="center"/>
          </w:tcPr>
          <w:p>
            <w:pPr>
              <w:spacing w:line="276" w:lineRule="auto"/>
              <w:jc w:val="center"/>
              <w:rPr>
                <w:rFonts w:ascii="Times New Roman" w:hAnsi="Times New Roman" w:eastAsia="宋体" w:cs="Times New Roman"/>
              </w:rPr>
            </w:pPr>
            <w:r>
              <w:rPr>
                <w:rFonts w:ascii="Times New Roman" w:hAnsi="Times New Roman" w:eastAsia="宋体" w:cs="Times New Roman"/>
              </w:rPr>
              <w:t>挥发性盐基氮mg/100g</w:t>
            </w:r>
          </w:p>
        </w:tc>
        <w:tc>
          <w:tcPr>
            <w:tcW w:w="1560" w:type="dxa"/>
            <w:vAlign w:val="center"/>
          </w:tcPr>
          <w:p>
            <w:pPr>
              <w:spacing w:line="276" w:lineRule="auto"/>
              <w:jc w:val="center"/>
              <w:rPr>
                <w:rFonts w:ascii="Times New Roman" w:hAnsi="Times New Roman" w:eastAsia="宋体" w:cs="Times New Roman"/>
              </w:rPr>
            </w:pPr>
            <w:r>
              <w:rPr>
                <w:rFonts w:ascii="宋体" w:hAnsi="宋体" w:eastAsia="宋体" w:cs="Times New Roman"/>
                <w:kern w:val="0"/>
              </w:rPr>
              <w:t>≤</w:t>
            </w:r>
            <w:r>
              <w:rPr>
                <w:rFonts w:ascii="Times New Roman" w:hAnsi="Times New Roman" w:eastAsia="宋体" w:cs="Times New Roman"/>
              </w:rPr>
              <w:t>1</w:t>
            </w:r>
            <w:r>
              <w:rPr>
                <w:rFonts w:hint="eastAsia" w:ascii="Times New Roman" w:hAnsi="Times New Roman" w:eastAsia="宋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1697" w:type="dxa"/>
            <w:vMerge w:val="continue"/>
            <w:vAlign w:val="center"/>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1685" w:type="dxa"/>
            <w:vMerge w:val="continue"/>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221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蛋白质保有率</w:t>
            </w:r>
          </w:p>
          <w:p>
            <w:pPr>
              <w:spacing w:line="276" w:lineRule="auto"/>
              <w:jc w:val="center"/>
              <w:rPr>
                <w:rFonts w:ascii="Times New Roman" w:hAnsi="Times New Roman" w:eastAsia="宋体" w:cs="Times New Roman"/>
              </w:rPr>
            </w:pPr>
            <w:r>
              <w:rPr>
                <w:rFonts w:hint="eastAsia" w:ascii="Times New Roman" w:hAnsi="Times New Roman" w:eastAsia="宋体" w:cs="Times New Roman"/>
              </w:rPr>
              <w:t>%</w:t>
            </w:r>
          </w:p>
        </w:tc>
        <w:tc>
          <w:tcPr>
            <w:tcW w:w="1560" w:type="dxa"/>
            <w:vAlign w:val="center"/>
          </w:tcPr>
          <w:p>
            <w:pPr>
              <w:spacing w:line="276" w:lineRule="auto"/>
              <w:jc w:val="center"/>
              <w:rPr>
                <w:rFonts w:ascii="Times New Roman" w:hAnsi="Times New Roman" w:cs="Times New Roman"/>
                <w:color w:val="000000" w:themeColor="text1"/>
                <w14:textFill>
                  <w14:solidFill>
                    <w14:schemeClr w14:val="tx1"/>
                  </w14:solidFill>
                </w14:textFill>
              </w:rPr>
            </w:pPr>
            <w:r>
              <w:rPr>
                <w:rFonts w:ascii="宋体" w:hAnsi="宋体" w:eastAsia="宋体" w:cs="Times New Roman"/>
                <w:kern w:val="0"/>
              </w:rPr>
              <w:t>≥</w:t>
            </w:r>
            <w:r>
              <w:rPr>
                <w:rFonts w:ascii="Times New Roman" w:hAnsi="Times New Roman" w:cs="Times New Roman"/>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1697" w:type="dxa"/>
            <w:vMerge w:val="continue"/>
            <w:vAlign w:val="center"/>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1685" w:type="dxa"/>
            <w:vMerge w:val="continue"/>
          </w:tcPr>
          <w:p>
            <w:pPr>
              <w:numPr>
                <w:ilvl w:val="0"/>
                <w:numId w:val="3"/>
              </w:numPr>
              <w:tabs>
                <w:tab w:val="left" w:pos="720"/>
                <w:tab w:val="clear" w:pos="2705"/>
              </w:tabs>
              <w:spacing w:line="276" w:lineRule="auto"/>
              <w:ind w:left="720"/>
              <w:jc w:val="center"/>
              <w:rPr>
                <w:rFonts w:ascii="Times New Roman" w:hAnsi="Times New Roman" w:eastAsia="宋体" w:cs="Times New Roman"/>
              </w:rPr>
            </w:pPr>
          </w:p>
        </w:tc>
        <w:tc>
          <w:tcPr>
            <w:tcW w:w="2211" w:type="dxa"/>
            <w:vAlign w:val="center"/>
          </w:tcPr>
          <w:p>
            <w:pPr>
              <w:widowControl/>
              <w:jc w:val="center"/>
              <w:rPr>
                <w:rFonts w:ascii="Times New Roman" w:hAnsi="Times New Roman" w:eastAsia="宋体" w:cs="Times New Roman"/>
              </w:rPr>
            </w:pPr>
            <w:r>
              <w:rPr>
                <w:rFonts w:ascii="Times New Roman" w:hAnsi="Times New Roman" w:eastAsia="宋体" w:cs="Times New Roman"/>
              </w:rPr>
              <w:t>菌落总数</w:t>
            </w:r>
          </w:p>
          <w:p>
            <w:pPr>
              <w:spacing w:line="276" w:lineRule="auto"/>
              <w:jc w:val="center"/>
              <w:rPr>
                <w:rFonts w:ascii="Times New Roman" w:hAnsi="Times New Roman" w:eastAsia="宋体" w:cs="Times New Roman"/>
              </w:rPr>
            </w:pPr>
            <w:r>
              <w:rPr>
                <w:rFonts w:ascii="Times New Roman" w:hAnsi="Times New Roman" w:eastAsia="宋体" w:cs="Times New Roman"/>
              </w:rPr>
              <w:t>CFU/g</w:t>
            </w:r>
          </w:p>
        </w:tc>
        <w:tc>
          <w:tcPr>
            <w:tcW w:w="1560" w:type="dxa"/>
            <w:vAlign w:val="center"/>
          </w:tcPr>
          <w:p>
            <w:pPr>
              <w:spacing w:line="276" w:lineRule="auto"/>
              <w:jc w:val="center"/>
              <w:rPr>
                <w:rFonts w:ascii="Times New Roman" w:hAnsi="Times New Roman" w:eastAsia="宋体" w:cs="Times New Roman"/>
              </w:rPr>
            </w:pPr>
            <w:r>
              <w:rPr>
                <w:rFonts w:ascii="宋体" w:hAnsi="宋体" w:eastAsia="宋体" w:cs="Times New Roman"/>
                <w:kern w:val="0"/>
              </w:rPr>
              <w:t>≤</w:t>
            </w:r>
            <w:r>
              <w:rPr>
                <w:rFonts w:hint="eastAsia" w:ascii="Times New Roman" w:hAnsi="Times New Roman" w:eastAsia="宋体" w:cs="Times New Roman"/>
              </w:rPr>
              <w:t>1.0×10</w:t>
            </w:r>
            <w:r>
              <w:rPr>
                <w:rFonts w:hint="eastAsia" w:ascii="Times New Roman" w:hAnsi="Times New Roman" w:eastAsia="宋体" w:cs="Times New Roman"/>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spacing w:line="276" w:lineRule="auto"/>
              <w:jc w:val="center"/>
              <w:rPr>
                <w:rFonts w:ascii="Times New Roman" w:hAnsi="Times New Roman" w:eastAsia="宋体" w:cs="Times New Roman"/>
              </w:rPr>
            </w:pPr>
          </w:p>
        </w:tc>
        <w:tc>
          <w:tcPr>
            <w:tcW w:w="1697" w:type="dxa"/>
            <w:vMerge w:val="restart"/>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三文鱼</w:t>
            </w:r>
          </w:p>
        </w:tc>
        <w:tc>
          <w:tcPr>
            <w:tcW w:w="1685" w:type="dxa"/>
            <w:vMerge w:val="restart"/>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2</w:t>
            </w:r>
          </w:p>
        </w:tc>
        <w:tc>
          <w:tcPr>
            <w:tcW w:w="2211" w:type="dxa"/>
            <w:vAlign w:val="center"/>
          </w:tcPr>
          <w:p>
            <w:pPr>
              <w:widowControl/>
              <w:jc w:val="center"/>
              <w:rPr>
                <w:rFonts w:ascii="Times New Roman" w:hAnsi="Times New Roman" w:eastAsia="宋体" w:cs="Times New Roman"/>
              </w:rPr>
            </w:pPr>
            <w:r>
              <w:rPr>
                <w:rFonts w:hint="eastAsia" w:ascii="Times New Roman" w:hAnsi="Times New Roman" w:eastAsia="宋体" w:cs="Times New Roman"/>
              </w:rPr>
              <w:t>丙二醛</w:t>
            </w:r>
          </w:p>
          <w:p>
            <w:pPr>
              <w:widowControl/>
              <w:jc w:val="center"/>
              <w:rPr>
                <w:rFonts w:ascii="Times New Roman" w:hAnsi="Times New Roman" w:cs="Times New Roman"/>
                <w:kern w:val="0"/>
              </w:rPr>
            </w:pPr>
            <w:r>
              <w:rPr>
                <w:rFonts w:ascii="Times New Roman" w:hAnsi="Times New Roman" w:eastAsia="宋体" w:cs="Times New Roman"/>
              </w:rPr>
              <w:t>mg/</w:t>
            </w:r>
            <w:r>
              <w:rPr>
                <w:rFonts w:hint="eastAsia" w:ascii="Times New Roman" w:hAnsi="Times New Roman" w:eastAsia="宋体" w:cs="Times New Roman"/>
              </w:rPr>
              <w:t>k</w:t>
            </w:r>
            <w:r>
              <w:rPr>
                <w:rFonts w:ascii="Times New Roman" w:hAnsi="Times New Roman" w:eastAsia="宋体" w:cs="Times New Roman"/>
              </w:rPr>
              <w:t>g</w:t>
            </w:r>
          </w:p>
        </w:tc>
        <w:tc>
          <w:tcPr>
            <w:tcW w:w="1560" w:type="dxa"/>
            <w:vAlign w:val="center"/>
          </w:tcPr>
          <w:p>
            <w:pPr>
              <w:spacing w:line="276" w:lineRule="auto"/>
              <w:jc w:val="center"/>
              <w:rPr>
                <w:rFonts w:ascii="Times New Roman" w:hAnsi="Times New Roman" w:eastAsia="宋体" w:cs="Times New Roman"/>
              </w:rPr>
            </w:pPr>
            <w:r>
              <w:rPr>
                <w:rFonts w:ascii="宋体" w:hAnsi="宋体" w:eastAsia="宋体" w:cs="Times New Roman"/>
                <w:kern w:val="0"/>
              </w:rPr>
              <w:t>≤</w:t>
            </w:r>
            <w:r>
              <w:rPr>
                <w:rFonts w:ascii="Times New Roman" w:hAnsi="Times New Roman" w:eastAsia="宋体"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spacing w:line="276" w:lineRule="auto"/>
              <w:jc w:val="center"/>
              <w:rPr>
                <w:rFonts w:ascii="Times New Roman" w:hAnsi="Times New Roman" w:eastAsia="宋体" w:cs="Times New Roman"/>
              </w:rPr>
            </w:pPr>
          </w:p>
        </w:tc>
        <w:tc>
          <w:tcPr>
            <w:tcW w:w="1697" w:type="dxa"/>
            <w:vMerge w:val="continue"/>
            <w:vAlign w:val="center"/>
          </w:tcPr>
          <w:p>
            <w:pPr>
              <w:spacing w:line="276" w:lineRule="auto"/>
              <w:jc w:val="center"/>
              <w:rPr>
                <w:rFonts w:ascii="Times New Roman" w:hAnsi="Times New Roman" w:eastAsia="宋体" w:cs="Times New Roman"/>
              </w:rPr>
            </w:pPr>
          </w:p>
        </w:tc>
        <w:tc>
          <w:tcPr>
            <w:tcW w:w="1685" w:type="dxa"/>
            <w:vMerge w:val="continue"/>
            <w:vAlign w:val="center"/>
          </w:tcPr>
          <w:p>
            <w:pPr>
              <w:spacing w:line="276" w:lineRule="auto"/>
              <w:jc w:val="center"/>
              <w:rPr>
                <w:rFonts w:ascii="Times New Roman" w:hAnsi="Times New Roman" w:eastAsia="宋体" w:cs="Times New Roman"/>
              </w:rPr>
            </w:pPr>
          </w:p>
        </w:tc>
        <w:tc>
          <w:tcPr>
            <w:tcW w:w="2211" w:type="dxa"/>
            <w:vAlign w:val="center"/>
          </w:tcPr>
          <w:p>
            <w:pPr>
              <w:widowControl/>
              <w:jc w:val="center"/>
              <w:rPr>
                <w:rFonts w:ascii="Times New Roman" w:hAnsi="Times New Roman" w:eastAsia="宋体" w:cs="Times New Roman"/>
              </w:rPr>
            </w:pPr>
            <w:r>
              <w:rPr>
                <w:rFonts w:ascii="Times New Roman" w:hAnsi="Times New Roman" w:eastAsia="宋体" w:cs="Times New Roman"/>
              </w:rPr>
              <w:t>菌落总数</w:t>
            </w:r>
          </w:p>
          <w:p>
            <w:pPr>
              <w:widowControl/>
              <w:jc w:val="center"/>
              <w:rPr>
                <w:rFonts w:ascii="Times New Roman" w:hAnsi="Times New Roman" w:cs="Times New Roman"/>
                <w:kern w:val="0"/>
              </w:rPr>
            </w:pPr>
            <w:r>
              <w:rPr>
                <w:rFonts w:ascii="Times New Roman" w:hAnsi="Times New Roman" w:eastAsia="宋体" w:cs="Times New Roman"/>
              </w:rPr>
              <w:t>CFU/g</w:t>
            </w:r>
          </w:p>
        </w:tc>
        <w:tc>
          <w:tcPr>
            <w:tcW w:w="1560" w:type="dxa"/>
            <w:vAlign w:val="center"/>
          </w:tcPr>
          <w:p>
            <w:pPr>
              <w:spacing w:line="276" w:lineRule="auto"/>
              <w:jc w:val="center"/>
              <w:rPr>
                <w:rFonts w:ascii="Times New Roman" w:hAnsi="Times New Roman" w:eastAsia="宋体" w:cs="Times New Roman"/>
              </w:rPr>
            </w:pPr>
            <w:r>
              <w:rPr>
                <w:rFonts w:ascii="宋体" w:hAnsi="宋体" w:eastAsia="宋体" w:cs="Times New Roman"/>
                <w:kern w:val="0"/>
              </w:rPr>
              <w:t>≤</w:t>
            </w:r>
            <w:r>
              <w:rPr>
                <w:rFonts w:hint="eastAsia" w:ascii="Times New Roman" w:hAnsi="Times New Roman" w:eastAsia="宋体" w:cs="Times New Roman"/>
              </w:rPr>
              <w:t>1.0×10</w:t>
            </w:r>
            <w:r>
              <w:rPr>
                <w:rFonts w:hint="eastAsia" w:ascii="Times New Roman" w:hAnsi="Times New Roman" w:eastAsia="宋体" w:cs="Times New Roman"/>
                <w:vertAlign w:val="superscript"/>
              </w:rPr>
              <w:t>5</w:t>
            </w:r>
          </w:p>
        </w:tc>
      </w:tr>
      <w:bookmarkEnd w:id="17"/>
    </w:tbl>
    <w:p>
      <w:pPr>
        <w:pStyle w:val="2"/>
      </w:pPr>
      <w:bookmarkStart w:id="18" w:name="_Toc127465499"/>
      <w:r>
        <w:rPr>
          <w:rFonts w:hint="eastAsia"/>
        </w:rPr>
        <w:t>5</w:t>
      </w:r>
      <w:r>
        <w:t xml:space="preserve"> </w:t>
      </w:r>
      <w:r>
        <w:rPr>
          <w:rFonts w:hint="eastAsia"/>
        </w:rPr>
        <w:t>试验</w:t>
      </w:r>
      <w:r>
        <w:t>方法</w:t>
      </w:r>
      <w:bookmarkEnd w:id="18"/>
    </w:p>
    <w:p>
      <w:pPr>
        <w:spacing w:line="276" w:lineRule="auto"/>
        <w:rPr>
          <w:rFonts w:ascii="Times New Roman" w:hAnsi="Times New Roman" w:eastAsia="黑体" w:cs="Times New Roman"/>
        </w:rPr>
      </w:pPr>
      <w:r>
        <w:rPr>
          <w:rFonts w:ascii="Times New Roman" w:hAnsi="Times New Roman" w:eastAsia="黑体" w:cs="Times New Roman"/>
        </w:rPr>
        <w:t xml:space="preserve">5.1 </w:t>
      </w:r>
      <w:r>
        <w:rPr>
          <w:rFonts w:hint="eastAsia" w:ascii="Times New Roman" w:hAnsi="Times New Roman" w:eastAsia="黑体" w:cs="Times New Roman"/>
        </w:rPr>
        <w:t>检测电冰箱的准备</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电冰箱按照GB/T 8059</w:t>
      </w:r>
      <w:r>
        <w:rPr>
          <w:rFonts w:hint="eastAsia" w:ascii="Times New Roman" w:hAnsi="Times New Roman" w:eastAsia="宋体" w:cs="Times New Roman"/>
          <w:szCs w:val="21"/>
        </w:rPr>
        <w:t>—</w:t>
      </w:r>
      <w:r>
        <w:rPr>
          <w:rFonts w:ascii="Times New Roman" w:hAnsi="Times New Roman" w:eastAsia="宋体" w:cs="Times New Roman"/>
          <w:szCs w:val="21"/>
        </w:rPr>
        <w:t>2016中7.6</w:t>
      </w:r>
      <w:r>
        <w:rPr>
          <w:rFonts w:hint="eastAsia" w:ascii="Times New Roman" w:hAnsi="Times New Roman" w:eastAsia="宋体" w:cs="Times New Roman"/>
          <w:szCs w:val="21"/>
        </w:rPr>
        <w:t>的规定</w:t>
      </w:r>
      <w:r>
        <w:rPr>
          <w:rFonts w:ascii="Times New Roman" w:hAnsi="Times New Roman" w:eastAsia="宋体" w:cs="Times New Roman"/>
          <w:szCs w:val="21"/>
        </w:rPr>
        <w:t>放置在试验室内。环境温度25 ℃±5 ℃，相对湿度不超过75%。</w:t>
      </w:r>
      <w:r>
        <w:rPr>
          <w:rFonts w:hint="eastAsia" w:ascii="Times New Roman" w:hAnsi="Times New Roman" w:eastAsia="宋体" w:cs="Times New Roman"/>
          <w:szCs w:val="21"/>
        </w:rPr>
        <w:t>除需要设定在特定温度的检测项目之外，</w:t>
      </w:r>
      <w:r>
        <w:rPr>
          <w:rFonts w:ascii="Times New Roman" w:hAnsi="Times New Roman" w:eastAsia="宋体" w:cs="Times New Roman"/>
          <w:szCs w:val="21"/>
        </w:rPr>
        <w:t>电冰箱的温度控制装置</w:t>
      </w:r>
      <w:r>
        <w:rPr>
          <w:rFonts w:hint="eastAsia" w:ascii="Times New Roman" w:hAnsi="Times New Roman" w:eastAsia="宋体" w:cs="Times New Roman"/>
          <w:szCs w:val="21"/>
        </w:rPr>
        <w:t>应</w:t>
      </w:r>
      <w:r>
        <w:rPr>
          <w:rFonts w:ascii="Times New Roman" w:hAnsi="Times New Roman" w:eastAsia="宋体" w:cs="Times New Roman"/>
          <w:szCs w:val="21"/>
        </w:rPr>
        <w:t>设定在制造厂商声明（说明书要求）有利于食品储藏的温度位置；如制造厂商没有声明，则将温度控制装置设定在中间位置。</w:t>
      </w:r>
    </w:p>
    <w:p>
      <w:pPr>
        <w:spacing w:line="276" w:lineRule="auto"/>
        <w:rPr>
          <w:rFonts w:ascii="Times New Roman" w:hAnsi="Times New Roman" w:eastAsia="黑体" w:cs="Times New Roman"/>
        </w:rPr>
      </w:pPr>
      <w:r>
        <w:rPr>
          <w:rFonts w:ascii="Times New Roman" w:hAnsi="Times New Roman" w:eastAsia="黑体" w:cs="Times New Roman"/>
        </w:rPr>
        <w:t>5.2 电场强度检测</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2</w:t>
      </w:r>
      <w:r>
        <w:rPr>
          <w:rFonts w:ascii="Times New Roman" w:hAnsi="Times New Roman" w:eastAsia="黑体" w:cs="Times New Roman"/>
        </w:rPr>
        <w:t xml:space="preserve">.1 </w:t>
      </w:r>
      <w:r>
        <w:rPr>
          <w:rFonts w:hint="eastAsia" w:ascii="Times New Roman" w:hAnsi="Times New Roman" w:eastAsia="黑体" w:cs="Times New Roman"/>
        </w:rPr>
        <w:t>电冰箱内部</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稳定运行的检测电</w:t>
      </w:r>
      <w:r>
        <w:rPr>
          <w:rFonts w:ascii="Times New Roman" w:hAnsi="Times New Roman" w:eastAsia="宋体" w:cs="Times New Roman"/>
          <w:szCs w:val="21"/>
        </w:rPr>
        <w:t>冰箱</w:t>
      </w:r>
      <w:r>
        <w:rPr>
          <w:rFonts w:hint="eastAsia" w:ascii="Times New Roman" w:hAnsi="Times New Roman" w:eastAsia="宋体" w:cs="Times New Roman"/>
          <w:szCs w:val="21"/>
        </w:rPr>
        <w:t>，电场强度测试点为抽屉底面的中心及前后左右四个面的中心位置。测试布点的位置偏差允许±5</w:t>
      </w:r>
      <w:r>
        <w:rPr>
          <w:rFonts w:ascii="Times New Roman" w:hAnsi="Times New Roman" w:eastAsia="宋体" w:cs="Times New Roman"/>
          <w:szCs w:val="21"/>
        </w:rPr>
        <w:t xml:space="preserve"> mm</w:t>
      </w:r>
      <w:r>
        <w:rPr>
          <w:rFonts w:hint="eastAsia" w:ascii="Times New Roman" w:hAnsi="Times New Roman" w:eastAsia="宋体" w:cs="Times New Roman"/>
          <w:szCs w:val="21"/>
        </w:rPr>
        <w: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关闭抽屉及冰箱门，开启电场模块或功能，测定并记录24</w:t>
      </w:r>
      <w:r>
        <w:rPr>
          <w:rFonts w:ascii="Times New Roman" w:hAnsi="Times New Roman" w:eastAsia="宋体" w:cs="Times New Roman"/>
          <w:szCs w:val="21"/>
        </w:rPr>
        <w:t xml:space="preserve"> h</w:t>
      </w:r>
      <w:r>
        <w:rPr>
          <w:rFonts w:hint="eastAsia" w:ascii="Times New Roman" w:hAnsi="Times New Roman" w:eastAsia="宋体" w:cs="Times New Roman"/>
          <w:szCs w:val="21"/>
        </w:rPr>
        <w:t>内每个测试点的最大电场强度。</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2</w:t>
      </w:r>
      <w:r>
        <w:rPr>
          <w:rFonts w:ascii="Times New Roman" w:hAnsi="Times New Roman" w:eastAsia="黑体" w:cs="Times New Roman"/>
        </w:rPr>
        <w:t>.</w:t>
      </w:r>
      <w:r>
        <w:rPr>
          <w:rFonts w:hint="eastAsia" w:ascii="Times New Roman" w:hAnsi="Times New Roman" w:eastAsia="黑体" w:cs="Times New Roman"/>
        </w:rPr>
        <w:t>2</w:t>
      </w:r>
      <w:r>
        <w:rPr>
          <w:rFonts w:ascii="Times New Roman" w:hAnsi="Times New Roman" w:eastAsia="黑体" w:cs="Times New Roman"/>
        </w:rPr>
        <w:t xml:space="preserve"> </w:t>
      </w:r>
      <w:r>
        <w:rPr>
          <w:rFonts w:hint="eastAsia" w:ascii="Times New Roman" w:hAnsi="Times New Roman" w:eastAsia="黑体" w:cs="Times New Roman"/>
        </w:rPr>
        <w:t>电冰箱外部</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稳定运行的检测电</w:t>
      </w:r>
      <w:r>
        <w:rPr>
          <w:rFonts w:ascii="Times New Roman" w:hAnsi="Times New Roman" w:eastAsia="宋体" w:cs="Times New Roman"/>
          <w:szCs w:val="21"/>
        </w:rPr>
        <w:t>冰箱</w:t>
      </w:r>
      <w:r>
        <w:rPr>
          <w:rFonts w:hint="eastAsia" w:ascii="Times New Roman" w:hAnsi="Times New Roman" w:eastAsia="宋体" w:cs="Times New Roman"/>
          <w:szCs w:val="21"/>
        </w:rPr>
        <w:t>（温度控制装置设定在最低温度，所有间室处于制冷状态），关闭抽屉及冰箱门，开启电场模块或功能，按照</w:t>
      </w:r>
      <w:r>
        <w:rPr>
          <w:rFonts w:ascii="Times New Roman" w:hAnsi="Times New Roman" w:eastAsia="宋体" w:cs="Times New Roman"/>
          <w:szCs w:val="21"/>
        </w:rPr>
        <w:t>GB/T 39640</w:t>
      </w:r>
      <w:r>
        <w:rPr>
          <w:rFonts w:hint="eastAsia" w:ascii="Times New Roman" w:hAnsi="Times New Roman" w:eastAsia="宋体" w:cs="Times New Roman"/>
          <w:szCs w:val="21"/>
        </w:rPr>
        <w:t>—</w:t>
      </w:r>
      <w:r>
        <w:rPr>
          <w:rFonts w:ascii="Times New Roman" w:hAnsi="Times New Roman" w:eastAsia="宋体" w:cs="Times New Roman"/>
          <w:szCs w:val="21"/>
        </w:rPr>
        <w:t>2020</w:t>
      </w:r>
      <w:r>
        <w:rPr>
          <w:rFonts w:hint="eastAsia" w:ascii="Times New Roman" w:hAnsi="Times New Roman" w:eastAsia="宋体" w:cs="Times New Roman"/>
          <w:szCs w:val="21"/>
        </w:rPr>
        <w:t>的附录A规定，电场强度测试点为距离检测电冰箱冷藏室门外表面中心位置的正前方3</w:t>
      </w:r>
      <w:r>
        <w:rPr>
          <w:rFonts w:ascii="Times New Roman" w:hAnsi="Times New Roman" w:eastAsia="宋体" w:cs="Times New Roman"/>
          <w:szCs w:val="21"/>
        </w:rPr>
        <w:t>0 cm</w:t>
      </w:r>
      <w:r>
        <w:rPr>
          <w:rFonts w:hint="eastAsia" w:ascii="Times New Roman" w:hAnsi="Times New Roman" w:eastAsia="宋体" w:cs="Times New Roman"/>
          <w:szCs w:val="21"/>
        </w:rPr>
        <w:t>处，测定并记录24</w:t>
      </w:r>
      <w:r>
        <w:rPr>
          <w:rFonts w:ascii="Times New Roman" w:hAnsi="Times New Roman" w:eastAsia="宋体" w:cs="Times New Roman"/>
          <w:szCs w:val="21"/>
        </w:rPr>
        <w:t xml:space="preserve"> h</w:t>
      </w:r>
      <w:r>
        <w:rPr>
          <w:rFonts w:hint="eastAsia" w:ascii="Times New Roman" w:hAnsi="Times New Roman" w:eastAsia="宋体" w:cs="Times New Roman"/>
          <w:szCs w:val="21"/>
        </w:rPr>
        <w:t>内的最大电场强度。</w:t>
      </w:r>
    </w:p>
    <w:p>
      <w:pPr>
        <w:spacing w:line="276" w:lineRule="auto"/>
        <w:rPr>
          <w:rFonts w:ascii="Times New Roman" w:hAnsi="Times New Roman" w:eastAsia="黑体" w:cs="Times New Roman"/>
        </w:rPr>
      </w:pPr>
      <w:r>
        <w:rPr>
          <w:rFonts w:ascii="Times New Roman" w:hAnsi="Times New Roman" w:eastAsia="黑体" w:cs="Times New Roman"/>
        </w:rPr>
        <w:t xml:space="preserve">5.3 </w:t>
      </w:r>
      <w:r>
        <w:rPr>
          <w:rFonts w:hint="eastAsia" w:ascii="Times New Roman" w:hAnsi="Times New Roman" w:eastAsia="黑体" w:cs="Times New Roman"/>
        </w:rPr>
        <w:t>臭氧泄漏量检测</w:t>
      </w:r>
    </w:p>
    <w:p>
      <w:pPr>
        <w:spacing w:line="276" w:lineRule="auto"/>
        <w:ind w:firstLine="420"/>
        <w:rPr>
          <w:rFonts w:ascii="Times New Roman" w:hAnsi="Times New Roman" w:eastAsia="宋体" w:cs="Times New Roman"/>
          <w:szCs w:val="21"/>
        </w:rPr>
      </w:pPr>
      <w:bookmarkStart w:id="19" w:name="_Hlk127466525"/>
      <w:r>
        <w:rPr>
          <w:rFonts w:hint="eastAsia" w:ascii="Times New Roman" w:hAnsi="Times New Roman" w:eastAsia="宋体" w:cs="Times New Roman"/>
          <w:szCs w:val="21"/>
        </w:rPr>
        <w:t>稳定运行的检测电</w:t>
      </w:r>
      <w:r>
        <w:rPr>
          <w:rFonts w:ascii="Times New Roman" w:hAnsi="Times New Roman" w:eastAsia="宋体" w:cs="Times New Roman"/>
          <w:szCs w:val="21"/>
        </w:rPr>
        <w:t>冰箱</w:t>
      </w:r>
      <w:r>
        <w:rPr>
          <w:rFonts w:hint="eastAsia" w:ascii="Times New Roman" w:hAnsi="Times New Roman" w:eastAsia="宋体" w:cs="Times New Roman"/>
          <w:szCs w:val="21"/>
        </w:rPr>
        <w:t>，关闭抽屉及冰箱门，开启电场模块或功能，按照</w:t>
      </w:r>
      <w:bookmarkStart w:id="20" w:name="_Hlk127467673"/>
      <w:r>
        <w:rPr>
          <w:rFonts w:ascii="Times New Roman" w:hAnsi="Times New Roman" w:eastAsia="宋体" w:cs="Times New Roman"/>
          <w:szCs w:val="21"/>
        </w:rPr>
        <w:t>GB 21551.4</w:t>
      </w:r>
      <w:r>
        <w:rPr>
          <w:rFonts w:hint="eastAsia" w:ascii="Times New Roman" w:hAnsi="Times New Roman" w:eastAsia="宋体" w:cs="Times New Roman"/>
          <w:szCs w:val="21"/>
        </w:rPr>
        <w:t>—</w:t>
      </w:r>
      <w:r>
        <w:rPr>
          <w:rFonts w:ascii="Times New Roman" w:hAnsi="Times New Roman" w:eastAsia="宋体" w:cs="Times New Roman"/>
          <w:szCs w:val="21"/>
        </w:rPr>
        <w:t>2010</w:t>
      </w:r>
      <w:bookmarkEnd w:id="20"/>
      <w:r>
        <w:rPr>
          <w:rFonts w:hint="eastAsia" w:ascii="Times New Roman" w:hAnsi="Times New Roman" w:eastAsia="宋体" w:cs="Times New Roman"/>
          <w:szCs w:val="21"/>
        </w:rPr>
        <w:t>中5</w:t>
      </w:r>
      <w:r>
        <w:rPr>
          <w:rFonts w:ascii="Times New Roman" w:hAnsi="Times New Roman" w:eastAsia="宋体" w:cs="Times New Roman"/>
          <w:szCs w:val="21"/>
        </w:rPr>
        <w:t>.4</w:t>
      </w:r>
      <w:r>
        <w:rPr>
          <w:rFonts w:hint="eastAsia" w:ascii="Times New Roman" w:hAnsi="Times New Roman" w:eastAsia="宋体" w:cs="Times New Roman"/>
          <w:szCs w:val="21"/>
        </w:rPr>
        <w:t>规定，在距箱体周边5cm处，</w:t>
      </w:r>
      <w:r>
        <w:rPr>
          <w:rFonts w:ascii="Times New Roman" w:hAnsi="Times New Roman" w:eastAsia="宋体" w:cs="Times New Roman"/>
          <w:szCs w:val="21"/>
        </w:rPr>
        <w:t>进行</w:t>
      </w:r>
      <w:r>
        <w:rPr>
          <w:rFonts w:hint="eastAsia" w:ascii="Times New Roman" w:hAnsi="Times New Roman" w:eastAsia="宋体" w:cs="Times New Roman"/>
          <w:szCs w:val="21"/>
        </w:rPr>
        <w:t>臭氧浓度的</w:t>
      </w:r>
      <w:r>
        <w:rPr>
          <w:rFonts w:ascii="Times New Roman" w:hAnsi="Times New Roman" w:eastAsia="宋体" w:cs="Times New Roman"/>
          <w:szCs w:val="21"/>
        </w:rPr>
        <w:t>测定</w:t>
      </w:r>
      <w:r>
        <w:rPr>
          <w:rFonts w:hint="eastAsia" w:ascii="Times New Roman" w:hAnsi="Times New Roman" w:eastAsia="宋体" w:cs="Times New Roman"/>
          <w:szCs w:val="21"/>
        </w:rPr>
        <w:t>，并记录</w:t>
      </w:r>
      <w:r>
        <w:rPr>
          <w:rFonts w:ascii="Times New Roman" w:hAnsi="Times New Roman" w:eastAsia="宋体" w:cs="Times New Roman"/>
          <w:szCs w:val="21"/>
        </w:rPr>
        <w:t>24 h</w:t>
      </w:r>
      <w:r>
        <w:rPr>
          <w:rFonts w:hint="eastAsia" w:ascii="Times New Roman" w:hAnsi="Times New Roman" w:eastAsia="宋体" w:cs="Times New Roman"/>
          <w:szCs w:val="21"/>
        </w:rPr>
        <w:t>内的臭氧浓度，报出结果以最大值计。</w:t>
      </w:r>
    </w:p>
    <w:bookmarkEnd w:id="19"/>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 xml:space="preserve"> </w:t>
      </w:r>
      <w:r>
        <w:rPr>
          <w:rFonts w:hint="eastAsia" w:ascii="Times New Roman" w:hAnsi="Times New Roman" w:eastAsia="黑体" w:cs="Times New Roman"/>
        </w:rPr>
        <w:t>保鲜性能检测</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 xml:space="preserve">.1 </w:t>
      </w:r>
      <w:r>
        <w:rPr>
          <w:rFonts w:hint="eastAsia" w:ascii="Times New Roman" w:hAnsi="Times New Roman" w:eastAsia="黑体" w:cs="Times New Roman"/>
        </w:rPr>
        <w:t>食物样品预处理</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按照以下方法对食物样品进行预处理：</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（1）菠</w:t>
      </w:r>
      <w:r>
        <w:rPr>
          <w:rFonts w:ascii="Times New Roman" w:hAnsi="Times New Roman" w:eastAsia="宋体" w:cs="Times New Roman"/>
          <w:szCs w:val="21"/>
        </w:rPr>
        <w:t>菜</w:t>
      </w:r>
      <w:r>
        <w:rPr>
          <w:rFonts w:hint="eastAsia" w:ascii="Times New Roman" w:hAnsi="Times New Roman" w:eastAsia="宋体" w:cs="Times New Roman"/>
          <w:szCs w:val="21"/>
        </w:rPr>
        <w:t>：选取符合</w:t>
      </w:r>
      <w:r>
        <w:rPr>
          <w:rFonts w:ascii="Times New Roman" w:hAnsi="Times New Roman" w:eastAsia="宋体" w:cs="Times New Roman"/>
          <w:szCs w:val="21"/>
        </w:rPr>
        <w:t>QB/T 5510</w:t>
      </w:r>
      <w:r>
        <w:rPr>
          <w:rFonts w:hint="eastAsia" w:ascii="Times New Roman" w:hAnsi="Times New Roman" w:eastAsia="宋体" w:cs="Times New Roman"/>
          <w:szCs w:val="21"/>
        </w:rPr>
        <w:t>—</w:t>
      </w:r>
      <w:r>
        <w:rPr>
          <w:rFonts w:ascii="Times New Roman" w:hAnsi="Times New Roman" w:eastAsia="宋体" w:cs="Times New Roman"/>
          <w:szCs w:val="21"/>
        </w:rPr>
        <w:t>2021中</w:t>
      </w:r>
      <w:r>
        <w:rPr>
          <w:rFonts w:hint="eastAsia" w:ascii="Times New Roman" w:hAnsi="Times New Roman" w:eastAsia="宋体" w:cs="Times New Roman"/>
          <w:szCs w:val="21"/>
        </w:rPr>
        <w:t>4</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规定的</w:t>
      </w:r>
      <w:r>
        <w:rPr>
          <w:rFonts w:ascii="Times New Roman" w:hAnsi="Times New Roman" w:eastAsia="宋体" w:cs="Times New Roman"/>
          <w:szCs w:val="21"/>
        </w:rPr>
        <w:t>菠菜</w:t>
      </w:r>
      <w:r>
        <w:rPr>
          <w:rFonts w:hint="eastAsia" w:ascii="Times New Roman" w:hAnsi="Times New Roman" w:eastAsia="宋体" w:cs="Times New Roman"/>
          <w:szCs w:val="21"/>
        </w:rPr>
        <w:t>样品，初始样品的感官等级按照</w:t>
      </w:r>
      <w:r>
        <w:rPr>
          <w:rFonts w:ascii="Times New Roman" w:hAnsi="Times New Roman" w:eastAsia="宋体" w:cs="Times New Roman"/>
          <w:szCs w:val="21"/>
        </w:rPr>
        <w:t>QB/T 5510</w:t>
      </w:r>
      <w:r>
        <w:rPr>
          <w:rFonts w:hint="eastAsia" w:ascii="Times New Roman" w:hAnsi="Times New Roman" w:eastAsia="宋体" w:cs="Times New Roman"/>
          <w:szCs w:val="21"/>
        </w:rPr>
        <w:t>—</w:t>
      </w:r>
      <w:r>
        <w:rPr>
          <w:rFonts w:ascii="Times New Roman" w:hAnsi="Times New Roman" w:eastAsia="宋体" w:cs="Times New Roman"/>
          <w:szCs w:val="21"/>
        </w:rPr>
        <w:t>2021</w:t>
      </w:r>
      <w:r>
        <w:rPr>
          <w:rFonts w:hint="eastAsia" w:ascii="Times New Roman" w:hAnsi="Times New Roman" w:eastAsia="宋体" w:cs="Times New Roman"/>
          <w:szCs w:val="21"/>
        </w:rPr>
        <w:t>中附录A的A</w:t>
      </w:r>
      <w:r>
        <w:rPr>
          <w:rFonts w:ascii="Times New Roman" w:hAnsi="Times New Roman" w:eastAsia="宋体" w:cs="Times New Roman"/>
          <w:szCs w:val="21"/>
        </w:rPr>
        <w:t>.1</w:t>
      </w:r>
      <w:r>
        <w:rPr>
          <w:rFonts w:hint="eastAsia" w:ascii="Times New Roman" w:hAnsi="Times New Roman" w:eastAsia="宋体" w:cs="Times New Roman"/>
          <w:szCs w:val="21"/>
        </w:rPr>
        <w:t>评价应为1级；</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（2）猕猴桃：</w:t>
      </w:r>
      <w:r>
        <w:rPr>
          <w:rFonts w:ascii="Times New Roman" w:hAnsi="Times New Roman" w:eastAsia="宋体" w:cs="Times New Roman"/>
          <w:szCs w:val="21"/>
        </w:rPr>
        <w:t>选取符合NY/T 1794</w:t>
      </w:r>
      <w:r>
        <w:rPr>
          <w:rFonts w:hint="eastAsia" w:ascii="Times New Roman" w:hAnsi="Times New Roman" w:eastAsia="宋体" w:cs="Times New Roman"/>
          <w:szCs w:val="21"/>
        </w:rPr>
        <w:t>规定</w:t>
      </w:r>
      <w:r>
        <w:rPr>
          <w:rFonts w:ascii="Times New Roman" w:hAnsi="Times New Roman" w:eastAsia="宋体" w:cs="Times New Roman"/>
          <w:szCs w:val="21"/>
        </w:rPr>
        <w:t>的特级猕猴桃样品</w:t>
      </w:r>
      <w:r>
        <w:rPr>
          <w:rFonts w:hint="eastAsia" w:ascii="Times New Roman" w:hAnsi="Times New Roman" w:eastAsia="宋体" w:cs="Times New Roman"/>
          <w:szCs w:val="21"/>
        </w:rPr>
        <w: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（3）葡萄：选取同一批次、代表性的葡萄样品，色泽均一、表面清洁、无病害、无伤痕、无软烂果实；</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（4）牛肉：</w:t>
      </w:r>
      <w:r>
        <w:rPr>
          <w:rFonts w:ascii="Times New Roman" w:hAnsi="Times New Roman" w:eastAsia="宋体" w:cs="Times New Roman"/>
          <w:szCs w:val="21"/>
        </w:rPr>
        <w:t>选取符合QB/T 5510</w:t>
      </w:r>
      <w:r>
        <w:rPr>
          <w:rFonts w:hint="eastAsia" w:ascii="Times New Roman" w:hAnsi="Times New Roman" w:eastAsia="宋体" w:cs="Times New Roman"/>
          <w:szCs w:val="21"/>
        </w:rPr>
        <w:t>—</w:t>
      </w:r>
      <w:r>
        <w:rPr>
          <w:rFonts w:ascii="Times New Roman" w:hAnsi="Times New Roman" w:eastAsia="宋体" w:cs="Times New Roman"/>
          <w:szCs w:val="21"/>
        </w:rPr>
        <w:t>2021中4.2.1规定的牛里脊肉并分样，初始样品的感官等级按照QB/T 5510</w:t>
      </w:r>
      <w:r>
        <w:rPr>
          <w:rFonts w:hint="eastAsia" w:ascii="Times New Roman" w:hAnsi="Times New Roman" w:eastAsia="宋体" w:cs="Times New Roman"/>
          <w:szCs w:val="21"/>
        </w:rPr>
        <w:t>—</w:t>
      </w:r>
      <w:r>
        <w:rPr>
          <w:rFonts w:ascii="Times New Roman" w:hAnsi="Times New Roman" w:eastAsia="宋体" w:cs="Times New Roman"/>
          <w:szCs w:val="21"/>
        </w:rPr>
        <w:t>2021中附录A的A.2评价应为1级</w:t>
      </w:r>
      <w:r>
        <w:rPr>
          <w:rFonts w:hint="eastAsia" w:ascii="Times New Roman" w:hAnsi="Times New Roman" w:eastAsia="宋体" w:cs="Times New Roman"/>
          <w:szCs w:val="21"/>
        </w:rPr>
        <w: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（5）三文鱼：</w:t>
      </w:r>
      <w:r>
        <w:rPr>
          <w:rFonts w:ascii="Times New Roman" w:hAnsi="Times New Roman" w:eastAsia="宋体" w:cs="Times New Roman"/>
          <w:szCs w:val="21"/>
        </w:rPr>
        <w:t>选取</w:t>
      </w:r>
      <w:r>
        <w:rPr>
          <w:rFonts w:hint="eastAsia" w:ascii="Times New Roman" w:hAnsi="Times New Roman" w:eastAsia="宋体" w:cs="Times New Roman"/>
          <w:szCs w:val="21"/>
        </w:rPr>
        <w:t>表面有正常光泽</w:t>
      </w:r>
      <w:r>
        <w:rPr>
          <w:rFonts w:ascii="Times New Roman" w:hAnsi="Times New Roman" w:eastAsia="宋体" w:cs="Times New Roman"/>
          <w:szCs w:val="21"/>
        </w:rPr>
        <w:t>正常气味和正常的组织状态，肌肉紧密、有弹性</w:t>
      </w:r>
      <w:r>
        <w:rPr>
          <w:rFonts w:hint="eastAsia" w:ascii="Times New Roman" w:hAnsi="Times New Roman" w:eastAsia="宋体" w:cs="Times New Roman"/>
          <w:szCs w:val="21"/>
        </w:rPr>
        <w:t>的三文鱼样品，</w:t>
      </w:r>
      <w:r>
        <w:rPr>
          <w:rFonts w:ascii="Times New Roman" w:hAnsi="Times New Roman" w:eastAsia="宋体" w:cs="Times New Roman"/>
          <w:szCs w:val="21"/>
        </w:rPr>
        <w:t>按照质量(100±10) g，厚度(20±5) mm分成大小均匀的4块</w:t>
      </w:r>
      <w:r>
        <w:rPr>
          <w:rFonts w:hint="eastAsia" w:ascii="Times New Roman" w:hAnsi="Times New Roman" w:eastAsia="宋体" w:cs="Times New Roman"/>
          <w:szCs w:val="21"/>
        </w:rPr>
        <w:t>。</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 xml:space="preserve">.2 </w:t>
      </w:r>
      <w:r>
        <w:rPr>
          <w:rFonts w:hint="eastAsia" w:ascii="Times New Roman" w:hAnsi="Times New Roman" w:eastAsia="黑体" w:cs="Times New Roman"/>
        </w:rPr>
        <w:t>总叶绿素保有率</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按照</w:t>
      </w:r>
      <w:r>
        <w:rPr>
          <w:rFonts w:hint="eastAsia" w:ascii="Times New Roman" w:hAnsi="Times New Roman" w:eastAsia="宋体" w:cs="Times New Roman"/>
          <w:szCs w:val="21"/>
        </w:rPr>
        <w:t>应用电场保鲜技术的冷藏抽屉的有效容积，以</w:t>
      </w:r>
      <w:r>
        <w:rPr>
          <w:rFonts w:ascii="Times New Roman" w:hAnsi="Times New Roman" w:eastAsia="宋体" w:cs="Times New Roman"/>
          <w:szCs w:val="21"/>
        </w:rPr>
        <w:t>30 g/L的放置量</w:t>
      </w:r>
      <w:r>
        <w:rPr>
          <w:rFonts w:hint="eastAsia" w:ascii="Times New Roman" w:hAnsi="Times New Roman" w:eastAsia="宋体" w:cs="Times New Roman"/>
          <w:szCs w:val="21"/>
        </w:rPr>
        <w:t>，</w:t>
      </w:r>
      <w:r>
        <w:rPr>
          <w:rFonts w:ascii="Times New Roman" w:hAnsi="Times New Roman" w:eastAsia="宋体" w:cs="Times New Roman"/>
          <w:szCs w:val="21"/>
        </w:rPr>
        <w:t>准备需要放置</w:t>
      </w:r>
      <w:r>
        <w:rPr>
          <w:rFonts w:hint="eastAsia" w:ascii="Times New Roman" w:hAnsi="Times New Roman" w:eastAsia="宋体" w:cs="Times New Roman"/>
          <w:szCs w:val="21"/>
        </w:rPr>
        <w:t>的</w:t>
      </w:r>
      <w:r>
        <w:rPr>
          <w:rFonts w:ascii="Times New Roman" w:hAnsi="Times New Roman" w:eastAsia="宋体" w:cs="Times New Roman"/>
          <w:szCs w:val="21"/>
        </w:rPr>
        <w:t>菠菜</w:t>
      </w:r>
      <w:r>
        <w:rPr>
          <w:rFonts w:hint="eastAsia" w:ascii="Times New Roman" w:hAnsi="Times New Roman" w:eastAsia="宋体" w:cs="Times New Roman"/>
          <w:szCs w:val="21"/>
        </w:rPr>
        <w:t>样品</w:t>
      </w:r>
      <w:r>
        <w:rPr>
          <w:rFonts w:ascii="Times New Roman" w:hAnsi="Times New Roman" w:eastAsia="宋体" w:cs="Times New Roman"/>
          <w:szCs w:val="21"/>
        </w:rPr>
        <w:t>质量</w:t>
      </w:r>
      <w:r>
        <w:rPr>
          <w:rFonts w:hint="eastAsia" w:ascii="Times New Roman" w:hAnsi="Times New Roman" w:eastAsia="宋体" w:cs="Times New Roman"/>
          <w:szCs w:val="21"/>
        </w:rPr>
        <w:t>（质量偏差±5</w:t>
      </w:r>
      <w:r>
        <w:rPr>
          <w:rFonts w:ascii="Times New Roman" w:hAnsi="Times New Roman" w:eastAsia="宋体" w:cs="Times New Roman"/>
          <w:szCs w:val="21"/>
        </w:rPr>
        <w:t xml:space="preserve"> g</w:t>
      </w:r>
      <w:r>
        <w:rPr>
          <w:rFonts w:hint="eastAsia" w:ascii="Times New Roman" w:hAnsi="Times New Roman" w:eastAsia="宋体" w:cs="Times New Roman"/>
          <w:szCs w:val="21"/>
        </w:rPr>
        <w:t>）</w:t>
      </w:r>
      <w:r>
        <w:rPr>
          <w:rFonts w:ascii="Times New Roman" w:hAnsi="Times New Roman" w:eastAsia="宋体" w:cs="Times New Roman"/>
          <w:szCs w:val="21"/>
        </w:rPr>
        <w:t>。按照NY/T 3082进行总叶绿素含量的测定</w:t>
      </w:r>
      <w:r>
        <w:rPr>
          <w:rFonts w:hint="eastAsia" w:ascii="Times New Roman" w:hAnsi="Times New Roman" w:eastAsia="宋体" w:cs="Times New Roman"/>
          <w:szCs w:val="21"/>
        </w:rPr>
        <w:t>，</w:t>
      </w:r>
      <w:r>
        <w:rPr>
          <w:rFonts w:ascii="Times New Roman" w:hAnsi="Times New Roman" w:eastAsia="宋体" w:cs="Times New Roman"/>
          <w:szCs w:val="21"/>
        </w:rPr>
        <w:t>初始值</w:t>
      </w:r>
      <w:r>
        <w:rPr>
          <w:rFonts w:hint="eastAsia" w:ascii="Times New Roman" w:hAnsi="Times New Roman" w:eastAsia="宋体" w:cs="Times New Roman"/>
          <w:szCs w:val="21"/>
        </w:rPr>
        <w:t>应</w:t>
      </w:r>
      <w:r>
        <w:rPr>
          <w:rFonts w:ascii="宋体" w:hAnsi="宋体" w:eastAsia="宋体" w:cs="Times New Roman"/>
          <w:szCs w:val="21"/>
        </w:rPr>
        <w:t>≥</w:t>
      </w:r>
      <w:r>
        <w:rPr>
          <w:rFonts w:ascii="Times New Roman" w:hAnsi="Times New Roman" w:eastAsia="宋体" w:cs="Times New Roman"/>
          <w:szCs w:val="21"/>
        </w:rPr>
        <w:t>0.3 mg/g</w:t>
      </w:r>
      <w:r>
        <w:rPr>
          <w:rFonts w:hint="eastAsia" w:ascii="Times New Roman" w:hAnsi="Times New Roman" w:eastAsia="宋体" w:cs="Times New Roman"/>
          <w:szCs w:val="21"/>
        </w:rPr>
        <w:t>。</w:t>
      </w:r>
      <w:r>
        <w:rPr>
          <w:rFonts w:ascii="Times New Roman" w:hAnsi="Times New Roman" w:eastAsia="宋体" w:cs="Times New Roman"/>
          <w:szCs w:val="21"/>
        </w:rPr>
        <w:t>菠菜不加保鲜膜或保鲜袋等任何包装，分为3份，用细绳轻轻捆好，分别称取每份样品的质量（精确到0.01 g），直接</w:t>
      </w:r>
      <w:r>
        <w:rPr>
          <w:rFonts w:hint="eastAsia" w:ascii="Times New Roman" w:hAnsi="Times New Roman" w:eastAsia="宋体" w:cs="Times New Roman"/>
          <w:szCs w:val="21"/>
        </w:rPr>
        <w:t>放入</w:t>
      </w:r>
      <w:r>
        <w:rPr>
          <w:rFonts w:ascii="Times New Roman" w:hAnsi="Times New Roman" w:eastAsia="宋体" w:cs="Times New Roman"/>
          <w:szCs w:val="21"/>
        </w:rPr>
        <w:t>检测电冰箱的</w:t>
      </w:r>
      <w:r>
        <w:rPr>
          <w:rFonts w:hint="eastAsia" w:ascii="Times New Roman" w:hAnsi="Times New Roman" w:eastAsia="宋体" w:cs="Times New Roman"/>
          <w:szCs w:val="21"/>
        </w:rPr>
        <w:t>冷藏</w:t>
      </w:r>
      <w:r>
        <w:rPr>
          <w:rFonts w:ascii="Times New Roman" w:hAnsi="Times New Roman" w:eastAsia="宋体" w:cs="Times New Roman"/>
          <w:szCs w:val="21"/>
        </w:rPr>
        <w:t>抽屉中。从抽屉的左边开始竖向摆放，茎端对着电冰箱门侧；中间为叶端对着电冰箱门侧；右边为茎端对着电冰箱门侧。如果样品放置区域的深度小于菠菜的长度，则样品横向依次摆放。</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168 h</w:t>
      </w:r>
      <w:r>
        <w:rPr>
          <w:rFonts w:hint="eastAsia" w:ascii="Times New Roman" w:hAnsi="Times New Roman" w:eastAsia="宋体" w:cs="Times New Roman"/>
          <w:szCs w:val="21"/>
        </w:rPr>
        <w:t>后取出，</w:t>
      </w:r>
      <w:r>
        <w:rPr>
          <w:rFonts w:ascii="Times New Roman" w:hAnsi="Times New Roman" w:eastAsia="宋体" w:cs="Times New Roman"/>
          <w:szCs w:val="21"/>
        </w:rPr>
        <w:t>称取每份样品的质量（精确到0.01 g）</w:t>
      </w:r>
      <w:r>
        <w:rPr>
          <w:rFonts w:hint="eastAsia" w:ascii="Times New Roman" w:hAnsi="Times New Roman" w:eastAsia="宋体" w:cs="Times New Roman"/>
          <w:szCs w:val="21"/>
        </w:rPr>
        <w:t>，</w:t>
      </w:r>
      <w:r>
        <w:rPr>
          <w:rFonts w:ascii="Times New Roman" w:hAnsi="Times New Roman" w:eastAsia="宋体" w:cs="Times New Roman"/>
          <w:szCs w:val="21"/>
        </w:rPr>
        <w:t>按照NY/T 3082进行总叶绿素含量的测定</w:t>
      </w:r>
      <w:r>
        <w:rPr>
          <w:rFonts w:hint="eastAsia" w:ascii="Times New Roman" w:hAnsi="Times New Roman" w:eastAsia="宋体" w:cs="Times New Roman"/>
          <w:szCs w:val="21"/>
        </w:rPr>
        <w:t>。</w:t>
      </w:r>
    </w:p>
    <w:p>
      <w:pPr>
        <w:pStyle w:val="21"/>
        <w:rPr>
          <w:rFonts w:ascii="Times New Roman"/>
          <w:color w:val="000000"/>
        </w:rPr>
      </w:pPr>
      <w:r>
        <w:rPr>
          <w:rFonts w:ascii="Times New Roman"/>
          <w:color w:val="000000"/>
        </w:rPr>
        <w:t>总叶绿素保有率的计算，按照式（1）进行：</w:t>
      </w:r>
    </w:p>
    <w:p>
      <w:pPr>
        <w:pStyle w:val="21"/>
        <w:ind w:firstLine="840" w:firstLineChars="400"/>
        <w:jc w:val="right"/>
        <w:rPr>
          <w:rFonts w:ascii="Times New Roman"/>
          <w:color w:val="000000"/>
        </w:rPr>
      </w:pPr>
      <w:r>
        <w:drawing>
          <wp:inline distT="0" distB="0" distL="0" distR="0">
            <wp:extent cx="1295400" cy="4000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cstate="print">
                      <a:extLst>
                        <a:ext uri="{28A0092B-C50C-407E-A947-70E740481C1C}">
                          <a14:useLocalDpi xmlns:a14="http://schemas.microsoft.com/office/drawing/2010/main" val="0"/>
                        </a:ext>
                      </a:extLst>
                    </a:blip>
                    <a:srcRect l="36961" r="38478" b="-1614"/>
                    <a:stretch>
                      <a:fillRect/>
                    </a:stretch>
                  </pic:blipFill>
                  <pic:spPr>
                    <a:xfrm>
                      <a:off x="0" y="0"/>
                      <a:ext cx="1295400" cy="400050"/>
                    </a:xfrm>
                    <a:prstGeom prst="rect">
                      <a:avLst/>
                    </a:prstGeom>
                    <a:noFill/>
                    <a:ln>
                      <a:noFill/>
                    </a:ln>
                  </pic:spPr>
                </pic:pic>
              </a:graphicData>
            </a:graphic>
          </wp:inline>
        </w:drawing>
      </w:r>
      <w:r>
        <w:rPr>
          <w:rFonts w:ascii="Times New Roman"/>
        </w:rPr>
        <w:t xml:space="preserve">      </w:t>
      </w:r>
      <w:r>
        <w:rPr>
          <w:rFonts w:ascii="Times New Roman"/>
          <w:color w:val="000000"/>
        </w:rPr>
        <w:t>…………………………（1）</w:t>
      </w:r>
      <w:r>
        <w:rPr>
          <w:rFonts w:ascii="Times New Roman"/>
          <w:color w:val="000000"/>
        </w:rPr>
        <w:fldChar w:fldCharType="begin"/>
      </w:r>
      <w:r>
        <w:rPr>
          <w:rFonts w:ascii="Times New Roman"/>
          <w:color w:val="000000"/>
        </w:rPr>
        <w:instrText xml:space="preserve"> QUOTE </w:instrText>
      </w:r>
      <w:r>
        <w:rPr>
          <w:rFonts w:ascii="Times New Roman"/>
          <w:color w:val="000000"/>
        </w:rPr>
        <w:fldChar w:fldCharType="begin"/>
      </w:r>
      <w:r>
        <w:rPr>
          <w:rFonts w:ascii="Times New Roman"/>
          <w:color w:val="000000"/>
        </w:rPr>
        <w:instrText xml:space="preserve"> QUOTE </w:instrText>
      </w:r>
      <w:r>
        <w:rPr>
          <w:rFonts w:ascii="Times New Roman"/>
        </w:rPr>
        <w:drawing>
          <wp:inline distT="0" distB="0" distL="0" distR="0">
            <wp:extent cx="1407160" cy="3340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1407160" cy="334010"/>
                    </a:xfrm>
                    <a:prstGeom prst="rect">
                      <a:avLst/>
                    </a:prstGeom>
                    <a:noFill/>
                    <a:ln w="9525">
                      <a:noFill/>
                      <a:miter lim="800000"/>
                      <a:headEnd/>
                      <a:tailEnd/>
                    </a:ln>
                  </pic:spPr>
                </pic:pic>
              </a:graphicData>
            </a:graphic>
          </wp:inline>
        </w:drawing>
      </w:r>
      <w:r>
        <w:rPr>
          <w:rFonts w:ascii="Times New Roman"/>
          <w:color w:val="000000"/>
        </w:rPr>
        <w:fldChar w:fldCharType="separate"/>
      </w:r>
      <w:r>
        <w:rPr>
          <w:rFonts w:ascii="Times New Roman"/>
        </w:rPr>
        <w:drawing>
          <wp:inline distT="0" distB="0" distL="0" distR="0">
            <wp:extent cx="1407160" cy="33401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1407160" cy="334010"/>
                    </a:xfrm>
                    <a:prstGeom prst="rect">
                      <a:avLst/>
                    </a:prstGeom>
                    <a:noFill/>
                    <a:ln w="9525">
                      <a:noFill/>
                      <a:miter lim="800000"/>
                      <a:headEnd/>
                      <a:tailEnd/>
                    </a:ln>
                  </pic:spPr>
                </pic:pic>
              </a:graphicData>
            </a:graphic>
          </wp:inline>
        </w:drawing>
      </w:r>
      <w:r>
        <w:rPr>
          <w:rFonts w:ascii="Times New Roman"/>
          <w:color w:val="000000"/>
        </w:rPr>
        <w:fldChar w:fldCharType="end"/>
      </w:r>
      <w:r>
        <w:rPr>
          <w:rFonts w:ascii="Times New Roman"/>
          <w:color w:val="000000"/>
        </w:rPr>
        <w:fldChar w:fldCharType="end"/>
      </w:r>
    </w:p>
    <w:p>
      <w:pPr>
        <w:pStyle w:val="21"/>
        <w:rPr>
          <w:rFonts w:ascii="Times New Roman"/>
          <w:color w:val="000000"/>
        </w:rPr>
      </w:pPr>
      <w:r>
        <w:rPr>
          <w:rFonts w:ascii="Times New Roman"/>
          <w:color w:val="000000"/>
        </w:rPr>
        <w:t>式中：</w:t>
      </w:r>
    </w:p>
    <w:p>
      <w:pPr>
        <w:pStyle w:val="21"/>
        <w:rPr>
          <w:rFonts w:ascii="Times New Roman"/>
          <w:color w:val="000000"/>
        </w:rPr>
      </w:pPr>
      <w:r>
        <w:rPr>
          <w:rFonts w:ascii="Times New Roman"/>
          <w:i/>
          <w:iCs/>
          <w:color w:val="000000"/>
        </w:rPr>
        <w:t>C</w:t>
      </w:r>
      <w:r>
        <w:rPr>
          <w:rFonts w:ascii="Times New Roman"/>
          <w:color w:val="000000"/>
        </w:rPr>
        <w:t>——总叶绿素保有率，用百分</w:t>
      </w:r>
      <w:r>
        <w:rPr>
          <w:rFonts w:hint="eastAsia" w:ascii="Times New Roman"/>
          <w:color w:val="000000"/>
        </w:rPr>
        <w:t>比</w:t>
      </w:r>
      <w:r>
        <w:rPr>
          <w:rFonts w:ascii="Times New Roman"/>
          <w:color w:val="000000"/>
        </w:rPr>
        <w:t>表示；</w:t>
      </w:r>
    </w:p>
    <w:p>
      <w:pPr>
        <w:pStyle w:val="21"/>
        <w:rPr>
          <w:rFonts w:ascii="Times New Roman"/>
          <w:color w:val="000000"/>
        </w:rPr>
      </w:pPr>
      <w:r>
        <w:rPr>
          <w:rFonts w:ascii="Times New Roman"/>
          <w:color w:val="000000"/>
        </w:rPr>
        <w:t>Y——储藏168h后样品的总叶绿素含量，单位为毫克</w:t>
      </w:r>
      <w:r>
        <w:rPr>
          <w:rFonts w:hint="eastAsia" w:ascii="Times New Roman"/>
          <w:color w:val="000000"/>
        </w:rPr>
        <w:t>每</w:t>
      </w:r>
      <w:r>
        <w:rPr>
          <w:rFonts w:ascii="Times New Roman"/>
          <w:color w:val="000000"/>
        </w:rPr>
        <w:t>克（mg/g）；</w:t>
      </w:r>
    </w:p>
    <w:p>
      <w:pPr>
        <w:pStyle w:val="21"/>
        <w:rPr>
          <w:rFonts w:ascii="Times New Roman"/>
          <w:color w:val="000000"/>
        </w:rPr>
      </w:pPr>
      <w:r>
        <w:rPr>
          <w:rFonts w:ascii="Times New Roman"/>
          <w:i/>
          <w:iCs/>
          <w:color w:val="000000"/>
        </w:rPr>
        <w:t>Y</w:t>
      </w:r>
      <w:r>
        <w:rPr>
          <w:rFonts w:ascii="Times New Roman"/>
          <w:color w:val="000000"/>
          <w:vertAlign w:val="subscript"/>
        </w:rPr>
        <w:t>0</w:t>
      </w:r>
      <w:r>
        <w:rPr>
          <w:rFonts w:ascii="Times New Roman"/>
          <w:color w:val="000000"/>
        </w:rPr>
        <w:t>——储藏前样品的总叶绿素含量，单位为毫克</w:t>
      </w:r>
      <w:r>
        <w:rPr>
          <w:rFonts w:hint="eastAsia" w:ascii="Times New Roman"/>
          <w:color w:val="000000"/>
        </w:rPr>
        <w:t>每</w:t>
      </w:r>
      <w:r>
        <w:rPr>
          <w:rFonts w:ascii="Times New Roman"/>
          <w:color w:val="000000"/>
        </w:rPr>
        <w:t>克（mg/g）；</w:t>
      </w:r>
    </w:p>
    <w:p>
      <w:pPr>
        <w:pStyle w:val="21"/>
        <w:rPr>
          <w:rFonts w:ascii="Times New Roman"/>
          <w:color w:val="000000"/>
        </w:rPr>
      </w:pPr>
      <w:r>
        <w:rPr>
          <w:rFonts w:ascii="Times New Roman"/>
          <w:i/>
          <w:iCs/>
          <w:color w:val="000000"/>
        </w:rPr>
        <w:t>M</w:t>
      </w:r>
      <w:r>
        <w:rPr>
          <w:rFonts w:ascii="Times New Roman"/>
          <w:color w:val="000000"/>
        </w:rPr>
        <w:t>——储藏168h后样品的质量，单位为克（g）；</w:t>
      </w:r>
    </w:p>
    <w:p>
      <w:pPr>
        <w:pStyle w:val="21"/>
        <w:rPr>
          <w:rFonts w:ascii="Times New Roman"/>
          <w:color w:val="000000" w:themeColor="text1"/>
          <w14:textFill>
            <w14:solidFill>
              <w14:schemeClr w14:val="tx1"/>
            </w14:solidFill>
          </w14:textFill>
        </w:rPr>
      </w:pPr>
      <w:r>
        <w:rPr>
          <w:rFonts w:ascii="Times New Roman"/>
          <w:i/>
          <w:iCs/>
          <w:color w:val="000000"/>
        </w:rPr>
        <w:t>M</w:t>
      </w:r>
      <w:r>
        <w:rPr>
          <w:rFonts w:ascii="Times New Roman"/>
          <w:color w:val="000000"/>
          <w:vertAlign w:val="subscript"/>
        </w:rPr>
        <w:t>0</w:t>
      </w:r>
      <w:r>
        <w:rPr>
          <w:rFonts w:ascii="Times New Roman"/>
          <w:color w:val="000000"/>
        </w:rPr>
        <w:t>——储藏前样品的质量，单位为克（g）。</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.3</w:t>
      </w:r>
      <w:r>
        <w:rPr>
          <w:rFonts w:hint="eastAsia" w:ascii="Times New Roman" w:hAnsi="Times New Roman" w:eastAsia="黑体" w:cs="Times New Roman"/>
        </w:rPr>
        <w:t>维生素C保有率</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按照</w:t>
      </w:r>
      <w:r>
        <w:rPr>
          <w:rFonts w:hint="eastAsia" w:ascii="Times New Roman" w:hAnsi="Times New Roman" w:eastAsia="宋体" w:cs="Times New Roman"/>
          <w:szCs w:val="21"/>
        </w:rPr>
        <w:t>应用电场保鲜技术的冷藏抽屉的有效容积，以</w:t>
      </w:r>
      <w:r>
        <w:rPr>
          <w:rFonts w:ascii="Times New Roman" w:hAnsi="Times New Roman" w:eastAsia="宋体" w:cs="Times New Roman"/>
          <w:szCs w:val="21"/>
        </w:rPr>
        <w:t>30 g/L的放置量</w:t>
      </w:r>
      <w:r>
        <w:rPr>
          <w:rFonts w:hint="eastAsia" w:ascii="Times New Roman" w:hAnsi="Times New Roman" w:eastAsia="宋体" w:cs="Times New Roman"/>
          <w:szCs w:val="21"/>
        </w:rPr>
        <w:t>，</w:t>
      </w:r>
      <w:r>
        <w:rPr>
          <w:rFonts w:ascii="Times New Roman" w:hAnsi="Times New Roman" w:eastAsia="宋体" w:cs="Times New Roman"/>
          <w:szCs w:val="21"/>
        </w:rPr>
        <w:t>准备需要放置</w:t>
      </w:r>
      <w:r>
        <w:rPr>
          <w:rFonts w:hint="eastAsia" w:ascii="Times New Roman" w:hAnsi="Times New Roman" w:eastAsia="宋体" w:cs="Times New Roman"/>
          <w:szCs w:val="21"/>
        </w:rPr>
        <w:t>的猕猴桃样品</w:t>
      </w:r>
      <w:r>
        <w:rPr>
          <w:rFonts w:ascii="Times New Roman" w:hAnsi="Times New Roman" w:eastAsia="宋体" w:cs="Times New Roman"/>
          <w:szCs w:val="21"/>
        </w:rPr>
        <w:t>质量</w:t>
      </w:r>
      <w:r>
        <w:rPr>
          <w:rFonts w:hint="eastAsia" w:ascii="Times New Roman" w:hAnsi="Times New Roman" w:eastAsia="宋体" w:cs="Times New Roman"/>
          <w:szCs w:val="21"/>
        </w:rPr>
        <w:t>（质量偏差±5</w:t>
      </w:r>
      <w:r>
        <w:rPr>
          <w:rFonts w:ascii="Times New Roman" w:hAnsi="Times New Roman" w:eastAsia="宋体" w:cs="Times New Roman"/>
          <w:szCs w:val="21"/>
        </w:rPr>
        <w:t xml:space="preserve"> g</w:t>
      </w:r>
      <w:r>
        <w:rPr>
          <w:rFonts w:hint="eastAsia" w:ascii="Times New Roman" w:hAnsi="Times New Roman" w:eastAsia="宋体" w:cs="Times New Roman"/>
          <w:szCs w:val="21"/>
        </w:rPr>
        <w:t>），数量取整</w:t>
      </w:r>
      <w:r>
        <w:rPr>
          <w:rFonts w:ascii="Times New Roman" w:hAnsi="Times New Roman" w:eastAsia="宋体" w:cs="Times New Roman"/>
          <w:szCs w:val="21"/>
        </w:rPr>
        <w:t>。按照GB 5009.86</w:t>
      </w:r>
      <w:r>
        <w:rPr>
          <w:rFonts w:hint="eastAsia" w:ascii="Times New Roman" w:hAnsi="Times New Roman" w:eastAsia="宋体" w:cs="Times New Roman"/>
          <w:szCs w:val="21"/>
        </w:rPr>
        <w:t>—2</w:t>
      </w:r>
      <w:r>
        <w:rPr>
          <w:rFonts w:ascii="Times New Roman" w:hAnsi="Times New Roman" w:eastAsia="宋体" w:cs="Times New Roman"/>
          <w:szCs w:val="21"/>
        </w:rPr>
        <w:t>016</w:t>
      </w:r>
      <w:r>
        <w:rPr>
          <w:rFonts w:hint="eastAsia" w:ascii="Times New Roman" w:hAnsi="Times New Roman" w:eastAsia="宋体" w:cs="Times New Roman"/>
          <w:szCs w:val="21"/>
        </w:rPr>
        <w:t xml:space="preserve">第三法 </w:t>
      </w:r>
      <w:r>
        <w:rPr>
          <w:rFonts w:ascii="Times New Roman" w:hAnsi="Times New Roman" w:eastAsia="宋体" w:cs="Times New Roman"/>
          <w:szCs w:val="21"/>
        </w:rPr>
        <w:t>2,6-二氯靛酚滴定法进行维生素C含量的测定</w:t>
      </w:r>
      <w:r>
        <w:rPr>
          <w:rFonts w:hint="eastAsia" w:ascii="Times New Roman" w:hAnsi="Times New Roman" w:eastAsia="宋体" w:cs="Times New Roman"/>
          <w:szCs w:val="21"/>
        </w:rPr>
        <w:t>，</w:t>
      </w:r>
      <w:r>
        <w:rPr>
          <w:rFonts w:ascii="Times New Roman" w:hAnsi="Times New Roman" w:eastAsia="宋体" w:cs="Times New Roman"/>
          <w:szCs w:val="21"/>
        </w:rPr>
        <w:t>初始值</w:t>
      </w:r>
      <w:r>
        <w:rPr>
          <w:rFonts w:hint="eastAsia" w:ascii="Times New Roman" w:hAnsi="Times New Roman" w:eastAsia="宋体" w:cs="Times New Roman"/>
          <w:szCs w:val="21"/>
        </w:rPr>
        <w:t>应</w:t>
      </w:r>
      <w:r>
        <w:rPr>
          <w:rFonts w:ascii="宋体" w:hAnsi="宋体" w:eastAsia="宋体" w:cs="Times New Roman"/>
          <w:szCs w:val="21"/>
        </w:rPr>
        <w:t>≥</w:t>
      </w:r>
      <w:r>
        <w:rPr>
          <w:rFonts w:ascii="Times New Roman" w:hAnsi="Times New Roman" w:eastAsia="宋体" w:cs="Times New Roman"/>
          <w:szCs w:val="21"/>
        </w:rPr>
        <w:t>20 mg/100g</w:t>
      </w:r>
      <w:r>
        <w:rPr>
          <w:rFonts w:hint="eastAsia" w:ascii="Times New Roman" w:hAnsi="Times New Roman" w:eastAsia="宋体" w:cs="Times New Roman"/>
          <w:szCs w:val="21"/>
        </w:rPr>
        <w:t>。</w:t>
      </w:r>
      <w:r>
        <w:rPr>
          <w:rFonts w:ascii="Times New Roman" w:hAnsi="Times New Roman" w:eastAsia="宋体" w:cs="Times New Roman"/>
          <w:szCs w:val="21"/>
        </w:rPr>
        <w:t>猕猴桃不加保鲜膜或保鲜袋等任何包装，将样品分为3份，</w:t>
      </w:r>
      <w:r>
        <w:rPr>
          <w:rFonts w:hint="eastAsia" w:ascii="Times New Roman" w:hAnsi="Times New Roman" w:eastAsia="宋体" w:cs="Times New Roman"/>
          <w:szCs w:val="21"/>
        </w:rPr>
        <w:t>数量取整，</w:t>
      </w:r>
      <w:r>
        <w:rPr>
          <w:rFonts w:ascii="Times New Roman" w:hAnsi="Times New Roman" w:eastAsia="宋体" w:cs="Times New Roman"/>
          <w:szCs w:val="21"/>
        </w:rPr>
        <w:t>分别称取每份样品的质量（精确到0.01 g），并直接</w:t>
      </w:r>
      <w:r>
        <w:rPr>
          <w:rFonts w:hint="eastAsia" w:ascii="Times New Roman" w:hAnsi="Times New Roman" w:eastAsia="宋体" w:cs="Times New Roman"/>
          <w:szCs w:val="21"/>
        </w:rPr>
        <w:t>放入</w:t>
      </w:r>
      <w:r>
        <w:rPr>
          <w:rFonts w:ascii="Times New Roman" w:hAnsi="Times New Roman" w:eastAsia="宋体" w:cs="Times New Roman"/>
          <w:szCs w:val="21"/>
        </w:rPr>
        <w:t>检测电冰箱的果菜抽屉中。</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168 h</w:t>
      </w:r>
      <w:r>
        <w:rPr>
          <w:rFonts w:hint="eastAsia" w:ascii="Times New Roman" w:hAnsi="Times New Roman" w:eastAsia="宋体" w:cs="Times New Roman"/>
          <w:szCs w:val="21"/>
        </w:rPr>
        <w:t>后取出，</w:t>
      </w:r>
      <w:r>
        <w:rPr>
          <w:rFonts w:ascii="Times New Roman" w:hAnsi="Times New Roman" w:eastAsia="宋体" w:cs="Times New Roman"/>
          <w:szCs w:val="21"/>
        </w:rPr>
        <w:t>称取每份样品的质量（精确到0.01 g）</w:t>
      </w:r>
      <w:r>
        <w:rPr>
          <w:rFonts w:hint="eastAsia" w:ascii="Times New Roman" w:hAnsi="Times New Roman" w:eastAsia="宋体" w:cs="Times New Roman"/>
          <w:szCs w:val="21"/>
        </w:rPr>
        <w:t>，</w:t>
      </w:r>
      <w:r>
        <w:rPr>
          <w:rFonts w:ascii="Times New Roman" w:hAnsi="Times New Roman" w:eastAsia="宋体" w:cs="Times New Roman"/>
          <w:szCs w:val="21"/>
        </w:rPr>
        <w:t>按照GB 5009.86</w:t>
      </w:r>
      <w:r>
        <w:rPr>
          <w:rFonts w:hint="eastAsia" w:ascii="Times New Roman" w:hAnsi="Times New Roman" w:eastAsia="宋体" w:cs="Times New Roman"/>
          <w:szCs w:val="21"/>
        </w:rPr>
        <w:t>—2</w:t>
      </w:r>
      <w:r>
        <w:rPr>
          <w:rFonts w:ascii="Times New Roman" w:hAnsi="Times New Roman" w:eastAsia="宋体" w:cs="Times New Roman"/>
          <w:szCs w:val="21"/>
        </w:rPr>
        <w:t>016</w:t>
      </w:r>
      <w:r>
        <w:rPr>
          <w:rFonts w:hint="eastAsia" w:ascii="Times New Roman" w:hAnsi="Times New Roman" w:eastAsia="宋体" w:cs="Times New Roman"/>
          <w:szCs w:val="21"/>
        </w:rPr>
        <w:t xml:space="preserve">第三法 </w:t>
      </w:r>
      <w:r>
        <w:rPr>
          <w:rFonts w:ascii="Times New Roman" w:hAnsi="Times New Roman" w:eastAsia="宋体" w:cs="Times New Roman"/>
          <w:szCs w:val="21"/>
        </w:rPr>
        <w:t>2,6-二氯靛酚滴定法进行维生素C含量的测定</w:t>
      </w:r>
      <w:r>
        <w:rPr>
          <w:rFonts w:hint="eastAsia" w:ascii="Times New Roman" w:hAnsi="Times New Roman" w:eastAsia="宋体" w:cs="Times New Roman"/>
          <w:szCs w:val="21"/>
        </w:rPr>
        <w:t>。</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维生素C保有率的计算，按照式（2）进行：</w:t>
      </w:r>
    </w:p>
    <w:p>
      <w:pPr>
        <w:pStyle w:val="21"/>
        <w:wordWrap w:val="0"/>
        <w:jc w:val="right"/>
        <w:rPr>
          <w:rFonts w:ascii="Times New Roman"/>
          <w:color w:val="000000"/>
        </w:rPr>
      </w:pPr>
      <w:r>
        <w:drawing>
          <wp:inline distT="0" distB="0" distL="0" distR="0">
            <wp:extent cx="1320800" cy="3937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l="35878" r="39080"/>
                    <a:stretch>
                      <a:fillRect/>
                    </a:stretch>
                  </pic:blipFill>
                  <pic:spPr>
                    <a:xfrm>
                      <a:off x="0" y="0"/>
                      <a:ext cx="1320800" cy="393700"/>
                    </a:xfrm>
                    <a:prstGeom prst="rect">
                      <a:avLst/>
                    </a:prstGeom>
                    <a:noFill/>
                    <a:ln>
                      <a:noFill/>
                    </a:ln>
                  </pic:spPr>
                </pic:pic>
              </a:graphicData>
            </a:graphic>
          </wp:inline>
        </w:drawing>
      </w:r>
      <w:r>
        <w:rPr>
          <w:rFonts w:ascii="Times New Roman"/>
        </w:rPr>
        <w:t xml:space="preserve"> </w:t>
      </w:r>
      <w:r>
        <w:rPr>
          <w:rFonts w:ascii="Times New Roman"/>
          <w:color w:val="000000"/>
        </w:rPr>
        <w:t>………………………（2）</w:t>
      </w:r>
    </w:p>
    <w:p>
      <w:pPr>
        <w:pStyle w:val="21"/>
        <w:rPr>
          <w:rFonts w:ascii="Times New Roman"/>
          <w:color w:val="000000"/>
        </w:rPr>
      </w:pPr>
      <w:r>
        <w:rPr>
          <w:rFonts w:ascii="Times New Roman"/>
          <w:color w:val="000000"/>
        </w:rPr>
        <w:t>式中：</w:t>
      </w:r>
    </w:p>
    <w:p>
      <w:pPr>
        <w:pStyle w:val="21"/>
        <w:rPr>
          <w:rFonts w:ascii="Times New Roman"/>
          <w:color w:val="000000"/>
        </w:rPr>
      </w:pPr>
      <w:r>
        <w:rPr>
          <w:rFonts w:ascii="Times New Roman"/>
          <w:i/>
          <w:iCs/>
          <w:color w:val="000000"/>
        </w:rPr>
        <w:t>V</w:t>
      </w:r>
      <w:r>
        <w:rPr>
          <w:rFonts w:ascii="Times New Roman"/>
          <w:color w:val="000000"/>
        </w:rPr>
        <w:t>——维生素C保有率，用百分</w:t>
      </w:r>
      <w:r>
        <w:rPr>
          <w:rFonts w:hint="eastAsia" w:ascii="Times New Roman"/>
          <w:color w:val="000000"/>
        </w:rPr>
        <w:t>比</w:t>
      </w:r>
      <w:r>
        <w:rPr>
          <w:rFonts w:ascii="Times New Roman"/>
          <w:color w:val="000000"/>
        </w:rPr>
        <w:t>表示；</w:t>
      </w:r>
    </w:p>
    <w:p>
      <w:pPr>
        <w:pStyle w:val="21"/>
        <w:rPr>
          <w:rFonts w:ascii="Times New Roman"/>
          <w:color w:val="000000"/>
        </w:rPr>
      </w:pPr>
      <w:r>
        <w:rPr>
          <w:rFonts w:ascii="Times New Roman"/>
          <w:i/>
          <w:iCs/>
          <w:color w:val="000000"/>
        </w:rPr>
        <w:t>A</w:t>
      </w:r>
      <w:r>
        <w:rPr>
          <w:rFonts w:ascii="Times New Roman"/>
          <w:color w:val="000000"/>
        </w:rPr>
        <w:t>——储藏168h后样品的维生素C含量，单位为毫克</w:t>
      </w:r>
      <w:r>
        <w:rPr>
          <w:rFonts w:hint="eastAsia" w:ascii="Times New Roman"/>
          <w:color w:val="000000"/>
        </w:rPr>
        <w:t>每百</w:t>
      </w:r>
      <w:r>
        <w:rPr>
          <w:rFonts w:ascii="Times New Roman"/>
          <w:color w:val="000000"/>
        </w:rPr>
        <w:t>克（mg/100g）；</w:t>
      </w:r>
    </w:p>
    <w:p>
      <w:pPr>
        <w:pStyle w:val="21"/>
        <w:rPr>
          <w:rFonts w:ascii="Times New Roman"/>
          <w:color w:val="000000"/>
        </w:rPr>
      </w:pPr>
      <w:r>
        <w:rPr>
          <w:rFonts w:ascii="Times New Roman"/>
          <w:i/>
          <w:iCs/>
          <w:color w:val="000000"/>
        </w:rPr>
        <w:t>A</w:t>
      </w:r>
      <w:r>
        <w:rPr>
          <w:rFonts w:ascii="Times New Roman"/>
          <w:color w:val="000000"/>
          <w:vertAlign w:val="subscript"/>
        </w:rPr>
        <w:t>0</w:t>
      </w:r>
      <w:r>
        <w:rPr>
          <w:rFonts w:ascii="Times New Roman"/>
          <w:color w:val="000000"/>
        </w:rPr>
        <w:t>——储藏前样品的维生素C含量，单位为毫克</w:t>
      </w:r>
      <w:r>
        <w:rPr>
          <w:rFonts w:hint="eastAsia" w:ascii="Times New Roman"/>
          <w:color w:val="000000"/>
        </w:rPr>
        <w:t>每百</w:t>
      </w:r>
      <w:r>
        <w:rPr>
          <w:rFonts w:ascii="Times New Roman"/>
          <w:color w:val="000000"/>
        </w:rPr>
        <w:t>克（mg/100g）；</w:t>
      </w:r>
    </w:p>
    <w:p>
      <w:pPr>
        <w:pStyle w:val="21"/>
        <w:ind w:firstLine="407" w:firstLineChars="194"/>
        <w:rPr>
          <w:rFonts w:ascii="Times New Roman"/>
          <w:color w:val="000000"/>
        </w:rPr>
      </w:pPr>
      <w:r>
        <w:rPr>
          <w:rFonts w:ascii="Times New Roman"/>
          <w:i/>
          <w:iCs/>
          <w:color w:val="000000"/>
        </w:rPr>
        <w:t>M</w:t>
      </w:r>
      <w:r>
        <w:rPr>
          <w:rFonts w:ascii="Times New Roman"/>
          <w:color w:val="000000"/>
        </w:rPr>
        <w:t>——储藏168h后样品的质量，单位为克（g）；</w:t>
      </w:r>
    </w:p>
    <w:p>
      <w:pPr>
        <w:pStyle w:val="21"/>
        <w:ind w:firstLine="407" w:firstLineChars="194"/>
        <w:rPr>
          <w:rFonts w:ascii="Times New Roman"/>
          <w:color w:val="000000"/>
        </w:rPr>
      </w:pPr>
      <w:r>
        <w:rPr>
          <w:rFonts w:ascii="Times New Roman"/>
          <w:i/>
          <w:iCs/>
          <w:color w:val="000000"/>
        </w:rPr>
        <w:t>M</w:t>
      </w:r>
      <w:r>
        <w:rPr>
          <w:rFonts w:ascii="Times New Roman"/>
          <w:color w:val="000000"/>
          <w:vertAlign w:val="subscript"/>
        </w:rPr>
        <w:t>0</w:t>
      </w:r>
      <w:r>
        <w:rPr>
          <w:rFonts w:ascii="Times New Roman"/>
          <w:color w:val="000000"/>
        </w:rPr>
        <w:t>——储藏前样品的质量，单位为克（g）。</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.4</w:t>
      </w:r>
      <w:r>
        <w:rPr>
          <w:rFonts w:hint="eastAsia" w:ascii="Times New Roman" w:hAnsi="Times New Roman" w:eastAsia="黑体" w:cs="Times New Roman"/>
        </w:rPr>
        <w:t>硬度变化率</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按照</w:t>
      </w:r>
      <w:r>
        <w:rPr>
          <w:rFonts w:hint="eastAsia" w:ascii="Times New Roman" w:hAnsi="Times New Roman" w:eastAsia="宋体" w:cs="Times New Roman"/>
          <w:szCs w:val="21"/>
        </w:rPr>
        <w:t>应用电场保鲜技术的冷藏抽屉的有效容积，以</w:t>
      </w:r>
      <w:r>
        <w:rPr>
          <w:rFonts w:ascii="Times New Roman" w:hAnsi="Times New Roman" w:eastAsia="宋体" w:cs="Times New Roman"/>
          <w:szCs w:val="21"/>
        </w:rPr>
        <w:t>30 g/L的放置量</w:t>
      </w:r>
      <w:r>
        <w:rPr>
          <w:rFonts w:hint="eastAsia" w:ascii="Times New Roman" w:hAnsi="Times New Roman" w:eastAsia="宋体" w:cs="Times New Roman"/>
          <w:szCs w:val="21"/>
        </w:rPr>
        <w:t>，</w:t>
      </w:r>
      <w:r>
        <w:rPr>
          <w:rFonts w:ascii="Times New Roman" w:hAnsi="Times New Roman" w:eastAsia="宋体" w:cs="Times New Roman"/>
          <w:szCs w:val="21"/>
        </w:rPr>
        <w:t>准备需要放置</w:t>
      </w:r>
      <w:r>
        <w:rPr>
          <w:rFonts w:hint="eastAsia" w:ascii="Times New Roman" w:hAnsi="Times New Roman" w:eastAsia="宋体" w:cs="Times New Roman"/>
          <w:szCs w:val="21"/>
        </w:rPr>
        <w:t>的葡萄样品</w:t>
      </w:r>
      <w:r>
        <w:rPr>
          <w:rFonts w:ascii="Times New Roman" w:hAnsi="Times New Roman" w:eastAsia="宋体" w:cs="Times New Roman"/>
          <w:szCs w:val="21"/>
        </w:rPr>
        <w:t>质量</w:t>
      </w:r>
      <w:r>
        <w:rPr>
          <w:rFonts w:hint="eastAsia" w:ascii="Times New Roman" w:hAnsi="Times New Roman" w:eastAsia="宋体" w:cs="Times New Roman"/>
          <w:szCs w:val="21"/>
        </w:rPr>
        <w:t>（质量偏差±5</w:t>
      </w:r>
      <w:r>
        <w:rPr>
          <w:rFonts w:ascii="Times New Roman" w:hAnsi="Times New Roman" w:eastAsia="宋体" w:cs="Times New Roman"/>
          <w:szCs w:val="21"/>
        </w:rPr>
        <w:t xml:space="preserve"> g</w:t>
      </w:r>
      <w:r>
        <w:rPr>
          <w:rFonts w:hint="eastAsia" w:ascii="Times New Roman" w:hAnsi="Times New Roman" w:eastAsia="宋体" w:cs="Times New Roman"/>
          <w:szCs w:val="21"/>
        </w:rPr>
        <w:t>），数量取整</w:t>
      </w:r>
      <w:r>
        <w:rPr>
          <w:rFonts w:ascii="Times New Roman" w:hAnsi="Times New Roman" w:eastAsia="宋体" w:cs="Times New Roman"/>
          <w:szCs w:val="21"/>
        </w:rPr>
        <w:t>。</w:t>
      </w:r>
      <w:r>
        <w:rPr>
          <w:rFonts w:hint="eastAsia" w:ascii="Times New Roman" w:hAnsi="Times New Roman" w:eastAsia="宋体" w:cs="Times New Roman"/>
          <w:szCs w:val="21"/>
        </w:rPr>
        <w:t>随机选取6颗葡萄进行硬度测试，每个果实从花萼至梗端中部在果实厚实的地方选取1个测试部位，削去一层薄果皮，削皮面积略微大于使用硬度计测头面积，测量时，一只手握水果（或放置在坚硬的平台上），另一头手握硬度计，硬度计测头垂直果面，均匀、缓慢用力，插入硬度计测头，不得转动压入，测头进入水果的深度，应于测头上的标示一致，记录读数，保留两位小数。葡萄</w:t>
      </w:r>
      <w:r>
        <w:rPr>
          <w:rFonts w:ascii="Times New Roman" w:hAnsi="Times New Roman" w:eastAsia="宋体" w:cs="Times New Roman"/>
          <w:szCs w:val="21"/>
        </w:rPr>
        <w:t>不加保鲜膜或保鲜袋等任何包装，将样品分为3份，并直接</w:t>
      </w:r>
      <w:r>
        <w:rPr>
          <w:rFonts w:hint="eastAsia" w:ascii="Times New Roman" w:hAnsi="Times New Roman" w:eastAsia="宋体" w:cs="Times New Roman"/>
          <w:szCs w:val="21"/>
        </w:rPr>
        <w:t>放入</w:t>
      </w:r>
      <w:r>
        <w:rPr>
          <w:rFonts w:ascii="Times New Roman" w:hAnsi="Times New Roman" w:eastAsia="宋体" w:cs="Times New Roman"/>
          <w:szCs w:val="21"/>
        </w:rPr>
        <w:t>检测电冰箱的果菜抽屉中。</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168 h</w:t>
      </w:r>
      <w:r>
        <w:rPr>
          <w:rFonts w:hint="eastAsia" w:ascii="Times New Roman" w:hAnsi="Times New Roman" w:eastAsia="宋体" w:cs="Times New Roman"/>
          <w:szCs w:val="21"/>
        </w:rPr>
        <w:t>后取出，应先将水果放置室温下，待果温与室温一致后，随机选取6颗葡萄，使用同一硬度计和测头</w:t>
      </w:r>
      <w:r>
        <w:rPr>
          <w:rFonts w:ascii="Times New Roman" w:hAnsi="Times New Roman" w:eastAsia="宋体" w:cs="Times New Roman"/>
          <w:szCs w:val="21"/>
        </w:rPr>
        <w:t>进行</w:t>
      </w:r>
      <w:r>
        <w:rPr>
          <w:rFonts w:hint="eastAsia" w:ascii="Times New Roman" w:hAnsi="Times New Roman" w:eastAsia="宋体" w:cs="Times New Roman"/>
          <w:szCs w:val="21"/>
        </w:rPr>
        <w:t>硬度</w:t>
      </w:r>
      <w:r>
        <w:rPr>
          <w:rFonts w:ascii="Times New Roman" w:hAnsi="Times New Roman" w:eastAsia="宋体" w:cs="Times New Roman"/>
          <w:szCs w:val="21"/>
        </w:rPr>
        <w:t>的测定。</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水果硬度以平均值表示，按式（3）计算，并应标明硬度计型号和测头直径（cm）。</w:t>
      </w:r>
    </w:p>
    <w:p>
      <w:pPr>
        <w:pStyle w:val="21"/>
        <w:jc w:val="right"/>
        <w:rPr>
          <w:rFonts w:ascii="Times New Roman"/>
          <w:color w:val="000000" w:themeColor="text1"/>
          <w:sz w:val="22"/>
          <w:szCs w:val="22"/>
          <w14:textFill>
            <w14:solidFill>
              <w14:schemeClr w14:val="tx1"/>
            </w14:solidFill>
          </w14:textFill>
        </w:rPr>
      </w:pPr>
      <w:r>
        <w:drawing>
          <wp:inline distT="0" distB="0" distL="0" distR="0">
            <wp:extent cx="1096010" cy="3981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38674" r="40541"/>
                    <a:stretch>
                      <a:fillRect/>
                    </a:stretch>
                  </pic:blipFill>
                  <pic:spPr>
                    <a:xfrm>
                      <a:off x="0" y="0"/>
                      <a:ext cx="1096256" cy="398780"/>
                    </a:xfrm>
                    <a:prstGeom prst="rect">
                      <a:avLst/>
                    </a:prstGeom>
                    <a:noFill/>
                    <a:ln>
                      <a:noFill/>
                    </a:ln>
                  </pic:spPr>
                </pic:pic>
              </a:graphicData>
            </a:graphic>
          </wp:inline>
        </w:drawing>
      </w:r>
      <w:r>
        <w:rPr>
          <w:rFonts w:ascii="Times New Roman"/>
          <w:color w:val="000000"/>
        </w:rPr>
        <w:t>……………………………………</w:t>
      </w:r>
      <w:r>
        <w:rPr>
          <w:rFonts w:hint="eastAsia" w:ascii="Times New Roman"/>
          <w:color w:val="000000"/>
        </w:rPr>
        <w:t>（3）</w:t>
      </w:r>
    </w:p>
    <w:p>
      <w:pPr>
        <w:spacing w:line="300" w:lineRule="exact"/>
        <w:ind w:firstLine="420" w:firstLineChars="200"/>
        <w:rPr>
          <w:rFonts w:ascii="Times New Roman" w:hAnsi="Times New Roman" w:eastAsia="宋体" w:cs="Times New Roman"/>
          <w:lang w:val="de-DE"/>
        </w:rPr>
      </w:pPr>
      <w:r>
        <w:rPr>
          <w:rFonts w:ascii="Times New Roman" w:hAnsi="Times New Roman" w:eastAsia="宋体" w:cs="Times New Roman"/>
          <w:lang w:val="de-DE"/>
        </w:rPr>
        <w:t>式中：</w:t>
      </w:r>
    </w:p>
    <w:p>
      <w:pPr>
        <w:spacing w:line="300" w:lineRule="exact"/>
        <w:ind w:firstLine="420" w:firstLineChars="200"/>
        <w:rPr>
          <w:rFonts w:ascii="Times New Roman" w:hAnsi="Times New Roman" w:eastAsia="宋体" w:cs="Times New Roman"/>
          <w:color w:val="000000"/>
          <w:kern w:val="0"/>
        </w:rPr>
      </w:pPr>
      <w:r>
        <w:rPr>
          <w:rFonts w:ascii="Times New Roman" w:hAnsi="Times New Roman" w:eastAsia="宋体" w:cs="Times New Roman"/>
          <w:lang w:val="de-DE"/>
        </w:rPr>
        <w:t>P——</w:t>
      </w:r>
      <w:r>
        <w:rPr>
          <w:rFonts w:hint="eastAsia" w:ascii="Times New Roman" w:hAnsi="Times New Roman" w:eastAsia="宋体" w:cs="Times New Roman"/>
          <w:color w:val="000000"/>
        </w:rPr>
        <w:t>水果</w:t>
      </w:r>
      <w:r>
        <w:rPr>
          <w:rFonts w:ascii="Times New Roman" w:hAnsi="Times New Roman" w:eastAsia="宋体" w:cs="Times New Roman"/>
          <w:color w:val="000000"/>
          <w:kern w:val="0"/>
        </w:rPr>
        <w:t>硬度，单位为</w:t>
      </w:r>
      <w:r>
        <w:rPr>
          <w:rFonts w:hint="eastAsia" w:ascii="Times New Roman" w:hAnsi="Times New Roman" w:eastAsia="宋体" w:cs="Times New Roman"/>
          <w:color w:val="000000"/>
          <w:kern w:val="0"/>
        </w:rPr>
        <w:t>千克每平方厘米</w:t>
      </w:r>
      <w:r>
        <w:rPr>
          <w:rFonts w:hint="eastAsia" w:ascii="Times New Roman"/>
          <w:lang w:val="de-DE"/>
        </w:rPr>
        <w:t>（</w:t>
      </w:r>
      <w:r>
        <w:rPr>
          <w:rFonts w:ascii="Times New Roman" w:hAnsi="Times New Roman" w:eastAsia="宋体" w:cs="Times New Roman"/>
          <w:color w:val="000000"/>
          <w:kern w:val="0"/>
        </w:rPr>
        <w:t>kg/</w:t>
      </w:r>
      <w:r>
        <w:rPr>
          <w:rFonts w:hint="eastAsia" w:ascii="Times New Roman" w:hAnsi="Times New Roman" w:eastAsia="宋体" w:cs="Times New Roman"/>
          <w:color w:val="000000"/>
          <w:kern w:val="0"/>
        </w:rPr>
        <w:t>cm</w:t>
      </w:r>
      <w:r>
        <w:rPr>
          <w:rFonts w:ascii="Times New Roman" w:hAnsi="Times New Roman" w:eastAsia="宋体" w:cs="Times New Roman"/>
          <w:color w:val="000000"/>
          <w:kern w:val="0"/>
          <w:vertAlign w:val="superscript"/>
        </w:rPr>
        <w:t>2</w:t>
      </w:r>
      <w:r>
        <w:rPr>
          <w:rFonts w:hint="eastAsia" w:ascii="Times New Roman"/>
          <w:lang w:val="de-DE"/>
        </w:rPr>
        <w:t>）</w:t>
      </w:r>
      <w:r>
        <w:rPr>
          <w:rFonts w:ascii="Times New Roman" w:hAnsi="Times New Roman" w:eastAsia="宋体" w:cs="Times New Roman"/>
          <w:color w:val="000000"/>
          <w:kern w:val="0"/>
        </w:rPr>
        <w:t xml:space="preserve"> ；</w:t>
      </w:r>
    </w:p>
    <w:p>
      <w:pPr>
        <w:spacing w:line="300" w:lineRule="exact"/>
        <w:ind w:firstLine="420" w:firstLineChars="200"/>
        <w:rPr>
          <w:rFonts w:ascii="Times New Roman" w:hAnsi="Times New Roman" w:eastAsia="宋体" w:cs="Times New Roman"/>
          <w:color w:val="000000"/>
          <w:kern w:val="0"/>
        </w:rPr>
      </w:pPr>
      <w:r>
        <w:rPr>
          <w:rFonts w:hint="eastAsia" w:ascii="Times New Roman" w:hAnsi="Times New Roman" w:eastAsia="宋体" w:cs="Times New Roman"/>
          <w:lang w:val="de-DE"/>
        </w:rPr>
        <w:t>f</w:t>
      </w:r>
      <w:r>
        <w:rPr>
          <w:rFonts w:ascii="Times New Roman" w:hAnsi="Times New Roman" w:eastAsia="宋体" w:cs="Times New Roman"/>
          <w:lang w:val="de-DE"/>
        </w:rPr>
        <w:t>——</w:t>
      </w:r>
      <w:r>
        <w:rPr>
          <w:rFonts w:hint="eastAsia" w:ascii="宋体" w:hAnsi="宋体" w:eastAsia="宋体"/>
          <w:color w:val="000000"/>
        </w:rPr>
        <w:t>每次测定的水果硬度计读数值，单位为千克</w:t>
      </w:r>
      <w:r>
        <w:rPr>
          <w:rFonts w:hint="eastAsia" w:ascii="Times New Roman"/>
          <w:lang w:val="de-DE"/>
        </w:rPr>
        <w:t>（</w:t>
      </w:r>
      <w:r>
        <w:rPr>
          <w:rFonts w:ascii="Times New Roman" w:hAnsi="Times New Roman" w:eastAsia="宋体" w:cs="Times New Roman"/>
          <w:color w:val="000000"/>
          <w:kern w:val="0"/>
        </w:rPr>
        <w:t>kg</w:t>
      </w:r>
      <w:r>
        <w:rPr>
          <w:rFonts w:hint="eastAsia" w:ascii="Times New Roman"/>
          <w:lang w:val="de-DE"/>
        </w:rPr>
        <w:t>）</w:t>
      </w:r>
      <w:r>
        <w:rPr>
          <w:rFonts w:hint="eastAsia" w:ascii="Times New Roman" w:hAnsi="Times New Roman" w:eastAsia="宋体" w:cs="Times New Roman"/>
          <w:color w:val="000000"/>
          <w:kern w:val="0"/>
        </w:rPr>
        <w:t>；</w:t>
      </w:r>
    </w:p>
    <w:p>
      <w:pPr>
        <w:pStyle w:val="21"/>
        <w:rPr>
          <w:rFonts w:hAnsi="宋体"/>
          <w:color w:val="000000"/>
        </w:rPr>
      </w:pPr>
      <w:r>
        <w:rPr>
          <w:rFonts w:hint="eastAsia" w:ascii="Times New Roman"/>
          <w:szCs w:val="21"/>
        </w:rPr>
        <w:t>N</w:t>
      </w:r>
      <w:r>
        <w:rPr>
          <w:rFonts w:ascii="Times New Roman"/>
          <w:lang w:val="de-DE"/>
        </w:rPr>
        <w:t>——</w:t>
      </w:r>
      <w:r>
        <w:rPr>
          <w:rFonts w:hint="eastAsia" w:hAnsi="宋体"/>
          <w:color w:val="000000"/>
        </w:rPr>
        <w:t>测定次数；</w:t>
      </w:r>
    </w:p>
    <w:p>
      <w:pPr>
        <w:pStyle w:val="21"/>
        <w:ind w:firstLine="440"/>
        <w:rPr>
          <w:rFonts w:ascii="Times New Roman"/>
          <w:lang w:val="de-DE"/>
        </w:rPr>
      </w:pPr>
      <m:oMath>
        <m:r>
          <m:rPr/>
          <w:rPr>
            <w:rFonts w:ascii="Cambria Math" w:hAnsi="Cambria Math"/>
            <w:color w:val="000000" w:themeColor="text1"/>
            <w:sz w:val="22"/>
            <w:szCs w:val="22"/>
            <w14:textFill>
              <w14:solidFill>
                <w14:schemeClr w14:val="tx1"/>
              </w14:solidFill>
            </w14:textFill>
          </w:rPr>
          <m:t>π</m:t>
        </m:r>
      </m:oMath>
      <w:r>
        <w:rPr>
          <w:rFonts w:ascii="Times New Roman"/>
          <w:lang w:val="de-DE"/>
        </w:rPr>
        <w:t>——3.14</w:t>
      </w:r>
      <w:r>
        <w:rPr>
          <w:rFonts w:hint="eastAsia" w:ascii="Times New Roman"/>
          <w:lang w:val="de-DE"/>
        </w:rPr>
        <w:t>；</w:t>
      </w:r>
    </w:p>
    <w:p>
      <w:pPr>
        <w:pStyle w:val="21"/>
        <w:rPr>
          <w:rFonts w:ascii="Times New Roman"/>
          <w:szCs w:val="21"/>
        </w:rPr>
      </w:pPr>
      <w:r>
        <w:rPr>
          <w:rFonts w:hint="eastAsia" w:ascii="Times New Roman"/>
          <w:lang w:val="de-DE"/>
        </w:rPr>
        <w:t>r</w:t>
      </w:r>
      <w:r>
        <w:rPr>
          <w:rFonts w:ascii="Times New Roman"/>
          <w:lang w:val="de-DE"/>
        </w:rPr>
        <w:t>——</w:t>
      </w:r>
      <w:r>
        <w:rPr>
          <w:rFonts w:hint="eastAsia" w:ascii="Times New Roman"/>
          <w:lang w:val="de-DE"/>
        </w:rPr>
        <w:t>硬度计测头半径，单位为厘米（cm）</w:t>
      </w:r>
    </w:p>
    <w:p>
      <w:pPr>
        <w:pStyle w:val="21"/>
        <w:rPr>
          <w:rFonts w:ascii="Times New Roman"/>
          <w:color w:val="000000"/>
        </w:rPr>
      </w:pPr>
      <w:r>
        <w:rPr>
          <w:rFonts w:ascii="Times New Roman"/>
          <w:color w:val="000000"/>
        </w:rPr>
        <w:t>硬度变化率的计算，按照式（4）进行：</w:t>
      </w:r>
    </w:p>
    <w:p>
      <w:pPr>
        <w:pStyle w:val="21"/>
        <w:jc w:val="right"/>
        <w:rPr>
          <w:rFonts w:ascii="Times New Roman"/>
          <w:color w:val="000000"/>
        </w:rPr>
      </w:pPr>
      <w:r>
        <w:drawing>
          <wp:inline distT="0" distB="0" distL="0" distR="0">
            <wp:extent cx="1276350" cy="3937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cstate="print">
                      <a:extLst>
                        <a:ext uri="{28A0092B-C50C-407E-A947-70E740481C1C}">
                          <a14:useLocalDpi xmlns:a14="http://schemas.microsoft.com/office/drawing/2010/main" val="0"/>
                        </a:ext>
                      </a:extLst>
                    </a:blip>
                    <a:srcRect l="37202" r="38599"/>
                    <a:stretch>
                      <a:fillRect/>
                    </a:stretch>
                  </pic:blipFill>
                  <pic:spPr>
                    <a:xfrm>
                      <a:off x="0" y="0"/>
                      <a:ext cx="1276350" cy="393700"/>
                    </a:xfrm>
                    <a:prstGeom prst="rect">
                      <a:avLst/>
                    </a:prstGeom>
                    <a:noFill/>
                    <a:ln>
                      <a:noFill/>
                    </a:ln>
                  </pic:spPr>
                </pic:pic>
              </a:graphicData>
            </a:graphic>
          </wp:inline>
        </w:drawing>
      </w:r>
      <w:r>
        <w:rPr>
          <w:rFonts w:ascii="Times New Roman"/>
          <w:color w:val="000000"/>
          <w:szCs w:val="21"/>
        </w:rPr>
        <w:t>………………………………（4）</w:t>
      </w:r>
    </w:p>
    <w:p>
      <w:pPr>
        <w:spacing w:line="300" w:lineRule="exact"/>
        <w:ind w:firstLine="420" w:firstLineChars="200"/>
        <w:rPr>
          <w:rFonts w:ascii="Times New Roman" w:hAnsi="Times New Roman" w:eastAsia="宋体" w:cs="Times New Roman"/>
          <w:lang w:val="de-DE"/>
        </w:rPr>
      </w:pPr>
      <w:r>
        <w:rPr>
          <w:rFonts w:ascii="Times New Roman" w:hAnsi="Times New Roman" w:eastAsia="宋体" w:cs="Times New Roman"/>
          <w:lang w:val="de-DE"/>
        </w:rPr>
        <w:t>式中：</w:t>
      </w:r>
    </w:p>
    <w:p>
      <w:pPr>
        <w:spacing w:line="300" w:lineRule="exact"/>
        <w:ind w:firstLine="440" w:firstLineChars="200"/>
        <w:rPr>
          <w:rFonts w:ascii="Times New Roman" w:hAnsi="Times New Roman" w:eastAsia="宋体" w:cs="Times New Roman"/>
          <w:kern w:val="0"/>
        </w:rPr>
      </w:pPr>
      <m:oMath>
        <m:r>
          <m:rPr/>
          <w:rPr>
            <w:rFonts w:ascii="Cambria Math" w:hAnsi="Cambria Math" w:eastAsia="宋体" w:cs="Times New Roman"/>
            <w:sz w:val="22"/>
          </w:rPr>
          <m:t>η</m:t>
        </m:r>
      </m:oMath>
      <w:r>
        <w:rPr>
          <w:rFonts w:ascii="Times New Roman" w:hAnsi="Times New Roman" w:eastAsia="宋体" w:cs="Times New Roman"/>
          <w:lang w:val="de-DE"/>
        </w:rPr>
        <w:t>——</w:t>
      </w:r>
      <w:r>
        <w:rPr>
          <w:rFonts w:ascii="Times New Roman" w:hAnsi="Times New Roman" w:eastAsia="宋体" w:cs="Times New Roman"/>
          <w:kern w:val="0"/>
        </w:rPr>
        <w:t>硬度变化率，用百分</w:t>
      </w:r>
      <w:r>
        <w:rPr>
          <w:rFonts w:hint="eastAsia" w:ascii="Times New Roman" w:hAnsi="Times New Roman" w:eastAsia="宋体" w:cs="Times New Roman"/>
          <w:kern w:val="0"/>
        </w:rPr>
        <w:t>比</w:t>
      </w:r>
      <w:r>
        <w:rPr>
          <w:rFonts w:ascii="Times New Roman" w:hAnsi="Times New Roman" w:eastAsia="宋体" w:cs="Times New Roman"/>
          <w:kern w:val="0"/>
        </w:rPr>
        <w:t>表示；</w:t>
      </w:r>
    </w:p>
    <w:p>
      <w:pPr>
        <w:spacing w:line="300" w:lineRule="exact"/>
        <w:ind w:firstLine="420" w:firstLineChars="200"/>
        <w:rPr>
          <w:rFonts w:ascii="Times New Roman" w:hAnsi="Times New Roman" w:eastAsia="宋体" w:cs="Times New Roman"/>
          <w:kern w:val="0"/>
        </w:rPr>
      </w:pPr>
      <w:r>
        <w:rPr>
          <w:rFonts w:ascii="Times New Roman" w:hAnsi="Times New Roman" w:eastAsia="宋体" w:cs="Times New Roman"/>
          <w:lang w:val="de-DE"/>
        </w:rPr>
        <w:t>P——</w:t>
      </w:r>
      <w:r>
        <w:rPr>
          <w:rFonts w:ascii="Times New Roman" w:hAnsi="Times New Roman" w:eastAsia="宋体" w:cs="Times New Roman"/>
        </w:rPr>
        <w:t>储藏168h后样品的</w:t>
      </w:r>
      <w:r>
        <w:rPr>
          <w:rFonts w:ascii="Times New Roman" w:hAnsi="Times New Roman" w:eastAsia="宋体" w:cs="Times New Roman"/>
          <w:kern w:val="0"/>
        </w:rPr>
        <w:t>硬度，单位为</w:t>
      </w:r>
      <w:r>
        <w:rPr>
          <w:rFonts w:hint="eastAsia" w:ascii="Times New Roman" w:hAnsi="Times New Roman" w:eastAsia="宋体" w:cs="Times New Roman"/>
          <w:kern w:val="0"/>
        </w:rPr>
        <w:t>千克每平方厘米</w:t>
      </w:r>
      <w:r>
        <w:rPr>
          <w:rFonts w:hint="eastAsia" w:ascii="Times New Roman"/>
          <w:lang w:val="de-DE"/>
        </w:rPr>
        <w:t>（</w:t>
      </w:r>
      <w:r>
        <w:rPr>
          <w:rFonts w:ascii="Times New Roman" w:hAnsi="Times New Roman" w:eastAsia="宋体" w:cs="Times New Roman"/>
          <w:kern w:val="0"/>
        </w:rPr>
        <w:t>kg/</w:t>
      </w:r>
      <w:r>
        <w:rPr>
          <w:rFonts w:hint="eastAsia" w:ascii="Times New Roman" w:hAnsi="Times New Roman" w:eastAsia="宋体" w:cs="Times New Roman"/>
          <w:kern w:val="0"/>
        </w:rPr>
        <w:t>cm</w:t>
      </w:r>
      <w:r>
        <w:rPr>
          <w:rFonts w:ascii="Times New Roman" w:hAnsi="Times New Roman" w:eastAsia="宋体" w:cs="Times New Roman"/>
          <w:kern w:val="0"/>
          <w:vertAlign w:val="superscript"/>
        </w:rPr>
        <w:t>2</w:t>
      </w:r>
      <w:r>
        <w:rPr>
          <w:rFonts w:hint="eastAsia" w:ascii="Times New Roman"/>
          <w:lang w:val="de-DE"/>
        </w:rPr>
        <w:t>）</w:t>
      </w:r>
      <w:r>
        <w:rPr>
          <w:rFonts w:ascii="Times New Roman" w:hAnsi="Times New Roman" w:eastAsia="宋体" w:cs="Times New Roman"/>
          <w:kern w:val="0"/>
        </w:rPr>
        <w:t>；</w:t>
      </w:r>
    </w:p>
    <w:p>
      <w:pPr>
        <w:spacing w:line="300" w:lineRule="exact"/>
        <w:ind w:firstLine="420" w:firstLineChars="200"/>
        <w:rPr>
          <w:rFonts w:ascii="Times New Roman" w:hAnsi="Times New Roman" w:eastAsia="宋体" w:cs="Times New Roman"/>
          <w:kern w:val="0"/>
        </w:rPr>
      </w:pPr>
      <w:r>
        <w:rPr>
          <w:rFonts w:ascii="Times New Roman" w:hAnsi="Times New Roman" w:eastAsia="宋体" w:cs="Times New Roman"/>
          <w:lang w:val="de-DE"/>
        </w:rPr>
        <w:t>P</w:t>
      </w:r>
      <w:r>
        <w:rPr>
          <w:rFonts w:ascii="Times New Roman" w:hAnsi="Times New Roman" w:eastAsia="宋体" w:cs="Times New Roman"/>
          <w:vertAlign w:val="subscript"/>
          <w:lang w:val="de-DE"/>
        </w:rPr>
        <w:t>0</w:t>
      </w:r>
      <w:r>
        <w:rPr>
          <w:rFonts w:ascii="Times New Roman" w:hAnsi="Times New Roman" w:eastAsia="宋体" w:cs="Times New Roman"/>
          <w:lang w:val="de-DE"/>
        </w:rPr>
        <w:t>——</w:t>
      </w:r>
      <w:r>
        <w:rPr>
          <w:rFonts w:ascii="宋体" w:hAnsi="宋体" w:eastAsia="宋体"/>
        </w:rPr>
        <w:t>储藏前样品的</w:t>
      </w:r>
      <w:r>
        <w:rPr>
          <w:rFonts w:ascii="Times New Roman" w:hAnsi="Times New Roman" w:eastAsia="宋体" w:cs="Times New Roman"/>
          <w:kern w:val="0"/>
        </w:rPr>
        <w:t>硬度，单位为</w:t>
      </w:r>
      <w:r>
        <w:rPr>
          <w:rFonts w:hint="eastAsia" w:ascii="Times New Roman" w:hAnsi="Times New Roman" w:eastAsia="宋体" w:cs="Times New Roman"/>
          <w:kern w:val="0"/>
        </w:rPr>
        <w:t>千克每平方厘米</w:t>
      </w:r>
      <w:r>
        <w:rPr>
          <w:rFonts w:hint="eastAsia" w:ascii="Times New Roman"/>
          <w:lang w:val="de-DE"/>
        </w:rPr>
        <w:t>（</w:t>
      </w:r>
      <w:r>
        <w:rPr>
          <w:rFonts w:ascii="Times New Roman" w:hAnsi="Times New Roman" w:eastAsia="宋体" w:cs="Times New Roman"/>
          <w:kern w:val="0"/>
        </w:rPr>
        <w:t>kg/</w:t>
      </w:r>
      <w:r>
        <w:rPr>
          <w:rFonts w:hint="eastAsia" w:ascii="Times New Roman" w:hAnsi="Times New Roman" w:eastAsia="宋体" w:cs="Times New Roman"/>
          <w:kern w:val="0"/>
        </w:rPr>
        <w:t>cm</w:t>
      </w:r>
      <w:r>
        <w:rPr>
          <w:rFonts w:ascii="Times New Roman" w:hAnsi="Times New Roman" w:eastAsia="宋体" w:cs="Times New Roman"/>
          <w:kern w:val="0"/>
          <w:vertAlign w:val="superscript"/>
        </w:rPr>
        <w:t>2</w:t>
      </w:r>
      <w:r>
        <w:rPr>
          <w:rFonts w:hint="eastAsia" w:ascii="Times New Roman"/>
          <w:lang w:val="de-DE"/>
        </w:rPr>
        <w:t>）</w:t>
      </w:r>
      <w:r>
        <w:rPr>
          <w:rFonts w:ascii="Times New Roman" w:hAnsi="Times New Roman" w:eastAsia="宋体" w:cs="Times New Roman"/>
          <w:kern w:val="0"/>
        </w:rPr>
        <w:t>。</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.5</w:t>
      </w:r>
      <w:r>
        <w:rPr>
          <w:rFonts w:hint="eastAsia" w:ascii="Times New Roman" w:hAnsi="Times New Roman" w:eastAsia="黑体" w:cs="Times New Roman"/>
        </w:rPr>
        <w:t>挥发性盐基氮（T</w:t>
      </w:r>
      <w:r>
        <w:rPr>
          <w:rFonts w:ascii="Times New Roman" w:hAnsi="Times New Roman" w:eastAsia="黑体" w:cs="Times New Roman"/>
        </w:rPr>
        <w:t>VB-N</w:t>
      </w:r>
      <w:r>
        <w:rPr>
          <w:rFonts w:hint="eastAsia" w:ascii="Times New Roman" w:hAnsi="Times New Roman" w:eastAsia="黑体" w:cs="Times New Roman"/>
        </w:rPr>
        <w:t>）含量</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将3份准备好的牛肉样品用保鲜膜包裹</w:t>
      </w:r>
      <w:r>
        <w:rPr>
          <w:rFonts w:ascii="Times New Roman" w:hAnsi="Times New Roman" w:eastAsia="宋体" w:cs="Times New Roman"/>
          <w:szCs w:val="21"/>
        </w:rPr>
        <w:t>(单层)，直接放入检测电冰箱</w:t>
      </w:r>
      <w:r>
        <w:rPr>
          <w:rFonts w:hint="eastAsia" w:ascii="Times New Roman" w:hAnsi="Times New Roman" w:eastAsia="宋体" w:cs="Times New Roman"/>
          <w:szCs w:val="21"/>
        </w:rPr>
        <w:t>冷藏室的变温抽屉</w:t>
      </w:r>
      <w:r>
        <w:rPr>
          <w:rFonts w:ascii="Times New Roman" w:hAnsi="Times New Roman" w:eastAsia="宋体" w:cs="Times New Roman"/>
          <w:szCs w:val="21"/>
        </w:rPr>
        <w:t>。</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72 h后取出</w:t>
      </w:r>
      <w:r>
        <w:rPr>
          <w:rFonts w:hint="eastAsia" w:ascii="Times New Roman" w:hAnsi="Times New Roman" w:eastAsia="宋体" w:cs="Times New Roman"/>
          <w:szCs w:val="21"/>
        </w:rPr>
        <w:t>，</w:t>
      </w:r>
      <w:r>
        <w:rPr>
          <w:rFonts w:ascii="Times New Roman" w:hAnsi="Times New Roman" w:eastAsia="宋体" w:cs="Times New Roman"/>
          <w:szCs w:val="21"/>
        </w:rPr>
        <w:t>挥发性盐基氮</w:t>
      </w:r>
      <w:r>
        <w:rPr>
          <w:rFonts w:hint="eastAsia" w:ascii="Times New Roman" w:hAnsi="Times New Roman" w:eastAsia="宋体" w:cs="Times New Roman"/>
          <w:szCs w:val="21"/>
        </w:rPr>
        <w:t>含量按照</w:t>
      </w:r>
      <w:r>
        <w:rPr>
          <w:rFonts w:ascii="Times New Roman" w:hAnsi="Times New Roman" w:eastAsia="宋体" w:cs="Times New Roman"/>
          <w:szCs w:val="21"/>
        </w:rPr>
        <w:t>GB 5009.228</w:t>
      </w:r>
      <w:r>
        <w:rPr>
          <w:rFonts w:hint="eastAsia" w:ascii="Times New Roman" w:hAnsi="Times New Roman" w:eastAsia="宋体" w:cs="Times New Roman"/>
          <w:szCs w:val="21"/>
        </w:rPr>
        <w:t>进行测试，初始值</w:t>
      </w:r>
      <w:r>
        <w:rPr>
          <w:rFonts w:ascii="Times New Roman" w:hAnsi="Times New Roman" w:eastAsia="宋体" w:cs="Times New Roman"/>
          <w:szCs w:val="21"/>
        </w:rPr>
        <w:t>应</w:t>
      </w:r>
      <w:r>
        <w:rPr>
          <w:rFonts w:ascii="宋体" w:hAnsi="宋体" w:eastAsia="宋体" w:cs="Times New Roman"/>
          <w:szCs w:val="21"/>
        </w:rPr>
        <w:t>≤</w:t>
      </w:r>
      <w:r>
        <w:rPr>
          <w:rFonts w:ascii="Times New Roman" w:hAnsi="Times New Roman" w:eastAsia="宋体" w:cs="Times New Roman"/>
          <w:szCs w:val="21"/>
        </w:rPr>
        <w:t>12 mg/100g</w:t>
      </w:r>
      <w:r>
        <w:rPr>
          <w:rFonts w:hint="eastAsia" w:ascii="Times New Roman" w:hAnsi="Times New Roman" w:eastAsia="宋体" w:cs="Times New Roman"/>
          <w:szCs w:val="21"/>
        </w:rPr>
        <w:t>。</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.6</w:t>
      </w:r>
      <w:r>
        <w:rPr>
          <w:rFonts w:hint="eastAsia" w:ascii="Times New Roman" w:hAnsi="Times New Roman" w:eastAsia="黑体" w:cs="Times New Roman"/>
        </w:rPr>
        <w:t>蛋白质保有率</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将3份准备好的牛肉样品用保鲜膜包裹</w:t>
      </w:r>
      <w:r>
        <w:rPr>
          <w:rFonts w:ascii="Times New Roman" w:hAnsi="Times New Roman" w:eastAsia="宋体" w:cs="Times New Roman"/>
          <w:szCs w:val="21"/>
        </w:rPr>
        <w:t>(单层)，分为3份，分别称取每份样品的质量（精确到0.01 g）</w:t>
      </w:r>
      <w:r>
        <w:rPr>
          <w:rFonts w:hint="eastAsia" w:ascii="Times New Roman" w:hAnsi="Times New Roman" w:eastAsia="宋体" w:cs="Times New Roman"/>
          <w:szCs w:val="21"/>
        </w:rPr>
        <w:t>，</w:t>
      </w:r>
      <w:r>
        <w:rPr>
          <w:rFonts w:ascii="Times New Roman" w:hAnsi="Times New Roman" w:eastAsia="宋体" w:cs="Times New Roman"/>
          <w:szCs w:val="21"/>
        </w:rPr>
        <w:t>直接放入检测电冰箱</w:t>
      </w:r>
      <w:r>
        <w:rPr>
          <w:rFonts w:hint="eastAsia" w:ascii="Times New Roman" w:hAnsi="Times New Roman" w:eastAsia="宋体" w:cs="Times New Roman"/>
          <w:szCs w:val="21"/>
        </w:rPr>
        <w:t>冷藏室的变温抽屉</w:t>
      </w:r>
      <w:r>
        <w:rPr>
          <w:rFonts w:ascii="Times New Roman" w:hAnsi="Times New Roman" w:eastAsia="宋体" w:cs="Times New Roman"/>
          <w:szCs w:val="21"/>
        </w:rPr>
        <w:t>。</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72 h后取出</w:t>
      </w:r>
      <w:r>
        <w:rPr>
          <w:rFonts w:hint="eastAsia" w:ascii="Times New Roman" w:hAnsi="Times New Roman" w:eastAsia="宋体" w:cs="Times New Roman"/>
          <w:szCs w:val="21"/>
        </w:rPr>
        <w:t>，</w:t>
      </w:r>
      <w:r>
        <w:rPr>
          <w:rFonts w:ascii="Times New Roman" w:hAnsi="Times New Roman" w:eastAsia="宋体" w:cs="Times New Roman"/>
          <w:szCs w:val="21"/>
        </w:rPr>
        <w:t>称取每份样品的质量（精确到0.01 g）</w:t>
      </w:r>
      <w:r>
        <w:rPr>
          <w:rFonts w:hint="eastAsia" w:ascii="Times New Roman" w:hAnsi="Times New Roman" w:eastAsia="宋体" w:cs="Times New Roman"/>
          <w:szCs w:val="21"/>
        </w:rPr>
        <w:t>，蛋白质含量按照G</w:t>
      </w:r>
      <w:r>
        <w:rPr>
          <w:rFonts w:ascii="Times New Roman" w:hAnsi="Times New Roman" w:eastAsia="宋体" w:cs="Times New Roman"/>
          <w:szCs w:val="21"/>
        </w:rPr>
        <w:t>B 5009.5-2016</w:t>
      </w:r>
      <w:r>
        <w:rPr>
          <w:rFonts w:hint="eastAsia" w:ascii="Times New Roman" w:hAnsi="Times New Roman" w:eastAsia="宋体" w:cs="Times New Roman"/>
          <w:szCs w:val="21"/>
        </w:rPr>
        <w:t>第一法凯氏定氮法进行测试。</w:t>
      </w:r>
    </w:p>
    <w:p>
      <w:pPr>
        <w:spacing w:line="276" w:lineRule="auto"/>
        <w:ind w:firstLine="420"/>
        <w:rPr>
          <w:rFonts w:ascii="Times New Roman" w:hAnsi="Times New Roman" w:eastAsia="宋体" w:cs="Times New Roman"/>
          <w:szCs w:val="21"/>
        </w:rPr>
      </w:pPr>
      <w:r>
        <w:rPr>
          <w:rFonts w:ascii="Times New Roman" w:hAnsi="Times New Roman" w:eastAsia="宋体" w:cs="Times New Roman"/>
          <w:szCs w:val="21"/>
        </w:rPr>
        <w:t>蛋白质保有率的计算，按照式（5）进行：</w:t>
      </w:r>
    </w:p>
    <w:p>
      <w:pPr>
        <w:spacing w:line="300" w:lineRule="exact"/>
        <w:rPr>
          <w:rFonts w:ascii="Times New Roman" w:hAnsi="Times New Roman" w:eastAsia="宋体" w:cs="Times New Roman"/>
          <w:lang w:val="de-DE"/>
        </w:rPr>
      </w:pPr>
    </w:p>
    <w:p>
      <w:pPr>
        <w:pStyle w:val="21"/>
        <w:wordWrap w:val="0"/>
        <w:ind w:firstLine="0" w:firstLineChars="0"/>
        <w:jc w:val="right"/>
        <w:rPr>
          <w:rFonts w:ascii="Times New Roman"/>
          <w:color w:val="000000"/>
          <w:lang w:val="de-DE"/>
        </w:rPr>
      </w:pPr>
      <w:r>
        <w:rPr>
          <w:rFonts w:ascii="Times New Roman"/>
          <w:lang w:val="de-DE"/>
        </w:rPr>
        <w:t xml:space="preserve">        </w:t>
      </w:r>
      <w:r>
        <w:drawing>
          <wp:inline distT="0" distB="0" distL="0" distR="0">
            <wp:extent cx="1257300" cy="393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l="36961" r="39201"/>
                    <a:stretch>
                      <a:fillRect/>
                    </a:stretch>
                  </pic:blipFill>
                  <pic:spPr>
                    <a:xfrm>
                      <a:off x="0" y="0"/>
                      <a:ext cx="1257300" cy="393700"/>
                    </a:xfrm>
                    <a:prstGeom prst="rect">
                      <a:avLst/>
                    </a:prstGeom>
                    <a:noFill/>
                    <a:ln>
                      <a:noFill/>
                    </a:ln>
                  </pic:spPr>
                </pic:pic>
              </a:graphicData>
            </a:graphic>
          </wp:inline>
        </w:drawing>
      </w:r>
      <w:r>
        <w:rPr>
          <w:rFonts w:ascii="Times New Roman"/>
          <w:lang w:val="de-DE"/>
        </w:rPr>
        <w:t xml:space="preserve">  </w:t>
      </w:r>
      <w:r>
        <w:rPr>
          <w:rFonts w:ascii="Times New Roman"/>
          <w:color w:val="000000"/>
          <w:lang w:val="de-DE"/>
        </w:rPr>
        <w:t>………………………………（5）</w:t>
      </w:r>
      <w:r>
        <w:rPr>
          <w:rFonts w:ascii="Times New Roman"/>
          <w:color w:val="000000"/>
        </w:rPr>
        <w:fldChar w:fldCharType="begin"/>
      </w:r>
      <w:r>
        <w:rPr>
          <w:rFonts w:ascii="Times New Roman"/>
          <w:color w:val="000000"/>
          <w:lang w:val="de-DE"/>
        </w:rPr>
        <w:instrText xml:space="preserve"> QUOTE </w:instrText>
      </w:r>
      <w:r>
        <w:rPr>
          <w:rFonts w:ascii="Times New Roman"/>
          <w:color w:val="000000"/>
        </w:rPr>
        <w:fldChar w:fldCharType="begin"/>
      </w:r>
      <w:r>
        <w:rPr>
          <w:rFonts w:ascii="Times New Roman"/>
          <w:color w:val="000000"/>
          <w:lang w:val="de-DE"/>
        </w:rPr>
        <w:instrText xml:space="preserve"> QUOTE </w:instrText>
      </w:r>
      <w:r>
        <w:rPr>
          <w:rFonts w:ascii="Times New Roman"/>
        </w:rPr>
        <w:drawing>
          <wp:inline distT="0" distB="0" distL="0" distR="0">
            <wp:extent cx="1407160" cy="33401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1407160" cy="334010"/>
                    </a:xfrm>
                    <a:prstGeom prst="rect">
                      <a:avLst/>
                    </a:prstGeom>
                    <a:noFill/>
                    <a:ln w="9525">
                      <a:noFill/>
                      <a:miter lim="800000"/>
                      <a:headEnd/>
                      <a:tailEnd/>
                    </a:ln>
                  </pic:spPr>
                </pic:pic>
              </a:graphicData>
            </a:graphic>
          </wp:inline>
        </w:drawing>
      </w:r>
      <w:r>
        <w:rPr>
          <w:rFonts w:ascii="Times New Roman"/>
          <w:color w:val="000000"/>
        </w:rPr>
        <w:fldChar w:fldCharType="separate"/>
      </w:r>
      <w:r>
        <w:rPr>
          <w:rFonts w:ascii="Times New Roman"/>
        </w:rPr>
        <w:drawing>
          <wp:inline distT="0" distB="0" distL="0" distR="0">
            <wp:extent cx="1407160" cy="33401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1407160" cy="334010"/>
                    </a:xfrm>
                    <a:prstGeom prst="rect">
                      <a:avLst/>
                    </a:prstGeom>
                    <a:noFill/>
                    <a:ln w="9525">
                      <a:noFill/>
                      <a:miter lim="800000"/>
                      <a:headEnd/>
                      <a:tailEnd/>
                    </a:ln>
                  </pic:spPr>
                </pic:pic>
              </a:graphicData>
            </a:graphic>
          </wp:inline>
        </w:drawing>
      </w:r>
      <w:r>
        <w:rPr>
          <w:rFonts w:ascii="Times New Roman"/>
          <w:color w:val="000000"/>
        </w:rPr>
        <w:fldChar w:fldCharType="end"/>
      </w:r>
      <w:r>
        <w:rPr>
          <w:rFonts w:ascii="Times New Roman"/>
          <w:color w:val="000000"/>
        </w:rPr>
        <w:fldChar w:fldCharType="end"/>
      </w:r>
    </w:p>
    <w:p>
      <w:pPr>
        <w:pStyle w:val="21"/>
        <w:rPr>
          <w:rFonts w:ascii="Times New Roman"/>
          <w:color w:val="000000"/>
        </w:rPr>
      </w:pPr>
      <w:r>
        <w:rPr>
          <w:rFonts w:ascii="Times New Roman"/>
          <w:color w:val="000000"/>
        </w:rPr>
        <w:t>式中：</w:t>
      </w:r>
    </w:p>
    <w:p>
      <w:pPr>
        <w:pStyle w:val="21"/>
        <w:rPr>
          <w:rFonts w:ascii="Times New Roman"/>
          <w:color w:val="000000"/>
        </w:rPr>
      </w:pPr>
      <w:r>
        <w:rPr>
          <w:rFonts w:ascii="Times New Roman"/>
          <w:i/>
          <w:iCs/>
          <w:color w:val="000000"/>
        </w:rPr>
        <w:t>C</w:t>
      </w:r>
      <w:r>
        <w:rPr>
          <w:rFonts w:ascii="Times New Roman"/>
          <w:color w:val="000000"/>
        </w:rPr>
        <w:t>——总蛋白保留率，用百分</w:t>
      </w:r>
      <w:r>
        <w:rPr>
          <w:rFonts w:hint="eastAsia" w:ascii="Times New Roman"/>
          <w:color w:val="000000"/>
        </w:rPr>
        <w:t>比</w:t>
      </w:r>
      <w:r>
        <w:rPr>
          <w:rFonts w:ascii="Times New Roman"/>
          <w:color w:val="000000"/>
        </w:rPr>
        <w:t>表示；</w:t>
      </w:r>
    </w:p>
    <w:p>
      <w:pPr>
        <w:pStyle w:val="21"/>
        <w:rPr>
          <w:rFonts w:ascii="Times New Roman"/>
          <w:color w:val="000000"/>
        </w:rPr>
      </w:pPr>
      <w:r>
        <w:rPr>
          <w:rFonts w:ascii="Times New Roman"/>
          <w:i/>
          <w:iCs/>
          <w:color w:val="000000"/>
        </w:rPr>
        <w:t>T</w:t>
      </w:r>
      <w:r>
        <w:rPr>
          <w:rFonts w:ascii="Times New Roman"/>
          <w:color w:val="000000"/>
        </w:rPr>
        <w:t>——储藏72h后样品的总蛋白质含量，单位为克</w:t>
      </w:r>
      <w:r>
        <w:rPr>
          <w:rFonts w:hint="eastAsia" w:ascii="Times New Roman"/>
          <w:color w:val="000000"/>
        </w:rPr>
        <w:t>每百</w:t>
      </w:r>
      <w:r>
        <w:rPr>
          <w:rFonts w:ascii="Times New Roman"/>
          <w:color w:val="000000"/>
        </w:rPr>
        <w:t>克（g/100 g）；</w:t>
      </w:r>
    </w:p>
    <w:p>
      <w:pPr>
        <w:pStyle w:val="21"/>
        <w:rPr>
          <w:rFonts w:ascii="Times New Roman"/>
          <w:color w:val="000000"/>
        </w:rPr>
      </w:pPr>
      <w:r>
        <w:rPr>
          <w:rFonts w:ascii="Times New Roman"/>
          <w:i/>
          <w:iCs/>
          <w:color w:val="000000"/>
        </w:rPr>
        <w:t>T</w:t>
      </w:r>
      <w:r>
        <w:rPr>
          <w:rFonts w:ascii="Times New Roman"/>
          <w:color w:val="000000"/>
          <w:vertAlign w:val="subscript"/>
        </w:rPr>
        <w:t>0</w:t>
      </w:r>
      <w:r>
        <w:rPr>
          <w:rFonts w:ascii="Times New Roman"/>
          <w:color w:val="000000"/>
        </w:rPr>
        <w:t>——储藏前样品的总蛋白质含量，单位为克</w:t>
      </w:r>
      <w:r>
        <w:rPr>
          <w:rFonts w:hint="eastAsia" w:ascii="Times New Roman"/>
          <w:color w:val="000000"/>
        </w:rPr>
        <w:t>每百</w:t>
      </w:r>
      <w:r>
        <w:rPr>
          <w:rFonts w:ascii="Times New Roman"/>
          <w:color w:val="000000"/>
        </w:rPr>
        <w:t>克（g/100 g）；</w:t>
      </w:r>
    </w:p>
    <w:p>
      <w:pPr>
        <w:pStyle w:val="21"/>
        <w:rPr>
          <w:rFonts w:ascii="Times New Roman"/>
          <w:color w:val="000000"/>
        </w:rPr>
      </w:pPr>
      <w:r>
        <w:rPr>
          <w:rFonts w:ascii="Times New Roman"/>
          <w:i/>
          <w:iCs/>
          <w:color w:val="000000"/>
        </w:rPr>
        <w:t>M</w:t>
      </w:r>
      <w:r>
        <w:rPr>
          <w:rFonts w:ascii="Times New Roman"/>
          <w:color w:val="000000"/>
        </w:rPr>
        <w:t>——储藏72h后样品的质量，单位为克（g）；</w:t>
      </w:r>
    </w:p>
    <w:p>
      <w:pPr>
        <w:pStyle w:val="21"/>
        <w:rPr>
          <w:rFonts w:ascii="Times New Roman"/>
          <w:color w:val="000000" w:themeColor="text1"/>
          <w14:textFill>
            <w14:solidFill>
              <w14:schemeClr w14:val="tx1"/>
            </w14:solidFill>
          </w14:textFill>
        </w:rPr>
      </w:pPr>
      <w:r>
        <w:rPr>
          <w:rFonts w:ascii="Times New Roman"/>
          <w:i/>
          <w:iCs/>
          <w:color w:val="000000"/>
        </w:rPr>
        <w:t>M</w:t>
      </w:r>
      <w:r>
        <w:rPr>
          <w:rFonts w:ascii="Times New Roman"/>
          <w:color w:val="000000"/>
          <w:vertAlign w:val="subscript"/>
        </w:rPr>
        <w:t>0</w:t>
      </w:r>
      <w:r>
        <w:rPr>
          <w:rFonts w:ascii="Times New Roman"/>
          <w:color w:val="000000"/>
        </w:rPr>
        <w:t>——储藏前样品的质量，单位为克（g）。</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.7</w:t>
      </w:r>
      <w:r>
        <w:rPr>
          <w:rFonts w:hint="eastAsia" w:ascii="Times New Roman" w:hAnsi="Times New Roman" w:eastAsia="黑体" w:cs="Times New Roman"/>
        </w:rPr>
        <w:t>菌落总数</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将3份准备好的牛肉样品或三文鱼样品用保鲜膜包裹</w:t>
      </w:r>
      <w:r>
        <w:rPr>
          <w:rFonts w:ascii="Times New Roman" w:hAnsi="Times New Roman" w:eastAsia="宋体" w:cs="Times New Roman"/>
          <w:szCs w:val="21"/>
        </w:rPr>
        <w:t>(单层)，直接放入检测电冰箱</w:t>
      </w:r>
      <w:r>
        <w:rPr>
          <w:rFonts w:hint="eastAsia" w:ascii="Times New Roman" w:hAnsi="Times New Roman" w:eastAsia="宋体" w:cs="Times New Roman"/>
          <w:szCs w:val="21"/>
        </w:rPr>
        <w:t>冷藏室的变温抽屉</w:t>
      </w:r>
      <w:r>
        <w:rPr>
          <w:rFonts w:ascii="Times New Roman" w:hAnsi="Times New Roman" w:eastAsia="宋体" w:cs="Times New Roman"/>
          <w:szCs w:val="21"/>
        </w:rPr>
        <w:t>。</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72 h后取出</w:t>
      </w:r>
      <w:r>
        <w:rPr>
          <w:rFonts w:hint="eastAsia" w:ascii="Times New Roman" w:hAnsi="Times New Roman" w:eastAsia="宋体" w:cs="Times New Roman"/>
          <w:szCs w:val="21"/>
        </w:rPr>
        <w:t>，</w:t>
      </w:r>
      <w:r>
        <w:rPr>
          <w:rFonts w:ascii="Times New Roman" w:hAnsi="Times New Roman" w:eastAsia="宋体" w:cs="Times New Roman"/>
          <w:szCs w:val="21"/>
        </w:rPr>
        <w:t>菌落总数按照GB 4789.2</w:t>
      </w:r>
      <w:r>
        <w:rPr>
          <w:rFonts w:hint="eastAsia" w:ascii="Times New Roman" w:hAnsi="Times New Roman" w:eastAsia="宋体" w:cs="Times New Roman"/>
          <w:szCs w:val="21"/>
        </w:rPr>
        <w:t>进行测试，初始值应</w:t>
      </w:r>
      <w:r>
        <w:rPr>
          <w:rFonts w:ascii="宋体" w:hAnsi="宋体" w:eastAsia="宋体" w:cs="Times New Roman"/>
          <w:szCs w:val="21"/>
        </w:rPr>
        <w:t>≤</w:t>
      </w:r>
      <w:r>
        <w:rPr>
          <w:rFonts w:ascii="Times New Roman" w:hAnsi="Times New Roman" w:eastAsia="宋体" w:cs="Times New Roman"/>
          <w:szCs w:val="21"/>
        </w:rPr>
        <w:t>1.0×10</w:t>
      </w:r>
      <w:r>
        <w:rPr>
          <w:rFonts w:ascii="Times New Roman" w:hAnsi="Times New Roman" w:eastAsia="宋体" w:cs="Times New Roman"/>
          <w:szCs w:val="21"/>
          <w:vertAlign w:val="superscript"/>
        </w:rPr>
        <w:t xml:space="preserve">4 </w:t>
      </w:r>
      <w:r>
        <w:rPr>
          <w:rFonts w:ascii="Times New Roman" w:hAnsi="Times New Roman" w:eastAsia="宋体" w:cs="Times New Roman"/>
          <w:szCs w:val="21"/>
        </w:rPr>
        <w:t>CFU/g</w:t>
      </w:r>
      <w:r>
        <w:rPr>
          <w:rFonts w:hint="eastAsia" w:ascii="Times New Roman" w:hAnsi="Times New Roman" w:eastAsia="宋体" w:cs="Times New Roman"/>
          <w:szCs w:val="21"/>
        </w:rPr>
        <w:t>。</w:t>
      </w:r>
    </w:p>
    <w:p>
      <w:pPr>
        <w:spacing w:line="276" w:lineRule="auto"/>
        <w:rPr>
          <w:rFonts w:ascii="Times New Roman" w:hAnsi="Times New Roman" w:eastAsia="黑体" w:cs="Times New Roman"/>
        </w:rPr>
      </w:pPr>
      <w:r>
        <w:rPr>
          <w:rFonts w:ascii="Times New Roman" w:hAnsi="Times New Roman" w:eastAsia="黑体" w:cs="Times New Roman"/>
        </w:rPr>
        <w:t>5.</w:t>
      </w:r>
      <w:r>
        <w:rPr>
          <w:rFonts w:hint="eastAsia" w:ascii="Times New Roman" w:hAnsi="Times New Roman" w:eastAsia="黑体" w:cs="Times New Roman"/>
        </w:rPr>
        <w:t>4</w:t>
      </w:r>
      <w:r>
        <w:rPr>
          <w:rFonts w:ascii="Times New Roman" w:hAnsi="Times New Roman" w:eastAsia="黑体" w:cs="Times New Roman"/>
        </w:rPr>
        <w:t>.8</w:t>
      </w:r>
      <w:r>
        <w:rPr>
          <w:rFonts w:hint="eastAsia" w:ascii="Times New Roman" w:hAnsi="Times New Roman" w:eastAsia="黑体" w:cs="Times New Roman"/>
        </w:rPr>
        <w:t>丙二醛含量</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将3份准备好的三文鱼样品用保鲜膜包裹</w:t>
      </w:r>
      <w:r>
        <w:rPr>
          <w:rFonts w:ascii="Times New Roman" w:hAnsi="Times New Roman" w:eastAsia="宋体" w:cs="Times New Roman"/>
          <w:szCs w:val="21"/>
        </w:rPr>
        <w:t>(单层)，直接放入检测电冰箱</w:t>
      </w:r>
      <w:r>
        <w:rPr>
          <w:rFonts w:hint="eastAsia" w:ascii="Times New Roman" w:hAnsi="Times New Roman" w:eastAsia="宋体" w:cs="Times New Roman"/>
          <w:szCs w:val="21"/>
        </w:rPr>
        <w:t>冷藏室的变温抽屉</w:t>
      </w:r>
      <w:r>
        <w:rPr>
          <w:rFonts w:ascii="Times New Roman" w:hAnsi="Times New Roman" w:eastAsia="宋体" w:cs="Times New Roman"/>
          <w:szCs w:val="21"/>
        </w:rPr>
        <w:t>。</w:t>
      </w:r>
      <w:r>
        <w:rPr>
          <w:rFonts w:hint="eastAsia" w:ascii="Times New Roman" w:hAnsi="Times New Roman" w:eastAsia="宋体" w:cs="Times New Roman"/>
          <w:szCs w:val="21"/>
        </w:rPr>
        <w:t>开启电场模块或功能</w:t>
      </w:r>
      <w:r>
        <w:rPr>
          <w:rFonts w:ascii="Times New Roman" w:hAnsi="Times New Roman" w:eastAsia="宋体" w:cs="Times New Roman"/>
          <w:szCs w:val="21"/>
        </w:rPr>
        <w:t>，</w:t>
      </w:r>
      <w:r>
        <w:rPr>
          <w:rFonts w:hint="eastAsia" w:ascii="Times New Roman" w:hAnsi="Times New Roman" w:eastAsia="宋体" w:cs="Times New Roman"/>
          <w:szCs w:val="21"/>
        </w:rPr>
        <w:t>储藏</w:t>
      </w:r>
      <w:r>
        <w:rPr>
          <w:rFonts w:ascii="Times New Roman" w:hAnsi="Times New Roman" w:eastAsia="宋体" w:cs="Times New Roman"/>
          <w:szCs w:val="21"/>
        </w:rPr>
        <w:t>72 h后取出</w:t>
      </w:r>
      <w:r>
        <w:rPr>
          <w:rFonts w:hint="eastAsia" w:ascii="Times New Roman" w:hAnsi="Times New Roman" w:eastAsia="宋体" w:cs="Times New Roman"/>
          <w:szCs w:val="21"/>
        </w:rPr>
        <w:t>，</w:t>
      </w:r>
      <w:r>
        <w:rPr>
          <w:rFonts w:ascii="Times New Roman" w:hAnsi="Times New Roman" w:eastAsia="宋体" w:cs="Times New Roman"/>
          <w:szCs w:val="21"/>
        </w:rPr>
        <w:t>按照GB 5009.181进行丙二醛含量的测定</w:t>
      </w:r>
      <w:r>
        <w:rPr>
          <w:rFonts w:hint="eastAsia" w:ascii="Times New Roman" w:hAnsi="Times New Roman" w:eastAsia="宋体" w:cs="Times New Roman"/>
          <w:szCs w:val="21"/>
        </w:rPr>
        <w:t>。</w:t>
      </w:r>
    </w:p>
    <w:p>
      <w:pPr>
        <w:widowControl/>
        <w:jc w:val="left"/>
        <w:rPr>
          <w:rFonts w:ascii="Times New Roman" w:hAnsi="Times New Roman" w:eastAsia="宋体" w:cs="Times New Roman"/>
          <w:szCs w:val="21"/>
        </w:rPr>
      </w:pPr>
    </w:p>
    <w:p>
      <w:pPr>
        <w:pStyle w:val="2"/>
        <w:jc w:val="center"/>
        <w:sectPr>
          <w:pgSz w:w="11906" w:h="16838"/>
          <w:pgMar w:top="1440" w:right="1800" w:bottom="1440" w:left="1800" w:header="851" w:footer="992" w:gutter="0"/>
          <w:pgNumType w:start="1" w:chapStyle="1"/>
          <w:cols w:space="425" w:num="1"/>
          <w:docGrid w:type="lines" w:linePitch="312" w:charSpace="0"/>
        </w:sectPr>
      </w:pPr>
    </w:p>
    <w:p>
      <w:pPr>
        <w:pStyle w:val="2"/>
        <w:jc w:val="center"/>
      </w:pPr>
      <w:bookmarkStart w:id="21" w:name="_Toc127465500"/>
      <w:r>
        <w:rPr>
          <w:rFonts w:hint="eastAsia"/>
        </w:rPr>
        <w:t>参考文献</w:t>
      </w:r>
      <w:bookmarkEnd w:id="21"/>
    </w:p>
    <w:p>
      <w:pPr>
        <w:rPr>
          <w:rFonts w:ascii="Times New Roman" w:hAnsi="Times New Roman" w:eastAsia="宋体" w:cs="Times New Roman"/>
        </w:rPr>
      </w:pPr>
      <w:r>
        <w:rPr>
          <w:rFonts w:ascii="Times New Roman" w:hAnsi="Times New Roman" w:cs="Times New Roman"/>
        </w:rPr>
        <w:t>[1]  G</w:t>
      </w:r>
      <w:r>
        <w:rPr>
          <w:rFonts w:ascii="Times New Roman" w:hAnsi="Times New Roman" w:eastAsia="宋体" w:cs="Times New Roman"/>
        </w:rPr>
        <w:t>B 2707—2016  食品安全国家标准鲜（冻）畜、禽产品</w:t>
      </w:r>
    </w:p>
    <w:p>
      <w:pPr>
        <w:rPr>
          <w:rFonts w:ascii="Times New Roman" w:hAnsi="Times New Roman" w:eastAsia="宋体" w:cs="Times New Roman"/>
        </w:rPr>
      </w:pPr>
      <w:r>
        <w:rPr>
          <w:rFonts w:ascii="Times New Roman" w:hAnsi="Times New Roman" w:eastAsia="宋体" w:cs="Times New Roman"/>
        </w:rPr>
        <w:t>[2]  CAS 169—2006  家用保鲜电冰箱</w:t>
      </w:r>
    </w:p>
    <w:p>
      <w:pPr>
        <w:rPr>
          <w:rFonts w:ascii="Times New Roman" w:hAnsi="Times New Roman" w:eastAsia="宋体" w:cs="Times New Roman"/>
        </w:rPr>
      </w:pPr>
      <w:r>
        <w:rPr>
          <w:rFonts w:ascii="Times New Roman" w:hAnsi="Times New Roman" w:eastAsia="宋体" w:cs="Times New Roman"/>
        </w:rPr>
        <w:t>[3]  CHCT-JSGF-032—2017  家用电冰箱保鲜性能要求及测试方法</w:t>
      </w:r>
    </w:p>
    <w:p>
      <w:pPr>
        <w:rPr>
          <w:rFonts w:ascii="Times New Roman" w:hAnsi="Times New Roman" w:eastAsia="宋体" w:cs="Times New Roman"/>
        </w:rPr>
      </w:pPr>
      <w:r>
        <w:rPr>
          <w:rFonts w:ascii="Times New Roman" w:hAnsi="Times New Roman" w:eastAsia="宋体" w:cs="Times New Roman"/>
        </w:rPr>
        <w:t>[4]  GK 38-B/0—2017  电器产品性能认证实施规则</w:t>
      </w:r>
    </w:p>
    <w:p>
      <w:pPr>
        <w:rPr>
          <w:rFonts w:ascii="Times New Roman" w:hAnsi="Times New Roman" w:eastAsia="宋体" w:cs="Times New Roman"/>
        </w:rPr>
      </w:pPr>
      <w:r>
        <w:rPr>
          <w:rFonts w:ascii="Times New Roman" w:hAnsi="Times New Roman" w:eastAsia="宋体" w:cs="Times New Roman"/>
        </w:rPr>
        <w:t>[5]  NY/T 2799—2015  绿色食品 畜肉</w:t>
      </w:r>
    </w:p>
    <w:p>
      <w:pPr>
        <w:rPr>
          <w:rFonts w:ascii="Times New Roman" w:hAnsi="Times New Roman" w:cs="Times New Roman"/>
        </w:rPr>
      </w:pPr>
    </w:p>
    <w:p>
      <w:pPr>
        <w:pStyle w:val="21"/>
        <w:adjustRightInd w:val="0"/>
        <w:snapToGrid w:val="0"/>
        <w:ind w:firstLine="0" w:firstLineChars="0"/>
        <w:jc w:val="left"/>
        <w:rPr>
          <w:color w:val="000000"/>
        </w:rPr>
      </w:pPr>
      <w:r>
        <w:rPr>
          <w:rFonts w:cs="宋体"/>
        </w:rPr>
        <mc:AlternateContent>
          <mc:Choice Requires="wps">
            <w:drawing>
              <wp:anchor distT="0" distB="0" distL="114300" distR="114300" simplePos="0" relativeHeight="251667456" behindDoc="0" locked="1" layoutInCell="1" allowOverlap="1">
                <wp:simplePos x="0" y="0"/>
                <wp:positionH relativeFrom="page">
                  <wp:align>center</wp:align>
                </wp:positionH>
                <wp:positionV relativeFrom="paragraph">
                  <wp:posOffset>1166495</wp:posOffset>
                </wp:positionV>
                <wp:extent cx="1800225" cy="0"/>
                <wp:effectExtent l="0" t="0" r="28575" b="1905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ln>
                      </wps:spPr>
                      <wps:bodyPr/>
                    </wps:wsp>
                  </a:graphicData>
                </a:graphic>
              </wp:anchor>
            </w:drawing>
          </mc:Choice>
          <mc:Fallback>
            <w:pict>
              <v:line id="Line 5" o:spid="_x0000_s1026" o:spt="20" style="position:absolute;left:0pt;margin-top:91.85pt;height:0pt;width:141.75pt;mso-position-horizontal:center;mso-position-horizontal-relative:page;z-index:251667456;mso-width-relative:page;mso-height-relative:page;" filled="f" stroked="t" coordsize="21600,21600" o:gfxdata="UEsDBAoAAAAAAIdO4kAAAAAAAAAAAAAAAAAEAAAAZHJzL1BLAwQUAAAACACHTuJAtxAGddYAAAAI&#10;AQAADwAAAGRycy9kb3ducmV2LnhtbE2PzU7DMBCE70i8g7VI3KjTVFArxOkBVFUgLm2RuG6TJQ7E&#10;6zR2f3h7FgkJjjszmv2mXJx9r440xi6whekkA0Vch6bj1sLrdnljQMWE3GAfmCx8UYRFdXlRYtGE&#10;E6/puEmtkhKOBVpwKQ2F1rF25DFOwkAs3nsYPSY5x1Y3I56k3Pc6z7I77bFj+eBwoAdH9efm4C3g&#10;42qd3kz+PO+e3MvHdrlfObO39vpqmt2DSnROf2H4wRd0qIRpFw7cRNVbkCFJVDObgxI7N7NbULtf&#10;RVel/j+g+gZQSwMEFAAAAAgAh07iQDDnHrHIAQAAoAMAAA4AAABkcnMvZTJvRG9jLnhtbK1TwW7b&#10;MAy9D9g/CLo3dgx0K4w4PSRoL9kWoN0HKLJsC5NEQVRi5+9HyUnWdZce5oMgiuQj3yO9epysYScV&#10;UINr+HJRcqachFa7vuE/X5/uHjjDKFwrDDjV8LNC/rj+/Gk1+lpVMIBpVWAE4rAefcOHGH1dFCgH&#10;ZQUuwCtHzg6CFZHM0BdtECOhW1NUZfmlGCG0PoBUiPS6nZ38ghg+Aghdp6Xagjxa5eKMGpQRkSjh&#10;oD3yde6265SMP7oOVWSm4cQ05pOK0P2QzmK9EnUfhB+0vLQgPtLCO05WaEdFb1BbEQU7Bv0PlNUy&#10;AEIXFxJsMRPJihCLZflOm5dBeJW5kNTob6Lj/4OV30/7wHRLm8CZE5YGvtNOsfukzOixpoCN24fE&#10;TU7uxe9A/kLmYDMI16vc4evZU9oyZRR/pSQDPeEfxm/QUow4RsgyTV2wCZIEYFOexvk2DTVFJulx&#10;+VCWVXXPmbz6ClFfE33A+KzAsnRpuKGeM7A47TCmRkR9DUl1HDxpY/KwjWMjgVdfyzJnIBjdJm+K&#10;w9AfNiawk0j7kr9MizxvwwIcXTtXMe7COhGdJTtAe96Hqxo0uNzOZcnSZry1c/afH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cQBnXWAAAACAEAAA8AAAAAAAAAAQAgAAAAIgAAAGRycy9kb3du&#10;cmV2LnhtbFBLAQIUABQAAAAIAIdO4kAw5x6xyAEAAKADAAAOAAAAAAAAAAEAIAAAACUBAABkcnMv&#10;ZTJvRG9jLnhtbFBLBQYAAAAABgAGAFkBAABfBQAAAAA=&#10;">
                <v:fill on="f" focussize="0,0"/>
                <v:stroke weight="1pt" color="#000000" joinstyle="round"/>
                <v:imagedata o:title=""/>
                <o:lock v:ext="edit" aspectratio="f"/>
                <w10:anchorlock/>
              </v:line>
            </w:pict>
          </mc:Fallback>
        </mc:AlternateContent>
      </w:r>
    </w:p>
    <w:p>
      <w:pPr>
        <w:spacing w:line="276" w:lineRule="auto"/>
        <w:ind w:firstLine="420"/>
        <w:rPr>
          <w:rFonts w:ascii="Times New Roman" w:hAnsi="Times New Roman" w:eastAsia="宋体" w:cs="Times New Roman"/>
          <w:szCs w:val="21"/>
        </w:rPr>
      </w:pPr>
    </w:p>
    <w:sectPr>
      <w:footerReference r:id="rId9"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121307"/>
    </w:sdtPr>
    <w:sdtEndPr>
      <w:rPr>
        <w:rFonts w:ascii="Times New Roman" w:hAnsi="Times New Roman" w:cs="Times New Roman"/>
      </w:rPr>
    </w:sdtEndPr>
    <w:sdtContent>
      <w:p>
        <w:pPr>
          <w:pStyle w:val="9"/>
          <w:ind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lang w:val="zh-CN"/>
          </w:rPr>
          <w:fldChar w:fldCharType="end"/>
        </w:r>
      </w:p>
    </w:sdtContent>
  </w:sdt>
  <w:p>
    <w:pPr>
      <w:pStyle w:val="9"/>
      <w:ind w:right="360"/>
      <w:rPr>
        <w:rStyle w:val="18"/>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706794"/>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58742"/>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794719"/>
    </w:sdtPr>
    <w:sdtEndPr>
      <w:rPr>
        <w:rFonts w:ascii="Times New Roman" w:hAnsi="Times New Roman" w:cs="Times New Roman"/>
      </w:rPr>
    </w:sdtEndPr>
    <w:sdtContent>
      <w:p>
        <w:pPr>
          <w:pStyle w:val="9"/>
          <w:ind w:firstLine="420"/>
          <w:jc w:val="center"/>
          <w:rPr>
            <w:rFonts w:ascii="Times New Roman" w:hAnsi="Times New Roman" w:cs="Times New Roman"/>
          </w:rPr>
        </w:pPr>
        <w:r>
          <w:rPr>
            <w:rFonts w:ascii="Times New Roman" w:hAnsi="Times New Roman" w:cs="Times New Roman"/>
          </w:rPr>
          <w:t>7</w:t>
        </w:r>
      </w:p>
    </w:sdtContent>
  </w:sdt>
  <w:p>
    <w:pPr>
      <w:pStyle w:val="9"/>
      <w:ind w:right="360"/>
      <w:rPr>
        <w:rStyle w:val="18"/>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hint="eastAsia" w:ascii="Times New Roman" w:hAnsi="Times New Roman" w:cs="Times New Roman"/>
        <w:sz w:val="21"/>
      </w:rPr>
      <w:t>XXXX</w:t>
    </w:r>
  </w:p>
  <w:p>
    <w:pPr>
      <w:pStyle w:val="10"/>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hint="eastAsia" w:ascii="Times New Roman" w:hAnsi="Times New Roman" w:cs="Times New Roman"/>
        <w:sz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hint="eastAsia" w:ascii="Times New Roman" w:hAnsi="Times New Roman" w:cs="Times New Roman"/>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34F50"/>
    <w:multiLevelType w:val="multilevel"/>
    <w:tmpl w:val="04D34F50"/>
    <w:lvl w:ilvl="0" w:tentative="0">
      <w:start w:val="1"/>
      <w:numFmt w:val="decimal"/>
      <w:lvlText w:val="%1."/>
      <w:lvlJc w:val="left"/>
      <w:pPr>
        <w:tabs>
          <w:tab w:val="left" w:pos="2705"/>
        </w:tabs>
        <w:ind w:left="2705" w:hanging="720"/>
      </w:pPr>
    </w:lvl>
    <w:lvl w:ilvl="1" w:tentative="0">
      <w:start w:val="1"/>
      <w:numFmt w:val="decimal"/>
      <w:lvlText w:val="%2."/>
      <w:lvlJc w:val="left"/>
      <w:pPr>
        <w:tabs>
          <w:tab w:val="left" w:pos="3425"/>
        </w:tabs>
        <w:ind w:left="3425" w:hanging="720"/>
      </w:pPr>
    </w:lvl>
    <w:lvl w:ilvl="2" w:tentative="0">
      <w:start w:val="1"/>
      <w:numFmt w:val="decimal"/>
      <w:lvlText w:val="%3."/>
      <w:lvlJc w:val="left"/>
      <w:pPr>
        <w:tabs>
          <w:tab w:val="left" w:pos="4145"/>
        </w:tabs>
        <w:ind w:left="4145" w:hanging="720"/>
      </w:pPr>
    </w:lvl>
    <w:lvl w:ilvl="3" w:tentative="0">
      <w:start w:val="1"/>
      <w:numFmt w:val="decimal"/>
      <w:lvlText w:val="%4."/>
      <w:lvlJc w:val="left"/>
      <w:pPr>
        <w:tabs>
          <w:tab w:val="left" w:pos="4865"/>
        </w:tabs>
        <w:ind w:left="4865" w:hanging="720"/>
      </w:pPr>
    </w:lvl>
    <w:lvl w:ilvl="4" w:tentative="0">
      <w:start w:val="1"/>
      <w:numFmt w:val="decimal"/>
      <w:lvlText w:val="%5."/>
      <w:lvlJc w:val="left"/>
      <w:pPr>
        <w:tabs>
          <w:tab w:val="left" w:pos="5585"/>
        </w:tabs>
        <w:ind w:left="5585" w:hanging="720"/>
      </w:pPr>
    </w:lvl>
    <w:lvl w:ilvl="5" w:tentative="0">
      <w:start w:val="1"/>
      <w:numFmt w:val="decimal"/>
      <w:lvlText w:val="%6."/>
      <w:lvlJc w:val="left"/>
      <w:pPr>
        <w:tabs>
          <w:tab w:val="left" w:pos="6305"/>
        </w:tabs>
        <w:ind w:left="6305" w:hanging="720"/>
      </w:pPr>
    </w:lvl>
    <w:lvl w:ilvl="6" w:tentative="0">
      <w:start w:val="1"/>
      <w:numFmt w:val="decimal"/>
      <w:lvlText w:val="%7."/>
      <w:lvlJc w:val="left"/>
      <w:pPr>
        <w:tabs>
          <w:tab w:val="left" w:pos="7025"/>
        </w:tabs>
        <w:ind w:left="7025" w:hanging="720"/>
      </w:pPr>
    </w:lvl>
    <w:lvl w:ilvl="7" w:tentative="0">
      <w:start w:val="1"/>
      <w:numFmt w:val="decimal"/>
      <w:lvlText w:val="%8."/>
      <w:lvlJc w:val="left"/>
      <w:pPr>
        <w:tabs>
          <w:tab w:val="left" w:pos="7745"/>
        </w:tabs>
        <w:ind w:left="7745" w:hanging="720"/>
      </w:pPr>
    </w:lvl>
    <w:lvl w:ilvl="8" w:tentative="0">
      <w:start w:val="1"/>
      <w:numFmt w:val="decimal"/>
      <w:lvlText w:val="%9."/>
      <w:lvlJc w:val="left"/>
      <w:pPr>
        <w:tabs>
          <w:tab w:val="left" w:pos="8465"/>
        </w:tabs>
        <w:ind w:left="8465" w:hanging="720"/>
      </w:pPr>
    </w:lvl>
  </w:abstractNum>
  <w:abstractNum w:abstractNumId="1">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17F31EB"/>
    <w:multiLevelType w:val="multilevel"/>
    <w:tmpl w:val="517F31EB"/>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ZTdmODAwZjdjZDI4NDgyMTM5MzZjMjliMGFhNmYifQ=="/>
  </w:docVars>
  <w:rsids>
    <w:rsidRoot w:val="00092222"/>
    <w:rsid w:val="00001B76"/>
    <w:rsid w:val="000071E7"/>
    <w:rsid w:val="00010E45"/>
    <w:rsid w:val="000129CC"/>
    <w:rsid w:val="00013010"/>
    <w:rsid w:val="00015A14"/>
    <w:rsid w:val="000178AC"/>
    <w:rsid w:val="000200E2"/>
    <w:rsid w:val="000252B9"/>
    <w:rsid w:val="00027485"/>
    <w:rsid w:val="00027840"/>
    <w:rsid w:val="00032644"/>
    <w:rsid w:val="00032F7F"/>
    <w:rsid w:val="00034D6A"/>
    <w:rsid w:val="00044357"/>
    <w:rsid w:val="00044FFA"/>
    <w:rsid w:val="000515D4"/>
    <w:rsid w:val="00055918"/>
    <w:rsid w:val="00061482"/>
    <w:rsid w:val="00065281"/>
    <w:rsid w:val="00065445"/>
    <w:rsid w:val="0006566F"/>
    <w:rsid w:val="00066D5D"/>
    <w:rsid w:val="00071AD9"/>
    <w:rsid w:val="00074625"/>
    <w:rsid w:val="00082BEF"/>
    <w:rsid w:val="00083C5B"/>
    <w:rsid w:val="0008573D"/>
    <w:rsid w:val="00091E84"/>
    <w:rsid w:val="00092222"/>
    <w:rsid w:val="0009259B"/>
    <w:rsid w:val="00094064"/>
    <w:rsid w:val="000961DB"/>
    <w:rsid w:val="000A18E6"/>
    <w:rsid w:val="000A2F32"/>
    <w:rsid w:val="000A79FC"/>
    <w:rsid w:val="000B20BD"/>
    <w:rsid w:val="000B2F32"/>
    <w:rsid w:val="000C115B"/>
    <w:rsid w:val="000C17D7"/>
    <w:rsid w:val="000C23EA"/>
    <w:rsid w:val="000C5125"/>
    <w:rsid w:val="000D0875"/>
    <w:rsid w:val="000D1FAE"/>
    <w:rsid w:val="000D530F"/>
    <w:rsid w:val="000D53A1"/>
    <w:rsid w:val="000D67AF"/>
    <w:rsid w:val="000E649B"/>
    <w:rsid w:val="000E7158"/>
    <w:rsid w:val="000F28E4"/>
    <w:rsid w:val="000F4755"/>
    <w:rsid w:val="00107134"/>
    <w:rsid w:val="001207F9"/>
    <w:rsid w:val="00121BC5"/>
    <w:rsid w:val="00124512"/>
    <w:rsid w:val="00130202"/>
    <w:rsid w:val="00131449"/>
    <w:rsid w:val="00131F64"/>
    <w:rsid w:val="00137015"/>
    <w:rsid w:val="00137DC1"/>
    <w:rsid w:val="0014288F"/>
    <w:rsid w:val="00144293"/>
    <w:rsid w:val="001463BC"/>
    <w:rsid w:val="001468C7"/>
    <w:rsid w:val="00151EB1"/>
    <w:rsid w:val="00160338"/>
    <w:rsid w:val="00161870"/>
    <w:rsid w:val="001631DE"/>
    <w:rsid w:val="001672C9"/>
    <w:rsid w:val="00172FDE"/>
    <w:rsid w:val="00174FD1"/>
    <w:rsid w:val="00180860"/>
    <w:rsid w:val="00183AA5"/>
    <w:rsid w:val="00183FE5"/>
    <w:rsid w:val="00190C4D"/>
    <w:rsid w:val="0019377D"/>
    <w:rsid w:val="001962BC"/>
    <w:rsid w:val="001974FC"/>
    <w:rsid w:val="001A4EDA"/>
    <w:rsid w:val="001B04FC"/>
    <w:rsid w:val="001B091F"/>
    <w:rsid w:val="001B3353"/>
    <w:rsid w:val="001B4690"/>
    <w:rsid w:val="001B5F0D"/>
    <w:rsid w:val="001B7C88"/>
    <w:rsid w:val="001C1972"/>
    <w:rsid w:val="001C2560"/>
    <w:rsid w:val="001C53B1"/>
    <w:rsid w:val="001C791C"/>
    <w:rsid w:val="001D604B"/>
    <w:rsid w:val="001D7071"/>
    <w:rsid w:val="001E0F6E"/>
    <w:rsid w:val="001E494D"/>
    <w:rsid w:val="001E68F4"/>
    <w:rsid w:val="001F564A"/>
    <w:rsid w:val="001F5821"/>
    <w:rsid w:val="001F6FB2"/>
    <w:rsid w:val="0020125C"/>
    <w:rsid w:val="00203192"/>
    <w:rsid w:val="00204413"/>
    <w:rsid w:val="00204994"/>
    <w:rsid w:val="0020505C"/>
    <w:rsid w:val="0020710F"/>
    <w:rsid w:val="00207FD1"/>
    <w:rsid w:val="002111E6"/>
    <w:rsid w:val="00212970"/>
    <w:rsid w:val="00215EDB"/>
    <w:rsid w:val="00221E37"/>
    <w:rsid w:val="00225A88"/>
    <w:rsid w:val="00225C92"/>
    <w:rsid w:val="0022662C"/>
    <w:rsid w:val="00227BD1"/>
    <w:rsid w:val="002317EB"/>
    <w:rsid w:val="00231B88"/>
    <w:rsid w:val="0023413F"/>
    <w:rsid w:val="00235BDF"/>
    <w:rsid w:val="0024463B"/>
    <w:rsid w:val="002450BC"/>
    <w:rsid w:val="00245AD6"/>
    <w:rsid w:val="00250AC3"/>
    <w:rsid w:val="00252DE4"/>
    <w:rsid w:val="00253814"/>
    <w:rsid w:val="00253959"/>
    <w:rsid w:val="002679AC"/>
    <w:rsid w:val="00270D85"/>
    <w:rsid w:val="00272457"/>
    <w:rsid w:val="00272E6F"/>
    <w:rsid w:val="002806A1"/>
    <w:rsid w:val="00281500"/>
    <w:rsid w:val="00281660"/>
    <w:rsid w:val="00282888"/>
    <w:rsid w:val="00283E17"/>
    <w:rsid w:val="0028661C"/>
    <w:rsid w:val="002913C7"/>
    <w:rsid w:val="00292D56"/>
    <w:rsid w:val="00297314"/>
    <w:rsid w:val="002A1AA4"/>
    <w:rsid w:val="002A5265"/>
    <w:rsid w:val="002A62D8"/>
    <w:rsid w:val="002A6D04"/>
    <w:rsid w:val="002B6E78"/>
    <w:rsid w:val="002B741C"/>
    <w:rsid w:val="002C1DA2"/>
    <w:rsid w:val="002C5C06"/>
    <w:rsid w:val="002D13BD"/>
    <w:rsid w:val="002D2727"/>
    <w:rsid w:val="002D3114"/>
    <w:rsid w:val="002D7D22"/>
    <w:rsid w:val="002E1217"/>
    <w:rsid w:val="002E24A8"/>
    <w:rsid w:val="002E2C93"/>
    <w:rsid w:val="002E59FA"/>
    <w:rsid w:val="002E6402"/>
    <w:rsid w:val="00300006"/>
    <w:rsid w:val="00305D9A"/>
    <w:rsid w:val="00306E30"/>
    <w:rsid w:val="00311453"/>
    <w:rsid w:val="00311BF0"/>
    <w:rsid w:val="00315D7E"/>
    <w:rsid w:val="00316B24"/>
    <w:rsid w:val="00321FCD"/>
    <w:rsid w:val="003251FF"/>
    <w:rsid w:val="00327AA2"/>
    <w:rsid w:val="00331143"/>
    <w:rsid w:val="00331CC0"/>
    <w:rsid w:val="003327B9"/>
    <w:rsid w:val="00333BE2"/>
    <w:rsid w:val="0033437F"/>
    <w:rsid w:val="00336FDA"/>
    <w:rsid w:val="00347AD5"/>
    <w:rsid w:val="00347AD6"/>
    <w:rsid w:val="0035068C"/>
    <w:rsid w:val="00350984"/>
    <w:rsid w:val="00354520"/>
    <w:rsid w:val="00354A95"/>
    <w:rsid w:val="00355279"/>
    <w:rsid w:val="00356747"/>
    <w:rsid w:val="003669F3"/>
    <w:rsid w:val="00367D13"/>
    <w:rsid w:val="0037417D"/>
    <w:rsid w:val="00385B2D"/>
    <w:rsid w:val="00385CA7"/>
    <w:rsid w:val="00392C60"/>
    <w:rsid w:val="00392CF0"/>
    <w:rsid w:val="00392E65"/>
    <w:rsid w:val="003938F8"/>
    <w:rsid w:val="00396149"/>
    <w:rsid w:val="00396885"/>
    <w:rsid w:val="003977BD"/>
    <w:rsid w:val="00397EA1"/>
    <w:rsid w:val="003A11C0"/>
    <w:rsid w:val="003B7DB7"/>
    <w:rsid w:val="003C5E53"/>
    <w:rsid w:val="003D06F4"/>
    <w:rsid w:val="003D28BB"/>
    <w:rsid w:val="003E0802"/>
    <w:rsid w:val="003E0DBC"/>
    <w:rsid w:val="003E3384"/>
    <w:rsid w:val="003E33D3"/>
    <w:rsid w:val="003E5086"/>
    <w:rsid w:val="003E555D"/>
    <w:rsid w:val="003E56BB"/>
    <w:rsid w:val="003F3ECE"/>
    <w:rsid w:val="003F7704"/>
    <w:rsid w:val="00401399"/>
    <w:rsid w:val="00401A4E"/>
    <w:rsid w:val="0040226C"/>
    <w:rsid w:val="004036CC"/>
    <w:rsid w:val="00406655"/>
    <w:rsid w:val="00410075"/>
    <w:rsid w:val="00413248"/>
    <w:rsid w:val="00415AD8"/>
    <w:rsid w:val="00417755"/>
    <w:rsid w:val="0042049D"/>
    <w:rsid w:val="004208AF"/>
    <w:rsid w:val="004226AF"/>
    <w:rsid w:val="004316CC"/>
    <w:rsid w:val="0043212F"/>
    <w:rsid w:val="00432FA4"/>
    <w:rsid w:val="004360B3"/>
    <w:rsid w:val="00436FAB"/>
    <w:rsid w:val="0044136F"/>
    <w:rsid w:val="0044488E"/>
    <w:rsid w:val="0045304C"/>
    <w:rsid w:val="00453888"/>
    <w:rsid w:val="00457504"/>
    <w:rsid w:val="00463926"/>
    <w:rsid w:val="0047181C"/>
    <w:rsid w:val="00471871"/>
    <w:rsid w:val="004736D0"/>
    <w:rsid w:val="00474544"/>
    <w:rsid w:val="00480189"/>
    <w:rsid w:val="004818AD"/>
    <w:rsid w:val="00483669"/>
    <w:rsid w:val="0048616F"/>
    <w:rsid w:val="004924A9"/>
    <w:rsid w:val="004932D9"/>
    <w:rsid w:val="00494976"/>
    <w:rsid w:val="00497BDE"/>
    <w:rsid w:val="004A1BE4"/>
    <w:rsid w:val="004A5A4C"/>
    <w:rsid w:val="004A7E22"/>
    <w:rsid w:val="004B12E3"/>
    <w:rsid w:val="004B3763"/>
    <w:rsid w:val="004B3ACB"/>
    <w:rsid w:val="004B438B"/>
    <w:rsid w:val="004B4FCE"/>
    <w:rsid w:val="004B5192"/>
    <w:rsid w:val="004B7CD9"/>
    <w:rsid w:val="004C0E60"/>
    <w:rsid w:val="004C10CF"/>
    <w:rsid w:val="004C47C8"/>
    <w:rsid w:val="004C5405"/>
    <w:rsid w:val="004C648C"/>
    <w:rsid w:val="004D047F"/>
    <w:rsid w:val="004D477E"/>
    <w:rsid w:val="004D4C63"/>
    <w:rsid w:val="004E3761"/>
    <w:rsid w:val="004F16F0"/>
    <w:rsid w:val="004F3FE7"/>
    <w:rsid w:val="004F60C0"/>
    <w:rsid w:val="005008D8"/>
    <w:rsid w:val="00501657"/>
    <w:rsid w:val="00501BB3"/>
    <w:rsid w:val="00503F9C"/>
    <w:rsid w:val="005048CC"/>
    <w:rsid w:val="005051B7"/>
    <w:rsid w:val="0050714B"/>
    <w:rsid w:val="005130FD"/>
    <w:rsid w:val="00513178"/>
    <w:rsid w:val="00513370"/>
    <w:rsid w:val="005134F0"/>
    <w:rsid w:val="00513573"/>
    <w:rsid w:val="00513A90"/>
    <w:rsid w:val="005164C1"/>
    <w:rsid w:val="00523A52"/>
    <w:rsid w:val="00524357"/>
    <w:rsid w:val="0052777E"/>
    <w:rsid w:val="00527E1E"/>
    <w:rsid w:val="005349AB"/>
    <w:rsid w:val="005447BB"/>
    <w:rsid w:val="0055022C"/>
    <w:rsid w:val="00550825"/>
    <w:rsid w:val="005514C2"/>
    <w:rsid w:val="00551ED6"/>
    <w:rsid w:val="00552674"/>
    <w:rsid w:val="0055340A"/>
    <w:rsid w:val="005542E1"/>
    <w:rsid w:val="005552A6"/>
    <w:rsid w:val="00555856"/>
    <w:rsid w:val="00560340"/>
    <w:rsid w:val="00562DB6"/>
    <w:rsid w:val="00567488"/>
    <w:rsid w:val="005738B4"/>
    <w:rsid w:val="00576B7D"/>
    <w:rsid w:val="00576D34"/>
    <w:rsid w:val="005779E4"/>
    <w:rsid w:val="00581163"/>
    <w:rsid w:val="00581A1E"/>
    <w:rsid w:val="00583285"/>
    <w:rsid w:val="0058329B"/>
    <w:rsid w:val="0058593F"/>
    <w:rsid w:val="00586F03"/>
    <w:rsid w:val="005876DC"/>
    <w:rsid w:val="00591089"/>
    <w:rsid w:val="00591140"/>
    <w:rsid w:val="005915BF"/>
    <w:rsid w:val="005949AC"/>
    <w:rsid w:val="00596AB8"/>
    <w:rsid w:val="005A1051"/>
    <w:rsid w:val="005A11CD"/>
    <w:rsid w:val="005A1B9E"/>
    <w:rsid w:val="005A39D3"/>
    <w:rsid w:val="005A5732"/>
    <w:rsid w:val="005A7A17"/>
    <w:rsid w:val="005B35E9"/>
    <w:rsid w:val="005B4425"/>
    <w:rsid w:val="005B7510"/>
    <w:rsid w:val="005C0D73"/>
    <w:rsid w:val="005C12C7"/>
    <w:rsid w:val="005C20B2"/>
    <w:rsid w:val="005C2E7B"/>
    <w:rsid w:val="005C3170"/>
    <w:rsid w:val="005C37C6"/>
    <w:rsid w:val="005C4033"/>
    <w:rsid w:val="005C4895"/>
    <w:rsid w:val="005D00EB"/>
    <w:rsid w:val="005E06C8"/>
    <w:rsid w:val="005E10C9"/>
    <w:rsid w:val="005E4E39"/>
    <w:rsid w:val="005F09C6"/>
    <w:rsid w:val="005F1E39"/>
    <w:rsid w:val="005F46F6"/>
    <w:rsid w:val="005F4FC1"/>
    <w:rsid w:val="005F5BDD"/>
    <w:rsid w:val="005F5DCD"/>
    <w:rsid w:val="005F5F08"/>
    <w:rsid w:val="005F7BD5"/>
    <w:rsid w:val="00603864"/>
    <w:rsid w:val="006045F7"/>
    <w:rsid w:val="00604C45"/>
    <w:rsid w:val="006050A6"/>
    <w:rsid w:val="0060550B"/>
    <w:rsid w:val="00607CC3"/>
    <w:rsid w:val="006202E2"/>
    <w:rsid w:val="0062062A"/>
    <w:rsid w:val="00620BF1"/>
    <w:rsid w:val="00622276"/>
    <w:rsid w:val="006242AE"/>
    <w:rsid w:val="006244D8"/>
    <w:rsid w:val="0063030E"/>
    <w:rsid w:val="00632551"/>
    <w:rsid w:val="006336E4"/>
    <w:rsid w:val="0063619C"/>
    <w:rsid w:val="00640147"/>
    <w:rsid w:val="00640491"/>
    <w:rsid w:val="00640F84"/>
    <w:rsid w:val="00644DA2"/>
    <w:rsid w:val="00645320"/>
    <w:rsid w:val="00646321"/>
    <w:rsid w:val="00653B04"/>
    <w:rsid w:val="006555A0"/>
    <w:rsid w:val="006574D0"/>
    <w:rsid w:val="006604B7"/>
    <w:rsid w:val="00660D0E"/>
    <w:rsid w:val="00661D57"/>
    <w:rsid w:val="00666E1A"/>
    <w:rsid w:val="006676E3"/>
    <w:rsid w:val="00673CA8"/>
    <w:rsid w:val="006742A0"/>
    <w:rsid w:val="006752B7"/>
    <w:rsid w:val="00676035"/>
    <w:rsid w:val="0067634E"/>
    <w:rsid w:val="0068106F"/>
    <w:rsid w:val="00681D66"/>
    <w:rsid w:val="00682CD5"/>
    <w:rsid w:val="00685E4C"/>
    <w:rsid w:val="0068725C"/>
    <w:rsid w:val="0069050C"/>
    <w:rsid w:val="00690B33"/>
    <w:rsid w:val="00693EA2"/>
    <w:rsid w:val="0069406F"/>
    <w:rsid w:val="006942CC"/>
    <w:rsid w:val="00697A78"/>
    <w:rsid w:val="006A09A4"/>
    <w:rsid w:val="006A20AD"/>
    <w:rsid w:val="006A21B6"/>
    <w:rsid w:val="006A5AED"/>
    <w:rsid w:val="006B0ADD"/>
    <w:rsid w:val="006B14B8"/>
    <w:rsid w:val="006B337D"/>
    <w:rsid w:val="006B6720"/>
    <w:rsid w:val="006C4D07"/>
    <w:rsid w:val="006C61C7"/>
    <w:rsid w:val="006D1893"/>
    <w:rsid w:val="006D2433"/>
    <w:rsid w:val="006E0F26"/>
    <w:rsid w:val="006E1B94"/>
    <w:rsid w:val="006E4FE6"/>
    <w:rsid w:val="006F2D83"/>
    <w:rsid w:val="006F66EE"/>
    <w:rsid w:val="006F6782"/>
    <w:rsid w:val="0070200E"/>
    <w:rsid w:val="00702740"/>
    <w:rsid w:val="00712843"/>
    <w:rsid w:val="00715875"/>
    <w:rsid w:val="007172DE"/>
    <w:rsid w:val="00722423"/>
    <w:rsid w:val="00725B63"/>
    <w:rsid w:val="007268AD"/>
    <w:rsid w:val="00730636"/>
    <w:rsid w:val="007314ED"/>
    <w:rsid w:val="00735383"/>
    <w:rsid w:val="0073626B"/>
    <w:rsid w:val="00737F40"/>
    <w:rsid w:val="00745343"/>
    <w:rsid w:val="00751E61"/>
    <w:rsid w:val="00762D45"/>
    <w:rsid w:val="0076319E"/>
    <w:rsid w:val="007631EA"/>
    <w:rsid w:val="0076656F"/>
    <w:rsid w:val="00775D4B"/>
    <w:rsid w:val="00777538"/>
    <w:rsid w:val="007825DA"/>
    <w:rsid w:val="00782DD6"/>
    <w:rsid w:val="0078366B"/>
    <w:rsid w:val="00791E6B"/>
    <w:rsid w:val="00794975"/>
    <w:rsid w:val="00794A40"/>
    <w:rsid w:val="00795AA5"/>
    <w:rsid w:val="00796026"/>
    <w:rsid w:val="007A0AC9"/>
    <w:rsid w:val="007A1FF6"/>
    <w:rsid w:val="007A7375"/>
    <w:rsid w:val="007B0DE8"/>
    <w:rsid w:val="007C07AA"/>
    <w:rsid w:val="007C17AA"/>
    <w:rsid w:val="007C20E3"/>
    <w:rsid w:val="007C265E"/>
    <w:rsid w:val="007C2A54"/>
    <w:rsid w:val="007C5760"/>
    <w:rsid w:val="007C7615"/>
    <w:rsid w:val="007D4F73"/>
    <w:rsid w:val="007D6923"/>
    <w:rsid w:val="007E2A63"/>
    <w:rsid w:val="007E78D0"/>
    <w:rsid w:val="007F0E50"/>
    <w:rsid w:val="007F19F2"/>
    <w:rsid w:val="007F2E1D"/>
    <w:rsid w:val="007F313A"/>
    <w:rsid w:val="007F7FE6"/>
    <w:rsid w:val="008055F8"/>
    <w:rsid w:val="00813FE2"/>
    <w:rsid w:val="00814E08"/>
    <w:rsid w:val="00814E8F"/>
    <w:rsid w:val="00820332"/>
    <w:rsid w:val="0082260F"/>
    <w:rsid w:val="008242AC"/>
    <w:rsid w:val="008304F4"/>
    <w:rsid w:val="0083063C"/>
    <w:rsid w:val="00830E55"/>
    <w:rsid w:val="0083469B"/>
    <w:rsid w:val="00835978"/>
    <w:rsid w:val="00837CBB"/>
    <w:rsid w:val="0084155C"/>
    <w:rsid w:val="0084425A"/>
    <w:rsid w:val="00844F85"/>
    <w:rsid w:val="00846BA4"/>
    <w:rsid w:val="008566D5"/>
    <w:rsid w:val="0086620B"/>
    <w:rsid w:val="008671EA"/>
    <w:rsid w:val="00871642"/>
    <w:rsid w:val="00871798"/>
    <w:rsid w:val="00873B24"/>
    <w:rsid w:val="00873DED"/>
    <w:rsid w:val="00874606"/>
    <w:rsid w:val="00881A16"/>
    <w:rsid w:val="008845A1"/>
    <w:rsid w:val="008847F1"/>
    <w:rsid w:val="00884ABC"/>
    <w:rsid w:val="00885B5A"/>
    <w:rsid w:val="00886331"/>
    <w:rsid w:val="00890306"/>
    <w:rsid w:val="0089412F"/>
    <w:rsid w:val="0089480E"/>
    <w:rsid w:val="0089556A"/>
    <w:rsid w:val="0089632A"/>
    <w:rsid w:val="008A2C1B"/>
    <w:rsid w:val="008A531D"/>
    <w:rsid w:val="008A76EE"/>
    <w:rsid w:val="008A7F48"/>
    <w:rsid w:val="008B063C"/>
    <w:rsid w:val="008B1897"/>
    <w:rsid w:val="008B34A3"/>
    <w:rsid w:val="008B7E2F"/>
    <w:rsid w:val="008C1958"/>
    <w:rsid w:val="008C3934"/>
    <w:rsid w:val="008D2072"/>
    <w:rsid w:val="008D380E"/>
    <w:rsid w:val="008D437E"/>
    <w:rsid w:val="008D47D0"/>
    <w:rsid w:val="008D7A95"/>
    <w:rsid w:val="008E1385"/>
    <w:rsid w:val="008E1EB3"/>
    <w:rsid w:val="008E4764"/>
    <w:rsid w:val="008E68E3"/>
    <w:rsid w:val="008F1F4C"/>
    <w:rsid w:val="008F22AA"/>
    <w:rsid w:val="008F30B4"/>
    <w:rsid w:val="008F4F0F"/>
    <w:rsid w:val="008F781A"/>
    <w:rsid w:val="00906013"/>
    <w:rsid w:val="0090677A"/>
    <w:rsid w:val="00906901"/>
    <w:rsid w:val="00913A53"/>
    <w:rsid w:val="009143BA"/>
    <w:rsid w:val="00930B4E"/>
    <w:rsid w:val="009348FA"/>
    <w:rsid w:val="00934E6F"/>
    <w:rsid w:val="009354A2"/>
    <w:rsid w:val="009364BE"/>
    <w:rsid w:val="0093656D"/>
    <w:rsid w:val="0093766D"/>
    <w:rsid w:val="0094223A"/>
    <w:rsid w:val="0095792A"/>
    <w:rsid w:val="009637C5"/>
    <w:rsid w:val="00963808"/>
    <w:rsid w:val="009653F6"/>
    <w:rsid w:val="00970CEE"/>
    <w:rsid w:val="009809D8"/>
    <w:rsid w:val="00980B1E"/>
    <w:rsid w:val="0099287A"/>
    <w:rsid w:val="00993B2F"/>
    <w:rsid w:val="00995E32"/>
    <w:rsid w:val="00996D60"/>
    <w:rsid w:val="009A1D11"/>
    <w:rsid w:val="009A1D91"/>
    <w:rsid w:val="009A2EBB"/>
    <w:rsid w:val="009A40FB"/>
    <w:rsid w:val="009A6E14"/>
    <w:rsid w:val="009B32C0"/>
    <w:rsid w:val="009B3A4D"/>
    <w:rsid w:val="009C06C3"/>
    <w:rsid w:val="009C156F"/>
    <w:rsid w:val="009C4E73"/>
    <w:rsid w:val="009C748D"/>
    <w:rsid w:val="009D551D"/>
    <w:rsid w:val="009E1639"/>
    <w:rsid w:val="009E3588"/>
    <w:rsid w:val="009E7868"/>
    <w:rsid w:val="009F069E"/>
    <w:rsid w:val="009F1FAC"/>
    <w:rsid w:val="009F3B45"/>
    <w:rsid w:val="009F46B8"/>
    <w:rsid w:val="009F5C00"/>
    <w:rsid w:val="009F7D15"/>
    <w:rsid w:val="00A00BB0"/>
    <w:rsid w:val="00A00C25"/>
    <w:rsid w:val="00A01AAC"/>
    <w:rsid w:val="00A021C3"/>
    <w:rsid w:val="00A05F01"/>
    <w:rsid w:val="00A06A2C"/>
    <w:rsid w:val="00A11268"/>
    <w:rsid w:val="00A15DBF"/>
    <w:rsid w:val="00A177B4"/>
    <w:rsid w:val="00A231A5"/>
    <w:rsid w:val="00A273F6"/>
    <w:rsid w:val="00A354A1"/>
    <w:rsid w:val="00A37485"/>
    <w:rsid w:val="00A37E48"/>
    <w:rsid w:val="00A41CC8"/>
    <w:rsid w:val="00A442AB"/>
    <w:rsid w:val="00A44BAE"/>
    <w:rsid w:val="00A469C2"/>
    <w:rsid w:val="00A62444"/>
    <w:rsid w:val="00A6327D"/>
    <w:rsid w:val="00A642A0"/>
    <w:rsid w:val="00A67935"/>
    <w:rsid w:val="00A679AC"/>
    <w:rsid w:val="00A70547"/>
    <w:rsid w:val="00A7772E"/>
    <w:rsid w:val="00A80A5C"/>
    <w:rsid w:val="00A81FB2"/>
    <w:rsid w:val="00A83EE1"/>
    <w:rsid w:val="00A878B0"/>
    <w:rsid w:val="00A9152E"/>
    <w:rsid w:val="00A94028"/>
    <w:rsid w:val="00A94973"/>
    <w:rsid w:val="00A96574"/>
    <w:rsid w:val="00AA58AD"/>
    <w:rsid w:val="00AB2805"/>
    <w:rsid w:val="00AB37BB"/>
    <w:rsid w:val="00AB4062"/>
    <w:rsid w:val="00AB5AC2"/>
    <w:rsid w:val="00AB75B1"/>
    <w:rsid w:val="00AD2B9D"/>
    <w:rsid w:val="00AD30FB"/>
    <w:rsid w:val="00AD603E"/>
    <w:rsid w:val="00AE25A8"/>
    <w:rsid w:val="00AE56CD"/>
    <w:rsid w:val="00AE778A"/>
    <w:rsid w:val="00AF03DC"/>
    <w:rsid w:val="00AF3697"/>
    <w:rsid w:val="00AF424E"/>
    <w:rsid w:val="00AF435E"/>
    <w:rsid w:val="00AF4FD6"/>
    <w:rsid w:val="00B003F4"/>
    <w:rsid w:val="00B00AEF"/>
    <w:rsid w:val="00B01070"/>
    <w:rsid w:val="00B04B29"/>
    <w:rsid w:val="00B05421"/>
    <w:rsid w:val="00B05CE4"/>
    <w:rsid w:val="00B0697A"/>
    <w:rsid w:val="00B079CB"/>
    <w:rsid w:val="00B1054E"/>
    <w:rsid w:val="00B13876"/>
    <w:rsid w:val="00B21BFD"/>
    <w:rsid w:val="00B238B8"/>
    <w:rsid w:val="00B24782"/>
    <w:rsid w:val="00B30FF3"/>
    <w:rsid w:val="00B31BA3"/>
    <w:rsid w:val="00B37202"/>
    <w:rsid w:val="00B40E59"/>
    <w:rsid w:val="00B4198D"/>
    <w:rsid w:val="00B41D23"/>
    <w:rsid w:val="00B42DED"/>
    <w:rsid w:val="00B448BA"/>
    <w:rsid w:val="00B45FFC"/>
    <w:rsid w:val="00B46ED2"/>
    <w:rsid w:val="00B47E64"/>
    <w:rsid w:val="00B503DA"/>
    <w:rsid w:val="00B5321A"/>
    <w:rsid w:val="00B54F4D"/>
    <w:rsid w:val="00B55A7A"/>
    <w:rsid w:val="00B5649E"/>
    <w:rsid w:val="00B6437C"/>
    <w:rsid w:val="00B714B8"/>
    <w:rsid w:val="00B75E3B"/>
    <w:rsid w:val="00B832E1"/>
    <w:rsid w:val="00B90773"/>
    <w:rsid w:val="00B9302B"/>
    <w:rsid w:val="00BA018E"/>
    <w:rsid w:val="00BA300D"/>
    <w:rsid w:val="00BA35D9"/>
    <w:rsid w:val="00BB256A"/>
    <w:rsid w:val="00BB4ED2"/>
    <w:rsid w:val="00BB71A5"/>
    <w:rsid w:val="00BB7AED"/>
    <w:rsid w:val="00BC22EE"/>
    <w:rsid w:val="00BC60B9"/>
    <w:rsid w:val="00BD008B"/>
    <w:rsid w:val="00BD119C"/>
    <w:rsid w:val="00BD2A6B"/>
    <w:rsid w:val="00BD3397"/>
    <w:rsid w:val="00BD3C56"/>
    <w:rsid w:val="00BD5E21"/>
    <w:rsid w:val="00BE16A6"/>
    <w:rsid w:val="00BE3860"/>
    <w:rsid w:val="00BE7D2E"/>
    <w:rsid w:val="00BF1517"/>
    <w:rsid w:val="00BF282C"/>
    <w:rsid w:val="00BF3004"/>
    <w:rsid w:val="00BF423B"/>
    <w:rsid w:val="00BF4BBE"/>
    <w:rsid w:val="00C00E50"/>
    <w:rsid w:val="00C02D09"/>
    <w:rsid w:val="00C0717D"/>
    <w:rsid w:val="00C11337"/>
    <w:rsid w:val="00C11364"/>
    <w:rsid w:val="00C1520D"/>
    <w:rsid w:val="00C158FB"/>
    <w:rsid w:val="00C261AD"/>
    <w:rsid w:val="00C26F67"/>
    <w:rsid w:val="00C271A4"/>
    <w:rsid w:val="00C278B8"/>
    <w:rsid w:val="00C27FAA"/>
    <w:rsid w:val="00C30A3E"/>
    <w:rsid w:val="00C3341A"/>
    <w:rsid w:val="00C35187"/>
    <w:rsid w:val="00C35AD9"/>
    <w:rsid w:val="00C431C5"/>
    <w:rsid w:val="00C43442"/>
    <w:rsid w:val="00C4433B"/>
    <w:rsid w:val="00C4629A"/>
    <w:rsid w:val="00C46933"/>
    <w:rsid w:val="00C565DD"/>
    <w:rsid w:val="00C56D51"/>
    <w:rsid w:val="00C57264"/>
    <w:rsid w:val="00C64A4A"/>
    <w:rsid w:val="00C70F76"/>
    <w:rsid w:val="00C819DE"/>
    <w:rsid w:val="00C836E5"/>
    <w:rsid w:val="00C86D83"/>
    <w:rsid w:val="00C8777B"/>
    <w:rsid w:val="00C900AF"/>
    <w:rsid w:val="00C926C1"/>
    <w:rsid w:val="00C92ACA"/>
    <w:rsid w:val="00C94B61"/>
    <w:rsid w:val="00CA1C34"/>
    <w:rsid w:val="00CA7F1E"/>
    <w:rsid w:val="00CB012E"/>
    <w:rsid w:val="00CB19E2"/>
    <w:rsid w:val="00CC1ABF"/>
    <w:rsid w:val="00CC431B"/>
    <w:rsid w:val="00CC4375"/>
    <w:rsid w:val="00CC7866"/>
    <w:rsid w:val="00CD2869"/>
    <w:rsid w:val="00CD3F59"/>
    <w:rsid w:val="00CD4EFA"/>
    <w:rsid w:val="00CD52DF"/>
    <w:rsid w:val="00CE1CFE"/>
    <w:rsid w:val="00CE224B"/>
    <w:rsid w:val="00CE3F4A"/>
    <w:rsid w:val="00CE545F"/>
    <w:rsid w:val="00CF1339"/>
    <w:rsid w:val="00CF3E70"/>
    <w:rsid w:val="00D004A6"/>
    <w:rsid w:val="00D01CB2"/>
    <w:rsid w:val="00D02657"/>
    <w:rsid w:val="00D06F02"/>
    <w:rsid w:val="00D1253B"/>
    <w:rsid w:val="00D14686"/>
    <w:rsid w:val="00D1654F"/>
    <w:rsid w:val="00D167F8"/>
    <w:rsid w:val="00D1710E"/>
    <w:rsid w:val="00D2612D"/>
    <w:rsid w:val="00D27773"/>
    <w:rsid w:val="00D31BFA"/>
    <w:rsid w:val="00D32874"/>
    <w:rsid w:val="00D32EF0"/>
    <w:rsid w:val="00D3556C"/>
    <w:rsid w:val="00D37788"/>
    <w:rsid w:val="00D527E5"/>
    <w:rsid w:val="00D54129"/>
    <w:rsid w:val="00D57645"/>
    <w:rsid w:val="00D614B7"/>
    <w:rsid w:val="00D62461"/>
    <w:rsid w:val="00D664D1"/>
    <w:rsid w:val="00D671C1"/>
    <w:rsid w:val="00D71C70"/>
    <w:rsid w:val="00D73D42"/>
    <w:rsid w:val="00D8091C"/>
    <w:rsid w:val="00D819EA"/>
    <w:rsid w:val="00D81B09"/>
    <w:rsid w:val="00D822FE"/>
    <w:rsid w:val="00D840E1"/>
    <w:rsid w:val="00D84783"/>
    <w:rsid w:val="00D8481C"/>
    <w:rsid w:val="00DA3D5A"/>
    <w:rsid w:val="00DA7F22"/>
    <w:rsid w:val="00DB3228"/>
    <w:rsid w:val="00DB4CA9"/>
    <w:rsid w:val="00DB6510"/>
    <w:rsid w:val="00DC1512"/>
    <w:rsid w:val="00DC1C61"/>
    <w:rsid w:val="00DC22E0"/>
    <w:rsid w:val="00DC250C"/>
    <w:rsid w:val="00DD1919"/>
    <w:rsid w:val="00DD4670"/>
    <w:rsid w:val="00DE1680"/>
    <w:rsid w:val="00DF157C"/>
    <w:rsid w:val="00DF728E"/>
    <w:rsid w:val="00E00B90"/>
    <w:rsid w:val="00E01426"/>
    <w:rsid w:val="00E03B55"/>
    <w:rsid w:val="00E11237"/>
    <w:rsid w:val="00E13C1B"/>
    <w:rsid w:val="00E158DE"/>
    <w:rsid w:val="00E168C4"/>
    <w:rsid w:val="00E169EA"/>
    <w:rsid w:val="00E16DCB"/>
    <w:rsid w:val="00E20F8A"/>
    <w:rsid w:val="00E2244B"/>
    <w:rsid w:val="00E22F1A"/>
    <w:rsid w:val="00E256F6"/>
    <w:rsid w:val="00E27A99"/>
    <w:rsid w:val="00E30AC5"/>
    <w:rsid w:val="00E31CC0"/>
    <w:rsid w:val="00E35781"/>
    <w:rsid w:val="00E35B59"/>
    <w:rsid w:val="00E37492"/>
    <w:rsid w:val="00E47F57"/>
    <w:rsid w:val="00E50B19"/>
    <w:rsid w:val="00E51E17"/>
    <w:rsid w:val="00E520B9"/>
    <w:rsid w:val="00E53013"/>
    <w:rsid w:val="00E5317D"/>
    <w:rsid w:val="00E53639"/>
    <w:rsid w:val="00E55442"/>
    <w:rsid w:val="00E565E1"/>
    <w:rsid w:val="00E624E7"/>
    <w:rsid w:val="00E6281A"/>
    <w:rsid w:val="00E6499D"/>
    <w:rsid w:val="00E67958"/>
    <w:rsid w:val="00E67C44"/>
    <w:rsid w:val="00E71793"/>
    <w:rsid w:val="00E71F91"/>
    <w:rsid w:val="00E74682"/>
    <w:rsid w:val="00E77E82"/>
    <w:rsid w:val="00EA08D3"/>
    <w:rsid w:val="00EB207B"/>
    <w:rsid w:val="00EB55C1"/>
    <w:rsid w:val="00EB5828"/>
    <w:rsid w:val="00EB776C"/>
    <w:rsid w:val="00EC04C3"/>
    <w:rsid w:val="00EC102A"/>
    <w:rsid w:val="00EC15BF"/>
    <w:rsid w:val="00EC226F"/>
    <w:rsid w:val="00EC22D7"/>
    <w:rsid w:val="00EC5E7D"/>
    <w:rsid w:val="00EC618F"/>
    <w:rsid w:val="00EC671E"/>
    <w:rsid w:val="00ED0EE8"/>
    <w:rsid w:val="00ED213B"/>
    <w:rsid w:val="00ED2BB9"/>
    <w:rsid w:val="00ED63ED"/>
    <w:rsid w:val="00EE1DD7"/>
    <w:rsid w:val="00EE374D"/>
    <w:rsid w:val="00EE53A8"/>
    <w:rsid w:val="00EF2A00"/>
    <w:rsid w:val="00EF2B96"/>
    <w:rsid w:val="00EF4F7D"/>
    <w:rsid w:val="00EF6668"/>
    <w:rsid w:val="00EF6B84"/>
    <w:rsid w:val="00EF7737"/>
    <w:rsid w:val="00F038E9"/>
    <w:rsid w:val="00F061F1"/>
    <w:rsid w:val="00F06601"/>
    <w:rsid w:val="00F06969"/>
    <w:rsid w:val="00F07F6D"/>
    <w:rsid w:val="00F11574"/>
    <w:rsid w:val="00F116F2"/>
    <w:rsid w:val="00F1170B"/>
    <w:rsid w:val="00F11F0D"/>
    <w:rsid w:val="00F12AEB"/>
    <w:rsid w:val="00F14F46"/>
    <w:rsid w:val="00F2384E"/>
    <w:rsid w:val="00F2549B"/>
    <w:rsid w:val="00F2652F"/>
    <w:rsid w:val="00F27ABA"/>
    <w:rsid w:val="00F424EE"/>
    <w:rsid w:val="00F44750"/>
    <w:rsid w:val="00F453DE"/>
    <w:rsid w:val="00F5104A"/>
    <w:rsid w:val="00F51AF8"/>
    <w:rsid w:val="00F52478"/>
    <w:rsid w:val="00F5545A"/>
    <w:rsid w:val="00F57300"/>
    <w:rsid w:val="00F57DA5"/>
    <w:rsid w:val="00F6346D"/>
    <w:rsid w:val="00F63659"/>
    <w:rsid w:val="00F6696F"/>
    <w:rsid w:val="00F67CD2"/>
    <w:rsid w:val="00F70B15"/>
    <w:rsid w:val="00F81867"/>
    <w:rsid w:val="00F81AAC"/>
    <w:rsid w:val="00F83CD6"/>
    <w:rsid w:val="00F846FF"/>
    <w:rsid w:val="00F85454"/>
    <w:rsid w:val="00F85673"/>
    <w:rsid w:val="00F85F11"/>
    <w:rsid w:val="00F86D70"/>
    <w:rsid w:val="00F86EB5"/>
    <w:rsid w:val="00F923B0"/>
    <w:rsid w:val="00F9513F"/>
    <w:rsid w:val="00F967E4"/>
    <w:rsid w:val="00FA1744"/>
    <w:rsid w:val="00FA3093"/>
    <w:rsid w:val="00FA317B"/>
    <w:rsid w:val="00FA3DC5"/>
    <w:rsid w:val="00FA459C"/>
    <w:rsid w:val="00FB0463"/>
    <w:rsid w:val="00FB3AF6"/>
    <w:rsid w:val="00FB4BEC"/>
    <w:rsid w:val="00FB4C98"/>
    <w:rsid w:val="00FB5007"/>
    <w:rsid w:val="00FB54DB"/>
    <w:rsid w:val="00FB68CB"/>
    <w:rsid w:val="00FC07A9"/>
    <w:rsid w:val="00FC2230"/>
    <w:rsid w:val="00FC3295"/>
    <w:rsid w:val="00FD185A"/>
    <w:rsid w:val="00FD771E"/>
    <w:rsid w:val="00FD7C8A"/>
    <w:rsid w:val="00FE0549"/>
    <w:rsid w:val="00FE0823"/>
    <w:rsid w:val="00FE14B1"/>
    <w:rsid w:val="00FE1582"/>
    <w:rsid w:val="00FF0E9E"/>
    <w:rsid w:val="00FF4683"/>
    <w:rsid w:val="00FF5F60"/>
    <w:rsid w:val="094C498D"/>
    <w:rsid w:val="248B71C8"/>
    <w:rsid w:val="2A8133E9"/>
    <w:rsid w:val="41926BF9"/>
    <w:rsid w:val="57D66ADE"/>
    <w:rsid w:val="5E210C5E"/>
    <w:rsid w:val="72CC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240" w:after="240"/>
      <w:jc w:val="left"/>
      <w:outlineLvl w:val="0"/>
    </w:pPr>
    <w:rPr>
      <w:rFonts w:ascii="黑体" w:hAnsi="黑体" w:eastAsia="黑体"/>
      <w:bCs/>
      <w:kern w:val="44"/>
      <w:szCs w:val="44"/>
    </w:rPr>
  </w:style>
  <w:style w:type="paragraph" w:styleId="3">
    <w:name w:val="heading 2"/>
    <w:basedOn w:val="1"/>
    <w:next w:val="1"/>
    <w:link w:val="53"/>
    <w:unhideWhenUsed/>
    <w:qFormat/>
    <w:uiPriority w:val="9"/>
    <w:pPr>
      <w:keepNext/>
      <w:keepLines/>
      <w:spacing w:before="120" w:after="120"/>
      <w:jc w:val="left"/>
      <w:outlineLvl w:val="1"/>
    </w:pPr>
    <w:rPr>
      <w:rFonts w:ascii="黑体" w:hAnsi="黑体" w:eastAsia="黑体" w:cstheme="majorBidi"/>
      <w:bCs/>
      <w:szCs w:val="32"/>
    </w:rPr>
  </w:style>
  <w:style w:type="paragraph" w:styleId="4">
    <w:name w:val="heading 3"/>
    <w:basedOn w:val="1"/>
    <w:next w:val="1"/>
    <w:link w:val="54"/>
    <w:unhideWhenUsed/>
    <w:qFormat/>
    <w:uiPriority w:val="9"/>
    <w:pPr>
      <w:keepNext/>
      <w:keepLines/>
      <w:spacing w:before="120" w:after="120"/>
      <w:jc w:val="left"/>
      <w:outlineLvl w:val="2"/>
    </w:pPr>
    <w:rPr>
      <w:rFonts w:ascii="黑体" w:hAnsi="黑体" w:eastAsia="黑体"/>
      <w:bCs/>
      <w:szCs w:val="32"/>
    </w:rPr>
  </w:style>
  <w:style w:type="paragraph" w:styleId="5">
    <w:name w:val="heading 4"/>
    <w:basedOn w:val="1"/>
    <w:next w:val="1"/>
    <w:link w:val="59"/>
    <w:unhideWhenUsed/>
    <w:qFormat/>
    <w:uiPriority w:val="9"/>
    <w:pPr>
      <w:keepNext/>
      <w:keepLines/>
      <w:spacing w:before="120" w:after="120"/>
      <w:jc w:val="left"/>
      <w:outlineLvl w:val="3"/>
    </w:pPr>
    <w:rPr>
      <w:rFonts w:ascii="黑体" w:hAnsi="黑体" w:eastAsia="黑体" w:cstheme="majorBidi"/>
      <w:bCs/>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48"/>
    <w:qFormat/>
    <w:uiPriority w:val="99"/>
    <w:pPr>
      <w:spacing w:line="300" w:lineRule="auto"/>
      <w:ind w:firstLine="425"/>
      <w:jc w:val="left"/>
    </w:pPr>
    <w:rPr>
      <w:rFonts w:ascii="Times New Roman" w:hAnsi="Times New Roman" w:eastAsia="宋体" w:cs="Times New Roman"/>
      <w:kern w:val="0"/>
      <w:szCs w:val="20"/>
    </w:rPr>
  </w:style>
  <w:style w:type="paragraph" w:styleId="7">
    <w:name w:val="Date"/>
    <w:basedOn w:val="1"/>
    <w:next w:val="1"/>
    <w:link w:val="51"/>
    <w:semiHidden/>
    <w:unhideWhenUsed/>
    <w:qFormat/>
    <w:uiPriority w:val="99"/>
    <w:pPr>
      <w:ind w:left="100" w:leftChars="2500"/>
    </w:pPr>
  </w:style>
  <w:style w:type="paragraph" w:styleId="8">
    <w:name w:val="Balloon Text"/>
    <w:basedOn w:val="1"/>
    <w:link w:val="4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Calibri" w:hAnsi="Calibri" w:eastAsia="宋体" w:cs="Times New Roman"/>
    </w:rPr>
  </w:style>
  <w:style w:type="paragraph" w:styleId="12">
    <w:name w:val="toc 2"/>
    <w:basedOn w:val="1"/>
    <w:next w:val="1"/>
    <w:unhideWhenUsed/>
    <w:qFormat/>
    <w:uiPriority w:val="39"/>
    <w:pPr>
      <w:ind w:left="420" w:leftChars="200"/>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62"/>
    <w:semiHidden/>
    <w:unhideWhenUsed/>
    <w:uiPriority w:val="99"/>
    <w:pPr>
      <w:spacing w:line="240" w:lineRule="auto"/>
      <w:ind w:firstLine="0"/>
    </w:pPr>
    <w:rPr>
      <w:rFonts w:asciiTheme="minorHAnsi" w:hAnsiTheme="minorHAnsi" w:eastAsiaTheme="minorEastAsia" w:cstheme="minorBidi"/>
      <w:b/>
      <w:bCs/>
      <w:kern w:val="2"/>
      <w:szCs w:val="22"/>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sz w:val="18"/>
    </w:rPr>
  </w:style>
  <w:style w:type="character" w:styleId="19">
    <w:name w:val="Hyperlink"/>
    <w:qFormat/>
    <w:uiPriority w:val="99"/>
    <w:rPr>
      <w:color w:val="0000FF"/>
      <w:spacing w:val="0"/>
      <w:w w:val="100"/>
      <w:szCs w:val="21"/>
      <w:u w:val="single"/>
    </w:rPr>
  </w:style>
  <w:style w:type="character" w:styleId="20">
    <w:name w:val="annotation reference"/>
    <w:qFormat/>
    <w:uiPriority w:val="99"/>
    <w:rPr>
      <w:sz w:val="21"/>
    </w:rPr>
  </w:style>
  <w:style w:type="paragraph" w:customStyle="1" w:styleId="21">
    <w:name w:val="段"/>
    <w:link w:val="2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段 Char"/>
    <w:link w:val="21"/>
    <w:qFormat/>
    <w:uiPriority w:val="99"/>
    <w:rPr>
      <w:rFonts w:ascii="宋体" w:hAnsi="Times New Roman" w:eastAsia="宋体" w:cs="Times New Roman"/>
      <w:kern w:val="0"/>
      <w:szCs w:val="20"/>
    </w:rPr>
  </w:style>
  <w:style w:type="paragraph" w:customStyle="1" w:styleId="23">
    <w:name w:val="1"/>
    <w:basedOn w:val="1"/>
    <w:next w:val="1"/>
    <w:qFormat/>
    <w:uiPriority w:val="39"/>
    <w:pPr>
      <w:tabs>
        <w:tab w:val="right" w:leader="dot" w:pos="9241"/>
      </w:tabs>
    </w:pPr>
    <w:rPr>
      <w:rFonts w:ascii="宋体" w:hAnsi="Times New Roman" w:eastAsia="宋体" w:cs="Times New Roman"/>
      <w:szCs w:val="21"/>
    </w:rPr>
  </w:style>
  <w:style w:type="paragraph" w:styleId="24">
    <w:name w:val="List Paragraph"/>
    <w:basedOn w:val="1"/>
    <w:qFormat/>
    <w:uiPriority w:val="34"/>
    <w:pPr>
      <w:ind w:firstLine="420" w:firstLineChars="200"/>
    </w:pPr>
  </w:style>
  <w:style w:type="paragraph" w:customStyle="1" w:styleId="25">
    <w:name w:val="一级条标题"/>
    <w:next w:val="21"/>
    <w:link w:val="50"/>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章标题"/>
    <w:next w:val="2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basedOn w:val="25"/>
    <w:next w:val="21"/>
    <w:qFormat/>
    <w:uiPriority w:val="99"/>
    <w:pPr>
      <w:numPr>
        <w:ilvl w:val="2"/>
      </w:numPr>
      <w:spacing w:before="50" w:after="50"/>
      <w:outlineLvl w:val="3"/>
    </w:pPr>
  </w:style>
  <w:style w:type="paragraph" w:customStyle="1" w:styleId="28">
    <w:name w:val="四级条标题"/>
    <w:basedOn w:val="1"/>
    <w:next w:val="21"/>
    <w:qFormat/>
    <w:uiPriority w:val="99"/>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9">
    <w:name w:val="五级条标题"/>
    <w:basedOn w:val="28"/>
    <w:next w:val="21"/>
    <w:qFormat/>
    <w:uiPriority w:val="99"/>
    <w:pPr>
      <w:numPr>
        <w:ilvl w:val="5"/>
      </w:numPr>
      <w:outlineLvl w:val="6"/>
    </w:pPr>
  </w:style>
  <w:style w:type="character" w:customStyle="1" w:styleId="30">
    <w:name w:val="页眉 字符"/>
    <w:basedOn w:val="17"/>
    <w:link w:val="10"/>
    <w:qFormat/>
    <w:uiPriority w:val="99"/>
    <w:rPr>
      <w:sz w:val="18"/>
      <w:szCs w:val="18"/>
    </w:rPr>
  </w:style>
  <w:style w:type="character" w:customStyle="1" w:styleId="31">
    <w:name w:val="页脚 字符"/>
    <w:basedOn w:val="17"/>
    <w:link w:val="9"/>
    <w:qFormat/>
    <w:uiPriority w:val="99"/>
    <w:rPr>
      <w:sz w:val="18"/>
      <w:szCs w:val="18"/>
    </w:rPr>
  </w:style>
  <w:style w:type="paragraph" w:customStyle="1" w:styleId="3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3">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34">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35">
    <w:name w:val="发布"/>
    <w:qFormat/>
    <w:uiPriority w:val="0"/>
    <w:rPr>
      <w:rFonts w:ascii="黑体" w:eastAsia="黑体"/>
      <w:spacing w:val="22"/>
      <w:w w:val="100"/>
      <w:position w:val="3"/>
      <w:sz w:val="28"/>
    </w:rPr>
  </w:style>
  <w:style w:type="paragraph" w:customStyle="1" w:styleId="36">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spacing w:val="20"/>
      <w:w w:val="148"/>
      <w:sz w:val="52"/>
      <w:lang w:val="en-US" w:eastAsia="zh-CN" w:bidi="ar-SA"/>
    </w:rPr>
  </w:style>
  <w:style w:type="paragraph" w:customStyle="1" w:styleId="37">
    <w:name w:val="封面标准名"/>
    <w:next w:val="1"/>
    <w:qFormat/>
    <w:uiPriority w:val="0"/>
    <w:pPr>
      <w:ind w:right="-113"/>
      <w:jc w:val="center"/>
      <w:outlineLvl w:val="0"/>
    </w:pPr>
    <w:rPr>
      <w:rFonts w:ascii="黑体" w:hAnsi="Times New Roman" w:eastAsia="黑体" w:cs="Times New Roman"/>
      <w:sz w:val="52"/>
      <w:lang w:val="en-US" w:eastAsia="zh-CN" w:bidi="ar-SA"/>
    </w:rPr>
  </w:style>
  <w:style w:type="paragraph" w:customStyle="1" w:styleId="38">
    <w:name w:val="封面标准头"/>
    <w:next w:val="1"/>
    <w:qFormat/>
    <w:uiPriority w:val="0"/>
    <w:pPr>
      <w:ind w:left="113" w:right="-284"/>
      <w:jc w:val="center"/>
    </w:pPr>
    <w:rPr>
      <w:rFonts w:ascii="黑体" w:hAnsi="Times New Roman" w:eastAsia="黑体" w:cs="Times New Roman"/>
      <w:spacing w:val="40"/>
      <w:position w:val="-8"/>
      <w:sz w:val="52"/>
      <w:lang w:val="en-US" w:eastAsia="zh-CN" w:bidi="ar-SA"/>
    </w:rPr>
  </w:style>
  <w:style w:type="paragraph" w:customStyle="1" w:styleId="39">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45">
    <w:name w:val="发布部门"/>
    <w:next w:val="2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47">
    <w:name w:val="标题 1 字符"/>
    <w:basedOn w:val="17"/>
    <w:link w:val="2"/>
    <w:qFormat/>
    <w:uiPriority w:val="9"/>
    <w:rPr>
      <w:rFonts w:ascii="黑体" w:hAnsi="黑体" w:eastAsia="黑体"/>
      <w:bCs/>
      <w:kern w:val="44"/>
      <w:szCs w:val="44"/>
    </w:rPr>
  </w:style>
  <w:style w:type="character" w:customStyle="1" w:styleId="48">
    <w:name w:val="批注文字 字符"/>
    <w:basedOn w:val="17"/>
    <w:link w:val="6"/>
    <w:qFormat/>
    <w:uiPriority w:val="99"/>
    <w:rPr>
      <w:rFonts w:ascii="Times New Roman" w:hAnsi="Times New Roman" w:eastAsia="宋体" w:cs="Times New Roman"/>
      <w:kern w:val="0"/>
      <w:szCs w:val="20"/>
    </w:rPr>
  </w:style>
  <w:style w:type="character" w:customStyle="1" w:styleId="49">
    <w:name w:val="批注框文本 字符"/>
    <w:basedOn w:val="17"/>
    <w:link w:val="8"/>
    <w:semiHidden/>
    <w:qFormat/>
    <w:uiPriority w:val="99"/>
    <w:rPr>
      <w:sz w:val="18"/>
      <w:szCs w:val="18"/>
    </w:rPr>
  </w:style>
  <w:style w:type="character" w:customStyle="1" w:styleId="50">
    <w:name w:val="一级条标题 Char"/>
    <w:link w:val="25"/>
    <w:qFormat/>
    <w:locked/>
    <w:uiPriority w:val="99"/>
    <w:rPr>
      <w:rFonts w:ascii="黑体" w:hAnsi="Times New Roman" w:eastAsia="黑体" w:cs="Times New Roman"/>
      <w:kern w:val="0"/>
      <w:szCs w:val="21"/>
    </w:rPr>
  </w:style>
  <w:style w:type="character" w:customStyle="1" w:styleId="51">
    <w:name w:val="日期 字符"/>
    <w:basedOn w:val="17"/>
    <w:link w:val="7"/>
    <w:semiHidden/>
    <w:qFormat/>
    <w:uiPriority w:val="99"/>
  </w:style>
  <w:style w:type="paragraph" w:customStyle="1" w:styleId="52">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53">
    <w:name w:val="标题 2 字符"/>
    <w:basedOn w:val="17"/>
    <w:link w:val="3"/>
    <w:qFormat/>
    <w:uiPriority w:val="9"/>
    <w:rPr>
      <w:rFonts w:ascii="黑体" w:hAnsi="黑体" w:eastAsia="黑体" w:cstheme="majorBidi"/>
      <w:bCs/>
      <w:szCs w:val="32"/>
    </w:rPr>
  </w:style>
  <w:style w:type="character" w:customStyle="1" w:styleId="54">
    <w:name w:val="标题 3 字符"/>
    <w:basedOn w:val="17"/>
    <w:link w:val="4"/>
    <w:qFormat/>
    <w:uiPriority w:val="9"/>
    <w:rPr>
      <w:rFonts w:ascii="黑体" w:hAnsi="黑体" w:eastAsia="黑体"/>
      <w:bCs/>
      <w:szCs w:val="32"/>
    </w:rPr>
  </w:style>
  <w:style w:type="paragraph" w:customStyle="1" w:styleId="55">
    <w:name w:val="P46"/>
    <w:basedOn w:val="42"/>
    <w:qFormat/>
    <w:uiPriority w:val="0"/>
    <w:pPr>
      <w:kinsoku/>
      <w:overflowPunct/>
      <w:autoSpaceDE/>
      <w:autoSpaceDN/>
      <w:spacing w:before="307" w:line="0" w:lineRule="atLeast"/>
    </w:pPr>
    <w:rPr>
      <w:rFonts w:cs="Calibri"/>
    </w:rPr>
  </w:style>
  <w:style w:type="paragraph" w:customStyle="1" w:styleId="56">
    <w:name w:val="P42"/>
    <w:basedOn w:val="46"/>
    <w:qFormat/>
    <w:uiPriority w:val="0"/>
    <w:pPr>
      <w:framePr w:w="0" w:hRule="auto" w:hSpace="0" w:vSpace="0" w:wrap="auto" w:hAnchor="text" w:yAlign="inline" w:anchorLock="0"/>
      <w:spacing w:line="359" w:lineRule="exact"/>
      <w:jc w:val="both"/>
    </w:pPr>
    <w:rPr>
      <w:rFonts w:cs="Calibri"/>
    </w:rPr>
  </w:style>
  <w:style w:type="paragraph" w:customStyle="1" w:styleId="57">
    <w:name w:val="P43"/>
    <w:basedOn w:val="46"/>
    <w:qFormat/>
    <w:uiPriority w:val="0"/>
    <w:pPr>
      <w:framePr w:w="0" w:hRule="auto" w:hSpace="0" w:vSpace="0" w:wrap="auto" w:hAnchor="text" w:yAlign="inline" w:anchorLock="0"/>
      <w:spacing w:line="359" w:lineRule="exact"/>
      <w:jc w:val="both"/>
    </w:pPr>
    <w:rPr>
      <w:rFonts w:ascii="黑体" w:hAnsi="黑体" w:cs="Calibri"/>
      <w:sz w:val="32"/>
    </w:rPr>
  </w:style>
  <w:style w:type="paragraph" w:customStyle="1" w:styleId="58">
    <w:name w:val="P3"/>
    <w:basedOn w:val="1"/>
    <w:qFormat/>
    <w:uiPriority w:val="0"/>
    <w:rPr>
      <w:rFonts w:ascii="黑体" w:hAnsi="黑体" w:eastAsia="黑体" w:cs="Calibri"/>
      <w:kern w:val="0"/>
      <w:sz w:val="28"/>
      <w:szCs w:val="20"/>
    </w:rPr>
  </w:style>
  <w:style w:type="character" w:customStyle="1" w:styleId="59">
    <w:name w:val="标题 4 字符"/>
    <w:basedOn w:val="17"/>
    <w:link w:val="5"/>
    <w:qFormat/>
    <w:uiPriority w:val="9"/>
    <w:rPr>
      <w:rFonts w:ascii="黑体" w:hAnsi="黑体" w:eastAsia="黑体" w:cstheme="majorBidi"/>
      <w:bCs/>
      <w:szCs w:val="28"/>
    </w:rPr>
  </w:style>
  <w:style w:type="paragraph" w:customStyle="1" w:styleId="60">
    <w:name w:val="三级条标题"/>
    <w:basedOn w:val="27"/>
    <w:next w:val="21"/>
    <w:qFormat/>
    <w:uiPriority w:val="99"/>
    <w:pPr>
      <w:numPr>
        <w:ilvl w:val="0"/>
        <w:numId w:val="0"/>
      </w:numPr>
      <w:spacing w:before="0" w:beforeLines="0" w:after="0" w:afterLines="0"/>
      <w:jc w:val="both"/>
      <w:outlineLvl w:val="4"/>
    </w:pPr>
  </w:style>
  <w:style w:type="paragraph" w:customStyle="1" w:styleId="61">
    <w:name w:val="一级无"/>
    <w:basedOn w:val="25"/>
    <w:uiPriority w:val="99"/>
    <w:pPr>
      <w:numPr>
        <w:ilvl w:val="0"/>
        <w:numId w:val="0"/>
      </w:numPr>
      <w:spacing w:beforeLines="0" w:afterLines="0"/>
    </w:pPr>
    <w:rPr>
      <w:rFonts w:ascii="宋体" w:eastAsia="宋体" w:cs="宋体"/>
    </w:rPr>
  </w:style>
  <w:style w:type="character" w:customStyle="1" w:styleId="62">
    <w:name w:val="批注主题 字符"/>
    <w:basedOn w:val="48"/>
    <w:link w:val="14"/>
    <w:semiHidden/>
    <w:uiPriority w:val="99"/>
    <w:rPr>
      <w:rFonts w:asciiTheme="minorHAnsi" w:hAnsiTheme="minorHAnsi" w:eastAsiaTheme="minorEastAsia" w:cstheme="minorBidi"/>
      <w:b/>
      <w:bCs/>
      <w:kern w:val="2"/>
      <w:sz w:val="21"/>
      <w:szCs w:val="22"/>
    </w:rPr>
  </w:style>
  <w:style w:type="paragraph" w:customStyle="1" w:styleId="63">
    <w:name w:val="Revision"/>
    <w:hidden/>
    <w:semiHidden/>
    <w:uiPriority w:val="99"/>
    <w:rPr>
      <w:rFonts w:asciiTheme="minorHAnsi" w:hAnsiTheme="minorHAnsi" w:eastAsiaTheme="minorEastAsia" w:cstheme="minorBidi"/>
      <w:kern w:val="2"/>
      <w:sz w:val="21"/>
      <w:szCs w:val="22"/>
      <w:lang w:val="en-US" w:eastAsia="zh-CN" w:bidi="ar-SA"/>
    </w:rPr>
  </w:style>
  <w:style w:type="character" w:styleId="64">
    <w:name w:val="Placeholder Text"/>
    <w:basedOn w:val="1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51168-B2A8-44E4-B457-F7DF2EE77F9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3867</Words>
  <Characters>4735</Characters>
  <Lines>40</Lines>
  <Paragraphs>11</Paragraphs>
  <TotalTime>39</TotalTime>
  <ScaleCrop>false</ScaleCrop>
  <LinksUpToDate>false</LinksUpToDate>
  <CharactersWithSpaces>4949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2023-02-16T10:42:00Z</dcterms:created>
  <dc:creator>wang lake</dc:creator>
  <cp:lastModifiedBy>fyw混世虫</cp:lastModifiedBy>
  <cp:lastPrinted>2021-12-10T05:11:00Z</cp:lastPrinted>
  <dcterms:modified xsi:type="dcterms:W3CDTF">2023-02-21T02:58:26Z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FF229B44DEFE4F5D8E1169F72B4ACC93</vt:lpwstr>
  </property>
</Properties>
</file>