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360" w:lineRule="auto"/>
        <w:jc w:val="center"/>
        <w:textAlignment w:val="baseline"/>
        <w:rPr>
          <w:rStyle w:val="8"/>
          <w:rFonts w:ascii="黑体" w:hAnsi="黑体" w:eastAsia="黑体"/>
          <w:b w:val="0"/>
          <w:i w:val="0"/>
          <w:caps w:val="0"/>
          <w:spacing w:val="0"/>
          <w:w w:val="100"/>
          <w:sz w:val="32"/>
          <w:szCs w:val="32"/>
          <w:lang w:val="en-US" w:eastAsia="zh-CN" w:bidi="ar-SA"/>
        </w:rPr>
      </w:pPr>
      <w:r>
        <w:rPr>
          <w:rStyle w:val="8"/>
          <w:rFonts w:ascii="黑体" w:hAnsi="黑体" w:eastAsia="黑体" w:cs="Times New Roman"/>
          <w:b/>
          <w:bCs/>
          <w:i w:val="0"/>
          <w:caps w:val="0"/>
          <w:spacing w:val="0"/>
          <w:w w:val="100"/>
          <w:sz w:val="32"/>
          <w:szCs w:val="32"/>
          <w:lang w:val="en-US" w:eastAsia="zh-CN" w:bidi="ar-SA"/>
        </w:rPr>
        <w:t>《麦饭石紫陶器皿》行业标准编制说明</w:t>
      </w:r>
    </w:p>
    <w:p>
      <w:pPr>
        <w:snapToGrid w:val="0"/>
        <w:spacing w:before="0" w:beforeAutospacing="0" w:after="0" w:afterAutospacing="0" w:line="360" w:lineRule="auto"/>
        <w:jc w:val="center"/>
        <w:textAlignment w:val="baseline"/>
        <w:rPr>
          <w:rStyle w:val="8"/>
          <w:rFonts w:ascii="Times New Roman" w:eastAsia="宋体"/>
          <w:b w:val="0"/>
          <w:i w:val="0"/>
          <w:caps w:val="0"/>
          <w:spacing w:val="0"/>
          <w:w w:val="100"/>
          <w:sz w:val="28"/>
          <w:szCs w:val="28"/>
          <w:lang w:val="en-US" w:eastAsia="zh-CN" w:bidi="ar-SA"/>
        </w:rPr>
      </w:pPr>
      <w:r>
        <w:rPr>
          <w:rStyle w:val="8"/>
          <w:rFonts w:ascii="Times New Roman" w:eastAsia="宋体"/>
          <w:b w:val="0"/>
          <w:i w:val="0"/>
          <w:caps w:val="0"/>
          <w:spacing w:val="0"/>
          <w:w w:val="100"/>
          <w:sz w:val="28"/>
          <w:szCs w:val="28"/>
          <w:lang w:val="en-US" w:eastAsia="zh-CN" w:bidi="ar-SA"/>
        </w:rPr>
        <w:t>（征求意见稿）</w:t>
      </w:r>
    </w:p>
    <w:p>
      <w:pPr>
        <w:snapToGrid/>
        <w:spacing w:before="408" w:beforeAutospacing="1" w:after="408" w:afterAutospacing="1" w:line="240" w:lineRule="auto"/>
        <w:jc w:val="both"/>
        <w:textAlignment w:val="baseline"/>
        <w:rPr>
          <w:rStyle w:val="8"/>
          <w:rFonts w:ascii="黑体" w:hAnsi="黑体" w:eastAsia="黑体"/>
          <w:b/>
          <w:i w:val="0"/>
          <w:caps w:val="0"/>
          <w:spacing w:val="0"/>
          <w:w w:val="100"/>
          <w:kern w:val="2"/>
          <w:sz w:val="28"/>
          <w:szCs w:val="28"/>
          <w:lang w:val="en-US" w:eastAsia="zh-CN" w:bidi="ar-SA"/>
        </w:rPr>
      </w:pPr>
      <w:r>
        <w:rPr>
          <w:rStyle w:val="8"/>
          <w:rFonts w:ascii="黑体" w:hAnsi="黑体" w:eastAsia="黑体"/>
          <w:b/>
          <w:i w:val="0"/>
          <w:caps w:val="0"/>
          <w:spacing w:val="0"/>
          <w:w w:val="100"/>
          <w:kern w:val="2"/>
          <w:sz w:val="28"/>
          <w:szCs w:val="28"/>
          <w:lang w:val="en-US" w:eastAsia="zh-CN" w:bidi="ar-SA"/>
        </w:rPr>
        <w:t>一、工作简况</w:t>
      </w:r>
    </w:p>
    <w:p>
      <w:pPr>
        <w:snapToGrid/>
        <w:spacing w:before="408" w:beforeAutospacing="1" w:after="408" w:afterAutospacing="1" w:line="240" w:lineRule="auto"/>
        <w:jc w:val="both"/>
        <w:textAlignment w:val="baseline"/>
        <w:rPr>
          <w:rStyle w:val="8"/>
          <w:rFonts w:ascii="黑体" w:hAnsi="黑体" w:eastAsia="黑体"/>
          <w:b/>
          <w:i w:val="0"/>
          <w:caps w:val="0"/>
          <w:spacing w:val="0"/>
          <w:w w:val="100"/>
          <w:kern w:val="2"/>
          <w:sz w:val="28"/>
          <w:szCs w:val="28"/>
          <w:lang w:val="en-US" w:eastAsia="zh-CN" w:bidi="ar-SA"/>
        </w:rPr>
      </w:pPr>
      <w:r>
        <w:rPr>
          <w:rStyle w:val="8"/>
          <w:rFonts w:ascii="黑体" w:hAnsi="黑体" w:eastAsia="黑体"/>
          <w:b/>
          <w:i w:val="0"/>
          <w:caps w:val="0"/>
          <w:spacing w:val="0"/>
          <w:w w:val="100"/>
          <w:kern w:val="2"/>
          <w:sz w:val="28"/>
          <w:szCs w:val="28"/>
          <w:lang w:val="en-US" w:eastAsia="zh-CN" w:bidi="ar-SA"/>
        </w:rPr>
        <w:t>（一）任务来源</w:t>
      </w:r>
    </w:p>
    <w:p>
      <w:pPr>
        <w:snapToGrid/>
        <w:spacing w:before="0" w:beforeAutospacing="0" w:after="0" w:afterAutospacing="0" w:line="240" w:lineRule="auto"/>
        <w:ind w:firstLine="480" w:firstLineChars="200"/>
        <w:jc w:val="both"/>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本项目是根据工业和信息化部“2018年第三批行业标准制修订和外文版项目计划”（工信厅科〔2018〕54号），计划编号为2018-1593T-QB，项目名称“麦饭石紫陶器皿”进行制定，主要起草单位：宜兴市白峰紫砂艺术有限公司、中国艺术家协会紫砂艺术研究会、轻工业标准化研究所、通辽市草原宸香麦饭石有限公司等，计划应完成时间2020年。已办理延期申请。</w:t>
      </w:r>
    </w:p>
    <w:p>
      <w:pPr>
        <w:snapToGrid/>
        <w:spacing w:before="408" w:beforeAutospacing="1" w:after="408" w:afterAutospacing="1" w:line="240" w:lineRule="auto"/>
        <w:jc w:val="both"/>
        <w:textAlignment w:val="baseline"/>
        <w:rPr>
          <w:rStyle w:val="8"/>
          <w:rFonts w:ascii="黑体" w:hAnsi="黑体" w:eastAsia="黑体"/>
          <w:b/>
          <w:i w:val="0"/>
          <w:caps w:val="0"/>
          <w:spacing w:val="0"/>
          <w:w w:val="100"/>
          <w:kern w:val="2"/>
          <w:sz w:val="28"/>
          <w:szCs w:val="28"/>
          <w:lang w:val="en-US" w:eastAsia="zh-CN" w:bidi="ar-SA"/>
        </w:rPr>
      </w:pPr>
      <w:r>
        <w:rPr>
          <w:rStyle w:val="8"/>
          <w:rFonts w:ascii="黑体" w:hAnsi="黑体" w:eastAsia="黑体"/>
          <w:b/>
          <w:i w:val="0"/>
          <w:caps w:val="0"/>
          <w:spacing w:val="0"/>
          <w:w w:val="100"/>
          <w:kern w:val="2"/>
          <w:sz w:val="28"/>
          <w:szCs w:val="28"/>
          <w:lang w:val="en-US" w:eastAsia="zh-CN" w:bidi="ar-SA"/>
        </w:rPr>
        <w:t>（二）主要工作过程</w:t>
      </w:r>
    </w:p>
    <w:p>
      <w:pPr>
        <w:snapToGrid/>
        <w:spacing w:before="0" w:beforeAutospacing="0" w:after="0" w:afterAutospacing="0" w:line="240" w:lineRule="auto"/>
        <w:jc w:val="both"/>
        <w:textAlignment w:val="baseline"/>
        <w:rPr>
          <w:rStyle w:val="8"/>
          <w:rFonts w:ascii="黑体" w:hAnsi="黑体" w:eastAsia="黑体"/>
          <w:b/>
          <w:i w:val="0"/>
          <w:caps w:val="0"/>
          <w:spacing w:val="0"/>
          <w:w w:val="100"/>
          <w:kern w:val="2"/>
          <w:sz w:val="24"/>
          <w:szCs w:val="24"/>
          <w:lang w:val="en-US" w:eastAsia="zh-CN" w:bidi="ar-SA"/>
        </w:rPr>
      </w:pPr>
      <w:r>
        <w:rPr>
          <w:rStyle w:val="8"/>
          <w:rFonts w:ascii="黑体" w:hAnsi="黑体" w:eastAsia="黑体"/>
          <w:b/>
          <w:i w:val="0"/>
          <w:caps w:val="0"/>
          <w:spacing w:val="0"/>
          <w:w w:val="100"/>
          <w:kern w:val="2"/>
          <w:sz w:val="24"/>
          <w:szCs w:val="24"/>
          <w:lang w:val="en-US" w:eastAsia="zh-CN" w:bidi="ar-SA"/>
        </w:rPr>
        <w:t>1. 起草阶段：</w:t>
      </w:r>
    </w:p>
    <w:p>
      <w:pPr>
        <w:snapToGrid/>
        <w:spacing w:before="0" w:beforeAutospacing="0" w:after="0" w:afterAutospacing="0" w:line="240" w:lineRule="auto"/>
        <w:ind w:firstLine="480" w:firstLineChars="200"/>
        <w:jc w:val="both"/>
        <w:textAlignment w:val="baseline"/>
        <w:rPr>
          <w:rStyle w:val="8"/>
          <w:rFonts w:ascii="宋体" w:hAnsi="宋体" w:eastAsia="宋体" w:cs="宋体"/>
          <w:b w:val="0"/>
          <w:bCs/>
          <w:i w:val="0"/>
          <w:caps w:val="0"/>
          <w:spacing w:val="0"/>
          <w:w w:val="100"/>
          <w:kern w:val="2"/>
          <w:sz w:val="24"/>
          <w:szCs w:val="24"/>
          <w:lang w:val="en-US" w:eastAsia="zh-CN" w:bidi="ar-SA"/>
        </w:rPr>
      </w:pPr>
      <w:r>
        <w:rPr>
          <w:rStyle w:val="8"/>
          <w:rFonts w:ascii="宋体" w:hAnsi="宋体" w:eastAsia="宋体" w:cs="宋体"/>
          <w:b w:val="0"/>
          <w:bCs/>
          <w:i w:val="0"/>
          <w:caps w:val="0"/>
          <w:spacing w:val="0"/>
          <w:w w:val="100"/>
          <w:kern w:val="2"/>
          <w:sz w:val="24"/>
          <w:szCs w:val="24"/>
          <w:lang w:val="en-US" w:eastAsia="zh-CN" w:bidi="ar-SA"/>
        </w:rPr>
        <w:t>2018年7月，接到上级关于《</w:t>
      </w:r>
      <w:r>
        <w:rPr>
          <w:rStyle w:val="8"/>
          <w:rFonts w:ascii="宋体" w:hAnsi="宋体" w:eastAsia="宋体"/>
          <w:b w:val="0"/>
          <w:i w:val="0"/>
          <w:caps w:val="0"/>
          <w:spacing w:val="0"/>
          <w:w w:val="100"/>
          <w:sz w:val="24"/>
          <w:szCs w:val="24"/>
          <w:lang w:val="en-US" w:eastAsia="zh-CN" w:bidi="ar-SA"/>
        </w:rPr>
        <w:t>麦饭石紫陶器皿</w:t>
      </w:r>
      <w:r>
        <w:rPr>
          <w:rStyle w:val="8"/>
          <w:rFonts w:ascii="宋体" w:hAnsi="宋体" w:eastAsia="宋体" w:cs="宋体"/>
          <w:b w:val="0"/>
          <w:bCs/>
          <w:i w:val="0"/>
          <w:caps w:val="0"/>
          <w:spacing w:val="0"/>
          <w:w w:val="100"/>
          <w:kern w:val="2"/>
          <w:sz w:val="24"/>
          <w:szCs w:val="24"/>
          <w:lang w:val="en-US" w:eastAsia="zh-CN" w:bidi="ar-SA"/>
        </w:rPr>
        <w:t>》行业标准的立项通知后，组建了由中国艺术家协会紫砂艺术研究会、宜兴市黑白紫砂烧制工艺研究所、</w:t>
      </w:r>
      <w:r>
        <w:rPr>
          <w:rStyle w:val="8"/>
          <w:rFonts w:ascii="宋体" w:hAnsi="宋体" w:eastAsia="宋体"/>
          <w:b w:val="0"/>
          <w:i w:val="0"/>
          <w:caps w:val="0"/>
          <w:spacing w:val="0"/>
          <w:w w:val="100"/>
          <w:sz w:val="24"/>
          <w:szCs w:val="24"/>
          <w:lang w:val="en-US" w:eastAsia="zh-CN" w:bidi="ar-SA"/>
        </w:rPr>
        <w:t>宜兴市白峰紫砂艺术有限公司</w:t>
      </w:r>
      <w:r>
        <w:rPr>
          <w:rStyle w:val="8"/>
          <w:rFonts w:ascii="宋体" w:hAnsi="宋体" w:eastAsia="宋体" w:cs="宋体"/>
          <w:b w:val="0"/>
          <w:bCs/>
          <w:i w:val="0"/>
          <w:caps w:val="0"/>
          <w:spacing w:val="0"/>
          <w:w w:val="100"/>
          <w:kern w:val="2"/>
          <w:sz w:val="24"/>
          <w:szCs w:val="24"/>
          <w:lang w:val="en-US" w:eastAsia="zh-CN" w:bidi="ar-SA"/>
        </w:rPr>
        <w:t>、内蒙古蒙医药工程研究院、内蒙古奈曼旗市场监督管理局等有关方面组成的《</w:t>
      </w:r>
      <w:r>
        <w:rPr>
          <w:rStyle w:val="8"/>
          <w:rFonts w:ascii="宋体" w:hAnsi="宋体" w:eastAsia="宋体"/>
          <w:b w:val="0"/>
          <w:i w:val="0"/>
          <w:caps w:val="0"/>
          <w:spacing w:val="0"/>
          <w:w w:val="100"/>
          <w:sz w:val="24"/>
          <w:szCs w:val="24"/>
          <w:lang w:val="en-US" w:eastAsia="zh-CN" w:bidi="ar-SA"/>
        </w:rPr>
        <w:t>麦饭石紫陶器皿</w:t>
      </w:r>
      <w:r>
        <w:rPr>
          <w:rStyle w:val="8"/>
          <w:rFonts w:ascii="宋体" w:hAnsi="宋体" w:eastAsia="宋体" w:cs="宋体"/>
          <w:b w:val="0"/>
          <w:bCs/>
          <w:i w:val="0"/>
          <w:caps w:val="0"/>
          <w:spacing w:val="0"/>
          <w:w w:val="100"/>
          <w:kern w:val="2"/>
          <w:sz w:val="24"/>
          <w:szCs w:val="24"/>
          <w:lang w:val="en-US" w:eastAsia="zh-CN" w:bidi="ar-SA"/>
        </w:rPr>
        <w:t>》行业标准研讨小组。研讨小组的主要成员先后多次在北京、内蒙古自治区通辽市、江苏省宜兴市、河南省洛阳市新安县等地进行麦饭石紫陶产业、行业情况的走访分析和专业调研。在走访调研的基础上，</w:t>
      </w:r>
      <w:r>
        <w:rPr>
          <w:rStyle w:val="8"/>
          <w:rFonts w:ascii="宋体" w:hAnsi="宋体" w:eastAsia="宋体"/>
          <w:b w:val="0"/>
          <w:i w:val="0"/>
          <w:caps w:val="0"/>
          <w:spacing w:val="0"/>
          <w:w w:val="100"/>
          <w:sz w:val="24"/>
          <w:szCs w:val="24"/>
          <w:lang w:val="en-US" w:eastAsia="zh-CN" w:bidi="ar-SA"/>
        </w:rPr>
        <w:t>内蒙古剑儒麦饭石制品有限公司</w:t>
      </w:r>
      <w:r>
        <w:rPr>
          <w:rStyle w:val="8"/>
          <w:rFonts w:ascii="宋体" w:hAnsi="宋体" w:eastAsia="宋体" w:cs="宋体"/>
          <w:b w:val="0"/>
          <w:bCs/>
          <w:i w:val="0"/>
          <w:caps w:val="0"/>
          <w:spacing w:val="0"/>
          <w:w w:val="100"/>
          <w:kern w:val="2"/>
          <w:sz w:val="24"/>
          <w:szCs w:val="24"/>
          <w:lang w:val="en-US" w:eastAsia="zh-CN" w:bidi="ar-SA"/>
        </w:rPr>
        <w:t>联合宜兴市黑白紫砂烧制工艺研究所向有关方面发起标准起草成员征集工作，成立了标准起草工作组（简称工作组）。</w:t>
      </w:r>
    </w:p>
    <w:p>
      <w:pPr>
        <w:snapToGrid/>
        <w:spacing w:before="0" w:beforeAutospacing="0" w:after="0" w:afterAutospacing="0" w:line="240" w:lineRule="auto"/>
        <w:ind w:firstLine="480" w:firstLineChars="200"/>
        <w:jc w:val="both"/>
        <w:textAlignment w:val="baseline"/>
        <w:rPr>
          <w:rStyle w:val="8"/>
          <w:rFonts w:ascii="宋体" w:hAnsi="宋体" w:eastAsia="宋体" w:cs="宋体"/>
          <w:b w:val="0"/>
          <w:bCs/>
          <w:i w:val="0"/>
          <w:caps w:val="0"/>
          <w:spacing w:val="0"/>
          <w:w w:val="100"/>
          <w:kern w:val="2"/>
          <w:sz w:val="24"/>
          <w:szCs w:val="24"/>
          <w:lang w:val="en-US" w:eastAsia="zh-CN" w:bidi="ar-SA"/>
        </w:rPr>
      </w:pPr>
      <w:r>
        <w:rPr>
          <w:rStyle w:val="8"/>
          <w:rFonts w:ascii="宋体" w:hAnsi="宋体" w:eastAsia="宋体" w:cs="宋体"/>
          <w:b w:val="0"/>
          <w:bCs/>
          <w:i w:val="0"/>
          <w:caps w:val="0"/>
          <w:spacing w:val="0"/>
          <w:w w:val="100"/>
          <w:kern w:val="2"/>
          <w:sz w:val="24"/>
          <w:szCs w:val="24"/>
          <w:lang w:val="en-US" w:eastAsia="zh-CN" w:bidi="ar-SA"/>
        </w:rPr>
        <w:t>① 2018年4季度至2019年初，麦饭石紫陶项目的主要研发人员带领有关工作人员在内蒙古自治区通辽市奈曼旗走访了麦饭石原产地的原石开采、加工单位，与各方面的专家、行家讨论、归纳、分析麦饭石的性能、功效特点等，形成了成体系的资料；在此基础上，联合内蒙古蒙医药工程研究院的专家、学者，围绕麦饭石在百姓日常生活中的运用，及蒙医药养生保健实践中麦饭石功能的开发运用等，进行了资料搜集分析，组织开展专家、行家座谈讨论等，探讨并确定了麦饭石与紫陶系列材料融合进行综合开发的方向；</w:t>
      </w:r>
    </w:p>
    <w:p>
      <w:pPr>
        <w:snapToGrid/>
        <w:spacing w:before="0" w:beforeAutospacing="0" w:after="0" w:afterAutospacing="0" w:line="240" w:lineRule="auto"/>
        <w:ind w:firstLine="480" w:firstLineChars="200"/>
        <w:jc w:val="both"/>
        <w:textAlignment w:val="baseline"/>
        <w:rPr>
          <w:rStyle w:val="8"/>
          <w:rFonts w:ascii="宋体" w:hAnsi="宋体" w:eastAsia="宋体" w:cs="宋体"/>
          <w:b w:val="0"/>
          <w:bCs/>
          <w:i w:val="0"/>
          <w:caps w:val="0"/>
          <w:spacing w:val="0"/>
          <w:w w:val="100"/>
          <w:kern w:val="2"/>
          <w:sz w:val="24"/>
          <w:szCs w:val="24"/>
          <w:lang w:val="en-US" w:eastAsia="zh-CN" w:bidi="ar-SA"/>
        </w:rPr>
      </w:pPr>
      <w:r>
        <w:rPr>
          <w:rStyle w:val="8"/>
          <w:rFonts w:ascii="宋体" w:hAnsi="宋体" w:eastAsia="宋体" w:cs="宋体"/>
          <w:b w:val="0"/>
          <w:bCs/>
          <w:i w:val="0"/>
          <w:caps w:val="0"/>
          <w:spacing w:val="0"/>
          <w:w w:val="100"/>
          <w:kern w:val="2"/>
          <w:sz w:val="24"/>
          <w:szCs w:val="24"/>
          <w:lang w:val="en-US" w:eastAsia="zh-CN" w:bidi="ar-SA"/>
        </w:rPr>
        <w:t>② 2019年上半年，工作组着重在江苏省宜兴市进行了融合机理与形成产品过程中一系列环节、细节进行研讨及功效验证，规范了</w:t>
      </w:r>
      <w:r>
        <w:rPr>
          <w:rStyle w:val="8"/>
          <w:rFonts w:ascii="宋体" w:hAnsi="宋体" w:eastAsia="宋体"/>
          <w:b w:val="0"/>
          <w:i w:val="0"/>
          <w:caps w:val="0"/>
          <w:spacing w:val="0"/>
          <w:w w:val="100"/>
          <w:sz w:val="24"/>
          <w:szCs w:val="24"/>
          <w:lang w:val="en-US" w:eastAsia="zh-CN" w:bidi="ar-SA"/>
        </w:rPr>
        <w:t>麦饭石紫陶器皿</w:t>
      </w:r>
      <w:r>
        <w:rPr>
          <w:rStyle w:val="8"/>
          <w:rFonts w:ascii="宋体" w:hAnsi="宋体" w:eastAsia="宋体" w:cs="宋体"/>
          <w:b w:val="0"/>
          <w:bCs/>
          <w:i w:val="0"/>
          <w:caps w:val="0"/>
          <w:spacing w:val="0"/>
          <w:w w:val="100"/>
          <w:kern w:val="2"/>
          <w:sz w:val="24"/>
          <w:szCs w:val="24"/>
          <w:lang w:val="en-US" w:eastAsia="zh-CN" w:bidi="ar-SA"/>
        </w:rPr>
        <w:t>从生产到成品验收的流程；</w:t>
      </w:r>
    </w:p>
    <w:p>
      <w:pPr>
        <w:snapToGrid/>
        <w:spacing w:before="0" w:beforeAutospacing="0" w:after="0" w:afterAutospacing="0" w:line="240" w:lineRule="auto"/>
        <w:ind w:firstLine="480" w:firstLineChars="200"/>
        <w:jc w:val="both"/>
        <w:textAlignment w:val="baseline"/>
        <w:rPr>
          <w:rStyle w:val="8"/>
          <w:rFonts w:ascii="宋体" w:hAnsi="宋体" w:eastAsia="宋体" w:cs="宋体"/>
          <w:b w:val="0"/>
          <w:bCs/>
          <w:i w:val="0"/>
          <w:caps w:val="0"/>
          <w:spacing w:val="0"/>
          <w:w w:val="100"/>
          <w:kern w:val="2"/>
          <w:sz w:val="24"/>
          <w:szCs w:val="24"/>
          <w:lang w:val="en-US" w:eastAsia="zh-CN" w:bidi="ar-SA"/>
        </w:rPr>
      </w:pPr>
      <w:r>
        <w:rPr>
          <w:rStyle w:val="8"/>
          <w:rFonts w:ascii="宋体" w:hAnsi="宋体" w:eastAsia="宋体" w:cs="宋体"/>
          <w:b w:val="0"/>
          <w:bCs/>
          <w:i w:val="0"/>
          <w:caps w:val="0"/>
          <w:spacing w:val="0"/>
          <w:w w:val="100"/>
          <w:kern w:val="2"/>
          <w:sz w:val="24"/>
          <w:szCs w:val="24"/>
          <w:lang w:val="en-US" w:eastAsia="zh-CN" w:bidi="ar-SA"/>
        </w:rPr>
        <w:t>③ 2019年下半年，工作组联合内蒙古奈曼旗市场监督管理局，组织有关专家、行家围绕内蒙古通辽市已经制定的麦饭石地方标准基础上，制定《</w:t>
      </w:r>
      <w:r>
        <w:rPr>
          <w:rStyle w:val="8"/>
          <w:rFonts w:ascii="宋体" w:hAnsi="宋体" w:eastAsia="宋体"/>
          <w:b w:val="0"/>
          <w:i w:val="0"/>
          <w:caps w:val="0"/>
          <w:spacing w:val="0"/>
          <w:w w:val="100"/>
          <w:sz w:val="24"/>
          <w:szCs w:val="24"/>
          <w:lang w:val="en-US" w:eastAsia="zh-CN" w:bidi="ar-SA"/>
        </w:rPr>
        <w:t>麦饭石紫陶器皿</w:t>
      </w:r>
      <w:r>
        <w:rPr>
          <w:rStyle w:val="8"/>
          <w:rFonts w:ascii="宋体" w:hAnsi="宋体" w:eastAsia="宋体" w:cs="宋体"/>
          <w:b w:val="0"/>
          <w:bCs/>
          <w:i w:val="0"/>
          <w:caps w:val="0"/>
          <w:spacing w:val="0"/>
          <w:w w:val="100"/>
          <w:kern w:val="2"/>
          <w:sz w:val="24"/>
          <w:szCs w:val="24"/>
          <w:lang w:val="en-US" w:eastAsia="zh-CN" w:bidi="ar-SA"/>
        </w:rPr>
        <w:t>》行业标准的思路，确定由</w:t>
      </w:r>
      <w:r>
        <w:rPr>
          <w:rStyle w:val="8"/>
          <w:rFonts w:ascii="宋体" w:hAnsi="宋体" w:eastAsia="宋体"/>
          <w:b w:val="0"/>
          <w:i w:val="0"/>
          <w:caps w:val="0"/>
          <w:spacing w:val="0"/>
          <w:w w:val="100"/>
          <w:sz w:val="24"/>
          <w:szCs w:val="24"/>
          <w:lang w:val="en-US" w:eastAsia="zh-CN" w:bidi="ar-SA"/>
        </w:rPr>
        <w:t>内蒙古剑儒麦饭石制品有限公司</w:t>
      </w:r>
      <w:r>
        <w:rPr>
          <w:rStyle w:val="8"/>
          <w:rFonts w:ascii="宋体" w:hAnsi="宋体" w:eastAsia="宋体" w:cs="宋体"/>
          <w:b w:val="0"/>
          <w:bCs/>
          <w:i w:val="0"/>
          <w:caps w:val="0"/>
          <w:spacing w:val="0"/>
          <w:w w:val="100"/>
          <w:kern w:val="2"/>
          <w:sz w:val="24"/>
          <w:szCs w:val="24"/>
          <w:lang w:val="en-US" w:eastAsia="zh-CN" w:bidi="ar-SA"/>
        </w:rPr>
        <w:t>与宜兴市黑白紫砂烧制工艺研究所作为标准的主要牵头与起草单位，组织有关人员形成了《</w:t>
      </w:r>
      <w:r>
        <w:rPr>
          <w:rStyle w:val="8"/>
          <w:rFonts w:ascii="宋体" w:hAnsi="宋体" w:eastAsia="宋体"/>
          <w:b w:val="0"/>
          <w:i w:val="0"/>
          <w:caps w:val="0"/>
          <w:spacing w:val="0"/>
          <w:w w:val="100"/>
          <w:sz w:val="24"/>
          <w:szCs w:val="24"/>
          <w:lang w:val="en-US" w:eastAsia="zh-CN" w:bidi="ar-SA"/>
        </w:rPr>
        <w:t>麦饭石紫陶器皿</w:t>
      </w:r>
      <w:r>
        <w:rPr>
          <w:rStyle w:val="8"/>
          <w:rFonts w:ascii="宋体" w:hAnsi="宋体" w:eastAsia="宋体" w:cs="宋体"/>
          <w:b w:val="0"/>
          <w:bCs/>
          <w:i w:val="0"/>
          <w:caps w:val="0"/>
          <w:spacing w:val="0"/>
          <w:w w:val="100"/>
          <w:kern w:val="2"/>
          <w:sz w:val="24"/>
          <w:szCs w:val="24"/>
          <w:lang w:val="en-US" w:eastAsia="zh-CN" w:bidi="ar-SA"/>
        </w:rPr>
        <w:t>》行业标准的框架文件；</w:t>
      </w:r>
    </w:p>
    <w:p>
      <w:pPr>
        <w:snapToGrid/>
        <w:spacing w:before="0" w:beforeAutospacing="0" w:after="0" w:afterAutospacing="0" w:line="240" w:lineRule="auto"/>
        <w:ind w:firstLine="480" w:firstLineChars="200"/>
        <w:jc w:val="both"/>
        <w:textAlignment w:val="baseline"/>
        <w:rPr>
          <w:rStyle w:val="8"/>
          <w:rFonts w:ascii="宋体" w:hAnsi="宋体" w:eastAsia="宋体" w:cs="宋体"/>
          <w:b w:val="0"/>
          <w:bCs/>
          <w:i w:val="0"/>
          <w:caps w:val="0"/>
          <w:spacing w:val="0"/>
          <w:w w:val="100"/>
          <w:kern w:val="2"/>
          <w:sz w:val="24"/>
          <w:szCs w:val="24"/>
          <w:highlight w:val="none"/>
          <w:lang w:val="en-US" w:eastAsia="zh-CN" w:bidi="ar-SA"/>
        </w:rPr>
      </w:pPr>
      <w:r>
        <w:rPr>
          <w:rStyle w:val="8"/>
          <w:rFonts w:ascii="宋体" w:hAnsi="宋体" w:eastAsia="宋体" w:cs="宋体"/>
          <w:b w:val="0"/>
          <w:bCs/>
          <w:i w:val="0"/>
          <w:caps w:val="0"/>
          <w:spacing w:val="0"/>
          <w:w w:val="100"/>
          <w:kern w:val="2"/>
          <w:sz w:val="24"/>
          <w:szCs w:val="24"/>
          <w:highlight w:val="none"/>
          <w:lang w:val="en-US" w:eastAsia="zh-CN" w:bidi="ar-SA"/>
        </w:rPr>
        <w:t>④ 2020年5月至2021年底，工作组根据河南省洛阳市新安县具有悠久的紫</w:t>
      </w:r>
      <w:r>
        <w:rPr>
          <w:rStyle w:val="8"/>
          <w:rFonts w:hint="eastAsia" w:ascii="宋体" w:hAnsi="宋体" w:eastAsia="宋体" w:cs="宋体"/>
          <w:b w:val="0"/>
          <w:bCs/>
          <w:i w:val="0"/>
          <w:caps w:val="0"/>
          <w:spacing w:val="0"/>
          <w:w w:val="100"/>
          <w:kern w:val="2"/>
          <w:sz w:val="24"/>
          <w:szCs w:val="24"/>
          <w:highlight w:val="none"/>
          <w:lang w:val="en-US" w:eastAsia="zh-CN" w:bidi="ar-SA"/>
        </w:rPr>
        <w:t>陶（砂）</w:t>
      </w:r>
      <w:r>
        <w:rPr>
          <w:rStyle w:val="8"/>
          <w:rFonts w:ascii="宋体" w:hAnsi="宋体" w:eastAsia="宋体" w:cs="宋体"/>
          <w:b w:val="0"/>
          <w:bCs/>
          <w:i w:val="0"/>
          <w:caps w:val="0"/>
          <w:spacing w:val="0"/>
          <w:w w:val="100"/>
          <w:kern w:val="2"/>
          <w:sz w:val="24"/>
          <w:szCs w:val="24"/>
          <w:highlight w:val="none"/>
          <w:lang w:val="en-US" w:eastAsia="zh-CN" w:bidi="ar-SA"/>
        </w:rPr>
        <w:t>器皿的制作历史，当地</w:t>
      </w:r>
      <w:bookmarkStart w:id="0" w:name="_GoBack"/>
      <w:bookmarkEnd w:id="0"/>
      <w:r>
        <w:rPr>
          <w:rStyle w:val="8"/>
          <w:rFonts w:ascii="宋体" w:hAnsi="宋体" w:eastAsia="宋体" w:cs="宋体"/>
          <w:b w:val="0"/>
          <w:bCs/>
          <w:i w:val="0"/>
          <w:caps w:val="0"/>
          <w:spacing w:val="0"/>
          <w:w w:val="100"/>
          <w:kern w:val="2"/>
          <w:sz w:val="24"/>
          <w:szCs w:val="24"/>
          <w:highlight w:val="none"/>
          <w:lang w:val="en-US" w:eastAsia="zh-CN" w:bidi="ar-SA"/>
        </w:rPr>
        <w:t>盛产紫砂原材料的情况，多次前往新安县进行考察调研，与新安县政府、县紫砂协会及几家紫砂产品制作企业的专家行家进行研讨，探索麦饭石紫陶系列产品产业化的可行性，把在宜兴研发出来的配方和烧制规律，在另一个地域进行工厂化生产的试验。补充、完善了一些普及化的程序和参数。</w:t>
      </w:r>
    </w:p>
    <w:p>
      <w:pPr>
        <w:snapToGrid/>
        <w:spacing w:before="0" w:beforeAutospacing="0" w:after="0" w:afterAutospacing="0" w:line="240" w:lineRule="auto"/>
        <w:ind w:firstLine="480" w:firstLineChars="200"/>
        <w:jc w:val="both"/>
        <w:textAlignment w:val="baseline"/>
        <w:rPr>
          <w:rStyle w:val="8"/>
          <w:rFonts w:ascii="宋体" w:hAnsi="宋体" w:eastAsia="宋体" w:cs="宋体"/>
          <w:b w:val="0"/>
          <w:bCs/>
          <w:i w:val="0"/>
          <w:caps w:val="0"/>
          <w:spacing w:val="0"/>
          <w:w w:val="100"/>
          <w:kern w:val="2"/>
          <w:sz w:val="24"/>
          <w:szCs w:val="24"/>
          <w:lang w:val="en-US" w:eastAsia="zh-CN" w:bidi="ar-SA"/>
        </w:rPr>
      </w:pPr>
      <w:r>
        <w:rPr>
          <w:rStyle w:val="8"/>
          <w:rFonts w:ascii="宋体" w:hAnsi="宋体" w:eastAsia="宋体" w:cs="宋体"/>
          <w:b w:val="0"/>
          <w:bCs/>
          <w:i w:val="0"/>
          <w:caps w:val="0"/>
          <w:spacing w:val="0"/>
          <w:w w:val="100"/>
          <w:kern w:val="2"/>
          <w:sz w:val="24"/>
          <w:szCs w:val="24"/>
          <w:lang w:val="en-US" w:eastAsia="zh-CN" w:bidi="ar-SA"/>
        </w:rPr>
        <w:t>⑤ 2021年到2022年上半年，工作组围绕《</w:t>
      </w:r>
      <w:r>
        <w:rPr>
          <w:rStyle w:val="8"/>
          <w:rFonts w:ascii="宋体" w:hAnsi="宋体" w:eastAsia="宋体"/>
          <w:b w:val="0"/>
          <w:i w:val="0"/>
          <w:caps w:val="0"/>
          <w:spacing w:val="0"/>
          <w:w w:val="100"/>
          <w:sz w:val="24"/>
          <w:szCs w:val="24"/>
          <w:lang w:val="en-US" w:eastAsia="zh-CN" w:bidi="ar-SA"/>
        </w:rPr>
        <w:t>麦饭石紫陶器皿</w:t>
      </w:r>
      <w:r>
        <w:rPr>
          <w:rStyle w:val="8"/>
          <w:rFonts w:ascii="宋体" w:hAnsi="宋体" w:eastAsia="宋体" w:cs="宋体"/>
          <w:b w:val="0"/>
          <w:bCs/>
          <w:i w:val="0"/>
          <w:caps w:val="0"/>
          <w:spacing w:val="0"/>
          <w:w w:val="100"/>
          <w:kern w:val="2"/>
          <w:sz w:val="24"/>
          <w:szCs w:val="24"/>
          <w:lang w:val="en-US" w:eastAsia="zh-CN" w:bidi="ar-SA"/>
        </w:rPr>
        <w:t>》行业标准的框架文件进行了讨论、细化，并着重在相关标准的参数、规范等方面进行规范与梳理。在充分的试验验证基础上，形成了《麦饭石紫陶器皿》行业标准（征求意见稿）和编制说明报全国食品直接接触材料及制品标委会秘书处。</w:t>
      </w:r>
    </w:p>
    <w:p>
      <w:pPr>
        <w:snapToGrid/>
        <w:spacing w:before="0" w:beforeAutospacing="0" w:after="0" w:afterAutospacing="0" w:line="360" w:lineRule="auto"/>
        <w:jc w:val="both"/>
        <w:textAlignment w:val="baseline"/>
        <w:rPr>
          <w:rStyle w:val="8"/>
          <w:rFonts w:ascii="黑体" w:hAnsi="黑体" w:eastAsia="黑体"/>
          <w:b/>
          <w:i w:val="0"/>
          <w:caps w:val="0"/>
          <w:spacing w:val="0"/>
          <w:w w:val="100"/>
          <w:kern w:val="2"/>
          <w:sz w:val="24"/>
          <w:szCs w:val="24"/>
          <w:lang w:val="en-US" w:eastAsia="zh-CN" w:bidi="ar-SA"/>
        </w:rPr>
      </w:pPr>
      <w:r>
        <w:rPr>
          <w:rStyle w:val="8"/>
          <w:rFonts w:ascii="黑体" w:hAnsi="黑体" w:eastAsia="黑体"/>
          <w:b/>
          <w:i w:val="0"/>
          <w:caps w:val="0"/>
          <w:spacing w:val="0"/>
          <w:w w:val="100"/>
          <w:kern w:val="2"/>
          <w:sz w:val="24"/>
          <w:szCs w:val="24"/>
          <w:lang w:val="en-US" w:eastAsia="zh-CN" w:bidi="ar-SA"/>
        </w:rPr>
        <w:t>2.征求意见阶段：</w:t>
      </w:r>
    </w:p>
    <w:p>
      <w:pPr>
        <w:snapToGrid/>
        <w:spacing w:before="0" w:beforeAutospacing="0" w:after="0" w:afterAutospacing="0" w:line="240" w:lineRule="auto"/>
        <w:ind w:firstLine="480" w:firstLineChars="200"/>
        <w:jc w:val="both"/>
        <w:textAlignment w:val="baseline"/>
        <w:rPr>
          <w:rStyle w:val="8"/>
          <w:rFonts w:ascii="宋体" w:hAnsi="宋体" w:eastAsia="宋体"/>
          <w:b w:val="0"/>
          <w:i w:val="0"/>
          <w:caps w:val="0"/>
          <w:spacing w:val="0"/>
          <w:w w:val="100"/>
          <w:sz w:val="24"/>
          <w:szCs w:val="24"/>
          <w:lang w:val="en-US" w:eastAsia="zh-CN" w:bidi="ar-SA"/>
        </w:rPr>
      </w:pPr>
    </w:p>
    <w:p>
      <w:pPr>
        <w:snapToGrid/>
        <w:spacing w:before="0" w:beforeAutospacing="0" w:after="0" w:afterAutospacing="0" w:line="360" w:lineRule="auto"/>
        <w:jc w:val="both"/>
        <w:textAlignment w:val="baseline"/>
        <w:rPr>
          <w:rStyle w:val="8"/>
          <w:rFonts w:ascii="黑体" w:hAnsi="黑体" w:eastAsia="黑体"/>
          <w:b/>
          <w:i w:val="0"/>
          <w:caps w:val="0"/>
          <w:spacing w:val="0"/>
          <w:w w:val="100"/>
          <w:kern w:val="2"/>
          <w:sz w:val="24"/>
          <w:szCs w:val="24"/>
          <w:lang w:val="en-US" w:eastAsia="zh-CN" w:bidi="ar-SA"/>
        </w:rPr>
      </w:pPr>
      <w:r>
        <w:rPr>
          <w:rStyle w:val="8"/>
          <w:rFonts w:ascii="黑体" w:hAnsi="黑体" w:eastAsia="黑体"/>
          <w:b/>
          <w:i w:val="0"/>
          <w:caps w:val="0"/>
          <w:spacing w:val="0"/>
          <w:w w:val="100"/>
          <w:kern w:val="2"/>
          <w:sz w:val="24"/>
          <w:szCs w:val="24"/>
          <w:lang w:val="en-US" w:eastAsia="zh-CN" w:bidi="ar-SA"/>
        </w:rPr>
        <w:t>3.审查阶段：</w:t>
      </w:r>
    </w:p>
    <w:p>
      <w:pPr>
        <w:snapToGrid/>
        <w:spacing w:before="0" w:beforeAutospacing="0" w:after="0" w:afterAutospacing="0" w:line="430" w:lineRule="exact"/>
        <w:ind w:firstLine="480" w:firstLineChars="200"/>
        <w:jc w:val="both"/>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 xml:space="preserve"> </w:t>
      </w:r>
    </w:p>
    <w:p>
      <w:pPr>
        <w:snapToGrid/>
        <w:spacing w:before="0" w:beforeAutospacing="0" w:after="0" w:afterAutospacing="0" w:line="360" w:lineRule="auto"/>
        <w:jc w:val="both"/>
        <w:textAlignment w:val="baseline"/>
        <w:rPr>
          <w:rStyle w:val="8"/>
          <w:rFonts w:ascii="黑体" w:hAnsi="黑体" w:eastAsia="黑体"/>
          <w:b/>
          <w:i w:val="0"/>
          <w:caps w:val="0"/>
          <w:spacing w:val="0"/>
          <w:w w:val="100"/>
          <w:kern w:val="2"/>
          <w:sz w:val="24"/>
          <w:szCs w:val="24"/>
          <w:lang w:val="en-US" w:eastAsia="zh-CN" w:bidi="ar-SA"/>
        </w:rPr>
      </w:pPr>
      <w:r>
        <w:rPr>
          <w:rStyle w:val="8"/>
          <w:rFonts w:ascii="黑体" w:hAnsi="黑体" w:eastAsia="黑体"/>
          <w:b/>
          <w:i w:val="0"/>
          <w:caps w:val="0"/>
          <w:spacing w:val="0"/>
          <w:w w:val="100"/>
          <w:kern w:val="2"/>
          <w:sz w:val="24"/>
          <w:szCs w:val="24"/>
          <w:lang w:val="en-US" w:eastAsia="zh-CN" w:bidi="ar-SA"/>
        </w:rPr>
        <w:t>4.报批阶段：</w:t>
      </w:r>
    </w:p>
    <w:p>
      <w:pPr>
        <w:snapToGrid/>
        <w:spacing w:before="0" w:beforeAutospacing="0" w:after="0" w:afterAutospacing="0" w:line="430" w:lineRule="exact"/>
        <w:ind w:firstLine="480" w:firstLineChars="200"/>
        <w:jc w:val="both"/>
        <w:textAlignment w:val="baseline"/>
        <w:rPr>
          <w:rStyle w:val="8"/>
          <w:rFonts w:ascii="宋体" w:hAnsi="宋体" w:eastAsia="宋体"/>
          <w:b w:val="0"/>
          <w:i w:val="0"/>
          <w:caps w:val="0"/>
          <w:spacing w:val="0"/>
          <w:w w:val="100"/>
          <w:sz w:val="24"/>
          <w:szCs w:val="24"/>
          <w:lang w:val="en-US" w:eastAsia="zh-CN" w:bidi="ar-SA"/>
        </w:rPr>
      </w:pPr>
    </w:p>
    <w:p>
      <w:pPr>
        <w:snapToGrid/>
        <w:spacing w:before="408" w:beforeAutospacing="1" w:after="408" w:afterAutospacing="1" w:line="240" w:lineRule="auto"/>
        <w:jc w:val="both"/>
        <w:textAlignment w:val="baseline"/>
        <w:rPr>
          <w:rStyle w:val="8"/>
          <w:rFonts w:ascii="黑体" w:hAnsi="黑体" w:eastAsia="黑体"/>
          <w:b/>
          <w:i w:val="0"/>
          <w:caps w:val="0"/>
          <w:spacing w:val="0"/>
          <w:w w:val="100"/>
          <w:kern w:val="2"/>
          <w:sz w:val="28"/>
          <w:szCs w:val="28"/>
          <w:lang w:val="en-US" w:eastAsia="zh-CN" w:bidi="ar-SA"/>
        </w:rPr>
      </w:pPr>
      <w:r>
        <w:rPr>
          <w:rStyle w:val="8"/>
          <w:rFonts w:ascii="黑体" w:hAnsi="黑体" w:eastAsia="黑体"/>
          <w:b/>
          <w:i w:val="0"/>
          <w:caps w:val="0"/>
          <w:spacing w:val="0"/>
          <w:w w:val="100"/>
          <w:kern w:val="2"/>
          <w:sz w:val="28"/>
          <w:szCs w:val="28"/>
          <w:lang w:val="en-US" w:eastAsia="zh-CN" w:bidi="ar-SA"/>
        </w:rPr>
        <w:t>（三）主要参加单位和工作组成员及其所做的工作</w:t>
      </w:r>
    </w:p>
    <w:p>
      <w:pPr>
        <w:snapToGrid/>
        <w:spacing w:before="0" w:beforeAutospacing="0" w:after="0" w:afterAutospacing="0" w:line="430" w:lineRule="exact"/>
        <w:ind w:firstLine="480" w:firstLineChars="200"/>
        <w:jc w:val="both"/>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本标准起草单位：宜兴市黑白紫砂烧制工艺研究所、内蒙古剑儒麦饭石制品有限公司、宜兴市白峰紫砂艺术有限公司、中国农产品流通经纪人协会养生酒与酒文化专业委员会、中国艺术家协会紫砂艺术研究会、内蒙古蒙医药工程研究院、内蒙古奈曼旗市场监督管理局、通辽市草原宸香麦饭石有限公司、南通市仙吃鲜食品有限公司、东莞市惟思德科技发展有限公司。</w:t>
      </w:r>
    </w:p>
    <w:p>
      <w:pPr>
        <w:snapToGrid/>
        <w:spacing w:before="0" w:beforeAutospacing="0" w:after="0" w:afterAutospacing="0" w:line="430" w:lineRule="exact"/>
        <w:ind w:firstLine="480" w:firstLineChars="200"/>
        <w:jc w:val="both"/>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本标准主要起草人：程一新、张建如、梅文慧、白峰、奥·乌力吉、冯波、章文福、杨乙楠。</w:t>
      </w:r>
    </w:p>
    <w:p>
      <w:pPr>
        <w:snapToGrid/>
        <w:spacing w:before="0" w:beforeAutospacing="0" w:after="0" w:afterAutospacing="0" w:line="430" w:lineRule="exact"/>
        <w:ind w:firstLine="480" w:firstLineChars="200"/>
        <w:jc w:val="both"/>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所做的工作：程一新任标准起草组组长，全面协调标准起草工作</w:t>
      </w:r>
      <w:r>
        <w:rPr>
          <w:rStyle w:val="8"/>
          <w:rFonts w:ascii="宋体" w:hAnsi="宋体" w:eastAsia="宋体" w:cs="宋体"/>
          <w:b w:val="0"/>
          <w:bCs/>
          <w:i w:val="0"/>
          <w:caps w:val="0"/>
          <w:spacing w:val="0"/>
          <w:w w:val="100"/>
          <w:kern w:val="2"/>
          <w:sz w:val="24"/>
          <w:szCs w:val="24"/>
          <w:lang w:val="en-US" w:eastAsia="zh-CN" w:bidi="ar-SA"/>
        </w:rPr>
        <w:t>及编写各阶段工作组织推进及修改、审核工作；</w:t>
      </w:r>
      <w:r>
        <w:rPr>
          <w:rStyle w:val="8"/>
          <w:rFonts w:ascii="宋体" w:hAnsi="宋体" w:eastAsia="宋体"/>
          <w:b w:val="0"/>
          <w:i w:val="0"/>
          <w:caps w:val="0"/>
          <w:spacing w:val="0"/>
          <w:w w:val="100"/>
          <w:sz w:val="24"/>
          <w:szCs w:val="24"/>
          <w:lang w:val="en-US" w:eastAsia="zh-CN" w:bidi="ar-SA"/>
        </w:rPr>
        <w:t>张建如、梅文慧任标准起草组副组长，负责本标准的起草、编制工作；白峰、奥·乌力吉、冯波、章文福、杨乙楠</w:t>
      </w:r>
      <w:r>
        <w:rPr>
          <w:rStyle w:val="8"/>
          <w:rFonts w:ascii="宋体" w:hAnsi="宋体" w:eastAsia="宋体" w:cs="宋体"/>
          <w:b w:val="0"/>
          <w:bCs/>
          <w:i w:val="0"/>
          <w:caps w:val="0"/>
          <w:spacing w:val="0"/>
          <w:w w:val="100"/>
          <w:kern w:val="2"/>
          <w:sz w:val="24"/>
          <w:szCs w:val="24"/>
          <w:lang w:val="en-US" w:eastAsia="zh-CN" w:bidi="ar-SA"/>
        </w:rPr>
        <w:t>等参与标准的起草和讨论工作</w:t>
      </w:r>
      <w:r>
        <w:rPr>
          <w:rStyle w:val="8"/>
          <w:rFonts w:ascii="宋体" w:hAnsi="宋体" w:eastAsia="宋体"/>
          <w:b w:val="0"/>
          <w:i w:val="0"/>
          <w:caps w:val="0"/>
          <w:spacing w:val="0"/>
          <w:w w:val="100"/>
          <w:sz w:val="24"/>
          <w:szCs w:val="24"/>
          <w:lang w:val="en-US" w:eastAsia="zh-CN" w:bidi="ar-SA"/>
        </w:rPr>
        <w:t>。</w:t>
      </w:r>
    </w:p>
    <w:p>
      <w:pPr>
        <w:snapToGrid/>
        <w:spacing w:before="408" w:beforeAutospacing="1" w:after="408" w:afterAutospacing="1" w:line="240" w:lineRule="auto"/>
        <w:jc w:val="both"/>
        <w:textAlignment w:val="baseline"/>
        <w:rPr>
          <w:rStyle w:val="8"/>
          <w:rFonts w:ascii="黑体" w:hAnsi="黑体" w:eastAsia="黑体"/>
          <w:b/>
          <w:i w:val="0"/>
          <w:caps w:val="0"/>
          <w:spacing w:val="0"/>
          <w:w w:val="100"/>
          <w:kern w:val="2"/>
          <w:sz w:val="28"/>
          <w:szCs w:val="28"/>
          <w:lang w:val="en-US" w:eastAsia="zh-CN" w:bidi="ar-SA"/>
        </w:rPr>
      </w:pPr>
      <w:r>
        <w:rPr>
          <w:rStyle w:val="8"/>
          <w:rFonts w:ascii="黑体" w:hAnsi="黑体" w:eastAsia="黑体"/>
          <w:b/>
          <w:i w:val="0"/>
          <w:caps w:val="0"/>
          <w:spacing w:val="0"/>
          <w:w w:val="100"/>
          <w:kern w:val="2"/>
          <w:sz w:val="28"/>
          <w:szCs w:val="28"/>
          <w:lang w:val="en-US" w:eastAsia="zh-CN" w:bidi="ar-SA"/>
        </w:rPr>
        <w:t>二、标准编制原则和主要内容</w:t>
      </w:r>
    </w:p>
    <w:p>
      <w:pPr>
        <w:snapToGrid/>
        <w:spacing w:before="408" w:beforeAutospacing="1" w:after="408" w:afterAutospacing="1" w:line="240" w:lineRule="auto"/>
        <w:jc w:val="both"/>
        <w:textAlignment w:val="baseline"/>
        <w:rPr>
          <w:rStyle w:val="8"/>
          <w:rFonts w:ascii="黑体" w:hAnsi="黑体" w:eastAsia="黑体"/>
          <w:b/>
          <w:i w:val="0"/>
          <w:caps w:val="0"/>
          <w:spacing w:val="0"/>
          <w:w w:val="100"/>
          <w:kern w:val="2"/>
          <w:sz w:val="28"/>
          <w:szCs w:val="28"/>
          <w:lang w:val="en-US" w:eastAsia="zh-CN" w:bidi="ar-SA"/>
        </w:rPr>
      </w:pPr>
      <w:r>
        <w:rPr>
          <w:rStyle w:val="8"/>
          <w:rFonts w:ascii="黑体" w:hAnsi="黑体" w:eastAsia="黑体"/>
          <w:b/>
          <w:i w:val="0"/>
          <w:caps w:val="0"/>
          <w:spacing w:val="0"/>
          <w:w w:val="100"/>
          <w:kern w:val="2"/>
          <w:sz w:val="28"/>
          <w:szCs w:val="28"/>
          <w:lang w:val="en-US" w:eastAsia="zh-CN" w:bidi="ar-SA"/>
        </w:rPr>
        <w:t>（一）本标准编制的原则</w:t>
      </w:r>
    </w:p>
    <w:p>
      <w:pPr>
        <w:snapToGrid/>
        <w:spacing w:before="0" w:beforeAutospacing="0" w:after="0" w:afterAutospacing="0" w:line="400" w:lineRule="exact"/>
        <w:ind w:firstLine="480" w:firstLineChars="200"/>
        <w:jc w:val="both"/>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标准在制定过程中，秉持以下原则：</w:t>
      </w:r>
    </w:p>
    <w:p>
      <w:pPr>
        <w:snapToGrid/>
        <w:spacing w:before="0" w:beforeAutospacing="0" w:after="0" w:afterAutospacing="0" w:line="400" w:lineRule="exact"/>
        <w:ind w:firstLine="480" w:firstLineChars="200"/>
        <w:jc w:val="both"/>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1、标准的制定根据《中华人民共和国标准化法》及有关法规、规章，按GB/T 1.1—2020《标准化工作导则 第1部分：标准化文件的结构和起草规则》中的原则要求进行编写。</w:t>
      </w:r>
    </w:p>
    <w:p>
      <w:pPr>
        <w:snapToGrid/>
        <w:spacing w:before="0" w:beforeAutospacing="0" w:after="0" w:afterAutospacing="0" w:line="400" w:lineRule="exact"/>
        <w:ind w:firstLine="480" w:firstLineChars="200"/>
        <w:jc w:val="both"/>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2、充分考虑麦饭石紫陶器皿的生产要求和发展趋势，结合产品特点，提高标准的适用能力，使得制定的标准具有先进性、前瞻性，同时考虑标准的经济性和可操作性。</w:t>
      </w:r>
    </w:p>
    <w:p>
      <w:pPr>
        <w:snapToGrid/>
        <w:spacing w:before="0" w:beforeAutospacing="0" w:after="0" w:afterAutospacing="0" w:line="400" w:lineRule="exact"/>
        <w:ind w:firstLine="480" w:firstLineChars="200"/>
        <w:jc w:val="both"/>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3、与我国现行法律法规及相关标准保持协调一致。</w:t>
      </w:r>
    </w:p>
    <w:p>
      <w:pPr>
        <w:snapToGrid/>
        <w:spacing w:before="0" w:beforeAutospacing="0" w:after="0" w:afterAutospacing="0" w:line="400" w:lineRule="exact"/>
        <w:ind w:firstLine="480" w:firstLineChars="200"/>
        <w:jc w:val="both"/>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 xml:space="preserve">4、符合相关生活饮用水卫生标准和检验方法。    </w:t>
      </w:r>
    </w:p>
    <w:p>
      <w:pPr>
        <w:snapToGrid/>
        <w:spacing w:before="408" w:beforeAutospacing="1" w:after="408" w:afterAutospacing="1" w:line="240" w:lineRule="auto"/>
        <w:jc w:val="both"/>
        <w:textAlignment w:val="baseline"/>
        <w:rPr>
          <w:rStyle w:val="8"/>
          <w:rFonts w:ascii="黑体" w:hAnsi="黑体" w:eastAsia="黑体"/>
          <w:b/>
          <w:i w:val="0"/>
          <w:caps w:val="0"/>
          <w:spacing w:val="0"/>
          <w:w w:val="100"/>
          <w:kern w:val="2"/>
          <w:sz w:val="28"/>
          <w:szCs w:val="28"/>
          <w:lang w:val="en-US" w:eastAsia="zh-CN" w:bidi="ar-SA"/>
        </w:rPr>
      </w:pPr>
      <w:r>
        <w:rPr>
          <w:rStyle w:val="8"/>
          <w:rFonts w:ascii="黑体" w:hAnsi="黑体" w:eastAsia="黑体"/>
          <w:b/>
          <w:i w:val="0"/>
          <w:caps w:val="0"/>
          <w:spacing w:val="0"/>
          <w:w w:val="100"/>
          <w:kern w:val="2"/>
          <w:sz w:val="28"/>
          <w:szCs w:val="28"/>
          <w:lang w:val="en-US" w:eastAsia="zh-CN" w:bidi="ar-SA"/>
        </w:rPr>
        <w:t>（二）本标准主要内容（如技术指标、参数、公式、性能要求、试验方法、检验规则等）的论据</w:t>
      </w:r>
    </w:p>
    <w:p>
      <w:pPr>
        <w:snapToGrid/>
        <w:spacing w:before="0" w:beforeAutospacing="0" w:after="0" w:afterAutospacing="0" w:line="240" w:lineRule="auto"/>
        <w:jc w:val="both"/>
        <w:textAlignment w:val="baseline"/>
        <w:rPr>
          <w:rStyle w:val="8"/>
          <w:rFonts w:ascii="黑体" w:hAnsi="黑体" w:eastAsia="黑体" w:cs="Times New Roman"/>
          <w:b w:val="0"/>
          <w:bCs/>
          <w:i w:val="0"/>
          <w:caps w:val="0"/>
          <w:spacing w:val="0"/>
          <w:w w:val="100"/>
          <w:kern w:val="2"/>
          <w:sz w:val="24"/>
          <w:szCs w:val="24"/>
          <w:lang w:val="en-US" w:eastAsia="zh-CN" w:bidi="ar-SA"/>
        </w:rPr>
      </w:pPr>
      <w:r>
        <w:rPr>
          <w:rStyle w:val="8"/>
          <w:rFonts w:ascii="黑体" w:hAnsi="黑体" w:eastAsia="黑体" w:cs="Times New Roman"/>
          <w:b w:val="0"/>
          <w:bCs/>
          <w:i w:val="0"/>
          <w:caps w:val="0"/>
          <w:spacing w:val="0"/>
          <w:w w:val="100"/>
          <w:kern w:val="2"/>
          <w:sz w:val="24"/>
          <w:szCs w:val="24"/>
          <w:lang w:val="en-US" w:eastAsia="zh-CN" w:bidi="ar-SA"/>
        </w:rPr>
        <w:t>1  术语和定义</w:t>
      </w:r>
    </w:p>
    <w:p>
      <w:pPr>
        <w:widowControl/>
        <w:snapToGrid/>
        <w:spacing w:before="0" w:beforeAutospacing="0" w:after="0" w:afterAutospacing="0" w:line="240" w:lineRule="auto"/>
        <w:ind w:firstLine="480" w:firstLineChars="200"/>
        <w:jc w:val="left"/>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麦饭石定义参考</w:t>
      </w:r>
      <w:r>
        <w:rPr>
          <w:rStyle w:val="8"/>
          <w:rFonts w:ascii="宋体" w:hAnsi="宋体" w:eastAsia="宋体"/>
          <w:b w:val="0"/>
          <w:i w:val="0"/>
          <w:caps w:val="0"/>
          <w:spacing w:val="0"/>
          <w:w w:val="100"/>
          <w:sz w:val="24"/>
          <w:szCs w:val="24"/>
          <w:lang w:val="en-US" w:eastAsia="zh-CN"/>
        </w:rPr>
        <w:t>DB15/T 1425—2018中华麦饭石、DB4101/T 7-2019 嵩山麦饭石对麦饭石的定义。</w:t>
      </w:r>
    </w:p>
    <w:p>
      <w:pPr>
        <w:snapToGrid/>
        <w:spacing w:before="0" w:beforeAutospacing="0" w:after="0" w:afterAutospacing="0" w:line="240" w:lineRule="auto"/>
        <w:jc w:val="both"/>
        <w:textAlignment w:val="baseline"/>
        <w:rPr>
          <w:rStyle w:val="8"/>
          <w:rFonts w:ascii="黑体" w:hAnsi="黑体" w:eastAsia="黑体" w:cs="Times New Roman"/>
          <w:b w:val="0"/>
          <w:bCs/>
          <w:i w:val="0"/>
          <w:caps w:val="0"/>
          <w:spacing w:val="0"/>
          <w:w w:val="100"/>
          <w:kern w:val="2"/>
          <w:sz w:val="24"/>
          <w:szCs w:val="24"/>
          <w:lang w:val="en-US" w:eastAsia="zh-CN" w:bidi="ar-SA"/>
        </w:rPr>
      </w:pPr>
      <w:r>
        <w:rPr>
          <w:rStyle w:val="8"/>
          <w:rFonts w:ascii="黑体" w:hAnsi="黑体" w:eastAsia="黑体" w:cs="Times New Roman"/>
          <w:b w:val="0"/>
          <w:bCs/>
          <w:i w:val="0"/>
          <w:caps w:val="0"/>
          <w:spacing w:val="0"/>
          <w:w w:val="100"/>
          <w:kern w:val="2"/>
          <w:sz w:val="24"/>
          <w:szCs w:val="24"/>
          <w:lang w:val="en-US" w:eastAsia="zh-CN" w:bidi="ar-SA"/>
        </w:rPr>
        <w:t>2  产品分类</w:t>
      </w:r>
    </w:p>
    <w:p>
      <w:pPr>
        <w:widowControl/>
        <w:snapToGrid/>
        <w:spacing w:before="0" w:beforeAutospacing="0" w:after="0" w:afterAutospacing="0" w:line="240" w:lineRule="auto"/>
        <w:ind w:firstLine="480" w:firstLineChars="200"/>
        <w:jc w:val="left"/>
        <w:textAlignment w:val="baseline"/>
        <w:rPr>
          <w:rStyle w:val="8"/>
          <w:rFonts w:ascii="黑体" w:hAnsi="黑体" w:eastAsia="黑体" w:cs="Times New Roman"/>
          <w:b w:val="0"/>
          <w:bCs/>
          <w:i w:val="0"/>
          <w:caps w:val="0"/>
          <w:spacing w:val="0"/>
          <w:w w:val="100"/>
          <w:kern w:val="2"/>
          <w:sz w:val="24"/>
          <w:szCs w:val="24"/>
          <w:lang w:val="en-US" w:eastAsia="zh-CN" w:bidi="ar-SA"/>
        </w:rPr>
      </w:pPr>
      <w:r>
        <w:rPr>
          <w:rStyle w:val="8"/>
          <w:rFonts w:ascii="宋体" w:hAnsi="宋体" w:eastAsia="宋体"/>
          <w:b w:val="0"/>
          <w:i w:val="0"/>
          <w:caps w:val="0"/>
          <w:spacing w:val="0"/>
          <w:w w:val="100"/>
          <w:sz w:val="24"/>
          <w:szCs w:val="24"/>
          <w:lang w:val="en-US" w:eastAsia="zh-CN" w:bidi="ar-SA"/>
        </w:rPr>
        <w:t>参考GB/T 10816-2008 紫砂陶器,在其产品分类（壶类、杯类、盘碟类、锅类，不考虑花盆类）基础上，结合产品实际使用情况，增加了碗类、瓶桶类、缸类、坛罐类等产品分类。同时，参考GB/T 10816-2008 紫砂陶器按规格、外观质量对产品进行分类</w:t>
      </w:r>
      <w:r>
        <w:rPr>
          <w:rStyle w:val="8"/>
          <w:rFonts w:ascii="宋体" w:hAnsi="宋体" w:eastAsia="宋体"/>
          <w:b w:val="0"/>
          <w:i w:val="0"/>
          <w:caps w:val="0"/>
          <w:spacing w:val="0"/>
          <w:w w:val="100"/>
          <w:sz w:val="21"/>
          <w:szCs w:val="21"/>
          <w:lang w:val="en-US" w:eastAsia="zh-CN" w:bidi="ar-SA"/>
        </w:rPr>
        <w:t>。</w:t>
      </w:r>
    </w:p>
    <w:p>
      <w:pPr>
        <w:snapToGrid/>
        <w:spacing w:before="0" w:beforeAutospacing="0" w:after="0" w:afterAutospacing="0" w:line="240" w:lineRule="auto"/>
        <w:jc w:val="both"/>
        <w:textAlignment w:val="baseline"/>
        <w:rPr>
          <w:rStyle w:val="8"/>
          <w:rFonts w:ascii="黑体" w:hAnsi="黑体" w:eastAsia="黑体" w:cs="Times New Roman"/>
          <w:b w:val="0"/>
          <w:bCs/>
          <w:i w:val="0"/>
          <w:caps w:val="0"/>
          <w:spacing w:val="0"/>
          <w:w w:val="100"/>
          <w:kern w:val="2"/>
          <w:sz w:val="24"/>
          <w:szCs w:val="24"/>
          <w:lang w:val="en-US" w:eastAsia="zh-CN" w:bidi="ar-SA"/>
        </w:rPr>
      </w:pPr>
      <w:r>
        <w:rPr>
          <w:rStyle w:val="8"/>
          <w:rFonts w:ascii="黑体" w:hAnsi="黑体" w:eastAsia="黑体" w:cs="Times New Roman"/>
          <w:b w:val="0"/>
          <w:bCs/>
          <w:i w:val="0"/>
          <w:caps w:val="0"/>
          <w:spacing w:val="0"/>
          <w:w w:val="100"/>
          <w:kern w:val="2"/>
          <w:sz w:val="24"/>
          <w:szCs w:val="24"/>
          <w:lang w:val="en-US" w:eastAsia="zh-CN" w:bidi="ar-SA"/>
        </w:rPr>
        <w:t>3  要求</w:t>
      </w:r>
    </w:p>
    <w:p>
      <w:pPr>
        <w:snapToGrid/>
        <w:spacing w:before="0" w:beforeAutospacing="0" w:after="0" w:afterAutospacing="0" w:line="240" w:lineRule="auto"/>
        <w:jc w:val="both"/>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3.1 原材料要求</w:t>
      </w:r>
    </w:p>
    <w:p>
      <w:pPr>
        <w:snapToGrid/>
        <w:spacing w:before="0" w:beforeAutospacing="0" w:after="0" w:afterAutospacing="0" w:line="240" w:lineRule="auto"/>
        <w:ind w:firstLine="480" w:firstLineChars="200"/>
        <w:jc w:val="both"/>
        <w:textAlignment w:val="baseline"/>
        <w:rPr>
          <w:rStyle w:val="8"/>
          <w:rFonts w:ascii="宋体" w:hAnsi="宋体" w:eastAsia="宋体"/>
          <w:b w:val="0"/>
          <w:i w:val="0"/>
          <w:caps w:val="0"/>
          <w:spacing w:val="0"/>
          <w:w w:val="100"/>
          <w:sz w:val="24"/>
          <w:szCs w:val="24"/>
          <w:lang w:val="en-US" w:eastAsia="zh-CN"/>
        </w:rPr>
      </w:pPr>
      <w:r>
        <w:rPr>
          <w:rStyle w:val="8"/>
          <w:rFonts w:ascii="宋体" w:hAnsi="宋体" w:eastAsia="宋体"/>
          <w:b w:val="0"/>
          <w:i w:val="0"/>
          <w:caps w:val="0"/>
          <w:spacing w:val="0"/>
          <w:w w:val="100"/>
          <w:sz w:val="24"/>
          <w:szCs w:val="24"/>
          <w:lang w:val="en-US" w:eastAsia="zh-CN" w:bidi="ar-SA"/>
        </w:rPr>
        <w:t>参考</w:t>
      </w:r>
      <w:r>
        <w:rPr>
          <w:rStyle w:val="8"/>
          <w:rFonts w:ascii="宋体" w:hAnsi="宋体" w:eastAsia="宋体"/>
          <w:b w:val="0"/>
          <w:i w:val="0"/>
          <w:caps w:val="0"/>
          <w:spacing w:val="0"/>
          <w:w w:val="100"/>
          <w:sz w:val="24"/>
          <w:szCs w:val="24"/>
          <w:lang w:val="en-US" w:eastAsia="zh-CN"/>
        </w:rPr>
        <w:t>DB15/T 1425—2018中华麦饭石、DB4101/T 7-2019 嵩山麦饭石，同时考虑到兼顾其他地区麦饭石特点，对麦饭石原料的外观特征、矿物成分、化学成分做出一般性规定。涉及到具体产地的具体指标时按产地麦饭石标准或文件执行。紫陶土及其他材料按相关标准或文件执行。</w:t>
      </w:r>
    </w:p>
    <w:p>
      <w:pPr>
        <w:snapToGrid/>
        <w:spacing w:before="0" w:beforeAutospacing="0" w:after="0" w:afterAutospacing="0" w:line="240" w:lineRule="auto"/>
        <w:jc w:val="both"/>
        <w:textAlignment w:val="baseline"/>
        <w:rPr>
          <w:rStyle w:val="8"/>
          <w:rFonts w:ascii="宋体" w:hAnsi="宋体" w:eastAsia="宋体"/>
          <w:b w:val="0"/>
          <w:i w:val="0"/>
          <w:caps w:val="0"/>
          <w:spacing w:val="0"/>
          <w:w w:val="100"/>
          <w:sz w:val="24"/>
          <w:szCs w:val="24"/>
          <w:lang w:val="en-US" w:eastAsia="zh-CN"/>
        </w:rPr>
      </w:pPr>
      <w:r>
        <w:rPr>
          <w:rStyle w:val="8"/>
          <w:rFonts w:ascii="宋体" w:hAnsi="宋体" w:eastAsia="宋体"/>
          <w:b w:val="0"/>
          <w:i w:val="0"/>
          <w:caps w:val="0"/>
          <w:spacing w:val="0"/>
          <w:w w:val="100"/>
          <w:sz w:val="24"/>
          <w:szCs w:val="24"/>
          <w:lang w:val="en-US" w:eastAsia="zh-CN"/>
        </w:rPr>
        <w:t>3.2  产品质量要求</w:t>
      </w:r>
    </w:p>
    <w:p>
      <w:pPr>
        <w:snapToGrid/>
        <w:spacing w:before="0" w:beforeAutospacing="0" w:after="0" w:afterAutospacing="0" w:line="240" w:lineRule="auto"/>
        <w:jc w:val="both"/>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3.2.1  感官要求</w:t>
      </w:r>
    </w:p>
    <w:p>
      <w:pPr>
        <w:snapToGrid/>
        <w:spacing w:before="0" w:beforeAutospacing="0" w:after="0" w:afterAutospacing="0" w:line="240" w:lineRule="auto"/>
        <w:ind w:firstLine="480"/>
        <w:jc w:val="both"/>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参考GB/T 10816-2008 紫砂陶器、DB53/T 559-2019 地理标志产品 建水紫陶。其中外观质量依缺陷范围分级部分，参考DB53/T 559-2019 地理标志产品 建水紫陶补充了碗类、瓶桶类、缸类、坛罐类等产品的指标。同时，依据实际使用情况，增加异味、组合附件、容量误差的指标。</w:t>
      </w:r>
    </w:p>
    <w:p>
      <w:pPr>
        <w:snapToGrid/>
        <w:spacing w:before="0" w:beforeAutospacing="0" w:after="0" w:afterAutospacing="0" w:line="240" w:lineRule="auto"/>
        <w:jc w:val="both"/>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3.2.2  理化指标</w:t>
      </w:r>
    </w:p>
    <w:p>
      <w:pPr>
        <w:numPr>
          <w:ilvl w:val="0"/>
          <w:numId w:val="3"/>
        </w:numPr>
        <w:snapToGrid/>
        <w:spacing w:before="0" w:beforeAutospacing="0" w:after="0" w:afterAutospacing="0" w:line="240" w:lineRule="auto"/>
        <w:ind w:left="425" w:hanging="425"/>
        <w:jc w:val="both"/>
        <w:textAlignment w:val="baseline"/>
        <w:rPr>
          <w:rStyle w:val="8"/>
          <w:rFonts w:ascii="宋体" w:hAnsi="宋体" w:eastAsia="宋体"/>
          <w:b w:val="0"/>
          <w:i w:val="0"/>
          <w:caps w:val="0"/>
          <w:color w:val="191919"/>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吸水率：</w:t>
      </w:r>
      <w:r>
        <w:rPr>
          <w:rStyle w:val="8"/>
          <w:rFonts w:ascii="宋体" w:hAnsi="宋体" w:eastAsia="宋体"/>
          <w:b w:val="0"/>
          <w:i w:val="0"/>
          <w:caps w:val="0"/>
          <w:color w:val="191919"/>
          <w:spacing w:val="0"/>
          <w:w w:val="100"/>
          <w:sz w:val="24"/>
          <w:szCs w:val="24"/>
          <w:lang w:val="en-US" w:eastAsia="zh-CN" w:bidi="ar-SA"/>
        </w:rPr>
        <w:t>陶器对水有一定的吸附渗透能力，水如果被吸进陶器，会产生一定的膨胀，容易使产品表面因膨胀而龟裂，降低产品质量。因此，吸水率是麦饭石紫陶器皿的重要的理化指标之一，该指标参考GB/T 10816-2008 紫砂陶器。</w:t>
      </w:r>
    </w:p>
    <w:p>
      <w:pPr>
        <w:numPr>
          <w:ilvl w:val="0"/>
          <w:numId w:val="3"/>
        </w:numPr>
        <w:snapToGrid/>
        <w:spacing w:before="0" w:beforeAutospacing="0" w:after="0" w:afterAutospacing="0" w:line="240" w:lineRule="auto"/>
        <w:ind w:left="425" w:hanging="425"/>
        <w:jc w:val="both"/>
        <w:textAlignment w:val="baseline"/>
        <w:rPr>
          <w:rStyle w:val="8"/>
          <w:rFonts w:ascii="宋体" w:hAnsi="宋体" w:eastAsia="宋体"/>
          <w:b w:val="0"/>
          <w:i w:val="0"/>
          <w:caps w:val="0"/>
          <w:color w:val="191919"/>
          <w:spacing w:val="0"/>
          <w:w w:val="100"/>
          <w:sz w:val="24"/>
          <w:szCs w:val="24"/>
          <w:lang w:val="en-US" w:eastAsia="zh-CN" w:bidi="ar-SA"/>
        </w:rPr>
      </w:pPr>
      <w:r>
        <w:rPr>
          <w:rStyle w:val="8"/>
          <w:rFonts w:ascii="宋体" w:hAnsi="宋体" w:eastAsia="宋体"/>
          <w:b w:val="0"/>
          <w:i w:val="0"/>
          <w:caps w:val="0"/>
          <w:color w:val="191919"/>
          <w:spacing w:val="0"/>
          <w:w w:val="100"/>
          <w:sz w:val="24"/>
          <w:szCs w:val="24"/>
          <w:lang w:val="en-US" w:eastAsia="zh-CN" w:bidi="ar-SA"/>
        </w:rPr>
        <w:t>抗热震性：材料及其制品承受温度激烈变化而引起内部温度梯度时，在材料内部会因收缩或膨胀受阻产生热应力，当热应力超过材料强度极限时，产生开裂、破坏和机械强度降低等现象。因此，抗热震性是麦饭石紫陶器皿的重要的理化指标之一，盖指标参考GB/T 10816-2008 紫砂陶器。</w:t>
      </w:r>
    </w:p>
    <w:p>
      <w:pPr>
        <w:numPr>
          <w:ilvl w:val="0"/>
          <w:numId w:val="3"/>
        </w:numPr>
        <w:snapToGrid/>
        <w:spacing w:before="0" w:beforeAutospacing="0" w:after="0" w:afterAutospacing="0" w:line="240" w:lineRule="auto"/>
        <w:ind w:left="425" w:hanging="425"/>
        <w:jc w:val="both"/>
        <w:textAlignment w:val="baseline"/>
        <w:rPr>
          <w:rStyle w:val="8"/>
          <w:rFonts w:ascii="宋体" w:hAnsi="宋体" w:eastAsia="宋体"/>
          <w:b w:val="0"/>
          <w:i w:val="0"/>
          <w:caps w:val="0"/>
          <w:color w:val="191919"/>
          <w:spacing w:val="0"/>
          <w:w w:val="100"/>
          <w:sz w:val="24"/>
          <w:szCs w:val="24"/>
          <w:lang w:val="en-US" w:eastAsia="zh-CN" w:bidi="ar-SA"/>
        </w:rPr>
      </w:pPr>
      <w:r>
        <w:rPr>
          <w:rStyle w:val="8"/>
          <w:rFonts w:ascii="宋体" w:hAnsi="宋体" w:eastAsia="宋体"/>
          <w:b w:val="0"/>
          <w:i w:val="0"/>
          <w:caps w:val="0"/>
          <w:color w:val="191919"/>
          <w:spacing w:val="0"/>
          <w:w w:val="100"/>
          <w:sz w:val="24"/>
          <w:szCs w:val="24"/>
          <w:lang w:val="en-US" w:eastAsia="zh-CN" w:bidi="ar-SA"/>
        </w:rPr>
        <w:t>pH：研究发现，麦饭石具有对pH微调节功能，即当麦饭石与pH呈偏酸性的水接触一定时间后可将水的pH微调为呈弱碱性（这一点在DB15/T 1425—2018中华麦饭石、DB4101/T 7-2019 嵩山麦饭石也得到提及）。经验证，麦饭石紫陶器皿由于加入一定量的麦饭石成分原因，也继承了这一特点，这也是麦饭石紫陶器皿区别于传统紫砂产品的重要特征指标，该指标通过试验得出，详见试验验证部分。</w:t>
      </w:r>
    </w:p>
    <w:p>
      <w:pPr>
        <w:snapToGrid/>
        <w:spacing w:before="0" w:beforeAutospacing="0" w:after="0" w:afterAutospacing="0" w:line="240" w:lineRule="auto"/>
        <w:jc w:val="both"/>
        <w:textAlignment w:val="baseline"/>
        <w:rPr>
          <w:rStyle w:val="8"/>
          <w:rFonts w:ascii="宋体" w:hAnsi="宋体" w:eastAsia="宋体"/>
          <w:b w:val="0"/>
          <w:i w:val="0"/>
          <w:caps w:val="0"/>
          <w:spacing w:val="0"/>
          <w:w w:val="100"/>
          <w:sz w:val="24"/>
          <w:szCs w:val="24"/>
          <w:highlight w:val="yellow"/>
          <w:lang w:val="en-US" w:eastAsia="zh-CN" w:bidi="ar-SA"/>
        </w:rPr>
      </w:pPr>
      <w:r>
        <w:rPr>
          <w:rStyle w:val="8"/>
          <w:rFonts w:ascii="宋体" w:hAnsi="宋体" w:eastAsia="宋体"/>
          <w:b w:val="0"/>
          <w:i w:val="0"/>
          <w:caps w:val="0"/>
          <w:spacing w:val="0"/>
          <w:w w:val="100"/>
          <w:sz w:val="24"/>
          <w:szCs w:val="24"/>
          <w:lang w:val="en-US" w:eastAsia="zh-CN" w:bidi="ar-SA"/>
        </w:rPr>
        <w:t>3.2.3  安全指标</w:t>
      </w:r>
    </w:p>
    <w:p>
      <w:pPr>
        <w:numPr>
          <w:ilvl w:val="0"/>
          <w:numId w:val="4"/>
        </w:numPr>
        <w:snapToGrid/>
        <w:spacing w:before="0" w:beforeAutospacing="0" w:after="0" w:afterAutospacing="0" w:line="240" w:lineRule="auto"/>
        <w:ind w:left="425" w:hanging="425"/>
        <w:jc w:val="both"/>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有害元素溶出限量：在</w:t>
      </w:r>
      <w:r>
        <w:rPr>
          <w:rStyle w:val="8"/>
          <w:rFonts w:ascii="宋体" w:hAnsi="宋体" w:eastAsia="宋体"/>
          <w:b w:val="0"/>
          <w:i w:val="0"/>
          <w:iCs w:val="0"/>
          <w:caps w:val="0"/>
          <w:color w:val="333333"/>
          <w:spacing w:val="0"/>
          <w:w w:val="100"/>
          <w:sz w:val="24"/>
          <w:szCs w:val="24"/>
          <w:lang w:val="en-US" w:eastAsia="zh-CN" w:bidi="ar-SA"/>
        </w:rPr>
        <w:t>GB 4806.4-2016 食品安全国家标准 陶瓷制品</w:t>
      </w:r>
      <w:r>
        <w:rPr>
          <w:rStyle w:val="8"/>
          <w:rFonts w:ascii="宋体" w:hAnsi="宋体" w:eastAsia="宋体"/>
          <w:b w:val="0"/>
          <w:i w:val="0"/>
          <w:caps w:val="0"/>
          <w:spacing w:val="0"/>
          <w:w w:val="100"/>
          <w:sz w:val="24"/>
          <w:szCs w:val="24"/>
          <w:lang w:val="en-US" w:eastAsia="zh-CN" w:bidi="ar-SA"/>
        </w:rPr>
        <w:t>基础上，参照GB 5749-2022生活饮用水卫生标准、DB15/T 1425—2018中华麦饭石、DB4101/T 7-2019 嵩山麦饭石，提高了对麦饭石紫陶器皿的铅（Pb）、镉（Cd）的要求，具具体是：铅（Pb）的指标由</w:t>
      </w:r>
      <w:r>
        <w:rPr>
          <w:rStyle w:val="8"/>
          <w:rFonts w:ascii="宋体" w:hAnsi="宋体" w:eastAsia="宋体"/>
          <w:b w:val="0"/>
          <w:i w:val="0"/>
          <w:iCs w:val="0"/>
          <w:caps w:val="0"/>
          <w:spacing w:val="0"/>
          <w:w w:val="100"/>
          <w:sz w:val="24"/>
          <w:szCs w:val="24"/>
          <w:lang w:val="en-US" w:eastAsia="zh-CN" w:bidi="ar-SA"/>
        </w:rPr>
        <w:t>GB 4806.4-2016</w:t>
      </w:r>
      <w:r>
        <w:rPr>
          <w:rStyle w:val="8"/>
          <w:rFonts w:ascii="宋体" w:hAnsi="宋体" w:eastAsia="宋体"/>
          <w:b w:val="0"/>
          <w:i w:val="0"/>
          <w:caps w:val="0"/>
          <w:spacing w:val="0"/>
          <w:w w:val="100"/>
          <w:sz w:val="24"/>
          <w:szCs w:val="24"/>
          <w:lang w:val="en-US" w:eastAsia="zh-CN" w:bidi="ar-SA"/>
        </w:rPr>
        <w:t>标准规定的最高不大于0.5mg/L提高到小于0.01mg/L，镉（Cd）的指标由</w:t>
      </w:r>
      <w:r>
        <w:rPr>
          <w:rStyle w:val="8"/>
          <w:rFonts w:ascii="宋体" w:hAnsi="宋体" w:eastAsia="宋体"/>
          <w:b w:val="0"/>
          <w:i w:val="0"/>
          <w:iCs w:val="0"/>
          <w:caps w:val="0"/>
          <w:spacing w:val="0"/>
          <w:w w:val="100"/>
          <w:sz w:val="24"/>
          <w:szCs w:val="24"/>
          <w:lang w:val="en-US" w:eastAsia="zh-CN" w:bidi="ar-SA"/>
        </w:rPr>
        <w:t>GB 4806.4-2016</w:t>
      </w:r>
      <w:r>
        <w:rPr>
          <w:rStyle w:val="8"/>
          <w:rFonts w:ascii="宋体" w:hAnsi="宋体" w:eastAsia="宋体"/>
          <w:b w:val="0"/>
          <w:i w:val="0"/>
          <w:caps w:val="0"/>
          <w:spacing w:val="0"/>
          <w:w w:val="100"/>
          <w:sz w:val="24"/>
          <w:szCs w:val="24"/>
          <w:lang w:val="en-US" w:eastAsia="zh-CN" w:bidi="ar-SA"/>
        </w:rPr>
        <w:t>标准规定的最高不大于0.07mg/L提高到小于0.005mg/L，并增加对麦饭石紫陶器皿的汞（Hg）（小于0.001mg/L）、砷（As）（小于0.01mg/L）、铍（Be）（小于0.002mg/L）指标要求（依据GB 5749-2022以及麦饭石地方标准）。</w:t>
      </w:r>
    </w:p>
    <w:p>
      <w:pPr>
        <w:numPr>
          <w:ilvl w:val="0"/>
          <w:numId w:val="4"/>
        </w:numPr>
        <w:snapToGrid/>
        <w:spacing w:before="0" w:beforeAutospacing="0" w:after="0" w:afterAutospacing="0" w:line="240" w:lineRule="auto"/>
        <w:ind w:left="425" w:hanging="425"/>
        <w:jc w:val="both"/>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微生物：参照GB 5749-2022生活饮用水卫生标准、DB15/T 1425—2018中华麦饭石，规定了菌落总数和总大肠菌群的指标。</w:t>
      </w:r>
    </w:p>
    <w:p>
      <w:pPr>
        <w:numPr>
          <w:ilvl w:val="0"/>
          <w:numId w:val="4"/>
        </w:numPr>
        <w:snapToGrid/>
        <w:spacing w:before="0" w:beforeAutospacing="0" w:after="0" w:afterAutospacing="0" w:line="240" w:lineRule="auto"/>
        <w:ind w:left="425" w:hanging="425"/>
        <w:jc w:val="both"/>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放射性强度指标：参照GB 5749-2022生活饮用水卫生标准、DB15/T 1425—2018中华麦饭石，规定了总α、β放射线强度要求。</w:t>
      </w:r>
    </w:p>
    <w:p>
      <w:pPr>
        <w:snapToGrid/>
        <w:spacing w:before="408" w:beforeAutospacing="1" w:after="408" w:afterAutospacing="1" w:line="240" w:lineRule="auto"/>
        <w:jc w:val="both"/>
        <w:textAlignment w:val="baseline"/>
        <w:rPr>
          <w:rStyle w:val="8"/>
          <w:rFonts w:ascii="黑体" w:hAnsi="黑体" w:eastAsia="黑体"/>
          <w:b/>
          <w:i w:val="0"/>
          <w:caps w:val="0"/>
          <w:spacing w:val="0"/>
          <w:w w:val="100"/>
          <w:kern w:val="2"/>
          <w:sz w:val="28"/>
          <w:szCs w:val="28"/>
          <w:lang w:val="en-US" w:eastAsia="zh-CN" w:bidi="ar-SA"/>
        </w:rPr>
      </w:pPr>
      <w:r>
        <w:rPr>
          <w:rStyle w:val="8"/>
          <w:rFonts w:ascii="黑体" w:hAnsi="黑体" w:eastAsia="黑体"/>
          <w:b/>
          <w:i w:val="0"/>
          <w:caps w:val="0"/>
          <w:spacing w:val="0"/>
          <w:w w:val="100"/>
          <w:kern w:val="2"/>
          <w:sz w:val="28"/>
          <w:szCs w:val="28"/>
          <w:lang w:val="en-US" w:eastAsia="zh-CN" w:bidi="ar-SA"/>
        </w:rPr>
        <w:t>（三）解决的主要问题</w:t>
      </w:r>
    </w:p>
    <w:p>
      <w:pPr>
        <w:tabs>
          <w:tab w:val="left" w:pos="4984"/>
        </w:tabs>
        <w:snapToGrid/>
        <w:spacing w:before="0" w:beforeAutospacing="0" w:after="0" w:afterAutospacing="0" w:line="240" w:lineRule="auto"/>
        <w:ind w:firstLine="480" w:firstLineChars="200"/>
        <w:jc w:val="both"/>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由于传统对麦饭石原石的初加工，粗加工，技术含量不高，附加值较低，产品价值不能得以充分挖掘，一定程度上造成资源浪费和贬值（目前我国多以出卖原石为主，价格被严重低估，被日、韩等国家加工返销后，产品价格能达到原石的十倍、百倍），而经过深加工后（如与紫陶合成做成麦饭石紫陶器皿），提高了产品附加值，提升了产品品质，满足了高端消费需要，有利于产品出口创汇，更有利于带动当地就业。而要实现这些，标准在突显麦饭石紫陶器皿的产品特点和提升价值方面，其作用不可小觑。</w:t>
      </w:r>
    </w:p>
    <w:p>
      <w:pPr>
        <w:tabs>
          <w:tab w:val="left" w:pos="4984"/>
        </w:tabs>
        <w:snapToGrid/>
        <w:spacing w:before="0" w:beforeAutospacing="0" w:after="0" w:afterAutospacing="0" w:line="240" w:lineRule="auto"/>
        <w:ind w:firstLine="480" w:firstLineChars="200"/>
        <w:jc w:val="both"/>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另外，由于产品标准的缺失，也导致麦饭石紫陶器皿面临监管无依据，质量良莠不齐的被动局面。据了解，当前麦饭石市场沿袭了多年的小作坊、手工雕磨的方式，对石料选择随意，产前对原料无检测，成品后对产品无检验，因此市场乱象四起，名不符实的宣传，不合标准，甚至以假石冒充真石，严重影响了麦饭石产品的市场信誉。假冒伪劣产品还严重影响着用户的健康，同时也影响了麦饭石在外贸市场的声誉。</w:t>
      </w:r>
    </w:p>
    <w:p>
      <w:pPr>
        <w:snapToGrid/>
        <w:spacing w:before="408" w:beforeAutospacing="1" w:after="408" w:afterAutospacing="1" w:line="240" w:lineRule="auto"/>
        <w:jc w:val="both"/>
        <w:textAlignment w:val="baseline"/>
        <w:rPr>
          <w:rStyle w:val="8"/>
          <w:rFonts w:ascii="黑体" w:hAnsi="黑体" w:eastAsia="黑体"/>
          <w:b/>
          <w:i w:val="0"/>
          <w:caps w:val="0"/>
          <w:spacing w:val="0"/>
          <w:w w:val="100"/>
          <w:kern w:val="2"/>
          <w:sz w:val="28"/>
          <w:szCs w:val="28"/>
          <w:lang w:val="en-US" w:eastAsia="zh-CN" w:bidi="ar-SA"/>
        </w:rPr>
      </w:pPr>
      <w:r>
        <w:rPr>
          <w:rStyle w:val="8"/>
          <w:rFonts w:ascii="黑体" w:hAnsi="黑体" w:eastAsia="黑体"/>
          <w:b/>
          <w:i w:val="0"/>
          <w:caps w:val="0"/>
          <w:spacing w:val="0"/>
          <w:w w:val="100"/>
          <w:kern w:val="2"/>
          <w:sz w:val="28"/>
          <w:szCs w:val="28"/>
          <w:lang w:val="en-US" w:eastAsia="zh-CN" w:bidi="ar-SA"/>
        </w:rPr>
        <w:t>三、主要试验（或验证）情况</w:t>
      </w:r>
    </w:p>
    <w:p>
      <w:pPr>
        <w:snapToGrid/>
        <w:spacing w:before="0" w:beforeAutospacing="0" w:after="0" w:afterAutospacing="0" w:line="240" w:lineRule="auto"/>
        <w:ind w:firstLine="480"/>
        <w:jc w:val="both"/>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本标准制定过程中，按照起草小组工作会议上安排布置的工作任务，收集了国内不同规模企业、不同品牌的试验验证样品，涵盖了不同规格的麦饭石紫陶材质的产品，具有广泛的代表性，对标准中规定的感官要求、理化指标、安全指标进行验证试验。试验验证情况如下：</w:t>
      </w:r>
    </w:p>
    <w:p>
      <w:pPr>
        <w:numPr>
          <w:ilvl w:val="0"/>
          <w:numId w:val="5"/>
        </w:numPr>
        <w:snapToGrid/>
        <w:spacing w:before="204" w:beforeAutospacing="0" w:after="0" w:afterAutospacing="0" w:line="240" w:lineRule="auto"/>
        <w:jc w:val="both"/>
        <w:textAlignment w:val="baseline"/>
        <w:rPr>
          <w:rStyle w:val="8"/>
          <w:rFonts w:ascii="黑体" w:hAnsi="黑体" w:eastAsia="黑体" w:cs="Times New Roman"/>
          <w:b w:val="0"/>
          <w:bCs/>
          <w:i w:val="0"/>
          <w:caps w:val="0"/>
          <w:spacing w:val="0"/>
          <w:w w:val="100"/>
          <w:kern w:val="2"/>
          <w:sz w:val="24"/>
          <w:szCs w:val="24"/>
          <w:lang w:val="en-US" w:eastAsia="zh-CN" w:bidi="ar-SA"/>
        </w:rPr>
      </w:pPr>
      <w:r>
        <w:rPr>
          <w:rStyle w:val="8"/>
          <w:rFonts w:ascii="黑体" w:hAnsi="黑体" w:eastAsia="黑体" w:cs="Times New Roman"/>
          <w:b w:val="0"/>
          <w:bCs/>
          <w:i w:val="0"/>
          <w:caps w:val="0"/>
          <w:spacing w:val="0"/>
          <w:w w:val="100"/>
          <w:kern w:val="2"/>
          <w:sz w:val="24"/>
          <w:szCs w:val="24"/>
          <w:lang w:val="en-US" w:eastAsia="zh-CN" w:bidi="ar-SA"/>
        </w:rPr>
        <w:t>感官要求验证</w:t>
      </w:r>
    </w:p>
    <w:p>
      <w:pPr>
        <w:numPr>
          <w:ilvl w:val="0"/>
          <w:numId w:val="6"/>
        </w:numPr>
        <w:snapToGrid/>
        <w:spacing w:before="204" w:beforeAutospacing="0" w:after="0" w:afterAutospacing="0" w:line="240" w:lineRule="auto"/>
        <w:jc w:val="both"/>
        <w:textAlignment w:val="baseline"/>
        <w:rPr>
          <w:rStyle w:val="8"/>
          <w:rFonts w:ascii="黑体" w:hAnsi="黑体" w:eastAsia="黑体" w:cs="Times New Roman"/>
          <w:b w:val="0"/>
          <w:bCs/>
          <w:i w:val="0"/>
          <w:caps w:val="0"/>
          <w:spacing w:val="0"/>
          <w:w w:val="100"/>
          <w:kern w:val="2"/>
          <w:sz w:val="24"/>
          <w:szCs w:val="24"/>
          <w:lang w:val="en-US" w:eastAsia="zh-CN" w:bidi="ar-SA"/>
        </w:rPr>
      </w:pPr>
      <w:r>
        <w:rPr>
          <w:rStyle w:val="8"/>
          <w:rFonts w:ascii="黑体" w:hAnsi="黑体" w:eastAsia="黑体" w:cs="Times New Roman"/>
          <w:b w:val="0"/>
          <w:bCs/>
          <w:i w:val="0"/>
          <w:caps w:val="0"/>
          <w:spacing w:val="0"/>
          <w:w w:val="100"/>
          <w:kern w:val="2"/>
          <w:sz w:val="24"/>
          <w:szCs w:val="24"/>
          <w:lang w:val="en-US" w:eastAsia="zh-CN" w:bidi="ar-SA"/>
        </w:rPr>
        <w:t>异味</w:t>
      </w:r>
    </w:p>
    <w:p>
      <w:pPr>
        <w:pStyle w:val="10"/>
        <w:widowControl/>
        <w:snapToGrid/>
        <w:spacing w:before="0" w:beforeAutospacing="0" w:after="0" w:afterAutospacing="0" w:line="240" w:lineRule="auto"/>
        <w:ind w:firstLine="480" w:firstLineChars="200"/>
        <w:jc w:val="both"/>
        <w:textAlignment w:val="baseline"/>
        <w:rPr>
          <w:rStyle w:val="8"/>
          <w:rFonts w:ascii="宋体" w:hAnsi="宋体" w:eastAsia="宋体"/>
          <w:b w:val="0"/>
          <w:i w:val="0"/>
          <w:caps w:val="0"/>
          <w:spacing w:val="0"/>
          <w:w w:val="100"/>
          <w:sz w:val="24"/>
          <w:szCs w:val="24"/>
        </w:rPr>
      </w:pPr>
      <w:r>
        <w:rPr>
          <w:rStyle w:val="8"/>
          <w:rFonts w:ascii="宋体" w:hAnsi="宋体" w:eastAsia="宋体"/>
          <w:b w:val="0"/>
          <w:i w:val="0"/>
          <w:caps w:val="0"/>
          <w:spacing w:val="0"/>
          <w:w w:val="100"/>
          <w:sz w:val="24"/>
          <w:szCs w:val="24"/>
        </w:rPr>
        <w:t>由检测人员分别对不同品牌、不同规格的24件样品进行嗅闻感官评价，检测结果：所有样品都无异味，符合规定。</w:t>
      </w:r>
    </w:p>
    <w:p>
      <w:pPr>
        <w:numPr>
          <w:ilvl w:val="0"/>
          <w:numId w:val="6"/>
        </w:numPr>
        <w:snapToGrid/>
        <w:spacing w:before="204" w:beforeAutospacing="0" w:after="0" w:afterAutospacing="0" w:line="240" w:lineRule="auto"/>
        <w:jc w:val="both"/>
        <w:textAlignment w:val="baseline"/>
        <w:rPr>
          <w:rStyle w:val="8"/>
          <w:rFonts w:ascii="黑体" w:hAnsi="黑体" w:eastAsia="黑体" w:cs="Times New Roman"/>
          <w:b w:val="0"/>
          <w:bCs/>
          <w:i w:val="0"/>
          <w:caps w:val="0"/>
          <w:spacing w:val="0"/>
          <w:w w:val="100"/>
          <w:kern w:val="2"/>
          <w:sz w:val="24"/>
          <w:szCs w:val="24"/>
          <w:lang w:val="en-US" w:eastAsia="zh-CN" w:bidi="ar-SA"/>
        </w:rPr>
      </w:pPr>
      <w:r>
        <w:rPr>
          <w:rStyle w:val="8"/>
          <w:rFonts w:ascii="黑体" w:hAnsi="黑体" w:eastAsia="黑体" w:cs="Times New Roman"/>
          <w:b w:val="0"/>
          <w:bCs/>
          <w:i w:val="0"/>
          <w:caps w:val="0"/>
          <w:spacing w:val="0"/>
          <w:w w:val="100"/>
          <w:kern w:val="2"/>
          <w:sz w:val="24"/>
          <w:szCs w:val="24"/>
          <w:lang w:val="en-US" w:eastAsia="zh-CN" w:bidi="ar-SA"/>
        </w:rPr>
        <w:t>色泽</w:t>
      </w:r>
    </w:p>
    <w:p>
      <w:pPr>
        <w:pStyle w:val="10"/>
        <w:widowControl/>
        <w:snapToGrid/>
        <w:spacing w:before="0" w:beforeAutospacing="0" w:after="0" w:afterAutospacing="0" w:line="240" w:lineRule="auto"/>
        <w:ind w:firstLine="480" w:firstLineChars="200"/>
        <w:jc w:val="both"/>
        <w:textAlignment w:val="baseline"/>
        <w:rPr>
          <w:rStyle w:val="8"/>
          <w:rFonts w:ascii="宋体" w:hAnsi="宋体" w:eastAsia="宋体"/>
          <w:b w:val="0"/>
          <w:i w:val="0"/>
          <w:caps w:val="0"/>
          <w:spacing w:val="0"/>
          <w:w w:val="100"/>
          <w:sz w:val="24"/>
          <w:szCs w:val="24"/>
        </w:rPr>
      </w:pPr>
      <w:r>
        <w:rPr>
          <w:rStyle w:val="8"/>
          <w:rFonts w:ascii="宋体" w:hAnsi="宋体" w:eastAsia="宋体"/>
          <w:b w:val="0"/>
          <w:i w:val="0"/>
          <w:caps w:val="0"/>
          <w:spacing w:val="0"/>
          <w:w w:val="100"/>
          <w:sz w:val="24"/>
          <w:szCs w:val="24"/>
        </w:rPr>
        <w:t>由检测人员分别对不同品牌、不同规格的24件样品外观颜色进行目测，检测结果：成套样品的色泽基本一致，无明显差异，符合要求。</w:t>
      </w:r>
    </w:p>
    <w:p>
      <w:pPr>
        <w:numPr>
          <w:ilvl w:val="0"/>
          <w:numId w:val="6"/>
        </w:numPr>
        <w:snapToGrid/>
        <w:spacing w:before="204" w:beforeAutospacing="0" w:after="0" w:afterAutospacing="0" w:line="240" w:lineRule="auto"/>
        <w:jc w:val="both"/>
        <w:textAlignment w:val="baseline"/>
        <w:rPr>
          <w:rStyle w:val="8"/>
          <w:rFonts w:ascii="黑体" w:hAnsi="黑体" w:eastAsia="黑体" w:cs="Times New Roman"/>
          <w:b w:val="0"/>
          <w:bCs/>
          <w:i w:val="0"/>
          <w:caps w:val="0"/>
          <w:spacing w:val="0"/>
          <w:w w:val="100"/>
          <w:kern w:val="2"/>
          <w:sz w:val="24"/>
          <w:szCs w:val="24"/>
          <w:lang w:val="en-US" w:eastAsia="zh-CN" w:bidi="ar-SA"/>
        </w:rPr>
      </w:pPr>
      <w:r>
        <w:rPr>
          <w:rStyle w:val="8"/>
          <w:rFonts w:ascii="黑体" w:hAnsi="黑体" w:eastAsia="黑体" w:cs="Times New Roman"/>
          <w:b w:val="0"/>
          <w:bCs/>
          <w:i w:val="0"/>
          <w:caps w:val="0"/>
          <w:spacing w:val="0"/>
          <w:w w:val="100"/>
          <w:kern w:val="2"/>
          <w:sz w:val="24"/>
          <w:szCs w:val="24"/>
          <w:lang w:val="en-US" w:eastAsia="zh-CN" w:bidi="ar-SA"/>
        </w:rPr>
        <w:t>附件连接牢固性</w:t>
      </w:r>
    </w:p>
    <w:p>
      <w:pPr>
        <w:pStyle w:val="10"/>
        <w:widowControl/>
        <w:snapToGrid/>
        <w:spacing w:before="0" w:beforeAutospacing="0" w:after="0" w:afterAutospacing="0" w:line="240" w:lineRule="auto"/>
        <w:ind w:firstLine="480" w:firstLineChars="200"/>
        <w:jc w:val="both"/>
        <w:textAlignment w:val="baseline"/>
        <w:rPr>
          <w:rStyle w:val="8"/>
          <w:rFonts w:ascii="宋体" w:hAnsi="宋体" w:eastAsia="宋体"/>
          <w:b w:val="0"/>
          <w:i w:val="0"/>
          <w:caps w:val="0"/>
          <w:spacing w:val="0"/>
          <w:w w:val="100"/>
          <w:sz w:val="24"/>
          <w:szCs w:val="24"/>
        </w:rPr>
      </w:pPr>
      <w:r>
        <w:rPr>
          <w:rStyle w:val="8"/>
          <w:rFonts w:ascii="宋体" w:hAnsi="宋体" w:eastAsia="宋体"/>
          <w:b w:val="0"/>
          <w:i w:val="0"/>
          <w:caps w:val="0"/>
          <w:spacing w:val="0"/>
          <w:w w:val="100"/>
          <w:sz w:val="24"/>
          <w:szCs w:val="24"/>
        </w:rPr>
        <w:t>由检测人员分别对不同品牌、不同规格的24件样品附件进行手持拉测，检测结果：所有样品的附件都连接牢固，无脱落现象，符合要求。</w:t>
      </w:r>
    </w:p>
    <w:p>
      <w:pPr>
        <w:numPr>
          <w:ilvl w:val="0"/>
          <w:numId w:val="6"/>
        </w:numPr>
        <w:snapToGrid/>
        <w:spacing w:before="204" w:beforeAutospacing="0" w:after="0" w:afterAutospacing="0" w:line="240" w:lineRule="auto"/>
        <w:jc w:val="both"/>
        <w:textAlignment w:val="baseline"/>
        <w:rPr>
          <w:rStyle w:val="8"/>
          <w:rFonts w:ascii="黑体" w:hAnsi="黑体" w:eastAsia="黑体" w:cs="Times New Roman"/>
          <w:b w:val="0"/>
          <w:bCs/>
          <w:i w:val="0"/>
          <w:caps w:val="0"/>
          <w:spacing w:val="0"/>
          <w:w w:val="100"/>
          <w:kern w:val="2"/>
          <w:sz w:val="24"/>
          <w:szCs w:val="24"/>
          <w:lang w:val="en-US" w:eastAsia="zh-CN" w:bidi="ar-SA"/>
        </w:rPr>
      </w:pPr>
      <w:r>
        <w:rPr>
          <w:rStyle w:val="8"/>
          <w:rFonts w:ascii="黑体" w:hAnsi="黑体" w:eastAsia="黑体" w:cs="Times New Roman"/>
          <w:b w:val="0"/>
          <w:bCs/>
          <w:i w:val="0"/>
          <w:caps w:val="0"/>
          <w:spacing w:val="0"/>
          <w:w w:val="100"/>
          <w:kern w:val="2"/>
          <w:sz w:val="24"/>
          <w:szCs w:val="24"/>
          <w:lang w:val="en-US" w:eastAsia="zh-CN" w:bidi="ar-SA"/>
        </w:rPr>
        <w:t>表面装饰成分</w:t>
      </w:r>
    </w:p>
    <w:p>
      <w:pPr>
        <w:pStyle w:val="10"/>
        <w:widowControl/>
        <w:snapToGrid/>
        <w:spacing w:before="0" w:beforeAutospacing="0" w:after="0" w:afterAutospacing="0" w:line="240" w:lineRule="auto"/>
        <w:ind w:firstLine="480" w:firstLineChars="200"/>
        <w:jc w:val="both"/>
        <w:textAlignment w:val="baseline"/>
        <w:rPr>
          <w:rStyle w:val="8"/>
          <w:rFonts w:ascii="宋体" w:hAnsi="宋体" w:eastAsia="宋体"/>
          <w:b w:val="0"/>
          <w:i w:val="0"/>
          <w:caps w:val="0"/>
          <w:spacing w:val="0"/>
          <w:w w:val="100"/>
          <w:sz w:val="24"/>
          <w:szCs w:val="24"/>
        </w:rPr>
      </w:pPr>
      <w:r>
        <w:rPr>
          <w:rStyle w:val="8"/>
          <w:rFonts w:ascii="宋体" w:hAnsi="宋体" w:eastAsia="宋体"/>
          <w:b w:val="0"/>
          <w:i w:val="0"/>
          <w:caps w:val="0"/>
          <w:spacing w:val="0"/>
          <w:w w:val="100"/>
          <w:sz w:val="24"/>
          <w:szCs w:val="24"/>
        </w:rPr>
        <w:t>通过对不同品牌、不同规格的24件样品的生产厂家提供的产品MSDS组分表进行分析验证，验证结果：所有样品的表面装饰都为无机物，符合要求。</w:t>
      </w:r>
    </w:p>
    <w:p>
      <w:pPr>
        <w:numPr>
          <w:ilvl w:val="0"/>
          <w:numId w:val="6"/>
        </w:numPr>
        <w:snapToGrid/>
        <w:spacing w:before="204" w:beforeAutospacing="0" w:after="0" w:afterAutospacing="0" w:line="240" w:lineRule="auto"/>
        <w:jc w:val="both"/>
        <w:textAlignment w:val="baseline"/>
        <w:rPr>
          <w:rStyle w:val="8"/>
          <w:rFonts w:ascii="黑体" w:hAnsi="黑体" w:eastAsia="黑体" w:cs="Times New Roman"/>
          <w:b w:val="0"/>
          <w:bCs/>
          <w:i w:val="0"/>
          <w:caps w:val="0"/>
          <w:spacing w:val="0"/>
          <w:w w:val="100"/>
          <w:kern w:val="2"/>
          <w:sz w:val="24"/>
          <w:szCs w:val="24"/>
          <w:lang w:val="en-US" w:eastAsia="zh-CN" w:bidi="ar-SA"/>
        </w:rPr>
      </w:pPr>
      <w:r>
        <w:rPr>
          <w:rStyle w:val="8"/>
          <w:rFonts w:ascii="黑体" w:hAnsi="黑体" w:eastAsia="黑体" w:cs="Times New Roman"/>
          <w:b w:val="0"/>
          <w:bCs/>
          <w:i w:val="0"/>
          <w:caps w:val="0"/>
          <w:spacing w:val="0"/>
          <w:w w:val="100"/>
          <w:kern w:val="2"/>
          <w:sz w:val="24"/>
          <w:szCs w:val="24"/>
          <w:lang w:val="en-US" w:eastAsia="zh-CN" w:bidi="ar-SA"/>
        </w:rPr>
        <w:t>外观质量</w:t>
      </w:r>
    </w:p>
    <w:p>
      <w:pPr>
        <w:pStyle w:val="10"/>
        <w:widowControl/>
        <w:snapToGrid/>
        <w:spacing w:before="0" w:beforeAutospacing="0" w:after="0" w:afterAutospacing="0" w:line="240" w:lineRule="auto"/>
        <w:ind w:firstLine="480" w:firstLineChars="200"/>
        <w:jc w:val="both"/>
        <w:textAlignment w:val="baseline"/>
        <w:rPr>
          <w:rStyle w:val="8"/>
          <w:rFonts w:ascii="宋体" w:hAnsi="宋体" w:eastAsia="宋体"/>
          <w:b w:val="0"/>
          <w:i w:val="0"/>
          <w:caps w:val="0"/>
          <w:spacing w:val="0"/>
          <w:w w:val="100"/>
          <w:sz w:val="24"/>
          <w:szCs w:val="24"/>
        </w:rPr>
      </w:pPr>
      <w:r>
        <w:rPr>
          <w:rStyle w:val="8"/>
          <w:rFonts w:ascii="宋体" w:hAnsi="宋体" w:eastAsia="宋体"/>
          <w:b w:val="0"/>
          <w:i w:val="0"/>
          <w:caps w:val="0"/>
          <w:spacing w:val="0"/>
          <w:w w:val="100"/>
          <w:sz w:val="24"/>
          <w:szCs w:val="24"/>
        </w:rPr>
        <w:t>由检测人员分别对不同品牌、不同规格的24件样品外观质量进行目测，检测结果：优等品的缺陷为1-2种；合格品的缺陷为2-3种，符合要求。</w:t>
      </w:r>
    </w:p>
    <w:p>
      <w:pPr>
        <w:numPr>
          <w:ilvl w:val="0"/>
          <w:numId w:val="6"/>
        </w:numPr>
        <w:snapToGrid/>
        <w:spacing w:before="204" w:beforeAutospacing="0" w:after="0" w:afterAutospacing="0" w:line="240" w:lineRule="auto"/>
        <w:jc w:val="both"/>
        <w:textAlignment w:val="baseline"/>
        <w:rPr>
          <w:rStyle w:val="8"/>
          <w:rFonts w:ascii="黑体" w:hAnsi="黑体" w:eastAsia="黑体" w:cs="Times New Roman"/>
          <w:b w:val="0"/>
          <w:bCs/>
          <w:i w:val="0"/>
          <w:caps w:val="0"/>
          <w:spacing w:val="0"/>
          <w:w w:val="100"/>
          <w:kern w:val="2"/>
          <w:sz w:val="24"/>
          <w:szCs w:val="24"/>
          <w:lang w:val="en-US" w:eastAsia="zh-CN" w:bidi="ar-SA"/>
        </w:rPr>
      </w:pPr>
      <w:r>
        <w:rPr>
          <w:rStyle w:val="8"/>
          <w:rFonts w:ascii="黑体" w:hAnsi="黑体" w:eastAsia="黑体" w:cs="Times New Roman"/>
          <w:b w:val="0"/>
          <w:bCs/>
          <w:i w:val="0"/>
          <w:caps w:val="0"/>
          <w:spacing w:val="0"/>
          <w:w w:val="100"/>
          <w:kern w:val="2"/>
          <w:sz w:val="24"/>
          <w:szCs w:val="24"/>
          <w:lang w:val="en-US" w:eastAsia="zh-CN" w:bidi="ar-SA"/>
        </w:rPr>
        <w:t>口径、高度、容量误差</w:t>
      </w:r>
    </w:p>
    <w:p>
      <w:pPr>
        <w:snapToGrid/>
        <w:spacing w:before="0" w:beforeAutospacing="0" w:after="0" w:afterAutospacing="0" w:line="240" w:lineRule="auto"/>
        <w:ind w:firstLine="480" w:firstLineChars="200"/>
        <w:jc w:val="both"/>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针对不同品牌、不同规格的24个样品进行检测，结果如表1所示：</w:t>
      </w:r>
    </w:p>
    <w:p>
      <w:pPr>
        <w:snapToGrid/>
        <w:spacing w:before="0" w:beforeAutospacing="0" w:after="0" w:afterAutospacing="0" w:line="240" w:lineRule="auto"/>
        <w:jc w:val="center"/>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表 1</w:t>
      </w:r>
    </w:p>
    <w:tbl>
      <w:tblPr>
        <w:tblStyle w:val="4"/>
        <w:tblW w:w="92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750"/>
        <w:gridCol w:w="1872"/>
        <w:gridCol w:w="1872"/>
        <w:gridCol w:w="1872"/>
        <w:gridCol w:w="18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75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编号</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口径误差（%）</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高度误差（%）</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容量误差（%）</w:t>
            </w:r>
          </w:p>
        </w:tc>
        <w:tc>
          <w:tcPr>
            <w:tcW w:w="1872"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1750" w:type="dxa"/>
            <w:vMerge w:val="continue"/>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标准±2.0%</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标准±2.0%</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标准±8.0%</w:t>
            </w:r>
          </w:p>
        </w:tc>
        <w:tc>
          <w:tcPr>
            <w:tcW w:w="1872"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1.3</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0.9</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3.58</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0.8</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1.2</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1.81</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3#样品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0.5</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1.1</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0.94</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4#样品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1.1</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1.3</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3.70</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5#样品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0.8</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0.7</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1.06</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6#样品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0.5</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0.5</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0.29</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7#样品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0.9</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0.8</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1.53</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8#样品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1.7</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1.5</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10.21</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容量误差不合格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9#样品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1.1</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1.3</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3.70</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10#样品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1.2</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1.2</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4.07</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11#样品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1.0</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0.8</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1.88</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12#样品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1.2</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0.9</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3.05</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13#样品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0.4</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0.5</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0.19</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14#样品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0.9</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2.3</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4.39</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高度误差不合格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15#样品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0.7</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0.9</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1.04</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16#样品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1.3</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0.4</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1.59</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17#样品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0.9</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1.4</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2.67</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18#样品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0.7</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1.2</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1.38</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19#样品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1.1</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0.7</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1.99</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20#样品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1.0</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0.3</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0.71</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21#样品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1.2</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0.9</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3.05</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22#样品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0.8</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0.8</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1.21</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23#样品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1.5</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1.3</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6.89</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24#样品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1.4</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0.6</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2.77</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bl>
    <w:p>
      <w:pPr>
        <w:pStyle w:val="10"/>
        <w:widowControl/>
        <w:snapToGrid/>
        <w:spacing w:before="0" w:beforeAutospacing="0" w:after="0" w:afterAutospacing="0" w:line="240" w:lineRule="auto"/>
        <w:ind w:firstLine="480" w:firstLineChars="200"/>
        <w:jc w:val="both"/>
        <w:textAlignment w:val="baseline"/>
        <w:rPr>
          <w:rStyle w:val="8"/>
          <w:rFonts w:ascii="宋体" w:hAnsi="宋体" w:eastAsia="宋体"/>
          <w:b w:val="0"/>
          <w:i w:val="0"/>
          <w:caps w:val="0"/>
          <w:spacing w:val="0"/>
          <w:w w:val="100"/>
          <w:sz w:val="24"/>
          <w:szCs w:val="24"/>
        </w:rPr>
      </w:pPr>
      <w:r>
        <w:rPr>
          <w:rStyle w:val="8"/>
          <w:rFonts w:ascii="宋体" w:hAnsi="宋体" w:eastAsia="宋体"/>
          <w:b w:val="0"/>
          <w:i w:val="0"/>
          <w:caps w:val="0"/>
          <w:spacing w:val="0"/>
          <w:w w:val="100"/>
          <w:sz w:val="24"/>
          <w:szCs w:val="24"/>
        </w:rPr>
        <w:t>通过以上24组数据分析，其中22件样品合格，1件样品高度误差不合格，1件样品容积误差不合格，合格率为91.67%。工作组经过对验证的数据进行研究分析，认为口径、高度、容量误差的设置符合行业技术水平，具有科学合理性。</w:t>
      </w:r>
    </w:p>
    <w:p>
      <w:pPr>
        <w:numPr>
          <w:ilvl w:val="0"/>
          <w:numId w:val="6"/>
        </w:numPr>
        <w:snapToGrid/>
        <w:spacing w:before="204" w:beforeAutospacing="0" w:after="0" w:afterAutospacing="0" w:line="240" w:lineRule="auto"/>
        <w:jc w:val="both"/>
        <w:textAlignment w:val="baseline"/>
        <w:rPr>
          <w:rStyle w:val="8"/>
          <w:rFonts w:ascii="黑体" w:hAnsi="黑体" w:eastAsia="黑体" w:cs="Times New Roman"/>
          <w:b w:val="0"/>
          <w:bCs/>
          <w:i w:val="0"/>
          <w:caps w:val="0"/>
          <w:spacing w:val="0"/>
          <w:w w:val="100"/>
          <w:kern w:val="2"/>
          <w:sz w:val="24"/>
          <w:szCs w:val="24"/>
          <w:lang w:val="en-US" w:eastAsia="zh-CN" w:bidi="ar-SA"/>
        </w:rPr>
      </w:pPr>
      <w:r>
        <w:rPr>
          <w:rStyle w:val="8"/>
          <w:rFonts w:ascii="黑体" w:hAnsi="黑体" w:eastAsia="黑体" w:cs="Times New Roman"/>
          <w:b w:val="0"/>
          <w:bCs/>
          <w:i w:val="0"/>
          <w:caps w:val="0"/>
          <w:spacing w:val="0"/>
          <w:w w:val="100"/>
          <w:kern w:val="2"/>
          <w:sz w:val="24"/>
          <w:szCs w:val="24"/>
          <w:lang w:val="en-US" w:eastAsia="zh-CN" w:bidi="ar-SA"/>
        </w:rPr>
        <w:t>壶类产品盖与口的吻合</w:t>
      </w:r>
    </w:p>
    <w:p>
      <w:pPr>
        <w:snapToGrid/>
        <w:spacing w:before="0" w:beforeAutospacing="0" w:after="0" w:afterAutospacing="0" w:line="240" w:lineRule="auto"/>
        <w:ind w:firstLine="480" w:firstLineChars="200"/>
        <w:jc w:val="both"/>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针对不同品牌、不同规格的24个壶类样品进行检测，结果如表2所示：</w:t>
      </w:r>
    </w:p>
    <w:p>
      <w:pPr>
        <w:snapToGrid/>
        <w:spacing w:before="0" w:beforeAutospacing="0" w:after="0" w:afterAutospacing="0" w:line="240" w:lineRule="auto"/>
        <w:jc w:val="center"/>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表 2</w:t>
      </w:r>
    </w:p>
    <w:tbl>
      <w:tblPr>
        <w:tblStyle w:val="4"/>
        <w:tblW w:w="92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750"/>
        <w:gridCol w:w="1872"/>
        <w:gridCol w:w="1951"/>
        <w:gridCol w:w="1890"/>
        <w:gridCol w:w="1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75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编号</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盖与口相吻合</w:t>
            </w:r>
          </w:p>
        </w:tc>
        <w:tc>
          <w:tcPr>
            <w:tcW w:w="195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倾斜70º盖不脱落</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盖与口的位移距离不超过2mm</w:t>
            </w:r>
          </w:p>
        </w:tc>
        <w:tc>
          <w:tcPr>
            <w:tcW w:w="177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95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89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77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95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脱落</w:t>
            </w:r>
          </w:p>
        </w:tc>
        <w:tc>
          <w:tcPr>
            <w:tcW w:w="189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77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3#样品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95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89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77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4#样品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95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89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2.5mm</w:t>
            </w:r>
          </w:p>
        </w:tc>
        <w:tc>
          <w:tcPr>
            <w:tcW w:w="177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5#样品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95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89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77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6#样品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95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89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77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7#样品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95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89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77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8#样品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95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89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77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9#样品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95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89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77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10#样品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95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89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77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11#样品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95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89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77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12#样品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95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89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77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13#样品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95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89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77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14#样品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95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89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77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15#样品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95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89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77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16#样品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95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89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77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17#样品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95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89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77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18#样品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95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89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77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19#样品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95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89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77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20#样品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95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脱落</w:t>
            </w:r>
          </w:p>
        </w:tc>
        <w:tc>
          <w:tcPr>
            <w:tcW w:w="189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2.3mm</w:t>
            </w:r>
          </w:p>
        </w:tc>
        <w:tc>
          <w:tcPr>
            <w:tcW w:w="177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21#样品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95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89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77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22#样品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95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89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77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23#样品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95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89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77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5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24#样品</w:t>
            </w:r>
          </w:p>
        </w:tc>
        <w:tc>
          <w:tcPr>
            <w:tcW w:w="187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95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89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是</w:t>
            </w:r>
          </w:p>
        </w:tc>
        <w:tc>
          <w:tcPr>
            <w:tcW w:w="177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bl>
    <w:p>
      <w:pPr>
        <w:pStyle w:val="10"/>
        <w:widowControl/>
        <w:snapToGrid/>
        <w:spacing w:before="0" w:beforeAutospacing="0" w:after="0" w:afterAutospacing="0" w:line="240" w:lineRule="auto"/>
        <w:ind w:firstLine="480" w:firstLineChars="200"/>
        <w:jc w:val="both"/>
        <w:textAlignment w:val="baseline"/>
        <w:rPr>
          <w:rStyle w:val="8"/>
          <w:rFonts w:ascii="宋体" w:hAnsi="宋体" w:eastAsia="宋体"/>
          <w:b w:val="0"/>
          <w:i w:val="0"/>
          <w:caps w:val="0"/>
          <w:spacing w:val="0"/>
          <w:w w:val="100"/>
          <w:sz w:val="24"/>
          <w:szCs w:val="24"/>
        </w:rPr>
      </w:pPr>
      <w:r>
        <w:rPr>
          <w:rStyle w:val="8"/>
          <w:rFonts w:ascii="宋体" w:hAnsi="宋体" w:eastAsia="宋体"/>
          <w:b w:val="0"/>
          <w:i w:val="0"/>
          <w:caps w:val="0"/>
          <w:spacing w:val="0"/>
          <w:w w:val="100"/>
          <w:sz w:val="24"/>
          <w:szCs w:val="24"/>
        </w:rPr>
        <w:t>通过以上24组数据分析，其中21件样品合格，1件样品倾斜70º时盖子脱落不合格，1件样盖与口的位移距离超过2mm不合格，1件样品倾斜70º时盖子脱落，且盖与口的位移距离超过2mm不合格，合格率为87.5%。工作组经过对验证的数据进行研究分析，认为壶类产品盖与口的吻合设置符合行业技术水平，具有科学合理性。</w:t>
      </w:r>
    </w:p>
    <w:p>
      <w:pPr>
        <w:snapToGrid/>
        <w:spacing w:before="204" w:beforeAutospacing="0" w:after="0" w:afterAutospacing="0" w:line="240" w:lineRule="auto"/>
        <w:jc w:val="both"/>
        <w:textAlignment w:val="baseline"/>
        <w:rPr>
          <w:rStyle w:val="8"/>
          <w:rFonts w:ascii="黑体" w:hAnsi="黑体" w:eastAsia="黑体" w:cs="Times New Roman"/>
          <w:b w:val="0"/>
          <w:bCs/>
          <w:i w:val="0"/>
          <w:caps w:val="0"/>
          <w:spacing w:val="0"/>
          <w:w w:val="100"/>
          <w:kern w:val="2"/>
          <w:sz w:val="24"/>
          <w:szCs w:val="24"/>
          <w:lang w:val="en-US" w:eastAsia="zh-CN" w:bidi="ar-SA"/>
        </w:rPr>
      </w:pPr>
      <w:r>
        <w:rPr>
          <w:rStyle w:val="8"/>
          <w:rFonts w:ascii="黑体" w:hAnsi="黑体" w:eastAsia="黑体" w:cs="Times New Roman"/>
          <w:b w:val="0"/>
          <w:bCs/>
          <w:i w:val="0"/>
          <w:caps w:val="0"/>
          <w:spacing w:val="0"/>
          <w:w w:val="100"/>
          <w:kern w:val="2"/>
          <w:sz w:val="24"/>
          <w:szCs w:val="24"/>
          <w:lang w:val="en-US" w:eastAsia="zh-CN" w:bidi="ar-SA"/>
        </w:rPr>
        <w:t>（二）理化指标试验</w:t>
      </w:r>
    </w:p>
    <w:p>
      <w:pPr>
        <w:snapToGrid/>
        <w:spacing w:before="204" w:beforeAutospacing="0" w:after="0" w:afterAutospacing="0" w:line="240" w:lineRule="auto"/>
        <w:jc w:val="both"/>
        <w:textAlignment w:val="baseline"/>
        <w:rPr>
          <w:rStyle w:val="8"/>
          <w:rFonts w:ascii="黑体" w:hAnsi="黑体" w:eastAsia="黑体" w:cs="Times New Roman"/>
          <w:b w:val="0"/>
          <w:bCs/>
          <w:i w:val="0"/>
          <w:caps w:val="0"/>
          <w:spacing w:val="0"/>
          <w:w w:val="100"/>
          <w:kern w:val="2"/>
          <w:sz w:val="24"/>
          <w:szCs w:val="24"/>
          <w:lang w:val="en-US" w:eastAsia="zh-CN" w:bidi="ar-SA"/>
        </w:rPr>
      </w:pPr>
      <w:r>
        <w:rPr>
          <w:rStyle w:val="8"/>
          <w:rFonts w:ascii="黑体" w:hAnsi="黑体" w:eastAsia="黑体" w:cs="Times New Roman"/>
          <w:b w:val="0"/>
          <w:bCs/>
          <w:i w:val="0"/>
          <w:caps w:val="0"/>
          <w:spacing w:val="0"/>
          <w:w w:val="100"/>
          <w:kern w:val="2"/>
          <w:sz w:val="24"/>
          <w:szCs w:val="24"/>
          <w:lang w:val="en-US" w:eastAsia="zh-CN" w:bidi="ar-SA"/>
        </w:rPr>
        <w:t>1、吸水率</w:t>
      </w:r>
    </w:p>
    <w:p>
      <w:pPr>
        <w:snapToGrid/>
        <w:spacing w:before="0" w:beforeAutospacing="0" w:after="0" w:afterAutospacing="0" w:line="240" w:lineRule="auto"/>
        <w:ind w:firstLine="480" w:firstLineChars="200"/>
        <w:jc w:val="both"/>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针对不同品牌、不同规格的24个样品进行检测，结果如表3所示：</w:t>
      </w:r>
    </w:p>
    <w:p>
      <w:pPr>
        <w:snapToGrid/>
        <w:spacing w:before="0" w:beforeAutospacing="0" w:after="0" w:afterAutospacing="0" w:line="240" w:lineRule="auto"/>
        <w:jc w:val="center"/>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表 3</w:t>
      </w:r>
    </w:p>
    <w:tbl>
      <w:tblPr>
        <w:tblStyle w:val="4"/>
        <w:tblW w:w="92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11"/>
        <w:gridCol w:w="3815"/>
        <w:gridCol w:w="3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1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编号</w:t>
            </w:r>
          </w:p>
        </w:tc>
        <w:tc>
          <w:tcPr>
            <w:tcW w:w="3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吸水率（%）</w:t>
            </w:r>
          </w:p>
        </w:tc>
        <w:tc>
          <w:tcPr>
            <w:tcW w:w="3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判定（标准值2.5</w:t>
            </w:r>
            <w:r>
              <w:rPr>
                <w:rStyle w:val="8"/>
                <w:rFonts w:ascii="楷体_GB2312" w:hAnsi="宋体" w:eastAsia="楷体_GB2312"/>
                <w:b w:val="0"/>
                <w:i w:val="0"/>
                <w:caps w:val="0"/>
                <w:spacing w:val="0"/>
                <w:w w:val="100"/>
                <w:sz w:val="18"/>
                <w:szCs w:val="18"/>
                <w:lang w:val="en-US" w:eastAsia="zh-CN" w:bidi="ar-SA"/>
              </w:rPr>
              <w:t>～</w:t>
            </w:r>
            <w:r>
              <w:rPr>
                <w:rStyle w:val="8"/>
                <w:rFonts w:ascii="宋体" w:hAnsi="宋体" w:eastAsia="宋体"/>
                <w:b w:val="0"/>
                <w:i w:val="0"/>
                <w:caps w:val="0"/>
                <w:spacing w:val="0"/>
                <w:w w:val="100"/>
                <w:sz w:val="22"/>
                <w:szCs w:val="22"/>
                <w:lang w:val="en-US" w:eastAsia="zh-CN" w:bidi="ar-SA"/>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1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1#样品</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5.3</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1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2#样品</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4.8</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1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3#样品</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4.5</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1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4#样品</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5.1</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1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5#样品</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3.8</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1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6#样品</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5.5</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1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7#样品</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2.9</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1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8#样品</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2.7</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1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9#样品</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4.1</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1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10#样品</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3.2</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1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11#样品</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3.0</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1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12#样品</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5.2</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1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13#样品</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5.4</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1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14#样品</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4.4</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1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15#样品</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2.7</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1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16#样品</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3.3</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1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17#样品</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2.9</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1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18#样品</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3.7</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1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19#样品</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5.1</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1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20#样品</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5.0</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1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21#样品</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4.2</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1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22#样品</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4.8</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1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23#样品</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5.5</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1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24#样品</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3.4</w:t>
            </w:r>
          </w:p>
        </w:tc>
        <w:tc>
          <w:tcPr>
            <w:tcW w:w="381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bl>
    <w:p>
      <w:pPr>
        <w:snapToGrid/>
        <w:spacing w:before="0" w:beforeAutospacing="0" w:after="0" w:afterAutospacing="0" w:line="240" w:lineRule="auto"/>
        <w:ind w:firstLine="480" w:firstLineChars="200"/>
        <w:jc w:val="both"/>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通过以上24组数据分析，所有样品的吸水率检测结果为2.7%</w:t>
      </w:r>
      <w:r>
        <w:rPr>
          <w:rStyle w:val="8"/>
          <w:rFonts w:ascii="楷体_GB2312" w:hAnsi="宋体" w:eastAsia="楷体_GB2312"/>
          <w:b w:val="0"/>
          <w:i w:val="0"/>
          <w:caps w:val="0"/>
          <w:spacing w:val="0"/>
          <w:w w:val="100"/>
          <w:sz w:val="18"/>
          <w:szCs w:val="18"/>
          <w:lang w:val="en-US" w:eastAsia="zh-CN" w:bidi="ar-SA"/>
        </w:rPr>
        <w:t>～</w:t>
      </w:r>
      <w:r>
        <w:rPr>
          <w:rStyle w:val="8"/>
          <w:rFonts w:ascii="宋体" w:hAnsi="宋体" w:eastAsia="宋体"/>
          <w:b w:val="0"/>
          <w:i w:val="0"/>
          <w:caps w:val="0"/>
          <w:spacing w:val="0"/>
          <w:w w:val="100"/>
          <w:sz w:val="24"/>
          <w:szCs w:val="24"/>
          <w:lang w:val="en-US" w:eastAsia="zh-CN" w:bidi="ar-SA"/>
        </w:rPr>
        <w:t>5.5%，符合标准要求的吸水率2.5%</w:t>
      </w:r>
      <w:r>
        <w:rPr>
          <w:rStyle w:val="8"/>
          <w:rFonts w:ascii="楷体_GB2312" w:hAnsi="宋体" w:eastAsia="楷体_GB2312"/>
          <w:b w:val="0"/>
          <w:i w:val="0"/>
          <w:caps w:val="0"/>
          <w:spacing w:val="0"/>
          <w:w w:val="100"/>
          <w:sz w:val="18"/>
          <w:szCs w:val="18"/>
          <w:lang w:val="en-US" w:eastAsia="zh-CN" w:bidi="ar-SA"/>
        </w:rPr>
        <w:t>～</w:t>
      </w:r>
      <w:r>
        <w:rPr>
          <w:rStyle w:val="8"/>
          <w:rFonts w:ascii="宋体" w:hAnsi="宋体" w:eastAsia="宋体"/>
          <w:b w:val="0"/>
          <w:i w:val="0"/>
          <w:caps w:val="0"/>
          <w:spacing w:val="0"/>
          <w:w w:val="100"/>
          <w:sz w:val="24"/>
          <w:szCs w:val="24"/>
          <w:lang w:val="en-US" w:eastAsia="zh-CN" w:bidi="ar-SA"/>
        </w:rPr>
        <w:t>6.0%。工作组经过对验证的数据进行研究分析，认为吸水率的设置符合行业技术水平，具有科学合理性。</w:t>
      </w:r>
    </w:p>
    <w:p>
      <w:pPr>
        <w:snapToGrid/>
        <w:spacing w:before="204" w:beforeAutospacing="0" w:after="0" w:afterAutospacing="0" w:line="240" w:lineRule="auto"/>
        <w:jc w:val="both"/>
        <w:textAlignment w:val="baseline"/>
        <w:rPr>
          <w:rStyle w:val="8"/>
          <w:rFonts w:ascii="黑体" w:hAnsi="黑体" w:eastAsia="黑体" w:cs="Times New Roman"/>
          <w:b w:val="0"/>
          <w:bCs/>
          <w:i w:val="0"/>
          <w:caps w:val="0"/>
          <w:spacing w:val="0"/>
          <w:w w:val="100"/>
          <w:kern w:val="2"/>
          <w:sz w:val="24"/>
          <w:szCs w:val="24"/>
          <w:lang w:val="en-US" w:eastAsia="zh-CN" w:bidi="ar-SA"/>
        </w:rPr>
      </w:pPr>
      <w:r>
        <w:rPr>
          <w:rStyle w:val="8"/>
          <w:rFonts w:ascii="黑体" w:hAnsi="黑体" w:eastAsia="黑体" w:cs="Times New Roman"/>
          <w:b w:val="0"/>
          <w:bCs/>
          <w:i w:val="0"/>
          <w:caps w:val="0"/>
          <w:spacing w:val="0"/>
          <w:w w:val="100"/>
          <w:kern w:val="2"/>
          <w:sz w:val="24"/>
          <w:szCs w:val="24"/>
          <w:lang w:val="en-US" w:eastAsia="zh-CN" w:bidi="ar-SA"/>
        </w:rPr>
        <w:t>2、抗热震性</w:t>
      </w:r>
    </w:p>
    <w:p>
      <w:pPr>
        <w:snapToGrid/>
        <w:spacing w:before="0" w:beforeAutospacing="0" w:after="0" w:afterAutospacing="0" w:line="240" w:lineRule="auto"/>
        <w:ind w:firstLine="480" w:firstLineChars="200"/>
        <w:jc w:val="both"/>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针对不同品牌、不同规格的24个样品进行检测，结果如表4所示：</w:t>
      </w:r>
    </w:p>
    <w:p>
      <w:pPr>
        <w:snapToGrid/>
        <w:spacing w:before="0" w:beforeAutospacing="0" w:after="0" w:afterAutospacing="0" w:line="240" w:lineRule="auto"/>
        <w:jc w:val="center"/>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表4</w:t>
      </w:r>
    </w:p>
    <w:tbl>
      <w:tblPr>
        <w:tblStyle w:val="4"/>
        <w:tblW w:w="84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338"/>
        <w:gridCol w:w="3063"/>
        <w:gridCol w:w="3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338"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编号</w:t>
            </w:r>
          </w:p>
        </w:tc>
        <w:tc>
          <w:tcPr>
            <w:tcW w:w="306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现象</w:t>
            </w:r>
          </w:p>
        </w:tc>
        <w:tc>
          <w:tcPr>
            <w:tcW w:w="306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338"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1#样品</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无裂缝</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338"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2#样品</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无裂缝</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338"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3#样品</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无裂缝</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338"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4#样品</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细小裂缝</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338"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5#样品</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无裂缝</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338"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6#样品</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无裂缝</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338"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7#样品</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无裂缝</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338"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8#样品</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无裂缝</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338"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9#样品</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无裂缝</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338"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10#样品</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细小裂缝</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338"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11#样品</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无裂缝</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338"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12#样品</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无裂缝</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338"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13#样品</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无裂缝</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338"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14#样品</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无裂缝</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338"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15#样品</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无裂缝</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338"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16#样品</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无裂缝</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338"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17#样品</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无裂缝</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338"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18#样品</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无裂缝</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338"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19#样品</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无裂缝</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338"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20#样品</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无裂缝</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338"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21#样品</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无裂缝</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338"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22#样品</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无裂缝</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338"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23#样品</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无裂缝</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338"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24#样品</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无裂缝</w:t>
            </w:r>
          </w:p>
        </w:tc>
        <w:tc>
          <w:tcPr>
            <w:tcW w:w="306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bl>
    <w:p>
      <w:pPr>
        <w:snapToGrid/>
        <w:spacing w:before="0" w:beforeAutospacing="0" w:after="0" w:afterAutospacing="0" w:line="240" w:lineRule="auto"/>
        <w:ind w:firstLine="480" w:firstLineChars="200"/>
        <w:jc w:val="both"/>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通过以上24组数据分析，其中22件样品无裂缝，2件样品出现细小裂缝，合格率为91.67%。工作组经过对验证的数据进行研究分析，认为抗热震性的设置符合行业技术水平，具有科学合理性。</w:t>
      </w:r>
    </w:p>
    <w:p>
      <w:pPr>
        <w:snapToGrid/>
        <w:spacing w:before="204" w:beforeAutospacing="0" w:after="0" w:afterAutospacing="0" w:line="240" w:lineRule="auto"/>
        <w:jc w:val="both"/>
        <w:textAlignment w:val="baseline"/>
        <w:rPr>
          <w:rStyle w:val="8"/>
          <w:rFonts w:ascii="宋体" w:hAnsi="宋体" w:eastAsia="宋体"/>
          <w:b w:val="0"/>
          <w:i w:val="0"/>
          <w:caps w:val="0"/>
          <w:spacing w:val="0"/>
          <w:w w:val="100"/>
          <w:sz w:val="24"/>
          <w:szCs w:val="24"/>
          <w:lang w:val="en-US" w:eastAsia="zh-CN" w:bidi="ar-SA"/>
        </w:rPr>
      </w:pPr>
      <w:r>
        <w:rPr>
          <w:rStyle w:val="8"/>
          <w:rFonts w:ascii="黑体" w:hAnsi="黑体" w:eastAsia="黑体" w:cs="Times New Roman"/>
          <w:b w:val="0"/>
          <w:bCs/>
          <w:i w:val="0"/>
          <w:caps w:val="0"/>
          <w:spacing w:val="0"/>
          <w:w w:val="100"/>
          <w:kern w:val="2"/>
          <w:sz w:val="24"/>
          <w:szCs w:val="24"/>
          <w:lang w:val="en-US" w:eastAsia="zh-CN" w:bidi="ar-SA"/>
        </w:rPr>
        <w:t>3、pH</w:t>
      </w:r>
    </w:p>
    <w:p>
      <w:pPr>
        <w:pStyle w:val="14"/>
        <w:widowControl/>
        <w:snapToGrid/>
        <w:spacing w:before="0" w:beforeAutospacing="0" w:after="0" w:afterAutospacing="0" w:line="240" w:lineRule="auto"/>
        <w:ind w:firstLine="540"/>
        <w:jc w:val="both"/>
        <w:textAlignment w:val="baseline"/>
        <w:rPr>
          <w:rStyle w:val="8"/>
          <w:rFonts w:ascii="宋体" w:hAnsi="宋体" w:eastAsia="宋体"/>
          <w:b w:val="0"/>
          <w:i w:val="0"/>
          <w:caps w:val="0"/>
          <w:spacing w:val="0"/>
          <w:w w:val="100"/>
          <w:sz w:val="24"/>
          <w:szCs w:val="24"/>
          <w:lang w:val="en-US" w:eastAsia="zh-CN"/>
        </w:rPr>
      </w:pPr>
      <w:r>
        <w:rPr>
          <w:rStyle w:val="8"/>
          <w:rFonts w:ascii="宋体" w:hAnsi="宋体" w:eastAsia="宋体"/>
          <w:b w:val="0"/>
          <w:i w:val="0"/>
          <w:caps w:val="0"/>
          <w:spacing w:val="0"/>
          <w:w w:val="100"/>
          <w:sz w:val="24"/>
          <w:szCs w:val="24"/>
          <w:lang w:val="en-US" w:eastAsia="zh-CN"/>
        </w:rPr>
        <w:t>针对不同品牌、不同规格的24个样品进行检测，结果如表5所示：</w:t>
      </w:r>
    </w:p>
    <w:p>
      <w:pPr>
        <w:snapToGrid/>
        <w:spacing w:before="0" w:beforeAutospacing="0" w:after="0" w:afterAutospacing="0" w:line="240" w:lineRule="auto"/>
        <w:jc w:val="center"/>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表 5</w:t>
      </w:r>
    </w:p>
    <w:tbl>
      <w:tblPr>
        <w:tblStyle w:val="4"/>
        <w:tblW w:w="92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99"/>
        <w:gridCol w:w="2320"/>
        <w:gridCol w:w="2310"/>
        <w:gridCol w:w="26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编号</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水温（</w:t>
            </w:r>
            <w:r>
              <w:rPr>
                <w:rStyle w:val="8"/>
                <w:rFonts w:ascii="宋体" w:hAnsi="宋体" w:eastAsia="宋体"/>
                <w:b w:val="0"/>
                <w:i w:val="0"/>
                <w:caps w:val="0"/>
                <w:spacing w:val="0"/>
                <w:w w:val="100"/>
                <w:sz w:val="24"/>
                <w:szCs w:val="24"/>
                <w:lang w:val="en-US" w:eastAsia="zh-CN" w:bidi="ar-SA"/>
              </w:rPr>
              <w:t>℃</w:t>
            </w:r>
            <w:r>
              <w:rPr>
                <w:rStyle w:val="8"/>
                <w:rFonts w:ascii="宋体" w:hAnsi="宋体" w:eastAsia="宋体"/>
                <w:b w:val="0"/>
                <w:i w:val="0"/>
                <w:caps w:val="0"/>
                <w:spacing w:val="0"/>
                <w:w w:val="100"/>
                <w:sz w:val="22"/>
                <w:szCs w:val="22"/>
                <w:lang w:val="en-US" w:eastAsia="zh-CN" w:bidi="ar-SA"/>
              </w:rPr>
              <w:t>）</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4"/>
                <w:szCs w:val="24"/>
                <w:lang w:val="en-US" w:eastAsia="zh-CN" w:bidi="ar-SA"/>
              </w:rPr>
              <w:t>pH</w:t>
            </w:r>
          </w:p>
        </w:tc>
        <w:tc>
          <w:tcPr>
            <w:tcW w:w="261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判定（标准值</w:t>
            </w:r>
            <w:r>
              <w:rPr>
                <w:rStyle w:val="8"/>
                <w:rFonts w:ascii="宋体" w:hAnsi="宋体" w:eastAsia="宋体"/>
                <w:b w:val="0"/>
                <w:i w:val="0"/>
                <w:caps w:val="0"/>
                <w:spacing w:val="0"/>
                <w:w w:val="100"/>
                <w:sz w:val="22"/>
                <w:szCs w:val="22"/>
                <w:lang w:val="en-US" w:eastAsia="zh-CN" w:bidi="ar-SA"/>
              </w:rPr>
              <w:t>7.1</w:t>
            </w:r>
            <w:r>
              <w:rPr>
                <w:rStyle w:val="8"/>
                <w:rFonts w:ascii="楷体_GB2312" w:hAnsi="宋体" w:eastAsia="楷体_GB2312"/>
                <w:b w:val="0"/>
                <w:i w:val="0"/>
                <w:caps w:val="0"/>
                <w:spacing w:val="0"/>
                <w:w w:val="100"/>
                <w:sz w:val="24"/>
                <w:szCs w:val="24"/>
                <w:lang w:val="en-US" w:eastAsia="zh-CN" w:bidi="ar-SA"/>
              </w:rPr>
              <w:t>～</w:t>
            </w:r>
            <w:r>
              <w:rPr>
                <w:rStyle w:val="8"/>
                <w:rFonts w:ascii="宋体" w:hAnsi="宋体" w:eastAsia="宋体"/>
                <w:b w:val="0"/>
                <w:i w:val="0"/>
                <w:caps w:val="0"/>
                <w:spacing w:val="0"/>
                <w:w w:val="100"/>
                <w:sz w:val="22"/>
                <w:szCs w:val="22"/>
                <w:lang w:val="en-US" w:eastAsia="zh-CN" w:bidi="ar-SA"/>
              </w:rPr>
              <w:t>8.4</w:t>
            </w:r>
            <w:r>
              <w:rPr>
                <w:rStyle w:val="8"/>
                <w:rFonts w:ascii="宋体" w:hAnsi="宋体" w:eastAsia="宋体"/>
                <w:b w:val="0"/>
                <w:i w:val="0"/>
                <w:caps w:val="0"/>
                <w:spacing w:val="0"/>
                <w:w w:val="100"/>
                <w:sz w:val="24"/>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22</w:t>
            </w:r>
          </w:p>
        </w:tc>
        <w:tc>
          <w:tcPr>
            <w:tcW w:w="231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7.6</w:t>
            </w:r>
          </w:p>
        </w:tc>
        <w:tc>
          <w:tcPr>
            <w:tcW w:w="261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24</w:t>
            </w:r>
          </w:p>
        </w:tc>
        <w:tc>
          <w:tcPr>
            <w:tcW w:w="231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7.5</w:t>
            </w:r>
          </w:p>
        </w:tc>
        <w:tc>
          <w:tcPr>
            <w:tcW w:w="261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3#样品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21</w:t>
            </w:r>
          </w:p>
        </w:tc>
        <w:tc>
          <w:tcPr>
            <w:tcW w:w="231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8.0</w:t>
            </w:r>
          </w:p>
        </w:tc>
        <w:tc>
          <w:tcPr>
            <w:tcW w:w="261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4#样品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23</w:t>
            </w:r>
          </w:p>
        </w:tc>
        <w:tc>
          <w:tcPr>
            <w:tcW w:w="231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8.2</w:t>
            </w:r>
          </w:p>
        </w:tc>
        <w:tc>
          <w:tcPr>
            <w:tcW w:w="261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5#样品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20</w:t>
            </w:r>
          </w:p>
        </w:tc>
        <w:tc>
          <w:tcPr>
            <w:tcW w:w="231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7.9</w:t>
            </w:r>
          </w:p>
        </w:tc>
        <w:tc>
          <w:tcPr>
            <w:tcW w:w="261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6#样品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21</w:t>
            </w:r>
          </w:p>
        </w:tc>
        <w:tc>
          <w:tcPr>
            <w:tcW w:w="231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7.8</w:t>
            </w:r>
          </w:p>
        </w:tc>
        <w:tc>
          <w:tcPr>
            <w:tcW w:w="261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7#样品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18</w:t>
            </w:r>
          </w:p>
        </w:tc>
        <w:tc>
          <w:tcPr>
            <w:tcW w:w="231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8.2</w:t>
            </w:r>
          </w:p>
        </w:tc>
        <w:tc>
          <w:tcPr>
            <w:tcW w:w="261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8#样品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19</w:t>
            </w:r>
          </w:p>
        </w:tc>
        <w:tc>
          <w:tcPr>
            <w:tcW w:w="231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8.0</w:t>
            </w:r>
          </w:p>
        </w:tc>
        <w:tc>
          <w:tcPr>
            <w:tcW w:w="261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9#样品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22</w:t>
            </w:r>
          </w:p>
        </w:tc>
        <w:tc>
          <w:tcPr>
            <w:tcW w:w="231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7.7</w:t>
            </w:r>
          </w:p>
        </w:tc>
        <w:tc>
          <w:tcPr>
            <w:tcW w:w="261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10#样品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22</w:t>
            </w:r>
          </w:p>
        </w:tc>
        <w:tc>
          <w:tcPr>
            <w:tcW w:w="231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7.6</w:t>
            </w:r>
          </w:p>
        </w:tc>
        <w:tc>
          <w:tcPr>
            <w:tcW w:w="261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11#样品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20</w:t>
            </w:r>
          </w:p>
        </w:tc>
        <w:tc>
          <w:tcPr>
            <w:tcW w:w="231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7.9</w:t>
            </w:r>
          </w:p>
        </w:tc>
        <w:tc>
          <w:tcPr>
            <w:tcW w:w="261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12#样品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17</w:t>
            </w:r>
          </w:p>
        </w:tc>
        <w:tc>
          <w:tcPr>
            <w:tcW w:w="231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7.9</w:t>
            </w:r>
          </w:p>
        </w:tc>
        <w:tc>
          <w:tcPr>
            <w:tcW w:w="261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13#样品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19</w:t>
            </w:r>
          </w:p>
        </w:tc>
        <w:tc>
          <w:tcPr>
            <w:tcW w:w="231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7.6</w:t>
            </w:r>
          </w:p>
        </w:tc>
        <w:tc>
          <w:tcPr>
            <w:tcW w:w="261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14#样品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21</w:t>
            </w:r>
          </w:p>
        </w:tc>
        <w:tc>
          <w:tcPr>
            <w:tcW w:w="231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7.5</w:t>
            </w:r>
          </w:p>
        </w:tc>
        <w:tc>
          <w:tcPr>
            <w:tcW w:w="261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15#样品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20</w:t>
            </w:r>
          </w:p>
        </w:tc>
        <w:tc>
          <w:tcPr>
            <w:tcW w:w="231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7.8</w:t>
            </w:r>
          </w:p>
        </w:tc>
        <w:tc>
          <w:tcPr>
            <w:tcW w:w="261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16#样品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22</w:t>
            </w:r>
          </w:p>
        </w:tc>
        <w:tc>
          <w:tcPr>
            <w:tcW w:w="231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8.1</w:t>
            </w:r>
          </w:p>
        </w:tc>
        <w:tc>
          <w:tcPr>
            <w:tcW w:w="261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17#样品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19</w:t>
            </w:r>
          </w:p>
        </w:tc>
        <w:tc>
          <w:tcPr>
            <w:tcW w:w="231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8.0</w:t>
            </w:r>
          </w:p>
        </w:tc>
        <w:tc>
          <w:tcPr>
            <w:tcW w:w="261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18#样品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17</w:t>
            </w:r>
          </w:p>
        </w:tc>
        <w:tc>
          <w:tcPr>
            <w:tcW w:w="231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7.6</w:t>
            </w:r>
          </w:p>
        </w:tc>
        <w:tc>
          <w:tcPr>
            <w:tcW w:w="261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19#样品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23</w:t>
            </w:r>
          </w:p>
        </w:tc>
        <w:tc>
          <w:tcPr>
            <w:tcW w:w="231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7.7</w:t>
            </w:r>
          </w:p>
        </w:tc>
        <w:tc>
          <w:tcPr>
            <w:tcW w:w="261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20#样品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21</w:t>
            </w:r>
          </w:p>
        </w:tc>
        <w:tc>
          <w:tcPr>
            <w:tcW w:w="231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7.6</w:t>
            </w:r>
          </w:p>
        </w:tc>
        <w:tc>
          <w:tcPr>
            <w:tcW w:w="261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21#样品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22</w:t>
            </w:r>
          </w:p>
        </w:tc>
        <w:tc>
          <w:tcPr>
            <w:tcW w:w="231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7.7</w:t>
            </w:r>
          </w:p>
        </w:tc>
        <w:tc>
          <w:tcPr>
            <w:tcW w:w="261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22#样品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17</w:t>
            </w:r>
          </w:p>
        </w:tc>
        <w:tc>
          <w:tcPr>
            <w:tcW w:w="231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8.2</w:t>
            </w:r>
          </w:p>
        </w:tc>
        <w:tc>
          <w:tcPr>
            <w:tcW w:w="261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23#样品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19</w:t>
            </w:r>
          </w:p>
        </w:tc>
        <w:tc>
          <w:tcPr>
            <w:tcW w:w="231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8.1</w:t>
            </w:r>
          </w:p>
        </w:tc>
        <w:tc>
          <w:tcPr>
            <w:tcW w:w="261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24#样品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20</w:t>
            </w:r>
          </w:p>
        </w:tc>
        <w:tc>
          <w:tcPr>
            <w:tcW w:w="231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7.5</w:t>
            </w:r>
          </w:p>
        </w:tc>
        <w:tc>
          <w:tcPr>
            <w:tcW w:w="2612"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bl>
    <w:p>
      <w:pPr>
        <w:pStyle w:val="26"/>
        <w:widowControl/>
        <w:tabs>
          <w:tab w:val="left" w:pos="2856"/>
        </w:tabs>
        <w:snapToGrid w:val="0"/>
        <w:spacing w:before="0" w:beforeAutospacing="0" w:after="204" w:afterAutospacing="0" w:line="440" w:lineRule="exact"/>
        <w:ind w:firstLine="480" w:firstLineChars="200"/>
        <w:jc w:val="both"/>
        <w:textAlignment w:val="baseline"/>
        <w:rPr>
          <w:rStyle w:val="8"/>
          <w:rFonts w:ascii="宋体" w:hAnsi="宋体"/>
          <w:b w:val="0"/>
          <w:i w:val="0"/>
          <w:caps w:val="0"/>
          <w:spacing w:val="0"/>
          <w:w w:val="100"/>
          <w:sz w:val="24"/>
          <w:szCs w:val="24"/>
          <w:lang w:val="en-US" w:eastAsia="zh-CN" w:bidi="ar-SA"/>
        </w:rPr>
      </w:pPr>
      <w:r>
        <w:rPr>
          <w:rStyle w:val="8"/>
          <w:rFonts w:ascii="宋体" w:hAnsi="宋体"/>
          <w:b w:val="0"/>
          <w:i w:val="0"/>
          <w:caps w:val="0"/>
          <w:spacing w:val="0"/>
          <w:w w:val="100"/>
          <w:sz w:val="24"/>
          <w:szCs w:val="24"/>
          <w:lang w:val="en-US" w:eastAsia="zh-CN" w:bidi="ar-SA"/>
        </w:rPr>
        <w:t>通过以上24组数据分析，所有样品水样的pH检测结果为7.5</w:t>
      </w:r>
      <w:r>
        <w:rPr>
          <w:rStyle w:val="8"/>
          <w:rFonts w:ascii="Arial" w:hAnsi="Arial" w:eastAsia="Arial"/>
          <w:b w:val="0"/>
          <w:i w:val="0"/>
          <w:caps w:val="0"/>
          <w:color w:val="191919"/>
          <w:spacing w:val="0"/>
          <w:w w:val="100"/>
          <w:sz w:val="24"/>
          <w:szCs w:val="24"/>
          <w:lang w:val="en-US" w:eastAsia="zh-CN" w:bidi="ar-SA"/>
        </w:rPr>
        <w:t>～</w:t>
      </w:r>
      <w:r>
        <w:rPr>
          <w:rStyle w:val="8"/>
          <w:rFonts w:ascii="宋体" w:hAnsi="宋体"/>
          <w:b w:val="0"/>
          <w:i w:val="0"/>
          <w:caps w:val="0"/>
          <w:spacing w:val="0"/>
          <w:w w:val="100"/>
          <w:sz w:val="24"/>
          <w:szCs w:val="24"/>
          <w:lang w:val="en-US" w:eastAsia="zh-CN" w:bidi="ar-SA"/>
        </w:rPr>
        <w:t>8.2，符合标准要求的pH要求7.1～8.4（该指标也符合GB 5749-2022生活饮用水卫生标准对pH的要求6.5～8.5）。工作组经过对验证的数据进行研究分析，认为pH指标的设置符合行业技术水平，具有科学合理性。</w:t>
      </w:r>
    </w:p>
    <w:p>
      <w:pPr>
        <w:snapToGrid/>
        <w:spacing w:before="204" w:beforeAutospacing="0" w:after="0" w:afterAutospacing="0" w:line="240" w:lineRule="auto"/>
        <w:jc w:val="both"/>
        <w:textAlignment w:val="baseline"/>
        <w:rPr>
          <w:rStyle w:val="8"/>
          <w:rFonts w:ascii="黑体" w:hAnsi="黑体" w:eastAsia="黑体" w:cs="Times New Roman"/>
          <w:b w:val="0"/>
          <w:bCs/>
          <w:i w:val="0"/>
          <w:caps w:val="0"/>
          <w:spacing w:val="0"/>
          <w:w w:val="100"/>
          <w:kern w:val="2"/>
          <w:sz w:val="24"/>
          <w:szCs w:val="24"/>
          <w:lang w:val="en-US" w:eastAsia="zh-CN" w:bidi="ar-SA"/>
        </w:rPr>
      </w:pPr>
      <w:r>
        <w:rPr>
          <w:rStyle w:val="8"/>
          <w:rFonts w:ascii="黑体" w:hAnsi="黑体" w:eastAsia="黑体" w:cs="Times New Roman"/>
          <w:b w:val="0"/>
          <w:bCs/>
          <w:i w:val="0"/>
          <w:caps w:val="0"/>
          <w:spacing w:val="0"/>
          <w:w w:val="100"/>
          <w:kern w:val="2"/>
          <w:sz w:val="24"/>
          <w:szCs w:val="24"/>
          <w:lang w:val="en-US" w:eastAsia="zh-CN" w:bidi="ar-SA"/>
        </w:rPr>
        <w:t>（二）安全指标试验</w:t>
      </w:r>
    </w:p>
    <w:p>
      <w:pPr>
        <w:snapToGrid/>
        <w:spacing w:before="204" w:beforeAutospacing="0" w:after="0" w:afterAutospacing="0" w:line="240" w:lineRule="auto"/>
        <w:jc w:val="both"/>
        <w:textAlignment w:val="baseline"/>
        <w:rPr>
          <w:rStyle w:val="8"/>
          <w:rFonts w:ascii="黑体" w:hAnsi="黑体" w:eastAsia="黑体" w:cs="Times New Roman"/>
          <w:b w:val="0"/>
          <w:bCs/>
          <w:i w:val="0"/>
          <w:caps w:val="0"/>
          <w:spacing w:val="0"/>
          <w:w w:val="100"/>
          <w:kern w:val="2"/>
          <w:sz w:val="24"/>
          <w:szCs w:val="24"/>
          <w:lang w:val="en-US" w:eastAsia="zh-CN" w:bidi="ar-SA"/>
        </w:rPr>
      </w:pPr>
      <w:r>
        <w:rPr>
          <w:rStyle w:val="8"/>
          <w:rFonts w:ascii="黑体" w:hAnsi="黑体" w:eastAsia="黑体" w:cs="Times New Roman"/>
          <w:b w:val="0"/>
          <w:bCs/>
          <w:i w:val="0"/>
          <w:caps w:val="0"/>
          <w:spacing w:val="0"/>
          <w:w w:val="100"/>
          <w:kern w:val="2"/>
          <w:sz w:val="24"/>
          <w:szCs w:val="24"/>
          <w:lang w:val="en-US" w:eastAsia="zh-CN" w:bidi="ar-SA"/>
        </w:rPr>
        <w:t>1、有害元素溶出限量</w:t>
      </w:r>
    </w:p>
    <w:p>
      <w:pPr>
        <w:snapToGrid/>
        <w:spacing w:before="0" w:beforeAutospacing="0" w:after="0" w:afterAutospacing="0" w:line="240" w:lineRule="auto"/>
        <w:ind w:firstLine="480" w:firstLineChars="200"/>
        <w:jc w:val="both"/>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针对不同品牌、不同规格的24个样品进行检测，结果如表6所示：</w:t>
      </w:r>
    </w:p>
    <w:p>
      <w:pPr>
        <w:snapToGrid/>
        <w:spacing w:before="0" w:beforeAutospacing="0" w:after="0" w:afterAutospacing="0" w:line="240" w:lineRule="auto"/>
        <w:jc w:val="center"/>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表6</w:t>
      </w:r>
    </w:p>
    <w:tbl>
      <w:tblPr>
        <w:tblStyle w:val="4"/>
        <w:tblW w:w="9045" w:type="dxa"/>
        <w:tblInd w:w="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3"/>
        <w:gridCol w:w="1294"/>
        <w:gridCol w:w="1294"/>
        <w:gridCol w:w="1294"/>
        <w:gridCol w:w="1294"/>
        <w:gridCol w:w="1295"/>
        <w:gridCol w:w="1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3"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编号</w:t>
            </w:r>
          </w:p>
        </w:tc>
        <w:tc>
          <w:tcPr>
            <w:tcW w:w="6471" w:type="dxa"/>
            <w:gridSpan w:val="5"/>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有害元素含量（mg/L）</w:t>
            </w:r>
          </w:p>
        </w:tc>
        <w:tc>
          <w:tcPr>
            <w:tcW w:w="1381" w:type="dxa"/>
            <w:vMerge w:val="restart"/>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3" w:type="dxa"/>
            <w:vMerge w:val="continue"/>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p>
        </w:tc>
        <w:tc>
          <w:tcPr>
            <w:tcW w:w="12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铅（Pb）</w:t>
            </w:r>
          </w:p>
        </w:tc>
        <w:tc>
          <w:tcPr>
            <w:tcW w:w="12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镉（Cd）</w:t>
            </w:r>
          </w:p>
        </w:tc>
        <w:tc>
          <w:tcPr>
            <w:tcW w:w="12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汞（Hg）</w:t>
            </w:r>
          </w:p>
        </w:tc>
        <w:tc>
          <w:tcPr>
            <w:tcW w:w="12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砷（As）</w:t>
            </w:r>
          </w:p>
        </w:tc>
        <w:tc>
          <w:tcPr>
            <w:tcW w:w="129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铍（Be）</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1#样品</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0.007</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0.003</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0.0004</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0.006</w:t>
            </w:r>
          </w:p>
        </w:tc>
        <w:tc>
          <w:tcPr>
            <w:tcW w:w="129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0.0016</w:t>
            </w:r>
          </w:p>
        </w:tc>
        <w:tc>
          <w:tcPr>
            <w:tcW w:w="138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2#样品</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0.008</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0.003</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0.0006</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0.004</w:t>
            </w:r>
          </w:p>
        </w:tc>
        <w:tc>
          <w:tcPr>
            <w:tcW w:w="129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0.0015</w:t>
            </w:r>
          </w:p>
        </w:tc>
        <w:tc>
          <w:tcPr>
            <w:tcW w:w="138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3#样品</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0.007</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0.004</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0.0007</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0.006</w:t>
            </w:r>
          </w:p>
        </w:tc>
        <w:tc>
          <w:tcPr>
            <w:tcW w:w="129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0.0014</w:t>
            </w:r>
          </w:p>
        </w:tc>
        <w:tc>
          <w:tcPr>
            <w:tcW w:w="138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4#样品</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0.005</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0.004</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0.0008</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0.005</w:t>
            </w:r>
          </w:p>
        </w:tc>
        <w:tc>
          <w:tcPr>
            <w:tcW w:w="129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0.0018</w:t>
            </w:r>
          </w:p>
        </w:tc>
        <w:tc>
          <w:tcPr>
            <w:tcW w:w="138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5#样品</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0.006</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0.004</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0.0006</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0.007</w:t>
            </w:r>
          </w:p>
        </w:tc>
        <w:tc>
          <w:tcPr>
            <w:tcW w:w="129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0.0016</w:t>
            </w:r>
          </w:p>
        </w:tc>
        <w:tc>
          <w:tcPr>
            <w:tcW w:w="138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6#样品</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0.008</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0.003</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0.0004</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0.008</w:t>
            </w:r>
          </w:p>
        </w:tc>
        <w:tc>
          <w:tcPr>
            <w:tcW w:w="129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0.0017</w:t>
            </w:r>
          </w:p>
        </w:tc>
        <w:tc>
          <w:tcPr>
            <w:tcW w:w="138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7#样品</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0.006</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0.002</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0.0006</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0.005</w:t>
            </w:r>
          </w:p>
        </w:tc>
        <w:tc>
          <w:tcPr>
            <w:tcW w:w="129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0.0015</w:t>
            </w:r>
          </w:p>
        </w:tc>
        <w:tc>
          <w:tcPr>
            <w:tcW w:w="138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8#样品</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0.005</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0.002</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0.0005</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0.005</w:t>
            </w:r>
          </w:p>
        </w:tc>
        <w:tc>
          <w:tcPr>
            <w:tcW w:w="129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0.0011</w:t>
            </w:r>
          </w:p>
        </w:tc>
        <w:tc>
          <w:tcPr>
            <w:tcW w:w="138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9#样品</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0.006</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0.003</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0.0006</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0.007</w:t>
            </w:r>
          </w:p>
        </w:tc>
        <w:tc>
          <w:tcPr>
            <w:tcW w:w="129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0.0013</w:t>
            </w:r>
          </w:p>
        </w:tc>
        <w:tc>
          <w:tcPr>
            <w:tcW w:w="138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10#样品</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0.008</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0.002</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0.0007</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0.008</w:t>
            </w:r>
          </w:p>
        </w:tc>
        <w:tc>
          <w:tcPr>
            <w:tcW w:w="129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0.0017</w:t>
            </w:r>
          </w:p>
        </w:tc>
        <w:tc>
          <w:tcPr>
            <w:tcW w:w="138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11#样品</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0.008</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0.002</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0.0008</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0.005</w:t>
            </w:r>
          </w:p>
        </w:tc>
        <w:tc>
          <w:tcPr>
            <w:tcW w:w="129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0.0010</w:t>
            </w:r>
          </w:p>
        </w:tc>
        <w:tc>
          <w:tcPr>
            <w:tcW w:w="138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12#样品</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0.006</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0.004</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0.0008</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0.004</w:t>
            </w:r>
          </w:p>
        </w:tc>
        <w:tc>
          <w:tcPr>
            <w:tcW w:w="129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0.0015</w:t>
            </w:r>
          </w:p>
        </w:tc>
        <w:tc>
          <w:tcPr>
            <w:tcW w:w="138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13#样品</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0.005</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0.004</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0.0005</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0.005</w:t>
            </w:r>
          </w:p>
        </w:tc>
        <w:tc>
          <w:tcPr>
            <w:tcW w:w="129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0.0015</w:t>
            </w:r>
          </w:p>
        </w:tc>
        <w:tc>
          <w:tcPr>
            <w:tcW w:w="138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14#样品</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0.008</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0.004</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0.0008</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0.003</w:t>
            </w:r>
          </w:p>
        </w:tc>
        <w:tc>
          <w:tcPr>
            <w:tcW w:w="129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0.0014</w:t>
            </w:r>
          </w:p>
        </w:tc>
        <w:tc>
          <w:tcPr>
            <w:tcW w:w="138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15#样品</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0.005</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0.002</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0.0005</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0.005</w:t>
            </w:r>
          </w:p>
        </w:tc>
        <w:tc>
          <w:tcPr>
            <w:tcW w:w="129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0.0012</w:t>
            </w:r>
          </w:p>
        </w:tc>
        <w:tc>
          <w:tcPr>
            <w:tcW w:w="138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16#样品</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0.005</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0.002</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0.0006</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0.006</w:t>
            </w:r>
          </w:p>
        </w:tc>
        <w:tc>
          <w:tcPr>
            <w:tcW w:w="129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0.0016</w:t>
            </w:r>
          </w:p>
        </w:tc>
        <w:tc>
          <w:tcPr>
            <w:tcW w:w="138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17#样品</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0.005</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0.003</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0.0005</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0.005</w:t>
            </w:r>
          </w:p>
        </w:tc>
        <w:tc>
          <w:tcPr>
            <w:tcW w:w="129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0.0015</w:t>
            </w:r>
          </w:p>
        </w:tc>
        <w:tc>
          <w:tcPr>
            <w:tcW w:w="138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18#样品</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0.007</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0.003</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0.0007</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0.006</w:t>
            </w:r>
          </w:p>
        </w:tc>
        <w:tc>
          <w:tcPr>
            <w:tcW w:w="129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0.0017</w:t>
            </w:r>
          </w:p>
        </w:tc>
        <w:tc>
          <w:tcPr>
            <w:tcW w:w="138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19#样品</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0.006</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0.004</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0.0006</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0.004</w:t>
            </w:r>
          </w:p>
        </w:tc>
        <w:tc>
          <w:tcPr>
            <w:tcW w:w="129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0.0016</w:t>
            </w:r>
          </w:p>
        </w:tc>
        <w:tc>
          <w:tcPr>
            <w:tcW w:w="138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20#样品</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0.006</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0.004</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0.0005</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0.007</w:t>
            </w:r>
          </w:p>
        </w:tc>
        <w:tc>
          <w:tcPr>
            <w:tcW w:w="129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0.0014</w:t>
            </w:r>
          </w:p>
        </w:tc>
        <w:tc>
          <w:tcPr>
            <w:tcW w:w="138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21#样品</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0.006</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0.003</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0.0006</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0.006</w:t>
            </w:r>
          </w:p>
        </w:tc>
        <w:tc>
          <w:tcPr>
            <w:tcW w:w="129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0.0016</w:t>
            </w:r>
          </w:p>
        </w:tc>
        <w:tc>
          <w:tcPr>
            <w:tcW w:w="138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22#样品</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0.007</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0.002</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0.0003</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0.008</w:t>
            </w:r>
          </w:p>
        </w:tc>
        <w:tc>
          <w:tcPr>
            <w:tcW w:w="129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0.0013</w:t>
            </w:r>
          </w:p>
        </w:tc>
        <w:tc>
          <w:tcPr>
            <w:tcW w:w="138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23#样品</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0.005</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0.002</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0.0006</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0.005</w:t>
            </w:r>
          </w:p>
        </w:tc>
        <w:tc>
          <w:tcPr>
            <w:tcW w:w="129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0.0009</w:t>
            </w:r>
          </w:p>
        </w:tc>
        <w:tc>
          <w:tcPr>
            <w:tcW w:w="138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3"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24#样品</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0.007</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0.004</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0.0008</w:t>
            </w:r>
          </w:p>
        </w:tc>
        <w:tc>
          <w:tcPr>
            <w:tcW w:w="1294"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0.006</w:t>
            </w:r>
          </w:p>
        </w:tc>
        <w:tc>
          <w:tcPr>
            <w:tcW w:w="1295"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0.0015</w:t>
            </w:r>
          </w:p>
        </w:tc>
        <w:tc>
          <w:tcPr>
            <w:tcW w:w="138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bl>
    <w:p>
      <w:pPr>
        <w:pStyle w:val="12"/>
        <w:widowControl/>
        <w:snapToGrid/>
        <w:spacing w:before="120" w:beforeAutospacing="0" w:after="120" w:afterAutospacing="0" w:line="240" w:lineRule="auto"/>
        <w:ind w:firstLine="480" w:firstLineChars="200"/>
        <w:jc w:val="both"/>
        <w:textAlignment w:val="baseline"/>
        <w:rPr>
          <w:rStyle w:val="8"/>
          <w:rFonts w:ascii="宋体" w:hAnsi="宋体" w:eastAsia="宋体"/>
          <w:b w:val="0"/>
          <w:i w:val="0"/>
          <w:caps w:val="0"/>
          <w:spacing w:val="0"/>
          <w:w w:val="100"/>
          <w:kern w:val="2"/>
          <w:sz w:val="24"/>
          <w:szCs w:val="24"/>
          <w:lang w:val="en-US" w:eastAsia="zh-CN" w:bidi="ar-SA"/>
        </w:rPr>
      </w:pPr>
      <w:r>
        <w:rPr>
          <w:rStyle w:val="8"/>
          <w:rFonts w:ascii="宋体" w:hAnsi="宋体" w:eastAsia="宋体"/>
          <w:b w:val="0"/>
          <w:i w:val="0"/>
          <w:caps w:val="0"/>
          <w:spacing w:val="0"/>
          <w:w w:val="100"/>
          <w:kern w:val="0"/>
          <w:sz w:val="24"/>
          <w:szCs w:val="24"/>
          <w:lang w:val="en-US" w:eastAsia="zh-CN" w:bidi="ar-SA"/>
        </w:rPr>
        <w:t>通过以上24组数据分析，所有样品的有害元素溶出量都符合标准限量要求。工作组经过对验证的数据进行研究分析，认为有害元素溶出限量的设置符合行业技术水平，具有科学合理性。</w:t>
      </w:r>
    </w:p>
    <w:p>
      <w:pPr>
        <w:snapToGrid/>
        <w:spacing w:before="204" w:beforeAutospacing="0" w:after="0" w:afterAutospacing="0" w:line="240" w:lineRule="auto"/>
        <w:jc w:val="both"/>
        <w:textAlignment w:val="baseline"/>
        <w:rPr>
          <w:rStyle w:val="8"/>
          <w:rFonts w:ascii="黑体" w:hAnsi="黑体" w:eastAsia="黑体" w:cs="Times New Roman"/>
          <w:b w:val="0"/>
          <w:bCs/>
          <w:i w:val="0"/>
          <w:caps w:val="0"/>
          <w:spacing w:val="0"/>
          <w:w w:val="100"/>
          <w:kern w:val="2"/>
          <w:sz w:val="24"/>
          <w:szCs w:val="24"/>
          <w:lang w:val="en-US" w:eastAsia="zh-CN" w:bidi="ar-SA"/>
        </w:rPr>
      </w:pPr>
      <w:r>
        <w:rPr>
          <w:rStyle w:val="8"/>
          <w:rFonts w:ascii="黑体" w:hAnsi="黑体" w:eastAsia="黑体" w:cs="Times New Roman"/>
          <w:b w:val="0"/>
          <w:bCs/>
          <w:i w:val="0"/>
          <w:caps w:val="0"/>
          <w:spacing w:val="0"/>
          <w:w w:val="100"/>
          <w:kern w:val="2"/>
          <w:sz w:val="24"/>
          <w:szCs w:val="24"/>
          <w:lang w:val="en-US" w:eastAsia="zh-CN" w:bidi="ar-SA"/>
        </w:rPr>
        <w:t>2、微生物</w:t>
      </w:r>
    </w:p>
    <w:p>
      <w:pPr>
        <w:snapToGrid/>
        <w:spacing w:before="0" w:beforeAutospacing="0" w:after="0" w:afterAutospacing="0" w:line="240" w:lineRule="auto"/>
        <w:ind w:firstLine="480" w:firstLineChars="200"/>
        <w:jc w:val="both"/>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针对不同品牌、不同规格的24个样品进行检测，结果如表7所示：</w:t>
      </w:r>
    </w:p>
    <w:p>
      <w:pPr>
        <w:snapToGrid/>
        <w:spacing w:before="0" w:beforeAutospacing="0" w:after="0" w:afterAutospacing="0" w:line="240" w:lineRule="auto"/>
        <w:jc w:val="center"/>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表 7</w:t>
      </w:r>
    </w:p>
    <w:tbl>
      <w:tblPr>
        <w:tblStyle w:val="4"/>
        <w:tblW w:w="92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99"/>
        <w:gridCol w:w="2320"/>
        <w:gridCol w:w="2461"/>
        <w:gridCol w:w="24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编号</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菌落总数（CFU/ml）</w:t>
            </w:r>
          </w:p>
        </w:tc>
        <w:tc>
          <w:tcPr>
            <w:tcW w:w="246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总大肠菌群（CFU/ml）</w:t>
            </w:r>
          </w:p>
        </w:tc>
        <w:tc>
          <w:tcPr>
            <w:tcW w:w="246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85</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ND</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63</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ND</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3#样品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68</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ND</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4#样品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71</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ND</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5#样品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76</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ND</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6#样品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82</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ND</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7#样品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80</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ND</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8#样品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59</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ND</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9#样品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54</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ND</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10#样品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74</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ND</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11#样品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78</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ND</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12#样品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93</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ND</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13#样品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102</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ND</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菌落总数不合格，总大肠菌群合格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14#样品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70</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ND</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15#样品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78</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ND</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16#样品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55</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ND</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17#样品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89</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ND</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18#样品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83</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ND</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19#样品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76</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ND</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20#样品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92</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ND</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21#样品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56</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ND</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22#样品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77</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ND</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23#样品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62</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ND</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24#样品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85</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ND</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bl>
    <w:p>
      <w:pPr>
        <w:snapToGrid/>
        <w:spacing w:before="204" w:beforeAutospacing="0" w:after="0" w:afterAutospacing="0" w:line="240" w:lineRule="auto"/>
        <w:ind w:firstLine="480" w:firstLineChars="200"/>
        <w:jc w:val="both"/>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通过以上24组数据分析，其中1件样品的细菌总数超标，不合格率为0.02%。工作组经过对验证的数据进行研究分析，认为微生物指标的设置符合行业技术水平，具有科学合理性。</w:t>
      </w:r>
    </w:p>
    <w:p>
      <w:pPr>
        <w:snapToGrid/>
        <w:spacing w:before="204" w:beforeAutospacing="0" w:after="0" w:afterAutospacing="0" w:line="240" w:lineRule="auto"/>
        <w:jc w:val="both"/>
        <w:textAlignment w:val="baseline"/>
        <w:rPr>
          <w:rStyle w:val="8"/>
          <w:rFonts w:ascii="黑体" w:hAnsi="黑体" w:eastAsia="黑体" w:cs="Times New Roman"/>
          <w:b w:val="0"/>
          <w:bCs/>
          <w:i w:val="0"/>
          <w:caps w:val="0"/>
          <w:spacing w:val="0"/>
          <w:w w:val="100"/>
          <w:kern w:val="2"/>
          <w:sz w:val="24"/>
          <w:szCs w:val="24"/>
          <w:lang w:val="en-US" w:eastAsia="zh-CN" w:bidi="ar-SA"/>
        </w:rPr>
      </w:pPr>
      <w:r>
        <w:rPr>
          <w:rStyle w:val="8"/>
          <w:rFonts w:ascii="黑体" w:hAnsi="黑体" w:eastAsia="黑体" w:cs="Times New Roman"/>
          <w:b w:val="0"/>
          <w:bCs/>
          <w:i w:val="0"/>
          <w:caps w:val="0"/>
          <w:spacing w:val="0"/>
          <w:w w:val="100"/>
          <w:kern w:val="2"/>
          <w:sz w:val="24"/>
          <w:szCs w:val="24"/>
          <w:lang w:val="en-US" w:eastAsia="zh-CN" w:bidi="ar-SA"/>
        </w:rPr>
        <w:t>3、放射性强度</w:t>
      </w:r>
    </w:p>
    <w:p>
      <w:pPr>
        <w:snapToGrid/>
        <w:spacing w:before="0" w:beforeAutospacing="0" w:after="0" w:afterAutospacing="0" w:line="240" w:lineRule="auto"/>
        <w:ind w:firstLine="480" w:firstLineChars="200"/>
        <w:jc w:val="both"/>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针对不同品牌、不同规格的24个样品进行检测，结果如表8所示：</w:t>
      </w:r>
    </w:p>
    <w:p>
      <w:pPr>
        <w:snapToGrid/>
        <w:spacing w:before="0" w:beforeAutospacing="0" w:after="0" w:afterAutospacing="0" w:line="240" w:lineRule="auto"/>
        <w:jc w:val="center"/>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表 8</w:t>
      </w:r>
    </w:p>
    <w:tbl>
      <w:tblPr>
        <w:tblStyle w:val="4"/>
        <w:tblW w:w="92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99"/>
        <w:gridCol w:w="2320"/>
        <w:gridCol w:w="2461"/>
        <w:gridCol w:w="24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编号</w:t>
            </w:r>
          </w:p>
        </w:tc>
        <w:tc>
          <w:tcPr>
            <w:tcW w:w="232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总α强度/（Bq/L）</w:t>
            </w:r>
          </w:p>
        </w:tc>
        <w:tc>
          <w:tcPr>
            <w:tcW w:w="246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总β强度/（Bq/L）</w:t>
            </w:r>
          </w:p>
        </w:tc>
        <w:tc>
          <w:tcPr>
            <w:tcW w:w="246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0.2</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0.6</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0.3</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0.7</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3#样品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0.3</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0.5</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4#样品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0.1</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0.5</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5#样品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0.2</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0.6</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6#样品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0.1</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0.3</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7#样品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0.1</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0.8</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8#样品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0.5</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0.9</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9#样品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0.1</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0.7</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10#样品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0.4</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0.6</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11#样品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0.3</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0.5</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12#样品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0.4</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0.9</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13#样品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0.1</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0.6</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14#样品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0.4</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0.4</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15#样品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0.3</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0.8</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16#样品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0.5</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0.5</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17#样品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0.4</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0.8</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18#样品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0.3</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0.6</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19#样品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0.3</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0.7</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20#样品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0.4</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0.6</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21#样品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0.5</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0.7</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22#样品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0.2</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0.4</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23#样品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0.1</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0.7</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99"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24#样品</w:t>
            </w:r>
          </w:p>
        </w:tc>
        <w:tc>
          <w:tcPr>
            <w:tcW w:w="232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0.3</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0.5</w:t>
            </w:r>
          </w:p>
        </w:tc>
        <w:tc>
          <w:tcPr>
            <w:tcW w:w="2461"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center"/>
              <w:textAlignment w:val="baseline"/>
              <w:rPr>
                <w:rStyle w:val="8"/>
                <w:rFonts w:ascii="宋体" w:hAnsi="宋体" w:eastAsia="宋体"/>
                <w:b w:val="0"/>
                <w:i w:val="0"/>
                <w:caps w:val="0"/>
                <w:spacing w:val="0"/>
                <w:w w:val="100"/>
                <w:sz w:val="22"/>
                <w:szCs w:val="22"/>
                <w:lang w:val="en-US" w:eastAsia="zh-CN" w:bidi="ar-SA"/>
              </w:rPr>
            </w:pPr>
            <w:r>
              <w:rPr>
                <w:rStyle w:val="8"/>
                <w:rFonts w:ascii="宋体" w:hAnsi="宋体" w:eastAsia="宋体"/>
                <w:b w:val="0"/>
                <w:i w:val="0"/>
                <w:caps w:val="0"/>
                <w:spacing w:val="0"/>
                <w:w w:val="100"/>
                <w:sz w:val="22"/>
                <w:szCs w:val="22"/>
                <w:lang w:val="en-US" w:eastAsia="zh-CN" w:bidi="ar-SA"/>
              </w:rPr>
              <w:t>合格</w:t>
            </w:r>
          </w:p>
        </w:tc>
      </w:tr>
    </w:tbl>
    <w:p>
      <w:pPr>
        <w:snapToGrid/>
        <w:spacing w:before="204" w:beforeAutospacing="0" w:after="0" w:afterAutospacing="0" w:line="240" w:lineRule="auto"/>
        <w:ind w:firstLine="480" w:firstLineChars="200"/>
        <w:jc w:val="both"/>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通过以上24组数据分析，所有样品的放射强度都符合标准限量要求。工作组经过对验证的数据进行研究分析，认为放射强度指标的设置符合行业技术水平，具有科学合理性。</w:t>
      </w:r>
    </w:p>
    <w:p>
      <w:pPr>
        <w:snapToGrid/>
        <w:spacing w:before="408" w:beforeAutospacing="1" w:after="408" w:afterAutospacing="1" w:line="240" w:lineRule="auto"/>
        <w:jc w:val="both"/>
        <w:textAlignment w:val="baseline"/>
        <w:rPr>
          <w:rStyle w:val="8"/>
          <w:rFonts w:ascii="黑体" w:hAnsi="黑体" w:eastAsia="黑体"/>
          <w:b/>
          <w:i w:val="0"/>
          <w:caps w:val="0"/>
          <w:spacing w:val="0"/>
          <w:w w:val="100"/>
          <w:kern w:val="2"/>
          <w:sz w:val="28"/>
          <w:szCs w:val="28"/>
          <w:lang w:val="en-US" w:eastAsia="zh-CN" w:bidi="ar-SA"/>
        </w:rPr>
      </w:pPr>
      <w:r>
        <w:rPr>
          <w:rStyle w:val="8"/>
          <w:rFonts w:ascii="黑体" w:hAnsi="黑体" w:eastAsia="黑体"/>
          <w:b/>
          <w:i w:val="0"/>
          <w:caps w:val="0"/>
          <w:spacing w:val="0"/>
          <w:w w:val="100"/>
          <w:kern w:val="2"/>
          <w:sz w:val="28"/>
          <w:szCs w:val="28"/>
          <w:lang w:val="en-US" w:eastAsia="zh-CN" w:bidi="ar-SA"/>
        </w:rPr>
        <w:t>四、标准中涉及专利的情况</w:t>
      </w:r>
    </w:p>
    <w:p>
      <w:pPr>
        <w:snapToGrid w:val="0"/>
        <w:spacing w:before="0" w:beforeAutospacing="0" w:after="0" w:afterAutospacing="0" w:line="360" w:lineRule="auto"/>
        <w:ind w:firstLine="480" w:firstLineChars="200"/>
        <w:jc w:val="both"/>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本标准不涉及专利问题。</w:t>
      </w:r>
    </w:p>
    <w:p>
      <w:pPr>
        <w:snapToGrid/>
        <w:spacing w:before="408" w:beforeAutospacing="1" w:after="408" w:afterAutospacing="1" w:line="240" w:lineRule="auto"/>
        <w:jc w:val="both"/>
        <w:textAlignment w:val="baseline"/>
        <w:rPr>
          <w:rStyle w:val="8"/>
          <w:rFonts w:ascii="黑体" w:hAnsi="黑体" w:eastAsia="黑体"/>
          <w:b/>
          <w:i w:val="0"/>
          <w:caps w:val="0"/>
          <w:spacing w:val="0"/>
          <w:w w:val="100"/>
          <w:kern w:val="2"/>
          <w:sz w:val="28"/>
          <w:szCs w:val="28"/>
          <w:lang w:val="en-US" w:eastAsia="zh-CN" w:bidi="ar-SA"/>
        </w:rPr>
      </w:pPr>
      <w:r>
        <w:rPr>
          <w:rStyle w:val="8"/>
          <w:rFonts w:ascii="黑体" w:hAnsi="黑体" w:eastAsia="黑体"/>
          <w:b/>
          <w:i w:val="0"/>
          <w:caps w:val="0"/>
          <w:spacing w:val="0"/>
          <w:w w:val="100"/>
          <w:kern w:val="2"/>
          <w:sz w:val="28"/>
          <w:szCs w:val="28"/>
          <w:lang w:val="en-US" w:eastAsia="zh-CN" w:bidi="ar-SA"/>
        </w:rPr>
        <w:t>五、预期达到的社会效益、对产业发展的作用等情况</w:t>
      </w:r>
    </w:p>
    <w:p>
      <w:pPr>
        <w:snapToGrid/>
        <w:spacing w:before="0" w:beforeAutospacing="0" w:after="0" w:afterAutospacing="0" w:line="240" w:lineRule="auto"/>
        <w:ind w:firstLine="480" w:firstLineChars="200"/>
        <w:jc w:val="both"/>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因麦饭石产地不同，石料成分不一，成品质量差异加大：各地所产麦饭石品质差别较大，有些地区的麦饭石由于形成年代较晚，石质较稀松，微量元素含量较少。再加上煅烧产品的配比不一样，煅烧温度不一样，产品质量也不一样。目前市场上一些鱼目混珠的产品，其中的麦饭石含量甚微，甚至有的根本不含麦饭石，参杂化工染料。</w:t>
      </w:r>
    </w:p>
    <w:p>
      <w:pPr>
        <w:snapToGrid/>
        <w:spacing w:before="0" w:beforeAutospacing="0" w:after="0" w:afterAutospacing="0" w:line="240" w:lineRule="auto"/>
        <w:ind w:firstLine="480" w:firstLineChars="200"/>
        <w:jc w:val="both"/>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因此，用标准规范麦饭石紫陶器皿的原料、生产、检验，能有效杜绝假冒伪劣产品，最终让这一有益于人民身心健康的石头，以新的形式，在新的时代，再次为广大人民群众的健康服务，用标准继承和发扬中国优良传统瑰宝。</w:t>
      </w:r>
    </w:p>
    <w:p>
      <w:pPr>
        <w:snapToGrid/>
        <w:spacing w:before="0" w:beforeAutospacing="0" w:after="0" w:afterAutospacing="0" w:line="240" w:lineRule="auto"/>
        <w:ind w:firstLine="480" w:firstLineChars="200"/>
        <w:jc w:val="both"/>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同时，制定本标准也是对《国务院办公厅关于开展消费品工业“三品”专项行动营造良好市场环境的若干意见》（国办发〔2016〕40号）中“增品种”（增加中高端消费品供给，发展健康消费品，发展民族特色消费品）的积极响应，符合政策精神。</w:t>
      </w:r>
    </w:p>
    <w:p>
      <w:pPr>
        <w:snapToGrid/>
        <w:spacing w:before="408" w:beforeAutospacing="1" w:after="408" w:afterAutospacing="1" w:line="240" w:lineRule="auto"/>
        <w:jc w:val="both"/>
        <w:textAlignment w:val="baseline"/>
        <w:rPr>
          <w:rStyle w:val="8"/>
          <w:rFonts w:ascii="黑体" w:hAnsi="黑体" w:eastAsia="黑体"/>
          <w:b/>
          <w:i w:val="0"/>
          <w:caps w:val="0"/>
          <w:spacing w:val="0"/>
          <w:w w:val="100"/>
          <w:kern w:val="2"/>
          <w:sz w:val="28"/>
          <w:szCs w:val="28"/>
          <w:lang w:val="en-US" w:eastAsia="zh-CN" w:bidi="ar-SA"/>
        </w:rPr>
      </w:pPr>
      <w:r>
        <w:rPr>
          <w:rStyle w:val="8"/>
          <w:rFonts w:ascii="黑体" w:hAnsi="黑体" w:eastAsia="黑体"/>
          <w:b/>
          <w:i w:val="0"/>
          <w:caps w:val="0"/>
          <w:spacing w:val="0"/>
          <w:w w:val="100"/>
          <w:kern w:val="2"/>
          <w:sz w:val="28"/>
          <w:szCs w:val="28"/>
          <w:lang w:val="en-US" w:eastAsia="zh-CN" w:bidi="ar-SA"/>
        </w:rPr>
        <w:t>六、与国际、国外对比情况</w:t>
      </w:r>
    </w:p>
    <w:p>
      <w:pPr>
        <w:snapToGrid w:val="0"/>
        <w:spacing w:before="0" w:beforeAutospacing="0" w:after="0" w:afterAutospacing="0" w:line="360" w:lineRule="auto"/>
        <w:ind w:firstLine="480"/>
        <w:jc w:val="both"/>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本标准没有采用国际标准。</w:t>
      </w:r>
    </w:p>
    <w:p>
      <w:pPr>
        <w:snapToGrid w:val="0"/>
        <w:spacing w:before="0" w:beforeAutospacing="0" w:after="0" w:afterAutospacing="0" w:line="360" w:lineRule="auto"/>
        <w:ind w:firstLine="480"/>
        <w:jc w:val="both"/>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本标准制定过程中未查到同类国际、国外标准。</w:t>
      </w:r>
    </w:p>
    <w:p>
      <w:pPr>
        <w:snapToGrid w:val="0"/>
        <w:spacing w:before="0" w:beforeAutospacing="0" w:after="0" w:afterAutospacing="0" w:line="360" w:lineRule="auto"/>
        <w:ind w:firstLine="480"/>
        <w:jc w:val="both"/>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本标准制定过程中未测试国外的样品、样机。</w:t>
      </w:r>
    </w:p>
    <w:p>
      <w:pPr>
        <w:snapToGrid w:val="0"/>
        <w:spacing w:before="0" w:beforeAutospacing="0" w:after="0" w:afterAutospacing="0" w:line="360" w:lineRule="auto"/>
        <w:ind w:firstLine="480"/>
        <w:jc w:val="both"/>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本标准水平为国内领先水平。</w:t>
      </w:r>
    </w:p>
    <w:p>
      <w:pPr>
        <w:snapToGrid w:val="0"/>
        <w:spacing w:before="204" w:beforeAutospacing="0" w:after="204" w:afterAutospacing="0" w:line="240" w:lineRule="auto"/>
        <w:jc w:val="both"/>
        <w:textAlignment w:val="baseline"/>
        <w:rPr>
          <w:rStyle w:val="8"/>
          <w:rFonts w:ascii="黑体" w:hAnsi="黑体" w:eastAsia="黑体"/>
          <w:b/>
          <w:i w:val="0"/>
          <w:caps w:val="0"/>
          <w:spacing w:val="0"/>
          <w:w w:val="100"/>
          <w:kern w:val="2"/>
          <w:sz w:val="28"/>
          <w:szCs w:val="28"/>
          <w:lang w:val="en-US" w:eastAsia="zh-CN" w:bidi="ar-SA"/>
        </w:rPr>
      </w:pPr>
      <w:r>
        <w:rPr>
          <w:rStyle w:val="8"/>
          <w:rFonts w:ascii="黑体" w:hAnsi="黑体" w:eastAsia="黑体"/>
          <w:b/>
          <w:i w:val="0"/>
          <w:caps w:val="0"/>
          <w:spacing w:val="0"/>
          <w:w w:val="100"/>
          <w:kern w:val="2"/>
          <w:sz w:val="28"/>
          <w:szCs w:val="28"/>
          <w:lang w:val="en-US" w:eastAsia="zh-CN" w:bidi="ar-SA"/>
        </w:rPr>
        <w:t>七、在标准体系中的位置，与现行相关法律、法规、规章及标准，特别是强制性标准的协调性</w:t>
      </w:r>
    </w:p>
    <w:p>
      <w:pPr>
        <w:snapToGrid/>
        <w:spacing w:before="0" w:beforeAutospacing="0" w:after="0" w:afterAutospacing="0" w:line="440" w:lineRule="exact"/>
        <w:ind w:firstLine="480" w:firstLineChars="200"/>
        <w:jc w:val="both"/>
        <w:textAlignment w:val="baseline"/>
        <w:rPr>
          <w:rStyle w:val="8"/>
          <w:rFonts w:ascii="ˎ̥" w:hAnsi="ˎ̥" w:eastAsia="宋体"/>
          <w:b w:val="0"/>
          <w:i w:val="0"/>
          <w:caps w:val="0"/>
          <w:spacing w:val="0"/>
          <w:w w:val="100"/>
          <w:kern w:val="2"/>
          <w:sz w:val="24"/>
          <w:szCs w:val="24"/>
          <w:lang w:val="en-US" w:eastAsia="zh-CN" w:bidi="ar-SA"/>
        </w:rPr>
      </w:pPr>
      <w:r>
        <w:rPr>
          <w:rStyle w:val="8"/>
          <w:rFonts w:ascii="ˎ̥" w:hAnsi="ˎ̥" w:eastAsia="宋体"/>
          <w:b w:val="0"/>
          <w:i w:val="0"/>
          <w:caps w:val="0"/>
          <w:spacing w:val="0"/>
          <w:w w:val="100"/>
          <w:kern w:val="2"/>
          <w:sz w:val="24"/>
          <w:szCs w:val="24"/>
          <w:lang w:val="en-US" w:eastAsia="zh-CN" w:bidi="ar-SA"/>
        </w:rPr>
        <w:t>本专业领域标准体系框图如下图所示</w:t>
      </w:r>
    </w:p>
    <w:p>
      <w:pPr>
        <w:snapToGrid/>
        <w:spacing w:before="0" w:beforeAutospacing="0" w:after="0" w:afterAutospacing="0" w:line="440" w:lineRule="exact"/>
        <w:ind w:firstLine="480" w:firstLineChars="200"/>
        <w:jc w:val="both"/>
        <w:textAlignment w:val="baseline"/>
        <w:rPr>
          <w:rStyle w:val="8"/>
          <w:rFonts w:ascii="楷体_GB2312" w:eastAsia="楷体_GB2312"/>
          <w:b w:val="0"/>
          <w:i w:val="0"/>
          <w:caps w:val="0"/>
          <w:spacing w:val="0"/>
          <w:w w:val="100"/>
          <w:sz w:val="24"/>
          <w:lang w:val="en-US" w:eastAsia="zh-CN" w:bidi="ar-SA"/>
        </w:rPr>
      </w:pPr>
      <w:r>
        <w:rPr>
          <w:rStyle w:val="8"/>
          <w:rFonts w:ascii="楷体_GB2312" w:eastAsia="楷体_GB2312"/>
          <w:b w:val="0"/>
          <w:i w:val="0"/>
          <w:caps w:val="0"/>
          <w:spacing w:val="0"/>
          <w:w w:val="100"/>
          <w:sz w:val="24"/>
          <w:lang w:val="en-US" w:eastAsia="zh-CN" w:bidi="ar-SA"/>
        </w:rPr>
        <w:pict>
          <v:shape id="_x0000_s1032" o:spid="_x0000_s1032" o:spt="75" type="#_x0000_t75" style="position:absolute;left:0pt;margin-left:138.9pt;margin-top:7.8pt;height:310.4pt;width:205.5pt;z-index:251659264;mso-width-relative:page;mso-height-relative:page;" filled="f" stroked="f" coordsize="21600,21600">
            <v:path/>
            <v:fill on="f" focussize="0,0"/>
            <v:stroke on="f"/>
            <v:imagedata r:id="rId5" croptop="1594f" cropbottom="1240f" o:title=""/>
            <o:lock v:ext="edit" aspectratio="t"/>
          </v:shape>
        </w:pict>
      </w:r>
    </w:p>
    <w:p>
      <w:pPr>
        <w:snapToGrid/>
        <w:spacing w:before="0" w:beforeAutospacing="0" w:after="0" w:afterAutospacing="0" w:line="440" w:lineRule="exact"/>
        <w:ind w:firstLine="480" w:firstLineChars="200"/>
        <w:jc w:val="both"/>
        <w:textAlignment w:val="baseline"/>
        <w:rPr>
          <w:rStyle w:val="8"/>
          <w:rFonts w:ascii="楷体_GB2312" w:eastAsia="楷体_GB2312"/>
          <w:b w:val="0"/>
          <w:i w:val="0"/>
          <w:caps w:val="0"/>
          <w:spacing w:val="0"/>
          <w:w w:val="100"/>
          <w:sz w:val="24"/>
          <w:lang w:val="en-US" w:eastAsia="zh-CN" w:bidi="ar-SA"/>
        </w:rPr>
      </w:pPr>
    </w:p>
    <w:p>
      <w:pPr>
        <w:snapToGrid/>
        <w:spacing w:before="0" w:beforeAutospacing="0" w:after="0" w:afterAutospacing="0" w:line="400" w:lineRule="exact"/>
        <w:ind w:firstLine="480" w:firstLineChars="200"/>
        <w:jc w:val="both"/>
        <w:textAlignment w:val="baseline"/>
        <w:rPr>
          <w:rStyle w:val="8"/>
          <w:rFonts w:ascii="宋体" w:hAnsi="宋体" w:eastAsia="宋体"/>
          <w:b w:val="0"/>
          <w:i w:val="0"/>
          <w:caps w:val="0"/>
          <w:spacing w:val="0"/>
          <w:w w:val="100"/>
          <w:sz w:val="24"/>
          <w:szCs w:val="24"/>
          <w:lang w:val="en-US" w:eastAsia="zh-CN" w:bidi="ar-SA"/>
        </w:rPr>
      </w:pPr>
    </w:p>
    <w:p>
      <w:pPr>
        <w:snapToGrid/>
        <w:spacing w:before="0" w:beforeAutospacing="0" w:after="0" w:afterAutospacing="0" w:line="400" w:lineRule="exact"/>
        <w:ind w:firstLine="480" w:firstLineChars="200"/>
        <w:jc w:val="both"/>
        <w:textAlignment w:val="baseline"/>
        <w:rPr>
          <w:rStyle w:val="8"/>
          <w:rFonts w:ascii="宋体" w:hAnsi="宋体" w:eastAsia="宋体"/>
          <w:b w:val="0"/>
          <w:i w:val="0"/>
          <w:caps w:val="0"/>
          <w:spacing w:val="0"/>
          <w:w w:val="100"/>
          <w:sz w:val="24"/>
          <w:szCs w:val="24"/>
          <w:lang w:val="en-US" w:eastAsia="zh-CN" w:bidi="ar-SA"/>
        </w:rPr>
      </w:pPr>
    </w:p>
    <w:p>
      <w:pPr>
        <w:snapToGrid/>
        <w:spacing w:before="0" w:beforeAutospacing="0" w:after="0" w:afterAutospacing="0" w:line="400" w:lineRule="exact"/>
        <w:ind w:firstLine="480" w:firstLineChars="200"/>
        <w:jc w:val="both"/>
        <w:textAlignment w:val="baseline"/>
        <w:rPr>
          <w:rStyle w:val="8"/>
          <w:rFonts w:ascii="宋体" w:hAnsi="宋体" w:eastAsia="宋体"/>
          <w:b w:val="0"/>
          <w:i w:val="0"/>
          <w:caps w:val="0"/>
          <w:spacing w:val="0"/>
          <w:w w:val="100"/>
          <w:sz w:val="24"/>
          <w:szCs w:val="24"/>
          <w:lang w:val="en-US" w:eastAsia="zh-CN" w:bidi="ar-SA"/>
        </w:rPr>
      </w:pPr>
    </w:p>
    <w:p>
      <w:pPr>
        <w:snapToGrid/>
        <w:spacing w:before="0" w:beforeAutospacing="0" w:after="0" w:afterAutospacing="0" w:line="400" w:lineRule="exact"/>
        <w:ind w:firstLine="480" w:firstLineChars="200"/>
        <w:jc w:val="both"/>
        <w:textAlignment w:val="baseline"/>
        <w:rPr>
          <w:rStyle w:val="8"/>
          <w:rFonts w:ascii="宋体" w:hAnsi="宋体" w:eastAsia="宋体"/>
          <w:b w:val="0"/>
          <w:i w:val="0"/>
          <w:caps w:val="0"/>
          <w:spacing w:val="0"/>
          <w:w w:val="100"/>
          <w:sz w:val="24"/>
          <w:szCs w:val="24"/>
          <w:lang w:val="en-US" w:eastAsia="zh-CN" w:bidi="ar-SA"/>
        </w:rPr>
      </w:pPr>
    </w:p>
    <w:p>
      <w:pPr>
        <w:snapToGrid/>
        <w:spacing w:before="0" w:beforeAutospacing="0" w:after="0" w:afterAutospacing="0" w:line="400" w:lineRule="exact"/>
        <w:ind w:firstLine="480" w:firstLineChars="200"/>
        <w:jc w:val="both"/>
        <w:textAlignment w:val="baseline"/>
        <w:rPr>
          <w:rStyle w:val="8"/>
          <w:rFonts w:ascii="宋体" w:hAnsi="宋体" w:eastAsia="宋体"/>
          <w:b w:val="0"/>
          <w:i w:val="0"/>
          <w:caps w:val="0"/>
          <w:spacing w:val="0"/>
          <w:w w:val="100"/>
          <w:sz w:val="24"/>
          <w:szCs w:val="24"/>
          <w:lang w:val="en-US" w:eastAsia="zh-CN" w:bidi="ar-SA"/>
        </w:rPr>
      </w:pPr>
    </w:p>
    <w:p>
      <w:pPr>
        <w:snapToGrid/>
        <w:spacing w:before="0" w:beforeAutospacing="0" w:after="0" w:afterAutospacing="0" w:line="400" w:lineRule="exact"/>
        <w:ind w:firstLine="480" w:firstLineChars="200"/>
        <w:jc w:val="both"/>
        <w:textAlignment w:val="baseline"/>
        <w:rPr>
          <w:rStyle w:val="8"/>
          <w:rFonts w:ascii="宋体" w:hAnsi="宋体" w:eastAsia="宋体"/>
          <w:b w:val="0"/>
          <w:i w:val="0"/>
          <w:caps w:val="0"/>
          <w:spacing w:val="0"/>
          <w:w w:val="100"/>
          <w:sz w:val="24"/>
          <w:szCs w:val="24"/>
          <w:lang w:val="en-US" w:eastAsia="zh-CN" w:bidi="ar-SA"/>
        </w:rPr>
      </w:pPr>
    </w:p>
    <w:p>
      <w:pPr>
        <w:snapToGrid/>
        <w:spacing w:before="0" w:beforeAutospacing="0" w:after="0" w:afterAutospacing="0" w:line="400" w:lineRule="exact"/>
        <w:ind w:firstLine="480" w:firstLineChars="200"/>
        <w:jc w:val="both"/>
        <w:textAlignment w:val="baseline"/>
        <w:rPr>
          <w:rStyle w:val="8"/>
          <w:rFonts w:ascii="宋体" w:hAnsi="宋体" w:eastAsia="宋体"/>
          <w:b w:val="0"/>
          <w:i w:val="0"/>
          <w:caps w:val="0"/>
          <w:spacing w:val="0"/>
          <w:w w:val="100"/>
          <w:sz w:val="24"/>
          <w:szCs w:val="24"/>
          <w:lang w:val="en-US" w:eastAsia="zh-CN" w:bidi="ar-SA"/>
        </w:rPr>
      </w:pPr>
    </w:p>
    <w:p>
      <w:pPr>
        <w:snapToGrid/>
        <w:spacing w:before="0" w:beforeAutospacing="0" w:after="0" w:afterAutospacing="0" w:line="400" w:lineRule="exact"/>
        <w:ind w:firstLine="480" w:firstLineChars="200"/>
        <w:jc w:val="both"/>
        <w:textAlignment w:val="baseline"/>
        <w:rPr>
          <w:rStyle w:val="8"/>
          <w:rFonts w:ascii="宋体" w:hAnsi="宋体" w:eastAsia="宋体"/>
          <w:b w:val="0"/>
          <w:i w:val="0"/>
          <w:caps w:val="0"/>
          <w:spacing w:val="0"/>
          <w:w w:val="100"/>
          <w:sz w:val="24"/>
          <w:szCs w:val="24"/>
          <w:lang w:val="en-US" w:eastAsia="zh-CN" w:bidi="ar-SA"/>
        </w:rPr>
      </w:pPr>
    </w:p>
    <w:p>
      <w:pPr>
        <w:snapToGrid/>
        <w:spacing w:before="0" w:beforeAutospacing="0" w:after="0" w:afterAutospacing="0" w:line="400" w:lineRule="exact"/>
        <w:jc w:val="both"/>
        <w:textAlignment w:val="baseline"/>
        <w:rPr>
          <w:rStyle w:val="8"/>
          <w:rFonts w:ascii="宋体" w:hAnsi="宋体" w:eastAsia="宋体"/>
          <w:b w:val="0"/>
          <w:i w:val="0"/>
          <w:caps w:val="0"/>
          <w:spacing w:val="0"/>
          <w:w w:val="100"/>
          <w:sz w:val="24"/>
          <w:szCs w:val="24"/>
          <w:lang w:val="en-US" w:eastAsia="zh-CN" w:bidi="ar-SA"/>
        </w:rPr>
      </w:pPr>
    </w:p>
    <w:p>
      <w:pPr>
        <w:snapToGrid/>
        <w:spacing w:before="0" w:beforeAutospacing="0" w:after="0" w:afterAutospacing="0" w:line="400" w:lineRule="exact"/>
        <w:ind w:firstLine="480" w:firstLineChars="200"/>
        <w:jc w:val="both"/>
        <w:textAlignment w:val="baseline"/>
        <w:rPr>
          <w:rStyle w:val="8"/>
          <w:rFonts w:ascii="宋体" w:hAnsi="宋体" w:eastAsia="宋体"/>
          <w:b w:val="0"/>
          <w:i w:val="0"/>
          <w:caps w:val="0"/>
          <w:spacing w:val="0"/>
          <w:w w:val="100"/>
          <w:sz w:val="24"/>
          <w:szCs w:val="24"/>
          <w:lang w:val="en-US" w:eastAsia="zh-CN" w:bidi="ar-SA"/>
        </w:rPr>
      </w:pPr>
    </w:p>
    <w:p>
      <w:pPr>
        <w:snapToGrid/>
        <w:spacing w:before="0" w:beforeAutospacing="0" w:after="0" w:afterAutospacing="0" w:line="400" w:lineRule="exact"/>
        <w:ind w:firstLine="480" w:firstLineChars="200"/>
        <w:jc w:val="both"/>
        <w:textAlignment w:val="baseline"/>
        <w:rPr>
          <w:rStyle w:val="8"/>
          <w:rFonts w:ascii="宋体" w:hAnsi="宋体" w:eastAsia="宋体"/>
          <w:b w:val="0"/>
          <w:i w:val="0"/>
          <w:caps w:val="0"/>
          <w:spacing w:val="0"/>
          <w:w w:val="100"/>
          <w:sz w:val="24"/>
          <w:szCs w:val="24"/>
          <w:lang w:val="en-US" w:eastAsia="zh-CN" w:bidi="ar-SA"/>
        </w:rPr>
      </w:pPr>
    </w:p>
    <w:p>
      <w:pPr>
        <w:snapToGrid/>
        <w:spacing w:before="0" w:beforeAutospacing="0" w:after="0" w:afterAutospacing="0" w:line="400" w:lineRule="exact"/>
        <w:ind w:firstLine="480" w:firstLineChars="200"/>
        <w:jc w:val="both"/>
        <w:textAlignment w:val="baseline"/>
        <w:rPr>
          <w:rStyle w:val="8"/>
          <w:rFonts w:ascii="宋体" w:hAnsi="宋体" w:eastAsia="宋体"/>
          <w:b w:val="0"/>
          <w:i w:val="0"/>
          <w:caps w:val="0"/>
          <w:spacing w:val="0"/>
          <w:w w:val="100"/>
          <w:sz w:val="24"/>
          <w:szCs w:val="24"/>
          <w:lang w:val="en-US" w:eastAsia="zh-CN" w:bidi="ar-SA"/>
        </w:rPr>
      </w:pPr>
    </w:p>
    <w:p>
      <w:pPr>
        <w:snapToGrid/>
        <w:spacing w:before="0" w:beforeAutospacing="0" w:after="0" w:afterAutospacing="0" w:line="400" w:lineRule="exact"/>
        <w:jc w:val="both"/>
        <w:textAlignment w:val="baseline"/>
        <w:rPr>
          <w:rStyle w:val="8"/>
          <w:rFonts w:ascii="ˎ̥" w:hAnsi="ˎ̥" w:eastAsia="宋体"/>
          <w:b w:val="0"/>
          <w:i w:val="0"/>
          <w:caps w:val="0"/>
          <w:spacing w:val="0"/>
          <w:w w:val="100"/>
          <w:kern w:val="2"/>
          <w:sz w:val="24"/>
          <w:szCs w:val="24"/>
          <w:lang w:val="en-US" w:eastAsia="zh-CN" w:bidi="ar-SA"/>
        </w:rPr>
      </w:pPr>
    </w:p>
    <w:p>
      <w:pPr>
        <w:snapToGrid/>
        <w:spacing w:before="0" w:beforeAutospacing="0" w:after="0" w:afterAutospacing="0" w:line="400" w:lineRule="exact"/>
        <w:ind w:firstLine="480" w:firstLineChars="200"/>
        <w:jc w:val="both"/>
        <w:textAlignment w:val="baseline"/>
        <w:rPr>
          <w:rStyle w:val="8"/>
          <w:rFonts w:ascii="ˎ̥" w:hAnsi="ˎ̥" w:eastAsia="宋体"/>
          <w:b w:val="0"/>
          <w:i w:val="0"/>
          <w:caps w:val="0"/>
          <w:spacing w:val="0"/>
          <w:w w:val="100"/>
          <w:kern w:val="2"/>
          <w:sz w:val="24"/>
          <w:szCs w:val="24"/>
          <w:lang w:val="en-US" w:eastAsia="zh-CN" w:bidi="ar-SA"/>
        </w:rPr>
      </w:pPr>
    </w:p>
    <w:p>
      <w:pPr>
        <w:snapToGrid/>
        <w:spacing w:before="0" w:beforeAutospacing="0" w:after="0" w:afterAutospacing="0" w:line="400" w:lineRule="exact"/>
        <w:ind w:firstLine="480" w:firstLineChars="200"/>
        <w:jc w:val="both"/>
        <w:textAlignment w:val="baseline"/>
        <w:rPr>
          <w:rStyle w:val="8"/>
          <w:rFonts w:ascii="ˎ̥" w:hAnsi="ˎ̥" w:eastAsia="宋体"/>
          <w:b w:val="0"/>
          <w:i w:val="0"/>
          <w:caps w:val="0"/>
          <w:spacing w:val="0"/>
          <w:w w:val="100"/>
          <w:kern w:val="2"/>
          <w:sz w:val="24"/>
          <w:szCs w:val="24"/>
          <w:lang w:val="en-US" w:eastAsia="zh-CN" w:bidi="ar-SA"/>
        </w:rPr>
      </w:pPr>
    </w:p>
    <w:p>
      <w:pPr>
        <w:snapToGrid/>
        <w:spacing w:before="0" w:beforeAutospacing="0" w:after="0" w:afterAutospacing="0" w:line="400" w:lineRule="exact"/>
        <w:ind w:firstLine="480" w:firstLineChars="200"/>
        <w:jc w:val="both"/>
        <w:textAlignment w:val="baseline"/>
        <w:rPr>
          <w:rStyle w:val="8"/>
          <w:rFonts w:ascii="ˎ̥" w:hAnsi="ˎ̥" w:eastAsia="宋体"/>
          <w:b w:val="0"/>
          <w:i w:val="0"/>
          <w:caps w:val="0"/>
          <w:spacing w:val="0"/>
          <w:w w:val="100"/>
          <w:kern w:val="2"/>
          <w:sz w:val="24"/>
          <w:szCs w:val="24"/>
          <w:lang w:val="en-US" w:eastAsia="zh-CN" w:bidi="ar-SA"/>
        </w:rPr>
      </w:pPr>
      <w:r>
        <w:rPr>
          <w:rStyle w:val="8"/>
          <w:rFonts w:ascii="ˎ̥" w:hAnsi="ˎ̥" w:eastAsia="宋体"/>
          <w:b w:val="0"/>
          <w:i w:val="0"/>
          <w:caps w:val="0"/>
          <w:spacing w:val="0"/>
          <w:w w:val="100"/>
          <w:kern w:val="2"/>
          <w:sz w:val="24"/>
          <w:szCs w:val="24"/>
          <w:lang w:val="en-US" w:eastAsia="zh-CN" w:bidi="ar-SA"/>
        </w:rPr>
        <w:t>本标准属于“20其他轻工产品”大类，05食品接触材料中类，99其它小类。</w:t>
      </w:r>
    </w:p>
    <w:p>
      <w:pPr>
        <w:snapToGrid/>
        <w:spacing w:before="0" w:beforeAutospacing="0" w:after="0" w:afterAutospacing="0" w:line="400" w:lineRule="exact"/>
        <w:ind w:firstLine="480" w:firstLineChars="200"/>
        <w:jc w:val="both"/>
        <w:textAlignment w:val="baseline"/>
        <w:rPr>
          <w:rStyle w:val="8"/>
          <w:rFonts w:ascii="宋体" w:hAnsi="宋体" w:eastAsia="宋体"/>
          <w:b w:val="0"/>
          <w:i w:val="0"/>
          <w:caps w:val="0"/>
          <w:spacing w:val="0"/>
          <w:w w:val="100"/>
          <w:sz w:val="24"/>
          <w:szCs w:val="24"/>
          <w:lang w:val="en-US" w:eastAsia="zh-CN" w:bidi="ar-SA"/>
        </w:rPr>
      </w:pPr>
      <w:r>
        <w:rPr>
          <w:rStyle w:val="8"/>
          <w:rFonts w:ascii="宋体" w:hAnsi="宋体" w:eastAsia="宋体"/>
          <w:b w:val="0"/>
          <w:i w:val="0"/>
          <w:caps w:val="0"/>
          <w:spacing w:val="0"/>
          <w:w w:val="100"/>
          <w:sz w:val="24"/>
          <w:szCs w:val="24"/>
          <w:lang w:val="en-US" w:eastAsia="zh-CN" w:bidi="ar-SA"/>
        </w:rPr>
        <w:t>本标准</w:t>
      </w:r>
      <w:r>
        <w:rPr>
          <w:rStyle w:val="8"/>
          <w:rFonts w:ascii="ˎ̥" w:hAnsi="ˎ̥" w:eastAsia="宋体"/>
          <w:b w:val="0"/>
          <w:i w:val="0"/>
          <w:caps w:val="0"/>
          <w:spacing w:val="0"/>
          <w:w w:val="100"/>
          <w:kern w:val="2"/>
          <w:sz w:val="24"/>
          <w:szCs w:val="24"/>
          <w:lang w:val="en-US" w:eastAsia="zh-CN" w:bidi="ar-SA"/>
        </w:rPr>
        <w:t>与现行相关法律、法规、规章及相关标准协调一致</w:t>
      </w:r>
      <w:r>
        <w:rPr>
          <w:rStyle w:val="8"/>
          <w:rFonts w:ascii="宋体" w:hAnsi="宋体" w:eastAsia="宋体"/>
          <w:b w:val="0"/>
          <w:i w:val="0"/>
          <w:caps w:val="0"/>
          <w:spacing w:val="0"/>
          <w:w w:val="100"/>
          <w:sz w:val="24"/>
          <w:szCs w:val="24"/>
          <w:lang w:val="en-US" w:eastAsia="zh-CN" w:bidi="ar-SA"/>
        </w:rPr>
        <w:t>。</w:t>
      </w:r>
    </w:p>
    <w:p>
      <w:pPr>
        <w:snapToGrid/>
        <w:spacing w:before="408" w:beforeAutospacing="1" w:after="408" w:afterAutospacing="1" w:line="240" w:lineRule="auto"/>
        <w:jc w:val="both"/>
        <w:textAlignment w:val="baseline"/>
        <w:rPr>
          <w:rStyle w:val="8"/>
          <w:rFonts w:ascii="黑体" w:hAnsi="黑体" w:eastAsia="黑体"/>
          <w:b/>
          <w:i w:val="0"/>
          <w:caps w:val="0"/>
          <w:spacing w:val="0"/>
          <w:w w:val="100"/>
          <w:kern w:val="2"/>
          <w:sz w:val="28"/>
          <w:szCs w:val="28"/>
          <w:lang w:val="en-US" w:eastAsia="zh-CN" w:bidi="ar-SA"/>
        </w:rPr>
      </w:pPr>
      <w:r>
        <w:rPr>
          <w:rStyle w:val="8"/>
          <w:rFonts w:ascii="黑体" w:hAnsi="黑体" w:eastAsia="黑体"/>
          <w:b/>
          <w:i w:val="0"/>
          <w:caps w:val="0"/>
          <w:spacing w:val="0"/>
          <w:w w:val="100"/>
          <w:kern w:val="2"/>
          <w:sz w:val="28"/>
          <w:szCs w:val="28"/>
          <w:lang w:val="en-US" w:eastAsia="zh-CN" w:bidi="ar-SA"/>
        </w:rPr>
        <w:t>八、重大分歧意见的处理经过和依据</w:t>
      </w:r>
    </w:p>
    <w:p>
      <w:pPr>
        <w:snapToGrid/>
        <w:spacing w:before="0" w:beforeAutospacing="0" w:after="0" w:afterAutospacing="0" w:line="400" w:lineRule="exact"/>
        <w:ind w:firstLine="480" w:firstLineChars="200"/>
        <w:jc w:val="both"/>
        <w:textAlignment w:val="baseline"/>
        <w:rPr>
          <w:rStyle w:val="8"/>
          <w:rFonts w:ascii="ˎ̥" w:hAnsi="ˎ̥" w:eastAsia="宋体"/>
          <w:b w:val="0"/>
          <w:i w:val="0"/>
          <w:caps w:val="0"/>
          <w:spacing w:val="0"/>
          <w:w w:val="100"/>
          <w:kern w:val="2"/>
          <w:sz w:val="24"/>
          <w:szCs w:val="24"/>
          <w:lang w:val="en-US" w:eastAsia="zh-CN" w:bidi="ar-SA"/>
        </w:rPr>
      </w:pPr>
      <w:r>
        <w:rPr>
          <w:rStyle w:val="8"/>
          <w:rFonts w:ascii="ˎ̥" w:hAnsi="ˎ̥" w:eastAsia="宋体"/>
          <w:b w:val="0"/>
          <w:i w:val="0"/>
          <w:caps w:val="0"/>
          <w:spacing w:val="0"/>
          <w:w w:val="100"/>
          <w:kern w:val="2"/>
          <w:sz w:val="24"/>
          <w:szCs w:val="24"/>
          <w:lang w:val="en-US" w:eastAsia="zh-CN" w:bidi="ar-SA"/>
        </w:rPr>
        <w:t>无。</w:t>
      </w:r>
    </w:p>
    <w:p>
      <w:pPr>
        <w:snapToGrid/>
        <w:spacing w:before="408" w:beforeAutospacing="1" w:after="408" w:afterAutospacing="1" w:line="240" w:lineRule="auto"/>
        <w:jc w:val="both"/>
        <w:textAlignment w:val="baseline"/>
        <w:rPr>
          <w:rStyle w:val="8"/>
          <w:rFonts w:ascii="黑体" w:hAnsi="黑体" w:eastAsia="黑体"/>
          <w:b/>
          <w:i w:val="0"/>
          <w:caps w:val="0"/>
          <w:spacing w:val="0"/>
          <w:w w:val="100"/>
          <w:kern w:val="2"/>
          <w:sz w:val="28"/>
          <w:szCs w:val="28"/>
          <w:lang w:val="en-US" w:eastAsia="zh-CN" w:bidi="ar-SA"/>
        </w:rPr>
      </w:pPr>
      <w:r>
        <w:rPr>
          <w:rStyle w:val="8"/>
          <w:rFonts w:ascii="黑体" w:hAnsi="黑体" w:eastAsia="黑体"/>
          <w:b/>
          <w:i w:val="0"/>
          <w:caps w:val="0"/>
          <w:spacing w:val="0"/>
          <w:w w:val="100"/>
          <w:kern w:val="2"/>
          <w:sz w:val="28"/>
          <w:szCs w:val="28"/>
          <w:lang w:val="en-US" w:eastAsia="zh-CN" w:bidi="ar-SA"/>
        </w:rPr>
        <w:t>九、标准性质的建议说明</w:t>
      </w:r>
    </w:p>
    <w:p>
      <w:pPr>
        <w:snapToGrid w:val="0"/>
        <w:spacing w:before="0" w:beforeAutospacing="0" w:after="0" w:afterAutospacing="0" w:line="360" w:lineRule="auto"/>
        <w:ind w:firstLine="480" w:firstLineChars="200"/>
        <w:jc w:val="both"/>
        <w:textAlignment w:val="baseline"/>
        <w:rPr>
          <w:rStyle w:val="8"/>
          <w:rFonts w:ascii="ˎ̥" w:hAnsi="ˎ̥" w:eastAsia="宋体"/>
          <w:b w:val="0"/>
          <w:i w:val="0"/>
          <w:caps w:val="0"/>
          <w:spacing w:val="0"/>
          <w:w w:val="100"/>
          <w:kern w:val="2"/>
          <w:sz w:val="24"/>
          <w:szCs w:val="24"/>
          <w:lang w:val="en-US" w:eastAsia="zh-CN" w:bidi="ar-SA"/>
        </w:rPr>
      </w:pPr>
      <w:r>
        <w:rPr>
          <w:rStyle w:val="8"/>
          <w:rFonts w:ascii="ˎ̥" w:hAnsi="ˎ̥" w:eastAsia="宋体"/>
          <w:b w:val="0"/>
          <w:i w:val="0"/>
          <w:caps w:val="0"/>
          <w:spacing w:val="0"/>
          <w:w w:val="100"/>
          <w:kern w:val="2"/>
          <w:sz w:val="24"/>
          <w:szCs w:val="24"/>
          <w:lang w:val="en-US" w:eastAsia="zh-CN" w:bidi="ar-SA"/>
        </w:rPr>
        <w:t>建议本标准的性质为推荐性行业标准。</w:t>
      </w:r>
    </w:p>
    <w:p>
      <w:pPr>
        <w:snapToGrid w:val="0"/>
        <w:spacing w:before="204" w:beforeAutospacing="0" w:after="204" w:afterAutospacing="0" w:line="360" w:lineRule="auto"/>
        <w:jc w:val="both"/>
        <w:textAlignment w:val="baseline"/>
        <w:rPr>
          <w:rStyle w:val="8"/>
          <w:rFonts w:ascii="Times New Roman" w:eastAsia="宋体"/>
          <w:b/>
          <w:i w:val="0"/>
          <w:caps w:val="0"/>
          <w:spacing w:val="0"/>
          <w:w w:val="100"/>
          <w:kern w:val="2"/>
          <w:sz w:val="28"/>
          <w:szCs w:val="28"/>
          <w:lang w:val="en-US" w:eastAsia="zh-CN" w:bidi="ar-SA"/>
        </w:rPr>
      </w:pPr>
      <w:r>
        <w:rPr>
          <w:rStyle w:val="8"/>
          <w:rFonts w:ascii="黑体" w:hAnsi="黑体" w:eastAsia="黑体"/>
          <w:b/>
          <w:i w:val="0"/>
          <w:caps w:val="0"/>
          <w:spacing w:val="0"/>
          <w:w w:val="100"/>
          <w:kern w:val="2"/>
          <w:sz w:val="28"/>
          <w:szCs w:val="28"/>
          <w:lang w:val="en-US" w:eastAsia="zh-CN" w:bidi="ar-SA"/>
        </w:rPr>
        <w:t>十、贯彻标准的要求和措施建议</w:t>
      </w:r>
    </w:p>
    <w:p>
      <w:pPr>
        <w:snapToGrid w:val="0"/>
        <w:spacing w:before="0" w:beforeAutospacing="0" w:after="0" w:afterAutospacing="0" w:line="360" w:lineRule="auto"/>
        <w:ind w:firstLine="480" w:firstLineChars="200"/>
        <w:jc w:val="both"/>
        <w:textAlignment w:val="baseline"/>
        <w:rPr>
          <w:rStyle w:val="8"/>
          <w:rFonts w:ascii="ˎ̥" w:hAnsi="ˎ̥" w:eastAsia="宋体"/>
          <w:b w:val="0"/>
          <w:i w:val="0"/>
          <w:caps w:val="0"/>
          <w:spacing w:val="0"/>
          <w:w w:val="100"/>
          <w:kern w:val="2"/>
          <w:sz w:val="24"/>
          <w:szCs w:val="24"/>
          <w:lang w:val="en-US" w:eastAsia="zh-CN" w:bidi="ar-SA"/>
        </w:rPr>
      </w:pPr>
      <w:r>
        <w:rPr>
          <w:rStyle w:val="8"/>
          <w:rFonts w:ascii="ˎ̥" w:hAnsi="ˎ̥" w:eastAsia="宋体"/>
          <w:b w:val="0"/>
          <w:i w:val="0"/>
          <w:caps w:val="0"/>
          <w:spacing w:val="0"/>
          <w:w w:val="100"/>
          <w:kern w:val="2"/>
          <w:sz w:val="24"/>
          <w:szCs w:val="24"/>
          <w:lang w:val="en-US" w:eastAsia="zh-CN" w:bidi="ar-SA"/>
        </w:rPr>
        <w:t>建议本标准批准</w:t>
      </w:r>
      <w:r>
        <w:rPr>
          <w:rStyle w:val="8"/>
          <w:rFonts w:ascii="Times New Roman" w:eastAsia="宋体"/>
          <w:b w:val="0"/>
          <w:i w:val="0"/>
          <w:caps w:val="0"/>
          <w:spacing w:val="0"/>
          <w:w w:val="100"/>
          <w:kern w:val="2"/>
          <w:sz w:val="24"/>
          <w:szCs w:val="24"/>
          <w:lang w:val="en-US" w:eastAsia="zh-CN" w:bidi="ar-SA"/>
        </w:rPr>
        <w:t>发布</w:t>
      </w:r>
      <w:r>
        <w:rPr>
          <w:rStyle w:val="8"/>
          <w:rFonts w:ascii="宋体" w:hAnsi="宋体" w:eastAsia="宋体"/>
          <w:b w:val="0"/>
          <w:i w:val="0"/>
          <w:caps w:val="0"/>
          <w:spacing w:val="0"/>
          <w:w w:val="100"/>
          <w:kern w:val="2"/>
          <w:sz w:val="24"/>
          <w:szCs w:val="24"/>
          <w:lang w:val="en-US" w:eastAsia="zh-CN" w:bidi="ar-SA"/>
        </w:rPr>
        <w:t>6</w:t>
      </w:r>
      <w:r>
        <w:rPr>
          <w:rStyle w:val="8"/>
          <w:rFonts w:ascii="Times New Roman" w:eastAsia="宋体"/>
          <w:b w:val="0"/>
          <w:i w:val="0"/>
          <w:caps w:val="0"/>
          <w:spacing w:val="0"/>
          <w:w w:val="100"/>
          <w:kern w:val="2"/>
          <w:sz w:val="24"/>
          <w:szCs w:val="24"/>
          <w:lang w:val="en-US" w:eastAsia="zh-CN" w:bidi="ar-SA"/>
        </w:rPr>
        <w:t>个月后</w:t>
      </w:r>
      <w:r>
        <w:rPr>
          <w:rStyle w:val="8"/>
          <w:rFonts w:ascii="ˎ̥" w:hAnsi="ˎ̥" w:eastAsia="宋体"/>
          <w:b w:val="0"/>
          <w:i w:val="0"/>
          <w:caps w:val="0"/>
          <w:spacing w:val="0"/>
          <w:w w:val="100"/>
          <w:kern w:val="2"/>
          <w:sz w:val="24"/>
          <w:szCs w:val="24"/>
          <w:lang w:val="en-US" w:eastAsia="zh-CN" w:bidi="ar-SA"/>
        </w:rPr>
        <w:t>实施。</w:t>
      </w:r>
    </w:p>
    <w:p>
      <w:pPr>
        <w:snapToGrid w:val="0"/>
        <w:spacing w:before="204" w:beforeAutospacing="0" w:after="204" w:afterAutospacing="0" w:line="360" w:lineRule="auto"/>
        <w:jc w:val="both"/>
        <w:textAlignment w:val="baseline"/>
        <w:rPr>
          <w:rStyle w:val="8"/>
          <w:rFonts w:ascii="Times New Roman" w:eastAsia="宋体"/>
          <w:b/>
          <w:i w:val="0"/>
          <w:caps w:val="0"/>
          <w:spacing w:val="0"/>
          <w:w w:val="100"/>
          <w:kern w:val="2"/>
          <w:sz w:val="28"/>
          <w:szCs w:val="28"/>
          <w:lang w:val="en-US" w:eastAsia="zh-CN" w:bidi="ar-SA"/>
        </w:rPr>
      </w:pPr>
      <w:r>
        <w:rPr>
          <w:rStyle w:val="8"/>
          <w:rFonts w:ascii="黑体" w:hAnsi="黑体" w:eastAsia="黑体"/>
          <w:b/>
          <w:i w:val="0"/>
          <w:caps w:val="0"/>
          <w:spacing w:val="0"/>
          <w:w w:val="100"/>
          <w:kern w:val="2"/>
          <w:sz w:val="28"/>
          <w:szCs w:val="28"/>
          <w:lang w:val="en-US" w:eastAsia="zh-CN" w:bidi="ar-SA"/>
        </w:rPr>
        <w:t>十一、废止现行相关标准的建议</w:t>
      </w:r>
    </w:p>
    <w:p>
      <w:pPr>
        <w:snapToGrid w:val="0"/>
        <w:spacing w:before="0" w:beforeAutospacing="0" w:after="0" w:afterAutospacing="0" w:line="360" w:lineRule="auto"/>
        <w:ind w:firstLine="480" w:firstLineChars="200"/>
        <w:jc w:val="both"/>
        <w:textAlignment w:val="baseline"/>
        <w:rPr>
          <w:rStyle w:val="8"/>
          <w:rFonts w:ascii="ˎ̥" w:hAnsi="ˎ̥" w:eastAsia="宋体"/>
          <w:b w:val="0"/>
          <w:i w:val="0"/>
          <w:caps w:val="0"/>
          <w:spacing w:val="0"/>
          <w:w w:val="100"/>
          <w:kern w:val="2"/>
          <w:sz w:val="24"/>
          <w:szCs w:val="24"/>
          <w:lang w:val="en-US" w:eastAsia="zh-CN" w:bidi="ar-SA"/>
        </w:rPr>
      </w:pPr>
      <w:r>
        <w:rPr>
          <w:rStyle w:val="8"/>
          <w:rFonts w:ascii="ˎ̥" w:hAnsi="ˎ̥" w:eastAsia="宋体"/>
          <w:b w:val="0"/>
          <w:i w:val="0"/>
          <w:caps w:val="0"/>
          <w:spacing w:val="0"/>
          <w:w w:val="100"/>
          <w:kern w:val="2"/>
          <w:sz w:val="24"/>
          <w:szCs w:val="24"/>
          <w:lang w:val="en-US" w:eastAsia="zh-CN" w:bidi="ar-SA"/>
        </w:rPr>
        <w:t>无。</w:t>
      </w:r>
    </w:p>
    <w:p>
      <w:pPr>
        <w:snapToGrid w:val="0"/>
        <w:spacing w:before="204" w:beforeAutospacing="0" w:after="204" w:afterAutospacing="0" w:line="360" w:lineRule="auto"/>
        <w:jc w:val="both"/>
        <w:textAlignment w:val="baseline"/>
        <w:rPr>
          <w:rStyle w:val="8"/>
          <w:rFonts w:ascii="Times New Roman" w:eastAsia="宋体"/>
          <w:b/>
          <w:i w:val="0"/>
          <w:caps w:val="0"/>
          <w:spacing w:val="0"/>
          <w:w w:val="100"/>
          <w:kern w:val="2"/>
          <w:sz w:val="28"/>
          <w:szCs w:val="28"/>
          <w:lang w:val="en-US" w:eastAsia="zh-CN" w:bidi="ar-SA"/>
        </w:rPr>
      </w:pPr>
      <w:r>
        <w:rPr>
          <w:rStyle w:val="8"/>
          <w:rFonts w:ascii="Times New Roman" w:eastAsia="宋体"/>
          <w:b/>
          <w:i w:val="0"/>
          <w:caps w:val="0"/>
          <w:spacing w:val="0"/>
          <w:w w:val="100"/>
          <w:kern w:val="2"/>
          <w:sz w:val="28"/>
          <w:szCs w:val="28"/>
          <w:lang w:val="en-US" w:eastAsia="zh-CN" w:bidi="ar-SA"/>
        </w:rPr>
        <w:t>十二、其它应予说明的事项</w:t>
      </w:r>
    </w:p>
    <w:p>
      <w:pPr>
        <w:snapToGrid w:val="0"/>
        <w:spacing w:before="0" w:beforeAutospacing="0" w:after="0" w:afterAutospacing="0" w:line="360" w:lineRule="auto"/>
        <w:ind w:firstLine="480" w:firstLineChars="200"/>
        <w:jc w:val="both"/>
        <w:textAlignment w:val="baseline"/>
        <w:rPr>
          <w:rStyle w:val="8"/>
          <w:rFonts w:ascii="宋体" w:hAnsi="宋体" w:eastAsia="宋体"/>
          <w:b w:val="0"/>
          <w:i w:val="0"/>
          <w:caps w:val="0"/>
          <w:spacing w:val="0"/>
          <w:w w:val="100"/>
          <w:sz w:val="24"/>
          <w:szCs w:val="24"/>
          <w:lang w:val="en-US" w:eastAsia="zh-CN" w:bidi="ar-SA"/>
        </w:rPr>
      </w:pPr>
      <w:r>
        <w:rPr>
          <w:rStyle w:val="8"/>
          <w:rFonts w:ascii="ˎ̥" w:hAnsi="ˎ̥" w:eastAsia="宋体"/>
          <w:b w:val="0"/>
          <w:i w:val="0"/>
          <w:caps w:val="0"/>
          <w:spacing w:val="0"/>
          <w:w w:val="100"/>
          <w:kern w:val="2"/>
          <w:sz w:val="24"/>
          <w:szCs w:val="24"/>
          <w:lang w:val="en-US" w:eastAsia="zh-CN" w:bidi="ar-SA"/>
        </w:rPr>
        <w:t>1、起草单位变更</w:t>
      </w:r>
    </w:p>
    <w:p>
      <w:pPr>
        <w:tabs>
          <w:tab w:val="left" w:pos="4984"/>
        </w:tabs>
        <w:snapToGrid/>
        <w:spacing w:before="0" w:beforeAutospacing="0" w:after="0" w:afterAutospacing="0" w:line="240" w:lineRule="auto"/>
        <w:ind w:firstLine="520" w:firstLineChars="217"/>
        <w:jc w:val="both"/>
        <w:textAlignment w:val="baseline"/>
        <w:rPr>
          <w:rStyle w:val="8"/>
          <w:rFonts w:ascii="宋体" w:hAnsi="宋体" w:eastAsia="宋体" w:cs="宋体"/>
          <w:b w:val="0"/>
          <w:bCs/>
          <w:i w:val="0"/>
          <w:caps w:val="0"/>
          <w:spacing w:val="0"/>
          <w:w w:val="100"/>
          <w:kern w:val="2"/>
          <w:sz w:val="24"/>
          <w:szCs w:val="24"/>
          <w:lang w:val="en-US" w:eastAsia="zh-CN" w:bidi="ar-SA"/>
        </w:rPr>
      </w:pPr>
      <w:r>
        <w:rPr>
          <w:rStyle w:val="8"/>
          <w:rFonts w:ascii="宋体" w:hAnsi="宋体" w:eastAsia="宋体"/>
          <w:b w:val="0"/>
          <w:i w:val="0"/>
          <w:caps w:val="0"/>
          <w:spacing w:val="0"/>
          <w:w w:val="100"/>
          <w:sz w:val="24"/>
          <w:szCs w:val="24"/>
          <w:lang w:val="en-US" w:eastAsia="zh-CN" w:bidi="ar-SA"/>
        </w:rPr>
        <w:t>标准起草阶段，由于吸引了内蒙古剑儒麦饭石制品有限公司、宜兴市黑白紫砂烧制工艺研究所等多家单位广泛参与标准研制工作，经研究，决定起草单位由宜兴市白峰紫砂艺术有限公司、中国艺术家协会紫砂艺术研究会、轻工业标准化研究所、通辽市草原宸香麦饭石有限公司，调整为：宜兴市黑白紫砂烧制工艺研究所、内蒙古剑儒麦饭石制品有限公司、宜兴市白峰紫砂艺术有限公司、中国农产品流通经纪人协会养生酒与酒文化专业委员会、中国艺术家协会紫砂艺术研究会、内蒙古蒙医药工程研究院、内蒙古奈曼旗市场监督管理局、通辽市草原宸香麦饭石有限公司、南通市仙吃鲜食品有限公司、东莞市惟思德科技发展有限公司</w:t>
      </w:r>
      <w:r>
        <w:rPr>
          <w:rStyle w:val="8"/>
          <w:rFonts w:ascii="宋体" w:hAnsi="宋体" w:eastAsia="宋体" w:cs="宋体"/>
          <w:b w:val="0"/>
          <w:bCs/>
          <w:i w:val="0"/>
          <w:caps w:val="0"/>
          <w:spacing w:val="0"/>
          <w:w w:val="100"/>
          <w:kern w:val="2"/>
          <w:sz w:val="24"/>
          <w:szCs w:val="24"/>
          <w:lang w:val="en-US" w:eastAsia="zh-CN" w:bidi="ar-SA"/>
        </w:rPr>
        <w:t>。</w:t>
      </w:r>
    </w:p>
    <w:p>
      <w:pPr>
        <w:tabs>
          <w:tab w:val="left" w:pos="4984"/>
        </w:tabs>
        <w:snapToGrid/>
        <w:spacing w:before="0" w:beforeAutospacing="0" w:after="0" w:afterAutospacing="0" w:line="240" w:lineRule="auto"/>
        <w:ind w:firstLine="520" w:firstLineChars="217"/>
        <w:jc w:val="both"/>
        <w:textAlignment w:val="baseline"/>
        <w:rPr>
          <w:rStyle w:val="8"/>
          <w:rFonts w:ascii="宋体" w:hAnsi="宋体" w:eastAsia="宋体" w:cs="宋体"/>
          <w:b w:val="0"/>
          <w:bCs/>
          <w:i w:val="0"/>
          <w:caps w:val="0"/>
          <w:spacing w:val="0"/>
          <w:w w:val="100"/>
          <w:kern w:val="2"/>
          <w:sz w:val="24"/>
          <w:szCs w:val="24"/>
          <w:lang w:val="en-US" w:eastAsia="zh-CN" w:bidi="ar-SA"/>
        </w:rPr>
      </w:pPr>
      <w:r>
        <w:rPr>
          <w:rStyle w:val="8"/>
          <w:rFonts w:ascii="宋体" w:hAnsi="宋体" w:eastAsia="宋体" w:cs="宋体"/>
          <w:b w:val="0"/>
          <w:bCs/>
          <w:i w:val="0"/>
          <w:caps w:val="0"/>
          <w:spacing w:val="0"/>
          <w:w w:val="100"/>
          <w:kern w:val="2"/>
          <w:sz w:val="24"/>
          <w:szCs w:val="24"/>
          <w:lang w:val="en-US" w:eastAsia="zh-CN" w:bidi="ar-SA"/>
        </w:rPr>
        <w:t>2、项目延期</w:t>
      </w:r>
    </w:p>
    <w:p>
      <w:pPr>
        <w:tabs>
          <w:tab w:val="left" w:pos="4984"/>
        </w:tabs>
        <w:snapToGrid/>
        <w:spacing w:before="0" w:beforeAutospacing="0" w:after="0" w:afterAutospacing="0" w:line="240" w:lineRule="auto"/>
        <w:ind w:firstLine="480"/>
        <w:jc w:val="both"/>
        <w:textAlignment w:val="baseline"/>
        <w:rPr>
          <w:rStyle w:val="8"/>
          <w:rFonts w:ascii="宋体" w:hAnsi="宋体" w:eastAsia="宋体" w:cs="宋体"/>
          <w:b w:val="0"/>
          <w:bCs/>
          <w:i w:val="0"/>
          <w:caps w:val="0"/>
          <w:spacing w:val="0"/>
          <w:w w:val="100"/>
          <w:kern w:val="2"/>
          <w:sz w:val="24"/>
          <w:szCs w:val="24"/>
          <w:lang w:val="en-US" w:eastAsia="zh-CN" w:bidi="ar-SA"/>
        </w:rPr>
      </w:pPr>
      <w:r>
        <w:rPr>
          <w:rStyle w:val="8"/>
          <w:rFonts w:ascii="宋体" w:hAnsi="宋体" w:eastAsia="宋体" w:cs="宋体"/>
          <w:b w:val="0"/>
          <w:bCs/>
          <w:i w:val="0"/>
          <w:caps w:val="0"/>
          <w:spacing w:val="0"/>
          <w:w w:val="100"/>
          <w:kern w:val="2"/>
          <w:sz w:val="24"/>
          <w:szCs w:val="24"/>
          <w:lang w:val="en-US" w:eastAsia="zh-CN" w:bidi="ar-SA"/>
        </w:rPr>
        <w:t>由于本标准为产品标准，涉及大量验证试验，故申请项目延期至2022年12月报批。</w:t>
      </w:r>
    </w:p>
    <w:p>
      <w:pPr>
        <w:tabs>
          <w:tab w:val="left" w:pos="4984"/>
        </w:tabs>
        <w:snapToGrid/>
        <w:spacing w:before="0" w:beforeAutospacing="0" w:after="0" w:afterAutospacing="0" w:line="240" w:lineRule="auto"/>
        <w:ind w:firstLine="480"/>
        <w:jc w:val="both"/>
        <w:textAlignment w:val="baseline"/>
        <w:rPr>
          <w:rStyle w:val="8"/>
          <w:rFonts w:ascii="宋体" w:hAnsi="宋体" w:eastAsia="宋体" w:cs="宋体"/>
          <w:b w:val="0"/>
          <w:bCs/>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8"/>
          <w:rFonts w:ascii="楷体_GB2312" w:eastAsia="楷体_GB2312"/>
          <w:b w:val="0"/>
          <w:i w:val="0"/>
          <w:caps w:val="0"/>
          <w:spacing w:val="0"/>
          <w:w w:val="100"/>
          <w:sz w:val="30"/>
          <w:lang w:val="en-US" w:eastAsia="zh-CN" w:bidi="ar-SA"/>
        </w:rPr>
      </w:pPr>
    </w:p>
    <w:p>
      <w:pPr>
        <w:snapToGrid/>
        <w:spacing w:before="0" w:beforeAutospacing="0" w:after="0" w:afterAutospacing="0" w:line="240" w:lineRule="auto"/>
        <w:jc w:val="both"/>
        <w:textAlignment w:val="baseline"/>
        <w:rPr>
          <w:rStyle w:val="8"/>
          <w:rFonts w:ascii="楷体_GB2312" w:eastAsia="楷体_GB2312"/>
          <w:b w:val="0"/>
          <w:i w:val="0"/>
          <w:caps w:val="0"/>
          <w:spacing w:val="0"/>
          <w:w w:val="100"/>
          <w:sz w:val="30"/>
          <w:lang w:val="en-US" w:eastAsia="zh-CN" w:bidi="ar-SA"/>
        </w:rPr>
      </w:pPr>
    </w:p>
    <w:p>
      <w:pPr>
        <w:snapToGrid/>
        <w:spacing w:before="0" w:beforeAutospacing="0" w:after="0" w:afterAutospacing="0" w:line="240" w:lineRule="auto"/>
        <w:jc w:val="both"/>
        <w:textAlignment w:val="baseline"/>
        <w:rPr>
          <w:rStyle w:val="8"/>
          <w:rFonts w:ascii="楷体_GB2312" w:eastAsia="楷体_GB2312"/>
          <w:b w:val="0"/>
          <w:i w:val="0"/>
          <w:caps w:val="0"/>
          <w:spacing w:val="0"/>
          <w:w w:val="100"/>
          <w:sz w:val="30"/>
          <w:lang w:val="en-US" w:eastAsia="zh-CN" w:bidi="ar-SA"/>
        </w:rPr>
      </w:pPr>
    </w:p>
    <w:sectPr>
      <w:footerReference r:id="rId3" w:type="default"/>
      <w:pgSz w:w="11906" w:h="16838"/>
      <w:pgMar w:top="1800" w:right="1440" w:bottom="1800" w:left="1440" w:header="851" w:footer="992" w:gutter="0"/>
      <w:paperSrc/>
      <w:lnNumType w:countBy="0"/>
      <w:cols w:space="425" w:num="1"/>
      <w:vAlign w:val="top"/>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ind w:right="360"/>
      <w:jc w:val="left"/>
      <w:textAlignment w:val="baseline"/>
      <w:rPr>
        <w:rStyle w:val="8"/>
        <w:rFonts w:ascii="楷体_GB2312" w:eastAsia="楷体_GB2312"/>
        <w:sz w:val="18"/>
        <w:szCs w:val="18"/>
        <w:lang w:val="en-US" w:eastAsia="zh-CN" w:bidi="ar-SA"/>
      </w:rPr>
    </w:pPr>
    <w:r>
      <w:rPr>
        <w:rStyle w:val="8"/>
        <w:rFonts w:ascii="楷体_GB2312" w:eastAsia="楷体_GB2312"/>
        <w:sz w:val="18"/>
        <w:szCs w:val="18"/>
        <w:lang w:val="en-US" w:eastAsia="zh-CN" w:bidi="ar-SA"/>
      </w:rPr>
      <w:pict>
        <v:shape id="_x0000_s2049" o:spid="_x0000_s2049" o:spt="202" type="#_x0000_t202" style="position:absolute;left:0pt;margin-top:0pt;height:144pt;width:144pt;mso-position-horizontal:center;mso-position-horizontal-relative:margin;z-index:251659264;mso-width-relative:page;mso-height-relative:page;" filled="f" stroked="f" coordsize="21600,21600">
          <v:path/>
          <v:fill on="f" focussize="0,0"/>
          <v:stroke on="f"/>
          <v:imagedata o:title=""/>
          <o:lock v:ext="edit"/>
          <v:textbox inset="0mm,0mm,0mm,0mm">
            <w:txbxContent>
              <w:p>
                <w:pPr>
                  <w:pStyle w:val="2"/>
                  <w:widowControl/>
                  <w:snapToGrid w:val="0"/>
                  <w:jc w:val="left"/>
                  <w:textAlignment w:val="baseline"/>
                  <w:rPr>
                    <w:rStyle w:val="23"/>
                    <w:rFonts w:ascii="楷体_GB2312" w:eastAsia="楷体_GB2312"/>
                    <w:sz w:val="18"/>
                    <w:szCs w:val="18"/>
                    <w:lang w:val="en-US" w:eastAsia="zh-CN" w:bidi="ar-SA"/>
                  </w:rPr>
                </w:pPr>
              </w:p>
              <w:p>
                <w:pPr>
                  <w:widowControl/>
                  <w:ind w:right="360" w:firstLine="480"/>
                  <w:textAlignment w:val="baseline"/>
                  <w:rPr>
                    <w:rStyle w:val="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E8CC5"/>
    <w:multiLevelType w:val="singleLevel"/>
    <w:tmpl w:val="91FE8CC5"/>
    <w:lvl w:ilvl="0" w:tentative="0">
      <w:start w:val="1"/>
      <w:numFmt w:val="decimal"/>
      <w:suff w:val="nothing"/>
      <w:lvlText w:val="%1、"/>
      <w:lvlJc w:val="left"/>
      <w:pPr>
        <w:widowControl/>
        <w:textAlignment w:val="baseline"/>
      </w:pPr>
      <w:rPr>
        <w:rStyle w:val="8"/>
      </w:rPr>
    </w:lvl>
  </w:abstractNum>
  <w:abstractNum w:abstractNumId="1">
    <w:nsid w:val="9AB646E9"/>
    <w:multiLevelType w:val="singleLevel"/>
    <w:tmpl w:val="9AB646E9"/>
    <w:lvl w:ilvl="0" w:tentative="0">
      <w:start w:val="1"/>
      <w:numFmt w:val="chineseCounting"/>
      <w:suff w:val="nothing"/>
      <w:lvlText w:val="（%1）"/>
      <w:lvlJc w:val="left"/>
      <w:pPr>
        <w:widowControl/>
        <w:textAlignment w:val="baseline"/>
      </w:pPr>
      <w:rPr>
        <w:rStyle w:val="8"/>
      </w:rPr>
    </w:lvl>
  </w:abstractNum>
  <w:abstractNum w:abstractNumId="2">
    <w:nsid w:val="A9048D11"/>
    <w:multiLevelType w:val="singleLevel"/>
    <w:tmpl w:val="A9048D11"/>
    <w:lvl w:ilvl="0" w:tentative="0">
      <w:start w:val="1"/>
      <w:numFmt w:val="decimal"/>
      <w:lvlText w:val="(%1)"/>
      <w:lvlJc w:val="left"/>
      <w:pPr>
        <w:widowControl/>
        <w:ind w:left="425" w:hanging="425"/>
        <w:textAlignment w:val="baseline"/>
      </w:pPr>
      <w:rPr>
        <w:rStyle w:val="8"/>
      </w:rPr>
    </w:lvl>
  </w:abstractNum>
  <w:abstractNum w:abstractNumId="3">
    <w:nsid w:val="FEA134FC"/>
    <w:multiLevelType w:val="singleLevel"/>
    <w:tmpl w:val="FEA134FC"/>
    <w:lvl w:ilvl="0" w:tentative="0">
      <w:start w:val="1"/>
      <w:numFmt w:val="decimal"/>
      <w:lvlText w:val="(%1)"/>
      <w:lvlJc w:val="left"/>
      <w:pPr>
        <w:widowControl/>
        <w:ind w:left="425" w:hanging="425"/>
        <w:textAlignment w:val="baseline"/>
      </w:pPr>
      <w:rPr>
        <w:rStyle w:val="8"/>
      </w:rPr>
    </w:lvl>
  </w:abstractNum>
  <w:abstractNum w:abstractNumId="4">
    <w:nsid w:val="1FC91163"/>
    <w:multiLevelType w:val="multilevel"/>
    <w:tmpl w:val="1FC91163"/>
    <w:lvl w:ilvl="0" w:tentative="0">
      <w:start w:val="1"/>
      <w:numFmt w:val="decimal"/>
      <w:suff w:val="nothing"/>
      <w:lvlText w:val="%1　"/>
      <w:lvlJc w:val="left"/>
      <w:pPr>
        <w:widowControl/>
        <w:ind w:left="0" w:firstLine="0"/>
        <w:textAlignment w:val="baseline"/>
      </w:pPr>
      <w:rPr>
        <w:rFonts w:ascii="黑体" w:hAnsi="Times New Roman" w:eastAsia="黑体"/>
        <w:b w:val="0"/>
        <w:i w:val="0"/>
        <w:sz w:val="21"/>
        <w:szCs w:val="21"/>
      </w:rPr>
    </w:lvl>
    <w:lvl w:ilvl="1" w:tentative="0">
      <w:start w:val="1"/>
      <w:numFmt w:val="decimal"/>
      <w:pStyle w:val="28"/>
      <w:suff w:val="nothing"/>
      <w:lvlText w:val="%1.%2　"/>
      <w:lvlJc w:val="left"/>
      <w:pPr>
        <w:widowControl/>
        <w:ind w:left="426" w:firstLine="0"/>
        <w:textAlignment w:val="baseline"/>
      </w:pPr>
      <w:rPr>
        <w:rFonts w:ascii="黑体" w:hAnsi="Times New Roman" w:eastAsia="黑体"/>
        <w:b w:val="0"/>
        <w:bCs w:val="0"/>
        <w:i w:val="0"/>
        <w:iCs w:val="0"/>
        <w:caps w:val="0"/>
        <w:strike w:val="0"/>
        <w:dstrike w:val="0"/>
        <w:vanish w:val="0"/>
        <w:kern w:val="0"/>
        <w:position w:val="0"/>
        <w:sz w:val="21"/>
        <w:szCs w:val="21"/>
      </w:rPr>
    </w:lvl>
    <w:lvl w:ilvl="2" w:tentative="0">
      <w:start w:val="1"/>
      <w:numFmt w:val="decimal"/>
      <w:suff w:val="nothing"/>
      <w:lvlText w:val="%1.%2.%3　"/>
      <w:lvlJc w:val="left"/>
      <w:pPr>
        <w:widowControl/>
        <w:ind w:left="284" w:firstLine="0"/>
        <w:textAlignment w:val="baseline"/>
      </w:pPr>
      <w:rPr>
        <w:rFonts w:ascii="黑体" w:hAnsi="Times New Roman" w:eastAsia="黑体"/>
        <w:b w:val="0"/>
        <w:i w:val="0"/>
        <w:color w:val="000000"/>
        <w:sz w:val="21"/>
      </w:rPr>
    </w:lvl>
    <w:lvl w:ilvl="3" w:tentative="0">
      <w:start w:val="1"/>
      <w:numFmt w:val="decimal"/>
      <w:suff w:val="nothing"/>
      <w:lvlText w:val="%1.%2.%3.%4　"/>
      <w:lvlJc w:val="left"/>
      <w:pPr>
        <w:widowControl/>
        <w:ind w:left="0" w:firstLine="0"/>
        <w:textAlignment w:val="baseline"/>
      </w:pPr>
      <w:rPr>
        <w:rFonts w:ascii="黑体" w:hAnsi="Times New Roman" w:eastAsia="黑体"/>
        <w:b w:val="0"/>
        <w:i w:val="0"/>
        <w:sz w:val="21"/>
      </w:rPr>
    </w:lvl>
    <w:lvl w:ilvl="4" w:tentative="0">
      <w:start w:val="1"/>
      <w:numFmt w:val="decimal"/>
      <w:suff w:val="nothing"/>
      <w:lvlText w:val="%1.%2.%3.%4.%5　"/>
      <w:lvlJc w:val="left"/>
      <w:pPr>
        <w:widowControl/>
        <w:ind w:left="0" w:firstLine="0"/>
        <w:textAlignment w:val="baseline"/>
      </w:pPr>
      <w:rPr>
        <w:rFonts w:ascii="黑体" w:hAnsi="Times New Roman" w:eastAsia="黑体"/>
        <w:b w:val="0"/>
        <w:i w:val="0"/>
        <w:sz w:val="21"/>
      </w:rPr>
    </w:lvl>
    <w:lvl w:ilvl="5" w:tentative="0">
      <w:start w:val="1"/>
      <w:numFmt w:val="decimal"/>
      <w:suff w:val="nothing"/>
      <w:lvlText w:val="%1.%2.%3.%4.%5.%6　"/>
      <w:lvlJc w:val="left"/>
      <w:pPr>
        <w:widowControl/>
        <w:ind w:left="0" w:firstLine="0"/>
        <w:textAlignment w:val="baseline"/>
      </w:pPr>
      <w:rPr>
        <w:rFonts w:ascii="黑体" w:hAnsi="Times New Roman" w:eastAsia="黑体"/>
        <w:b w:val="0"/>
        <w:i w:val="0"/>
        <w:sz w:val="21"/>
      </w:rPr>
    </w:lvl>
    <w:lvl w:ilvl="6" w:tentative="0">
      <w:start w:val="1"/>
      <w:numFmt w:val="decimal"/>
      <w:suff w:val="nothing"/>
      <w:lvlText w:val="%1%2.%3.%4.%5.%6.%7　"/>
      <w:lvlJc w:val="left"/>
      <w:pPr>
        <w:widowControl/>
        <w:ind w:left="0" w:firstLine="0"/>
        <w:textAlignment w:val="baseline"/>
      </w:pPr>
      <w:rPr>
        <w:rFonts w:ascii="黑体" w:hAnsi="Times New Roman" w:eastAsia="黑体"/>
        <w:b w:val="0"/>
        <w:i w:val="0"/>
        <w:sz w:val="21"/>
      </w:rPr>
    </w:lvl>
    <w:lvl w:ilvl="7" w:tentative="0">
      <w:start w:val="1"/>
      <w:numFmt w:val="decimal"/>
      <w:lvlText w:val="%1.%2.%3.%4.%5.%6.%7.%8"/>
      <w:lvlJc w:val="left"/>
      <w:pPr>
        <w:widowControl/>
        <w:tabs>
          <w:tab w:val="left" w:pos="4351"/>
        </w:tabs>
        <w:ind w:left="3969" w:hanging="1418"/>
        <w:textAlignment w:val="baseline"/>
      </w:pPr>
    </w:lvl>
    <w:lvl w:ilvl="8" w:tentative="0">
      <w:start w:val="1"/>
      <w:numFmt w:val="decimal"/>
      <w:lvlText w:val="%1.%2.%3.%4.%5.%6.%7.%8.%9"/>
      <w:lvlJc w:val="left"/>
      <w:pPr>
        <w:widowControl/>
        <w:tabs>
          <w:tab w:val="left" w:pos="4777"/>
        </w:tabs>
        <w:ind w:left="4677" w:hanging="1700"/>
        <w:textAlignment w:val="baseline"/>
      </w:pPr>
    </w:lvl>
  </w:abstractNum>
  <w:abstractNum w:abstractNumId="5">
    <w:nsid w:val="639A5840"/>
    <w:multiLevelType w:val="multilevel"/>
    <w:tmpl w:val="639A5840"/>
    <w:lvl w:ilvl="0" w:tentative="0">
      <w:start w:val="1"/>
      <w:numFmt w:val="lowerLetter"/>
      <w:pStyle w:val="31"/>
      <w:lvlText w:val="%1)"/>
      <w:lvlJc w:val="left"/>
      <w:pPr>
        <w:widowControl/>
        <w:tabs>
          <w:tab w:val="left" w:pos="840"/>
        </w:tabs>
        <w:ind w:left="839" w:hanging="419"/>
        <w:textAlignment w:val="baseline"/>
      </w:pPr>
      <w:rPr>
        <w:rFonts w:ascii="宋体" w:eastAsia="宋体"/>
        <w:b w:val="0"/>
        <w:i w:val="0"/>
        <w:sz w:val="21"/>
        <w:szCs w:val="21"/>
      </w:rPr>
    </w:lvl>
    <w:lvl w:ilvl="1" w:tentative="0">
      <w:start w:val="1"/>
      <w:numFmt w:val="decimal"/>
      <w:lvlText w:val="%1)"/>
      <w:lvlJc w:val="left"/>
      <w:pPr>
        <w:widowControl/>
        <w:tabs>
          <w:tab w:val="left" w:pos="1260"/>
        </w:tabs>
        <w:ind w:left="1259" w:hanging="419"/>
        <w:textAlignment w:val="baseline"/>
      </w:pPr>
    </w:lvl>
    <w:lvl w:ilvl="2" w:tentative="0">
      <w:start w:val="1"/>
      <w:numFmt w:val="decimal"/>
      <w:lvlText w:val="(%1)"/>
      <w:lvlJc w:val="left"/>
      <w:pPr>
        <w:widowControl/>
        <w:tabs>
          <w:tab w:val="left" w:pos="0"/>
        </w:tabs>
        <w:ind w:left="1679" w:hanging="420"/>
        <w:textAlignment w:val="baseline"/>
      </w:pPr>
      <w:rPr>
        <w:rFonts w:ascii="宋体" w:eastAsia="宋体"/>
        <w:b w:val="0"/>
        <w:i w:val="0"/>
        <w:sz w:val="21"/>
        <w:szCs w:val="21"/>
      </w:rPr>
    </w:lvl>
    <w:lvl w:ilvl="3" w:tentative="0">
      <w:start w:val="1"/>
      <w:numFmt w:val="decimal"/>
      <w:lvlText w:val="%1."/>
      <w:lvlJc w:val="left"/>
      <w:pPr>
        <w:widowControl/>
        <w:tabs>
          <w:tab w:val="left" w:pos="2100"/>
        </w:tabs>
        <w:ind w:left="2099" w:hanging="419"/>
        <w:textAlignment w:val="baseline"/>
      </w:pPr>
    </w:lvl>
    <w:lvl w:ilvl="4" w:tentative="0">
      <w:start w:val="1"/>
      <w:numFmt w:val="lowerLetter"/>
      <w:lvlText w:val="%1)"/>
      <w:lvlJc w:val="left"/>
      <w:pPr>
        <w:widowControl/>
        <w:tabs>
          <w:tab w:val="left" w:pos="2520"/>
        </w:tabs>
        <w:ind w:left="2519" w:hanging="419"/>
        <w:textAlignment w:val="baseline"/>
      </w:pPr>
    </w:lvl>
    <w:lvl w:ilvl="5" w:tentative="0">
      <w:start w:val="1"/>
      <w:numFmt w:val="lowerRoman"/>
      <w:lvlText w:val="%1."/>
      <w:lvlJc w:val="right"/>
      <w:pPr>
        <w:widowControl/>
        <w:tabs>
          <w:tab w:val="left" w:pos="2940"/>
        </w:tabs>
        <w:ind w:left="2939" w:hanging="419"/>
        <w:textAlignment w:val="baseline"/>
      </w:pPr>
    </w:lvl>
    <w:lvl w:ilvl="6" w:tentative="0">
      <w:start w:val="1"/>
      <w:numFmt w:val="decimal"/>
      <w:lvlText w:val="%1."/>
      <w:lvlJc w:val="left"/>
      <w:pPr>
        <w:widowControl/>
        <w:tabs>
          <w:tab w:val="left" w:pos="3360"/>
        </w:tabs>
        <w:ind w:left="3359" w:hanging="419"/>
        <w:textAlignment w:val="baseline"/>
      </w:pPr>
    </w:lvl>
    <w:lvl w:ilvl="7" w:tentative="0">
      <w:start w:val="1"/>
      <w:numFmt w:val="lowerLetter"/>
      <w:lvlText w:val="%1)"/>
      <w:lvlJc w:val="left"/>
      <w:pPr>
        <w:widowControl/>
        <w:tabs>
          <w:tab w:val="left" w:pos="3780"/>
        </w:tabs>
        <w:ind w:left="3779" w:hanging="419"/>
        <w:textAlignment w:val="baseline"/>
      </w:pPr>
    </w:lvl>
    <w:lvl w:ilvl="8" w:tentative="0">
      <w:start w:val="1"/>
      <w:numFmt w:val="lowerRoman"/>
      <w:lvlText w:val="%1."/>
      <w:lvlJc w:val="right"/>
      <w:pPr>
        <w:widowControl/>
        <w:tabs>
          <w:tab w:val="left" w:pos="4200"/>
        </w:tabs>
        <w:ind w:left="4199" w:hanging="419"/>
        <w:textAlignment w:val="baseline"/>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2"/>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Yjg2ZDRjNDI0ZmJkZGIzNmJjYWIxZWEyNjRkYzg1YzMifQ=="/>
  </w:docVars>
  <w:rsids>
    <w:rsidRoot w:val="00000000"/>
    <w:rsid w:val="592956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4"/>
    <w:qFormat/>
    <w:uiPriority w:val="0"/>
    <w:pPr>
      <w:jc w:val="both"/>
      <w:textAlignment w:val="baseline"/>
    </w:pPr>
    <w:rPr>
      <w:rFonts w:ascii="楷体_GB2312" w:hAnsi="Times New Roman" w:eastAsia="楷体_GB2312"/>
      <w:sz w:val="30"/>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18"/>
    <w:uiPriority w:val="0"/>
    <w:pPr>
      <w:tabs>
        <w:tab w:val="center" w:pos="4153"/>
        <w:tab w:val="right" w:pos="8306"/>
      </w:tabs>
      <w:snapToGrid w:val="0"/>
      <w:jc w:val="left"/>
      <w:textAlignment w:val="baseline"/>
    </w:pPr>
    <w:rPr>
      <w:rFonts w:ascii="楷体_GB2312" w:eastAsia="楷体_GB2312"/>
      <w:sz w:val="18"/>
      <w:szCs w:val="18"/>
      <w:lang w:val="en-US" w:eastAsia="zh-CN" w:bidi="ar-SA"/>
    </w:rPr>
  </w:style>
  <w:style w:type="paragraph" w:styleId="3">
    <w:name w:val="header"/>
    <w:basedOn w:val="1"/>
    <w:link w:val="19"/>
    <w:uiPriority w:val="0"/>
    <w:pPr>
      <w:pBdr>
        <w:bottom w:val="single" w:color="000000" w:sz="6" w:space="1"/>
      </w:pBdr>
      <w:tabs>
        <w:tab w:val="center" w:pos="4153"/>
        <w:tab w:val="right" w:pos="8306"/>
      </w:tabs>
      <w:snapToGrid w:val="0"/>
      <w:jc w:val="center"/>
      <w:textAlignment w:val="baseline"/>
    </w:pPr>
    <w:rPr>
      <w:rFonts w:ascii="楷体_GB2312" w:eastAsia="楷体_GB2312"/>
      <w:sz w:val="18"/>
      <w:szCs w:val="18"/>
      <w:lang w:val="en-US" w:eastAsia="zh-CN" w:bidi="ar-SA"/>
    </w:rPr>
  </w:style>
  <w:style w:type="character" w:styleId="6">
    <w:name w:val="Emphasis"/>
    <w:link w:val="1"/>
    <w:uiPriority w:val="0"/>
    <w:rPr>
      <w:color w:val="F73131"/>
    </w:rPr>
  </w:style>
  <w:style w:type="character" w:styleId="7">
    <w:name w:val="Hyperlink"/>
    <w:link w:val="1"/>
    <w:uiPriority w:val="0"/>
    <w:rPr>
      <w:color w:val="0000FF"/>
      <w:u w:val="single"/>
    </w:rPr>
  </w:style>
  <w:style w:type="character" w:customStyle="1" w:styleId="8">
    <w:name w:val="NormalCharacter"/>
    <w:link w:val="1"/>
    <w:semiHidden/>
    <w:uiPriority w:val="0"/>
  </w:style>
  <w:style w:type="table" w:customStyle="1" w:styleId="9">
    <w:name w:val="TableNormal"/>
    <w:semiHidden/>
    <w:uiPriority w:val="0"/>
  </w:style>
  <w:style w:type="paragraph" w:customStyle="1" w:styleId="10">
    <w:name w:val="NormalIndent"/>
    <w:basedOn w:val="1"/>
    <w:uiPriority w:val="0"/>
    <w:pPr>
      <w:ind w:firstLine="420" w:firstLineChars="200"/>
      <w:jc w:val="both"/>
      <w:textAlignment w:val="baseline"/>
    </w:pPr>
  </w:style>
  <w:style w:type="paragraph" w:customStyle="1" w:styleId="11">
    <w:name w:val="AnnotationText"/>
    <w:basedOn w:val="1"/>
    <w:qFormat/>
    <w:uiPriority w:val="0"/>
    <w:pPr>
      <w:jc w:val="left"/>
      <w:textAlignment w:val="baseline"/>
    </w:pPr>
  </w:style>
  <w:style w:type="paragraph" w:customStyle="1" w:styleId="12">
    <w:name w:val="BodyText"/>
    <w:basedOn w:val="1"/>
    <w:link w:val="13"/>
    <w:uiPriority w:val="0"/>
    <w:pPr>
      <w:spacing w:after="120"/>
      <w:jc w:val="both"/>
      <w:textAlignment w:val="baseline"/>
    </w:pPr>
    <w:rPr>
      <w:rFonts w:ascii="Times New Roman" w:eastAsia="宋体"/>
      <w:kern w:val="2"/>
      <w:sz w:val="21"/>
      <w:szCs w:val="24"/>
      <w:lang w:val="en-US" w:eastAsia="zh-CN" w:bidi="ar-SA"/>
    </w:rPr>
  </w:style>
  <w:style w:type="character" w:customStyle="1" w:styleId="13">
    <w:name w:val="UserStyle_0"/>
    <w:link w:val="12"/>
    <w:uiPriority w:val="0"/>
    <w:rPr>
      <w:kern w:val="2"/>
      <w:sz w:val="21"/>
      <w:szCs w:val="24"/>
    </w:rPr>
  </w:style>
  <w:style w:type="paragraph" w:customStyle="1" w:styleId="14">
    <w:name w:val="BodyTextIndent"/>
    <w:basedOn w:val="1"/>
    <w:link w:val="15"/>
    <w:qFormat/>
    <w:uiPriority w:val="0"/>
    <w:pPr>
      <w:ind w:firstLine="540"/>
      <w:jc w:val="both"/>
      <w:textAlignment w:val="baseline"/>
    </w:pPr>
  </w:style>
  <w:style w:type="character" w:customStyle="1" w:styleId="15">
    <w:name w:val="UserStyle_1"/>
    <w:link w:val="14"/>
    <w:qFormat/>
    <w:uiPriority w:val="0"/>
    <w:rPr>
      <w:rFonts w:ascii="楷体_GB2312" w:eastAsia="楷体_GB2312"/>
      <w:sz w:val="30"/>
    </w:rPr>
  </w:style>
  <w:style w:type="paragraph" w:customStyle="1" w:styleId="16">
    <w:name w:val="Acetate"/>
    <w:basedOn w:val="1"/>
    <w:link w:val="17"/>
    <w:qFormat/>
    <w:uiPriority w:val="0"/>
    <w:pPr>
      <w:jc w:val="both"/>
      <w:textAlignment w:val="baseline"/>
    </w:pPr>
    <w:rPr>
      <w:rFonts w:ascii="楷体_GB2312" w:eastAsia="楷体_GB2312"/>
      <w:sz w:val="18"/>
      <w:szCs w:val="18"/>
      <w:lang w:val="en-US" w:eastAsia="zh-CN" w:bidi="ar-SA"/>
    </w:rPr>
  </w:style>
  <w:style w:type="character" w:customStyle="1" w:styleId="17">
    <w:name w:val="UserStyle_2"/>
    <w:link w:val="16"/>
    <w:qFormat/>
    <w:uiPriority w:val="0"/>
    <w:rPr>
      <w:rFonts w:ascii="楷体_GB2312" w:eastAsia="楷体_GB2312"/>
      <w:sz w:val="18"/>
      <w:szCs w:val="18"/>
    </w:rPr>
  </w:style>
  <w:style w:type="character" w:customStyle="1" w:styleId="18">
    <w:name w:val="UserStyle_3"/>
    <w:link w:val="2"/>
    <w:uiPriority w:val="0"/>
    <w:rPr>
      <w:rFonts w:ascii="楷体_GB2312" w:eastAsia="楷体_GB2312"/>
      <w:sz w:val="18"/>
      <w:szCs w:val="18"/>
    </w:rPr>
  </w:style>
  <w:style w:type="character" w:customStyle="1" w:styleId="19">
    <w:name w:val="UserStyle_4"/>
    <w:link w:val="3"/>
    <w:uiPriority w:val="0"/>
    <w:rPr>
      <w:rFonts w:ascii="楷体_GB2312" w:eastAsia="楷体_GB2312"/>
      <w:sz w:val="18"/>
      <w:szCs w:val="18"/>
    </w:rPr>
  </w:style>
  <w:style w:type="paragraph" w:customStyle="1" w:styleId="20">
    <w:name w:val="BodyTextIndent3"/>
    <w:basedOn w:val="1"/>
    <w:link w:val="21"/>
    <w:uiPriority w:val="0"/>
    <w:pPr>
      <w:spacing w:after="120"/>
      <w:ind w:left="420" w:leftChars="200"/>
      <w:jc w:val="both"/>
      <w:textAlignment w:val="baseline"/>
    </w:pPr>
    <w:rPr>
      <w:rFonts w:ascii="Times New Roman" w:eastAsia="宋体"/>
      <w:kern w:val="2"/>
      <w:sz w:val="16"/>
      <w:szCs w:val="16"/>
      <w:lang w:val="en-US" w:eastAsia="zh-CN" w:bidi="ar-SA"/>
    </w:rPr>
  </w:style>
  <w:style w:type="character" w:customStyle="1" w:styleId="21">
    <w:name w:val="UserStyle_5"/>
    <w:link w:val="20"/>
    <w:uiPriority w:val="0"/>
    <w:rPr>
      <w:kern w:val="2"/>
      <w:sz w:val="16"/>
      <w:szCs w:val="16"/>
    </w:rPr>
  </w:style>
  <w:style w:type="table" w:customStyle="1" w:styleId="22">
    <w:name w:val="TableGrid"/>
    <w:basedOn w:val="9"/>
    <w:uiPriority w:val="0"/>
  </w:style>
  <w:style w:type="character" w:customStyle="1" w:styleId="23">
    <w:name w:val="PageNumber"/>
    <w:link w:val="1"/>
    <w:uiPriority w:val="0"/>
  </w:style>
  <w:style w:type="character" w:customStyle="1" w:styleId="24">
    <w:name w:val="UserStyle_6"/>
    <w:link w:val="1"/>
    <w:uiPriority w:val="0"/>
    <w:rPr>
      <w:rFonts w:ascii="楷体_GB2312" w:eastAsia="楷体_GB2312"/>
      <w:sz w:val="30"/>
    </w:rPr>
  </w:style>
  <w:style w:type="character" w:customStyle="1" w:styleId="25">
    <w:name w:val="UserStyle_7"/>
    <w:link w:val="26"/>
    <w:uiPriority w:val="0"/>
    <w:rPr>
      <w:rFonts w:ascii="宋体"/>
      <w:sz w:val="21"/>
      <w:lang w:val="en-US" w:eastAsia="zh-CN" w:bidi="ar-SA"/>
    </w:rPr>
  </w:style>
  <w:style w:type="paragraph" w:customStyle="1" w:styleId="26">
    <w:name w:val="UserStyle_8"/>
    <w:link w:val="25"/>
    <w:uiPriority w:val="0"/>
    <w:pPr>
      <w:widowControl/>
      <w:tabs>
        <w:tab w:val="center" w:pos="4201"/>
        <w:tab w:val="right" w:leader="dot" w:pos="9298"/>
      </w:tabs>
      <w:ind w:firstLine="420" w:firstLineChars="200"/>
      <w:jc w:val="both"/>
      <w:textAlignment w:val="baseline"/>
    </w:pPr>
    <w:rPr>
      <w:rFonts w:ascii="宋体" w:hAnsi="Times New Roman" w:eastAsia="宋体"/>
      <w:sz w:val="21"/>
      <w:lang w:val="en-US" w:eastAsia="zh-CN" w:bidi="ar-SA"/>
    </w:rPr>
  </w:style>
  <w:style w:type="character" w:customStyle="1" w:styleId="27">
    <w:name w:val="UserStyle_9"/>
    <w:link w:val="28"/>
    <w:uiPriority w:val="0"/>
    <w:rPr>
      <w:rFonts w:ascii="黑体" w:eastAsia="黑体"/>
      <w:sz w:val="21"/>
      <w:szCs w:val="21"/>
      <w:lang w:val="en-US" w:eastAsia="zh-CN" w:bidi="ar-SA"/>
    </w:rPr>
  </w:style>
  <w:style w:type="paragraph" w:customStyle="1" w:styleId="28">
    <w:name w:val="UserStyle_10"/>
    <w:next w:val="26"/>
    <w:link w:val="27"/>
    <w:uiPriority w:val="0"/>
    <w:pPr>
      <w:widowControl/>
      <w:numPr>
        <w:ilvl w:val="1"/>
        <w:numId w:val="1"/>
      </w:numPr>
      <w:spacing w:before="156" w:after="156"/>
      <w:textAlignment w:val="baseline"/>
    </w:pPr>
    <w:rPr>
      <w:rFonts w:ascii="黑体" w:hAnsi="Times New Roman" w:eastAsia="黑体"/>
      <w:sz w:val="21"/>
      <w:szCs w:val="21"/>
      <w:lang w:val="en-US" w:eastAsia="zh-CN" w:bidi="ar-SA"/>
    </w:rPr>
  </w:style>
  <w:style w:type="paragraph" w:customStyle="1" w:styleId="29">
    <w:name w:val="179"/>
    <w:basedOn w:val="1"/>
    <w:uiPriority w:val="0"/>
    <w:pPr>
      <w:ind w:firstLine="420" w:firstLineChars="200"/>
      <w:jc w:val="both"/>
      <w:textAlignment w:val="baseline"/>
    </w:pPr>
    <w:rPr>
      <w:rFonts w:ascii="Calibri" w:hAnsi="Calibri" w:eastAsia="宋体"/>
      <w:kern w:val="2"/>
      <w:sz w:val="21"/>
      <w:szCs w:val="22"/>
      <w:lang w:val="en-US" w:eastAsia="zh-CN" w:bidi="ar-SA"/>
    </w:rPr>
  </w:style>
  <w:style w:type="paragraph" w:customStyle="1" w:styleId="30">
    <w:name w:val="UserStyle_11"/>
    <w:uiPriority w:val="0"/>
    <w:pPr>
      <w:widowControl/>
      <w:textAlignment w:val="baseline"/>
    </w:pPr>
    <w:rPr>
      <w:rFonts w:ascii="宋体" w:hAnsi="Times New Roman" w:eastAsia="宋体"/>
      <w:lang w:val="en-US" w:eastAsia="zh-CN" w:bidi="ar-SA"/>
    </w:rPr>
  </w:style>
  <w:style w:type="paragraph" w:customStyle="1" w:styleId="31">
    <w:name w:val="UserStyle_12"/>
    <w:next w:val="26"/>
    <w:uiPriority w:val="0"/>
    <w:pPr>
      <w:widowControl/>
      <w:numPr>
        <w:ilvl w:val="0"/>
        <w:numId w:val="2"/>
      </w:numPr>
      <w:spacing w:before="312" w:after="312"/>
      <w:jc w:val="both"/>
      <w:textAlignment w:val="baseline"/>
    </w:pPr>
    <w:rPr>
      <w:rFonts w:ascii="黑体" w:hAnsi="Times New Roman" w:eastAsia="黑体"/>
      <w:sz w:val="21"/>
      <w:lang w:val="en-US" w:eastAsia="zh-CN" w:bidi="ar-SA"/>
    </w:rPr>
  </w:style>
  <w:style w:type="paragraph" w:customStyle="1" w:styleId="32">
    <w:name w:val="UserStyle_13"/>
    <w:basedOn w:val="1"/>
    <w:uiPriority w:val="0"/>
    <w:pPr>
      <w:ind w:firstLine="420" w:firstLineChars="200"/>
      <w:jc w:val="both"/>
      <w:textAlignment w:val="baseline"/>
    </w:pPr>
    <w:rPr>
      <w:rFonts w:ascii="Calibri" w:hAnsi="Calibri" w:eastAsia="宋体"/>
      <w:kern w:val="2"/>
      <w:sz w:val="21"/>
      <w:lang w:val="en-US" w:eastAsia="zh-CN" w:bidi="ar-SA"/>
    </w:rPr>
  </w:style>
  <w:style w:type="paragraph" w:customStyle="1" w:styleId="33">
    <w:name w:val="UserStyle_14"/>
    <w:uiPriority w:val="0"/>
    <w:pPr>
      <w:widowControl/>
      <w:jc w:val="both"/>
      <w:textAlignment w:val="baseline"/>
    </w:pPr>
    <w:rPr>
      <w:rFonts w:ascii="Times New Roman" w:hAnsi="Times New Roman" w:eastAsia="宋体"/>
      <w:lang w:val="en-US" w:eastAsia="zh-CN" w:bidi="ar-SA"/>
    </w:rPr>
  </w:style>
  <w:style w:type="paragraph" w:customStyle="1" w:styleId="34">
    <w:name w:val="UserStyle_15"/>
    <w:uiPriority w:val="0"/>
    <w:pPr>
      <w:widowControl/>
      <w:tabs>
        <w:tab w:val="left" w:pos="840"/>
      </w:tabs>
      <w:ind w:left="839" w:hanging="419"/>
      <w:jc w:val="both"/>
      <w:textAlignment w:val="baseline"/>
    </w:pPr>
    <w:rPr>
      <w:rFonts w:ascii="宋体" w:hAnsi="Times New Roman" w:eastAsia="宋体"/>
      <w:sz w:val="21"/>
      <w:szCs w:val="22"/>
      <w:lang w:val="en-US" w:eastAsia="zh-CN" w:bidi="ar-SA"/>
    </w:rPr>
  </w:style>
  <w:style w:type="paragraph" w:customStyle="1" w:styleId="35">
    <w:name w:val="UserStyle_16"/>
    <w:basedOn w:val="28"/>
    <w:next w:val="26"/>
    <w:uiPriority w:val="0"/>
    <w:pPr>
      <w:widowControl/>
      <w:numPr>
        <w:ilvl w:val="0"/>
        <w:numId w:val="0"/>
      </w:numPr>
      <w:tabs>
        <w:tab w:val="left" w:pos="360"/>
        <w:tab w:val="left" w:pos="840"/>
      </w:tabs>
      <w:spacing w:before="50" w:after="50"/>
      <w:ind w:left="426"/>
      <w:textAlignment w:val="baseline"/>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7578</Words>
  <Characters>9419</Characters>
  <TotalTime>1</TotalTime>
  <ScaleCrop>false</ScaleCrop>
  <LinksUpToDate>false</LinksUpToDate>
  <CharactersWithSpaces>9493</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2022-11-04T02:52:42Z</dcterms:created>
  <dc:creator>Administrator</dc:creator>
  <cp:lastModifiedBy> 张绍川 </cp:lastModifiedBy>
  <dcterms:modified xsi:type="dcterms:W3CDTF">2022-11-04T02:54:43Z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C1AA86EF1EDA4406B70131C470C5C72E</vt:lpwstr>
  </property>
</Properties>
</file>