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b/>
          <w:sz w:val="32"/>
          <w:szCs w:val="32"/>
        </w:rPr>
      </w:pPr>
      <w:r>
        <w:rPr>
          <w:b/>
          <w:sz w:val="32"/>
          <w:szCs w:val="32"/>
        </w:rPr>
        <w:t>《</w:t>
      </w:r>
      <w:r>
        <w:rPr>
          <w:rFonts w:hint="eastAsia"/>
          <w:b/>
          <w:sz w:val="32"/>
          <w:szCs w:val="32"/>
        </w:rPr>
        <w:t>爪式旋开盖制造业绿色工厂评价要求</w:t>
      </w:r>
      <w:r>
        <w:rPr>
          <w:b/>
          <w:sz w:val="32"/>
          <w:szCs w:val="32"/>
        </w:rPr>
        <w:t>》</w:t>
      </w:r>
      <w:r>
        <w:rPr>
          <w:rFonts w:hint="eastAsia"/>
          <w:b/>
          <w:sz w:val="32"/>
          <w:szCs w:val="32"/>
        </w:rPr>
        <w:t>团体</w:t>
      </w:r>
      <w:r>
        <w:rPr>
          <w:b/>
          <w:sz w:val="32"/>
          <w:szCs w:val="32"/>
        </w:rPr>
        <w:t>标准</w:t>
      </w:r>
    </w:p>
    <w:p>
      <w:pPr>
        <w:spacing w:line="360" w:lineRule="auto"/>
        <w:contextualSpacing/>
        <w:jc w:val="center"/>
        <w:rPr>
          <w:b/>
          <w:sz w:val="32"/>
          <w:szCs w:val="32"/>
        </w:rPr>
      </w:pPr>
      <w:r>
        <w:rPr>
          <w:b/>
          <w:sz w:val="32"/>
          <w:szCs w:val="32"/>
        </w:rPr>
        <w:t>编制说明</w:t>
      </w:r>
    </w:p>
    <w:p>
      <w:pPr>
        <w:spacing w:line="360" w:lineRule="auto"/>
        <w:contextualSpacing/>
        <w:jc w:val="center"/>
        <w:rPr>
          <w:b/>
          <w:sz w:val="32"/>
          <w:szCs w:val="32"/>
        </w:rPr>
      </w:pPr>
      <w:r>
        <w:rPr>
          <w:rFonts w:hint="eastAsia"/>
          <w:b/>
          <w:sz w:val="28"/>
          <w:szCs w:val="28"/>
        </w:rPr>
        <w:t>（征求意见稿）</w:t>
      </w:r>
    </w:p>
    <w:p>
      <w:pPr>
        <w:spacing w:line="360" w:lineRule="auto"/>
        <w:contextualSpacing/>
        <w:rPr>
          <w:b/>
          <w:sz w:val="24"/>
        </w:rPr>
      </w:pPr>
      <w:r>
        <w:rPr>
          <w:b/>
          <w:sz w:val="24"/>
        </w:rPr>
        <w:t>一、工作简况</w:t>
      </w:r>
    </w:p>
    <w:p>
      <w:pPr>
        <w:spacing w:line="360" w:lineRule="auto"/>
        <w:ind w:firstLine="241" w:firstLineChars="100"/>
        <w:contextualSpacing/>
        <w:rPr>
          <w:b/>
          <w:sz w:val="24"/>
        </w:rPr>
      </w:pPr>
      <w:r>
        <w:rPr>
          <w:b/>
          <w:sz w:val="24"/>
        </w:rPr>
        <w:t>1、任务来源</w:t>
      </w:r>
    </w:p>
    <w:p>
      <w:pPr>
        <w:spacing w:line="360" w:lineRule="auto"/>
        <w:ind w:firstLine="480"/>
        <w:contextualSpacing/>
        <w:rPr>
          <w:sz w:val="24"/>
        </w:rPr>
      </w:pPr>
      <w:r>
        <w:rPr>
          <w:sz w:val="24"/>
        </w:rPr>
        <w:t>2016年11月，国务院办公厅发布《关于建立统一的绿色产品标准、认证、标识体系的意见》（国办发〔201</w:t>
      </w:r>
      <w:bookmarkStart w:id="20" w:name="_GoBack"/>
      <w:bookmarkEnd w:id="20"/>
      <w:r>
        <w:rPr>
          <w:sz w:val="24"/>
        </w:rPr>
        <w:t>6〕86号），提出开展绿色产品标准体系顶层设计和系统规划，编制绿色产品标准体系框架和标准明细表，研究制定绿色产品评价标准。</w:t>
      </w:r>
    </w:p>
    <w:p>
      <w:pPr>
        <w:spacing w:line="360" w:lineRule="auto"/>
        <w:ind w:firstLine="480"/>
        <w:contextualSpacing/>
        <w:rPr>
          <w:sz w:val="24"/>
        </w:rPr>
      </w:pPr>
      <w:r>
        <w:rPr>
          <w:sz w:val="24"/>
        </w:rPr>
        <w:t>根据2021年中国轻工联合会团体标准计划（中轻联综合〔2021〕406号），《爪式旋开盖制造业绿色工厂评价要求》（计划号：2021042）团体标准被列入制定计划。归口单位为中国轻工联合会，主要起草单位包括中国食品发酵工业研究院有限公司、苏州华源控股股份有限公司等。</w:t>
      </w:r>
    </w:p>
    <w:p>
      <w:pPr>
        <w:spacing w:line="360" w:lineRule="auto"/>
        <w:ind w:firstLine="472" w:firstLineChars="196"/>
        <w:contextualSpacing/>
        <w:rPr>
          <w:b/>
          <w:sz w:val="24"/>
        </w:rPr>
      </w:pPr>
      <w:r>
        <w:rPr>
          <w:b/>
          <w:sz w:val="24"/>
        </w:rPr>
        <w:t>2、主要工作过程</w:t>
      </w:r>
    </w:p>
    <w:p>
      <w:pPr>
        <w:spacing w:line="360" w:lineRule="auto"/>
        <w:ind w:firstLine="480"/>
        <w:contextualSpacing/>
        <w:rPr>
          <w:sz w:val="24"/>
        </w:rPr>
      </w:pPr>
      <w:r>
        <w:rPr>
          <w:sz w:val="24"/>
        </w:rPr>
        <w:t>1</w:t>
      </w:r>
      <w:r>
        <w:rPr>
          <w:rFonts w:hint="eastAsia"/>
          <w:sz w:val="24"/>
        </w:rPr>
        <w:t>）预研阶段</w:t>
      </w:r>
    </w:p>
    <w:p>
      <w:pPr>
        <w:spacing w:line="360" w:lineRule="auto"/>
        <w:ind w:firstLine="480"/>
        <w:contextualSpacing/>
        <w:rPr>
          <w:sz w:val="24"/>
        </w:rPr>
      </w:pPr>
      <w:r>
        <w:rPr>
          <w:rFonts w:hint="eastAsia"/>
          <w:sz w:val="24"/>
        </w:rPr>
        <w:t>根据第二次全国污染源普查调研数据，并结合《工业绿色发展规划（2016-2020年）》以及</w:t>
      </w:r>
      <w:r>
        <w:rPr>
          <w:sz w:val="24"/>
        </w:rPr>
        <w:t>2017年</w:t>
      </w:r>
      <w:r>
        <w:rPr>
          <w:rFonts w:hint="eastAsia"/>
          <w:sz w:val="24"/>
        </w:rPr>
        <w:t>发布的</w:t>
      </w:r>
      <w:r>
        <w:rPr>
          <w:sz w:val="24"/>
        </w:rPr>
        <w:t>《绿色产品评价通则》国家标准</w:t>
      </w:r>
      <w:r>
        <w:rPr>
          <w:rFonts w:hint="eastAsia"/>
          <w:sz w:val="24"/>
        </w:rPr>
        <w:t>，制定罐头行业</w:t>
      </w:r>
      <w:r>
        <w:rPr>
          <w:sz w:val="24"/>
        </w:rPr>
        <w:t>绿色产品评价标准体系。</w:t>
      </w:r>
      <w:r>
        <w:rPr>
          <w:rFonts w:hint="eastAsia"/>
          <w:sz w:val="24"/>
        </w:rPr>
        <w:t>爪式旋开盖作</w:t>
      </w:r>
      <w:r>
        <w:rPr>
          <w:sz w:val="24"/>
        </w:rPr>
        <w:t>为</w:t>
      </w:r>
      <w:r>
        <w:rPr>
          <w:rFonts w:hint="eastAsia"/>
          <w:sz w:val="24"/>
        </w:rPr>
        <w:t>罐头食品</w:t>
      </w:r>
      <w:r>
        <w:rPr>
          <w:sz w:val="24"/>
        </w:rPr>
        <w:t>金属</w:t>
      </w:r>
      <w:r>
        <w:rPr>
          <w:rFonts w:hint="eastAsia"/>
          <w:sz w:val="24"/>
        </w:rPr>
        <w:t>包装</w:t>
      </w:r>
      <w:r>
        <w:rPr>
          <w:sz w:val="24"/>
        </w:rPr>
        <w:t>的主要部件，推行绿色制造，推广清洁高效生产工艺，降低产品制造能耗、物耗，提升终端用能产品能效</w:t>
      </w:r>
      <w:r>
        <w:rPr>
          <w:rFonts w:hint="eastAsia"/>
          <w:sz w:val="24"/>
        </w:rPr>
        <w:t>，</w:t>
      </w:r>
      <w:r>
        <w:rPr>
          <w:sz w:val="24"/>
        </w:rPr>
        <w:t>加快建立统一的绿色产品标准、认证、标识体系</w:t>
      </w:r>
      <w:r>
        <w:rPr>
          <w:rFonts w:hint="eastAsia"/>
          <w:sz w:val="24"/>
        </w:rPr>
        <w:t>尤为重要。</w:t>
      </w:r>
    </w:p>
    <w:p>
      <w:pPr>
        <w:spacing w:line="360" w:lineRule="auto"/>
        <w:ind w:firstLine="480"/>
        <w:contextualSpacing/>
        <w:rPr>
          <w:sz w:val="24"/>
        </w:rPr>
      </w:pPr>
      <w:r>
        <w:rPr>
          <w:rFonts w:hint="eastAsia"/>
          <w:sz w:val="24"/>
        </w:rPr>
        <w:t>2）起草阶段</w:t>
      </w:r>
    </w:p>
    <w:p>
      <w:pPr>
        <w:spacing w:line="440" w:lineRule="exact"/>
        <w:ind w:firstLine="480" w:firstLineChars="200"/>
        <w:rPr>
          <w:kern w:val="0"/>
          <w:sz w:val="24"/>
        </w:rPr>
      </w:pPr>
      <w:r>
        <w:rPr>
          <w:rFonts w:hint="eastAsia"/>
          <w:sz w:val="24"/>
        </w:rPr>
        <w:t>标准立项后，</w:t>
      </w:r>
      <w:r>
        <w:rPr>
          <w:sz w:val="24"/>
        </w:rPr>
        <w:t>2022</w:t>
      </w:r>
      <w:r>
        <w:rPr>
          <w:rFonts w:hint="eastAsia"/>
          <w:sz w:val="24"/>
        </w:rPr>
        <w:t>年</w:t>
      </w:r>
      <w:r>
        <w:rPr>
          <w:sz w:val="24"/>
        </w:rPr>
        <w:t>4</w:t>
      </w:r>
      <w:r>
        <w:rPr>
          <w:rFonts w:hint="eastAsia"/>
          <w:sz w:val="24"/>
        </w:rPr>
        <w:t>月，由牵头单位中国食品</w:t>
      </w:r>
      <w:r>
        <w:rPr>
          <w:sz w:val="24"/>
        </w:rPr>
        <w:t>发</w:t>
      </w:r>
      <w:r>
        <w:rPr>
          <w:rFonts w:hint="eastAsia"/>
          <w:sz w:val="24"/>
        </w:rPr>
        <w:t>酵</w:t>
      </w:r>
      <w:r>
        <w:rPr>
          <w:sz w:val="24"/>
        </w:rPr>
        <w:t>研究院有限公司</w:t>
      </w:r>
      <w:r>
        <w:rPr>
          <w:rFonts w:hint="eastAsia"/>
          <w:sz w:val="24"/>
        </w:rPr>
        <w:t>在苏州组织召开了《爪式旋开盖制造业绿色工厂评价要求》团体标准第一次起草工作会议，会议主要确定了标准制定思路，工作计划安排，时间节点及任务分工。</w:t>
      </w:r>
    </w:p>
    <w:p>
      <w:pPr>
        <w:spacing w:line="360" w:lineRule="auto"/>
        <w:ind w:firstLine="480"/>
        <w:contextualSpacing/>
        <w:rPr>
          <w:sz w:val="24"/>
        </w:rPr>
      </w:pPr>
      <w:r>
        <w:rPr>
          <w:rFonts w:hint="eastAsia"/>
          <w:sz w:val="24"/>
        </w:rPr>
        <w:t>3）征求意见阶段</w:t>
      </w:r>
    </w:p>
    <w:p>
      <w:pPr>
        <w:spacing w:line="360" w:lineRule="auto"/>
        <w:ind w:firstLine="480"/>
        <w:contextualSpacing/>
        <w:rPr>
          <w:sz w:val="24"/>
        </w:rPr>
      </w:pPr>
      <w:bookmarkStart w:id="0" w:name="_Toc23770160"/>
      <w:r>
        <w:rPr>
          <w:sz w:val="24"/>
        </w:rPr>
        <w:t>4</w:t>
      </w:r>
      <w:r>
        <w:rPr>
          <w:rFonts w:hint="eastAsia"/>
          <w:sz w:val="24"/>
        </w:rPr>
        <w:t>）</w:t>
      </w:r>
      <w:r>
        <w:rPr>
          <w:sz w:val="24"/>
        </w:rPr>
        <w:t>审查阶段</w:t>
      </w:r>
    </w:p>
    <w:p>
      <w:pPr>
        <w:spacing w:line="360" w:lineRule="auto"/>
        <w:ind w:firstLine="480"/>
        <w:contextualSpacing/>
        <w:rPr>
          <w:sz w:val="24"/>
        </w:rPr>
      </w:pPr>
      <w:r>
        <w:rPr>
          <w:rFonts w:hint="eastAsia"/>
          <w:sz w:val="24"/>
        </w:rPr>
        <w:t>5）</w:t>
      </w:r>
      <w:r>
        <w:rPr>
          <w:sz w:val="24"/>
        </w:rPr>
        <w:t>报批阶段</w:t>
      </w:r>
    </w:p>
    <w:p>
      <w:pPr>
        <w:spacing w:line="360" w:lineRule="auto"/>
        <w:ind w:firstLine="482" w:firstLineChars="200"/>
        <w:contextualSpacing/>
        <w:rPr>
          <w:b/>
          <w:sz w:val="24"/>
        </w:rPr>
      </w:pPr>
      <w:r>
        <w:rPr>
          <w:b/>
          <w:sz w:val="24"/>
        </w:rPr>
        <w:t>3、主要起草单位及起草人所做的工作</w:t>
      </w:r>
    </w:p>
    <w:p>
      <w:pPr>
        <w:spacing w:line="360" w:lineRule="auto"/>
        <w:ind w:firstLine="470" w:firstLineChars="196"/>
        <w:contextualSpacing/>
        <w:rPr>
          <w:sz w:val="24"/>
        </w:rPr>
      </w:pPr>
      <w:bookmarkStart w:id="1" w:name="_Hlk57290058"/>
      <w:r>
        <w:rPr>
          <w:rFonts w:hint="eastAsia"/>
          <w:sz w:val="24"/>
        </w:rPr>
        <w:t>本标准</w:t>
      </w:r>
      <w:r>
        <w:rPr>
          <w:color w:val="000000"/>
          <w:sz w:val="24"/>
        </w:rPr>
        <w:t>主要单位成员包括</w:t>
      </w:r>
      <w:r>
        <w:rPr>
          <w:rFonts w:hint="eastAsia"/>
          <w:color w:val="000000" w:themeColor="text1"/>
          <w:sz w:val="24"/>
          <w14:textFill>
            <w14:solidFill>
              <w14:schemeClr w14:val="tx1"/>
            </w14:solidFill>
          </w14:textFill>
        </w:rPr>
        <w:t>X</w:t>
      </w:r>
      <w:r>
        <w:rPr>
          <w:color w:val="000000" w:themeColor="text1"/>
          <w:sz w:val="24"/>
          <w14:textFill>
            <w14:solidFill>
              <w14:schemeClr w14:val="tx1"/>
            </w14:solidFill>
          </w14:textFill>
        </w:rPr>
        <w:t>XX</w:t>
      </w:r>
      <w:r>
        <w:rPr>
          <w:rFonts w:hint="eastAsia"/>
          <w:sz w:val="24"/>
        </w:rPr>
        <w:t>。</w:t>
      </w:r>
    </w:p>
    <w:p>
      <w:pPr>
        <w:spacing w:line="360" w:lineRule="auto"/>
        <w:ind w:firstLine="470" w:firstLineChars="196"/>
        <w:contextualSpacing/>
        <w:rPr>
          <w:sz w:val="24"/>
        </w:rPr>
      </w:pPr>
      <w:r>
        <w:rPr>
          <w:rFonts w:hint="eastAsia"/>
          <w:sz w:val="24"/>
        </w:rPr>
        <w:t>主要成员：</w:t>
      </w:r>
      <w:r>
        <w:rPr>
          <w:rFonts w:hint="eastAsia"/>
          <w:color w:val="000000" w:themeColor="text1"/>
          <w:sz w:val="24"/>
          <w14:textFill>
            <w14:solidFill>
              <w14:schemeClr w14:val="tx1"/>
            </w14:solidFill>
          </w14:textFill>
        </w:rPr>
        <w:t>X</w:t>
      </w:r>
      <w:r>
        <w:rPr>
          <w:color w:val="000000" w:themeColor="text1"/>
          <w:sz w:val="24"/>
          <w14:textFill>
            <w14:solidFill>
              <w14:schemeClr w14:val="tx1"/>
            </w14:solidFill>
          </w14:textFill>
        </w:rPr>
        <w:t>XX</w:t>
      </w:r>
      <w:r>
        <w:rPr>
          <w:rFonts w:hint="eastAsia"/>
          <w:sz w:val="24"/>
        </w:rPr>
        <w:t>。</w:t>
      </w:r>
    </w:p>
    <w:p>
      <w:pPr>
        <w:spacing w:line="360" w:lineRule="auto"/>
        <w:ind w:firstLine="480" w:firstLineChars="200"/>
        <w:contextualSpacing/>
        <w:rPr>
          <w:b/>
          <w:sz w:val="24"/>
        </w:rPr>
      </w:pPr>
      <w:r>
        <w:rPr>
          <w:rFonts w:hint="eastAsia"/>
          <w:sz w:val="24"/>
        </w:rPr>
        <w:t>所做的工作：</w:t>
      </w:r>
      <w:r>
        <w:rPr>
          <w:rFonts w:hint="eastAsia"/>
          <w:color w:val="000000" w:themeColor="text1"/>
          <w:sz w:val="24"/>
          <w14:textFill>
            <w14:solidFill>
              <w14:schemeClr w14:val="tx1"/>
            </w14:solidFill>
          </w14:textFill>
        </w:rPr>
        <w:t>X</w:t>
      </w:r>
      <w:r>
        <w:rPr>
          <w:color w:val="000000" w:themeColor="text1"/>
          <w:sz w:val="24"/>
          <w14:textFill>
            <w14:solidFill>
              <w14:schemeClr w14:val="tx1"/>
            </w14:solidFill>
          </w14:textFill>
        </w:rPr>
        <w:t>XX</w:t>
      </w:r>
      <w:r>
        <w:rPr>
          <w:rFonts w:hint="eastAsia"/>
          <w:sz w:val="24"/>
        </w:rPr>
        <w:t>负责全面协调工作。</w:t>
      </w:r>
      <w:r>
        <w:rPr>
          <w:rFonts w:hint="eastAsia"/>
          <w:color w:val="000000" w:themeColor="text1"/>
          <w:sz w:val="24"/>
          <w14:textFill>
            <w14:solidFill>
              <w14:schemeClr w14:val="tx1"/>
            </w14:solidFill>
          </w14:textFill>
        </w:rPr>
        <w:t>X</w:t>
      </w:r>
      <w:r>
        <w:rPr>
          <w:color w:val="000000" w:themeColor="text1"/>
          <w:sz w:val="24"/>
          <w14:textFill>
            <w14:solidFill>
              <w14:schemeClr w14:val="tx1"/>
            </w14:solidFill>
          </w14:textFill>
        </w:rPr>
        <w:t>XX</w:t>
      </w:r>
      <w:r>
        <w:rPr>
          <w:rFonts w:hint="eastAsia"/>
          <w:sz w:val="24"/>
        </w:rPr>
        <w:t>负责本标准的起草、编写以及收集、分析国内外相关技术文献和资料，并对生产现状和发展情况进行了全面调研，对各方面的意见及建议进行归纳、分析等工作。</w:t>
      </w:r>
      <w:bookmarkEnd w:id="1"/>
    </w:p>
    <w:bookmarkEnd w:id="0"/>
    <w:p>
      <w:pPr>
        <w:spacing w:line="360" w:lineRule="auto"/>
        <w:contextualSpacing/>
        <w:rPr>
          <w:b/>
          <w:sz w:val="24"/>
        </w:rPr>
      </w:pPr>
      <w:r>
        <w:rPr>
          <w:b/>
          <w:sz w:val="24"/>
        </w:rPr>
        <w:t>二、标准编制原则</w:t>
      </w:r>
      <w:r>
        <w:rPr>
          <w:rFonts w:hint="eastAsia"/>
          <w:b/>
          <w:sz w:val="24"/>
        </w:rPr>
        <w:t>和主要内容</w:t>
      </w:r>
    </w:p>
    <w:p>
      <w:pPr>
        <w:spacing w:line="360" w:lineRule="auto"/>
        <w:ind w:firstLine="482" w:firstLineChars="200"/>
        <w:contextualSpacing/>
        <w:rPr>
          <w:b/>
          <w:sz w:val="24"/>
        </w:rPr>
      </w:pPr>
      <w:r>
        <w:rPr>
          <w:rFonts w:hint="eastAsia"/>
          <w:b/>
          <w:sz w:val="24"/>
        </w:rPr>
        <w:t>1</w:t>
      </w:r>
      <w:r>
        <w:rPr>
          <w:b/>
          <w:sz w:val="24"/>
        </w:rPr>
        <w:t>、编制原则</w:t>
      </w:r>
    </w:p>
    <w:p>
      <w:pPr>
        <w:autoSpaceDE w:val="0"/>
        <w:autoSpaceDN w:val="0"/>
        <w:adjustRightInd w:val="0"/>
        <w:spacing w:line="440" w:lineRule="exact"/>
        <w:ind w:firstLine="480" w:firstLineChars="200"/>
        <w:rPr>
          <w:kern w:val="0"/>
          <w:sz w:val="24"/>
        </w:rPr>
      </w:pPr>
      <w:r>
        <w:rPr>
          <w:kern w:val="0"/>
          <w:sz w:val="24"/>
        </w:rPr>
        <w:t>2016年9月7日，工业和信息化部、国家标准化管理委员会组织颁布了《绿色制造标准体系建设指南》（工信部联节</w:t>
      </w:r>
      <w:r>
        <w:rPr>
          <w:sz w:val="24"/>
        </w:rPr>
        <w:t>〔2016〕</w:t>
      </w:r>
      <w:r>
        <w:rPr>
          <w:kern w:val="0"/>
          <w:sz w:val="24"/>
        </w:rPr>
        <w:t>304号），其中要求考虑工厂生产运行的资源消耗和环境排放，按照工厂生产业务流程建设子体系，主要包括绿色工厂规划、资源节约、能源节约、清洁生产、废物利用、温室气体和污染物排放等方面的标准。同年9月20日，工信部发布了《工业和信息化部办公厅关于开展绿色制造体系建设的通知》（工信厅节函</w:t>
      </w:r>
      <w:r>
        <w:rPr>
          <w:sz w:val="24"/>
        </w:rPr>
        <w:t>〔2016〕</w:t>
      </w:r>
      <w:r>
        <w:rPr>
          <w:kern w:val="0"/>
          <w:sz w:val="24"/>
        </w:rPr>
        <w:t>586号），绿色工厂是制造业的生产单元，是绿色制造的实施主体，属于绿色制造体系的核心支撑单元，侧重于生产过程的绿色化。2018年5月18日，工信部发布了《绿色工厂评价通则》（GB/T 36132-2018）。该标准明确了绿色工厂术语定义，从基本要求、基础设施、管理体系、能源资源投入、产品、环境排放、绩效等方面，按照</w:t>
      </w:r>
      <w:r>
        <w:rPr>
          <w:rFonts w:hint="eastAsia"/>
          <w:kern w:val="0"/>
          <w:sz w:val="24"/>
        </w:rPr>
        <w:t>“</w:t>
      </w:r>
      <w:r>
        <w:rPr>
          <w:kern w:val="0"/>
          <w:sz w:val="24"/>
        </w:rPr>
        <w:t>厂房集约化、原料无害化、生产洁净化、废物资源化、能源低碳化</w:t>
      </w:r>
      <w:r>
        <w:rPr>
          <w:rFonts w:hint="eastAsia"/>
          <w:kern w:val="0"/>
          <w:sz w:val="24"/>
        </w:rPr>
        <w:t>”</w:t>
      </w:r>
      <w:r>
        <w:rPr>
          <w:kern w:val="0"/>
          <w:sz w:val="24"/>
        </w:rPr>
        <w:t>的原则，建立了绿色工厂系统评价指标体系，提出了绿色工厂评价通用要求。标准的发布有利于引导广大企业创建绿色工厂，推动工业绿色转型升级，实现绿色发展。</w:t>
      </w:r>
    </w:p>
    <w:p>
      <w:pPr>
        <w:autoSpaceDE w:val="0"/>
        <w:autoSpaceDN w:val="0"/>
        <w:adjustRightInd w:val="0"/>
        <w:spacing w:line="440" w:lineRule="exact"/>
        <w:ind w:firstLine="480" w:firstLineChars="200"/>
        <w:rPr>
          <w:kern w:val="0"/>
          <w:sz w:val="24"/>
        </w:rPr>
      </w:pPr>
      <w:r>
        <w:rPr>
          <w:kern w:val="0"/>
          <w:sz w:val="24"/>
        </w:rPr>
        <w:t>依据以上文件和标准要求，本标准编制过程中，主要体现如下原则：</w:t>
      </w:r>
    </w:p>
    <w:p>
      <w:pPr>
        <w:autoSpaceDE w:val="0"/>
        <w:autoSpaceDN w:val="0"/>
        <w:adjustRightInd w:val="0"/>
        <w:spacing w:line="440" w:lineRule="exact"/>
        <w:ind w:firstLine="480" w:firstLineChars="200"/>
        <w:rPr>
          <w:kern w:val="0"/>
          <w:sz w:val="24"/>
        </w:rPr>
      </w:pPr>
      <w:r>
        <w:rPr>
          <w:kern w:val="0"/>
          <w:sz w:val="24"/>
        </w:rPr>
        <w:t>（1）协调性原则：与</w:t>
      </w:r>
      <w:r>
        <w:rPr>
          <w:sz w:val="24"/>
        </w:rPr>
        <w:t>爪式旋开盖制造相关的法律、法规、国家与行业标准等的兼容和协调一致，有利于标准的执行。</w:t>
      </w:r>
    </w:p>
    <w:p>
      <w:pPr>
        <w:autoSpaceDE w:val="0"/>
        <w:autoSpaceDN w:val="0"/>
        <w:adjustRightInd w:val="0"/>
        <w:spacing w:line="440" w:lineRule="exact"/>
        <w:ind w:firstLine="480" w:firstLineChars="200"/>
        <w:rPr>
          <w:kern w:val="0"/>
          <w:sz w:val="24"/>
        </w:rPr>
      </w:pPr>
      <w:r>
        <w:rPr>
          <w:kern w:val="0"/>
          <w:sz w:val="24"/>
        </w:rPr>
        <w:t>（2）规范性原则：</w:t>
      </w:r>
      <w:r>
        <w:rPr>
          <w:sz w:val="24"/>
        </w:rPr>
        <w:t>所述内容具有规范性、科学性、合理性和可行性，</w:t>
      </w:r>
      <w:r>
        <w:rPr>
          <w:kern w:val="0"/>
          <w:sz w:val="24"/>
        </w:rPr>
        <w:t>涉及的指标力求实用和可操作，尽量选取爪式旋开盖行业常用指标，便于企业和第三方评价人员的理解和掌握。</w:t>
      </w:r>
    </w:p>
    <w:p>
      <w:pPr>
        <w:autoSpaceDE w:val="0"/>
        <w:autoSpaceDN w:val="0"/>
        <w:adjustRightInd w:val="0"/>
        <w:spacing w:line="440" w:lineRule="exact"/>
        <w:ind w:firstLine="480" w:firstLineChars="200"/>
        <w:rPr>
          <w:kern w:val="0"/>
          <w:sz w:val="24"/>
        </w:rPr>
      </w:pPr>
      <w:r>
        <w:rPr>
          <w:kern w:val="0"/>
          <w:sz w:val="24"/>
        </w:rPr>
        <w:t>（3）激励性原则：加快推进爪式旋开盖行业的绿色制造，激励企业向“厂房集约化、原料无害化、生产洁净化、废物资源化、能源低碳化”方向发展。</w:t>
      </w:r>
    </w:p>
    <w:p>
      <w:pPr>
        <w:autoSpaceDE w:val="0"/>
        <w:autoSpaceDN w:val="0"/>
        <w:adjustRightInd w:val="0"/>
        <w:spacing w:line="440" w:lineRule="exact"/>
        <w:ind w:firstLine="480" w:firstLineChars="200"/>
        <w:rPr>
          <w:b/>
          <w:kern w:val="0"/>
          <w:sz w:val="24"/>
        </w:rPr>
      </w:pPr>
      <w:r>
        <w:rPr>
          <w:kern w:val="0"/>
          <w:sz w:val="24"/>
        </w:rPr>
        <w:t>（4）创新性原则：按照已有的国家及地方的相关标准要求，充分结合爪式旋开盖行业特点，在评价要求体系中能创新的反映行业绿色工厂建设的领先水平。</w:t>
      </w:r>
    </w:p>
    <w:p>
      <w:pPr>
        <w:spacing w:line="360" w:lineRule="auto"/>
        <w:ind w:firstLine="482" w:firstLineChars="200"/>
        <w:contextualSpacing/>
        <w:rPr>
          <w:b/>
          <w:sz w:val="24"/>
        </w:rPr>
      </w:pPr>
      <w:r>
        <w:rPr>
          <w:rFonts w:hint="eastAsia"/>
          <w:b/>
          <w:sz w:val="24"/>
        </w:rPr>
        <w:t>2</w:t>
      </w:r>
      <w:r>
        <w:rPr>
          <w:b/>
          <w:sz w:val="24"/>
        </w:rPr>
        <w:t>、</w:t>
      </w:r>
      <w:r>
        <w:rPr>
          <w:rFonts w:hint="eastAsia"/>
          <w:b/>
          <w:sz w:val="24"/>
        </w:rPr>
        <w:t>主</w:t>
      </w:r>
      <w:r>
        <w:rPr>
          <w:b/>
          <w:sz w:val="24"/>
        </w:rPr>
        <w:t>要内容</w:t>
      </w:r>
    </w:p>
    <w:p>
      <w:pPr>
        <w:pStyle w:val="11"/>
        <w:spacing w:line="440" w:lineRule="exact"/>
        <w:ind w:firstLine="482" w:firstLineChars="200"/>
        <w:outlineLvl w:val="2"/>
        <w:rPr>
          <w:rFonts w:ascii="Times New Roman" w:eastAsia="宋体"/>
          <w:b/>
          <w:kern w:val="0"/>
          <w:sz w:val="24"/>
          <w:szCs w:val="24"/>
        </w:rPr>
      </w:pPr>
      <w:bookmarkStart w:id="2" w:name="_Toc23770164"/>
      <w:bookmarkStart w:id="3" w:name="_Toc23770175"/>
      <w:r>
        <w:rPr>
          <w:rFonts w:hint="eastAsia" w:ascii="Times New Roman" w:eastAsia="宋体"/>
          <w:b/>
          <w:kern w:val="0"/>
          <w:sz w:val="24"/>
          <w:szCs w:val="24"/>
        </w:rPr>
        <w:t>2.1</w:t>
      </w:r>
      <w:r>
        <w:rPr>
          <w:rFonts w:ascii="Times New Roman" w:eastAsia="宋体"/>
          <w:b/>
          <w:kern w:val="0"/>
          <w:sz w:val="24"/>
          <w:szCs w:val="24"/>
        </w:rPr>
        <w:t>适用范围</w:t>
      </w:r>
      <w:bookmarkEnd w:id="2"/>
    </w:p>
    <w:p>
      <w:pPr>
        <w:pStyle w:val="146"/>
        <w:spacing w:line="440" w:lineRule="exact"/>
        <w:ind w:firstLine="480"/>
        <w:rPr>
          <w:rFonts w:ascii="Times New Roman"/>
          <w:sz w:val="24"/>
          <w:szCs w:val="24"/>
        </w:rPr>
      </w:pPr>
      <w:bookmarkStart w:id="4" w:name="OLE_LINK1"/>
      <w:r>
        <w:rPr>
          <w:rFonts w:hint="eastAsia" w:ascii="Times New Roman"/>
          <w:sz w:val="24"/>
          <w:szCs w:val="24"/>
        </w:rPr>
        <w:t>本文件规定了爪式旋开盖制造业绿色工厂评价的术语和定义、总则、评价要求、评价程序、评价报告。</w:t>
      </w:r>
    </w:p>
    <w:p>
      <w:pPr>
        <w:pStyle w:val="146"/>
        <w:spacing w:line="440" w:lineRule="exact"/>
        <w:ind w:firstLine="480"/>
        <w:rPr>
          <w:rFonts w:ascii="Times New Roman"/>
          <w:sz w:val="24"/>
          <w:szCs w:val="24"/>
        </w:rPr>
      </w:pPr>
      <w:r>
        <w:rPr>
          <w:rFonts w:hint="eastAsia" w:ascii="Times New Roman"/>
          <w:sz w:val="24"/>
          <w:szCs w:val="24"/>
        </w:rPr>
        <w:t>本文件适用于爪式旋开盖生产企业的绿色工厂评价。</w:t>
      </w:r>
    </w:p>
    <w:bookmarkEnd w:id="4"/>
    <w:p>
      <w:pPr>
        <w:pStyle w:val="11"/>
        <w:spacing w:line="440" w:lineRule="exact"/>
        <w:ind w:firstLine="482" w:firstLineChars="200"/>
        <w:outlineLvl w:val="2"/>
        <w:rPr>
          <w:rFonts w:ascii="Times New Roman" w:eastAsia="宋体"/>
          <w:b/>
          <w:kern w:val="0"/>
          <w:sz w:val="24"/>
          <w:szCs w:val="24"/>
        </w:rPr>
      </w:pPr>
      <w:bookmarkStart w:id="5" w:name="_Toc23770165"/>
      <w:r>
        <w:rPr>
          <w:rFonts w:hint="eastAsia" w:ascii="Times New Roman" w:eastAsia="宋体"/>
          <w:b/>
          <w:kern w:val="0"/>
          <w:sz w:val="24"/>
          <w:szCs w:val="24"/>
        </w:rPr>
        <w:t>2.2规范性引用文件</w:t>
      </w:r>
      <w:bookmarkEnd w:id="5"/>
    </w:p>
    <w:p>
      <w:pPr>
        <w:autoSpaceDE w:val="0"/>
        <w:autoSpaceDN w:val="0"/>
        <w:adjustRightInd w:val="0"/>
        <w:spacing w:line="440" w:lineRule="exact"/>
        <w:ind w:firstLine="480" w:firstLineChars="200"/>
        <w:jc w:val="left"/>
        <w:rPr>
          <w:kern w:val="0"/>
          <w:sz w:val="24"/>
        </w:rPr>
      </w:pPr>
      <w:r>
        <w:rPr>
          <w:rFonts w:hint="eastAsia"/>
          <w:kern w:val="0"/>
          <w:sz w:val="24"/>
        </w:rPr>
        <w:t>给出了本标准引用的有关文件，主要包括相关污染物排放标准、能源和水计量器具配备和管理通则、环境、质量、能源及职业健康安全管理体系要求、产品生态设计通则、能源消耗限额、环境标志产品技术要求、绿色设计产品评价技术规范、清洁生产评价指标体系等。</w:t>
      </w:r>
    </w:p>
    <w:p>
      <w:pPr>
        <w:pStyle w:val="11"/>
        <w:spacing w:line="440" w:lineRule="exact"/>
        <w:ind w:firstLine="482" w:firstLineChars="200"/>
        <w:outlineLvl w:val="2"/>
        <w:rPr>
          <w:rFonts w:ascii="Times New Roman" w:eastAsia="宋体"/>
          <w:b/>
          <w:kern w:val="0"/>
          <w:sz w:val="24"/>
          <w:szCs w:val="24"/>
        </w:rPr>
      </w:pPr>
      <w:bookmarkStart w:id="6" w:name="_Toc23770166"/>
      <w:r>
        <w:rPr>
          <w:rFonts w:hint="eastAsia" w:ascii="Times New Roman" w:eastAsia="宋体"/>
          <w:b/>
          <w:kern w:val="0"/>
          <w:sz w:val="24"/>
          <w:szCs w:val="24"/>
        </w:rPr>
        <w:t>2.3术语和定义</w:t>
      </w:r>
      <w:bookmarkEnd w:id="6"/>
    </w:p>
    <w:p>
      <w:pPr>
        <w:autoSpaceDE w:val="0"/>
        <w:autoSpaceDN w:val="0"/>
        <w:adjustRightInd w:val="0"/>
        <w:spacing w:line="440" w:lineRule="exact"/>
        <w:ind w:firstLine="480" w:firstLineChars="200"/>
        <w:rPr>
          <w:kern w:val="0"/>
          <w:sz w:val="24"/>
        </w:rPr>
      </w:pPr>
      <w:r>
        <w:rPr>
          <w:kern w:val="0"/>
          <w:sz w:val="24"/>
        </w:rPr>
        <w:t>给出了</w:t>
      </w:r>
      <w:r>
        <w:rPr>
          <w:rFonts w:hint="eastAsia"/>
          <w:kern w:val="0"/>
          <w:sz w:val="24"/>
        </w:rPr>
        <w:t>绿色工厂</w:t>
      </w:r>
      <w:r>
        <w:rPr>
          <w:kern w:val="0"/>
          <w:sz w:val="24"/>
        </w:rPr>
        <w:t>、</w:t>
      </w:r>
      <w:r>
        <w:rPr>
          <w:rFonts w:hint="eastAsia"/>
          <w:kern w:val="0"/>
          <w:sz w:val="24"/>
        </w:rPr>
        <w:t>绿色设计、爪式旋开盖</w:t>
      </w:r>
      <w:r>
        <w:rPr>
          <w:kern w:val="0"/>
          <w:sz w:val="24"/>
        </w:rPr>
        <w:t>的定义。在确定</w:t>
      </w:r>
      <w:r>
        <w:rPr>
          <w:rFonts w:hint="eastAsia"/>
          <w:kern w:val="0"/>
          <w:sz w:val="24"/>
        </w:rPr>
        <w:t>绿色工厂</w:t>
      </w:r>
      <w:r>
        <w:rPr>
          <w:kern w:val="0"/>
          <w:sz w:val="24"/>
        </w:rPr>
        <w:t>的定义时，参考了《</w:t>
      </w:r>
      <w:r>
        <w:rPr>
          <w:rFonts w:hint="eastAsia"/>
          <w:kern w:val="0"/>
          <w:sz w:val="24"/>
        </w:rPr>
        <w:t>绿色工厂评价通则</w:t>
      </w:r>
      <w:r>
        <w:rPr>
          <w:kern w:val="0"/>
          <w:sz w:val="24"/>
        </w:rPr>
        <w:t>》（GB/T 36132</w:t>
      </w:r>
      <w:r>
        <w:rPr>
          <w:rFonts w:hint="eastAsia"/>
          <w:kern w:val="0"/>
          <w:sz w:val="24"/>
        </w:rPr>
        <w:t>-2018</w:t>
      </w:r>
      <w:r>
        <w:rPr>
          <w:kern w:val="0"/>
          <w:sz w:val="24"/>
        </w:rPr>
        <w:t>）。在确定</w:t>
      </w:r>
      <w:r>
        <w:rPr>
          <w:rFonts w:hint="eastAsia"/>
          <w:kern w:val="0"/>
          <w:sz w:val="24"/>
        </w:rPr>
        <w:t>绿色设计</w:t>
      </w:r>
      <w:r>
        <w:rPr>
          <w:kern w:val="0"/>
          <w:sz w:val="24"/>
        </w:rPr>
        <w:t>的定义时，参考了《</w:t>
      </w:r>
      <w:r>
        <w:rPr>
          <w:rFonts w:hint="eastAsia"/>
          <w:kern w:val="0"/>
          <w:sz w:val="24"/>
        </w:rPr>
        <w:t>工生态设计产品评价通则</w:t>
      </w:r>
      <w:r>
        <w:rPr>
          <w:kern w:val="0"/>
          <w:sz w:val="24"/>
        </w:rPr>
        <w:t>》</w:t>
      </w:r>
      <w:r>
        <w:rPr>
          <w:rFonts w:hint="eastAsia"/>
          <w:kern w:val="0"/>
          <w:sz w:val="24"/>
        </w:rPr>
        <w:t xml:space="preserve">（GB/T </w:t>
      </w:r>
      <w:r>
        <w:rPr>
          <w:sz w:val="24"/>
        </w:rPr>
        <w:t>32161-2015</w:t>
      </w:r>
      <w:r>
        <w:rPr>
          <w:rFonts w:hint="eastAsia"/>
          <w:kern w:val="0"/>
          <w:sz w:val="24"/>
        </w:rPr>
        <w:t>）。在确定爪式旋开盖的定义时，参考了</w:t>
      </w:r>
      <w:r>
        <w:rPr>
          <w:kern w:val="0"/>
          <w:sz w:val="24"/>
        </w:rPr>
        <w:t>《</w:t>
      </w:r>
      <w:r>
        <w:rPr>
          <w:rFonts w:hint="eastAsia"/>
          <w:kern w:val="0"/>
          <w:sz w:val="24"/>
        </w:rPr>
        <w:t>爪式旋开盖</w:t>
      </w:r>
      <w:r>
        <w:rPr>
          <w:kern w:val="0"/>
          <w:sz w:val="24"/>
        </w:rPr>
        <w:t>》（GB/T 29335）。</w:t>
      </w:r>
    </w:p>
    <w:p>
      <w:pPr>
        <w:pStyle w:val="11"/>
        <w:spacing w:line="440" w:lineRule="exact"/>
        <w:ind w:firstLine="482" w:firstLineChars="200"/>
        <w:outlineLvl w:val="2"/>
        <w:rPr>
          <w:rFonts w:ascii="Times New Roman" w:eastAsia="宋体"/>
          <w:b/>
          <w:kern w:val="0"/>
          <w:sz w:val="24"/>
          <w:szCs w:val="24"/>
        </w:rPr>
      </w:pPr>
      <w:bookmarkStart w:id="7" w:name="_Toc23770167"/>
      <w:r>
        <w:rPr>
          <w:rFonts w:hint="eastAsia" w:ascii="Times New Roman" w:eastAsia="宋体"/>
          <w:b/>
          <w:kern w:val="0"/>
          <w:sz w:val="24"/>
          <w:szCs w:val="24"/>
        </w:rPr>
        <w:t>2.4评价总则</w:t>
      </w:r>
      <w:bookmarkEnd w:id="7"/>
    </w:p>
    <w:p>
      <w:pPr>
        <w:spacing w:line="360" w:lineRule="auto"/>
        <w:ind w:firstLine="480" w:firstLineChars="200"/>
        <w:rPr>
          <w:kern w:val="0"/>
          <w:sz w:val="24"/>
        </w:rPr>
      </w:pPr>
      <w:r>
        <w:rPr>
          <w:rFonts w:hint="eastAsia"/>
          <w:kern w:val="0"/>
          <w:sz w:val="24"/>
        </w:rPr>
        <w:t>爪式旋开盖</w:t>
      </w:r>
      <w:r>
        <w:rPr>
          <w:rFonts w:hint="eastAsia"/>
          <w:sz w:val="24"/>
        </w:rPr>
        <w:t>制造业</w:t>
      </w:r>
      <w:r>
        <w:rPr>
          <w:kern w:val="0"/>
          <w:sz w:val="24"/>
        </w:rPr>
        <w:t>绿色工厂评价指标体系</w:t>
      </w:r>
      <w:r>
        <w:rPr>
          <w:rFonts w:hint="eastAsia"/>
          <w:kern w:val="0"/>
          <w:sz w:val="24"/>
        </w:rPr>
        <w:t>与</w:t>
      </w:r>
      <w:r>
        <w:rPr>
          <w:kern w:val="0"/>
          <w:sz w:val="24"/>
        </w:rPr>
        <w:t>《</w:t>
      </w:r>
      <w:r>
        <w:rPr>
          <w:rFonts w:hint="eastAsia"/>
          <w:kern w:val="0"/>
          <w:sz w:val="24"/>
        </w:rPr>
        <w:t>绿色工厂评价通则</w:t>
      </w:r>
      <w:r>
        <w:rPr>
          <w:kern w:val="0"/>
          <w:sz w:val="24"/>
        </w:rPr>
        <w:t>》（GB/T 36132）</w:t>
      </w:r>
      <w:r>
        <w:rPr>
          <w:rFonts w:hint="eastAsia"/>
          <w:kern w:val="0"/>
          <w:sz w:val="24"/>
        </w:rPr>
        <w:t>中规定的内容保持一致，</w:t>
      </w:r>
      <w:r>
        <w:rPr>
          <w:kern w:val="0"/>
          <w:sz w:val="24"/>
        </w:rPr>
        <w:t>包括基础设施、管理体系、能源资源投入、产品、环境排放和绩效</w:t>
      </w:r>
      <w:r>
        <w:rPr>
          <w:rFonts w:hint="eastAsia"/>
          <w:kern w:val="0"/>
          <w:sz w:val="24"/>
        </w:rPr>
        <w:t>，爪式旋开盖行业在进行绿色工厂评价时，应从以上7个方面进行综合评价。</w:t>
      </w:r>
    </w:p>
    <w:p>
      <w:pPr>
        <w:spacing w:line="360" w:lineRule="auto"/>
        <w:ind w:firstLine="480" w:firstLineChars="200"/>
      </w:pPr>
      <w:r>
        <w:rPr>
          <w:kern w:val="0"/>
          <w:sz w:val="24"/>
        </w:rPr>
        <w:t>爪式旋开盖</w:t>
      </w:r>
      <w:r>
        <w:rPr>
          <w:rFonts w:hint="eastAsia"/>
          <w:kern w:val="0"/>
          <w:sz w:val="24"/>
        </w:rPr>
        <w:t>制造</w:t>
      </w:r>
      <w:r>
        <w:rPr>
          <w:kern w:val="0"/>
          <w:sz w:val="24"/>
        </w:rPr>
        <w:t>业绿色工厂评价体系框架如图1所示。</w:t>
      </w:r>
    </w:p>
    <w:p>
      <w:pPr>
        <w:ind w:firstLine="420" w:firstLineChars="200"/>
        <w:jc w:val="center"/>
      </w:pPr>
      <w:r>
        <mc:AlternateContent>
          <mc:Choice Requires="wpc">
            <w:drawing>
              <wp:inline distT="0" distB="0" distL="0" distR="0">
                <wp:extent cx="3903980" cy="1939925"/>
                <wp:effectExtent l="0" t="0" r="2540" b="0"/>
                <wp:docPr id="10" name="画布 10"/>
                <wp:cNvGraphicFramePr/>
                <a:graphic xmlns:a="http://schemas.openxmlformats.org/drawingml/2006/main">
                  <a:graphicData uri="http://schemas.microsoft.com/office/word/2010/wordprocessingCanvas">
                    <wpc:wpc>
                      <wpc:bg>
                        <a:noFill/>
                      </wpc:bg>
                      <wpc:whole/>
                      <wps:wsp>
                        <wps:cNvPr id="1" name="矩形 1"/>
                        <wps:cNvSpPr>
                          <a:spLocks noChangeArrowheads="1"/>
                        </wps:cNvSpPr>
                        <wps:spPr bwMode="auto">
                          <a:xfrm>
                            <a:off x="611913" y="540607"/>
                            <a:ext cx="739515" cy="834911"/>
                          </a:xfrm>
                          <a:prstGeom prst="rect">
                            <a:avLst/>
                          </a:prstGeom>
                          <a:solidFill>
                            <a:schemeClr val="lt1">
                              <a:lumMod val="100000"/>
                              <a:lumOff val="0"/>
                            </a:schemeClr>
                          </a:solidFill>
                          <a:ln w="3175">
                            <a:solidFill>
                              <a:schemeClr val="dk1">
                                <a:lumMod val="100000"/>
                                <a:lumOff val="0"/>
                              </a:schemeClr>
                            </a:solidFill>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能源与资源投入</w:t>
                              </w:r>
                            </w:p>
                          </w:txbxContent>
                        </wps:txbx>
                        <wps:bodyPr rot="0" vert="horz" wrap="square" lIns="91440" tIns="45720" rIns="91440" bIns="45720" anchor="ctr" anchorCtr="0" upright="1">
                          <a:noAutofit/>
                        </wps:bodyPr>
                      </wps:wsp>
                      <wps:wsp>
                        <wps:cNvPr id="3" name="矩形 3"/>
                        <wps:cNvSpPr>
                          <a:spLocks noChangeArrowheads="1"/>
                        </wps:cNvSpPr>
                        <wps:spPr bwMode="auto">
                          <a:xfrm>
                            <a:off x="611913" y="92501"/>
                            <a:ext cx="2702455" cy="392505"/>
                          </a:xfrm>
                          <a:prstGeom prst="rect">
                            <a:avLst/>
                          </a:prstGeom>
                          <a:solidFill>
                            <a:schemeClr val="lt1">
                              <a:lumMod val="100000"/>
                              <a:lumOff val="0"/>
                            </a:schemeClr>
                          </a:solidFill>
                          <a:ln w="3175">
                            <a:solidFill>
                              <a:schemeClr val="dk1">
                                <a:lumMod val="100000"/>
                                <a:lumOff val="0"/>
                              </a:schemeClr>
                            </a:solidFill>
                            <a:miter lim="800000"/>
                          </a:ln>
                        </wps:spPr>
                        <wps:txbx>
                          <w:txbxContent>
                            <w:p>
                              <w:pPr>
                                <w:pStyle w:val="28"/>
                                <w:spacing w:before="0" w:beforeAutospacing="0" w:after="0" w:afterAutospacing="0"/>
                                <w:jc w:val="center"/>
                              </w:pPr>
                              <w:r>
                                <w:rPr>
                                  <w:rFonts w:hint="eastAsia" w:ascii="Times New Roman"/>
                                  <w:color w:val="000000"/>
                                  <w:kern w:val="2"/>
                                  <w:sz w:val="18"/>
                                  <w:szCs w:val="18"/>
                                </w:rPr>
                                <w:t>管理体系</w:t>
                              </w:r>
                            </w:p>
                          </w:txbxContent>
                        </wps:txbx>
                        <wps:bodyPr rot="0" vert="horz" wrap="square" lIns="91440" tIns="45720" rIns="91440" bIns="45720" anchor="ctr" anchorCtr="0" upright="1">
                          <a:noAutofit/>
                        </wps:bodyPr>
                      </wps:wsp>
                      <wps:wsp>
                        <wps:cNvPr id="4" name="矩形 4"/>
                        <wps:cNvSpPr>
                          <a:spLocks noChangeArrowheads="1"/>
                        </wps:cNvSpPr>
                        <wps:spPr bwMode="auto">
                          <a:xfrm>
                            <a:off x="3410570" y="111801"/>
                            <a:ext cx="370808" cy="1703822"/>
                          </a:xfrm>
                          <a:prstGeom prst="rect">
                            <a:avLst/>
                          </a:prstGeom>
                          <a:solidFill>
                            <a:schemeClr val="lt1">
                              <a:lumMod val="100000"/>
                              <a:lumOff val="0"/>
                            </a:schemeClr>
                          </a:solidFill>
                          <a:ln w="3175">
                            <a:solidFill>
                              <a:schemeClr val="dk1">
                                <a:lumMod val="100000"/>
                                <a:lumOff val="0"/>
                              </a:schemeClr>
                            </a:solidFill>
                            <a:miter lim="800000"/>
                          </a:ln>
                        </wps:spPr>
                        <wps:txbx>
                          <w:txbxContent>
                            <w:p>
                              <w:pPr>
                                <w:pStyle w:val="28"/>
                                <w:spacing w:before="0" w:beforeAutospacing="0" w:after="0" w:afterAutospacing="0"/>
                                <w:jc w:val="center"/>
                              </w:pPr>
                              <w:r>
                                <w:rPr>
                                  <w:rFonts w:hint="eastAsia" w:ascii="Times New Roman"/>
                                  <w:color w:val="000000"/>
                                  <w:sz w:val="18"/>
                                  <w:szCs w:val="18"/>
                                </w:rPr>
                                <w:t>绩效</w:t>
                              </w:r>
                            </w:p>
                          </w:txbxContent>
                        </wps:txbx>
                        <wps:bodyPr rot="0" vert="horz" wrap="square" lIns="91440" tIns="45720" rIns="91440" bIns="45720" anchor="ctr" anchorCtr="0" upright="1">
                          <a:noAutofit/>
                        </wps:bodyPr>
                      </wps:wsp>
                      <wps:wsp>
                        <wps:cNvPr id="5" name="矩形 5"/>
                        <wps:cNvSpPr>
                          <a:spLocks noChangeArrowheads="1"/>
                        </wps:cNvSpPr>
                        <wps:spPr bwMode="auto">
                          <a:xfrm>
                            <a:off x="2561352" y="564507"/>
                            <a:ext cx="739115" cy="363605"/>
                          </a:xfrm>
                          <a:prstGeom prst="rect">
                            <a:avLst/>
                          </a:prstGeom>
                          <a:solidFill>
                            <a:schemeClr val="lt1">
                              <a:lumMod val="100000"/>
                              <a:lumOff val="0"/>
                            </a:schemeClr>
                          </a:solidFill>
                          <a:ln w="3175">
                            <a:solidFill>
                              <a:schemeClr val="dk1">
                                <a:lumMod val="100000"/>
                                <a:lumOff val="0"/>
                              </a:schemeClr>
                            </a:solidFill>
                            <a:miter lim="800000"/>
                          </a:ln>
                        </wps:spPr>
                        <wps:txbx>
                          <w:txbxContent>
                            <w:p>
                              <w:pPr>
                                <w:pStyle w:val="28"/>
                                <w:spacing w:before="0" w:beforeAutospacing="0" w:after="0" w:afterAutospacing="0"/>
                                <w:jc w:val="center"/>
                              </w:pPr>
                              <w:r>
                                <w:rPr>
                                  <w:rFonts w:hint="eastAsia" w:ascii="Times New Roman"/>
                                  <w:color w:val="000000"/>
                                  <w:sz w:val="18"/>
                                  <w:szCs w:val="18"/>
                                </w:rPr>
                                <w:t>产品</w:t>
                              </w:r>
                            </w:p>
                          </w:txbxContent>
                        </wps:txbx>
                        <wps:bodyPr rot="0" vert="horz" wrap="square" lIns="91440" tIns="45720" rIns="91440" bIns="45720" anchor="ctr" anchorCtr="0" upright="1">
                          <a:noAutofit/>
                        </wps:bodyPr>
                      </wps:wsp>
                      <wps:wsp>
                        <wps:cNvPr id="6" name="矩形 6"/>
                        <wps:cNvSpPr>
                          <a:spLocks noChangeArrowheads="1"/>
                        </wps:cNvSpPr>
                        <wps:spPr bwMode="auto">
                          <a:xfrm>
                            <a:off x="2561352" y="985913"/>
                            <a:ext cx="739115" cy="365005"/>
                          </a:xfrm>
                          <a:prstGeom prst="rect">
                            <a:avLst/>
                          </a:prstGeom>
                          <a:solidFill>
                            <a:schemeClr val="lt1">
                              <a:lumMod val="100000"/>
                              <a:lumOff val="0"/>
                            </a:schemeClr>
                          </a:solidFill>
                          <a:ln w="3175">
                            <a:solidFill>
                              <a:schemeClr val="dk1">
                                <a:lumMod val="100000"/>
                                <a:lumOff val="0"/>
                              </a:schemeClr>
                            </a:solidFill>
                            <a:miter lim="800000"/>
                          </a:ln>
                        </wps:spPr>
                        <wps:txbx>
                          <w:txbxContent>
                            <w:p>
                              <w:pPr>
                                <w:pStyle w:val="28"/>
                                <w:spacing w:before="0" w:beforeAutospacing="0" w:after="0" w:afterAutospacing="0"/>
                                <w:jc w:val="center"/>
                              </w:pPr>
                              <w:r>
                                <w:rPr>
                                  <w:rFonts w:hint="eastAsia" w:ascii="Times New Roman"/>
                                  <w:color w:val="000000"/>
                                  <w:sz w:val="18"/>
                                  <w:szCs w:val="18"/>
                                </w:rPr>
                                <w:t>环境排放</w:t>
                              </w:r>
                            </w:p>
                          </w:txbxContent>
                        </wps:txbx>
                        <wps:bodyPr rot="0" vert="horz" wrap="square" lIns="91440" tIns="45720" rIns="91440" bIns="45720" anchor="ctr" anchorCtr="0" upright="1">
                          <a:noAutofit/>
                        </wps:bodyPr>
                      </wps:wsp>
                      <wps:wsp>
                        <wps:cNvPr id="7" name="矩形 7"/>
                        <wps:cNvSpPr>
                          <a:spLocks noChangeArrowheads="1"/>
                        </wps:cNvSpPr>
                        <wps:spPr bwMode="auto">
                          <a:xfrm>
                            <a:off x="611913" y="1423218"/>
                            <a:ext cx="2702455" cy="392405"/>
                          </a:xfrm>
                          <a:prstGeom prst="rect">
                            <a:avLst/>
                          </a:prstGeom>
                          <a:solidFill>
                            <a:schemeClr val="lt1">
                              <a:lumMod val="100000"/>
                              <a:lumOff val="0"/>
                            </a:schemeClr>
                          </a:solidFill>
                          <a:ln w="3175">
                            <a:solidFill>
                              <a:schemeClr val="dk1">
                                <a:lumMod val="100000"/>
                                <a:lumOff val="0"/>
                              </a:schemeClr>
                            </a:solidFill>
                            <a:miter lim="800000"/>
                          </a:ln>
                        </wps:spPr>
                        <wps:txbx>
                          <w:txbxContent>
                            <w:p>
                              <w:pPr>
                                <w:pStyle w:val="28"/>
                                <w:spacing w:before="0" w:beforeAutospacing="0" w:after="0" w:afterAutospacing="0"/>
                                <w:jc w:val="center"/>
                              </w:pPr>
                              <w:r>
                                <w:rPr>
                                  <w:rFonts w:hint="eastAsia" w:ascii="Times New Roman"/>
                                  <w:color w:val="000000"/>
                                  <w:sz w:val="18"/>
                                  <w:szCs w:val="18"/>
                                </w:rPr>
                                <w:t>基础设施</w:t>
                              </w:r>
                            </w:p>
                          </w:txbxContent>
                        </wps:txbx>
                        <wps:bodyPr rot="0" vert="horz" wrap="square" lIns="91440" tIns="45720" rIns="91440" bIns="45720" anchor="ctr" anchorCtr="0" upright="1">
                          <a:noAutofit/>
                        </wps:bodyPr>
                      </wps:wsp>
                      <wps:wsp>
                        <wps:cNvPr id="8" name="矩形 8"/>
                        <wps:cNvSpPr>
                          <a:spLocks noChangeArrowheads="1"/>
                        </wps:cNvSpPr>
                        <wps:spPr bwMode="auto">
                          <a:xfrm>
                            <a:off x="137703" y="122102"/>
                            <a:ext cx="369008" cy="1702822"/>
                          </a:xfrm>
                          <a:prstGeom prst="rect">
                            <a:avLst/>
                          </a:prstGeom>
                          <a:solidFill>
                            <a:schemeClr val="lt1">
                              <a:lumMod val="100000"/>
                              <a:lumOff val="0"/>
                            </a:schemeClr>
                          </a:solidFill>
                          <a:ln w="3175">
                            <a:solidFill>
                              <a:schemeClr val="dk1">
                                <a:lumMod val="100000"/>
                                <a:lumOff val="0"/>
                              </a:schemeClr>
                            </a:solidFill>
                            <a:miter lim="800000"/>
                          </a:ln>
                        </wps:spPr>
                        <wps:txbx>
                          <w:txbxContent>
                            <w:p>
                              <w:pPr>
                                <w:pStyle w:val="28"/>
                                <w:spacing w:before="0" w:beforeAutospacing="0" w:after="0" w:afterAutospacing="0"/>
                                <w:jc w:val="center"/>
                              </w:pPr>
                              <w:r>
                                <w:rPr>
                                  <w:rFonts w:hint="eastAsia" w:ascii="Times New Roman"/>
                                  <w:color w:val="000000"/>
                                  <w:sz w:val="18"/>
                                  <w:szCs w:val="18"/>
                                </w:rPr>
                                <w:t>基本要求</w:t>
                              </w:r>
                            </w:p>
                          </w:txbxContent>
                        </wps:txbx>
                        <wps:bodyPr rot="0" vert="horz" wrap="square" lIns="91440" tIns="45720" rIns="91440" bIns="45720" anchor="ctr" anchorCtr="0" upright="1">
                          <a:noAutofit/>
                        </wps:bodyPr>
                      </wps:wsp>
                      <wps:wsp>
                        <wps:cNvPr id="9" name="右箭头 9"/>
                        <wps:cNvSpPr>
                          <a:spLocks noChangeArrowheads="1"/>
                        </wps:cNvSpPr>
                        <wps:spPr bwMode="auto">
                          <a:xfrm>
                            <a:off x="1457630" y="713509"/>
                            <a:ext cx="1041621" cy="508907"/>
                          </a:xfrm>
                          <a:prstGeom prst="rightArrow">
                            <a:avLst>
                              <a:gd name="adj1" fmla="val 50000"/>
                              <a:gd name="adj2" fmla="val 49994"/>
                            </a:avLst>
                          </a:prstGeom>
                          <a:solidFill>
                            <a:schemeClr val="bg1">
                              <a:lumMod val="100000"/>
                              <a:lumOff val="0"/>
                            </a:schemeClr>
                          </a:solidFill>
                          <a:ln w="3175">
                            <a:solidFill>
                              <a:schemeClr val="tx1">
                                <a:lumMod val="100000"/>
                                <a:lumOff val="0"/>
                              </a:schemeClr>
                            </a:solidFill>
                            <a:prstDash val="dash"/>
                            <a:miter lim="800000"/>
                          </a:ln>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生产过程</w:t>
                              </w:r>
                            </w:p>
                          </w:txbxContent>
                        </wps:txbx>
                        <wps:bodyPr rot="0" vert="horz" wrap="square" lIns="91440" tIns="45720" rIns="91440" bIns="45720" anchor="ctr" anchorCtr="0" upright="1">
                          <a:noAutofit/>
                        </wps:bodyPr>
                      </wps:wsp>
                    </wpc:wpc>
                  </a:graphicData>
                </a:graphic>
              </wp:inline>
            </w:drawing>
          </mc:Choice>
          <mc:Fallback>
            <w:pict>
              <v:group id="_x0000_s1026" o:spid="_x0000_s1026" o:spt="203" style="height:152.75pt;width:307.4pt;" coordsize="3903980,1939925" editas="canvas" o:gfxdata="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">
                <o:lock v:ext="edit" aspectratio="f"/>
                <v:shape id="_x0000_s1026" o:spid="_x0000_s1026" style="position:absolute;left:0;top:0;height:1939925;width:3903980;" filled="f" stroked="f" coordsize="21600,21600" o:gfxdata="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rzFaddcAAAAFAQAADwAAAAAA&#10;AAABACAAAAAiAAAAZHJzL2Rvd25yZXYueG1sUEsBAhQAFAAAAAgAh07iQCXvEYcVBAAAfBsAAA4A&#10;AAAAAAAAAQAgAAAAJgEAAGRycy9lMm9Eb2MueG1sUEsFBgAAAAAGAAYAWQEAAK0HAAAAAA==&#10;">
                  <v:fill on="f" focussize="0,0"/>
                  <v:stroke on="f"/>
                  <v:imagedata o:title=""/>
                  <o:lock v:ext="edit" aspectratio="f"/>
                </v:shape>
                <v:rect id="_x0000_s1026" o:spid="_x0000_s1026" o:spt="1" style="position:absolute;left:611913;top:540607;height:834911;width:739515;v-text-anchor:middle;" fillcolor="#FFFFFF [3217]" filled="t" stroked="t" coordsize="21600,21600" o:gfxdata="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lkUX1gAAAAUBAAAPAAAAAAAAAAEAIAAAACIAAABkcnMvZG93bnJldi54bWxQSwECFAAUAAAACACH&#10;TuJA2WhoG18CAADxBAAADgAAAAAAAAABACAAAAAlAQAAZHJzL2Uyb0RvYy54bWxQSwUGAAAAAAYA&#10;BgBZAQAA9gUAAAAA&#10;">
                  <v:fill on="t" focussize="0,0"/>
                  <v:stroke weight="0.25pt" color="#000000 [3216]"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能源与资源投入</w:t>
                        </w:r>
                      </w:p>
                    </w:txbxContent>
                  </v:textbox>
                </v:rect>
                <v:rect id="_x0000_s1026" o:spid="_x0000_s1026" o:spt="1" style="position:absolute;left:611913;top:92501;height:392505;width:2702455;v-text-anchor:middle;" fillcolor="#FFFFFF [3217]" filled="t" stroked="t" coordsize="21600,21600" o:gfxdata="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8pZF&#10;F9YAAAAFAQAADwAAAAAAAAABACAAAAAiAAAAZHJzL2Rvd25yZXYueG1sUEsBAhQAFAAAAAgAh07i&#10;QItNms5dAgAA8QQAAA4AAAAAAAAAAQAgAAAAJQEAAGRycy9lMm9Eb2MueG1sUEsFBgAAAAAGAAYA&#10;WQEAAPQFAAAAAA==&#10;">
                  <v:fill on="t" focussize="0,0"/>
                  <v:stroke weight="0.25pt" color="#000000 [3216]" miterlimit="8" joinstyle="miter"/>
                  <v:imagedata o:title=""/>
                  <o:lock v:ext="edit" aspectratio="f"/>
                  <v:textbox>
                    <w:txbxContent>
                      <w:p>
                        <w:pPr>
                          <w:pStyle w:val="28"/>
                          <w:spacing w:before="0" w:beforeAutospacing="0" w:after="0" w:afterAutospacing="0"/>
                          <w:jc w:val="center"/>
                        </w:pPr>
                        <w:r>
                          <w:rPr>
                            <w:rFonts w:hint="eastAsia" w:ascii="Times New Roman"/>
                            <w:color w:val="000000"/>
                            <w:kern w:val="2"/>
                            <w:sz w:val="18"/>
                            <w:szCs w:val="18"/>
                          </w:rPr>
                          <w:t>管理体系</w:t>
                        </w:r>
                      </w:p>
                    </w:txbxContent>
                  </v:textbox>
                </v:rect>
                <v:rect id="_x0000_s1026" o:spid="_x0000_s1026" o:spt="1" style="position:absolute;left:3410570;top:111801;height:1703822;width:370808;v-text-anchor:middle;" fillcolor="#FFFFFF [3217]" filled="t" stroked="t" coordsize="21600,21600" o:gfxdata="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lkUX1gAAAAUBAAAPAAAAAAAAAAEAIAAAACIAAABkcnMvZG93bnJldi54bWxQSwECFAAUAAAACACH&#10;TuJA+OcsiV8CAADzBAAADgAAAAAAAAABACAAAAAlAQAAZHJzL2Uyb0RvYy54bWxQSwUGAAAAAAYA&#10;BgBZAQAA9gUAAAAA&#10;">
                  <v:fill on="t" focussize="0,0"/>
                  <v:stroke weight="0.25pt" color="#000000 [3216]" miterlimit="8" joinstyle="miter"/>
                  <v:imagedata o:title=""/>
                  <o:lock v:ext="edit" aspectratio="f"/>
                  <v:textbox>
                    <w:txbxContent>
                      <w:p>
                        <w:pPr>
                          <w:pStyle w:val="28"/>
                          <w:spacing w:before="0" w:beforeAutospacing="0" w:after="0" w:afterAutospacing="0"/>
                          <w:jc w:val="center"/>
                        </w:pPr>
                        <w:r>
                          <w:rPr>
                            <w:rFonts w:hint="eastAsia" w:ascii="Times New Roman"/>
                            <w:color w:val="000000"/>
                            <w:sz w:val="18"/>
                            <w:szCs w:val="18"/>
                          </w:rPr>
                          <w:t>绩效</w:t>
                        </w:r>
                      </w:p>
                    </w:txbxContent>
                  </v:textbox>
                </v:rect>
                <v:rect id="_x0000_s1026" o:spid="_x0000_s1026" o:spt="1" style="position:absolute;left:2561352;top:564507;height:363605;width:739115;v-text-anchor:middle;" fillcolor="#FFFFFF [3217]" filled="t" stroked="t" coordsize="21600,21600" o:gfxdata="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lkUX1gAAAAUBAAAPAAAAAAAAAAEAIAAAACIAAABkcnMvZG93bnJldi54bWxQSwECFAAUAAAACACH&#10;TuJAPf7qaV8CAADyBAAADgAAAAAAAAABACAAAAAlAQAAZHJzL2Uyb0RvYy54bWxQSwUGAAAAAAYA&#10;BgBZAQAA9gUAAAAA&#10;">
                  <v:fill on="t" focussize="0,0"/>
                  <v:stroke weight="0.25pt" color="#000000 [3216]" miterlimit="8" joinstyle="miter"/>
                  <v:imagedata o:title=""/>
                  <o:lock v:ext="edit" aspectratio="f"/>
                  <v:textbox>
                    <w:txbxContent>
                      <w:p>
                        <w:pPr>
                          <w:pStyle w:val="28"/>
                          <w:spacing w:before="0" w:beforeAutospacing="0" w:after="0" w:afterAutospacing="0"/>
                          <w:jc w:val="center"/>
                        </w:pPr>
                        <w:r>
                          <w:rPr>
                            <w:rFonts w:hint="eastAsia" w:ascii="Times New Roman"/>
                            <w:color w:val="000000"/>
                            <w:sz w:val="18"/>
                            <w:szCs w:val="18"/>
                          </w:rPr>
                          <w:t>产品</w:t>
                        </w:r>
                      </w:p>
                    </w:txbxContent>
                  </v:textbox>
                </v:rect>
                <v:rect id="_x0000_s1026" o:spid="_x0000_s1026" o:spt="1" style="position:absolute;left:2561352;top:985913;height:365005;width:739115;v-text-anchor:middle;" fillcolor="#FFFFFF [3217]" filled="t" stroked="t" coordsize="21600,21600" o:gfxdata="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KWRRfWAAAABQEAAA8AAAAAAAAAAQAgAAAAIgAAAGRycy9kb3ducmV2LnhtbFBLAQIUABQAAAAI&#10;AIdO4kAORd24YQIAAPIEAAAOAAAAAAAAAAEAIAAAACUBAABkcnMvZTJvRG9jLnhtbFBLBQYAAAAA&#10;BgAGAFkBAAD4BQAAAAA=&#10;">
                  <v:fill on="t" focussize="0,0"/>
                  <v:stroke weight="0.25pt" color="#000000 [3216]" miterlimit="8" joinstyle="miter"/>
                  <v:imagedata o:title=""/>
                  <o:lock v:ext="edit" aspectratio="f"/>
                  <v:textbox>
                    <w:txbxContent>
                      <w:p>
                        <w:pPr>
                          <w:pStyle w:val="28"/>
                          <w:spacing w:before="0" w:beforeAutospacing="0" w:after="0" w:afterAutospacing="0"/>
                          <w:jc w:val="center"/>
                        </w:pPr>
                        <w:r>
                          <w:rPr>
                            <w:rFonts w:hint="eastAsia" w:ascii="Times New Roman"/>
                            <w:color w:val="000000"/>
                            <w:sz w:val="18"/>
                            <w:szCs w:val="18"/>
                          </w:rPr>
                          <w:t>环境排放</w:t>
                        </w:r>
                      </w:p>
                    </w:txbxContent>
                  </v:textbox>
                </v:rect>
                <v:rect id="_x0000_s1026" o:spid="_x0000_s1026" o:spt="1" style="position:absolute;left:611913;top:1423218;height:392405;width:2702455;v-text-anchor:middle;" fillcolor="#FFFFFF [3217]" filled="t" stroked="t" coordsize="21600,21600" o:gfxdata="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KWRRfWAAAABQEAAA8AAAAAAAAAAQAgAAAAIgAAAGRycy9kb3ducmV2LnhtbFBLAQIUABQAAAAI&#10;AIdO4kBOVOiMYQIAAPMEAAAOAAAAAAAAAAEAIAAAACUBAABkcnMvZTJvRG9jLnhtbFBLBQYAAAAA&#10;BgAGAFkBAAD4BQAAAAA=&#10;">
                  <v:fill on="t" focussize="0,0"/>
                  <v:stroke weight="0.25pt" color="#000000 [3216]" miterlimit="8" joinstyle="miter"/>
                  <v:imagedata o:title=""/>
                  <o:lock v:ext="edit" aspectratio="f"/>
                  <v:textbox>
                    <w:txbxContent>
                      <w:p>
                        <w:pPr>
                          <w:pStyle w:val="28"/>
                          <w:spacing w:before="0" w:beforeAutospacing="0" w:after="0" w:afterAutospacing="0"/>
                          <w:jc w:val="center"/>
                        </w:pPr>
                        <w:r>
                          <w:rPr>
                            <w:rFonts w:hint="eastAsia" w:ascii="Times New Roman"/>
                            <w:color w:val="000000"/>
                            <w:sz w:val="18"/>
                            <w:szCs w:val="18"/>
                          </w:rPr>
                          <w:t>基础设施</w:t>
                        </w:r>
                      </w:p>
                    </w:txbxContent>
                  </v:textbox>
                </v:rect>
                <v:rect id="_x0000_s1026" o:spid="_x0000_s1026" o:spt="1" style="position:absolute;left:137703;top:122102;height:1702822;width:369008;v-text-anchor:middle;" fillcolor="#FFFFFF [3217]" filled="t" stroked="t" coordsize="21600,21600" o:gfxdata="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8pZF&#10;F9YAAAAFAQAADwAAAAAAAAABACAAAAAiAAAAZHJzL2Rvd25yZXYueG1sUEsBAhQAFAAAAAgAh07i&#10;QKdrUstdAgAA8gQAAA4AAAAAAAAAAQAgAAAAJQEAAGRycy9lMm9Eb2MueG1sUEsFBgAAAAAGAAYA&#10;WQEAAPQFAAAAAA==&#10;">
                  <v:fill on="t" focussize="0,0"/>
                  <v:stroke weight="0.25pt" color="#000000 [3216]" miterlimit="8" joinstyle="miter"/>
                  <v:imagedata o:title=""/>
                  <o:lock v:ext="edit" aspectratio="f"/>
                  <v:textbox>
                    <w:txbxContent>
                      <w:p>
                        <w:pPr>
                          <w:pStyle w:val="28"/>
                          <w:spacing w:before="0" w:beforeAutospacing="0" w:after="0" w:afterAutospacing="0"/>
                          <w:jc w:val="center"/>
                        </w:pPr>
                        <w:r>
                          <w:rPr>
                            <w:rFonts w:hint="eastAsia" w:ascii="Times New Roman"/>
                            <w:color w:val="000000"/>
                            <w:sz w:val="18"/>
                            <w:szCs w:val="18"/>
                          </w:rPr>
                          <w:t>基本要求</w:t>
                        </w:r>
                      </w:p>
                    </w:txbxContent>
                  </v:textbox>
                </v:rect>
                <v:shape id="_x0000_s1026" o:spid="_x0000_s1026" o:spt="13" type="#_x0000_t13" style="position:absolute;left:1457630;top:713509;height:508907;width:1041621;v-text-anchor:middle;" fillcolor="#FFFFFF [3228]" filled="t" stroked="t" coordsize="21600,21600" o:gfxdata="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she2RNYA&#10;AAAFAQAADwAAAAAAAAABACAAAAAiAAAAZHJzL2Rvd25yZXYueG1sUEsBAhQAFAAAAAgAh07iQJ0E&#10;wDaTAgAAZQUAAA4AAAAAAAAAAQAgAAAAJQEAAGRycy9lMm9Eb2MueG1sUEsFBgAAAAAGAAYAWQEA&#10;ACoGAAAAAA==&#10;" adj="16325,5400">
                  <v:fill on="t" focussize="0,0"/>
                  <v:stroke weight="0.25pt" color="#000000 [3229]" miterlimit="8" joinstyle="miter" dashstyle="dash"/>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生产过程</w:t>
                        </w:r>
                      </w:p>
                    </w:txbxContent>
                  </v:textbox>
                </v:shape>
                <w10:wrap type="none"/>
                <w10:anchorlock/>
              </v:group>
            </w:pict>
          </mc:Fallback>
        </mc:AlternateContent>
      </w:r>
    </w:p>
    <w:p>
      <w:pPr>
        <w:pStyle w:val="155"/>
        <w:spacing w:before="156" w:after="156"/>
        <w:rPr>
          <w:rFonts w:ascii="Times New Roman"/>
        </w:rPr>
      </w:pPr>
      <w:r>
        <w:rPr>
          <w:rFonts w:hint="eastAsia" w:ascii="Times New Roman"/>
        </w:rPr>
        <w:t>爪式旋开盖制造</w:t>
      </w:r>
      <w:r>
        <w:rPr>
          <w:rFonts w:ascii="Times New Roman"/>
        </w:rPr>
        <w:t>业绿色工厂评价</w:t>
      </w:r>
      <w:r>
        <w:rPr>
          <w:rFonts w:hint="eastAsia" w:ascii="Times New Roman"/>
        </w:rPr>
        <w:t>体系</w:t>
      </w:r>
      <w:r>
        <w:rPr>
          <w:rFonts w:ascii="Times New Roman"/>
        </w:rPr>
        <w:t>框架示意图</w:t>
      </w:r>
    </w:p>
    <w:p>
      <w:pPr>
        <w:spacing w:line="360" w:lineRule="auto"/>
        <w:ind w:firstLine="480" w:firstLineChars="200"/>
        <w:rPr>
          <w:kern w:val="0"/>
          <w:sz w:val="24"/>
        </w:rPr>
      </w:pPr>
      <w:r>
        <w:rPr>
          <w:rFonts w:hint="eastAsia"/>
          <w:kern w:val="0"/>
          <w:sz w:val="24"/>
        </w:rPr>
        <w:t>爪式旋开盖制造</w:t>
      </w:r>
      <w:r>
        <w:rPr>
          <w:kern w:val="0"/>
          <w:sz w:val="24"/>
        </w:rPr>
        <w:t>业绿色工厂</w:t>
      </w:r>
      <w:r>
        <w:rPr>
          <w:rFonts w:hint="eastAsia"/>
          <w:kern w:val="0"/>
          <w:sz w:val="24"/>
        </w:rPr>
        <w:t>评价</w:t>
      </w:r>
      <w:r>
        <w:rPr>
          <w:kern w:val="0"/>
          <w:sz w:val="24"/>
        </w:rPr>
        <w:t>指标</w:t>
      </w:r>
      <w:r>
        <w:rPr>
          <w:rFonts w:hint="eastAsia"/>
          <w:kern w:val="0"/>
          <w:sz w:val="24"/>
        </w:rPr>
        <w:t>包括</w:t>
      </w:r>
      <w:r>
        <w:rPr>
          <w:kern w:val="0"/>
          <w:sz w:val="24"/>
        </w:rPr>
        <w:t>了</w:t>
      </w:r>
      <w:r>
        <w:rPr>
          <w:rFonts w:hint="eastAsia"/>
          <w:kern w:val="0"/>
          <w:sz w:val="24"/>
        </w:rPr>
        <w:t>定性指标和定量指标，定性指标主要侧重在应满足的法律法规、节能环保、工艺技术、相关标准等方面要求；定量指标主要侧重在能够反映工厂层面的绿色特性指标</w:t>
      </w:r>
      <w:r>
        <w:rPr>
          <w:kern w:val="0"/>
          <w:sz w:val="24"/>
        </w:rPr>
        <w:t>。</w:t>
      </w:r>
    </w:p>
    <w:p>
      <w:pPr>
        <w:spacing w:line="360" w:lineRule="auto"/>
        <w:ind w:firstLine="480" w:firstLineChars="200"/>
        <w:rPr>
          <w:kern w:val="0"/>
          <w:sz w:val="24"/>
        </w:rPr>
      </w:pPr>
      <w:r>
        <w:rPr>
          <w:rFonts w:hint="eastAsia"/>
          <w:kern w:val="0"/>
          <w:sz w:val="24"/>
        </w:rPr>
        <w:t>爪式旋开盖制造业绿色工厂评价采用定量评价和定性评价相结合的方法，根据实际需要可采用下述评价方法，也可采取下述方法组合或集成的方法。</w:t>
      </w:r>
    </w:p>
    <w:p>
      <w:pPr>
        <w:spacing w:line="360" w:lineRule="auto"/>
        <w:ind w:firstLine="480" w:firstLineChars="200"/>
        <w:rPr>
          <w:kern w:val="0"/>
          <w:sz w:val="24"/>
        </w:rPr>
      </w:pPr>
      <w:r>
        <w:rPr>
          <w:kern w:val="0"/>
          <w:sz w:val="24"/>
        </w:rPr>
        <w:t>a</w:t>
      </w:r>
      <w:r>
        <w:rPr>
          <w:rFonts w:hint="eastAsia"/>
          <w:kern w:val="0"/>
          <w:sz w:val="24"/>
        </w:rPr>
        <w:t>）</w:t>
      </w:r>
      <w:r>
        <w:rPr>
          <w:kern w:val="0"/>
          <w:sz w:val="24"/>
        </w:rPr>
        <w:tab/>
      </w:r>
      <w:r>
        <w:rPr>
          <w:rFonts w:hint="eastAsia"/>
          <w:kern w:val="0"/>
          <w:sz w:val="24"/>
        </w:rPr>
        <w:t>标准对照法；</w:t>
      </w:r>
    </w:p>
    <w:p>
      <w:pPr>
        <w:spacing w:line="360" w:lineRule="auto"/>
        <w:ind w:firstLine="480" w:firstLineChars="200"/>
        <w:rPr>
          <w:kern w:val="0"/>
          <w:sz w:val="24"/>
        </w:rPr>
      </w:pPr>
      <w:r>
        <w:rPr>
          <w:kern w:val="0"/>
          <w:sz w:val="24"/>
        </w:rPr>
        <w:t>b</w:t>
      </w:r>
      <w:r>
        <w:rPr>
          <w:rFonts w:hint="eastAsia"/>
          <w:kern w:val="0"/>
          <w:sz w:val="24"/>
        </w:rPr>
        <w:t>）类比分析法；</w:t>
      </w:r>
    </w:p>
    <w:p>
      <w:pPr>
        <w:spacing w:line="360" w:lineRule="auto"/>
        <w:ind w:firstLine="480" w:firstLineChars="200"/>
        <w:rPr>
          <w:kern w:val="0"/>
          <w:sz w:val="24"/>
        </w:rPr>
      </w:pPr>
      <w:r>
        <w:rPr>
          <w:kern w:val="0"/>
          <w:sz w:val="24"/>
        </w:rPr>
        <w:t>c</w:t>
      </w:r>
      <w:r>
        <w:rPr>
          <w:rFonts w:hint="eastAsia"/>
          <w:kern w:val="0"/>
          <w:sz w:val="24"/>
        </w:rPr>
        <w:t>）</w:t>
      </w:r>
      <w:r>
        <w:rPr>
          <w:kern w:val="0"/>
          <w:sz w:val="24"/>
        </w:rPr>
        <w:tab/>
      </w:r>
      <w:r>
        <w:rPr>
          <w:rFonts w:hint="eastAsia"/>
          <w:kern w:val="0"/>
          <w:sz w:val="24"/>
        </w:rPr>
        <w:t>专家打分法；</w:t>
      </w:r>
    </w:p>
    <w:p>
      <w:pPr>
        <w:spacing w:line="360" w:lineRule="auto"/>
        <w:ind w:firstLine="480" w:firstLineChars="200"/>
        <w:rPr>
          <w:kern w:val="0"/>
          <w:sz w:val="24"/>
        </w:rPr>
      </w:pPr>
      <w:r>
        <w:rPr>
          <w:kern w:val="0"/>
          <w:sz w:val="24"/>
        </w:rPr>
        <w:t>d</w:t>
      </w:r>
      <w:r>
        <w:rPr>
          <w:rFonts w:hint="eastAsia"/>
          <w:kern w:val="0"/>
          <w:sz w:val="24"/>
        </w:rPr>
        <w:t>）其他方法。</w:t>
      </w:r>
    </w:p>
    <w:p>
      <w:pPr>
        <w:pStyle w:val="11"/>
        <w:spacing w:line="440" w:lineRule="exact"/>
        <w:ind w:firstLine="482" w:firstLineChars="200"/>
        <w:outlineLvl w:val="2"/>
        <w:rPr>
          <w:rFonts w:ascii="Times New Roman" w:eastAsia="宋体"/>
          <w:b/>
          <w:kern w:val="0"/>
          <w:sz w:val="24"/>
          <w:szCs w:val="24"/>
        </w:rPr>
      </w:pPr>
      <w:bookmarkStart w:id="8" w:name="_Toc23770168"/>
      <w:r>
        <w:rPr>
          <w:rFonts w:hint="eastAsia" w:ascii="Times New Roman" w:eastAsia="宋体"/>
          <w:b/>
          <w:kern w:val="0"/>
          <w:sz w:val="24"/>
          <w:szCs w:val="24"/>
        </w:rPr>
        <w:t>2</w:t>
      </w:r>
      <w:r>
        <w:rPr>
          <w:rFonts w:ascii="Times New Roman" w:eastAsia="宋体"/>
          <w:b/>
          <w:kern w:val="0"/>
          <w:sz w:val="24"/>
          <w:szCs w:val="24"/>
        </w:rPr>
        <w:t>.</w:t>
      </w:r>
      <w:r>
        <w:rPr>
          <w:rFonts w:hint="eastAsia" w:ascii="Times New Roman" w:eastAsia="宋体"/>
          <w:b/>
          <w:kern w:val="0"/>
          <w:sz w:val="24"/>
          <w:szCs w:val="24"/>
        </w:rPr>
        <w:t>5指标要求及来源</w:t>
      </w:r>
      <w:bookmarkEnd w:id="8"/>
    </w:p>
    <w:p>
      <w:pPr>
        <w:autoSpaceDE w:val="0"/>
        <w:autoSpaceDN w:val="0"/>
        <w:adjustRightInd w:val="0"/>
        <w:spacing w:line="440" w:lineRule="exact"/>
        <w:ind w:firstLine="480" w:firstLineChars="200"/>
        <w:rPr>
          <w:kern w:val="0"/>
          <w:sz w:val="24"/>
        </w:rPr>
      </w:pPr>
      <w:r>
        <w:rPr>
          <w:rFonts w:hint="eastAsia"/>
          <w:kern w:val="0"/>
          <w:sz w:val="24"/>
        </w:rPr>
        <w:t>爪式旋开盖制造</w:t>
      </w:r>
      <w:r>
        <w:rPr>
          <w:kern w:val="0"/>
          <w:sz w:val="24"/>
        </w:rPr>
        <w:t>业</w:t>
      </w:r>
      <w:r>
        <w:rPr>
          <w:rFonts w:hint="eastAsia"/>
          <w:kern w:val="0"/>
          <w:sz w:val="24"/>
        </w:rPr>
        <w:t>绿色工厂评价指标参照《绿色工厂评价通则》（GB/T 36132）给出，并根据爪式旋开盖行业特点，删除了部分不适用指标，并增加了爪式旋开盖制造</w:t>
      </w:r>
      <w:r>
        <w:rPr>
          <w:kern w:val="0"/>
          <w:sz w:val="24"/>
        </w:rPr>
        <w:t>业</w:t>
      </w:r>
      <w:r>
        <w:rPr>
          <w:rFonts w:hint="eastAsia"/>
          <w:kern w:val="0"/>
          <w:sz w:val="24"/>
        </w:rPr>
        <w:t>在绿色工厂创建过程中应满足的部分具有行业特点的指标。爪式旋开盖制造业绿色工厂评价指标的一级指标包括基本要求、基础设施、管理体系、能源资源投入、产品、环境排放和绩效等七类，每类一级指标又由若干个二级指标组成。</w:t>
      </w:r>
    </w:p>
    <w:p>
      <w:pPr>
        <w:autoSpaceDE w:val="0"/>
        <w:autoSpaceDN w:val="0"/>
        <w:adjustRightInd w:val="0"/>
        <w:spacing w:line="440" w:lineRule="exact"/>
        <w:ind w:firstLine="480" w:firstLineChars="200"/>
        <w:rPr>
          <w:kern w:val="0"/>
          <w:sz w:val="24"/>
        </w:rPr>
      </w:pPr>
      <w:r>
        <w:rPr>
          <w:rFonts w:hint="eastAsia"/>
          <w:kern w:val="0"/>
          <w:sz w:val="24"/>
        </w:rPr>
        <w:t>指标分为必选指标和可选指标，其中，必选指标为要求工厂应达到的基础性要求，必选指标不达标的不能评价为绿色工厂，可选指标为希望工厂努力达到的提高性要求，可选指标具有一定的先进性。</w:t>
      </w:r>
    </w:p>
    <w:p>
      <w:pPr>
        <w:pStyle w:val="11"/>
        <w:spacing w:line="440" w:lineRule="exact"/>
        <w:ind w:firstLine="482" w:firstLineChars="200"/>
        <w:outlineLvl w:val="2"/>
        <w:rPr>
          <w:rFonts w:ascii="Times New Roman" w:eastAsia="宋体"/>
          <w:b/>
          <w:kern w:val="0"/>
          <w:sz w:val="24"/>
          <w:szCs w:val="24"/>
        </w:rPr>
      </w:pPr>
      <w:r>
        <w:rPr>
          <w:rFonts w:hint="eastAsia" w:ascii="Times New Roman" w:eastAsia="宋体"/>
          <w:b/>
          <w:kern w:val="0"/>
          <w:sz w:val="24"/>
          <w:szCs w:val="24"/>
        </w:rPr>
        <w:t>2</w:t>
      </w:r>
      <w:r>
        <w:rPr>
          <w:rFonts w:ascii="Times New Roman" w:eastAsia="宋体"/>
          <w:b/>
          <w:kern w:val="0"/>
          <w:sz w:val="24"/>
          <w:szCs w:val="24"/>
        </w:rPr>
        <w:t>.5.1基本要求</w:t>
      </w:r>
    </w:p>
    <w:p>
      <w:pPr>
        <w:autoSpaceDE w:val="0"/>
        <w:autoSpaceDN w:val="0"/>
        <w:adjustRightInd w:val="0"/>
        <w:spacing w:line="440" w:lineRule="exact"/>
        <w:ind w:firstLine="480" w:firstLineChars="200"/>
        <w:rPr>
          <w:kern w:val="0"/>
          <w:sz w:val="24"/>
        </w:rPr>
      </w:pPr>
      <w:r>
        <w:rPr>
          <w:rFonts w:hint="eastAsia"/>
          <w:kern w:val="0"/>
          <w:sz w:val="24"/>
        </w:rPr>
        <w:t>基本要求具体包括：合规性要求、管理职责要求，全部为必选指标，且为一票否决指标。</w:t>
      </w:r>
    </w:p>
    <w:p>
      <w:pPr>
        <w:autoSpaceDE w:val="0"/>
        <w:autoSpaceDN w:val="0"/>
        <w:adjustRightInd w:val="0"/>
        <w:spacing w:line="440" w:lineRule="exact"/>
        <w:ind w:firstLine="480" w:firstLineChars="200"/>
        <w:rPr>
          <w:kern w:val="0"/>
          <w:sz w:val="24"/>
        </w:rPr>
      </w:pPr>
      <w:r>
        <w:rPr>
          <w:rFonts w:hint="eastAsia"/>
          <w:kern w:val="0"/>
          <w:sz w:val="24"/>
        </w:rPr>
        <w:t>合规性要求从符合法律法规、产业政策、依法排污、无事故证明、企业信用等方面对工厂进行了规定；管理职责要求从最高管理者领导作用和承诺、职责和权限分配、管理组织机构、中长期规划、教育与培训等方面进行了规定。</w:t>
      </w:r>
    </w:p>
    <w:p>
      <w:pPr>
        <w:pStyle w:val="11"/>
        <w:spacing w:line="440" w:lineRule="exact"/>
        <w:ind w:firstLine="482" w:firstLineChars="200"/>
        <w:outlineLvl w:val="2"/>
        <w:rPr>
          <w:rFonts w:ascii="Times New Roman" w:eastAsia="宋体"/>
          <w:b/>
          <w:kern w:val="0"/>
          <w:sz w:val="24"/>
          <w:szCs w:val="24"/>
        </w:rPr>
      </w:pPr>
      <w:r>
        <w:rPr>
          <w:rFonts w:hint="eastAsia" w:ascii="Times New Roman" w:eastAsia="宋体"/>
          <w:b/>
          <w:kern w:val="0"/>
          <w:sz w:val="24"/>
          <w:szCs w:val="24"/>
        </w:rPr>
        <w:t>2.5.2基础设施</w:t>
      </w:r>
    </w:p>
    <w:p>
      <w:pPr>
        <w:autoSpaceDE w:val="0"/>
        <w:autoSpaceDN w:val="0"/>
        <w:adjustRightInd w:val="0"/>
        <w:spacing w:line="440" w:lineRule="exact"/>
        <w:ind w:firstLine="480" w:firstLineChars="200"/>
        <w:jc w:val="left"/>
        <w:rPr>
          <w:kern w:val="0"/>
          <w:sz w:val="24"/>
        </w:rPr>
      </w:pPr>
      <w:r>
        <w:rPr>
          <w:rFonts w:hint="eastAsia"/>
          <w:kern w:val="0"/>
          <w:sz w:val="24"/>
        </w:rPr>
        <w:t>基础设施要求包括建筑设施、专用设备设施、通用设备设施、计量设施、污染物处理设备设施和照明六方面的评价指标。</w:t>
      </w:r>
    </w:p>
    <w:p>
      <w:pPr>
        <w:pStyle w:val="11"/>
        <w:spacing w:line="440" w:lineRule="exact"/>
        <w:ind w:firstLine="482" w:firstLineChars="200"/>
        <w:outlineLvl w:val="2"/>
        <w:rPr>
          <w:rFonts w:ascii="Times New Roman" w:eastAsia="宋体"/>
          <w:b/>
          <w:kern w:val="0"/>
          <w:sz w:val="24"/>
          <w:szCs w:val="24"/>
        </w:rPr>
      </w:pPr>
      <w:r>
        <w:rPr>
          <w:rFonts w:hint="eastAsia" w:ascii="Times New Roman" w:eastAsia="宋体"/>
          <w:b/>
          <w:kern w:val="0"/>
          <w:sz w:val="24"/>
          <w:szCs w:val="24"/>
        </w:rPr>
        <w:t>2.5.3管理体系</w:t>
      </w:r>
    </w:p>
    <w:p>
      <w:pPr>
        <w:autoSpaceDE w:val="0"/>
        <w:autoSpaceDN w:val="0"/>
        <w:adjustRightInd w:val="0"/>
        <w:spacing w:line="440" w:lineRule="exact"/>
        <w:ind w:firstLine="480" w:firstLineChars="200"/>
        <w:jc w:val="left"/>
        <w:rPr>
          <w:kern w:val="0"/>
          <w:sz w:val="24"/>
        </w:rPr>
      </w:pPr>
      <w:r>
        <w:rPr>
          <w:rFonts w:hint="eastAsia"/>
          <w:kern w:val="0"/>
          <w:sz w:val="24"/>
        </w:rPr>
        <w:t>管理体系指标具体包括环境管理体系、能源管理体系、质量管理体系、食品安全管理体系、职业健康安全管理体系和社会责任等，必选指标为工厂应建立、实施并保持满足上述五种管理体系，可选指标为工厂通过上述五种管理体系的第三方机构认证并有效运行，以及工厂每年发布了社会责任报告。</w:t>
      </w:r>
    </w:p>
    <w:p>
      <w:pPr>
        <w:pStyle w:val="11"/>
        <w:spacing w:line="440" w:lineRule="exact"/>
        <w:ind w:firstLine="482" w:firstLineChars="200"/>
        <w:outlineLvl w:val="2"/>
        <w:rPr>
          <w:rFonts w:ascii="Times New Roman" w:eastAsia="宋体"/>
          <w:b/>
          <w:kern w:val="0"/>
          <w:sz w:val="24"/>
          <w:szCs w:val="24"/>
        </w:rPr>
      </w:pPr>
      <w:r>
        <w:rPr>
          <w:rFonts w:hint="eastAsia" w:ascii="Times New Roman" w:eastAsia="宋体"/>
          <w:b/>
          <w:kern w:val="0"/>
          <w:sz w:val="24"/>
          <w:szCs w:val="24"/>
        </w:rPr>
        <w:t>2.5.4能源与资源投入</w:t>
      </w:r>
    </w:p>
    <w:p>
      <w:pPr>
        <w:autoSpaceDE w:val="0"/>
        <w:autoSpaceDN w:val="0"/>
        <w:adjustRightInd w:val="0"/>
        <w:spacing w:line="440" w:lineRule="exact"/>
        <w:ind w:firstLine="480" w:firstLineChars="200"/>
        <w:rPr>
          <w:kern w:val="0"/>
          <w:sz w:val="24"/>
        </w:rPr>
      </w:pPr>
      <w:r>
        <w:rPr>
          <w:rFonts w:hint="eastAsia"/>
          <w:kern w:val="0"/>
          <w:sz w:val="24"/>
        </w:rPr>
        <w:t>能源与资源投入指标具体包括能源投入、资源投入和采购等三个指标。</w:t>
      </w:r>
    </w:p>
    <w:p>
      <w:pPr>
        <w:autoSpaceDE w:val="0"/>
        <w:autoSpaceDN w:val="0"/>
        <w:adjustRightInd w:val="0"/>
        <w:spacing w:line="440" w:lineRule="exact"/>
        <w:ind w:firstLine="480" w:firstLineChars="200"/>
        <w:rPr>
          <w:kern w:val="0"/>
          <w:sz w:val="24"/>
        </w:rPr>
      </w:pPr>
      <w:r>
        <w:rPr>
          <w:rFonts w:hint="eastAsia"/>
          <w:kern w:val="0"/>
          <w:sz w:val="24"/>
        </w:rPr>
        <w:t>能源投入、资源投入和采购的具体要求均以《绿色工厂评价通则》（GB/T 36132）中的内容为基础确定。资源投入指标中，结合爪式旋开盖制造业特点，采取必要措施减少原材料用</w:t>
      </w:r>
      <w:r>
        <w:rPr>
          <w:kern w:val="0"/>
          <w:sz w:val="24"/>
        </w:rPr>
        <w:t>量</w:t>
      </w:r>
      <w:r>
        <w:rPr>
          <w:rFonts w:hint="eastAsia"/>
          <w:kern w:val="0"/>
          <w:sz w:val="24"/>
        </w:rPr>
        <w:t>，尤其是有害物质的使用，评估有害物质及化学品减量使用或替代的可能性。</w:t>
      </w:r>
    </w:p>
    <w:p>
      <w:pPr>
        <w:pStyle w:val="11"/>
        <w:spacing w:line="440" w:lineRule="exact"/>
        <w:ind w:firstLine="482" w:firstLineChars="200"/>
        <w:outlineLvl w:val="2"/>
        <w:rPr>
          <w:rFonts w:ascii="Times New Roman" w:eastAsia="宋体"/>
          <w:b/>
          <w:kern w:val="0"/>
          <w:sz w:val="24"/>
          <w:szCs w:val="24"/>
        </w:rPr>
      </w:pPr>
      <w:r>
        <w:rPr>
          <w:rFonts w:hint="eastAsia" w:ascii="Times New Roman" w:eastAsia="宋体"/>
          <w:b/>
          <w:kern w:val="0"/>
          <w:sz w:val="24"/>
          <w:szCs w:val="24"/>
        </w:rPr>
        <w:t>2.5.5产品</w:t>
      </w:r>
    </w:p>
    <w:p>
      <w:pPr>
        <w:autoSpaceDE w:val="0"/>
        <w:autoSpaceDN w:val="0"/>
        <w:adjustRightInd w:val="0"/>
        <w:spacing w:line="440" w:lineRule="exact"/>
        <w:ind w:firstLine="480" w:firstLineChars="200"/>
        <w:rPr>
          <w:kern w:val="0"/>
          <w:sz w:val="24"/>
        </w:rPr>
      </w:pPr>
      <w:r>
        <w:rPr>
          <w:rFonts w:hint="eastAsia"/>
          <w:kern w:val="0"/>
          <w:sz w:val="24"/>
        </w:rPr>
        <w:t>针对生态设计产品、绿色产品要求，引用《产品生态设计通则》（GB/T 24256）、《生态设计产品评价通则》（GB/T 32161）和GB 4806.9、GB</w:t>
      </w:r>
      <w:r>
        <w:rPr>
          <w:kern w:val="0"/>
          <w:sz w:val="24"/>
        </w:rPr>
        <w:t xml:space="preserve"> </w:t>
      </w:r>
      <w:r>
        <w:rPr>
          <w:rFonts w:hint="eastAsia"/>
          <w:kern w:val="0"/>
          <w:sz w:val="24"/>
        </w:rPr>
        <w:t>4806.10、GB9685等的污染物限量规定，将产品符合上述要求作为可选指标。将碳足迹核算或核查及改进计划、结果公布等作为爪式旋开盖制造业创建绿色工厂的可选指标，以促进企业进一步从产品全生命周期角度出发，减少污染物排放。</w:t>
      </w:r>
    </w:p>
    <w:p>
      <w:pPr>
        <w:pStyle w:val="11"/>
        <w:spacing w:line="440" w:lineRule="exact"/>
        <w:ind w:firstLine="482" w:firstLineChars="200"/>
        <w:outlineLvl w:val="2"/>
        <w:rPr>
          <w:rFonts w:ascii="Times New Roman" w:eastAsia="宋体"/>
          <w:b/>
          <w:kern w:val="0"/>
          <w:sz w:val="24"/>
          <w:szCs w:val="24"/>
        </w:rPr>
      </w:pPr>
      <w:r>
        <w:rPr>
          <w:rFonts w:hint="eastAsia" w:ascii="Times New Roman" w:eastAsia="宋体"/>
          <w:b/>
          <w:kern w:val="0"/>
          <w:sz w:val="24"/>
          <w:szCs w:val="24"/>
        </w:rPr>
        <w:t>2.5.6环境排放</w:t>
      </w:r>
    </w:p>
    <w:p>
      <w:pPr>
        <w:autoSpaceDE w:val="0"/>
        <w:autoSpaceDN w:val="0"/>
        <w:adjustRightInd w:val="0"/>
        <w:spacing w:line="440" w:lineRule="exact"/>
        <w:ind w:firstLine="480" w:firstLineChars="200"/>
        <w:rPr>
          <w:kern w:val="0"/>
          <w:sz w:val="24"/>
        </w:rPr>
      </w:pPr>
      <w:r>
        <w:rPr>
          <w:rFonts w:hint="eastAsia"/>
          <w:kern w:val="0"/>
          <w:sz w:val="24"/>
        </w:rPr>
        <w:t>环境排放指标在《绿色工厂评价通则》（GB/T 36132）规定的大气污染物、水体污染物、固体废物、噪声和温室气体排放等指标的基础之上，增加了污染物排放管理要求，其目的是加强企业污染物排放的台账管理，确保相关部门开展相关监管工作时有据可循。</w:t>
      </w:r>
    </w:p>
    <w:p>
      <w:pPr>
        <w:autoSpaceDE w:val="0"/>
        <w:autoSpaceDN w:val="0"/>
        <w:adjustRightInd w:val="0"/>
        <w:spacing w:line="440" w:lineRule="exact"/>
        <w:ind w:firstLine="480" w:firstLineChars="200"/>
        <w:rPr>
          <w:kern w:val="0"/>
          <w:sz w:val="24"/>
        </w:rPr>
      </w:pPr>
      <w:r>
        <w:rPr>
          <w:rFonts w:hint="eastAsia"/>
          <w:kern w:val="0"/>
          <w:sz w:val="24"/>
        </w:rPr>
        <w:t>大气污染物指标中将厂区内挥发性有机物无组织废气排放浓度符合《挥发性有机物无组织排放控制标准》（GB 37822-2019）及地方标准要求作为必选指标，突出对挥发性有机废气的收集与治理过程的有效管控，与当下大气污染物排放管理方向保持一致。</w:t>
      </w:r>
    </w:p>
    <w:p>
      <w:pPr>
        <w:pStyle w:val="11"/>
        <w:spacing w:line="440" w:lineRule="exact"/>
        <w:ind w:firstLine="482" w:firstLineChars="200"/>
        <w:outlineLvl w:val="2"/>
        <w:rPr>
          <w:rFonts w:ascii="Times New Roman" w:eastAsia="宋体"/>
          <w:b/>
          <w:kern w:val="0"/>
          <w:sz w:val="24"/>
          <w:szCs w:val="24"/>
        </w:rPr>
      </w:pPr>
      <w:r>
        <w:rPr>
          <w:rFonts w:hint="eastAsia" w:ascii="Times New Roman" w:eastAsia="宋体"/>
          <w:b/>
          <w:kern w:val="0"/>
          <w:sz w:val="24"/>
          <w:szCs w:val="24"/>
        </w:rPr>
        <w:t>2.5.7绩效</w:t>
      </w:r>
    </w:p>
    <w:p>
      <w:pPr>
        <w:autoSpaceDE w:val="0"/>
        <w:autoSpaceDN w:val="0"/>
        <w:adjustRightInd w:val="0"/>
        <w:spacing w:line="440" w:lineRule="exact"/>
        <w:ind w:firstLine="480" w:firstLineChars="200"/>
        <w:rPr>
          <w:kern w:val="0"/>
          <w:sz w:val="24"/>
        </w:rPr>
      </w:pPr>
      <w:r>
        <w:rPr>
          <w:rFonts w:hint="eastAsia"/>
          <w:kern w:val="0"/>
          <w:sz w:val="24"/>
        </w:rPr>
        <w:t>绩效指标从用地集约化、原料无害化、生产洁净化、废物资源化和能源低碳化五个方面提出了具体的指标要求，主要内容与《绿色工厂评价通则》（GB/T 36132）相一致。</w:t>
      </w:r>
    </w:p>
    <w:p>
      <w:pPr>
        <w:autoSpaceDE w:val="0"/>
        <w:autoSpaceDN w:val="0"/>
        <w:adjustRightInd w:val="0"/>
        <w:spacing w:line="440" w:lineRule="exact"/>
        <w:ind w:firstLine="480" w:firstLineChars="200"/>
        <w:rPr>
          <w:kern w:val="0"/>
          <w:sz w:val="24"/>
        </w:rPr>
      </w:pPr>
      <w:r>
        <w:rPr>
          <w:rFonts w:hint="eastAsia"/>
          <w:kern w:val="0"/>
          <w:sz w:val="24"/>
        </w:rPr>
        <w:t>爪式旋开盖制造业的生产原料无害化主要体现为企业使用的原料应100%符合GB/T 29335的要求。</w:t>
      </w:r>
    </w:p>
    <w:p>
      <w:pPr>
        <w:autoSpaceDE w:val="0"/>
        <w:autoSpaceDN w:val="0"/>
        <w:adjustRightInd w:val="0"/>
        <w:spacing w:line="440" w:lineRule="exact"/>
        <w:ind w:firstLine="480" w:firstLineChars="200"/>
        <w:rPr>
          <w:color w:val="FF0000"/>
          <w:kern w:val="0"/>
          <w:sz w:val="24"/>
        </w:rPr>
      </w:pPr>
      <w:r>
        <w:rPr>
          <w:rFonts w:hint="eastAsia"/>
          <w:kern w:val="0"/>
          <w:sz w:val="24"/>
        </w:rPr>
        <w:t>爪式旋开盖生产过程不使用生产用水，排放的主要是生活污水。生产洁净化指标包括单位产品一般工业固废、单位产品</w:t>
      </w:r>
      <w:r>
        <w:rPr>
          <w:kern w:val="0"/>
          <w:sz w:val="24"/>
        </w:rPr>
        <w:t>有机废气产生</w:t>
      </w:r>
      <w:r>
        <w:rPr>
          <w:rFonts w:hint="eastAsia"/>
          <w:kern w:val="0"/>
          <w:sz w:val="24"/>
        </w:rPr>
        <w:t>量</w:t>
      </w:r>
      <w:r>
        <w:rPr>
          <w:kern w:val="0"/>
          <w:sz w:val="24"/>
        </w:rPr>
        <w:t>等</w:t>
      </w:r>
      <w:r>
        <w:rPr>
          <w:rFonts w:hint="eastAsia"/>
          <w:kern w:val="0"/>
          <w:sz w:val="24"/>
        </w:rPr>
        <w:t>。根据行业企业调研的结果，设定</w:t>
      </w:r>
      <w:r>
        <w:rPr>
          <w:kern w:val="0"/>
          <w:sz w:val="24"/>
        </w:rPr>
        <w:t>相应的</w:t>
      </w:r>
      <w:r>
        <w:rPr>
          <w:rFonts w:hint="eastAsia"/>
          <w:kern w:val="0"/>
          <w:sz w:val="24"/>
        </w:rPr>
        <w:t>基准指标值和</w:t>
      </w:r>
      <w:r>
        <w:rPr>
          <w:kern w:val="0"/>
          <w:sz w:val="24"/>
        </w:rPr>
        <w:t>先进</w:t>
      </w:r>
      <w:r>
        <w:rPr>
          <w:rFonts w:hint="eastAsia"/>
          <w:kern w:val="0"/>
          <w:sz w:val="24"/>
        </w:rPr>
        <w:t>指标</w:t>
      </w:r>
      <w:r>
        <w:rPr>
          <w:kern w:val="0"/>
          <w:sz w:val="24"/>
        </w:rPr>
        <w:t>值。</w:t>
      </w:r>
    </w:p>
    <w:p>
      <w:pPr>
        <w:autoSpaceDE w:val="0"/>
        <w:autoSpaceDN w:val="0"/>
        <w:adjustRightInd w:val="0"/>
        <w:spacing w:line="440" w:lineRule="exact"/>
        <w:ind w:firstLine="480" w:firstLineChars="200"/>
        <w:rPr>
          <w:kern w:val="0"/>
          <w:sz w:val="24"/>
        </w:rPr>
      </w:pPr>
      <w:r>
        <w:rPr>
          <w:rFonts w:hint="eastAsia"/>
          <w:kern w:val="0"/>
          <w:sz w:val="24"/>
        </w:rPr>
        <w:t>废物资源化指标主要包括对工业固体废物的无害化利用或综合处置，该项作为必选指标。根据行业企业调研的结果，将</w:t>
      </w:r>
      <w:r>
        <w:rPr>
          <w:rFonts w:hint="eastAsia"/>
          <w:sz w:val="24"/>
        </w:rPr>
        <w:t>工业固体废物综合利用率</w:t>
      </w:r>
      <w:r>
        <w:rPr>
          <w:rFonts w:hint="eastAsia"/>
          <w:kern w:val="0"/>
          <w:sz w:val="24"/>
        </w:rPr>
        <w:t>达到</w:t>
      </w:r>
      <w:r>
        <w:rPr>
          <w:kern w:val="0"/>
          <w:sz w:val="24"/>
        </w:rPr>
        <w:t>95%</w:t>
      </w:r>
      <w:r>
        <w:rPr>
          <w:rFonts w:hint="eastAsia"/>
          <w:kern w:val="0"/>
          <w:sz w:val="24"/>
        </w:rPr>
        <w:t>及以上作为必选指标，将</w:t>
      </w:r>
      <w:r>
        <w:rPr>
          <w:rFonts w:hint="eastAsia"/>
          <w:sz w:val="24"/>
        </w:rPr>
        <w:t>工业固体废物综合利用率</w:t>
      </w:r>
      <w:r>
        <w:rPr>
          <w:rFonts w:hint="eastAsia"/>
          <w:kern w:val="0"/>
          <w:sz w:val="24"/>
        </w:rPr>
        <w:t>达到</w:t>
      </w:r>
      <w:r>
        <w:rPr>
          <w:kern w:val="0"/>
          <w:sz w:val="24"/>
        </w:rPr>
        <w:t>98%</w:t>
      </w:r>
      <w:r>
        <w:rPr>
          <w:rFonts w:hint="eastAsia"/>
          <w:kern w:val="0"/>
          <w:sz w:val="24"/>
        </w:rPr>
        <w:t>及以上作为可选指标。</w:t>
      </w:r>
    </w:p>
    <w:p>
      <w:pPr>
        <w:autoSpaceDE w:val="0"/>
        <w:autoSpaceDN w:val="0"/>
        <w:adjustRightInd w:val="0"/>
        <w:spacing w:line="440" w:lineRule="exact"/>
        <w:ind w:firstLine="480" w:firstLineChars="200"/>
        <w:rPr>
          <w:kern w:val="0"/>
          <w:sz w:val="24"/>
        </w:rPr>
      </w:pPr>
      <w:r>
        <w:rPr>
          <w:rFonts w:hint="eastAsia"/>
          <w:kern w:val="0"/>
          <w:sz w:val="24"/>
        </w:rPr>
        <w:t>能源低碳化指标选取了单位产品综合能耗和单位产品碳排放量。根据行业企业调研的结果，设定</w:t>
      </w:r>
      <w:r>
        <w:rPr>
          <w:kern w:val="0"/>
          <w:sz w:val="24"/>
        </w:rPr>
        <w:t>相应的</w:t>
      </w:r>
      <w:r>
        <w:rPr>
          <w:rFonts w:hint="eastAsia"/>
          <w:kern w:val="0"/>
          <w:sz w:val="24"/>
        </w:rPr>
        <w:t>基准指标值和</w:t>
      </w:r>
      <w:r>
        <w:rPr>
          <w:kern w:val="0"/>
          <w:sz w:val="24"/>
        </w:rPr>
        <w:t>先进</w:t>
      </w:r>
      <w:r>
        <w:rPr>
          <w:rFonts w:hint="eastAsia"/>
          <w:kern w:val="0"/>
          <w:sz w:val="24"/>
        </w:rPr>
        <w:t>指标</w:t>
      </w:r>
      <w:r>
        <w:rPr>
          <w:kern w:val="0"/>
          <w:sz w:val="24"/>
        </w:rPr>
        <w:t>值。</w:t>
      </w:r>
    </w:p>
    <w:p>
      <w:pPr>
        <w:pStyle w:val="11"/>
        <w:spacing w:line="440" w:lineRule="exact"/>
        <w:ind w:firstLine="482" w:firstLineChars="200"/>
        <w:outlineLvl w:val="2"/>
        <w:rPr>
          <w:rFonts w:ascii="Times New Roman" w:eastAsia="宋体"/>
          <w:b/>
          <w:kern w:val="0"/>
          <w:sz w:val="24"/>
          <w:szCs w:val="24"/>
        </w:rPr>
      </w:pPr>
      <w:bookmarkStart w:id="9" w:name="_Toc23770169"/>
      <w:r>
        <w:rPr>
          <w:rFonts w:hint="eastAsia" w:ascii="Times New Roman" w:eastAsia="宋体"/>
          <w:b/>
          <w:kern w:val="0"/>
          <w:sz w:val="24"/>
          <w:szCs w:val="24"/>
        </w:rPr>
        <w:t>2</w:t>
      </w:r>
      <w:r>
        <w:rPr>
          <w:rFonts w:ascii="Times New Roman" w:eastAsia="宋体"/>
          <w:b/>
          <w:kern w:val="0"/>
          <w:sz w:val="24"/>
          <w:szCs w:val="24"/>
        </w:rPr>
        <w:t>.</w:t>
      </w:r>
      <w:r>
        <w:rPr>
          <w:rFonts w:hint="eastAsia" w:ascii="Times New Roman" w:eastAsia="宋体"/>
          <w:b/>
          <w:kern w:val="0"/>
          <w:sz w:val="24"/>
          <w:szCs w:val="24"/>
        </w:rPr>
        <w:t>6评价程序</w:t>
      </w:r>
      <w:bookmarkEnd w:id="9"/>
    </w:p>
    <w:p>
      <w:pPr>
        <w:autoSpaceDE w:val="0"/>
        <w:autoSpaceDN w:val="0"/>
        <w:adjustRightInd w:val="0"/>
        <w:spacing w:line="440" w:lineRule="exact"/>
        <w:ind w:firstLine="480" w:firstLineChars="200"/>
        <w:rPr>
          <w:kern w:val="0"/>
          <w:sz w:val="24"/>
        </w:rPr>
      </w:pPr>
      <w:r>
        <w:rPr>
          <w:rFonts w:hint="eastAsia"/>
          <w:kern w:val="0"/>
          <w:sz w:val="24"/>
        </w:rPr>
        <w:t>爪式旋开盖制造业绿色工厂评价程序包括企业自评价和第三方评价，第三方评价又可细分评价准备、预评价、评价和编写第三方评价报告。</w:t>
      </w:r>
    </w:p>
    <w:p>
      <w:pPr>
        <w:autoSpaceDE w:val="0"/>
        <w:autoSpaceDN w:val="0"/>
        <w:adjustRightInd w:val="0"/>
        <w:spacing w:line="440" w:lineRule="exact"/>
        <w:ind w:firstLine="480" w:firstLineChars="200"/>
        <w:rPr>
          <w:kern w:val="0"/>
          <w:sz w:val="24"/>
        </w:rPr>
      </w:pPr>
      <w:r>
        <w:rPr>
          <w:rFonts w:hint="eastAsia"/>
          <w:kern w:val="0"/>
          <w:sz w:val="24"/>
        </w:rPr>
        <w:t>评价准备包括评价项目组组建、搜集绿色工厂自评价报告及支持材料。为了更好的开展工作，项目组成员应当熟悉爪式旋开盖生产工艺流程和绿色工厂评价指标体系，知悉相关评价所需数据资料的采集和分析，能够对采集数据结果的可靠性和准确性进行专业判断。</w:t>
      </w:r>
    </w:p>
    <w:p>
      <w:pPr>
        <w:autoSpaceDE w:val="0"/>
        <w:autoSpaceDN w:val="0"/>
        <w:adjustRightInd w:val="0"/>
        <w:spacing w:line="440" w:lineRule="exact"/>
        <w:ind w:firstLine="480" w:firstLineChars="200"/>
        <w:rPr>
          <w:kern w:val="0"/>
          <w:sz w:val="24"/>
        </w:rPr>
      </w:pPr>
      <w:r>
        <w:rPr>
          <w:rFonts w:hint="eastAsia"/>
          <w:kern w:val="0"/>
          <w:sz w:val="24"/>
        </w:rPr>
        <w:t>预评价则需根据工厂自评价报告及支持材料开展绿色工厂基本要求资格评价，确认基本要求是否符合，确定绿色工厂评价方案。</w:t>
      </w:r>
    </w:p>
    <w:p>
      <w:pPr>
        <w:autoSpaceDE w:val="0"/>
        <w:autoSpaceDN w:val="0"/>
        <w:adjustRightInd w:val="0"/>
        <w:spacing w:line="440" w:lineRule="exact"/>
        <w:ind w:firstLine="480" w:firstLineChars="200"/>
        <w:rPr>
          <w:kern w:val="0"/>
          <w:sz w:val="24"/>
        </w:rPr>
      </w:pPr>
      <w:r>
        <w:rPr>
          <w:rFonts w:hint="eastAsia"/>
          <w:kern w:val="0"/>
          <w:sz w:val="24"/>
        </w:rPr>
        <w:t>评价则是对工厂按照基本要求、基础设施、管理体系、能源资源投入、产品、环境排放和绩效七个方面进行评价。爪式旋开盖制造业绿色工厂评价指标的计分标准满分为</w:t>
      </w:r>
      <w:r>
        <w:rPr>
          <w:kern w:val="0"/>
          <w:sz w:val="24"/>
        </w:rPr>
        <w:t>100</w:t>
      </w:r>
      <w:r>
        <w:rPr>
          <w:rFonts w:hint="eastAsia"/>
          <w:kern w:val="0"/>
          <w:sz w:val="24"/>
        </w:rPr>
        <w:t>分，得分在</w:t>
      </w:r>
      <w:r>
        <w:rPr>
          <w:kern w:val="0"/>
          <w:sz w:val="24"/>
        </w:rPr>
        <w:t>85</w:t>
      </w:r>
      <w:r>
        <w:rPr>
          <w:rFonts w:hint="eastAsia"/>
          <w:kern w:val="0"/>
          <w:sz w:val="24"/>
        </w:rPr>
        <w:t>分以上（含</w:t>
      </w:r>
      <w:r>
        <w:rPr>
          <w:kern w:val="0"/>
          <w:sz w:val="24"/>
        </w:rPr>
        <w:t>85</w:t>
      </w:r>
      <w:r>
        <w:rPr>
          <w:rFonts w:hint="eastAsia"/>
          <w:kern w:val="0"/>
          <w:sz w:val="24"/>
        </w:rPr>
        <w:t>分）的企业达到绿色工厂评价要求。</w:t>
      </w:r>
    </w:p>
    <w:p>
      <w:pPr>
        <w:pStyle w:val="11"/>
        <w:spacing w:line="440" w:lineRule="exact"/>
        <w:ind w:firstLine="482" w:firstLineChars="200"/>
        <w:outlineLvl w:val="2"/>
        <w:rPr>
          <w:rFonts w:ascii="Times New Roman" w:eastAsia="宋体"/>
          <w:b/>
          <w:kern w:val="0"/>
          <w:sz w:val="24"/>
          <w:szCs w:val="24"/>
        </w:rPr>
      </w:pPr>
      <w:bookmarkStart w:id="10" w:name="_Toc23770170"/>
      <w:r>
        <w:rPr>
          <w:rFonts w:hint="eastAsia" w:ascii="Times New Roman" w:eastAsia="宋体"/>
          <w:b/>
          <w:kern w:val="0"/>
          <w:sz w:val="24"/>
          <w:szCs w:val="24"/>
        </w:rPr>
        <w:t>2</w:t>
      </w:r>
      <w:r>
        <w:rPr>
          <w:rFonts w:ascii="Times New Roman" w:eastAsia="宋体"/>
          <w:b/>
          <w:kern w:val="0"/>
          <w:sz w:val="24"/>
          <w:szCs w:val="24"/>
        </w:rPr>
        <w:t>.</w:t>
      </w:r>
      <w:r>
        <w:rPr>
          <w:rFonts w:hint="eastAsia" w:ascii="Times New Roman" w:eastAsia="宋体"/>
          <w:b/>
          <w:kern w:val="0"/>
          <w:sz w:val="24"/>
          <w:szCs w:val="24"/>
        </w:rPr>
        <w:t>7评价报告编写要求</w:t>
      </w:r>
      <w:bookmarkEnd w:id="10"/>
    </w:p>
    <w:p>
      <w:pPr>
        <w:spacing w:line="440" w:lineRule="exact"/>
        <w:ind w:firstLine="480" w:firstLineChars="200"/>
        <w:rPr>
          <w:kern w:val="0"/>
          <w:sz w:val="24"/>
        </w:rPr>
      </w:pPr>
      <w:r>
        <w:rPr>
          <w:rFonts w:hint="eastAsia"/>
          <w:kern w:val="0"/>
          <w:sz w:val="24"/>
        </w:rPr>
        <w:t>自评价报告内容包括但不限于：</w:t>
      </w:r>
    </w:p>
    <w:p>
      <w:pPr>
        <w:autoSpaceDE w:val="0"/>
        <w:autoSpaceDN w:val="0"/>
        <w:adjustRightInd w:val="0"/>
        <w:spacing w:line="360" w:lineRule="auto"/>
        <w:ind w:firstLine="480" w:firstLineChars="200"/>
        <w:rPr>
          <w:kern w:val="0"/>
          <w:sz w:val="24"/>
        </w:rPr>
      </w:pPr>
      <w:r>
        <w:rPr>
          <w:rFonts w:hint="eastAsia"/>
          <w:kern w:val="0"/>
          <w:sz w:val="24"/>
        </w:rPr>
        <w:t>1）</w:t>
      </w:r>
      <w:r>
        <w:rPr>
          <w:rFonts w:hint="eastAsia"/>
          <w:kern w:val="0"/>
          <w:sz w:val="24"/>
        </w:rPr>
        <w:tab/>
      </w:r>
      <w:r>
        <w:rPr>
          <w:rFonts w:hint="eastAsia"/>
          <w:kern w:val="0"/>
          <w:sz w:val="24"/>
        </w:rPr>
        <w:t>工厂名称、地址、行业、法定代表人、简介等基本信息，发展现状、工业产业和生产经营情况；</w:t>
      </w:r>
    </w:p>
    <w:p>
      <w:pPr>
        <w:autoSpaceDE w:val="0"/>
        <w:autoSpaceDN w:val="0"/>
        <w:adjustRightInd w:val="0"/>
        <w:spacing w:line="360" w:lineRule="auto"/>
        <w:ind w:firstLine="480" w:firstLineChars="200"/>
        <w:rPr>
          <w:kern w:val="0"/>
          <w:sz w:val="24"/>
        </w:rPr>
      </w:pPr>
      <w:r>
        <w:rPr>
          <w:rFonts w:hint="eastAsia"/>
          <w:kern w:val="0"/>
          <w:sz w:val="24"/>
        </w:rPr>
        <w:t>2）</w:t>
      </w:r>
      <w:r>
        <w:rPr>
          <w:rFonts w:hint="eastAsia"/>
          <w:kern w:val="0"/>
          <w:sz w:val="24"/>
        </w:rPr>
        <w:tab/>
      </w:r>
      <w:r>
        <w:rPr>
          <w:rFonts w:hint="eastAsia"/>
          <w:kern w:val="0"/>
          <w:sz w:val="24"/>
        </w:rPr>
        <w:t>工厂在绿色发展方面开展的重点工作及取得成绩，下一步拟开展重点工作等；</w:t>
      </w:r>
    </w:p>
    <w:p>
      <w:pPr>
        <w:autoSpaceDE w:val="0"/>
        <w:autoSpaceDN w:val="0"/>
        <w:adjustRightInd w:val="0"/>
        <w:spacing w:line="360" w:lineRule="auto"/>
        <w:ind w:firstLine="480" w:firstLineChars="200"/>
        <w:rPr>
          <w:kern w:val="0"/>
          <w:sz w:val="24"/>
        </w:rPr>
      </w:pPr>
      <w:r>
        <w:rPr>
          <w:rFonts w:hint="eastAsia"/>
          <w:kern w:val="0"/>
          <w:sz w:val="24"/>
        </w:rPr>
        <w:t>3）</w:t>
      </w:r>
      <w:r>
        <w:rPr>
          <w:rFonts w:hint="eastAsia"/>
          <w:kern w:val="0"/>
          <w:sz w:val="24"/>
        </w:rPr>
        <w:tab/>
      </w:r>
      <w:r>
        <w:rPr>
          <w:rFonts w:hint="eastAsia"/>
          <w:kern w:val="0"/>
          <w:sz w:val="24"/>
        </w:rPr>
        <w:t>工厂的建筑、设备设施、工艺路线、主要耗能设备、计量设备、照明配置情况，以及相关标准执行情况；</w:t>
      </w:r>
    </w:p>
    <w:p>
      <w:pPr>
        <w:autoSpaceDE w:val="0"/>
        <w:autoSpaceDN w:val="0"/>
        <w:adjustRightInd w:val="0"/>
        <w:spacing w:line="360" w:lineRule="auto"/>
        <w:ind w:firstLine="480" w:firstLineChars="200"/>
        <w:rPr>
          <w:kern w:val="0"/>
          <w:sz w:val="24"/>
        </w:rPr>
      </w:pPr>
      <w:r>
        <w:rPr>
          <w:rFonts w:hint="eastAsia"/>
          <w:kern w:val="0"/>
          <w:sz w:val="24"/>
        </w:rPr>
        <w:t>4）</w:t>
      </w:r>
      <w:r>
        <w:rPr>
          <w:rFonts w:hint="eastAsia"/>
          <w:kern w:val="0"/>
          <w:sz w:val="24"/>
        </w:rPr>
        <w:tab/>
      </w:r>
      <w:r>
        <w:rPr>
          <w:rFonts w:hint="eastAsia"/>
          <w:kern w:val="0"/>
          <w:sz w:val="24"/>
        </w:rPr>
        <w:t>工厂各项管理体系建设情况；</w:t>
      </w:r>
    </w:p>
    <w:p>
      <w:pPr>
        <w:autoSpaceDE w:val="0"/>
        <w:autoSpaceDN w:val="0"/>
        <w:adjustRightInd w:val="0"/>
        <w:spacing w:line="360" w:lineRule="auto"/>
        <w:ind w:firstLine="480" w:firstLineChars="200"/>
        <w:rPr>
          <w:kern w:val="0"/>
          <w:sz w:val="24"/>
        </w:rPr>
      </w:pPr>
      <w:r>
        <w:rPr>
          <w:rFonts w:hint="eastAsia"/>
          <w:kern w:val="0"/>
          <w:sz w:val="24"/>
        </w:rPr>
        <w:t>5）</w:t>
      </w:r>
      <w:r>
        <w:rPr>
          <w:rFonts w:hint="eastAsia"/>
          <w:kern w:val="0"/>
          <w:sz w:val="24"/>
        </w:rPr>
        <w:tab/>
      </w:r>
      <w:r>
        <w:rPr>
          <w:rFonts w:hint="eastAsia"/>
          <w:kern w:val="0"/>
          <w:sz w:val="24"/>
        </w:rPr>
        <w:t>工厂能源投入、资源投入、采购、回收利用等方面的现状，以及目前正实施的节约能源资源项目；</w:t>
      </w:r>
    </w:p>
    <w:p>
      <w:pPr>
        <w:autoSpaceDE w:val="0"/>
        <w:autoSpaceDN w:val="0"/>
        <w:adjustRightInd w:val="0"/>
        <w:spacing w:line="360" w:lineRule="auto"/>
        <w:ind w:firstLine="480" w:firstLineChars="200"/>
        <w:rPr>
          <w:kern w:val="0"/>
          <w:sz w:val="24"/>
        </w:rPr>
      </w:pPr>
      <w:r>
        <w:rPr>
          <w:rFonts w:hint="eastAsia"/>
          <w:kern w:val="0"/>
          <w:sz w:val="24"/>
        </w:rPr>
        <w:t>6）</w:t>
      </w:r>
      <w:r>
        <w:rPr>
          <w:rFonts w:hint="eastAsia"/>
          <w:kern w:val="0"/>
          <w:sz w:val="24"/>
        </w:rPr>
        <w:tab/>
      </w:r>
      <w:r>
        <w:rPr>
          <w:rFonts w:hint="eastAsia"/>
          <w:kern w:val="0"/>
          <w:sz w:val="24"/>
        </w:rPr>
        <w:t>工厂的产品质量、产品收率、生态设计等情况；</w:t>
      </w:r>
    </w:p>
    <w:p>
      <w:pPr>
        <w:autoSpaceDE w:val="0"/>
        <w:autoSpaceDN w:val="0"/>
        <w:adjustRightInd w:val="0"/>
        <w:spacing w:line="360" w:lineRule="auto"/>
        <w:ind w:firstLine="480" w:firstLineChars="200"/>
        <w:rPr>
          <w:kern w:val="0"/>
          <w:sz w:val="24"/>
        </w:rPr>
      </w:pPr>
      <w:r>
        <w:rPr>
          <w:rFonts w:hint="eastAsia"/>
          <w:kern w:val="0"/>
          <w:sz w:val="24"/>
        </w:rPr>
        <w:t>7）</w:t>
      </w:r>
      <w:r>
        <w:rPr>
          <w:rFonts w:hint="eastAsia"/>
          <w:kern w:val="0"/>
          <w:sz w:val="24"/>
        </w:rPr>
        <w:tab/>
      </w:r>
      <w:r>
        <w:rPr>
          <w:rFonts w:hint="eastAsia"/>
          <w:kern w:val="0"/>
          <w:sz w:val="24"/>
        </w:rPr>
        <w:t>工厂主要污染物处理设备配置及运行情况，大气污染物、水体污染物、固体废物、噪声、温室气体的排放及管理等现状；</w:t>
      </w:r>
    </w:p>
    <w:p>
      <w:pPr>
        <w:autoSpaceDE w:val="0"/>
        <w:autoSpaceDN w:val="0"/>
        <w:adjustRightInd w:val="0"/>
        <w:spacing w:line="360" w:lineRule="auto"/>
        <w:ind w:firstLine="480" w:firstLineChars="200"/>
        <w:rPr>
          <w:kern w:val="0"/>
          <w:sz w:val="24"/>
        </w:rPr>
      </w:pPr>
      <w:r>
        <w:rPr>
          <w:rFonts w:hint="eastAsia"/>
          <w:kern w:val="0"/>
          <w:sz w:val="24"/>
        </w:rPr>
        <w:t>8）</w:t>
      </w:r>
      <w:r>
        <w:rPr>
          <w:rFonts w:hint="eastAsia"/>
          <w:kern w:val="0"/>
          <w:sz w:val="24"/>
        </w:rPr>
        <w:tab/>
      </w:r>
      <w:r>
        <w:rPr>
          <w:rFonts w:hint="eastAsia"/>
          <w:kern w:val="0"/>
          <w:sz w:val="24"/>
        </w:rPr>
        <w:t>对申报工厂是否符合绿色工厂要求进行自评价，说明各评价指标值及是否符合评价要求情况；</w:t>
      </w:r>
    </w:p>
    <w:p>
      <w:pPr>
        <w:autoSpaceDE w:val="0"/>
        <w:autoSpaceDN w:val="0"/>
        <w:adjustRightInd w:val="0"/>
        <w:spacing w:line="360" w:lineRule="auto"/>
        <w:ind w:firstLine="480" w:firstLineChars="200"/>
        <w:rPr>
          <w:kern w:val="0"/>
          <w:sz w:val="24"/>
        </w:rPr>
      </w:pPr>
      <w:r>
        <w:rPr>
          <w:rFonts w:hint="eastAsia"/>
          <w:kern w:val="0"/>
          <w:sz w:val="24"/>
        </w:rPr>
        <w:t>9）</w:t>
      </w:r>
      <w:r>
        <w:rPr>
          <w:rFonts w:hint="eastAsia"/>
          <w:kern w:val="0"/>
          <w:sz w:val="24"/>
        </w:rPr>
        <w:tab/>
      </w:r>
      <w:r>
        <w:rPr>
          <w:rFonts w:hint="eastAsia"/>
          <w:kern w:val="0"/>
          <w:sz w:val="24"/>
        </w:rPr>
        <w:t>其他支持证明材料。</w:t>
      </w:r>
    </w:p>
    <w:p>
      <w:pPr>
        <w:autoSpaceDE w:val="0"/>
        <w:autoSpaceDN w:val="0"/>
        <w:adjustRightInd w:val="0"/>
        <w:spacing w:line="360" w:lineRule="auto"/>
        <w:ind w:firstLine="480" w:firstLineChars="200"/>
        <w:rPr>
          <w:kern w:val="0"/>
          <w:sz w:val="24"/>
        </w:rPr>
      </w:pPr>
      <w:r>
        <w:rPr>
          <w:rFonts w:hint="eastAsia"/>
          <w:kern w:val="0"/>
          <w:sz w:val="24"/>
        </w:rPr>
        <w:t>自评价报告格式参考以下内容：</w:t>
      </w:r>
    </w:p>
    <w:p>
      <w:pPr>
        <w:autoSpaceDE w:val="0"/>
        <w:autoSpaceDN w:val="0"/>
        <w:adjustRightInd w:val="0"/>
        <w:spacing w:line="360" w:lineRule="auto"/>
        <w:ind w:firstLine="480" w:firstLineChars="200"/>
        <w:rPr>
          <w:kern w:val="0"/>
          <w:sz w:val="24"/>
        </w:rPr>
      </w:pPr>
      <w:r>
        <w:rPr>
          <w:rFonts w:hint="eastAsia"/>
          <w:kern w:val="0"/>
          <w:sz w:val="24"/>
        </w:rPr>
        <w:t>1）</w:t>
      </w:r>
      <w:r>
        <w:rPr>
          <w:rFonts w:hint="eastAsia"/>
          <w:kern w:val="0"/>
          <w:sz w:val="24"/>
        </w:rPr>
        <w:tab/>
      </w:r>
      <w:r>
        <w:rPr>
          <w:rFonts w:hint="eastAsia"/>
          <w:kern w:val="0"/>
          <w:sz w:val="24"/>
        </w:rPr>
        <w:t>工厂基本情况；</w:t>
      </w:r>
    </w:p>
    <w:p>
      <w:pPr>
        <w:autoSpaceDE w:val="0"/>
        <w:autoSpaceDN w:val="0"/>
        <w:adjustRightInd w:val="0"/>
        <w:spacing w:line="360" w:lineRule="auto"/>
        <w:ind w:firstLine="480" w:firstLineChars="200"/>
        <w:rPr>
          <w:kern w:val="0"/>
          <w:sz w:val="24"/>
        </w:rPr>
      </w:pPr>
      <w:r>
        <w:rPr>
          <w:rFonts w:hint="eastAsia"/>
          <w:kern w:val="0"/>
          <w:sz w:val="24"/>
        </w:rPr>
        <w:t>2）</w:t>
      </w:r>
      <w:r>
        <w:rPr>
          <w:rFonts w:hint="eastAsia"/>
          <w:kern w:val="0"/>
          <w:sz w:val="24"/>
        </w:rPr>
        <w:tab/>
      </w:r>
      <w:r>
        <w:rPr>
          <w:rFonts w:hint="eastAsia"/>
          <w:kern w:val="0"/>
          <w:sz w:val="24"/>
        </w:rPr>
        <w:t>绿色工厂创建情况；</w:t>
      </w:r>
    </w:p>
    <w:p>
      <w:pPr>
        <w:autoSpaceDE w:val="0"/>
        <w:autoSpaceDN w:val="0"/>
        <w:adjustRightInd w:val="0"/>
        <w:spacing w:line="360" w:lineRule="auto"/>
        <w:ind w:firstLine="480" w:firstLineChars="200"/>
        <w:rPr>
          <w:kern w:val="0"/>
          <w:sz w:val="24"/>
        </w:rPr>
      </w:pPr>
      <w:r>
        <w:rPr>
          <w:rFonts w:hint="eastAsia"/>
          <w:kern w:val="0"/>
          <w:sz w:val="24"/>
        </w:rPr>
        <w:t>3）</w:t>
      </w:r>
      <w:r>
        <w:rPr>
          <w:rFonts w:hint="eastAsia"/>
          <w:kern w:val="0"/>
          <w:sz w:val="24"/>
        </w:rPr>
        <w:tab/>
      </w:r>
      <w:r>
        <w:rPr>
          <w:rFonts w:hint="eastAsia"/>
          <w:kern w:val="0"/>
          <w:sz w:val="24"/>
        </w:rPr>
        <w:t>下一步工作；</w:t>
      </w:r>
    </w:p>
    <w:p>
      <w:pPr>
        <w:autoSpaceDE w:val="0"/>
        <w:autoSpaceDN w:val="0"/>
        <w:adjustRightInd w:val="0"/>
        <w:spacing w:line="360" w:lineRule="auto"/>
        <w:ind w:firstLine="480" w:firstLineChars="200"/>
        <w:rPr>
          <w:kern w:val="0"/>
          <w:sz w:val="24"/>
        </w:rPr>
      </w:pPr>
      <w:r>
        <w:rPr>
          <w:rFonts w:hint="eastAsia"/>
          <w:kern w:val="0"/>
          <w:sz w:val="24"/>
        </w:rPr>
        <w:t>4）</w:t>
      </w:r>
      <w:r>
        <w:rPr>
          <w:rFonts w:hint="eastAsia"/>
          <w:kern w:val="0"/>
          <w:sz w:val="24"/>
        </w:rPr>
        <w:tab/>
      </w:r>
      <w:r>
        <w:rPr>
          <w:rFonts w:hint="eastAsia"/>
          <w:kern w:val="0"/>
          <w:sz w:val="24"/>
        </w:rPr>
        <w:t>绿色工厂创建自评表；</w:t>
      </w:r>
    </w:p>
    <w:p>
      <w:pPr>
        <w:autoSpaceDE w:val="0"/>
        <w:autoSpaceDN w:val="0"/>
        <w:adjustRightInd w:val="0"/>
        <w:spacing w:line="360" w:lineRule="auto"/>
        <w:ind w:firstLine="480" w:firstLineChars="200"/>
        <w:rPr>
          <w:kern w:val="0"/>
          <w:sz w:val="24"/>
        </w:rPr>
      </w:pPr>
      <w:r>
        <w:rPr>
          <w:rFonts w:hint="eastAsia"/>
          <w:kern w:val="0"/>
          <w:sz w:val="24"/>
        </w:rPr>
        <w:t>5）</w:t>
      </w:r>
      <w:r>
        <w:rPr>
          <w:rFonts w:hint="eastAsia"/>
          <w:kern w:val="0"/>
          <w:sz w:val="24"/>
        </w:rPr>
        <w:tab/>
      </w:r>
      <w:r>
        <w:rPr>
          <w:rFonts w:hint="eastAsia"/>
          <w:kern w:val="0"/>
          <w:sz w:val="24"/>
        </w:rPr>
        <w:t>相关证明材料。</w:t>
      </w:r>
    </w:p>
    <w:p>
      <w:pPr>
        <w:autoSpaceDE w:val="0"/>
        <w:autoSpaceDN w:val="0"/>
        <w:adjustRightInd w:val="0"/>
        <w:spacing w:line="360" w:lineRule="auto"/>
        <w:ind w:firstLine="480" w:firstLineChars="200"/>
        <w:rPr>
          <w:kern w:val="0"/>
          <w:sz w:val="24"/>
        </w:rPr>
      </w:pPr>
      <w:r>
        <w:rPr>
          <w:kern w:val="0"/>
          <w:sz w:val="24"/>
        </w:rPr>
        <w:t>第三方评价报告内容包括但不限于：</w:t>
      </w:r>
    </w:p>
    <w:p>
      <w:pPr>
        <w:autoSpaceDE w:val="0"/>
        <w:autoSpaceDN w:val="0"/>
        <w:adjustRightInd w:val="0"/>
        <w:spacing w:line="360" w:lineRule="auto"/>
        <w:ind w:firstLine="480" w:firstLineChars="200"/>
        <w:rPr>
          <w:kern w:val="0"/>
          <w:sz w:val="24"/>
        </w:rPr>
      </w:pPr>
      <w:r>
        <w:rPr>
          <w:rFonts w:hint="eastAsia"/>
          <w:kern w:val="0"/>
          <w:sz w:val="24"/>
        </w:rPr>
        <w:t>1）</w:t>
      </w:r>
      <w:r>
        <w:rPr>
          <w:rFonts w:hint="eastAsia"/>
          <w:kern w:val="0"/>
          <w:sz w:val="24"/>
        </w:rPr>
        <w:tab/>
      </w:r>
      <w:r>
        <w:rPr>
          <w:rFonts w:hint="eastAsia"/>
          <w:kern w:val="0"/>
          <w:sz w:val="24"/>
        </w:rPr>
        <w:t>绿色工厂评价的目的、范围及准则；</w:t>
      </w:r>
    </w:p>
    <w:p>
      <w:pPr>
        <w:autoSpaceDE w:val="0"/>
        <w:autoSpaceDN w:val="0"/>
        <w:adjustRightInd w:val="0"/>
        <w:spacing w:line="360" w:lineRule="auto"/>
        <w:ind w:firstLine="480" w:firstLineChars="200"/>
        <w:rPr>
          <w:kern w:val="0"/>
          <w:sz w:val="24"/>
        </w:rPr>
      </w:pPr>
      <w:r>
        <w:rPr>
          <w:rFonts w:hint="eastAsia"/>
          <w:kern w:val="0"/>
          <w:sz w:val="24"/>
        </w:rPr>
        <w:t>2）</w:t>
      </w:r>
      <w:r>
        <w:rPr>
          <w:rFonts w:hint="eastAsia"/>
          <w:kern w:val="0"/>
          <w:sz w:val="24"/>
        </w:rPr>
        <w:tab/>
      </w:r>
      <w:r>
        <w:rPr>
          <w:rFonts w:hint="eastAsia"/>
          <w:kern w:val="0"/>
          <w:sz w:val="24"/>
        </w:rPr>
        <w:t>绿色工厂评价过程，主要包括评价组织安排、文件评审情况、现场评估情况、核查报告编写及内部技术复核情况；</w:t>
      </w:r>
    </w:p>
    <w:p>
      <w:pPr>
        <w:autoSpaceDE w:val="0"/>
        <w:autoSpaceDN w:val="0"/>
        <w:adjustRightInd w:val="0"/>
        <w:spacing w:line="360" w:lineRule="auto"/>
        <w:ind w:firstLine="480" w:firstLineChars="200"/>
        <w:rPr>
          <w:kern w:val="0"/>
          <w:sz w:val="24"/>
        </w:rPr>
      </w:pPr>
      <w:r>
        <w:rPr>
          <w:rFonts w:hint="eastAsia"/>
          <w:kern w:val="0"/>
          <w:sz w:val="24"/>
        </w:rPr>
        <w:t>3）</w:t>
      </w:r>
      <w:r>
        <w:rPr>
          <w:rFonts w:hint="eastAsia"/>
          <w:kern w:val="0"/>
          <w:sz w:val="24"/>
        </w:rPr>
        <w:tab/>
      </w:r>
      <w:r>
        <w:rPr>
          <w:rFonts w:hint="eastAsia"/>
          <w:kern w:val="0"/>
          <w:sz w:val="24"/>
        </w:rPr>
        <w:t>对申报工厂的基础设施、管理体系、能源资源投入、产品、环境排放、绩效等方面进行描述，并对工厂自评报告中的相关内容进行核实；</w:t>
      </w:r>
    </w:p>
    <w:p>
      <w:pPr>
        <w:autoSpaceDE w:val="0"/>
        <w:autoSpaceDN w:val="0"/>
        <w:adjustRightInd w:val="0"/>
        <w:spacing w:line="360" w:lineRule="auto"/>
        <w:ind w:firstLine="480" w:firstLineChars="200"/>
        <w:rPr>
          <w:kern w:val="0"/>
          <w:sz w:val="24"/>
        </w:rPr>
      </w:pPr>
      <w:r>
        <w:rPr>
          <w:rFonts w:hint="eastAsia"/>
          <w:kern w:val="0"/>
          <w:sz w:val="24"/>
        </w:rPr>
        <w:t>4）</w:t>
      </w:r>
      <w:r>
        <w:rPr>
          <w:rFonts w:hint="eastAsia"/>
          <w:kern w:val="0"/>
          <w:sz w:val="24"/>
        </w:rPr>
        <w:tab/>
      </w:r>
      <w:r>
        <w:rPr>
          <w:rFonts w:hint="eastAsia"/>
          <w:kern w:val="0"/>
          <w:sz w:val="24"/>
        </w:rPr>
        <w:t>核实数据真实性、计算范围及计算方法，检查相关计量设备和有关标准的执行等情况；</w:t>
      </w:r>
    </w:p>
    <w:p>
      <w:pPr>
        <w:autoSpaceDE w:val="0"/>
        <w:autoSpaceDN w:val="0"/>
        <w:adjustRightInd w:val="0"/>
        <w:spacing w:line="360" w:lineRule="auto"/>
        <w:ind w:firstLine="480" w:firstLineChars="200"/>
        <w:rPr>
          <w:kern w:val="0"/>
          <w:sz w:val="24"/>
        </w:rPr>
      </w:pPr>
      <w:r>
        <w:rPr>
          <w:rFonts w:hint="eastAsia"/>
          <w:kern w:val="0"/>
          <w:sz w:val="24"/>
        </w:rPr>
        <w:t>5）</w:t>
      </w:r>
      <w:r>
        <w:rPr>
          <w:rFonts w:hint="eastAsia"/>
          <w:kern w:val="0"/>
          <w:sz w:val="24"/>
        </w:rPr>
        <w:tab/>
      </w:r>
      <w:r>
        <w:rPr>
          <w:rFonts w:hint="eastAsia"/>
          <w:kern w:val="0"/>
          <w:sz w:val="24"/>
        </w:rPr>
        <w:t>对企业自评所出现的问题情况进行描述；</w:t>
      </w:r>
    </w:p>
    <w:p>
      <w:pPr>
        <w:autoSpaceDE w:val="0"/>
        <w:autoSpaceDN w:val="0"/>
        <w:adjustRightInd w:val="0"/>
        <w:spacing w:line="360" w:lineRule="auto"/>
        <w:ind w:firstLine="480" w:firstLineChars="200"/>
        <w:rPr>
          <w:kern w:val="0"/>
          <w:sz w:val="24"/>
        </w:rPr>
      </w:pPr>
      <w:r>
        <w:rPr>
          <w:rFonts w:hint="eastAsia"/>
          <w:kern w:val="0"/>
          <w:sz w:val="24"/>
        </w:rPr>
        <w:t>6）</w:t>
      </w:r>
      <w:r>
        <w:rPr>
          <w:rFonts w:hint="eastAsia"/>
          <w:kern w:val="0"/>
          <w:sz w:val="24"/>
        </w:rPr>
        <w:tab/>
      </w:r>
      <w:r>
        <w:rPr>
          <w:rFonts w:hint="eastAsia"/>
          <w:kern w:val="0"/>
          <w:sz w:val="24"/>
        </w:rPr>
        <w:t>对申报工厂是否符合绿色工厂要求进行评价，说明各评价指标值及是否符合评价要求情况，描述主要创建做法及工作亮点等；</w:t>
      </w:r>
    </w:p>
    <w:p>
      <w:pPr>
        <w:autoSpaceDE w:val="0"/>
        <w:autoSpaceDN w:val="0"/>
        <w:adjustRightInd w:val="0"/>
        <w:spacing w:line="360" w:lineRule="auto"/>
        <w:ind w:firstLine="480" w:firstLineChars="200"/>
        <w:rPr>
          <w:kern w:val="0"/>
          <w:sz w:val="24"/>
        </w:rPr>
      </w:pPr>
      <w:r>
        <w:rPr>
          <w:rFonts w:hint="eastAsia"/>
          <w:kern w:val="0"/>
          <w:sz w:val="24"/>
        </w:rPr>
        <w:t>7）</w:t>
      </w:r>
      <w:r>
        <w:rPr>
          <w:rFonts w:hint="eastAsia"/>
          <w:kern w:val="0"/>
          <w:sz w:val="24"/>
        </w:rPr>
        <w:tab/>
      </w:r>
      <w:r>
        <w:rPr>
          <w:rFonts w:hint="eastAsia"/>
          <w:kern w:val="0"/>
          <w:sz w:val="24"/>
        </w:rPr>
        <w:t>对持续创建绿色工厂的下一步工作提出建议；</w:t>
      </w:r>
    </w:p>
    <w:p>
      <w:pPr>
        <w:autoSpaceDE w:val="0"/>
        <w:autoSpaceDN w:val="0"/>
        <w:adjustRightInd w:val="0"/>
        <w:spacing w:line="360" w:lineRule="auto"/>
        <w:ind w:firstLine="480" w:firstLineChars="200"/>
        <w:rPr>
          <w:kern w:val="0"/>
          <w:sz w:val="24"/>
        </w:rPr>
      </w:pPr>
      <w:r>
        <w:rPr>
          <w:rFonts w:hint="eastAsia"/>
          <w:kern w:val="0"/>
          <w:sz w:val="24"/>
        </w:rPr>
        <w:t>8）</w:t>
      </w:r>
      <w:r>
        <w:rPr>
          <w:rFonts w:hint="eastAsia"/>
          <w:kern w:val="0"/>
          <w:sz w:val="24"/>
        </w:rPr>
        <w:tab/>
      </w:r>
      <w:r>
        <w:rPr>
          <w:rFonts w:hint="eastAsia"/>
          <w:kern w:val="0"/>
          <w:sz w:val="24"/>
        </w:rPr>
        <w:t>评价支持材料。</w:t>
      </w:r>
    </w:p>
    <w:p>
      <w:pPr>
        <w:autoSpaceDE w:val="0"/>
        <w:autoSpaceDN w:val="0"/>
        <w:adjustRightInd w:val="0"/>
        <w:spacing w:line="360" w:lineRule="auto"/>
        <w:ind w:firstLine="480" w:firstLineChars="200"/>
        <w:rPr>
          <w:kern w:val="0"/>
          <w:sz w:val="24"/>
        </w:rPr>
      </w:pPr>
      <w:r>
        <w:rPr>
          <w:rFonts w:hint="eastAsia"/>
          <w:kern w:val="0"/>
          <w:sz w:val="24"/>
        </w:rPr>
        <w:t>第三方评价报告格式参考以下内容：</w:t>
      </w:r>
    </w:p>
    <w:p>
      <w:pPr>
        <w:autoSpaceDE w:val="0"/>
        <w:autoSpaceDN w:val="0"/>
        <w:adjustRightInd w:val="0"/>
        <w:spacing w:line="360" w:lineRule="auto"/>
        <w:ind w:firstLine="480" w:firstLineChars="200"/>
        <w:rPr>
          <w:kern w:val="0"/>
          <w:sz w:val="24"/>
        </w:rPr>
      </w:pPr>
      <w:r>
        <w:rPr>
          <w:rFonts w:hint="eastAsia"/>
          <w:kern w:val="0"/>
          <w:sz w:val="24"/>
        </w:rPr>
        <w:t>1）</w:t>
      </w:r>
      <w:r>
        <w:rPr>
          <w:rFonts w:hint="eastAsia"/>
          <w:kern w:val="0"/>
          <w:sz w:val="24"/>
        </w:rPr>
        <w:tab/>
      </w:r>
      <w:r>
        <w:rPr>
          <w:rFonts w:hint="eastAsia"/>
          <w:kern w:val="0"/>
          <w:sz w:val="24"/>
        </w:rPr>
        <w:t>概述；</w:t>
      </w:r>
    </w:p>
    <w:p>
      <w:pPr>
        <w:autoSpaceDE w:val="0"/>
        <w:autoSpaceDN w:val="0"/>
        <w:adjustRightInd w:val="0"/>
        <w:spacing w:line="360" w:lineRule="auto"/>
        <w:ind w:firstLine="480" w:firstLineChars="200"/>
        <w:rPr>
          <w:kern w:val="0"/>
          <w:sz w:val="24"/>
        </w:rPr>
      </w:pPr>
      <w:r>
        <w:rPr>
          <w:rFonts w:hint="eastAsia"/>
          <w:kern w:val="0"/>
          <w:sz w:val="24"/>
        </w:rPr>
        <w:t>2）</w:t>
      </w:r>
      <w:r>
        <w:rPr>
          <w:rFonts w:hint="eastAsia"/>
          <w:kern w:val="0"/>
          <w:sz w:val="24"/>
        </w:rPr>
        <w:tab/>
      </w:r>
      <w:r>
        <w:rPr>
          <w:rFonts w:hint="eastAsia"/>
          <w:kern w:val="0"/>
          <w:sz w:val="24"/>
        </w:rPr>
        <w:t>评价过程和方法；</w:t>
      </w:r>
    </w:p>
    <w:p>
      <w:pPr>
        <w:autoSpaceDE w:val="0"/>
        <w:autoSpaceDN w:val="0"/>
        <w:adjustRightInd w:val="0"/>
        <w:spacing w:line="360" w:lineRule="auto"/>
        <w:ind w:firstLine="480" w:firstLineChars="200"/>
        <w:rPr>
          <w:kern w:val="0"/>
          <w:sz w:val="24"/>
        </w:rPr>
      </w:pPr>
      <w:r>
        <w:rPr>
          <w:rFonts w:hint="eastAsia"/>
          <w:kern w:val="0"/>
          <w:sz w:val="24"/>
        </w:rPr>
        <w:t>3）</w:t>
      </w:r>
      <w:r>
        <w:rPr>
          <w:rFonts w:hint="eastAsia"/>
          <w:kern w:val="0"/>
          <w:sz w:val="24"/>
        </w:rPr>
        <w:tab/>
      </w:r>
      <w:r>
        <w:rPr>
          <w:rFonts w:hint="eastAsia"/>
          <w:kern w:val="0"/>
          <w:sz w:val="24"/>
        </w:rPr>
        <w:t>绿色工厂评价；</w:t>
      </w:r>
    </w:p>
    <w:p>
      <w:pPr>
        <w:autoSpaceDE w:val="0"/>
        <w:autoSpaceDN w:val="0"/>
        <w:adjustRightInd w:val="0"/>
        <w:spacing w:line="360" w:lineRule="auto"/>
        <w:ind w:firstLine="480" w:firstLineChars="200"/>
        <w:rPr>
          <w:kern w:val="0"/>
          <w:sz w:val="24"/>
        </w:rPr>
      </w:pPr>
      <w:r>
        <w:rPr>
          <w:rFonts w:hint="eastAsia"/>
          <w:kern w:val="0"/>
          <w:sz w:val="24"/>
        </w:rPr>
        <w:t>4）</w:t>
      </w:r>
      <w:r>
        <w:rPr>
          <w:rFonts w:hint="eastAsia"/>
          <w:kern w:val="0"/>
          <w:sz w:val="24"/>
        </w:rPr>
        <w:tab/>
      </w:r>
      <w:r>
        <w:rPr>
          <w:rFonts w:hint="eastAsia"/>
          <w:kern w:val="0"/>
          <w:sz w:val="24"/>
        </w:rPr>
        <w:t>评价结论；</w:t>
      </w:r>
    </w:p>
    <w:p>
      <w:pPr>
        <w:autoSpaceDE w:val="0"/>
        <w:autoSpaceDN w:val="0"/>
        <w:adjustRightInd w:val="0"/>
        <w:spacing w:line="360" w:lineRule="auto"/>
        <w:ind w:firstLine="480" w:firstLineChars="200"/>
        <w:rPr>
          <w:kern w:val="0"/>
          <w:sz w:val="24"/>
        </w:rPr>
      </w:pPr>
      <w:r>
        <w:rPr>
          <w:rFonts w:hint="eastAsia"/>
          <w:kern w:val="0"/>
          <w:sz w:val="24"/>
        </w:rPr>
        <w:t>5）</w:t>
      </w:r>
      <w:r>
        <w:rPr>
          <w:rFonts w:hint="eastAsia"/>
          <w:kern w:val="0"/>
          <w:sz w:val="24"/>
        </w:rPr>
        <w:tab/>
      </w:r>
      <w:r>
        <w:rPr>
          <w:rFonts w:hint="eastAsia"/>
          <w:kern w:val="0"/>
          <w:sz w:val="24"/>
        </w:rPr>
        <w:t>建议；</w:t>
      </w:r>
    </w:p>
    <w:p>
      <w:pPr>
        <w:autoSpaceDE w:val="0"/>
        <w:autoSpaceDN w:val="0"/>
        <w:adjustRightInd w:val="0"/>
        <w:spacing w:line="360" w:lineRule="auto"/>
        <w:ind w:firstLine="480" w:firstLineChars="200"/>
        <w:rPr>
          <w:kern w:val="0"/>
          <w:sz w:val="24"/>
        </w:rPr>
      </w:pPr>
      <w:r>
        <w:rPr>
          <w:rFonts w:hint="eastAsia"/>
          <w:kern w:val="0"/>
          <w:sz w:val="24"/>
        </w:rPr>
        <w:t>6）</w:t>
      </w:r>
      <w:r>
        <w:rPr>
          <w:rFonts w:hint="eastAsia"/>
          <w:kern w:val="0"/>
          <w:sz w:val="24"/>
        </w:rPr>
        <w:tab/>
      </w:r>
      <w:r>
        <w:rPr>
          <w:rFonts w:hint="eastAsia"/>
          <w:kern w:val="0"/>
          <w:sz w:val="24"/>
        </w:rPr>
        <w:t>证明材料索引。</w:t>
      </w:r>
    </w:p>
    <w:p>
      <w:pPr>
        <w:pStyle w:val="11"/>
        <w:spacing w:before="156" w:beforeLines="50" w:after="156" w:afterLines="50" w:line="440" w:lineRule="exact"/>
        <w:ind w:firstLine="0"/>
        <w:outlineLvl w:val="0"/>
        <w:rPr>
          <w:rFonts w:ascii="Times New Roman" w:eastAsia="宋体"/>
          <w:b/>
          <w:kern w:val="0"/>
          <w:sz w:val="24"/>
          <w:szCs w:val="24"/>
        </w:rPr>
      </w:pPr>
      <w:bookmarkStart w:id="11" w:name="_Toc23770171"/>
      <w:r>
        <w:rPr>
          <w:rFonts w:hint="eastAsia" w:ascii="Times New Roman" w:eastAsia="宋体"/>
          <w:b/>
          <w:kern w:val="0"/>
          <w:sz w:val="24"/>
          <w:szCs w:val="24"/>
        </w:rPr>
        <w:t>三、主要验证</w:t>
      </w:r>
      <w:r>
        <w:rPr>
          <w:rFonts w:ascii="Times New Roman" w:eastAsia="宋体"/>
          <w:b/>
          <w:kern w:val="0"/>
          <w:sz w:val="24"/>
          <w:szCs w:val="24"/>
        </w:rPr>
        <w:t>情况</w:t>
      </w:r>
      <w:bookmarkEnd w:id="11"/>
    </w:p>
    <w:p>
      <w:pPr>
        <w:spacing w:line="440" w:lineRule="exact"/>
        <w:ind w:firstLine="480"/>
        <w:rPr>
          <w:kern w:val="0"/>
          <w:sz w:val="24"/>
        </w:rPr>
      </w:pPr>
      <w:r>
        <w:rPr>
          <w:rFonts w:hint="eastAsia"/>
          <w:color w:val="000000"/>
          <w:sz w:val="24"/>
        </w:rPr>
        <w:t>本标准中所有评价指标必选项全部符合所获得分值，与设立必选项要求为企业合格要求的目标一致。标准制定工作组通过调研和统计，将目前爪式旋开盖行业先进</w:t>
      </w:r>
      <w:r>
        <w:rPr>
          <w:color w:val="000000"/>
          <w:sz w:val="24"/>
        </w:rPr>
        <w:t>企业</w:t>
      </w:r>
      <w:r>
        <w:rPr>
          <w:rFonts w:hint="eastAsia"/>
          <w:color w:val="000000"/>
          <w:sz w:val="24"/>
        </w:rPr>
        <w:t>实际情况对照本标准，能满足</w:t>
      </w:r>
      <w:r>
        <w:rPr>
          <w:rFonts w:hint="eastAsia"/>
          <w:kern w:val="0"/>
          <w:sz w:val="24"/>
        </w:rPr>
        <w:t>得分在85分以上（含85分）的企业绿色工厂评价要求。</w:t>
      </w:r>
    </w:p>
    <w:p>
      <w:pPr>
        <w:pStyle w:val="11"/>
        <w:spacing w:before="156" w:beforeLines="50" w:after="156" w:afterLines="50" w:line="440" w:lineRule="exact"/>
        <w:ind w:firstLine="0"/>
        <w:outlineLvl w:val="0"/>
        <w:rPr>
          <w:rFonts w:ascii="Times New Roman" w:eastAsia="宋体"/>
          <w:b/>
          <w:kern w:val="0"/>
          <w:sz w:val="24"/>
          <w:szCs w:val="24"/>
        </w:rPr>
      </w:pPr>
      <w:bookmarkStart w:id="12" w:name="_Toc23770172"/>
      <w:r>
        <w:rPr>
          <w:rFonts w:hint="eastAsia" w:ascii="Times New Roman" w:eastAsia="宋体"/>
          <w:b/>
          <w:kern w:val="0"/>
          <w:sz w:val="24"/>
          <w:szCs w:val="24"/>
        </w:rPr>
        <w:t>四、</w:t>
      </w:r>
      <w:r>
        <w:rPr>
          <w:rFonts w:ascii="Times New Roman" w:eastAsia="宋体"/>
          <w:b/>
          <w:kern w:val="0"/>
          <w:sz w:val="24"/>
          <w:szCs w:val="24"/>
        </w:rPr>
        <w:t>涉及专利情况</w:t>
      </w:r>
      <w:bookmarkEnd w:id="12"/>
    </w:p>
    <w:p>
      <w:pPr>
        <w:spacing w:line="440" w:lineRule="exact"/>
        <w:ind w:firstLine="480"/>
        <w:rPr>
          <w:color w:val="000000"/>
          <w:sz w:val="24"/>
        </w:rPr>
      </w:pPr>
      <w:r>
        <w:rPr>
          <w:color w:val="000000"/>
          <w:sz w:val="24"/>
        </w:rPr>
        <w:t>本标准不涉及专利</w:t>
      </w:r>
      <w:r>
        <w:rPr>
          <w:rFonts w:hint="eastAsia"/>
          <w:color w:val="000000"/>
          <w:sz w:val="24"/>
        </w:rPr>
        <w:t>问题</w:t>
      </w:r>
      <w:r>
        <w:rPr>
          <w:color w:val="000000"/>
          <w:sz w:val="24"/>
        </w:rPr>
        <w:t>。</w:t>
      </w:r>
    </w:p>
    <w:p>
      <w:pPr>
        <w:pStyle w:val="11"/>
        <w:spacing w:before="156" w:beforeLines="50" w:after="156" w:afterLines="50" w:line="440" w:lineRule="exact"/>
        <w:ind w:firstLine="0"/>
        <w:outlineLvl w:val="0"/>
        <w:rPr>
          <w:rFonts w:ascii="Times New Roman" w:eastAsia="宋体"/>
          <w:b/>
          <w:kern w:val="0"/>
          <w:sz w:val="24"/>
          <w:szCs w:val="24"/>
        </w:rPr>
      </w:pPr>
      <w:bookmarkStart w:id="13" w:name="_Toc23770173"/>
      <w:r>
        <w:rPr>
          <w:rFonts w:hint="eastAsia" w:ascii="Times New Roman" w:eastAsia="宋体"/>
          <w:b/>
          <w:kern w:val="0"/>
          <w:sz w:val="24"/>
          <w:szCs w:val="24"/>
        </w:rPr>
        <w:t>五、预期达到的社会效益、对产业发展的作用等情况</w:t>
      </w:r>
      <w:bookmarkEnd w:id="13"/>
    </w:p>
    <w:p>
      <w:pPr>
        <w:spacing w:line="440" w:lineRule="exact"/>
        <w:ind w:firstLine="480"/>
        <w:rPr>
          <w:color w:val="000000"/>
          <w:sz w:val="24"/>
        </w:rPr>
      </w:pPr>
      <w:r>
        <w:rPr>
          <w:rFonts w:hint="eastAsia"/>
          <w:color w:val="000000"/>
          <w:sz w:val="24"/>
        </w:rPr>
        <w:t>目前，我国爪式旋开盖生产已</w:t>
      </w:r>
      <w:r>
        <w:rPr>
          <w:color w:val="000000"/>
          <w:sz w:val="24"/>
        </w:rPr>
        <w:t>完全</w:t>
      </w:r>
      <w:r>
        <w:rPr>
          <w:rFonts w:hint="eastAsia"/>
          <w:color w:val="000000"/>
          <w:sz w:val="24"/>
        </w:rPr>
        <w:t>替代</w:t>
      </w:r>
      <w:r>
        <w:rPr>
          <w:color w:val="000000"/>
          <w:sz w:val="24"/>
        </w:rPr>
        <w:t>进口</w:t>
      </w:r>
      <w:r>
        <w:rPr>
          <w:rFonts w:hint="eastAsia"/>
          <w:color w:val="000000"/>
          <w:sz w:val="24"/>
        </w:rPr>
        <w:t>、并</w:t>
      </w:r>
      <w:r>
        <w:rPr>
          <w:color w:val="000000"/>
          <w:sz w:val="24"/>
        </w:rPr>
        <w:t>大量</w:t>
      </w:r>
      <w:r>
        <w:rPr>
          <w:rFonts w:hint="eastAsia"/>
          <w:color w:val="000000"/>
          <w:sz w:val="24"/>
        </w:rPr>
        <w:t>出口外</w:t>
      </w:r>
      <w:r>
        <w:rPr>
          <w:color w:val="000000"/>
          <w:sz w:val="24"/>
        </w:rPr>
        <w:t>销</w:t>
      </w:r>
      <w:r>
        <w:rPr>
          <w:rFonts w:hint="eastAsia"/>
          <w:color w:val="000000"/>
          <w:sz w:val="24"/>
        </w:rPr>
        <w:t>，</w:t>
      </w:r>
      <w:r>
        <w:rPr>
          <w:color w:val="000000"/>
          <w:sz w:val="24"/>
        </w:rPr>
        <w:t>为满足罐头食品</w:t>
      </w:r>
      <w:r>
        <w:rPr>
          <w:rFonts w:hint="eastAsia"/>
          <w:color w:val="000000"/>
          <w:sz w:val="24"/>
        </w:rPr>
        <w:t>快速</w:t>
      </w:r>
      <w:r>
        <w:rPr>
          <w:color w:val="000000"/>
          <w:sz w:val="24"/>
        </w:rPr>
        <w:t>增长</w:t>
      </w:r>
      <w:r>
        <w:rPr>
          <w:rFonts w:hint="eastAsia"/>
          <w:color w:val="000000"/>
          <w:sz w:val="24"/>
        </w:rPr>
        <w:t>奠定基础。本标准实施后，将引导我国爪式旋开盖制造企业积极建设绿色工厂，构建低碳、循环、环保的绿色生产体系，在节能、减少污染物排放、改善工厂及周边生态环境中发挥重要的作用。本标准的实施可通过采用绿色建筑技术建设改造厂房，可再生能源应用，合理布局厂区内能量流、物质流路径，推广绿色设计和绿色采购，开发生产绿色产品，采用先进适用的清洁生产工艺技术和高效末端治理装备，淘汰落后设备，建立资源回收循环利用机制，推动用能结构优化等途径，提升行业绿色发展水平，引导产业向绿色可持续发现发展。</w:t>
      </w:r>
    </w:p>
    <w:p>
      <w:pPr>
        <w:pStyle w:val="11"/>
        <w:spacing w:before="156" w:beforeLines="50" w:after="156" w:afterLines="50" w:line="440" w:lineRule="exact"/>
        <w:ind w:firstLine="0"/>
        <w:outlineLvl w:val="0"/>
        <w:rPr>
          <w:rFonts w:ascii="Times New Roman" w:eastAsia="宋体"/>
          <w:b/>
          <w:kern w:val="0"/>
          <w:sz w:val="24"/>
          <w:szCs w:val="24"/>
        </w:rPr>
      </w:pPr>
      <w:bookmarkStart w:id="14" w:name="_Toc23770174"/>
      <w:r>
        <w:rPr>
          <w:rFonts w:hint="eastAsia" w:ascii="Times New Roman" w:eastAsia="宋体"/>
          <w:b/>
          <w:kern w:val="0"/>
          <w:sz w:val="24"/>
          <w:szCs w:val="24"/>
        </w:rPr>
        <w:t>六、与</w:t>
      </w:r>
      <w:r>
        <w:rPr>
          <w:rFonts w:ascii="Times New Roman" w:eastAsia="宋体"/>
          <w:b/>
          <w:kern w:val="0"/>
          <w:sz w:val="24"/>
          <w:szCs w:val="24"/>
        </w:rPr>
        <w:t>国际</w:t>
      </w:r>
      <w:r>
        <w:rPr>
          <w:rFonts w:hint="eastAsia" w:ascii="Times New Roman" w:eastAsia="宋体"/>
          <w:b/>
          <w:kern w:val="0"/>
          <w:sz w:val="24"/>
          <w:szCs w:val="24"/>
        </w:rPr>
        <w:t>、</w:t>
      </w:r>
      <w:r>
        <w:rPr>
          <w:rFonts w:ascii="Times New Roman" w:eastAsia="宋体"/>
          <w:b/>
          <w:kern w:val="0"/>
          <w:sz w:val="24"/>
          <w:szCs w:val="24"/>
        </w:rPr>
        <w:t>国外</w:t>
      </w:r>
      <w:r>
        <w:rPr>
          <w:rFonts w:hint="eastAsia" w:ascii="Times New Roman" w:eastAsia="宋体"/>
          <w:b/>
          <w:kern w:val="0"/>
          <w:sz w:val="24"/>
          <w:szCs w:val="24"/>
        </w:rPr>
        <w:t>对比</w:t>
      </w:r>
      <w:r>
        <w:rPr>
          <w:rFonts w:ascii="Times New Roman" w:eastAsia="宋体"/>
          <w:b/>
          <w:kern w:val="0"/>
          <w:sz w:val="24"/>
          <w:szCs w:val="24"/>
        </w:rPr>
        <w:t>情况</w:t>
      </w:r>
      <w:bookmarkEnd w:id="14"/>
    </w:p>
    <w:p>
      <w:pPr>
        <w:widowControl/>
        <w:spacing w:line="440" w:lineRule="exact"/>
        <w:ind w:firstLine="480" w:firstLineChars="200"/>
        <w:rPr>
          <w:color w:val="000000"/>
          <w:sz w:val="24"/>
        </w:rPr>
      </w:pPr>
      <w:r>
        <w:rPr>
          <w:rFonts w:hint="eastAsia"/>
          <w:color w:val="000000"/>
          <w:sz w:val="24"/>
        </w:rPr>
        <w:t>本标准没有采用国际标准。</w:t>
      </w:r>
    </w:p>
    <w:p>
      <w:pPr>
        <w:widowControl/>
        <w:spacing w:line="440" w:lineRule="exact"/>
        <w:ind w:firstLine="480" w:firstLineChars="200"/>
        <w:rPr>
          <w:color w:val="000000"/>
          <w:sz w:val="24"/>
        </w:rPr>
      </w:pPr>
      <w:r>
        <w:rPr>
          <w:rFonts w:hint="eastAsia"/>
          <w:color w:val="000000"/>
          <w:sz w:val="24"/>
        </w:rPr>
        <w:t>本标准制订过程中未查到同类国际、国外标准。</w:t>
      </w:r>
    </w:p>
    <w:p>
      <w:pPr>
        <w:widowControl/>
        <w:spacing w:line="440" w:lineRule="exact"/>
        <w:ind w:firstLine="480" w:firstLineChars="200"/>
        <w:rPr>
          <w:color w:val="000000"/>
          <w:sz w:val="24"/>
        </w:rPr>
      </w:pPr>
      <w:r>
        <w:rPr>
          <w:rFonts w:hint="eastAsia"/>
          <w:color w:val="000000"/>
          <w:sz w:val="24"/>
        </w:rPr>
        <w:t>本标准制订过程中未测试国外的样品。</w:t>
      </w:r>
    </w:p>
    <w:p>
      <w:pPr>
        <w:widowControl/>
        <w:spacing w:line="440" w:lineRule="exact"/>
        <w:ind w:firstLine="480" w:firstLineChars="200"/>
        <w:rPr>
          <w:color w:val="000000"/>
          <w:sz w:val="24"/>
        </w:rPr>
      </w:pPr>
      <w:r>
        <w:rPr>
          <w:rFonts w:hint="eastAsia"/>
          <w:color w:val="000000"/>
          <w:sz w:val="24"/>
        </w:rPr>
        <w:t>本标准水平为国内先进水平。</w:t>
      </w:r>
    </w:p>
    <w:p>
      <w:pPr>
        <w:pStyle w:val="11"/>
        <w:spacing w:before="156" w:beforeLines="50" w:after="156" w:afterLines="50" w:line="440" w:lineRule="exact"/>
        <w:ind w:firstLine="0"/>
        <w:outlineLvl w:val="0"/>
        <w:rPr>
          <w:rFonts w:ascii="Times New Roman" w:eastAsia="宋体"/>
          <w:b/>
          <w:kern w:val="0"/>
          <w:sz w:val="24"/>
          <w:szCs w:val="24"/>
        </w:rPr>
      </w:pPr>
      <w:r>
        <w:rPr>
          <w:rFonts w:hint="eastAsia" w:ascii="Times New Roman" w:eastAsia="宋体"/>
          <w:b/>
          <w:kern w:val="0"/>
          <w:sz w:val="24"/>
          <w:szCs w:val="24"/>
        </w:rPr>
        <w:t>七、在标准体系中的位置，与现行相关法律、法规、规章及相关标准，特别是强制性标准的协调性</w:t>
      </w:r>
      <w:bookmarkEnd w:id="3"/>
    </w:p>
    <w:p>
      <w:pPr>
        <w:widowControl/>
        <w:spacing w:line="440" w:lineRule="exact"/>
        <w:ind w:firstLine="420" w:firstLineChars="200"/>
        <w:rPr>
          <w:color w:val="000000"/>
          <w:sz w:val="24"/>
        </w:rPr>
      </w:pPr>
      <w:r>
        <w:drawing>
          <wp:anchor distT="0" distB="0" distL="114300" distR="114300" simplePos="0" relativeHeight="251659264" behindDoc="0" locked="0" layoutInCell="1" allowOverlap="1">
            <wp:simplePos x="0" y="0"/>
            <wp:positionH relativeFrom="column">
              <wp:posOffset>-234315</wp:posOffset>
            </wp:positionH>
            <wp:positionV relativeFrom="paragraph">
              <wp:posOffset>889635</wp:posOffset>
            </wp:positionV>
            <wp:extent cx="5634355" cy="2570480"/>
            <wp:effectExtent l="0" t="0" r="4445" b="1270"/>
            <wp:wrapTopAndBottom/>
            <wp:docPr id="2" name="图片 2" descr="http://img.mp.itc.cn/upload/20160930/216aaa324a3743829bddbbb58e8fc4d8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img.mp.itc.cn/upload/20160930/216aaa324a3743829bddbbb58e8fc4d8_th.jpg"/>
                    <pic:cNvPicPr>
                      <a:picLocks noChangeAspect="1" noChangeArrowheads="1"/>
                    </pic:cNvPicPr>
                  </pic:nvPicPr>
                  <pic:blipFill>
                    <a:blip r:embed="rId5">
                      <a:extLst>
                        <a:ext uri="{28A0092B-C50C-407E-A947-70E740481C1C}">
                          <a14:useLocalDpi xmlns:a14="http://schemas.microsoft.com/office/drawing/2010/main" val="0"/>
                        </a:ext>
                      </a:extLst>
                    </a:blip>
                    <a:srcRect b="4778"/>
                    <a:stretch>
                      <a:fillRect/>
                    </a:stretch>
                  </pic:blipFill>
                  <pic:spPr>
                    <a:xfrm>
                      <a:off x="0" y="0"/>
                      <a:ext cx="5634355" cy="2570480"/>
                    </a:xfrm>
                    <a:prstGeom prst="rect">
                      <a:avLst/>
                    </a:prstGeom>
                    <a:noFill/>
                    <a:ln>
                      <a:noFill/>
                    </a:ln>
                  </pic:spPr>
                </pic:pic>
              </a:graphicData>
            </a:graphic>
          </wp:anchor>
        </w:drawing>
      </w:r>
      <w:r>
        <w:rPr>
          <w:rFonts w:hint="eastAsia"/>
          <w:color w:val="000000"/>
          <w:sz w:val="24"/>
        </w:rPr>
        <w:t>本标准属于工信部绿色制造标准体系中GM12“轻工”大类，06“绿色评价与服务”中类，01“绿色评价、标识与报告方面的标准”。体系图如下。</w:t>
      </w:r>
      <w:r>
        <w:rPr>
          <w:color w:val="000000"/>
          <w:sz w:val="24"/>
        </w:rPr>
        <w:t>本标准与相关法律、法规、规章和强制性标准</w:t>
      </w:r>
      <w:r>
        <w:rPr>
          <w:rFonts w:hint="eastAsia"/>
          <w:color w:val="000000"/>
          <w:sz w:val="24"/>
        </w:rPr>
        <w:t>不矛盾</w:t>
      </w:r>
      <w:r>
        <w:rPr>
          <w:color w:val="000000"/>
          <w:sz w:val="24"/>
        </w:rPr>
        <w:t>。</w:t>
      </w:r>
    </w:p>
    <w:p>
      <w:pPr>
        <w:pStyle w:val="11"/>
        <w:spacing w:before="156" w:beforeLines="50" w:after="156" w:afterLines="50" w:line="440" w:lineRule="exact"/>
        <w:ind w:firstLine="0"/>
        <w:outlineLvl w:val="0"/>
        <w:rPr>
          <w:rFonts w:ascii="Times New Roman" w:eastAsia="宋体"/>
          <w:b/>
          <w:kern w:val="0"/>
          <w:sz w:val="24"/>
          <w:szCs w:val="24"/>
        </w:rPr>
      </w:pPr>
      <w:bookmarkStart w:id="15" w:name="_Toc23770176"/>
      <w:r>
        <w:rPr>
          <w:rFonts w:hint="eastAsia" w:ascii="Times New Roman" w:eastAsia="宋体"/>
          <w:b/>
          <w:kern w:val="0"/>
          <w:sz w:val="24"/>
          <w:szCs w:val="24"/>
        </w:rPr>
        <w:t>八、</w:t>
      </w:r>
      <w:r>
        <w:rPr>
          <w:rFonts w:ascii="Times New Roman" w:eastAsia="宋体"/>
          <w:b/>
          <w:kern w:val="0"/>
          <w:sz w:val="24"/>
          <w:szCs w:val="24"/>
        </w:rPr>
        <w:t>重大分歧意见的处理经过和依据</w:t>
      </w:r>
      <w:bookmarkEnd w:id="15"/>
    </w:p>
    <w:p>
      <w:pPr>
        <w:widowControl/>
        <w:spacing w:line="440" w:lineRule="exact"/>
        <w:ind w:firstLine="480" w:firstLineChars="200"/>
        <w:rPr>
          <w:color w:val="000000"/>
          <w:sz w:val="24"/>
        </w:rPr>
      </w:pPr>
      <w:r>
        <w:rPr>
          <w:rFonts w:hint="eastAsia"/>
          <w:color w:val="000000"/>
          <w:sz w:val="24"/>
        </w:rPr>
        <w:t>无。</w:t>
      </w:r>
    </w:p>
    <w:p>
      <w:pPr>
        <w:pStyle w:val="11"/>
        <w:spacing w:before="156" w:beforeLines="50" w:after="156" w:afterLines="50" w:line="440" w:lineRule="exact"/>
        <w:ind w:firstLine="0"/>
        <w:outlineLvl w:val="0"/>
        <w:rPr>
          <w:rFonts w:ascii="Times New Roman" w:eastAsia="宋体"/>
          <w:b/>
          <w:kern w:val="0"/>
          <w:sz w:val="24"/>
          <w:szCs w:val="24"/>
        </w:rPr>
      </w:pPr>
      <w:bookmarkStart w:id="16" w:name="_Toc23770177"/>
      <w:r>
        <w:rPr>
          <w:rFonts w:hint="eastAsia" w:ascii="Times New Roman" w:eastAsia="宋体"/>
          <w:b/>
          <w:kern w:val="0"/>
          <w:sz w:val="24"/>
          <w:szCs w:val="24"/>
        </w:rPr>
        <w:t>九、</w:t>
      </w:r>
      <w:r>
        <w:rPr>
          <w:rFonts w:ascii="Times New Roman" w:eastAsia="宋体"/>
          <w:b/>
          <w:kern w:val="0"/>
          <w:sz w:val="24"/>
          <w:szCs w:val="24"/>
        </w:rPr>
        <w:t>标准性质的建议说明</w:t>
      </w:r>
      <w:bookmarkEnd w:id="16"/>
    </w:p>
    <w:p>
      <w:pPr>
        <w:autoSpaceDE w:val="0"/>
        <w:autoSpaceDN w:val="0"/>
        <w:adjustRightInd w:val="0"/>
        <w:spacing w:after="156" w:afterLines="50" w:line="440" w:lineRule="exact"/>
        <w:ind w:firstLine="480" w:firstLineChars="200"/>
        <w:jc w:val="left"/>
        <w:rPr>
          <w:color w:val="000000"/>
          <w:sz w:val="24"/>
        </w:rPr>
      </w:pPr>
      <w:r>
        <w:rPr>
          <w:color w:val="000000"/>
          <w:sz w:val="24"/>
        </w:rPr>
        <w:t>本标准建议为推荐性</w:t>
      </w:r>
      <w:r>
        <w:rPr>
          <w:rFonts w:hint="eastAsia"/>
          <w:color w:val="000000"/>
          <w:sz w:val="24"/>
        </w:rPr>
        <w:t>团体</w:t>
      </w:r>
      <w:r>
        <w:rPr>
          <w:color w:val="000000"/>
          <w:sz w:val="24"/>
        </w:rPr>
        <w:t>标准</w:t>
      </w:r>
      <w:r>
        <w:rPr>
          <w:rFonts w:hint="eastAsia"/>
          <w:kern w:val="0"/>
          <w:sz w:val="24"/>
        </w:rPr>
        <w:t>。</w:t>
      </w:r>
    </w:p>
    <w:p>
      <w:pPr>
        <w:pStyle w:val="11"/>
        <w:spacing w:before="156" w:beforeLines="50" w:after="156" w:afterLines="50" w:line="440" w:lineRule="exact"/>
        <w:ind w:firstLine="0"/>
        <w:outlineLvl w:val="0"/>
        <w:rPr>
          <w:rFonts w:ascii="Times New Roman" w:eastAsia="宋体"/>
          <w:b/>
          <w:kern w:val="0"/>
          <w:sz w:val="24"/>
          <w:szCs w:val="24"/>
        </w:rPr>
      </w:pPr>
      <w:bookmarkStart w:id="17" w:name="_Toc23770178"/>
      <w:r>
        <w:rPr>
          <w:rFonts w:hint="eastAsia" w:ascii="Times New Roman" w:eastAsia="宋体"/>
          <w:b/>
          <w:kern w:val="0"/>
          <w:sz w:val="24"/>
          <w:szCs w:val="24"/>
        </w:rPr>
        <w:t>十、</w:t>
      </w:r>
      <w:r>
        <w:rPr>
          <w:rFonts w:ascii="Times New Roman" w:eastAsia="宋体"/>
          <w:b/>
          <w:kern w:val="0"/>
          <w:sz w:val="24"/>
          <w:szCs w:val="24"/>
        </w:rPr>
        <w:t>贯彻标准的要求和措施建议</w:t>
      </w:r>
      <w:bookmarkEnd w:id="17"/>
    </w:p>
    <w:p>
      <w:pPr>
        <w:spacing w:before="93" w:beforeLines="30" w:after="93" w:afterLines="30" w:line="360" w:lineRule="auto"/>
        <w:ind w:firstLine="480" w:firstLineChars="200"/>
        <w:rPr>
          <w:rFonts w:ascii="ˎ̥" w:hAnsi="ˎ̥"/>
          <w:sz w:val="24"/>
        </w:rPr>
      </w:pPr>
      <w:r>
        <w:rPr>
          <w:rFonts w:hint="eastAsia" w:ascii="ˎ̥" w:hAnsi="ˎ̥"/>
          <w:sz w:val="24"/>
        </w:rPr>
        <w:t>建议本标准批准</w:t>
      </w:r>
      <w:r>
        <w:rPr>
          <w:rFonts w:hint="eastAsia"/>
          <w:sz w:val="24"/>
        </w:rPr>
        <w:t>发布6个月后</w:t>
      </w:r>
      <w:r>
        <w:rPr>
          <w:rFonts w:hint="eastAsia" w:ascii="ˎ̥" w:hAnsi="ˎ̥"/>
          <w:sz w:val="24"/>
        </w:rPr>
        <w:t>实施。</w:t>
      </w:r>
    </w:p>
    <w:p>
      <w:pPr>
        <w:pStyle w:val="11"/>
        <w:spacing w:before="156" w:beforeLines="50" w:after="156" w:afterLines="50" w:line="440" w:lineRule="exact"/>
        <w:ind w:firstLine="0"/>
        <w:outlineLvl w:val="0"/>
        <w:rPr>
          <w:rFonts w:ascii="Times New Roman" w:eastAsia="宋体"/>
          <w:b/>
          <w:kern w:val="0"/>
          <w:sz w:val="24"/>
          <w:szCs w:val="24"/>
        </w:rPr>
      </w:pPr>
      <w:bookmarkStart w:id="18" w:name="_Toc23770179"/>
      <w:r>
        <w:rPr>
          <w:rFonts w:hint="eastAsia" w:ascii="Times New Roman" w:eastAsia="宋体"/>
          <w:b/>
          <w:kern w:val="0"/>
          <w:sz w:val="24"/>
          <w:szCs w:val="24"/>
        </w:rPr>
        <w:t>十一、废止现行相关标准的建议</w:t>
      </w:r>
      <w:bookmarkEnd w:id="18"/>
    </w:p>
    <w:p>
      <w:pPr>
        <w:widowControl/>
        <w:spacing w:line="440" w:lineRule="exact"/>
        <w:ind w:firstLine="480" w:firstLineChars="200"/>
        <w:rPr>
          <w:color w:val="000000"/>
          <w:sz w:val="24"/>
        </w:rPr>
      </w:pPr>
      <w:r>
        <w:rPr>
          <w:rFonts w:hint="eastAsia"/>
          <w:color w:val="000000"/>
          <w:sz w:val="24"/>
        </w:rPr>
        <w:t>无。</w:t>
      </w:r>
    </w:p>
    <w:p>
      <w:pPr>
        <w:pStyle w:val="11"/>
        <w:spacing w:before="156" w:beforeLines="50" w:after="156" w:afterLines="50" w:line="440" w:lineRule="exact"/>
        <w:ind w:firstLine="0"/>
        <w:outlineLvl w:val="0"/>
        <w:rPr>
          <w:rFonts w:ascii="Times New Roman" w:eastAsia="宋体"/>
          <w:b/>
          <w:kern w:val="0"/>
          <w:sz w:val="24"/>
          <w:szCs w:val="24"/>
        </w:rPr>
      </w:pPr>
      <w:bookmarkStart w:id="19" w:name="_Toc23770180"/>
      <w:r>
        <w:rPr>
          <w:rFonts w:hint="eastAsia" w:ascii="Times New Roman" w:eastAsia="宋体"/>
          <w:b/>
          <w:kern w:val="0"/>
          <w:sz w:val="24"/>
          <w:szCs w:val="24"/>
        </w:rPr>
        <w:t>十二、其他应予说明的事项</w:t>
      </w:r>
      <w:bookmarkEnd w:id="19"/>
    </w:p>
    <w:p>
      <w:pPr>
        <w:widowControl/>
        <w:spacing w:line="440" w:lineRule="exact"/>
        <w:ind w:firstLine="480" w:firstLineChars="200"/>
        <w:rPr>
          <w:color w:val="000000"/>
          <w:sz w:val="24"/>
        </w:rPr>
      </w:pPr>
      <w:r>
        <w:rPr>
          <w:rFonts w:hint="eastAsia"/>
          <w:color w:val="000000"/>
          <w:sz w:val="24"/>
        </w:rPr>
        <w:t>无。</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865159"/>
    </w:sdtPr>
    <w:sdtContent>
      <w:p>
        <w:pPr>
          <w:pStyle w:val="17"/>
          <w:jc w:val="center"/>
        </w:pPr>
        <w:r>
          <w:fldChar w:fldCharType="begin"/>
        </w:r>
        <w:r>
          <w:instrText xml:space="preserve">PAGE   \* MERGEFORMAT</w:instrText>
        </w:r>
        <w:r>
          <w:fldChar w:fldCharType="separate"/>
        </w:r>
        <w:r>
          <w:rPr>
            <w:lang w:val="zh-CN"/>
          </w:rPr>
          <w:t>10</w:t>
        </w:r>
        <w: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3"/>
      <w:lvlText w:val="（%2）"/>
      <w:lvlJc w:val="left"/>
      <w:pPr>
        <w:ind w:left="284" w:firstLine="0"/>
      </w:pPr>
      <w:rPr>
        <w:rFonts w:hint="eastAsia"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3）"/>
      <w:lvlJc w:val="left"/>
      <w:pPr>
        <w:ind w:left="426"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57C2AF5"/>
    <w:multiLevelType w:val="multilevel"/>
    <w:tmpl w:val="557C2AF5"/>
    <w:lvl w:ilvl="0" w:tentative="0">
      <w:start w:val="1"/>
      <w:numFmt w:val="decimal"/>
      <w:pStyle w:val="15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51"/>
      <w:suff w:val="nothing"/>
      <w:lvlText w:val="%1%2　"/>
      <w:lvlJc w:val="left"/>
      <w:pPr>
        <w:ind w:left="0" w:firstLine="0"/>
      </w:pPr>
      <w:rPr>
        <w:rFonts w:hint="eastAsia" w:ascii="黑体" w:eastAsia="黑体"/>
        <w:b w:val="0"/>
        <w:i w:val="0"/>
        <w:sz w:val="21"/>
      </w:rPr>
    </w:lvl>
    <w:lvl w:ilvl="2" w:tentative="0">
      <w:start w:val="1"/>
      <w:numFmt w:val="decimal"/>
      <w:pStyle w:val="15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147"/>
      <w:suff w:val="nothing"/>
      <w:lvlText w:val="%1%2.%3.%4　"/>
      <w:lvlJc w:val="left"/>
      <w:pPr>
        <w:ind w:left="0" w:firstLine="0"/>
      </w:pPr>
      <w:rPr>
        <w:rFonts w:hint="eastAsia" w:ascii="黑体" w:eastAsia="黑体"/>
        <w:b w:val="0"/>
        <w:i w:val="0"/>
        <w:sz w:val="21"/>
      </w:rPr>
    </w:lvl>
    <w:lvl w:ilvl="4" w:tentative="0">
      <w:start w:val="1"/>
      <w:numFmt w:val="decimal"/>
      <w:pStyle w:val="148"/>
      <w:suff w:val="nothing"/>
      <w:lvlText w:val="%1%2.%3.%4.%5　"/>
      <w:lvlJc w:val="left"/>
      <w:pPr>
        <w:ind w:left="4253" w:firstLine="0"/>
      </w:pPr>
      <w:rPr>
        <w:rFonts w:hint="eastAsia" w:ascii="黑体" w:eastAsia="黑体"/>
        <w:b w:val="0"/>
        <w:i w:val="0"/>
        <w:sz w:val="21"/>
      </w:rPr>
    </w:lvl>
    <w:lvl w:ilvl="5" w:tentative="0">
      <w:start w:val="1"/>
      <w:numFmt w:val="decimal"/>
      <w:pStyle w:val="149"/>
      <w:suff w:val="nothing"/>
      <w:lvlText w:val="%1%2.%3.%4.%5.%6　"/>
      <w:lvlJc w:val="left"/>
      <w:pPr>
        <w:ind w:left="0" w:firstLine="0"/>
      </w:pPr>
      <w:rPr>
        <w:rFonts w:hint="eastAsia" w:ascii="黑体" w:eastAsia="黑体"/>
        <w:b w:val="0"/>
        <w:i w:val="0"/>
        <w:sz w:val="21"/>
      </w:rPr>
    </w:lvl>
    <w:lvl w:ilvl="6" w:tentative="0">
      <w:start w:val="1"/>
      <w:numFmt w:val="decimal"/>
      <w:pStyle w:val="15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ZTdmODAwZjdjZDI4NDgyMTM5MzZjMjliMGFhNmYifQ=="/>
  </w:docVars>
  <w:rsids>
    <w:rsidRoot w:val="00AC030E"/>
    <w:rsid w:val="0000141E"/>
    <w:rsid w:val="00007488"/>
    <w:rsid w:val="00010ED8"/>
    <w:rsid w:val="00011B3A"/>
    <w:rsid w:val="00016DA8"/>
    <w:rsid w:val="000248D9"/>
    <w:rsid w:val="00030B31"/>
    <w:rsid w:val="0004048D"/>
    <w:rsid w:val="00056CB9"/>
    <w:rsid w:val="00060E39"/>
    <w:rsid w:val="00065146"/>
    <w:rsid w:val="000729A7"/>
    <w:rsid w:val="000741C6"/>
    <w:rsid w:val="0007456E"/>
    <w:rsid w:val="00077DE8"/>
    <w:rsid w:val="00082692"/>
    <w:rsid w:val="000847B1"/>
    <w:rsid w:val="0008549F"/>
    <w:rsid w:val="00092F44"/>
    <w:rsid w:val="00096A76"/>
    <w:rsid w:val="000A7F2D"/>
    <w:rsid w:val="000B69D4"/>
    <w:rsid w:val="000C2682"/>
    <w:rsid w:val="000C4E42"/>
    <w:rsid w:val="000D6AF4"/>
    <w:rsid w:val="000E0601"/>
    <w:rsid w:val="000F135C"/>
    <w:rsid w:val="000F37E3"/>
    <w:rsid w:val="000F7089"/>
    <w:rsid w:val="001073BC"/>
    <w:rsid w:val="001165E4"/>
    <w:rsid w:val="0012386C"/>
    <w:rsid w:val="0012492D"/>
    <w:rsid w:val="00126BFD"/>
    <w:rsid w:val="00133064"/>
    <w:rsid w:val="0014319B"/>
    <w:rsid w:val="00146417"/>
    <w:rsid w:val="00151EEB"/>
    <w:rsid w:val="001671B6"/>
    <w:rsid w:val="0017706D"/>
    <w:rsid w:val="00181791"/>
    <w:rsid w:val="001817CC"/>
    <w:rsid w:val="0018757C"/>
    <w:rsid w:val="0019165A"/>
    <w:rsid w:val="00192FE7"/>
    <w:rsid w:val="00196C4D"/>
    <w:rsid w:val="001A0CF7"/>
    <w:rsid w:val="001A4C4D"/>
    <w:rsid w:val="001A5F0C"/>
    <w:rsid w:val="001A6C0D"/>
    <w:rsid w:val="001B4F9E"/>
    <w:rsid w:val="001C13F3"/>
    <w:rsid w:val="001C7910"/>
    <w:rsid w:val="001D7A40"/>
    <w:rsid w:val="001E4A1F"/>
    <w:rsid w:val="001F0C24"/>
    <w:rsid w:val="001F41E3"/>
    <w:rsid w:val="001F656A"/>
    <w:rsid w:val="001F7BDF"/>
    <w:rsid w:val="002012E8"/>
    <w:rsid w:val="00210B24"/>
    <w:rsid w:val="0021214E"/>
    <w:rsid w:val="00212D28"/>
    <w:rsid w:val="00217539"/>
    <w:rsid w:val="0022747F"/>
    <w:rsid w:val="00232391"/>
    <w:rsid w:val="002353E9"/>
    <w:rsid w:val="002416F9"/>
    <w:rsid w:val="002438BF"/>
    <w:rsid w:val="00244F69"/>
    <w:rsid w:val="00245D22"/>
    <w:rsid w:val="00261FC7"/>
    <w:rsid w:val="0026436B"/>
    <w:rsid w:val="00264881"/>
    <w:rsid w:val="00265247"/>
    <w:rsid w:val="00285C6D"/>
    <w:rsid w:val="00287826"/>
    <w:rsid w:val="00287846"/>
    <w:rsid w:val="0029487D"/>
    <w:rsid w:val="002972EA"/>
    <w:rsid w:val="002A3C2E"/>
    <w:rsid w:val="002A4DF3"/>
    <w:rsid w:val="002B01D4"/>
    <w:rsid w:val="002D742B"/>
    <w:rsid w:val="002E1062"/>
    <w:rsid w:val="002E1E38"/>
    <w:rsid w:val="002E7C30"/>
    <w:rsid w:val="002F15F6"/>
    <w:rsid w:val="002F58DC"/>
    <w:rsid w:val="003014FA"/>
    <w:rsid w:val="00327BC6"/>
    <w:rsid w:val="00333F80"/>
    <w:rsid w:val="00336678"/>
    <w:rsid w:val="00345CF7"/>
    <w:rsid w:val="003473EB"/>
    <w:rsid w:val="00360129"/>
    <w:rsid w:val="00364AB3"/>
    <w:rsid w:val="00366142"/>
    <w:rsid w:val="00367972"/>
    <w:rsid w:val="003757C9"/>
    <w:rsid w:val="00377295"/>
    <w:rsid w:val="00383721"/>
    <w:rsid w:val="00385FA7"/>
    <w:rsid w:val="003A04FF"/>
    <w:rsid w:val="003A511C"/>
    <w:rsid w:val="003A6118"/>
    <w:rsid w:val="003B2784"/>
    <w:rsid w:val="003B440F"/>
    <w:rsid w:val="003B4785"/>
    <w:rsid w:val="003C6BB2"/>
    <w:rsid w:val="003D083B"/>
    <w:rsid w:val="003D1C44"/>
    <w:rsid w:val="003E25E4"/>
    <w:rsid w:val="003E34BC"/>
    <w:rsid w:val="003F51DA"/>
    <w:rsid w:val="004012A3"/>
    <w:rsid w:val="0040171B"/>
    <w:rsid w:val="004144E7"/>
    <w:rsid w:val="004165DD"/>
    <w:rsid w:val="004169CE"/>
    <w:rsid w:val="00417B1E"/>
    <w:rsid w:val="00423C24"/>
    <w:rsid w:val="004259E2"/>
    <w:rsid w:val="0042779A"/>
    <w:rsid w:val="004325A3"/>
    <w:rsid w:val="00451445"/>
    <w:rsid w:val="00454B2C"/>
    <w:rsid w:val="00454FFB"/>
    <w:rsid w:val="00457843"/>
    <w:rsid w:val="0046775D"/>
    <w:rsid w:val="004747A9"/>
    <w:rsid w:val="0047663A"/>
    <w:rsid w:val="004A53DF"/>
    <w:rsid w:val="004B253C"/>
    <w:rsid w:val="004B3041"/>
    <w:rsid w:val="004B7235"/>
    <w:rsid w:val="004C6440"/>
    <w:rsid w:val="004C72E3"/>
    <w:rsid w:val="004D173C"/>
    <w:rsid w:val="004D17C2"/>
    <w:rsid w:val="004E0312"/>
    <w:rsid w:val="004E3903"/>
    <w:rsid w:val="004E5A32"/>
    <w:rsid w:val="004E725E"/>
    <w:rsid w:val="004F3CB2"/>
    <w:rsid w:val="004F3D88"/>
    <w:rsid w:val="004F5636"/>
    <w:rsid w:val="00506D70"/>
    <w:rsid w:val="005071A6"/>
    <w:rsid w:val="00507B64"/>
    <w:rsid w:val="00510B25"/>
    <w:rsid w:val="00513FDA"/>
    <w:rsid w:val="0051526D"/>
    <w:rsid w:val="0051568C"/>
    <w:rsid w:val="0051594F"/>
    <w:rsid w:val="005250CE"/>
    <w:rsid w:val="00525ABB"/>
    <w:rsid w:val="00527295"/>
    <w:rsid w:val="005336C6"/>
    <w:rsid w:val="005348F7"/>
    <w:rsid w:val="00540E33"/>
    <w:rsid w:val="00544BCB"/>
    <w:rsid w:val="00554DBC"/>
    <w:rsid w:val="005616C8"/>
    <w:rsid w:val="00562BB2"/>
    <w:rsid w:val="00581DBC"/>
    <w:rsid w:val="00586CC4"/>
    <w:rsid w:val="00594D4F"/>
    <w:rsid w:val="00594E96"/>
    <w:rsid w:val="005951EF"/>
    <w:rsid w:val="005A098D"/>
    <w:rsid w:val="005A2EF6"/>
    <w:rsid w:val="005A4972"/>
    <w:rsid w:val="005B7FAE"/>
    <w:rsid w:val="005C225C"/>
    <w:rsid w:val="005D0284"/>
    <w:rsid w:val="005D57C7"/>
    <w:rsid w:val="005D7C30"/>
    <w:rsid w:val="005E3D55"/>
    <w:rsid w:val="005F5FDB"/>
    <w:rsid w:val="005F7C6B"/>
    <w:rsid w:val="006156B8"/>
    <w:rsid w:val="006218AD"/>
    <w:rsid w:val="00623EEF"/>
    <w:rsid w:val="00632231"/>
    <w:rsid w:val="00634983"/>
    <w:rsid w:val="006379E7"/>
    <w:rsid w:val="0064593F"/>
    <w:rsid w:val="006463B4"/>
    <w:rsid w:val="006526A1"/>
    <w:rsid w:val="00656750"/>
    <w:rsid w:val="00667EEB"/>
    <w:rsid w:val="0067526A"/>
    <w:rsid w:val="00677210"/>
    <w:rsid w:val="006801AD"/>
    <w:rsid w:val="0068105F"/>
    <w:rsid w:val="006814AA"/>
    <w:rsid w:val="00690635"/>
    <w:rsid w:val="006914D5"/>
    <w:rsid w:val="00697B24"/>
    <w:rsid w:val="006A51DF"/>
    <w:rsid w:val="006A5257"/>
    <w:rsid w:val="006A6CC5"/>
    <w:rsid w:val="006A7230"/>
    <w:rsid w:val="006B3845"/>
    <w:rsid w:val="006B4046"/>
    <w:rsid w:val="006C4DA4"/>
    <w:rsid w:val="006C51B1"/>
    <w:rsid w:val="006C6748"/>
    <w:rsid w:val="006D0E6C"/>
    <w:rsid w:val="006D1F40"/>
    <w:rsid w:val="006D2713"/>
    <w:rsid w:val="007077B6"/>
    <w:rsid w:val="00710091"/>
    <w:rsid w:val="0071141E"/>
    <w:rsid w:val="007212A8"/>
    <w:rsid w:val="007239D1"/>
    <w:rsid w:val="007409D0"/>
    <w:rsid w:val="00742A92"/>
    <w:rsid w:val="00754C99"/>
    <w:rsid w:val="007569C2"/>
    <w:rsid w:val="0078024A"/>
    <w:rsid w:val="00780A01"/>
    <w:rsid w:val="00785004"/>
    <w:rsid w:val="0079228C"/>
    <w:rsid w:val="007954E7"/>
    <w:rsid w:val="007A1C9A"/>
    <w:rsid w:val="007A2E0C"/>
    <w:rsid w:val="007B0C88"/>
    <w:rsid w:val="007B4794"/>
    <w:rsid w:val="007C6D84"/>
    <w:rsid w:val="007F4442"/>
    <w:rsid w:val="00801911"/>
    <w:rsid w:val="00812DA9"/>
    <w:rsid w:val="00815E94"/>
    <w:rsid w:val="0082084C"/>
    <w:rsid w:val="008225D5"/>
    <w:rsid w:val="00823B8E"/>
    <w:rsid w:val="00824973"/>
    <w:rsid w:val="0082525E"/>
    <w:rsid w:val="00830EF1"/>
    <w:rsid w:val="00841FA2"/>
    <w:rsid w:val="00847318"/>
    <w:rsid w:val="00855CF1"/>
    <w:rsid w:val="00860EC1"/>
    <w:rsid w:val="008615B2"/>
    <w:rsid w:val="008671C8"/>
    <w:rsid w:val="00887468"/>
    <w:rsid w:val="00887597"/>
    <w:rsid w:val="0089248D"/>
    <w:rsid w:val="008957C8"/>
    <w:rsid w:val="008A5B2D"/>
    <w:rsid w:val="008A6C77"/>
    <w:rsid w:val="008A7505"/>
    <w:rsid w:val="008A7518"/>
    <w:rsid w:val="008C56ED"/>
    <w:rsid w:val="008D1690"/>
    <w:rsid w:val="008D3CDB"/>
    <w:rsid w:val="008D50C4"/>
    <w:rsid w:val="008E1156"/>
    <w:rsid w:val="008E5F7A"/>
    <w:rsid w:val="008F5A64"/>
    <w:rsid w:val="00910B1C"/>
    <w:rsid w:val="0091418A"/>
    <w:rsid w:val="009334DE"/>
    <w:rsid w:val="00940DAE"/>
    <w:rsid w:val="00941ACF"/>
    <w:rsid w:val="00960FCE"/>
    <w:rsid w:val="00966D27"/>
    <w:rsid w:val="00975675"/>
    <w:rsid w:val="0098398D"/>
    <w:rsid w:val="00987F6A"/>
    <w:rsid w:val="0099748A"/>
    <w:rsid w:val="009A2FB3"/>
    <w:rsid w:val="009A36B5"/>
    <w:rsid w:val="009A7066"/>
    <w:rsid w:val="009A76D0"/>
    <w:rsid w:val="009B011E"/>
    <w:rsid w:val="009C6899"/>
    <w:rsid w:val="009C7060"/>
    <w:rsid w:val="009C7AAC"/>
    <w:rsid w:val="009F1DA6"/>
    <w:rsid w:val="009F2E7C"/>
    <w:rsid w:val="00A05E67"/>
    <w:rsid w:val="00A06023"/>
    <w:rsid w:val="00A07F22"/>
    <w:rsid w:val="00A13A98"/>
    <w:rsid w:val="00A20586"/>
    <w:rsid w:val="00A2189A"/>
    <w:rsid w:val="00A23DDD"/>
    <w:rsid w:val="00A276EA"/>
    <w:rsid w:val="00A370D9"/>
    <w:rsid w:val="00A40823"/>
    <w:rsid w:val="00A41D4E"/>
    <w:rsid w:val="00A47871"/>
    <w:rsid w:val="00A60839"/>
    <w:rsid w:val="00A60B00"/>
    <w:rsid w:val="00A645EE"/>
    <w:rsid w:val="00A73EC3"/>
    <w:rsid w:val="00A85879"/>
    <w:rsid w:val="00A92126"/>
    <w:rsid w:val="00A93129"/>
    <w:rsid w:val="00A97959"/>
    <w:rsid w:val="00AA3521"/>
    <w:rsid w:val="00AA5B79"/>
    <w:rsid w:val="00AC030E"/>
    <w:rsid w:val="00AC08E6"/>
    <w:rsid w:val="00AC5E29"/>
    <w:rsid w:val="00AC6BC4"/>
    <w:rsid w:val="00AE409B"/>
    <w:rsid w:val="00AE4373"/>
    <w:rsid w:val="00AE642D"/>
    <w:rsid w:val="00AF152D"/>
    <w:rsid w:val="00AF7403"/>
    <w:rsid w:val="00AF78B0"/>
    <w:rsid w:val="00B0715D"/>
    <w:rsid w:val="00B14D94"/>
    <w:rsid w:val="00B26FA3"/>
    <w:rsid w:val="00B30445"/>
    <w:rsid w:val="00B321F8"/>
    <w:rsid w:val="00B3384D"/>
    <w:rsid w:val="00B3718B"/>
    <w:rsid w:val="00B40D9F"/>
    <w:rsid w:val="00B524BB"/>
    <w:rsid w:val="00B5509D"/>
    <w:rsid w:val="00B63A23"/>
    <w:rsid w:val="00B72388"/>
    <w:rsid w:val="00B72FB1"/>
    <w:rsid w:val="00B758DA"/>
    <w:rsid w:val="00B770DB"/>
    <w:rsid w:val="00B779A0"/>
    <w:rsid w:val="00B82F07"/>
    <w:rsid w:val="00B83B02"/>
    <w:rsid w:val="00B872B5"/>
    <w:rsid w:val="00B9103C"/>
    <w:rsid w:val="00B977FD"/>
    <w:rsid w:val="00BA03FF"/>
    <w:rsid w:val="00BA2425"/>
    <w:rsid w:val="00BA2652"/>
    <w:rsid w:val="00BA59AA"/>
    <w:rsid w:val="00BA7793"/>
    <w:rsid w:val="00BA7E37"/>
    <w:rsid w:val="00BC35E8"/>
    <w:rsid w:val="00BC6F1E"/>
    <w:rsid w:val="00BD0A93"/>
    <w:rsid w:val="00BD7F00"/>
    <w:rsid w:val="00BE277E"/>
    <w:rsid w:val="00BE3978"/>
    <w:rsid w:val="00BE64BF"/>
    <w:rsid w:val="00BE79A0"/>
    <w:rsid w:val="00C31317"/>
    <w:rsid w:val="00C35374"/>
    <w:rsid w:val="00C41C4C"/>
    <w:rsid w:val="00C5144E"/>
    <w:rsid w:val="00C53427"/>
    <w:rsid w:val="00C60019"/>
    <w:rsid w:val="00C60B7B"/>
    <w:rsid w:val="00C60E44"/>
    <w:rsid w:val="00C66ADB"/>
    <w:rsid w:val="00C720F0"/>
    <w:rsid w:val="00C857E4"/>
    <w:rsid w:val="00C867BB"/>
    <w:rsid w:val="00C94CD0"/>
    <w:rsid w:val="00CA5E23"/>
    <w:rsid w:val="00CB1FCB"/>
    <w:rsid w:val="00CC2677"/>
    <w:rsid w:val="00CC3600"/>
    <w:rsid w:val="00CD6B18"/>
    <w:rsid w:val="00CE26AF"/>
    <w:rsid w:val="00CE6C0D"/>
    <w:rsid w:val="00CF1C39"/>
    <w:rsid w:val="00CF3E2B"/>
    <w:rsid w:val="00D10C04"/>
    <w:rsid w:val="00D17BBC"/>
    <w:rsid w:val="00D25955"/>
    <w:rsid w:val="00D318FF"/>
    <w:rsid w:val="00D43710"/>
    <w:rsid w:val="00D47AD4"/>
    <w:rsid w:val="00D47C0B"/>
    <w:rsid w:val="00D62912"/>
    <w:rsid w:val="00D711DF"/>
    <w:rsid w:val="00D715C6"/>
    <w:rsid w:val="00D87084"/>
    <w:rsid w:val="00D90397"/>
    <w:rsid w:val="00D933CF"/>
    <w:rsid w:val="00D96EA3"/>
    <w:rsid w:val="00DB6C9B"/>
    <w:rsid w:val="00DC04C3"/>
    <w:rsid w:val="00DC059C"/>
    <w:rsid w:val="00DC1B12"/>
    <w:rsid w:val="00DC30DE"/>
    <w:rsid w:val="00DD4245"/>
    <w:rsid w:val="00DE32CE"/>
    <w:rsid w:val="00DE5F0A"/>
    <w:rsid w:val="00DF0A88"/>
    <w:rsid w:val="00E00B63"/>
    <w:rsid w:val="00E04663"/>
    <w:rsid w:val="00E239E5"/>
    <w:rsid w:val="00E23BDE"/>
    <w:rsid w:val="00E26DF1"/>
    <w:rsid w:val="00E36CDB"/>
    <w:rsid w:val="00E37898"/>
    <w:rsid w:val="00E40020"/>
    <w:rsid w:val="00E416CD"/>
    <w:rsid w:val="00E43409"/>
    <w:rsid w:val="00E453FC"/>
    <w:rsid w:val="00E5402C"/>
    <w:rsid w:val="00E63C14"/>
    <w:rsid w:val="00E736D6"/>
    <w:rsid w:val="00E85878"/>
    <w:rsid w:val="00E95E9C"/>
    <w:rsid w:val="00E96DDC"/>
    <w:rsid w:val="00EA09D1"/>
    <w:rsid w:val="00EA24E8"/>
    <w:rsid w:val="00EA5218"/>
    <w:rsid w:val="00EB25F8"/>
    <w:rsid w:val="00EB2B97"/>
    <w:rsid w:val="00EC1F61"/>
    <w:rsid w:val="00EC65F9"/>
    <w:rsid w:val="00EC6CC7"/>
    <w:rsid w:val="00ED0A97"/>
    <w:rsid w:val="00ED33C8"/>
    <w:rsid w:val="00ED3CD0"/>
    <w:rsid w:val="00EE260B"/>
    <w:rsid w:val="00EE6CD5"/>
    <w:rsid w:val="00EF7271"/>
    <w:rsid w:val="00EF7A07"/>
    <w:rsid w:val="00F04670"/>
    <w:rsid w:val="00F1167F"/>
    <w:rsid w:val="00F11CF4"/>
    <w:rsid w:val="00F1305F"/>
    <w:rsid w:val="00F134D2"/>
    <w:rsid w:val="00F243C6"/>
    <w:rsid w:val="00F27E23"/>
    <w:rsid w:val="00F372B9"/>
    <w:rsid w:val="00F4248A"/>
    <w:rsid w:val="00F44545"/>
    <w:rsid w:val="00F50469"/>
    <w:rsid w:val="00F61459"/>
    <w:rsid w:val="00F70AFD"/>
    <w:rsid w:val="00F820B7"/>
    <w:rsid w:val="00F86419"/>
    <w:rsid w:val="00F964F3"/>
    <w:rsid w:val="00FA5D87"/>
    <w:rsid w:val="00FB146B"/>
    <w:rsid w:val="00FB27B3"/>
    <w:rsid w:val="00FB2BE8"/>
    <w:rsid w:val="00FB65A2"/>
    <w:rsid w:val="00FD0270"/>
    <w:rsid w:val="00FD0D10"/>
    <w:rsid w:val="00FD4616"/>
    <w:rsid w:val="00FD5046"/>
    <w:rsid w:val="00FE02A3"/>
    <w:rsid w:val="00FE32E4"/>
    <w:rsid w:val="00FE5389"/>
    <w:rsid w:val="00FE59E5"/>
    <w:rsid w:val="00FE619B"/>
    <w:rsid w:val="00FF012A"/>
    <w:rsid w:val="00FF322F"/>
    <w:rsid w:val="151903CD"/>
    <w:rsid w:val="1D464174"/>
    <w:rsid w:val="33002277"/>
    <w:rsid w:val="34621989"/>
    <w:rsid w:val="3A423C1E"/>
    <w:rsid w:val="57103A2E"/>
    <w:rsid w:val="66D55168"/>
    <w:rsid w:val="696F1D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7"/>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38"/>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39"/>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145"/>
    <w:unhideWhenUsed/>
    <w:qFormat/>
    <w:uiPriority w:val="0"/>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Indent"/>
    <w:basedOn w:val="1"/>
    <w:qFormat/>
    <w:uiPriority w:val="0"/>
    <w:pPr>
      <w:ind w:firstLine="570"/>
    </w:pPr>
    <w:rPr>
      <w:rFonts w:ascii="仿宋_GB2312" w:eastAsia="仿宋_GB2312"/>
      <w:sz w:val="28"/>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3"/>
    <w:basedOn w:val="1"/>
    <w:next w:val="1"/>
    <w:qFormat/>
    <w:uiPriority w:val="39"/>
    <w:pPr>
      <w:ind w:left="840" w:leftChars="400"/>
    </w:p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qFormat/>
    <w:uiPriority w:val="0"/>
    <w:pPr>
      <w:ind w:left="100" w:leftChars="2500"/>
    </w:pPr>
  </w:style>
  <w:style w:type="paragraph" w:styleId="16">
    <w:name w:val="Balloon Text"/>
    <w:basedOn w:val="1"/>
    <w:link w:val="142"/>
    <w:qFormat/>
    <w:uiPriority w:val="0"/>
    <w:rPr>
      <w:sz w:val="18"/>
      <w:szCs w:val="18"/>
    </w:rPr>
  </w:style>
  <w:style w:type="paragraph" w:styleId="17">
    <w:name w:val="footer"/>
    <w:basedOn w:val="1"/>
    <w:link w:val="37"/>
    <w:qFormat/>
    <w:uiPriority w:val="99"/>
    <w:pPr>
      <w:snapToGrid w:val="0"/>
      <w:ind w:right="210" w:rightChars="100"/>
      <w:jc w:val="right"/>
    </w:pPr>
    <w:rPr>
      <w:sz w:val="18"/>
      <w:szCs w:val="18"/>
    </w:rPr>
  </w:style>
  <w:style w:type="paragraph" w:styleId="18">
    <w:name w:val="header"/>
    <w:basedOn w:val="1"/>
    <w:link w:val="40"/>
    <w:qFormat/>
    <w:uiPriority w:val="0"/>
    <w:pPr>
      <w:snapToGrid w:val="0"/>
      <w:jc w:val="left"/>
    </w:pPr>
    <w:rPr>
      <w:sz w:val="18"/>
      <w:szCs w:val="18"/>
    </w:rPr>
  </w:style>
  <w:style w:type="paragraph" w:styleId="19">
    <w:name w:val="toc 1"/>
    <w:basedOn w:val="1"/>
    <w:next w:val="1"/>
    <w:qFormat/>
    <w:uiPriority w:val="39"/>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tabs>
        <w:tab w:val="left" w:pos="0"/>
      </w:tabs>
      <w:snapToGrid w:val="0"/>
      <w:ind w:left="720" w:hanging="357"/>
      <w:jc w:val="left"/>
    </w:pPr>
    <w:rPr>
      <w:rFonts w:ascii="宋体"/>
      <w:sz w:val="18"/>
      <w:szCs w:val="18"/>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qFormat/>
    <w:uiPriority w:val="39"/>
    <w:pPr>
      <w:ind w:left="420" w:leftChars="200"/>
    </w:pPr>
  </w:style>
  <w:style w:type="paragraph" w:styleId="27">
    <w:name w:val="HTML Preformatted"/>
    <w:basedOn w:val="1"/>
    <w:qFormat/>
    <w:uiPriority w:val="0"/>
    <w:pPr>
      <w:tabs>
        <w:tab w:val="left" w:pos="360"/>
      </w:tabs>
    </w:pPr>
    <w:rPr>
      <w:rFonts w:ascii="Courier New" w:hAnsi="Courier New" w:cs="Courier New"/>
      <w:sz w:val="20"/>
      <w:szCs w:val="20"/>
    </w:rPr>
  </w:style>
  <w:style w:type="paragraph" w:styleId="28">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29">
    <w:name w:val="index 2"/>
    <w:basedOn w:val="1"/>
    <w:next w:val="1"/>
    <w:qFormat/>
    <w:uiPriority w:val="0"/>
    <w:pPr>
      <w:ind w:left="420" w:hanging="210"/>
      <w:jc w:val="left"/>
    </w:pPr>
    <w:rPr>
      <w:rFonts w:ascii="Calibri" w:hAnsi="Calibri"/>
      <w:sz w:val="20"/>
      <w:szCs w:val="20"/>
    </w:rPr>
  </w:style>
  <w:style w:type="table" w:styleId="31">
    <w:name w:val="Table Grid"/>
    <w:basedOn w:val="30"/>
    <w:qFormat/>
    <w:uiPriority w:val="59"/>
    <w:pPr>
      <w:numPr>
        <w:numId w:val="1"/>
      </w:numPr>
      <w:tabs>
        <w:tab w:val="left" w:pos="360"/>
      </w:tabs>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qFormat/>
    <w:uiPriority w:val="22"/>
    <w:rPr>
      <w:b/>
      <w:bCs/>
    </w:rPr>
  </w:style>
  <w:style w:type="character" w:styleId="34">
    <w:name w:val="page number"/>
    <w:qFormat/>
    <w:uiPriority w:val="0"/>
    <w:rPr>
      <w:rFonts w:ascii="Times New Roman" w:hAnsi="Times New Roman" w:eastAsia="宋体"/>
      <w:sz w:val="18"/>
    </w:rPr>
  </w:style>
  <w:style w:type="character" w:styleId="35">
    <w:name w:val="Hyperlink"/>
    <w:qFormat/>
    <w:uiPriority w:val="99"/>
    <w:rPr>
      <w:color w:val="0000FF"/>
      <w:spacing w:val="0"/>
      <w:w w:val="100"/>
      <w:szCs w:val="21"/>
      <w:u w:val="single"/>
      <w:lang w:val="en-US" w:eastAsia="zh-CN"/>
    </w:rPr>
  </w:style>
  <w:style w:type="character" w:customStyle="1" w:styleId="36">
    <w:name w:val="已访问的超链接1"/>
    <w:qFormat/>
    <w:uiPriority w:val="0"/>
    <w:rPr>
      <w:color w:val="800080"/>
      <w:u w:val="single"/>
    </w:rPr>
  </w:style>
  <w:style w:type="character" w:customStyle="1" w:styleId="37">
    <w:name w:val="页脚 字符"/>
    <w:link w:val="17"/>
    <w:qFormat/>
    <w:uiPriority w:val="99"/>
    <w:rPr>
      <w:rFonts w:eastAsia="宋体"/>
      <w:kern w:val="2"/>
      <w:sz w:val="18"/>
      <w:szCs w:val="18"/>
      <w:lang w:val="en-US" w:eastAsia="zh-CN" w:bidi="ar-SA"/>
    </w:rPr>
  </w:style>
  <w:style w:type="character" w:customStyle="1" w:styleId="38">
    <w:name w:val="首示例 Char"/>
    <w:link w:val="39"/>
    <w:qFormat/>
    <w:uiPriority w:val="0"/>
    <w:rPr>
      <w:rFonts w:ascii="宋体" w:hAnsi="宋体"/>
      <w:kern w:val="2"/>
      <w:sz w:val="18"/>
      <w:szCs w:val="18"/>
    </w:rPr>
  </w:style>
  <w:style w:type="paragraph" w:customStyle="1" w:styleId="39">
    <w:name w:val="首示例"/>
    <w:next w:val="22"/>
    <w:link w:val="38"/>
    <w:qFormat/>
    <w:uiPriority w:val="0"/>
    <w:pPr>
      <w:tabs>
        <w:tab w:val="left" w:pos="360"/>
      </w:tabs>
    </w:pPr>
    <w:rPr>
      <w:rFonts w:ascii="宋体" w:hAnsi="宋体" w:eastAsia="宋体" w:cs="Times New Roman"/>
      <w:kern w:val="2"/>
      <w:sz w:val="18"/>
      <w:szCs w:val="18"/>
      <w:lang w:val="en-US" w:eastAsia="zh-CN" w:bidi="ar-SA"/>
    </w:rPr>
  </w:style>
  <w:style w:type="character" w:customStyle="1" w:styleId="40">
    <w:name w:val="页眉 字符"/>
    <w:link w:val="18"/>
    <w:qFormat/>
    <w:uiPriority w:val="0"/>
    <w:rPr>
      <w:kern w:val="2"/>
      <w:sz w:val="18"/>
      <w:szCs w:val="18"/>
    </w:rPr>
  </w:style>
  <w:style w:type="character" w:customStyle="1" w:styleId="41">
    <w:name w:val="发布"/>
    <w:qFormat/>
    <w:uiPriority w:val="0"/>
    <w:rPr>
      <w:rFonts w:ascii="黑体" w:eastAsia="黑体"/>
      <w:spacing w:val="85"/>
      <w:w w:val="100"/>
      <w:position w:val="3"/>
      <w:sz w:val="28"/>
      <w:szCs w:val="28"/>
    </w:rPr>
  </w:style>
  <w:style w:type="character" w:customStyle="1" w:styleId="42">
    <w:name w:val="段 Char"/>
    <w:link w:val="22"/>
    <w:qFormat/>
    <w:uiPriority w:val="0"/>
    <w:rPr>
      <w:rFonts w:ascii="宋体"/>
      <w:sz w:val="21"/>
      <w:lang w:val="en-US" w:eastAsia="zh-CN" w:bidi="ar-SA"/>
    </w:rPr>
  </w:style>
  <w:style w:type="character" w:customStyle="1" w:styleId="43">
    <w:name w:val="附录公式 Char"/>
    <w:basedOn w:val="42"/>
    <w:link w:val="44"/>
    <w:qFormat/>
    <w:uiPriority w:val="0"/>
    <w:rPr>
      <w:rFonts w:ascii="宋体"/>
      <w:sz w:val="21"/>
      <w:lang w:val="en-US" w:eastAsia="zh-CN" w:bidi="ar-SA"/>
    </w:rPr>
  </w:style>
  <w:style w:type="paragraph" w:customStyle="1" w:styleId="44">
    <w:name w:val="附录公式"/>
    <w:basedOn w:val="22"/>
    <w:next w:val="22"/>
    <w:link w:val="43"/>
    <w:qFormat/>
    <w:uiPriority w:val="0"/>
  </w:style>
  <w:style w:type="paragraph" w:customStyle="1" w:styleId="4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6">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7">
    <w:name w:val="章标题"/>
    <w:next w:val="22"/>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4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0">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51">
    <w:name w:val="二级无"/>
    <w:basedOn w:val="52"/>
    <w:qFormat/>
    <w:uiPriority w:val="0"/>
    <w:pPr>
      <w:spacing w:beforeLines="0" w:afterLines="0"/>
      <w:ind w:left="0"/>
    </w:pPr>
    <w:rPr>
      <w:rFonts w:ascii="宋体" w:eastAsia="宋体"/>
    </w:rPr>
  </w:style>
  <w:style w:type="paragraph" w:customStyle="1" w:styleId="52">
    <w:name w:val="二级条标题"/>
    <w:basedOn w:val="53"/>
    <w:next w:val="22"/>
    <w:qFormat/>
    <w:uiPriority w:val="0"/>
    <w:pPr>
      <w:numPr>
        <w:ilvl w:val="0"/>
        <w:numId w:val="0"/>
      </w:numPr>
      <w:spacing w:before="50" w:after="50"/>
      <w:ind w:left="426"/>
      <w:outlineLvl w:val="3"/>
    </w:pPr>
  </w:style>
  <w:style w:type="paragraph" w:customStyle="1" w:styleId="53">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4">
    <w:name w:val="编号列项（三级）"/>
    <w:qFormat/>
    <w:uiPriority w:val="0"/>
    <w:rPr>
      <w:rFonts w:ascii="宋体" w:hAnsi="Times New Roman" w:eastAsia="宋体" w:cs="Times New Roman"/>
      <w:sz w:val="21"/>
      <w:lang w:val="en-US" w:eastAsia="zh-CN" w:bidi="ar-SA"/>
    </w:rPr>
  </w:style>
  <w:style w:type="paragraph" w:customStyle="1" w:styleId="55">
    <w:name w:val="条文脚注"/>
    <w:basedOn w:val="23"/>
    <w:qFormat/>
    <w:uiPriority w:val="0"/>
    <w:pPr>
      <w:ind w:left="0" w:firstLine="0"/>
      <w:jc w:val="both"/>
    </w:pPr>
  </w:style>
  <w:style w:type="paragraph" w:customStyle="1" w:styleId="56">
    <w:name w:val="附录标题"/>
    <w:basedOn w:val="22"/>
    <w:next w:val="22"/>
    <w:qFormat/>
    <w:uiPriority w:val="0"/>
    <w:pPr>
      <w:ind w:firstLine="0" w:firstLineChars="0"/>
      <w:jc w:val="center"/>
    </w:pPr>
    <w:rPr>
      <w:rFonts w:ascii="黑体" w:eastAsia="黑体"/>
    </w:rPr>
  </w:style>
  <w:style w:type="paragraph" w:customStyle="1" w:styleId="57">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8">
    <w:name w:val="正文公式编号制表符"/>
    <w:basedOn w:val="22"/>
    <w:next w:val="22"/>
    <w:qFormat/>
    <w:uiPriority w:val="0"/>
    <w:pPr>
      <w:ind w:firstLine="0" w:firstLineChars="0"/>
    </w:pPr>
  </w:style>
  <w:style w:type="paragraph" w:customStyle="1" w:styleId="59">
    <w:name w:val="附录四级条标题"/>
    <w:basedOn w:val="60"/>
    <w:next w:val="22"/>
    <w:qFormat/>
    <w:uiPriority w:val="0"/>
    <w:pPr>
      <w:tabs>
        <w:tab w:val="left" w:pos="360"/>
      </w:tabs>
      <w:outlineLvl w:val="5"/>
    </w:pPr>
  </w:style>
  <w:style w:type="paragraph" w:customStyle="1" w:styleId="60">
    <w:name w:val="附录三级条标题"/>
    <w:basedOn w:val="61"/>
    <w:next w:val="22"/>
    <w:qFormat/>
    <w:uiPriority w:val="0"/>
    <w:pPr>
      <w:tabs>
        <w:tab w:val="left" w:pos="360"/>
      </w:tabs>
      <w:outlineLvl w:val="4"/>
    </w:pPr>
  </w:style>
  <w:style w:type="paragraph" w:customStyle="1" w:styleId="61">
    <w:name w:val="附录二级条标题"/>
    <w:basedOn w:val="1"/>
    <w:next w:val="22"/>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2">
    <w:name w:val="三级无"/>
    <w:basedOn w:val="63"/>
    <w:qFormat/>
    <w:uiPriority w:val="0"/>
    <w:pPr>
      <w:spacing w:beforeLines="0" w:afterLines="0"/>
    </w:pPr>
    <w:rPr>
      <w:rFonts w:ascii="宋体" w:eastAsia="宋体"/>
    </w:rPr>
  </w:style>
  <w:style w:type="paragraph" w:customStyle="1" w:styleId="63">
    <w:name w:val="三级条标题"/>
    <w:basedOn w:val="52"/>
    <w:next w:val="22"/>
    <w:qFormat/>
    <w:uiPriority w:val="0"/>
    <w:pPr>
      <w:ind w:left="0"/>
      <w:outlineLvl w:val="4"/>
    </w:pPr>
  </w:style>
  <w:style w:type="paragraph" w:customStyle="1" w:styleId="64">
    <w:name w:val="封面一致性程度标识"/>
    <w:basedOn w:val="65"/>
    <w:qFormat/>
    <w:uiPriority w:val="0"/>
    <w:pPr>
      <w:framePr w:wrap="around"/>
      <w:spacing w:before="440"/>
    </w:pPr>
    <w:rPr>
      <w:rFonts w:ascii="宋体" w:eastAsia="宋体"/>
    </w:rPr>
  </w:style>
  <w:style w:type="paragraph" w:customStyle="1" w:styleId="65">
    <w:name w:val="封面标准英文名称"/>
    <w:basedOn w:val="66"/>
    <w:qFormat/>
    <w:uiPriority w:val="0"/>
    <w:pPr>
      <w:framePr w:wrap="around"/>
      <w:spacing w:before="370" w:line="400" w:lineRule="exact"/>
    </w:pPr>
    <w:rPr>
      <w:rFonts w:ascii="Times New Roman"/>
      <w:sz w:val="28"/>
      <w:szCs w:val="28"/>
    </w:rPr>
  </w:style>
  <w:style w:type="paragraph" w:customStyle="1" w:styleId="6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7">
    <w:name w:val="示例×："/>
    <w:basedOn w:val="47"/>
    <w:qFormat/>
    <w:uiPriority w:val="0"/>
    <w:pPr>
      <w:spacing w:beforeLines="0" w:afterLines="0"/>
      <w:ind w:firstLine="363"/>
      <w:outlineLvl w:val="9"/>
    </w:pPr>
    <w:rPr>
      <w:rFonts w:ascii="宋体" w:eastAsia="宋体"/>
      <w:sz w:val="18"/>
      <w:szCs w:val="18"/>
    </w:rPr>
  </w:style>
  <w:style w:type="paragraph" w:customStyle="1" w:styleId="68">
    <w:name w:val="封面一致性程度标识2"/>
    <w:basedOn w:val="64"/>
    <w:qFormat/>
    <w:uiPriority w:val="0"/>
    <w:pPr>
      <w:framePr w:wrap="around" w:y="4469"/>
    </w:pPr>
  </w:style>
  <w:style w:type="paragraph" w:customStyle="1" w:styleId="69">
    <w:name w:val="附录五级无"/>
    <w:basedOn w:val="70"/>
    <w:qFormat/>
    <w:uiPriority w:val="0"/>
    <w:pPr>
      <w:tabs>
        <w:tab w:val="left" w:pos="360"/>
      </w:tabs>
      <w:spacing w:beforeLines="0" w:afterLines="0"/>
    </w:pPr>
    <w:rPr>
      <w:rFonts w:ascii="宋体" w:eastAsia="宋体"/>
      <w:szCs w:val="21"/>
    </w:rPr>
  </w:style>
  <w:style w:type="paragraph" w:customStyle="1" w:styleId="70">
    <w:name w:val="附录五级条标题"/>
    <w:basedOn w:val="59"/>
    <w:next w:val="22"/>
    <w:qFormat/>
    <w:uiPriority w:val="0"/>
    <w:pPr>
      <w:outlineLvl w:val="6"/>
    </w:pPr>
  </w:style>
  <w:style w:type="paragraph" w:customStyle="1" w:styleId="71">
    <w:name w:val="四级条标题"/>
    <w:basedOn w:val="63"/>
    <w:next w:val="22"/>
    <w:qFormat/>
    <w:uiPriority w:val="0"/>
    <w:pPr>
      <w:outlineLvl w:val="5"/>
    </w:pPr>
  </w:style>
  <w:style w:type="paragraph" w:customStyle="1" w:styleId="72">
    <w:name w:val="注："/>
    <w:next w:val="22"/>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3">
    <w:name w:val="附录四级无"/>
    <w:basedOn w:val="59"/>
    <w:qFormat/>
    <w:uiPriority w:val="0"/>
    <w:pPr>
      <w:tabs>
        <w:tab w:val="clear" w:pos="360"/>
      </w:tabs>
      <w:spacing w:beforeLines="0" w:afterLines="0"/>
    </w:pPr>
    <w:rPr>
      <w:rFonts w:ascii="宋体" w:eastAsia="宋体"/>
      <w:szCs w:val="21"/>
    </w:rPr>
  </w:style>
  <w:style w:type="paragraph" w:customStyle="1" w:styleId="7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5">
    <w:name w:val="其他发布部门"/>
    <w:basedOn w:val="76"/>
    <w:qFormat/>
    <w:uiPriority w:val="0"/>
    <w:pPr>
      <w:framePr w:wrap="around" w:y="15310"/>
      <w:spacing w:line="0" w:lineRule="atLeast"/>
    </w:pPr>
    <w:rPr>
      <w:rFonts w:ascii="黑体" w:eastAsia="黑体"/>
      <w:b w:val="0"/>
    </w:rPr>
  </w:style>
  <w:style w:type="paragraph" w:customStyle="1" w:styleId="76">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列项◆（三级）"/>
    <w:basedOn w:val="1"/>
    <w:qFormat/>
    <w:uiPriority w:val="0"/>
    <w:pPr>
      <w:tabs>
        <w:tab w:val="left" w:pos="1678"/>
      </w:tabs>
      <w:ind w:left="1678" w:hanging="414"/>
    </w:pPr>
    <w:rPr>
      <w:rFonts w:ascii="宋体"/>
      <w:szCs w:val="21"/>
    </w:rPr>
  </w:style>
  <w:style w:type="paragraph" w:customStyle="1" w:styleId="7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0">
    <w:name w:val="正文图标题"/>
    <w:next w:val="22"/>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8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2">
    <w:name w:val="附录章标题"/>
    <w:next w:val="22"/>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4">
    <w:name w:val="注：（正文）"/>
    <w:basedOn w:val="72"/>
    <w:next w:val="22"/>
    <w:qFormat/>
    <w:uiPriority w:val="0"/>
  </w:style>
  <w:style w:type="paragraph" w:customStyle="1" w:styleId="85">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8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styleId="90">
    <w:name w:val="List Paragraph"/>
    <w:basedOn w:val="1"/>
    <w:qFormat/>
    <w:uiPriority w:val="0"/>
    <w:pPr>
      <w:ind w:firstLine="420" w:firstLineChars="200"/>
    </w:pPr>
    <w:rPr>
      <w:rFonts w:ascii="Calibri" w:hAnsi="Calibri"/>
      <w:szCs w:val="22"/>
    </w:rPr>
  </w:style>
  <w:style w:type="paragraph" w:customStyle="1" w:styleId="91">
    <w:name w:val="附录一级无"/>
    <w:basedOn w:val="92"/>
    <w:qFormat/>
    <w:uiPriority w:val="0"/>
    <w:pPr>
      <w:tabs>
        <w:tab w:val="left" w:pos="360"/>
      </w:tabs>
      <w:spacing w:beforeLines="0" w:afterLines="0"/>
    </w:pPr>
    <w:rPr>
      <w:rFonts w:ascii="宋体" w:eastAsia="宋体"/>
      <w:szCs w:val="21"/>
    </w:rPr>
  </w:style>
  <w:style w:type="paragraph" w:customStyle="1" w:styleId="92">
    <w:name w:val="附录一级条标题"/>
    <w:basedOn w:val="82"/>
    <w:next w:val="22"/>
    <w:qFormat/>
    <w:uiPriority w:val="0"/>
    <w:pPr>
      <w:autoSpaceDN w:val="0"/>
      <w:spacing w:beforeLines="50" w:afterLines="50"/>
      <w:outlineLvl w:val="2"/>
    </w:pPr>
  </w:style>
  <w:style w:type="paragraph" w:customStyle="1" w:styleId="93">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4">
    <w:name w:val="标准书眉一"/>
    <w:qFormat/>
    <w:uiPriority w:val="0"/>
    <w:pPr>
      <w:jc w:val="both"/>
    </w:pPr>
    <w:rPr>
      <w:rFonts w:ascii="Times New Roman" w:hAnsi="Times New Roman" w:eastAsia="宋体" w:cs="Times New Roman"/>
      <w:lang w:val="en-US" w:eastAsia="zh-CN" w:bidi="ar-SA"/>
    </w:rPr>
  </w:style>
  <w:style w:type="paragraph" w:customStyle="1" w:styleId="95">
    <w:name w:val="封面标准英文名称2"/>
    <w:basedOn w:val="65"/>
    <w:qFormat/>
    <w:uiPriority w:val="0"/>
    <w:pPr>
      <w:framePr w:wrap="around" w:y="4469"/>
    </w:pPr>
  </w:style>
  <w:style w:type="paragraph" w:customStyle="1" w:styleId="96">
    <w:name w:val="标准书眉_偶数页"/>
    <w:basedOn w:val="81"/>
    <w:next w:val="1"/>
    <w:qFormat/>
    <w:uiPriority w:val="0"/>
    <w:pPr>
      <w:jc w:val="left"/>
    </w:pPr>
  </w:style>
  <w:style w:type="paragraph" w:customStyle="1" w:styleId="97">
    <w:name w:val="图表脚注说明"/>
    <w:basedOn w:val="1"/>
    <w:qFormat/>
    <w:uiPriority w:val="0"/>
    <w:pPr>
      <w:ind w:left="544" w:hanging="181"/>
    </w:pPr>
    <w:rPr>
      <w:rFonts w:ascii="宋体"/>
      <w:sz w:val="18"/>
      <w:szCs w:val="18"/>
    </w:rPr>
  </w:style>
  <w:style w:type="paragraph" w:customStyle="1" w:styleId="9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9">
    <w:name w:val="终结线"/>
    <w:basedOn w:val="1"/>
    <w:qFormat/>
    <w:uiPriority w:val="0"/>
    <w:pPr>
      <w:framePr w:hSpace="181" w:vSpace="181" w:wrap="around" w:vAnchor="text" w:hAnchor="margin" w:xAlign="center" w:y="285"/>
    </w:pPr>
  </w:style>
  <w:style w:type="paragraph" w:customStyle="1" w:styleId="100">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0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2">
    <w:name w:val="附录数字编号列项（二级）"/>
    <w:qFormat/>
    <w:uiPriority w:val="0"/>
    <w:pPr>
      <w:tabs>
        <w:tab w:val="left" w:pos="840"/>
      </w:tabs>
      <w:ind w:left="839" w:hanging="419"/>
    </w:pPr>
    <w:rPr>
      <w:rFonts w:ascii="宋体" w:hAnsi="Times New Roman" w:eastAsia="宋体" w:cs="Times New Roman"/>
      <w:sz w:val="21"/>
      <w:lang w:val="en-US" w:eastAsia="zh-CN" w:bidi="ar-SA"/>
    </w:rPr>
  </w:style>
  <w:style w:type="paragraph" w:customStyle="1" w:styleId="103">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104">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105">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06">
    <w:name w:val="封面标准文稿类别"/>
    <w:basedOn w:val="64"/>
    <w:qFormat/>
    <w:uiPriority w:val="0"/>
    <w:pPr>
      <w:framePr w:wrap="around"/>
      <w:spacing w:after="160" w:line="240" w:lineRule="auto"/>
    </w:pPr>
    <w:rPr>
      <w:sz w:val="24"/>
    </w:rPr>
  </w:style>
  <w:style w:type="paragraph" w:customStyle="1" w:styleId="107">
    <w:name w:val="其他实施日期"/>
    <w:basedOn w:val="108"/>
    <w:qFormat/>
    <w:uiPriority w:val="0"/>
    <w:pPr>
      <w:framePr w:wrap="around"/>
    </w:pPr>
  </w:style>
  <w:style w:type="paragraph" w:customStyle="1" w:styleId="108">
    <w:name w:val="实施日期"/>
    <w:basedOn w:val="89"/>
    <w:qFormat/>
    <w:uiPriority w:val="0"/>
    <w:pPr>
      <w:framePr w:wrap="around" w:vAnchor="page" w:hAnchor="text"/>
      <w:jc w:val="right"/>
    </w:pPr>
  </w:style>
  <w:style w:type="paragraph" w:customStyle="1" w:styleId="109">
    <w:name w:val="五级条标题"/>
    <w:basedOn w:val="71"/>
    <w:next w:val="22"/>
    <w:qFormat/>
    <w:uiPriority w:val="0"/>
    <w:pPr>
      <w:numPr>
        <w:ilvl w:val="5"/>
      </w:numPr>
      <w:outlineLvl w:val="6"/>
    </w:pPr>
  </w:style>
  <w:style w:type="paragraph" w:customStyle="1" w:styleId="11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2">
    <w:name w:val="字母编号列项（一级）"/>
    <w:qFormat/>
    <w:uiPriority w:val="0"/>
    <w:pPr>
      <w:tabs>
        <w:tab w:val="left" w:pos="839"/>
      </w:tabs>
      <w:ind w:left="839" w:hanging="419"/>
      <w:jc w:val="both"/>
    </w:pPr>
    <w:rPr>
      <w:rFonts w:ascii="宋体" w:hAnsi="Times New Roman" w:eastAsia="宋体" w:cs="Times New Roman"/>
      <w:sz w:val="21"/>
      <w:lang w:val="en-US" w:eastAsia="zh-CN" w:bidi="ar-SA"/>
    </w:rPr>
  </w:style>
  <w:style w:type="paragraph" w:customStyle="1" w:styleId="113">
    <w:name w:val="示例"/>
    <w:next w:val="86"/>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4">
    <w:name w:val="封面标准文稿编辑信息"/>
    <w:basedOn w:val="106"/>
    <w:qFormat/>
    <w:uiPriority w:val="0"/>
    <w:pPr>
      <w:framePr w:wrap="around"/>
      <w:spacing w:before="180" w:line="180" w:lineRule="exact"/>
    </w:pPr>
    <w:rPr>
      <w:sz w:val="21"/>
    </w:rPr>
  </w:style>
  <w:style w:type="paragraph" w:customStyle="1" w:styleId="115">
    <w:name w:val="封面正文"/>
    <w:qFormat/>
    <w:uiPriority w:val="0"/>
    <w:pPr>
      <w:jc w:val="both"/>
    </w:pPr>
    <w:rPr>
      <w:rFonts w:ascii="Times New Roman" w:hAnsi="Times New Roman" w:eastAsia="宋体" w:cs="Times New Roman"/>
      <w:lang w:val="en-US" w:eastAsia="zh-CN" w:bidi="ar-SA"/>
    </w:rPr>
  </w:style>
  <w:style w:type="paragraph" w:customStyle="1" w:styleId="116">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7">
    <w:name w:val="附录标识"/>
    <w:basedOn w:val="1"/>
    <w:next w:val="22"/>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8">
    <w:name w:val="图标脚注说明"/>
    <w:basedOn w:val="22"/>
    <w:qFormat/>
    <w:uiPriority w:val="0"/>
    <w:pPr>
      <w:ind w:left="840" w:hanging="420" w:firstLineChars="0"/>
    </w:pPr>
    <w:rPr>
      <w:sz w:val="18"/>
      <w:szCs w:val="18"/>
    </w:rPr>
  </w:style>
  <w:style w:type="paragraph" w:customStyle="1" w:styleId="119">
    <w:name w:val="附录表标号"/>
    <w:basedOn w:val="1"/>
    <w:next w:val="22"/>
    <w:qFormat/>
    <w:uiPriority w:val="0"/>
    <w:pPr>
      <w:spacing w:line="14" w:lineRule="exact"/>
      <w:ind w:left="811" w:hanging="448"/>
      <w:jc w:val="center"/>
      <w:outlineLvl w:val="0"/>
    </w:pPr>
    <w:rPr>
      <w:color w:val="FFFFFF"/>
    </w:rPr>
  </w:style>
  <w:style w:type="paragraph" w:customStyle="1" w:styleId="120">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1">
    <w:name w:val="附录表标题"/>
    <w:basedOn w:val="1"/>
    <w:next w:val="22"/>
    <w:qFormat/>
    <w:uiPriority w:val="0"/>
    <w:pPr>
      <w:tabs>
        <w:tab w:val="left" w:pos="180"/>
      </w:tabs>
      <w:spacing w:beforeLines="50" w:afterLines="50"/>
      <w:jc w:val="center"/>
    </w:pPr>
    <w:rPr>
      <w:rFonts w:ascii="黑体" w:eastAsia="黑体"/>
      <w:szCs w:val="21"/>
    </w:rPr>
  </w:style>
  <w:style w:type="paragraph" w:customStyle="1" w:styleId="122">
    <w:name w:val="附录二级无"/>
    <w:basedOn w:val="61"/>
    <w:qFormat/>
    <w:uiPriority w:val="0"/>
    <w:pPr>
      <w:tabs>
        <w:tab w:val="clear" w:pos="360"/>
      </w:tabs>
      <w:spacing w:beforeLines="0" w:afterLines="0"/>
    </w:pPr>
    <w:rPr>
      <w:rFonts w:ascii="宋体" w:eastAsia="宋体"/>
      <w:szCs w:val="21"/>
    </w:rPr>
  </w:style>
  <w:style w:type="paragraph" w:customStyle="1" w:styleId="123">
    <w:name w:val="五级无"/>
    <w:basedOn w:val="109"/>
    <w:qFormat/>
    <w:uiPriority w:val="0"/>
    <w:pPr>
      <w:spacing w:beforeLines="0" w:afterLines="0"/>
    </w:pPr>
    <w:rPr>
      <w:rFonts w:ascii="宋体" w:eastAsia="宋体"/>
    </w:rPr>
  </w:style>
  <w:style w:type="paragraph" w:customStyle="1" w:styleId="124">
    <w:name w:val="附录三级无"/>
    <w:basedOn w:val="60"/>
    <w:qFormat/>
    <w:uiPriority w:val="0"/>
    <w:pPr>
      <w:tabs>
        <w:tab w:val="clear" w:pos="360"/>
      </w:tabs>
      <w:spacing w:beforeLines="0" w:afterLines="0"/>
    </w:pPr>
    <w:rPr>
      <w:rFonts w:ascii="宋体" w:eastAsia="宋体"/>
      <w:szCs w:val="21"/>
    </w:rPr>
  </w:style>
  <w:style w:type="paragraph" w:customStyle="1" w:styleId="125">
    <w:name w:val="附录图标题"/>
    <w:basedOn w:val="1"/>
    <w:next w:val="22"/>
    <w:qFormat/>
    <w:uiPriority w:val="0"/>
    <w:pPr>
      <w:tabs>
        <w:tab w:val="left" w:pos="363"/>
      </w:tabs>
      <w:spacing w:beforeLines="50" w:afterLines="50"/>
      <w:jc w:val="center"/>
    </w:pPr>
    <w:rPr>
      <w:rFonts w:ascii="黑体" w:eastAsia="黑体"/>
      <w:szCs w:val="21"/>
    </w:rPr>
  </w:style>
  <w:style w:type="paragraph" w:customStyle="1" w:styleId="126">
    <w:name w:val="列出段落1"/>
    <w:basedOn w:val="1"/>
    <w:qFormat/>
    <w:uiPriority w:val="0"/>
    <w:pPr>
      <w:ind w:firstLine="420" w:firstLineChars="200"/>
    </w:pPr>
    <w:rPr>
      <w:rFonts w:ascii="Calibri" w:hAnsi="Calibri"/>
      <w:szCs w:val="22"/>
    </w:rPr>
  </w:style>
  <w:style w:type="paragraph" w:customStyle="1" w:styleId="127">
    <w:name w:val="附录字母编号列项（一级）"/>
    <w:qFormat/>
    <w:uiPriority w:val="0"/>
    <w:pPr>
      <w:tabs>
        <w:tab w:val="left" w:pos="839"/>
      </w:tabs>
      <w:ind w:left="839" w:hanging="419"/>
    </w:pPr>
    <w:rPr>
      <w:rFonts w:ascii="宋体" w:hAnsi="Times New Roman" w:eastAsia="宋体" w:cs="Times New Roman"/>
      <w:sz w:val="21"/>
      <w:lang w:val="en-US" w:eastAsia="zh-CN" w:bidi="ar-SA"/>
    </w:rPr>
  </w:style>
  <w:style w:type="paragraph" w:customStyle="1" w:styleId="128">
    <w:name w:val="其他标准标志"/>
    <w:basedOn w:val="98"/>
    <w:qFormat/>
    <w:uiPriority w:val="0"/>
    <w:pPr>
      <w:framePr w:w="6101" w:wrap="around" w:vAnchor="page" w:hAnchor="page" w:x="4673" w:y="942"/>
    </w:pPr>
    <w:rPr>
      <w:w w:val="130"/>
    </w:rPr>
  </w:style>
  <w:style w:type="paragraph" w:customStyle="1" w:styleId="129">
    <w:name w:val="示例后文字"/>
    <w:basedOn w:val="22"/>
    <w:next w:val="22"/>
    <w:qFormat/>
    <w:uiPriority w:val="0"/>
    <w:pPr>
      <w:ind w:firstLine="360"/>
    </w:pPr>
    <w:rPr>
      <w:sz w:val="18"/>
    </w:rPr>
  </w:style>
  <w:style w:type="paragraph" w:customStyle="1" w:styleId="130">
    <w:name w:val="四级无"/>
    <w:basedOn w:val="71"/>
    <w:qFormat/>
    <w:uiPriority w:val="0"/>
    <w:pPr>
      <w:spacing w:beforeLines="0" w:afterLines="0"/>
    </w:pPr>
    <w:rPr>
      <w:rFonts w:ascii="宋体" w:eastAsia="宋体"/>
    </w:rPr>
  </w:style>
  <w:style w:type="paragraph" w:customStyle="1" w:styleId="131">
    <w:name w:val="一级无"/>
    <w:basedOn w:val="53"/>
    <w:qFormat/>
    <w:uiPriority w:val="0"/>
    <w:pPr>
      <w:spacing w:beforeLines="0" w:afterLines="0"/>
    </w:pPr>
    <w:rPr>
      <w:rFonts w:ascii="宋体" w:eastAsia="宋体"/>
    </w:rPr>
  </w:style>
  <w:style w:type="paragraph" w:customStyle="1" w:styleId="132">
    <w:name w:val="正文表标题"/>
    <w:next w:val="22"/>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3">
    <w:name w:val="其他发布日期"/>
    <w:basedOn w:val="89"/>
    <w:qFormat/>
    <w:uiPriority w:val="0"/>
    <w:pPr>
      <w:framePr w:wrap="around" w:vAnchor="page" w:hAnchor="text" w:x="1419"/>
    </w:pPr>
  </w:style>
  <w:style w:type="paragraph" w:customStyle="1" w:styleId="134">
    <w:name w:val="封面标准名称2"/>
    <w:basedOn w:val="66"/>
    <w:qFormat/>
    <w:uiPriority w:val="0"/>
    <w:pPr>
      <w:framePr w:wrap="around" w:y="4469"/>
      <w:spacing w:beforeLines="630"/>
    </w:pPr>
  </w:style>
  <w:style w:type="paragraph" w:customStyle="1" w:styleId="135">
    <w:name w:val="封面标准文稿类别2"/>
    <w:basedOn w:val="106"/>
    <w:qFormat/>
    <w:uiPriority w:val="0"/>
    <w:pPr>
      <w:framePr w:wrap="around" w:y="4469"/>
    </w:pPr>
  </w:style>
  <w:style w:type="paragraph" w:customStyle="1" w:styleId="136">
    <w:name w:val="封面标准文稿编辑信息2"/>
    <w:basedOn w:val="114"/>
    <w:qFormat/>
    <w:uiPriority w:val="0"/>
    <w:pPr>
      <w:framePr w:wrap="around" w:y="4469"/>
    </w:pPr>
  </w:style>
  <w:style w:type="character" w:customStyle="1" w:styleId="137">
    <w:name w:val="标题 2 字符"/>
    <w:link w:val="3"/>
    <w:qFormat/>
    <w:uiPriority w:val="0"/>
    <w:rPr>
      <w:rFonts w:ascii="Cambria" w:hAnsi="Cambria" w:eastAsia="宋体" w:cs="Times New Roman"/>
      <w:b/>
      <w:bCs/>
      <w:kern w:val="2"/>
      <w:sz w:val="32"/>
      <w:szCs w:val="32"/>
    </w:rPr>
  </w:style>
  <w:style w:type="character" w:customStyle="1" w:styleId="138">
    <w:name w:val="标题 3 字符"/>
    <w:link w:val="4"/>
    <w:qFormat/>
    <w:uiPriority w:val="0"/>
    <w:rPr>
      <w:b/>
      <w:bCs/>
      <w:kern w:val="2"/>
      <w:sz w:val="32"/>
      <w:szCs w:val="32"/>
    </w:rPr>
  </w:style>
  <w:style w:type="character" w:customStyle="1" w:styleId="139">
    <w:name w:val="标题 4 字符"/>
    <w:link w:val="5"/>
    <w:qFormat/>
    <w:uiPriority w:val="0"/>
    <w:rPr>
      <w:rFonts w:ascii="Cambria" w:hAnsi="Cambria" w:eastAsia="宋体" w:cs="Times New Roman"/>
      <w:b/>
      <w:bCs/>
      <w:kern w:val="2"/>
      <w:sz w:val="28"/>
      <w:szCs w:val="28"/>
    </w:rPr>
  </w:style>
  <w:style w:type="character" w:customStyle="1" w:styleId="140">
    <w:name w:val="标题 1 字符"/>
    <w:basedOn w:val="32"/>
    <w:link w:val="2"/>
    <w:qFormat/>
    <w:uiPriority w:val="0"/>
    <w:rPr>
      <w:b/>
      <w:bCs/>
      <w:kern w:val="44"/>
      <w:sz w:val="44"/>
      <w:szCs w:val="44"/>
    </w:rPr>
  </w:style>
  <w:style w:type="paragraph" w:customStyle="1" w:styleId="14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42">
    <w:name w:val="批注框文本 字符"/>
    <w:basedOn w:val="32"/>
    <w:link w:val="16"/>
    <w:qFormat/>
    <w:uiPriority w:val="0"/>
    <w:rPr>
      <w:kern w:val="2"/>
      <w:sz w:val="18"/>
      <w:szCs w:val="18"/>
    </w:rPr>
  </w:style>
  <w:style w:type="table" w:customStyle="1" w:styleId="143">
    <w:name w:val="网格型1"/>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网格型2"/>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5">
    <w:name w:val="标题 5 字符"/>
    <w:basedOn w:val="32"/>
    <w:link w:val="6"/>
    <w:qFormat/>
    <w:uiPriority w:val="0"/>
    <w:rPr>
      <w:b/>
      <w:bCs/>
      <w:kern w:val="2"/>
      <w:sz w:val="28"/>
      <w:szCs w:val="28"/>
    </w:rPr>
  </w:style>
  <w:style w:type="paragraph" w:customStyle="1" w:styleId="146">
    <w:name w:val="标准文件_段"/>
    <w:link w:val="15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标准文件_二级条标题"/>
    <w:next w:val="146"/>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48">
    <w:name w:val="标准文件_三级条标题"/>
    <w:basedOn w:val="147"/>
    <w:next w:val="146"/>
    <w:qFormat/>
    <w:uiPriority w:val="0"/>
    <w:pPr>
      <w:widowControl/>
      <w:numPr>
        <w:ilvl w:val="4"/>
      </w:numPr>
      <w:ind w:left="0"/>
      <w:outlineLvl w:val="3"/>
    </w:pPr>
  </w:style>
  <w:style w:type="paragraph" w:customStyle="1" w:styleId="149">
    <w:name w:val="标准文件_四级条标题"/>
    <w:next w:val="146"/>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50">
    <w:name w:val="标准文件_五级条标题"/>
    <w:next w:val="146"/>
    <w:qFormat/>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51">
    <w:name w:val="标准文件_章标题"/>
    <w:next w:val="146"/>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52">
    <w:name w:val="标准文件_一级条标题"/>
    <w:basedOn w:val="151"/>
    <w:next w:val="146"/>
    <w:qFormat/>
    <w:uiPriority w:val="0"/>
    <w:pPr>
      <w:numPr>
        <w:ilvl w:val="2"/>
      </w:numPr>
      <w:spacing w:before="50" w:beforeLines="50" w:after="50" w:afterLines="50"/>
      <w:outlineLvl w:val="1"/>
    </w:pPr>
  </w:style>
  <w:style w:type="paragraph" w:customStyle="1" w:styleId="153">
    <w:name w:val="前言标题"/>
    <w:next w:val="1"/>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154">
    <w:name w:val="标准文件_段 Char"/>
    <w:link w:val="146"/>
    <w:qFormat/>
    <w:uiPriority w:val="0"/>
    <w:rPr>
      <w:rFonts w:ascii="宋体"/>
      <w:sz w:val="21"/>
    </w:rPr>
  </w:style>
  <w:style w:type="paragraph" w:customStyle="1" w:styleId="155">
    <w:name w:val="标准文件_正文图标题"/>
    <w:next w:val="146"/>
    <w:qFormat/>
    <w:uiPriority w:val="0"/>
    <w:pPr>
      <w:numPr>
        <w:ilvl w:val="0"/>
        <w:numId w:val="4"/>
      </w:numPr>
      <w:spacing w:before="50" w:beforeLines="50" w:after="50" w:afterLines="50"/>
      <w:jc w:val="center"/>
    </w:pPr>
    <w:rPr>
      <w:rFonts w:ascii="黑体" w:hAnsi="Times New Roman" w:eastAsia="黑体" w:cs="Times New Roman"/>
      <w:sz w:val="21"/>
      <w:lang w:val="en-US" w:eastAsia="zh-CN" w:bidi="ar-SA"/>
    </w:rPr>
  </w:style>
  <w:style w:type="paragraph" w:customStyle="1" w:styleId="15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50D4EA-2D81-42FB-929F-B544014616BD}">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9</Pages>
  <Words>5462</Words>
  <Characters>5711</Characters>
  <Lines>41</Lines>
  <Paragraphs>11</Paragraphs>
  <TotalTime>191</TotalTime>
  <ScaleCrop>false</ScaleCrop>
  <LinksUpToDate>false</LinksUpToDate>
  <CharactersWithSpaces>5756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2021-10-18T06:40:00Z</dcterms:created>
  <dc:creator>user</dc:creator>
  <cp:lastModifiedBy>综合业务部</cp:lastModifiedBy>
  <cp:lastPrinted>2018-05-23T02:12:00Z</cp:lastPrinted>
  <dcterms:modified xsi:type="dcterms:W3CDTF">2022-10-09T02:45:56Z</dcterms:modified>
  <dc:title>《聚氨酯合成革  节能环保技术要求》</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51EE6FD644A34D8B8ECEFDA6182A841D</vt:lpwstr>
  </property>
</Properties>
</file>