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9"/>
        <w:spacing w:line="300" w:lineRule="auto"/>
        <w:rPr>
          <w:rFonts w:ascii="Times New Roman"/>
          <w:color w:val="auto"/>
        </w:rPr>
      </w:pPr>
      <w:r>
        <w:rPr>
          <w:rFonts w:ascii="Times New Roman"/>
          <w:color w:val="auto"/>
        </w:rPr>
        <w:t>ICS</w:t>
      </w:r>
      <w:r>
        <w:rPr>
          <w:rFonts w:ascii="Times New Roman" w:eastAsia="MS Mincho"/>
          <w:color w:val="auto"/>
        </w:rPr>
        <w:t> </w:t>
      </w:r>
      <w:bookmarkStart w:id="0" w:name="ICS"/>
      <w:r>
        <w:rPr>
          <w:rFonts w:ascii="Times New Roman" w:eastAsia="宋体"/>
          <w:color w:val="auto"/>
        </w:rPr>
        <w:t>67.180</w:t>
      </w:r>
      <w:bookmarkEnd w:id="0"/>
    </w:p>
    <w:p>
      <w:pPr>
        <w:pStyle w:val="119"/>
        <w:spacing w:line="300" w:lineRule="auto"/>
        <w:rPr>
          <w:rFonts w:ascii="Times New Roman"/>
          <w:color w:val="auto"/>
        </w:rPr>
      </w:pPr>
      <w:r>
        <w:rPr>
          <w:rFonts w:ascii="Times New Roman"/>
          <w:color w:val="auto"/>
        </w:rPr>
        <w:t>X31</w:t>
      </w:r>
    </w:p>
    <w:tbl>
      <w:tblPr>
        <w:tblStyle w:val="35"/>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19"/>
              <w:spacing w:line="300" w:lineRule="auto"/>
              <w:rPr>
                <w:rFonts w:ascii="Times New Roman"/>
                <w:color w:val="auto"/>
              </w:rPr>
            </w:pPr>
            <w:r>
              <w:rPr>
                <w:rFonts w:ascii="Times New Roman"/>
                <w:color w:val="auto"/>
              </w:rPr>
              <w:pict>
                <v:rect id="BAH" o:spid="_x0000_s1039" o:spt="1" style="position:absolute;left:0pt;margin-left:-5.25pt;margin-top:0pt;height:15.6pt;width:68.25pt;z-index:-251654144;mso-width-relative:page;mso-height-relative:page;" stroked="f" coordsize="21600,21600">
                  <v:path/>
                  <v:fill focussize="0,0"/>
                  <v:stroke on="f"/>
                  <v:imagedata o:title=""/>
                  <o:lock v:ext="edit"/>
                  <v:textbox>
                    <w:txbxContent>
                      <w:p/>
                    </w:txbxContent>
                  </v:textbox>
                </v:rect>
              </w:pict>
            </w:r>
          </w:p>
        </w:tc>
      </w:tr>
    </w:tbl>
    <w:p>
      <w:pPr>
        <w:pStyle w:val="110"/>
        <w:spacing w:line="300" w:lineRule="auto"/>
        <w:rPr>
          <w:color w:val="auto"/>
        </w:rPr>
      </w:pPr>
      <w:r>
        <w:rPr>
          <w:rFonts w:ascii="Times New Roman"/>
          <w:color w:val="auto"/>
        </w:rPr>
        <w:t>XX</w:t>
      </w:r>
    </w:p>
    <w:p>
      <w:pPr>
        <w:pStyle w:val="130"/>
        <w:spacing w:line="300" w:lineRule="auto"/>
        <w:rPr>
          <w:rFonts w:ascii="Times New Roman" w:hAnsi="Times New Roman"/>
          <w:color w:val="auto"/>
        </w:rPr>
      </w:pPr>
      <w:r>
        <w:rPr>
          <w:rFonts w:ascii="Times New Roman" w:hAnsi="Times New Roman"/>
          <w:color w:val="auto"/>
        </w:rPr>
        <w:t>团体标准</w:t>
      </w:r>
    </w:p>
    <w:p>
      <w:pPr>
        <w:pStyle w:val="80"/>
        <w:spacing w:line="300" w:lineRule="auto"/>
        <w:rPr>
          <w:rFonts w:ascii="Times New Roman"/>
          <w:color w:val="auto"/>
        </w:rPr>
      </w:pPr>
      <w:r>
        <w:rPr>
          <w:rFonts w:ascii="Times New Roman"/>
          <w:color w:val="auto"/>
        </w:rPr>
        <w:t>X/X XXXX—</w:t>
      </w:r>
      <w:bookmarkStart w:id="1" w:name="StdNo2"/>
      <w:r>
        <w:rPr>
          <w:rFonts w:ascii="Times New Roman"/>
          <w:color w:val="auto"/>
        </w:rPr>
        <w:t>XXXX</w:t>
      </w:r>
      <w:bookmarkEnd w:id="1"/>
    </w:p>
    <w:tbl>
      <w:tblPr>
        <w:tblStyle w:val="35"/>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57"/>
              <w:wordWrap w:val="0"/>
              <w:spacing w:line="300" w:lineRule="auto"/>
              <w:rPr>
                <w:rFonts w:ascii="Times New Roman"/>
                <w:color w:val="auto"/>
              </w:rPr>
            </w:pPr>
            <w:r>
              <w:rPr>
                <w:rFonts w:ascii="Times New Roman"/>
                <w:color w:val="auto"/>
              </w:rPr>
              <w:t xml:space="preserve"> </w:t>
            </w:r>
          </w:p>
        </w:tc>
      </w:tr>
    </w:tbl>
    <w:p>
      <w:pPr>
        <w:pStyle w:val="80"/>
        <w:spacing w:line="300" w:lineRule="auto"/>
        <w:rPr>
          <w:rFonts w:ascii="Times New Roman"/>
          <w:color w:val="auto"/>
        </w:rPr>
      </w:pPr>
    </w:p>
    <w:p>
      <w:pPr>
        <w:pStyle w:val="80"/>
        <w:spacing w:line="300" w:lineRule="auto"/>
        <w:rPr>
          <w:rFonts w:ascii="Times New Roman"/>
          <w:color w:val="auto"/>
        </w:rPr>
      </w:pPr>
    </w:p>
    <w:p>
      <w:pPr>
        <w:pStyle w:val="55"/>
        <w:framePr w:x="1440" w:y="5914"/>
        <w:spacing w:line="300" w:lineRule="auto"/>
        <w:rPr>
          <w:rFonts w:ascii="Times New Roman"/>
          <w:color w:val="auto"/>
        </w:rPr>
      </w:pPr>
      <w:r>
        <w:rPr>
          <w:rFonts w:ascii="Times New Roman"/>
          <w:color w:val="auto"/>
        </w:rPr>
        <w:t>制糖行业绿色工厂评价导则</w:t>
      </w:r>
    </w:p>
    <w:p>
      <w:pPr>
        <w:pStyle w:val="54"/>
        <w:framePr w:x="1440" w:y="5914"/>
        <w:spacing w:line="300" w:lineRule="auto"/>
        <w:rPr>
          <w:color w:val="auto"/>
        </w:rPr>
      </w:pPr>
      <w:r>
        <w:rPr>
          <w:rStyle w:val="44"/>
          <w:rFonts w:eastAsia="宋体"/>
          <w:color w:val="auto"/>
        </w:rPr>
        <w:t>Directives for assessment of green factory in sugar industry</w:t>
      </w:r>
      <w:r>
        <w:rPr>
          <w:rFonts w:eastAsia="宋体"/>
          <w:color w:val="auto"/>
          <w:sz w:val="24"/>
          <w:szCs w:val="24"/>
        </w:rPr>
        <w:t xml:space="preserve"> </w:t>
      </w:r>
    </w:p>
    <w:p>
      <w:pPr>
        <w:pStyle w:val="53"/>
        <w:framePr w:x="1440" w:y="5914"/>
        <w:spacing w:line="300" w:lineRule="auto"/>
        <w:rPr>
          <w:rFonts w:ascii="Times New Roman"/>
          <w:color w:val="auto"/>
        </w:rPr>
      </w:pPr>
    </w:p>
    <w:tbl>
      <w:tblPr>
        <w:tblStyle w:val="35"/>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87"/>
              <w:framePr w:x="1440" w:y="5914"/>
              <w:spacing w:line="300" w:lineRule="auto"/>
              <w:rPr>
                <w:rFonts w:ascii="Times New Roman"/>
                <w:color w:val="auto"/>
              </w:rPr>
            </w:pPr>
            <w:r>
              <w:rPr>
                <w:rFonts w:ascii="Times New Roman"/>
                <w:color w:val="auto"/>
              </w:rPr>
              <w:pict>
                <v:rect id="RQ" o:spid="_x0000_s1038" o:spt="1" style="position:absolute;left:0pt;margin-left:173.3pt;margin-top:337.15pt;height:20pt;width:150pt;z-index:-251655168;mso-width-relative:page;mso-height-relative:page;" stroked="f" coordsize="21600,21600">
                  <v:path/>
                  <v:fill focussize="0,0"/>
                  <v:stroke on="f"/>
                  <v:imagedata o:title=""/>
                  <o:lock v:ext="edit"/>
                  <v:textbox>
                    <w:txbxContent>
                      <w:p/>
                    </w:txbxContent>
                  </v:textbox>
                  <w10:anchorlock/>
                </v:rect>
              </w:pict>
            </w:r>
            <w:r>
              <w:rPr>
                <w:rFonts w:ascii="Times New Roman"/>
                <w:color w:val="auto"/>
              </w:rPr>
              <w:t>草案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91"/>
              <w:framePr w:x="1440" w:y="5914"/>
              <w:spacing w:line="300" w:lineRule="auto"/>
              <w:rPr>
                <w:rFonts w:ascii="Times New Roman"/>
                <w:color w:val="auto"/>
              </w:rPr>
            </w:pPr>
          </w:p>
        </w:tc>
      </w:tr>
    </w:tbl>
    <w:p>
      <w:pPr>
        <w:pStyle w:val="105"/>
        <w:framePr w:vAnchor="page" w:hAnchor="page" w:x="1545" w:y="14472"/>
        <w:spacing w:line="300" w:lineRule="auto"/>
        <w:rPr>
          <w:color w:val="auto"/>
        </w:rPr>
      </w:pPr>
      <w:r>
        <w:rPr>
          <w:color w:val="auto"/>
        </w:rPr>
        <w:t>XXXX - XX - XX发布</w:t>
      </w:r>
      <w:r>
        <w:rPr>
          <w:color w:val="auto"/>
        </w:rPr>
        <w:pict>
          <v:line id="_x0000_s1034" o:spid="_x0000_s1034" o:spt="20" style="position:absolute;left:0pt;margin-left:49.25pt;margin-top:-670.85pt;height:0pt;width:481.9pt;mso-position-vertical-relative:page;z-index:251662336;mso-width-relative:page;mso-height-relative:page;" coordsize="21600,21600">
            <v:path arrowok="t"/>
            <v:fill focussize="0,0"/>
            <v:stroke/>
            <v:imagedata o:title=""/>
            <o:lock v:ext="edit"/>
            <w10:anchorlock/>
          </v:line>
        </w:pict>
      </w:r>
    </w:p>
    <w:p>
      <w:pPr>
        <w:pStyle w:val="94"/>
        <w:framePr w:vAnchor="page" w:hAnchor="page" w:x="6945" w:y="14506"/>
        <w:spacing w:line="300" w:lineRule="auto"/>
        <w:rPr>
          <w:color w:val="auto"/>
        </w:rPr>
      </w:pPr>
      <w:r>
        <w:rPr>
          <w:color w:val="auto"/>
        </w:rPr>
        <w:t>XXXX - XX - XX实施</w:t>
      </w:r>
    </w:p>
    <w:p>
      <w:pPr>
        <w:pStyle w:val="134"/>
        <w:spacing w:line="300" w:lineRule="auto"/>
        <w:rPr>
          <w:rFonts w:ascii="Times New Roman"/>
          <w:color w:val="auto"/>
        </w:rPr>
      </w:pPr>
      <w:bookmarkStart w:id="2" w:name="fm"/>
      <w:r>
        <w:rPr>
          <w:rFonts w:ascii="Times New Roman"/>
          <w:color w:val="auto"/>
          <w:w w:val="100"/>
        </w:rPr>
        <w:pict>
          <v:rect id="LB" o:spid="_x0000_s1037" o:spt="1" style="position:absolute;left:0pt;margin-left:142.55pt;margin-top:-310.45pt;height:24pt;width:100pt;z-index:-251656192;mso-width-relative:page;mso-height-relative:page;" stroked="f" coordsize="21600,21600">
            <v:path/>
            <v:fill focussize="0,0"/>
            <v:stroke on="f"/>
            <v:imagedata o:title=""/>
            <o:lock v:ext="edit"/>
            <v:textbox>
              <w:txbxContent>
                <w:p/>
              </w:txbxContent>
            </v:textbox>
          </v:rect>
        </w:pict>
      </w:r>
      <w:r>
        <w:rPr>
          <w:rFonts w:ascii="Times New Roman"/>
          <w:color w:val="auto"/>
          <w:w w:val="100"/>
        </w:rPr>
        <w:pict>
          <v:rect id="DT" o:spid="_x0000_s1036" o:spt="1" style="position:absolute;left:0pt;margin-left:347.55pt;margin-top:-585.45pt;height:18pt;width:90pt;z-index:-251657216;mso-width-relative:page;mso-height-relative:page;" stroked="f" coordsize="21600,21600">
            <v:path/>
            <v:fill focussize="0,0"/>
            <v:stroke on="f"/>
            <v:imagedata o:title=""/>
            <o:lock v:ext="edit"/>
            <v:textbox>
              <w:txbxContent>
                <w:p/>
              </w:txbxContent>
            </v:textbox>
          </v:rect>
        </w:pict>
      </w:r>
      <w:r>
        <w:rPr>
          <w:rFonts w:ascii="Times New Roman"/>
          <w:color w:val="auto"/>
          <w:w w:val="100"/>
        </w:rPr>
        <w:pict>
          <v:line id="_x0000_s1035" o:spid="_x0000_s1035" o:spt="20" style="position:absolute;left:0pt;margin-left:-36.6pt;margin-top:-552.85pt;height:0pt;width:481.9pt;z-index:251663360;mso-width-relative:page;mso-height-relative:page;" coordsize="21600,21600">
            <v:path arrowok="t"/>
            <v:fill focussize="0,0"/>
            <v:stroke/>
            <v:imagedata o:title=""/>
            <o:lock v:ext="edit"/>
          </v:line>
        </w:pict>
      </w:r>
      <w:bookmarkEnd w:id="2"/>
      <w:r>
        <w:rPr>
          <w:rFonts w:hint="eastAsia" w:ascii="Times New Roman"/>
          <w:color w:val="auto"/>
          <w:w w:val="100"/>
          <w:lang w:val="en-US" w:eastAsia="zh-CN"/>
        </w:rPr>
        <w:t>中国轻工业联合会</w:t>
      </w:r>
      <w:r>
        <w:rPr>
          <w:rFonts w:ascii="Times New Roman" w:eastAsia="MS Mincho"/>
          <w:color w:val="auto"/>
        </w:rPr>
        <w:t>  </w:t>
      </w:r>
      <w:r>
        <w:rPr>
          <w:rStyle w:val="45"/>
          <w:rFonts w:ascii="Times New Roman"/>
          <w:color w:val="auto"/>
        </w:rPr>
        <w:t>发布</w:t>
      </w:r>
    </w:p>
    <w:p>
      <w:pPr>
        <w:pStyle w:val="25"/>
        <w:spacing w:line="300" w:lineRule="auto"/>
        <w:rPr>
          <w:rFonts w:ascii="Times New Roman"/>
          <w:color w:val="auto"/>
        </w:rPr>
        <w:sectPr>
          <w:pgSz w:w="11906" w:h="16838"/>
          <w:pgMar w:top="567" w:right="850" w:bottom="1134" w:left="1418" w:header="0" w:footer="0" w:gutter="0"/>
          <w:pgNumType w:start="1"/>
          <w:cols w:space="720" w:num="1"/>
          <w:docGrid w:type="lines" w:linePitch="312" w:charSpace="0"/>
        </w:sectPr>
      </w:pPr>
      <w:r>
        <w:rPr>
          <w:color w:val="auto"/>
          <w:sz w:val="21"/>
        </w:rPr>
        <w:pict>
          <v:line id="_x0000_s1040" o:spid="_x0000_s1040" o:spt="20" style="position:absolute;left:0pt;margin-left:4.4pt;margin-top:727.75pt;height:1.55pt;width:471.05pt;z-index:251664384;mso-width-relative:page;mso-height-relative:page;" fillcolor="#FFFFFF" filled="t" stroked="t" coordsize="21600,21600">
            <v:path arrowok="t"/>
            <v:fill on="t" color2="#FFFFFF" focussize="0,0"/>
            <v:stroke color="#000000"/>
            <v:imagedata o:title=""/>
            <o:lock v:ext="edit" aspectratio="f"/>
          </v:line>
        </w:pict>
      </w:r>
    </w:p>
    <w:p>
      <w:pPr>
        <w:pStyle w:val="25"/>
        <w:ind w:firstLine="0" w:firstLineChars="0"/>
        <w:jc w:val="center"/>
        <w:rPr>
          <w:b/>
          <w:color w:val="auto"/>
          <w:sz w:val="36"/>
          <w:szCs w:val="36"/>
        </w:rPr>
      </w:pPr>
      <w:bookmarkStart w:id="3" w:name="_Toc373593391"/>
      <w:r>
        <w:rPr>
          <w:rFonts w:hint="eastAsia"/>
          <w:b/>
          <w:color w:val="auto"/>
          <w:sz w:val="36"/>
          <w:szCs w:val="36"/>
        </w:rPr>
        <w:t>目  次</w:t>
      </w:r>
    </w:p>
    <w:p>
      <w:pPr>
        <w:pStyle w:val="25"/>
        <w:ind w:firstLine="0" w:firstLineChars="0"/>
        <w:jc w:val="center"/>
        <w:rPr>
          <w:b/>
          <w:color w:val="auto"/>
          <w:sz w:val="32"/>
          <w:szCs w:val="32"/>
        </w:rPr>
      </w:pPr>
    </w:p>
    <w:p>
      <w:pPr>
        <w:pStyle w:val="21"/>
        <w:spacing w:before="78" w:after="78" w:line="360" w:lineRule="auto"/>
        <w:rPr>
          <w:rFonts w:ascii="Times New Roman" w:eastAsiaTheme="minorEastAsia"/>
          <w:color w:val="auto"/>
          <w:sz w:val="24"/>
          <w:szCs w:val="24"/>
        </w:rPr>
      </w:pPr>
      <w:r>
        <w:rPr>
          <w:color w:val="auto"/>
        </w:rPr>
        <w:fldChar w:fldCharType="begin"/>
      </w:r>
      <w:r>
        <w:rPr>
          <w:color w:val="auto"/>
        </w:rPr>
        <w:instrText xml:space="preserve"> TOC \o "1-2" \h \z \u </w:instrText>
      </w:r>
      <w:r>
        <w:rPr>
          <w:color w:val="auto"/>
        </w:rPr>
        <w:fldChar w:fldCharType="separate"/>
      </w:r>
      <w:r>
        <w:rPr>
          <w:color w:val="auto"/>
        </w:rPr>
        <w:fldChar w:fldCharType="begin"/>
      </w:r>
      <w:r>
        <w:rPr>
          <w:color w:val="auto"/>
        </w:rPr>
        <w:instrText xml:space="preserve"> HYPERLINK \l "_Toc55722979" </w:instrText>
      </w:r>
      <w:r>
        <w:rPr>
          <w:color w:val="auto"/>
        </w:rPr>
        <w:fldChar w:fldCharType="separate"/>
      </w:r>
      <w:r>
        <w:rPr>
          <w:rStyle w:val="42"/>
          <w:rFonts w:ascii="Times New Roman" w:hAnsiTheme="minorEastAsia" w:eastAsiaTheme="minorEastAsia"/>
          <w:color w:val="auto"/>
          <w:sz w:val="24"/>
          <w:szCs w:val="24"/>
        </w:rPr>
        <w:t>前言</w:t>
      </w:r>
      <w:r>
        <w:rPr>
          <w:rFonts w:ascii="Times New Roman" w:eastAsiaTheme="minorEastAsia"/>
          <w:color w:val="auto"/>
          <w:sz w:val="24"/>
          <w:szCs w:val="24"/>
        </w:rPr>
        <w:tab/>
      </w:r>
      <w:r>
        <w:rPr>
          <w:rFonts w:ascii="Times New Roman" w:eastAsiaTheme="minorEastAsia"/>
          <w:color w:val="auto"/>
          <w:sz w:val="24"/>
          <w:szCs w:val="24"/>
        </w:rPr>
        <w:fldChar w:fldCharType="begin"/>
      </w:r>
      <w:r>
        <w:rPr>
          <w:rFonts w:ascii="Times New Roman" w:eastAsiaTheme="minorEastAsia"/>
          <w:color w:val="auto"/>
          <w:sz w:val="24"/>
          <w:szCs w:val="24"/>
        </w:rPr>
        <w:instrText xml:space="preserve"> PAGEREF _Toc55722979 \h </w:instrText>
      </w:r>
      <w:r>
        <w:rPr>
          <w:rFonts w:ascii="Times New Roman" w:eastAsiaTheme="minorEastAsia"/>
          <w:color w:val="auto"/>
          <w:sz w:val="24"/>
          <w:szCs w:val="24"/>
        </w:rPr>
        <w:fldChar w:fldCharType="separate"/>
      </w:r>
      <w:r>
        <w:rPr>
          <w:rFonts w:ascii="Times New Roman" w:eastAsiaTheme="minorEastAsia"/>
          <w:color w:val="auto"/>
          <w:sz w:val="24"/>
          <w:szCs w:val="24"/>
        </w:rPr>
        <w:t>II</w:t>
      </w:r>
      <w:r>
        <w:rPr>
          <w:rFonts w:ascii="Times New Roman" w:eastAsiaTheme="minorEastAsia"/>
          <w:color w:val="auto"/>
          <w:sz w:val="24"/>
          <w:szCs w:val="24"/>
        </w:rPr>
        <w:fldChar w:fldCharType="end"/>
      </w:r>
      <w:r>
        <w:rPr>
          <w:rFonts w:ascii="Times New Roman" w:eastAsiaTheme="minorEastAsia"/>
          <w:color w:val="auto"/>
          <w:sz w:val="24"/>
          <w:szCs w:val="24"/>
        </w:rPr>
        <w:fldChar w:fldCharType="end"/>
      </w:r>
    </w:p>
    <w:p>
      <w:pPr>
        <w:pStyle w:val="30"/>
        <w:spacing w:line="360" w:lineRule="auto"/>
        <w:rPr>
          <w:rFonts w:ascii="Times New Roman" w:eastAsiaTheme="minorEastAsia"/>
          <w:color w:val="auto"/>
          <w:sz w:val="24"/>
          <w:szCs w:val="24"/>
        </w:rPr>
      </w:pPr>
      <w:r>
        <w:rPr>
          <w:color w:val="auto"/>
        </w:rPr>
        <w:fldChar w:fldCharType="begin"/>
      </w:r>
      <w:r>
        <w:rPr>
          <w:color w:val="auto"/>
        </w:rPr>
        <w:instrText xml:space="preserve"> HYPERLINK \l "_Toc55722981" </w:instrText>
      </w:r>
      <w:r>
        <w:rPr>
          <w:color w:val="auto"/>
        </w:rPr>
        <w:fldChar w:fldCharType="separate"/>
      </w:r>
      <w:r>
        <w:rPr>
          <w:rStyle w:val="42"/>
          <w:rFonts w:ascii="Times New Roman" w:eastAsiaTheme="minorEastAsia"/>
          <w:color w:val="auto"/>
          <w:sz w:val="24"/>
          <w:szCs w:val="24"/>
        </w:rPr>
        <w:t xml:space="preserve">1 </w:t>
      </w:r>
      <w:r>
        <w:rPr>
          <w:rStyle w:val="42"/>
          <w:rFonts w:ascii="Times New Roman" w:hAnsiTheme="minorEastAsia" w:eastAsiaTheme="minorEastAsia"/>
          <w:color w:val="auto"/>
          <w:sz w:val="24"/>
          <w:szCs w:val="24"/>
        </w:rPr>
        <w:t>范围</w:t>
      </w:r>
      <w:r>
        <w:rPr>
          <w:rFonts w:ascii="Times New Roman" w:eastAsiaTheme="minorEastAsia"/>
          <w:color w:val="auto"/>
          <w:sz w:val="24"/>
          <w:szCs w:val="24"/>
        </w:rPr>
        <w:tab/>
      </w:r>
      <w:r>
        <w:rPr>
          <w:rFonts w:ascii="Times New Roman" w:eastAsiaTheme="minorEastAsia"/>
          <w:color w:val="auto"/>
          <w:sz w:val="24"/>
          <w:szCs w:val="24"/>
        </w:rPr>
        <w:fldChar w:fldCharType="begin"/>
      </w:r>
      <w:r>
        <w:rPr>
          <w:rFonts w:ascii="Times New Roman" w:eastAsiaTheme="minorEastAsia"/>
          <w:color w:val="auto"/>
          <w:sz w:val="24"/>
          <w:szCs w:val="24"/>
        </w:rPr>
        <w:instrText xml:space="preserve"> PAGEREF _Toc55722981 \h </w:instrText>
      </w:r>
      <w:r>
        <w:rPr>
          <w:rFonts w:ascii="Times New Roman" w:eastAsiaTheme="minorEastAsia"/>
          <w:color w:val="auto"/>
          <w:sz w:val="24"/>
          <w:szCs w:val="24"/>
        </w:rPr>
        <w:fldChar w:fldCharType="separate"/>
      </w:r>
      <w:r>
        <w:rPr>
          <w:rFonts w:ascii="Times New Roman" w:eastAsiaTheme="minorEastAsia"/>
          <w:color w:val="auto"/>
          <w:sz w:val="24"/>
          <w:szCs w:val="24"/>
        </w:rPr>
        <w:t>1</w:t>
      </w:r>
      <w:r>
        <w:rPr>
          <w:rFonts w:ascii="Times New Roman" w:eastAsiaTheme="minorEastAsia"/>
          <w:color w:val="auto"/>
          <w:sz w:val="24"/>
          <w:szCs w:val="24"/>
        </w:rPr>
        <w:fldChar w:fldCharType="end"/>
      </w:r>
      <w:r>
        <w:rPr>
          <w:rFonts w:ascii="Times New Roman" w:eastAsiaTheme="minorEastAsia"/>
          <w:color w:val="auto"/>
          <w:sz w:val="24"/>
          <w:szCs w:val="24"/>
        </w:rPr>
        <w:fldChar w:fldCharType="end"/>
      </w:r>
    </w:p>
    <w:p>
      <w:pPr>
        <w:pStyle w:val="30"/>
        <w:spacing w:line="360" w:lineRule="auto"/>
        <w:rPr>
          <w:rFonts w:ascii="Times New Roman" w:eastAsiaTheme="minorEastAsia"/>
          <w:color w:val="auto"/>
          <w:sz w:val="24"/>
          <w:szCs w:val="24"/>
        </w:rPr>
      </w:pPr>
      <w:r>
        <w:rPr>
          <w:color w:val="auto"/>
        </w:rPr>
        <w:fldChar w:fldCharType="begin"/>
      </w:r>
      <w:r>
        <w:rPr>
          <w:color w:val="auto"/>
        </w:rPr>
        <w:instrText xml:space="preserve"> HYPERLINK \l "_Toc55722982" </w:instrText>
      </w:r>
      <w:r>
        <w:rPr>
          <w:color w:val="auto"/>
        </w:rPr>
        <w:fldChar w:fldCharType="separate"/>
      </w:r>
      <w:r>
        <w:rPr>
          <w:rStyle w:val="42"/>
          <w:rFonts w:ascii="Times New Roman" w:eastAsiaTheme="minorEastAsia"/>
          <w:color w:val="auto"/>
          <w:sz w:val="24"/>
          <w:szCs w:val="24"/>
        </w:rPr>
        <w:t xml:space="preserve">2 </w:t>
      </w:r>
      <w:r>
        <w:rPr>
          <w:rStyle w:val="42"/>
          <w:rFonts w:ascii="Times New Roman" w:hAnsiTheme="minorEastAsia" w:eastAsiaTheme="minorEastAsia"/>
          <w:color w:val="auto"/>
          <w:sz w:val="24"/>
          <w:szCs w:val="24"/>
        </w:rPr>
        <w:t>规范性引用文件</w:t>
      </w:r>
      <w:r>
        <w:rPr>
          <w:rFonts w:ascii="Times New Roman" w:eastAsiaTheme="minorEastAsia"/>
          <w:color w:val="auto"/>
          <w:sz w:val="24"/>
          <w:szCs w:val="24"/>
        </w:rPr>
        <w:tab/>
      </w:r>
      <w:r>
        <w:rPr>
          <w:rFonts w:ascii="Times New Roman" w:eastAsiaTheme="minorEastAsia"/>
          <w:color w:val="auto"/>
          <w:sz w:val="24"/>
          <w:szCs w:val="24"/>
        </w:rPr>
        <w:fldChar w:fldCharType="begin"/>
      </w:r>
      <w:r>
        <w:rPr>
          <w:rFonts w:ascii="Times New Roman" w:eastAsiaTheme="minorEastAsia"/>
          <w:color w:val="auto"/>
          <w:sz w:val="24"/>
          <w:szCs w:val="24"/>
        </w:rPr>
        <w:instrText xml:space="preserve"> PAGEREF _Toc55722982 \h </w:instrText>
      </w:r>
      <w:r>
        <w:rPr>
          <w:rFonts w:ascii="Times New Roman" w:eastAsiaTheme="minorEastAsia"/>
          <w:color w:val="auto"/>
          <w:sz w:val="24"/>
          <w:szCs w:val="24"/>
        </w:rPr>
        <w:fldChar w:fldCharType="separate"/>
      </w:r>
      <w:r>
        <w:rPr>
          <w:rFonts w:ascii="Times New Roman" w:eastAsiaTheme="minorEastAsia"/>
          <w:color w:val="auto"/>
          <w:sz w:val="24"/>
          <w:szCs w:val="24"/>
        </w:rPr>
        <w:t>1</w:t>
      </w:r>
      <w:r>
        <w:rPr>
          <w:rFonts w:ascii="Times New Roman" w:eastAsiaTheme="minorEastAsia"/>
          <w:color w:val="auto"/>
          <w:sz w:val="24"/>
          <w:szCs w:val="24"/>
        </w:rPr>
        <w:fldChar w:fldCharType="end"/>
      </w:r>
      <w:r>
        <w:rPr>
          <w:rFonts w:ascii="Times New Roman" w:eastAsiaTheme="minorEastAsia"/>
          <w:color w:val="auto"/>
          <w:sz w:val="24"/>
          <w:szCs w:val="24"/>
        </w:rPr>
        <w:fldChar w:fldCharType="end"/>
      </w:r>
    </w:p>
    <w:p>
      <w:pPr>
        <w:pStyle w:val="30"/>
        <w:spacing w:line="360" w:lineRule="auto"/>
        <w:rPr>
          <w:rFonts w:ascii="Times New Roman" w:eastAsiaTheme="minorEastAsia"/>
          <w:color w:val="auto"/>
          <w:sz w:val="24"/>
          <w:szCs w:val="24"/>
        </w:rPr>
      </w:pPr>
      <w:r>
        <w:rPr>
          <w:color w:val="auto"/>
        </w:rPr>
        <w:fldChar w:fldCharType="begin"/>
      </w:r>
      <w:r>
        <w:rPr>
          <w:color w:val="auto"/>
        </w:rPr>
        <w:instrText xml:space="preserve"> HYPERLINK \l "_Toc55722983" </w:instrText>
      </w:r>
      <w:r>
        <w:rPr>
          <w:color w:val="auto"/>
        </w:rPr>
        <w:fldChar w:fldCharType="separate"/>
      </w:r>
      <w:r>
        <w:rPr>
          <w:rStyle w:val="42"/>
          <w:rFonts w:ascii="Times New Roman" w:eastAsiaTheme="minorEastAsia"/>
          <w:color w:val="auto"/>
          <w:sz w:val="24"/>
          <w:szCs w:val="24"/>
        </w:rPr>
        <w:t xml:space="preserve">3 </w:t>
      </w:r>
      <w:r>
        <w:rPr>
          <w:rStyle w:val="42"/>
          <w:rFonts w:ascii="Times New Roman" w:hAnsiTheme="minorEastAsia" w:eastAsiaTheme="minorEastAsia"/>
          <w:color w:val="auto"/>
          <w:sz w:val="24"/>
          <w:szCs w:val="24"/>
        </w:rPr>
        <w:t>术语与定义</w:t>
      </w:r>
      <w:r>
        <w:rPr>
          <w:rFonts w:ascii="Times New Roman" w:eastAsiaTheme="minorEastAsia"/>
          <w:color w:val="auto"/>
          <w:sz w:val="24"/>
          <w:szCs w:val="24"/>
        </w:rPr>
        <w:tab/>
      </w:r>
      <w:r>
        <w:rPr>
          <w:rFonts w:ascii="Times New Roman" w:eastAsiaTheme="minorEastAsia"/>
          <w:color w:val="auto"/>
          <w:sz w:val="24"/>
          <w:szCs w:val="24"/>
        </w:rPr>
        <w:fldChar w:fldCharType="begin"/>
      </w:r>
      <w:r>
        <w:rPr>
          <w:rFonts w:ascii="Times New Roman" w:eastAsiaTheme="minorEastAsia"/>
          <w:color w:val="auto"/>
          <w:sz w:val="24"/>
          <w:szCs w:val="24"/>
        </w:rPr>
        <w:instrText xml:space="preserve"> PAGEREF _Toc55722983 \h </w:instrText>
      </w:r>
      <w:r>
        <w:rPr>
          <w:rFonts w:ascii="Times New Roman" w:eastAsiaTheme="minorEastAsia"/>
          <w:color w:val="auto"/>
          <w:sz w:val="24"/>
          <w:szCs w:val="24"/>
        </w:rPr>
        <w:fldChar w:fldCharType="separate"/>
      </w:r>
      <w:r>
        <w:rPr>
          <w:rFonts w:ascii="Times New Roman" w:eastAsiaTheme="minorEastAsia"/>
          <w:color w:val="auto"/>
          <w:sz w:val="24"/>
          <w:szCs w:val="24"/>
        </w:rPr>
        <w:t>2</w:t>
      </w:r>
      <w:r>
        <w:rPr>
          <w:rFonts w:ascii="Times New Roman" w:eastAsiaTheme="minorEastAsia"/>
          <w:color w:val="auto"/>
          <w:sz w:val="24"/>
          <w:szCs w:val="24"/>
        </w:rPr>
        <w:fldChar w:fldCharType="end"/>
      </w:r>
      <w:r>
        <w:rPr>
          <w:rFonts w:ascii="Times New Roman" w:eastAsiaTheme="minorEastAsia"/>
          <w:color w:val="auto"/>
          <w:sz w:val="24"/>
          <w:szCs w:val="24"/>
        </w:rPr>
        <w:fldChar w:fldCharType="end"/>
      </w:r>
    </w:p>
    <w:p>
      <w:pPr>
        <w:pStyle w:val="30"/>
        <w:spacing w:line="360" w:lineRule="auto"/>
        <w:rPr>
          <w:rFonts w:ascii="Times New Roman" w:eastAsiaTheme="minorEastAsia"/>
          <w:color w:val="auto"/>
          <w:sz w:val="24"/>
          <w:szCs w:val="24"/>
        </w:rPr>
      </w:pPr>
      <w:r>
        <w:rPr>
          <w:color w:val="auto"/>
        </w:rPr>
        <w:fldChar w:fldCharType="begin"/>
      </w:r>
      <w:r>
        <w:rPr>
          <w:color w:val="auto"/>
        </w:rPr>
        <w:instrText xml:space="preserve"> HYPERLINK \l "_Toc55722984" </w:instrText>
      </w:r>
      <w:r>
        <w:rPr>
          <w:color w:val="auto"/>
        </w:rPr>
        <w:fldChar w:fldCharType="separate"/>
      </w:r>
      <w:r>
        <w:rPr>
          <w:rStyle w:val="42"/>
          <w:rFonts w:ascii="Times New Roman" w:eastAsiaTheme="minorEastAsia"/>
          <w:color w:val="auto"/>
          <w:sz w:val="24"/>
          <w:szCs w:val="24"/>
        </w:rPr>
        <w:t xml:space="preserve">4 </w:t>
      </w:r>
      <w:r>
        <w:rPr>
          <w:rStyle w:val="42"/>
          <w:rFonts w:ascii="Times New Roman" w:hAnsiTheme="minorEastAsia" w:eastAsiaTheme="minorEastAsia"/>
          <w:color w:val="auto"/>
          <w:sz w:val="24"/>
          <w:szCs w:val="24"/>
        </w:rPr>
        <w:t>总则</w:t>
      </w:r>
      <w:r>
        <w:rPr>
          <w:rFonts w:ascii="Times New Roman" w:eastAsiaTheme="minorEastAsia"/>
          <w:color w:val="auto"/>
          <w:sz w:val="24"/>
          <w:szCs w:val="24"/>
        </w:rPr>
        <w:tab/>
      </w:r>
      <w:r>
        <w:rPr>
          <w:rFonts w:ascii="Times New Roman" w:eastAsiaTheme="minorEastAsia"/>
          <w:color w:val="auto"/>
          <w:sz w:val="24"/>
          <w:szCs w:val="24"/>
        </w:rPr>
        <w:fldChar w:fldCharType="begin"/>
      </w:r>
      <w:r>
        <w:rPr>
          <w:rFonts w:ascii="Times New Roman" w:eastAsiaTheme="minorEastAsia"/>
          <w:color w:val="auto"/>
          <w:sz w:val="24"/>
          <w:szCs w:val="24"/>
        </w:rPr>
        <w:instrText xml:space="preserve"> PAGEREF _Toc55722984 \h </w:instrText>
      </w:r>
      <w:r>
        <w:rPr>
          <w:rFonts w:ascii="Times New Roman" w:eastAsiaTheme="minorEastAsia"/>
          <w:color w:val="auto"/>
          <w:sz w:val="24"/>
          <w:szCs w:val="24"/>
        </w:rPr>
        <w:fldChar w:fldCharType="separate"/>
      </w:r>
      <w:r>
        <w:rPr>
          <w:rFonts w:ascii="Times New Roman" w:eastAsiaTheme="minorEastAsia"/>
          <w:color w:val="auto"/>
          <w:sz w:val="24"/>
          <w:szCs w:val="24"/>
        </w:rPr>
        <w:t>3</w:t>
      </w:r>
      <w:r>
        <w:rPr>
          <w:rFonts w:ascii="Times New Roman" w:eastAsiaTheme="minorEastAsia"/>
          <w:color w:val="auto"/>
          <w:sz w:val="24"/>
          <w:szCs w:val="24"/>
        </w:rPr>
        <w:fldChar w:fldCharType="end"/>
      </w:r>
      <w:r>
        <w:rPr>
          <w:rFonts w:ascii="Times New Roman" w:eastAsiaTheme="minorEastAsia"/>
          <w:color w:val="auto"/>
          <w:sz w:val="24"/>
          <w:szCs w:val="24"/>
        </w:rPr>
        <w:fldChar w:fldCharType="end"/>
      </w:r>
    </w:p>
    <w:p>
      <w:pPr>
        <w:pStyle w:val="30"/>
        <w:spacing w:line="360" w:lineRule="auto"/>
        <w:rPr>
          <w:rFonts w:ascii="Times New Roman" w:eastAsiaTheme="minorEastAsia"/>
          <w:color w:val="auto"/>
          <w:sz w:val="24"/>
          <w:szCs w:val="24"/>
        </w:rPr>
      </w:pPr>
      <w:r>
        <w:rPr>
          <w:color w:val="auto"/>
        </w:rPr>
        <w:fldChar w:fldCharType="begin"/>
      </w:r>
      <w:r>
        <w:rPr>
          <w:color w:val="auto"/>
        </w:rPr>
        <w:instrText xml:space="preserve"> HYPERLINK \l "_Toc55722985" </w:instrText>
      </w:r>
      <w:r>
        <w:rPr>
          <w:color w:val="auto"/>
        </w:rPr>
        <w:fldChar w:fldCharType="separate"/>
      </w:r>
      <w:r>
        <w:rPr>
          <w:rStyle w:val="42"/>
          <w:rFonts w:ascii="Times New Roman" w:eastAsiaTheme="minorEastAsia"/>
          <w:color w:val="auto"/>
          <w:sz w:val="24"/>
          <w:szCs w:val="24"/>
        </w:rPr>
        <w:t xml:space="preserve">5 </w:t>
      </w:r>
      <w:r>
        <w:rPr>
          <w:rStyle w:val="42"/>
          <w:rFonts w:ascii="Times New Roman" w:hAnsiTheme="minorEastAsia" w:eastAsiaTheme="minorEastAsia"/>
          <w:color w:val="auto"/>
          <w:sz w:val="24"/>
          <w:szCs w:val="24"/>
        </w:rPr>
        <w:t>评价要求</w:t>
      </w:r>
      <w:r>
        <w:rPr>
          <w:rFonts w:ascii="Times New Roman" w:eastAsiaTheme="minorEastAsia"/>
          <w:color w:val="auto"/>
          <w:sz w:val="24"/>
          <w:szCs w:val="24"/>
        </w:rPr>
        <w:tab/>
      </w:r>
      <w:r>
        <w:rPr>
          <w:rFonts w:ascii="Times New Roman" w:eastAsiaTheme="minorEastAsia"/>
          <w:color w:val="auto"/>
          <w:sz w:val="24"/>
          <w:szCs w:val="24"/>
        </w:rPr>
        <w:fldChar w:fldCharType="begin"/>
      </w:r>
      <w:r>
        <w:rPr>
          <w:rFonts w:ascii="Times New Roman" w:eastAsiaTheme="minorEastAsia"/>
          <w:color w:val="auto"/>
          <w:sz w:val="24"/>
          <w:szCs w:val="24"/>
        </w:rPr>
        <w:instrText xml:space="preserve"> PAGEREF _Toc55722985 \h </w:instrText>
      </w:r>
      <w:r>
        <w:rPr>
          <w:rFonts w:ascii="Times New Roman" w:eastAsiaTheme="minorEastAsia"/>
          <w:color w:val="auto"/>
          <w:sz w:val="24"/>
          <w:szCs w:val="24"/>
        </w:rPr>
        <w:fldChar w:fldCharType="separate"/>
      </w:r>
      <w:r>
        <w:rPr>
          <w:rFonts w:ascii="Times New Roman" w:eastAsiaTheme="minorEastAsia"/>
          <w:color w:val="auto"/>
          <w:sz w:val="24"/>
          <w:szCs w:val="24"/>
        </w:rPr>
        <w:t>3</w:t>
      </w:r>
      <w:r>
        <w:rPr>
          <w:rFonts w:ascii="Times New Roman" w:eastAsiaTheme="minorEastAsia"/>
          <w:color w:val="auto"/>
          <w:sz w:val="24"/>
          <w:szCs w:val="24"/>
        </w:rPr>
        <w:fldChar w:fldCharType="end"/>
      </w:r>
      <w:r>
        <w:rPr>
          <w:rFonts w:ascii="Times New Roman" w:eastAsiaTheme="minorEastAsia"/>
          <w:color w:val="auto"/>
          <w:sz w:val="24"/>
          <w:szCs w:val="24"/>
        </w:rPr>
        <w:fldChar w:fldCharType="end"/>
      </w:r>
    </w:p>
    <w:p>
      <w:pPr>
        <w:pStyle w:val="30"/>
        <w:spacing w:line="360" w:lineRule="auto"/>
        <w:rPr>
          <w:rFonts w:ascii="Times New Roman" w:eastAsiaTheme="minorEastAsia"/>
          <w:color w:val="auto"/>
          <w:sz w:val="24"/>
          <w:szCs w:val="24"/>
        </w:rPr>
      </w:pPr>
      <w:r>
        <w:rPr>
          <w:color w:val="auto"/>
        </w:rPr>
        <w:fldChar w:fldCharType="begin"/>
      </w:r>
      <w:r>
        <w:rPr>
          <w:color w:val="auto"/>
        </w:rPr>
        <w:instrText xml:space="preserve"> HYPERLINK \l "_Toc55722987" </w:instrText>
      </w:r>
      <w:r>
        <w:rPr>
          <w:color w:val="auto"/>
        </w:rPr>
        <w:fldChar w:fldCharType="separate"/>
      </w:r>
      <w:r>
        <w:rPr>
          <w:rStyle w:val="42"/>
          <w:rFonts w:ascii="Times New Roman" w:eastAsiaTheme="minorEastAsia"/>
          <w:color w:val="auto"/>
          <w:sz w:val="24"/>
          <w:szCs w:val="24"/>
        </w:rPr>
        <w:t xml:space="preserve">6 </w:t>
      </w:r>
      <w:r>
        <w:rPr>
          <w:rStyle w:val="42"/>
          <w:rFonts w:ascii="Times New Roman" w:hAnsiTheme="minorEastAsia" w:eastAsiaTheme="minorEastAsia"/>
          <w:color w:val="auto"/>
          <w:sz w:val="24"/>
          <w:szCs w:val="24"/>
        </w:rPr>
        <w:t>评价程序</w:t>
      </w:r>
      <w:r>
        <w:rPr>
          <w:rFonts w:ascii="Times New Roman" w:eastAsiaTheme="minorEastAsia"/>
          <w:color w:val="auto"/>
          <w:sz w:val="24"/>
          <w:szCs w:val="24"/>
        </w:rPr>
        <w:tab/>
      </w:r>
      <w:r>
        <w:rPr>
          <w:rFonts w:ascii="Times New Roman" w:eastAsiaTheme="minorEastAsia"/>
          <w:color w:val="auto"/>
          <w:sz w:val="24"/>
          <w:szCs w:val="24"/>
        </w:rPr>
        <w:fldChar w:fldCharType="begin"/>
      </w:r>
      <w:r>
        <w:rPr>
          <w:rFonts w:ascii="Times New Roman" w:eastAsiaTheme="minorEastAsia"/>
          <w:color w:val="auto"/>
          <w:sz w:val="24"/>
          <w:szCs w:val="24"/>
        </w:rPr>
        <w:instrText xml:space="preserve"> PAGEREF _Toc55722987 \h </w:instrText>
      </w:r>
      <w:r>
        <w:rPr>
          <w:rFonts w:ascii="Times New Roman" w:eastAsiaTheme="minorEastAsia"/>
          <w:color w:val="auto"/>
          <w:sz w:val="24"/>
          <w:szCs w:val="24"/>
        </w:rPr>
        <w:fldChar w:fldCharType="separate"/>
      </w:r>
      <w:r>
        <w:rPr>
          <w:rFonts w:ascii="Times New Roman" w:eastAsiaTheme="minorEastAsia"/>
          <w:color w:val="auto"/>
          <w:sz w:val="24"/>
          <w:szCs w:val="24"/>
        </w:rPr>
        <w:t>8</w:t>
      </w:r>
      <w:r>
        <w:rPr>
          <w:rFonts w:ascii="Times New Roman" w:eastAsiaTheme="minorEastAsia"/>
          <w:color w:val="auto"/>
          <w:sz w:val="24"/>
          <w:szCs w:val="24"/>
        </w:rPr>
        <w:fldChar w:fldCharType="end"/>
      </w:r>
      <w:r>
        <w:rPr>
          <w:rFonts w:ascii="Times New Roman" w:eastAsiaTheme="minorEastAsia"/>
          <w:color w:val="auto"/>
          <w:sz w:val="24"/>
          <w:szCs w:val="24"/>
        </w:rPr>
        <w:fldChar w:fldCharType="end"/>
      </w:r>
    </w:p>
    <w:p>
      <w:pPr>
        <w:pStyle w:val="30"/>
        <w:spacing w:line="360" w:lineRule="auto"/>
        <w:rPr>
          <w:rFonts w:ascii="Times New Roman" w:eastAsiaTheme="minorEastAsia"/>
          <w:color w:val="auto"/>
          <w:sz w:val="24"/>
          <w:szCs w:val="24"/>
        </w:rPr>
      </w:pPr>
      <w:r>
        <w:rPr>
          <w:color w:val="auto"/>
        </w:rPr>
        <w:fldChar w:fldCharType="begin"/>
      </w:r>
      <w:r>
        <w:rPr>
          <w:color w:val="auto"/>
        </w:rPr>
        <w:instrText xml:space="preserve"> HYPERLINK \l "_Toc55722988" </w:instrText>
      </w:r>
      <w:r>
        <w:rPr>
          <w:color w:val="auto"/>
        </w:rPr>
        <w:fldChar w:fldCharType="separate"/>
      </w:r>
      <w:r>
        <w:rPr>
          <w:rStyle w:val="42"/>
          <w:rFonts w:ascii="Times New Roman" w:eastAsiaTheme="minorEastAsia"/>
          <w:color w:val="auto"/>
          <w:sz w:val="24"/>
          <w:szCs w:val="24"/>
        </w:rPr>
        <w:t xml:space="preserve">7 </w:t>
      </w:r>
      <w:r>
        <w:rPr>
          <w:rStyle w:val="42"/>
          <w:rFonts w:ascii="Times New Roman" w:hAnsiTheme="minorEastAsia" w:eastAsiaTheme="minorEastAsia"/>
          <w:color w:val="auto"/>
          <w:sz w:val="24"/>
          <w:szCs w:val="24"/>
        </w:rPr>
        <w:t>评价报告</w:t>
      </w:r>
      <w:r>
        <w:rPr>
          <w:rFonts w:ascii="Times New Roman" w:eastAsiaTheme="minorEastAsia"/>
          <w:color w:val="auto"/>
          <w:sz w:val="24"/>
          <w:szCs w:val="24"/>
        </w:rPr>
        <w:tab/>
      </w:r>
      <w:r>
        <w:rPr>
          <w:rFonts w:ascii="Times New Roman" w:eastAsiaTheme="minorEastAsia"/>
          <w:color w:val="auto"/>
          <w:sz w:val="24"/>
          <w:szCs w:val="24"/>
        </w:rPr>
        <w:fldChar w:fldCharType="begin"/>
      </w:r>
      <w:r>
        <w:rPr>
          <w:rFonts w:ascii="Times New Roman" w:eastAsiaTheme="minorEastAsia"/>
          <w:color w:val="auto"/>
          <w:sz w:val="24"/>
          <w:szCs w:val="24"/>
        </w:rPr>
        <w:instrText xml:space="preserve"> PAGEREF _Toc55722988 \h </w:instrText>
      </w:r>
      <w:r>
        <w:rPr>
          <w:rFonts w:ascii="Times New Roman" w:eastAsiaTheme="minorEastAsia"/>
          <w:color w:val="auto"/>
          <w:sz w:val="24"/>
          <w:szCs w:val="24"/>
        </w:rPr>
        <w:fldChar w:fldCharType="separate"/>
      </w:r>
      <w:r>
        <w:rPr>
          <w:rFonts w:ascii="Times New Roman" w:eastAsiaTheme="minorEastAsia"/>
          <w:color w:val="auto"/>
          <w:sz w:val="24"/>
          <w:szCs w:val="24"/>
        </w:rPr>
        <w:t>8</w:t>
      </w:r>
      <w:r>
        <w:rPr>
          <w:rFonts w:ascii="Times New Roman" w:eastAsiaTheme="minorEastAsia"/>
          <w:color w:val="auto"/>
          <w:sz w:val="24"/>
          <w:szCs w:val="24"/>
        </w:rPr>
        <w:fldChar w:fldCharType="end"/>
      </w:r>
      <w:r>
        <w:rPr>
          <w:rFonts w:ascii="Times New Roman" w:eastAsiaTheme="minorEastAsia"/>
          <w:color w:val="auto"/>
          <w:sz w:val="24"/>
          <w:szCs w:val="24"/>
        </w:rPr>
        <w:fldChar w:fldCharType="end"/>
      </w:r>
    </w:p>
    <w:p>
      <w:pPr>
        <w:pStyle w:val="30"/>
        <w:spacing w:line="360" w:lineRule="auto"/>
        <w:rPr>
          <w:rFonts w:ascii="Times New Roman" w:eastAsiaTheme="minorEastAsia"/>
          <w:color w:val="auto"/>
          <w:sz w:val="24"/>
          <w:szCs w:val="24"/>
        </w:rPr>
      </w:pPr>
      <w:r>
        <w:rPr>
          <w:color w:val="auto"/>
        </w:rPr>
        <w:fldChar w:fldCharType="begin"/>
      </w:r>
      <w:r>
        <w:rPr>
          <w:color w:val="auto"/>
        </w:rPr>
        <w:instrText xml:space="preserve"> HYPERLINK \l "_Toc55722989" </w:instrText>
      </w:r>
      <w:r>
        <w:rPr>
          <w:color w:val="auto"/>
        </w:rPr>
        <w:fldChar w:fldCharType="separate"/>
      </w:r>
      <w:r>
        <w:rPr>
          <w:rStyle w:val="42"/>
          <w:rFonts w:ascii="Times New Roman" w:hAnsiTheme="minorEastAsia" w:eastAsiaTheme="minorEastAsia"/>
          <w:bCs/>
          <w:color w:val="auto"/>
          <w:sz w:val="24"/>
          <w:szCs w:val="24"/>
        </w:rPr>
        <w:t>附录</w:t>
      </w:r>
      <w:r>
        <w:rPr>
          <w:rStyle w:val="42"/>
          <w:rFonts w:ascii="Times New Roman" w:eastAsiaTheme="minorEastAsia"/>
          <w:bCs/>
          <w:color w:val="auto"/>
          <w:sz w:val="24"/>
          <w:szCs w:val="24"/>
        </w:rPr>
        <w:t>A</w:t>
      </w:r>
      <w:r>
        <w:rPr>
          <w:rStyle w:val="42"/>
          <w:rFonts w:hint="eastAsia" w:ascii="Times New Roman" w:eastAsiaTheme="minorEastAsia"/>
          <w:bCs/>
          <w:color w:val="auto"/>
          <w:sz w:val="24"/>
          <w:szCs w:val="24"/>
        </w:rPr>
        <w:t>（资料性附录）</w:t>
      </w:r>
      <w:r>
        <w:rPr>
          <w:rFonts w:ascii="Times New Roman" w:eastAsiaTheme="minorEastAsia"/>
          <w:color w:val="auto"/>
          <w:sz w:val="24"/>
          <w:szCs w:val="24"/>
        </w:rPr>
        <w:tab/>
      </w:r>
      <w:r>
        <w:rPr>
          <w:rFonts w:ascii="Times New Roman" w:eastAsiaTheme="minorEastAsia"/>
          <w:color w:val="auto"/>
          <w:sz w:val="24"/>
          <w:szCs w:val="24"/>
        </w:rPr>
        <w:fldChar w:fldCharType="begin"/>
      </w:r>
      <w:r>
        <w:rPr>
          <w:rFonts w:ascii="Times New Roman" w:eastAsiaTheme="minorEastAsia"/>
          <w:color w:val="auto"/>
          <w:sz w:val="24"/>
          <w:szCs w:val="24"/>
        </w:rPr>
        <w:instrText xml:space="preserve"> PAGEREF _Toc55722989 \h </w:instrText>
      </w:r>
      <w:r>
        <w:rPr>
          <w:rFonts w:ascii="Times New Roman" w:eastAsiaTheme="minorEastAsia"/>
          <w:color w:val="auto"/>
          <w:sz w:val="24"/>
          <w:szCs w:val="24"/>
        </w:rPr>
        <w:fldChar w:fldCharType="separate"/>
      </w:r>
      <w:r>
        <w:rPr>
          <w:rFonts w:ascii="Times New Roman" w:eastAsiaTheme="minorEastAsia"/>
          <w:color w:val="auto"/>
          <w:sz w:val="24"/>
          <w:szCs w:val="24"/>
        </w:rPr>
        <w:t>10</w:t>
      </w:r>
      <w:r>
        <w:rPr>
          <w:rFonts w:ascii="Times New Roman" w:eastAsiaTheme="minorEastAsia"/>
          <w:color w:val="auto"/>
          <w:sz w:val="24"/>
          <w:szCs w:val="24"/>
        </w:rPr>
        <w:fldChar w:fldCharType="end"/>
      </w:r>
      <w:r>
        <w:rPr>
          <w:rFonts w:ascii="Times New Roman" w:eastAsiaTheme="minorEastAsia"/>
          <w:color w:val="auto"/>
          <w:sz w:val="24"/>
          <w:szCs w:val="24"/>
        </w:rPr>
        <w:fldChar w:fldCharType="end"/>
      </w:r>
    </w:p>
    <w:p>
      <w:pPr>
        <w:pStyle w:val="30"/>
        <w:bidi w:val="0"/>
        <w:rPr>
          <w:rFonts w:ascii="Times New Roman" w:eastAsiaTheme="minorEastAsia"/>
          <w:color w:val="auto"/>
          <w:sz w:val="24"/>
          <w:szCs w:val="24"/>
        </w:rPr>
      </w:pPr>
      <w:r>
        <w:rPr>
          <w:color w:val="auto"/>
        </w:rPr>
        <w:fldChar w:fldCharType="begin"/>
      </w:r>
      <w:r>
        <w:rPr>
          <w:color w:val="auto"/>
        </w:rPr>
        <w:instrText xml:space="preserve"> HYPERLINK \l "_Toc55722990" </w:instrText>
      </w:r>
      <w:r>
        <w:rPr>
          <w:color w:val="auto"/>
        </w:rPr>
        <w:fldChar w:fldCharType="separate"/>
      </w:r>
      <w:r>
        <w:rPr>
          <w:rStyle w:val="42"/>
          <w:rFonts w:ascii="Times New Roman" w:hAnsiTheme="minorEastAsia" w:eastAsiaTheme="minorEastAsia"/>
          <w:bCs/>
          <w:color w:val="auto"/>
          <w:sz w:val="24"/>
          <w:szCs w:val="24"/>
        </w:rPr>
        <w:t>附录</w:t>
      </w:r>
      <w:r>
        <w:rPr>
          <w:rStyle w:val="42"/>
          <w:rFonts w:ascii="Times New Roman" w:eastAsiaTheme="minorEastAsia"/>
          <w:bCs/>
          <w:color w:val="auto"/>
          <w:sz w:val="24"/>
          <w:szCs w:val="24"/>
        </w:rPr>
        <w:t>B</w:t>
      </w:r>
      <w:r>
        <w:rPr>
          <w:rStyle w:val="42"/>
          <w:rFonts w:hint="eastAsia" w:ascii="Times New Roman" w:eastAsiaTheme="minorEastAsia"/>
          <w:bCs/>
          <w:color w:val="auto"/>
          <w:sz w:val="24"/>
          <w:szCs w:val="24"/>
        </w:rPr>
        <w:t>（资料性附录）</w:t>
      </w:r>
      <w:r>
        <w:rPr>
          <w:rFonts w:ascii="Times New Roman" w:eastAsiaTheme="minorEastAsia"/>
          <w:color w:val="auto"/>
          <w:sz w:val="24"/>
          <w:szCs w:val="24"/>
        </w:rPr>
        <w:tab/>
      </w:r>
      <w:r>
        <w:rPr>
          <w:rFonts w:ascii="Times New Roman" w:eastAsiaTheme="minorEastAsia"/>
          <w:color w:val="auto"/>
          <w:sz w:val="24"/>
          <w:szCs w:val="24"/>
        </w:rPr>
        <w:fldChar w:fldCharType="begin"/>
      </w:r>
      <w:r>
        <w:rPr>
          <w:rFonts w:ascii="Times New Roman" w:eastAsiaTheme="minorEastAsia"/>
          <w:color w:val="auto"/>
          <w:sz w:val="24"/>
          <w:szCs w:val="24"/>
        </w:rPr>
        <w:instrText xml:space="preserve"> PAGEREF _Toc55722990 \h </w:instrText>
      </w:r>
      <w:r>
        <w:rPr>
          <w:rFonts w:ascii="Times New Roman" w:eastAsiaTheme="minorEastAsia"/>
          <w:color w:val="auto"/>
          <w:sz w:val="24"/>
          <w:szCs w:val="24"/>
        </w:rPr>
        <w:fldChar w:fldCharType="separate"/>
      </w:r>
      <w:r>
        <w:rPr>
          <w:rFonts w:ascii="Times New Roman" w:eastAsiaTheme="minorEastAsia"/>
          <w:color w:val="auto"/>
          <w:sz w:val="24"/>
          <w:szCs w:val="24"/>
        </w:rPr>
        <w:t>1</w:t>
      </w:r>
      <w:r>
        <w:rPr>
          <w:rFonts w:hint="eastAsia" w:ascii="Times New Roman" w:eastAsiaTheme="minorEastAsia"/>
          <w:color w:val="auto"/>
          <w:sz w:val="24"/>
          <w:szCs w:val="24"/>
          <w:lang w:val="en-US" w:eastAsia="zh-CN"/>
        </w:rPr>
        <w:t>4</w:t>
      </w:r>
      <w:r>
        <w:rPr>
          <w:rFonts w:ascii="Times New Roman" w:eastAsiaTheme="minorEastAsia"/>
          <w:color w:val="auto"/>
          <w:sz w:val="24"/>
          <w:szCs w:val="24"/>
        </w:rPr>
        <w:fldChar w:fldCharType="end"/>
      </w:r>
      <w:r>
        <w:rPr>
          <w:rFonts w:ascii="Times New Roman" w:eastAsiaTheme="minorEastAsia"/>
          <w:color w:val="auto"/>
          <w:sz w:val="24"/>
          <w:szCs w:val="24"/>
        </w:rPr>
        <w:fldChar w:fldCharType="end"/>
      </w:r>
    </w:p>
    <w:p>
      <w:pPr>
        <w:pStyle w:val="25"/>
        <w:rPr>
          <w:color w:val="auto"/>
        </w:rPr>
      </w:pPr>
      <w:r>
        <w:rPr>
          <w:color w:val="auto"/>
        </w:rPr>
        <w:fldChar w:fldCharType="end"/>
      </w:r>
    </w:p>
    <w:p>
      <w:pPr>
        <w:pStyle w:val="77"/>
        <w:spacing w:line="300" w:lineRule="auto"/>
        <w:outlineLvl w:val="1"/>
        <w:rPr>
          <w:rFonts w:ascii="Times New Roman"/>
          <w:color w:val="auto"/>
        </w:rPr>
      </w:pPr>
      <w:bookmarkStart w:id="4" w:name="_Toc55722979"/>
      <w:bookmarkStart w:id="5" w:name="_Toc55722790"/>
      <w:r>
        <w:rPr>
          <w:rFonts w:ascii="Times New Roman"/>
          <w:color w:val="auto"/>
        </w:rPr>
        <w:t>前</w:t>
      </w:r>
      <w:bookmarkStart w:id="6" w:name="BKQY"/>
      <w:r>
        <w:rPr>
          <w:rFonts w:ascii="Times New Roman" w:eastAsia="MS Mincho"/>
          <w:color w:val="auto"/>
        </w:rPr>
        <w:t>  </w:t>
      </w:r>
      <w:r>
        <w:rPr>
          <w:rFonts w:ascii="Times New Roman"/>
          <w:color w:val="auto"/>
        </w:rPr>
        <w:t>言</w:t>
      </w:r>
      <w:bookmarkEnd w:id="3"/>
      <w:bookmarkEnd w:id="4"/>
      <w:bookmarkEnd w:id="5"/>
      <w:bookmarkEnd w:id="6"/>
    </w:p>
    <w:p>
      <w:pPr>
        <w:pStyle w:val="25"/>
        <w:spacing w:line="300" w:lineRule="auto"/>
        <w:rPr>
          <w:rFonts w:ascii="Times New Roman"/>
          <w:color w:val="auto"/>
          <w:szCs w:val="21"/>
        </w:rPr>
      </w:pPr>
      <w:r>
        <w:rPr>
          <w:rFonts w:hint="eastAsia" w:ascii="Times New Roman"/>
          <w:color w:val="auto"/>
          <w:szCs w:val="21"/>
        </w:rPr>
        <w:t>本文件按照GB/T 1.1—2020《标准化工作导则 第1部分：标准化文件的结构和起草规则》的规则起草</w:t>
      </w:r>
      <w:r>
        <w:rPr>
          <w:rFonts w:ascii="Times New Roman"/>
          <w:color w:val="auto"/>
          <w:szCs w:val="21"/>
        </w:rPr>
        <w:t>。</w:t>
      </w:r>
    </w:p>
    <w:p>
      <w:pPr>
        <w:pStyle w:val="25"/>
        <w:spacing w:line="300" w:lineRule="auto"/>
        <w:rPr>
          <w:rFonts w:ascii="Times New Roman"/>
          <w:color w:val="auto"/>
          <w:szCs w:val="21"/>
        </w:rPr>
      </w:pPr>
      <w:r>
        <w:rPr>
          <w:rFonts w:ascii="Times New Roman"/>
          <w:color w:val="auto"/>
          <w:szCs w:val="21"/>
        </w:rPr>
        <w:t>本</w:t>
      </w:r>
      <w:r>
        <w:rPr>
          <w:rFonts w:hint="eastAsia" w:ascii="Times New Roman"/>
          <w:color w:val="auto"/>
          <w:szCs w:val="21"/>
          <w:lang w:val="en-US" w:eastAsia="zh-CN"/>
        </w:rPr>
        <w:t>文件</w:t>
      </w:r>
      <w:r>
        <w:rPr>
          <w:rFonts w:ascii="Times New Roman"/>
          <w:color w:val="auto"/>
          <w:szCs w:val="21"/>
        </w:rPr>
        <w:t>由中国轻工业联合会提出。</w:t>
      </w:r>
    </w:p>
    <w:p>
      <w:pPr>
        <w:pStyle w:val="25"/>
        <w:spacing w:line="300" w:lineRule="auto"/>
        <w:rPr>
          <w:rFonts w:ascii="Times New Roman"/>
          <w:color w:val="auto"/>
          <w:szCs w:val="21"/>
        </w:rPr>
      </w:pPr>
      <w:r>
        <w:rPr>
          <w:rFonts w:ascii="Times New Roman"/>
          <w:color w:val="auto"/>
          <w:szCs w:val="21"/>
        </w:rPr>
        <w:t>本</w:t>
      </w:r>
      <w:r>
        <w:rPr>
          <w:rFonts w:hint="eastAsia" w:ascii="Times New Roman"/>
          <w:color w:val="auto"/>
          <w:szCs w:val="21"/>
          <w:lang w:val="en-US" w:eastAsia="zh-CN"/>
        </w:rPr>
        <w:t>文件</w:t>
      </w:r>
      <w:r>
        <w:rPr>
          <w:rFonts w:ascii="Times New Roman"/>
          <w:color w:val="auto"/>
          <w:szCs w:val="21"/>
        </w:rPr>
        <w:t>由中国轻工业联合会归口。</w:t>
      </w:r>
    </w:p>
    <w:p>
      <w:pPr>
        <w:pStyle w:val="25"/>
        <w:spacing w:line="300" w:lineRule="auto"/>
        <w:rPr>
          <w:rFonts w:ascii="Times New Roman"/>
          <w:color w:val="auto"/>
          <w:szCs w:val="21"/>
        </w:rPr>
      </w:pPr>
      <w:r>
        <w:rPr>
          <w:rFonts w:ascii="Times New Roman"/>
          <w:color w:val="auto"/>
          <w:szCs w:val="21"/>
        </w:rPr>
        <w:t>本</w:t>
      </w:r>
      <w:r>
        <w:rPr>
          <w:rFonts w:hint="eastAsia" w:ascii="Times New Roman"/>
          <w:color w:val="auto"/>
          <w:szCs w:val="21"/>
          <w:lang w:val="en-US" w:eastAsia="zh-CN"/>
        </w:rPr>
        <w:t>文件</w:t>
      </w:r>
      <w:r>
        <w:rPr>
          <w:rFonts w:ascii="Times New Roman"/>
          <w:color w:val="auto"/>
          <w:szCs w:val="21"/>
        </w:rPr>
        <w:t>起草单位：......、......、......、......。</w:t>
      </w:r>
    </w:p>
    <w:p>
      <w:pPr>
        <w:pStyle w:val="25"/>
        <w:spacing w:line="300" w:lineRule="auto"/>
        <w:rPr>
          <w:rFonts w:ascii="Times New Roman"/>
          <w:color w:val="auto"/>
          <w:szCs w:val="21"/>
        </w:rPr>
      </w:pPr>
      <w:r>
        <w:rPr>
          <w:rFonts w:ascii="Times New Roman"/>
          <w:color w:val="auto"/>
          <w:szCs w:val="21"/>
        </w:rPr>
        <w:t>本</w:t>
      </w:r>
      <w:r>
        <w:rPr>
          <w:rFonts w:hint="eastAsia" w:ascii="Times New Roman"/>
          <w:color w:val="auto"/>
          <w:szCs w:val="21"/>
          <w:lang w:val="en-US" w:eastAsia="zh-CN"/>
        </w:rPr>
        <w:t>文件</w:t>
      </w:r>
      <w:r>
        <w:rPr>
          <w:rFonts w:ascii="Times New Roman"/>
          <w:color w:val="auto"/>
          <w:szCs w:val="21"/>
        </w:rPr>
        <w:t>主要起草人：......、......。</w:t>
      </w:r>
    </w:p>
    <w:p>
      <w:pPr>
        <w:pStyle w:val="25"/>
        <w:spacing w:line="300" w:lineRule="auto"/>
        <w:rPr>
          <w:rFonts w:ascii="Times New Roman"/>
          <w:color w:val="auto"/>
        </w:rPr>
      </w:pPr>
    </w:p>
    <w:p>
      <w:pPr>
        <w:pStyle w:val="25"/>
        <w:spacing w:line="300" w:lineRule="auto"/>
        <w:rPr>
          <w:rFonts w:ascii="Times New Roman"/>
          <w:color w:val="auto"/>
        </w:rPr>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p>
    <w:p>
      <w:pPr>
        <w:pStyle w:val="88"/>
        <w:spacing w:line="300" w:lineRule="auto"/>
        <w:outlineLvl w:val="9"/>
        <w:rPr>
          <w:rFonts w:ascii="Times New Roman"/>
          <w:color w:val="auto"/>
        </w:rPr>
      </w:pPr>
      <w:bookmarkStart w:id="7" w:name="_Toc55722980"/>
      <w:bookmarkStart w:id="8" w:name="_Toc55722791"/>
      <w:r>
        <w:rPr>
          <w:rFonts w:ascii="Times New Roman"/>
          <w:color w:val="auto"/>
        </w:rPr>
        <w:t>制糖行业绿色工厂评价导则</w:t>
      </w:r>
      <w:bookmarkEnd w:id="7"/>
      <w:bookmarkEnd w:id="8"/>
    </w:p>
    <w:p>
      <w:pPr>
        <w:pStyle w:val="138"/>
        <w:spacing w:before="312" w:after="312" w:line="300" w:lineRule="auto"/>
        <w:rPr>
          <w:rFonts w:ascii="Times New Roman"/>
          <w:color w:val="auto"/>
        </w:rPr>
      </w:pPr>
      <w:bookmarkStart w:id="9" w:name="_Toc55722792"/>
      <w:bookmarkStart w:id="10" w:name="_Toc55722981"/>
      <w:r>
        <w:rPr>
          <w:rFonts w:hint="eastAsia" w:ascii="Times New Roman"/>
          <w:color w:val="auto"/>
        </w:rPr>
        <w:t xml:space="preserve">1 </w:t>
      </w:r>
      <w:r>
        <w:rPr>
          <w:rFonts w:ascii="Times New Roman"/>
          <w:color w:val="auto"/>
        </w:rPr>
        <w:t>范围</w:t>
      </w:r>
      <w:bookmarkEnd w:id="9"/>
      <w:bookmarkEnd w:id="10"/>
    </w:p>
    <w:p>
      <w:pPr>
        <w:pStyle w:val="25"/>
        <w:spacing w:line="300" w:lineRule="auto"/>
        <w:rPr>
          <w:rFonts w:ascii="Times New Roman"/>
          <w:color w:val="auto"/>
        </w:rPr>
      </w:pPr>
      <w:r>
        <w:rPr>
          <w:rFonts w:ascii="Times New Roman"/>
          <w:color w:val="auto"/>
        </w:rPr>
        <w:t>本</w:t>
      </w:r>
      <w:r>
        <w:rPr>
          <w:rFonts w:hint="eastAsia" w:ascii="Times New Roman"/>
          <w:color w:val="auto"/>
          <w:lang w:val="en-US" w:eastAsia="zh-CN"/>
        </w:rPr>
        <w:t>文件</w:t>
      </w:r>
      <w:r>
        <w:rPr>
          <w:rFonts w:ascii="Times New Roman"/>
          <w:color w:val="auto"/>
        </w:rPr>
        <w:t>规定了制糖行业绿色工厂评价的原则、</w:t>
      </w:r>
      <w:r>
        <w:rPr>
          <w:rFonts w:hint="eastAsia" w:ascii="Times New Roman"/>
          <w:color w:val="auto"/>
          <w:lang w:eastAsia="zh-CN"/>
        </w:rPr>
        <w:t>方法、</w:t>
      </w:r>
      <w:r>
        <w:rPr>
          <w:rFonts w:ascii="Times New Roman"/>
          <w:color w:val="auto"/>
        </w:rPr>
        <w:t>指标体系</w:t>
      </w:r>
      <w:r>
        <w:rPr>
          <w:rFonts w:hint="eastAsia" w:ascii="Times New Roman"/>
          <w:color w:val="auto"/>
          <w:lang w:eastAsia="zh-CN"/>
        </w:rPr>
        <w:t>、</w:t>
      </w:r>
      <w:r>
        <w:rPr>
          <w:rFonts w:ascii="Times New Roman"/>
          <w:color w:val="auto"/>
        </w:rPr>
        <w:t>要求</w:t>
      </w:r>
      <w:r>
        <w:rPr>
          <w:rFonts w:hint="eastAsia" w:ascii="Times New Roman"/>
          <w:color w:val="auto"/>
          <w:lang w:eastAsia="zh-CN"/>
        </w:rPr>
        <w:t>及</w:t>
      </w:r>
      <w:r>
        <w:rPr>
          <w:rFonts w:ascii="Times New Roman"/>
          <w:color w:val="auto"/>
        </w:rPr>
        <w:t>评价程序</w:t>
      </w:r>
      <w:r>
        <w:rPr>
          <w:rFonts w:hint="eastAsia" w:ascii="Times New Roman"/>
          <w:color w:val="auto"/>
          <w:lang w:eastAsia="zh-CN"/>
        </w:rPr>
        <w:t>等</w:t>
      </w:r>
      <w:r>
        <w:rPr>
          <w:rFonts w:ascii="Times New Roman"/>
          <w:color w:val="auto"/>
        </w:rPr>
        <w:t>。</w:t>
      </w:r>
    </w:p>
    <w:p>
      <w:pPr>
        <w:pStyle w:val="25"/>
        <w:spacing w:line="300" w:lineRule="auto"/>
        <w:rPr>
          <w:rFonts w:ascii="Times New Roman"/>
          <w:color w:val="auto"/>
        </w:rPr>
      </w:pPr>
      <w:r>
        <w:rPr>
          <w:rFonts w:ascii="Times New Roman"/>
          <w:color w:val="auto"/>
        </w:rPr>
        <w:t>本</w:t>
      </w:r>
      <w:r>
        <w:rPr>
          <w:rFonts w:hint="eastAsia" w:ascii="Times New Roman"/>
          <w:color w:val="auto"/>
          <w:lang w:val="en-US" w:eastAsia="zh-CN"/>
        </w:rPr>
        <w:t>文件</w:t>
      </w:r>
      <w:r>
        <w:rPr>
          <w:rFonts w:ascii="Times New Roman"/>
          <w:color w:val="auto"/>
        </w:rPr>
        <w:t>适用于以甘蔗、甜菜或原糖为原料的制糖企业</w:t>
      </w:r>
      <w:r>
        <w:rPr>
          <w:rFonts w:hint="eastAsia" w:ascii="Times New Roman"/>
          <w:color w:val="auto"/>
        </w:rPr>
        <w:t>（不包括酒精、造纸生产、颗粒粕和生活消耗等）</w:t>
      </w:r>
      <w:r>
        <w:rPr>
          <w:rFonts w:ascii="Times New Roman"/>
          <w:color w:val="auto"/>
        </w:rPr>
        <w:t>绿色工厂评价。</w:t>
      </w:r>
    </w:p>
    <w:p>
      <w:pPr>
        <w:pStyle w:val="138"/>
        <w:spacing w:before="312" w:after="312" w:line="300" w:lineRule="auto"/>
        <w:rPr>
          <w:rFonts w:ascii="Times New Roman"/>
          <w:color w:val="auto"/>
        </w:rPr>
      </w:pPr>
      <w:bookmarkStart w:id="11" w:name="_Toc55722793"/>
      <w:bookmarkStart w:id="12" w:name="_Toc55722982"/>
      <w:r>
        <w:rPr>
          <w:rFonts w:hint="eastAsia" w:ascii="Times New Roman"/>
          <w:color w:val="auto"/>
        </w:rPr>
        <w:t xml:space="preserve">2 </w:t>
      </w:r>
      <w:r>
        <w:rPr>
          <w:rFonts w:ascii="Times New Roman"/>
          <w:color w:val="auto"/>
        </w:rPr>
        <w:t>规范性引用文件</w:t>
      </w:r>
      <w:bookmarkEnd w:id="11"/>
      <w:bookmarkEnd w:id="12"/>
    </w:p>
    <w:p>
      <w:pPr>
        <w:pStyle w:val="25"/>
        <w:spacing w:line="300" w:lineRule="auto"/>
        <w:rPr>
          <w:rFonts w:hint="eastAsia"/>
          <w:color w:val="auto"/>
        </w:rPr>
      </w:pPr>
      <w:bookmarkStart w:id="13" w:name="_Hlk24392752"/>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line="300" w:lineRule="auto"/>
        <w:ind w:firstLine="420" w:firstLineChars="200"/>
        <w:rPr>
          <w:color w:val="auto"/>
          <w:szCs w:val="21"/>
        </w:rPr>
      </w:pPr>
      <w:r>
        <w:rPr>
          <w:rFonts w:hint="eastAsia"/>
          <w:color w:val="auto"/>
          <w:szCs w:val="21"/>
        </w:rPr>
        <w:t>GB/T 317</w:t>
      </w:r>
      <w:r>
        <w:rPr>
          <w:rFonts w:hint="eastAsia"/>
          <w:color w:val="auto"/>
          <w:szCs w:val="21"/>
          <w:lang w:val="en-US" w:eastAsia="zh-CN"/>
        </w:rPr>
        <w:t xml:space="preserve">  </w:t>
      </w:r>
      <w:r>
        <w:rPr>
          <w:rFonts w:hint="eastAsia"/>
          <w:color w:val="auto"/>
          <w:szCs w:val="21"/>
        </w:rPr>
        <w:t>白砂糖</w:t>
      </w:r>
    </w:p>
    <w:p>
      <w:pPr>
        <w:spacing w:line="300" w:lineRule="auto"/>
        <w:ind w:firstLine="420" w:firstLineChars="200"/>
        <w:rPr>
          <w:rFonts w:hint="eastAsia"/>
          <w:color w:val="auto"/>
          <w:szCs w:val="21"/>
        </w:rPr>
      </w:pPr>
      <w:r>
        <w:rPr>
          <w:rFonts w:hint="eastAsia"/>
          <w:color w:val="auto"/>
          <w:szCs w:val="21"/>
        </w:rPr>
        <w:t>GB/T 1445</w:t>
      </w:r>
      <w:r>
        <w:rPr>
          <w:rFonts w:hint="eastAsia"/>
          <w:color w:val="auto"/>
          <w:szCs w:val="21"/>
          <w:lang w:val="en-US" w:eastAsia="zh-CN"/>
        </w:rPr>
        <w:t xml:space="preserve">  </w:t>
      </w:r>
      <w:r>
        <w:rPr>
          <w:rFonts w:hint="eastAsia"/>
          <w:color w:val="auto"/>
          <w:szCs w:val="21"/>
        </w:rPr>
        <w:t>绵白糖</w:t>
      </w:r>
    </w:p>
    <w:p>
      <w:pPr>
        <w:spacing w:line="300" w:lineRule="auto"/>
        <w:ind w:firstLine="420" w:firstLineChars="200"/>
        <w:rPr>
          <w:rFonts w:hint="eastAsia"/>
          <w:color w:val="auto"/>
          <w:szCs w:val="21"/>
        </w:rPr>
      </w:pPr>
      <w:r>
        <w:rPr>
          <w:rFonts w:hint="eastAsia"/>
          <w:color w:val="auto"/>
          <w:szCs w:val="21"/>
        </w:rPr>
        <w:t>GB 2190</w:t>
      </w:r>
      <w:r>
        <w:rPr>
          <w:rFonts w:hint="eastAsia"/>
          <w:color w:val="auto"/>
          <w:szCs w:val="21"/>
          <w:lang w:val="en-US" w:eastAsia="zh-CN"/>
        </w:rPr>
        <w:t xml:space="preserve">  </w:t>
      </w:r>
      <w:r>
        <w:rPr>
          <w:rFonts w:hint="eastAsia"/>
          <w:color w:val="auto"/>
          <w:szCs w:val="21"/>
        </w:rPr>
        <w:t>制糖工业水污染物排放标准</w:t>
      </w:r>
    </w:p>
    <w:p>
      <w:pPr>
        <w:spacing w:line="300" w:lineRule="auto"/>
        <w:ind w:firstLine="420" w:firstLineChars="200"/>
        <w:rPr>
          <w:color w:val="auto"/>
          <w:szCs w:val="21"/>
        </w:rPr>
      </w:pPr>
      <w:r>
        <w:rPr>
          <w:rFonts w:hint="eastAsia"/>
          <w:color w:val="auto"/>
          <w:szCs w:val="21"/>
        </w:rPr>
        <w:t>QB/T 4564</w:t>
      </w:r>
      <w:r>
        <w:rPr>
          <w:rFonts w:hint="eastAsia"/>
          <w:color w:val="auto"/>
          <w:szCs w:val="21"/>
          <w:lang w:val="en-US" w:eastAsia="zh-CN"/>
        </w:rPr>
        <w:t xml:space="preserve">  </w:t>
      </w:r>
      <w:r>
        <w:rPr>
          <w:rFonts w:hint="eastAsia"/>
          <w:color w:val="auto"/>
          <w:szCs w:val="21"/>
        </w:rPr>
        <w:t>精幼砂糖</w:t>
      </w:r>
    </w:p>
    <w:p>
      <w:pPr>
        <w:spacing w:line="300" w:lineRule="auto"/>
        <w:ind w:firstLine="420" w:firstLineChars="200"/>
        <w:rPr>
          <w:rFonts w:hint="eastAsia"/>
          <w:color w:val="auto"/>
          <w:szCs w:val="21"/>
        </w:rPr>
      </w:pPr>
      <w:r>
        <w:rPr>
          <w:rFonts w:hint="eastAsia"/>
          <w:color w:val="auto"/>
          <w:szCs w:val="21"/>
        </w:rPr>
        <w:t>QB/T 4570</w:t>
      </w:r>
      <w:r>
        <w:rPr>
          <w:rFonts w:hint="eastAsia"/>
          <w:color w:val="auto"/>
          <w:szCs w:val="21"/>
          <w:lang w:val="en-US" w:eastAsia="zh-CN"/>
        </w:rPr>
        <w:t xml:space="preserve">  </w:t>
      </w:r>
      <w:r>
        <w:rPr>
          <w:rFonts w:hint="eastAsia"/>
          <w:color w:val="auto"/>
          <w:szCs w:val="21"/>
        </w:rPr>
        <w:t>制糖行业清洁生产水平评价标准</w:t>
      </w:r>
    </w:p>
    <w:p>
      <w:pPr>
        <w:pStyle w:val="25"/>
        <w:spacing w:line="300" w:lineRule="auto"/>
        <w:rPr>
          <w:rFonts w:hint="eastAsia"/>
          <w:color w:val="auto"/>
          <w:szCs w:val="21"/>
        </w:rPr>
      </w:pPr>
      <w:r>
        <w:rPr>
          <w:rFonts w:hint="eastAsia" w:ascii="Times New Roman" w:hAnsi="Times New Roman" w:eastAsia="宋体" w:cs="Times New Roman"/>
          <w:color w:val="auto"/>
          <w:kern w:val="2"/>
          <w:sz w:val="21"/>
          <w:szCs w:val="21"/>
          <w:lang w:val="en-US" w:eastAsia="zh-CN" w:bidi="ar-SA"/>
        </w:rPr>
        <w:t xml:space="preserve">GB 5048  </w:t>
      </w:r>
      <w:r>
        <w:rPr>
          <w:rFonts w:hint="eastAsia"/>
          <w:color w:val="auto"/>
          <w:szCs w:val="21"/>
        </w:rPr>
        <w:t>农田灌溉水质标准</w:t>
      </w:r>
    </w:p>
    <w:p>
      <w:pPr>
        <w:pStyle w:val="25"/>
        <w:spacing w:line="300" w:lineRule="auto"/>
        <w:rPr>
          <w:rFonts w:hint="eastAsia" w:ascii="Times New Roman" w:eastAsia="宋体"/>
          <w:color w:val="auto"/>
          <w:szCs w:val="21"/>
          <w:lang w:eastAsia="zh-CN"/>
        </w:rPr>
      </w:pPr>
      <w:r>
        <w:rPr>
          <w:rFonts w:ascii="Times New Roman"/>
          <w:color w:val="auto"/>
        </w:rPr>
        <w:t>GB/T 7119</w:t>
      </w:r>
      <w:r>
        <w:rPr>
          <w:rFonts w:hint="eastAsia" w:ascii="Times New Roman"/>
          <w:color w:val="auto"/>
          <w:lang w:val="en-US" w:eastAsia="zh-CN"/>
        </w:rPr>
        <w:t xml:space="preserve">  </w:t>
      </w:r>
      <w:r>
        <w:rPr>
          <w:rFonts w:ascii="Times New Roman"/>
          <w:color w:val="auto"/>
        </w:rPr>
        <w:t>节水型企业评价</w:t>
      </w:r>
      <w:r>
        <w:rPr>
          <w:rFonts w:hint="eastAsia" w:ascii="Times New Roman"/>
          <w:color w:val="auto"/>
          <w:lang w:eastAsia="zh-CN"/>
        </w:rPr>
        <w:t>导则</w:t>
      </w:r>
    </w:p>
    <w:p>
      <w:pPr>
        <w:pStyle w:val="25"/>
        <w:spacing w:line="300" w:lineRule="auto"/>
        <w:rPr>
          <w:rFonts w:ascii="Times New Roman"/>
          <w:color w:val="auto"/>
          <w:szCs w:val="21"/>
        </w:rPr>
      </w:pPr>
      <w:r>
        <w:rPr>
          <w:rFonts w:ascii="Times New Roman"/>
          <w:color w:val="auto"/>
          <w:szCs w:val="21"/>
        </w:rPr>
        <w:t>GB/T 9289</w:t>
      </w:r>
      <w:r>
        <w:rPr>
          <w:rFonts w:hint="eastAsia" w:ascii="Times New Roman"/>
          <w:color w:val="auto"/>
          <w:szCs w:val="21"/>
          <w:lang w:val="en-US" w:eastAsia="zh-CN"/>
        </w:rPr>
        <w:t xml:space="preserve">  </w:t>
      </w:r>
      <w:r>
        <w:rPr>
          <w:rFonts w:ascii="Times New Roman"/>
          <w:color w:val="auto"/>
          <w:szCs w:val="21"/>
        </w:rPr>
        <w:t>制糖工业术语</w:t>
      </w:r>
    </w:p>
    <w:p>
      <w:pPr>
        <w:spacing w:line="300" w:lineRule="auto"/>
        <w:ind w:firstLine="420" w:firstLineChars="200"/>
        <w:rPr>
          <w:color w:val="auto"/>
          <w:szCs w:val="21"/>
        </w:rPr>
      </w:pPr>
      <w:r>
        <w:rPr>
          <w:rFonts w:hint="eastAsia"/>
          <w:color w:val="auto"/>
          <w:szCs w:val="21"/>
        </w:rPr>
        <w:t>GB 13271</w:t>
      </w:r>
      <w:r>
        <w:rPr>
          <w:rFonts w:hint="eastAsia"/>
          <w:color w:val="auto"/>
          <w:szCs w:val="21"/>
          <w:lang w:val="en-US" w:eastAsia="zh-CN"/>
        </w:rPr>
        <w:t xml:space="preserve">  </w:t>
      </w:r>
      <w:r>
        <w:rPr>
          <w:rFonts w:hint="eastAsia"/>
          <w:color w:val="auto"/>
          <w:szCs w:val="21"/>
        </w:rPr>
        <w:t>锅炉大气污染物排放标准</w:t>
      </w:r>
    </w:p>
    <w:p>
      <w:pPr>
        <w:spacing w:line="300" w:lineRule="auto"/>
        <w:ind w:firstLine="420" w:firstLineChars="200"/>
        <w:rPr>
          <w:color w:val="auto"/>
          <w:szCs w:val="21"/>
        </w:rPr>
      </w:pPr>
      <w:r>
        <w:rPr>
          <w:rFonts w:hint="eastAsia"/>
          <w:color w:val="auto"/>
          <w:szCs w:val="21"/>
        </w:rPr>
        <w:t>GB/T 15108</w:t>
      </w:r>
      <w:r>
        <w:rPr>
          <w:rFonts w:hint="eastAsia"/>
          <w:color w:val="auto"/>
          <w:szCs w:val="21"/>
          <w:lang w:val="en-US" w:eastAsia="zh-CN"/>
        </w:rPr>
        <w:t xml:space="preserve">  </w:t>
      </w:r>
      <w:r>
        <w:rPr>
          <w:rFonts w:hint="eastAsia"/>
          <w:color w:val="auto"/>
          <w:szCs w:val="21"/>
        </w:rPr>
        <w:t>原糖</w:t>
      </w:r>
    </w:p>
    <w:p>
      <w:pPr>
        <w:spacing w:line="300" w:lineRule="auto"/>
        <w:ind w:firstLine="420" w:firstLineChars="200"/>
        <w:rPr>
          <w:color w:val="auto"/>
          <w:szCs w:val="21"/>
        </w:rPr>
      </w:pPr>
      <w:r>
        <w:rPr>
          <w:rFonts w:hint="eastAsia"/>
          <w:color w:val="auto"/>
          <w:szCs w:val="21"/>
        </w:rPr>
        <w:t>GB 15618</w:t>
      </w:r>
      <w:r>
        <w:rPr>
          <w:rFonts w:hint="eastAsia"/>
          <w:color w:val="auto"/>
          <w:szCs w:val="21"/>
          <w:lang w:val="en-US" w:eastAsia="zh-CN"/>
        </w:rPr>
        <w:t xml:space="preserve">  </w:t>
      </w:r>
      <w:r>
        <w:rPr>
          <w:rFonts w:hint="eastAsia"/>
          <w:color w:val="auto"/>
          <w:szCs w:val="21"/>
        </w:rPr>
        <w:t>土壤环境质量农用地土壤污染风险管控标准</w:t>
      </w:r>
    </w:p>
    <w:p>
      <w:pPr>
        <w:spacing w:line="300" w:lineRule="auto"/>
        <w:ind w:firstLine="420" w:firstLineChars="200"/>
        <w:rPr>
          <w:color w:val="auto"/>
          <w:szCs w:val="21"/>
        </w:rPr>
      </w:pPr>
      <w:r>
        <w:rPr>
          <w:color w:val="auto"/>
          <w:szCs w:val="21"/>
        </w:rPr>
        <w:t>GB 17167</w:t>
      </w:r>
      <w:r>
        <w:rPr>
          <w:rFonts w:hint="eastAsia"/>
          <w:color w:val="auto"/>
          <w:szCs w:val="21"/>
          <w:lang w:val="en-US" w:eastAsia="zh-CN"/>
        </w:rPr>
        <w:t xml:space="preserve">  </w:t>
      </w:r>
      <w:r>
        <w:rPr>
          <w:color w:val="auto"/>
          <w:szCs w:val="21"/>
        </w:rPr>
        <w:t>用能单位能源计量器具配备和管理通则</w:t>
      </w:r>
    </w:p>
    <w:p>
      <w:pPr>
        <w:spacing w:line="300" w:lineRule="auto"/>
        <w:ind w:firstLine="420" w:firstLineChars="200"/>
        <w:rPr>
          <w:color w:val="auto"/>
          <w:szCs w:val="21"/>
        </w:rPr>
      </w:pPr>
      <w:r>
        <w:rPr>
          <w:rFonts w:hint="eastAsia"/>
          <w:color w:val="auto"/>
          <w:szCs w:val="21"/>
        </w:rPr>
        <w:t>GB 18599</w:t>
      </w:r>
      <w:r>
        <w:rPr>
          <w:rFonts w:hint="eastAsia"/>
          <w:color w:val="auto"/>
          <w:szCs w:val="21"/>
          <w:lang w:val="en-US" w:eastAsia="zh-CN"/>
        </w:rPr>
        <w:t xml:space="preserve">  </w:t>
      </w:r>
      <w:r>
        <w:rPr>
          <w:rFonts w:hint="eastAsia"/>
          <w:color w:val="auto"/>
          <w:szCs w:val="21"/>
        </w:rPr>
        <w:t>一般工业固体废物贮存、处置场污染控制标准</w:t>
      </w:r>
    </w:p>
    <w:p>
      <w:pPr>
        <w:spacing w:line="300" w:lineRule="auto"/>
        <w:ind w:firstLine="420" w:firstLineChars="200"/>
        <w:rPr>
          <w:color w:val="auto"/>
          <w:szCs w:val="21"/>
        </w:rPr>
      </w:pPr>
      <w:r>
        <w:rPr>
          <w:color w:val="auto"/>
          <w:szCs w:val="21"/>
        </w:rPr>
        <w:t>GB/T</w:t>
      </w:r>
      <w:r>
        <w:rPr>
          <w:rFonts w:hint="eastAsia"/>
          <w:color w:val="auto"/>
          <w:szCs w:val="21"/>
          <w:lang w:val="en-US" w:eastAsia="zh-CN"/>
        </w:rPr>
        <w:t xml:space="preserve"> </w:t>
      </w:r>
      <w:r>
        <w:rPr>
          <w:color w:val="auto"/>
          <w:szCs w:val="21"/>
        </w:rPr>
        <w:t>18916</w:t>
      </w:r>
      <w:r>
        <w:rPr>
          <w:rFonts w:hint="eastAsia"/>
          <w:color w:val="auto"/>
          <w:szCs w:val="21"/>
          <w:lang w:val="en-US" w:eastAsia="zh-CN"/>
        </w:rPr>
        <w:t xml:space="preserve">  </w:t>
      </w:r>
      <w:r>
        <w:rPr>
          <w:color w:val="auto"/>
          <w:szCs w:val="21"/>
        </w:rPr>
        <w:t>取水定额</w:t>
      </w:r>
    </w:p>
    <w:p>
      <w:pPr>
        <w:pStyle w:val="25"/>
        <w:spacing w:line="300" w:lineRule="auto"/>
        <w:rPr>
          <w:rFonts w:ascii="Times New Roman"/>
          <w:color w:val="auto"/>
          <w:szCs w:val="21"/>
        </w:rPr>
      </w:pPr>
      <w:r>
        <w:rPr>
          <w:rFonts w:ascii="Times New Roman"/>
          <w:color w:val="auto"/>
          <w:szCs w:val="21"/>
        </w:rPr>
        <w:t>GB/T 19001</w:t>
      </w:r>
      <w:r>
        <w:rPr>
          <w:rFonts w:hint="eastAsia" w:ascii="Times New Roman"/>
          <w:color w:val="auto"/>
          <w:szCs w:val="21"/>
          <w:lang w:val="en-US" w:eastAsia="zh-CN"/>
        </w:rPr>
        <w:t xml:space="preserve">  </w:t>
      </w:r>
      <w:r>
        <w:rPr>
          <w:rFonts w:ascii="Times New Roman"/>
          <w:color w:val="auto"/>
          <w:szCs w:val="21"/>
        </w:rPr>
        <w:t>质量管理体系要求</w:t>
      </w:r>
    </w:p>
    <w:p>
      <w:pPr>
        <w:pStyle w:val="25"/>
        <w:spacing w:line="300" w:lineRule="auto"/>
        <w:rPr>
          <w:rFonts w:ascii="Times New Roman"/>
          <w:color w:val="auto"/>
          <w:szCs w:val="21"/>
        </w:rPr>
      </w:pPr>
      <w:r>
        <w:rPr>
          <w:rFonts w:hint="eastAsia" w:ascii="Times New Roman"/>
          <w:color w:val="auto"/>
          <w:szCs w:val="21"/>
          <w:lang w:val="en-US" w:eastAsia="zh-CN"/>
        </w:rPr>
        <w:t>GB 21909  制糖工业水污染排放物标准</w:t>
      </w:r>
    </w:p>
    <w:p>
      <w:pPr>
        <w:pStyle w:val="25"/>
        <w:spacing w:line="300" w:lineRule="auto"/>
        <w:rPr>
          <w:rFonts w:ascii="Times New Roman"/>
          <w:color w:val="auto"/>
          <w:szCs w:val="21"/>
        </w:rPr>
      </w:pPr>
      <w:r>
        <w:rPr>
          <w:rFonts w:ascii="Times New Roman"/>
          <w:color w:val="auto"/>
          <w:szCs w:val="21"/>
        </w:rPr>
        <w:t>GB/T 23331</w:t>
      </w:r>
      <w:r>
        <w:rPr>
          <w:rFonts w:hint="eastAsia" w:ascii="Times New Roman"/>
          <w:color w:val="auto"/>
          <w:szCs w:val="21"/>
          <w:lang w:val="en-US" w:eastAsia="zh-CN"/>
        </w:rPr>
        <w:t xml:space="preserve">  </w:t>
      </w:r>
      <w:r>
        <w:rPr>
          <w:rFonts w:ascii="Times New Roman"/>
          <w:color w:val="auto"/>
          <w:szCs w:val="21"/>
        </w:rPr>
        <w:t>能源管理体系要求与使用指南</w:t>
      </w:r>
    </w:p>
    <w:p>
      <w:pPr>
        <w:spacing w:line="300" w:lineRule="auto"/>
        <w:ind w:firstLine="420" w:firstLineChars="200"/>
        <w:rPr>
          <w:rFonts w:ascii="Times New Roman"/>
          <w:color w:val="auto"/>
          <w:szCs w:val="21"/>
        </w:rPr>
      </w:pPr>
      <w:r>
        <w:rPr>
          <w:rFonts w:ascii="Times New Roman"/>
          <w:color w:val="auto"/>
          <w:szCs w:val="21"/>
        </w:rPr>
        <w:t>GB/T</w:t>
      </w:r>
      <w:r>
        <w:rPr>
          <w:rFonts w:hint="eastAsia" w:ascii="Times New Roman"/>
          <w:color w:val="auto"/>
          <w:szCs w:val="21"/>
        </w:rPr>
        <w:t xml:space="preserve"> </w:t>
      </w:r>
      <w:r>
        <w:rPr>
          <w:rFonts w:ascii="Times New Roman"/>
          <w:color w:val="auto"/>
          <w:szCs w:val="21"/>
        </w:rPr>
        <w:t>24001</w:t>
      </w:r>
      <w:r>
        <w:rPr>
          <w:rFonts w:hint="eastAsia" w:ascii="Times New Roman"/>
          <w:color w:val="auto"/>
          <w:szCs w:val="21"/>
          <w:lang w:val="en-US" w:eastAsia="zh-CN"/>
        </w:rPr>
        <w:t xml:space="preserve">  </w:t>
      </w:r>
      <w:r>
        <w:rPr>
          <w:rFonts w:ascii="Times New Roman"/>
          <w:color w:val="auto"/>
          <w:szCs w:val="21"/>
        </w:rPr>
        <w:t>环境管理体系要求与使用指南</w:t>
      </w:r>
    </w:p>
    <w:p>
      <w:pPr>
        <w:spacing w:line="300" w:lineRule="auto"/>
        <w:ind w:firstLine="420" w:firstLineChars="200"/>
        <w:rPr>
          <w:color w:val="auto"/>
          <w:szCs w:val="21"/>
        </w:rPr>
      </w:pPr>
      <w:r>
        <w:rPr>
          <w:rFonts w:hint="eastAsia"/>
          <w:color w:val="auto"/>
          <w:szCs w:val="21"/>
        </w:rPr>
        <w:t>GB/T 24256</w:t>
      </w:r>
      <w:r>
        <w:rPr>
          <w:rFonts w:hint="eastAsia"/>
          <w:color w:val="auto"/>
          <w:szCs w:val="21"/>
          <w:lang w:val="en-US" w:eastAsia="zh-CN"/>
        </w:rPr>
        <w:t xml:space="preserve">  </w:t>
      </w:r>
      <w:r>
        <w:rPr>
          <w:rFonts w:hint="eastAsia"/>
          <w:color w:val="auto"/>
          <w:szCs w:val="21"/>
        </w:rPr>
        <w:t>产品生态设计通则</w:t>
      </w:r>
    </w:p>
    <w:p>
      <w:pPr>
        <w:pStyle w:val="25"/>
        <w:spacing w:line="300" w:lineRule="auto"/>
        <w:rPr>
          <w:rFonts w:ascii="Times New Roman"/>
          <w:color w:val="auto"/>
          <w:szCs w:val="21"/>
        </w:rPr>
      </w:pPr>
      <w:r>
        <w:rPr>
          <w:rFonts w:ascii="Times New Roman"/>
          <w:color w:val="auto"/>
          <w:szCs w:val="21"/>
        </w:rPr>
        <w:t>GB 24789</w:t>
      </w:r>
      <w:r>
        <w:rPr>
          <w:rFonts w:hint="eastAsia" w:ascii="Times New Roman"/>
          <w:color w:val="auto"/>
          <w:szCs w:val="21"/>
          <w:lang w:val="en-US" w:eastAsia="zh-CN"/>
        </w:rPr>
        <w:t xml:space="preserve">  </w:t>
      </w:r>
      <w:r>
        <w:rPr>
          <w:rFonts w:ascii="Times New Roman"/>
          <w:color w:val="auto"/>
          <w:szCs w:val="21"/>
        </w:rPr>
        <w:t>用水单位计量器具配备和管理通则</w:t>
      </w:r>
    </w:p>
    <w:p>
      <w:pPr>
        <w:pStyle w:val="25"/>
        <w:spacing w:line="300" w:lineRule="auto"/>
        <w:rPr>
          <w:rFonts w:ascii="Times New Roman"/>
          <w:color w:val="auto"/>
          <w:szCs w:val="21"/>
        </w:rPr>
      </w:pPr>
      <w:r>
        <w:rPr>
          <w:rFonts w:ascii="Times New Roman"/>
          <w:color w:val="auto"/>
          <w:szCs w:val="21"/>
        </w:rPr>
        <w:t>GB/T 28001</w:t>
      </w:r>
      <w:r>
        <w:rPr>
          <w:rFonts w:hint="eastAsia" w:ascii="Times New Roman"/>
          <w:color w:val="auto"/>
          <w:szCs w:val="21"/>
          <w:lang w:val="en-US" w:eastAsia="zh-CN"/>
        </w:rPr>
        <w:t xml:space="preserve">  </w:t>
      </w:r>
      <w:r>
        <w:rPr>
          <w:rFonts w:ascii="Times New Roman"/>
          <w:color w:val="auto"/>
          <w:szCs w:val="21"/>
        </w:rPr>
        <w:t>职业健康安全管理体系要求</w:t>
      </w:r>
    </w:p>
    <w:p>
      <w:pPr>
        <w:spacing w:line="300" w:lineRule="auto"/>
        <w:ind w:firstLine="420" w:firstLineChars="200"/>
        <w:rPr>
          <w:color w:val="auto"/>
          <w:szCs w:val="21"/>
        </w:rPr>
      </w:pPr>
      <w:r>
        <w:rPr>
          <w:color w:val="auto"/>
          <w:szCs w:val="21"/>
        </w:rPr>
        <w:t>GB/T 29115</w:t>
      </w:r>
      <w:r>
        <w:rPr>
          <w:rFonts w:hint="eastAsia"/>
          <w:color w:val="auto"/>
          <w:szCs w:val="21"/>
          <w:lang w:val="en-US" w:eastAsia="zh-CN"/>
        </w:rPr>
        <w:t xml:space="preserve">  </w:t>
      </w:r>
      <w:r>
        <w:rPr>
          <w:color w:val="auto"/>
          <w:szCs w:val="21"/>
        </w:rPr>
        <w:t>工业企业节约原材料评价导则</w:t>
      </w:r>
    </w:p>
    <w:p>
      <w:pPr>
        <w:spacing w:line="300" w:lineRule="auto"/>
        <w:ind w:firstLine="420" w:firstLineChars="200"/>
        <w:rPr>
          <w:rFonts w:hint="eastAsia"/>
          <w:color w:val="auto"/>
          <w:szCs w:val="21"/>
        </w:rPr>
      </w:pPr>
      <w:r>
        <w:rPr>
          <w:rFonts w:hint="eastAsia"/>
          <w:color w:val="auto"/>
          <w:szCs w:val="21"/>
        </w:rPr>
        <w:t>GB 32044</w:t>
      </w:r>
      <w:r>
        <w:rPr>
          <w:rFonts w:hint="eastAsia"/>
          <w:color w:val="auto"/>
          <w:szCs w:val="21"/>
          <w:lang w:val="en-US" w:eastAsia="zh-CN"/>
        </w:rPr>
        <w:t xml:space="preserve">  </w:t>
      </w:r>
      <w:r>
        <w:rPr>
          <w:rFonts w:hint="eastAsia"/>
          <w:color w:val="auto"/>
          <w:szCs w:val="21"/>
        </w:rPr>
        <w:t>糖单位产品能源消耗限额</w:t>
      </w:r>
    </w:p>
    <w:p>
      <w:pPr>
        <w:spacing w:line="300" w:lineRule="auto"/>
        <w:ind w:firstLine="420" w:firstLineChars="200"/>
        <w:rPr>
          <w:rFonts w:hint="eastAsia"/>
          <w:color w:val="auto"/>
          <w:szCs w:val="21"/>
        </w:rPr>
      </w:pPr>
      <w:r>
        <w:rPr>
          <w:rFonts w:hint="eastAsia"/>
          <w:color w:val="auto"/>
          <w:szCs w:val="21"/>
        </w:rPr>
        <w:t>GB/T 32150</w:t>
      </w:r>
      <w:r>
        <w:rPr>
          <w:rFonts w:hint="eastAsia"/>
          <w:color w:val="auto"/>
          <w:szCs w:val="21"/>
          <w:lang w:val="en-US" w:eastAsia="zh-CN"/>
        </w:rPr>
        <w:t xml:space="preserve">  </w:t>
      </w:r>
      <w:r>
        <w:rPr>
          <w:rFonts w:hint="eastAsia"/>
          <w:color w:val="auto"/>
          <w:szCs w:val="21"/>
        </w:rPr>
        <w:t>工业企业温室气体排放核算和报告通则</w:t>
      </w:r>
    </w:p>
    <w:p>
      <w:pPr>
        <w:spacing w:line="300" w:lineRule="auto"/>
        <w:ind w:firstLine="420" w:firstLineChars="200"/>
        <w:rPr>
          <w:color w:val="auto"/>
          <w:szCs w:val="21"/>
        </w:rPr>
      </w:pPr>
      <w:r>
        <w:rPr>
          <w:rFonts w:hint="eastAsia"/>
          <w:color w:val="auto"/>
          <w:szCs w:val="21"/>
        </w:rPr>
        <w:t>GB/T 32161</w:t>
      </w:r>
      <w:r>
        <w:rPr>
          <w:rFonts w:hint="eastAsia"/>
          <w:color w:val="auto"/>
          <w:szCs w:val="21"/>
          <w:lang w:val="en-US" w:eastAsia="zh-CN"/>
        </w:rPr>
        <w:t xml:space="preserve">  </w:t>
      </w:r>
      <w:r>
        <w:rPr>
          <w:rFonts w:hint="eastAsia"/>
          <w:color w:val="auto"/>
          <w:szCs w:val="21"/>
        </w:rPr>
        <w:t>生态设计产品评价通则</w:t>
      </w:r>
    </w:p>
    <w:p>
      <w:pPr>
        <w:spacing w:line="300" w:lineRule="auto"/>
        <w:ind w:firstLine="420" w:firstLineChars="200"/>
        <w:rPr>
          <w:color w:val="auto"/>
          <w:szCs w:val="21"/>
        </w:rPr>
      </w:pPr>
      <w:r>
        <w:rPr>
          <w:rFonts w:hint="eastAsia"/>
          <w:color w:val="auto"/>
          <w:szCs w:val="21"/>
        </w:rPr>
        <w:t>GB/T 35884</w:t>
      </w:r>
      <w:r>
        <w:rPr>
          <w:rFonts w:hint="eastAsia"/>
          <w:color w:val="auto"/>
          <w:szCs w:val="21"/>
          <w:lang w:val="en-US" w:eastAsia="zh-CN"/>
        </w:rPr>
        <w:t xml:space="preserve">  </w:t>
      </w:r>
      <w:r>
        <w:rPr>
          <w:rFonts w:hint="eastAsia"/>
          <w:color w:val="auto"/>
          <w:szCs w:val="21"/>
        </w:rPr>
        <w:t>赤砂糖</w:t>
      </w:r>
    </w:p>
    <w:p>
      <w:pPr>
        <w:spacing w:line="300" w:lineRule="auto"/>
        <w:ind w:firstLine="420" w:firstLineChars="200"/>
        <w:rPr>
          <w:rFonts w:ascii="Times New Roman"/>
          <w:color w:val="auto"/>
          <w:szCs w:val="21"/>
        </w:rPr>
      </w:pPr>
      <w:r>
        <w:rPr>
          <w:rFonts w:ascii="Times New Roman"/>
          <w:color w:val="auto"/>
          <w:szCs w:val="21"/>
        </w:rPr>
        <w:t>GB/T 36132</w:t>
      </w:r>
      <w:r>
        <w:rPr>
          <w:rFonts w:hint="eastAsia" w:ascii="Times New Roman"/>
          <w:color w:val="auto"/>
          <w:szCs w:val="21"/>
          <w:lang w:val="en-US" w:eastAsia="zh-CN"/>
        </w:rPr>
        <w:t xml:space="preserve">  </w:t>
      </w:r>
      <w:r>
        <w:rPr>
          <w:rFonts w:ascii="Times New Roman"/>
          <w:color w:val="auto"/>
          <w:szCs w:val="21"/>
        </w:rPr>
        <w:t>绿色工厂评价通则</w:t>
      </w:r>
    </w:p>
    <w:p>
      <w:pPr>
        <w:pStyle w:val="25"/>
        <w:spacing w:line="300" w:lineRule="auto"/>
        <w:rPr>
          <w:rFonts w:ascii="Times New Roman"/>
          <w:color w:val="auto"/>
          <w:szCs w:val="21"/>
        </w:rPr>
      </w:pPr>
      <w:r>
        <w:rPr>
          <w:rFonts w:ascii="Times New Roman"/>
          <w:color w:val="auto"/>
          <w:kern w:val="2"/>
          <w:szCs w:val="21"/>
        </w:rPr>
        <w:t>GB/T 50034</w:t>
      </w:r>
      <w:r>
        <w:rPr>
          <w:rFonts w:hint="eastAsia" w:ascii="Times New Roman"/>
          <w:color w:val="auto"/>
          <w:kern w:val="2"/>
          <w:szCs w:val="21"/>
          <w:lang w:val="en-US" w:eastAsia="zh-CN"/>
        </w:rPr>
        <w:t xml:space="preserve">  </w:t>
      </w:r>
      <w:r>
        <w:rPr>
          <w:rFonts w:ascii="Times New Roman"/>
          <w:color w:val="auto"/>
          <w:szCs w:val="21"/>
        </w:rPr>
        <w:t>建筑照明设计标准</w:t>
      </w:r>
    </w:p>
    <w:p>
      <w:pPr>
        <w:spacing w:line="300" w:lineRule="auto"/>
        <w:ind w:firstLine="420" w:firstLineChars="200"/>
        <w:rPr>
          <w:color w:val="auto"/>
          <w:szCs w:val="21"/>
        </w:rPr>
      </w:pPr>
      <w:r>
        <w:rPr>
          <w:rFonts w:hint="eastAsia"/>
          <w:color w:val="auto"/>
          <w:szCs w:val="21"/>
        </w:rPr>
        <w:t>GB/T 50353</w:t>
      </w:r>
      <w:r>
        <w:rPr>
          <w:rFonts w:hint="eastAsia"/>
          <w:color w:val="auto"/>
          <w:szCs w:val="21"/>
          <w:lang w:val="en-US" w:eastAsia="zh-CN"/>
        </w:rPr>
        <w:t xml:space="preserve">  </w:t>
      </w:r>
      <w:r>
        <w:rPr>
          <w:rFonts w:hint="eastAsia"/>
          <w:color w:val="auto"/>
          <w:szCs w:val="21"/>
        </w:rPr>
        <w:t>建筑工程建筑面积计算规范</w:t>
      </w:r>
    </w:p>
    <w:bookmarkEnd w:id="13"/>
    <w:p>
      <w:pPr>
        <w:pStyle w:val="138"/>
        <w:spacing w:before="312" w:after="312" w:line="300" w:lineRule="auto"/>
        <w:ind w:left="0"/>
        <w:rPr>
          <w:rFonts w:ascii="Times New Roman"/>
          <w:color w:val="auto"/>
          <w:szCs w:val="22"/>
        </w:rPr>
      </w:pPr>
      <w:bookmarkStart w:id="14" w:name="_Toc55722983"/>
      <w:bookmarkStart w:id="15" w:name="_Toc55722794"/>
      <w:r>
        <w:rPr>
          <w:rFonts w:hint="eastAsia" w:ascii="Times New Roman"/>
          <w:color w:val="auto"/>
          <w:szCs w:val="22"/>
        </w:rPr>
        <w:t xml:space="preserve">3 </w:t>
      </w:r>
      <w:r>
        <w:rPr>
          <w:rFonts w:ascii="Times New Roman"/>
          <w:color w:val="auto"/>
          <w:szCs w:val="22"/>
        </w:rPr>
        <w:t>术语与定义</w:t>
      </w:r>
      <w:bookmarkEnd w:id="14"/>
      <w:bookmarkEnd w:id="15"/>
    </w:p>
    <w:p>
      <w:pPr>
        <w:spacing w:line="300" w:lineRule="auto"/>
        <w:ind w:firstLine="420" w:firstLineChars="200"/>
        <w:rPr>
          <w:color w:val="auto"/>
        </w:rPr>
      </w:pPr>
      <w:r>
        <w:rPr>
          <w:color w:val="auto"/>
        </w:rPr>
        <w:t>下列术语和定义适用于本文件。</w:t>
      </w:r>
    </w:p>
    <w:p>
      <w:pPr>
        <w:spacing w:line="300" w:lineRule="auto"/>
        <w:rPr>
          <w:b/>
          <w:color w:val="auto"/>
        </w:rPr>
      </w:pPr>
      <w:r>
        <w:rPr>
          <w:b/>
          <w:color w:val="auto"/>
        </w:rPr>
        <w:t>3.1 绿色工厂  green factory</w:t>
      </w:r>
    </w:p>
    <w:p>
      <w:pPr>
        <w:spacing w:line="300" w:lineRule="auto"/>
        <w:ind w:firstLine="420" w:firstLineChars="200"/>
        <w:rPr>
          <w:color w:val="auto"/>
        </w:rPr>
      </w:pPr>
      <w:r>
        <w:rPr>
          <w:color w:val="auto"/>
        </w:rPr>
        <w:t>实现了用地集约化、原料无害化、生产清洁化、废物资源化、能源低碳化的工厂。</w:t>
      </w:r>
    </w:p>
    <w:p>
      <w:pPr>
        <w:spacing w:line="300" w:lineRule="auto"/>
        <w:ind w:firstLine="420" w:firstLineChars="200"/>
        <w:rPr>
          <w:color w:val="auto"/>
        </w:rPr>
      </w:pPr>
      <w:r>
        <w:rPr>
          <w:color w:val="auto"/>
        </w:rPr>
        <w:t>[</w:t>
      </w:r>
      <w:r>
        <w:rPr>
          <w:rFonts w:hint="eastAsia"/>
          <w:color w:val="auto"/>
          <w:lang w:val="en-US" w:eastAsia="zh-CN"/>
        </w:rPr>
        <w:t>来源：</w:t>
      </w:r>
      <w:r>
        <w:rPr>
          <w:color w:val="auto"/>
        </w:rPr>
        <w:t>GB/T 36132-2018，3.1]</w:t>
      </w:r>
    </w:p>
    <w:p>
      <w:pPr>
        <w:spacing w:line="300" w:lineRule="auto"/>
        <w:rPr>
          <w:b/>
          <w:color w:val="auto"/>
        </w:rPr>
      </w:pPr>
      <w:r>
        <w:rPr>
          <w:b/>
          <w:color w:val="auto"/>
        </w:rPr>
        <w:t>3.2 绿色产品  green product</w:t>
      </w:r>
    </w:p>
    <w:p>
      <w:pPr>
        <w:spacing w:line="300" w:lineRule="auto"/>
        <w:ind w:firstLine="420" w:firstLineChars="200"/>
        <w:rPr>
          <w:color w:val="auto"/>
        </w:rPr>
      </w:pPr>
      <w:r>
        <w:rPr>
          <w:color w:val="auto"/>
        </w:rPr>
        <w:t>在全生命周期过程中，符合环境保护要求，对生态环境和人体健康无害或危害小，资源能源消耗少、品质高的产品。</w:t>
      </w:r>
    </w:p>
    <w:p>
      <w:pPr>
        <w:spacing w:line="300" w:lineRule="auto"/>
        <w:ind w:firstLine="420" w:firstLineChars="200"/>
        <w:rPr>
          <w:color w:val="auto"/>
        </w:rPr>
      </w:pPr>
      <w:r>
        <w:rPr>
          <w:color w:val="auto"/>
        </w:rPr>
        <w:t>[</w:t>
      </w:r>
      <w:r>
        <w:rPr>
          <w:rFonts w:hint="eastAsia"/>
          <w:color w:val="auto"/>
          <w:lang w:val="en-US" w:eastAsia="zh-CN"/>
        </w:rPr>
        <w:t>来源：</w:t>
      </w:r>
      <w:r>
        <w:rPr>
          <w:color w:val="auto"/>
        </w:rPr>
        <w:t>GB/T 36132-2018，3.2]</w:t>
      </w:r>
    </w:p>
    <w:p>
      <w:pPr>
        <w:spacing w:line="300" w:lineRule="auto"/>
        <w:rPr>
          <w:b/>
          <w:color w:val="auto"/>
        </w:rPr>
      </w:pPr>
      <w:r>
        <w:rPr>
          <w:b/>
          <w:color w:val="auto"/>
        </w:rPr>
        <w:t>3.3 相关方  interested party; stakeholder</w:t>
      </w:r>
    </w:p>
    <w:p>
      <w:pPr>
        <w:spacing w:line="300" w:lineRule="auto"/>
        <w:ind w:firstLine="420" w:firstLineChars="200"/>
        <w:rPr>
          <w:color w:val="auto"/>
        </w:rPr>
      </w:pPr>
      <w:r>
        <w:rPr>
          <w:color w:val="auto"/>
        </w:rPr>
        <w:t>可影响绿色工厂创建的决策或活动、受绿色工厂创建的决策或活动所影响、或自认为受绿色工厂创建的决策或活动影响的个人或组织。</w:t>
      </w:r>
    </w:p>
    <w:p>
      <w:pPr>
        <w:spacing w:line="300" w:lineRule="auto"/>
        <w:ind w:firstLine="420" w:firstLineChars="200"/>
        <w:rPr>
          <w:color w:val="auto"/>
        </w:rPr>
      </w:pPr>
      <w:r>
        <w:rPr>
          <w:color w:val="auto"/>
        </w:rPr>
        <w:t>[</w:t>
      </w:r>
      <w:r>
        <w:rPr>
          <w:rFonts w:hint="eastAsia"/>
          <w:color w:val="auto"/>
          <w:lang w:val="en-US" w:eastAsia="zh-CN"/>
        </w:rPr>
        <w:t>来源：</w:t>
      </w:r>
      <w:r>
        <w:rPr>
          <w:color w:val="auto"/>
        </w:rPr>
        <w:t xml:space="preserve"> GB/ 36132-2018，3.3]</w:t>
      </w:r>
    </w:p>
    <w:p>
      <w:pPr>
        <w:spacing w:line="300" w:lineRule="auto"/>
        <w:rPr>
          <w:b/>
          <w:color w:val="auto"/>
        </w:rPr>
      </w:pPr>
      <w:r>
        <w:rPr>
          <w:b/>
          <w:color w:val="auto"/>
        </w:rPr>
        <w:t>3.4 糖  sugar</w:t>
      </w:r>
    </w:p>
    <w:p>
      <w:pPr>
        <w:spacing w:line="300" w:lineRule="auto"/>
        <w:ind w:firstLine="420" w:firstLineChars="200"/>
        <w:rPr>
          <w:color w:val="auto"/>
        </w:rPr>
      </w:pPr>
      <w:r>
        <w:rPr>
          <w:color w:val="auto"/>
        </w:rPr>
        <w:t>以蔗糖为主要成分的糖厂产品统称。</w:t>
      </w:r>
    </w:p>
    <w:p>
      <w:pPr>
        <w:spacing w:line="300" w:lineRule="auto"/>
        <w:ind w:firstLine="420" w:firstLineChars="200"/>
        <w:rPr>
          <w:color w:val="auto"/>
        </w:rPr>
      </w:pPr>
      <w:r>
        <w:rPr>
          <w:color w:val="auto"/>
        </w:rPr>
        <w:t>[</w:t>
      </w:r>
      <w:r>
        <w:rPr>
          <w:rFonts w:hint="eastAsia"/>
          <w:color w:val="auto"/>
          <w:lang w:val="en-US" w:eastAsia="zh-CN"/>
        </w:rPr>
        <w:t>来源：</w:t>
      </w:r>
      <w:r>
        <w:rPr>
          <w:color w:val="auto"/>
        </w:rPr>
        <w:t>GB/T 9289-2010，2.1.2.1]</w:t>
      </w:r>
    </w:p>
    <w:p>
      <w:pPr>
        <w:spacing w:line="300" w:lineRule="auto"/>
        <w:rPr>
          <w:b/>
          <w:color w:val="auto"/>
        </w:rPr>
      </w:pPr>
      <w:r>
        <w:rPr>
          <w:b/>
          <w:color w:val="auto"/>
        </w:rPr>
        <w:t>3.5 糖厂</w:t>
      </w:r>
    </w:p>
    <w:p>
      <w:pPr>
        <w:spacing w:line="300" w:lineRule="auto"/>
        <w:rPr>
          <w:b/>
          <w:color w:val="auto"/>
        </w:rPr>
      </w:pPr>
      <w:r>
        <w:rPr>
          <w:b/>
          <w:color w:val="auto"/>
        </w:rPr>
        <w:t>3.5.1</w:t>
      </w:r>
      <w:r>
        <w:rPr>
          <w:rFonts w:hint="eastAsia"/>
          <w:b/>
          <w:color w:val="auto"/>
        </w:rPr>
        <w:t xml:space="preserve"> </w:t>
      </w:r>
      <w:r>
        <w:rPr>
          <w:b/>
          <w:color w:val="auto"/>
        </w:rPr>
        <w:t>甘蔗糖厂  cane sugar factory; sugar mill</w:t>
      </w:r>
    </w:p>
    <w:p>
      <w:pPr>
        <w:spacing w:line="300" w:lineRule="auto"/>
        <w:ind w:firstLine="420" w:firstLineChars="200"/>
        <w:rPr>
          <w:color w:val="auto"/>
        </w:rPr>
      </w:pPr>
      <w:r>
        <w:rPr>
          <w:color w:val="auto"/>
        </w:rPr>
        <w:t>以甘蔗为原料，生产糖的工厂。</w:t>
      </w:r>
    </w:p>
    <w:p>
      <w:pPr>
        <w:spacing w:line="300" w:lineRule="auto"/>
        <w:ind w:firstLine="420" w:firstLineChars="200"/>
        <w:rPr>
          <w:color w:val="auto"/>
        </w:rPr>
      </w:pPr>
      <w:r>
        <w:rPr>
          <w:color w:val="auto"/>
        </w:rPr>
        <w:t>[</w:t>
      </w:r>
      <w:r>
        <w:rPr>
          <w:rFonts w:hint="eastAsia"/>
          <w:color w:val="auto"/>
          <w:lang w:val="en-US" w:eastAsia="zh-CN"/>
        </w:rPr>
        <w:t>来源：</w:t>
      </w:r>
      <w:r>
        <w:rPr>
          <w:color w:val="auto"/>
        </w:rPr>
        <w:t>GB/T 9289-2010，2.1.3.1]</w:t>
      </w:r>
    </w:p>
    <w:p>
      <w:pPr>
        <w:spacing w:line="300" w:lineRule="auto"/>
        <w:rPr>
          <w:b/>
          <w:color w:val="auto"/>
        </w:rPr>
      </w:pPr>
      <w:r>
        <w:rPr>
          <w:b/>
          <w:color w:val="auto"/>
        </w:rPr>
        <w:t>3.5.2</w:t>
      </w:r>
      <w:r>
        <w:rPr>
          <w:rFonts w:hint="eastAsia"/>
          <w:b/>
          <w:color w:val="auto"/>
        </w:rPr>
        <w:t xml:space="preserve"> </w:t>
      </w:r>
      <w:r>
        <w:rPr>
          <w:b/>
          <w:color w:val="auto"/>
        </w:rPr>
        <w:t>甜菜糖厂  beet sugar factory</w:t>
      </w:r>
    </w:p>
    <w:p>
      <w:pPr>
        <w:spacing w:line="300" w:lineRule="auto"/>
        <w:ind w:firstLine="420" w:firstLineChars="200"/>
        <w:rPr>
          <w:color w:val="auto"/>
        </w:rPr>
      </w:pPr>
      <w:r>
        <w:rPr>
          <w:color w:val="auto"/>
        </w:rPr>
        <w:t>以甜菜为原料，生产糖的工厂。</w:t>
      </w:r>
    </w:p>
    <w:p>
      <w:pPr>
        <w:spacing w:line="300" w:lineRule="auto"/>
        <w:ind w:firstLine="420" w:firstLineChars="200"/>
        <w:rPr>
          <w:color w:val="auto"/>
        </w:rPr>
      </w:pPr>
      <w:r>
        <w:rPr>
          <w:color w:val="auto"/>
        </w:rPr>
        <w:t>[</w:t>
      </w:r>
      <w:r>
        <w:rPr>
          <w:rFonts w:hint="eastAsia"/>
          <w:color w:val="auto"/>
          <w:lang w:val="en-US" w:eastAsia="zh-CN"/>
        </w:rPr>
        <w:t>来源：</w:t>
      </w:r>
      <w:r>
        <w:rPr>
          <w:color w:val="auto"/>
        </w:rPr>
        <w:t>GB/T 9289-2010，2.1.3.2]</w:t>
      </w:r>
    </w:p>
    <w:p>
      <w:pPr>
        <w:spacing w:line="300" w:lineRule="auto"/>
        <w:rPr>
          <w:b/>
          <w:color w:val="auto"/>
        </w:rPr>
      </w:pPr>
      <w:r>
        <w:rPr>
          <w:b/>
          <w:color w:val="auto"/>
        </w:rPr>
        <w:t>3.5.3</w:t>
      </w:r>
      <w:r>
        <w:rPr>
          <w:rFonts w:hint="eastAsia"/>
          <w:b/>
          <w:color w:val="auto"/>
        </w:rPr>
        <w:t xml:space="preserve"> </w:t>
      </w:r>
      <w:r>
        <w:rPr>
          <w:b/>
          <w:color w:val="auto"/>
        </w:rPr>
        <w:t>精炼耱厂  sugar refinery</w:t>
      </w:r>
    </w:p>
    <w:p>
      <w:pPr>
        <w:spacing w:line="300" w:lineRule="auto"/>
        <w:ind w:firstLine="422" w:firstLineChars="200"/>
        <w:rPr>
          <w:b/>
          <w:color w:val="auto"/>
        </w:rPr>
      </w:pPr>
      <w:r>
        <w:rPr>
          <w:b/>
          <w:color w:val="auto"/>
        </w:rPr>
        <w:t>炼糖厂</w:t>
      </w:r>
    </w:p>
    <w:p>
      <w:pPr>
        <w:spacing w:line="300" w:lineRule="auto"/>
        <w:ind w:firstLine="420" w:firstLineChars="200"/>
        <w:rPr>
          <w:color w:val="auto"/>
        </w:rPr>
      </w:pPr>
      <w:r>
        <w:rPr>
          <w:color w:val="auto"/>
        </w:rPr>
        <w:t>以原糖(粗糖)为原料，生产精制糖或白砂糖的工厂。</w:t>
      </w:r>
    </w:p>
    <w:p>
      <w:pPr>
        <w:spacing w:line="300" w:lineRule="auto"/>
        <w:ind w:firstLine="420" w:firstLineChars="200"/>
        <w:rPr>
          <w:color w:val="auto"/>
        </w:rPr>
      </w:pPr>
      <w:r>
        <w:rPr>
          <w:color w:val="auto"/>
        </w:rPr>
        <w:t>[</w:t>
      </w:r>
      <w:r>
        <w:rPr>
          <w:rFonts w:hint="eastAsia"/>
          <w:color w:val="auto"/>
          <w:lang w:val="en-US" w:eastAsia="zh-CN"/>
        </w:rPr>
        <w:t>来源：</w:t>
      </w:r>
      <w:r>
        <w:rPr>
          <w:color w:val="auto"/>
        </w:rPr>
        <w:t>GB/T 9289-2010，2.1.3.3]</w:t>
      </w:r>
    </w:p>
    <w:p>
      <w:pPr>
        <w:spacing w:line="300" w:lineRule="auto"/>
        <w:rPr>
          <w:b/>
          <w:color w:val="auto"/>
        </w:rPr>
      </w:pPr>
      <w:r>
        <w:rPr>
          <w:b/>
          <w:color w:val="auto"/>
        </w:rPr>
        <w:t>3.5.4 原糖厂  raw sugar factory</w:t>
      </w:r>
    </w:p>
    <w:p>
      <w:pPr>
        <w:spacing w:line="300" w:lineRule="auto"/>
        <w:ind w:firstLine="420" w:firstLineChars="200"/>
        <w:rPr>
          <w:color w:val="auto"/>
        </w:rPr>
      </w:pPr>
      <w:r>
        <w:rPr>
          <w:color w:val="auto"/>
        </w:rPr>
        <w:t>生产原糖(粗糖)的工厂。</w:t>
      </w:r>
    </w:p>
    <w:p>
      <w:pPr>
        <w:spacing w:line="300" w:lineRule="auto"/>
        <w:ind w:firstLine="420" w:firstLineChars="200"/>
        <w:rPr>
          <w:color w:val="auto"/>
        </w:rPr>
      </w:pPr>
      <w:r>
        <w:rPr>
          <w:color w:val="auto"/>
        </w:rPr>
        <w:t>[</w:t>
      </w:r>
      <w:r>
        <w:rPr>
          <w:rFonts w:hint="eastAsia"/>
          <w:color w:val="auto"/>
          <w:lang w:val="en-US" w:eastAsia="zh-CN"/>
        </w:rPr>
        <w:t>来源：</w:t>
      </w:r>
      <w:r>
        <w:rPr>
          <w:color w:val="auto"/>
        </w:rPr>
        <w:t>GB/T 9289-2010，2.1.3.4]</w:t>
      </w:r>
    </w:p>
    <w:p>
      <w:pPr>
        <w:pStyle w:val="138"/>
        <w:spacing w:before="312" w:after="312" w:line="300" w:lineRule="auto"/>
        <w:ind w:left="0"/>
        <w:rPr>
          <w:rFonts w:ascii="Times New Roman"/>
          <w:color w:val="auto"/>
        </w:rPr>
      </w:pPr>
      <w:bookmarkStart w:id="16" w:name="_Toc55722795"/>
      <w:bookmarkStart w:id="17" w:name="_Toc55722984"/>
      <w:r>
        <w:rPr>
          <w:rFonts w:hint="eastAsia" w:ascii="Times New Roman"/>
          <w:color w:val="auto"/>
          <w:szCs w:val="22"/>
        </w:rPr>
        <w:t xml:space="preserve">4 </w:t>
      </w:r>
      <w:r>
        <w:rPr>
          <w:rFonts w:ascii="Times New Roman"/>
          <w:color w:val="auto"/>
          <w:szCs w:val="22"/>
        </w:rPr>
        <w:t>总则</w:t>
      </w:r>
      <w:bookmarkEnd w:id="16"/>
      <w:bookmarkEnd w:id="17"/>
    </w:p>
    <w:p>
      <w:pPr>
        <w:spacing w:line="300" w:lineRule="auto"/>
        <w:outlineLvl w:val="2"/>
        <w:rPr>
          <w:rFonts w:eastAsia="黑体"/>
          <w:color w:val="auto"/>
        </w:rPr>
      </w:pPr>
      <w:r>
        <w:rPr>
          <w:rFonts w:hint="eastAsia" w:eastAsia="黑体"/>
          <w:color w:val="auto"/>
        </w:rPr>
        <w:t>4.1 评价原则</w:t>
      </w:r>
    </w:p>
    <w:p>
      <w:pPr>
        <w:spacing w:line="300" w:lineRule="auto"/>
        <w:outlineLvl w:val="3"/>
        <w:rPr>
          <w:rFonts w:eastAsia="黑体"/>
          <w:color w:val="auto"/>
        </w:rPr>
      </w:pPr>
      <w:r>
        <w:rPr>
          <w:rFonts w:hint="eastAsia" w:eastAsia="黑体"/>
          <w:color w:val="auto"/>
        </w:rPr>
        <w:t>4.1.1 一致性原则</w:t>
      </w:r>
    </w:p>
    <w:p>
      <w:pPr>
        <w:spacing w:line="300" w:lineRule="auto"/>
        <w:ind w:firstLine="420" w:firstLineChars="200"/>
        <w:rPr>
          <w:color w:val="auto"/>
        </w:rPr>
      </w:pPr>
      <w:r>
        <w:rPr>
          <w:rFonts w:hint="eastAsia"/>
          <w:color w:val="auto"/>
        </w:rPr>
        <w:t>评价总体体系与</w:t>
      </w:r>
      <w:r>
        <w:rPr>
          <w:color w:val="auto"/>
        </w:rPr>
        <w:t>GB/T</w:t>
      </w:r>
      <w:r>
        <w:rPr>
          <w:rFonts w:hint="eastAsia"/>
          <w:color w:val="auto"/>
          <w:lang w:val="en-US" w:eastAsia="zh-CN"/>
        </w:rPr>
        <w:t xml:space="preserve"> </w:t>
      </w:r>
      <w:r>
        <w:rPr>
          <w:color w:val="auto"/>
        </w:rPr>
        <w:t>36132</w:t>
      </w:r>
      <w:r>
        <w:rPr>
          <w:color w:val="auto"/>
          <w:szCs w:val="21"/>
        </w:rPr>
        <w:t>-2018</w:t>
      </w:r>
      <w:r>
        <w:rPr>
          <w:rFonts w:hint="eastAsia"/>
          <w:color w:val="auto"/>
        </w:rPr>
        <w:t>提出的相关评价体系和通则要求保持一致，</w:t>
      </w:r>
      <w:r>
        <w:rPr>
          <w:color w:val="auto"/>
        </w:rPr>
        <w:t>包括</w:t>
      </w:r>
      <w:r>
        <w:rPr>
          <w:rFonts w:hint="eastAsia"/>
          <w:color w:val="auto"/>
          <w:lang w:eastAsia="zh-CN"/>
        </w:rPr>
        <w:t>：</w:t>
      </w:r>
      <w:r>
        <w:rPr>
          <w:color w:val="auto"/>
        </w:rPr>
        <w:t>基本要求、基础设施、管理体系、能源与资源投入、产品、环境排放、绩效7</w:t>
      </w:r>
      <w:r>
        <w:rPr>
          <w:rFonts w:hint="eastAsia"/>
          <w:color w:val="auto"/>
          <w:lang w:eastAsia="zh-CN"/>
        </w:rPr>
        <w:t>个一级指标</w:t>
      </w:r>
      <w:r>
        <w:rPr>
          <w:color w:val="auto"/>
        </w:rPr>
        <w:t>。</w:t>
      </w:r>
    </w:p>
    <w:p>
      <w:pPr>
        <w:spacing w:line="300" w:lineRule="auto"/>
        <w:outlineLvl w:val="3"/>
        <w:rPr>
          <w:rFonts w:eastAsia="黑体"/>
          <w:color w:val="auto"/>
        </w:rPr>
      </w:pPr>
      <w:r>
        <w:rPr>
          <w:rFonts w:hint="eastAsia" w:eastAsia="黑体"/>
          <w:color w:val="auto"/>
        </w:rPr>
        <w:t>4.1.2 定量与定性结合原则</w:t>
      </w:r>
    </w:p>
    <w:p>
      <w:pPr>
        <w:spacing w:line="300" w:lineRule="auto"/>
        <w:ind w:firstLine="420" w:firstLineChars="200"/>
        <w:rPr>
          <w:color w:val="auto"/>
        </w:rPr>
      </w:pPr>
      <w:r>
        <w:rPr>
          <w:rFonts w:hint="eastAsia"/>
          <w:color w:val="auto"/>
        </w:rPr>
        <w:t>定量评价指标选取有代表性</w:t>
      </w:r>
      <w:r>
        <w:rPr>
          <w:rFonts w:hint="eastAsia"/>
          <w:color w:val="auto"/>
          <w:lang w:eastAsia="zh-CN"/>
        </w:rPr>
        <w:t>的</w:t>
      </w:r>
      <w:r>
        <w:rPr>
          <w:rFonts w:hint="eastAsia"/>
          <w:color w:val="auto"/>
        </w:rPr>
        <w:t>、能反映节能、降耗和减排等有关</w:t>
      </w:r>
      <w:r>
        <w:rPr>
          <w:rFonts w:hint="eastAsia"/>
          <w:color w:val="auto"/>
          <w:lang w:eastAsia="zh-CN"/>
        </w:rPr>
        <w:t>绿色制造的</w:t>
      </w:r>
      <w:r>
        <w:rPr>
          <w:rFonts w:hint="eastAsia"/>
          <w:color w:val="auto"/>
        </w:rPr>
        <w:t>指标。定性评价指标主要根据国家有关推行绿色生产的产业发展和技术进步政策、资源环境保护政策规定以及行业特点选取。</w:t>
      </w:r>
    </w:p>
    <w:p>
      <w:pPr>
        <w:spacing w:line="300" w:lineRule="auto"/>
        <w:outlineLvl w:val="2"/>
        <w:rPr>
          <w:rFonts w:eastAsia="黑体"/>
          <w:color w:val="auto"/>
        </w:rPr>
      </w:pPr>
      <w:r>
        <w:rPr>
          <w:rFonts w:hint="eastAsia" w:eastAsia="黑体"/>
          <w:color w:val="auto"/>
        </w:rPr>
        <w:t>4.2 评价指标体系</w:t>
      </w:r>
    </w:p>
    <w:p>
      <w:pPr>
        <w:spacing w:line="300" w:lineRule="auto"/>
        <w:ind w:firstLine="420" w:firstLineChars="200"/>
        <w:rPr>
          <w:rFonts w:hint="eastAsia"/>
          <w:color w:val="auto"/>
          <w:highlight w:val="none"/>
        </w:rPr>
      </w:pPr>
      <w:r>
        <w:rPr>
          <w:rFonts w:hint="eastAsia"/>
          <w:color w:val="auto"/>
        </w:rPr>
        <w:t>评价指标体系包括基本要求和评价指标要求两部分</w:t>
      </w:r>
      <w:r>
        <w:rPr>
          <w:rFonts w:hint="eastAsia"/>
          <w:color w:val="auto"/>
          <w:lang w:eastAsia="zh-CN"/>
        </w:rPr>
        <w:t>。</w:t>
      </w:r>
      <w:r>
        <w:rPr>
          <w:rFonts w:hint="eastAsia"/>
          <w:color w:val="auto"/>
          <w:highlight w:val="none"/>
        </w:rPr>
        <w:t>具体评价要求见附录B。基本要求包括应满足的节能环保法律法规、产业政策、管理体系、强制性能源环保标准等方面的要求；评价指标包括基础设施、管理体系、能源与资源投入、产品、环境排放、绩效评价等6类一级将标，在一级指标设置若干二级指标，在二级指标下设具体评价要求。</w:t>
      </w:r>
    </w:p>
    <w:p>
      <w:pPr>
        <w:spacing w:line="300" w:lineRule="auto"/>
        <w:ind w:firstLine="420" w:firstLineChars="200"/>
        <w:rPr>
          <w:rFonts w:hint="eastAsia"/>
          <w:color w:val="auto"/>
          <w:lang w:eastAsia="zh-CN"/>
        </w:rPr>
      </w:pPr>
      <w:r>
        <w:rPr>
          <w:rFonts w:hint="eastAsia"/>
          <w:color w:val="auto"/>
        </w:rPr>
        <w:t>具体评价要求分为必选要求和可选要求，必选要求为工厂应达到的基础性要求；可选要求为工厂努力宜达到的提高性要求，具有先进性，依据受评工厂实际情况确定可选要求的满足程度。</w:t>
      </w:r>
      <w:r>
        <w:rPr>
          <w:rFonts w:hint="eastAsia"/>
          <w:color w:val="auto"/>
          <w:lang w:eastAsia="zh-CN"/>
        </w:rPr>
        <w:t>具体评分要求如下：</w:t>
      </w:r>
    </w:p>
    <w:p>
      <w:pPr>
        <w:spacing w:line="300" w:lineRule="auto"/>
        <w:ind w:firstLine="420" w:firstLineChars="200"/>
        <w:rPr>
          <w:color w:val="auto"/>
        </w:rPr>
      </w:pPr>
      <w:r>
        <w:rPr>
          <w:color w:val="auto"/>
        </w:rPr>
        <w:t>a）</w:t>
      </w:r>
      <w:r>
        <w:rPr>
          <w:rFonts w:hint="eastAsia"/>
          <w:color w:val="auto"/>
        </w:rPr>
        <w:t>评价采用指标加权综合评分的方式，各指标加权综合评分总分为100分。</w:t>
      </w:r>
    </w:p>
    <w:p>
      <w:pPr>
        <w:spacing w:line="300" w:lineRule="auto"/>
        <w:ind w:firstLine="420" w:firstLineChars="200"/>
        <w:rPr>
          <w:color w:val="auto"/>
        </w:rPr>
      </w:pPr>
      <w:r>
        <w:rPr>
          <w:rFonts w:hint="eastAsia"/>
          <w:color w:val="auto"/>
        </w:rPr>
        <w:t>b</w:t>
      </w:r>
      <w:r>
        <w:rPr>
          <w:color w:val="auto"/>
        </w:rPr>
        <w:t>）</w:t>
      </w:r>
      <w:r>
        <w:rPr>
          <w:rFonts w:hint="eastAsia"/>
          <w:color w:val="auto"/>
        </w:rPr>
        <w:t>评价要求中必选指标应全部满足。</w:t>
      </w:r>
    </w:p>
    <w:p>
      <w:pPr>
        <w:spacing w:line="300" w:lineRule="auto"/>
        <w:ind w:firstLine="420" w:firstLineChars="200"/>
        <w:rPr>
          <w:color w:val="auto"/>
        </w:rPr>
      </w:pPr>
      <w:r>
        <w:rPr>
          <w:rFonts w:hint="eastAsia"/>
          <w:color w:val="auto"/>
        </w:rPr>
        <w:t>c</w:t>
      </w:r>
      <w:r>
        <w:rPr>
          <w:color w:val="auto"/>
        </w:rPr>
        <w:t>）</w:t>
      </w:r>
      <w:r>
        <w:rPr>
          <w:rFonts w:hint="eastAsia"/>
          <w:color w:val="auto"/>
        </w:rPr>
        <w:t>评价要求可选指标应对照附录B中具体条款，依据符合程度在0分和满分之间取值。</w:t>
      </w:r>
    </w:p>
    <w:p>
      <w:pPr>
        <w:spacing w:line="300" w:lineRule="auto"/>
        <w:ind w:firstLine="420" w:firstLineChars="200"/>
        <w:rPr>
          <w:rFonts w:hint="eastAsia" w:eastAsia="宋体"/>
          <w:color w:val="auto"/>
          <w:lang w:eastAsia="zh-CN"/>
        </w:rPr>
      </w:pPr>
      <w:r>
        <w:rPr>
          <w:rFonts w:hint="eastAsia"/>
          <w:color w:val="auto"/>
        </w:rPr>
        <w:t>d</w:t>
      </w:r>
      <w:r>
        <w:rPr>
          <w:color w:val="auto"/>
        </w:rPr>
        <w:t>）</w:t>
      </w:r>
      <w:r>
        <w:rPr>
          <w:rFonts w:hint="eastAsia"/>
          <w:color w:val="auto"/>
          <w:lang w:val="en-US" w:eastAsia="zh-CN"/>
        </w:rPr>
        <w:t xml:space="preserve"> </w:t>
      </w:r>
      <w:r>
        <w:rPr>
          <w:rFonts w:hint="eastAsia"/>
          <w:color w:val="auto"/>
        </w:rPr>
        <w:t>当某项评价要求不适用时，应将该项评价要求的分值平均分配给相同一级指标下其他评价要求。</w:t>
      </w:r>
    </w:p>
    <w:p>
      <w:pPr>
        <w:spacing w:line="300" w:lineRule="auto"/>
        <w:outlineLvl w:val="2"/>
        <w:rPr>
          <w:rFonts w:hint="eastAsia" w:eastAsia="黑体"/>
          <w:color w:val="auto"/>
        </w:rPr>
      </w:pPr>
      <w:r>
        <w:rPr>
          <w:rFonts w:hint="eastAsia" w:eastAsia="黑体"/>
          <w:color w:val="auto"/>
        </w:rPr>
        <w:t>4.3 评价方法</w:t>
      </w:r>
    </w:p>
    <w:p>
      <w:pPr>
        <w:spacing w:line="300" w:lineRule="auto"/>
        <w:ind w:firstLine="420"/>
        <w:outlineLvl w:val="2"/>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评价方法主要有以下几种：</w:t>
      </w:r>
    </w:p>
    <w:p>
      <w:pPr>
        <w:numPr>
          <w:ilvl w:val="0"/>
          <w:numId w:val="1"/>
        </w:numPr>
        <w:spacing w:line="300" w:lineRule="auto"/>
        <w:ind w:firstLine="420"/>
        <w:outlineLvl w:val="2"/>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标准对照法</w:t>
      </w:r>
    </w:p>
    <w:p>
      <w:pPr>
        <w:numPr>
          <w:ilvl w:val="0"/>
          <w:numId w:val="1"/>
        </w:numPr>
        <w:spacing w:line="300" w:lineRule="auto"/>
        <w:ind w:firstLine="420"/>
        <w:outlineLvl w:val="2"/>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类比分析法；</w:t>
      </w:r>
    </w:p>
    <w:p>
      <w:pPr>
        <w:numPr>
          <w:ilvl w:val="0"/>
          <w:numId w:val="1"/>
        </w:numPr>
        <w:spacing w:line="300" w:lineRule="auto"/>
        <w:ind w:firstLine="420"/>
        <w:outlineLvl w:val="2"/>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专家打分法。</w:t>
      </w:r>
    </w:p>
    <w:p>
      <w:pPr>
        <w:pStyle w:val="138"/>
        <w:spacing w:before="312" w:after="312" w:line="300" w:lineRule="auto"/>
        <w:ind w:left="5" w:hanging="5"/>
        <w:rPr>
          <w:rFonts w:ascii="Times New Roman"/>
          <w:color w:val="auto"/>
          <w:szCs w:val="22"/>
        </w:rPr>
      </w:pPr>
      <w:bookmarkStart w:id="18" w:name="_Toc55722796"/>
      <w:bookmarkStart w:id="19" w:name="_Toc55722985"/>
      <w:r>
        <w:rPr>
          <w:rFonts w:hint="eastAsia" w:ascii="Times New Roman"/>
          <w:color w:val="auto"/>
          <w:szCs w:val="22"/>
        </w:rPr>
        <w:t xml:space="preserve">5 </w:t>
      </w:r>
      <w:r>
        <w:rPr>
          <w:rFonts w:ascii="Times New Roman"/>
          <w:color w:val="auto"/>
          <w:szCs w:val="22"/>
        </w:rPr>
        <w:t>评价要求</w:t>
      </w:r>
      <w:bookmarkEnd w:id="18"/>
      <w:bookmarkEnd w:id="19"/>
    </w:p>
    <w:p>
      <w:pPr>
        <w:spacing w:line="300" w:lineRule="auto"/>
        <w:outlineLvl w:val="2"/>
        <w:rPr>
          <w:rFonts w:eastAsia="黑体"/>
          <w:color w:val="auto"/>
        </w:rPr>
      </w:pPr>
      <w:r>
        <w:rPr>
          <w:rFonts w:eastAsia="黑体"/>
          <w:color w:val="auto"/>
        </w:rPr>
        <w:t>5.1基本要求</w:t>
      </w:r>
    </w:p>
    <w:p>
      <w:pPr>
        <w:spacing w:line="300" w:lineRule="auto"/>
        <w:outlineLvl w:val="3"/>
        <w:rPr>
          <w:rFonts w:eastAsia="黑体"/>
          <w:color w:val="auto"/>
        </w:rPr>
      </w:pPr>
      <w:r>
        <w:rPr>
          <w:rFonts w:eastAsia="黑体"/>
          <w:color w:val="auto"/>
        </w:rPr>
        <w:t>5.1.1 合规性与相关方要求</w:t>
      </w:r>
    </w:p>
    <w:p>
      <w:pPr>
        <w:spacing w:line="300" w:lineRule="auto"/>
        <w:ind w:firstLine="420" w:firstLineChars="200"/>
        <w:rPr>
          <w:color w:val="auto"/>
        </w:rPr>
      </w:pPr>
      <w:r>
        <w:rPr>
          <w:color w:val="auto"/>
        </w:rPr>
        <w:t>a）工厂应依法设立，在建设和生产过程中应遵守有关法律、法规、政策和标准；</w:t>
      </w:r>
    </w:p>
    <w:p>
      <w:pPr>
        <w:spacing w:line="300" w:lineRule="auto"/>
        <w:ind w:firstLine="420" w:firstLineChars="200"/>
        <w:rPr>
          <w:color w:val="auto"/>
        </w:rPr>
      </w:pPr>
      <w:r>
        <w:rPr>
          <w:color w:val="auto"/>
        </w:rPr>
        <w:t>b）工厂应依法取得食品生产许可证，并按照规定的时间定期提交执行报告。</w:t>
      </w:r>
    </w:p>
    <w:p>
      <w:pPr>
        <w:spacing w:line="300" w:lineRule="auto"/>
        <w:ind w:firstLine="420" w:firstLineChars="200"/>
        <w:rPr>
          <w:color w:val="auto"/>
        </w:rPr>
      </w:pPr>
      <w:r>
        <w:rPr>
          <w:color w:val="auto"/>
        </w:rPr>
        <w:t>c）工厂各种污染物排放指标应符合国家现行有关标准对制糖行业的要求。</w:t>
      </w:r>
    </w:p>
    <w:p>
      <w:pPr>
        <w:spacing w:line="300" w:lineRule="auto"/>
        <w:ind w:firstLine="420" w:firstLineChars="200"/>
        <w:rPr>
          <w:color w:val="auto"/>
        </w:rPr>
      </w:pPr>
      <w:r>
        <w:rPr>
          <w:color w:val="auto"/>
        </w:rPr>
        <w:t>d）工厂近三年（含成立不足三年）无较大安全、环保、质量等事故。</w:t>
      </w:r>
    </w:p>
    <w:p>
      <w:pPr>
        <w:spacing w:line="300" w:lineRule="auto"/>
        <w:ind w:firstLine="420" w:firstLineChars="200"/>
        <w:rPr>
          <w:color w:val="auto"/>
        </w:rPr>
      </w:pPr>
      <w:r>
        <w:rPr>
          <w:color w:val="auto"/>
        </w:rPr>
        <w:t>e）对利益相关方的环境要求做出承诺的，应同时满足有关承诺的要求。</w:t>
      </w:r>
    </w:p>
    <w:p>
      <w:pPr>
        <w:spacing w:line="300" w:lineRule="auto"/>
        <w:outlineLvl w:val="3"/>
        <w:rPr>
          <w:rFonts w:eastAsia="黑体"/>
          <w:color w:val="auto"/>
        </w:rPr>
      </w:pPr>
      <w:r>
        <w:rPr>
          <w:rFonts w:eastAsia="黑体"/>
          <w:color w:val="auto"/>
        </w:rPr>
        <w:t>5.1.2 基础管理职责</w:t>
      </w:r>
    </w:p>
    <w:p>
      <w:pPr>
        <w:pStyle w:val="101"/>
        <w:spacing w:line="300" w:lineRule="auto"/>
        <w:ind w:firstLine="420" w:firstLineChars="200"/>
        <w:jc w:val="both"/>
        <w:rPr>
          <w:rFonts w:ascii="Times New Roman" w:eastAsia="宋体" w:cs="Times New Roman"/>
          <w:color w:val="auto"/>
          <w:sz w:val="21"/>
          <w:szCs w:val="21"/>
        </w:rPr>
      </w:pPr>
      <w:r>
        <w:rPr>
          <w:rFonts w:ascii="Times New Roman" w:eastAsia="宋体" w:cs="Times New Roman"/>
          <w:color w:val="auto"/>
          <w:sz w:val="21"/>
          <w:szCs w:val="21"/>
        </w:rPr>
        <w:t>最高管理者在绿色工厂方面的领导作用和承诺应满足</w:t>
      </w:r>
      <w:r>
        <w:rPr>
          <w:rFonts w:ascii="Times New Roman" w:cs="Times New Roman"/>
          <w:color w:val="auto"/>
          <w:sz w:val="21"/>
          <w:szCs w:val="21"/>
        </w:rPr>
        <w:t>GB/T</w:t>
      </w:r>
      <w:r>
        <w:rPr>
          <w:rFonts w:hint="eastAsia" w:ascii="Times New Roman" w:cs="Times New Roman"/>
          <w:color w:val="auto"/>
          <w:sz w:val="21"/>
          <w:szCs w:val="21"/>
          <w:lang w:val="en-US" w:eastAsia="zh-CN"/>
        </w:rPr>
        <w:t xml:space="preserve"> </w:t>
      </w:r>
      <w:r>
        <w:rPr>
          <w:rFonts w:ascii="Times New Roman" w:cs="Times New Roman"/>
          <w:color w:val="auto"/>
          <w:sz w:val="21"/>
          <w:szCs w:val="21"/>
        </w:rPr>
        <w:t>36132-2018中4.3.1a的要求；最高管理者</w:t>
      </w:r>
      <w:r>
        <w:rPr>
          <w:rFonts w:ascii="Times New Roman" w:eastAsia="宋体" w:cs="Times New Roman"/>
          <w:color w:val="auto"/>
          <w:sz w:val="21"/>
          <w:szCs w:val="21"/>
        </w:rPr>
        <w:t>确保在工厂内部分配并沟通与绿色工厂相关角色的职责和权限，且应满足</w:t>
      </w:r>
      <w:r>
        <w:rPr>
          <w:rFonts w:ascii="Times New Roman" w:cs="Times New Roman"/>
          <w:color w:val="auto"/>
          <w:sz w:val="21"/>
          <w:szCs w:val="21"/>
        </w:rPr>
        <w:t>GB/T</w:t>
      </w:r>
      <w:r>
        <w:rPr>
          <w:rFonts w:hint="eastAsia" w:ascii="Times New Roman" w:cs="Times New Roman"/>
          <w:color w:val="auto"/>
          <w:sz w:val="21"/>
          <w:szCs w:val="21"/>
          <w:lang w:val="en-US" w:eastAsia="zh-CN"/>
        </w:rPr>
        <w:t xml:space="preserve"> </w:t>
      </w:r>
      <w:r>
        <w:rPr>
          <w:rFonts w:ascii="Times New Roman" w:cs="Times New Roman"/>
          <w:color w:val="auto"/>
          <w:sz w:val="21"/>
          <w:szCs w:val="21"/>
        </w:rPr>
        <w:t>36132-2018中4.3.1b的要求。</w:t>
      </w:r>
    </w:p>
    <w:p>
      <w:pPr>
        <w:pStyle w:val="101"/>
        <w:spacing w:line="300" w:lineRule="auto"/>
        <w:ind w:firstLine="420" w:firstLineChars="200"/>
        <w:jc w:val="both"/>
        <w:rPr>
          <w:rFonts w:ascii="Times New Roman" w:eastAsia="黑体" w:cs="Times New Roman"/>
          <w:color w:val="auto"/>
        </w:rPr>
      </w:pPr>
      <w:r>
        <w:rPr>
          <w:rFonts w:ascii="Times New Roman" w:eastAsia="宋体" w:cs="Times New Roman"/>
          <w:color w:val="auto"/>
          <w:sz w:val="21"/>
          <w:szCs w:val="21"/>
        </w:rPr>
        <w:t>工厂的基础管理职责应满足</w:t>
      </w:r>
      <w:r>
        <w:rPr>
          <w:rFonts w:ascii="Times New Roman" w:cs="Times New Roman"/>
          <w:color w:val="auto"/>
          <w:sz w:val="21"/>
          <w:szCs w:val="21"/>
        </w:rPr>
        <w:t>GB/T</w:t>
      </w:r>
      <w:r>
        <w:rPr>
          <w:rFonts w:hint="eastAsia" w:ascii="Times New Roman" w:cs="Times New Roman"/>
          <w:color w:val="auto"/>
          <w:sz w:val="21"/>
          <w:szCs w:val="21"/>
          <w:lang w:val="en-US" w:eastAsia="zh-CN"/>
        </w:rPr>
        <w:t xml:space="preserve"> </w:t>
      </w:r>
      <w:r>
        <w:rPr>
          <w:rFonts w:ascii="Times New Roman" w:cs="Times New Roman"/>
          <w:color w:val="auto"/>
          <w:sz w:val="21"/>
          <w:szCs w:val="21"/>
        </w:rPr>
        <w:t>36132-2018</w:t>
      </w:r>
      <w:r>
        <w:rPr>
          <w:rFonts w:ascii="Times New Roman" w:eastAsia="宋体" w:cs="Times New Roman"/>
          <w:color w:val="auto"/>
          <w:sz w:val="21"/>
          <w:szCs w:val="21"/>
        </w:rPr>
        <w:t>中4.3.2的要求。</w:t>
      </w:r>
    </w:p>
    <w:p>
      <w:pPr>
        <w:spacing w:line="300" w:lineRule="auto"/>
        <w:outlineLvl w:val="2"/>
        <w:rPr>
          <w:rFonts w:eastAsia="黑体"/>
          <w:color w:val="auto"/>
        </w:rPr>
      </w:pPr>
      <w:r>
        <w:rPr>
          <w:rFonts w:eastAsia="黑体"/>
          <w:color w:val="auto"/>
        </w:rPr>
        <w:t>5.2基础设施</w:t>
      </w:r>
    </w:p>
    <w:p>
      <w:pPr>
        <w:spacing w:line="300" w:lineRule="auto"/>
        <w:outlineLvl w:val="3"/>
        <w:rPr>
          <w:color w:val="auto"/>
          <w:szCs w:val="21"/>
        </w:rPr>
      </w:pPr>
      <w:r>
        <w:rPr>
          <w:rFonts w:eastAsia="黑体"/>
          <w:color w:val="auto"/>
        </w:rPr>
        <w:t>5.2.1 建筑</w:t>
      </w:r>
    </w:p>
    <w:p>
      <w:pPr>
        <w:pStyle w:val="101"/>
        <w:spacing w:line="300" w:lineRule="auto"/>
        <w:ind w:firstLine="420" w:firstLineChars="200"/>
        <w:rPr>
          <w:rFonts w:ascii="Times New Roman" w:eastAsia="宋体" w:cs="Times New Roman"/>
          <w:color w:val="auto"/>
          <w:sz w:val="21"/>
          <w:szCs w:val="21"/>
        </w:rPr>
      </w:pPr>
      <w:r>
        <w:rPr>
          <w:rFonts w:ascii="Times New Roman" w:eastAsia="宋体" w:cs="Times New Roman"/>
          <w:color w:val="auto"/>
          <w:sz w:val="21"/>
          <w:szCs w:val="21"/>
        </w:rPr>
        <w:t>a</w:t>
      </w:r>
      <w:r>
        <w:rPr>
          <w:rFonts w:ascii="Times New Roman" w:cs="Times New Roman"/>
          <w:color w:val="auto"/>
        </w:rPr>
        <w:t>）</w:t>
      </w:r>
      <w:r>
        <w:rPr>
          <w:rFonts w:ascii="Times New Roman" w:eastAsia="宋体" w:cs="Times New Roman"/>
          <w:color w:val="auto"/>
          <w:sz w:val="21"/>
          <w:szCs w:val="21"/>
        </w:rPr>
        <w:t>工厂的建筑应满足国家或地方相关法律法规及标准的要求。</w:t>
      </w:r>
    </w:p>
    <w:p>
      <w:pPr>
        <w:pStyle w:val="101"/>
        <w:spacing w:line="300" w:lineRule="auto"/>
        <w:ind w:firstLine="420" w:firstLineChars="200"/>
        <w:rPr>
          <w:rFonts w:ascii="Times New Roman" w:eastAsia="宋体" w:cs="Times New Roman"/>
          <w:color w:val="auto"/>
          <w:sz w:val="21"/>
          <w:szCs w:val="21"/>
        </w:rPr>
      </w:pPr>
      <w:r>
        <w:rPr>
          <w:rFonts w:ascii="Times New Roman" w:eastAsia="宋体" w:cs="Times New Roman"/>
          <w:color w:val="auto"/>
          <w:sz w:val="21"/>
          <w:szCs w:val="21"/>
        </w:rPr>
        <w:t>b</w:t>
      </w:r>
      <w:r>
        <w:rPr>
          <w:rFonts w:ascii="Times New Roman" w:cs="Times New Roman"/>
          <w:color w:val="auto"/>
        </w:rPr>
        <w:t>）</w:t>
      </w:r>
      <w:r>
        <w:rPr>
          <w:rFonts w:ascii="Times New Roman" w:eastAsia="宋体" w:cs="Times New Roman"/>
          <w:color w:val="auto"/>
          <w:sz w:val="21"/>
          <w:szCs w:val="21"/>
        </w:rPr>
        <w:t>工厂新建、改建和扩建建筑时，应遵守国家或地方的产业政策和有关要求。</w:t>
      </w:r>
    </w:p>
    <w:p>
      <w:pPr>
        <w:pStyle w:val="101"/>
        <w:spacing w:line="300" w:lineRule="auto"/>
        <w:ind w:firstLine="420" w:firstLineChars="200"/>
        <w:rPr>
          <w:rFonts w:ascii="Times New Roman" w:eastAsia="宋体" w:cs="Times New Roman"/>
          <w:color w:val="auto"/>
          <w:sz w:val="21"/>
          <w:szCs w:val="21"/>
        </w:rPr>
      </w:pPr>
      <w:r>
        <w:rPr>
          <w:rFonts w:ascii="Times New Roman" w:eastAsia="宋体" w:cs="Times New Roman"/>
          <w:color w:val="auto"/>
          <w:sz w:val="21"/>
          <w:szCs w:val="21"/>
        </w:rPr>
        <w:t>c</w:t>
      </w:r>
      <w:r>
        <w:rPr>
          <w:rFonts w:ascii="Times New Roman" w:cs="Times New Roman"/>
          <w:color w:val="auto"/>
        </w:rPr>
        <w:t>）</w:t>
      </w:r>
      <w:r>
        <w:rPr>
          <w:rFonts w:ascii="Times New Roman" w:eastAsia="宋体" w:cs="Times New Roman"/>
          <w:color w:val="auto"/>
          <w:sz w:val="21"/>
          <w:szCs w:val="21"/>
        </w:rPr>
        <w:t>工厂的建筑应从建筑材料、建筑结构、采光照明、绿化及场地、再生资源及能源利用等方面进行建筑的节材、节能、节水、节地、无害化及可再生能源利用。</w:t>
      </w:r>
    </w:p>
    <w:p>
      <w:pPr>
        <w:pStyle w:val="101"/>
        <w:spacing w:line="300" w:lineRule="auto"/>
        <w:ind w:firstLine="420" w:firstLineChars="200"/>
        <w:rPr>
          <w:rFonts w:ascii="Times New Roman" w:eastAsia="宋体" w:cs="Times New Roman"/>
          <w:color w:val="auto"/>
          <w:sz w:val="21"/>
          <w:szCs w:val="21"/>
        </w:rPr>
      </w:pPr>
      <w:r>
        <w:rPr>
          <w:rFonts w:ascii="Times New Roman" w:eastAsia="宋体" w:cs="Times New Roman"/>
          <w:color w:val="auto"/>
          <w:sz w:val="21"/>
          <w:szCs w:val="21"/>
        </w:rPr>
        <w:t>d</w:t>
      </w:r>
      <w:r>
        <w:rPr>
          <w:rFonts w:ascii="Times New Roman" w:cs="Times New Roman"/>
          <w:color w:val="auto"/>
        </w:rPr>
        <w:t>）</w:t>
      </w:r>
      <w:r>
        <w:rPr>
          <w:rFonts w:ascii="Times New Roman" w:eastAsia="宋体" w:cs="Times New Roman"/>
          <w:color w:val="auto"/>
          <w:sz w:val="21"/>
          <w:szCs w:val="21"/>
        </w:rPr>
        <w:t>在满足生产工艺前提下，工厂的厂房应尽量采用多层建筑。</w:t>
      </w:r>
    </w:p>
    <w:p>
      <w:pPr>
        <w:spacing w:line="300" w:lineRule="auto"/>
        <w:outlineLvl w:val="3"/>
        <w:rPr>
          <w:rFonts w:eastAsia="黑体"/>
          <w:color w:val="auto"/>
        </w:rPr>
      </w:pPr>
      <w:r>
        <w:rPr>
          <w:rFonts w:eastAsia="黑体"/>
          <w:color w:val="auto"/>
        </w:rPr>
        <w:t>5.2.2 照明</w:t>
      </w:r>
    </w:p>
    <w:p>
      <w:pPr>
        <w:pStyle w:val="101"/>
        <w:spacing w:line="300" w:lineRule="auto"/>
        <w:ind w:firstLine="420" w:firstLineChars="200"/>
        <w:rPr>
          <w:rFonts w:ascii="Times New Roman" w:eastAsia="宋体" w:cs="Times New Roman"/>
          <w:color w:val="auto"/>
          <w:sz w:val="21"/>
          <w:szCs w:val="21"/>
        </w:rPr>
      </w:pPr>
      <w:r>
        <w:rPr>
          <w:rFonts w:ascii="Times New Roman" w:eastAsia="宋体" w:cs="Times New Roman"/>
          <w:color w:val="auto"/>
          <w:sz w:val="21"/>
          <w:szCs w:val="21"/>
        </w:rPr>
        <w:t>工厂的照明应满足以下要求：</w:t>
      </w:r>
    </w:p>
    <w:p>
      <w:pPr>
        <w:pStyle w:val="101"/>
        <w:numPr>
          <w:ilvl w:val="0"/>
          <w:numId w:val="2"/>
        </w:numPr>
        <w:spacing w:line="300" w:lineRule="auto"/>
        <w:ind w:firstLine="420" w:firstLineChars="200"/>
        <w:rPr>
          <w:rFonts w:ascii="Times New Roman" w:eastAsia="宋体" w:cs="Times New Roman"/>
          <w:color w:val="auto"/>
          <w:sz w:val="21"/>
          <w:szCs w:val="21"/>
        </w:rPr>
      </w:pPr>
      <w:r>
        <w:rPr>
          <w:rFonts w:ascii="Times New Roman" w:eastAsia="宋体" w:cs="Times New Roman"/>
          <w:color w:val="auto"/>
          <w:sz w:val="21"/>
          <w:szCs w:val="21"/>
        </w:rPr>
        <w:t>工厂厂区及各房间或场所的照明应</w:t>
      </w:r>
      <w:r>
        <w:rPr>
          <w:rFonts w:hint="eastAsia" w:ascii="Times New Roman" w:eastAsia="宋体" w:cs="Times New Roman"/>
          <w:color w:val="auto"/>
          <w:sz w:val="21"/>
          <w:szCs w:val="21"/>
          <w:lang w:eastAsia="zh-CN"/>
        </w:rPr>
        <w:t>合理</w:t>
      </w:r>
      <w:r>
        <w:rPr>
          <w:rFonts w:ascii="Times New Roman" w:eastAsia="宋体" w:cs="Times New Roman"/>
          <w:color w:val="auto"/>
          <w:sz w:val="21"/>
          <w:szCs w:val="21"/>
        </w:rPr>
        <w:t>利用自然光，人工照明应符合GB 50034规定；</w:t>
      </w:r>
    </w:p>
    <w:p>
      <w:pPr>
        <w:pStyle w:val="101"/>
        <w:numPr>
          <w:ilvl w:val="0"/>
          <w:numId w:val="2"/>
        </w:numPr>
        <w:spacing w:line="300" w:lineRule="auto"/>
        <w:ind w:firstLine="420" w:firstLineChars="200"/>
        <w:rPr>
          <w:rFonts w:ascii="Times New Roman" w:eastAsia="宋体" w:cs="Times New Roman"/>
          <w:color w:val="auto"/>
          <w:sz w:val="21"/>
          <w:szCs w:val="21"/>
        </w:rPr>
      </w:pPr>
      <w:r>
        <w:rPr>
          <w:rFonts w:ascii="Times New Roman" w:eastAsia="宋体" w:cs="Times New Roman"/>
          <w:color w:val="auto"/>
          <w:sz w:val="21"/>
          <w:szCs w:val="21"/>
        </w:rPr>
        <w:t>不同的场所的照明应进行分级设计；</w:t>
      </w:r>
    </w:p>
    <w:p>
      <w:pPr>
        <w:pStyle w:val="101"/>
        <w:numPr>
          <w:ilvl w:val="0"/>
          <w:numId w:val="2"/>
        </w:numPr>
        <w:spacing w:line="300" w:lineRule="auto"/>
        <w:ind w:firstLine="420" w:firstLineChars="200"/>
        <w:rPr>
          <w:rFonts w:ascii="Times New Roman" w:eastAsia="宋体" w:cs="Times New Roman"/>
          <w:color w:val="auto"/>
          <w:sz w:val="21"/>
          <w:szCs w:val="21"/>
        </w:rPr>
      </w:pPr>
      <w:r>
        <w:rPr>
          <w:rFonts w:ascii="Times New Roman" w:eastAsia="宋体" w:cs="Times New Roman"/>
          <w:color w:val="auto"/>
          <w:sz w:val="21"/>
          <w:szCs w:val="21"/>
        </w:rPr>
        <w:t>公共场所的照明应采取分区、分组与定时自动调光等措施。</w:t>
      </w:r>
    </w:p>
    <w:p>
      <w:pPr>
        <w:pStyle w:val="101"/>
        <w:numPr>
          <w:ilvl w:val="0"/>
          <w:numId w:val="2"/>
        </w:numPr>
        <w:spacing w:line="300" w:lineRule="auto"/>
        <w:ind w:firstLine="420" w:firstLineChars="200"/>
        <w:rPr>
          <w:rFonts w:ascii="Times New Roman" w:eastAsia="宋体" w:cs="Times New Roman"/>
          <w:color w:val="auto"/>
          <w:sz w:val="21"/>
          <w:szCs w:val="21"/>
        </w:rPr>
      </w:pPr>
      <w:r>
        <w:rPr>
          <w:rFonts w:ascii="Times New Roman" w:eastAsia="宋体" w:cs="Times New Roman"/>
          <w:color w:val="auto"/>
          <w:sz w:val="21"/>
          <w:szCs w:val="21"/>
        </w:rPr>
        <w:t>节能型照明设备的使用占比不低于</w:t>
      </w:r>
      <w:r>
        <w:rPr>
          <w:rFonts w:hint="eastAsia" w:ascii="Times New Roman" w:eastAsia="宋体" w:cs="Times New Roman"/>
          <w:color w:val="auto"/>
          <w:sz w:val="21"/>
          <w:szCs w:val="21"/>
        </w:rPr>
        <w:t>8</w:t>
      </w:r>
      <w:r>
        <w:rPr>
          <w:rFonts w:ascii="Times New Roman" w:eastAsia="宋体" w:cs="Times New Roman"/>
          <w:color w:val="auto"/>
          <w:sz w:val="21"/>
          <w:szCs w:val="21"/>
        </w:rPr>
        <w:t>0%。</w:t>
      </w:r>
    </w:p>
    <w:p>
      <w:pPr>
        <w:spacing w:line="300" w:lineRule="auto"/>
        <w:outlineLvl w:val="3"/>
        <w:rPr>
          <w:rFonts w:eastAsia="黑体"/>
          <w:color w:val="auto"/>
        </w:rPr>
      </w:pPr>
      <w:r>
        <w:rPr>
          <w:rFonts w:eastAsia="黑体"/>
          <w:color w:val="auto"/>
        </w:rPr>
        <w:t>5.2.3 设备设施</w:t>
      </w:r>
    </w:p>
    <w:p>
      <w:pPr>
        <w:pStyle w:val="101"/>
        <w:spacing w:line="300" w:lineRule="auto"/>
        <w:outlineLvl w:val="4"/>
        <w:rPr>
          <w:rFonts w:ascii="Times New Roman" w:eastAsia="宋体" w:cs="Times New Roman"/>
          <w:color w:val="auto"/>
          <w:sz w:val="21"/>
          <w:szCs w:val="21"/>
        </w:rPr>
      </w:pPr>
      <w:r>
        <w:rPr>
          <w:rFonts w:ascii="Times New Roman" w:eastAsia="宋体" w:cs="Times New Roman"/>
          <w:color w:val="auto"/>
          <w:sz w:val="21"/>
          <w:szCs w:val="21"/>
        </w:rPr>
        <w:t>5.2.3.1 专用设备</w:t>
      </w:r>
    </w:p>
    <w:p>
      <w:pPr>
        <w:pStyle w:val="101"/>
        <w:spacing w:line="300" w:lineRule="auto"/>
        <w:ind w:firstLine="420" w:firstLineChars="200"/>
        <w:rPr>
          <w:rFonts w:ascii="Times New Roman" w:eastAsia="宋体" w:cs="Times New Roman"/>
          <w:color w:val="auto"/>
          <w:sz w:val="21"/>
          <w:szCs w:val="21"/>
        </w:rPr>
      </w:pPr>
      <w:r>
        <w:rPr>
          <w:rFonts w:ascii="Times New Roman" w:eastAsia="宋体" w:cs="Times New Roman"/>
          <w:color w:val="auto"/>
          <w:sz w:val="21"/>
          <w:szCs w:val="21"/>
        </w:rPr>
        <w:t>工厂的生产专用设备应符合</w:t>
      </w:r>
      <w:r>
        <w:rPr>
          <w:rFonts w:hint="eastAsia" w:ascii="Times New Roman" w:eastAsia="宋体" w:cs="Times New Roman"/>
          <w:color w:val="auto"/>
          <w:sz w:val="21"/>
          <w:szCs w:val="21"/>
          <w:lang w:eastAsia="zh-CN"/>
        </w:rPr>
        <w:t>行</w:t>
      </w:r>
      <w:r>
        <w:rPr>
          <w:rFonts w:ascii="Times New Roman" w:eastAsia="宋体" w:cs="Times New Roman"/>
          <w:color w:val="auto"/>
          <w:sz w:val="21"/>
          <w:szCs w:val="21"/>
        </w:rPr>
        <w:t>业准入要求，</w:t>
      </w:r>
      <w:r>
        <w:rPr>
          <w:rFonts w:hint="eastAsia" w:ascii="Times New Roman" w:eastAsia="宋体" w:cs="Times New Roman"/>
          <w:color w:val="auto"/>
          <w:sz w:val="21"/>
          <w:szCs w:val="21"/>
          <w:lang w:eastAsia="zh-CN"/>
        </w:rPr>
        <w:t>应宜采用行业先进技术、适应产品质量、安全生产要求，</w:t>
      </w:r>
      <w:r>
        <w:rPr>
          <w:rFonts w:ascii="Times New Roman" w:eastAsia="宋体" w:cs="Times New Roman"/>
          <w:color w:val="auto"/>
          <w:sz w:val="21"/>
          <w:szCs w:val="21"/>
        </w:rPr>
        <w:t>降低能源与资源消耗，减少污染物排放。</w:t>
      </w:r>
    </w:p>
    <w:p>
      <w:pPr>
        <w:pStyle w:val="101"/>
        <w:spacing w:line="300" w:lineRule="auto"/>
        <w:outlineLvl w:val="4"/>
        <w:rPr>
          <w:rFonts w:ascii="Times New Roman" w:eastAsia="宋体" w:cs="Times New Roman"/>
          <w:color w:val="auto"/>
          <w:sz w:val="21"/>
          <w:szCs w:val="21"/>
        </w:rPr>
      </w:pPr>
      <w:r>
        <w:rPr>
          <w:rFonts w:ascii="Times New Roman" w:eastAsia="宋体" w:cs="Times New Roman"/>
          <w:color w:val="auto"/>
          <w:sz w:val="21"/>
          <w:szCs w:val="21"/>
        </w:rPr>
        <w:t>5.2.3.2 通用设备</w:t>
      </w:r>
    </w:p>
    <w:p>
      <w:pPr>
        <w:pStyle w:val="101"/>
        <w:spacing w:line="300" w:lineRule="auto"/>
        <w:ind w:firstLine="420" w:firstLineChars="200"/>
        <w:rPr>
          <w:rFonts w:ascii="Times New Roman" w:eastAsia="宋体" w:cs="Times New Roman"/>
          <w:color w:val="auto"/>
          <w:sz w:val="21"/>
          <w:szCs w:val="21"/>
        </w:rPr>
      </w:pPr>
      <w:r>
        <w:rPr>
          <w:rFonts w:ascii="Times New Roman" w:eastAsia="宋体" w:cs="Times New Roman"/>
          <w:color w:val="auto"/>
          <w:sz w:val="21"/>
          <w:szCs w:val="21"/>
        </w:rPr>
        <w:t>通用设备应符合以下要求：</w:t>
      </w:r>
    </w:p>
    <w:p>
      <w:pPr>
        <w:pStyle w:val="101"/>
        <w:numPr>
          <w:ilvl w:val="0"/>
          <w:numId w:val="3"/>
        </w:numPr>
        <w:spacing w:line="300" w:lineRule="auto"/>
        <w:ind w:firstLine="420" w:firstLineChars="200"/>
        <w:rPr>
          <w:rFonts w:ascii="Times New Roman" w:eastAsia="宋体" w:cs="Times New Roman"/>
          <w:color w:val="auto"/>
          <w:sz w:val="21"/>
          <w:szCs w:val="21"/>
        </w:rPr>
      </w:pPr>
      <w:r>
        <w:rPr>
          <w:rFonts w:ascii="Times New Roman" w:eastAsia="宋体" w:cs="Times New Roman"/>
          <w:color w:val="auto"/>
          <w:sz w:val="21"/>
          <w:szCs w:val="21"/>
        </w:rPr>
        <w:t>工厂使用的通用设备在达到相关标准中能效限制值的强制性要求的前提下，宜采用节能型产品或效率高、能耗低、水耗低、物耗低的产品。</w:t>
      </w:r>
    </w:p>
    <w:p>
      <w:pPr>
        <w:pStyle w:val="101"/>
        <w:numPr>
          <w:ilvl w:val="0"/>
          <w:numId w:val="3"/>
        </w:numPr>
        <w:spacing w:line="300" w:lineRule="auto"/>
        <w:ind w:firstLine="420" w:firstLineChars="200"/>
        <w:rPr>
          <w:rFonts w:ascii="Times New Roman" w:eastAsia="宋体" w:cs="Times New Roman"/>
          <w:color w:val="auto"/>
          <w:sz w:val="21"/>
          <w:szCs w:val="21"/>
        </w:rPr>
      </w:pPr>
      <w:r>
        <w:rPr>
          <w:rFonts w:ascii="Times New Roman" w:eastAsia="宋体" w:cs="Times New Roman"/>
          <w:color w:val="auto"/>
          <w:sz w:val="21"/>
          <w:szCs w:val="21"/>
        </w:rPr>
        <w:t>已明令禁止生产、使用的和能耗高、效率低的设备应限期淘汰更新。</w:t>
      </w:r>
    </w:p>
    <w:p>
      <w:pPr>
        <w:pStyle w:val="101"/>
        <w:numPr>
          <w:ilvl w:val="0"/>
          <w:numId w:val="3"/>
        </w:numPr>
        <w:spacing w:line="300" w:lineRule="auto"/>
        <w:ind w:firstLine="420" w:firstLineChars="200"/>
        <w:rPr>
          <w:rFonts w:ascii="Times New Roman" w:eastAsia="宋体" w:cs="Times New Roman"/>
          <w:color w:val="auto"/>
          <w:sz w:val="21"/>
          <w:szCs w:val="21"/>
        </w:rPr>
      </w:pPr>
      <w:r>
        <w:rPr>
          <w:rFonts w:ascii="Times New Roman" w:eastAsia="宋体" w:cs="Times New Roman"/>
          <w:color w:val="auto"/>
          <w:sz w:val="21"/>
          <w:szCs w:val="21"/>
        </w:rPr>
        <w:t>用能设备或其系统的实际运行效率或主要运行参数应符合该设备经济运行的要求。</w:t>
      </w:r>
    </w:p>
    <w:p>
      <w:pPr>
        <w:pStyle w:val="101"/>
        <w:spacing w:line="300" w:lineRule="auto"/>
        <w:outlineLvl w:val="4"/>
        <w:rPr>
          <w:rFonts w:ascii="Times New Roman" w:eastAsia="宋体" w:cs="Times New Roman"/>
          <w:color w:val="auto"/>
          <w:sz w:val="21"/>
          <w:szCs w:val="21"/>
        </w:rPr>
      </w:pPr>
      <w:r>
        <w:rPr>
          <w:rFonts w:ascii="Times New Roman" w:eastAsia="宋体" w:cs="Times New Roman"/>
          <w:color w:val="auto"/>
          <w:sz w:val="21"/>
          <w:szCs w:val="21"/>
        </w:rPr>
        <w:t>5.2.3.3 计量设备</w:t>
      </w:r>
    </w:p>
    <w:p>
      <w:pPr>
        <w:pStyle w:val="101"/>
        <w:spacing w:line="300" w:lineRule="auto"/>
        <w:ind w:firstLine="420" w:firstLineChars="200"/>
        <w:rPr>
          <w:rFonts w:ascii="Times New Roman" w:eastAsia="宋体" w:cs="Times New Roman"/>
          <w:color w:val="auto"/>
          <w:sz w:val="21"/>
          <w:szCs w:val="21"/>
        </w:rPr>
      </w:pPr>
      <w:r>
        <w:rPr>
          <w:rFonts w:ascii="Times New Roman" w:eastAsia="宋体" w:cs="Times New Roman"/>
          <w:color w:val="auto"/>
          <w:sz w:val="21"/>
          <w:szCs w:val="21"/>
        </w:rPr>
        <w:t>工厂应依据GB 17167、GB 24789等要求配备、使用和管理能源、水以及其他资源的计量器具和装置。能源及资源使用的类型不同时，应进行分类计量。</w:t>
      </w:r>
    </w:p>
    <w:p>
      <w:pPr>
        <w:pStyle w:val="101"/>
        <w:spacing w:line="300" w:lineRule="auto"/>
        <w:outlineLvl w:val="4"/>
        <w:rPr>
          <w:rFonts w:ascii="Times New Roman" w:eastAsia="宋体" w:cs="Times New Roman"/>
          <w:color w:val="auto"/>
          <w:sz w:val="21"/>
          <w:szCs w:val="21"/>
        </w:rPr>
      </w:pPr>
      <w:r>
        <w:rPr>
          <w:rFonts w:ascii="Times New Roman" w:eastAsia="宋体" w:cs="Times New Roman"/>
          <w:color w:val="auto"/>
          <w:sz w:val="21"/>
          <w:szCs w:val="21"/>
        </w:rPr>
        <w:t>5.2.3.4 污染物处理设备设施</w:t>
      </w:r>
    </w:p>
    <w:p>
      <w:pPr>
        <w:pStyle w:val="101"/>
        <w:spacing w:line="300" w:lineRule="auto"/>
        <w:ind w:firstLine="420" w:firstLineChars="200"/>
        <w:rPr>
          <w:rFonts w:ascii="Times New Roman" w:eastAsia="黑体" w:cs="Times New Roman"/>
          <w:color w:val="auto"/>
        </w:rPr>
      </w:pPr>
      <w:r>
        <w:rPr>
          <w:rFonts w:ascii="Times New Roman" w:eastAsia="宋体" w:cs="Times New Roman"/>
          <w:color w:val="auto"/>
          <w:sz w:val="21"/>
          <w:szCs w:val="21"/>
        </w:rPr>
        <w:t>工厂应投入适宜的废水、废气污染物处理设备，以确保其污染物排放达到相关法律法规及标准要求。污染物处理设备的处理能力应与工厂生产排放相适应，设备应满足通用设备的节能方面的要求。</w:t>
      </w:r>
    </w:p>
    <w:p>
      <w:pPr>
        <w:spacing w:line="300" w:lineRule="auto"/>
        <w:outlineLvl w:val="2"/>
        <w:rPr>
          <w:rFonts w:eastAsia="黑体"/>
          <w:color w:val="auto"/>
        </w:rPr>
      </w:pPr>
      <w:r>
        <w:rPr>
          <w:rFonts w:eastAsia="黑体"/>
          <w:color w:val="auto"/>
        </w:rPr>
        <w:t>5.3 管理体系</w:t>
      </w:r>
    </w:p>
    <w:p>
      <w:pPr>
        <w:spacing w:line="300" w:lineRule="auto"/>
        <w:outlineLvl w:val="3"/>
        <w:rPr>
          <w:rFonts w:eastAsia="黑体"/>
          <w:color w:val="auto"/>
        </w:rPr>
      </w:pPr>
      <w:r>
        <w:rPr>
          <w:rFonts w:eastAsia="黑体"/>
          <w:color w:val="auto"/>
        </w:rPr>
        <w:t>5.3.1 质量管理体系</w:t>
      </w:r>
    </w:p>
    <w:p>
      <w:pPr>
        <w:spacing w:line="300" w:lineRule="auto"/>
        <w:ind w:firstLine="420" w:firstLineChars="200"/>
        <w:rPr>
          <w:color w:val="auto"/>
          <w:szCs w:val="21"/>
        </w:rPr>
      </w:pPr>
      <w:r>
        <w:rPr>
          <w:color w:val="auto"/>
          <w:szCs w:val="21"/>
        </w:rPr>
        <w:t>a）</w:t>
      </w:r>
      <w:r>
        <w:rPr>
          <w:rFonts w:hint="eastAsia"/>
          <w:color w:val="auto"/>
        </w:rPr>
        <w:t>工厂应建立、实施并保持满足GB/T 19001要求的质量管理体系。</w:t>
      </w:r>
    </w:p>
    <w:p>
      <w:pPr>
        <w:spacing w:line="300" w:lineRule="auto"/>
        <w:ind w:firstLine="420" w:firstLineChars="200"/>
        <w:rPr>
          <w:rFonts w:eastAsia="黑体"/>
          <w:color w:val="auto"/>
        </w:rPr>
      </w:pPr>
      <w:r>
        <w:rPr>
          <w:color w:val="auto"/>
          <w:szCs w:val="21"/>
        </w:rPr>
        <w:t>b）</w:t>
      </w:r>
      <w:r>
        <w:rPr>
          <w:rFonts w:hint="eastAsia"/>
          <w:color w:val="auto"/>
        </w:rPr>
        <w:t>工厂通过质量管理体系第三方认证并有效运行。</w:t>
      </w:r>
    </w:p>
    <w:p>
      <w:pPr>
        <w:spacing w:line="300" w:lineRule="auto"/>
        <w:outlineLvl w:val="3"/>
        <w:rPr>
          <w:rFonts w:eastAsia="黑体"/>
          <w:color w:val="auto"/>
        </w:rPr>
      </w:pPr>
      <w:r>
        <w:rPr>
          <w:rFonts w:eastAsia="黑体"/>
          <w:color w:val="auto"/>
        </w:rPr>
        <w:t>5.3.2 职业健康安全管理体系</w:t>
      </w:r>
    </w:p>
    <w:p>
      <w:pPr>
        <w:spacing w:line="300" w:lineRule="auto"/>
        <w:ind w:firstLine="420" w:firstLineChars="200"/>
        <w:rPr>
          <w:color w:val="auto"/>
          <w:szCs w:val="21"/>
        </w:rPr>
      </w:pPr>
      <w:r>
        <w:rPr>
          <w:color w:val="auto"/>
          <w:szCs w:val="21"/>
        </w:rPr>
        <w:t>a）</w:t>
      </w:r>
      <w:r>
        <w:rPr>
          <w:rFonts w:hint="eastAsia"/>
          <w:color w:val="auto"/>
        </w:rPr>
        <w:t>工厂应建立、实施并保持满足GB/T 28001要求的职业健康安全管理体系。</w:t>
      </w:r>
    </w:p>
    <w:p>
      <w:pPr>
        <w:spacing w:line="300" w:lineRule="auto"/>
        <w:ind w:firstLine="420" w:firstLineChars="200"/>
        <w:rPr>
          <w:rFonts w:eastAsia="黑体"/>
          <w:color w:val="auto"/>
        </w:rPr>
      </w:pPr>
      <w:r>
        <w:rPr>
          <w:color w:val="auto"/>
          <w:szCs w:val="21"/>
        </w:rPr>
        <w:t>b）</w:t>
      </w:r>
      <w:r>
        <w:rPr>
          <w:rFonts w:hint="eastAsia"/>
          <w:color w:val="auto"/>
        </w:rPr>
        <w:t>工厂通过职业健康安全管理体系第三方认证并有效运行。</w:t>
      </w:r>
    </w:p>
    <w:p>
      <w:pPr>
        <w:spacing w:line="300" w:lineRule="auto"/>
        <w:outlineLvl w:val="3"/>
        <w:rPr>
          <w:rFonts w:eastAsia="黑体"/>
          <w:color w:val="auto"/>
        </w:rPr>
      </w:pPr>
      <w:r>
        <w:rPr>
          <w:rFonts w:eastAsia="黑体"/>
          <w:color w:val="auto"/>
        </w:rPr>
        <w:t>5.3.3 环境管理体系</w:t>
      </w:r>
    </w:p>
    <w:p>
      <w:pPr>
        <w:pStyle w:val="101"/>
        <w:spacing w:line="300" w:lineRule="auto"/>
        <w:ind w:firstLine="480" w:firstLineChars="200"/>
        <w:rPr>
          <w:rFonts w:ascii="Times New Roman" w:eastAsia="宋体" w:cs="Times New Roman"/>
          <w:color w:val="auto"/>
          <w:sz w:val="21"/>
          <w:szCs w:val="21"/>
        </w:rPr>
      </w:pPr>
      <w:r>
        <w:rPr>
          <w:rFonts w:ascii="Times New Roman" w:cs="Times New Roman"/>
          <w:color w:val="auto"/>
          <w:szCs w:val="21"/>
        </w:rPr>
        <w:t>a）</w:t>
      </w:r>
      <w:r>
        <w:rPr>
          <w:rFonts w:hint="eastAsia" w:ascii="Times New Roman"/>
          <w:color w:val="auto"/>
        </w:rPr>
        <w:t>工厂应建立、实施并保持</w:t>
      </w:r>
      <w:r>
        <w:rPr>
          <w:rFonts w:hint="eastAsia" w:ascii="Times New Roman" w:hAnsi="Times New Roman" w:eastAsia="宋体" w:cs="Times New Roman"/>
          <w:color w:val="auto"/>
          <w:kern w:val="2"/>
          <w:sz w:val="21"/>
          <w:szCs w:val="24"/>
          <w:lang w:val="en-US" w:eastAsia="zh-CN" w:bidi="ar-SA"/>
        </w:rPr>
        <w:t>满足GB/T 24001要求的</w:t>
      </w:r>
      <w:r>
        <w:rPr>
          <w:rFonts w:hint="eastAsia" w:ascii="Times New Roman"/>
          <w:color w:val="auto"/>
        </w:rPr>
        <w:t>环境管理体系。</w:t>
      </w:r>
    </w:p>
    <w:p>
      <w:pPr>
        <w:pStyle w:val="101"/>
        <w:spacing w:line="300" w:lineRule="auto"/>
        <w:ind w:firstLine="480" w:firstLineChars="200"/>
        <w:rPr>
          <w:rFonts w:ascii="Times New Roman" w:eastAsia="宋体" w:cs="Times New Roman"/>
          <w:color w:val="auto"/>
          <w:sz w:val="18"/>
          <w:szCs w:val="18"/>
        </w:rPr>
      </w:pPr>
      <w:r>
        <w:rPr>
          <w:rFonts w:ascii="Times New Roman" w:cs="Times New Roman"/>
          <w:color w:val="auto"/>
          <w:szCs w:val="21"/>
        </w:rPr>
        <w:t>b）</w:t>
      </w:r>
      <w:r>
        <w:rPr>
          <w:rFonts w:hint="eastAsia" w:ascii="Times New Roman"/>
          <w:color w:val="auto"/>
        </w:rPr>
        <w:t>工厂通过环境管理体系第三方认证并有效运行。</w:t>
      </w:r>
    </w:p>
    <w:p>
      <w:pPr>
        <w:spacing w:line="300" w:lineRule="auto"/>
        <w:outlineLvl w:val="3"/>
        <w:rPr>
          <w:rFonts w:eastAsia="黑体"/>
          <w:color w:val="auto"/>
        </w:rPr>
      </w:pPr>
      <w:r>
        <w:rPr>
          <w:rFonts w:eastAsia="黑体"/>
          <w:color w:val="auto"/>
        </w:rPr>
        <w:t>5.3.4 能源管理体系</w:t>
      </w:r>
    </w:p>
    <w:p>
      <w:pPr>
        <w:pStyle w:val="101"/>
        <w:spacing w:line="300" w:lineRule="auto"/>
        <w:ind w:firstLine="480" w:firstLineChars="200"/>
        <w:rPr>
          <w:rFonts w:ascii="Times New Roman" w:eastAsia="宋体" w:cs="Times New Roman"/>
          <w:color w:val="auto"/>
          <w:sz w:val="21"/>
          <w:szCs w:val="21"/>
        </w:rPr>
      </w:pPr>
      <w:r>
        <w:rPr>
          <w:rFonts w:ascii="Times New Roman" w:cs="Times New Roman"/>
          <w:color w:val="auto"/>
          <w:szCs w:val="21"/>
        </w:rPr>
        <w:t>a）</w:t>
      </w:r>
      <w:r>
        <w:rPr>
          <w:rFonts w:hint="eastAsia" w:ascii="Times New Roman"/>
          <w:color w:val="auto"/>
        </w:rPr>
        <w:t>工厂应建立、实施并保持</w:t>
      </w:r>
      <w:r>
        <w:rPr>
          <w:rFonts w:hint="eastAsia" w:ascii="Times New Roman" w:hAnsi="Times New Roman" w:eastAsia="宋体" w:cs="Times New Roman"/>
          <w:color w:val="auto"/>
          <w:kern w:val="2"/>
          <w:sz w:val="21"/>
          <w:szCs w:val="24"/>
          <w:lang w:val="en-US" w:eastAsia="zh-CN" w:bidi="ar-SA"/>
        </w:rPr>
        <w:t>满足GB/T 23331要求</w:t>
      </w:r>
      <w:r>
        <w:rPr>
          <w:rFonts w:hint="eastAsia" w:ascii="Times New Roman"/>
          <w:color w:val="auto"/>
        </w:rPr>
        <w:t>的能源管理体系。</w:t>
      </w:r>
    </w:p>
    <w:p>
      <w:pPr>
        <w:pStyle w:val="101"/>
        <w:spacing w:line="300" w:lineRule="auto"/>
        <w:ind w:firstLine="480" w:firstLineChars="200"/>
        <w:rPr>
          <w:rFonts w:ascii="Times New Roman" w:eastAsia="宋体" w:cs="Times New Roman"/>
          <w:color w:val="auto"/>
          <w:sz w:val="21"/>
          <w:szCs w:val="21"/>
        </w:rPr>
      </w:pPr>
      <w:r>
        <w:rPr>
          <w:rFonts w:ascii="Times New Roman" w:cs="Times New Roman"/>
          <w:color w:val="auto"/>
          <w:szCs w:val="21"/>
        </w:rPr>
        <w:t>b）</w:t>
      </w:r>
      <w:r>
        <w:rPr>
          <w:rFonts w:hint="eastAsia" w:ascii="Times New Roman"/>
          <w:color w:val="auto"/>
        </w:rPr>
        <w:t>工厂通过能源管理体系第三方认证并有效运行。</w:t>
      </w:r>
    </w:p>
    <w:p>
      <w:pPr>
        <w:spacing w:line="300" w:lineRule="auto"/>
        <w:outlineLvl w:val="3"/>
        <w:rPr>
          <w:rFonts w:eastAsia="黑体"/>
          <w:color w:val="auto"/>
        </w:rPr>
      </w:pPr>
      <w:r>
        <w:rPr>
          <w:rFonts w:eastAsia="黑体"/>
          <w:color w:val="auto"/>
        </w:rPr>
        <w:t>5.3.5 社会责任</w:t>
      </w:r>
    </w:p>
    <w:p>
      <w:pPr>
        <w:pStyle w:val="101"/>
        <w:spacing w:line="300" w:lineRule="auto"/>
        <w:ind w:firstLine="420" w:firstLineChars="200"/>
        <w:rPr>
          <w:rFonts w:ascii="Times New Roman" w:cs="Times New Roman"/>
          <w:color w:val="auto"/>
          <w:sz w:val="21"/>
          <w:szCs w:val="21"/>
        </w:rPr>
      </w:pPr>
      <w:r>
        <w:rPr>
          <w:rFonts w:ascii="Times New Roman" w:cs="Times New Roman"/>
          <w:color w:val="auto"/>
          <w:sz w:val="21"/>
          <w:szCs w:val="21"/>
        </w:rPr>
        <w:t>企业宜发布年度社会责任报告，说明履行利益相关方责任的情况，特别是环境社会责任的履行情况。</w:t>
      </w:r>
      <w:r>
        <w:rPr>
          <w:rFonts w:hint="eastAsia" w:ascii="Times New Roman" w:cs="Times New Roman"/>
          <w:color w:val="auto"/>
          <w:sz w:val="21"/>
          <w:szCs w:val="21"/>
        </w:rPr>
        <w:t>社会责任报告宜公开可获得。</w:t>
      </w:r>
    </w:p>
    <w:p>
      <w:pPr>
        <w:pStyle w:val="138"/>
        <w:spacing w:before="312" w:after="312" w:line="300" w:lineRule="auto"/>
        <w:ind w:left="0"/>
        <w:outlineLvl w:val="2"/>
        <w:rPr>
          <w:rFonts w:ascii="Times New Roman"/>
          <w:color w:val="auto"/>
          <w:szCs w:val="22"/>
        </w:rPr>
      </w:pPr>
      <w:bookmarkStart w:id="20" w:name="_Toc55722797"/>
      <w:bookmarkStart w:id="21" w:name="_Toc55722986"/>
      <w:r>
        <w:rPr>
          <w:rFonts w:ascii="Times New Roman"/>
          <w:color w:val="auto"/>
          <w:szCs w:val="22"/>
        </w:rPr>
        <w:t>5.4 能源与资源投入</w:t>
      </w:r>
      <w:bookmarkEnd w:id="20"/>
      <w:bookmarkEnd w:id="21"/>
    </w:p>
    <w:p>
      <w:pPr>
        <w:pStyle w:val="101"/>
        <w:spacing w:line="300" w:lineRule="auto"/>
        <w:outlineLvl w:val="3"/>
        <w:rPr>
          <w:rFonts w:ascii="Times New Roman" w:eastAsia="黑体" w:cs="Times New Roman"/>
          <w:color w:val="auto"/>
          <w:kern w:val="2"/>
          <w:sz w:val="21"/>
          <w:lang w:bidi="ar-SA"/>
        </w:rPr>
      </w:pPr>
      <w:r>
        <w:rPr>
          <w:rFonts w:ascii="Times New Roman" w:eastAsia="黑体" w:cs="Times New Roman"/>
          <w:color w:val="auto"/>
          <w:kern w:val="2"/>
          <w:sz w:val="21"/>
          <w:lang w:bidi="ar-SA"/>
        </w:rPr>
        <w:t>5.4.1 能源投入</w:t>
      </w:r>
    </w:p>
    <w:p>
      <w:pPr>
        <w:pStyle w:val="101"/>
        <w:snapToGrid w:val="0"/>
        <w:spacing w:line="300" w:lineRule="auto"/>
        <w:ind w:firstLine="480" w:firstLineChars="200"/>
        <w:rPr>
          <w:rFonts w:ascii="Times New Roman" w:eastAsia="宋体" w:cs="Times New Roman"/>
          <w:color w:val="auto"/>
          <w:sz w:val="21"/>
          <w:szCs w:val="21"/>
        </w:rPr>
      </w:pPr>
      <w:r>
        <w:rPr>
          <w:rFonts w:ascii="Times New Roman" w:cs="Times New Roman"/>
          <w:color w:val="auto"/>
          <w:szCs w:val="21"/>
        </w:rPr>
        <w:t>a）</w:t>
      </w:r>
      <w:r>
        <w:rPr>
          <w:rFonts w:ascii="Times New Roman" w:eastAsia="宋体" w:cs="Times New Roman"/>
          <w:color w:val="auto"/>
          <w:sz w:val="21"/>
          <w:szCs w:val="21"/>
        </w:rPr>
        <w:t>工厂应优化用能结构，在保证安全、质量的前提下减少能源投入。</w:t>
      </w:r>
    </w:p>
    <w:p>
      <w:pPr>
        <w:pStyle w:val="101"/>
        <w:snapToGrid w:val="0"/>
        <w:spacing w:line="300" w:lineRule="auto"/>
        <w:ind w:firstLine="480" w:firstLineChars="200"/>
        <w:rPr>
          <w:rFonts w:ascii="Times New Roman" w:cs="Times New Roman"/>
          <w:color w:val="auto"/>
          <w:szCs w:val="21"/>
        </w:rPr>
      </w:pPr>
      <w:r>
        <w:rPr>
          <w:rFonts w:hint="eastAsia" w:ascii="Times New Roman" w:cs="Times New Roman"/>
          <w:color w:val="auto"/>
          <w:szCs w:val="21"/>
        </w:rPr>
        <w:t>b</w:t>
      </w:r>
      <w:r>
        <w:rPr>
          <w:rFonts w:ascii="Times New Roman" w:cs="Times New Roman"/>
          <w:color w:val="auto"/>
          <w:szCs w:val="21"/>
        </w:rPr>
        <w:t>）</w:t>
      </w:r>
      <w:r>
        <w:rPr>
          <w:rFonts w:hint="eastAsia" w:ascii="Times New Roman" w:cs="Times New Roman"/>
          <w:color w:val="auto"/>
          <w:sz w:val="21"/>
          <w:szCs w:val="21"/>
        </w:rPr>
        <w:t>工厂在锅炉、压榨、蒸发、结晶、分蜜等生产所需工序应采用先进、适用的节能技术好装备，减少能源消耗。</w:t>
      </w:r>
    </w:p>
    <w:p>
      <w:pPr>
        <w:pStyle w:val="101"/>
        <w:snapToGrid w:val="0"/>
        <w:spacing w:line="300" w:lineRule="auto"/>
        <w:ind w:firstLine="480" w:firstLineChars="200"/>
        <w:rPr>
          <w:rFonts w:ascii="Times New Roman" w:eastAsia="黑体" w:cs="Times New Roman"/>
          <w:color w:val="auto"/>
          <w:kern w:val="2"/>
          <w:sz w:val="21"/>
          <w:lang w:bidi="ar-SA"/>
        </w:rPr>
      </w:pPr>
      <w:r>
        <w:rPr>
          <w:rFonts w:hint="eastAsia" w:ascii="Times New Roman" w:cs="Times New Roman"/>
          <w:color w:val="auto"/>
          <w:szCs w:val="21"/>
        </w:rPr>
        <w:t>c</w:t>
      </w:r>
      <w:r>
        <w:rPr>
          <w:rFonts w:ascii="Times New Roman" w:cs="Times New Roman"/>
          <w:color w:val="auto"/>
          <w:szCs w:val="21"/>
        </w:rPr>
        <w:t>）</w:t>
      </w:r>
      <w:r>
        <w:rPr>
          <w:rFonts w:hint="eastAsia" w:ascii="Times New Roman" w:cs="Times New Roman"/>
          <w:color w:val="auto"/>
          <w:sz w:val="21"/>
          <w:szCs w:val="21"/>
        </w:rPr>
        <w:t>工厂应加强余热余能等二次能源回收利用，提高能源效率。</w:t>
      </w:r>
    </w:p>
    <w:p>
      <w:pPr>
        <w:pStyle w:val="101"/>
        <w:spacing w:line="300" w:lineRule="auto"/>
        <w:outlineLvl w:val="3"/>
        <w:rPr>
          <w:rFonts w:ascii="Times New Roman" w:eastAsia="黑体" w:cs="Times New Roman"/>
          <w:color w:val="auto"/>
          <w:kern w:val="2"/>
          <w:sz w:val="21"/>
          <w:lang w:bidi="ar-SA"/>
        </w:rPr>
      </w:pPr>
      <w:r>
        <w:rPr>
          <w:rFonts w:ascii="Times New Roman" w:eastAsia="黑体" w:cs="Times New Roman"/>
          <w:color w:val="auto"/>
          <w:kern w:val="2"/>
          <w:sz w:val="21"/>
          <w:lang w:bidi="ar-SA"/>
        </w:rPr>
        <w:t>5.4.2 资源投入</w:t>
      </w:r>
    </w:p>
    <w:p>
      <w:pPr>
        <w:pStyle w:val="101"/>
        <w:spacing w:line="300" w:lineRule="auto"/>
        <w:ind w:firstLine="420" w:firstLineChars="200"/>
        <w:rPr>
          <w:rFonts w:ascii="Times New Roman" w:eastAsia="宋体" w:cs="Times New Roman"/>
          <w:color w:val="auto"/>
          <w:sz w:val="21"/>
          <w:szCs w:val="21"/>
          <w:lang w:bidi="ar-SA"/>
        </w:rPr>
      </w:pPr>
      <w:r>
        <w:rPr>
          <w:rFonts w:hint="eastAsia" w:ascii="Times New Roman" w:eastAsia="宋体" w:cs="Times New Roman"/>
          <w:color w:val="auto"/>
          <w:sz w:val="21"/>
          <w:szCs w:val="21"/>
          <w:lang w:bidi="ar-SA"/>
        </w:rPr>
        <w:t>a）</w:t>
      </w:r>
      <w:r>
        <w:rPr>
          <w:rFonts w:ascii="Times New Roman" w:eastAsia="宋体" w:cs="Times New Roman"/>
          <w:color w:val="auto"/>
          <w:sz w:val="21"/>
          <w:szCs w:val="21"/>
          <w:lang w:bidi="ar-SA"/>
        </w:rPr>
        <w:t>工厂应按照GB/T</w:t>
      </w:r>
      <w:r>
        <w:rPr>
          <w:rFonts w:hint="eastAsia" w:ascii="Times New Roman" w:eastAsia="宋体" w:cs="Times New Roman"/>
          <w:color w:val="auto"/>
          <w:sz w:val="21"/>
          <w:szCs w:val="21"/>
          <w:lang w:bidi="ar-SA"/>
        </w:rPr>
        <w:t xml:space="preserve"> </w:t>
      </w:r>
      <w:r>
        <w:rPr>
          <w:rFonts w:ascii="Times New Roman" w:eastAsia="宋体" w:cs="Times New Roman"/>
          <w:color w:val="auto"/>
          <w:sz w:val="21"/>
          <w:szCs w:val="21"/>
          <w:lang w:bidi="ar-SA"/>
        </w:rPr>
        <w:t>7119的要求对其开展节水评价工作，且满足GB/T</w:t>
      </w:r>
      <w:r>
        <w:rPr>
          <w:rFonts w:hint="eastAsia" w:ascii="Times New Roman" w:eastAsia="宋体" w:cs="Times New Roman"/>
          <w:color w:val="auto"/>
          <w:sz w:val="21"/>
          <w:szCs w:val="21"/>
          <w:lang w:bidi="ar-SA"/>
        </w:rPr>
        <w:t xml:space="preserve"> </w:t>
      </w:r>
      <w:r>
        <w:rPr>
          <w:rFonts w:ascii="Times New Roman" w:eastAsia="宋体" w:cs="Times New Roman"/>
          <w:color w:val="auto"/>
          <w:sz w:val="21"/>
          <w:szCs w:val="21"/>
          <w:lang w:bidi="ar-SA"/>
        </w:rPr>
        <w:t>18916（所有部分）中对应本行业的取水定额要求。</w:t>
      </w:r>
    </w:p>
    <w:p>
      <w:pPr>
        <w:pStyle w:val="101"/>
        <w:spacing w:line="300" w:lineRule="auto"/>
        <w:ind w:firstLine="420" w:firstLineChars="200"/>
        <w:rPr>
          <w:rFonts w:ascii="Times New Roman" w:eastAsia="宋体" w:cs="Times New Roman"/>
          <w:color w:val="auto"/>
          <w:sz w:val="21"/>
          <w:szCs w:val="21"/>
          <w:lang w:bidi="ar-SA"/>
        </w:rPr>
      </w:pPr>
      <w:r>
        <w:rPr>
          <w:rFonts w:hint="eastAsia" w:ascii="Times New Roman" w:eastAsia="宋体" w:cs="Times New Roman"/>
          <w:color w:val="auto"/>
          <w:sz w:val="21"/>
          <w:szCs w:val="21"/>
          <w:lang w:bidi="ar-SA"/>
        </w:rPr>
        <w:t>b）</w:t>
      </w:r>
      <w:r>
        <w:rPr>
          <w:rFonts w:ascii="Times New Roman" w:eastAsia="宋体" w:cs="Times New Roman"/>
          <w:color w:val="auto"/>
          <w:sz w:val="21"/>
          <w:szCs w:val="21"/>
          <w:lang w:bidi="ar-SA"/>
        </w:rPr>
        <w:t>工厂应减少材料、尤其是有害物质的使用，评估有害物质及化学品减量使用或替代的可行性，宜使用回收料、可回收材料替代原生材料、不可回收材料，宜替代或减少全球增温潜势较高温室气体的使用。工厂应按照GB/T 29115的要求对其原材料使用量的减少进行评价。</w:t>
      </w:r>
    </w:p>
    <w:p>
      <w:pPr>
        <w:pStyle w:val="101"/>
        <w:spacing w:line="300" w:lineRule="auto"/>
        <w:ind w:firstLine="420" w:firstLineChars="200"/>
        <w:rPr>
          <w:rFonts w:ascii="Times New Roman" w:eastAsia="宋体" w:cs="Times New Roman"/>
          <w:color w:val="auto"/>
          <w:sz w:val="21"/>
          <w:szCs w:val="21"/>
          <w:lang w:bidi="ar-SA"/>
        </w:rPr>
      </w:pPr>
      <w:r>
        <w:rPr>
          <w:rFonts w:hint="eastAsia" w:ascii="Times New Roman" w:eastAsia="宋体" w:cs="Times New Roman"/>
          <w:color w:val="auto"/>
          <w:sz w:val="21"/>
          <w:szCs w:val="21"/>
          <w:lang w:bidi="ar-SA"/>
        </w:rPr>
        <w:t>c）工厂应采用先进、适用的节水利用技术和装备，减少水等资源消耗，淘汰落后的用水工艺设备。</w:t>
      </w:r>
    </w:p>
    <w:p>
      <w:pPr>
        <w:pStyle w:val="101"/>
        <w:spacing w:line="300" w:lineRule="auto"/>
        <w:outlineLvl w:val="3"/>
        <w:rPr>
          <w:rFonts w:ascii="Times New Roman" w:eastAsia="黑体" w:cs="Times New Roman"/>
          <w:color w:val="auto"/>
          <w:kern w:val="2"/>
          <w:sz w:val="21"/>
          <w:lang w:bidi="ar-SA"/>
        </w:rPr>
      </w:pPr>
      <w:r>
        <w:rPr>
          <w:rFonts w:ascii="Times New Roman" w:eastAsia="黑体" w:cs="Times New Roman"/>
          <w:color w:val="auto"/>
          <w:kern w:val="2"/>
          <w:sz w:val="21"/>
          <w:lang w:bidi="ar-SA"/>
        </w:rPr>
        <w:t>5.4.3 采购</w:t>
      </w:r>
    </w:p>
    <w:p>
      <w:pPr>
        <w:pStyle w:val="101"/>
        <w:spacing w:line="300" w:lineRule="auto"/>
        <w:ind w:firstLine="420" w:firstLineChars="200"/>
        <w:rPr>
          <w:rFonts w:ascii="Times New Roman" w:eastAsia="宋体" w:cs="Times New Roman"/>
          <w:color w:val="auto"/>
          <w:sz w:val="21"/>
          <w:szCs w:val="21"/>
        </w:rPr>
      </w:pPr>
      <w:r>
        <w:rPr>
          <w:rFonts w:hint="eastAsia" w:ascii="Times New Roman" w:eastAsia="宋体" w:cs="Times New Roman"/>
          <w:color w:val="auto"/>
          <w:sz w:val="21"/>
          <w:szCs w:val="21"/>
        </w:rPr>
        <w:t>a）</w:t>
      </w:r>
      <w:r>
        <w:rPr>
          <w:rFonts w:ascii="Times New Roman" w:eastAsia="宋体" w:cs="Times New Roman"/>
          <w:color w:val="auto"/>
          <w:sz w:val="21"/>
          <w:szCs w:val="21"/>
        </w:rPr>
        <w:t>工厂应制定并实施包括环保要求的选择、评价和重新评价供方的准则。</w:t>
      </w:r>
    </w:p>
    <w:p>
      <w:pPr>
        <w:pStyle w:val="101"/>
        <w:spacing w:line="300" w:lineRule="auto"/>
        <w:ind w:firstLine="420" w:firstLineChars="200"/>
        <w:rPr>
          <w:rFonts w:ascii="Times New Roman" w:eastAsia="宋体" w:cs="Times New Roman"/>
          <w:color w:val="auto"/>
          <w:sz w:val="21"/>
          <w:szCs w:val="21"/>
        </w:rPr>
      </w:pPr>
      <w:r>
        <w:rPr>
          <w:rFonts w:hint="eastAsia" w:ascii="Times New Roman" w:eastAsia="宋体" w:cs="Times New Roman"/>
          <w:color w:val="auto"/>
          <w:sz w:val="21"/>
          <w:szCs w:val="21"/>
        </w:rPr>
        <w:t>b）</w:t>
      </w:r>
      <w:r>
        <w:rPr>
          <w:rFonts w:ascii="Times New Roman" w:eastAsia="宋体" w:cs="Times New Roman"/>
          <w:color w:val="auto"/>
          <w:sz w:val="21"/>
          <w:szCs w:val="21"/>
        </w:rPr>
        <w:t>工厂应确定并实施检验或其他必要的活动，以确保采购的产品满足规定的采购要求。</w:t>
      </w:r>
    </w:p>
    <w:p>
      <w:pPr>
        <w:pStyle w:val="101"/>
        <w:spacing w:line="300" w:lineRule="auto"/>
        <w:ind w:firstLine="420" w:firstLineChars="200"/>
        <w:rPr>
          <w:rFonts w:ascii="Times New Roman" w:eastAsia="宋体" w:cs="Times New Roman"/>
          <w:color w:val="auto"/>
          <w:sz w:val="21"/>
          <w:szCs w:val="21"/>
        </w:rPr>
      </w:pPr>
      <w:r>
        <w:rPr>
          <w:rFonts w:hint="eastAsia" w:ascii="Times New Roman" w:eastAsia="宋体" w:cs="Times New Roman"/>
          <w:color w:val="auto"/>
          <w:sz w:val="21"/>
          <w:szCs w:val="21"/>
        </w:rPr>
        <w:t>c）</w:t>
      </w:r>
      <w:r>
        <w:rPr>
          <w:rFonts w:ascii="Times New Roman" w:eastAsia="宋体" w:cs="Times New Roman"/>
          <w:color w:val="auto"/>
          <w:sz w:val="21"/>
          <w:szCs w:val="21"/>
        </w:rPr>
        <w:t>工厂</w:t>
      </w:r>
      <w:r>
        <w:rPr>
          <w:rFonts w:hint="eastAsia" w:ascii="Times New Roman" w:eastAsia="宋体" w:cs="Times New Roman"/>
          <w:color w:val="auto"/>
          <w:sz w:val="21"/>
          <w:szCs w:val="21"/>
        </w:rPr>
        <w:t>应</w:t>
      </w:r>
      <w:r>
        <w:rPr>
          <w:rFonts w:ascii="Times New Roman" w:eastAsia="宋体" w:cs="Times New Roman"/>
          <w:color w:val="auto"/>
          <w:sz w:val="21"/>
          <w:szCs w:val="21"/>
        </w:rPr>
        <w:t>向供方提供的采购信息应包含有害物质使用、可回收材料使用、能效等环保要求。</w:t>
      </w:r>
    </w:p>
    <w:p>
      <w:pPr>
        <w:pStyle w:val="101"/>
        <w:spacing w:line="300" w:lineRule="auto"/>
        <w:outlineLvl w:val="2"/>
        <w:rPr>
          <w:rFonts w:ascii="Times New Roman" w:eastAsia="黑体" w:cs="Times New Roman"/>
          <w:color w:val="auto"/>
          <w:kern w:val="2"/>
          <w:sz w:val="21"/>
          <w:lang w:bidi="ar-SA"/>
        </w:rPr>
      </w:pPr>
      <w:r>
        <w:rPr>
          <w:rFonts w:ascii="Times New Roman" w:eastAsia="黑体" w:cs="Times New Roman"/>
          <w:color w:val="auto"/>
          <w:kern w:val="2"/>
          <w:sz w:val="21"/>
          <w:lang w:bidi="ar-SA"/>
        </w:rPr>
        <w:t>5.5 产品</w:t>
      </w:r>
    </w:p>
    <w:p>
      <w:pPr>
        <w:pStyle w:val="101"/>
        <w:spacing w:line="300" w:lineRule="auto"/>
        <w:outlineLvl w:val="3"/>
        <w:rPr>
          <w:rFonts w:ascii="Times New Roman" w:eastAsia="黑体" w:cs="Times New Roman"/>
          <w:color w:val="auto"/>
          <w:kern w:val="2"/>
          <w:sz w:val="21"/>
          <w:lang w:bidi="ar-SA"/>
        </w:rPr>
      </w:pPr>
      <w:r>
        <w:rPr>
          <w:rFonts w:ascii="Times New Roman" w:eastAsia="黑体" w:cs="Times New Roman"/>
          <w:color w:val="auto"/>
          <w:kern w:val="2"/>
          <w:sz w:val="21"/>
          <w:lang w:bidi="ar-SA"/>
        </w:rPr>
        <w:t xml:space="preserve">5.5.1 </w:t>
      </w:r>
      <w:r>
        <w:rPr>
          <w:rFonts w:hint="eastAsia" w:ascii="Times New Roman" w:eastAsia="黑体" w:cs="Times New Roman"/>
          <w:color w:val="auto"/>
          <w:kern w:val="2"/>
          <w:sz w:val="21"/>
          <w:lang w:bidi="ar-SA"/>
        </w:rPr>
        <w:t>产品质量</w:t>
      </w:r>
    </w:p>
    <w:p>
      <w:pPr>
        <w:pStyle w:val="101"/>
        <w:spacing w:line="300" w:lineRule="auto"/>
        <w:ind w:firstLine="420" w:firstLineChars="200"/>
        <w:rPr>
          <w:rFonts w:ascii="Times New Roman" w:eastAsia="黑体" w:cs="Times New Roman"/>
          <w:color w:val="auto"/>
          <w:kern w:val="2"/>
          <w:sz w:val="21"/>
          <w:lang w:bidi="ar-SA"/>
        </w:rPr>
      </w:pPr>
      <w:r>
        <w:rPr>
          <w:rFonts w:hint="eastAsia" w:ascii="Times New Roman" w:eastAsia="宋体" w:cs="Times New Roman"/>
          <w:color w:val="auto"/>
          <w:sz w:val="21"/>
          <w:szCs w:val="21"/>
          <w:lang w:bidi="ar-SA"/>
        </w:rPr>
        <w:t>产品应符合国家相关产品质量标准要求，包括GB/T 317-2018、GB/T 1445-2018、GB/T 35884-2018、GB/T 15108-2017、QB/T 4564-2013等</w:t>
      </w:r>
      <w:r>
        <w:rPr>
          <w:rFonts w:ascii="Times New Roman" w:eastAsia="宋体" w:cs="Times New Roman"/>
          <w:color w:val="auto"/>
          <w:sz w:val="21"/>
          <w:szCs w:val="21"/>
          <w:lang w:bidi="ar-SA"/>
        </w:rPr>
        <w:t>。</w:t>
      </w:r>
    </w:p>
    <w:p>
      <w:pPr>
        <w:pStyle w:val="101"/>
        <w:spacing w:line="300" w:lineRule="auto"/>
        <w:outlineLvl w:val="3"/>
        <w:rPr>
          <w:rFonts w:ascii="Times New Roman" w:eastAsia="宋体" w:cs="Times New Roman"/>
          <w:color w:val="auto"/>
          <w:sz w:val="21"/>
          <w:szCs w:val="21"/>
        </w:rPr>
      </w:pPr>
      <w:r>
        <w:rPr>
          <w:rFonts w:ascii="Times New Roman" w:eastAsia="黑体" w:cs="Times New Roman"/>
          <w:color w:val="auto"/>
          <w:kern w:val="2"/>
          <w:sz w:val="21"/>
          <w:lang w:bidi="ar-SA"/>
        </w:rPr>
        <w:t>5.5.2 生态设计</w:t>
      </w:r>
    </w:p>
    <w:p>
      <w:pPr>
        <w:pStyle w:val="101"/>
        <w:spacing w:line="300" w:lineRule="auto"/>
        <w:ind w:firstLine="420" w:firstLineChars="200"/>
        <w:rPr>
          <w:rFonts w:ascii="Times New Roman" w:eastAsia="宋体" w:cs="Times New Roman"/>
          <w:color w:val="auto"/>
          <w:sz w:val="21"/>
          <w:szCs w:val="21"/>
        </w:rPr>
      </w:pPr>
      <w:r>
        <w:rPr>
          <w:rFonts w:hint="eastAsia" w:ascii="Times New Roman" w:eastAsia="宋体" w:cs="Times New Roman"/>
          <w:color w:val="auto"/>
          <w:sz w:val="21"/>
          <w:szCs w:val="21"/>
        </w:rPr>
        <w:t>a）工厂生产的产品品种应按照对应品种的绿色产品评价标准进行评价。</w:t>
      </w:r>
    </w:p>
    <w:p>
      <w:pPr>
        <w:pStyle w:val="101"/>
        <w:spacing w:line="300" w:lineRule="auto"/>
        <w:ind w:firstLine="420" w:firstLineChars="200"/>
        <w:rPr>
          <w:rFonts w:ascii="Times New Roman" w:eastAsia="宋体" w:cs="Times New Roman"/>
          <w:color w:val="auto"/>
          <w:sz w:val="21"/>
          <w:szCs w:val="21"/>
        </w:rPr>
      </w:pPr>
      <w:r>
        <w:rPr>
          <w:rFonts w:hint="eastAsia" w:ascii="Times New Roman" w:eastAsia="宋体" w:cs="Times New Roman"/>
          <w:color w:val="auto"/>
          <w:sz w:val="21"/>
          <w:szCs w:val="21"/>
        </w:rPr>
        <w:t>b）未有对应标准的产品品种，</w:t>
      </w:r>
      <w:r>
        <w:rPr>
          <w:rFonts w:ascii="Times New Roman" w:eastAsia="宋体" w:cs="Times New Roman"/>
          <w:color w:val="auto"/>
          <w:sz w:val="21"/>
          <w:szCs w:val="21"/>
        </w:rPr>
        <w:t>工厂宜按照GB/T 24256对生产的产品进行生态设计，并按照GB/T 32161对生产的产品进行生态设计产品评价。</w:t>
      </w:r>
    </w:p>
    <w:p>
      <w:pPr>
        <w:spacing w:line="300" w:lineRule="auto"/>
        <w:outlineLvl w:val="3"/>
        <w:rPr>
          <w:rFonts w:eastAsia="黑体"/>
          <w:color w:val="auto"/>
        </w:rPr>
      </w:pPr>
      <w:r>
        <w:rPr>
          <w:rFonts w:eastAsia="黑体"/>
          <w:color w:val="auto"/>
        </w:rPr>
        <w:t>5.5.3 有害物质使用</w:t>
      </w:r>
    </w:p>
    <w:p>
      <w:pPr>
        <w:spacing w:line="300" w:lineRule="auto"/>
        <w:ind w:firstLine="420" w:firstLineChars="200"/>
        <w:rPr>
          <w:color w:val="auto"/>
          <w:kern w:val="0"/>
          <w:szCs w:val="21"/>
          <w:lang w:bidi="th-TH"/>
        </w:rPr>
      </w:pPr>
      <w:r>
        <w:rPr>
          <w:rFonts w:hint="eastAsia"/>
          <w:color w:val="auto"/>
          <w:kern w:val="0"/>
          <w:szCs w:val="21"/>
          <w:lang w:bidi="th-TH"/>
        </w:rPr>
        <w:t>a）</w:t>
      </w:r>
      <w:r>
        <w:rPr>
          <w:color w:val="auto"/>
          <w:kern w:val="0"/>
          <w:szCs w:val="21"/>
          <w:lang w:bidi="th-TH"/>
        </w:rPr>
        <w:t>工厂生产</w:t>
      </w:r>
      <w:r>
        <w:rPr>
          <w:rFonts w:hint="eastAsia"/>
          <w:color w:val="auto"/>
          <w:kern w:val="0"/>
          <w:szCs w:val="21"/>
          <w:lang w:bidi="th-TH"/>
        </w:rPr>
        <w:t>过程用到原料、辅料</w:t>
      </w:r>
      <w:r>
        <w:rPr>
          <w:color w:val="auto"/>
          <w:kern w:val="0"/>
          <w:szCs w:val="21"/>
          <w:lang w:bidi="th-TH"/>
        </w:rPr>
        <w:t>应减少有害物质的使用，避免有害物质的泄露</w:t>
      </w:r>
      <w:r>
        <w:rPr>
          <w:rFonts w:hint="eastAsia"/>
          <w:color w:val="auto"/>
          <w:kern w:val="0"/>
          <w:szCs w:val="21"/>
          <w:lang w:bidi="th-TH"/>
        </w:rPr>
        <w:t>。</w:t>
      </w:r>
    </w:p>
    <w:p>
      <w:pPr>
        <w:spacing w:line="300" w:lineRule="auto"/>
        <w:ind w:firstLine="420" w:firstLineChars="200"/>
        <w:rPr>
          <w:color w:val="auto"/>
          <w:kern w:val="0"/>
          <w:szCs w:val="21"/>
          <w:lang w:bidi="th-TH"/>
        </w:rPr>
      </w:pPr>
      <w:r>
        <w:rPr>
          <w:rFonts w:hint="eastAsia"/>
          <w:color w:val="auto"/>
          <w:kern w:val="0"/>
          <w:szCs w:val="21"/>
          <w:lang w:bidi="th-TH"/>
        </w:rPr>
        <w:t>b）满足国家对产品中有害物质限制使用的要求</w:t>
      </w:r>
      <w:r>
        <w:rPr>
          <w:color w:val="auto"/>
          <w:kern w:val="0"/>
          <w:szCs w:val="21"/>
          <w:lang w:bidi="th-TH"/>
        </w:rPr>
        <w:t>。</w:t>
      </w:r>
    </w:p>
    <w:p>
      <w:pPr>
        <w:spacing w:line="300" w:lineRule="auto"/>
        <w:outlineLvl w:val="3"/>
        <w:rPr>
          <w:rFonts w:eastAsia="黑体"/>
          <w:color w:val="auto"/>
        </w:rPr>
      </w:pPr>
      <w:r>
        <w:rPr>
          <w:rFonts w:eastAsia="黑体"/>
          <w:color w:val="auto"/>
        </w:rPr>
        <w:t>5.5.4 节能</w:t>
      </w:r>
    </w:p>
    <w:p>
      <w:pPr>
        <w:spacing w:line="300" w:lineRule="auto"/>
        <w:ind w:firstLine="420" w:firstLineChars="200"/>
        <w:rPr>
          <w:color w:val="auto"/>
        </w:rPr>
      </w:pPr>
      <w:r>
        <w:rPr>
          <w:rFonts w:hint="eastAsia"/>
          <w:color w:val="auto"/>
        </w:rPr>
        <w:t>工厂</w:t>
      </w:r>
      <w:r>
        <w:rPr>
          <w:color w:val="auto"/>
        </w:rPr>
        <w:t>应满足</w:t>
      </w:r>
      <w:r>
        <w:rPr>
          <w:rFonts w:hint="eastAsia"/>
          <w:color w:val="auto"/>
        </w:rPr>
        <w:t>GB 32044-2015</w:t>
      </w:r>
      <w:r>
        <w:rPr>
          <w:color w:val="auto"/>
        </w:rPr>
        <w:t>标准</w:t>
      </w:r>
      <w:r>
        <w:rPr>
          <w:rFonts w:hint="eastAsia"/>
          <w:color w:val="auto"/>
        </w:rPr>
        <w:t>中限定值或准入值</w:t>
      </w:r>
      <w:r>
        <w:rPr>
          <w:color w:val="auto"/>
        </w:rPr>
        <w:t>要求，并努力达到</w:t>
      </w:r>
      <w:r>
        <w:rPr>
          <w:rFonts w:hint="eastAsia"/>
          <w:color w:val="auto"/>
        </w:rPr>
        <w:t>先进值要求</w:t>
      </w:r>
      <w:r>
        <w:rPr>
          <w:color w:val="auto"/>
        </w:rPr>
        <w:t>。</w:t>
      </w:r>
    </w:p>
    <w:p>
      <w:pPr>
        <w:spacing w:line="300" w:lineRule="auto"/>
        <w:outlineLvl w:val="3"/>
        <w:rPr>
          <w:rFonts w:eastAsia="黑体"/>
          <w:color w:val="auto"/>
        </w:rPr>
      </w:pPr>
      <w:r>
        <w:rPr>
          <w:rFonts w:eastAsia="黑体"/>
          <w:color w:val="auto"/>
        </w:rPr>
        <w:t>5.5.5 减碳</w:t>
      </w:r>
    </w:p>
    <w:p>
      <w:pPr>
        <w:spacing w:line="300" w:lineRule="auto"/>
        <w:ind w:firstLine="420" w:firstLineChars="200"/>
        <w:rPr>
          <w:color w:val="auto"/>
        </w:rPr>
      </w:pPr>
      <w:r>
        <w:rPr>
          <w:rFonts w:hint="eastAsia"/>
          <w:color w:val="auto"/>
        </w:rPr>
        <w:t>a）</w:t>
      </w:r>
      <w:r>
        <w:rPr>
          <w:color w:val="auto"/>
        </w:rPr>
        <w:t>工厂宜采用适用的标准或规范对产品进行碳足迹核算或核查</w:t>
      </w:r>
      <w:r>
        <w:rPr>
          <w:rFonts w:hint="eastAsia"/>
          <w:color w:val="auto"/>
        </w:rPr>
        <w:t>。</w:t>
      </w:r>
    </w:p>
    <w:p>
      <w:pPr>
        <w:spacing w:line="300" w:lineRule="auto"/>
        <w:ind w:firstLine="420" w:firstLineChars="200"/>
        <w:rPr>
          <w:color w:val="auto"/>
        </w:rPr>
      </w:pPr>
      <w:r>
        <w:rPr>
          <w:rFonts w:hint="eastAsia"/>
          <w:color w:val="auto"/>
        </w:rPr>
        <w:t>b）工厂</w:t>
      </w:r>
      <w:r>
        <w:rPr>
          <w:color w:val="auto"/>
        </w:rPr>
        <w:t>宜对外公布核查结果</w:t>
      </w:r>
      <w:r>
        <w:rPr>
          <w:rFonts w:hint="eastAsia"/>
          <w:color w:val="auto"/>
        </w:rPr>
        <w:t>。</w:t>
      </w:r>
    </w:p>
    <w:p>
      <w:pPr>
        <w:spacing w:line="300" w:lineRule="auto"/>
        <w:ind w:firstLine="420" w:firstLineChars="200"/>
        <w:rPr>
          <w:rFonts w:eastAsia="黑体"/>
          <w:color w:val="auto"/>
        </w:rPr>
      </w:pPr>
      <w:r>
        <w:rPr>
          <w:rFonts w:hint="eastAsia"/>
          <w:color w:val="auto"/>
        </w:rPr>
        <w:t>c）工厂宜采取减少碳排放的措施</w:t>
      </w:r>
      <w:r>
        <w:rPr>
          <w:color w:val="auto"/>
        </w:rPr>
        <w:t>。</w:t>
      </w:r>
    </w:p>
    <w:p>
      <w:pPr>
        <w:spacing w:line="300" w:lineRule="auto"/>
        <w:outlineLvl w:val="3"/>
        <w:rPr>
          <w:rFonts w:eastAsia="黑体"/>
          <w:color w:val="auto"/>
        </w:rPr>
      </w:pPr>
      <w:r>
        <w:rPr>
          <w:rFonts w:eastAsia="黑体"/>
          <w:color w:val="auto"/>
        </w:rPr>
        <w:t>5.5.6 回收利用</w:t>
      </w:r>
    </w:p>
    <w:p>
      <w:pPr>
        <w:pStyle w:val="101"/>
        <w:spacing w:line="300" w:lineRule="auto"/>
        <w:ind w:firstLine="420" w:firstLineChars="200"/>
        <w:rPr>
          <w:rFonts w:ascii="Times New Roman" w:eastAsia="宋体" w:cs="Times New Roman"/>
          <w:color w:val="auto"/>
          <w:sz w:val="21"/>
          <w:szCs w:val="21"/>
        </w:rPr>
      </w:pPr>
      <w:r>
        <w:rPr>
          <w:rFonts w:hint="eastAsia" w:ascii="Times New Roman" w:eastAsia="宋体" w:cs="Times New Roman"/>
          <w:color w:val="auto"/>
          <w:sz w:val="21"/>
          <w:szCs w:val="21"/>
        </w:rPr>
        <w:t>a）工厂应加强滤泥、炉渣、废水、蔗渣、废粕、糖蜜、热能等资源综合利用，提高二次资源应用。</w:t>
      </w:r>
    </w:p>
    <w:p>
      <w:pPr>
        <w:pStyle w:val="101"/>
        <w:spacing w:line="300" w:lineRule="auto"/>
        <w:ind w:firstLine="420" w:firstLineChars="200"/>
        <w:rPr>
          <w:rFonts w:ascii="Times New Roman" w:eastAsia="宋体" w:cs="Times New Roman"/>
          <w:color w:val="auto"/>
          <w:sz w:val="21"/>
          <w:szCs w:val="21"/>
        </w:rPr>
      </w:pPr>
      <w:r>
        <w:rPr>
          <w:rFonts w:hint="eastAsia" w:ascii="Times New Roman" w:eastAsia="宋体" w:cs="Times New Roman"/>
          <w:color w:val="auto"/>
          <w:sz w:val="21"/>
          <w:szCs w:val="21"/>
        </w:rPr>
        <w:t>b）工厂宜加强工艺用水资源管理，减少水资源消耗。</w:t>
      </w:r>
    </w:p>
    <w:p>
      <w:pPr>
        <w:spacing w:line="300" w:lineRule="auto"/>
        <w:outlineLvl w:val="2"/>
        <w:rPr>
          <w:rFonts w:eastAsia="黑体"/>
          <w:b/>
          <w:bCs/>
          <w:color w:val="auto"/>
        </w:rPr>
      </w:pPr>
      <w:r>
        <w:rPr>
          <w:rFonts w:eastAsia="黑体"/>
          <w:b/>
          <w:bCs/>
          <w:color w:val="auto"/>
        </w:rPr>
        <w:t>5.6环境排放</w:t>
      </w:r>
    </w:p>
    <w:p>
      <w:pPr>
        <w:spacing w:line="300" w:lineRule="auto"/>
        <w:outlineLvl w:val="3"/>
        <w:rPr>
          <w:rFonts w:eastAsia="黑体"/>
          <w:color w:val="auto"/>
        </w:rPr>
      </w:pPr>
      <w:r>
        <w:rPr>
          <w:rFonts w:eastAsia="黑体"/>
          <w:color w:val="auto"/>
        </w:rPr>
        <w:t>5.6.1 大气污染物</w:t>
      </w:r>
    </w:p>
    <w:p>
      <w:pPr>
        <w:pStyle w:val="101"/>
        <w:spacing w:line="300" w:lineRule="auto"/>
        <w:ind w:firstLine="420" w:firstLineChars="200"/>
        <w:rPr>
          <w:rFonts w:ascii="Times New Roman" w:eastAsia="宋体" w:cs="Times New Roman"/>
          <w:color w:val="auto"/>
          <w:sz w:val="21"/>
          <w:szCs w:val="21"/>
        </w:rPr>
      </w:pPr>
      <w:r>
        <w:rPr>
          <w:rFonts w:hint="eastAsia" w:ascii="Times New Roman" w:eastAsia="宋体" w:cs="Times New Roman"/>
          <w:color w:val="auto"/>
          <w:sz w:val="21"/>
          <w:szCs w:val="21"/>
        </w:rPr>
        <w:t>a）</w:t>
      </w:r>
      <w:r>
        <w:rPr>
          <w:rFonts w:ascii="Times New Roman" w:eastAsia="宋体" w:cs="Times New Roman"/>
          <w:color w:val="auto"/>
          <w:sz w:val="21"/>
          <w:szCs w:val="21"/>
        </w:rPr>
        <w:t>工厂的大气污染物排放应符合相关国家标准、行业标准及地方标准要求，并满足区域内排放总量控制要求。</w:t>
      </w:r>
    </w:p>
    <w:p>
      <w:pPr>
        <w:pStyle w:val="101"/>
        <w:spacing w:line="300" w:lineRule="auto"/>
        <w:ind w:firstLine="420" w:firstLineChars="200"/>
        <w:rPr>
          <w:rFonts w:ascii="Times New Roman" w:eastAsia="宋体" w:cs="Times New Roman"/>
          <w:color w:val="auto"/>
          <w:sz w:val="21"/>
          <w:szCs w:val="21"/>
        </w:rPr>
      </w:pPr>
      <w:r>
        <w:rPr>
          <w:rFonts w:hint="eastAsia" w:ascii="Times New Roman" w:eastAsia="宋体" w:cs="Times New Roman"/>
          <w:color w:val="auto"/>
          <w:sz w:val="21"/>
          <w:szCs w:val="21"/>
        </w:rPr>
        <w:t>b）</w:t>
      </w:r>
      <w:r>
        <w:rPr>
          <w:rFonts w:ascii="Times New Roman" w:eastAsia="宋体" w:cs="Times New Roman"/>
          <w:color w:val="auto"/>
          <w:sz w:val="21"/>
          <w:szCs w:val="21"/>
        </w:rPr>
        <w:t>工厂的锅炉</w:t>
      </w:r>
      <w:r>
        <w:rPr>
          <w:rFonts w:hint="eastAsia" w:ascii="Times New Roman" w:eastAsia="宋体" w:cs="Times New Roman"/>
          <w:color w:val="auto"/>
          <w:sz w:val="21"/>
          <w:szCs w:val="21"/>
        </w:rPr>
        <w:t>大气污染物排放</w:t>
      </w:r>
      <w:r>
        <w:rPr>
          <w:rFonts w:ascii="Times New Roman" w:eastAsia="宋体" w:cs="Times New Roman"/>
          <w:color w:val="auto"/>
          <w:sz w:val="21"/>
          <w:szCs w:val="21"/>
        </w:rPr>
        <w:t>应符合</w:t>
      </w:r>
      <w:r>
        <w:rPr>
          <w:rFonts w:hint="eastAsia" w:ascii="Times New Roman" w:eastAsia="宋体" w:cs="Times New Roman"/>
          <w:color w:val="auto"/>
          <w:sz w:val="21"/>
          <w:szCs w:val="21"/>
        </w:rPr>
        <w:t>GB 13271-2014或地方标准</w:t>
      </w:r>
      <w:r>
        <w:rPr>
          <w:rFonts w:ascii="Times New Roman" w:eastAsia="宋体" w:cs="Times New Roman"/>
          <w:color w:val="auto"/>
          <w:sz w:val="21"/>
          <w:szCs w:val="21"/>
        </w:rPr>
        <w:t>要求。</w:t>
      </w:r>
    </w:p>
    <w:p>
      <w:pPr>
        <w:pStyle w:val="101"/>
        <w:spacing w:line="300" w:lineRule="auto"/>
        <w:outlineLvl w:val="3"/>
        <w:rPr>
          <w:rFonts w:ascii="Times New Roman" w:eastAsia="宋体" w:cs="Times New Roman"/>
          <w:color w:val="auto"/>
          <w:sz w:val="21"/>
          <w:szCs w:val="21"/>
        </w:rPr>
      </w:pPr>
      <w:r>
        <w:rPr>
          <w:rFonts w:ascii="Times New Roman" w:eastAsia="黑体" w:cs="Times New Roman"/>
          <w:color w:val="auto"/>
          <w:kern w:val="2"/>
          <w:sz w:val="21"/>
          <w:lang w:bidi="ar-SA"/>
        </w:rPr>
        <w:t>5.6.2 水体污染物</w:t>
      </w:r>
    </w:p>
    <w:p>
      <w:pPr>
        <w:pStyle w:val="101"/>
        <w:spacing w:line="300" w:lineRule="auto"/>
        <w:ind w:firstLine="420" w:firstLineChars="200"/>
        <w:rPr>
          <w:rFonts w:ascii="Times New Roman" w:eastAsia="宋体" w:cs="Times New Roman"/>
          <w:color w:val="auto"/>
          <w:sz w:val="21"/>
          <w:szCs w:val="21"/>
        </w:rPr>
      </w:pPr>
      <w:r>
        <w:rPr>
          <w:rFonts w:hint="eastAsia" w:ascii="Times New Roman" w:eastAsia="宋体" w:cs="Times New Roman"/>
          <w:color w:val="auto"/>
          <w:sz w:val="21"/>
          <w:szCs w:val="21"/>
        </w:rPr>
        <w:t>a）</w:t>
      </w:r>
      <w:r>
        <w:rPr>
          <w:rFonts w:ascii="Times New Roman" w:eastAsia="宋体" w:cs="Times New Roman"/>
          <w:color w:val="auto"/>
          <w:sz w:val="21"/>
          <w:szCs w:val="21"/>
        </w:rPr>
        <w:t>工厂的水体污染物应符合国家</w:t>
      </w:r>
      <w:r>
        <w:rPr>
          <w:rFonts w:hint="eastAsia" w:ascii="Times New Roman" w:eastAsia="宋体" w:cs="Times New Roman"/>
          <w:color w:val="auto"/>
          <w:sz w:val="21"/>
          <w:szCs w:val="21"/>
        </w:rPr>
        <w:t>和地方标准</w:t>
      </w:r>
      <w:r>
        <w:rPr>
          <w:rFonts w:ascii="Times New Roman" w:eastAsia="宋体" w:cs="Times New Roman"/>
          <w:color w:val="auto"/>
          <w:sz w:val="21"/>
          <w:szCs w:val="21"/>
        </w:rPr>
        <w:t>要求</w:t>
      </w:r>
      <w:r>
        <w:rPr>
          <w:rFonts w:hint="eastAsia" w:ascii="Times New Roman" w:eastAsia="宋体" w:cs="Times New Roman"/>
          <w:color w:val="auto"/>
          <w:sz w:val="21"/>
          <w:szCs w:val="21"/>
        </w:rPr>
        <w:t>，并满足区域内排放总量控制要求</w:t>
      </w:r>
      <w:r>
        <w:rPr>
          <w:rFonts w:ascii="Times New Roman" w:eastAsia="宋体" w:cs="Times New Roman"/>
          <w:color w:val="auto"/>
          <w:sz w:val="21"/>
          <w:szCs w:val="21"/>
        </w:rPr>
        <w:t>。</w:t>
      </w:r>
    </w:p>
    <w:p>
      <w:pPr>
        <w:pStyle w:val="101"/>
        <w:spacing w:line="300" w:lineRule="auto"/>
        <w:ind w:firstLine="420" w:firstLineChars="200"/>
        <w:rPr>
          <w:rFonts w:ascii="Times New Roman" w:eastAsia="宋体" w:cs="Times New Roman"/>
          <w:color w:val="auto"/>
          <w:sz w:val="21"/>
          <w:szCs w:val="21"/>
        </w:rPr>
      </w:pPr>
      <w:r>
        <w:rPr>
          <w:rFonts w:hint="eastAsia" w:ascii="Times New Roman" w:eastAsia="宋体" w:cs="Times New Roman"/>
          <w:color w:val="auto"/>
          <w:sz w:val="21"/>
          <w:szCs w:val="21"/>
        </w:rPr>
        <w:t>b）工厂的水体污染物排放应符合GB 21909-2008要求。</w:t>
      </w:r>
    </w:p>
    <w:p>
      <w:pPr>
        <w:spacing w:line="300" w:lineRule="auto"/>
        <w:outlineLvl w:val="3"/>
        <w:rPr>
          <w:rFonts w:eastAsia="黑体"/>
          <w:color w:val="auto"/>
        </w:rPr>
      </w:pPr>
      <w:r>
        <w:rPr>
          <w:rFonts w:eastAsia="黑体"/>
          <w:color w:val="auto"/>
        </w:rPr>
        <w:t>5.6.3 固体废弃物</w:t>
      </w:r>
    </w:p>
    <w:p>
      <w:pPr>
        <w:pStyle w:val="101"/>
        <w:spacing w:line="300" w:lineRule="auto"/>
        <w:ind w:firstLine="420" w:firstLineChars="200"/>
        <w:rPr>
          <w:rFonts w:ascii="Times New Roman" w:eastAsia="宋体" w:cs="Times New Roman"/>
          <w:color w:val="auto"/>
          <w:sz w:val="21"/>
          <w:szCs w:val="21"/>
        </w:rPr>
      </w:pPr>
      <w:r>
        <w:rPr>
          <w:rFonts w:hint="eastAsia" w:ascii="Times New Roman" w:eastAsia="宋体" w:cs="Times New Roman"/>
          <w:color w:val="auto"/>
          <w:sz w:val="21"/>
          <w:szCs w:val="21"/>
        </w:rPr>
        <w:t>a）</w:t>
      </w:r>
      <w:r>
        <w:rPr>
          <w:rFonts w:ascii="Times New Roman" w:eastAsia="宋体" w:cs="Times New Roman"/>
          <w:color w:val="auto"/>
          <w:sz w:val="21"/>
          <w:szCs w:val="21"/>
        </w:rPr>
        <w:t>工厂产生的</w:t>
      </w:r>
      <w:r>
        <w:rPr>
          <w:rFonts w:hint="eastAsia" w:ascii="Times New Roman" w:eastAsia="宋体" w:cs="Times New Roman"/>
          <w:color w:val="auto"/>
          <w:sz w:val="21"/>
          <w:szCs w:val="21"/>
        </w:rPr>
        <w:t>滤泥、树脂等</w:t>
      </w:r>
      <w:r>
        <w:rPr>
          <w:rFonts w:ascii="Times New Roman" w:eastAsia="宋体" w:cs="Times New Roman"/>
          <w:color w:val="auto"/>
          <w:sz w:val="21"/>
          <w:szCs w:val="21"/>
        </w:rPr>
        <w:t>固体废弃物的处理应符合GB</w:t>
      </w:r>
      <w:r>
        <w:rPr>
          <w:rFonts w:hint="eastAsia" w:ascii="Times New Roman" w:eastAsia="宋体" w:cs="Times New Roman"/>
          <w:color w:val="auto"/>
          <w:sz w:val="21"/>
          <w:szCs w:val="21"/>
        </w:rPr>
        <w:t xml:space="preserve"> </w:t>
      </w:r>
      <w:r>
        <w:rPr>
          <w:rFonts w:ascii="Times New Roman" w:eastAsia="宋体" w:cs="Times New Roman"/>
          <w:color w:val="auto"/>
          <w:sz w:val="21"/>
          <w:szCs w:val="21"/>
        </w:rPr>
        <w:t>18599</w:t>
      </w:r>
      <w:r>
        <w:rPr>
          <w:rFonts w:hint="eastAsia" w:ascii="Times New Roman" w:eastAsia="宋体" w:cs="Times New Roman"/>
          <w:color w:val="auto"/>
          <w:sz w:val="21"/>
          <w:szCs w:val="21"/>
        </w:rPr>
        <w:t>等</w:t>
      </w:r>
      <w:r>
        <w:rPr>
          <w:rFonts w:ascii="Times New Roman" w:eastAsia="宋体" w:cs="Times New Roman"/>
          <w:color w:val="auto"/>
          <w:sz w:val="21"/>
          <w:szCs w:val="21"/>
        </w:rPr>
        <w:t>相关标准的要求。</w:t>
      </w:r>
    </w:p>
    <w:p>
      <w:pPr>
        <w:pStyle w:val="101"/>
        <w:spacing w:line="300" w:lineRule="auto"/>
        <w:ind w:firstLine="420" w:firstLineChars="200"/>
        <w:rPr>
          <w:rFonts w:ascii="Times New Roman" w:eastAsia="宋体" w:cs="Times New Roman"/>
          <w:color w:val="auto"/>
          <w:sz w:val="21"/>
          <w:szCs w:val="21"/>
        </w:rPr>
      </w:pPr>
      <w:r>
        <w:rPr>
          <w:rFonts w:hint="eastAsia" w:ascii="Times New Roman" w:eastAsia="宋体" w:cs="Times New Roman"/>
          <w:color w:val="auto"/>
          <w:sz w:val="21"/>
          <w:szCs w:val="21"/>
        </w:rPr>
        <w:t>b）</w:t>
      </w:r>
      <w:r>
        <w:rPr>
          <w:rFonts w:ascii="Times New Roman" w:eastAsia="宋体" w:cs="Times New Roman"/>
          <w:color w:val="auto"/>
          <w:sz w:val="21"/>
          <w:szCs w:val="21"/>
        </w:rPr>
        <w:t>工厂无法自行处理的，应将固体废弃物转交给具备相应能力和资质的处理厂进行处理。</w:t>
      </w:r>
    </w:p>
    <w:p>
      <w:pPr>
        <w:spacing w:line="300" w:lineRule="auto"/>
        <w:outlineLvl w:val="3"/>
        <w:rPr>
          <w:rFonts w:eastAsia="黑体"/>
          <w:color w:val="auto"/>
        </w:rPr>
      </w:pPr>
      <w:r>
        <w:rPr>
          <w:rFonts w:eastAsia="黑体"/>
          <w:color w:val="auto"/>
        </w:rPr>
        <w:t>5.6.4 噪声</w:t>
      </w:r>
    </w:p>
    <w:p>
      <w:pPr>
        <w:pStyle w:val="101"/>
        <w:spacing w:line="300" w:lineRule="auto"/>
        <w:ind w:firstLine="525" w:firstLineChars="250"/>
        <w:rPr>
          <w:rFonts w:ascii="Times New Roman" w:eastAsia="宋体" w:cs="Times New Roman"/>
          <w:color w:val="auto"/>
          <w:sz w:val="21"/>
          <w:szCs w:val="21"/>
        </w:rPr>
      </w:pPr>
      <w:r>
        <w:rPr>
          <w:rFonts w:ascii="Times New Roman" w:eastAsia="宋体" w:cs="Times New Roman"/>
          <w:color w:val="auto"/>
          <w:sz w:val="21"/>
          <w:szCs w:val="21"/>
        </w:rPr>
        <w:t>工厂的厂界环境噪声排放应符合相关国家标准、行业标准及地方标准要求。</w:t>
      </w:r>
    </w:p>
    <w:p>
      <w:pPr>
        <w:pStyle w:val="101"/>
        <w:spacing w:line="300" w:lineRule="auto"/>
        <w:outlineLvl w:val="3"/>
        <w:rPr>
          <w:rFonts w:ascii="Times New Roman" w:eastAsia="宋体" w:cs="Times New Roman"/>
          <w:color w:val="auto"/>
          <w:sz w:val="21"/>
          <w:szCs w:val="21"/>
        </w:rPr>
      </w:pPr>
      <w:r>
        <w:rPr>
          <w:rFonts w:ascii="Times New Roman" w:eastAsia="宋体" w:cs="Times New Roman"/>
          <w:color w:val="auto"/>
          <w:sz w:val="21"/>
          <w:szCs w:val="21"/>
        </w:rPr>
        <w:t>5.6.5 温室气体</w:t>
      </w:r>
    </w:p>
    <w:p>
      <w:pPr>
        <w:pStyle w:val="101"/>
        <w:spacing w:line="300" w:lineRule="auto"/>
        <w:ind w:firstLine="420" w:firstLineChars="200"/>
        <w:rPr>
          <w:rFonts w:ascii="Times New Roman" w:eastAsia="宋体" w:cs="Times New Roman"/>
          <w:color w:val="auto"/>
          <w:sz w:val="21"/>
          <w:szCs w:val="21"/>
        </w:rPr>
      </w:pPr>
      <w:r>
        <w:rPr>
          <w:rFonts w:hint="eastAsia" w:ascii="Times New Roman" w:eastAsia="宋体" w:cs="Times New Roman"/>
          <w:color w:val="auto"/>
          <w:sz w:val="21"/>
          <w:szCs w:val="21"/>
        </w:rPr>
        <w:t>a）</w:t>
      </w:r>
      <w:r>
        <w:rPr>
          <w:rFonts w:ascii="Times New Roman" w:eastAsia="宋体" w:cs="Times New Roman"/>
          <w:color w:val="auto"/>
          <w:sz w:val="21"/>
          <w:szCs w:val="21"/>
        </w:rPr>
        <w:t>工厂应采用GB/T 32150或适用的标准或规范对其厂界范围内的温室气体排放进行核算和报告，宜进行核查，核查结果宜对外公布。</w:t>
      </w:r>
    </w:p>
    <w:p>
      <w:pPr>
        <w:pStyle w:val="101"/>
        <w:spacing w:line="300" w:lineRule="auto"/>
        <w:ind w:firstLine="420" w:firstLineChars="200"/>
        <w:rPr>
          <w:rFonts w:ascii="Times New Roman" w:cs="Times New Roman"/>
          <w:color w:val="auto"/>
          <w:szCs w:val="22"/>
        </w:rPr>
      </w:pPr>
      <w:r>
        <w:rPr>
          <w:rFonts w:hint="eastAsia" w:ascii="Times New Roman" w:eastAsia="宋体" w:cs="Times New Roman"/>
          <w:color w:val="auto"/>
          <w:sz w:val="21"/>
          <w:szCs w:val="21"/>
        </w:rPr>
        <w:t>b）</w:t>
      </w:r>
      <w:r>
        <w:rPr>
          <w:rFonts w:ascii="Times New Roman" w:eastAsia="宋体" w:cs="Times New Roman"/>
          <w:color w:val="auto"/>
          <w:sz w:val="21"/>
          <w:szCs w:val="21"/>
        </w:rPr>
        <w:t>工厂应利用核算或核查结果对其温室气体的排放进行改善。</w:t>
      </w:r>
    </w:p>
    <w:p>
      <w:pPr>
        <w:pStyle w:val="25"/>
        <w:spacing w:line="300" w:lineRule="auto"/>
        <w:ind w:firstLine="0" w:firstLineChars="0"/>
        <w:outlineLvl w:val="2"/>
        <w:rPr>
          <w:rFonts w:ascii="Times New Roman"/>
          <w:b/>
          <w:bCs/>
          <w:color w:val="auto"/>
          <w:szCs w:val="22"/>
        </w:rPr>
      </w:pPr>
      <w:r>
        <w:rPr>
          <w:rFonts w:ascii="Times New Roman"/>
          <w:b/>
          <w:bCs/>
          <w:color w:val="auto"/>
          <w:szCs w:val="22"/>
        </w:rPr>
        <w:t>5.7 绩效</w:t>
      </w:r>
    </w:p>
    <w:p>
      <w:pPr>
        <w:spacing w:line="300" w:lineRule="auto"/>
        <w:outlineLvl w:val="3"/>
        <w:rPr>
          <w:rFonts w:eastAsia="黑体"/>
          <w:color w:val="auto"/>
        </w:rPr>
      </w:pPr>
      <w:r>
        <w:rPr>
          <w:rFonts w:hint="eastAsia" w:eastAsia="黑体"/>
          <w:color w:val="auto"/>
        </w:rPr>
        <w:t xml:space="preserve">5.7.1 </w:t>
      </w:r>
      <w:r>
        <w:rPr>
          <w:rFonts w:eastAsia="黑体"/>
          <w:color w:val="auto"/>
        </w:rPr>
        <w:t>一般要求</w:t>
      </w:r>
    </w:p>
    <w:p>
      <w:pPr>
        <w:pStyle w:val="101"/>
        <w:spacing w:line="300" w:lineRule="auto"/>
        <w:ind w:firstLine="420" w:firstLineChars="200"/>
        <w:rPr>
          <w:rFonts w:ascii="Times New Roman" w:eastAsia="宋体" w:cs="Times New Roman"/>
          <w:color w:val="auto"/>
          <w:sz w:val="21"/>
          <w:szCs w:val="21"/>
        </w:rPr>
      </w:pPr>
      <w:r>
        <w:rPr>
          <w:rFonts w:hint="eastAsia" w:ascii="Times New Roman" w:eastAsia="宋体" w:cs="Times New Roman"/>
          <w:color w:val="auto"/>
          <w:sz w:val="21"/>
          <w:szCs w:val="21"/>
        </w:rPr>
        <w:t>a）</w:t>
      </w:r>
      <w:r>
        <w:rPr>
          <w:rFonts w:ascii="Times New Roman" w:eastAsia="宋体" w:cs="Times New Roman"/>
          <w:color w:val="auto"/>
          <w:sz w:val="21"/>
          <w:szCs w:val="21"/>
        </w:rPr>
        <w:t>工厂应依据</w:t>
      </w:r>
      <w:r>
        <w:rPr>
          <w:rFonts w:hint="eastAsia" w:ascii="Times New Roman" w:eastAsia="宋体" w:cs="Times New Roman"/>
          <w:color w:val="auto"/>
          <w:sz w:val="21"/>
          <w:szCs w:val="21"/>
        </w:rPr>
        <w:t>本标准</w:t>
      </w:r>
      <w:r>
        <w:rPr>
          <w:rFonts w:ascii="Times New Roman" w:eastAsia="宋体" w:cs="Times New Roman"/>
          <w:color w:val="auto"/>
          <w:sz w:val="21"/>
          <w:szCs w:val="21"/>
        </w:rPr>
        <w:t>提供的</w:t>
      </w:r>
      <w:r>
        <w:rPr>
          <w:rFonts w:hint="eastAsia" w:ascii="Times New Roman" w:eastAsia="宋体" w:cs="Times New Roman"/>
          <w:color w:val="auto"/>
          <w:sz w:val="21"/>
          <w:szCs w:val="21"/>
        </w:rPr>
        <w:t>以下</w:t>
      </w:r>
      <w:r>
        <w:rPr>
          <w:rFonts w:ascii="Times New Roman" w:eastAsia="宋体" w:cs="Times New Roman"/>
          <w:color w:val="auto"/>
          <w:sz w:val="21"/>
          <w:szCs w:val="21"/>
        </w:rPr>
        <w:t>方法计算或评估其绩效，并利用结果进行绩效改善。</w:t>
      </w:r>
    </w:p>
    <w:p>
      <w:pPr>
        <w:pStyle w:val="101"/>
        <w:spacing w:line="300" w:lineRule="auto"/>
        <w:ind w:firstLine="420" w:firstLineChars="200"/>
        <w:rPr>
          <w:rFonts w:ascii="Times New Roman" w:eastAsia="宋体" w:cs="Times New Roman"/>
          <w:color w:val="auto"/>
          <w:sz w:val="21"/>
          <w:szCs w:val="21"/>
        </w:rPr>
      </w:pPr>
      <w:r>
        <w:rPr>
          <w:rFonts w:hint="eastAsia" w:ascii="Times New Roman" w:eastAsia="宋体" w:cs="Times New Roman"/>
          <w:color w:val="auto"/>
          <w:sz w:val="21"/>
          <w:szCs w:val="21"/>
        </w:rPr>
        <w:t>b）</w:t>
      </w:r>
      <w:r>
        <w:rPr>
          <w:rFonts w:ascii="Times New Roman" w:eastAsia="宋体" w:cs="Times New Roman"/>
          <w:color w:val="auto"/>
          <w:sz w:val="21"/>
          <w:szCs w:val="21"/>
        </w:rPr>
        <w:t>绩效指标应至少满足</w:t>
      </w:r>
      <w:r>
        <w:rPr>
          <w:rFonts w:hint="eastAsia" w:ascii="Times New Roman" w:eastAsia="宋体" w:cs="Times New Roman"/>
          <w:color w:val="auto"/>
          <w:sz w:val="21"/>
          <w:szCs w:val="21"/>
        </w:rPr>
        <w:t>制糖</w:t>
      </w:r>
      <w:r>
        <w:rPr>
          <w:rFonts w:ascii="Times New Roman" w:eastAsia="宋体" w:cs="Times New Roman"/>
          <w:color w:val="auto"/>
          <w:sz w:val="21"/>
          <w:szCs w:val="21"/>
        </w:rPr>
        <w:t>行业准入要求，综合绩效指标应达到行业先进水平。</w:t>
      </w:r>
    </w:p>
    <w:p>
      <w:pPr>
        <w:spacing w:line="300" w:lineRule="auto"/>
        <w:outlineLvl w:val="3"/>
        <w:rPr>
          <w:rFonts w:eastAsia="黑体"/>
          <w:color w:val="auto"/>
        </w:rPr>
      </w:pPr>
      <w:r>
        <w:rPr>
          <w:rFonts w:eastAsia="黑体"/>
          <w:color w:val="auto"/>
        </w:rPr>
        <w:t>5.7.</w:t>
      </w:r>
      <w:r>
        <w:rPr>
          <w:rFonts w:hint="eastAsia" w:eastAsia="黑体"/>
          <w:color w:val="auto"/>
        </w:rPr>
        <w:t>2</w:t>
      </w:r>
      <w:r>
        <w:rPr>
          <w:rFonts w:eastAsia="黑体"/>
          <w:color w:val="auto"/>
        </w:rPr>
        <w:t xml:space="preserve"> 用地集约化</w:t>
      </w:r>
    </w:p>
    <w:p>
      <w:pPr>
        <w:pStyle w:val="101"/>
        <w:spacing w:line="300" w:lineRule="auto"/>
        <w:ind w:firstLine="420" w:firstLineChars="200"/>
        <w:rPr>
          <w:rFonts w:ascii="Times New Roman" w:eastAsia="宋体" w:cs="Times New Roman"/>
          <w:color w:val="auto"/>
          <w:sz w:val="21"/>
          <w:szCs w:val="21"/>
        </w:rPr>
      </w:pPr>
      <w:r>
        <w:rPr>
          <w:rFonts w:hint="eastAsia" w:ascii="Times New Roman" w:eastAsia="宋体" w:cs="Times New Roman"/>
          <w:color w:val="auto"/>
          <w:sz w:val="21"/>
          <w:szCs w:val="21"/>
        </w:rPr>
        <w:t>a）</w:t>
      </w:r>
      <w:r>
        <w:rPr>
          <w:rFonts w:ascii="Times New Roman" w:eastAsia="宋体" w:cs="Times New Roman"/>
          <w:color w:val="auto"/>
          <w:sz w:val="21"/>
          <w:szCs w:val="21"/>
        </w:rPr>
        <w:t>工厂应采用附录</w:t>
      </w:r>
      <w:r>
        <w:rPr>
          <w:rFonts w:hint="eastAsia" w:ascii="Times New Roman" w:eastAsia="宋体" w:cs="Times New Roman"/>
          <w:color w:val="auto"/>
          <w:sz w:val="21"/>
          <w:szCs w:val="21"/>
        </w:rPr>
        <w:t>A</w:t>
      </w:r>
      <w:r>
        <w:rPr>
          <w:rFonts w:ascii="Times New Roman" w:eastAsia="宋体" w:cs="Times New Roman"/>
          <w:color w:val="auto"/>
          <w:sz w:val="21"/>
          <w:szCs w:val="21"/>
        </w:rPr>
        <w:t>的方法计算厂房的容积率，建筑密度、单位用地面积产能。</w:t>
      </w:r>
    </w:p>
    <w:p>
      <w:pPr>
        <w:pStyle w:val="101"/>
        <w:spacing w:line="300" w:lineRule="auto"/>
        <w:ind w:firstLine="420" w:firstLineChars="200"/>
        <w:rPr>
          <w:rFonts w:ascii="Times New Roman" w:eastAsia="宋体" w:cs="Times New Roman"/>
          <w:color w:val="auto"/>
          <w:sz w:val="21"/>
          <w:szCs w:val="21"/>
        </w:rPr>
      </w:pPr>
      <w:r>
        <w:rPr>
          <w:rFonts w:hint="eastAsia" w:ascii="Times New Roman" w:eastAsia="宋体" w:cs="Times New Roman"/>
          <w:color w:val="auto"/>
          <w:sz w:val="21"/>
          <w:szCs w:val="21"/>
        </w:rPr>
        <w:t>b）工厂容积率、建筑密度或单位用地面积产能应不低于工业项目建设用地相关控制指标的要求</w:t>
      </w:r>
      <w:r>
        <w:rPr>
          <w:rFonts w:ascii="Times New Roman" w:eastAsia="宋体" w:cs="Times New Roman"/>
          <w:color w:val="auto"/>
          <w:sz w:val="21"/>
          <w:szCs w:val="21"/>
        </w:rPr>
        <w:t>。</w:t>
      </w:r>
    </w:p>
    <w:p>
      <w:pPr>
        <w:spacing w:line="300" w:lineRule="auto"/>
        <w:outlineLvl w:val="3"/>
        <w:rPr>
          <w:rFonts w:eastAsia="黑体"/>
          <w:color w:val="auto"/>
        </w:rPr>
      </w:pPr>
      <w:r>
        <w:rPr>
          <w:rFonts w:hint="eastAsia" w:eastAsia="黑体"/>
          <w:color w:val="auto"/>
        </w:rPr>
        <w:t>5.7.3 原料无害化</w:t>
      </w:r>
    </w:p>
    <w:p>
      <w:pPr>
        <w:pStyle w:val="101"/>
        <w:spacing w:line="300" w:lineRule="auto"/>
        <w:ind w:firstLine="420" w:firstLineChars="200"/>
        <w:rPr>
          <w:rFonts w:ascii="Times New Roman" w:eastAsia="宋体" w:cs="Times New Roman"/>
          <w:color w:val="auto"/>
          <w:sz w:val="21"/>
          <w:szCs w:val="21"/>
        </w:rPr>
      </w:pPr>
      <w:r>
        <w:rPr>
          <w:rFonts w:hint="eastAsia" w:ascii="Times New Roman" w:eastAsia="宋体" w:cs="Times New Roman"/>
          <w:color w:val="auto"/>
          <w:sz w:val="21"/>
          <w:szCs w:val="21"/>
        </w:rPr>
        <w:t>a）种植基地：甘蔗、甜菜种植基地周围无污染源，灌溉用水符合GB 5048农田灌溉水质标准要求，土壤满足GB 15618土壤环境质量二级标准要求，环境空气符合保护农作物的大气污染物最高允许浓度的要求。</w:t>
      </w:r>
    </w:p>
    <w:p>
      <w:pPr>
        <w:pStyle w:val="101"/>
        <w:spacing w:line="300" w:lineRule="auto"/>
        <w:ind w:firstLine="420" w:firstLineChars="200"/>
        <w:rPr>
          <w:rFonts w:ascii="Times New Roman" w:eastAsia="宋体" w:cs="Times New Roman"/>
          <w:color w:val="auto"/>
          <w:sz w:val="21"/>
          <w:szCs w:val="21"/>
        </w:rPr>
      </w:pPr>
      <w:r>
        <w:rPr>
          <w:rFonts w:hint="eastAsia" w:ascii="Times New Roman" w:eastAsia="宋体" w:cs="Times New Roman"/>
          <w:color w:val="auto"/>
          <w:sz w:val="21"/>
          <w:szCs w:val="21"/>
        </w:rPr>
        <w:t>b）品种：应选用符合相关标准要求的甘蔗、甜菜品种。</w:t>
      </w:r>
    </w:p>
    <w:p>
      <w:pPr>
        <w:pStyle w:val="101"/>
        <w:spacing w:line="300" w:lineRule="auto"/>
        <w:ind w:firstLine="420" w:firstLineChars="200"/>
        <w:rPr>
          <w:rFonts w:ascii="Times New Roman" w:eastAsia="宋体" w:cs="Times New Roman"/>
          <w:color w:val="auto"/>
          <w:sz w:val="21"/>
          <w:szCs w:val="21"/>
        </w:rPr>
      </w:pPr>
      <w:r>
        <w:rPr>
          <w:rFonts w:hint="eastAsia" w:ascii="Times New Roman" w:eastAsia="宋体" w:cs="Times New Roman"/>
          <w:color w:val="auto"/>
          <w:sz w:val="21"/>
          <w:szCs w:val="21"/>
        </w:rPr>
        <w:t>c）化肥与农药使用：化肥与农药应符合有关标准要求，提倡使用有机肥、微生物肥、无机（矿质）肥和生物农药，化肥和高效低毒农药应限量使用。</w:t>
      </w:r>
    </w:p>
    <w:p>
      <w:pPr>
        <w:pStyle w:val="101"/>
        <w:spacing w:line="300" w:lineRule="auto"/>
        <w:ind w:firstLine="420" w:firstLineChars="200"/>
        <w:rPr>
          <w:rFonts w:ascii="Times New Roman" w:eastAsia="宋体" w:cs="Times New Roman"/>
          <w:color w:val="auto"/>
          <w:sz w:val="21"/>
          <w:szCs w:val="21"/>
        </w:rPr>
      </w:pPr>
      <w:r>
        <w:rPr>
          <w:rFonts w:hint="eastAsia" w:ascii="Times New Roman" w:eastAsia="宋体" w:cs="Times New Roman"/>
          <w:color w:val="auto"/>
          <w:sz w:val="21"/>
          <w:szCs w:val="21"/>
        </w:rPr>
        <w:t>d）辅助材料：使用的辅助材料应符合食品卫生标准的有关要求，并且不会对人体健康和环境造成不利影响。</w:t>
      </w:r>
    </w:p>
    <w:p>
      <w:pPr>
        <w:spacing w:line="300" w:lineRule="auto"/>
        <w:outlineLvl w:val="3"/>
        <w:rPr>
          <w:rFonts w:eastAsia="黑体"/>
          <w:color w:val="auto"/>
        </w:rPr>
      </w:pPr>
      <w:r>
        <w:rPr>
          <w:rFonts w:eastAsia="黑体"/>
          <w:color w:val="auto"/>
        </w:rPr>
        <w:t>5.7.</w:t>
      </w:r>
      <w:r>
        <w:rPr>
          <w:rFonts w:hint="eastAsia" w:eastAsia="黑体"/>
          <w:color w:val="auto"/>
        </w:rPr>
        <w:t>4</w:t>
      </w:r>
      <w:r>
        <w:rPr>
          <w:rFonts w:eastAsia="黑体"/>
          <w:color w:val="auto"/>
        </w:rPr>
        <w:t xml:space="preserve"> 生产洁净化</w:t>
      </w:r>
    </w:p>
    <w:p>
      <w:pPr>
        <w:pStyle w:val="101"/>
        <w:spacing w:line="300" w:lineRule="auto"/>
        <w:ind w:firstLine="420" w:firstLineChars="200"/>
        <w:rPr>
          <w:rFonts w:ascii="Times New Roman" w:eastAsia="宋体" w:cs="Times New Roman"/>
          <w:color w:val="auto"/>
          <w:sz w:val="21"/>
          <w:szCs w:val="21"/>
        </w:rPr>
      </w:pPr>
      <w:r>
        <w:rPr>
          <w:rFonts w:hint="eastAsia" w:ascii="Times New Roman" w:eastAsia="宋体" w:cs="Times New Roman"/>
          <w:color w:val="auto"/>
          <w:sz w:val="21"/>
          <w:szCs w:val="21"/>
        </w:rPr>
        <w:t>a）工厂应采用附录A的方法计算总回收率、吨糖耗新鲜水量、吨糖废水产生量、吨糖化学需氧量产生量、吨糖悬浮物产生量等指标。</w:t>
      </w:r>
    </w:p>
    <w:p>
      <w:pPr>
        <w:pStyle w:val="101"/>
        <w:spacing w:line="300" w:lineRule="auto"/>
        <w:ind w:firstLine="420" w:firstLineChars="200"/>
        <w:rPr>
          <w:rFonts w:ascii="Times New Roman" w:eastAsia="宋体" w:cs="Times New Roman"/>
          <w:color w:val="auto"/>
          <w:sz w:val="21"/>
          <w:szCs w:val="21"/>
        </w:rPr>
      </w:pPr>
      <w:r>
        <w:rPr>
          <w:rFonts w:hint="eastAsia" w:ascii="Times New Roman" w:eastAsia="宋体" w:cs="Times New Roman"/>
          <w:color w:val="auto"/>
          <w:sz w:val="21"/>
          <w:szCs w:val="21"/>
        </w:rPr>
        <w:t>b）总回收率、吨糖耗新鲜水量、吨糖废水产生量、吨糖化学需氧量产生量、吨糖悬浮物产生量等指标应满足QB/T 4570-2013中的三级指标要求，并努力达到二级和一级指标要求。</w:t>
      </w:r>
    </w:p>
    <w:p>
      <w:pPr>
        <w:spacing w:line="300" w:lineRule="auto"/>
        <w:outlineLvl w:val="3"/>
        <w:rPr>
          <w:rFonts w:eastAsia="黑体"/>
          <w:color w:val="auto"/>
        </w:rPr>
      </w:pPr>
      <w:r>
        <w:rPr>
          <w:rFonts w:eastAsia="黑体"/>
          <w:color w:val="auto"/>
        </w:rPr>
        <w:t>5.7.</w:t>
      </w:r>
      <w:r>
        <w:rPr>
          <w:rFonts w:hint="eastAsia" w:eastAsia="黑体"/>
          <w:color w:val="auto"/>
        </w:rPr>
        <w:t>5</w:t>
      </w:r>
      <w:r>
        <w:rPr>
          <w:rFonts w:eastAsia="黑体"/>
          <w:color w:val="auto"/>
        </w:rPr>
        <w:t xml:space="preserve"> 废物资源化</w:t>
      </w:r>
    </w:p>
    <w:p>
      <w:pPr>
        <w:pStyle w:val="101"/>
        <w:spacing w:line="300" w:lineRule="auto"/>
        <w:ind w:firstLine="420" w:firstLineChars="200"/>
        <w:rPr>
          <w:rFonts w:ascii="Times New Roman" w:eastAsia="宋体" w:cs="Times New Roman"/>
          <w:color w:val="auto"/>
          <w:sz w:val="21"/>
          <w:szCs w:val="21"/>
        </w:rPr>
      </w:pPr>
      <w:r>
        <w:rPr>
          <w:rFonts w:hint="eastAsia" w:ascii="Times New Roman" w:eastAsia="宋体" w:cs="Times New Roman"/>
          <w:color w:val="auto"/>
          <w:sz w:val="21"/>
          <w:szCs w:val="21"/>
        </w:rPr>
        <w:t>a）</w:t>
      </w:r>
      <w:r>
        <w:rPr>
          <w:rFonts w:ascii="Times New Roman" w:eastAsia="宋体" w:cs="Times New Roman"/>
          <w:color w:val="auto"/>
          <w:sz w:val="21"/>
          <w:szCs w:val="21"/>
        </w:rPr>
        <w:t>工厂应采用附录A的方法计算</w:t>
      </w:r>
      <w:r>
        <w:rPr>
          <w:rFonts w:hint="eastAsia" w:ascii="Times New Roman" w:eastAsia="宋体" w:cs="Times New Roman"/>
          <w:color w:val="auto"/>
          <w:sz w:val="21"/>
          <w:szCs w:val="21"/>
        </w:rPr>
        <w:t>水重复利用率等指标。</w:t>
      </w:r>
    </w:p>
    <w:p>
      <w:pPr>
        <w:pStyle w:val="101"/>
        <w:spacing w:line="300" w:lineRule="auto"/>
        <w:ind w:firstLine="420" w:firstLineChars="200"/>
        <w:rPr>
          <w:rFonts w:ascii="Times New Roman" w:eastAsia="宋体" w:cs="Times New Roman"/>
          <w:color w:val="auto"/>
          <w:sz w:val="21"/>
          <w:szCs w:val="21"/>
        </w:rPr>
      </w:pPr>
      <w:r>
        <w:rPr>
          <w:rFonts w:hint="eastAsia" w:ascii="Times New Roman" w:eastAsia="宋体" w:cs="Times New Roman"/>
          <w:color w:val="auto"/>
          <w:sz w:val="21"/>
          <w:szCs w:val="21"/>
        </w:rPr>
        <w:t>b）水重复利用率等指标应满足QB/T 4570-2013中的三级指标要求，并努力达到二级和一级指标要求。</w:t>
      </w:r>
    </w:p>
    <w:p>
      <w:pPr>
        <w:pStyle w:val="101"/>
        <w:spacing w:line="300" w:lineRule="auto"/>
        <w:ind w:firstLine="420" w:firstLineChars="200"/>
        <w:rPr>
          <w:rFonts w:ascii="Times New Roman" w:eastAsia="宋体" w:cs="Times New Roman"/>
          <w:color w:val="auto"/>
          <w:sz w:val="21"/>
          <w:szCs w:val="21"/>
        </w:rPr>
      </w:pPr>
      <w:r>
        <w:rPr>
          <w:rFonts w:hint="eastAsia" w:ascii="Times New Roman" w:eastAsia="宋体" w:cs="Times New Roman"/>
          <w:color w:val="auto"/>
          <w:sz w:val="21"/>
          <w:szCs w:val="21"/>
        </w:rPr>
        <w:t>c）工厂的滤泥、活性碳、树脂等，应采取稳定、有效的措施进行处理处置，使其不会对环境、生态造成危害。</w:t>
      </w:r>
    </w:p>
    <w:p>
      <w:pPr>
        <w:pStyle w:val="101"/>
        <w:spacing w:line="300" w:lineRule="auto"/>
        <w:ind w:firstLine="420" w:firstLineChars="200"/>
        <w:rPr>
          <w:rFonts w:ascii="Times New Roman" w:eastAsia="宋体" w:cs="Times New Roman"/>
          <w:color w:val="auto"/>
          <w:sz w:val="21"/>
          <w:szCs w:val="21"/>
        </w:rPr>
      </w:pPr>
      <w:r>
        <w:rPr>
          <w:rFonts w:hint="eastAsia" w:ascii="Times New Roman" w:eastAsia="宋体" w:cs="Times New Roman"/>
          <w:color w:val="auto"/>
          <w:sz w:val="21"/>
          <w:szCs w:val="21"/>
        </w:rPr>
        <w:t>d）工厂的蔗渣、废粕、炉渣、最终糖蜜等，应不直接向环境排放，由本企业或交由其它相关方作为能源、生产的原辅材料全部利用，同时必须避免产生二次污染。</w:t>
      </w:r>
    </w:p>
    <w:p>
      <w:pPr>
        <w:spacing w:line="300" w:lineRule="auto"/>
        <w:outlineLvl w:val="3"/>
        <w:rPr>
          <w:rFonts w:eastAsia="黑体"/>
          <w:color w:val="auto"/>
        </w:rPr>
      </w:pPr>
      <w:r>
        <w:rPr>
          <w:rFonts w:eastAsia="黑体"/>
          <w:color w:val="auto"/>
        </w:rPr>
        <w:t>5.7.</w:t>
      </w:r>
      <w:r>
        <w:rPr>
          <w:rFonts w:hint="eastAsia" w:eastAsia="黑体"/>
          <w:color w:val="auto"/>
        </w:rPr>
        <w:t>6</w:t>
      </w:r>
      <w:r>
        <w:rPr>
          <w:rFonts w:eastAsia="黑体"/>
          <w:color w:val="auto"/>
        </w:rPr>
        <w:t xml:space="preserve"> 能源低碳化</w:t>
      </w:r>
    </w:p>
    <w:p>
      <w:pPr>
        <w:pStyle w:val="101"/>
        <w:spacing w:line="300" w:lineRule="auto"/>
        <w:ind w:firstLine="420" w:firstLineChars="200"/>
        <w:rPr>
          <w:rFonts w:ascii="Times New Roman" w:eastAsia="宋体" w:cs="Times New Roman"/>
          <w:color w:val="auto"/>
          <w:sz w:val="21"/>
          <w:szCs w:val="21"/>
        </w:rPr>
      </w:pPr>
      <w:r>
        <w:rPr>
          <w:rFonts w:hint="eastAsia" w:ascii="Times New Roman" w:eastAsia="宋体" w:cs="Times New Roman"/>
          <w:color w:val="auto"/>
          <w:sz w:val="21"/>
          <w:szCs w:val="21"/>
        </w:rPr>
        <w:t>a）工厂应采用附录A的方法计算吨糖耗电、吨糖耗标煤等指标。</w:t>
      </w:r>
    </w:p>
    <w:p>
      <w:pPr>
        <w:pStyle w:val="101"/>
        <w:spacing w:line="300" w:lineRule="auto"/>
        <w:ind w:firstLine="420" w:firstLineChars="200"/>
        <w:rPr>
          <w:rFonts w:ascii="Times New Roman" w:eastAsia="宋体" w:cs="Times New Roman"/>
          <w:color w:val="auto"/>
          <w:sz w:val="21"/>
          <w:szCs w:val="21"/>
        </w:rPr>
      </w:pPr>
      <w:r>
        <w:rPr>
          <w:rFonts w:hint="eastAsia" w:ascii="Times New Roman" w:eastAsia="宋体" w:cs="Times New Roman"/>
          <w:color w:val="auto"/>
          <w:sz w:val="21"/>
          <w:szCs w:val="21"/>
        </w:rPr>
        <w:t>b）吨糖耗电、吨糖耗标煤等指标应满足QB/T 4570-2013中的三级指标要求，并努力达到二级和一级指标要求。</w:t>
      </w:r>
    </w:p>
    <w:p>
      <w:pPr>
        <w:pStyle w:val="138"/>
        <w:spacing w:before="312" w:after="312" w:line="300" w:lineRule="auto"/>
        <w:ind w:left="5" w:hanging="5"/>
        <w:rPr>
          <w:rFonts w:ascii="Times New Roman"/>
          <w:color w:val="auto"/>
          <w:szCs w:val="22"/>
        </w:rPr>
      </w:pPr>
      <w:bookmarkStart w:id="22" w:name="_Toc55722987"/>
      <w:bookmarkStart w:id="23" w:name="_Toc55722798"/>
      <w:r>
        <w:rPr>
          <w:rFonts w:hint="eastAsia" w:ascii="Times New Roman"/>
          <w:color w:val="auto"/>
          <w:szCs w:val="22"/>
        </w:rPr>
        <w:t xml:space="preserve">6 </w:t>
      </w:r>
      <w:r>
        <w:rPr>
          <w:rFonts w:ascii="Times New Roman"/>
          <w:color w:val="auto"/>
          <w:szCs w:val="22"/>
        </w:rPr>
        <w:t>评价程序</w:t>
      </w:r>
      <w:bookmarkEnd w:id="22"/>
      <w:bookmarkEnd w:id="23"/>
    </w:p>
    <w:p>
      <w:pPr>
        <w:pStyle w:val="73"/>
        <w:tabs>
          <w:tab w:val="center" w:pos="4201"/>
          <w:tab w:val="right" w:leader="dot" w:pos="9298"/>
        </w:tabs>
        <w:spacing w:before="156" w:after="156" w:line="300" w:lineRule="auto"/>
        <w:rPr>
          <w:rFonts w:ascii="Times New Roman"/>
          <w:color w:val="auto"/>
        </w:rPr>
      </w:pPr>
      <w:r>
        <w:rPr>
          <w:rFonts w:hint="eastAsia" w:ascii="Times New Roman"/>
          <w:color w:val="auto"/>
        </w:rPr>
        <w:t xml:space="preserve">6.1 </w:t>
      </w:r>
      <w:r>
        <w:rPr>
          <w:rFonts w:ascii="Times New Roman"/>
          <w:color w:val="auto"/>
        </w:rPr>
        <w:t>工厂评价工作流程</w:t>
      </w:r>
    </w:p>
    <w:p>
      <w:pPr>
        <w:pStyle w:val="25"/>
        <w:spacing w:line="300" w:lineRule="auto"/>
        <w:rPr>
          <w:rFonts w:ascii="Times New Roman"/>
          <w:color w:val="auto"/>
        </w:rPr>
      </w:pPr>
      <w:r>
        <w:rPr>
          <w:rFonts w:ascii="Times New Roman"/>
          <w:color w:val="auto"/>
        </w:rPr>
        <w:t>实施绿色工厂评价活动的企业及第三</w:t>
      </w:r>
      <w:r>
        <w:rPr>
          <w:rFonts w:hint="eastAsia" w:ascii="Times New Roman"/>
          <w:color w:val="auto"/>
        </w:rPr>
        <w:t>方</w:t>
      </w:r>
      <w:r>
        <w:rPr>
          <w:rFonts w:ascii="Times New Roman"/>
          <w:color w:val="auto"/>
        </w:rPr>
        <w:t>服务机构应建立规范的评价工作流程，包括评价准备、组</w:t>
      </w:r>
      <w:r>
        <w:rPr>
          <w:rFonts w:hint="eastAsia" w:ascii="Times New Roman"/>
          <w:color w:val="auto"/>
        </w:rPr>
        <w:t>建</w:t>
      </w:r>
      <w:r>
        <w:rPr>
          <w:rFonts w:ascii="Times New Roman"/>
          <w:color w:val="auto"/>
        </w:rPr>
        <w:t>评价工作组、</w:t>
      </w:r>
      <w:r>
        <w:rPr>
          <w:rFonts w:hint="eastAsia" w:ascii="Times New Roman"/>
          <w:color w:val="auto"/>
        </w:rPr>
        <w:t>预评价、</w:t>
      </w:r>
      <w:r>
        <w:rPr>
          <w:rFonts w:ascii="Times New Roman"/>
          <w:color w:val="auto"/>
        </w:rPr>
        <w:t>现场评价、编制评价报告和技术评审等。</w:t>
      </w:r>
    </w:p>
    <w:p>
      <w:pPr>
        <w:pStyle w:val="73"/>
        <w:tabs>
          <w:tab w:val="center" w:pos="4201"/>
          <w:tab w:val="right" w:leader="dot" w:pos="9298"/>
        </w:tabs>
        <w:spacing w:before="156" w:after="156" w:line="300" w:lineRule="auto"/>
        <w:rPr>
          <w:rFonts w:ascii="Times New Roman"/>
          <w:color w:val="auto"/>
        </w:rPr>
      </w:pPr>
      <w:r>
        <w:rPr>
          <w:rFonts w:hint="eastAsia" w:ascii="Times New Roman"/>
          <w:color w:val="auto"/>
        </w:rPr>
        <w:t xml:space="preserve">6.1 </w:t>
      </w:r>
      <w:r>
        <w:rPr>
          <w:rFonts w:ascii="Times New Roman"/>
          <w:color w:val="auto"/>
        </w:rPr>
        <w:t>评价活动监督</w:t>
      </w:r>
    </w:p>
    <w:p>
      <w:pPr>
        <w:pStyle w:val="25"/>
        <w:spacing w:line="300" w:lineRule="auto"/>
        <w:rPr>
          <w:rFonts w:ascii="Times New Roman"/>
          <w:color w:val="auto"/>
        </w:rPr>
      </w:pPr>
      <w:r>
        <w:rPr>
          <w:rFonts w:ascii="Times New Roman"/>
          <w:color w:val="auto"/>
        </w:rPr>
        <w:t>绿色工厂评价活动应接受企业、公众、社会和政府部门的监督，确保评价活动的高质和高效，应包括但不限于以下活动：评价证据保存、保密承诺，公正性管理和监督管理。</w:t>
      </w:r>
    </w:p>
    <w:p>
      <w:pPr>
        <w:pStyle w:val="138"/>
        <w:spacing w:before="312" w:after="312" w:line="300" w:lineRule="auto"/>
        <w:ind w:left="5" w:hanging="5"/>
        <w:rPr>
          <w:rFonts w:ascii="Times New Roman"/>
          <w:color w:val="auto"/>
          <w:szCs w:val="22"/>
        </w:rPr>
      </w:pPr>
      <w:bookmarkStart w:id="24" w:name="_Toc55722988"/>
      <w:bookmarkStart w:id="25" w:name="_Toc55722799"/>
      <w:r>
        <w:rPr>
          <w:rFonts w:hint="eastAsia" w:ascii="Times New Roman"/>
          <w:color w:val="auto"/>
          <w:szCs w:val="22"/>
        </w:rPr>
        <w:t xml:space="preserve">7 </w:t>
      </w:r>
      <w:r>
        <w:rPr>
          <w:rFonts w:ascii="Times New Roman"/>
          <w:color w:val="auto"/>
          <w:szCs w:val="22"/>
        </w:rPr>
        <w:t>评价报告</w:t>
      </w:r>
      <w:bookmarkEnd w:id="24"/>
      <w:bookmarkEnd w:id="25"/>
    </w:p>
    <w:p>
      <w:pPr>
        <w:pStyle w:val="73"/>
        <w:tabs>
          <w:tab w:val="center" w:pos="4201"/>
          <w:tab w:val="right" w:leader="dot" w:pos="9298"/>
        </w:tabs>
        <w:spacing w:before="156" w:after="156" w:line="300" w:lineRule="auto"/>
        <w:rPr>
          <w:rFonts w:ascii="Times New Roman"/>
          <w:color w:val="auto"/>
        </w:rPr>
      </w:pPr>
      <w:r>
        <w:rPr>
          <w:rFonts w:ascii="Times New Roman"/>
          <w:color w:val="auto"/>
        </w:rPr>
        <w:t>7.1 工厂自评价报告</w:t>
      </w:r>
    </w:p>
    <w:p>
      <w:pPr>
        <w:widowControl/>
        <w:spacing w:line="300" w:lineRule="auto"/>
        <w:ind w:firstLine="420" w:firstLineChars="200"/>
        <w:jc w:val="left"/>
        <w:rPr>
          <w:color w:val="auto"/>
        </w:rPr>
      </w:pPr>
      <w:r>
        <w:rPr>
          <w:color w:val="auto"/>
          <w:kern w:val="0"/>
          <w:szCs w:val="21"/>
        </w:rPr>
        <w:t>工厂自评价报告应包括但不限于以下方面：</w:t>
      </w:r>
    </w:p>
    <w:p>
      <w:pPr>
        <w:widowControl/>
        <w:spacing w:line="300" w:lineRule="auto"/>
        <w:ind w:firstLine="420" w:firstLineChars="200"/>
        <w:jc w:val="left"/>
        <w:rPr>
          <w:color w:val="auto"/>
        </w:rPr>
      </w:pPr>
      <w:r>
        <w:rPr>
          <w:rFonts w:hint="eastAsia"/>
          <w:color w:val="auto"/>
          <w:kern w:val="0"/>
          <w:szCs w:val="21"/>
        </w:rPr>
        <w:t>a）</w:t>
      </w:r>
      <w:r>
        <w:rPr>
          <w:color w:val="auto"/>
          <w:kern w:val="0"/>
          <w:szCs w:val="21"/>
        </w:rPr>
        <w:t>工厂基本情况</w:t>
      </w:r>
      <w:r>
        <w:rPr>
          <w:rFonts w:hint="eastAsia"/>
          <w:color w:val="auto"/>
          <w:kern w:val="0"/>
          <w:szCs w:val="21"/>
        </w:rPr>
        <w:t>；</w:t>
      </w:r>
    </w:p>
    <w:p>
      <w:pPr>
        <w:widowControl/>
        <w:spacing w:line="300" w:lineRule="auto"/>
        <w:ind w:firstLine="420" w:firstLineChars="200"/>
        <w:jc w:val="left"/>
        <w:rPr>
          <w:color w:val="auto"/>
          <w:kern w:val="0"/>
          <w:szCs w:val="21"/>
        </w:rPr>
      </w:pPr>
      <w:r>
        <w:rPr>
          <w:rFonts w:hint="eastAsia"/>
          <w:color w:val="auto"/>
          <w:kern w:val="0"/>
          <w:szCs w:val="21"/>
        </w:rPr>
        <w:t>b）工厂自评内容：包括基本要求、</w:t>
      </w:r>
      <w:r>
        <w:rPr>
          <w:color w:val="auto"/>
          <w:kern w:val="0"/>
          <w:szCs w:val="21"/>
        </w:rPr>
        <w:t>基础设施、管理体系、能源资源投入、产品、环境排放</w:t>
      </w:r>
      <w:r>
        <w:rPr>
          <w:rFonts w:hint="eastAsia"/>
          <w:color w:val="auto"/>
          <w:kern w:val="0"/>
          <w:szCs w:val="21"/>
        </w:rPr>
        <w:t>、绩效</w:t>
      </w:r>
      <w:r>
        <w:rPr>
          <w:color w:val="auto"/>
          <w:kern w:val="0"/>
          <w:szCs w:val="21"/>
        </w:rPr>
        <w:t>等</w:t>
      </w:r>
      <w:r>
        <w:rPr>
          <w:rFonts w:hint="eastAsia"/>
          <w:color w:val="auto"/>
          <w:kern w:val="0"/>
          <w:szCs w:val="21"/>
        </w:rPr>
        <w:t>；</w:t>
      </w:r>
    </w:p>
    <w:p>
      <w:pPr>
        <w:widowControl/>
        <w:spacing w:line="300" w:lineRule="auto"/>
        <w:ind w:firstLine="420" w:firstLineChars="200"/>
        <w:jc w:val="left"/>
        <w:rPr>
          <w:color w:val="auto"/>
        </w:rPr>
      </w:pPr>
      <w:r>
        <w:rPr>
          <w:rFonts w:hint="eastAsia"/>
          <w:color w:val="auto"/>
          <w:kern w:val="0"/>
          <w:szCs w:val="21"/>
        </w:rPr>
        <w:t>c）工厂</w:t>
      </w:r>
      <w:r>
        <w:rPr>
          <w:color w:val="auto"/>
          <w:kern w:val="0"/>
          <w:szCs w:val="21"/>
        </w:rPr>
        <w:t>工作计划</w:t>
      </w:r>
      <w:r>
        <w:rPr>
          <w:rFonts w:hint="eastAsia"/>
          <w:color w:val="auto"/>
          <w:kern w:val="0"/>
          <w:szCs w:val="21"/>
        </w:rPr>
        <w:t>或建议。</w:t>
      </w:r>
    </w:p>
    <w:p>
      <w:pPr>
        <w:widowControl/>
        <w:spacing w:line="300" w:lineRule="auto"/>
        <w:ind w:firstLine="420" w:firstLineChars="200"/>
        <w:jc w:val="left"/>
        <w:rPr>
          <w:color w:val="auto"/>
        </w:rPr>
      </w:pPr>
      <w:r>
        <w:rPr>
          <w:rFonts w:hint="eastAsia"/>
          <w:color w:val="auto"/>
          <w:kern w:val="0"/>
          <w:szCs w:val="21"/>
        </w:rPr>
        <w:t>d）</w:t>
      </w:r>
      <w:r>
        <w:rPr>
          <w:color w:val="auto"/>
          <w:kern w:val="0"/>
          <w:szCs w:val="21"/>
        </w:rPr>
        <w:t>工厂自评</w:t>
      </w:r>
      <w:r>
        <w:rPr>
          <w:rFonts w:hint="eastAsia"/>
          <w:color w:val="auto"/>
          <w:kern w:val="0"/>
          <w:szCs w:val="21"/>
        </w:rPr>
        <w:t>分</w:t>
      </w:r>
      <w:r>
        <w:rPr>
          <w:color w:val="auto"/>
          <w:kern w:val="0"/>
          <w:szCs w:val="21"/>
        </w:rPr>
        <w:t>，可参见附录B。</w:t>
      </w:r>
    </w:p>
    <w:p>
      <w:pPr>
        <w:widowControl/>
        <w:spacing w:line="300" w:lineRule="auto"/>
        <w:ind w:firstLine="420" w:firstLineChars="200"/>
        <w:jc w:val="left"/>
        <w:rPr>
          <w:color w:val="auto"/>
          <w:kern w:val="0"/>
          <w:szCs w:val="21"/>
        </w:rPr>
      </w:pPr>
      <w:r>
        <w:rPr>
          <w:rFonts w:hint="eastAsia"/>
          <w:color w:val="auto"/>
          <w:kern w:val="0"/>
          <w:szCs w:val="21"/>
        </w:rPr>
        <w:t>e）</w:t>
      </w:r>
      <w:r>
        <w:rPr>
          <w:color w:val="auto"/>
          <w:kern w:val="0"/>
          <w:szCs w:val="21"/>
        </w:rPr>
        <w:t>相关证明材料</w:t>
      </w:r>
      <w:r>
        <w:rPr>
          <w:rFonts w:hint="eastAsia"/>
          <w:color w:val="auto"/>
          <w:kern w:val="0"/>
          <w:szCs w:val="21"/>
        </w:rPr>
        <w:t>。</w:t>
      </w:r>
    </w:p>
    <w:p>
      <w:pPr>
        <w:pStyle w:val="73"/>
        <w:tabs>
          <w:tab w:val="center" w:pos="4201"/>
          <w:tab w:val="right" w:leader="dot" w:pos="9298"/>
        </w:tabs>
        <w:spacing w:before="156" w:after="156" w:line="300" w:lineRule="auto"/>
        <w:rPr>
          <w:rFonts w:ascii="Times New Roman"/>
          <w:color w:val="auto"/>
        </w:rPr>
      </w:pPr>
      <w:r>
        <w:rPr>
          <w:rFonts w:ascii="Times New Roman"/>
          <w:color w:val="auto"/>
        </w:rPr>
        <w:t>7.2</w:t>
      </w:r>
      <w:r>
        <w:rPr>
          <w:rFonts w:hint="eastAsia" w:ascii="Times New Roman"/>
          <w:color w:val="auto"/>
        </w:rPr>
        <w:t xml:space="preserve"> 工厂</w:t>
      </w:r>
      <w:r>
        <w:rPr>
          <w:rFonts w:ascii="Times New Roman"/>
          <w:color w:val="auto"/>
        </w:rPr>
        <w:t>评价报告</w:t>
      </w:r>
    </w:p>
    <w:p>
      <w:pPr>
        <w:widowControl/>
        <w:spacing w:line="300" w:lineRule="auto"/>
        <w:ind w:firstLine="420" w:firstLineChars="200"/>
        <w:jc w:val="left"/>
        <w:rPr>
          <w:color w:val="auto"/>
        </w:rPr>
      </w:pPr>
      <w:r>
        <w:rPr>
          <w:color w:val="auto"/>
          <w:kern w:val="0"/>
          <w:szCs w:val="21"/>
        </w:rPr>
        <w:t xml:space="preserve">工厂评价报告应包括但不限于以下方面： </w:t>
      </w:r>
    </w:p>
    <w:p>
      <w:pPr>
        <w:widowControl/>
        <w:spacing w:line="300" w:lineRule="auto"/>
        <w:ind w:firstLine="420" w:firstLineChars="200"/>
        <w:jc w:val="left"/>
        <w:rPr>
          <w:color w:val="auto"/>
          <w:kern w:val="0"/>
          <w:szCs w:val="21"/>
        </w:rPr>
      </w:pPr>
      <w:r>
        <w:rPr>
          <w:rFonts w:hint="eastAsia"/>
          <w:color w:val="auto"/>
          <w:kern w:val="0"/>
          <w:szCs w:val="21"/>
        </w:rPr>
        <w:t>a）实施评价的组织方式。</w:t>
      </w:r>
    </w:p>
    <w:p>
      <w:pPr>
        <w:widowControl/>
        <w:spacing w:line="300" w:lineRule="auto"/>
        <w:ind w:firstLine="420" w:firstLineChars="200"/>
        <w:jc w:val="left"/>
        <w:rPr>
          <w:color w:val="auto"/>
          <w:kern w:val="0"/>
          <w:szCs w:val="21"/>
        </w:rPr>
      </w:pPr>
      <w:r>
        <w:rPr>
          <w:rFonts w:hint="eastAsia"/>
          <w:color w:val="auto"/>
          <w:kern w:val="0"/>
          <w:szCs w:val="21"/>
        </w:rPr>
        <w:t>b）</w:t>
      </w:r>
      <w:r>
        <w:rPr>
          <w:color w:val="auto"/>
          <w:kern w:val="0"/>
          <w:szCs w:val="21"/>
        </w:rPr>
        <w:t>评价的目的、范围及准则</w:t>
      </w:r>
      <w:r>
        <w:rPr>
          <w:rFonts w:hint="eastAsia"/>
          <w:color w:val="auto"/>
          <w:kern w:val="0"/>
          <w:szCs w:val="21"/>
        </w:rPr>
        <w:t>。</w:t>
      </w:r>
    </w:p>
    <w:p>
      <w:pPr>
        <w:widowControl/>
        <w:spacing w:line="300" w:lineRule="auto"/>
        <w:ind w:firstLine="420" w:firstLineChars="200"/>
        <w:jc w:val="left"/>
        <w:rPr>
          <w:color w:val="auto"/>
        </w:rPr>
      </w:pPr>
      <w:r>
        <w:rPr>
          <w:rFonts w:hint="eastAsia"/>
          <w:color w:val="auto"/>
          <w:kern w:val="0"/>
          <w:szCs w:val="21"/>
        </w:rPr>
        <w:t>c）</w:t>
      </w:r>
      <w:r>
        <w:rPr>
          <w:color w:val="auto"/>
          <w:kern w:val="0"/>
          <w:szCs w:val="21"/>
        </w:rPr>
        <w:t>评价过程</w:t>
      </w:r>
      <w:r>
        <w:rPr>
          <w:rFonts w:hint="eastAsia"/>
          <w:color w:val="auto"/>
          <w:kern w:val="0"/>
          <w:szCs w:val="21"/>
        </w:rPr>
        <w:t>，主要</w:t>
      </w:r>
      <w:r>
        <w:rPr>
          <w:color w:val="auto"/>
          <w:kern w:val="0"/>
          <w:szCs w:val="21"/>
        </w:rPr>
        <w:t>包括评价组织安排、文件评审情况、现场评估情况、</w:t>
      </w:r>
      <w:r>
        <w:rPr>
          <w:rFonts w:hint="eastAsia"/>
          <w:color w:val="auto"/>
          <w:kern w:val="0"/>
          <w:szCs w:val="21"/>
        </w:rPr>
        <w:t>查看工厂自评价报告</w:t>
      </w:r>
      <w:r>
        <w:rPr>
          <w:color w:val="auto"/>
          <w:kern w:val="0"/>
          <w:szCs w:val="21"/>
        </w:rPr>
        <w:t>及内部技术复核情况</w:t>
      </w:r>
      <w:r>
        <w:rPr>
          <w:rFonts w:hint="eastAsia"/>
          <w:color w:val="auto"/>
          <w:kern w:val="0"/>
          <w:szCs w:val="21"/>
        </w:rPr>
        <w:t>。</w:t>
      </w:r>
    </w:p>
    <w:p>
      <w:pPr>
        <w:widowControl/>
        <w:spacing w:line="300" w:lineRule="auto"/>
        <w:ind w:firstLine="420" w:firstLineChars="200"/>
        <w:jc w:val="left"/>
        <w:rPr>
          <w:color w:val="auto"/>
          <w:kern w:val="0"/>
          <w:szCs w:val="21"/>
        </w:rPr>
      </w:pPr>
      <w:r>
        <w:rPr>
          <w:rFonts w:hint="eastAsia"/>
          <w:color w:val="auto"/>
          <w:kern w:val="0"/>
          <w:szCs w:val="21"/>
        </w:rPr>
        <w:t>d）</w:t>
      </w:r>
      <w:r>
        <w:rPr>
          <w:color w:val="auto"/>
          <w:kern w:val="0"/>
          <w:szCs w:val="21"/>
        </w:rPr>
        <w:t>评价内容</w:t>
      </w:r>
      <w:r>
        <w:rPr>
          <w:rFonts w:hint="eastAsia"/>
          <w:color w:val="auto"/>
          <w:kern w:val="0"/>
          <w:szCs w:val="21"/>
        </w:rPr>
        <w:t>，包括基本要求、</w:t>
      </w:r>
      <w:r>
        <w:rPr>
          <w:color w:val="auto"/>
          <w:kern w:val="0"/>
          <w:szCs w:val="21"/>
        </w:rPr>
        <w:t>基础设施、管理体系、能源资源投入、产品、环境排放、绩效等。</w:t>
      </w:r>
    </w:p>
    <w:p>
      <w:pPr>
        <w:widowControl/>
        <w:spacing w:line="300" w:lineRule="auto"/>
        <w:ind w:firstLine="420" w:firstLineChars="200"/>
        <w:jc w:val="left"/>
        <w:rPr>
          <w:color w:val="auto"/>
        </w:rPr>
      </w:pPr>
      <w:r>
        <w:rPr>
          <w:rFonts w:hint="eastAsia"/>
          <w:color w:val="auto"/>
          <w:kern w:val="0"/>
          <w:szCs w:val="21"/>
        </w:rPr>
        <w:t>e）</w:t>
      </w:r>
      <w:r>
        <w:rPr>
          <w:color w:val="auto"/>
          <w:kern w:val="0"/>
          <w:szCs w:val="21"/>
        </w:rPr>
        <w:t>相关证明材料</w:t>
      </w:r>
      <w:r>
        <w:rPr>
          <w:rFonts w:hint="eastAsia"/>
          <w:color w:val="auto"/>
          <w:kern w:val="0"/>
          <w:szCs w:val="21"/>
        </w:rPr>
        <w:t>的核实情况。</w:t>
      </w:r>
    </w:p>
    <w:p>
      <w:pPr>
        <w:widowControl/>
        <w:spacing w:line="300" w:lineRule="auto"/>
        <w:ind w:firstLine="420" w:firstLineChars="200"/>
        <w:jc w:val="left"/>
        <w:rPr>
          <w:color w:val="auto"/>
          <w:kern w:val="0"/>
          <w:szCs w:val="21"/>
        </w:rPr>
      </w:pPr>
      <w:r>
        <w:rPr>
          <w:rFonts w:hint="eastAsia"/>
          <w:color w:val="auto"/>
          <w:kern w:val="0"/>
          <w:szCs w:val="21"/>
        </w:rPr>
        <w:t>f）</w:t>
      </w:r>
      <w:r>
        <w:rPr>
          <w:color w:val="auto"/>
          <w:kern w:val="0"/>
          <w:szCs w:val="21"/>
        </w:rPr>
        <w:t>评价结论：</w:t>
      </w:r>
      <w:r>
        <w:rPr>
          <w:rFonts w:hint="eastAsia"/>
          <w:color w:val="auto"/>
          <w:kern w:val="0"/>
          <w:szCs w:val="21"/>
        </w:rPr>
        <w:t>判定</w:t>
      </w:r>
      <w:r>
        <w:rPr>
          <w:color w:val="auto"/>
          <w:kern w:val="0"/>
          <w:szCs w:val="21"/>
        </w:rPr>
        <w:t>是否符合绿色</w:t>
      </w:r>
      <w:r>
        <w:rPr>
          <w:rFonts w:hint="eastAsia"/>
          <w:color w:val="auto"/>
          <w:kern w:val="0"/>
          <w:szCs w:val="21"/>
        </w:rPr>
        <w:t>工厂评价</w:t>
      </w:r>
      <w:r>
        <w:rPr>
          <w:color w:val="auto"/>
          <w:kern w:val="0"/>
          <w:szCs w:val="21"/>
        </w:rPr>
        <w:t>要求</w:t>
      </w:r>
      <w:r>
        <w:rPr>
          <w:rFonts w:hint="eastAsia"/>
          <w:color w:val="auto"/>
          <w:kern w:val="0"/>
          <w:szCs w:val="21"/>
        </w:rPr>
        <w:t>。</w:t>
      </w:r>
    </w:p>
    <w:p>
      <w:pPr>
        <w:widowControl/>
        <w:spacing w:line="300" w:lineRule="auto"/>
        <w:ind w:left="420"/>
        <w:jc w:val="left"/>
        <w:rPr>
          <w:color w:val="auto"/>
          <w:kern w:val="0"/>
          <w:szCs w:val="21"/>
        </w:rPr>
      </w:pPr>
      <w:r>
        <w:rPr>
          <w:rFonts w:hint="eastAsia"/>
          <w:color w:val="auto"/>
          <w:kern w:val="0"/>
          <w:szCs w:val="21"/>
        </w:rPr>
        <w:t>g）</w:t>
      </w:r>
      <w:r>
        <w:rPr>
          <w:color w:val="auto"/>
          <w:kern w:val="0"/>
          <w:szCs w:val="21"/>
        </w:rPr>
        <w:t>对持续创建绿色工厂</w:t>
      </w:r>
      <w:r>
        <w:rPr>
          <w:rFonts w:hint="eastAsia"/>
          <w:color w:val="auto"/>
          <w:kern w:val="0"/>
          <w:szCs w:val="21"/>
        </w:rPr>
        <w:t>提出</w:t>
      </w:r>
      <w:r>
        <w:rPr>
          <w:color w:val="auto"/>
          <w:kern w:val="0"/>
          <w:szCs w:val="21"/>
        </w:rPr>
        <w:t>下一步工作建议。</w:t>
      </w:r>
    </w:p>
    <w:p>
      <w:pPr>
        <w:widowControl/>
        <w:spacing w:line="300" w:lineRule="auto"/>
        <w:ind w:left="420"/>
        <w:jc w:val="left"/>
        <w:rPr>
          <w:color w:val="auto"/>
        </w:rPr>
      </w:pPr>
      <w:r>
        <w:rPr>
          <w:rFonts w:hint="eastAsia"/>
          <w:color w:val="auto"/>
          <w:kern w:val="0"/>
          <w:szCs w:val="21"/>
        </w:rPr>
        <w:t>h）相关支持材料。</w:t>
      </w:r>
    </w:p>
    <w:p>
      <w:pPr>
        <w:pStyle w:val="25"/>
        <w:adjustRightInd w:val="0"/>
        <w:snapToGrid w:val="0"/>
        <w:spacing w:line="360" w:lineRule="auto"/>
        <w:ind w:firstLine="0" w:firstLineChars="0"/>
        <w:jc w:val="center"/>
        <w:outlineLvl w:val="1"/>
        <w:rPr>
          <w:rFonts w:ascii="Times New Roman"/>
          <w:b/>
          <w:bCs/>
          <w:color w:val="auto"/>
          <w:sz w:val="24"/>
          <w:szCs w:val="24"/>
        </w:rPr>
      </w:pPr>
      <w:r>
        <w:rPr>
          <w:rFonts w:ascii="Times New Roman"/>
          <w:color w:val="auto"/>
        </w:rPr>
        <w:br w:type="page"/>
      </w:r>
      <w:bookmarkStart w:id="26" w:name="_Toc55722800"/>
      <w:bookmarkStart w:id="27" w:name="_Toc55722989"/>
      <w:r>
        <w:rPr>
          <w:rFonts w:ascii="Times New Roman"/>
          <w:b/>
          <w:bCs/>
          <w:color w:val="auto"/>
          <w:sz w:val="24"/>
          <w:szCs w:val="24"/>
        </w:rPr>
        <w:t>附 录 A</w:t>
      </w:r>
      <w:bookmarkEnd w:id="26"/>
      <w:bookmarkEnd w:id="27"/>
    </w:p>
    <w:p>
      <w:pPr>
        <w:pStyle w:val="25"/>
        <w:adjustRightInd w:val="0"/>
        <w:snapToGrid w:val="0"/>
        <w:spacing w:line="360" w:lineRule="auto"/>
        <w:ind w:firstLine="0" w:firstLineChars="0"/>
        <w:jc w:val="center"/>
        <w:rPr>
          <w:rFonts w:ascii="Times New Roman"/>
          <w:b/>
          <w:bCs/>
          <w:color w:val="auto"/>
          <w:sz w:val="24"/>
          <w:szCs w:val="24"/>
        </w:rPr>
      </w:pPr>
      <w:r>
        <w:rPr>
          <w:rFonts w:ascii="Times New Roman"/>
          <w:b/>
          <w:bCs/>
          <w:color w:val="auto"/>
          <w:sz w:val="24"/>
          <w:szCs w:val="24"/>
        </w:rPr>
        <w:t>(</w:t>
      </w:r>
      <w:r>
        <w:rPr>
          <w:rFonts w:hint="eastAsia" w:ascii="Times New Roman"/>
          <w:b/>
          <w:bCs/>
          <w:color w:val="auto"/>
          <w:sz w:val="24"/>
          <w:szCs w:val="24"/>
        </w:rPr>
        <w:t>资料</w:t>
      </w:r>
      <w:r>
        <w:rPr>
          <w:rFonts w:ascii="Times New Roman"/>
          <w:b/>
          <w:bCs/>
          <w:color w:val="auto"/>
          <w:sz w:val="24"/>
          <w:szCs w:val="24"/>
        </w:rPr>
        <w:t>性附录)</w:t>
      </w:r>
    </w:p>
    <w:p>
      <w:pPr>
        <w:pStyle w:val="25"/>
        <w:adjustRightInd w:val="0"/>
        <w:snapToGrid w:val="0"/>
        <w:spacing w:line="360" w:lineRule="auto"/>
        <w:ind w:firstLine="0" w:firstLineChars="0"/>
        <w:jc w:val="center"/>
        <w:rPr>
          <w:rFonts w:ascii="Times New Roman"/>
          <w:b/>
          <w:bCs/>
          <w:color w:val="auto"/>
          <w:sz w:val="24"/>
          <w:szCs w:val="24"/>
        </w:rPr>
      </w:pPr>
      <w:r>
        <w:rPr>
          <w:rFonts w:ascii="Times New Roman"/>
          <w:b/>
          <w:bCs/>
          <w:color w:val="auto"/>
          <w:sz w:val="24"/>
          <w:szCs w:val="24"/>
        </w:rPr>
        <w:t>制糖行业绿色工厂绩效指标的计算方法</w:t>
      </w:r>
    </w:p>
    <w:p>
      <w:pPr>
        <w:pStyle w:val="73"/>
        <w:snapToGrid w:val="0"/>
        <w:spacing w:before="156" w:afterLines="0" w:line="300" w:lineRule="auto"/>
        <w:rPr>
          <w:rFonts w:ascii="Times New Roman" w:eastAsia="宋体"/>
          <w:color w:val="auto"/>
        </w:rPr>
      </w:pPr>
      <w:r>
        <w:rPr>
          <w:rFonts w:ascii="Times New Roman" w:eastAsia="宋体"/>
          <w:color w:val="auto"/>
        </w:rPr>
        <w:t>A.1 容积率</w:t>
      </w:r>
    </w:p>
    <w:p>
      <w:pPr>
        <w:pStyle w:val="73"/>
        <w:spacing w:beforeLines="0" w:afterLines="0" w:line="300" w:lineRule="auto"/>
        <w:ind w:firstLine="420" w:firstLineChars="200"/>
        <w:outlineLvl w:val="9"/>
        <w:rPr>
          <w:rFonts w:ascii="Times New Roman"/>
          <w:color w:val="auto"/>
        </w:rPr>
      </w:pPr>
      <w:r>
        <w:rPr>
          <w:rFonts w:ascii="Times New Roman" w:eastAsia="宋体"/>
          <w:color w:val="auto"/>
        </w:rPr>
        <w:t>容积率为工厂总建筑物（正负0标高以上的建筑面积）、构筑物面积与厂区用地面积的比例（A.1）计算。</w:t>
      </w:r>
    </w:p>
    <w:p>
      <w:pPr>
        <w:pStyle w:val="25"/>
        <w:spacing w:line="300" w:lineRule="auto"/>
        <w:ind w:firstLine="0" w:firstLineChars="0"/>
        <w:jc w:val="center"/>
        <w:rPr>
          <w:rFonts w:ascii="Times New Roman"/>
          <w:color w:val="auto"/>
        </w:rPr>
      </w:pPr>
      <w:r>
        <w:rPr>
          <w:rFonts w:ascii="Times New Roman"/>
          <w:color w:val="auto"/>
          <w:position w:val="-32"/>
        </w:rPr>
        <w:object>
          <v:shape id="_x0000_i1025" o:spt="75" type="#_x0000_t75" style="height:36.75pt;width:111.7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ascii="Times New Roman"/>
          <w:color w:val="auto"/>
        </w:rPr>
        <w:t>……………………（A.1）</w:t>
      </w:r>
    </w:p>
    <w:p>
      <w:pPr>
        <w:pStyle w:val="25"/>
        <w:spacing w:line="300" w:lineRule="auto"/>
        <w:rPr>
          <w:rFonts w:ascii="Times New Roman"/>
          <w:color w:val="auto"/>
        </w:rPr>
      </w:pPr>
      <w:r>
        <w:rPr>
          <w:rFonts w:ascii="Times New Roman"/>
          <w:color w:val="auto"/>
        </w:rPr>
        <w:t>式中：</w:t>
      </w:r>
    </w:p>
    <w:p>
      <w:pPr>
        <w:pStyle w:val="25"/>
        <w:spacing w:line="300" w:lineRule="auto"/>
        <w:rPr>
          <w:rFonts w:ascii="Times New Roman"/>
          <w:color w:val="auto"/>
        </w:rPr>
      </w:pPr>
      <w:r>
        <w:rPr>
          <w:rFonts w:ascii="Times New Roman"/>
          <w:i/>
          <w:iCs/>
          <w:color w:val="auto"/>
        </w:rPr>
        <w:t>R</w:t>
      </w:r>
      <w:r>
        <w:rPr>
          <w:rFonts w:ascii="Times New Roman"/>
          <w:i/>
          <w:color w:val="auto"/>
        </w:rPr>
        <w:t>——</w:t>
      </w:r>
      <w:r>
        <w:rPr>
          <w:rFonts w:ascii="Times New Roman"/>
          <w:color w:val="auto"/>
        </w:rPr>
        <w:t>工厂容积率，无量纲；</w:t>
      </w:r>
    </w:p>
    <w:p>
      <w:pPr>
        <w:pStyle w:val="25"/>
        <w:spacing w:line="300" w:lineRule="auto"/>
        <w:rPr>
          <w:rFonts w:ascii="Times New Roman"/>
          <w:color w:val="auto"/>
        </w:rPr>
      </w:pPr>
      <w:r>
        <w:rPr>
          <w:rFonts w:ascii="Times New Roman"/>
          <w:i/>
          <w:color w:val="auto"/>
        </w:rPr>
        <w:t>A</w:t>
      </w:r>
      <w:r>
        <w:rPr>
          <w:rFonts w:ascii="Times New Roman"/>
          <w:i/>
          <w:color w:val="auto"/>
          <w:vertAlign w:val="subscript"/>
        </w:rPr>
        <w:t>总建设物</w:t>
      </w:r>
      <w:r>
        <w:rPr>
          <w:rFonts w:ascii="Times New Roman"/>
          <w:i/>
          <w:color w:val="auto"/>
        </w:rPr>
        <w:t>——</w:t>
      </w:r>
      <w:r>
        <w:rPr>
          <w:rFonts w:ascii="Times New Roman"/>
          <w:color w:val="auto"/>
        </w:rPr>
        <w:t>工厂总建筑物面积，建筑物层高超过8m的，在计算容积率时该层建筑面积加倍计算，</w:t>
      </w:r>
      <w:r>
        <w:rPr>
          <w:rFonts w:ascii="Times New Roman"/>
          <w:iCs/>
          <w:color w:val="auto"/>
        </w:rPr>
        <w:t>单位为平方米（m</w:t>
      </w:r>
      <w:r>
        <w:rPr>
          <w:rFonts w:ascii="Times New Roman"/>
          <w:iCs/>
          <w:color w:val="auto"/>
          <w:vertAlign w:val="superscript"/>
        </w:rPr>
        <w:t>2</w:t>
      </w:r>
      <w:r>
        <w:rPr>
          <w:rFonts w:ascii="Times New Roman"/>
          <w:iCs/>
          <w:color w:val="auto"/>
        </w:rPr>
        <w:t>）</w:t>
      </w:r>
      <w:r>
        <w:rPr>
          <w:rFonts w:ascii="Times New Roman"/>
          <w:color w:val="auto"/>
        </w:rPr>
        <w:t>；</w:t>
      </w:r>
    </w:p>
    <w:p>
      <w:pPr>
        <w:pStyle w:val="25"/>
        <w:spacing w:line="300" w:lineRule="auto"/>
        <w:rPr>
          <w:rFonts w:ascii="Times New Roman"/>
          <w:color w:val="auto"/>
        </w:rPr>
      </w:pPr>
      <w:r>
        <w:rPr>
          <w:rFonts w:ascii="Times New Roman"/>
          <w:i/>
          <w:color w:val="auto"/>
        </w:rPr>
        <w:t>A</w:t>
      </w:r>
      <w:r>
        <w:rPr>
          <w:rFonts w:ascii="Times New Roman"/>
          <w:i/>
          <w:color w:val="auto"/>
          <w:vertAlign w:val="subscript"/>
        </w:rPr>
        <w:t>总构筑物</w:t>
      </w:r>
      <w:r>
        <w:rPr>
          <w:rFonts w:ascii="Times New Roman"/>
          <w:i/>
          <w:color w:val="auto"/>
        </w:rPr>
        <w:t>——</w:t>
      </w:r>
      <w:r>
        <w:rPr>
          <w:rFonts w:ascii="Times New Roman"/>
          <w:color w:val="auto"/>
        </w:rPr>
        <w:t>工厂总构筑物面积，可计算面积的构筑物种类参照GB/T 50353，</w:t>
      </w:r>
      <w:r>
        <w:rPr>
          <w:rFonts w:ascii="Times New Roman"/>
          <w:iCs/>
          <w:color w:val="auto"/>
        </w:rPr>
        <w:t>单位为平方米（m</w:t>
      </w:r>
      <w:r>
        <w:rPr>
          <w:rFonts w:ascii="Times New Roman"/>
          <w:iCs/>
          <w:color w:val="auto"/>
          <w:vertAlign w:val="superscript"/>
        </w:rPr>
        <w:t>2</w:t>
      </w:r>
      <w:r>
        <w:rPr>
          <w:rFonts w:ascii="Times New Roman"/>
          <w:iCs/>
          <w:color w:val="auto"/>
        </w:rPr>
        <w:t>）</w:t>
      </w:r>
      <w:r>
        <w:rPr>
          <w:rFonts w:ascii="Times New Roman"/>
          <w:color w:val="auto"/>
        </w:rPr>
        <w:t>；</w:t>
      </w:r>
    </w:p>
    <w:p>
      <w:pPr>
        <w:pStyle w:val="25"/>
        <w:spacing w:line="300" w:lineRule="auto"/>
        <w:rPr>
          <w:rFonts w:hint="eastAsia" w:ascii="Times New Roman" w:eastAsia="宋体"/>
          <w:iCs/>
          <w:color w:val="auto"/>
          <w:lang w:val="en-US" w:eastAsia="zh-CN"/>
        </w:rPr>
      </w:pPr>
      <w:r>
        <w:rPr>
          <w:rFonts w:ascii="Times New Roman"/>
          <w:i/>
          <w:color w:val="auto"/>
        </w:rPr>
        <w:t>A</w:t>
      </w:r>
      <w:r>
        <w:rPr>
          <w:rFonts w:ascii="Times New Roman"/>
          <w:i/>
          <w:color w:val="auto"/>
          <w:vertAlign w:val="subscript"/>
        </w:rPr>
        <w:t>用地</w:t>
      </w:r>
      <w:r>
        <w:rPr>
          <w:rFonts w:ascii="Times New Roman"/>
          <w:i/>
          <w:color w:val="auto"/>
        </w:rPr>
        <w:t>——</w:t>
      </w:r>
      <w:r>
        <w:rPr>
          <w:rFonts w:ascii="Times New Roman"/>
          <w:iCs/>
          <w:color w:val="auto"/>
        </w:rPr>
        <w:t>工厂</w:t>
      </w:r>
      <w:r>
        <w:rPr>
          <w:rFonts w:hint="eastAsia" w:ascii="Times New Roman"/>
          <w:iCs/>
          <w:color w:val="auto"/>
          <w:lang w:eastAsia="zh-CN"/>
        </w:rPr>
        <w:t>用地</w:t>
      </w:r>
      <w:r>
        <w:rPr>
          <w:rFonts w:ascii="Times New Roman"/>
          <w:iCs/>
          <w:color w:val="auto"/>
        </w:rPr>
        <w:t>面积，单位为</w:t>
      </w:r>
      <w:r>
        <w:rPr>
          <w:rFonts w:hint="eastAsia" w:ascii="Times New Roman"/>
          <w:iCs/>
          <w:color w:val="auto"/>
          <w:lang w:eastAsia="zh-CN"/>
        </w:rPr>
        <w:t>平方米（㎡）</w:t>
      </w:r>
    </w:p>
    <w:p>
      <w:pPr>
        <w:spacing w:line="300" w:lineRule="auto"/>
        <w:outlineLvl w:val="2"/>
        <w:rPr>
          <w:color w:val="auto"/>
        </w:rPr>
      </w:pPr>
      <w:r>
        <w:rPr>
          <w:color w:val="auto"/>
        </w:rPr>
        <w:t>A.2 建筑密度</w:t>
      </w:r>
    </w:p>
    <w:p>
      <w:pPr>
        <w:spacing w:line="300" w:lineRule="auto"/>
        <w:ind w:firstLine="420" w:firstLineChars="200"/>
        <w:rPr>
          <w:color w:val="auto"/>
        </w:rPr>
      </w:pPr>
      <w:r>
        <w:rPr>
          <w:color w:val="auto"/>
        </w:rPr>
        <w:t>建筑密度为工厂用地范围内各种建筑物、构筑物占（用）地两积总和（包括露天生产装置或设备、露天堆场及操作场地的用地面积）与厂区用地面积的比率，按（A.2）计算。</w:t>
      </w:r>
    </w:p>
    <w:p>
      <w:pPr>
        <w:pStyle w:val="25"/>
        <w:spacing w:line="300" w:lineRule="auto"/>
        <w:ind w:firstLine="0" w:firstLineChars="0"/>
        <w:jc w:val="center"/>
        <w:rPr>
          <w:color w:val="auto"/>
        </w:rPr>
      </w:pPr>
      <w:r>
        <w:rPr>
          <w:rFonts w:ascii="Times New Roman"/>
          <w:color w:val="auto"/>
          <w:position w:val="-32"/>
        </w:rPr>
        <w:object>
          <v:shape id="_x0000_i1026" o:spt="75" type="#_x0000_t75" style="height:36pt;width:141.75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rFonts w:ascii="Times New Roman"/>
          <w:color w:val="auto"/>
        </w:rPr>
        <w:t>……………………（A.</w:t>
      </w:r>
      <w:r>
        <w:rPr>
          <w:rFonts w:hint="eastAsia" w:ascii="Times New Roman"/>
          <w:color w:val="auto"/>
        </w:rPr>
        <w:t>2</w:t>
      </w:r>
      <w:r>
        <w:rPr>
          <w:rFonts w:ascii="Times New Roman"/>
          <w:color w:val="auto"/>
        </w:rPr>
        <w:t>）</w:t>
      </w:r>
    </w:p>
    <w:p>
      <w:pPr>
        <w:spacing w:line="300" w:lineRule="auto"/>
        <w:ind w:firstLine="420" w:firstLineChars="200"/>
        <w:rPr>
          <w:color w:val="auto"/>
        </w:rPr>
      </w:pPr>
      <w:r>
        <w:rPr>
          <w:color w:val="auto"/>
        </w:rPr>
        <w:t>式中：</w:t>
      </w:r>
    </w:p>
    <w:p>
      <w:pPr>
        <w:spacing w:line="300" w:lineRule="auto"/>
        <w:ind w:firstLine="420" w:firstLineChars="200"/>
        <w:rPr>
          <w:color w:val="auto"/>
        </w:rPr>
      </w:pPr>
      <w:r>
        <w:rPr>
          <w:i/>
          <w:iCs/>
          <w:color w:val="auto"/>
          <w:rPrChange w:id="0" w:author="作者" w:date="2022-09-16T10:44:33Z">
            <w:rPr>
              <w:color w:val="auto"/>
            </w:rPr>
          </w:rPrChange>
        </w:rPr>
        <w:t>r—</w:t>
      </w:r>
      <w:r>
        <w:rPr>
          <w:color w:val="auto"/>
        </w:rPr>
        <w:t>—工厂建筑密度；</w:t>
      </w:r>
    </w:p>
    <w:p>
      <w:pPr>
        <w:spacing w:line="300" w:lineRule="auto"/>
        <w:ind w:firstLine="420" w:firstLineChars="200"/>
        <w:rPr>
          <w:color w:val="auto"/>
        </w:rPr>
      </w:pPr>
      <w:r>
        <w:rPr>
          <w:i/>
          <w:iCs/>
          <w:color w:val="auto"/>
          <w:rPrChange w:id="1" w:author="作者" w:date="2022-09-16T10:44:37Z">
            <w:rPr>
              <w:color w:val="auto"/>
            </w:rPr>
          </w:rPrChange>
        </w:rPr>
        <w:t>a</w:t>
      </w:r>
      <w:r>
        <w:rPr>
          <w:i/>
          <w:iCs/>
          <w:color w:val="auto"/>
          <w:vertAlign w:val="subscript"/>
          <w:rPrChange w:id="2" w:author="作者" w:date="2022-09-16T10:44:37Z">
            <w:rPr>
              <w:color w:val="auto"/>
              <w:vertAlign w:val="subscript"/>
            </w:rPr>
          </w:rPrChange>
        </w:rPr>
        <w:t>总建筑物</w:t>
      </w:r>
      <w:r>
        <w:rPr>
          <w:color w:val="auto"/>
        </w:rPr>
        <w:t>——工厂总建筑物占（用）地面积，单位为平方米（m</w:t>
      </w:r>
      <w:r>
        <w:rPr>
          <w:color w:val="auto"/>
          <w:vertAlign w:val="superscript"/>
        </w:rPr>
        <w:t>2</w:t>
      </w:r>
      <w:r>
        <w:rPr>
          <w:color w:val="auto"/>
        </w:rPr>
        <w:t>）;</w:t>
      </w:r>
    </w:p>
    <w:p>
      <w:pPr>
        <w:spacing w:line="300" w:lineRule="auto"/>
        <w:ind w:firstLine="420" w:firstLineChars="200"/>
        <w:rPr>
          <w:color w:val="auto"/>
        </w:rPr>
      </w:pPr>
      <w:r>
        <w:rPr>
          <w:i/>
          <w:iCs/>
          <w:color w:val="auto"/>
          <w:rPrChange w:id="3" w:author="作者" w:date="2022-09-16T10:44:40Z">
            <w:rPr>
              <w:color w:val="auto"/>
            </w:rPr>
          </w:rPrChange>
        </w:rPr>
        <w:t>a</w:t>
      </w:r>
      <w:r>
        <w:rPr>
          <w:i/>
          <w:iCs/>
          <w:color w:val="auto"/>
          <w:vertAlign w:val="subscript"/>
          <w:rPrChange w:id="4" w:author="作者" w:date="2022-09-16T10:44:40Z">
            <w:rPr>
              <w:color w:val="auto"/>
              <w:vertAlign w:val="subscript"/>
            </w:rPr>
          </w:rPrChange>
        </w:rPr>
        <w:t>总构筑物</w:t>
      </w:r>
      <w:r>
        <w:rPr>
          <w:color w:val="auto"/>
        </w:rPr>
        <w:t>——工</w:t>
      </w:r>
      <w:r>
        <w:rPr>
          <w:rFonts w:hint="eastAsia"/>
          <w:color w:val="auto"/>
          <w:lang w:eastAsia="zh-CN"/>
        </w:rPr>
        <w:t>厂</w:t>
      </w:r>
      <w:r>
        <w:rPr>
          <w:color w:val="auto"/>
        </w:rPr>
        <w:t>总构筑物占（用）地面积，单位为平方米（m</w:t>
      </w:r>
      <w:r>
        <w:rPr>
          <w:color w:val="auto"/>
          <w:vertAlign w:val="superscript"/>
        </w:rPr>
        <w:t>2</w:t>
      </w:r>
      <w:r>
        <w:rPr>
          <w:color w:val="auto"/>
        </w:rPr>
        <w:t>）;</w:t>
      </w:r>
    </w:p>
    <w:p>
      <w:pPr>
        <w:spacing w:line="300" w:lineRule="auto"/>
        <w:ind w:firstLine="420" w:firstLineChars="200"/>
        <w:rPr>
          <w:color w:val="auto"/>
        </w:rPr>
      </w:pPr>
      <w:bookmarkStart w:id="31" w:name="_GoBack"/>
      <w:r>
        <w:rPr>
          <w:i/>
          <w:iCs/>
          <w:color w:val="auto"/>
          <w:rPrChange w:id="5" w:author="作者" w:date="2022-09-16T10:44:45Z">
            <w:rPr>
              <w:color w:val="auto"/>
            </w:rPr>
          </w:rPrChange>
        </w:rPr>
        <w:t>A</w:t>
      </w:r>
      <w:r>
        <w:rPr>
          <w:i/>
          <w:iCs/>
          <w:color w:val="auto"/>
          <w:vertAlign w:val="subscript"/>
          <w:rPrChange w:id="6" w:author="作者" w:date="2022-09-16T10:44:45Z">
            <w:rPr>
              <w:color w:val="auto"/>
              <w:vertAlign w:val="subscript"/>
            </w:rPr>
          </w:rPrChange>
        </w:rPr>
        <w:t xml:space="preserve">用地 </w:t>
      </w:r>
      <w:bookmarkEnd w:id="31"/>
      <w:r>
        <w:rPr>
          <w:color w:val="auto"/>
        </w:rPr>
        <w:t>——工</w:t>
      </w:r>
      <w:r>
        <w:rPr>
          <w:rFonts w:hint="eastAsia"/>
          <w:color w:val="auto"/>
          <w:lang w:eastAsia="zh-CN"/>
        </w:rPr>
        <w:t>厂</w:t>
      </w:r>
      <w:r>
        <w:rPr>
          <w:color w:val="auto"/>
        </w:rPr>
        <w:t>用地面积，单位为平方米（m</w:t>
      </w:r>
      <w:r>
        <w:rPr>
          <w:color w:val="auto"/>
          <w:vertAlign w:val="superscript"/>
        </w:rPr>
        <w:t>2</w:t>
      </w:r>
      <w:r>
        <w:rPr>
          <w:color w:val="auto"/>
        </w:rPr>
        <w:t>）。</w:t>
      </w:r>
    </w:p>
    <w:p>
      <w:pPr>
        <w:spacing w:line="300" w:lineRule="auto"/>
        <w:outlineLvl w:val="2"/>
        <w:rPr>
          <w:color w:val="auto"/>
        </w:rPr>
      </w:pPr>
      <w:r>
        <w:rPr>
          <w:color w:val="auto"/>
        </w:rPr>
        <w:t>A.3 单位用地面积产能</w:t>
      </w:r>
    </w:p>
    <w:p>
      <w:pPr>
        <w:spacing w:line="300" w:lineRule="auto"/>
        <w:ind w:firstLine="420" w:firstLineChars="200"/>
        <w:rPr>
          <w:color w:val="auto"/>
        </w:rPr>
      </w:pPr>
      <w:r>
        <w:rPr>
          <w:color w:val="auto"/>
        </w:rPr>
        <w:t>单位用地面积产能为工厂产能与厂区用地面积的比率，按式（A.3）计算。</w:t>
      </w:r>
    </w:p>
    <w:p>
      <w:pPr>
        <w:pStyle w:val="25"/>
        <w:spacing w:line="300" w:lineRule="auto"/>
        <w:ind w:firstLine="0" w:firstLineChars="0"/>
        <w:jc w:val="center"/>
        <w:rPr>
          <w:color w:val="auto"/>
        </w:rPr>
      </w:pPr>
      <w:r>
        <w:rPr>
          <w:rFonts w:ascii="Times New Roman"/>
          <w:color w:val="auto"/>
          <w:position w:val="-32"/>
        </w:rPr>
        <w:object>
          <v:shape id="_x0000_i1027" o:spt="75" type="#_x0000_t75" style="height:36.25pt;width:45.3pt;" o:ole="t" filled="f" o:preferrelative="t" stroked="f" coordsize="21600,21600">
            <v:path/>
            <v:fill on="f" focussize="0,0"/>
            <v:stroke on="f"/>
            <v:imagedata r:id="rId11" o:title=""/>
            <o:lock v:ext="edit" aspectratio="t"/>
            <w10:wrap type="none"/>
            <w10:anchorlock/>
          </v:shape>
          <o:OLEObject Type="Embed" ProgID="Equation.3" ShapeID="_x0000_i1027" DrawAspect="Content" ObjectID="_1468075727" r:id="rId10">
            <o:LockedField>false</o:LockedField>
          </o:OLEObject>
        </w:object>
      </w:r>
      <w:r>
        <w:rPr>
          <w:rFonts w:ascii="Times New Roman"/>
          <w:color w:val="auto"/>
        </w:rPr>
        <w:t>……………………（A.</w:t>
      </w:r>
      <w:r>
        <w:rPr>
          <w:rFonts w:hint="eastAsia" w:ascii="Times New Roman"/>
          <w:color w:val="auto"/>
        </w:rPr>
        <w:t>3</w:t>
      </w:r>
      <w:r>
        <w:rPr>
          <w:rFonts w:ascii="Times New Roman"/>
          <w:color w:val="auto"/>
        </w:rPr>
        <w:t>）</w:t>
      </w:r>
    </w:p>
    <w:p>
      <w:pPr>
        <w:pStyle w:val="25"/>
        <w:spacing w:line="300" w:lineRule="auto"/>
        <w:rPr>
          <w:rFonts w:ascii="Times New Roman"/>
          <w:color w:val="auto"/>
        </w:rPr>
      </w:pPr>
      <w:r>
        <w:rPr>
          <w:rFonts w:ascii="Times New Roman"/>
          <w:color w:val="auto"/>
        </w:rPr>
        <w:t>式中：</w:t>
      </w:r>
    </w:p>
    <w:p>
      <w:pPr>
        <w:pStyle w:val="25"/>
        <w:spacing w:line="300" w:lineRule="auto"/>
        <w:rPr>
          <w:rFonts w:ascii="Times New Roman"/>
          <w:color w:val="auto"/>
        </w:rPr>
      </w:pPr>
      <w:r>
        <w:rPr>
          <w:rFonts w:ascii="Times New Roman"/>
          <w:i/>
          <w:iCs/>
          <w:color w:val="auto"/>
        </w:rPr>
        <w:t>n</w:t>
      </w:r>
      <w:r>
        <w:rPr>
          <w:rFonts w:ascii="Times New Roman"/>
          <w:i/>
          <w:color w:val="auto"/>
        </w:rPr>
        <w:t>——</w:t>
      </w:r>
      <w:r>
        <w:rPr>
          <w:rFonts w:ascii="Times New Roman"/>
          <w:color w:val="auto"/>
        </w:rPr>
        <w:t>单位用地面积产能，单位为吨</w:t>
      </w:r>
      <w:r>
        <w:rPr>
          <w:rFonts w:hint="eastAsia" w:ascii="Times New Roman"/>
          <w:color w:val="auto"/>
        </w:rPr>
        <w:t>（t）</w:t>
      </w:r>
      <w:r>
        <w:rPr>
          <w:rFonts w:ascii="Times New Roman"/>
          <w:color w:val="auto"/>
        </w:rPr>
        <w:t>每平方米（m</w:t>
      </w:r>
      <w:r>
        <w:rPr>
          <w:rFonts w:ascii="Times New Roman"/>
          <w:color w:val="auto"/>
          <w:vertAlign w:val="superscript"/>
        </w:rPr>
        <w:t>2</w:t>
      </w:r>
      <w:r>
        <w:rPr>
          <w:rFonts w:ascii="Times New Roman"/>
          <w:color w:val="auto"/>
        </w:rPr>
        <w:t>）；</w:t>
      </w:r>
    </w:p>
    <w:p>
      <w:pPr>
        <w:pStyle w:val="25"/>
        <w:spacing w:line="300" w:lineRule="auto"/>
        <w:rPr>
          <w:rFonts w:ascii="Times New Roman"/>
          <w:color w:val="auto"/>
        </w:rPr>
      </w:pPr>
      <w:r>
        <w:rPr>
          <w:rFonts w:ascii="Times New Roman"/>
          <w:i/>
          <w:color w:val="auto"/>
        </w:rPr>
        <w:t>N——</w:t>
      </w:r>
      <w:r>
        <w:rPr>
          <w:rFonts w:hint="eastAsia" w:ascii="Times New Roman"/>
          <w:i w:val="0"/>
          <w:iCs/>
          <w:color w:val="auto"/>
          <w:lang w:eastAsia="zh-CN"/>
        </w:rPr>
        <w:t>统计期内，</w:t>
      </w:r>
      <w:r>
        <w:rPr>
          <w:rFonts w:ascii="Times New Roman"/>
          <w:color w:val="auto"/>
        </w:rPr>
        <w:t>工厂总产能，单位为吨（t）；</w:t>
      </w:r>
    </w:p>
    <w:p>
      <w:pPr>
        <w:pStyle w:val="25"/>
        <w:spacing w:line="300" w:lineRule="auto"/>
        <w:rPr>
          <w:rFonts w:hint="eastAsia" w:ascii="Times New Roman"/>
          <w:color w:val="auto"/>
        </w:rPr>
      </w:pPr>
      <w:r>
        <w:rPr>
          <w:rFonts w:ascii="Times New Roman"/>
          <w:i/>
          <w:color w:val="auto"/>
        </w:rPr>
        <w:t>N</w:t>
      </w:r>
      <w:r>
        <w:rPr>
          <w:rFonts w:ascii="Times New Roman"/>
          <w:i/>
          <w:color w:val="auto"/>
          <w:vertAlign w:val="subscript"/>
        </w:rPr>
        <w:t>地</w:t>
      </w:r>
      <w:r>
        <w:rPr>
          <w:rFonts w:ascii="Times New Roman"/>
          <w:i/>
          <w:color w:val="auto"/>
        </w:rPr>
        <w:t>——</w:t>
      </w:r>
      <w:r>
        <w:rPr>
          <w:rFonts w:ascii="Times New Roman"/>
          <w:color w:val="auto"/>
        </w:rPr>
        <w:t>工厂用地面积，单位为平方米（m</w:t>
      </w:r>
      <w:r>
        <w:rPr>
          <w:rFonts w:ascii="Times New Roman"/>
          <w:color w:val="auto"/>
          <w:vertAlign w:val="superscript"/>
        </w:rPr>
        <w:t>2</w:t>
      </w:r>
      <w:r>
        <w:rPr>
          <w:rFonts w:ascii="Times New Roman"/>
          <w:color w:val="auto"/>
        </w:rPr>
        <w:t>）。</w:t>
      </w:r>
    </w:p>
    <w:p>
      <w:pPr>
        <w:snapToGrid w:val="0"/>
        <w:spacing w:line="360" w:lineRule="auto"/>
        <w:outlineLvl w:val="2"/>
        <w:rPr>
          <w:b/>
          <w:bCs/>
          <w:color w:val="auto"/>
          <w:szCs w:val="21"/>
        </w:rPr>
      </w:pPr>
      <w:r>
        <w:rPr>
          <w:color w:val="auto"/>
        </w:rPr>
        <w:t>A.</w:t>
      </w:r>
      <w:r>
        <w:rPr>
          <w:rFonts w:hint="eastAsia"/>
          <w:color w:val="auto"/>
        </w:rPr>
        <w:t xml:space="preserve">4 </w:t>
      </w:r>
      <w:r>
        <w:rPr>
          <w:b/>
          <w:bCs/>
          <w:color w:val="auto"/>
          <w:szCs w:val="21"/>
        </w:rPr>
        <w:t>总收回率</w:t>
      </w:r>
    </w:p>
    <w:p>
      <w:pPr>
        <w:snapToGrid w:val="0"/>
        <w:spacing w:line="360" w:lineRule="auto"/>
        <w:ind w:firstLine="420" w:firstLineChars="200"/>
        <w:rPr>
          <w:color w:val="auto"/>
          <w:szCs w:val="21"/>
        </w:rPr>
      </w:pPr>
      <w:r>
        <w:rPr>
          <w:color w:val="auto"/>
          <w:szCs w:val="21"/>
        </w:rPr>
        <w:t>总收回率按公式（</w:t>
      </w:r>
      <w:r>
        <w:rPr>
          <w:color w:val="auto"/>
        </w:rPr>
        <w:t>A.</w:t>
      </w:r>
      <w:r>
        <w:rPr>
          <w:rFonts w:hint="eastAsia"/>
          <w:color w:val="auto"/>
        </w:rPr>
        <w:t>4</w:t>
      </w:r>
      <w:r>
        <w:rPr>
          <w:color w:val="auto"/>
          <w:szCs w:val="21"/>
        </w:rPr>
        <w:t>）计算：</w:t>
      </w:r>
    </w:p>
    <w:p>
      <w:pPr>
        <w:tabs>
          <w:tab w:val="center" w:pos="4509"/>
          <w:tab w:val="left" w:pos="7529"/>
        </w:tabs>
        <w:snapToGrid w:val="0"/>
        <w:spacing w:line="360" w:lineRule="auto"/>
        <w:jc w:val="center"/>
        <w:rPr>
          <w:color w:val="auto"/>
          <w:szCs w:val="21"/>
        </w:rPr>
      </w:pPr>
      <w:r>
        <w:rPr>
          <w:color w:val="auto"/>
          <w:position w:val="-30"/>
          <w:szCs w:val="21"/>
        </w:rPr>
        <w:object>
          <v:shape id="_x0000_i1028" o:spt="75" type="#_x0000_t75" style="height:33.75pt;width:80.25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r>
        <w:rPr>
          <w:color w:val="auto"/>
          <w:szCs w:val="21"/>
        </w:rPr>
        <w:t>.......................................（</w:t>
      </w:r>
      <w:r>
        <w:rPr>
          <w:color w:val="auto"/>
        </w:rPr>
        <w:t>A.</w:t>
      </w:r>
      <w:r>
        <w:rPr>
          <w:rFonts w:hint="eastAsia"/>
          <w:color w:val="auto"/>
        </w:rPr>
        <w:t>4</w:t>
      </w:r>
      <w:r>
        <w:rPr>
          <w:color w:val="auto"/>
          <w:szCs w:val="21"/>
        </w:rPr>
        <w:t>）</w:t>
      </w:r>
    </w:p>
    <w:p>
      <w:pPr>
        <w:snapToGrid w:val="0"/>
        <w:spacing w:line="360" w:lineRule="auto"/>
        <w:ind w:firstLine="420" w:firstLineChars="200"/>
        <w:rPr>
          <w:color w:val="auto"/>
          <w:szCs w:val="21"/>
        </w:rPr>
      </w:pPr>
      <w:r>
        <w:rPr>
          <w:color w:val="auto"/>
          <w:szCs w:val="21"/>
        </w:rPr>
        <w:t>式中：</w:t>
      </w:r>
    </w:p>
    <w:p>
      <w:pPr>
        <w:snapToGrid w:val="0"/>
        <w:spacing w:line="360" w:lineRule="auto"/>
        <w:ind w:firstLine="420" w:firstLineChars="200"/>
        <w:rPr>
          <w:color w:val="auto"/>
          <w:szCs w:val="21"/>
        </w:rPr>
      </w:pPr>
      <w:r>
        <w:rPr>
          <w:rFonts w:hint="eastAsia"/>
          <w:i/>
          <w:iCs/>
          <w:color w:val="auto"/>
          <w:szCs w:val="21"/>
          <w:lang w:val="en-US" w:eastAsia="zh-CN"/>
        </w:rPr>
        <w:t>P</w:t>
      </w:r>
      <w:r>
        <w:rPr>
          <w:rFonts w:hint="eastAsia"/>
          <w:i/>
          <w:iCs/>
          <w:color w:val="auto"/>
          <w:szCs w:val="21"/>
          <w:vertAlign w:val="subscript"/>
          <w:lang w:val="en-US" w:eastAsia="zh-CN"/>
        </w:rPr>
        <w:t>0</w:t>
      </w:r>
      <w:r>
        <w:rPr>
          <w:color w:val="auto"/>
          <w:szCs w:val="21"/>
        </w:rPr>
        <w:t>——总收回率，%；</w:t>
      </w:r>
    </w:p>
    <w:p>
      <w:pPr>
        <w:snapToGrid w:val="0"/>
        <w:spacing w:line="360" w:lineRule="auto"/>
        <w:ind w:firstLine="420" w:firstLineChars="200"/>
        <w:rPr>
          <w:color w:val="auto"/>
          <w:szCs w:val="21"/>
        </w:rPr>
      </w:pPr>
      <w:r>
        <w:rPr>
          <w:rFonts w:hint="eastAsia"/>
          <w:i/>
          <w:iCs/>
          <w:color w:val="auto"/>
          <w:szCs w:val="21"/>
          <w:lang w:val="en-US" w:eastAsia="zh-CN"/>
        </w:rPr>
        <w:t>W</w:t>
      </w:r>
      <w:r>
        <w:rPr>
          <w:rFonts w:hint="eastAsia"/>
          <w:i/>
          <w:iCs/>
          <w:color w:val="auto"/>
          <w:szCs w:val="21"/>
          <w:vertAlign w:val="subscript"/>
          <w:lang w:val="en-US" w:eastAsia="zh-CN"/>
        </w:rPr>
        <w:t>1</w:t>
      </w:r>
      <w:r>
        <w:rPr>
          <w:color w:val="auto"/>
          <w:szCs w:val="21"/>
        </w:rPr>
        <w:t>——成品糖及在制品糖中可制成糖的蔗糖（或糖度）质量，单位为吨（t）；</w:t>
      </w:r>
    </w:p>
    <w:p>
      <w:pPr>
        <w:snapToGrid w:val="0"/>
        <w:spacing w:line="360" w:lineRule="auto"/>
        <w:ind w:firstLine="420" w:firstLineChars="200"/>
        <w:rPr>
          <w:color w:val="auto"/>
          <w:szCs w:val="21"/>
        </w:rPr>
      </w:pPr>
      <w:r>
        <w:rPr>
          <w:rFonts w:hint="eastAsia"/>
          <w:i/>
          <w:iCs/>
          <w:color w:val="auto"/>
          <w:szCs w:val="21"/>
          <w:lang w:val="en-US" w:eastAsia="zh-CN"/>
        </w:rPr>
        <w:t>W</w:t>
      </w:r>
      <w:r>
        <w:rPr>
          <w:rFonts w:hint="eastAsia"/>
          <w:i/>
          <w:iCs/>
          <w:color w:val="auto"/>
          <w:szCs w:val="21"/>
          <w:vertAlign w:val="subscript"/>
          <w:lang w:val="en-US" w:eastAsia="zh-CN"/>
        </w:rPr>
        <w:t>2</w:t>
      </w:r>
      <w:r>
        <w:rPr>
          <w:color w:val="auto"/>
          <w:szCs w:val="21"/>
        </w:rPr>
        <w:t>——糖料中的蔗糖（或糖度）质量，单位为吨（t）。</w:t>
      </w:r>
    </w:p>
    <w:p>
      <w:pPr>
        <w:snapToGrid w:val="0"/>
        <w:spacing w:line="360" w:lineRule="auto"/>
        <w:outlineLvl w:val="2"/>
        <w:rPr>
          <w:b/>
          <w:bCs/>
          <w:color w:val="auto"/>
          <w:szCs w:val="21"/>
        </w:rPr>
      </w:pPr>
      <w:r>
        <w:rPr>
          <w:color w:val="auto"/>
        </w:rPr>
        <w:t>A.</w:t>
      </w:r>
      <w:r>
        <w:rPr>
          <w:rFonts w:hint="eastAsia"/>
          <w:color w:val="auto"/>
        </w:rPr>
        <w:t xml:space="preserve">5 </w:t>
      </w:r>
      <w:r>
        <w:rPr>
          <w:b/>
          <w:bCs/>
          <w:color w:val="auto"/>
          <w:szCs w:val="21"/>
        </w:rPr>
        <w:t>等折白砂糖产率</w:t>
      </w:r>
    </w:p>
    <w:p>
      <w:pPr>
        <w:snapToGrid w:val="0"/>
        <w:spacing w:line="360" w:lineRule="auto"/>
        <w:ind w:firstLine="420" w:firstLineChars="200"/>
        <w:rPr>
          <w:b/>
          <w:bCs/>
          <w:color w:val="auto"/>
          <w:szCs w:val="21"/>
        </w:rPr>
      </w:pPr>
      <w:r>
        <w:rPr>
          <w:color w:val="auto"/>
          <w:szCs w:val="21"/>
        </w:rPr>
        <w:t>等折白砂糖产率按公式（</w:t>
      </w:r>
      <w:r>
        <w:rPr>
          <w:color w:val="auto"/>
        </w:rPr>
        <w:t>A.</w:t>
      </w:r>
      <w:r>
        <w:rPr>
          <w:rFonts w:hint="eastAsia"/>
          <w:color w:val="auto"/>
        </w:rPr>
        <w:t>5</w:t>
      </w:r>
      <w:r>
        <w:rPr>
          <w:color w:val="auto"/>
          <w:szCs w:val="21"/>
        </w:rPr>
        <w:t>）计算：</w:t>
      </w:r>
    </w:p>
    <w:p>
      <w:pPr>
        <w:tabs>
          <w:tab w:val="center" w:pos="4509"/>
          <w:tab w:val="left" w:pos="7529"/>
        </w:tabs>
        <w:snapToGrid w:val="0"/>
        <w:spacing w:line="360" w:lineRule="auto"/>
        <w:ind w:firstLine="420" w:firstLineChars="200"/>
        <w:jc w:val="center"/>
        <w:rPr>
          <w:color w:val="auto"/>
          <w:szCs w:val="21"/>
        </w:rPr>
      </w:pPr>
      <w:r>
        <w:rPr>
          <w:color w:val="auto"/>
          <w:position w:val="-30"/>
          <w:szCs w:val="21"/>
        </w:rPr>
        <w:object>
          <v:shape id="_x0000_i1029" o:spt="75" type="#_x0000_t75" style="height:33.75pt;width:80.25pt;" o:ole="t" filled="f" o:preferrelative="t" stroked="f" coordsize="21600,21600">
            <v:path/>
            <v:fill on="f" focussize="0,0"/>
            <v:stroke on="f" joinstyle="miter"/>
            <v:imagedata r:id="rId15" o:title=""/>
            <o:lock v:ext="edit" aspectratio="t"/>
            <w10:wrap type="none"/>
            <w10:anchorlock/>
          </v:shape>
          <o:OLEObject Type="Embed" ProgID="Equation.3" ShapeID="_x0000_i1029" DrawAspect="Content" ObjectID="_1468075729" r:id="rId14">
            <o:LockedField>false</o:LockedField>
          </o:OLEObject>
        </w:object>
      </w:r>
      <w:r>
        <w:rPr>
          <w:color w:val="auto"/>
          <w:szCs w:val="21"/>
        </w:rPr>
        <w:t>.......................................（</w:t>
      </w:r>
      <w:r>
        <w:rPr>
          <w:color w:val="auto"/>
        </w:rPr>
        <w:t>A.</w:t>
      </w:r>
      <w:r>
        <w:rPr>
          <w:rFonts w:hint="eastAsia"/>
          <w:color w:val="auto"/>
        </w:rPr>
        <w:t>5</w:t>
      </w:r>
      <w:r>
        <w:rPr>
          <w:color w:val="auto"/>
          <w:szCs w:val="21"/>
        </w:rPr>
        <w:t>）</w:t>
      </w:r>
    </w:p>
    <w:p>
      <w:pPr>
        <w:snapToGrid w:val="0"/>
        <w:spacing w:line="360" w:lineRule="auto"/>
        <w:ind w:firstLine="420" w:firstLineChars="200"/>
        <w:rPr>
          <w:color w:val="auto"/>
          <w:szCs w:val="21"/>
        </w:rPr>
      </w:pPr>
      <w:r>
        <w:rPr>
          <w:color w:val="auto"/>
          <w:szCs w:val="21"/>
        </w:rPr>
        <w:t>式中：</w:t>
      </w:r>
    </w:p>
    <w:p>
      <w:pPr>
        <w:snapToGrid w:val="0"/>
        <w:spacing w:line="360" w:lineRule="auto"/>
        <w:ind w:firstLine="420" w:firstLineChars="200"/>
        <w:rPr>
          <w:color w:val="auto"/>
          <w:szCs w:val="21"/>
        </w:rPr>
      </w:pPr>
      <w:r>
        <w:rPr>
          <w:rFonts w:hint="eastAsia"/>
          <w:i/>
          <w:iCs/>
          <w:color w:val="auto"/>
          <w:szCs w:val="21"/>
          <w:lang w:val="en-US" w:eastAsia="zh-CN"/>
        </w:rPr>
        <w:t>P</w:t>
      </w:r>
      <w:r>
        <w:rPr>
          <w:rFonts w:hint="eastAsia"/>
          <w:i/>
          <w:iCs/>
          <w:color w:val="auto"/>
          <w:szCs w:val="21"/>
          <w:vertAlign w:val="subscript"/>
          <w:lang w:val="en-US" w:eastAsia="zh-CN"/>
        </w:rPr>
        <w:t>1</w:t>
      </w:r>
      <w:r>
        <w:rPr>
          <w:color w:val="auto"/>
          <w:szCs w:val="21"/>
        </w:rPr>
        <w:t>——等折白砂糖产率，%</w:t>
      </w:r>
    </w:p>
    <w:p>
      <w:pPr>
        <w:snapToGrid w:val="0"/>
        <w:spacing w:line="360" w:lineRule="auto"/>
        <w:ind w:firstLine="420" w:firstLineChars="200"/>
        <w:rPr>
          <w:color w:val="auto"/>
          <w:szCs w:val="21"/>
        </w:rPr>
      </w:pPr>
      <w:r>
        <w:rPr>
          <w:rFonts w:hint="eastAsia"/>
          <w:i/>
          <w:iCs/>
          <w:color w:val="auto"/>
          <w:szCs w:val="21"/>
          <w:lang w:val="en-US" w:eastAsia="zh-CN"/>
        </w:rPr>
        <w:t>W</w:t>
      </w:r>
      <w:r>
        <w:rPr>
          <w:rFonts w:hint="eastAsia"/>
          <w:i/>
          <w:iCs/>
          <w:color w:val="auto"/>
          <w:szCs w:val="21"/>
          <w:vertAlign w:val="subscript"/>
          <w:lang w:val="en-US" w:eastAsia="zh-CN"/>
        </w:rPr>
        <w:t>3</w:t>
      </w:r>
      <w:r>
        <w:rPr>
          <w:color w:val="auto"/>
          <w:szCs w:val="21"/>
        </w:rPr>
        <w:t>——本期已成及未成品等折白砂糖质量，单位为吨（t）。</w:t>
      </w:r>
    </w:p>
    <w:p>
      <w:pPr>
        <w:snapToGrid w:val="0"/>
        <w:spacing w:line="360" w:lineRule="auto"/>
        <w:ind w:firstLine="420" w:firstLineChars="200"/>
        <w:rPr>
          <w:color w:val="auto"/>
          <w:szCs w:val="21"/>
        </w:rPr>
      </w:pPr>
      <w:r>
        <w:rPr>
          <w:rFonts w:hint="eastAsia"/>
          <w:i/>
          <w:iCs/>
          <w:color w:val="auto"/>
          <w:szCs w:val="21"/>
          <w:lang w:val="en-US" w:eastAsia="zh-CN"/>
        </w:rPr>
        <w:t>W</w:t>
      </w:r>
      <w:r>
        <w:rPr>
          <w:rFonts w:hint="eastAsia"/>
          <w:i/>
          <w:iCs/>
          <w:color w:val="auto"/>
          <w:szCs w:val="21"/>
          <w:vertAlign w:val="subscript"/>
          <w:lang w:val="en-US" w:eastAsia="zh-CN"/>
        </w:rPr>
        <w:t>4</w:t>
      </w:r>
      <w:r>
        <w:rPr>
          <w:color w:val="auto"/>
          <w:szCs w:val="21"/>
        </w:rPr>
        <w:t>——实处理糖料质量，单位为吨（t）。</w:t>
      </w:r>
    </w:p>
    <w:p>
      <w:pPr>
        <w:snapToGrid w:val="0"/>
        <w:spacing w:line="360" w:lineRule="auto"/>
        <w:outlineLvl w:val="2"/>
        <w:rPr>
          <w:b/>
          <w:bCs/>
          <w:color w:val="auto"/>
          <w:szCs w:val="21"/>
        </w:rPr>
      </w:pPr>
      <w:r>
        <w:rPr>
          <w:color w:val="auto"/>
        </w:rPr>
        <w:t>A.</w:t>
      </w:r>
      <w:r>
        <w:rPr>
          <w:rFonts w:hint="eastAsia"/>
          <w:color w:val="auto"/>
        </w:rPr>
        <w:t xml:space="preserve">6 </w:t>
      </w:r>
      <w:r>
        <w:rPr>
          <w:b/>
          <w:bCs/>
          <w:color w:val="auto"/>
          <w:szCs w:val="21"/>
        </w:rPr>
        <w:t>吨糖耗新鲜水</w:t>
      </w:r>
    </w:p>
    <w:p>
      <w:pPr>
        <w:snapToGrid w:val="0"/>
        <w:spacing w:line="360" w:lineRule="auto"/>
        <w:ind w:firstLine="420" w:firstLineChars="200"/>
        <w:rPr>
          <w:b/>
          <w:bCs/>
          <w:color w:val="auto"/>
          <w:szCs w:val="21"/>
        </w:rPr>
      </w:pPr>
      <w:r>
        <w:rPr>
          <w:color w:val="auto"/>
          <w:szCs w:val="21"/>
        </w:rPr>
        <w:t>吨糖耗新鲜水按公式（</w:t>
      </w:r>
      <w:r>
        <w:rPr>
          <w:color w:val="auto"/>
        </w:rPr>
        <w:t>A.</w:t>
      </w:r>
      <w:r>
        <w:rPr>
          <w:rFonts w:hint="eastAsia"/>
          <w:color w:val="auto"/>
        </w:rPr>
        <w:t>6</w:t>
      </w:r>
      <w:r>
        <w:rPr>
          <w:color w:val="auto"/>
          <w:szCs w:val="21"/>
        </w:rPr>
        <w:t>）计算：</w:t>
      </w:r>
    </w:p>
    <w:p>
      <w:pPr>
        <w:tabs>
          <w:tab w:val="center" w:pos="4509"/>
          <w:tab w:val="left" w:pos="7529"/>
        </w:tabs>
        <w:snapToGrid w:val="0"/>
        <w:spacing w:line="360" w:lineRule="auto"/>
        <w:ind w:firstLine="420" w:firstLineChars="200"/>
        <w:jc w:val="center"/>
        <w:rPr>
          <w:color w:val="auto"/>
          <w:szCs w:val="21"/>
        </w:rPr>
      </w:pPr>
      <w:r>
        <w:rPr>
          <w:color w:val="auto"/>
          <w:position w:val="-28"/>
          <w:szCs w:val="21"/>
        </w:rPr>
        <w:object>
          <v:shape id="_x0000_i1030" o:spt="75" type="#_x0000_t75" style="height:33pt;width:35.25pt;" o:ole="t" filled="f" o:preferrelative="t" stroked="f" coordsize="21600,21600">
            <v:path/>
            <v:fill on="f" focussize="0,0"/>
            <v:stroke on="f" joinstyle="miter"/>
            <v:imagedata r:id="rId17" o:title=""/>
            <o:lock v:ext="edit" aspectratio="t"/>
            <w10:wrap type="none"/>
            <w10:anchorlock/>
          </v:shape>
          <o:OLEObject Type="Embed" ProgID="Equation.3" ShapeID="_x0000_i1030" DrawAspect="Content" ObjectID="_1468075730" r:id="rId16">
            <o:LockedField>false</o:LockedField>
          </o:OLEObject>
        </w:object>
      </w:r>
      <w:r>
        <w:rPr>
          <w:color w:val="auto"/>
          <w:szCs w:val="21"/>
        </w:rPr>
        <w:t>.......................................（</w:t>
      </w:r>
      <w:r>
        <w:rPr>
          <w:color w:val="auto"/>
        </w:rPr>
        <w:t>A.</w:t>
      </w:r>
      <w:r>
        <w:rPr>
          <w:rFonts w:hint="eastAsia"/>
          <w:color w:val="auto"/>
        </w:rPr>
        <w:t>6</w:t>
      </w:r>
      <w:r>
        <w:rPr>
          <w:color w:val="auto"/>
          <w:szCs w:val="21"/>
        </w:rPr>
        <w:t>）</w:t>
      </w:r>
    </w:p>
    <w:p>
      <w:pPr>
        <w:snapToGrid w:val="0"/>
        <w:spacing w:line="360" w:lineRule="auto"/>
        <w:ind w:firstLine="420" w:firstLineChars="200"/>
        <w:rPr>
          <w:color w:val="auto"/>
          <w:szCs w:val="21"/>
        </w:rPr>
      </w:pPr>
      <w:r>
        <w:rPr>
          <w:color w:val="auto"/>
          <w:szCs w:val="21"/>
        </w:rPr>
        <w:t>式中：</w:t>
      </w:r>
    </w:p>
    <w:p>
      <w:pPr>
        <w:snapToGrid w:val="0"/>
        <w:spacing w:line="360" w:lineRule="auto"/>
        <w:ind w:firstLine="420" w:firstLineChars="200"/>
        <w:rPr>
          <w:color w:val="auto"/>
          <w:szCs w:val="21"/>
        </w:rPr>
      </w:pPr>
      <w:r>
        <w:rPr>
          <w:rFonts w:hint="eastAsia"/>
          <w:i/>
          <w:iCs/>
          <w:color w:val="auto"/>
          <w:szCs w:val="21"/>
          <w:lang w:val="en-US" w:eastAsia="zh-CN"/>
        </w:rPr>
        <w:t>V</w:t>
      </w:r>
      <w:r>
        <w:rPr>
          <w:color w:val="auto"/>
          <w:szCs w:val="21"/>
        </w:rPr>
        <w:t>——吨糖耗新鲜水量，单位为立方米每吨（m³/t）；</w:t>
      </w:r>
    </w:p>
    <w:p>
      <w:pPr>
        <w:snapToGrid w:val="0"/>
        <w:spacing w:line="360" w:lineRule="auto"/>
        <w:ind w:firstLine="420" w:firstLineChars="200"/>
        <w:rPr>
          <w:color w:val="auto"/>
          <w:szCs w:val="21"/>
        </w:rPr>
      </w:pPr>
      <w:r>
        <w:rPr>
          <w:rFonts w:hint="eastAsia"/>
          <w:i/>
          <w:iCs/>
          <w:color w:val="auto"/>
          <w:szCs w:val="21"/>
          <w:lang w:val="en-US" w:eastAsia="zh-CN"/>
        </w:rPr>
        <w:t>V</w:t>
      </w:r>
      <w:r>
        <w:rPr>
          <w:rFonts w:hint="eastAsia"/>
          <w:i/>
          <w:iCs/>
          <w:color w:val="auto"/>
          <w:szCs w:val="21"/>
          <w:vertAlign w:val="subscript"/>
          <w:lang w:val="en-US" w:eastAsia="zh-CN"/>
        </w:rPr>
        <w:t>1</w:t>
      </w:r>
      <w:r>
        <w:rPr>
          <w:color w:val="auto"/>
          <w:szCs w:val="21"/>
        </w:rPr>
        <w:t>——榨季生产耗新鲜水量，单位为立方米（m³）；</w:t>
      </w:r>
    </w:p>
    <w:p>
      <w:pPr>
        <w:snapToGrid w:val="0"/>
        <w:spacing w:line="360" w:lineRule="auto"/>
        <w:ind w:firstLine="420" w:firstLineChars="200"/>
        <w:rPr>
          <w:color w:val="auto"/>
          <w:szCs w:val="21"/>
        </w:rPr>
      </w:pPr>
      <w:r>
        <w:rPr>
          <w:rFonts w:hint="eastAsia"/>
          <w:i/>
          <w:iCs/>
          <w:color w:val="auto"/>
          <w:szCs w:val="21"/>
          <w:lang w:val="en-US" w:eastAsia="zh-CN"/>
        </w:rPr>
        <w:t>Q</w:t>
      </w:r>
      <w:r>
        <w:rPr>
          <w:color w:val="auto"/>
          <w:szCs w:val="21"/>
        </w:rPr>
        <w:t>——等折白砂糖重量，单位为吨（t）。</w:t>
      </w:r>
    </w:p>
    <w:p>
      <w:pPr>
        <w:snapToGrid w:val="0"/>
        <w:spacing w:line="360" w:lineRule="auto"/>
        <w:outlineLvl w:val="2"/>
        <w:rPr>
          <w:b/>
          <w:bCs/>
          <w:color w:val="auto"/>
          <w:szCs w:val="21"/>
        </w:rPr>
      </w:pPr>
      <w:r>
        <w:rPr>
          <w:color w:val="auto"/>
        </w:rPr>
        <w:t>A.</w:t>
      </w:r>
      <w:r>
        <w:rPr>
          <w:rFonts w:hint="eastAsia"/>
          <w:color w:val="auto"/>
        </w:rPr>
        <w:t xml:space="preserve">7 </w:t>
      </w:r>
      <w:r>
        <w:rPr>
          <w:b/>
          <w:bCs/>
          <w:color w:val="auto"/>
          <w:szCs w:val="21"/>
        </w:rPr>
        <w:t>吨糖耗电量</w:t>
      </w:r>
    </w:p>
    <w:p>
      <w:pPr>
        <w:snapToGrid w:val="0"/>
        <w:spacing w:line="360" w:lineRule="auto"/>
        <w:ind w:firstLine="420" w:firstLineChars="200"/>
        <w:rPr>
          <w:b/>
          <w:bCs/>
          <w:color w:val="auto"/>
          <w:szCs w:val="21"/>
        </w:rPr>
      </w:pPr>
      <w:r>
        <w:rPr>
          <w:color w:val="auto"/>
          <w:szCs w:val="21"/>
        </w:rPr>
        <w:t>吨糖耗电量按公式（</w:t>
      </w:r>
      <w:r>
        <w:rPr>
          <w:color w:val="auto"/>
        </w:rPr>
        <w:t>A.</w:t>
      </w:r>
      <w:r>
        <w:rPr>
          <w:rFonts w:hint="eastAsia"/>
          <w:color w:val="auto"/>
        </w:rPr>
        <w:t>7</w:t>
      </w:r>
      <w:r>
        <w:rPr>
          <w:color w:val="auto"/>
          <w:szCs w:val="21"/>
        </w:rPr>
        <w:t>）进行：</w:t>
      </w:r>
    </w:p>
    <w:p>
      <w:pPr>
        <w:tabs>
          <w:tab w:val="center" w:pos="4509"/>
          <w:tab w:val="left" w:pos="7529"/>
        </w:tabs>
        <w:snapToGrid w:val="0"/>
        <w:spacing w:line="360" w:lineRule="auto"/>
        <w:jc w:val="center"/>
        <w:rPr>
          <w:color w:val="auto"/>
          <w:szCs w:val="21"/>
        </w:rPr>
      </w:pPr>
      <w:r>
        <w:rPr>
          <w:color w:val="auto"/>
          <w:position w:val="-28"/>
          <w:szCs w:val="21"/>
        </w:rPr>
        <w:object>
          <v:shape id="_x0000_i1031" o:spt="75" type="#_x0000_t75" style="height:33pt;width:40.5pt;" o:ole="t" filled="f" o:preferrelative="t" stroked="f" coordsize="21600,21600">
            <v:path/>
            <v:fill on="f" focussize="0,0"/>
            <v:stroke on="f" joinstyle="miter"/>
            <v:imagedata r:id="rId19" o:title=""/>
            <o:lock v:ext="edit" aspectratio="t"/>
            <w10:wrap type="none"/>
            <w10:anchorlock/>
          </v:shape>
          <o:OLEObject Type="Embed" ProgID="Equation.3" ShapeID="_x0000_i1031" DrawAspect="Content" ObjectID="_1468075731" r:id="rId18">
            <o:LockedField>false</o:LockedField>
          </o:OLEObject>
        </w:object>
      </w:r>
      <w:r>
        <w:rPr>
          <w:color w:val="auto"/>
          <w:szCs w:val="21"/>
        </w:rPr>
        <w:t>.......................................（</w:t>
      </w:r>
      <w:r>
        <w:rPr>
          <w:color w:val="auto"/>
        </w:rPr>
        <w:t>A.</w:t>
      </w:r>
      <w:r>
        <w:rPr>
          <w:rFonts w:hint="eastAsia"/>
          <w:color w:val="auto"/>
        </w:rPr>
        <w:t>7</w:t>
      </w:r>
      <w:r>
        <w:rPr>
          <w:color w:val="auto"/>
          <w:szCs w:val="21"/>
        </w:rPr>
        <w:t>）</w:t>
      </w:r>
    </w:p>
    <w:p>
      <w:pPr>
        <w:snapToGrid w:val="0"/>
        <w:spacing w:line="360" w:lineRule="auto"/>
        <w:ind w:firstLine="420" w:firstLineChars="200"/>
        <w:rPr>
          <w:color w:val="auto"/>
          <w:szCs w:val="21"/>
        </w:rPr>
      </w:pPr>
      <w:r>
        <w:rPr>
          <w:color w:val="auto"/>
          <w:szCs w:val="21"/>
        </w:rPr>
        <w:t>式中：</w:t>
      </w:r>
    </w:p>
    <w:p>
      <w:pPr>
        <w:snapToGrid w:val="0"/>
        <w:spacing w:line="360" w:lineRule="auto"/>
        <w:ind w:firstLine="420" w:firstLineChars="200"/>
        <w:rPr>
          <w:color w:val="auto"/>
          <w:szCs w:val="21"/>
        </w:rPr>
      </w:pPr>
      <w:r>
        <w:rPr>
          <w:rFonts w:hint="eastAsia"/>
          <w:i/>
          <w:iCs/>
          <w:color w:val="auto"/>
          <w:szCs w:val="21"/>
          <w:lang w:val="en-US" w:eastAsia="zh-CN"/>
        </w:rPr>
        <w:t>W</w:t>
      </w:r>
      <w:r>
        <w:rPr>
          <w:color w:val="auto"/>
          <w:szCs w:val="21"/>
        </w:rPr>
        <w:t>——吨糖耗电量，单位为千瓦·时每吨（k</w:t>
      </w:r>
      <w:r>
        <w:rPr>
          <w:rFonts w:hint="eastAsia"/>
          <w:color w:val="auto"/>
          <w:szCs w:val="21"/>
          <w:lang w:val="en-US" w:eastAsia="zh-CN"/>
        </w:rPr>
        <w:t>W</w:t>
      </w:r>
      <w:r>
        <w:rPr>
          <w:color w:val="auto"/>
          <w:szCs w:val="21"/>
        </w:rPr>
        <w:t>·h/t）；</w:t>
      </w:r>
    </w:p>
    <w:p>
      <w:pPr>
        <w:snapToGrid w:val="0"/>
        <w:spacing w:line="360" w:lineRule="auto"/>
        <w:ind w:firstLine="420" w:firstLineChars="200"/>
        <w:rPr>
          <w:color w:val="auto"/>
          <w:szCs w:val="21"/>
        </w:rPr>
      </w:pPr>
      <w:r>
        <w:rPr>
          <w:rFonts w:hint="eastAsia"/>
          <w:i/>
          <w:iCs/>
          <w:color w:val="auto"/>
          <w:szCs w:val="21"/>
          <w:lang w:val="en-US" w:eastAsia="zh-CN"/>
        </w:rPr>
        <w:t>W</w:t>
      </w:r>
      <w:r>
        <w:rPr>
          <w:rFonts w:hint="eastAsia"/>
          <w:i/>
          <w:iCs/>
          <w:color w:val="auto"/>
          <w:szCs w:val="21"/>
          <w:vertAlign w:val="subscript"/>
          <w:lang w:val="en-US" w:eastAsia="zh-CN"/>
        </w:rPr>
        <w:t>t</w:t>
      </w:r>
      <w:r>
        <w:rPr>
          <w:color w:val="auto"/>
          <w:szCs w:val="21"/>
        </w:rPr>
        <w:t>——耗电量，单位为千瓦·时（</w:t>
      </w:r>
      <w:r>
        <w:rPr>
          <w:rFonts w:hint="eastAsia"/>
          <w:color w:val="auto"/>
          <w:szCs w:val="21"/>
          <w:lang w:val="en-US" w:eastAsia="zh-CN"/>
        </w:rPr>
        <w:t>k</w:t>
      </w:r>
      <w:r>
        <w:rPr>
          <w:color w:val="auto"/>
          <w:szCs w:val="21"/>
        </w:rPr>
        <w:t>W·h）；</w:t>
      </w:r>
    </w:p>
    <w:p>
      <w:pPr>
        <w:snapToGrid w:val="0"/>
        <w:spacing w:line="360" w:lineRule="auto"/>
        <w:ind w:firstLine="420" w:firstLineChars="200"/>
        <w:rPr>
          <w:color w:val="auto"/>
          <w:szCs w:val="21"/>
        </w:rPr>
      </w:pPr>
      <w:r>
        <w:rPr>
          <w:rFonts w:hint="eastAsia"/>
          <w:i/>
          <w:iCs/>
          <w:color w:val="auto"/>
          <w:szCs w:val="21"/>
          <w:lang w:val="en-US" w:eastAsia="zh-CN"/>
        </w:rPr>
        <w:t>Q</w:t>
      </w:r>
      <w:r>
        <w:rPr>
          <w:color w:val="auto"/>
          <w:szCs w:val="21"/>
        </w:rPr>
        <w:t>——等折白砂糖重量，单位为吨（t）。</w:t>
      </w:r>
    </w:p>
    <w:p>
      <w:pPr>
        <w:snapToGrid w:val="0"/>
        <w:spacing w:line="360" w:lineRule="auto"/>
        <w:outlineLvl w:val="2"/>
        <w:rPr>
          <w:b/>
          <w:bCs/>
          <w:color w:val="auto"/>
          <w:szCs w:val="21"/>
        </w:rPr>
      </w:pPr>
      <w:r>
        <w:rPr>
          <w:color w:val="auto"/>
        </w:rPr>
        <w:t>A.</w:t>
      </w:r>
      <w:r>
        <w:rPr>
          <w:rFonts w:hint="eastAsia"/>
          <w:color w:val="auto"/>
        </w:rPr>
        <w:t xml:space="preserve">8 </w:t>
      </w:r>
      <w:r>
        <w:rPr>
          <w:b/>
          <w:bCs/>
          <w:color w:val="auto"/>
          <w:szCs w:val="21"/>
        </w:rPr>
        <w:t>吨糖耗标煤量</w:t>
      </w:r>
    </w:p>
    <w:p>
      <w:pPr>
        <w:snapToGrid w:val="0"/>
        <w:spacing w:line="360" w:lineRule="auto"/>
        <w:ind w:firstLine="420" w:firstLineChars="200"/>
        <w:rPr>
          <w:b/>
          <w:bCs/>
          <w:color w:val="auto"/>
          <w:szCs w:val="21"/>
        </w:rPr>
      </w:pPr>
      <w:r>
        <w:rPr>
          <w:color w:val="auto"/>
          <w:szCs w:val="21"/>
        </w:rPr>
        <w:t>吨糖耗标煤量按公式（</w:t>
      </w:r>
      <w:r>
        <w:rPr>
          <w:color w:val="auto"/>
        </w:rPr>
        <w:t>A.</w:t>
      </w:r>
      <w:r>
        <w:rPr>
          <w:rFonts w:hint="eastAsia"/>
          <w:color w:val="auto"/>
        </w:rPr>
        <w:t>8</w:t>
      </w:r>
      <w:r>
        <w:rPr>
          <w:color w:val="auto"/>
          <w:szCs w:val="21"/>
        </w:rPr>
        <w:t>）进行：</w:t>
      </w:r>
    </w:p>
    <w:p>
      <w:pPr>
        <w:tabs>
          <w:tab w:val="center" w:pos="4509"/>
          <w:tab w:val="left" w:pos="7529"/>
        </w:tabs>
        <w:snapToGrid w:val="0"/>
        <w:spacing w:line="360" w:lineRule="auto"/>
        <w:jc w:val="center"/>
        <w:rPr>
          <w:color w:val="auto"/>
          <w:szCs w:val="21"/>
        </w:rPr>
      </w:pPr>
      <w:r>
        <w:rPr>
          <w:color w:val="auto"/>
          <w:position w:val="-28"/>
          <w:szCs w:val="21"/>
        </w:rPr>
        <w:object>
          <v:shape id="_x0000_i1032" o:spt="75" type="#_x0000_t75" style="height:33pt;width:43.5pt;" o:ole="t" filled="f" o:preferrelative="t" stroked="f" coordsize="21600,21600">
            <v:path/>
            <v:fill on="f" focussize="0,0"/>
            <v:stroke on="f" joinstyle="miter"/>
            <v:imagedata r:id="rId21" o:title=""/>
            <o:lock v:ext="edit" aspectratio="t"/>
            <w10:wrap type="none"/>
            <w10:anchorlock/>
          </v:shape>
          <o:OLEObject Type="Embed" ProgID="Equation.3" ShapeID="_x0000_i1032" DrawAspect="Content" ObjectID="_1468075732" r:id="rId20">
            <o:LockedField>false</o:LockedField>
          </o:OLEObject>
        </w:object>
      </w:r>
      <w:r>
        <w:rPr>
          <w:color w:val="auto"/>
          <w:szCs w:val="21"/>
        </w:rPr>
        <w:t xml:space="preserve">  .......................................（</w:t>
      </w:r>
      <w:r>
        <w:rPr>
          <w:color w:val="auto"/>
        </w:rPr>
        <w:t>A.</w:t>
      </w:r>
      <w:r>
        <w:rPr>
          <w:rFonts w:hint="eastAsia"/>
          <w:color w:val="auto"/>
        </w:rPr>
        <w:t>8</w:t>
      </w:r>
      <w:r>
        <w:rPr>
          <w:color w:val="auto"/>
          <w:szCs w:val="21"/>
        </w:rPr>
        <w:t>）</w:t>
      </w:r>
    </w:p>
    <w:p>
      <w:pPr>
        <w:snapToGrid w:val="0"/>
        <w:spacing w:line="360" w:lineRule="auto"/>
        <w:ind w:firstLine="420" w:firstLineChars="200"/>
        <w:rPr>
          <w:color w:val="auto"/>
          <w:szCs w:val="21"/>
        </w:rPr>
      </w:pPr>
      <w:r>
        <w:rPr>
          <w:color w:val="auto"/>
          <w:szCs w:val="21"/>
        </w:rPr>
        <w:t>式中：</w:t>
      </w:r>
    </w:p>
    <w:p>
      <w:pPr>
        <w:snapToGrid w:val="0"/>
        <w:spacing w:line="360" w:lineRule="auto"/>
        <w:ind w:firstLine="420" w:firstLineChars="200"/>
        <w:rPr>
          <w:color w:val="auto"/>
          <w:szCs w:val="21"/>
        </w:rPr>
      </w:pPr>
      <w:r>
        <w:rPr>
          <w:rFonts w:hint="eastAsia"/>
          <w:i/>
          <w:iCs/>
          <w:color w:val="auto"/>
          <w:szCs w:val="21"/>
          <w:lang w:val="en-US" w:eastAsia="zh-CN"/>
        </w:rPr>
        <w:t>E</w:t>
      </w:r>
      <w:r>
        <w:rPr>
          <w:rFonts w:hint="eastAsia"/>
          <w:i/>
          <w:iCs/>
          <w:color w:val="auto"/>
          <w:szCs w:val="21"/>
          <w:vertAlign w:val="subscript"/>
          <w:lang w:val="en-US" w:eastAsia="zh-CN"/>
        </w:rPr>
        <w:t>ui</w:t>
      </w:r>
      <w:r>
        <w:rPr>
          <w:color w:val="auto"/>
          <w:szCs w:val="21"/>
        </w:rPr>
        <w:t>——吨糖耗标煤</w:t>
      </w:r>
      <w:r>
        <w:rPr>
          <w:rFonts w:hint="eastAsia"/>
          <w:color w:val="auto"/>
          <w:szCs w:val="21"/>
          <w:lang w:eastAsia="zh-CN"/>
        </w:rPr>
        <w:t>，</w:t>
      </w:r>
      <w:r>
        <w:rPr>
          <w:color w:val="auto"/>
          <w:szCs w:val="21"/>
        </w:rPr>
        <w:t>（kgce/t）；</w:t>
      </w:r>
    </w:p>
    <w:p>
      <w:pPr>
        <w:snapToGrid w:val="0"/>
        <w:spacing w:line="360" w:lineRule="auto"/>
        <w:ind w:firstLine="420" w:firstLineChars="200"/>
        <w:rPr>
          <w:color w:val="auto"/>
          <w:szCs w:val="21"/>
        </w:rPr>
      </w:pPr>
      <w:r>
        <w:rPr>
          <w:rFonts w:hint="eastAsia"/>
          <w:i/>
          <w:iCs/>
          <w:color w:val="auto"/>
          <w:szCs w:val="21"/>
          <w:lang w:val="en-US" w:eastAsia="zh-CN"/>
        </w:rPr>
        <w:t>E</w:t>
      </w:r>
      <w:r>
        <w:rPr>
          <w:rFonts w:hint="eastAsia"/>
          <w:i/>
          <w:iCs/>
          <w:color w:val="auto"/>
          <w:szCs w:val="21"/>
          <w:vertAlign w:val="subscript"/>
          <w:lang w:val="en-US" w:eastAsia="zh-CN"/>
        </w:rPr>
        <w:t>i</w:t>
      </w:r>
      <w:r>
        <w:rPr>
          <w:color w:val="auto"/>
          <w:szCs w:val="21"/>
        </w:rPr>
        <w:t>——耗用标准煤，（kgce）；</w:t>
      </w:r>
    </w:p>
    <w:p>
      <w:pPr>
        <w:snapToGrid w:val="0"/>
        <w:spacing w:line="360" w:lineRule="auto"/>
        <w:ind w:firstLine="420" w:firstLineChars="200"/>
        <w:rPr>
          <w:color w:val="auto"/>
          <w:szCs w:val="21"/>
        </w:rPr>
      </w:pPr>
      <w:r>
        <w:rPr>
          <w:rFonts w:hint="eastAsia"/>
          <w:i/>
          <w:iCs/>
          <w:color w:val="auto"/>
          <w:szCs w:val="21"/>
          <w:lang w:val="en-US" w:eastAsia="zh-CN"/>
        </w:rPr>
        <w:t>Q</w:t>
      </w:r>
      <w:r>
        <w:rPr>
          <w:color w:val="auto"/>
          <w:szCs w:val="21"/>
        </w:rPr>
        <w:t>——等折白砂糖重量，单位为吨（t）。</w:t>
      </w:r>
    </w:p>
    <w:p>
      <w:pPr>
        <w:snapToGrid w:val="0"/>
        <w:spacing w:line="360" w:lineRule="auto"/>
        <w:outlineLvl w:val="2"/>
        <w:rPr>
          <w:b/>
          <w:bCs/>
          <w:color w:val="auto"/>
          <w:szCs w:val="21"/>
        </w:rPr>
      </w:pPr>
      <w:r>
        <w:rPr>
          <w:color w:val="auto"/>
        </w:rPr>
        <w:t>A.</w:t>
      </w:r>
      <w:r>
        <w:rPr>
          <w:rFonts w:hint="eastAsia"/>
          <w:color w:val="auto"/>
        </w:rPr>
        <w:t xml:space="preserve">9 </w:t>
      </w:r>
      <w:r>
        <w:rPr>
          <w:b/>
          <w:bCs/>
          <w:color w:val="auto"/>
          <w:szCs w:val="21"/>
        </w:rPr>
        <w:t>水重复利用率</w:t>
      </w:r>
    </w:p>
    <w:p>
      <w:pPr>
        <w:snapToGrid w:val="0"/>
        <w:spacing w:line="360" w:lineRule="auto"/>
        <w:ind w:firstLine="420" w:firstLineChars="200"/>
        <w:rPr>
          <w:b/>
          <w:bCs/>
          <w:color w:val="auto"/>
          <w:szCs w:val="21"/>
        </w:rPr>
      </w:pPr>
      <w:r>
        <w:rPr>
          <w:color w:val="auto"/>
          <w:szCs w:val="21"/>
        </w:rPr>
        <w:t>水重复利用率按公式（</w:t>
      </w:r>
      <w:r>
        <w:rPr>
          <w:color w:val="auto"/>
        </w:rPr>
        <w:t>A.</w:t>
      </w:r>
      <w:r>
        <w:rPr>
          <w:rFonts w:hint="eastAsia"/>
          <w:color w:val="auto"/>
        </w:rPr>
        <w:t>9</w:t>
      </w:r>
      <w:r>
        <w:rPr>
          <w:color w:val="auto"/>
          <w:szCs w:val="21"/>
        </w:rPr>
        <w:t>）进行：</w:t>
      </w:r>
    </w:p>
    <w:p>
      <w:pPr>
        <w:tabs>
          <w:tab w:val="center" w:pos="4509"/>
          <w:tab w:val="left" w:pos="7529"/>
        </w:tabs>
        <w:snapToGrid w:val="0"/>
        <w:spacing w:line="360" w:lineRule="auto"/>
        <w:jc w:val="center"/>
        <w:rPr>
          <w:color w:val="auto"/>
          <w:szCs w:val="21"/>
        </w:rPr>
      </w:pPr>
      <w:r>
        <w:rPr>
          <w:color w:val="auto"/>
          <w:position w:val="-30"/>
          <w:szCs w:val="21"/>
        </w:rPr>
        <w:object>
          <v:shape id="_x0000_i1033" o:spt="75" type="#_x0000_t75" style="height:33.75pt;width:77.25pt;" o:ole="t" filled="f" o:preferrelative="t" stroked="f" coordsize="21600,21600">
            <v:path/>
            <v:fill on="f" focussize="0,0"/>
            <v:stroke on="f" joinstyle="miter"/>
            <v:imagedata r:id="rId23" o:title=""/>
            <o:lock v:ext="edit" aspectratio="t"/>
            <w10:wrap type="none"/>
            <w10:anchorlock/>
          </v:shape>
          <o:OLEObject Type="Embed" ProgID="Equation.3" ShapeID="_x0000_i1033" DrawAspect="Content" ObjectID="_1468075733" r:id="rId22">
            <o:LockedField>false</o:LockedField>
          </o:OLEObject>
        </w:object>
      </w:r>
      <w:r>
        <w:rPr>
          <w:color w:val="auto"/>
          <w:szCs w:val="21"/>
        </w:rPr>
        <w:t xml:space="preserve">  .......................................（</w:t>
      </w:r>
      <w:r>
        <w:rPr>
          <w:color w:val="auto"/>
        </w:rPr>
        <w:t>A.</w:t>
      </w:r>
      <w:r>
        <w:rPr>
          <w:rFonts w:hint="eastAsia"/>
          <w:color w:val="auto"/>
        </w:rPr>
        <w:t>9</w:t>
      </w:r>
      <w:r>
        <w:rPr>
          <w:color w:val="auto"/>
          <w:szCs w:val="21"/>
        </w:rPr>
        <w:t>）</w:t>
      </w:r>
    </w:p>
    <w:p>
      <w:pPr>
        <w:snapToGrid w:val="0"/>
        <w:spacing w:line="360" w:lineRule="auto"/>
        <w:ind w:firstLine="420" w:firstLineChars="200"/>
        <w:rPr>
          <w:color w:val="auto"/>
          <w:szCs w:val="21"/>
        </w:rPr>
      </w:pPr>
      <w:r>
        <w:rPr>
          <w:color w:val="auto"/>
          <w:szCs w:val="21"/>
        </w:rPr>
        <w:t>式中：</w:t>
      </w:r>
    </w:p>
    <w:p>
      <w:pPr>
        <w:snapToGrid w:val="0"/>
        <w:spacing w:line="360" w:lineRule="auto"/>
        <w:ind w:firstLine="420" w:firstLineChars="200"/>
        <w:rPr>
          <w:color w:val="auto"/>
          <w:szCs w:val="21"/>
        </w:rPr>
      </w:pPr>
      <w:r>
        <w:rPr>
          <w:rFonts w:hint="eastAsia"/>
          <w:i/>
          <w:iCs/>
          <w:color w:val="auto"/>
          <w:szCs w:val="21"/>
          <w:lang w:val="en-US" w:eastAsia="zh-CN"/>
        </w:rPr>
        <w:t>R</w:t>
      </w:r>
      <w:r>
        <w:rPr>
          <w:rFonts w:hint="eastAsia"/>
          <w:i/>
          <w:iCs/>
          <w:color w:val="auto"/>
          <w:szCs w:val="21"/>
          <w:vertAlign w:val="subscript"/>
          <w:lang w:val="en-US" w:eastAsia="zh-CN"/>
        </w:rPr>
        <w:t>1</w:t>
      </w:r>
      <w:r>
        <w:rPr>
          <w:color w:val="auto"/>
          <w:szCs w:val="21"/>
        </w:rPr>
        <w:t>——水重复利用率，%；</w:t>
      </w:r>
    </w:p>
    <w:p>
      <w:pPr>
        <w:snapToGrid w:val="0"/>
        <w:spacing w:line="360" w:lineRule="auto"/>
        <w:ind w:firstLine="420" w:firstLineChars="200"/>
        <w:rPr>
          <w:color w:val="auto"/>
          <w:szCs w:val="21"/>
        </w:rPr>
      </w:pPr>
      <w:r>
        <w:rPr>
          <w:rFonts w:hint="eastAsia"/>
          <w:i/>
          <w:iCs/>
          <w:color w:val="auto"/>
          <w:szCs w:val="21"/>
          <w:lang w:val="en-US" w:eastAsia="zh-CN"/>
        </w:rPr>
        <w:t>V</w:t>
      </w:r>
      <w:r>
        <w:rPr>
          <w:rFonts w:hint="eastAsia"/>
          <w:i/>
          <w:iCs/>
          <w:color w:val="auto"/>
          <w:szCs w:val="21"/>
          <w:vertAlign w:val="subscript"/>
          <w:lang w:val="en-US" w:eastAsia="zh-CN"/>
        </w:rPr>
        <w:t>3</w:t>
      </w:r>
      <w:r>
        <w:rPr>
          <w:color w:val="auto"/>
          <w:szCs w:val="21"/>
        </w:rPr>
        <w:t>——榨季全生产期重复用水量，单位为立方米（m³）；</w:t>
      </w:r>
    </w:p>
    <w:p>
      <w:pPr>
        <w:snapToGrid w:val="0"/>
        <w:spacing w:line="360" w:lineRule="auto"/>
        <w:ind w:firstLine="420" w:firstLineChars="200"/>
        <w:rPr>
          <w:color w:val="auto"/>
          <w:szCs w:val="21"/>
        </w:rPr>
      </w:pPr>
      <w:r>
        <w:rPr>
          <w:rFonts w:hint="eastAsia"/>
          <w:i/>
          <w:iCs/>
          <w:color w:val="auto"/>
          <w:szCs w:val="21"/>
          <w:lang w:val="en-US" w:eastAsia="zh-CN"/>
        </w:rPr>
        <w:t>V</w:t>
      </w:r>
      <w:r>
        <w:rPr>
          <w:rFonts w:hint="eastAsia"/>
          <w:i/>
          <w:iCs/>
          <w:color w:val="auto"/>
          <w:szCs w:val="21"/>
          <w:vertAlign w:val="subscript"/>
          <w:lang w:val="en-US" w:eastAsia="zh-CN"/>
        </w:rPr>
        <w:t>4</w:t>
      </w:r>
      <w:r>
        <w:rPr>
          <w:color w:val="auto"/>
          <w:szCs w:val="21"/>
        </w:rPr>
        <w:t>——榨季全生产期用水量，单位为立方米（m³）；</w:t>
      </w:r>
    </w:p>
    <w:p>
      <w:pPr>
        <w:snapToGrid w:val="0"/>
        <w:spacing w:line="360" w:lineRule="auto"/>
        <w:outlineLvl w:val="2"/>
        <w:rPr>
          <w:b/>
          <w:bCs/>
          <w:color w:val="auto"/>
          <w:szCs w:val="21"/>
        </w:rPr>
      </w:pPr>
      <w:r>
        <w:rPr>
          <w:color w:val="auto"/>
        </w:rPr>
        <w:t>A.</w:t>
      </w:r>
      <w:r>
        <w:rPr>
          <w:rFonts w:hint="eastAsia"/>
          <w:color w:val="auto"/>
        </w:rPr>
        <w:t xml:space="preserve">10 </w:t>
      </w:r>
      <w:r>
        <w:rPr>
          <w:b/>
          <w:bCs/>
          <w:color w:val="auto"/>
          <w:szCs w:val="21"/>
        </w:rPr>
        <w:t>吨糖废水产生量</w:t>
      </w:r>
    </w:p>
    <w:p>
      <w:pPr>
        <w:snapToGrid w:val="0"/>
        <w:spacing w:line="360" w:lineRule="auto"/>
        <w:ind w:firstLine="420" w:firstLineChars="200"/>
        <w:rPr>
          <w:color w:val="auto"/>
          <w:szCs w:val="21"/>
        </w:rPr>
      </w:pPr>
      <w:r>
        <w:rPr>
          <w:color w:val="auto"/>
          <w:szCs w:val="21"/>
        </w:rPr>
        <w:t>吨糖废水排放量按公式（</w:t>
      </w:r>
      <w:r>
        <w:rPr>
          <w:color w:val="auto"/>
        </w:rPr>
        <w:t>A.</w:t>
      </w:r>
      <w:r>
        <w:rPr>
          <w:rFonts w:hint="eastAsia"/>
          <w:color w:val="auto"/>
        </w:rPr>
        <w:t>10</w:t>
      </w:r>
      <w:r>
        <w:rPr>
          <w:color w:val="auto"/>
          <w:szCs w:val="21"/>
        </w:rPr>
        <w:t>）进行：</w:t>
      </w:r>
    </w:p>
    <w:p>
      <w:pPr>
        <w:tabs>
          <w:tab w:val="center" w:pos="4509"/>
          <w:tab w:val="left" w:pos="7529"/>
        </w:tabs>
        <w:snapToGrid w:val="0"/>
        <w:spacing w:line="360" w:lineRule="auto"/>
        <w:jc w:val="center"/>
        <w:rPr>
          <w:color w:val="auto"/>
          <w:szCs w:val="21"/>
        </w:rPr>
      </w:pPr>
      <w:r>
        <w:rPr>
          <w:color w:val="auto"/>
          <w:position w:val="-28"/>
          <w:szCs w:val="21"/>
        </w:rPr>
        <w:object>
          <v:shape id="_x0000_i1034" o:spt="75" type="#_x0000_t75" style="height:33pt;width:50.25pt;" o:ole="t" filled="f" o:preferrelative="t" stroked="f" coordsize="21600,21600">
            <v:path/>
            <v:fill on="f" focussize="0,0"/>
            <v:stroke on="f" joinstyle="miter"/>
            <v:imagedata r:id="rId25" o:title=""/>
            <o:lock v:ext="edit" aspectratio="t"/>
            <w10:wrap type="none"/>
            <w10:anchorlock/>
          </v:shape>
          <o:OLEObject Type="Embed" ProgID="Equation.3" ShapeID="_x0000_i1034" DrawAspect="Content" ObjectID="_1468075734" r:id="rId24">
            <o:LockedField>false</o:LockedField>
          </o:OLEObject>
        </w:object>
      </w:r>
      <w:r>
        <w:rPr>
          <w:color w:val="auto"/>
          <w:szCs w:val="21"/>
        </w:rPr>
        <w:t>.......................................（</w:t>
      </w:r>
      <w:r>
        <w:rPr>
          <w:color w:val="auto"/>
        </w:rPr>
        <w:t>A.</w:t>
      </w:r>
      <w:r>
        <w:rPr>
          <w:rFonts w:hint="eastAsia"/>
          <w:color w:val="auto"/>
        </w:rPr>
        <w:t>10</w:t>
      </w:r>
      <w:r>
        <w:rPr>
          <w:color w:val="auto"/>
          <w:szCs w:val="21"/>
        </w:rPr>
        <w:t>）</w:t>
      </w:r>
    </w:p>
    <w:p>
      <w:pPr>
        <w:snapToGrid w:val="0"/>
        <w:spacing w:line="360" w:lineRule="auto"/>
        <w:ind w:firstLine="420" w:firstLineChars="200"/>
        <w:rPr>
          <w:color w:val="auto"/>
          <w:szCs w:val="21"/>
        </w:rPr>
      </w:pPr>
      <w:r>
        <w:rPr>
          <w:color w:val="auto"/>
          <w:szCs w:val="21"/>
        </w:rPr>
        <w:t>式中：</w:t>
      </w:r>
    </w:p>
    <w:p>
      <w:pPr>
        <w:snapToGrid w:val="0"/>
        <w:spacing w:line="360" w:lineRule="auto"/>
        <w:ind w:firstLine="420" w:firstLineChars="200"/>
        <w:rPr>
          <w:color w:val="auto"/>
          <w:szCs w:val="21"/>
        </w:rPr>
      </w:pPr>
      <w:r>
        <w:rPr>
          <w:rFonts w:hint="eastAsia"/>
          <w:i/>
          <w:iCs/>
          <w:color w:val="auto"/>
          <w:szCs w:val="21"/>
          <w:lang w:val="en-US" w:eastAsia="zh-CN"/>
        </w:rPr>
        <w:t>V</w:t>
      </w:r>
      <w:r>
        <w:rPr>
          <w:rFonts w:hint="eastAsia"/>
          <w:i/>
          <w:iCs/>
          <w:color w:val="auto"/>
          <w:szCs w:val="21"/>
          <w:vertAlign w:val="subscript"/>
          <w:lang w:val="en-US" w:eastAsia="zh-CN"/>
        </w:rPr>
        <w:t>生产</w:t>
      </w:r>
      <w:r>
        <w:rPr>
          <w:color w:val="auto"/>
          <w:szCs w:val="21"/>
        </w:rPr>
        <w:t>——吨糖废水产生量，单位为立方米每吨（m³/t）；</w:t>
      </w:r>
    </w:p>
    <w:p>
      <w:pPr>
        <w:snapToGrid w:val="0"/>
        <w:spacing w:line="360" w:lineRule="auto"/>
        <w:ind w:firstLine="420" w:firstLineChars="200"/>
        <w:rPr>
          <w:color w:val="auto"/>
          <w:szCs w:val="21"/>
        </w:rPr>
      </w:pPr>
      <w:r>
        <w:rPr>
          <w:rFonts w:hint="eastAsia"/>
          <w:i/>
          <w:iCs/>
          <w:color w:val="auto"/>
          <w:szCs w:val="21"/>
          <w:lang w:val="en-US" w:eastAsia="zh-CN"/>
        </w:rPr>
        <w:t>V</w:t>
      </w:r>
      <w:r>
        <w:rPr>
          <w:rFonts w:hint="eastAsia"/>
          <w:i/>
          <w:iCs/>
          <w:color w:val="auto"/>
          <w:szCs w:val="21"/>
          <w:vertAlign w:val="subscript"/>
          <w:lang w:val="en-US" w:eastAsia="zh-CN"/>
        </w:rPr>
        <w:t>0</w:t>
      </w:r>
      <w:r>
        <w:rPr>
          <w:color w:val="auto"/>
          <w:szCs w:val="21"/>
        </w:rPr>
        <w:t>——榨季全生产期产生废水量，单位为立方米（m³）；</w:t>
      </w:r>
    </w:p>
    <w:p>
      <w:pPr>
        <w:snapToGrid w:val="0"/>
        <w:spacing w:line="360" w:lineRule="auto"/>
        <w:ind w:firstLine="420" w:firstLineChars="200"/>
        <w:rPr>
          <w:color w:val="auto"/>
          <w:szCs w:val="21"/>
        </w:rPr>
      </w:pPr>
      <w:r>
        <w:rPr>
          <w:rFonts w:hint="eastAsia"/>
          <w:i/>
          <w:iCs/>
          <w:color w:val="auto"/>
          <w:szCs w:val="21"/>
          <w:lang w:val="en-US" w:eastAsia="zh-CN"/>
        </w:rPr>
        <w:t>Q</w:t>
      </w:r>
      <w:r>
        <w:rPr>
          <w:color w:val="auto"/>
          <w:szCs w:val="21"/>
        </w:rPr>
        <w:t>——全榨季等折白砂糖质量，单位为吨（t）。</w:t>
      </w:r>
    </w:p>
    <w:p>
      <w:pPr>
        <w:snapToGrid w:val="0"/>
        <w:spacing w:line="360" w:lineRule="auto"/>
        <w:outlineLvl w:val="2"/>
        <w:rPr>
          <w:b/>
          <w:bCs/>
          <w:color w:val="auto"/>
          <w:szCs w:val="21"/>
        </w:rPr>
      </w:pPr>
      <w:r>
        <w:rPr>
          <w:color w:val="auto"/>
        </w:rPr>
        <w:t>A.</w:t>
      </w:r>
      <w:r>
        <w:rPr>
          <w:rFonts w:hint="eastAsia"/>
          <w:color w:val="auto"/>
        </w:rPr>
        <w:t xml:space="preserve">11 </w:t>
      </w:r>
      <w:r>
        <w:rPr>
          <w:b/>
          <w:bCs/>
          <w:color w:val="auto"/>
          <w:szCs w:val="21"/>
        </w:rPr>
        <w:t>吨糖化学需氧量（COD）产生量</w:t>
      </w:r>
    </w:p>
    <w:p>
      <w:pPr>
        <w:snapToGrid w:val="0"/>
        <w:spacing w:line="360" w:lineRule="auto"/>
        <w:ind w:firstLine="420" w:firstLineChars="200"/>
        <w:rPr>
          <w:b/>
          <w:bCs/>
          <w:color w:val="auto"/>
          <w:szCs w:val="21"/>
        </w:rPr>
      </w:pPr>
      <w:r>
        <w:rPr>
          <w:color w:val="auto"/>
          <w:szCs w:val="21"/>
        </w:rPr>
        <w:t>吨糖化学需氧量（COD）产生量按公式（</w:t>
      </w:r>
      <w:r>
        <w:rPr>
          <w:color w:val="auto"/>
        </w:rPr>
        <w:t>A.</w:t>
      </w:r>
      <w:r>
        <w:rPr>
          <w:rFonts w:hint="eastAsia"/>
          <w:color w:val="auto"/>
        </w:rPr>
        <w:t>11</w:t>
      </w:r>
      <w:r>
        <w:rPr>
          <w:color w:val="auto"/>
          <w:szCs w:val="21"/>
        </w:rPr>
        <w:t>）进行：</w:t>
      </w:r>
    </w:p>
    <w:p>
      <w:pPr>
        <w:tabs>
          <w:tab w:val="center" w:pos="4509"/>
          <w:tab w:val="left" w:pos="7529"/>
        </w:tabs>
        <w:snapToGrid w:val="0"/>
        <w:spacing w:line="360" w:lineRule="auto"/>
        <w:jc w:val="center"/>
        <w:rPr>
          <w:color w:val="auto"/>
          <w:szCs w:val="21"/>
        </w:rPr>
      </w:pPr>
      <w:r>
        <w:rPr>
          <w:color w:val="auto"/>
          <w:position w:val="-28"/>
          <w:szCs w:val="21"/>
        </w:rPr>
        <w:object>
          <v:shape id="_x0000_i1035" o:spt="75" type="#_x0000_t75" style="height:33.75pt;width:149.25pt;" o:ole="t" filled="f" o:preferrelative="t" stroked="f" coordsize="21600,21600">
            <v:path/>
            <v:fill on="f" focussize="0,0"/>
            <v:stroke on="f" joinstyle="miter"/>
            <v:imagedata r:id="rId27" o:title=""/>
            <o:lock v:ext="edit" aspectratio="t"/>
            <w10:wrap type="none"/>
            <w10:anchorlock/>
          </v:shape>
          <o:OLEObject Type="Embed" ProgID="Equation.3" ShapeID="_x0000_i1035" DrawAspect="Content" ObjectID="_1468075735" r:id="rId26">
            <o:LockedField>false</o:LockedField>
          </o:OLEObject>
        </w:object>
      </w:r>
      <w:r>
        <w:rPr>
          <w:color w:val="auto"/>
          <w:szCs w:val="21"/>
        </w:rPr>
        <w:t>.......................................（</w:t>
      </w:r>
      <w:r>
        <w:rPr>
          <w:color w:val="auto"/>
        </w:rPr>
        <w:t>A.</w:t>
      </w:r>
      <w:r>
        <w:rPr>
          <w:rFonts w:hint="eastAsia"/>
          <w:color w:val="auto"/>
        </w:rPr>
        <w:t>11</w:t>
      </w:r>
      <w:r>
        <w:rPr>
          <w:color w:val="auto"/>
          <w:szCs w:val="21"/>
        </w:rPr>
        <w:t>）</w:t>
      </w:r>
    </w:p>
    <w:p>
      <w:pPr>
        <w:snapToGrid w:val="0"/>
        <w:spacing w:line="360" w:lineRule="auto"/>
        <w:ind w:firstLine="420" w:firstLineChars="200"/>
        <w:rPr>
          <w:color w:val="auto"/>
          <w:szCs w:val="21"/>
        </w:rPr>
      </w:pPr>
      <w:r>
        <w:rPr>
          <w:color w:val="auto"/>
          <w:szCs w:val="21"/>
        </w:rPr>
        <w:t>式中：</w:t>
      </w:r>
    </w:p>
    <w:p>
      <w:pPr>
        <w:snapToGrid w:val="0"/>
        <w:spacing w:line="360" w:lineRule="auto"/>
        <w:ind w:firstLine="420" w:firstLineChars="200"/>
        <w:rPr>
          <w:color w:val="auto"/>
          <w:szCs w:val="21"/>
        </w:rPr>
      </w:pPr>
      <w:r>
        <w:rPr>
          <w:rFonts w:hint="eastAsia"/>
          <w:color w:val="auto"/>
          <w:szCs w:val="21"/>
          <w:lang w:val="en-US" w:eastAsia="zh-CN"/>
        </w:rPr>
        <w:t>COD</w:t>
      </w:r>
      <w:r>
        <w:rPr>
          <w:rFonts w:hint="eastAsia"/>
          <w:color w:val="auto"/>
          <w:szCs w:val="21"/>
          <w:vertAlign w:val="subscript"/>
          <w:lang w:val="en-US" w:eastAsia="zh-CN"/>
        </w:rPr>
        <w:t>产生</w:t>
      </w:r>
      <w:r>
        <w:rPr>
          <w:color w:val="auto"/>
          <w:szCs w:val="21"/>
        </w:rPr>
        <w:t>——吨糖化学需氧产生量，单位为千克每吨（kg/t）；</w:t>
      </w:r>
    </w:p>
    <w:p>
      <w:pPr>
        <w:snapToGrid w:val="0"/>
        <w:spacing w:line="360" w:lineRule="auto"/>
        <w:ind w:firstLine="420" w:firstLineChars="200"/>
        <w:rPr>
          <w:color w:val="auto"/>
          <w:szCs w:val="21"/>
        </w:rPr>
      </w:pPr>
      <w:r>
        <w:rPr>
          <w:rFonts w:hint="eastAsia"/>
          <w:color w:val="auto"/>
          <w:szCs w:val="21"/>
          <w:lang w:val="en-US" w:eastAsia="zh-CN"/>
        </w:rPr>
        <w:t>COD</w:t>
      </w:r>
      <w:r>
        <w:rPr>
          <w:rFonts w:hint="eastAsia"/>
          <w:color w:val="auto"/>
          <w:szCs w:val="21"/>
          <w:vertAlign w:val="subscript"/>
          <w:lang w:val="en-US" w:eastAsia="zh-CN"/>
        </w:rPr>
        <w:t>平均</w:t>
      </w:r>
      <w:r>
        <w:rPr>
          <w:color w:val="auto"/>
          <w:szCs w:val="21"/>
        </w:rPr>
        <w:t>——榨季COD浓度平均值，单位为毫克每升（mg/L）；</w:t>
      </w:r>
    </w:p>
    <w:p>
      <w:pPr>
        <w:snapToGrid w:val="0"/>
        <w:spacing w:line="360" w:lineRule="auto"/>
        <w:ind w:firstLine="420" w:firstLineChars="200"/>
        <w:rPr>
          <w:color w:val="auto"/>
          <w:szCs w:val="21"/>
        </w:rPr>
      </w:pPr>
      <w:r>
        <w:rPr>
          <w:rFonts w:hint="eastAsia"/>
          <w:i/>
          <w:iCs/>
          <w:color w:val="auto"/>
          <w:szCs w:val="21"/>
          <w:lang w:val="en-US" w:eastAsia="zh-CN"/>
        </w:rPr>
        <w:t>V</w:t>
      </w:r>
      <w:r>
        <w:rPr>
          <w:rFonts w:hint="eastAsia"/>
          <w:i/>
          <w:iCs/>
          <w:color w:val="auto"/>
          <w:szCs w:val="21"/>
          <w:vertAlign w:val="subscript"/>
          <w:lang w:val="en-US" w:eastAsia="zh-CN"/>
        </w:rPr>
        <w:t>0</w:t>
      </w:r>
      <w:r>
        <w:rPr>
          <w:color w:val="auto"/>
          <w:szCs w:val="21"/>
        </w:rPr>
        <w:t>——榨季全生产期产生废水量，单位为立方米（m³）；</w:t>
      </w:r>
    </w:p>
    <w:p>
      <w:pPr>
        <w:snapToGrid w:val="0"/>
        <w:spacing w:line="360" w:lineRule="auto"/>
        <w:ind w:firstLine="420" w:firstLineChars="200"/>
        <w:rPr>
          <w:color w:val="auto"/>
          <w:szCs w:val="21"/>
        </w:rPr>
      </w:pPr>
      <w:r>
        <w:rPr>
          <w:rFonts w:hint="eastAsia"/>
          <w:i/>
          <w:iCs/>
          <w:color w:val="auto"/>
          <w:szCs w:val="21"/>
          <w:lang w:val="en-US" w:eastAsia="zh-CN"/>
        </w:rPr>
        <w:t>Q</w:t>
      </w:r>
      <w:r>
        <w:rPr>
          <w:color w:val="auto"/>
          <w:szCs w:val="21"/>
        </w:rPr>
        <w:t>——全榨季等折白砂糖质量，单位为吨（t）。</w:t>
      </w:r>
    </w:p>
    <w:p>
      <w:pPr>
        <w:snapToGrid w:val="0"/>
        <w:spacing w:line="360" w:lineRule="auto"/>
        <w:outlineLvl w:val="2"/>
        <w:rPr>
          <w:b/>
          <w:bCs/>
          <w:color w:val="auto"/>
          <w:szCs w:val="21"/>
        </w:rPr>
      </w:pPr>
      <w:r>
        <w:rPr>
          <w:color w:val="auto"/>
        </w:rPr>
        <w:t>A.</w:t>
      </w:r>
      <w:r>
        <w:rPr>
          <w:rFonts w:hint="eastAsia"/>
          <w:color w:val="auto"/>
        </w:rPr>
        <w:t xml:space="preserve">12 </w:t>
      </w:r>
      <w:r>
        <w:rPr>
          <w:b/>
          <w:bCs/>
          <w:color w:val="auto"/>
          <w:szCs w:val="21"/>
        </w:rPr>
        <w:t>吨悬浮物（SS）产生量</w:t>
      </w:r>
    </w:p>
    <w:p>
      <w:pPr>
        <w:snapToGrid w:val="0"/>
        <w:spacing w:line="360" w:lineRule="auto"/>
        <w:ind w:firstLine="420" w:firstLineChars="200"/>
        <w:rPr>
          <w:b/>
          <w:bCs/>
          <w:color w:val="auto"/>
          <w:szCs w:val="21"/>
        </w:rPr>
      </w:pPr>
      <w:r>
        <w:rPr>
          <w:color w:val="auto"/>
          <w:szCs w:val="21"/>
        </w:rPr>
        <w:t>吨悬浮物（SS）产生量按公式（</w:t>
      </w:r>
      <w:r>
        <w:rPr>
          <w:color w:val="auto"/>
        </w:rPr>
        <w:t>A.</w:t>
      </w:r>
      <w:r>
        <w:rPr>
          <w:rFonts w:hint="eastAsia"/>
          <w:color w:val="auto"/>
        </w:rPr>
        <w:t>12</w:t>
      </w:r>
      <w:r>
        <w:rPr>
          <w:color w:val="auto"/>
          <w:szCs w:val="21"/>
        </w:rPr>
        <w:t>）进行：</w:t>
      </w:r>
    </w:p>
    <w:p>
      <w:pPr>
        <w:tabs>
          <w:tab w:val="center" w:pos="4509"/>
          <w:tab w:val="left" w:pos="7529"/>
        </w:tabs>
        <w:snapToGrid w:val="0"/>
        <w:spacing w:line="360" w:lineRule="auto"/>
        <w:jc w:val="center"/>
        <w:rPr>
          <w:color w:val="auto"/>
          <w:szCs w:val="21"/>
        </w:rPr>
      </w:pPr>
      <w:r>
        <w:rPr>
          <w:color w:val="auto"/>
          <w:position w:val="-28"/>
          <w:szCs w:val="21"/>
        </w:rPr>
        <w:object>
          <v:shape id="_x0000_i1036" o:spt="75" type="#_x0000_t75" style="height:33pt;width:94.5pt;" o:ole="t" filled="f" o:preferrelative="t" stroked="f" coordsize="21600,21600">
            <v:path/>
            <v:fill on="f" focussize="0,0"/>
            <v:stroke on="f" joinstyle="miter"/>
            <v:imagedata r:id="rId29" o:title=""/>
            <o:lock v:ext="edit" aspectratio="t"/>
            <w10:wrap type="none"/>
            <w10:anchorlock/>
          </v:shape>
          <o:OLEObject Type="Embed" ProgID="Equation.3" ShapeID="_x0000_i1036" DrawAspect="Content" ObjectID="_1468075736" r:id="rId28">
            <o:LockedField>false</o:LockedField>
          </o:OLEObject>
        </w:object>
      </w:r>
      <w:r>
        <w:rPr>
          <w:color w:val="auto"/>
          <w:szCs w:val="21"/>
        </w:rPr>
        <w:t>.......................................（</w:t>
      </w:r>
      <w:r>
        <w:rPr>
          <w:color w:val="auto"/>
        </w:rPr>
        <w:t>A.</w:t>
      </w:r>
      <w:r>
        <w:rPr>
          <w:rFonts w:hint="eastAsia"/>
          <w:color w:val="auto"/>
        </w:rPr>
        <w:t>12</w:t>
      </w:r>
      <w:r>
        <w:rPr>
          <w:color w:val="auto"/>
          <w:szCs w:val="21"/>
        </w:rPr>
        <w:t>）</w:t>
      </w:r>
    </w:p>
    <w:p>
      <w:pPr>
        <w:snapToGrid w:val="0"/>
        <w:spacing w:line="360" w:lineRule="auto"/>
        <w:ind w:firstLine="420" w:firstLineChars="200"/>
        <w:rPr>
          <w:color w:val="auto"/>
          <w:szCs w:val="21"/>
        </w:rPr>
      </w:pPr>
      <w:r>
        <w:rPr>
          <w:color w:val="auto"/>
          <w:szCs w:val="21"/>
        </w:rPr>
        <w:t>式中：</w:t>
      </w:r>
    </w:p>
    <w:p>
      <w:pPr>
        <w:snapToGrid w:val="0"/>
        <w:spacing w:line="360" w:lineRule="auto"/>
        <w:ind w:firstLine="420" w:firstLineChars="200"/>
        <w:rPr>
          <w:color w:val="auto"/>
          <w:szCs w:val="21"/>
        </w:rPr>
      </w:pPr>
      <w:r>
        <w:rPr>
          <w:rFonts w:hint="eastAsia"/>
          <w:i/>
          <w:iCs/>
          <w:color w:val="auto"/>
          <w:szCs w:val="21"/>
          <w:lang w:val="en-US" w:eastAsia="zh-CN"/>
        </w:rPr>
        <w:t>Q</w:t>
      </w:r>
      <w:r>
        <w:rPr>
          <w:rFonts w:hint="eastAsia"/>
          <w:i/>
          <w:iCs/>
          <w:color w:val="auto"/>
          <w:szCs w:val="21"/>
          <w:vertAlign w:val="subscript"/>
          <w:lang w:val="en-US" w:eastAsia="zh-CN"/>
        </w:rPr>
        <w:t>2</w:t>
      </w:r>
      <w:r>
        <w:rPr>
          <w:color w:val="auto"/>
          <w:szCs w:val="21"/>
        </w:rPr>
        <w:t>——吨糖悬浮物产生量，单位为千克每吨（kg/t）；</w:t>
      </w:r>
    </w:p>
    <w:p>
      <w:pPr>
        <w:snapToGrid w:val="0"/>
        <w:spacing w:line="360" w:lineRule="auto"/>
        <w:ind w:firstLine="420" w:firstLineChars="200"/>
        <w:rPr>
          <w:color w:val="auto"/>
          <w:szCs w:val="21"/>
        </w:rPr>
      </w:pPr>
      <w:r>
        <w:rPr>
          <w:rFonts w:hint="eastAsia"/>
          <w:i/>
          <w:iCs/>
          <w:color w:val="auto"/>
          <w:szCs w:val="21"/>
          <w:lang w:val="en-US" w:eastAsia="zh-CN"/>
        </w:rPr>
        <w:t>Q</w:t>
      </w:r>
      <w:r>
        <w:rPr>
          <w:rFonts w:hint="eastAsia"/>
          <w:i/>
          <w:iCs/>
          <w:color w:val="auto"/>
          <w:szCs w:val="21"/>
          <w:vertAlign w:val="subscript"/>
          <w:lang w:val="en-US" w:eastAsia="zh-CN"/>
        </w:rPr>
        <w:t>3</w:t>
      </w:r>
      <w:r>
        <w:rPr>
          <w:color w:val="auto"/>
          <w:szCs w:val="21"/>
        </w:rPr>
        <w:t>——榨季悬浮物浓度平均值，单位为毫克每升（mg/L）；</w:t>
      </w:r>
    </w:p>
    <w:p>
      <w:pPr>
        <w:snapToGrid w:val="0"/>
        <w:spacing w:line="360" w:lineRule="auto"/>
        <w:ind w:firstLine="420" w:firstLineChars="200"/>
        <w:rPr>
          <w:color w:val="auto"/>
          <w:szCs w:val="21"/>
        </w:rPr>
      </w:pPr>
      <w:r>
        <w:rPr>
          <w:rFonts w:hint="eastAsia"/>
          <w:i/>
          <w:iCs/>
          <w:color w:val="auto"/>
          <w:szCs w:val="21"/>
          <w:lang w:val="en-US" w:eastAsia="zh-CN"/>
        </w:rPr>
        <w:t>V</w:t>
      </w:r>
      <w:r>
        <w:rPr>
          <w:rFonts w:hint="eastAsia"/>
          <w:i/>
          <w:iCs/>
          <w:color w:val="auto"/>
          <w:szCs w:val="21"/>
          <w:vertAlign w:val="subscript"/>
          <w:lang w:val="en-US" w:eastAsia="zh-CN"/>
        </w:rPr>
        <w:t>0</w:t>
      </w:r>
      <w:r>
        <w:rPr>
          <w:color w:val="auto"/>
          <w:szCs w:val="21"/>
        </w:rPr>
        <w:t>——榨季全生产期产生废水量，单位为立方米（m³）；</w:t>
      </w:r>
    </w:p>
    <w:p>
      <w:pPr>
        <w:snapToGrid w:val="0"/>
        <w:spacing w:line="360" w:lineRule="auto"/>
        <w:ind w:firstLine="420" w:firstLineChars="200"/>
        <w:rPr>
          <w:color w:val="auto"/>
          <w:szCs w:val="21"/>
        </w:rPr>
      </w:pPr>
      <w:r>
        <w:rPr>
          <w:rFonts w:hint="eastAsia"/>
          <w:i/>
          <w:iCs/>
          <w:color w:val="auto"/>
          <w:szCs w:val="21"/>
          <w:lang w:val="en-US" w:eastAsia="zh-CN"/>
        </w:rPr>
        <w:t>Q</w:t>
      </w:r>
      <w:r>
        <w:rPr>
          <w:color w:val="auto"/>
          <w:szCs w:val="21"/>
        </w:rPr>
        <w:t>——榨季全生产期等折白砂糖质量，单位为吨（t）。</w:t>
      </w:r>
    </w:p>
    <w:p>
      <w:pPr>
        <w:pStyle w:val="25"/>
        <w:spacing w:line="300" w:lineRule="auto"/>
        <w:rPr>
          <w:rFonts w:ascii="Times New Roman"/>
          <w:color w:val="auto"/>
        </w:rPr>
      </w:pPr>
    </w:p>
    <w:p>
      <w:pPr>
        <w:pStyle w:val="25"/>
        <w:spacing w:line="300" w:lineRule="auto"/>
        <w:rPr>
          <w:rFonts w:ascii="Times New Roman"/>
          <w:color w:val="auto"/>
        </w:rPr>
        <w:sectPr>
          <w:pgSz w:w="11906" w:h="16838"/>
          <w:pgMar w:top="567" w:right="1134" w:bottom="1134" w:left="1418" w:header="1418" w:footer="1134" w:gutter="0"/>
          <w:pgNumType w:start="1"/>
          <w:cols w:space="720" w:num="1"/>
          <w:formProt w:val="0"/>
          <w:docGrid w:type="lines" w:linePitch="312" w:charSpace="0"/>
        </w:sectPr>
      </w:pPr>
    </w:p>
    <w:p>
      <w:pPr>
        <w:pStyle w:val="25"/>
        <w:adjustRightInd w:val="0"/>
        <w:snapToGrid w:val="0"/>
        <w:spacing w:line="360" w:lineRule="auto"/>
        <w:ind w:firstLine="0" w:firstLineChars="0"/>
        <w:jc w:val="center"/>
        <w:outlineLvl w:val="1"/>
        <w:rPr>
          <w:rFonts w:ascii="Times New Roman"/>
          <w:b/>
          <w:bCs/>
          <w:color w:val="auto"/>
          <w:sz w:val="24"/>
          <w:szCs w:val="24"/>
        </w:rPr>
      </w:pPr>
      <w:bookmarkStart w:id="28" w:name="_Toc55722990"/>
      <w:bookmarkStart w:id="29" w:name="_Toc55722801"/>
      <w:r>
        <w:rPr>
          <w:rFonts w:ascii="Times New Roman"/>
          <w:b/>
          <w:bCs/>
          <w:color w:val="auto"/>
          <w:sz w:val="24"/>
          <w:szCs w:val="24"/>
        </w:rPr>
        <w:t>附 录 B</w:t>
      </w:r>
      <w:bookmarkEnd w:id="28"/>
      <w:bookmarkEnd w:id="29"/>
    </w:p>
    <w:p>
      <w:pPr>
        <w:pStyle w:val="25"/>
        <w:adjustRightInd w:val="0"/>
        <w:snapToGrid w:val="0"/>
        <w:spacing w:line="360" w:lineRule="auto"/>
        <w:ind w:firstLine="0" w:firstLineChars="0"/>
        <w:jc w:val="center"/>
        <w:rPr>
          <w:rFonts w:ascii="Times New Roman"/>
          <w:b/>
          <w:bCs/>
          <w:color w:val="auto"/>
          <w:sz w:val="24"/>
          <w:szCs w:val="24"/>
        </w:rPr>
      </w:pPr>
      <w:r>
        <w:rPr>
          <w:rFonts w:ascii="Times New Roman"/>
          <w:b/>
          <w:bCs/>
          <w:color w:val="auto"/>
          <w:sz w:val="24"/>
          <w:szCs w:val="24"/>
        </w:rPr>
        <w:t>(</w:t>
      </w:r>
      <w:r>
        <w:rPr>
          <w:rFonts w:hint="eastAsia" w:ascii="Times New Roman"/>
          <w:b/>
          <w:bCs/>
          <w:color w:val="auto"/>
          <w:sz w:val="24"/>
          <w:szCs w:val="24"/>
        </w:rPr>
        <w:t>资料</w:t>
      </w:r>
      <w:r>
        <w:rPr>
          <w:rFonts w:ascii="Times New Roman"/>
          <w:b/>
          <w:bCs/>
          <w:color w:val="auto"/>
          <w:sz w:val="24"/>
          <w:szCs w:val="24"/>
        </w:rPr>
        <w:t>性附录)</w:t>
      </w:r>
    </w:p>
    <w:p>
      <w:pPr>
        <w:pStyle w:val="25"/>
        <w:adjustRightInd w:val="0"/>
        <w:snapToGrid w:val="0"/>
        <w:spacing w:line="360" w:lineRule="auto"/>
        <w:ind w:firstLine="0" w:firstLineChars="0"/>
        <w:jc w:val="center"/>
        <w:rPr>
          <w:rFonts w:ascii="Times New Roman"/>
          <w:b/>
          <w:bCs/>
          <w:color w:val="auto"/>
          <w:sz w:val="24"/>
          <w:szCs w:val="24"/>
        </w:rPr>
      </w:pPr>
      <w:r>
        <w:rPr>
          <w:rFonts w:ascii="Times New Roman"/>
          <w:b/>
          <w:bCs/>
          <w:color w:val="auto"/>
          <w:sz w:val="24"/>
          <w:szCs w:val="24"/>
        </w:rPr>
        <w:t>制糖行业绿色工厂评价指标表</w:t>
      </w:r>
    </w:p>
    <w:p>
      <w:pPr>
        <w:pStyle w:val="25"/>
        <w:adjustRightInd w:val="0"/>
        <w:snapToGrid w:val="0"/>
        <w:spacing w:line="360" w:lineRule="auto"/>
        <w:ind w:firstLine="420" w:firstLineChars="200"/>
        <w:jc w:val="left"/>
        <w:rPr>
          <w:rFonts w:hint="default" w:ascii="Times New Roman"/>
          <w:color w:val="auto"/>
          <w:lang w:val="en-US" w:eastAsia="zh-CN"/>
        </w:rPr>
      </w:pPr>
      <w:r>
        <w:rPr>
          <w:rFonts w:hint="eastAsia" w:ascii="Times New Roman"/>
          <w:color w:val="auto"/>
          <w:lang w:val="en-US" w:eastAsia="zh-CN"/>
        </w:rPr>
        <w:t>制糖行业绿色工厂评价指标见表B.1。</w:t>
      </w:r>
    </w:p>
    <w:p>
      <w:pPr>
        <w:pStyle w:val="25"/>
        <w:spacing w:line="300" w:lineRule="auto"/>
        <w:ind w:firstLine="0" w:firstLineChars="0"/>
        <w:jc w:val="center"/>
        <w:rPr>
          <w:rFonts w:ascii="Times New Roman"/>
          <w:color w:val="auto"/>
        </w:rPr>
      </w:pPr>
      <w:r>
        <w:rPr>
          <w:rFonts w:ascii="Times New Roman"/>
          <w:color w:val="auto"/>
        </w:rPr>
        <w:t xml:space="preserve">表B.1 </w:t>
      </w:r>
      <w:r>
        <w:rPr>
          <w:rFonts w:hint="eastAsia" w:ascii="Times New Roman"/>
          <w:color w:val="auto"/>
        </w:rPr>
        <w:t>制糖行业</w:t>
      </w:r>
      <w:r>
        <w:rPr>
          <w:rFonts w:ascii="Times New Roman"/>
          <w:color w:val="auto"/>
        </w:rPr>
        <w:t>绿色</w:t>
      </w:r>
      <w:r>
        <w:rPr>
          <w:rFonts w:hint="eastAsia" w:ascii="Times New Roman"/>
          <w:color w:val="auto"/>
        </w:rPr>
        <w:t>工</w:t>
      </w:r>
      <w:r>
        <w:rPr>
          <w:rFonts w:ascii="Times New Roman"/>
          <w:color w:val="auto"/>
        </w:rPr>
        <w:t>厂评价指标表</w:t>
      </w:r>
    </w:p>
    <w:tbl>
      <w:tblPr>
        <w:tblStyle w:val="36"/>
        <w:tblW w:w="147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134"/>
        <w:gridCol w:w="1132"/>
        <w:gridCol w:w="8640"/>
        <w:gridCol w:w="1063"/>
        <w:gridCol w:w="647"/>
        <w:gridCol w:w="709"/>
        <w:gridCol w:w="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817" w:type="dxa"/>
          </w:tcPr>
          <w:p>
            <w:pPr>
              <w:pStyle w:val="25"/>
              <w:spacing w:line="300" w:lineRule="auto"/>
              <w:ind w:firstLine="0" w:firstLineChars="0"/>
              <w:jc w:val="center"/>
              <w:rPr>
                <w:rFonts w:ascii="Times New Roman"/>
                <w:b w:val="0"/>
                <w:bCs w:val="0"/>
                <w:color w:val="auto"/>
                <w:szCs w:val="18"/>
              </w:rPr>
            </w:pPr>
            <w:r>
              <w:rPr>
                <w:b w:val="0"/>
                <w:bCs w:val="0"/>
                <w:color w:val="auto"/>
                <w:szCs w:val="21"/>
              </w:rPr>
              <w:t>序号</w:t>
            </w:r>
          </w:p>
        </w:tc>
        <w:tc>
          <w:tcPr>
            <w:tcW w:w="1134" w:type="dxa"/>
          </w:tcPr>
          <w:p>
            <w:pPr>
              <w:pStyle w:val="25"/>
              <w:spacing w:line="300" w:lineRule="auto"/>
              <w:ind w:firstLine="0" w:firstLineChars="0"/>
              <w:jc w:val="center"/>
              <w:rPr>
                <w:rFonts w:ascii="Times New Roman"/>
                <w:b w:val="0"/>
                <w:bCs w:val="0"/>
                <w:color w:val="auto"/>
                <w:szCs w:val="18"/>
              </w:rPr>
            </w:pPr>
            <w:r>
              <w:rPr>
                <w:b w:val="0"/>
                <w:bCs w:val="0"/>
                <w:color w:val="auto"/>
                <w:szCs w:val="21"/>
              </w:rPr>
              <w:t>一级指标</w:t>
            </w:r>
          </w:p>
        </w:tc>
        <w:tc>
          <w:tcPr>
            <w:tcW w:w="1132" w:type="dxa"/>
          </w:tcPr>
          <w:p>
            <w:pPr>
              <w:pStyle w:val="25"/>
              <w:spacing w:line="300" w:lineRule="auto"/>
              <w:ind w:firstLine="0" w:firstLineChars="0"/>
              <w:jc w:val="center"/>
              <w:rPr>
                <w:rFonts w:ascii="Times New Roman"/>
                <w:b w:val="0"/>
                <w:bCs w:val="0"/>
                <w:color w:val="auto"/>
                <w:szCs w:val="18"/>
              </w:rPr>
            </w:pPr>
            <w:r>
              <w:rPr>
                <w:b w:val="0"/>
                <w:bCs w:val="0"/>
                <w:color w:val="auto"/>
                <w:szCs w:val="21"/>
              </w:rPr>
              <w:t>二级指标</w:t>
            </w:r>
          </w:p>
        </w:tc>
        <w:tc>
          <w:tcPr>
            <w:tcW w:w="8640" w:type="dxa"/>
          </w:tcPr>
          <w:p>
            <w:pPr>
              <w:pStyle w:val="25"/>
              <w:spacing w:line="300" w:lineRule="auto"/>
              <w:ind w:firstLine="0" w:firstLineChars="0"/>
              <w:jc w:val="center"/>
              <w:rPr>
                <w:rFonts w:ascii="Times New Roman"/>
                <w:b w:val="0"/>
                <w:bCs w:val="0"/>
                <w:color w:val="auto"/>
                <w:szCs w:val="18"/>
              </w:rPr>
            </w:pPr>
            <w:r>
              <w:rPr>
                <w:b w:val="0"/>
                <w:bCs w:val="0"/>
                <w:color w:val="auto"/>
                <w:szCs w:val="21"/>
              </w:rPr>
              <w:t>要求条款</w:t>
            </w:r>
          </w:p>
        </w:tc>
        <w:tc>
          <w:tcPr>
            <w:tcW w:w="1063" w:type="dxa"/>
          </w:tcPr>
          <w:p>
            <w:pPr>
              <w:pStyle w:val="25"/>
              <w:spacing w:line="300" w:lineRule="auto"/>
              <w:ind w:firstLine="0" w:firstLineChars="0"/>
              <w:jc w:val="center"/>
              <w:rPr>
                <w:rFonts w:ascii="Times New Roman"/>
                <w:b w:val="0"/>
                <w:bCs w:val="0"/>
                <w:color w:val="auto"/>
                <w:szCs w:val="18"/>
              </w:rPr>
            </w:pPr>
            <w:r>
              <w:rPr>
                <w:b w:val="0"/>
                <w:bCs w:val="0"/>
                <w:color w:val="auto"/>
                <w:szCs w:val="21"/>
              </w:rPr>
              <w:t>要求类型</w:t>
            </w:r>
          </w:p>
        </w:tc>
        <w:tc>
          <w:tcPr>
            <w:tcW w:w="647" w:type="dxa"/>
          </w:tcPr>
          <w:p>
            <w:pPr>
              <w:pStyle w:val="25"/>
              <w:spacing w:line="300" w:lineRule="auto"/>
              <w:ind w:firstLine="0" w:firstLineChars="0"/>
              <w:jc w:val="center"/>
              <w:rPr>
                <w:rFonts w:ascii="Times New Roman"/>
                <w:b w:val="0"/>
                <w:bCs w:val="0"/>
                <w:color w:val="auto"/>
                <w:szCs w:val="18"/>
              </w:rPr>
            </w:pPr>
            <w:r>
              <w:rPr>
                <w:b w:val="0"/>
                <w:bCs w:val="0"/>
                <w:color w:val="auto"/>
                <w:szCs w:val="21"/>
              </w:rPr>
              <w:t>分值</w:t>
            </w:r>
          </w:p>
        </w:tc>
        <w:tc>
          <w:tcPr>
            <w:tcW w:w="709" w:type="dxa"/>
          </w:tcPr>
          <w:p>
            <w:pPr>
              <w:pStyle w:val="25"/>
              <w:spacing w:line="300" w:lineRule="auto"/>
              <w:ind w:firstLine="0" w:firstLineChars="0"/>
              <w:jc w:val="center"/>
              <w:rPr>
                <w:rFonts w:ascii="Times New Roman"/>
                <w:b w:val="0"/>
                <w:bCs w:val="0"/>
                <w:color w:val="auto"/>
                <w:szCs w:val="18"/>
              </w:rPr>
            </w:pPr>
            <w:r>
              <w:rPr>
                <w:rFonts w:hint="eastAsia"/>
                <w:b w:val="0"/>
                <w:bCs w:val="0"/>
                <w:color w:val="auto"/>
                <w:szCs w:val="21"/>
              </w:rPr>
              <w:t>得分</w:t>
            </w:r>
          </w:p>
        </w:tc>
        <w:tc>
          <w:tcPr>
            <w:tcW w:w="644" w:type="dxa"/>
          </w:tcPr>
          <w:p>
            <w:pPr>
              <w:pStyle w:val="25"/>
              <w:spacing w:line="300" w:lineRule="auto"/>
              <w:ind w:firstLine="0" w:firstLineChars="0"/>
              <w:jc w:val="center"/>
              <w:rPr>
                <w:rFonts w:ascii="Times New Roman"/>
                <w:b w:val="0"/>
                <w:bCs w:val="0"/>
                <w:color w:val="auto"/>
                <w:szCs w:val="18"/>
              </w:rPr>
            </w:pPr>
            <w:r>
              <w:rPr>
                <w:rFonts w:hint="eastAsia"/>
                <w:b w:val="0"/>
                <w:bCs w:val="0"/>
                <w:color w:val="auto"/>
                <w:szCs w:val="21"/>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restart"/>
            <w:vAlign w:val="center"/>
          </w:tcPr>
          <w:p>
            <w:pPr>
              <w:pStyle w:val="25"/>
              <w:spacing w:line="300" w:lineRule="auto"/>
              <w:ind w:firstLine="0" w:firstLineChars="0"/>
              <w:jc w:val="center"/>
              <w:rPr>
                <w:rFonts w:hint="eastAsia" w:ascii="Times New Roman" w:eastAsia="宋体"/>
                <w:b w:val="0"/>
                <w:bCs w:val="0"/>
                <w:color w:val="auto"/>
                <w:szCs w:val="18"/>
                <w:lang w:eastAsia="zh-CN"/>
              </w:rPr>
            </w:pPr>
            <w:r>
              <w:rPr>
                <w:rFonts w:hint="eastAsia" w:ascii="Times New Roman"/>
                <w:b w:val="0"/>
                <w:bCs w:val="0"/>
                <w:color w:val="auto"/>
                <w:szCs w:val="18"/>
                <w:lang w:val="en-US" w:eastAsia="zh-CN"/>
              </w:rPr>
              <w:t>1</w:t>
            </w:r>
          </w:p>
        </w:tc>
        <w:tc>
          <w:tcPr>
            <w:tcW w:w="1134" w:type="dxa"/>
            <w:vMerge w:val="restart"/>
            <w:vAlign w:val="center"/>
          </w:tcPr>
          <w:p>
            <w:pPr>
              <w:pStyle w:val="25"/>
              <w:spacing w:line="300" w:lineRule="auto"/>
              <w:ind w:firstLine="0" w:firstLineChars="0"/>
              <w:jc w:val="center"/>
              <w:rPr>
                <w:rFonts w:hint="eastAsia" w:ascii="Times New Roman"/>
                <w:b w:val="0"/>
                <w:bCs w:val="0"/>
                <w:color w:val="auto"/>
                <w:szCs w:val="18"/>
              </w:rPr>
            </w:pPr>
            <w:r>
              <w:rPr>
                <w:rFonts w:hint="eastAsia" w:ascii="Times New Roman"/>
                <w:b w:val="0"/>
                <w:bCs w:val="0"/>
                <w:color w:val="auto"/>
                <w:szCs w:val="18"/>
              </w:rPr>
              <w:t>基本</w:t>
            </w:r>
          </w:p>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要求</w:t>
            </w:r>
          </w:p>
        </w:tc>
        <w:tc>
          <w:tcPr>
            <w:tcW w:w="1132" w:type="dxa"/>
            <w:vMerge w:val="restart"/>
            <w:vAlign w:val="center"/>
          </w:tcPr>
          <w:p>
            <w:pPr>
              <w:pStyle w:val="25"/>
              <w:spacing w:line="300" w:lineRule="auto"/>
              <w:ind w:firstLine="0" w:firstLineChars="0"/>
              <w:jc w:val="center"/>
              <w:rPr>
                <w:rFonts w:hint="eastAsia" w:ascii="Times New Roman"/>
                <w:b w:val="0"/>
                <w:bCs w:val="0"/>
                <w:color w:val="auto"/>
                <w:szCs w:val="18"/>
              </w:rPr>
            </w:pPr>
            <w:r>
              <w:rPr>
                <w:rFonts w:hint="eastAsia" w:ascii="Times New Roman"/>
                <w:b w:val="0"/>
                <w:bCs w:val="0"/>
                <w:color w:val="auto"/>
                <w:szCs w:val="18"/>
              </w:rPr>
              <w:t>合规性</w:t>
            </w:r>
          </w:p>
          <w:p>
            <w:pPr>
              <w:pStyle w:val="25"/>
              <w:spacing w:line="300" w:lineRule="auto"/>
              <w:ind w:firstLine="0" w:firstLineChars="0"/>
              <w:jc w:val="center"/>
              <w:rPr>
                <w:rFonts w:hint="eastAsia" w:ascii="Times New Roman"/>
                <w:b w:val="0"/>
                <w:bCs w:val="0"/>
                <w:color w:val="auto"/>
                <w:szCs w:val="18"/>
              </w:rPr>
            </w:pPr>
            <w:r>
              <w:rPr>
                <w:rFonts w:hint="eastAsia" w:ascii="Times New Roman"/>
                <w:b w:val="0"/>
                <w:bCs w:val="0"/>
                <w:color w:val="auto"/>
                <w:szCs w:val="18"/>
              </w:rPr>
              <w:t>与相关</w:t>
            </w:r>
          </w:p>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方要求</w:t>
            </w: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工厂应依法设立，在建设和生产过程中应遵守有关法律、法规、政策和标准。</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pStyle w:val="25"/>
              <w:spacing w:line="300" w:lineRule="auto"/>
              <w:ind w:firstLine="0" w:firstLineChars="0"/>
              <w:jc w:val="center"/>
              <w:rPr>
                <w:rFonts w:ascii="Times New Roman"/>
                <w:b w:val="0"/>
                <w:bCs w:val="0"/>
                <w:color w:val="auto"/>
                <w:szCs w:val="18"/>
              </w:rPr>
            </w:pP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restart"/>
            <w:vAlign w:val="center"/>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一票否决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continue"/>
            <w:vAlign w:val="center"/>
          </w:tcPr>
          <w:p>
            <w:pPr>
              <w:pStyle w:val="25"/>
              <w:spacing w:line="300" w:lineRule="auto"/>
              <w:ind w:firstLine="0" w:firstLineChars="0"/>
              <w:jc w:val="center"/>
              <w:rPr>
                <w:rFonts w:ascii="Times New Roman"/>
                <w:b w:val="0"/>
                <w:bCs w:val="0"/>
                <w:color w:val="auto"/>
                <w:szCs w:val="18"/>
              </w:rPr>
            </w:pPr>
          </w:p>
        </w:tc>
        <w:tc>
          <w:tcPr>
            <w:tcW w:w="8640" w:type="dxa"/>
          </w:tcPr>
          <w:p>
            <w:pPr>
              <w:pStyle w:val="25"/>
              <w:spacing w:line="300" w:lineRule="auto"/>
              <w:ind w:firstLine="0" w:firstLineChars="0"/>
              <w:rPr>
                <w:rFonts w:ascii="Times New Roman"/>
                <w:b w:val="0"/>
                <w:bCs w:val="0"/>
                <w:color w:val="auto"/>
                <w:szCs w:val="18"/>
              </w:rPr>
            </w:pPr>
            <w:r>
              <w:rPr>
                <w:rFonts w:hint="eastAsia" w:ascii="Times New Roman"/>
                <w:b w:val="0"/>
                <w:bCs w:val="0"/>
                <w:color w:val="auto"/>
                <w:szCs w:val="18"/>
              </w:rPr>
              <w:t>工厂应依法取得食品生产许可证，并按照规定的时间定期提交执行报告。</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pStyle w:val="25"/>
              <w:spacing w:line="300" w:lineRule="auto"/>
              <w:ind w:firstLine="0" w:firstLineChars="0"/>
              <w:jc w:val="center"/>
              <w:rPr>
                <w:rFonts w:ascii="Times New Roman"/>
                <w:b w:val="0"/>
                <w:bCs w:val="0"/>
                <w:color w:val="auto"/>
                <w:szCs w:val="18"/>
              </w:rPr>
            </w:pP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continue"/>
            <w:vAlign w:val="center"/>
          </w:tcPr>
          <w:p>
            <w:pPr>
              <w:pStyle w:val="25"/>
              <w:spacing w:line="300" w:lineRule="auto"/>
              <w:ind w:firstLine="0" w:firstLineChars="0"/>
              <w:jc w:val="center"/>
              <w:rPr>
                <w:rFonts w:ascii="Times New Roman"/>
                <w:b w:val="0"/>
                <w:bCs w:val="0"/>
                <w:color w:val="auto"/>
                <w:szCs w:val="18"/>
              </w:rPr>
            </w:pPr>
          </w:p>
        </w:tc>
        <w:tc>
          <w:tcPr>
            <w:tcW w:w="8640" w:type="dxa"/>
          </w:tcPr>
          <w:p>
            <w:pPr>
              <w:pStyle w:val="25"/>
              <w:spacing w:line="300" w:lineRule="auto"/>
              <w:ind w:firstLine="0" w:firstLineChars="0"/>
              <w:rPr>
                <w:rFonts w:ascii="Times New Roman"/>
                <w:b w:val="0"/>
                <w:bCs w:val="0"/>
                <w:color w:val="auto"/>
                <w:szCs w:val="18"/>
              </w:rPr>
            </w:pPr>
            <w:r>
              <w:rPr>
                <w:rFonts w:hint="eastAsia" w:ascii="Times New Roman"/>
                <w:b w:val="0"/>
                <w:bCs w:val="0"/>
                <w:color w:val="auto"/>
                <w:szCs w:val="18"/>
              </w:rPr>
              <w:t>工厂各种污染物排放指标应符合国家现行有关标准对制糖行业的要求。</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pStyle w:val="25"/>
              <w:spacing w:line="300" w:lineRule="auto"/>
              <w:ind w:firstLine="0" w:firstLineChars="0"/>
              <w:jc w:val="center"/>
              <w:rPr>
                <w:rFonts w:ascii="Times New Roman"/>
                <w:b w:val="0"/>
                <w:bCs w:val="0"/>
                <w:color w:val="auto"/>
                <w:szCs w:val="18"/>
              </w:rPr>
            </w:pP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continue"/>
            <w:vAlign w:val="center"/>
          </w:tcPr>
          <w:p>
            <w:pPr>
              <w:pStyle w:val="25"/>
              <w:spacing w:line="300" w:lineRule="auto"/>
              <w:ind w:firstLine="0" w:firstLineChars="0"/>
              <w:jc w:val="center"/>
              <w:rPr>
                <w:rFonts w:ascii="Times New Roman"/>
                <w:b w:val="0"/>
                <w:bCs w:val="0"/>
                <w:color w:val="auto"/>
                <w:szCs w:val="18"/>
              </w:rPr>
            </w:pPr>
          </w:p>
        </w:tc>
        <w:tc>
          <w:tcPr>
            <w:tcW w:w="8640" w:type="dxa"/>
          </w:tcPr>
          <w:p>
            <w:pPr>
              <w:pStyle w:val="25"/>
              <w:spacing w:line="300" w:lineRule="auto"/>
              <w:ind w:firstLine="0" w:firstLineChars="0"/>
              <w:rPr>
                <w:rFonts w:ascii="Times New Roman"/>
                <w:b w:val="0"/>
                <w:bCs w:val="0"/>
                <w:color w:val="auto"/>
                <w:szCs w:val="18"/>
              </w:rPr>
            </w:pPr>
            <w:r>
              <w:rPr>
                <w:rFonts w:hint="eastAsia" w:ascii="Times New Roman"/>
                <w:b w:val="0"/>
                <w:bCs w:val="0"/>
                <w:color w:val="auto"/>
                <w:szCs w:val="18"/>
              </w:rPr>
              <w:t>工厂近三年（含成立不足三年）无较大安全、环保、质量等事故。</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pStyle w:val="25"/>
              <w:spacing w:line="300" w:lineRule="auto"/>
              <w:ind w:firstLine="0" w:firstLineChars="0"/>
              <w:jc w:val="center"/>
              <w:rPr>
                <w:rFonts w:ascii="Times New Roman"/>
                <w:b w:val="0"/>
                <w:bCs w:val="0"/>
                <w:color w:val="auto"/>
                <w:szCs w:val="18"/>
              </w:rPr>
            </w:pP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continue"/>
            <w:vAlign w:val="center"/>
          </w:tcPr>
          <w:p>
            <w:pPr>
              <w:pStyle w:val="25"/>
              <w:spacing w:line="300" w:lineRule="auto"/>
              <w:ind w:firstLine="0" w:firstLineChars="0"/>
              <w:jc w:val="center"/>
              <w:rPr>
                <w:rFonts w:ascii="Times New Roman"/>
                <w:b w:val="0"/>
                <w:bCs w:val="0"/>
                <w:color w:val="auto"/>
                <w:szCs w:val="18"/>
              </w:rPr>
            </w:pPr>
          </w:p>
        </w:tc>
        <w:tc>
          <w:tcPr>
            <w:tcW w:w="8640" w:type="dxa"/>
          </w:tcPr>
          <w:p>
            <w:pPr>
              <w:pStyle w:val="25"/>
              <w:spacing w:line="300" w:lineRule="auto"/>
              <w:ind w:firstLine="0" w:firstLineChars="0"/>
              <w:rPr>
                <w:rFonts w:ascii="Times New Roman"/>
                <w:b w:val="0"/>
                <w:bCs w:val="0"/>
                <w:color w:val="auto"/>
                <w:szCs w:val="18"/>
              </w:rPr>
            </w:pPr>
            <w:r>
              <w:rPr>
                <w:rFonts w:hint="eastAsia" w:ascii="Times New Roman"/>
                <w:b w:val="0"/>
                <w:bCs w:val="0"/>
                <w:color w:val="auto"/>
                <w:szCs w:val="18"/>
              </w:rPr>
              <w:t>对利益相关方环境要求做出承诺的，应同时满足有关承诺要求。</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pStyle w:val="25"/>
              <w:spacing w:line="300" w:lineRule="auto"/>
              <w:ind w:firstLine="0" w:firstLineChars="0"/>
              <w:jc w:val="center"/>
              <w:rPr>
                <w:rFonts w:ascii="Times New Roman"/>
                <w:b w:val="0"/>
                <w:bCs w:val="0"/>
                <w:color w:val="auto"/>
                <w:szCs w:val="18"/>
              </w:rPr>
            </w:pP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restart"/>
            <w:vAlign w:val="center"/>
          </w:tcPr>
          <w:p>
            <w:pPr>
              <w:pStyle w:val="25"/>
              <w:spacing w:line="300" w:lineRule="auto"/>
              <w:ind w:firstLine="0" w:firstLineChars="0"/>
              <w:jc w:val="center"/>
              <w:rPr>
                <w:rFonts w:hint="eastAsia" w:ascii="Times New Roman"/>
                <w:b w:val="0"/>
                <w:bCs w:val="0"/>
                <w:color w:val="auto"/>
                <w:szCs w:val="18"/>
              </w:rPr>
            </w:pPr>
            <w:r>
              <w:rPr>
                <w:rFonts w:hint="eastAsia" w:ascii="Times New Roman"/>
                <w:b w:val="0"/>
                <w:bCs w:val="0"/>
                <w:color w:val="auto"/>
                <w:szCs w:val="18"/>
              </w:rPr>
              <w:t>基础管</w:t>
            </w:r>
          </w:p>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理职责</w:t>
            </w: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最高管理者在绿色工厂方面的领导作用和承诺应满足GB/T 36132-2018中4.3.1a）的要求；最高管理者确保在工厂内部分配并沟通与绿色工厂相关角色的职责和权限，且应满足GB/T 36132-2018中4.3.1b）的要求。</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pStyle w:val="25"/>
              <w:spacing w:line="300" w:lineRule="auto"/>
              <w:ind w:firstLine="0" w:firstLineChars="0"/>
              <w:jc w:val="center"/>
              <w:rPr>
                <w:rFonts w:ascii="Times New Roman"/>
                <w:b w:val="0"/>
                <w:bCs w:val="0"/>
                <w:color w:val="auto"/>
                <w:szCs w:val="18"/>
              </w:rPr>
            </w:pP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vAlign w:val="center"/>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continue"/>
          </w:tcPr>
          <w:p>
            <w:pPr>
              <w:pStyle w:val="25"/>
              <w:spacing w:line="300" w:lineRule="auto"/>
              <w:ind w:firstLine="0" w:firstLineChars="0"/>
              <w:jc w:val="center"/>
              <w:rPr>
                <w:rFonts w:ascii="Times New Roman"/>
                <w:b w:val="0"/>
                <w:bCs w:val="0"/>
                <w:color w:val="auto"/>
                <w:szCs w:val="18"/>
              </w:rPr>
            </w:pP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工厂的基础管理职责应满足GB/T 36132-2018中4.3.2的要求。</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pStyle w:val="25"/>
              <w:spacing w:line="300" w:lineRule="auto"/>
              <w:ind w:firstLine="0" w:firstLineChars="0"/>
              <w:jc w:val="center"/>
              <w:rPr>
                <w:rFonts w:ascii="Times New Roman"/>
                <w:b w:val="0"/>
                <w:bCs w:val="0"/>
                <w:color w:val="auto"/>
                <w:szCs w:val="18"/>
              </w:rPr>
            </w:pP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restart"/>
            <w:vAlign w:val="center"/>
          </w:tcPr>
          <w:p>
            <w:pPr>
              <w:pStyle w:val="25"/>
              <w:spacing w:line="300" w:lineRule="auto"/>
              <w:ind w:firstLine="0" w:firstLineChars="0"/>
              <w:jc w:val="center"/>
              <w:rPr>
                <w:rFonts w:hint="eastAsia" w:ascii="Times New Roman"/>
                <w:b w:val="0"/>
                <w:bCs w:val="0"/>
                <w:color w:val="auto"/>
                <w:szCs w:val="18"/>
                <w:lang w:val="en-US" w:eastAsia="zh-CN"/>
              </w:rPr>
            </w:pPr>
          </w:p>
          <w:p>
            <w:pPr>
              <w:pStyle w:val="25"/>
              <w:spacing w:line="300" w:lineRule="auto"/>
              <w:ind w:firstLine="0" w:firstLineChars="0"/>
              <w:jc w:val="center"/>
              <w:rPr>
                <w:rFonts w:hint="eastAsia" w:ascii="Times New Roman"/>
                <w:b w:val="0"/>
                <w:bCs w:val="0"/>
                <w:color w:val="auto"/>
                <w:szCs w:val="18"/>
                <w:lang w:val="en-US" w:eastAsia="zh-CN"/>
              </w:rPr>
            </w:pPr>
          </w:p>
          <w:p>
            <w:pPr>
              <w:pStyle w:val="25"/>
              <w:spacing w:line="300" w:lineRule="auto"/>
              <w:ind w:firstLine="0" w:firstLineChars="0"/>
              <w:jc w:val="center"/>
              <w:rPr>
                <w:rFonts w:hint="eastAsia" w:ascii="Times New Roman"/>
                <w:b w:val="0"/>
                <w:bCs w:val="0"/>
                <w:color w:val="auto"/>
                <w:szCs w:val="18"/>
                <w:lang w:val="en-US" w:eastAsia="zh-CN"/>
              </w:rPr>
            </w:pPr>
          </w:p>
          <w:p>
            <w:pPr>
              <w:pStyle w:val="25"/>
              <w:spacing w:line="300" w:lineRule="auto"/>
              <w:ind w:firstLine="0" w:firstLineChars="0"/>
              <w:jc w:val="center"/>
              <w:rPr>
                <w:rFonts w:hint="eastAsia" w:ascii="Times New Roman"/>
                <w:b w:val="0"/>
                <w:bCs w:val="0"/>
                <w:color w:val="auto"/>
                <w:szCs w:val="18"/>
                <w:lang w:val="en-US" w:eastAsia="zh-CN"/>
              </w:rPr>
            </w:pPr>
          </w:p>
          <w:p>
            <w:pPr>
              <w:pStyle w:val="25"/>
              <w:spacing w:line="300" w:lineRule="auto"/>
              <w:ind w:firstLine="0" w:firstLineChars="0"/>
              <w:jc w:val="center"/>
              <w:rPr>
                <w:rFonts w:hint="eastAsia" w:ascii="Times New Roman"/>
                <w:b w:val="0"/>
                <w:bCs w:val="0"/>
                <w:color w:val="auto"/>
                <w:szCs w:val="18"/>
                <w:lang w:val="en-US" w:eastAsia="zh-CN"/>
              </w:rPr>
            </w:pPr>
          </w:p>
          <w:p>
            <w:pPr>
              <w:pStyle w:val="25"/>
              <w:spacing w:line="300" w:lineRule="auto"/>
              <w:ind w:firstLine="0" w:firstLineChars="0"/>
              <w:jc w:val="center"/>
              <w:rPr>
                <w:rFonts w:hint="eastAsia" w:ascii="Times New Roman"/>
                <w:b w:val="0"/>
                <w:bCs w:val="0"/>
                <w:color w:val="auto"/>
                <w:szCs w:val="18"/>
                <w:lang w:val="en-US" w:eastAsia="zh-CN"/>
              </w:rPr>
            </w:pPr>
          </w:p>
          <w:p>
            <w:pPr>
              <w:pStyle w:val="25"/>
              <w:spacing w:line="300" w:lineRule="auto"/>
              <w:ind w:firstLine="0" w:firstLineChars="0"/>
              <w:jc w:val="center"/>
              <w:rPr>
                <w:rFonts w:hint="eastAsia" w:ascii="Times New Roman"/>
                <w:b w:val="0"/>
                <w:bCs w:val="0"/>
                <w:color w:val="auto"/>
                <w:szCs w:val="18"/>
                <w:lang w:val="en-US" w:eastAsia="zh-CN"/>
              </w:rPr>
            </w:pPr>
          </w:p>
          <w:p>
            <w:pPr>
              <w:pStyle w:val="25"/>
              <w:spacing w:line="300" w:lineRule="auto"/>
              <w:ind w:firstLine="0" w:firstLineChars="0"/>
              <w:jc w:val="center"/>
              <w:rPr>
                <w:rFonts w:hint="eastAsia" w:ascii="Times New Roman" w:eastAsia="宋体"/>
                <w:b w:val="0"/>
                <w:bCs w:val="0"/>
                <w:color w:val="auto"/>
                <w:szCs w:val="18"/>
                <w:lang w:eastAsia="zh-CN"/>
              </w:rPr>
            </w:pPr>
            <w:r>
              <w:rPr>
                <w:rFonts w:hint="eastAsia" w:ascii="Times New Roman"/>
                <w:b w:val="0"/>
                <w:bCs w:val="0"/>
                <w:color w:val="auto"/>
                <w:szCs w:val="18"/>
                <w:lang w:val="en-US" w:eastAsia="zh-CN"/>
              </w:rPr>
              <w:t>2</w:t>
            </w:r>
          </w:p>
        </w:tc>
        <w:tc>
          <w:tcPr>
            <w:tcW w:w="1134" w:type="dxa"/>
            <w:vMerge w:val="restart"/>
            <w:vAlign w:val="center"/>
          </w:tcPr>
          <w:p>
            <w:pPr>
              <w:pStyle w:val="25"/>
              <w:spacing w:line="300" w:lineRule="auto"/>
              <w:ind w:firstLine="0" w:firstLineChars="0"/>
              <w:jc w:val="center"/>
              <w:rPr>
                <w:rFonts w:hint="eastAsia" w:ascii="Times New Roman"/>
                <w:b w:val="0"/>
                <w:bCs w:val="0"/>
                <w:color w:val="auto"/>
                <w:szCs w:val="18"/>
              </w:rPr>
            </w:pPr>
          </w:p>
          <w:p>
            <w:pPr>
              <w:pStyle w:val="25"/>
              <w:spacing w:line="300" w:lineRule="auto"/>
              <w:ind w:firstLine="0" w:firstLineChars="0"/>
              <w:jc w:val="center"/>
              <w:rPr>
                <w:rFonts w:hint="eastAsia" w:ascii="Times New Roman"/>
                <w:b w:val="0"/>
                <w:bCs w:val="0"/>
                <w:color w:val="auto"/>
                <w:szCs w:val="18"/>
              </w:rPr>
            </w:pPr>
          </w:p>
          <w:p>
            <w:pPr>
              <w:pStyle w:val="25"/>
              <w:spacing w:line="300" w:lineRule="auto"/>
              <w:ind w:firstLine="0" w:firstLineChars="0"/>
              <w:jc w:val="center"/>
              <w:rPr>
                <w:rFonts w:hint="eastAsia" w:ascii="Times New Roman"/>
                <w:b w:val="0"/>
                <w:bCs w:val="0"/>
                <w:color w:val="auto"/>
                <w:szCs w:val="18"/>
              </w:rPr>
            </w:pPr>
          </w:p>
          <w:p>
            <w:pPr>
              <w:pStyle w:val="25"/>
              <w:spacing w:line="300" w:lineRule="auto"/>
              <w:ind w:firstLine="0" w:firstLineChars="0"/>
              <w:jc w:val="center"/>
              <w:rPr>
                <w:rFonts w:hint="eastAsia" w:ascii="Times New Roman"/>
                <w:b w:val="0"/>
                <w:bCs w:val="0"/>
                <w:color w:val="auto"/>
                <w:szCs w:val="18"/>
              </w:rPr>
            </w:pPr>
          </w:p>
          <w:p>
            <w:pPr>
              <w:pStyle w:val="25"/>
              <w:spacing w:line="300" w:lineRule="auto"/>
              <w:ind w:firstLine="0" w:firstLineChars="0"/>
              <w:jc w:val="center"/>
              <w:rPr>
                <w:rFonts w:hint="eastAsia" w:ascii="Times New Roman"/>
                <w:b w:val="0"/>
                <w:bCs w:val="0"/>
                <w:color w:val="auto"/>
                <w:szCs w:val="18"/>
              </w:rPr>
            </w:pPr>
          </w:p>
          <w:p>
            <w:pPr>
              <w:pStyle w:val="25"/>
              <w:spacing w:line="300" w:lineRule="auto"/>
              <w:ind w:firstLine="0" w:firstLineChars="0"/>
              <w:jc w:val="center"/>
              <w:rPr>
                <w:rFonts w:hint="eastAsia" w:ascii="Times New Roman"/>
                <w:b w:val="0"/>
                <w:bCs w:val="0"/>
                <w:color w:val="auto"/>
                <w:szCs w:val="18"/>
              </w:rPr>
            </w:pPr>
          </w:p>
          <w:p>
            <w:pPr>
              <w:pStyle w:val="25"/>
              <w:spacing w:line="300" w:lineRule="auto"/>
              <w:ind w:firstLine="0" w:firstLineChars="0"/>
              <w:jc w:val="center"/>
              <w:rPr>
                <w:rFonts w:hint="eastAsia" w:ascii="Times New Roman"/>
                <w:b w:val="0"/>
                <w:bCs w:val="0"/>
                <w:color w:val="auto"/>
                <w:szCs w:val="18"/>
              </w:rPr>
            </w:pPr>
          </w:p>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基础设施</w:t>
            </w:r>
          </w:p>
        </w:tc>
        <w:tc>
          <w:tcPr>
            <w:tcW w:w="1132" w:type="dxa"/>
            <w:vMerge w:val="restart"/>
            <w:vAlign w:val="center"/>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建筑</w:t>
            </w: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工厂的建筑应满足国家或地方相关法律法规及标准的要求。</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10</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restart"/>
            <w:vAlign w:val="center"/>
          </w:tcPr>
          <w:p>
            <w:pPr>
              <w:pStyle w:val="25"/>
              <w:spacing w:line="300" w:lineRule="auto"/>
              <w:ind w:firstLine="0" w:firstLineChars="0"/>
              <w:jc w:val="center"/>
              <w:rPr>
                <w:rFonts w:hint="eastAsia" w:ascii="Times New Roman"/>
                <w:b w:val="0"/>
                <w:bCs w:val="0"/>
                <w:color w:val="auto"/>
                <w:szCs w:val="18"/>
              </w:rPr>
            </w:pPr>
          </w:p>
          <w:p>
            <w:pPr>
              <w:pStyle w:val="25"/>
              <w:spacing w:line="300" w:lineRule="auto"/>
              <w:ind w:firstLine="0" w:firstLineChars="0"/>
              <w:jc w:val="center"/>
              <w:rPr>
                <w:rFonts w:hint="eastAsia" w:ascii="Times New Roman"/>
                <w:b w:val="0"/>
                <w:bCs w:val="0"/>
                <w:color w:val="auto"/>
                <w:szCs w:val="18"/>
              </w:rPr>
            </w:pPr>
          </w:p>
          <w:p>
            <w:pPr>
              <w:pStyle w:val="25"/>
              <w:spacing w:line="300" w:lineRule="auto"/>
              <w:ind w:firstLine="0" w:firstLineChars="0"/>
              <w:jc w:val="center"/>
              <w:rPr>
                <w:rFonts w:hint="eastAsia" w:ascii="Times New Roman"/>
                <w:b w:val="0"/>
                <w:bCs w:val="0"/>
                <w:color w:val="auto"/>
                <w:szCs w:val="18"/>
              </w:rPr>
            </w:pPr>
          </w:p>
          <w:p>
            <w:pPr>
              <w:pStyle w:val="25"/>
              <w:spacing w:line="300" w:lineRule="auto"/>
              <w:ind w:firstLine="0" w:firstLineChars="0"/>
              <w:jc w:val="center"/>
              <w:rPr>
                <w:rFonts w:hint="eastAsia" w:ascii="Times New Roman"/>
                <w:b w:val="0"/>
                <w:bCs w:val="0"/>
                <w:color w:val="auto"/>
                <w:szCs w:val="18"/>
              </w:rPr>
            </w:pPr>
          </w:p>
          <w:p>
            <w:pPr>
              <w:pStyle w:val="25"/>
              <w:spacing w:line="300" w:lineRule="auto"/>
              <w:ind w:firstLine="0" w:firstLineChars="0"/>
              <w:jc w:val="center"/>
              <w:rPr>
                <w:rFonts w:hint="eastAsia" w:ascii="Times New Roman"/>
                <w:b w:val="0"/>
                <w:bCs w:val="0"/>
                <w:color w:val="auto"/>
                <w:szCs w:val="18"/>
              </w:rPr>
            </w:pPr>
          </w:p>
          <w:p>
            <w:pPr>
              <w:pStyle w:val="25"/>
              <w:spacing w:line="300" w:lineRule="auto"/>
              <w:ind w:firstLine="0" w:firstLineChars="0"/>
              <w:jc w:val="center"/>
              <w:rPr>
                <w:rFonts w:hint="eastAsia" w:ascii="Times New Roman"/>
                <w:b w:val="0"/>
                <w:bCs w:val="0"/>
                <w:color w:val="auto"/>
                <w:szCs w:val="18"/>
              </w:rPr>
            </w:pPr>
          </w:p>
          <w:p>
            <w:pPr>
              <w:pStyle w:val="25"/>
              <w:spacing w:line="300" w:lineRule="auto"/>
              <w:ind w:firstLine="0" w:firstLineChars="0"/>
              <w:jc w:val="center"/>
              <w:rPr>
                <w:rFonts w:hint="eastAsia" w:ascii="Times New Roman"/>
                <w:b w:val="0"/>
                <w:bCs w:val="0"/>
                <w:color w:val="auto"/>
                <w:szCs w:val="18"/>
              </w:rPr>
            </w:pPr>
          </w:p>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continue"/>
          </w:tcPr>
          <w:p>
            <w:pPr>
              <w:pStyle w:val="25"/>
              <w:spacing w:line="300" w:lineRule="auto"/>
              <w:ind w:firstLine="0" w:firstLineChars="0"/>
              <w:jc w:val="center"/>
              <w:rPr>
                <w:rFonts w:ascii="Times New Roman"/>
                <w:b w:val="0"/>
                <w:bCs w:val="0"/>
                <w:color w:val="auto"/>
                <w:szCs w:val="18"/>
              </w:rPr>
            </w:pP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工厂新建、改建和扩建建筑时，应遵守国家或地方的产业政策和有关要求。</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8</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continue"/>
          </w:tcPr>
          <w:p>
            <w:pPr>
              <w:pStyle w:val="25"/>
              <w:spacing w:line="300" w:lineRule="auto"/>
              <w:ind w:firstLine="0" w:firstLineChars="0"/>
              <w:jc w:val="center"/>
              <w:rPr>
                <w:rFonts w:ascii="Times New Roman"/>
                <w:b w:val="0"/>
                <w:bCs w:val="0"/>
                <w:color w:val="auto"/>
                <w:szCs w:val="18"/>
              </w:rPr>
            </w:pP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工厂的建筑应从建筑材料、建筑结构、采光照明、绿化及场地、再生资源及能源利用等方面进行建筑的节材、节能、节水、节地、无害化及可再生能源利用。</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8</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continue"/>
          </w:tcPr>
          <w:p>
            <w:pPr>
              <w:pStyle w:val="25"/>
              <w:spacing w:line="300" w:lineRule="auto"/>
              <w:ind w:firstLine="0" w:firstLineChars="0"/>
              <w:jc w:val="center"/>
              <w:rPr>
                <w:rFonts w:ascii="Times New Roman"/>
                <w:b w:val="0"/>
                <w:bCs w:val="0"/>
                <w:color w:val="auto"/>
                <w:szCs w:val="18"/>
              </w:rPr>
            </w:pP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在满足生产工艺前提下，工厂的厂房应尽量采用多层建筑。</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可选</w:t>
            </w:r>
          </w:p>
        </w:tc>
        <w:tc>
          <w:tcPr>
            <w:tcW w:w="647"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5</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restart"/>
            <w:vAlign w:val="center"/>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照明</w:t>
            </w: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工厂厂区及各房间或场所的照明应尽量利用自然光，人工照明应符合GB 50034规定。</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8</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continue"/>
            <w:vAlign w:val="center"/>
          </w:tcPr>
          <w:p>
            <w:pPr>
              <w:pStyle w:val="25"/>
              <w:spacing w:line="300" w:lineRule="auto"/>
              <w:ind w:firstLine="0" w:firstLineChars="0"/>
              <w:jc w:val="center"/>
              <w:rPr>
                <w:rFonts w:ascii="Times New Roman"/>
                <w:b w:val="0"/>
                <w:bCs w:val="0"/>
                <w:color w:val="auto"/>
                <w:szCs w:val="18"/>
              </w:rPr>
            </w:pPr>
          </w:p>
        </w:tc>
        <w:tc>
          <w:tcPr>
            <w:tcW w:w="8640" w:type="dxa"/>
          </w:tcPr>
          <w:p>
            <w:pPr>
              <w:pStyle w:val="101"/>
              <w:spacing w:line="300" w:lineRule="auto"/>
              <w:rPr>
                <w:rFonts w:ascii="Times New Roman"/>
                <w:b w:val="0"/>
                <w:bCs w:val="0"/>
                <w:color w:val="auto"/>
              </w:rPr>
            </w:pPr>
            <w:r>
              <w:rPr>
                <w:rFonts w:ascii="Times New Roman" w:eastAsia="宋体" w:cs="Times New Roman"/>
                <w:b w:val="0"/>
                <w:bCs w:val="0"/>
                <w:color w:val="auto"/>
                <w:sz w:val="21"/>
                <w:szCs w:val="21"/>
              </w:rPr>
              <w:t>不同的场所的照明应进行分级设计</w:t>
            </w:r>
            <w:r>
              <w:rPr>
                <w:rFonts w:hint="eastAsia" w:ascii="Times New Roman" w:eastAsia="宋体" w:cs="Times New Roman"/>
                <w:b w:val="0"/>
                <w:bCs w:val="0"/>
                <w:color w:val="auto"/>
                <w:sz w:val="21"/>
                <w:szCs w:val="21"/>
              </w:rPr>
              <w:t>。</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可选</w:t>
            </w:r>
          </w:p>
        </w:tc>
        <w:tc>
          <w:tcPr>
            <w:tcW w:w="647"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5</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continue"/>
          </w:tcPr>
          <w:p>
            <w:pPr>
              <w:pStyle w:val="25"/>
              <w:spacing w:line="300" w:lineRule="auto"/>
              <w:ind w:firstLine="0" w:firstLineChars="0"/>
              <w:jc w:val="center"/>
              <w:rPr>
                <w:rFonts w:ascii="Times New Roman"/>
                <w:b w:val="0"/>
                <w:bCs w:val="0"/>
                <w:color w:val="auto"/>
                <w:szCs w:val="18"/>
              </w:rPr>
            </w:pPr>
          </w:p>
        </w:tc>
        <w:tc>
          <w:tcPr>
            <w:tcW w:w="8640" w:type="dxa"/>
          </w:tcPr>
          <w:p>
            <w:pPr>
              <w:pStyle w:val="101"/>
              <w:spacing w:line="300" w:lineRule="auto"/>
              <w:rPr>
                <w:rFonts w:ascii="Times New Roman"/>
                <w:b w:val="0"/>
                <w:bCs w:val="0"/>
                <w:color w:val="auto"/>
              </w:rPr>
            </w:pPr>
            <w:r>
              <w:rPr>
                <w:rFonts w:ascii="Times New Roman" w:eastAsia="宋体" w:cs="Times New Roman"/>
                <w:b w:val="0"/>
                <w:bCs w:val="0"/>
                <w:color w:val="auto"/>
                <w:sz w:val="21"/>
                <w:szCs w:val="21"/>
              </w:rPr>
              <w:t>公共场所的照明应采取分区、分组与定时自动调光等措施。</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可选</w:t>
            </w:r>
          </w:p>
        </w:tc>
        <w:tc>
          <w:tcPr>
            <w:tcW w:w="647"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3</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continue"/>
          </w:tcPr>
          <w:p>
            <w:pPr>
              <w:pStyle w:val="25"/>
              <w:spacing w:line="300" w:lineRule="auto"/>
              <w:ind w:firstLine="0" w:firstLineChars="0"/>
              <w:jc w:val="center"/>
              <w:rPr>
                <w:rFonts w:ascii="Times New Roman"/>
                <w:b w:val="0"/>
                <w:bCs w:val="0"/>
                <w:color w:val="auto"/>
                <w:szCs w:val="18"/>
              </w:rPr>
            </w:pPr>
          </w:p>
        </w:tc>
        <w:tc>
          <w:tcPr>
            <w:tcW w:w="8640" w:type="dxa"/>
          </w:tcPr>
          <w:p>
            <w:pPr>
              <w:pStyle w:val="101"/>
              <w:spacing w:line="300" w:lineRule="auto"/>
              <w:rPr>
                <w:rFonts w:ascii="Times New Roman"/>
                <w:b w:val="0"/>
                <w:bCs w:val="0"/>
                <w:color w:val="auto"/>
              </w:rPr>
            </w:pPr>
            <w:r>
              <w:rPr>
                <w:rFonts w:ascii="Times New Roman" w:eastAsia="宋体" w:cs="Times New Roman"/>
                <w:b w:val="0"/>
                <w:bCs w:val="0"/>
                <w:color w:val="auto"/>
                <w:sz w:val="21"/>
                <w:szCs w:val="21"/>
              </w:rPr>
              <w:t>节能灯等节能型照明设备的使用占比不低于</w:t>
            </w:r>
            <w:r>
              <w:rPr>
                <w:rFonts w:hint="eastAsia" w:ascii="Times New Roman" w:eastAsia="宋体" w:cs="Times New Roman"/>
                <w:b w:val="0"/>
                <w:bCs w:val="0"/>
                <w:color w:val="auto"/>
                <w:sz w:val="21"/>
                <w:szCs w:val="21"/>
              </w:rPr>
              <w:t>8</w:t>
            </w:r>
            <w:r>
              <w:rPr>
                <w:rFonts w:ascii="Times New Roman" w:eastAsia="宋体" w:cs="Times New Roman"/>
                <w:b w:val="0"/>
                <w:bCs w:val="0"/>
                <w:color w:val="auto"/>
                <w:sz w:val="21"/>
                <w:szCs w:val="21"/>
              </w:rPr>
              <w:t>0%。</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可选</w:t>
            </w:r>
          </w:p>
        </w:tc>
        <w:tc>
          <w:tcPr>
            <w:tcW w:w="647"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3</w:t>
            </w:r>
          </w:p>
        </w:tc>
        <w:tc>
          <w:tcPr>
            <w:tcW w:w="709" w:type="dxa"/>
            <w:vAlign w:val="center"/>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restart"/>
            <w:vAlign w:val="center"/>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设备设施</w:t>
            </w:r>
          </w:p>
        </w:tc>
        <w:tc>
          <w:tcPr>
            <w:tcW w:w="8640" w:type="dxa"/>
          </w:tcPr>
          <w:p>
            <w:pPr>
              <w:pStyle w:val="25"/>
              <w:spacing w:line="300" w:lineRule="auto"/>
              <w:ind w:firstLine="0" w:firstLineChars="0"/>
              <w:rPr>
                <w:rFonts w:ascii="Times New Roman"/>
                <w:b w:val="0"/>
                <w:bCs w:val="0"/>
                <w:color w:val="auto"/>
                <w:szCs w:val="18"/>
              </w:rPr>
            </w:pPr>
            <w:r>
              <w:rPr>
                <w:rFonts w:hint="eastAsia" w:ascii="Times New Roman"/>
                <w:b w:val="0"/>
                <w:bCs w:val="0"/>
                <w:color w:val="auto"/>
                <w:szCs w:val="18"/>
              </w:rPr>
              <w:t>工厂的生产专用设备应符合产业准入要求，降低能源与资源消耗，减少污染物排放。</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10</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continue"/>
          </w:tcPr>
          <w:p>
            <w:pPr>
              <w:pStyle w:val="25"/>
              <w:spacing w:line="300" w:lineRule="auto"/>
              <w:ind w:firstLine="0" w:firstLineChars="0"/>
              <w:jc w:val="center"/>
              <w:rPr>
                <w:rFonts w:ascii="Times New Roman"/>
                <w:b w:val="0"/>
                <w:bCs w:val="0"/>
                <w:color w:val="auto"/>
                <w:szCs w:val="18"/>
              </w:rPr>
            </w:pPr>
          </w:p>
        </w:tc>
        <w:tc>
          <w:tcPr>
            <w:tcW w:w="8640" w:type="dxa"/>
          </w:tcPr>
          <w:p>
            <w:pPr>
              <w:pStyle w:val="101"/>
              <w:spacing w:line="300" w:lineRule="auto"/>
              <w:rPr>
                <w:rFonts w:ascii="Times New Roman"/>
                <w:b w:val="0"/>
                <w:bCs w:val="0"/>
                <w:color w:val="auto"/>
              </w:rPr>
            </w:pPr>
            <w:r>
              <w:rPr>
                <w:rFonts w:ascii="Times New Roman" w:eastAsia="宋体" w:cs="Times New Roman"/>
                <w:b w:val="0"/>
                <w:bCs w:val="0"/>
                <w:color w:val="auto"/>
                <w:sz w:val="21"/>
                <w:szCs w:val="21"/>
              </w:rPr>
              <w:t>工厂使用的通用设备在达到相关标准中能效限制值的强制性要求的前提下，宜采用节能型产品或效率高、能耗低、水耗低、物耗低的产品。</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8</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continue"/>
          </w:tcPr>
          <w:p>
            <w:pPr>
              <w:pStyle w:val="25"/>
              <w:spacing w:line="300" w:lineRule="auto"/>
              <w:ind w:firstLine="0" w:firstLineChars="0"/>
              <w:jc w:val="center"/>
              <w:rPr>
                <w:rFonts w:ascii="Times New Roman"/>
                <w:b w:val="0"/>
                <w:bCs w:val="0"/>
                <w:color w:val="auto"/>
                <w:szCs w:val="18"/>
              </w:rPr>
            </w:pPr>
          </w:p>
        </w:tc>
        <w:tc>
          <w:tcPr>
            <w:tcW w:w="8640" w:type="dxa"/>
          </w:tcPr>
          <w:p>
            <w:pPr>
              <w:pStyle w:val="101"/>
              <w:spacing w:line="300" w:lineRule="auto"/>
              <w:rPr>
                <w:rFonts w:ascii="Times New Roman"/>
                <w:b w:val="0"/>
                <w:bCs w:val="0"/>
                <w:color w:val="auto"/>
              </w:rPr>
            </w:pPr>
            <w:r>
              <w:rPr>
                <w:rFonts w:ascii="Times New Roman" w:eastAsia="宋体" w:cs="Times New Roman"/>
                <w:b w:val="0"/>
                <w:bCs w:val="0"/>
                <w:color w:val="auto"/>
                <w:sz w:val="21"/>
                <w:szCs w:val="21"/>
              </w:rPr>
              <w:t>已明令禁止生产、使用的和能耗高、效率低的设备应限期淘汰更新。</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8</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continue"/>
          </w:tcPr>
          <w:p>
            <w:pPr>
              <w:pStyle w:val="25"/>
              <w:spacing w:line="300" w:lineRule="auto"/>
              <w:ind w:firstLine="0" w:firstLineChars="0"/>
              <w:jc w:val="center"/>
              <w:rPr>
                <w:rFonts w:ascii="Times New Roman"/>
                <w:b w:val="0"/>
                <w:bCs w:val="0"/>
                <w:color w:val="auto"/>
                <w:szCs w:val="18"/>
              </w:rPr>
            </w:pPr>
          </w:p>
        </w:tc>
        <w:tc>
          <w:tcPr>
            <w:tcW w:w="8640" w:type="dxa"/>
          </w:tcPr>
          <w:p>
            <w:pPr>
              <w:pStyle w:val="101"/>
              <w:spacing w:line="300" w:lineRule="auto"/>
              <w:rPr>
                <w:rFonts w:ascii="Times New Roman"/>
                <w:b w:val="0"/>
                <w:bCs w:val="0"/>
                <w:color w:val="auto"/>
              </w:rPr>
            </w:pPr>
            <w:r>
              <w:rPr>
                <w:rFonts w:ascii="Times New Roman" w:eastAsia="宋体" w:cs="Times New Roman"/>
                <w:b w:val="0"/>
                <w:bCs w:val="0"/>
                <w:color w:val="auto"/>
                <w:sz w:val="21"/>
                <w:szCs w:val="21"/>
              </w:rPr>
              <w:t>用能设备或其系统的实际运行效率或主要运行参数应符合该设备经济运行的要求。</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8</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continue"/>
          </w:tcPr>
          <w:p>
            <w:pPr>
              <w:pStyle w:val="25"/>
              <w:spacing w:line="300" w:lineRule="auto"/>
              <w:ind w:firstLine="0" w:firstLineChars="0"/>
              <w:jc w:val="center"/>
              <w:rPr>
                <w:rFonts w:ascii="Times New Roman"/>
                <w:b w:val="0"/>
                <w:bCs w:val="0"/>
                <w:color w:val="auto"/>
                <w:szCs w:val="18"/>
              </w:rPr>
            </w:pP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工厂应依据GB 17167、GB 24789等要求配备、使用和管理能源、水以及其他资源的计量器具和装置。能源及资源使用的类型不同时，应进行分类计量。</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10</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continue"/>
          </w:tcPr>
          <w:p>
            <w:pPr>
              <w:pStyle w:val="25"/>
              <w:spacing w:line="300" w:lineRule="auto"/>
              <w:ind w:firstLine="0" w:firstLineChars="0"/>
              <w:jc w:val="center"/>
              <w:rPr>
                <w:rFonts w:ascii="Times New Roman"/>
                <w:b w:val="0"/>
                <w:bCs w:val="0"/>
                <w:color w:val="auto"/>
                <w:szCs w:val="18"/>
              </w:rPr>
            </w:pP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工厂应投入适宜的废水、废气污染物处理设备，以确保其污染物排放达到相关法律法规及标准要求。污染物处理设备的处理能力应与工厂生产排放相适应，设备应满足通用设备的节能方面的要求。</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6</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restart"/>
            <w:vAlign w:val="center"/>
          </w:tcPr>
          <w:p>
            <w:pPr>
              <w:pStyle w:val="25"/>
              <w:spacing w:line="300" w:lineRule="auto"/>
              <w:ind w:firstLine="0" w:firstLineChars="0"/>
              <w:jc w:val="center"/>
              <w:rPr>
                <w:rFonts w:hint="eastAsia" w:ascii="Times New Roman" w:eastAsia="宋体"/>
                <w:b w:val="0"/>
                <w:bCs w:val="0"/>
                <w:color w:val="auto"/>
                <w:szCs w:val="18"/>
                <w:lang w:eastAsia="zh-CN"/>
              </w:rPr>
            </w:pPr>
            <w:r>
              <w:rPr>
                <w:rFonts w:hint="eastAsia" w:ascii="Times New Roman"/>
                <w:b w:val="0"/>
                <w:bCs w:val="0"/>
                <w:color w:val="auto"/>
                <w:szCs w:val="18"/>
                <w:lang w:val="en-US" w:eastAsia="zh-CN"/>
              </w:rPr>
              <w:t>3</w:t>
            </w:r>
          </w:p>
        </w:tc>
        <w:tc>
          <w:tcPr>
            <w:tcW w:w="1134" w:type="dxa"/>
            <w:vMerge w:val="restart"/>
            <w:vAlign w:val="center"/>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管理体系</w:t>
            </w:r>
          </w:p>
        </w:tc>
        <w:tc>
          <w:tcPr>
            <w:tcW w:w="1132" w:type="dxa"/>
            <w:vMerge w:val="restart"/>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质量管理</w:t>
            </w: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工厂应建立、实施并保持满足GB/T 19001要求的质量管理体系。</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18</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restart"/>
            <w:vAlign w:val="center"/>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continue"/>
          </w:tcPr>
          <w:p>
            <w:pPr>
              <w:pStyle w:val="25"/>
              <w:spacing w:line="300" w:lineRule="auto"/>
              <w:ind w:firstLine="0" w:firstLineChars="0"/>
              <w:jc w:val="center"/>
              <w:rPr>
                <w:rFonts w:ascii="Times New Roman"/>
                <w:b w:val="0"/>
                <w:bCs w:val="0"/>
                <w:color w:val="auto"/>
                <w:szCs w:val="18"/>
              </w:rPr>
            </w:pP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工厂通过质量管理体系第三方认证并有效运行。</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可选</w:t>
            </w:r>
          </w:p>
        </w:tc>
        <w:tc>
          <w:tcPr>
            <w:tcW w:w="647"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6</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restart"/>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职业健康安全管理</w:t>
            </w: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工厂应建立、实施并保持满足GB/T 28001要求的职业健康安全管理体系。</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18</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continue"/>
          </w:tcPr>
          <w:p>
            <w:pPr>
              <w:pStyle w:val="25"/>
              <w:spacing w:line="300" w:lineRule="auto"/>
              <w:ind w:firstLine="0" w:firstLineChars="0"/>
              <w:jc w:val="center"/>
              <w:rPr>
                <w:rFonts w:ascii="Times New Roman"/>
                <w:b w:val="0"/>
                <w:bCs w:val="0"/>
                <w:color w:val="auto"/>
                <w:szCs w:val="18"/>
              </w:rPr>
            </w:pP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工厂通过职业健康安全管理体系第三方认证并有效运行。</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可选</w:t>
            </w:r>
          </w:p>
        </w:tc>
        <w:tc>
          <w:tcPr>
            <w:tcW w:w="647"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6</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restart"/>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环境管理</w:t>
            </w: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工厂应建立、实施并保持满足GB/T 24001要求的环境管理体系。</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20</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continue"/>
          </w:tcPr>
          <w:p>
            <w:pPr>
              <w:pStyle w:val="25"/>
              <w:spacing w:line="300" w:lineRule="auto"/>
              <w:ind w:firstLine="0" w:firstLineChars="0"/>
              <w:jc w:val="center"/>
              <w:rPr>
                <w:rFonts w:ascii="Times New Roman"/>
                <w:b w:val="0"/>
                <w:bCs w:val="0"/>
                <w:color w:val="auto"/>
                <w:szCs w:val="18"/>
              </w:rPr>
            </w:pP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工厂通过环境管理体系第三方认证并有效运行。</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可选</w:t>
            </w:r>
          </w:p>
        </w:tc>
        <w:tc>
          <w:tcPr>
            <w:tcW w:w="647"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6</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restart"/>
            <w:vAlign w:val="center"/>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能源管理</w:t>
            </w: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工厂应建立、实施并保持满足GB/T 23331要求的能源管理体系。</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16</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continue"/>
          </w:tcPr>
          <w:p>
            <w:pPr>
              <w:pStyle w:val="25"/>
              <w:spacing w:line="300" w:lineRule="auto"/>
              <w:ind w:firstLine="0" w:firstLineChars="0"/>
              <w:jc w:val="center"/>
              <w:rPr>
                <w:rFonts w:ascii="Times New Roman"/>
                <w:b w:val="0"/>
                <w:bCs w:val="0"/>
                <w:color w:val="auto"/>
                <w:szCs w:val="18"/>
              </w:rPr>
            </w:pP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工厂通过能源管理体系第三方认证并有效运行。</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可选</w:t>
            </w:r>
          </w:p>
        </w:tc>
        <w:tc>
          <w:tcPr>
            <w:tcW w:w="647"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5</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Align w:val="center"/>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社会责任</w:t>
            </w: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企业宜发布年度社会责任报告，说明履行利益相关方责任的情况，特别是环境社会责任的履行情况；社会责任报告宜公开可获得。</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可选</w:t>
            </w:r>
          </w:p>
        </w:tc>
        <w:tc>
          <w:tcPr>
            <w:tcW w:w="647"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5</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restart"/>
            <w:vAlign w:val="center"/>
          </w:tcPr>
          <w:p>
            <w:pPr>
              <w:pStyle w:val="25"/>
              <w:spacing w:line="300" w:lineRule="auto"/>
              <w:ind w:firstLine="0" w:firstLineChars="0"/>
              <w:jc w:val="center"/>
              <w:rPr>
                <w:rFonts w:hint="eastAsia" w:ascii="Times New Roman" w:eastAsia="宋体"/>
                <w:b w:val="0"/>
                <w:bCs w:val="0"/>
                <w:color w:val="auto"/>
                <w:szCs w:val="18"/>
                <w:lang w:eastAsia="zh-CN"/>
              </w:rPr>
            </w:pPr>
            <w:r>
              <w:rPr>
                <w:rFonts w:hint="eastAsia" w:ascii="Times New Roman"/>
                <w:b w:val="0"/>
                <w:bCs w:val="0"/>
                <w:color w:val="auto"/>
                <w:szCs w:val="18"/>
                <w:lang w:val="en-US" w:eastAsia="zh-CN"/>
              </w:rPr>
              <w:t>4</w:t>
            </w:r>
          </w:p>
        </w:tc>
        <w:tc>
          <w:tcPr>
            <w:tcW w:w="1134" w:type="dxa"/>
            <w:vMerge w:val="restart"/>
            <w:vAlign w:val="center"/>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能源与资源投入</w:t>
            </w:r>
          </w:p>
        </w:tc>
        <w:tc>
          <w:tcPr>
            <w:tcW w:w="1132" w:type="dxa"/>
            <w:vMerge w:val="restart"/>
            <w:vAlign w:val="center"/>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能源投入</w:t>
            </w:r>
          </w:p>
        </w:tc>
        <w:tc>
          <w:tcPr>
            <w:tcW w:w="8640" w:type="dxa"/>
          </w:tcPr>
          <w:p>
            <w:pPr>
              <w:pStyle w:val="25"/>
              <w:spacing w:line="300" w:lineRule="auto"/>
              <w:ind w:firstLine="0" w:firstLineChars="0"/>
              <w:rPr>
                <w:rFonts w:ascii="Times New Roman"/>
                <w:b w:val="0"/>
                <w:bCs w:val="0"/>
                <w:color w:val="auto"/>
                <w:szCs w:val="18"/>
              </w:rPr>
            </w:pPr>
            <w:r>
              <w:rPr>
                <w:rFonts w:hint="eastAsia" w:ascii="Times New Roman"/>
                <w:b w:val="0"/>
                <w:bCs w:val="0"/>
                <w:color w:val="auto"/>
                <w:szCs w:val="18"/>
              </w:rPr>
              <w:t>工厂应优化用能结构，在保证安全、质量的前提下减少能源投入。</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10</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restart"/>
            <w:vAlign w:val="center"/>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continue"/>
          </w:tcPr>
          <w:p>
            <w:pPr>
              <w:pStyle w:val="25"/>
              <w:spacing w:line="300" w:lineRule="auto"/>
              <w:ind w:firstLine="0" w:firstLineChars="0"/>
              <w:jc w:val="center"/>
              <w:rPr>
                <w:rFonts w:ascii="Times New Roman"/>
                <w:b w:val="0"/>
                <w:bCs w:val="0"/>
                <w:color w:val="auto"/>
                <w:szCs w:val="18"/>
              </w:rPr>
            </w:pP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工厂在锅炉、压榨、蒸发、结晶、分蜜等生产所需工序应采用先进、适用的节能技术好装备，减少能源消耗。</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12</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continue"/>
          </w:tcPr>
          <w:p>
            <w:pPr>
              <w:pStyle w:val="25"/>
              <w:spacing w:line="300" w:lineRule="auto"/>
              <w:ind w:firstLine="0" w:firstLineChars="0"/>
              <w:jc w:val="center"/>
              <w:rPr>
                <w:rFonts w:ascii="Times New Roman"/>
                <w:b w:val="0"/>
                <w:bCs w:val="0"/>
                <w:color w:val="auto"/>
                <w:szCs w:val="18"/>
              </w:rPr>
            </w:pP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工厂应加强余热余能等二次能源回收利用，提高能源效率。</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10</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restart"/>
            <w:vAlign w:val="center"/>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资源投入</w:t>
            </w: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工厂应按照GB/T 7119的要求对其开展节水评价工作，且满足GB/T 18916（所有部分）中对应本行业的取水定额要求。</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20</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continue"/>
          </w:tcPr>
          <w:p>
            <w:pPr>
              <w:pStyle w:val="25"/>
              <w:spacing w:line="300" w:lineRule="auto"/>
              <w:ind w:firstLine="0" w:firstLineChars="0"/>
              <w:jc w:val="center"/>
              <w:rPr>
                <w:rFonts w:ascii="Times New Roman"/>
                <w:b w:val="0"/>
                <w:bCs w:val="0"/>
                <w:color w:val="auto"/>
                <w:szCs w:val="18"/>
              </w:rPr>
            </w:pP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工厂应减少材料、尤其是有害物质的使用，评估有害物质及化学品减量使用或替代的可行性，宜使用回收料、可回收材料替代原生材料、不可回收材料，宜替代或减少全球增温潜势较高温室气体的使用。工厂应按照GB/T 29115的要求对其原材料使用量的减少进行评价。</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10</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continue"/>
          </w:tcPr>
          <w:p>
            <w:pPr>
              <w:pStyle w:val="25"/>
              <w:spacing w:line="300" w:lineRule="auto"/>
              <w:ind w:firstLine="0" w:firstLineChars="0"/>
              <w:jc w:val="center"/>
              <w:rPr>
                <w:rFonts w:ascii="Times New Roman"/>
                <w:b w:val="0"/>
                <w:bCs w:val="0"/>
                <w:color w:val="auto"/>
                <w:szCs w:val="18"/>
              </w:rPr>
            </w:pP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工厂应采用先进、适用的节水利用技术和装备，减少水等资源消耗，淘汰落后的用水工艺设备。</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10</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restart"/>
            <w:vAlign w:val="center"/>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采购</w:t>
            </w: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工厂应制定并实施包括环保要求的选择、评价和重新评价供方的准则。</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10</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continue"/>
          </w:tcPr>
          <w:p>
            <w:pPr>
              <w:pStyle w:val="25"/>
              <w:spacing w:line="300" w:lineRule="auto"/>
              <w:ind w:firstLine="0" w:firstLineChars="0"/>
              <w:jc w:val="center"/>
              <w:rPr>
                <w:rFonts w:ascii="Times New Roman"/>
                <w:b w:val="0"/>
                <w:bCs w:val="0"/>
                <w:color w:val="auto"/>
                <w:szCs w:val="18"/>
              </w:rPr>
            </w:pPr>
          </w:p>
        </w:tc>
        <w:tc>
          <w:tcPr>
            <w:tcW w:w="8640" w:type="dxa"/>
          </w:tcPr>
          <w:p>
            <w:pPr>
              <w:pStyle w:val="25"/>
              <w:spacing w:line="300" w:lineRule="auto"/>
              <w:ind w:firstLine="0" w:firstLineChars="0"/>
              <w:jc w:val="left"/>
              <w:rPr>
                <w:rFonts w:ascii="Times New Roman"/>
                <w:b w:val="0"/>
                <w:bCs w:val="0"/>
                <w:color w:val="auto"/>
                <w:szCs w:val="18"/>
              </w:rPr>
            </w:pPr>
            <w:r>
              <w:rPr>
                <w:rFonts w:ascii="Times New Roman"/>
                <w:b w:val="0"/>
                <w:bCs w:val="0"/>
                <w:color w:val="auto"/>
                <w:szCs w:val="21"/>
              </w:rPr>
              <w:t>工厂应确定并实施检验或其他必要的活动，以确保采购的产品满足规定的采购要求。</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10</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continue"/>
          </w:tcPr>
          <w:p>
            <w:pPr>
              <w:pStyle w:val="25"/>
              <w:spacing w:line="300" w:lineRule="auto"/>
              <w:ind w:firstLine="0" w:firstLineChars="0"/>
              <w:jc w:val="center"/>
              <w:rPr>
                <w:rFonts w:ascii="Times New Roman"/>
                <w:b w:val="0"/>
                <w:bCs w:val="0"/>
                <w:color w:val="auto"/>
                <w:szCs w:val="18"/>
              </w:rPr>
            </w:pPr>
          </w:p>
        </w:tc>
        <w:tc>
          <w:tcPr>
            <w:tcW w:w="8640" w:type="dxa"/>
          </w:tcPr>
          <w:p>
            <w:pPr>
              <w:pStyle w:val="25"/>
              <w:spacing w:line="300" w:lineRule="auto"/>
              <w:ind w:firstLine="0" w:firstLineChars="0"/>
              <w:jc w:val="left"/>
              <w:rPr>
                <w:rFonts w:ascii="Times New Roman"/>
                <w:b w:val="0"/>
                <w:bCs w:val="0"/>
                <w:color w:val="auto"/>
                <w:szCs w:val="18"/>
              </w:rPr>
            </w:pPr>
            <w:r>
              <w:rPr>
                <w:rFonts w:ascii="Times New Roman"/>
                <w:b w:val="0"/>
                <w:bCs w:val="0"/>
                <w:color w:val="auto"/>
                <w:szCs w:val="21"/>
              </w:rPr>
              <w:t>工厂</w:t>
            </w:r>
            <w:r>
              <w:rPr>
                <w:rFonts w:hint="eastAsia" w:ascii="Times New Roman"/>
                <w:b w:val="0"/>
                <w:bCs w:val="0"/>
                <w:color w:val="auto"/>
                <w:szCs w:val="21"/>
              </w:rPr>
              <w:t>应</w:t>
            </w:r>
            <w:r>
              <w:rPr>
                <w:rFonts w:ascii="Times New Roman"/>
                <w:b w:val="0"/>
                <w:bCs w:val="0"/>
                <w:color w:val="auto"/>
                <w:szCs w:val="21"/>
              </w:rPr>
              <w:t>向供方提供的采购信息应包含有害物质使用、可回收材料使用、能效等环保要求。</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可选</w:t>
            </w:r>
          </w:p>
        </w:tc>
        <w:tc>
          <w:tcPr>
            <w:tcW w:w="647"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8</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restart"/>
            <w:vAlign w:val="center"/>
          </w:tcPr>
          <w:p>
            <w:pPr>
              <w:pStyle w:val="25"/>
              <w:spacing w:line="300" w:lineRule="auto"/>
              <w:ind w:firstLine="0" w:firstLineChars="0"/>
              <w:jc w:val="center"/>
              <w:rPr>
                <w:rFonts w:hint="eastAsia" w:ascii="Times New Roman" w:eastAsia="宋体"/>
                <w:b w:val="0"/>
                <w:bCs w:val="0"/>
                <w:color w:val="auto"/>
                <w:szCs w:val="18"/>
                <w:lang w:eastAsia="zh-CN"/>
              </w:rPr>
            </w:pPr>
            <w:r>
              <w:rPr>
                <w:rFonts w:hint="eastAsia" w:ascii="Times New Roman"/>
                <w:b w:val="0"/>
                <w:bCs w:val="0"/>
                <w:color w:val="auto"/>
                <w:szCs w:val="18"/>
                <w:lang w:val="en-US" w:eastAsia="zh-CN"/>
              </w:rPr>
              <w:t>5</w:t>
            </w:r>
          </w:p>
        </w:tc>
        <w:tc>
          <w:tcPr>
            <w:tcW w:w="1134" w:type="dxa"/>
            <w:vMerge w:val="restart"/>
            <w:vAlign w:val="center"/>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产品</w:t>
            </w:r>
          </w:p>
        </w:tc>
        <w:tc>
          <w:tcPr>
            <w:tcW w:w="1132"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产品质量</w:t>
            </w: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产品应符合国家相关产品质量标准要求，包括GB/T 317-2018、GB/T 1445-2018、GB/T 35884-2018、GB/T 15108-2017、QB/T 4564-2013等。</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20</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restart"/>
            <w:vAlign w:val="center"/>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restart"/>
            <w:vAlign w:val="center"/>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生态设计</w:t>
            </w: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工厂生产的产品品种应按照对应品种的绿色产品评价标准进行评价。</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可选</w:t>
            </w:r>
          </w:p>
        </w:tc>
        <w:tc>
          <w:tcPr>
            <w:tcW w:w="647"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5</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continue"/>
          </w:tcPr>
          <w:p>
            <w:pPr>
              <w:pStyle w:val="25"/>
              <w:spacing w:line="300" w:lineRule="auto"/>
              <w:ind w:firstLine="0" w:firstLineChars="0"/>
              <w:jc w:val="center"/>
              <w:rPr>
                <w:rFonts w:ascii="Times New Roman"/>
                <w:b w:val="0"/>
                <w:bCs w:val="0"/>
                <w:color w:val="auto"/>
                <w:szCs w:val="18"/>
              </w:rPr>
            </w:pP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未有对应标准的产品品种，工厂宜按照GB/T 24256对生产的产品进行生态设计，并按照GB/T 32161对生产的产品进行生态设计产品评价。</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可选</w:t>
            </w:r>
          </w:p>
        </w:tc>
        <w:tc>
          <w:tcPr>
            <w:tcW w:w="647"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5</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restart"/>
            <w:vAlign w:val="center"/>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有害物质使用</w:t>
            </w: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工厂生产过程用到原料、辅料应减少有害物质的使用，避免有害物质的泄露。</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10</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continue"/>
          </w:tcPr>
          <w:p>
            <w:pPr>
              <w:pStyle w:val="25"/>
              <w:spacing w:line="300" w:lineRule="auto"/>
              <w:ind w:firstLine="0" w:firstLineChars="0"/>
              <w:jc w:val="center"/>
              <w:rPr>
                <w:rFonts w:ascii="Times New Roman"/>
                <w:b w:val="0"/>
                <w:bCs w:val="0"/>
                <w:color w:val="auto"/>
                <w:szCs w:val="18"/>
              </w:rPr>
            </w:pP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满足国家对产品中有害物质限制使用的要求。</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10</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restart"/>
            <w:vAlign w:val="center"/>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节能</w:t>
            </w: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工厂应满足GB 32044-2015标准中限定值或准入值要求。</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20</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continue"/>
          </w:tcPr>
          <w:p>
            <w:pPr>
              <w:pStyle w:val="25"/>
              <w:spacing w:line="300" w:lineRule="auto"/>
              <w:ind w:firstLine="0" w:firstLineChars="0"/>
              <w:jc w:val="center"/>
              <w:rPr>
                <w:rFonts w:ascii="Times New Roman"/>
                <w:b w:val="0"/>
                <w:bCs w:val="0"/>
                <w:color w:val="auto"/>
                <w:szCs w:val="18"/>
              </w:rPr>
            </w:pP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工厂应达到GB 32044-2015标准中先进值要求。</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可选</w:t>
            </w:r>
          </w:p>
        </w:tc>
        <w:tc>
          <w:tcPr>
            <w:tcW w:w="647"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10</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restart"/>
            <w:vAlign w:val="center"/>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减碳</w:t>
            </w: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工厂宜采用适用的标准或规范对产品进行碳足迹核算或核查。</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可选</w:t>
            </w:r>
          </w:p>
        </w:tc>
        <w:tc>
          <w:tcPr>
            <w:tcW w:w="647"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3</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continue"/>
          </w:tcPr>
          <w:p>
            <w:pPr>
              <w:pStyle w:val="25"/>
              <w:spacing w:line="300" w:lineRule="auto"/>
              <w:ind w:firstLine="0" w:firstLineChars="0"/>
              <w:jc w:val="center"/>
              <w:rPr>
                <w:rFonts w:ascii="Times New Roman"/>
                <w:b w:val="0"/>
                <w:bCs w:val="0"/>
                <w:color w:val="auto"/>
                <w:szCs w:val="18"/>
              </w:rPr>
            </w:pP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工厂宜对外公布核查结果。</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可选</w:t>
            </w:r>
          </w:p>
        </w:tc>
        <w:tc>
          <w:tcPr>
            <w:tcW w:w="647"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2</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continue"/>
          </w:tcPr>
          <w:p>
            <w:pPr>
              <w:pStyle w:val="25"/>
              <w:spacing w:line="300" w:lineRule="auto"/>
              <w:ind w:firstLine="0" w:firstLineChars="0"/>
              <w:jc w:val="center"/>
              <w:rPr>
                <w:rFonts w:ascii="Times New Roman"/>
                <w:b w:val="0"/>
                <w:bCs w:val="0"/>
                <w:color w:val="auto"/>
                <w:szCs w:val="18"/>
              </w:rPr>
            </w:pP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工厂宜采取减少碳排放的措施。</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可选</w:t>
            </w:r>
          </w:p>
        </w:tc>
        <w:tc>
          <w:tcPr>
            <w:tcW w:w="647"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2</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restart"/>
            <w:vAlign w:val="center"/>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回收利用</w:t>
            </w: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工厂应加强滤泥、炉渣、废水、蔗渣、废粕、糖蜜、热能等资源综合利用，提高二次资源应用。</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10</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continue"/>
          </w:tcPr>
          <w:p>
            <w:pPr>
              <w:pStyle w:val="25"/>
              <w:spacing w:line="300" w:lineRule="auto"/>
              <w:ind w:firstLine="0" w:firstLineChars="0"/>
              <w:jc w:val="center"/>
              <w:rPr>
                <w:rFonts w:ascii="Times New Roman"/>
                <w:b w:val="0"/>
                <w:bCs w:val="0"/>
                <w:color w:val="auto"/>
                <w:szCs w:val="18"/>
              </w:rPr>
            </w:pP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工厂宜加强工艺用水资源管理，减少水资源消耗。</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可选</w:t>
            </w:r>
          </w:p>
        </w:tc>
        <w:tc>
          <w:tcPr>
            <w:tcW w:w="647"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3</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17" w:type="dxa"/>
            <w:vMerge w:val="restart"/>
            <w:vAlign w:val="center"/>
          </w:tcPr>
          <w:p>
            <w:pPr>
              <w:pStyle w:val="25"/>
              <w:spacing w:line="300" w:lineRule="auto"/>
              <w:ind w:firstLine="0" w:firstLineChars="0"/>
              <w:jc w:val="center"/>
              <w:rPr>
                <w:rFonts w:hint="eastAsia" w:ascii="Times New Roman"/>
                <w:b w:val="0"/>
                <w:bCs w:val="0"/>
                <w:color w:val="auto"/>
                <w:szCs w:val="18"/>
                <w:lang w:val="en-US" w:eastAsia="zh-CN"/>
              </w:rPr>
            </w:pPr>
          </w:p>
          <w:p>
            <w:pPr>
              <w:pStyle w:val="25"/>
              <w:spacing w:line="300" w:lineRule="auto"/>
              <w:ind w:firstLine="0" w:firstLineChars="0"/>
              <w:jc w:val="center"/>
              <w:rPr>
                <w:rFonts w:hint="eastAsia" w:ascii="Times New Roman"/>
                <w:b w:val="0"/>
                <w:bCs w:val="0"/>
                <w:color w:val="auto"/>
                <w:szCs w:val="18"/>
                <w:lang w:val="en-US" w:eastAsia="zh-CN"/>
              </w:rPr>
            </w:pPr>
          </w:p>
          <w:p>
            <w:pPr>
              <w:pStyle w:val="25"/>
              <w:spacing w:line="300" w:lineRule="auto"/>
              <w:ind w:firstLine="0" w:firstLineChars="0"/>
              <w:jc w:val="center"/>
              <w:rPr>
                <w:rFonts w:hint="eastAsia" w:ascii="Times New Roman"/>
                <w:b w:val="0"/>
                <w:bCs w:val="0"/>
                <w:color w:val="auto"/>
                <w:szCs w:val="18"/>
                <w:lang w:val="en-US" w:eastAsia="zh-CN"/>
              </w:rPr>
            </w:pPr>
          </w:p>
          <w:p>
            <w:pPr>
              <w:pStyle w:val="25"/>
              <w:spacing w:line="300" w:lineRule="auto"/>
              <w:ind w:firstLine="0" w:firstLineChars="0"/>
              <w:jc w:val="center"/>
              <w:rPr>
                <w:rFonts w:hint="eastAsia" w:ascii="Times New Roman"/>
                <w:b w:val="0"/>
                <w:bCs w:val="0"/>
                <w:color w:val="auto"/>
                <w:szCs w:val="18"/>
                <w:lang w:val="en-US" w:eastAsia="zh-CN"/>
              </w:rPr>
            </w:pPr>
          </w:p>
          <w:p>
            <w:pPr>
              <w:pStyle w:val="25"/>
              <w:spacing w:line="300" w:lineRule="auto"/>
              <w:ind w:firstLine="0" w:firstLineChars="0"/>
              <w:jc w:val="center"/>
              <w:rPr>
                <w:rFonts w:hint="eastAsia" w:ascii="Times New Roman"/>
                <w:b w:val="0"/>
                <w:bCs w:val="0"/>
                <w:color w:val="auto"/>
                <w:szCs w:val="18"/>
                <w:lang w:val="en-US" w:eastAsia="zh-CN"/>
              </w:rPr>
            </w:pPr>
          </w:p>
          <w:p>
            <w:pPr>
              <w:pStyle w:val="25"/>
              <w:spacing w:line="300" w:lineRule="auto"/>
              <w:ind w:firstLine="0" w:firstLineChars="0"/>
              <w:jc w:val="center"/>
              <w:rPr>
                <w:rFonts w:hint="eastAsia" w:ascii="Times New Roman" w:eastAsia="宋体"/>
                <w:b w:val="0"/>
                <w:bCs w:val="0"/>
                <w:color w:val="auto"/>
                <w:szCs w:val="18"/>
                <w:lang w:eastAsia="zh-CN"/>
              </w:rPr>
            </w:pPr>
            <w:r>
              <w:rPr>
                <w:rFonts w:hint="eastAsia" w:ascii="Times New Roman"/>
                <w:b w:val="0"/>
                <w:bCs w:val="0"/>
                <w:color w:val="auto"/>
                <w:szCs w:val="18"/>
                <w:lang w:val="en-US" w:eastAsia="zh-CN"/>
              </w:rPr>
              <w:t>6</w:t>
            </w:r>
          </w:p>
        </w:tc>
        <w:tc>
          <w:tcPr>
            <w:tcW w:w="1134" w:type="dxa"/>
            <w:vMerge w:val="restart"/>
            <w:vAlign w:val="center"/>
          </w:tcPr>
          <w:p>
            <w:pPr>
              <w:pStyle w:val="25"/>
              <w:spacing w:line="300" w:lineRule="auto"/>
              <w:ind w:firstLine="0" w:firstLineChars="0"/>
              <w:jc w:val="center"/>
              <w:rPr>
                <w:rFonts w:hint="eastAsia" w:ascii="Times New Roman"/>
                <w:b w:val="0"/>
                <w:bCs w:val="0"/>
                <w:color w:val="auto"/>
                <w:szCs w:val="18"/>
              </w:rPr>
            </w:pPr>
          </w:p>
          <w:p>
            <w:pPr>
              <w:pStyle w:val="25"/>
              <w:spacing w:line="300" w:lineRule="auto"/>
              <w:ind w:firstLine="0" w:firstLineChars="0"/>
              <w:jc w:val="center"/>
              <w:rPr>
                <w:rFonts w:hint="eastAsia" w:ascii="Times New Roman"/>
                <w:b w:val="0"/>
                <w:bCs w:val="0"/>
                <w:color w:val="auto"/>
                <w:szCs w:val="18"/>
              </w:rPr>
            </w:pPr>
          </w:p>
          <w:p>
            <w:pPr>
              <w:pStyle w:val="25"/>
              <w:spacing w:line="300" w:lineRule="auto"/>
              <w:ind w:firstLine="0" w:firstLineChars="0"/>
              <w:jc w:val="center"/>
              <w:rPr>
                <w:rFonts w:hint="eastAsia" w:ascii="Times New Roman"/>
                <w:b w:val="0"/>
                <w:bCs w:val="0"/>
                <w:color w:val="auto"/>
                <w:szCs w:val="18"/>
              </w:rPr>
            </w:pPr>
          </w:p>
          <w:p>
            <w:pPr>
              <w:pStyle w:val="25"/>
              <w:spacing w:line="300" w:lineRule="auto"/>
              <w:ind w:firstLine="0" w:firstLineChars="0"/>
              <w:jc w:val="center"/>
              <w:rPr>
                <w:rFonts w:hint="eastAsia" w:ascii="Times New Roman"/>
                <w:b w:val="0"/>
                <w:bCs w:val="0"/>
                <w:color w:val="auto"/>
                <w:szCs w:val="18"/>
              </w:rPr>
            </w:pPr>
          </w:p>
          <w:p>
            <w:pPr>
              <w:pStyle w:val="25"/>
              <w:spacing w:line="300" w:lineRule="auto"/>
              <w:ind w:firstLine="0" w:firstLineChars="0"/>
              <w:jc w:val="center"/>
              <w:rPr>
                <w:rFonts w:hint="eastAsia" w:ascii="Times New Roman"/>
                <w:b w:val="0"/>
                <w:bCs w:val="0"/>
                <w:color w:val="auto"/>
                <w:szCs w:val="18"/>
              </w:rPr>
            </w:pPr>
          </w:p>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环境排放</w:t>
            </w:r>
          </w:p>
        </w:tc>
        <w:tc>
          <w:tcPr>
            <w:tcW w:w="1132" w:type="dxa"/>
            <w:vMerge w:val="restart"/>
            <w:vAlign w:val="center"/>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大气污染物</w:t>
            </w: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工厂的大气污染物排放应符合相关国家标准、行业标准及地方标准要求，并满足区域内排放总量控制要求。</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15</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restart"/>
            <w:vAlign w:val="center"/>
          </w:tcPr>
          <w:p>
            <w:pPr>
              <w:pStyle w:val="25"/>
              <w:spacing w:line="300" w:lineRule="auto"/>
              <w:ind w:firstLine="0" w:firstLineChars="0"/>
              <w:jc w:val="center"/>
              <w:rPr>
                <w:rFonts w:hint="eastAsia" w:ascii="Times New Roman"/>
                <w:b w:val="0"/>
                <w:bCs w:val="0"/>
                <w:color w:val="auto"/>
                <w:szCs w:val="18"/>
              </w:rPr>
            </w:pPr>
          </w:p>
          <w:p>
            <w:pPr>
              <w:pStyle w:val="25"/>
              <w:spacing w:line="300" w:lineRule="auto"/>
              <w:ind w:firstLine="0" w:firstLineChars="0"/>
              <w:jc w:val="center"/>
              <w:rPr>
                <w:rFonts w:hint="eastAsia" w:ascii="Times New Roman"/>
                <w:b w:val="0"/>
                <w:bCs w:val="0"/>
                <w:color w:val="auto"/>
                <w:szCs w:val="18"/>
              </w:rPr>
            </w:pPr>
          </w:p>
          <w:p>
            <w:pPr>
              <w:pStyle w:val="25"/>
              <w:spacing w:line="300" w:lineRule="auto"/>
              <w:ind w:firstLine="0" w:firstLineChars="0"/>
              <w:jc w:val="center"/>
              <w:rPr>
                <w:rFonts w:hint="eastAsia" w:ascii="Times New Roman"/>
                <w:b w:val="0"/>
                <w:bCs w:val="0"/>
                <w:color w:val="auto"/>
                <w:szCs w:val="18"/>
              </w:rPr>
            </w:pPr>
          </w:p>
          <w:p>
            <w:pPr>
              <w:pStyle w:val="25"/>
              <w:spacing w:line="300" w:lineRule="auto"/>
              <w:ind w:firstLine="0" w:firstLineChars="0"/>
              <w:jc w:val="center"/>
              <w:rPr>
                <w:rFonts w:hint="eastAsia" w:ascii="Times New Roman"/>
                <w:b w:val="0"/>
                <w:bCs w:val="0"/>
                <w:color w:val="auto"/>
                <w:szCs w:val="18"/>
              </w:rPr>
            </w:pPr>
          </w:p>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continue"/>
          </w:tcPr>
          <w:p>
            <w:pPr>
              <w:pStyle w:val="25"/>
              <w:spacing w:line="300" w:lineRule="auto"/>
              <w:ind w:firstLine="0" w:firstLineChars="0"/>
              <w:jc w:val="center"/>
              <w:rPr>
                <w:rFonts w:ascii="Times New Roman"/>
                <w:b w:val="0"/>
                <w:bCs w:val="0"/>
                <w:color w:val="auto"/>
                <w:szCs w:val="18"/>
              </w:rPr>
            </w:pP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工厂的锅炉大气污染物排放应符合GB 13271-2014或地方标准要求。</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10</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restart"/>
            <w:vAlign w:val="center"/>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水体污染物</w:t>
            </w: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工厂的水体污染物应符合国家和地方标准要求，并满足区域内排放总量控制要求。</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10</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continue"/>
            <w:vAlign w:val="center"/>
          </w:tcPr>
          <w:p>
            <w:pPr>
              <w:pStyle w:val="25"/>
              <w:spacing w:line="300" w:lineRule="auto"/>
              <w:ind w:firstLine="0" w:firstLineChars="0"/>
              <w:jc w:val="center"/>
              <w:rPr>
                <w:rFonts w:ascii="Times New Roman"/>
                <w:b w:val="0"/>
                <w:bCs w:val="0"/>
                <w:color w:val="auto"/>
                <w:szCs w:val="18"/>
              </w:rPr>
            </w:pP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工厂的水体污染物排放应符合GB 21909-2008要求。</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12</w:t>
            </w:r>
          </w:p>
        </w:tc>
        <w:tc>
          <w:tcPr>
            <w:tcW w:w="709" w:type="dxa"/>
            <w:vAlign w:val="center"/>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restart"/>
            <w:vAlign w:val="center"/>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固体废弃物</w:t>
            </w: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工厂产生的滤泥、树脂等固体废弃物的处理应符合GB 18599等相关标准的要求。</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15</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continue"/>
          </w:tcPr>
          <w:p>
            <w:pPr>
              <w:pStyle w:val="25"/>
              <w:spacing w:line="300" w:lineRule="auto"/>
              <w:ind w:firstLine="0" w:firstLineChars="0"/>
              <w:jc w:val="center"/>
              <w:rPr>
                <w:rFonts w:ascii="Times New Roman"/>
                <w:b w:val="0"/>
                <w:bCs w:val="0"/>
                <w:color w:val="auto"/>
                <w:szCs w:val="18"/>
              </w:rPr>
            </w:pP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工厂无法自行处理的，应将固体废弃物转交给具备相应能力和资质的处理厂进行处理。</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10</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噪声</w:t>
            </w: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工厂的厂界环境噪声排放应符合相关国家标准、行业标准及地方标准要求。</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10</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restart"/>
            <w:vAlign w:val="center"/>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温室气体</w:t>
            </w: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工厂应采用GB/T 32150或适用的标准或规范对其厂界范围内的温室气体排放进行核算和报告，宜进行核查，核查结果宜对外公布。</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10</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continue"/>
          </w:tcPr>
          <w:p>
            <w:pPr>
              <w:pStyle w:val="25"/>
              <w:spacing w:line="300" w:lineRule="auto"/>
              <w:ind w:firstLine="0" w:firstLineChars="0"/>
              <w:jc w:val="center"/>
              <w:rPr>
                <w:rFonts w:ascii="Times New Roman"/>
                <w:b w:val="0"/>
                <w:bCs w:val="0"/>
                <w:color w:val="auto"/>
                <w:szCs w:val="18"/>
              </w:rPr>
            </w:pP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工厂应利用核算或核查结果对其温室气体的排放进行改善。</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可选</w:t>
            </w:r>
          </w:p>
        </w:tc>
        <w:tc>
          <w:tcPr>
            <w:tcW w:w="647"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8</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restart"/>
            <w:vAlign w:val="center"/>
          </w:tcPr>
          <w:p>
            <w:pPr>
              <w:pStyle w:val="25"/>
              <w:spacing w:line="300" w:lineRule="auto"/>
              <w:ind w:firstLine="0" w:firstLineChars="0"/>
              <w:jc w:val="center"/>
              <w:rPr>
                <w:rFonts w:hint="eastAsia" w:ascii="Times New Roman" w:eastAsia="宋体"/>
                <w:b w:val="0"/>
                <w:bCs w:val="0"/>
                <w:color w:val="auto"/>
                <w:szCs w:val="18"/>
                <w:lang w:eastAsia="zh-CN"/>
              </w:rPr>
            </w:pPr>
            <w:r>
              <w:rPr>
                <w:rFonts w:hint="eastAsia" w:ascii="Times New Roman"/>
                <w:b w:val="0"/>
                <w:bCs w:val="0"/>
                <w:color w:val="auto"/>
                <w:szCs w:val="18"/>
                <w:lang w:val="en-US" w:eastAsia="zh-CN"/>
              </w:rPr>
              <w:t>7</w:t>
            </w:r>
          </w:p>
        </w:tc>
        <w:tc>
          <w:tcPr>
            <w:tcW w:w="1134" w:type="dxa"/>
            <w:vMerge w:val="restart"/>
            <w:vAlign w:val="center"/>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绩效</w:t>
            </w:r>
          </w:p>
        </w:tc>
        <w:tc>
          <w:tcPr>
            <w:tcW w:w="1132" w:type="dxa"/>
            <w:vMerge w:val="restart"/>
            <w:vAlign w:val="center"/>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用地集约化</w:t>
            </w: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工厂容积率应不低于0.6。</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jc w:val="center"/>
              <w:rPr>
                <w:rFonts w:ascii="Times New Roman"/>
                <w:b w:val="0"/>
                <w:bCs w:val="0"/>
                <w:color w:val="auto"/>
                <w:sz w:val="21"/>
                <w:szCs w:val="21"/>
              </w:rPr>
            </w:pPr>
            <w:r>
              <w:rPr>
                <w:rFonts w:ascii="Times New Roman"/>
                <w:b w:val="0"/>
                <w:bCs w:val="0"/>
                <w:color w:val="auto"/>
                <w:sz w:val="21"/>
                <w:szCs w:val="21"/>
              </w:rPr>
              <w:t>5</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restart"/>
            <w:vAlign w:val="center"/>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continue"/>
          </w:tcPr>
          <w:p>
            <w:pPr>
              <w:pStyle w:val="25"/>
              <w:spacing w:line="300" w:lineRule="auto"/>
              <w:ind w:firstLine="0" w:firstLineChars="0"/>
              <w:jc w:val="center"/>
              <w:rPr>
                <w:rFonts w:ascii="Times New Roman"/>
                <w:b w:val="0"/>
                <w:bCs w:val="0"/>
                <w:color w:val="auto"/>
                <w:szCs w:val="18"/>
              </w:rPr>
            </w:pP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工厂容积率宜不低于0.8。</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可选</w:t>
            </w:r>
          </w:p>
        </w:tc>
        <w:tc>
          <w:tcPr>
            <w:tcW w:w="647" w:type="dxa"/>
          </w:tcPr>
          <w:p>
            <w:pPr>
              <w:jc w:val="center"/>
              <w:rPr>
                <w:rFonts w:ascii="Times New Roman"/>
                <w:b w:val="0"/>
                <w:bCs w:val="0"/>
                <w:color w:val="auto"/>
                <w:sz w:val="21"/>
                <w:szCs w:val="21"/>
              </w:rPr>
            </w:pPr>
            <w:r>
              <w:rPr>
                <w:rFonts w:ascii="Times New Roman"/>
                <w:b w:val="0"/>
                <w:bCs w:val="0"/>
                <w:color w:val="auto"/>
                <w:sz w:val="21"/>
                <w:szCs w:val="21"/>
              </w:rPr>
              <w:t>2</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continue"/>
          </w:tcPr>
          <w:p>
            <w:pPr>
              <w:pStyle w:val="25"/>
              <w:spacing w:line="300" w:lineRule="auto"/>
              <w:ind w:firstLine="0" w:firstLineChars="0"/>
              <w:jc w:val="center"/>
              <w:rPr>
                <w:rFonts w:ascii="Times New Roman"/>
                <w:b w:val="0"/>
                <w:bCs w:val="0"/>
                <w:color w:val="auto"/>
                <w:szCs w:val="18"/>
              </w:rPr>
            </w:pP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工厂建筑密度应不低于30%。</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jc w:val="center"/>
              <w:rPr>
                <w:rFonts w:ascii="Times New Roman"/>
                <w:b w:val="0"/>
                <w:bCs w:val="0"/>
                <w:color w:val="auto"/>
                <w:sz w:val="21"/>
                <w:szCs w:val="21"/>
              </w:rPr>
            </w:pPr>
            <w:r>
              <w:rPr>
                <w:rFonts w:ascii="Times New Roman"/>
                <w:b w:val="0"/>
                <w:bCs w:val="0"/>
                <w:color w:val="auto"/>
                <w:sz w:val="21"/>
                <w:szCs w:val="21"/>
              </w:rPr>
              <w:t>5</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continue"/>
          </w:tcPr>
          <w:p>
            <w:pPr>
              <w:pStyle w:val="25"/>
              <w:spacing w:line="300" w:lineRule="auto"/>
              <w:ind w:firstLine="0" w:firstLineChars="0"/>
              <w:jc w:val="center"/>
              <w:rPr>
                <w:rFonts w:ascii="Times New Roman"/>
                <w:b w:val="0"/>
                <w:bCs w:val="0"/>
                <w:color w:val="auto"/>
                <w:szCs w:val="18"/>
              </w:rPr>
            </w:pP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工厂建筑密度宜不低于40%。</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可选</w:t>
            </w:r>
          </w:p>
        </w:tc>
        <w:tc>
          <w:tcPr>
            <w:tcW w:w="647" w:type="dxa"/>
          </w:tcPr>
          <w:p>
            <w:pPr>
              <w:jc w:val="center"/>
              <w:rPr>
                <w:rFonts w:ascii="Times New Roman"/>
                <w:b w:val="0"/>
                <w:bCs w:val="0"/>
                <w:color w:val="auto"/>
                <w:sz w:val="21"/>
                <w:szCs w:val="21"/>
              </w:rPr>
            </w:pPr>
            <w:r>
              <w:rPr>
                <w:rFonts w:ascii="Times New Roman"/>
                <w:b w:val="0"/>
                <w:bCs w:val="0"/>
                <w:color w:val="auto"/>
                <w:sz w:val="21"/>
                <w:szCs w:val="21"/>
              </w:rPr>
              <w:t>2</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continue"/>
          </w:tcPr>
          <w:p>
            <w:pPr>
              <w:pStyle w:val="25"/>
              <w:spacing w:line="300" w:lineRule="auto"/>
              <w:ind w:firstLine="0" w:firstLineChars="0"/>
              <w:jc w:val="center"/>
              <w:rPr>
                <w:rFonts w:ascii="Times New Roman"/>
                <w:b w:val="0"/>
                <w:bCs w:val="0"/>
                <w:color w:val="auto"/>
                <w:szCs w:val="18"/>
              </w:rPr>
            </w:pP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工厂吨糖用地面积产能应不低于行业平均水平或不低于地方发布的单位用地面积产值要求。</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jc w:val="center"/>
              <w:rPr>
                <w:rFonts w:ascii="Times New Roman"/>
                <w:b w:val="0"/>
                <w:bCs w:val="0"/>
                <w:color w:val="auto"/>
                <w:sz w:val="21"/>
                <w:szCs w:val="21"/>
              </w:rPr>
            </w:pPr>
            <w:r>
              <w:rPr>
                <w:rFonts w:ascii="Times New Roman"/>
                <w:b w:val="0"/>
                <w:bCs w:val="0"/>
                <w:color w:val="auto"/>
                <w:sz w:val="21"/>
                <w:szCs w:val="21"/>
              </w:rPr>
              <w:t>5</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restart"/>
            <w:vAlign w:val="center"/>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原料无害化</w:t>
            </w: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种植基地：甘蔗、甜菜种植基地周围无污染源，灌溉用水符合GB 5048农田灌溉水质标准要求，土壤满足GB 15618土壤环境质量二级标准要求，环境空气符合保护农作物的大气污染物最高允许浓度的要求。</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jc w:val="center"/>
              <w:rPr>
                <w:rFonts w:ascii="Times New Roman"/>
                <w:b w:val="0"/>
                <w:bCs w:val="0"/>
                <w:color w:val="auto"/>
                <w:sz w:val="21"/>
                <w:szCs w:val="21"/>
              </w:rPr>
            </w:pPr>
            <w:r>
              <w:rPr>
                <w:rFonts w:ascii="Times New Roman"/>
                <w:b w:val="0"/>
                <w:bCs w:val="0"/>
                <w:color w:val="auto"/>
                <w:sz w:val="21"/>
                <w:szCs w:val="21"/>
              </w:rPr>
              <w:t>5</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continue"/>
          </w:tcPr>
          <w:p>
            <w:pPr>
              <w:pStyle w:val="25"/>
              <w:spacing w:line="300" w:lineRule="auto"/>
              <w:ind w:firstLine="0" w:firstLineChars="0"/>
              <w:jc w:val="center"/>
              <w:rPr>
                <w:rFonts w:ascii="Times New Roman"/>
                <w:b w:val="0"/>
                <w:bCs w:val="0"/>
                <w:color w:val="auto"/>
                <w:szCs w:val="18"/>
              </w:rPr>
            </w:pP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品种：应选用符合相关标准要求的甘蔗、甜菜品种。</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jc w:val="center"/>
              <w:rPr>
                <w:rFonts w:ascii="Times New Roman"/>
                <w:b w:val="0"/>
                <w:bCs w:val="0"/>
                <w:color w:val="auto"/>
                <w:sz w:val="21"/>
                <w:szCs w:val="21"/>
              </w:rPr>
            </w:pPr>
            <w:r>
              <w:rPr>
                <w:rFonts w:ascii="Times New Roman"/>
                <w:b w:val="0"/>
                <w:bCs w:val="0"/>
                <w:color w:val="auto"/>
                <w:sz w:val="21"/>
                <w:szCs w:val="21"/>
              </w:rPr>
              <w:t>5</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continue"/>
          </w:tcPr>
          <w:p>
            <w:pPr>
              <w:pStyle w:val="25"/>
              <w:spacing w:line="300" w:lineRule="auto"/>
              <w:ind w:firstLine="0" w:firstLineChars="0"/>
              <w:jc w:val="center"/>
              <w:rPr>
                <w:rFonts w:ascii="Times New Roman"/>
                <w:b w:val="0"/>
                <w:bCs w:val="0"/>
                <w:color w:val="auto"/>
                <w:szCs w:val="18"/>
              </w:rPr>
            </w:pP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化肥与农药使用：化肥与农药应符合有关标准要求，提倡使用有机肥、微生物肥、无机（矿质）肥和生物农药，化肥和高效低毒农药应限量使用。</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jc w:val="center"/>
              <w:rPr>
                <w:rFonts w:ascii="Times New Roman"/>
                <w:b w:val="0"/>
                <w:bCs w:val="0"/>
                <w:color w:val="auto"/>
                <w:sz w:val="21"/>
                <w:szCs w:val="21"/>
              </w:rPr>
            </w:pPr>
            <w:r>
              <w:rPr>
                <w:rFonts w:ascii="Times New Roman"/>
                <w:b w:val="0"/>
                <w:bCs w:val="0"/>
                <w:color w:val="auto"/>
                <w:sz w:val="21"/>
                <w:szCs w:val="21"/>
              </w:rPr>
              <w:t>5</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continue"/>
          </w:tcPr>
          <w:p>
            <w:pPr>
              <w:pStyle w:val="25"/>
              <w:spacing w:line="300" w:lineRule="auto"/>
              <w:ind w:firstLine="0" w:firstLineChars="0"/>
              <w:jc w:val="center"/>
              <w:rPr>
                <w:rFonts w:ascii="Times New Roman"/>
                <w:b w:val="0"/>
                <w:bCs w:val="0"/>
                <w:color w:val="auto"/>
                <w:szCs w:val="18"/>
              </w:rPr>
            </w:pP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辅助材料：使用的辅助材料应符合食品卫生标准的有关要求，并且不会对人体健康和环境造成不利影响。</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jc w:val="center"/>
              <w:rPr>
                <w:rFonts w:ascii="Times New Roman"/>
                <w:b w:val="0"/>
                <w:bCs w:val="0"/>
                <w:color w:val="auto"/>
                <w:sz w:val="21"/>
                <w:szCs w:val="21"/>
              </w:rPr>
            </w:pPr>
            <w:r>
              <w:rPr>
                <w:rFonts w:ascii="Times New Roman"/>
                <w:b w:val="0"/>
                <w:bCs w:val="0"/>
                <w:color w:val="auto"/>
                <w:sz w:val="21"/>
                <w:szCs w:val="21"/>
              </w:rPr>
              <w:t>5</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restart"/>
            <w:vAlign w:val="center"/>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生产洁净化</w:t>
            </w: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总回收率、吨糖耗新鲜水量、吨糖废水产生量、吨糖化学需氧量产生量、吨糖悬浮物产生量等指标，分别应满足QB/T 4570-2013中三级指标要求。</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jc w:val="center"/>
              <w:rPr>
                <w:rFonts w:ascii="Times New Roman"/>
                <w:b w:val="0"/>
                <w:bCs w:val="0"/>
                <w:color w:val="auto"/>
                <w:sz w:val="21"/>
                <w:szCs w:val="21"/>
              </w:rPr>
            </w:pPr>
            <w:r>
              <w:rPr>
                <w:rFonts w:ascii="Times New Roman"/>
                <w:b w:val="0"/>
                <w:bCs w:val="0"/>
                <w:color w:val="auto"/>
                <w:sz w:val="21"/>
                <w:szCs w:val="21"/>
              </w:rPr>
              <w:t>15</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continue"/>
          </w:tcPr>
          <w:p>
            <w:pPr>
              <w:pStyle w:val="25"/>
              <w:spacing w:line="300" w:lineRule="auto"/>
              <w:ind w:firstLine="0" w:firstLineChars="0"/>
              <w:jc w:val="center"/>
              <w:rPr>
                <w:rFonts w:ascii="Times New Roman"/>
                <w:b w:val="0"/>
                <w:bCs w:val="0"/>
                <w:color w:val="auto"/>
                <w:szCs w:val="18"/>
              </w:rPr>
            </w:pP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总回收率指标应达到QB/T 4570-2013的一级指标要求。</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可选</w:t>
            </w:r>
          </w:p>
        </w:tc>
        <w:tc>
          <w:tcPr>
            <w:tcW w:w="647" w:type="dxa"/>
          </w:tcPr>
          <w:p>
            <w:pPr>
              <w:jc w:val="center"/>
              <w:rPr>
                <w:rFonts w:ascii="Times New Roman"/>
                <w:b w:val="0"/>
                <w:bCs w:val="0"/>
                <w:color w:val="auto"/>
                <w:sz w:val="21"/>
                <w:szCs w:val="21"/>
              </w:rPr>
            </w:pPr>
            <w:r>
              <w:rPr>
                <w:rFonts w:ascii="Times New Roman"/>
                <w:b w:val="0"/>
                <w:bCs w:val="0"/>
                <w:color w:val="auto"/>
                <w:sz w:val="21"/>
                <w:szCs w:val="21"/>
              </w:rPr>
              <w:t>2</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continue"/>
          </w:tcPr>
          <w:p>
            <w:pPr>
              <w:pStyle w:val="25"/>
              <w:spacing w:line="300" w:lineRule="auto"/>
              <w:ind w:firstLine="0" w:firstLineChars="0"/>
              <w:jc w:val="center"/>
              <w:rPr>
                <w:rFonts w:ascii="Times New Roman"/>
                <w:b w:val="0"/>
                <w:bCs w:val="0"/>
                <w:color w:val="auto"/>
                <w:szCs w:val="18"/>
              </w:rPr>
            </w:pP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吨糖耗新鲜水量指标应达到QB/T 4570-2013中一级指标要求。</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可选</w:t>
            </w:r>
          </w:p>
        </w:tc>
        <w:tc>
          <w:tcPr>
            <w:tcW w:w="647" w:type="dxa"/>
          </w:tcPr>
          <w:p>
            <w:pPr>
              <w:jc w:val="center"/>
              <w:rPr>
                <w:rFonts w:ascii="Times New Roman"/>
                <w:b w:val="0"/>
                <w:bCs w:val="0"/>
                <w:color w:val="auto"/>
                <w:sz w:val="21"/>
                <w:szCs w:val="21"/>
              </w:rPr>
            </w:pPr>
            <w:r>
              <w:rPr>
                <w:rFonts w:ascii="Times New Roman"/>
                <w:b w:val="0"/>
                <w:bCs w:val="0"/>
                <w:color w:val="auto"/>
                <w:sz w:val="21"/>
                <w:szCs w:val="21"/>
              </w:rPr>
              <w:t>3</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continue"/>
          </w:tcPr>
          <w:p>
            <w:pPr>
              <w:pStyle w:val="25"/>
              <w:spacing w:line="300" w:lineRule="auto"/>
              <w:ind w:firstLine="0" w:firstLineChars="0"/>
              <w:jc w:val="center"/>
              <w:rPr>
                <w:rFonts w:ascii="Times New Roman"/>
                <w:b w:val="0"/>
                <w:bCs w:val="0"/>
                <w:color w:val="auto"/>
                <w:szCs w:val="18"/>
              </w:rPr>
            </w:pP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吨糖废水产生量指标应达到QB/T 4570-2013一级指标要求。</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可选</w:t>
            </w:r>
          </w:p>
        </w:tc>
        <w:tc>
          <w:tcPr>
            <w:tcW w:w="647" w:type="dxa"/>
          </w:tcPr>
          <w:p>
            <w:pPr>
              <w:jc w:val="center"/>
              <w:rPr>
                <w:rFonts w:ascii="Times New Roman"/>
                <w:b w:val="0"/>
                <w:bCs w:val="0"/>
                <w:color w:val="auto"/>
                <w:sz w:val="21"/>
                <w:szCs w:val="21"/>
              </w:rPr>
            </w:pPr>
            <w:r>
              <w:rPr>
                <w:rFonts w:ascii="Times New Roman"/>
                <w:b w:val="0"/>
                <w:bCs w:val="0"/>
                <w:color w:val="auto"/>
                <w:sz w:val="21"/>
                <w:szCs w:val="21"/>
              </w:rPr>
              <w:t>2</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continue"/>
          </w:tcPr>
          <w:p>
            <w:pPr>
              <w:pStyle w:val="25"/>
              <w:spacing w:line="300" w:lineRule="auto"/>
              <w:ind w:firstLine="0" w:firstLineChars="0"/>
              <w:jc w:val="center"/>
              <w:rPr>
                <w:rFonts w:ascii="Times New Roman"/>
                <w:b w:val="0"/>
                <w:bCs w:val="0"/>
                <w:color w:val="auto"/>
                <w:szCs w:val="18"/>
              </w:rPr>
            </w:pP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吨糖化学需氧量产生量指标应达到足QB/T 4570-2013中一级指标要求。</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可选</w:t>
            </w:r>
          </w:p>
        </w:tc>
        <w:tc>
          <w:tcPr>
            <w:tcW w:w="647" w:type="dxa"/>
          </w:tcPr>
          <w:p>
            <w:pPr>
              <w:jc w:val="center"/>
              <w:rPr>
                <w:rFonts w:ascii="Times New Roman"/>
                <w:b w:val="0"/>
                <w:bCs w:val="0"/>
                <w:color w:val="auto"/>
                <w:sz w:val="21"/>
                <w:szCs w:val="21"/>
              </w:rPr>
            </w:pPr>
            <w:r>
              <w:rPr>
                <w:rFonts w:ascii="Times New Roman"/>
                <w:b w:val="0"/>
                <w:bCs w:val="0"/>
                <w:color w:val="auto"/>
                <w:sz w:val="21"/>
                <w:szCs w:val="21"/>
              </w:rPr>
              <w:t>2</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continue"/>
          </w:tcPr>
          <w:p>
            <w:pPr>
              <w:pStyle w:val="25"/>
              <w:spacing w:line="300" w:lineRule="auto"/>
              <w:ind w:firstLine="0" w:firstLineChars="0"/>
              <w:jc w:val="center"/>
              <w:rPr>
                <w:rFonts w:ascii="Times New Roman"/>
                <w:b w:val="0"/>
                <w:bCs w:val="0"/>
                <w:color w:val="auto"/>
                <w:szCs w:val="18"/>
              </w:rPr>
            </w:pP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吨糖悬浮物产生量指标应达到QB/T 4570-2013中一级指标要求。</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可选</w:t>
            </w:r>
          </w:p>
        </w:tc>
        <w:tc>
          <w:tcPr>
            <w:tcW w:w="647" w:type="dxa"/>
          </w:tcPr>
          <w:p>
            <w:pPr>
              <w:jc w:val="center"/>
              <w:rPr>
                <w:rFonts w:ascii="Times New Roman"/>
                <w:b w:val="0"/>
                <w:bCs w:val="0"/>
                <w:color w:val="auto"/>
                <w:sz w:val="21"/>
                <w:szCs w:val="21"/>
              </w:rPr>
            </w:pPr>
            <w:r>
              <w:rPr>
                <w:rFonts w:ascii="Times New Roman"/>
                <w:b w:val="0"/>
                <w:bCs w:val="0"/>
                <w:color w:val="auto"/>
                <w:sz w:val="21"/>
                <w:szCs w:val="21"/>
              </w:rPr>
              <w:t>2</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restart"/>
            <w:vAlign w:val="center"/>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废物资源化</w:t>
            </w: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水重复利用率等指标应满足QB/T 4570-2013中的三级指标要求。</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jc w:val="center"/>
              <w:rPr>
                <w:rFonts w:ascii="Times New Roman"/>
                <w:b w:val="0"/>
                <w:bCs w:val="0"/>
                <w:color w:val="auto"/>
                <w:sz w:val="21"/>
                <w:szCs w:val="21"/>
              </w:rPr>
            </w:pPr>
            <w:r>
              <w:rPr>
                <w:rFonts w:ascii="Times New Roman"/>
                <w:b w:val="0"/>
                <w:bCs w:val="0"/>
                <w:color w:val="auto"/>
                <w:sz w:val="21"/>
                <w:szCs w:val="21"/>
              </w:rPr>
              <w:t>5</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continue"/>
          </w:tcPr>
          <w:p>
            <w:pPr>
              <w:pStyle w:val="25"/>
              <w:spacing w:line="300" w:lineRule="auto"/>
              <w:ind w:firstLine="0" w:firstLineChars="0"/>
              <w:jc w:val="center"/>
              <w:rPr>
                <w:rFonts w:ascii="Times New Roman"/>
                <w:b w:val="0"/>
                <w:bCs w:val="0"/>
                <w:color w:val="auto"/>
                <w:szCs w:val="18"/>
              </w:rPr>
            </w:pP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水重复利用率等指标应达到QB/T 4570-2013中一级指标要求。</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可选</w:t>
            </w:r>
          </w:p>
        </w:tc>
        <w:tc>
          <w:tcPr>
            <w:tcW w:w="647" w:type="dxa"/>
          </w:tcPr>
          <w:p>
            <w:pPr>
              <w:jc w:val="center"/>
              <w:rPr>
                <w:rFonts w:ascii="Times New Roman"/>
                <w:b w:val="0"/>
                <w:bCs w:val="0"/>
                <w:color w:val="auto"/>
                <w:sz w:val="21"/>
                <w:szCs w:val="21"/>
              </w:rPr>
            </w:pPr>
            <w:r>
              <w:rPr>
                <w:rFonts w:ascii="Times New Roman"/>
                <w:b w:val="0"/>
                <w:bCs w:val="0"/>
                <w:color w:val="auto"/>
                <w:sz w:val="21"/>
                <w:szCs w:val="21"/>
              </w:rPr>
              <w:t>5</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continue"/>
          </w:tcPr>
          <w:p>
            <w:pPr>
              <w:pStyle w:val="25"/>
              <w:spacing w:line="300" w:lineRule="auto"/>
              <w:ind w:firstLine="0" w:firstLineChars="0"/>
              <w:jc w:val="center"/>
              <w:rPr>
                <w:rFonts w:ascii="Times New Roman"/>
                <w:b w:val="0"/>
                <w:bCs w:val="0"/>
                <w:color w:val="auto"/>
                <w:szCs w:val="18"/>
              </w:rPr>
            </w:pP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工厂的滤泥、活性碳、树脂等，应采取稳定、有效的措施进行处理处置，使其不会对环境、生态造成危害。</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jc w:val="center"/>
              <w:rPr>
                <w:rFonts w:ascii="Times New Roman"/>
                <w:b w:val="0"/>
                <w:bCs w:val="0"/>
                <w:color w:val="auto"/>
                <w:sz w:val="21"/>
                <w:szCs w:val="21"/>
              </w:rPr>
            </w:pPr>
            <w:r>
              <w:rPr>
                <w:rFonts w:ascii="Times New Roman"/>
                <w:b w:val="0"/>
                <w:bCs w:val="0"/>
                <w:color w:val="auto"/>
                <w:sz w:val="21"/>
                <w:szCs w:val="21"/>
              </w:rPr>
              <w:t>5</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continue"/>
          </w:tcPr>
          <w:p>
            <w:pPr>
              <w:pStyle w:val="25"/>
              <w:spacing w:line="300" w:lineRule="auto"/>
              <w:ind w:firstLine="0" w:firstLineChars="0"/>
              <w:jc w:val="center"/>
              <w:rPr>
                <w:rFonts w:ascii="Times New Roman"/>
                <w:b w:val="0"/>
                <w:bCs w:val="0"/>
                <w:color w:val="auto"/>
                <w:szCs w:val="18"/>
              </w:rPr>
            </w:pP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工厂的蔗渣、废粕、炉渣、最终糖蜜等，应不直接向环境排放，由本企业或交由其它相关方作为能源、生产的原辅材料全部利用，同时必须避免产生二次污染。</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jc w:val="center"/>
              <w:rPr>
                <w:rFonts w:ascii="Times New Roman"/>
                <w:b w:val="0"/>
                <w:bCs w:val="0"/>
                <w:color w:val="auto"/>
                <w:sz w:val="21"/>
                <w:szCs w:val="21"/>
              </w:rPr>
            </w:pPr>
            <w:r>
              <w:rPr>
                <w:rFonts w:ascii="Times New Roman"/>
                <w:b w:val="0"/>
                <w:bCs w:val="0"/>
                <w:color w:val="auto"/>
                <w:sz w:val="21"/>
                <w:szCs w:val="21"/>
              </w:rPr>
              <w:t>5</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restart"/>
            <w:vAlign w:val="center"/>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能源低碳化</w:t>
            </w: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吨糖耗电、吨糖耗标煤等指标，分别应满足QB/T 4570-2013中的三级指标要求。</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必选</w:t>
            </w:r>
          </w:p>
        </w:tc>
        <w:tc>
          <w:tcPr>
            <w:tcW w:w="647" w:type="dxa"/>
          </w:tcPr>
          <w:p>
            <w:pPr>
              <w:jc w:val="center"/>
              <w:rPr>
                <w:rFonts w:ascii="Times New Roman"/>
                <w:b w:val="0"/>
                <w:bCs w:val="0"/>
                <w:color w:val="auto"/>
                <w:sz w:val="21"/>
                <w:szCs w:val="21"/>
              </w:rPr>
            </w:pPr>
            <w:r>
              <w:rPr>
                <w:rFonts w:ascii="Times New Roman"/>
                <w:b w:val="0"/>
                <w:bCs w:val="0"/>
                <w:color w:val="auto"/>
                <w:sz w:val="21"/>
                <w:szCs w:val="21"/>
              </w:rPr>
              <w:t>10</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continue"/>
          </w:tcPr>
          <w:p>
            <w:pPr>
              <w:pStyle w:val="25"/>
              <w:spacing w:line="300" w:lineRule="auto"/>
              <w:ind w:firstLine="0" w:firstLineChars="0"/>
              <w:jc w:val="center"/>
              <w:rPr>
                <w:rFonts w:ascii="Times New Roman"/>
                <w:b w:val="0"/>
                <w:bCs w:val="0"/>
                <w:color w:val="auto"/>
                <w:szCs w:val="18"/>
              </w:rPr>
            </w:pP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吨糖耗电指标应达到QB/T 4570-2013中一级指标要求。</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可选</w:t>
            </w:r>
          </w:p>
        </w:tc>
        <w:tc>
          <w:tcPr>
            <w:tcW w:w="647" w:type="dxa"/>
          </w:tcPr>
          <w:p>
            <w:pPr>
              <w:jc w:val="center"/>
              <w:rPr>
                <w:rFonts w:ascii="Times New Roman"/>
                <w:b w:val="0"/>
                <w:bCs w:val="0"/>
                <w:color w:val="auto"/>
                <w:sz w:val="21"/>
                <w:szCs w:val="21"/>
              </w:rPr>
            </w:pPr>
            <w:r>
              <w:rPr>
                <w:rFonts w:ascii="Times New Roman"/>
                <w:b w:val="0"/>
                <w:bCs w:val="0"/>
                <w:color w:val="auto"/>
                <w:sz w:val="21"/>
                <w:szCs w:val="21"/>
              </w:rPr>
              <w:t>2</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pStyle w:val="25"/>
              <w:spacing w:line="300" w:lineRule="auto"/>
              <w:ind w:firstLine="0" w:firstLineChars="0"/>
              <w:jc w:val="center"/>
              <w:rPr>
                <w:rFonts w:ascii="Times New Roman"/>
                <w:b w:val="0"/>
                <w:bCs w:val="0"/>
                <w:color w:val="auto"/>
                <w:szCs w:val="18"/>
              </w:rPr>
            </w:pPr>
          </w:p>
        </w:tc>
        <w:tc>
          <w:tcPr>
            <w:tcW w:w="1134" w:type="dxa"/>
            <w:vMerge w:val="continue"/>
          </w:tcPr>
          <w:p>
            <w:pPr>
              <w:pStyle w:val="25"/>
              <w:spacing w:line="300" w:lineRule="auto"/>
              <w:ind w:firstLine="0" w:firstLineChars="0"/>
              <w:jc w:val="center"/>
              <w:rPr>
                <w:rFonts w:ascii="Times New Roman"/>
                <w:b w:val="0"/>
                <w:bCs w:val="0"/>
                <w:color w:val="auto"/>
                <w:szCs w:val="18"/>
              </w:rPr>
            </w:pPr>
          </w:p>
        </w:tc>
        <w:tc>
          <w:tcPr>
            <w:tcW w:w="1132" w:type="dxa"/>
            <w:vMerge w:val="continue"/>
          </w:tcPr>
          <w:p>
            <w:pPr>
              <w:pStyle w:val="25"/>
              <w:spacing w:line="300" w:lineRule="auto"/>
              <w:ind w:firstLine="0" w:firstLineChars="0"/>
              <w:jc w:val="center"/>
              <w:rPr>
                <w:rFonts w:ascii="Times New Roman"/>
                <w:b w:val="0"/>
                <w:bCs w:val="0"/>
                <w:color w:val="auto"/>
                <w:szCs w:val="18"/>
              </w:rPr>
            </w:pPr>
          </w:p>
        </w:tc>
        <w:tc>
          <w:tcPr>
            <w:tcW w:w="8640" w:type="dxa"/>
          </w:tcPr>
          <w:p>
            <w:pPr>
              <w:pStyle w:val="25"/>
              <w:spacing w:line="300" w:lineRule="auto"/>
              <w:ind w:firstLine="0" w:firstLineChars="0"/>
              <w:jc w:val="left"/>
              <w:rPr>
                <w:rFonts w:ascii="Times New Roman"/>
                <w:b w:val="0"/>
                <w:bCs w:val="0"/>
                <w:color w:val="auto"/>
                <w:szCs w:val="18"/>
              </w:rPr>
            </w:pPr>
            <w:r>
              <w:rPr>
                <w:rFonts w:hint="eastAsia" w:ascii="Times New Roman"/>
                <w:b w:val="0"/>
                <w:bCs w:val="0"/>
                <w:color w:val="auto"/>
                <w:szCs w:val="18"/>
              </w:rPr>
              <w:t>吨糖耗标煤指标应达到QB/T 4570-2013中一级指标要求。</w:t>
            </w:r>
          </w:p>
        </w:tc>
        <w:tc>
          <w:tcPr>
            <w:tcW w:w="1063" w:type="dxa"/>
          </w:tcPr>
          <w:p>
            <w:pPr>
              <w:pStyle w:val="25"/>
              <w:spacing w:line="300" w:lineRule="auto"/>
              <w:ind w:firstLine="0" w:firstLineChars="0"/>
              <w:jc w:val="center"/>
              <w:rPr>
                <w:rFonts w:ascii="Times New Roman"/>
                <w:b w:val="0"/>
                <w:bCs w:val="0"/>
                <w:color w:val="auto"/>
                <w:szCs w:val="18"/>
              </w:rPr>
            </w:pPr>
            <w:r>
              <w:rPr>
                <w:rFonts w:hint="eastAsia" w:ascii="Times New Roman"/>
                <w:b w:val="0"/>
                <w:bCs w:val="0"/>
                <w:color w:val="auto"/>
                <w:szCs w:val="18"/>
              </w:rPr>
              <w:t>可选</w:t>
            </w:r>
          </w:p>
        </w:tc>
        <w:tc>
          <w:tcPr>
            <w:tcW w:w="647" w:type="dxa"/>
          </w:tcPr>
          <w:p>
            <w:pPr>
              <w:jc w:val="center"/>
              <w:rPr>
                <w:rFonts w:ascii="Times New Roman"/>
                <w:b w:val="0"/>
                <w:bCs w:val="0"/>
                <w:color w:val="auto"/>
                <w:sz w:val="21"/>
                <w:szCs w:val="21"/>
              </w:rPr>
            </w:pPr>
            <w:r>
              <w:rPr>
                <w:rFonts w:ascii="Times New Roman"/>
                <w:b w:val="0"/>
                <w:bCs w:val="0"/>
                <w:color w:val="auto"/>
                <w:sz w:val="21"/>
                <w:szCs w:val="21"/>
              </w:rPr>
              <w:t>3</w:t>
            </w:r>
          </w:p>
        </w:tc>
        <w:tc>
          <w:tcPr>
            <w:tcW w:w="709" w:type="dxa"/>
          </w:tcPr>
          <w:p>
            <w:pPr>
              <w:pStyle w:val="25"/>
              <w:spacing w:line="300" w:lineRule="auto"/>
              <w:ind w:firstLine="0" w:firstLineChars="0"/>
              <w:jc w:val="center"/>
              <w:rPr>
                <w:rFonts w:ascii="Times New Roman"/>
                <w:b w:val="0"/>
                <w:bCs w:val="0"/>
                <w:color w:val="auto"/>
                <w:szCs w:val="18"/>
              </w:rPr>
            </w:pPr>
          </w:p>
        </w:tc>
        <w:tc>
          <w:tcPr>
            <w:tcW w:w="644" w:type="dxa"/>
            <w:vMerge w:val="continue"/>
          </w:tcPr>
          <w:p>
            <w:pPr>
              <w:pStyle w:val="25"/>
              <w:spacing w:line="300" w:lineRule="auto"/>
              <w:ind w:firstLine="0" w:firstLineChars="0"/>
              <w:jc w:val="center"/>
              <w:rPr>
                <w:rFonts w:ascii="Times New Roman"/>
                <w:b w:val="0"/>
                <w:bCs w:val="0"/>
                <w:color w:val="auto"/>
                <w:szCs w:val="18"/>
              </w:rPr>
            </w:pPr>
          </w:p>
        </w:tc>
      </w:tr>
    </w:tbl>
    <w:p>
      <w:pPr>
        <w:pStyle w:val="25"/>
        <w:spacing w:line="300" w:lineRule="auto"/>
        <w:ind w:firstLine="0" w:firstLineChars="0"/>
        <w:jc w:val="center"/>
        <w:rPr>
          <w:rFonts w:ascii="Times New Roman"/>
          <w:color w:val="auto"/>
        </w:rPr>
      </w:pPr>
    </w:p>
    <w:p>
      <w:pPr>
        <w:pStyle w:val="25"/>
        <w:spacing w:line="300" w:lineRule="auto"/>
        <w:ind w:firstLine="0" w:firstLineChars="0"/>
        <w:jc w:val="center"/>
        <w:rPr>
          <w:rFonts w:ascii="Times New Roman"/>
          <w:color w:val="auto"/>
        </w:rPr>
      </w:pPr>
      <w:bookmarkStart w:id="30" w:name="BookMark8"/>
      <w:r>
        <w:drawing>
          <wp:inline distT="0" distB="0" distL="0" distR="0">
            <wp:extent cx="1674495" cy="317500"/>
            <wp:effectExtent l="0" t="0" r="1905" b="254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30" cstate="print"/>
                    <a:stretch>
                      <a:fillRect/>
                    </a:stretch>
                  </pic:blipFill>
                  <pic:spPr>
                    <a:xfrm>
                      <a:off x="0" y="0"/>
                      <a:ext cx="1674495" cy="317500"/>
                    </a:xfrm>
                    <a:prstGeom prst="rect">
                      <a:avLst/>
                    </a:prstGeom>
                  </pic:spPr>
                </pic:pic>
              </a:graphicData>
            </a:graphic>
          </wp:inline>
        </w:drawing>
      </w:r>
      <w:bookmarkEnd w:id="30"/>
    </w:p>
    <w:sectPr>
      <w:pgSz w:w="16838" w:h="11906" w:orient="landscape"/>
      <w:pgMar w:top="1134" w:right="1134" w:bottom="1418" w:left="1134"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46875"/>
      <w:docPartObj>
        <w:docPartGallery w:val="autotext"/>
      </w:docPartObj>
    </w:sdtPr>
    <w:sdtContent>
      <w:p>
        <w:pPr>
          <w:pStyle w:val="19"/>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6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5"/>
    </w:pPr>
    <w:r>
      <w:rPr>
        <w:rFonts w:hint="eastAsia"/>
        <w:lang w:val="en-US" w:eastAsia="zh-CN"/>
      </w:rPr>
      <w:t>XX</w:t>
    </w:r>
    <w:r>
      <w:t>/</w:t>
    </w:r>
    <w:r>
      <w:rPr>
        <w:rFonts w:hint="eastAsia"/>
        <w:lang w:val="en-US" w:eastAsia="zh-CN"/>
      </w:rPr>
      <w:t>XX</w:t>
    </w:r>
    <w:r>
      <w:t xml:space="preserv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27ED43"/>
    <w:multiLevelType w:val="singleLevel"/>
    <w:tmpl w:val="CA27ED43"/>
    <w:lvl w:ilvl="0" w:tentative="0">
      <w:start w:val="1"/>
      <w:numFmt w:val="lowerLetter"/>
      <w:suff w:val="nothing"/>
      <w:lvlText w:val="%1）"/>
      <w:lvlJc w:val="left"/>
    </w:lvl>
  </w:abstractNum>
  <w:abstractNum w:abstractNumId="1">
    <w:nsid w:val="E7C65341"/>
    <w:multiLevelType w:val="singleLevel"/>
    <w:tmpl w:val="E7C65341"/>
    <w:lvl w:ilvl="0" w:tentative="0">
      <w:start w:val="1"/>
      <w:numFmt w:val="lowerLetter"/>
      <w:suff w:val="nothing"/>
      <w:lvlText w:val="%1）"/>
      <w:lvlJc w:val="left"/>
    </w:lvl>
  </w:abstractNum>
  <w:abstractNum w:abstractNumId="2">
    <w:nsid w:val="2DF50771"/>
    <w:multiLevelType w:val="singleLevel"/>
    <w:tmpl w:val="2DF50771"/>
    <w:lvl w:ilvl="0" w:tentative="0">
      <w:start w:val="1"/>
      <w:numFmt w:val="lowerLetter"/>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removePersonalInformation/>
  <w:bordersDoNotSurroundHeader w:val="1"/>
  <w:bordersDoNotSurroundFooter w:val="1"/>
  <w:attachedTemplate r:id="rId1"/>
  <w:revisionView w:markup="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I4MGJhNDNjYzg2NWFhZjRmODM5YmZhOGJjOTA5ODgifQ=="/>
  </w:docVars>
  <w:rsids>
    <w:rsidRoot w:val="000A3352"/>
    <w:rsid w:val="00000244"/>
    <w:rsid w:val="0000185F"/>
    <w:rsid w:val="00002EDC"/>
    <w:rsid w:val="0000387F"/>
    <w:rsid w:val="000043D8"/>
    <w:rsid w:val="0000586F"/>
    <w:rsid w:val="00012CFC"/>
    <w:rsid w:val="000133CE"/>
    <w:rsid w:val="00013533"/>
    <w:rsid w:val="00013D86"/>
    <w:rsid w:val="00013E02"/>
    <w:rsid w:val="0001625F"/>
    <w:rsid w:val="0002143C"/>
    <w:rsid w:val="00025A65"/>
    <w:rsid w:val="00026C31"/>
    <w:rsid w:val="00027280"/>
    <w:rsid w:val="000303E6"/>
    <w:rsid w:val="0003154A"/>
    <w:rsid w:val="000320A7"/>
    <w:rsid w:val="000325A7"/>
    <w:rsid w:val="00032707"/>
    <w:rsid w:val="00032A16"/>
    <w:rsid w:val="00035925"/>
    <w:rsid w:val="000413DB"/>
    <w:rsid w:val="00047172"/>
    <w:rsid w:val="00052ED3"/>
    <w:rsid w:val="00054A6D"/>
    <w:rsid w:val="000554C5"/>
    <w:rsid w:val="00061231"/>
    <w:rsid w:val="00063527"/>
    <w:rsid w:val="0006459A"/>
    <w:rsid w:val="00067142"/>
    <w:rsid w:val="00067156"/>
    <w:rsid w:val="00067CDF"/>
    <w:rsid w:val="0007084F"/>
    <w:rsid w:val="00074FBE"/>
    <w:rsid w:val="00081D00"/>
    <w:rsid w:val="00083A09"/>
    <w:rsid w:val="00083CF6"/>
    <w:rsid w:val="00083E16"/>
    <w:rsid w:val="00084E05"/>
    <w:rsid w:val="000869D1"/>
    <w:rsid w:val="00086C1A"/>
    <w:rsid w:val="0009005E"/>
    <w:rsid w:val="000910BF"/>
    <w:rsid w:val="0009256C"/>
    <w:rsid w:val="00092857"/>
    <w:rsid w:val="00093D16"/>
    <w:rsid w:val="00096D00"/>
    <w:rsid w:val="000A06DF"/>
    <w:rsid w:val="000A0CA6"/>
    <w:rsid w:val="000A20A9"/>
    <w:rsid w:val="000A3352"/>
    <w:rsid w:val="000A48B1"/>
    <w:rsid w:val="000A6E9C"/>
    <w:rsid w:val="000B2B96"/>
    <w:rsid w:val="000B2D20"/>
    <w:rsid w:val="000B306D"/>
    <w:rsid w:val="000B3143"/>
    <w:rsid w:val="000C0328"/>
    <w:rsid w:val="000C3DCF"/>
    <w:rsid w:val="000C5AFA"/>
    <w:rsid w:val="000C6B05"/>
    <w:rsid w:val="000C6DD6"/>
    <w:rsid w:val="000C73D4"/>
    <w:rsid w:val="000D084A"/>
    <w:rsid w:val="000D165E"/>
    <w:rsid w:val="000D2B9E"/>
    <w:rsid w:val="000D3BF6"/>
    <w:rsid w:val="000D3D4C"/>
    <w:rsid w:val="000D4F3B"/>
    <w:rsid w:val="000D4F51"/>
    <w:rsid w:val="000D594D"/>
    <w:rsid w:val="000D718B"/>
    <w:rsid w:val="000D7F6C"/>
    <w:rsid w:val="000E0C46"/>
    <w:rsid w:val="000E1613"/>
    <w:rsid w:val="000E3B6D"/>
    <w:rsid w:val="000E49E6"/>
    <w:rsid w:val="000E641B"/>
    <w:rsid w:val="000F00FD"/>
    <w:rsid w:val="000F030C"/>
    <w:rsid w:val="000F050F"/>
    <w:rsid w:val="000F129C"/>
    <w:rsid w:val="00102BD9"/>
    <w:rsid w:val="00102DBD"/>
    <w:rsid w:val="00103194"/>
    <w:rsid w:val="001056DE"/>
    <w:rsid w:val="001062E3"/>
    <w:rsid w:val="001124C0"/>
    <w:rsid w:val="001137E0"/>
    <w:rsid w:val="001250C6"/>
    <w:rsid w:val="0013175F"/>
    <w:rsid w:val="0013226C"/>
    <w:rsid w:val="00137C57"/>
    <w:rsid w:val="001443A2"/>
    <w:rsid w:val="001448F6"/>
    <w:rsid w:val="00144BFA"/>
    <w:rsid w:val="00146135"/>
    <w:rsid w:val="00147195"/>
    <w:rsid w:val="001478C4"/>
    <w:rsid w:val="001512B4"/>
    <w:rsid w:val="001514AB"/>
    <w:rsid w:val="00152129"/>
    <w:rsid w:val="0015273A"/>
    <w:rsid w:val="0016092C"/>
    <w:rsid w:val="0016169C"/>
    <w:rsid w:val="001620A5"/>
    <w:rsid w:val="0016397F"/>
    <w:rsid w:val="00164893"/>
    <w:rsid w:val="00164E53"/>
    <w:rsid w:val="0016699D"/>
    <w:rsid w:val="001678D4"/>
    <w:rsid w:val="00170CA6"/>
    <w:rsid w:val="00171F70"/>
    <w:rsid w:val="001720C0"/>
    <w:rsid w:val="00173D33"/>
    <w:rsid w:val="00175159"/>
    <w:rsid w:val="00176208"/>
    <w:rsid w:val="00176D01"/>
    <w:rsid w:val="0018211B"/>
    <w:rsid w:val="001840D3"/>
    <w:rsid w:val="00184F55"/>
    <w:rsid w:val="00185A64"/>
    <w:rsid w:val="0018673C"/>
    <w:rsid w:val="001900F8"/>
    <w:rsid w:val="00190AB7"/>
    <w:rsid w:val="00191258"/>
    <w:rsid w:val="00192680"/>
    <w:rsid w:val="00193037"/>
    <w:rsid w:val="00193269"/>
    <w:rsid w:val="00193A2C"/>
    <w:rsid w:val="00194A6F"/>
    <w:rsid w:val="001A0359"/>
    <w:rsid w:val="001A075F"/>
    <w:rsid w:val="001A1790"/>
    <w:rsid w:val="001A288E"/>
    <w:rsid w:val="001A44C5"/>
    <w:rsid w:val="001A69D6"/>
    <w:rsid w:val="001A6AA5"/>
    <w:rsid w:val="001B1D6B"/>
    <w:rsid w:val="001B5DE0"/>
    <w:rsid w:val="001B6DC2"/>
    <w:rsid w:val="001B6FC1"/>
    <w:rsid w:val="001C149C"/>
    <w:rsid w:val="001C21AC"/>
    <w:rsid w:val="001C3B65"/>
    <w:rsid w:val="001C47BA"/>
    <w:rsid w:val="001C59EA"/>
    <w:rsid w:val="001C6B8D"/>
    <w:rsid w:val="001C74E2"/>
    <w:rsid w:val="001C7767"/>
    <w:rsid w:val="001D406C"/>
    <w:rsid w:val="001D41EE"/>
    <w:rsid w:val="001D4C06"/>
    <w:rsid w:val="001D5EA6"/>
    <w:rsid w:val="001E0380"/>
    <w:rsid w:val="001E13B1"/>
    <w:rsid w:val="001E2795"/>
    <w:rsid w:val="001F0E86"/>
    <w:rsid w:val="001F3A19"/>
    <w:rsid w:val="001F7A75"/>
    <w:rsid w:val="0020230C"/>
    <w:rsid w:val="002028B8"/>
    <w:rsid w:val="002127BF"/>
    <w:rsid w:val="00213487"/>
    <w:rsid w:val="00215309"/>
    <w:rsid w:val="00216970"/>
    <w:rsid w:val="00217CDE"/>
    <w:rsid w:val="00234467"/>
    <w:rsid w:val="00237D8D"/>
    <w:rsid w:val="002406F7"/>
    <w:rsid w:val="00241DA2"/>
    <w:rsid w:val="0024513E"/>
    <w:rsid w:val="00247FEE"/>
    <w:rsid w:val="00250E7D"/>
    <w:rsid w:val="00251212"/>
    <w:rsid w:val="002565D5"/>
    <w:rsid w:val="00261C67"/>
    <w:rsid w:val="002622C0"/>
    <w:rsid w:val="00264534"/>
    <w:rsid w:val="002778AE"/>
    <w:rsid w:val="00280061"/>
    <w:rsid w:val="00280CD5"/>
    <w:rsid w:val="00281245"/>
    <w:rsid w:val="0028269A"/>
    <w:rsid w:val="00283590"/>
    <w:rsid w:val="00283740"/>
    <w:rsid w:val="0028581B"/>
    <w:rsid w:val="00286973"/>
    <w:rsid w:val="0029359D"/>
    <w:rsid w:val="00294E70"/>
    <w:rsid w:val="002A1924"/>
    <w:rsid w:val="002A7420"/>
    <w:rsid w:val="002A79BB"/>
    <w:rsid w:val="002B0F12"/>
    <w:rsid w:val="002B1308"/>
    <w:rsid w:val="002B4554"/>
    <w:rsid w:val="002B4FB2"/>
    <w:rsid w:val="002B5495"/>
    <w:rsid w:val="002B5C45"/>
    <w:rsid w:val="002B71EB"/>
    <w:rsid w:val="002B7FE6"/>
    <w:rsid w:val="002C6925"/>
    <w:rsid w:val="002C72D8"/>
    <w:rsid w:val="002D11FA"/>
    <w:rsid w:val="002D3089"/>
    <w:rsid w:val="002D31B1"/>
    <w:rsid w:val="002E0DDF"/>
    <w:rsid w:val="002E2906"/>
    <w:rsid w:val="002E31A9"/>
    <w:rsid w:val="002E5635"/>
    <w:rsid w:val="002E64C3"/>
    <w:rsid w:val="002E68F2"/>
    <w:rsid w:val="002E6A2C"/>
    <w:rsid w:val="002F174A"/>
    <w:rsid w:val="002F1D8C"/>
    <w:rsid w:val="002F21DA"/>
    <w:rsid w:val="002F7E5F"/>
    <w:rsid w:val="00301F39"/>
    <w:rsid w:val="00303731"/>
    <w:rsid w:val="00304148"/>
    <w:rsid w:val="0031081C"/>
    <w:rsid w:val="0031129A"/>
    <w:rsid w:val="0031161E"/>
    <w:rsid w:val="0031689F"/>
    <w:rsid w:val="00317C3F"/>
    <w:rsid w:val="0032382A"/>
    <w:rsid w:val="00325774"/>
    <w:rsid w:val="00325926"/>
    <w:rsid w:val="00327169"/>
    <w:rsid w:val="00327A8A"/>
    <w:rsid w:val="003335CF"/>
    <w:rsid w:val="00336610"/>
    <w:rsid w:val="003403F0"/>
    <w:rsid w:val="00340EB5"/>
    <w:rsid w:val="00343F73"/>
    <w:rsid w:val="00345060"/>
    <w:rsid w:val="0035323B"/>
    <w:rsid w:val="003609D2"/>
    <w:rsid w:val="003636EC"/>
    <w:rsid w:val="00363F22"/>
    <w:rsid w:val="00372EC3"/>
    <w:rsid w:val="00373BAB"/>
    <w:rsid w:val="00375564"/>
    <w:rsid w:val="00377823"/>
    <w:rsid w:val="00383191"/>
    <w:rsid w:val="003858BE"/>
    <w:rsid w:val="00386DED"/>
    <w:rsid w:val="003912E7"/>
    <w:rsid w:val="00393947"/>
    <w:rsid w:val="003A2275"/>
    <w:rsid w:val="003A306A"/>
    <w:rsid w:val="003A44AF"/>
    <w:rsid w:val="003A4990"/>
    <w:rsid w:val="003A6A4F"/>
    <w:rsid w:val="003A7088"/>
    <w:rsid w:val="003B00DF"/>
    <w:rsid w:val="003B1275"/>
    <w:rsid w:val="003B1778"/>
    <w:rsid w:val="003B5493"/>
    <w:rsid w:val="003B5C98"/>
    <w:rsid w:val="003C11CB"/>
    <w:rsid w:val="003C64F4"/>
    <w:rsid w:val="003C75F3"/>
    <w:rsid w:val="003C78A3"/>
    <w:rsid w:val="003D143E"/>
    <w:rsid w:val="003D1EBB"/>
    <w:rsid w:val="003D6902"/>
    <w:rsid w:val="003E1867"/>
    <w:rsid w:val="003E5729"/>
    <w:rsid w:val="003F04AC"/>
    <w:rsid w:val="003F07E9"/>
    <w:rsid w:val="003F111A"/>
    <w:rsid w:val="003F1AF6"/>
    <w:rsid w:val="003F2456"/>
    <w:rsid w:val="003F2FC5"/>
    <w:rsid w:val="003F3C7E"/>
    <w:rsid w:val="003F4E8E"/>
    <w:rsid w:val="003F4EE0"/>
    <w:rsid w:val="00402153"/>
    <w:rsid w:val="00402FC1"/>
    <w:rsid w:val="00407355"/>
    <w:rsid w:val="00413455"/>
    <w:rsid w:val="0041436B"/>
    <w:rsid w:val="00415074"/>
    <w:rsid w:val="00424461"/>
    <w:rsid w:val="00425082"/>
    <w:rsid w:val="00427255"/>
    <w:rsid w:val="00431DEB"/>
    <w:rsid w:val="00442138"/>
    <w:rsid w:val="00442A83"/>
    <w:rsid w:val="00446B29"/>
    <w:rsid w:val="00451170"/>
    <w:rsid w:val="00452584"/>
    <w:rsid w:val="00453F9A"/>
    <w:rsid w:val="0045435F"/>
    <w:rsid w:val="00457007"/>
    <w:rsid w:val="0046395C"/>
    <w:rsid w:val="004668E6"/>
    <w:rsid w:val="004708BC"/>
    <w:rsid w:val="00471E91"/>
    <w:rsid w:val="00474675"/>
    <w:rsid w:val="0047470C"/>
    <w:rsid w:val="00480B1E"/>
    <w:rsid w:val="00481A91"/>
    <w:rsid w:val="00482B93"/>
    <w:rsid w:val="00483A6F"/>
    <w:rsid w:val="00484AA4"/>
    <w:rsid w:val="00486F05"/>
    <w:rsid w:val="004875AA"/>
    <w:rsid w:val="00495B3C"/>
    <w:rsid w:val="004960AA"/>
    <w:rsid w:val="004A0CA4"/>
    <w:rsid w:val="004A35F9"/>
    <w:rsid w:val="004A727A"/>
    <w:rsid w:val="004B24C1"/>
    <w:rsid w:val="004B41C8"/>
    <w:rsid w:val="004C292F"/>
    <w:rsid w:val="004C30FA"/>
    <w:rsid w:val="004C444F"/>
    <w:rsid w:val="004C693A"/>
    <w:rsid w:val="004D1041"/>
    <w:rsid w:val="004D4AE8"/>
    <w:rsid w:val="004E10FB"/>
    <w:rsid w:val="004E32AA"/>
    <w:rsid w:val="004E521B"/>
    <w:rsid w:val="004F0220"/>
    <w:rsid w:val="004F36C3"/>
    <w:rsid w:val="004F3EE6"/>
    <w:rsid w:val="004F6B5C"/>
    <w:rsid w:val="004F73CC"/>
    <w:rsid w:val="004F7A75"/>
    <w:rsid w:val="00503E4C"/>
    <w:rsid w:val="00504061"/>
    <w:rsid w:val="005046F2"/>
    <w:rsid w:val="005056A2"/>
    <w:rsid w:val="00505825"/>
    <w:rsid w:val="005073E0"/>
    <w:rsid w:val="00510280"/>
    <w:rsid w:val="00512F6B"/>
    <w:rsid w:val="00513D73"/>
    <w:rsid w:val="00514A43"/>
    <w:rsid w:val="00514BD0"/>
    <w:rsid w:val="005174E5"/>
    <w:rsid w:val="00517E84"/>
    <w:rsid w:val="005207B3"/>
    <w:rsid w:val="0052213E"/>
    <w:rsid w:val="00522393"/>
    <w:rsid w:val="00522620"/>
    <w:rsid w:val="00525656"/>
    <w:rsid w:val="00527E39"/>
    <w:rsid w:val="00534C02"/>
    <w:rsid w:val="00534D36"/>
    <w:rsid w:val="00536A36"/>
    <w:rsid w:val="005379B6"/>
    <w:rsid w:val="00540411"/>
    <w:rsid w:val="0054108C"/>
    <w:rsid w:val="0054264B"/>
    <w:rsid w:val="00543786"/>
    <w:rsid w:val="005475C3"/>
    <w:rsid w:val="005533D7"/>
    <w:rsid w:val="00555D7C"/>
    <w:rsid w:val="005703DE"/>
    <w:rsid w:val="00574AFB"/>
    <w:rsid w:val="00576C64"/>
    <w:rsid w:val="0058180F"/>
    <w:rsid w:val="00584024"/>
    <w:rsid w:val="0058464E"/>
    <w:rsid w:val="00585798"/>
    <w:rsid w:val="00596303"/>
    <w:rsid w:val="005A01CB"/>
    <w:rsid w:val="005A1D79"/>
    <w:rsid w:val="005A3BF1"/>
    <w:rsid w:val="005A58FF"/>
    <w:rsid w:val="005A5EAF"/>
    <w:rsid w:val="005A64C0"/>
    <w:rsid w:val="005B3C11"/>
    <w:rsid w:val="005C0463"/>
    <w:rsid w:val="005C1C28"/>
    <w:rsid w:val="005C1EC5"/>
    <w:rsid w:val="005C6DB5"/>
    <w:rsid w:val="005D0266"/>
    <w:rsid w:val="005D06B8"/>
    <w:rsid w:val="005D25A5"/>
    <w:rsid w:val="005D307F"/>
    <w:rsid w:val="005D4642"/>
    <w:rsid w:val="005D706E"/>
    <w:rsid w:val="005E0EE9"/>
    <w:rsid w:val="005E1010"/>
    <w:rsid w:val="005E19E7"/>
    <w:rsid w:val="00600989"/>
    <w:rsid w:val="00601410"/>
    <w:rsid w:val="006020AB"/>
    <w:rsid w:val="00607780"/>
    <w:rsid w:val="00613667"/>
    <w:rsid w:val="00616051"/>
    <w:rsid w:val="0061716C"/>
    <w:rsid w:val="00617377"/>
    <w:rsid w:val="00620543"/>
    <w:rsid w:val="006243A1"/>
    <w:rsid w:val="00625B78"/>
    <w:rsid w:val="00630934"/>
    <w:rsid w:val="00632E56"/>
    <w:rsid w:val="006333E8"/>
    <w:rsid w:val="00635CBA"/>
    <w:rsid w:val="00642C20"/>
    <w:rsid w:val="0064338B"/>
    <w:rsid w:val="00644FE0"/>
    <w:rsid w:val="006458BB"/>
    <w:rsid w:val="00645BF8"/>
    <w:rsid w:val="00646542"/>
    <w:rsid w:val="006504F4"/>
    <w:rsid w:val="00650FD6"/>
    <w:rsid w:val="00651355"/>
    <w:rsid w:val="00651E73"/>
    <w:rsid w:val="00652076"/>
    <w:rsid w:val="00653F43"/>
    <w:rsid w:val="00654BC9"/>
    <w:rsid w:val="006552FD"/>
    <w:rsid w:val="00657181"/>
    <w:rsid w:val="006578D1"/>
    <w:rsid w:val="00662E16"/>
    <w:rsid w:val="00663A24"/>
    <w:rsid w:val="00663AF3"/>
    <w:rsid w:val="00664DEB"/>
    <w:rsid w:val="006664F3"/>
    <w:rsid w:val="00666B6C"/>
    <w:rsid w:val="00672597"/>
    <w:rsid w:val="0067394B"/>
    <w:rsid w:val="00673D65"/>
    <w:rsid w:val="00674CCB"/>
    <w:rsid w:val="00675E56"/>
    <w:rsid w:val="006772F3"/>
    <w:rsid w:val="0068240D"/>
    <w:rsid w:val="00682682"/>
    <w:rsid w:val="00682702"/>
    <w:rsid w:val="00692368"/>
    <w:rsid w:val="00697D3F"/>
    <w:rsid w:val="006A1317"/>
    <w:rsid w:val="006A2EBC"/>
    <w:rsid w:val="006A3275"/>
    <w:rsid w:val="006A5EA0"/>
    <w:rsid w:val="006A65C2"/>
    <w:rsid w:val="006A783B"/>
    <w:rsid w:val="006A7B33"/>
    <w:rsid w:val="006B2627"/>
    <w:rsid w:val="006B4E13"/>
    <w:rsid w:val="006B75DD"/>
    <w:rsid w:val="006C0BF9"/>
    <w:rsid w:val="006C67E0"/>
    <w:rsid w:val="006C6DDB"/>
    <w:rsid w:val="006C707A"/>
    <w:rsid w:val="006C7ABA"/>
    <w:rsid w:val="006D0D60"/>
    <w:rsid w:val="006D1010"/>
    <w:rsid w:val="006D1122"/>
    <w:rsid w:val="006D3159"/>
    <w:rsid w:val="006D3C00"/>
    <w:rsid w:val="006E15C8"/>
    <w:rsid w:val="006E2943"/>
    <w:rsid w:val="006E3675"/>
    <w:rsid w:val="006E4A7F"/>
    <w:rsid w:val="006F2AEB"/>
    <w:rsid w:val="006F53AF"/>
    <w:rsid w:val="00703360"/>
    <w:rsid w:val="00704DF6"/>
    <w:rsid w:val="0070651C"/>
    <w:rsid w:val="00706B80"/>
    <w:rsid w:val="00706D9A"/>
    <w:rsid w:val="00707B98"/>
    <w:rsid w:val="007106EE"/>
    <w:rsid w:val="00710DC7"/>
    <w:rsid w:val="007132A3"/>
    <w:rsid w:val="007137FE"/>
    <w:rsid w:val="00716421"/>
    <w:rsid w:val="00724EFB"/>
    <w:rsid w:val="00727B17"/>
    <w:rsid w:val="007311CD"/>
    <w:rsid w:val="007419C3"/>
    <w:rsid w:val="00744C44"/>
    <w:rsid w:val="007467A7"/>
    <w:rsid w:val="007469DD"/>
    <w:rsid w:val="0074741B"/>
    <w:rsid w:val="0074759E"/>
    <w:rsid w:val="007478EA"/>
    <w:rsid w:val="00752C61"/>
    <w:rsid w:val="0075415C"/>
    <w:rsid w:val="00755AA3"/>
    <w:rsid w:val="007562D2"/>
    <w:rsid w:val="00756B2C"/>
    <w:rsid w:val="00762046"/>
    <w:rsid w:val="00763502"/>
    <w:rsid w:val="007648F1"/>
    <w:rsid w:val="00764F48"/>
    <w:rsid w:val="007769BA"/>
    <w:rsid w:val="0078011A"/>
    <w:rsid w:val="00780795"/>
    <w:rsid w:val="00782A6D"/>
    <w:rsid w:val="007855E2"/>
    <w:rsid w:val="00786520"/>
    <w:rsid w:val="00787EBF"/>
    <w:rsid w:val="00790CF3"/>
    <w:rsid w:val="007913AB"/>
    <w:rsid w:val="007914F7"/>
    <w:rsid w:val="00792239"/>
    <w:rsid w:val="007931EE"/>
    <w:rsid w:val="007A078E"/>
    <w:rsid w:val="007A1A5B"/>
    <w:rsid w:val="007A3874"/>
    <w:rsid w:val="007A5E6D"/>
    <w:rsid w:val="007B1625"/>
    <w:rsid w:val="007B26B8"/>
    <w:rsid w:val="007B5F5B"/>
    <w:rsid w:val="007B706E"/>
    <w:rsid w:val="007B71EB"/>
    <w:rsid w:val="007B77BD"/>
    <w:rsid w:val="007C6205"/>
    <w:rsid w:val="007C686A"/>
    <w:rsid w:val="007C728E"/>
    <w:rsid w:val="007D02D3"/>
    <w:rsid w:val="007D28F2"/>
    <w:rsid w:val="007D2C53"/>
    <w:rsid w:val="007D3D60"/>
    <w:rsid w:val="007E1980"/>
    <w:rsid w:val="007E4B76"/>
    <w:rsid w:val="007E5EA8"/>
    <w:rsid w:val="007E7ACE"/>
    <w:rsid w:val="007F0CF1"/>
    <w:rsid w:val="007F12A5"/>
    <w:rsid w:val="007F179C"/>
    <w:rsid w:val="007F1CA6"/>
    <w:rsid w:val="007F34C9"/>
    <w:rsid w:val="007F4197"/>
    <w:rsid w:val="007F4CF1"/>
    <w:rsid w:val="007F5186"/>
    <w:rsid w:val="007F758D"/>
    <w:rsid w:val="007F75E2"/>
    <w:rsid w:val="007F7725"/>
    <w:rsid w:val="007F7D52"/>
    <w:rsid w:val="00800E89"/>
    <w:rsid w:val="00802046"/>
    <w:rsid w:val="008031B5"/>
    <w:rsid w:val="0080654C"/>
    <w:rsid w:val="008071C6"/>
    <w:rsid w:val="00816ED8"/>
    <w:rsid w:val="00817A00"/>
    <w:rsid w:val="008227C5"/>
    <w:rsid w:val="00823466"/>
    <w:rsid w:val="00823C28"/>
    <w:rsid w:val="00826E07"/>
    <w:rsid w:val="00834945"/>
    <w:rsid w:val="00834AB5"/>
    <w:rsid w:val="00835DB3"/>
    <w:rsid w:val="0083617B"/>
    <w:rsid w:val="008371BD"/>
    <w:rsid w:val="00844FFC"/>
    <w:rsid w:val="00847130"/>
    <w:rsid w:val="00847472"/>
    <w:rsid w:val="00847CC4"/>
    <w:rsid w:val="008504A8"/>
    <w:rsid w:val="0085282E"/>
    <w:rsid w:val="00852CC8"/>
    <w:rsid w:val="0085303A"/>
    <w:rsid w:val="00856F30"/>
    <w:rsid w:val="0087198C"/>
    <w:rsid w:val="00872C1F"/>
    <w:rsid w:val="00873B13"/>
    <w:rsid w:val="00873B42"/>
    <w:rsid w:val="00876118"/>
    <w:rsid w:val="0088084D"/>
    <w:rsid w:val="00883960"/>
    <w:rsid w:val="008856D8"/>
    <w:rsid w:val="00892980"/>
    <w:rsid w:val="00892E82"/>
    <w:rsid w:val="00893CD2"/>
    <w:rsid w:val="008A33E8"/>
    <w:rsid w:val="008A368C"/>
    <w:rsid w:val="008A526C"/>
    <w:rsid w:val="008A7AF3"/>
    <w:rsid w:val="008C1B58"/>
    <w:rsid w:val="008C39AE"/>
    <w:rsid w:val="008C3EE1"/>
    <w:rsid w:val="008C4D06"/>
    <w:rsid w:val="008C590D"/>
    <w:rsid w:val="008C6654"/>
    <w:rsid w:val="008C6C0C"/>
    <w:rsid w:val="008E031B"/>
    <w:rsid w:val="008E2928"/>
    <w:rsid w:val="008E6879"/>
    <w:rsid w:val="008E7029"/>
    <w:rsid w:val="008E7E99"/>
    <w:rsid w:val="008E7EF6"/>
    <w:rsid w:val="008F1F98"/>
    <w:rsid w:val="008F2D14"/>
    <w:rsid w:val="008F6758"/>
    <w:rsid w:val="0090195F"/>
    <w:rsid w:val="009040DD"/>
    <w:rsid w:val="00904332"/>
    <w:rsid w:val="009043BF"/>
    <w:rsid w:val="00905B47"/>
    <w:rsid w:val="00906284"/>
    <w:rsid w:val="00911633"/>
    <w:rsid w:val="00911B2A"/>
    <w:rsid w:val="0091331C"/>
    <w:rsid w:val="00913344"/>
    <w:rsid w:val="00915AB8"/>
    <w:rsid w:val="00915DB1"/>
    <w:rsid w:val="009275AC"/>
    <w:rsid w:val="009279DE"/>
    <w:rsid w:val="00930116"/>
    <w:rsid w:val="0093017F"/>
    <w:rsid w:val="00932F9E"/>
    <w:rsid w:val="0093597D"/>
    <w:rsid w:val="0094212C"/>
    <w:rsid w:val="0095093D"/>
    <w:rsid w:val="00954689"/>
    <w:rsid w:val="00956C54"/>
    <w:rsid w:val="009605FA"/>
    <w:rsid w:val="009617C9"/>
    <w:rsid w:val="00961C93"/>
    <w:rsid w:val="0096434D"/>
    <w:rsid w:val="00964DD9"/>
    <w:rsid w:val="00965324"/>
    <w:rsid w:val="0097091E"/>
    <w:rsid w:val="00970C8E"/>
    <w:rsid w:val="0097159D"/>
    <w:rsid w:val="00974B22"/>
    <w:rsid w:val="009760D3"/>
    <w:rsid w:val="00977132"/>
    <w:rsid w:val="00981A4B"/>
    <w:rsid w:val="00982501"/>
    <w:rsid w:val="00983A53"/>
    <w:rsid w:val="0098539A"/>
    <w:rsid w:val="009877D3"/>
    <w:rsid w:val="00992653"/>
    <w:rsid w:val="00994E8F"/>
    <w:rsid w:val="009951DC"/>
    <w:rsid w:val="009959BB"/>
    <w:rsid w:val="00996F43"/>
    <w:rsid w:val="00997158"/>
    <w:rsid w:val="009A3A7C"/>
    <w:rsid w:val="009A3B66"/>
    <w:rsid w:val="009A481F"/>
    <w:rsid w:val="009A4F96"/>
    <w:rsid w:val="009A6379"/>
    <w:rsid w:val="009B2ADB"/>
    <w:rsid w:val="009B467E"/>
    <w:rsid w:val="009B4C6F"/>
    <w:rsid w:val="009B4E5C"/>
    <w:rsid w:val="009B603A"/>
    <w:rsid w:val="009B7736"/>
    <w:rsid w:val="009C1ADC"/>
    <w:rsid w:val="009C2D0E"/>
    <w:rsid w:val="009C39FC"/>
    <w:rsid w:val="009C3DAC"/>
    <w:rsid w:val="009C42E0"/>
    <w:rsid w:val="009C53A1"/>
    <w:rsid w:val="009D1278"/>
    <w:rsid w:val="009D252A"/>
    <w:rsid w:val="009D5362"/>
    <w:rsid w:val="009D719D"/>
    <w:rsid w:val="009D77EB"/>
    <w:rsid w:val="009E05BE"/>
    <w:rsid w:val="009E1415"/>
    <w:rsid w:val="009E6116"/>
    <w:rsid w:val="009F00AD"/>
    <w:rsid w:val="009F2643"/>
    <w:rsid w:val="009F27A1"/>
    <w:rsid w:val="00A0150E"/>
    <w:rsid w:val="00A02E43"/>
    <w:rsid w:val="00A03780"/>
    <w:rsid w:val="00A039B6"/>
    <w:rsid w:val="00A05789"/>
    <w:rsid w:val="00A065F9"/>
    <w:rsid w:val="00A07F34"/>
    <w:rsid w:val="00A1182B"/>
    <w:rsid w:val="00A12539"/>
    <w:rsid w:val="00A144DC"/>
    <w:rsid w:val="00A14877"/>
    <w:rsid w:val="00A17C65"/>
    <w:rsid w:val="00A22154"/>
    <w:rsid w:val="00A22499"/>
    <w:rsid w:val="00A24E28"/>
    <w:rsid w:val="00A2543D"/>
    <w:rsid w:val="00A25C38"/>
    <w:rsid w:val="00A36BBE"/>
    <w:rsid w:val="00A43023"/>
    <w:rsid w:val="00A4307A"/>
    <w:rsid w:val="00A47EBB"/>
    <w:rsid w:val="00A50122"/>
    <w:rsid w:val="00A51CDD"/>
    <w:rsid w:val="00A51EEB"/>
    <w:rsid w:val="00A55969"/>
    <w:rsid w:val="00A56E98"/>
    <w:rsid w:val="00A61652"/>
    <w:rsid w:val="00A65034"/>
    <w:rsid w:val="00A658AF"/>
    <w:rsid w:val="00A6730D"/>
    <w:rsid w:val="00A71625"/>
    <w:rsid w:val="00A71B9B"/>
    <w:rsid w:val="00A751C7"/>
    <w:rsid w:val="00A75594"/>
    <w:rsid w:val="00A75ECA"/>
    <w:rsid w:val="00A76E74"/>
    <w:rsid w:val="00A85CFB"/>
    <w:rsid w:val="00A87844"/>
    <w:rsid w:val="00A9511C"/>
    <w:rsid w:val="00A97FC7"/>
    <w:rsid w:val="00AA038C"/>
    <w:rsid w:val="00AA53D4"/>
    <w:rsid w:val="00AA7A09"/>
    <w:rsid w:val="00AB0B9A"/>
    <w:rsid w:val="00AB156E"/>
    <w:rsid w:val="00AB169A"/>
    <w:rsid w:val="00AB3B50"/>
    <w:rsid w:val="00AB58DD"/>
    <w:rsid w:val="00AC05B1"/>
    <w:rsid w:val="00AD356C"/>
    <w:rsid w:val="00AD417E"/>
    <w:rsid w:val="00AD4A8A"/>
    <w:rsid w:val="00AD4D02"/>
    <w:rsid w:val="00AE2914"/>
    <w:rsid w:val="00AE6D15"/>
    <w:rsid w:val="00AE77FC"/>
    <w:rsid w:val="00AF670C"/>
    <w:rsid w:val="00B03829"/>
    <w:rsid w:val="00B04182"/>
    <w:rsid w:val="00B07373"/>
    <w:rsid w:val="00B07AE3"/>
    <w:rsid w:val="00B11430"/>
    <w:rsid w:val="00B144BD"/>
    <w:rsid w:val="00B153E4"/>
    <w:rsid w:val="00B15F80"/>
    <w:rsid w:val="00B22027"/>
    <w:rsid w:val="00B231DD"/>
    <w:rsid w:val="00B2522E"/>
    <w:rsid w:val="00B353EB"/>
    <w:rsid w:val="00B36AD6"/>
    <w:rsid w:val="00B40A0E"/>
    <w:rsid w:val="00B4102B"/>
    <w:rsid w:val="00B439C4"/>
    <w:rsid w:val="00B4535E"/>
    <w:rsid w:val="00B45C0D"/>
    <w:rsid w:val="00B50EDD"/>
    <w:rsid w:val="00B527A2"/>
    <w:rsid w:val="00B52A8C"/>
    <w:rsid w:val="00B57DF7"/>
    <w:rsid w:val="00B62CE4"/>
    <w:rsid w:val="00B636A8"/>
    <w:rsid w:val="00B63A50"/>
    <w:rsid w:val="00B64198"/>
    <w:rsid w:val="00B665C6"/>
    <w:rsid w:val="00B67AD7"/>
    <w:rsid w:val="00B805AF"/>
    <w:rsid w:val="00B80ADB"/>
    <w:rsid w:val="00B82D46"/>
    <w:rsid w:val="00B8328D"/>
    <w:rsid w:val="00B84122"/>
    <w:rsid w:val="00B869EC"/>
    <w:rsid w:val="00B91647"/>
    <w:rsid w:val="00B9397A"/>
    <w:rsid w:val="00B9553F"/>
    <w:rsid w:val="00B9633D"/>
    <w:rsid w:val="00BA2EBE"/>
    <w:rsid w:val="00BA39CB"/>
    <w:rsid w:val="00BB0F28"/>
    <w:rsid w:val="00BB10FE"/>
    <w:rsid w:val="00BB458A"/>
    <w:rsid w:val="00BB6E8F"/>
    <w:rsid w:val="00BB7660"/>
    <w:rsid w:val="00BC2C50"/>
    <w:rsid w:val="00BC4642"/>
    <w:rsid w:val="00BC4705"/>
    <w:rsid w:val="00BC580A"/>
    <w:rsid w:val="00BD00D3"/>
    <w:rsid w:val="00BD1659"/>
    <w:rsid w:val="00BD3AA9"/>
    <w:rsid w:val="00BD4A18"/>
    <w:rsid w:val="00BD6056"/>
    <w:rsid w:val="00BD6DB2"/>
    <w:rsid w:val="00BD73CA"/>
    <w:rsid w:val="00BD7A82"/>
    <w:rsid w:val="00BE11CF"/>
    <w:rsid w:val="00BE1215"/>
    <w:rsid w:val="00BE21AB"/>
    <w:rsid w:val="00BE27CC"/>
    <w:rsid w:val="00BE2BAE"/>
    <w:rsid w:val="00BE55CB"/>
    <w:rsid w:val="00BE7431"/>
    <w:rsid w:val="00BF617A"/>
    <w:rsid w:val="00BF7E05"/>
    <w:rsid w:val="00C01E9D"/>
    <w:rsid w:val="00C0379D"/>
    <w:rsid w:val="00C03931"/>
    <w:rsid w:val="00C05FE3"/>
    <w:rsid w:val="00C06723"/>
    <w:rsid w:val="00C11E93"/>
    <w:rsid w:val="00C200DA"/>
    <w:rsid w:val="00C20C6B"/>
    <w:rsid w:val="00C2136D"/>
    <w:rsid w:val="00C214EE"/>
    <w:rsid w:val="00C2314B"/>
    <w:rsid w:val="00C24971"/>
    <w:rsid w:val="00C2603E"/>
    <w:rsid w:val="00C26BE5"/>
    <w:rsid w:val="00C26E4D"/>
    <w:rsid w:val="00C27909"/>
    <w:rsid w:val="00C27B03"/>
    <w:rsid w:val="00C314E1"/>
    <w:rsid w:val="00C318DF"/>
    <w:rsid w:val="00C32D9A"/>
    <w:rsid w:val="00C33E69"/>
    <w:rsid w:val="00C34397"/>
    <w:rsid w:val="00C343FA"/>
    <w:rsid w:val="00C4095D"/>
    <w:rsid w:val="00C41214"/>
    <w:rsid w:val="00C4175C"/>
    <w:rsid w:val="00C41E32"/>
    <w:rsid w:val="00C5101B"/>
    <w:rsid w:val="00C511B6"/>
    <w:rsid w:val="00C51262"/>
    <w:rsid w:val="00C55BCD"/>
    <w:rsid w:val="00C601D2"/>
    <w:rsid w:val="00C63CE0"/>
    <w:rsid w:val="00C653C0"/>
    <w:rsid w:val="00C657AB"/>
    <w:rsid w:val="00C65BCC"/>
    <w:rsid w:val="00C66970"/>
    <w:rsid w:val="00C67905"/>
    <w:rsid w:val="00C71087"/>
    <w:rsid w:val="00C72C60"/>
    <w:rsid w:val="00C80474"/>
    <w:rsid w:val="00C806E0"/>
    <w:rsid w:val="00C845E9"/>
    <w:rsid w:val="00C8691C"/>
    <w:rsid w:val="00CA168A"/>
    <w:rsid w:val="00CA357E"/>
    <w:rsid w:val="00CA44F9"/>
    <w:rsid w:val="00CA4A69"/>
    <w:rsid w:val="00CA69EC"/>
    <w:rsid w:val="00CA7F68"/>
    <w:rsid w:val="00CC3E0C"/>
    <w:rsid w:val="00CC4BB6"/>
    <w:rsid w:val="00CC58D3"/>
    <w:rsid w:val="00CC784D"/>
    <w:rsid w:val="00CD1E10"/>
    <w:rsid w:val="00CD3102"/>
    <w:rsid w:val="00CD5509"/>
    <w:rsid w:val="00CD73E4"/>
    <w:rsid w:val="00CE12BC"/>
    <w:rsid w:val="00CE3F60"/>
    <w:rsid w:val="00CE56C0"/>
    <w:rsid w:val="00CF377F"/>
    <w:rsid w:val="00CF4398"/>
    <w:rsid w:val="00CF5E32"/>
    <w:rsid w:val="00CF6165"/>
    <w:rsid w:val="00D01A3F"/>
    <w:rsid w:val="00D0337B"/>
    <w:rsid w:val="00D079B2"/>
    <w:rsid w:val="00D114E9"/>
    <w:rsid w:val="00D11C53"/>
    <w:rsid w:val="00D13FCB"/>
    <w:rsid w:val="00D20268"/>
    <w:rsid w:val="00D27FA5"/>
    <w:rsid w:val="00D35FFE"/>
    <w:rsid w:val="00D406D8"/>
    <w:rsid w:val="00D415A5"/>
    <w:rsid w:val="00D429C6"/>
    <w:rsid w:val="00D4487A"/>
    <w:rsid w:val="00D47748"/>
    <w:rsid w:val="00D52E43"/>
    <w:rsid w:val="00D54CC3"/>
    <w:rsid w:val="00D5637B"/>
    <w:rsid w:val="00D56AA3"/>
    <w:rsid w:val="00D56C60"/>
    <w:rsid w:val="00D6041A"/>
    <w:rsid w:val="00D633EB"/>
    <w:rsid w:val="00D646E1"/>
    <w:rsid w:val="00D66820"/>
    <w:rsid w:val="00D72E74"/>
    <w:rsid w:val="00D74336"/>
    <w:rsid w:val="00D752E7"/>
    <w:rsid w:val="00D76967"/>
    <w:rsid w:val="00D8153C"/>
    <w:rsid w:val="00D82CF6"/>
    <w:rsid w:val="00D82FF7"/>
    <w:rsid w:val="00D847FE"/>
    <w:rsid w:val="00D964EA"/>
    <w:rsid w:val="00D966D0"/>
    <w:rsid w:val="00D96C74"/>
    <w:rsid w:val="00DA0C59"/>
    <w:rsid w:val="00DA3991"/>
    <w:rsid w:val="00DA7047"/>
    <w:rsid w:val="00DA73E9"/>
    <w:rsid w:val="00DB30B0"/>
    <w:rsid w:val="00DB30EC"/>
    <w:rsid w:val="00DB7680"/>
    <w:rsid w:val="00DB7E6C"/>
    <w:rsid w:val="00DC1888"/>
    <w:rsid w:val="00DD12DE"/>
    <w:rsid w:val="00DD49EC"/>
    <w:rsid w:val="00DD5A29"/>
    <w:rsid w:val="00DD5D9D"/>
    <w:rsid w:val="00DE2783"/>
    <w:rsid w:val="00DE35CB"/>
    <w:rsid w:val="00DF18CE"/>
    <w:rsid w:val="00DF21E9"/>
    <w:rsid w:val="00DF3635"/>
    <w:rsid w:val="00E00F14"/>
    <w:rsid w:val="00E01542"/>
    <w:rsid w:val="00E06386"/>
    <w:rsid w:val="00E06E8A"/>
    <w:rsid w:val="00E206A5"/>
    <w:rsid w:val="00E24EB4"/>
    <w:rsid w:val="00E27AC3"/>
    <w:rsid w:val="00E312DD"/>
    <w:rsid w:val="00E320ED"/>
    <w:rsid w:val="00E33AFB"/>
    <w:rsid w:val="00E34218"/>
    <w:rsid w:val="00E36D2D"/>
    <w:rsid w:val="00E37421"/>
    <w:rsid w:val="00E41EAB"/>
    <w:rsid w:val="00E42725"/>
    <w:rsid w:val="00E4362D"/>
    <w:rsid w:val="00E44AAC"/>
    <w:rsid w:val="00E46282"/>
    <w:rsid w:val="00E5046F"/>
    <w:rsid w:val="00E5189A"/>
    <w:rsid w:val="00E5216E"/>
    <w:rsid w:val="00E57E8F"/>
    <w:rsid w:val="00E61788"/>
    <w:rsid w:val="00E64466"/>
    <w:rsid w:val="00E648D8"/>
    <w:rsid w:val="00E66A0F"/>
    <w:rsid w:val="00E73B95"/>
    <w:rsid w:val="00E82344"/>
    <w:rsid w:val="00E84C82"/>
    <w:rsid w:val="00E84D64"/>
    <w:rsid w:val="00E85949"/>
    <w:rsid w:val="00E87408"/>
    <w:rsid w:val="00E914C4"/>
    <w:rsid w:val="00E91659"/>
    <w:rsid w:val="00E934F5"/>
    <w:rsid w:val="00E9680F"/>
    <w:rsid w:val="00E96961"/>
    <w:rsid w:val="00E9789D"/>
    <w:rsid w:val="00E97F25"/>
    <w:rsid w:val="00EA4AD9"/>
    <w:rsid w:val="00EA4B03"/>
    <w:rsid w:val="00EA666F"/>
    <w:rsid w:val="00EA72EC"/>
    <w:rsid w:val="00EA7E7D"/>
    <w:rsid w:val="00EB0653"/>
    <w:rsid w:val="00EB11CB"/>
    <w:rsid w:val="00EB275A"/>
    <w:rsid w:val="00EB4650"/>
    <w:rsid w:val="00EB786A"/>
    <w:rsid w:val="00EC13AF"/>
    <w:rsid w:val="00EC1578"/>
    <w:rsid w:val="00EC162B"/>
    <w:rsid w:val="00EC1C72"/>
    <w:rsid w:val="00EC38D0"/>
    <w:rsid w:val="00EC3CC9"/>
    <w:rsid w:val="00EC4596"/>
    <w:rsid w:val="00EC5906"/>
    <w:rsid w:val="00EC5C5A"/>
    <w:rsid w:val="00EC680A"/>
    <w:rsid w:val="00ED0116"/>
    <w:rsid w:val="00ED0ACD"/>
    <w:rsid w:val="00ED5E5C"/>
    <w:rsid w:val="00ED7BCF"/>
    <w:rsid w:val="00EE1BAB"/>
    <w:rsid w:val="00EE2BED"/>
    <w:rsid w:val="00EE374B"/>
    <w:rsid w:val="00EE5ED8"/>
    <w:rsid w:val="00EF15F2"/>
    <w:rsid w:val="00EF5C72"/>
    <w:rsid w:val="00EF6DED"/>
    <w:rsid w:val="00EF71AD"/>
    <w:rsid w:val="00F05C98"/>
    <w:rsid w:val="00F07825"/>
    <w:rsid w:val="00F11BB5"/>
    <w:rsid w:val="00F1417B"/>
    <w:rsid w:val="00F17351"/>
    <w:rsid w:val="00F240A9"/>
    <w:rsid w:val="00F2610A"/>
    <w:rsid w:val="00F31354"/>
    <w:rsid w:val="00F3214B"/>
    <w:rsid w:val="00F34B99"/>
    <w:rsid w:val="00F35816"/>
    <w:rsid w:val="00F36869"/>
    <w:rsid w:val="00F41541"/>
    <w:rsid w:val="00F41D6F"/>
    <w:rsid w:val="00F426F2"/>
    <w:rsid w:val="00F42882"/>
    <w:rsid w:val="00F4520C"/>
    <w:rsid w:val="00F452B1"/>
    <w:rsid w:val="00F52973"/>
    <w:rsid w:val="00F52DAB"/>
    <w:rsid w:val="00F543F0"/>
    <w:rsid w:val="00F563E8"/>
    <w:rsid w:val="00F6036F"/>
    <w:rsid w:val="00F62132"/>
    <w:rsid w:val="00F638BC"/>
    <w:rsid w:val="00F669BB"/>
    <w:rsid w:val="00F71E2A"/>
    <w:rsid w:val="00F75153"/>
    <w:rsid w:val="00F75307"/>
    <w:rsid w:val="00F8078A"/>
    <w:rsid w:val="00F80E74"/>
    <w:rsid w:val="00F81D29"/>
    <w:rsid w:val="00F846A0"/>
    <w:rsid w:val="00F8762C"/>
    <w:rsid w:val="00F91917"/>
    <w:rsid w:val="00F91C4D"/>
    <w:rsid w:val="00F92FD9"/>
    <w:rsid w:val="00F93C39"/>
    <w:rsid w:val="00F9680C"/>
    <w:rsid w:val="00F97103"/>
    <w:rsid w:val="00F97C12"/>
    <w:rsid w:val="00FA45EE"/>
    <w:rsid w:val="00FA4E75"/>
    <w:rsid w:val="00FA6684"/>
    <w:rsid w:val="00FA731E"/>
    <w:rsid w:val="00FA7E04"/>
    <w:rsid w:val="00FB2B38"/>
    <w:rsid w:val="00FC2C12"/>
    <w:rsid w:val="00FC3DE3"/>
    <w:rsid w:val="00FC6358"/>
    <w:rsid w:val="00FD16E2"/>
    <w:rsid w:val="00FD1796"/>
    <w:rsid w:val="00FD320D"/>
    <w:rsid w:val="00FD4D28"/>
    <w:rsid w:val="00FD5B37"/>
    <w:rsid w:val="00FE23DE"/>
    <w:rsid w:val="00FE33BB"/>
    <w:rsid w:val="00FE5CCE"/>
    <w:rsid w:val="00FE647A"/>
    <w:rsid w:val="00FF0347"/>
    <w:rsid w:val="00FF5BC7"/>
    <w:rsid w:val="00FF6816"/>
    <w:rsid w:val="026D6C2F"/>
    <w:rsid w:val="02AA1682"/>
    <w:rsid w:val="04A226AA"/>
    <w:rsid w:val="053530EF"/>
    <w:rsid w:val="06820421"/>
    <w:rsid w:val="08C6724C"/>
    <w:rsid w:val="0D987605"/>
    <w:rsid w:val="0EC4672C"/>
    <w:rsid w:val="11C30A58"/>
    <w:rsid w:val="14160503"/>
    <w:rsid w:val="152E519E"/>
    <w:rsid w:val="15CD6E20"/>
    <w:rsid w:val="192561AE"/>
    <w:rsid w:val="19B156A7"/>
    <w:rsid w:val="19FA43D5"/>
    <w:rsid w:val="1A77406E"/>
    <w:rsid w:val="22B73674"/>
    <w:rsid w:val="28603C63"/>
    <w:rsid w:val="2B73627B"/>
    <w:rsid w:val="2C25135A"/>
    <w:rsid w:val="31BA4159"/>
    <w:rsid w:val="3B837945"/>
    <w:rsid w:val="3D6E4CA2"/>
    <w:rsid w:val="3E3530D8"/>
    <w:rsid w:val="3E7F0308"/>
    <w:rsid w:val="410A3F21"/>
    <w:rsid w:val="430420CF"/>
    <w:rsid w:val="442D017F"/>
    <w:rsid w:val="46A009B6"/>
    <w:rsid w:val="481C12FC"/>
    <w:rsid w:val="4C6E4F29"/>
    <w:rsid w:val="4CC208D3"/>
    <w:rsid w:val="510A5F90"/>
    <w:rsid w:val="52B66592"/>
    <w:rsid w:val="53C641DD"/>
    <w:rsid w:val="562E249A"/>
    <w:rsid w:val="57944D6D"/>
    <w:rsid w:val="58C555A4"/>
    <w:rsid w:val="58F752E9"/>
    <w:rsid w:val="5B7D791B"/>
    <w:rsid w:val="5ED309EE"/>
    <w:rsid w:val="5F006625"/>
    <w:rsid w:val="6045177E"/>
    <w:rsid w:val="607F70B7"/>
    <w:rsid w:val="63A66E72"/>
    <w:rsid w:val="64393348"/>
    <w:rsid w:val="657A3F02"/>
    <w:rsid w:val="682B5D1E"/>
    <w:rsid w:val="6A610EA5"/>
    <w:rsid w:val="6B537D8A"/>
    <w:rsid w:val="6C691D85"/>
    <w:rsid w:val="6D5F5BCD"/>
    <w:rsid w:val="743D29BD"/>
    <w:rsid w:val="749858D8"/>
    <w:rsid w:val="75C40BC6"/>
    <w:rsid w:val="76C52FB8"/>
    <w:rsid w:val="7A0D6865"/>
    <w:rsid w:val="7A3B1692"/>
    <w:rsid w:val="7FBF323D"/>
    <w:rsid w:val="7FD55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5"/>
    <w:qFormat/>
    <w:uiPriority w:val="0"/>
    <w:pPr>
      <w:keepNext/>
      <w:keepLines/>
      <w:spacing w:before="340" w:after="330" w:line="578" w:lineRule="auto"/>
      <w:outlineLvl w:val="0"/>
    </w:pPr>
    <w:rPr>
      <w:b/>
      <w:bCs/>
      <w:kern w:val="44"/>
      <w:sz w:val="44"/>
      <w:szCs w:val="4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qFormat/>
    <w:uiPriority w:val="0"/>
    <w:pPr>
      <w:tabs>
        <w:tab w:val="right" w:leader="dot" w:pos="9241"/>
      </w:tabs>
      <w:ind w:firstLine="505"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Normal Indent"/>
    <w:basedOn w:val="1"/>
    <w:qFormat/>
    <w:uiPriority w:val="0"/>
    <w:pPr>
      <w:ind w:firstLine="420"/>
    </w:pPr>
    <w:rPr>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index 4"/>
    <w:basedOn w:val="1"/>
    <w:next w:val="1"/>
    <w:qFormat/>
    <w:uiPriority w:val="0"/>
    <w:pPr>
      <w:ind w:left="840" w:hanging="210"/>
      <w:jc w:val="left"/>
    </w:pPr>
    <w:rPr>
      <w:rFonts w:ascii="Calibri" w:hAnsi="Calibri"/>
      <w:sz w:val="20"/>
      <w:szCs w:val="20"/>
    </w:rPr>
  </w:style>
  <w:style w:type="paragraph" w:styleId="11">
    <w:name w:val="toc 5"/>
    <w:basedOn w:val="1"/>
    <w:next w:val="1"/>
    <w:semiHidden/>
    <w:qFormat/>
    <w:uiPriority w:val="0"/>
    <w:pPr>
      <w:tabs>
        <w:tab w:val="right" w:leader="dot" w:pos="9241"/>
      </w:tabs>
      <w:ind w:firstLine="300" w:firstLineChars="300"/>
      <w:jc w:val="left"/>
    </w:pPr>
    <w:rPr>
      <w:rFonts w:ascii="宋体"/>
      <w:szCs w:val="21"/>
    </w:rPr>
  </w:style>
  <w:style w:type="paragraph" w:styleId="12">
    <w:name w:val="toc 3"/>
    <w:basedOn w:val="1"/>
    <w:next w:val="1"/>
    <w:qFormat/>
    <w:uiPriority w:val="39"/>
    <w:pPr>
      <w:tabs>
        <w:tab w:val="right" w:leader="dot" w:pos="9241"/>
      </w:tabs>
      <w:ind w:firstLine="102" w:firstLineChars="100"/>
      <w:jc w:val="left"/>
    </w:pPr>
    <w:rPr>
      <w:rFonts w:ascii="宋体"/>
      <w:szCs w:val="21"/>
    </w:rPr>
  </w:style>
  <w:style w:type="paragraph" w:styleId="13">
    <w:name w:val="Plain Text"/>
    <w:basedOn w:val="1"/>
    <w:qFormat/>
    <w:uiPriority w:val="0"/>
    <w:rPr>
      <w:rFonts w:ascii="宋体" w:hAnsi="Courier New" w:cs="Courier New"/>
      <w:kern w:val="0"/>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Date"/>
    <w:basedOn w:val="1"/>
    <w:next w:val="1"/>
    <w:link w:val="144"/>
    <w:qFormat/>
    <w:uiPriority w:val="0"/>
    <w:pPr>
      <w:ind w:left="100" w:leftChars="2500"/>
    </w:pPr>
  </w:style>
  <w:style w:type="paragraph" w:styleId="17">
    <w:name w:val="endnote text"/>
    <w:basedOn w:val="1"/>
    <w:semiHidden/>
    <w:qFormat/>
    <w:uiPriority w:val="0"/>
    <w:pPr>
      <w:snapToGrid w:val="0"/>
      <w:jc w:val="left"/>
    </w:pPr>
  </w:style>
  <w:style w:type="paragraph" w:styleId="18">
    <w:name w:val="Balloon Text"/>
    <w:basedOn w:val="1"/>
    <w:link w:val="51"/>
    <w:qFormat/>
    <w:uiPriority w:val="0"/>
    <w:rPr>
      <w:sz w:val="18"/>
      <w:szCs w:val="18"/>
    </w:rPr>
  </w:style>
  <w:style w:type="paragraph" w:styleId="19">
    <w:name w:val="footer"/>
    <w:basedOn w:val="1"/>
    <w:link w:val="147"/>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1"/>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198"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tabs>
        <w:tab w:val="left" w:pos="0"/>
      </w:tabs>
      <w:snapToGrid w:val="0"/>
      <w:ind w:left="720" w:hanging="357"/>
      <w:jc w:val="left"/>
    </w:pPr>
    <w:rPr>
      <w:rFonts w:ascii="宋体"/>
      <w:sz w:val="18"/>
      <w:szCs w:val="18"/>
    </w:rPr>
  </w:style>
  <w:style w:type="paragraph" w:styleId="27">
    <w:name w:val="toc 6"/>
    <w:basedOn w:val="1"/>
    <w:next w:val="1"/>
    <w:semiHidden/>
    <w:qFormat/>
    <w:uiPriority w:val="0"/>
    <w:pPr>
      <w:tabs>
        <w:tab w:val="right" w:leader="dot" w:pos="9241"/>
      </w:tabs>
      <w:ind w:firstLine="403"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1"/>
      </w:tabs>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lang w:bidi="th-TH"/>
    </w:rPr>
  </w:style>
  <w:style w:type="paragraph" w:styleId="33">
    <w:name w:val="Normal (Web)"/>
    <w:basedOn w:val="1"/>
    <w:qFormat/>
    <w:uiPriority w:val="0"/>
    <w:pPr>
      <w:spacing w:before="100" w:beforeAutospacing="1" w:after="100" w:afterAutospacing="1"/>
      <w:jc w:val="left"/>
    </w:pPr>
    <w:rPr>
      <w:kern w:val="0"/>
      <w:sz w:val="24"/>
    </w:rPr>
  </w:style>
  <w:style w:type="paragraph" w:styleId="34">
    <w:name w:val="index 2"/>
    <w:basedOn w:val="1"/>
    <w:next w:val="1"/>
    <w:qFormat/>
    <w:uiPriority w:val="0"/>
    <w:pPr>
      <w:ind w:left="420" w:hanging="210"/>
      <w:jc w:val="left"/>
    </w:pPr>
    <w:rPr>
      <w:rFonts w:ascii="Calibri" w:hAnsi="Calibri"/>
      <w:sz w:val="20"/>
      <w:szCs w:val="20"/>
    </w:rPr>
  </w:style>
  <w:style w:type="table" w:styleId="36">
    <w:name w:val="Table Grid"/>
    <w:basedOn w:val="3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8">
    <w:name w:val="Strong"/>
    <w:basedOn w:val="37"/>
    <w:qFormat/>
    <w:uiPriority w:val="0"/>
    <w:rPr>
      <w:b/>
    </w:rPr>
  </w:style>
  <w:style w:type="character" w:styleId="39">
    <w:name w:val="endnote reference"/>
    <w:basedOn w:val="37"/>
    <w:semiHidden/>
    <w:qFormat/>
    <w:uiPriority w:val="0"/>
    <w:rPr>
      <w:vertAlign w:val="superscript"/>
    </w:rPr>
  </w:style>
  <w:style w:type="character" w:styleId="40">
    <w:name w:val="page number"/>
    <w:basedOn w:val="37"/>
    <w:qFormat/>
    <w:uiPriority w:val="0"/>
    <w:rPr>
      <w:rFonts w:ascii="Times New Roman" w:hAnsi="Times New Roman" w:eastAsia="宋体"/>
      <w:sz w:val="18"/>
    </w:rPr>
  </w:style>
  <w:style w:type="character" w:styleId="41">
    <w:name w:val="FollowedHyperlink"/>
    <w:basedOn w:val="37"/>
    <w:qFormat/>
    <w:uiPriority w:val="0"/>
    <w:rPr>
      <w:color w:val="800080"/>
      <w:u w:val="single"/>
    </w:rPr>
  </w:style>
  <w:style w:type="character" w:styleId="42">
    <w:name w:val="Hyperlink"/>
    <w:basedOn w:val="37"/>
    <w:qFormat/>
    <w:uiPriority w:val="99"/>
    <w:rPr>
      <w:color w:val="0000FF"/>
      <w:spacing w:val="0"/>
      <w:w w:val="100"/>
      <w:szCs w:val="21"/>
      <w:u w:val="single"/>
      <w:lang w:val="en-US" w:eastAsia="zh-CN"/>
    </w:rPr>
  </w:style>
  <w:style w:type="character" w:styleId="43">
    <w:name w:val="footnote reference"/>
    <w:basedOn w:val="37"/>
    <w:semiHidden/>
    <w:qFormat/>
    <w:uiPriority w:val="0"/>
    <w:rPr>
      <w:vertAlign w:val="superscript"/>
    </w:rPr>
  </w:style>
  <w:style w:type="character" w:customStyle="1" w:styleId="44">
    <w:name w:val="fontstyle01"/>
    <w:basedOn w:val="37"/>
    <w:qFormat/>
    <w:uiPriority w:val="0"/>
    <w:rPr>
      <w:rFonts w:hint="default" w:ascii="Times New Roman" w:hAnsi="Times New Roman" w:cs="Times New Roman"/>
      <w:color w:val="000000"/>
      <w:sz w:val="28"/>
      <w:szCs w:val="28"/>
    </w:rPr>
  </w:style>
  <w:style w:type="character" w:customStyle="1" w:styleId="45">
    <w:name w:val="发布"/>
    <w:basedOn w:val="37"/>
    <w:qFormat/>
    <w:uiPriority w:val="0"/>
    <w:rPr>
      <w:rFonts w:ascii="黑体" w:eastAsia="黑体"/>
      <w:spacing w:val="85"/>
      <w:w w:val="100"/>
      <w:position w:val="3"/>
      <w:sz w:val="28"/>
      <w:szCs w:val="28"/>
    </w:rPr>
  </w:style>
  <w:style w:type="character" w:customStyle="1" w:styleId="46">
    <w:name w:val="首示例 Char"/>
    <w:basedOn w:val="37"/>
    <w:link w:val="47"/>
    <w:qFormat/>
    <w:uiPriority w:val="0"/>
    <w:rPr>
      <w:rFonts w:ascii="宋体" w:hAnsi="宋体"/>
      <w:kern w:val="2"/>
      <w:sz w:val="18"/>
      <w:szCs w:val="18"/>
    </w:rPr>
  </w:style>
  <w:style w:type="paragraph" w:customStyle="1" w:styleId="47">
    <w:name w:val="首示例"/>
    <w:next w:val="25"/>
    <w:link w:val="46"/>
    <w:qFormat/>
    <w:uiPriority w:val="0"/>
    <w:pPr>
      <w:tabs>
        <w:tab w:val="left" w:pos="360"/>
      </w:tabs>
    </w:pPr>
    <w:rPr>
      <w:rFonts w:ascii="宋体" w:hAnsi="宋体" w:eastAsia="宋体" w:cs="Times New Roman"/>
      <w:kern w:val="2"/>
      <w:sz w:val="18"/>
      <w:szCs w:val="18"/>
      <w:lang w:val="en-US" w:eastAsia="zh-CN" w:bidi="ar-SA"/>
    </w:rPr>
  </w:style>
  <w:style w:type="character" w:customStyle="1" w:styleId="48">
    <w:name w:val="附录公式 Char"/>
    <w:basedOn w:val="49"/>
    <w:link w:val="50"/>
    <w:qFormat/>
    <w:uiPriority w:val="0"/>
  </w:style>
  <w:style w:type="character" w:customStyle="1" w:styleId="49">
    <w:name w:val="段 Char"/>
    <w:basedOn w:val="37"/>
    <w:link w:val="25"/>
    <w:qFormat/>
    <w:uiPriority w:val="0"/>
    <w:rPr>
      <w:rFonts w:ascii="宋体"/>
      <w:sz w:val="21"/>
      <w:lang w:val="en-US" w:eastAsia="zh-CN" w:bidi="ar-SA"/>
    </w:rPr>
  </w:style>
  <w:style w:type="paragraph" w:customStyle="1" w:styleId="50">
    <w:name w:val="附录公式"/>
    <w:basedOn w:val="25"/>
    <w:next w:val="25"/>
    <w:link w:val="48"/>
    <w:qFormat/>
    <w:uiPriority w:val="0"/>
  </w:style>
  <w:style w:type="character" w:customStyle="1" w:styleId="51">
    <w:name w:val="批注框文本 Char"/>
    <w:basedOn w:val="37"/>
    <w:link w:val="18"/>
    <w:qFormat/>
    <w:uiPriority w:val="0"/>
    <w:rPr>
      <w:kern w:val="2"/>
      <w:sz w:val="18"/>
      <w:szCs w:val="18"/>
    </w:rPr>
  </w:style>
  <w:style w:type="paragraph" w:customStyle="1" w:styleId="52">
    <w:name w:val="列项●（二级）"/>
    <w:qFormat/>
    <w:uiPriority w:val="0"/>
    <w:pPr>
      <w:tabs>
        <w:tab w:val="left" w:pos="840"/>
      </w:tabs>
      <w:ind w:left="1264" w:hanging="413"/>
      <w:jc w:val="both"/>
    </w:pPr>
    <w:rPr>
      <w:rFonts w:ascii="宋体" w:hAnsi="Times New Roman" w:eastAsia="宋体" w:cs="Times New Roman"/>
      <w:sz w:val="21"/>
      <w:lang w:val="en-US" w:eastAsia="zh-CN" w:bidi="ar-SA"/>
    </w:rPr>
  </w:style>
  <w:style w:type="paragraph" w:customStyle="1" w:styleId="53">
    <w:name w:val="封面一致性程度标识"/>
    <w:basedOn w:val="54"/>
    <w:qFormat/>
    <w:uiPriority w:val="0"/>
    <w:pPr>
      <w:spacing w:before="440"/>
    </w:pPr>
    <w:rPr>
      <w:rFonts w:ascii="宋体" w:eastAsia="宋体"/>
    </w:rPr>
  </w:style>
  <w:style w:type="paragraph" w:customStyle="1" w:styleId="54">
    <w:name w:val="封面标准英文名称"/>
    <w:basedOn w:val="55"/>
    <w:qFormat/>
    <w:uiPriority w:val="0"/>
    <w:pPr>
      <w:spacing w:before="370" w:line="400" w:lineRule="exact"/>
    </w:pPr>
    <w:rPr>
      <w:rFonts w:ascii="Times New Roman"/>
      <w:sz w:val="28"/>
      <w:szCs w:val="28"/>
    </w:rPr>
  </w:style>
  <w:style w:type="paragraph" w:customStyle="1" w:styleId="5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6">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5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58">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59">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60">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1">
    <w:name w:val="示例"/>
    <w:next w:val="60"/>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62">
    <w:name w:val="附录三级条标题"/>
    <w:basedOn w:val="63"/>
    <w:next w:val="25"/>
    <w:qFormat/>
    <w:uiPriority w:val="0"/>
    <w:pPr>
      <w:tabs>
        <w:tab w:val="left" w:pos="360"/>
      </w:tabs>
      <w:outlineLvl w:val="4"/>
    </w:pPr>
  </w:style>
  <w:style w:type="paragraph" w:customStyle="1" w:styleId="63">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4">
    <w:name w:val="正文图标题"/>
    <w:next w:val="25"/>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65">
    <w:name w:val="附录四级条标题"/>
    <w:basedOn w:val="62"/>
    <w:next w:val="25"/>
    <w:qFormat/>
    <w:uiPriority w:val="0"/>
    <w:pPr>
      <w:outlineLvl w:val="5"/>
    </w:pPr>
  </w:style>
  <w:style w:type="paragraph" w:customStyle="1" w:styleId="66">
    <w:name w:val="附录四级无"/>
    <w:basedOn w:val="65"/>
    <w:qFormat/>
    <w:uiPriority w:val="0"/>
    <w:pPr>
      <w:tabs>
        <w:tab w:val="clear" w:pos="360"/>
      </w:tabs>
      <w:spacing w:beforeLines="0" w:afterLines="0"/>
    </w:pPr>
    <w:rPr>
      <w:rFonts w:ascii="宋体" w:eastAsia="宋体"/>
      <w:szCs w:val="21"/>
    </w:rPr>
  </w:style>
  <w:style w:type="paragraph" w:customStyle="1" w:styleId="67">
    <w:name w:val="封面标准英文名称2"/>
    <w:basedOn w:val="54"/>
    <w:qFormat/>
    <w:uiPriority w:val="0"/>
    <w:pPr>
      <w:framePr w:y="4469"/>
    </w:pPr>
  </w:style>
  <w:style w:type="paragraph" w:customStyle="1" w:styleId="6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69">
    <w:name w:val="四级无"/>
    <w:basedOn w:val="70"/>
    <w:qFormat/>
    <w:uiPriority w:val="0"/>
    <w:pPr>
      <w:spacing w:beforeLines="0" w:afterLines="0"/>
    </w:pPr>
    <w:rPr>
      <w:rFonts w:ascii="宋体" w:eastAsia="宋体"/>
    </w:rPr>
  </w:style>
  <w:style w:type="paragraph" w:customStyle="1" w:styleId="70">
    <w:name w:val="四级条标题"/>
    <w:basedOn w:val="71"/>
    <w:next w:val="25"/>
    <w:qFormat/>
    <w:uiPriority w:val="0"/>
    <w:pPr>
      <w:outlineLvl w:val="5"/>
    </w:pPr>
  </w:style>
  <w:style w:type="paragraph" w:customStyle="1" w:styleId="71">
    <w:name w:val="三级条标题"/>
    <w:basedOn w:val="72"/>
    <w:next w:val="25"/>
    <w:qFormat/>
    <w:uiPriority w:val="0"/>
    <w:pPr>
      <w:outlineLvl w:val="4"/>
    </w:pPr>
  </w:style>
  <w:style w:type="paragraph" w:customStyle="1" w:styleId="72">
    <w:name w:val="二级条标题"/>
    <w:basedOn w:val="73"/>
    <w:next w:val="25"/>
    <w:qFormat/>
    <w:uiPriority w:val="0"/>
    <w:pPr>
      <w:spacing w:before="50" w:after="50"/>
      <w:outlineLvl w:val="3"/>
    </w:pPr>
  </w:style>
  <w:style w:type="paragraph" w:customStyle="1" w:styleId="73">
    <w:name w:val="一级条标题"/>
    <w:next w:val="25"/>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74">
    <w:name w:val="标准书眉一"/>
    <w:qFormat/>
    <w:uiPriority w:val="0"/>
    <w:pPr>
      <w:jc w:val="both"/>
    </w:pPr>
    <w:rPr>
      <w:rFonts w:ascii="Times New Roman" w:hAnsi="Times New Roman" w:eastAsia="宋体" w:cs="Times New Roman"/>
      <w:lang w:val="en-US" w:eastAsia="zh-CN" w:bidi="ar-SA"/>
    </w:rPr>
  </w:style>
  <w:style w:type="paragraph" w:customStyle="1" w:styleId="75">
    <w:name w:val="附录三级无"/>
    <w:basedOn w:val="62"/>
    <w:qFormat/>
    <w:uiPriority w:val="0"/>
    <w:pPr>
      <w:tabs>
        <w:tab w:val="clear" w:pos="360"/>
      </w:tabs>
      <w:spacing w:beforeLines="0" w:afterLines="0"/>
    </w:pPr>
    <w:rPr>
      <w:rFonts w:ascii="宋体" w:eastAsia="宋体"/>
      <w:szCs w:val="21"/>
    </w:rPr>
  </w:style>
  <w:style w:type="paragraph" w:customStyle="1" w:styleId="76">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7">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8">
    <w:name w:val="附录表标题"/>
    <w:basedOn w:val="1"/>
    <w:next w:val="25"/>
    <w:qFormat/>
    <w:uiPriority w:val="0"/>
    <w:pPr>
      <w:tabs>
        <w:tab w:val="left" w:pos="180"/>
      </w:tabs>
      <w:spacing w:beforeLines="50" w:afterLines="50"/>
      <w:jc w:val="center"/>
    </w:pPr>
    <w:rPr>
      <w:rFonts w:ascii="黑体" w:eastAsia="黑体"/>
      <w:szCs w:val="21"/>
    </w:rPr>
  </w:style>
  <w:style w:type="paragraph" w:customStyle="1" w:styleId="79">
    <w:name w:val="图标脚注说明"/>
    <w:basedOn w:val="25"/>
    <w:qFormat/>
    <w:uiPriority w:val="0"/>
    <w:pPr>
      <w:ind w:left="840" w:hanging="420" w:firstLineChars="0"/>
    </w:pPr>
    <w:rPr>
      <w:sz w:val="18"/>
      <w:szCs w:val="18"/>
    </w:rPr>
  </w:style>
  <w:style w:type="paragraph" w:customStyle="1" w:styleId="8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8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2">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83">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4">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85">
    <w:name w:val="二级无"/>
    <w:basedOn w:val="72"/>
    <w:qFormat/>
    <w:uiPriority w:val="0"/>
    <w:pPr>
      <w:spacing w:beforeLines="0" w:afterLines="0"/>
    </w:pPr>
    <w:rPr>
      <w:rFonts w:ascii="宋体" w:eastAsia="宋体"/>
    </w:rPr>
  </w:style>
  <w:style w:type="paragraph" w:customStyle="1" w:styleId="86">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87">
    <w:name w:val="封面标准文稿类别"/>
    <w:basedOn w:val="53"/>
    <w:qFormat/>
    <w:uiPriority w:val="0"/>
    <w:pPr>
      <w:spacing w:after="160" w:line="240" w:lineRule="auto"/>
    </w:pPr>
    <w:rPr>
      <w:sz w:val="24"/>
    </w:rPr>
  </w:style>
  <w:style w:type="paragraph" w:customStyle="1" w:styleId="88">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89">
    <w:name w:val="Char Char Char1 Char Char Char Char Char Char Char Char Char 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90">
    <w:name w:val="封面标准名称2"/>
    <w:basedOn w:val="55"/>
    <w:qFormat/>
    <w:uiPriority w:val="0"/>
    <w:pPr>
      <w:framePr w:y="4469"/>
      <w:spacing w:beforeLines="630"/>
    </w:pPr>
  </w:style>
  <w:style w:type="paragraph" w:customStyle="1" w:styleId="91">
    <w:name w:val="封面标准文稿编辑信息"/>
    <w:basedOn w:val="87"/>
    <w:qFormat/>
    <w:uiPriority w:val="0"/>
    <w:pPr>
      <w:spacing w:before="180" w:line="180" w:lineRule="exact"/>
    </w:pPr>
    <w:rPr>
      <w:sz w:val="21"/>
    </w:rPr>
  </w:style>
  <w:style w:type="paragraph" w:customStyle="1" w:styleId="92">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94">
    <w:name w:val="其他实施日期"/>
    <w:basedOn w:val="95"/>
    <w:qFormat/>
    <w:uiPriority w:val="0"/>
  </w:style>
  <w:style w:type="paragraph" w:customStyle="1" w:styleId="95">
    <w:name w:val="实施日期"/>
    <w:basedOn w:val="83"/>
    <w:qFormat/>
    <w:uiPriority w:val="0"/>
    <w:pPr>
      <w:framePr w:vAnchor="page" w:hAnchor="text"/>
      <w:jc w:val="right"/>
    </w:pPr>
  </w:style>
  <w:style w:type="paragraph" w:customStyle="1" w:styleId="96">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7">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99">
    <w:name w:val="五级无"/>
    <w:basedOn w:val="100"/>
    <w:qFormat/>
    <w:uiPriority w:val="0"/>
    <w:pPr>
      <w:spacing w:beforeLines="0" w:afterLines="0"/>
    </w:pPr>
    <w:rPr>
      <w:rFonts w:ascii="宋体" w:eastAsia="宋体"/>
    </w:rPr>
  </w:style>
  <w:style w:type="paragraph" w:customStyle="1" w:styleId="100">
    <w:name w:val="五级条标题"/>
    <w:basedOn w:val="70"/>
    <w:next w:val="25"/>
    <w:qFormat/>
    <w:uiPriority w:val="0"/>
    <w:pPr>
      <w:outlineLvl w:val="6"/>
    </w:pPr>
  </w:style>
  <w:style w:type="paragraph" w:customStyle="1" w:styleId="101">
    <w:name w:val="Default"/>
    <w:qFormat/>
    <w:uiPriority w:val="0"/>
    <w:pPr>
      <w:widowControl w:val="0"/>
      <w:autoSpaceDE w:val="0"/>
      <w:autoSpaceDN w:val="0"/>
      <w:adjustRightInd w:val="0"/>
    </w:pPr>
    <w:rPr>
      <w:rFonts w:ascii=".." w:hAnsi="Times New Roman" w:eastAsia=".." w:cs=".."/>
      <w:color w:val="000000"/>
      <w:sz w:val="24"/>
      <w:szCs w:val="24"/>
      <w:lang w:val="en-US" w:eastAsia="zh-CN" w:bidi="th-TH"/>
    </w:rPr>
  </w:style>
  <w:style w:type="paragraph" w:customStyle="1" w:styleId="102">
    <w:name w:val="注："/>
    <w:next w:val="25"/>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03">
    <w:name w:val="示例后文字"/>
    <w:basedOn w:val="25"/>
    <w:next w:val="25"/>
    <w:qFormat/>
    <w:uiPriority w:val="0"/>
    <w:pPr>
      <w:ind w:firstLine="360"/>
    </w:pPr>
    <w:rPr>
      <w:sz w:val="18"/>
    </w:rPr>
  </w:style>
  <w:style w:type="paragraph" w:customStyle="1" w:styleId="104">
    <w:name w:val="附录图标题"/>
    <w:basedOn w:val="1"/>
    <w:next w:val="25"/>
    <w:qFormat/>
    <w:uiPriority w:val="0"/>
    <w:pPr>
      <w:tabs>
        <w:tab w:val="left" w:pos="363"/>
      </w:tabs>
      <w:spacing w:beforeLines="50" w:afterLines="50"/>
      <w:jc w:val="center"/>
    </w:pPr>
    <w:rPr>
      <w:rFonts w:ascii="黑体" w:eastAsia="黑体"/>
      <w:szCs w:val="21"/>
    </w:rPr>
  </w:style>
  <w:style w:type="paragraph" w:customStyle="1" w:styleId="105">
    <w:name w:val="其他发布日期"/>
    <w:basedOn w:val="83"/>
    <w:qFormat/>
    <w:uiPriority w:val="0"/>
    <w:pPr>
      <w:framePr w:vAnchor="page" w:hAnchor="text" w:x="1419"/>
    </w:pPr>
  </w:style>
  <w:style w:type="paragraph" w:customStyle="1" w:styleId="106">
    <w:name w:val="三级无"/>
    <w:basedOn w:val="71"/>
    <w:qFormat/>
    <w:uiPriority w:val="0"/>
    <w:pPr>
      <w:spacing w:beforeLines="0" w:afterLines="0"/>
    </w:pPr>
    <w:rPr>
      <w:rFonts w:ascii="宋体" w:eastAsia="宋体"/>
    </w:rPr>
  </w:style>
  <w:style w:type="paragraph" w:customStyle="1" w:styleId="107">
    <w:name w:val="封面标准文稿编辑信息2"/>
    <w:basedOn w:val="91"/>
    <w:qFormat/>
    <w:uiPriority w:val="0"/>
    <w:pPr>
      <w:framePr w:y="4469"/>
    </w:pPr>
  </w:style>
  <w:style w:type="paragraph" w:customStyle="1" w:styleId="108">
    <w:name w:val="一级无"/>
    <w:basedOn w:val="73"/>
    <w:qFormat/>
    <w:uiPriority w:val="0"/>
    <w:pPr>
      <w:spacing w:beforeLines="0" w:afterLines="0"/>
    </w:pPr>
    <w:rPr>
      <w:rFonts w:ascii="宋体" w:eastAsia="宋体"/>
    </w:rPr>
  </w:style>
  <w:style w:type="paragraph" w:customStyle="1" w:styleId="109">
    <w:name w:val="其他标准标志"/>
    <w:basedOn w:val="110"/>
    <w:qFormat/>
    <w:uiPriority w:val="0"/>
    <w:pPr>
      <w:framePr w:w="6101" w:vAnchor="page" w:hAnchor="page" w:x="4673" w:y="942"/>
    </w:pPr>
    <w:rPr>
      <w:w w:val="130"/>
    </w:rPr>
  </w:style>
  <w:style w:type="paragraph" w:customStyle="1" w:styleId="110">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11">
    <w:name w:val="条文脚注"/>
    <w:basedOn w:val="26"/>
    <w:qFormat/>
    <w:uiPriority w:val="0"/>
    <w:pPr>
      <w:ind w:left="0" w:firstLine="0"/>
      <w:jc w:val="both"/>
    </w:pPr>
  </w:style>
  <w:style w:type="paragraph" w:customStyle="1" w:styleId="112">
    <w:name w:val="附录一级无"/>
    <w:basedOn w:val="113"/>
    <w:qFormat/>
    <w:uiPriority w:val="0"/>
    <w:pPr>
      <w:tabs>
        <w:tab w:val="left" w:pos="360"/>
      </w:tabs>
      <w:spacing w:beforeLines="0" w:afterLines="0"/>
    </w:pPr>
    <w:rPr>
      <w:rFonts w:ascii="宋体" w:eastAsia="宋体"/>
      <w:szCs w:val="21"/>
    </w:rPr>
  </w:style>
  <w:style w:type="paragraph" w:customStyle="1" w:styleId="113">
    <w:name w:val="附录一级条标题"/>
    <w:basedOn w:val="92"/>
    <w:next w:val="25"/>
    <w:qFormat/>
    <w:uiPriority w:val="0"/>
    <w:pPr>
      <w:autoSpaceDN w:val="0"/>
      <w:spacing w:beforeLines="50" w:afterLines="50"/>
      <w:outlineLvl w:val="2"/>
    </w:pPr>
  </w:style>
  <w:style w:type="paragraph" w:customStyle="1" w:styleId="114">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15">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16">
    <w:name w:val="正文公式编号制表符"/>
    <w:basedOn w:val="25"/>
    <w:next w:val="25"/>
    <w:qFormat/>
    <w:uiPriority w:val="0"/>
    <w:pPr>
      <w:ind w:firstLine="0" w:firstLineChars="0"/>
    </w:pPr>
  </w:style>
  <w:style w:type="paragraph" w:customStyle="1" w:styleId="117">
    <w:name w:val="附录五级条标题"/>
    <w:basedOn w:val="65"/>
    <w:next w:val="25"/>
    <w:qFormat/>
    <w:uiPriority w:val="0"/>
    <w:pPr>
      <w:outlineLvl w:val="6"/>
    </w:pPr>
  </w:style>
  <w:style w:type="paragraph" w:customStyle="1" w:styleId="118">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11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0">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1">
    <w:name w:val="封面正文"/>
    <w:qFormat/>
    <w:uiPriority w:val="0"/>
    <w:pPr>
      <w:jc w:val="both"/>
    </w:pPr>
    <w:rPr>
      <w:rFonts w:ascii="Times New Roman" w:hAnsi="Times New Roman" w:eastAsia="宋体" w:cs="Times New Roman"/>
      <w:lang w:val="en-US" w:eastAsia="zh-CN" w:bidi="ar-SA"/>
    </w:rPr>
  </w:style>
  <w:style w:type="paragraph" w:customStyle="1" w:styleId="122">
    <w:name w:val="附录标题"/>
    <w:basedOn w:val="25"/>
    <w:next w:val="25"/>
    <w:qFormat/>
    <w:uiPriority w:val="0"/>
    <w:pPr>
      <w:ind w:firstLine="0" w:firstLineChars="0"/>
      <w:jc w:val="center"/>
    </w:pPr>
    <w:rPr>
      <w:rFonts w:ascii="黑体" w:eastAsia="黑体"/>
    </w:rPr>
  </w:style>
  <w:style w:type="paragraph" w:customStyle="1" w:styleId="123">
    <w:name w:val="终结线"/>
    <w:basedOn w:val="1"/>
    <w:qFormat/>
    <w:uiPriority w:val="0"/>
    <w:pPr>
      <w:framePr w:hSpace="181" w:vSpace="181" w:wrap="around" w:vAnchor="text" w:hAnchor="margin" w:xAlign="center" w:y="285"/>
    </w:pPr>
  </w:style>
  <w:style w:type="paragraph" w:customStyle="1" w:styleId="124">
    <w:name w:val="附录五级无"/>
    <w:basedOn w:val="117"/>
    <w:qFormat/>
    <w:uiPriority w:val="0"/>
    <w:pPr>
      <w:tabs>
        <w:tab w:val="clear" w:pos="360"/>
      </w:tabs>
      <w:spacing w:beforeLines="0" w:afterLines="0"/>
    </w:pPr>
    <w:rPr>
      <w:rFonts w:ascii="宋体" w:eastAsia="宋体"/>
      <w:szCs w:val="21"/>
    </w:rPr>
  </w:style>
  <w:style w:type="paragraph" w:customStyle="1" w:styleId="12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26">
    <w:name w:val="注：（正文）"/>
    <w:basedOn w:val="102"/>
    <w:next w:val="25"/>
    <w:qFormat/>
    <w:uiPriority w:val="0"/>
  </w:style>
  <w:style w:type="paragraph" w:customStyle="1" w:styleId="127">
    <w:name w:val="图表脚注说明"/>
    <w:basedOn w:val="1"/>
    <w:qFormat/>
    <w:uiPriority w:val="0"/>
    <w:pPr>
      <w:ind w:left="544" w:hanging="181"/>
    </w:pPr>
    <w:rPr>
      <w:rFonts w:ascii="宋体"/>
      <w:sz w:val="18"/>
      <w:szCs w:val="18"/>
    </w:rPr>
  </w:style>
  <w:style w:type="paragraph" w:customStyle="1" w:styleId="128">
    <w:name w:val="封面标准文稿类别2"/>
    <w:basedOn w:val="87"/>
    <w:qFormat/>
    <w:uiPriority w:val="0"/>
    <w:pPr>
      <w:framePr w:y="4469"/>
    </w:pPr>
  </w:style>
  <w:style w:type="paragraph" w:customStyle="1" w:styleId="129">
    <w:name w:val="附录表标号"/>
    <w:basedOn w:val="1"/>
    <w:next w:val="25"/>
    <w:qFormat/>
    <w:uiPriority w:val="0"/>
    <w:pPr>
      <w:spacing w:line="14" w:lineRule="exact"/>
      <w:ind w:left="811" w:hanging="448"/>
      <w:jc w:val="center"/>
      <w:outlineLvl w:val="0"/>
    </w:pPr>
    <w:rPr>
      <w:color w:val="FFFFFF"/>
    </w:rPr>
  </w:style>
  <w:style w:type="paragraph" w:customStyle="1" w:styleId="13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31">
    <w:name w:val="标准书眉_偶数页"/>
    <w:basedOn w:val="125"/>
    <w:next w:val="1"/>
    <w:qFormat/>
    <w:uiPriority w:val="0"/>
    <w:pPr>
      <w:jc w:val="left"/>
    </w:pPr>
  </w:style>
  <w:style w:type="paragraph" w:customStyle="1" w:styleId="132">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133">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134">
    <w:name w:val="其他发布部门"/>
    <w:basedOn w:val="114"/>
    <w:qFormat/>
    <w:uiPriority w:val="0"/>
    <w:pPr>
      <w:framePr w:y="15310"/>
      <w:spacing w:line="0" w:lineRule="atLeast"/>
    </w:pPr>
    <w:rPr>
      <w:rFonts w:ascii="黑体" w:eastAsia="黑体"/>
      <w:b w:val="0"/>
    </w:rPr>
  </w:style>
  <w:style w:type="paragraph" w:customStyle="1" w:styleId="135">
    <w:name w:val="列项◆（三级）"/>
    <w:basedOn w:val="1"/>
    <w:qFormat/>
    <w:uiPriority w:val="0"/>
    <w:pPr>
      <w:tabs>
        <w:tab w:val="left" w:pos="1678"/>
      </w:tabs>
      <w:ind w:left="1678" w:hanging="414"/>
    </w:pPr>
    <w:rPr>
      <w:rFonts w:ascii="宋体"/>
      <w:szCs w:val="21"/>
    </w:rPr>
  </w:style>
  <w:style w:type="paragraph" w:customStyle="1" w:styleId="136">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37">
    <w:name w:val="示例×："/>
    <w:basedOn w:val="138"/>
    <w:qFormat/>
    <w:uiPriority w:val="0"/>
    <w:pPr>
      <w:spacing w:beforeLines="0" w:afterLines="0"/>
      <w:ind w:left="0" w:firstLine="363"/>
      <w:outlineLvl w:val="9"/>
    </w:pPr>
    <w:rPr>
      <w:rFonts w:ascii="宋体" w:eastAsia="宋体"/>
      <w:sz w:val="18"/>
      <w:szCs w:val="18"/>
    </w:rPr>
  </w:style>
  <w:style w:type="paragraph" w:customStyle="1" w:styleId="138">
    <w:name w:val="章标题"/>
    <w:next w:val="25"/>
    <w:qFormat/>
    <w:uiPriority w:val="0"/>
    <w:pPr>
      <w:spacing w:beforeLines="100" w:afterLines="100"/>
      <w:ind w:left="105"/>
      <w:jc w:val="both"/>
      <w:outlineLvl w:val="1"/>
    </w:pPr>
    <w:rPr>
      <w:rFonts w:ascii="黑体" w:hAnsi="Times New Roman" w:eastAsia="黑体" w:cs="Times New Roman"/>
      <w:sz w:val="21"/>
      <w:lang w:val="en-US" w:eastAsia="zh-CN" w:bidi="ar-SA"/>
    </w:rPr>
  </w:style>
  <w:style w:type="paragraph" w:customStyle="1" w:styleId="139">
    <w:name w:val="封面一致性程度标识2"/>
    <w:basedOn w:val="53"/>
    <w:qFormat/>
    <w:uiPriority w:val="0"/>
    <w:pPr>
      <w:framePr w:y="4469"/>
    </w:pPr>
  </w:style>
  <w:style w:type="paragraph" w:customStyle="1" w:styleId="14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41">
    <w:name w:val="附录二级无"/>
    <w:basedOn w:val="63"/>
    <w:qFormat/>
    <w:uiPriority w:val="0"/>
    <w:pPr>
      <w:tabs>
        <w:tab w:val="clear" w:pos="360"/>
      </w:tabs>
      <w:spacing w:beforeLines="0" w:afterLines="0"/>
    </w:pPr>
    <w:rPr>
      <w:rFonts w:ascii="宋体" w:eastAsia="宋体"/>
      <w:szCs w:val="21"/>
    </w:rPr>
  </w:style>
  <w:style w:type="paragraph" w:customStyle="1" w:styleId="142">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143">
    <w:name w:val="正文表标题"/>
    <w:next w:val="25"/>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character" w:customStyle="1" w:styleId="144">
    <w:name w:val="日期 Char"/>
    <w:basedOn w:val="37"/>
    <w:link w:val="16"/>
    <w:qFormat/>
    <w:uiPriority w:val="0"/>
    <w:rPr>
      <w:kern w:val="2"/>
      <w:sz w:val="21"/>
      <w:szCs w:val="24"/>
    </w:rPr>
  </w:style>
  <w:style w:type="character" w:customStyle="1" w:styleId="145">
    <w:name w:val="标题 1 Char"/>
    <w:basedOn w:val="37"/>
    <w:link w:val="2"/>
    <w:qFormat/>
    <w:uiPriority w:val="0"/>
    <w:rPr>
      <w:b/>
      <w:bCs/>
      <w:kern w:val="44"/>
      <w:sz w:val="44"/>
      <w:szCs w:val="44"/>
    </w:rPr>
  </w:style>
  <w:style w:type="paragraph" w:customStyle="1" w:styleId="14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47">
    <w:name w:val="页脚 Char"/>
    <w:basedOn w:val="37"/>
    <w:link w:val="19"/>
    <w:qFormat/>
    <w:uiPriority w:val="99"/>
    <w:rPr>
      <w:kern w:val="2"/>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5" Type="http://schemas.openxmlformats.org/officeDocument/2006/relationships/fontTable" Target="fontTable.xml"/><Relationship Id="rId34" Type="http://schemas.microsoft.com/office/2006/relationships/keyMapCustomizations" Target="customizations.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3.jpeg"/><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TCS2010(&#20462;&#27491;&#29256;)\TCS2010(&#20462;&#27491;&#29256;)\&#23004;&#31881;&#32418;&#31958;&#65288;2013&#36865;&#23457;&#31295;&#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9"/>
    <customShpInfo spid="_x0000_s1038"/>
    <customShpInfo spid="_x0000_s1034"/>
    <customShpInfo spid="_x0000_s1037"/>
    <customShpInfo spid="_x0000_s1036"/>
    <customShpInfo spid="_x0000_s1035"/>
    <customShpInfo spid="_x0000_s104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F56CA7-33C9-4C2E-92E4-24B2BD2B9CCE}">
  <ds:schemaRefs/>
</ds:datastoreItem>
</file>

<file path=docProps/app.xml><?xml version="1.0" encoding="utf-8"?>
<Properties xmlns="http://schemas.openxmlformats.org/officeDocument/2006/extended-properties" xmlns:vt="http://schemas.openxmlformats.org/officeDocument/2006/docPropsVTypes">
  <Template>姜粉红糖（2013送审稿）</Template>
  <Pages>22</Pages>
  <Words>10161</Words>
  <Characters>12205</Characters>
  <Lines>105</Lines>
  <Paragraphs>29</Paragraphs>
  <TotalTime>5</TotalTime>
  <ScaleCrop>false</ScaleCrop>
  <LinksUpToDate>false</LinksUpToDate>
  <CharactersWithSpaces>12548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2020-11-08T02:21:00Z</dcterms:created>
  <dcterms:modified xsi:type="dcterms:W3CDTF">2022-09-16T02:45:01Z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032E1505F1E342AB88EB354E0E6D8BB3</vt:lpwstr>
  </property>
</Properties>
</file>